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4C29" w14:textId="77777777" w:rsidR="00793341" w:rsidRDefault="00793341" w:rsidP="00793341">
      <w:pPr>
        <w:pStyle w:val="Heading1"/>
        <w:spacing w:before="0" w:after="360"/>
        <w:ind w:left="788"/>
        <w:jc w:val="center"/>
        <w:rPr>
          <w:rFonts w:ascii="Arial" w:hAnsi="Arial" w:cs="Arial"/>
          <w:b w:val="0"/>
          <w:bCs/>
          <w:color w:val="000080"/>
          <w:sz w:val="36"/>
          <w:szCs w:val="36"/>
        </w:rPr>
      </w:pPr>
      <w:bookmarkStart w:id="0" w:name="_Toc22897637"/>
      <w:bookmarkStart w:id="1" w:name="_Toc22898843"/>
      <w:r>
        <w:rPr>
          <w:rFonts w:ascii="Arial" w:hAnsi="Arial" w:cs="Arial"/>
          <w:bCs/>
          <w:color w:val="000080"/>
          <w:sz w:val="36"/>
          <w:szCs w:val="36"/>
        </w:rPr>
        <w:t>Medical Services Advisory Committee (MSAC)</w:t>
      </w:r>
      <w:r>
        <w:rPr>
          <w:rFonts w:ascii="Arial" w:hAnsi="Arial" w:cs="Arial"/>
          <w:bCs/>
          <w:color w:val="000080"/>
          <w:sz w:val="36"/>
          <w:szCs w:val="36"/>
        </w:rPr>
        <w:br/>
      </w:r>
      <w:r w:rsidRPr="00F76D74">
        <w:rPr>
          <w:rFonts w:ascii="Arial" w:hAnsi="Arial" w:cs="Arial"/>
          <w:bCs/>
          <w:color w:val="000080"/>
          <w:sz w:val="36"/>
          <w:szCs w:val="36"/>
        </w:rPr>
        <w:t>Public Summary Document</w:t>
      </w:r>
    </w:p>
    <w:p w14:paraId="7B292DB7" w14:textId="01046E83" w:rsidR="00793341" w:rsidRDefault="00793341" w:rsidP="00793341">
      <w:pPr>
        <w:jc w:val="center"/>
        <w:rPr>
          <w:rFonts w:ascii="Arial" w:eastAsia="Times New Roman" w:hAnsi="Arial" w:cs="Arial"/>
          <w:b/>
          <w:bCs/>
          <w:i/>
          <w:color w:val="000080"/>
          <w:sz w:val="28"/>
          <w:szCs w:val="28"/>
          <w:lang w:eastAsia="en-AU"/>
        </w:rPr>
      </w:pPr>
      <w:r w:rsidRPr="0044058B">
        <w:rPr>
          <w:rFonts w:ascii="Arial" w:eastAsia="Times New Roman" w:hAnsi="Arial" w:cs="Arial"/>
          <w:b/>
          <w:bCs/>
          <w:i/>
          <w:color w:val="000080"/>
          <w:sz w:val="28"/>
          <w:szCs w:val="28"/>
          <w:lang w:eastAsia="en-AU"/>
        </w:rPr>
        <w:t>Application No.</w:t>
      </w:r>
      <w:r>
        <w:rPr>
          <w:rFonts w:ascii="Arial" w:eastAsia="Times New Roman" w:hAnsi="Arial" w:cs="Arial"/>
          <w:b/>
          <w:bCs/>
          <w:i/>
          <w:color w:val="000080"/>
          <w:sz w:val="28"/>
          <w:szCs w:val="28"/>
          <w:lang w:eastAsia="en-AU"/>
        </w:rPr>
        <w:t xml:space="preserve"> </w:t>
      </w:r>
      <w:r w:rsidRPr="00793341">
        <w:rPr>
          <w:rFonts w:ascii="Arial" w:eastAsia="Times New Roman" w:hAnsi="Arial" w:cs="Arial"/>
          <w:b/>
          <w:bCs/>
          <w:i/>
          <w:color w:val="000080"/>
          <w:sz w:val="28"/>
          <w:szCs w:val="28"/>
          <w:lang w:eastAsia="en-AU"/>
        </w:rPr>
        <w:t>1708 – Hepatitis Delta Virus (HDV) RNA PCR testing to determine eligibility for PBS-subsidised bulevirtide (HEPCLUDEX) for treatment of HDV</w:t>
      </w:r>
    </w:p>
    <w:p w14:paraId="6E5C340B" w14:textId="7A92305E" w:rsidR="00793341" w:rsidRPr="00793341" w:rsidRDefault="00793341" w:rsidP="00793341">
      <w:pPr>
        <w:tabs>
          <w:tab w:val="left" w:pos="3686"/>
        </w:tabs>
        <w:spacing w:before="240" w:line="257" w:lineRule="auto"/>
        <w:rPr>
          <w:rFonts w:ascii="Arial" w:eastAsia="Calibri" w:hAnsi="Arial" w:cs="Arial"/>
          <w:b/>
          <w:sz w:val="22"/>
        </w:rPr>
      </w:pPr>
      <w:r w:rsidRPr="00793341">
        <w:rPr>
          <w:rFonts w:ascii="Arial" w:eastAsia="Calibri" w:hAnsi="Arial" w:cs="Arial"/>
          <w:b/>
          <w:sz w:val="22"/>
        </w:rPr>
        <w:t>Applicant:</w:t>
      </w:r>
      <w:r w:rsidRPr="00793341">
        <w:rPr>
          <w:rFonts w:ascii="Arial" w:eastAsia="Calibri" w:hAnsi="Arial" w:cs="Arial"/>
          <w:b/>
          <w:sz w:val="22"/>
        </w:rPr>
        <w:tab/>
        <w:t>Gilead Sciences Pty Limited</w:t>
      </w:r>
    </w:p>
    <w:p w14:paraId="62456FBF" w14:textId="77777777" w:rsidR="00793341" w:rsidRPr="00793341" w:rsidRDefault="00793341" w:rsidP="00793341">
      <w:pPr>
        <w:spacing w:before="320" w:line="256" w:lineRule="auto"/>
        <w:rPr>
          <w:rFonts w:ascii="Arial" w:hAnsi="Arial" w:cs="Arial"/>
          <w:b/>
          <w:bCs/>
          <w:sz w:val="22"/>
        </w:rPr>
      </w:pPr>
      <w:r w:rsidRPr="00793341">
        <w:rPr>
          <w:rFonts w:ascii="Arial" w:hAnsi="Arial" w:cs="Arial"/>
          <w:b/>
          <w:bCs/>
          <w:sz w:val="22"/>
        </w:rPr>
        <w:t>Date of MSAC consideration:</w:t>
      </w:r>
      <w:r w:rsidRPr="00793341">
        <w:rPr>
          <w:rFonts w:ascii="Arial" w:hAnsi="Arial" w:cs="Arial"/>
          <w:b/>
          <w:bCs/>
          <w:sz w:val="22"/>
        </w:rPr>
        <w:tab/>
        <w:t>4-5 April 2024</w:t>
      </w:r>
    </w:p>
    <w:p w14:paraId="1CDCE601" w14:textId="77777777" w:rsidR="00793341" w:rsidRPr="00793341" w:rsidRDefault="00793341" w:rsidP="00793341">
      <w:pPr>
        <w:spacing w:after="240"/>
        <w:rPr>
          <w:rFonts w:ascii="Franklin Gothic Book" w:hAnsi="Franklin Gothic Book"/>
          <w:color w:val="0000FF"/>
          <w:sz w:val="22"/>
          <w:u w:val="single"/>
        </w:rPr>
      </w:pPr>
      <w:r w:rsidRPr="00793341">
        <w:rPr>
          <w:rFonts w:ascii="Franklin Gothic Book" w:hAnsi="Franklin Gothic Book"/>
          <w:sz w:val="22"/>
        </w:rPr>
        <w:t xml:space="preserve">Context for decision: MSAC makes its advice in accordance with its Terms of Reference, </w:t>
      </w:r>
      <w:hyperlink r:id="rId8" w:tooltip="Link to Medical Services Advisory Committee website" w:history="1">
        <w:r w:rsidRPr="00793341">
          <w:rPr>
            <w:rStyle w:val="Hyperlink"/>
            <w:rFonts w:ascii="Franklin Gothic Book" w:hAnsi="Franklin Gothic Book"/>
            <w:sz w:val="22"/>
          </w:rPr>
          <w:t>visit the MSAC website</w:t>
        </w:r>
      </w:hyperlink>
    </w:p>
    <w:p w14:paraId="2630376D" w14:textId="599368F7" w:rsidR="00E965EE" w:rsidRPr="00793341" w:rsidRDefault="00E965EE" w:rsidP="00793341">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2" w:name="_Toc156984608"/>
      <w:bookmarkEnd w:id="0"/>
      <w:bookmarkEnd w:id="1"/>
      <w:r w:rsidRPr="00793341">
        <w:rPr>
          <w:rFonts w:ascii="Franklin Gothic Medium" w:hAnsi="Franklin Gothic Medium"/>
          <w:b w:val="0"/>
          <w:i w:val="0"/>
          <w:snapToGrid/>
          <w:color w:val="000000" w:themeColor="text1"/>
          <w:sz w:val="32"/>
          <w:szCs w:val="26"/>
        </w:rPr>
        <w:t>Purpose of the application</w:t>
      </w:r>
      <w:bookmarkEnd w:id="2"/>
      <w:r w:rsidRPr="00793341">
        <w:rPr>
          <w:rFonts w:ascii="Franklin Gothic Medium" w:hAnsi="Franklin Gothic Medium"/>
          <w:b w:val="0"/>
          <w:i w:val="0"/>
          <w:snapToGrid/>
          <w:color w:val="000000" w:themeColor="text1"/>
          <w:sz w:val="32"/>
          <w:szCs w:val="26"/>
        </w:rPr>
        <w:t xml:space="preserve"> </w:t>
      </w:r>
    </w:p>
    <w:p w14:paraId="22CB087F" w14:textId="77777777" w:rsidR="00E965EE" w:rsidRPr="00793341" w:rsidRDefault="00E965EE" w:rsidP="00E965EE">
      <w:pPr>
        <w:spacing w:before="0" w:after="240"/>
        <w:rPr>
          <w:rFonts w:ascii="Franklin Gothic Book" w:eastAsia="Calibri" w:hAnsi="Franklin Gothic Book" w:cs="Calibri"/>
          <w:color w:val="000000"/>
          <w:sz w:val="22"/>
        </w:rPr>
      </w:pPr>
      <w:r w:rsidRPr="00793341">
        <w:rPr>
          <w:rFonts w:ascii="Franklin Gothic Book" w:eastAsia="Calibri" w:hAnsi="Franklin Gothic Book" w:cs="Calibri"/>
          <w:color w:val="000000"/>
          <w:sz w:val="22"/>
        </w:rPr>
        <w:t xml:space="preserve">The integrated codependent application requested: </w:t>
      </w:r>
    </w:p>
    <w:p w14:paraId="6211B6F1" w14:textId="77777777" w:rsidR="00E965EE" w:rsidRPr="00793341" w:rsidRDefault="00E965EE" w:rsidP="00E965EE">
      <w:pPr>
        <w:numPr>
          <w:ilvl w:val="0"/>
          <w:numId w:val="16"/>
        </w:numPr>
        <w:spacing w:before="0" w:after="240"/>
        <w:jc w:val="left"/>
        <w:rPr>
          <w:rFonts w:ascii="Franklin Gothic Book" w:eastAsia="Calibri" w:hAnsi="Franklin Gothic Book" w:cs="Calibri"/>
          <w:color w:val="000000"/>
          <w:sz w:val="22"/>
        </w:rPr>
      </w:pPr>
      <w:r w:rsidRPr="00793341">
        <w:rPr>
          <w:rFonts w:ascii="Franklin Gothic Book" w:eastAsia="Calibri" w:hAnsi="Franklin Gothic Book" w:cs="Calibri"/>
          <w:color w:val="000000"/>
          <w:sz w:val="22"/>
        </w:rPr>
        <w:t>Medicare Benefits Schedule (MBS) listing of ribonucleic acid (RNA) polymerase chain reaction (PCR) testing to detect the presence of hepatitis D virus (HDV) ribonucleic acid (RNA) to determine eligibility for treatment with bulevirtide in patients with chronic HDV (CHD) with compensated liver disease;</w:t>
      </w:r>
    </w:p>
    <w:p w14:paraId="5CA42E57" w14:textId="77777777" w:rsidR="00E965EE" w:rsidRPr="00793341" w:rsidRDefault="00E965EE" w:rsidP="00E965EE">
      <w:pPr>
        <w:numPr>
          <w:ilvl w:val="0"/>
          <w:numId w:val="16"/>
        </w:numPr>
        <w:spacing w:before="0" w:after="240"/>
        <w:jc w:val="left"/>
        <w:rPr>
          <w:rFonts w:ascii="Franklin Gothic Book" w:eastAsia="Calibri" w:hAnsi="Franklin Gothic Book" w:cs="Calibri"/>
          <w:color w:val="000000"/>
          <w:sz w:val="22"/>
        </w:rPr>
      </w:pPr>
      <w:r w:rsidRPr="00793341">
        <w:rPr>
          <w:rFonts w:ascii="Franklin Gothic Book" w:eastAsia="Calibri" w:hAnsi="Franklin Gothic Book" w:cs="Calibri"/>
          <w:color w:val="000000"/>
          <w:sz w:val="22"/>
        </w:rPr>
        <w:t>MBS listing of HDV RNA PCR testing to quantify the levels of HDV RNA for monitoring the efficacy of bulevirtide treatment; and</w:t>
      </w:r>
    </w:p>
    <w:p w14:paraId="2192A3F0" w14:textId="77777777" w:rsidR="00E965EE" w:rsidRPr="00793341" w:rsidRDefault="00E965EE" w:rsidP="00E965EE">
      <w:pPr>
        <w:numPr>
          <w:ilvl w:val="0"/>
          <w:numId w:val="16"/>
        </w:numPr>
        <w:spacing w:before="0" w:after="120"/>
        <w:jc w:val="left"/>
        <w:rPr>
          <w:rFonts w:ascii="Franklin Gothic Book" w:eastAsia="Calibri" w:hAnsi="Franklin Gothic Book" w:cs="Times New Roman"/>
          <w:sz w:val="22"/>
        </w:rPr>
      </w:pPr>
      <w:r w:rsidRPr="00793341">
        <w:rPr>
          <w:rFonts w:ascii="Franklin Gothic Book" w:eastAsia="Calibri" w:hAnsi="Franklin Gothic Book" w:cs="Times New Roman"/>
          <w:sz w:val="22"/>
        </w:rPr>
        <w:t>Pharmaceutical Benefits Scheme (PBS) Section 100, Authority Required - Streamlined listing of bulevirtide for the treatment of CHD in patients with compensated liver disease and detectable HDV RNA.</w:t>
      </w:r>
    </w:p>
    <w:p w14:paraId="71C81A12" w14:textId="50BE3AE6" w:rsidR="00E965EE" w:rsidRPr="00E965EE"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r w:rsidRPr="00E965EE">
        <w:rPr>
          <w:rFonts w:ascii="Arial Narrow" w:eastAsia="Calibri" w:hAnsi="Arial Narrow" w:cs="Times New Roman"/>
          <w:b/>
          <w:bCs/>
          <w:iCs/>
          <w:sz w:val="20"/>
          <w:szCs w:val="18"/>
          <w:lang w:val="en-US"/>
        </w:rPr>
        <w:lastRenderedPageBreak/>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1</w:t>
      </w:r>
      <w:r w:rsidRPr="00E965EE">
        <w:rPr>
          <w:rFonts w:ascii="Arial Narrow" w:eastAsia="Calibri" w:hAnsi="Arial Narrow" w:cs="Times New Roman"/>
          <w:b/>
          <w:bCs/>
          <w:iCs/>
          <w:sz w:val="20"/>
          <w:szCs w:val="18"/>
          <w:lang w:val="en-US"/>
        </w:rPr>
        <w:fldChar w:fldCharType="end"/>
      </w:r>
      <w:r w:rsidRPr="00E965EE">
        <w:rPr>
          <w:rFonts w:ascii="Arial Narrow" w:eastAsia="Calibri" w:hAnsi="Arial Narrow" w:cs="Times New Roman"/>
          <w:b/>
          <w:bCs/>
          <w:iCs/>
          <w:sz w:val="20"/>
          <w:szCs w:val="18"/>
          <w:lang w:val="en-US"/>
        </w:rPr>
        <w:tab/>
        <w:t>Key components of the clinical issue addressed by the submission</w:t>
      </w:r>
    </w:p>
    <w:tbl>
      <w:tblPr>
        <w:tblStyle w:val="PBACTableStyle1"/>
        <w:tblW w:w="0" w:type="auto"/>
        <w:tblLayout w:type="fixed"/>
        <w:tblLook w:val="04A0" w:firstRow="1" w:lastRow="0" w:firstColumn="1" w:lastColumn="0" w:noHBand="0" w:noVBand="1"/>
      </w:tblPr>
      <w:tblGrid>
        <w:gridCol w:w="1413"/>
        <w:gridCol w:w="7603"/>
      </w:tblGrid>
      <w:tr w:rsidR="00E965EE" w:rsidRPr="00E965EE" w14:paraId="702C5271" w14:textId="77777777" w:rsidTr="00BA1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49D2737" w14:textId="77777777" w:rsidR="00E965EE" w:rsidRPr="00E965EE" w:rsidRDefault="00E965EE" w:rsidP="1230503C">
            <w:pPr>
              <w:pStyle w:val="Caption"/>
              <w:spacing w:before="0"/>
              <w:rPr>
                <w:b/>
                <w:lang w:val="en-AU"/>
              </w:rPr>
            </w:pPr>
            <w:r w:rsidRPr="1230503C">
              <w:rPr>
                <w:b/>
                <w:lang w:val="en-AU"/>
              </w:rPr>
              <w:t>Component</w:t>
            </w:r>
          </w:p>
        </w:tc>
        <w:tc>
          <w:tcPr>
            <w:tcW w:w="7603" w:type="dxa"/>
            <w:vAlign w:val="bottom"/>
          </w:tcPr>
          <w:p w14:paraId="3BF63A6E" w14:textId="77777777" w:rsidR="00E965EE" w:rsidRPr="00E965EE" w:rsidRDefault="00E965EE" w:rsidP="00BA1BA5">
            <w:pPr>
              <w:pStyle w:val="Caption"/>
              <w:spacing w:before="0"/>
              <w:contextualSpacing w:val="0"/>
              <w:cnfStyle w:val="100000000000" w:firstRow="1" w:lastRow="0" w:firstColumn="0" w:lastColumn="0" w:oddVBand="0" w:evenVBand="0" w:oddHBand="0" w:evenHBand="0" w:firstRowFirstColumn="0" w:firstRowLastColumn="0" w:lastRowFirstColumn="0" w:lastRowLastColumn="0"/>
              <w:rPr>
                <w:rFonts w:eastAsia="Calibri" w:cs="Times New Roman"/>
                <w:b/>
              </w:rPr>
            </w:pPr>
            <w:r w:rsidRPr="00E965EE">
              <w:rPr>
                <w:rFonts w:eastAsia="Calibri" w:cs="Times New Roman"/>
                <w:b/>
              </w:rPr>
              <w:t>Description</w:t>
            </w:r>
          </w:p>
        </w:tc>
      </w:tr>
      <w:tr w:rsidR="00E965EE" w:rsidRPr="00E965EE" w14:paraId="37B20DA9" w14:textId="77777777" w:rsidTr="00BA1BA5">
        <w:tc>
          <w:tcPr>
            <w:cnfStyle w:val="001000000000" w:firstRow="0" w:lastRow="0" w:firstColumn="1" w:lastColumn="0" w:oddVBand="0" w:evenVBand="0" w:oddHBand="0" w:evenHBand="0" w:firstRowFirstColumn="0" w:firstRowLastColumn="0" w:lastRowFirstColumn="0" w:lastRowLastColumn="0"/>
            <w:tcW w:w="1413" w:type="dxa"/>
          </w:tcPr>
          <w:p w14:paraId="6F63BA00" w14:textId="77777777" w:rsidR="00E965EE" w:rsidRPr="00E965EE" w:rsidRDefault="00E965EE" w:rsidP="00BA1BA5">
            <w:pPr>
              <w:pStyle w:val="Caption"/>
              <w:spacing w:before="0"/>
              <w:contextualSpacing w:val="0"/>
            </w:pPr>
            <w:r w:rsidRPr="00E965EE">
              <w:t>Population</w:t>
            </w:r>
          </w:p>
        </w:tc>
        <w:tc>
          <w:tcPr>
            <w:tcW w:w="7603" w:type="dxa"/>
          </w:tcPr>
          <w:p w14:paraId="5FE38311"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Test: People diagnosed with chronic hepatitis B who have tested positive for serum anti-hepatitis D virus (anti-HDV) antibodies and are suspected of having chronic hepatitis D (CHD)</w:t>
            </w:r>
          </w:p>
          <w:p w14:paraId="362800C3"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Drug: Patients with positive CHD with detectable polymerase chain reaction (PCR) results for serum/plasma HDV ribonucleic acid (RNA)</w:t>
            </w:r>
            <w:r w:rsidRPr="00E965EE">
              <w:rPr>
                <w:rFonts w:eastAsia="Calibri" w:cs="Times New Roman"/>
                <w:sz w:val="20"/>
                <w:vertAlign w:val="superscript"/>
              </w:rPr>
              <w:t>a</w:t>
            </w:r>
          </w:p>
        </w:tc>
      </w:tr>
      <w:tr w:rsidR="00E965EE" w:rsidRPr="00E965EE" w14:paraId="7EE13307" w14:textId="77777777" w:rsidTr="00BA1BA5">
        <w:tc>
          <w:tcPr>
            <w:cnfStyle w:val="001000000000" w:firstRow="0" w:lastRow="0" w:firstColumn="1" w:lastColumn="0" w:oddVBand="0" w:evenVBand="0" w:oddHBand="0" w:evenHBand="0" w:firstRowFirstColumn="0" w:firstRowLastColumn="0" w:lastRowFirstColumn="0" w:lastRowLastColumn="0"/>
            <w:tcW w:w="1413" w:type="dxa"/>
          </w:tcPr>
          <w:p w14:paraId="44C2D78C" w14:textId="77777777" w:rsidR="00E965EE" w:rsidRPr="00E965EE" w:rsidRDefault="00E965EE" w:rsidP="00BA1BA5">
            <w:pPr>
              <w:pStyle w:val="Caption"/>
              <w:spacing w:before="0"/>
              <w:contextualSpacing w:val="0"/>
            </w:pPr>
            <w:r w:rsidRPr="00E965EE">
              <w:t>Intervention</w:t>
            </w:r>
          </w:p>
        </w:tc>
        <w:tc>
          <w:tcPr>
            <w:tcW w:w="7603" w:type="dxa"/>
          </w:tcPr>
          <w:p w14:paraId="01D3F6D2"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Test: HDV RNA PCR on serum or blood</w:t>
            </w:r>
          </w:p>
          <w:p w14:paraId="3BB08B6A"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Drug: Bulevirtide 2 mg once daily subcutaneous injection</w:t>
            </w:r>
          </w:p>
        </w:tc>
      </w:tr>
      <w:tr w:rsidR="00E965EE" w:rsidRPr="00E965EE" w14:paraId="360A3195" w14:textId="77777777" w:rsidTr="00BA1BA5">
        <w:tc>
          <w:tcPr>
            <w:cnfStyle w:val="001000000000" w:firstRow="0" w:lastRow="0" w:firstColumn="1" w:lastColumn="0" w:oddVBand="0" w:evenVBand="0" w:oddHBand="0" w:evenHBand="0" w:firstRowFirstColumn="0" w:firstRowLastColumn="0" w:lastRowFirstColumn="0" w:lastRowLastColumn="0"/>
            <w:tcW w:w="1413" w:type="dxa"/>
          </w:tcPr>
          <w:p w14:paraId="206F9C5D" w14:textId="77777777" w:rsidR="00E965EE" w:rsidRPr="00E965EE" w:rsidRDefault="00E965EE" w:rsidP="00BA1BA5">
            <w:pPr>
              <w:pStyle w:val="Caption"/>
              <w:spacing w:before="0"/>
              <w:contextualSpacing w:val="0"/>
            </w:pPr>
            <w:r w:rsidRPr="00E965EE">
              <w:t>Comparator</w:t>
            </w:r>
          </w:p>
        </w:tc>
        <w:tc>
          <w:tcPr>
            <w:tcW w:w="7603" w:type="dxa"/>
          </w:tcPr>
          <w:p w14:paraId="74CE6955"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Test: No HDV RNA testing</w:t>
            </w:r>
          </w:p>
          <w:p w14:paraId="2DABE202"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Drug: Symptom management of CHD</w:t>
            </w:r>
          </w:p>
        </w:tc>
      </w:tr>
      <w:tr w:rsidR="00E965EE" w:rsidRPr="00E965EE" w14:paraId="51BE236E" w14:textId="77777777" w:rsidTr="00BA1BA5">
        <w:tc>
          <w:tcPr>
            <w:cnfStyle w:val="001000000000" w:firstRow="0" w:lastRow="0" w:firstColumn="1" w:lastColumn="0" w:oddVBand="0" w:evenVBand="0" w:oddHBand="0" w:evenHBand="0" w:firstRowFirstColumn="0" w:firstRowLastColumn="0" w:lastRowFirstColumn="0" w:lastRowLastColumn="0"/>
            <w:tcW w:w="1413" w:type="dxa"/>
          </w:tcPr>
          <w:p w14:paraId="401CE637" w14:textId="77777777" w:rsidR="00E965EE" w:rsidRPr="00E965EE" w:rsidRDefault="00E965EE" w:rsidP="00BA1BA5">
            <w:pPr>
              <w:pStyle w:val="Caption"/>
              <w:spacing w:before="0"/>
              <w:contextualSpacing w:val="0"/>
            </w:pPr>
            <w:r w:rsidRPr="00E965EE">
              <w:t>Outcomes</w:t>
            </w:r>
          </w:p>
        </w:tc>
        <w:tc>
          <w:tcPr>
            <w:tcW w:w="7603" w:type="dxa"/>
          </w:tcPr>
          <w:p w14:paraId="2FB89197"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Test:</w:t>
            </w:r>
          </w:p>
          <w:p w14:paraId="56B61DE1" w14:textId="77777777" w:rsidR="00E965EE" w:rsidRPr="00E965EE" w:rsidRDefault="00E965EE" w:rsidP="00BA1BA5">
            <w:pPr>
              <w:keepNext/>
              <w:tabs>
                <w:tab w:val="left" w:pos="190"/>
              </w:tabs>
              <w:spacing w:before="0"/>
              <w:ind w:left="49"/>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w:t>
            </w:r>
            <w:r w:rsidRPr="00E965EE">
              <w:rPr>
                <w:rFonts w:eastAsia="Calibri" w:cs="Times New Roman"/>
                <w:sz w:val="20"/>
              </w:rPr>
              <w:tab/>
              <w:t>Concordance of the test with the clinical utility standard</w:t>
            </w:r>
          </w:p>
          <w:p w14:paraId="23A51A48" w14:textId="77777777" w:rsidR="00E965EE" w:rsidRPr="00E965EE" w:rsidRDefault="00E965EE" w:rsidP="00BA1BA5">
            <w:pPr>
              <w:keepNext/>
              <w:tabs>
                <w:tab w:val="left" w:pos="190"/>
              </w:tabs>
              <w:spacing w:before="0"/>
              <w:ind w:left="49"/>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w:t>
            </w:r>
            <w:r w:rsidRPr="00E965EE">
              <w:rPr>
                <w:rFonts w:eastAsia="Calibri" w:cs="Times New Roman"/>
                <w:sz w:val="20"/>
              </w:rPr>
              <w:tab/>
              <w:t>Predictive validity of the test (distinguished from HDV as a prognostic marker)</w:t>
            </w:r>
          </w:p>
          <w:p w14:paraId="0FEDF1F5" w14:textId="77777777" w:rsidR="00E965EE" w:rsidRPr="00E965EE" w:rsidRDefault="00E965EE" w:rsidP="00BA1BA5">
            <w:pPr>
              <w:keepNext/>
              <w:tabs>
                <w:tab w:val="left" w:pos="190"/>
              </w:tabs>
              <w:spacing w:before="0"/>
              <w:ind w:left="49"/>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w:t>
            </w:r>
            <w:r w:rsidRPr="00E965EE">
              <w:rPr>
                <w:rFonts w:eastAsia="Calibri" w:cs="Times New Roman"/>
                <w:sz w:val="20"/>
              </w:rPr>
              <w:tab/>
              <w:t>Suitability of the test for monitoring (ability to distinguish response to treatment from background random variation, i.e., signal to noise ratio).</w:t>
            </w:r>
          </w:p>
          <w:p w14:paraId="36680784" w14:textId="77777777" w:rsidR="00E965EE" w:rsidRPr="00E965EE" w:rsidRDefault="00E965EE" w:rsidP="00BA1BA5">
            <w:pPr>
              <w:keepNext/>
              <w:tabs>
                <w:tab w:val="left" w:pos="190"/>
              </w:tabs>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w:t>
            </w:r>
            <w:r w:rsidRPr="00E965EE">
              <w:rPr>
                <w:rFonts w:eastAsia="Calibri" w:cs="Times New Roman"/>
                <w:sz w:val="20"/>
              </w:rPr>
              <w:tab/>
              <w:t>Change in clinical management from initial and ongoing testing</w:t>
            </w:r>
          </w:p>
          <w:p w14:paraId="4FF51FAE"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Medicine:</w:t>
            </w:r>
          </w:p>
          <w:p w14:paraId="09CD300E" w14:textId="77777777" w:rsidR="00E965EE" w:rsidRPr="00E965EE" w:rsidRDefault="00E965EE" w:rsidP="00BA1BA5">
            <w:pPr>
              <w:keepNext/>
              <w:tabs>
                <w:tab w:val="left" w:pos="190"/>
              </w:tabs>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w:t>
            </w:r>
            <w:r w:rsidRPr="00E965EE">
              <w:rPr>
                <w:rFonts w:eastAsia="Calibri" w:cs="Times New Roman"/>
                <w:sz w:val="20"/>
              </w:rPr>
              <w:tab/>
              <w:t>Primary endpoint, composite endpoint at Week 48 of:</w:t>
            </w:r>
          </w:p>
          <w:p w14:paraId="1FB93466" w14:textId="77777777" w:rsidR="00E965EE" w:rsidRPr="00E965EE" w:rsidRDefault="00E965EE" w:rsidP="00A42D1A">
            <w:pPr>
              <w:keepNext/>
              <w:numPr>
                <w:ilvl w:val="1"/>
                <w:numId w:val="25"/>
              </w:numPr>
              <w:spacing w:before="0"/>
              <w:ind w:left="616"/>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 xml:space="preserve">Undetectable HDV RNA (HDV RNA &lt; lower level of detection (LLoD) or decrease in HDV RNA by ≥2 log10 IU/mL from baseline, and </w:t>
            </w:r>
          </w:p>
          <w:p w14:paraId="1F1BE015" w14:textId="77777777" w:rsidR="00E965EE" w:rsidRPr="00E965EE" w:rsidRDefault="00E965EE" w:rsidP="00A42D1A">
            <w:pPr>
              <w:keepNext/>
              <w:numPr>
                <w:ilvl w:val="1"/>
                <w:numId w:val="25"/>
              </w:numPr>
              <w:spacing w:before="0"/>
              <w:ind w:left="616"/>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 xml:space="preserve">ALT normalisation (i.e., below the central laboratory defined upper level of normal (ULN). </w:t>
            </w:r>
          </w:p>
          <w:p w14:paraId="0B7053DC" w14:textId="77777777" w:rsidR="00E965EE" w:rsidRPr="00E965EE" w:rsidRDefault="00E965EE" w:rsidP="00BA1BA5">
            <w:pPr>
              <w:keepNext/>
              <w:tabs>
                <w:tab w:val="left" w:pos="190"/>
              </w:tabs>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w:t>
            </w:r>
            <w:r w:rsidRPr="00E965EE">
              <w:rPr>
                <w:rFonts w:eastAsia="Calibri" w:cs="Times New Roman"/>
                <w:sz w:val="20"/>
              </w:rPr>
              <w:tab/>
              <w:t>Secondary endpoints at Week 48 of:</w:t>
            </w:r>
          </w:p>
          <w:p w14:paraId="6F4DC44F" w14:textId="77777777" w:rsidR="00E965EE" w:rsidRPr="00E965EE" w:rsidRDefault="00E965EE" w:rsidP="00A42D1A">
            <w:pPr>
              <w:keepNext/>
              <w:numPr>
                <w:ilvl w:val="1"/>
                <w:numId w:val="26"/>
              </w:numPr>
              <w:spacing w:before="0"/>
              <w:ind w:left="616"/>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Undetectable HDV RNA at Week 48</w:t>
            </w:r>
          </w:p>
          <w:p w14:paraId="1570FD0B" w14:textId="77777777" w:rsidR="00E965EE" w:rsidRPr="00E965EE" w:rsidRDefault="00E965EE" w:rsidP="00A42D1A">
            <w:pPr>
              <w:keepNext/>
              <w:numPr>
                <w:ilvl w:val="1"/>
                <w:numId w:val="26"/>
              </w:numPr>
              <w:spacing w:before="0"/>
              <w:ind w:left="616"/>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ALT normalisation at Week 48</w:t>
            </w:r>
          </w:p>
          <w:p w14:paraId="2AA849AB" w14:textId="77777777" w:rsidR="00E965EE" w:rsidRPr="00E965EE" w:rsidRDefault="00E965EE" w:rsidP="00A42D1A">
            <w:pPr>
              <w:keepNext/>
              <w:numPr>
                <w:ilvl w:val="1"/>
                <w:numId w:val="26"/>
              </w:numPr>
              <w:spacing w:before="0"/>
              <w:ind w:left="616"/>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Proportions of patients across the treatment arms achieving HDV RNA decrease by ≥2 log</w:t>
            </w:r>
            <w:r w:rsidRPr="00E965EE">
              <w:rPr>
                <w:rFonts w:eastAsia="Calibri" w:cs="Times New Roman"/>
                <w:sz w:val="20"/>
                <w:vertAlign w:val="subscript"/>
              </w:rPr>
              <w:t>10</w:t>
            </w:r>
            <w:r w:rsidRPr="00E965EE">
              <w:rPr>
                <w:rFonts w:eastAsia="Calibri" w:cs="Times New Roman"/>
                <w:sz w:val="20"/>
              </w:rPr>
              <w:t xml:space="preserve"> IU/mL (exploratory endpoint)</w:t>
            </w:r>
          </w:p>
          <w:p w14:paraId="151EE137" w14:textId="77777777" w:rsidR="00E965EE" w:rsidRPr="00E965EE" w:rsidRDefault="00E965EE" w:rsidP="00A42D1A">
            <w:pPr>
              <w:keepNext/>
              <w:numPr>
                <w:ilvl w:val="1"/>
                <w:numId w:val="26"/>
              </w:numPr>
              <w:spacing w:before="0"/>
              <w:ind w:left="616"/>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Quality of life using EuroQol 5-Dimensions (EQ-5D), Fatigue Severity Scale (FSS) and Hepatitis Quality of Life Questionnaire (HQLQ)</w:t>
            </w:r>
          </w:p>
          <w:p w14:paraId="5CB2C861" w14:textId="77777777" w:rsidR="00E965EE" w:rsidRPr="00E965EE" w:rsidRDefault="00E965EE" w:rsidP="00BA1BA5">
            <w:pPr>
              <w:keepNext/>
              <w:tabs>
                <w:tab w:val="left" w:pos="190"/>
              </w:tabs>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w:t>
            </w:r>
            <w:r w:rsidRPr="00E965EE">
              <w:rPr>
                <w:rFonts w:eastAsia="Calibri" w:cs="Times New Roman"/>
                <w:sz w:val="20"/>
              </w:rPr>
              <w:tab/>
              <w:t>Safety (adverse events, physical examinations, laboratory findings)</w:t>
            </w:r>
          </w:p>
        </w:tc>
      </w:tr>
      <w:tr w:rsidR="00E965EE" w:rsidRPr="00E965EE" w14:paraId="09A1D107" w14:textId="77777777" w:rsidTr="00BA1BA5">
        <w:tc>
          <w:tcPr>
            <w:cnfStyle w:val="001000000000" w:firstRow="0" w:lastRow="0" w:firstColumn="1" w:lastColumn="0" w:oddVBand="0" w:evenVBand="0" w:oddHBand="0" w:evenHBand="0" w:firstRowFirstColumn="0" w:firstRowLastColumn="0" w:lastRowFirstColumn="0" w:lastRowLastColumn="0"/>
            <w:tcW w:w="1413" w:type="dxa"/>
          </w:tcPr>
          <w:p w14:paraId="066205E9" w14:textId="77777777" w:rsidR="00E965EE" w:rsidRPr="00E965EE" w:rsidRDefault="00E965EE" w:rsidP="00BA1BA5">
            <w:pPr>
              <w:pStyle w:val="Caption"/>
              <w:spacing w:before="0"/>
              <w:contextualSpacing w:val="0"/>
            </w:pPr>
            <w:r w:rsidRPr="00E965EE">
              <w:t>Clinical claim</w:t>
            </w:r>
          </w:p>
        </w:tc>
        <w:tc>
          <w:tcPr>
            <w:tcW w:w="7603" w:type="dxa"/>
          </w:tcPr>
          <w:p w14:paraId="7989720A"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In adults with chronic HDV infection, bulevirtide is superior in efficacy to current chronic HDV symptom management and is associated with a favourable safety profile.</w:t>
            </w:r>
          </w:p>
          <w:p w14:paraId="28E8E4E4" w14:textId="77777777" w:rsidR="00E965EE" w:rsidRPr="00E965EE" w:rsidRDefault="00E965EE" w:rsidP="00BA1BA5">
            <w:pPr>
              <w:keepNext/>
              <w:spacing w:before="0"/>
              <w:contextualSpacing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rPr>
            </w:pPr>
            <w:r w:rsidRPr="00E965EE">
              <w:rPr>
                <w:rFonts w:eastAsia="Calibri" w:cs="Times New Roman"/>
                <w:sz w:val="20"/>
              </w:rPr>
              <w:t>The MBS listing of HDV RNA PCR testing and the PBS listing of bulevirtide for the diagnosis and the treatment of chronic HDV will result in superior health outcomes compared to no testing and no access to bulevirtide.</w:t>
            </w:r>
          </w:p>
        </w:tc>
      </w:tr>
    </w:tbl>
    <w:p w14:paraId="1FDCB6FD"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Source: Table 1.1-1 p5 of the submission</w:t>
      </w:r>
    </w:p>
    <w:p w14:paraId="7164B949"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vertAlign w:val="superscript"/>
        </w:rPr>
        <w:t>a</w:t>
      </w:r>
      <w:r w:rsidRPr="00E965EE">
        <w:rPr>
          <w:rFonts w:ascii="Arial Narrow" w:eastAsia="Times New Roman" w:hAnsi="Arial Narrow" w:cs="Arial"/>
          <w:snapToGrid w:val="0"/>
          <w:sz w:val="18"/>
          <w:szCs w:val="20"/>
        </w:rPr>
        <w:t xml:space="preserve"> The eligible population for bulevirtide is further restricted to patients with elevated serum alanine aminotransferase (ALT) level and patients with compensated liver disease in the requested PBS listing.</w:t>
      </w:r>
    </w:p>
    <w:p w14:paraId="0C393778" w14:textId="5C77A56A" w:rsidR="00623D46" w:rsidRPr="003347A2" w:rsidRDefault="00623D46" w:rsidP="003347A2">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3" w:name="_Toc156984609"/>
      <w:r w:rsidRPr="003347A2">
        <w:rPr>
          <w:rFonts w:ascii="Franklin Gothic Medium" w:hAnsi="Franklin Gothic Medium"/>
          <w:b w:val="0"/>
          <w:i w:val="0"/>
          <w:snapToGrid/>
          <w:color w:val="000000" w:themeColor="text1"/>
          <w:sz w:val="32"/>
          <w:szCs w:val="26"/>
        </w:rPr>
        <w:t>MSAC’s advice to the Minister</w:t>
      </w:r>
    </w:p>
    <w:p w14:paraId="689CC7EF" w14:textId="5C752498" w:rsidR="005D762A" w:rsidRPr="00577C78" w:rsidRDefault="005D762A" w:rsidP="00723B27">
      <w:pPr>
        <w:spacing w:after="120"/>
        <w:jc w:val="left"/>
        <w:rPr>
          <w:rFonts w:ascii="Franklin Gothic Book" w:eastAsia="Calibri" w:hAnsi="Franklin Gothic Book" w:cs="Times New Roman"/>
          <w:sz w:val="22"/>
        </w:rPr>
      </w:pPr>
      <w:r w:rsidRPr="7CFE6FF7">
        <w:rPr>
          <w:rFonts w:ascii="Franklin Gothic Book" w:eastAsia="Calibri" w:hAnsi="Franklin Gothic Book" w:cs="Times New Roman"/>
          <w:sz w:val="22"/>
        </w:rPr>
        <w:t xml:space="preserve">After considering the strength of the evidence in relation to comparative safety, clinical effectiveness, cost-effectiveness and total cost, </w:t>
      </w:r>
      <w:r w:rsidR="00577C78" w:rsidRPr="7CFE6FF7">
        <w:rPr>
          <w:rFonts w:ascii="Franklin Gothic Book" w:eastAsia="Calibri" w:hAnsi="Franklin Gothic Book" w:cs="Times New Roman"/>
          <w:sz w:val="22"/>
        </w:rPr>
        <w:t xml:space="preserve">MSAC did not support public funding for Hepatitis Delta Virus (HDV) ribonucleic acid (RNA) polymerase chain reaction (PCR) testing to determine eligibility for PBS-subsidised bulevirtide (HEPCLUDEX) for treatment of HDV. </w:t>
      </w:r>
      <w:r w:rsidR="0027127F">
        <w:rPr>
          <w:rFonts w:ascii="Franklin Gothic Book" w:eastAsia="Calibri" w:hAnsi="Franklin Gothic Book" w:cs="Times New Roman"/>
          <w:sz w:val="22"/>
        </w:rPr>
        <w:t xml:space="preserve">The </w:t>
      </w:r>
      <w:r w:rsidR="00577C78" w:rsidRPr="7CFE6FF7">
        <w:rPr>
          <w:rFonts w:ascii="Franklin Gothic Book" w:eastAsia="Calibri" w:hAnsi="Franklin Gothic Book" w:cs="Times New Roman"/>
          <w:sz w:val="22"/>
        </w:rPr>
        <w:t>P</w:t>
      </w:r>
      <w:r w:rsidR="0027127F">
        <w:rPr>
          <w:rFonts w:ascii="Franklin Gothic Book" w:eastAsia="Calibri" w:hAnsi="Franklin Gothic Book" w:cs="Times New Roman"/>
          <w:sz w:val="22"/>
        </w:rPr>
        <w:t xml:space="preserve">harmaceutical </w:t>
      </w:r>
      <w:r w:rsidR="00577C78" w:rsidRPr="7CFE6FF7">
        <w:rPr>
          <w:rFonts w:ascii="Franklin Gothic Book" w:eastAsia="Calibri" w:hAnsi="Franklin Gothic Book" w:cs="Times New Roman"/>
          <w:sz w:val="22"/>
        </w:rPr>
        <w:t>B</w:t>
      </w:r>
      <w:r w:rsidR="0027127F">
        <w:rPr>
          <w:rFonts w:ascii="Franklin Gothic Book" w:eastAsia="Calibri" w:hAnsi="Franklin Gothic Book" w:cs="Times New Roman"/>
          <w:sz w:val="22"/>
        </w:rPr>
        <w:t xml:space="preserve">enefits </w:t>
      </w:r>
      <w:r w:rsidR="00577C78" w:rsidRPr="7CFE6FF7">
        <w:rPr>
          <w:rFonts w:ascii="Franklin Gothic Book" w:eastAsia="Calibri" w:hAnsi="Franklin Gothic Book" w:cs="Times New Roman"/>
          <w:sz w:val="22"/>
        </w:rPr>
        <w:t>A</w:t>
      </w:r>
      <w:r w:rsidR="0027127F">
        <w:rPr>
          <w:rFonts w:ascii="Franklin Gothic Book" w:eastAsia="Calibri" w:hAnsi="Franklin Gothic Book" w:cs="Times New Roman"/>
          <w:sz w:val="22"/>
        </w:rPr>
        <w:t xml:space="preserve">dvisory Committee (PBAC) </w:t>
      </w:r>
      <w:r w:rsidR="00577C78" w:rsidRPr="7CFE6FF7">
        <w:rPr>
          <w:rFonts w:ascii="Franklin Gothic Book" w:eastAsia="Calibri" w:hAnsi="Franklin Gothic Book" w:cs="Times New Roman"/>
          <w:sz w:val="22"/>
        </w:rPr>
        <w:t>had not supported public funding of the co</w:t>
      </w:r>
      <w:r w:rsidR="007177B0">
        <w:rPr>
          <w:rFonts w:ascii="Franklin Gothic Book" w:eastAsia="Calibri" w:hAnsi="Franklin Gothic Book" w:cs="Times New Roman"/>
          <w:sz w:val="22"/>
        </w:rPr>
        <w:t>-</w:t>
      </w:r>
      <w:r w:rsidR="00577C78" w:rsidRPr="7CFE6FF7">
        <w:rPr>
          <w:rFonts w:ascii="Franklin Gothic Book" w:eastAsia="Calibri" w:hAnsi="Franklin Gothic Book" w:cs="Times New Roman"/>
          <w:sz w:val="22"/>
        </w:rPr>
        <w:t>dependent treatment bulevirtide, from which the clinical utility of this testing was derived. The claim of co</w:t>
      </w:r>
      <w:r w:rsidR="007177B0">
        <w:rPr>
          <w:rFonts w:ascii="Franklin Gothic Book" w:eastAsia="Calibri" w:hAnsi="Franklin Gothic Book" w:cs="Times New Roman"/>
          <w:sz w:val="22"/>
        </w:rPr>
        <w:t>-</w:t>
      </w:r>
      <w:r w:rsidR="00577C78" w:rsidRPr="7CFE6FF7">
        <w:rPr>
          <w:rFonts w:ascii="Franklin Gothic Book" w:eastAsia="Calibri" w:hAnsi="Franklin Gothic Book" w:cs="Times New Roman"/>
          <w:sz w:val="22"/>
        </w:rPr>
        <w:t xml:space="preserve">dependency was not well established due to limited evidence that quantitative HDV RNA PCR testing would lead to a change in management. The evidence for comparative effectiveness of the test was at high risk of bias in all domains. There were numerous and important uncertainties associated with the economic model because it did not take into account false positive and false negative test results, and the pattern of use of testing and retesting. There were also uncertainties regarding the duration of treatment and therefore the duration and timing of associated testing. These uncertainties also affected the financial implications of the test. </w:t>
      </w:r>
    </w:p>
    <w:tbl>
      <w:tblPr>
        <w:tblStyle w:val="Legemiddelverket31"/>
        <w:tblW w:w="0" w:type="auto"/>
        <w:tblLook w:val="04A0" w:firstRow="1" w:lastRow="0" w:firstColumn="1" w:lastColumn="0" w:noHBand="0" w:noVBand="1"/>
        <w:tblDescription w:val="Consumer summary of MSAC consideration"/>
      </w:tblPr>
      <w:tblGrid>
        <w:gridCol w:w="9016"/>
      </w:tblGrid>
      <w:tr w:rsidR="005D762A" w:rsidRPr="00D84EA2" w14:paraId="12F60B32" w14:textId="77777777" w:rsidTr="257BCA9C">
        <w:tc>
          <w:tcPr>
            <w:tcW w:w="9016" w:type="dxa"/>
          </w:tcPr>
          <w:p w14:paraId="61AF08EB" w14:textId="77777777" w:rsidR="005D762A" w:rsidRPr="00D84EA2" w:rsidRDefault="005D762A">
            <w:pPr>
              <w:pStyle w:val="Heading3"/>
              <w:rPr>
                <w:rFonts w:ascii="Franklin Gothic Book" w:eastAsiaTheme="minorHAnsi" w:hAnsi="Franklin Gothic Book" w:cstheme="minorBidi"/>
                <w:iCs/>
                <w:sz w:val="22"/>
                <w:szCs w:val="22"/>
              </w:rPr>
            </w:pPr>
            <w:r w:rsidRPr="00E406F1">
              <w:rPr>
                <w:rFonts w:ascii="Franklin Gothic Book" w:hAnsi="Franklin Gothic Book"/>
                <w:sz w:val="24"/>
                <w:szCs w:val="24"/>
              </w:rPr>
              <w:lastRenderedPageBreak/>
              <w:t xml:space="preserve">Consumer summary </w:t>
            </w:r>
          </w:p>
        </w:tc>
      </w:tr>
      <w:tr w:rsidR="005D762A" w:rsidRPr="00D84EA2" w14:paraId="687E2030" w14:textId="77777777" w:rsidTr="257BCA9C">
        <w:tc>
          <w:tcPr>
            <w:tcW w:w="9016" w:type="dxa"/>
          </w:tcPr>
          <w:p w14:paraId="104A1614" w14:textId="3B51A274" w:rsidR="00706066" w:rsidRDefault="005D762A" w:rsidP="00AA6C18">
            <w:pPr>
              <w:jc w:val="left"/>
              <w:rPr>
                <w:rFonts w:ascii="Franklin Gothic Book" w:hAnsi="Franklin Gothic Book"/>
                <w:sz w:val="22"/>
              </w:rPr>
            </w:pPr>
            <w:r w:rsidRPr="00D84EA2">
              <w:rPr>
                <w:rFonts w:ascii="Franklin Gothic Book" w:hAnsi="Franklin Gothic Book"/>
                <w:sz w:val="22"/>
              </w:rPr>
              <w:t xml:space="preserve">This </w:t>
            </w:r>
            <w:r w:rsidR="0094227C">
              <w:rPr>
                <w:rFonts w:ascii="Franklin Gothic Book" w:hAnsi="Franklin Gothic Book"/>
                <w:sz w:val="22"/>
              </w:rPr>
              <w:t>wa</w:t>
            </w:r>
            <w:r w:rsidRPr="00D84EA2">
              <w:rPr>
                <w:rFonts w:ascii="Franklin Gothic Book" w:hAnsi="Franklin Gothic Book"/>
                <w:sz w:val="22"/>
              </w:rPr>
              <w:t xml:space="preserve">s an application from Gilead Sciences requesting Medicare Benefits Schedule (MBS) listing of </w:t>
            </w:r>
            <w:r w:rsidR="007177B0">
              <w:rPr>
                <w:rFonts w:ascii="Franklin Gothic Book" w:hAnsi="Franklin Gothic Book"/>
                <w:sz w:val="22"/>
              </w:rPr>
              <w:t xml:space="preserve">a </w:t>
            </w:r>
            <w:r w:rsidRPr="00D84EA2">
              <w:rPr>
                <w:rFonts w:ascii="Franklin Gothic Book" w:hAnsi="Franklin Gothic Book"/>
                <w:sz w:val="22"/>
              </w:rPr>
              <w:t>test</w:t>
            </w:r>
            <w:r w:rsidR="007177B0">
              <w:rPr>
                <w:rFonts w:ascii="Franklin Gothic Book" w:hAnsi="Franklin Gothic Book"/>
                <w:sz w:val="22"/>
              </w:rPr>
              <w:t xml:space="preserve"> </w:t>
            </w:r>
            <w:r w:rsidRPr="00D84EA2">
              <w:rPr>
                <w:rFonts w:ascii="Franklin Gothic Book" w:hAnsi="Franklin Gothic Book"/>
                <w:sz w:val="22"/>
              </w:rPr>
              <w:t xml:space="preserve">to detect </w:t>
            </w:r>
            <w:r w:rsidR="00957228">
              <w:rPr>
                <w:rFonts w:ascii="Franklin Gothic Book" w:hAnsi="Franklin Gothic Book"/>
                <w:sz w:val="22"/>
              </w:rPr>
              <w:t xml:space="preserve">the </w:t>
            </w:r>
            <w:r w:rsidRPr="00D84EA2">
              <w:rPr>
                <w:rFonts w:ascii="Franklin Gothic Book" w:hAnsi="Franklin Gothic Book"/>
                <w:sz w:val="22"/>
              </w:rPr>
              <w:t xml:space="preserve">hepatitis </w:t>
            </w:r>
            <w:r w:rsidR="00957228">
              <w:rPr>
                <w:rFonts w:ascii="Franklin Gothic Book" w:hAnsi="Franklin Gothic Book"/>
                <w:sz w:val="22"/>
              </w:rPr>
              <w:t>D</w:t>
            </w:r>
            <w:r w:rsidRPr="00D84EA2">
              <w:rPr>
                <w:rFonts w:ascii="Franklin Gothic Book" w:hAnsi="Franklin Gothic Book"/>
                <w:sz w:val="22"/>
              </w:rPr>
              <w:t xml:space="preserve"> virus in patients</w:t>
            </w:r>
            <w:r w:rsidR="00507896">
              <w:rPr>
                <w:rFonts w:ascii="Franklin Gothic Book" w:hAnsi="Franklin Gothic Book"/>
                <w:sz w:val="22"/>
              </w:rPr>
              <w:t>.</w:t>
            </w:r>
            <w:r w:rsidR="008B12AF">
              <w:rPr>
                <w:rFonts w:ascii="Franklin Gothic Book" w:hAnsi="Franklin Gothic Book"/>
                <w:sz w:val="22"/>
              </w:rPr>
              <w:t xml:space="preserve"> The test is also known as a HDV RNA PCR test, where HDV refers to the hepatitis D virus, RNA refers to ribonucleic acid which is a genetic material found in all living cells</w:t>
            </w:r>
            <w:r w:rsidR="00F3234D">
              <w:rPr>
                <w:rFonts w:ascii="Franklin Gothic Book" w:hAnsi="Franklin Gothic Book"/>
                <w:sz w:val="22"/>
              </w:rPr>
              <w:t xml:space="preserve"> and</w:t>
            </w:r>
            <w:r w:rsidR="008B12AF">
              <w:rPr>
                <w:rFonts w:ascii="Franklin Gothic Book" w:hAnsi="Franklin Gothic Book"/>
                <w:sz w:val="22"/>
              </w:rPr>
              <w:t xml:space="preserve"> PCR refers to p</w:t>
            </w:r>
            <w:r w:rsidR="008B12AF" w:rsidRPr="00C66F11">
              <w:rPr>
                <w:rFonts w:ascii="Franklin Gothic Book" w:hAnsi="Franklin Gothic Book"/>
                <w:sz w:val="22"/>
              </w:rPr>
              <w:t>olymerase chain reaction</w:t>
            </w:r>
            <w:r w:rsidR="008B12AF">
              <w:rPr>
                <w:rFonts w:ascii="Franklin Gothic Book" w:hAnsi="Franklin Gothic Book"/>
                <w:sz w:val="22"/>
              </w:rPr>
              <w:t xml:space="preserve"> which is </w:t>
            </w:r>
            <w:r w:rsidR="00F3234D">
              <w:rPr>
                <w:rFonts w:ascii="Franklin Gothic Book" w:hAnsi="Franklin Gothic Book"/>
                <w:sz w:val="22"/>
              </w:rPr>
              <w:t>a</w:t>
            </w:r>
            <w:r w:rsidR="008B12AF">
              <w:rPr>
                <w:rFonts w:ascii="Franklin Gothic Book" w:hAnsi="Franklin Gothic Book"/>
                <w:sz w:val="22"/>
              </w:rPr>
              <w:t xml:space="preserve"> testing method </w:t>
            </w:r>
            <w:r w:rsidR="008B12AF" w:rsidRPr="00190999">
              <w:rPr>
                <w:rFonts w:ascii="Franklin Gothic Book" w:hAnsi="Franklin Gothic Book"/>
                <w:sz w:val="22"/>
              </w:rPr>
              <w:t xml:space="preserve">used to rapidly make copies of </w:t>
            </w:r>
            <w:r w:rsidR="008B12AF">
              <w:rPr>
                <w:rFonts w:ascii="Franklin Gothic Book" w:hAnsi="Franklin Gothic Book"/>
                <w:sz w:val="22"/>
              </w:rPr>
              <w:t>genetic material</w:t>
            </w:r>
            <w:r w:rsidR="008B12AF" w:rsidRPr="00190999">
              <w:rPr>
                <w:rFonts w:ascii="Franklin Gothic Book" w:hAnsi="Franklin Gothic Book"/>
                <w:sz w:val="22"/>
              </w:rPr>
              <w:t xml:space="preserve"> and amplify it to a large enough amount to study in deta</w:t>
            </w:r>
            <w:r w:rsidR="008B12AF">
              <w:rPr>
                <w:rFonts w:ascii="Franklin Gothic Book" w:hAnsi="Franklin Gothic Book"/>
                <w:sz w:val="22"/>
              </w:rPr>
              <w:t>il</w:t>
            </w:r>
            <w:r w:rsidR="00CF69B9">
              <w:rPr>
                <w:rFonts w:ascii="Franklin Gothic Book" w:hAnsi="Franklin Gothic Book"/>
                <w:sz w:val="22"/>
              </w:rPr>
              <w:t>.</w:t>
            </w:r>
            <w:r w:rsidR="00507896">
              <w:rPr>
                <w:rFonts w:ascii="Franklin Gothic Book" w:hAnsi="Franklin Gothic Book"/>
                <w:sz w:val="22"/>
              </w:rPr>
              <w:t xml:space="preserve"> </w:t>
            </w:r>
            <w:r w:rsidR="00747830">
              <w:rPr>
                <w:rFonts w:ascii="Franklin Gothic Book" w:hAnsi="Franklin Gothic Book"/>
                <w:sz w:val="22"/>
              </w:rPr>
              <w:t xml:space="preserve"> </w:t>
            </w:r>
            <w:r w:rsidR="00747830" w:rsidRPr="00D84EA2">
              <w:rPr>
                <w:rFonts w:ascii="Franklin Gothic Book" w:hAnsi="Franklin Gothic Book"/>
                <w:sz w:val="22"/>
              </w:rPr>
              <w:t xml:space="preserve">The test </w:t>
            </w:r>
            <w:r w:rsidR="00747830">
              <w:rPr>
                <w:rFonts w:ascii="Franklin Gothic Book" w:hAnsi="Franklin Gothic Book"/>
                <w:sz w:val="22"/>
              </w:rPr>
              <w:t>is a genetic test that can</w:t>
            </w:r>
            <w:r w:rsidR="00747830" w:rsidRPr="00D84EA2">
              <w:rPr>
                <w:rFonts w:ascii="Franklin Gothic Book" w:hAnsi="Franklin Gothic Book"/>
                <w:sz w:val="22"/>
              </w:rPr>
              <w:t xml:space="preserve"> identify </w:t>
            </w:r>
            <w:r w:rsidR="00747830">
              <w:rPr>
                <w:rFonts w:ascii="Franklin Gothic Book" w:hAnsi="Franklin Gothic Book"/>
                <w:sz w:val="22"/>
              </w:rPr>
              <w:t xml:space="preserve">whether someone has a </w:t>
            </w:r>
            <w:r w:rsidR="00747830" w:rsidRPr="00D84EA2">
              <w:rPr>
                <w:rFonts w:ascii="Franklin Gothic Book" w:hAnsi="Franklin Gothic Book"/>
                <w:sz w:val="22"/>
              </w:rPr>
              <w:t xml:space="preserve">hepatitis D infection </w:t>
            </w:r>
            <w:r w:rsidR="00747830">
              <w:rPr>
                <w:rFonts w:ascii="Franklin Gothic Book" w:hAnsi="Franklin Gothic Book"/>
                <w:sz w:val="22"/>
              </w:rPr>
              <w:t xml:space="preserve">and can also </w:t>
            </w:r>
            <w:r w:rsidR="00747830" w:rsidRPr="00D84EA2">
              <w:rPr>
                <w:rFonts w:ascii="Franklin Gothic Book" w:hAnsi="Franklin Gothic Book"/>
                <w:sz w:val="22"/>
              </w:rPr>
              <w:t xml:space="preserve">measure the </w:t>
            </w:r>
            <w:r w:rsidR="00747830">
              <w:rPr>
                <w:rFonts w:ascii="Franklin Gothic Book" w:hAnsi="Franklin Gothic Book"/>
                <w:sz w:val="22"/>
              </w:rPr>
              <w:t>amount</w:t>
            </w:r>
            <w:r w:rsidR="00747830" w:rsidRPr="00D84EA2">
              <w:rPr>
                <w:rFonts w:ascii="Franklin Gothic Book" w:hAnsi="Franklin Gothic Book"/>
                <w:sz w:val="22"/>
              </w:rPr>
              <w:t xml:space="preserve"> of </w:t>
            </w:r>
            <w:r w:rsidR="00747830">
              <w:rPr>
                <w:rFonts w:ascii="Franklin Gothic Book" w:hAnsi="Franklin Gothic Book"/>
                <w:sz w:val="22"/>
              </w:rPr>
              <w:t>virus</w:t>
            </w:r>
            <w:r w:rsidR="00747830" w:rsidRPr="00D84EA2">
              <w:rPr>
                <w:rFonts w:ascii="Franklin Gothic Book" w:hAnsi="Franklin Gothic Book"/>
                <w:sz w:val="22"/>
              </w:rPr>
              <w:t xml:space="preserve"> present in the infected perso</w:t>
            </w:r>
            <w:r w:rsidR="001E634E">
              <w:rPr>
                <w:rFonts w:ascii="Franklin Gothic Book" w:hAnsi="Franklin Gothic Book"/>
                <w:sz w:val="22"/>
              </w:rPr>
              <w:t>n. The test works by</w:t>
            </w:r>
            <w:r w:rsidR="00A64B5F">
              <w:rPr>
                <w:rFonts w:ascii="Franklin Gothic Book" w:hAnsi="Franklin Gothic Book"/>
                <w:sz w:val="22"/>
              </w:rPr>
              <w:t xml:space="preserve"> measuring how much genetic material</w:t>
            </w:r>
            <w:r w:rsidR="008B12AF">
              <w:rPr>
                <w:rFonts w:ascii="Franklin Gothic Book" w:hAnsi="Franklin Gothic Book"/>
                <w:sz w:val="22"/>
              </w:rPr>
              <w:t xml:space="preserve"> (RNA)</w:t>
            </w:r>
            <w:r w:rsidR="00A64B5F">
              <w:rPr>
                <w:rFonts w:ascii="Franklin Gothic Book" w:hAnsi="Franklin Gothic Book"/>
                <w:sz w:val="22"/>
              </w:rPr>
              <w:t xml:space="preserve"> from</w:t>
            </w:r>
            <w:r w:rsidR="00054A09">
              <w:rPr>
                <w:rFonts w:ascii="Franklin Gothic Book" w:hAnsi="Franklin Gothic Book"/>
                <w:sz w:val="22"/>
              </w:rPr>
              <w:t xml:space="preserve"> the hepatitis virus there is in a sample from the patient</w:t>
            </w:r>
            <w:r w:rsidR="008B12AF">
              <w:rPr>
                <w:rFonts w:ascii="Franklin Gothic Book" w:hAnsi="Franklin Gothic Book"/>
                <w:sz w:val="22"/>
              </w:rPr>
              <w:t xml:space="preserve"> using </w:t>
            </w:r>
            <w:r w:rsidR="00F3234D">
              <w:rPr>
                <w:rFonts w:ascii="Franklin Gothic Book" w:hAnsi="Franklin Gothic Book"/>
                <w:sz w:val="22"/>
              </w:rPr>
              <w:t xml:space="preserve">the PCR </w:t>
            </w:r>
            <w:r w:rsidR="00706066">
              <w:rPr>
                <w:rFonts w:ascii="Franklin Gothic Book" w:hAnsi="Franklin Gothic Book"/>
                <w:sz w:val="22"/>
              </w:rPr>
              <w:t xml:space="preserve">testing </w:t>
            </w:r>
            <w:r w:rsidR="00F3234D">
              <w:rPr>
                <w:rFonts w:ascii="Franklin Gothic Book" w:hAnsi="Franklin Gothic Book"/>
                <w:sz w:val="22"/>
              </w:rPr>
              <w:t>method</w:t>
            </w:r>
            <w:r w:rsidR="00747830" w:rsidRPr="00D84EA2">
              <w:rPr>
                <w:rFonts w:ascii="Franklin Gothic Book" w:hAnsi="Franklin Gothic Book"/>
                <w:sz w:val="22"/>
              </w:rPr>
              <w:t>.</w:t>
            </w:r>
            <w:r w:rsidR="00747830">
              <w:rPr>
                <w:rFonts w:ascii="Franklin Gothic Book" w:hAnsi="Franklin Gothic Book"/>
                <w:sz w:val="22"/>
              </w:rPr>
              <w:t xml:space="preserve"> </w:t>
            </w:r>
          </w:p>
          <w:p w14:paraId="04183F41" w14:textId="58B1C339" w:rsidR="005D762A" w:rsidRPr="00D84EA2" w:rsidRDefault="005D762A" w:rsidP="00AA6C18">
            <w:pPr>
              <w:jc w:val="left"/>
              <w:rPr>
                <w:rFonts w:ascii="Franklin Gothic Book" w:hAnsi="Franklin Gothic Book"/>
                <w:sz w:val="22"/>
              </w:rPr>
            </w:pPr>
            <w:r w:rsidRPr="00D84EA2">
              <w:rPr>
                <w:rFonts w:ascii="Franklin Gothic Book" w:hAnsi="Franklin Gothic Book"/>
                <w:sz w:val="22"/>
              </w:rPr>
              <w:t xml:space="preserve">The test results would be used to diagnose active hepatitis D infection and </w:t>
            </w:r>
            <w:r w:rsidR="00957228">
              <w:rPr>
                <w:rFonts w:ascii="Franklin Gothic Book" w:hAnsi="Franklin Gothic Book"/>
                <w:sz w:val="22"/>
              </w:rPr>
              <w:t>so</w:t>
            </w:r>
            <w:r w:rsidRPr="00D84EA2">
              <w:rPr>
                <w:rFonts w:ascii="Franklin Gothic Book" w:hAnsi="Franklin Gothic Book"/>
                <w:sz w:val="22"/>
              </w:rPr>
              <w:t xml:space="preserve"> provide access to a treatment called bulevirtide, and to monitor </w:t>
            </w:r>
            <w:r w:rsidR="00957228">
              <w:rPr>
                <w:rFonts w:ascii="Franklin Gothic Book" w:hAnsi="Franklin Gothic Book"/>
                <w:sz w:val="22"/>
              </w:rPr>
              <w:t xml:space="preserve">how well </w:t>
            </w:r>
            <w:r w:rsidRPr="00D84EA2">
              <w:rPr>
                <w:rFonts w:ascii="Franklin Gothic Book" w:hAnsi="Franklin Gothic Book"/>
                <w:sz w:val="22"/>
              </w:rPr>
              <w:t>bulevirtide</w:t>
            </w:r>
            <w:r w:rsidR="00957228">
              <w:rPr>
                <w:rFonts w:ascii="Franklin Gothic Book" w:hAnsi="Franklin Gothic Book"/>
                <w:sz w:val="22"/>
              </w:rPr>
              <w:t xml:space="preserve"> was helping the patient fight their hepatitis D</w:t>
            </w:r>
            <w:r w:rsidRPr="00D84EA2">
              <w:rPr>
                <w:rFonts w:ascii="Franklin Gothic Book" w:hAnsi="Franklin Gothic Book"/>
                <w:sz w:val="22"/>
              </w:rPr>
              <w:t>. This was a codependent application</w:t>
            </w:r>
            <w:r w:rsidR="00396E8E">
              <w:rPr>
                <w:rFonts w:ascii="Franklin Gothic Book" w:hAnsi="Franklin Gothic Book"/>
                <w:sz w:val="22"/>
              </w:rPr>
              <w:t>,</w:t>
            </w:r>
            <w:r w:rsidRPr="00D84EA2">
              <w:rPr>
                <w:rFonts w:ascii="Franklin Gothic Book" w:hAnsi="Franklin Gothic Book"/>
                <w:sz w:val="22"/>
              </w:rPr>
              <w:t xml:space="preserve"> with </w:t>
            </w:r>
            <w:r w:rsidR="00396E8E">
              <w:rPr>
                <w:rFonts w:ascii="Franklin Gothic Book" w:hAnsi="Franklin Gothic Book"/>
                <w:sz w:val="22"/>
              </w:rPr>
              <w:t xml:space="preserve">MSAC considering the testing and </w:t>
            </w:r>
            <w:r w:rsidRPr="00D84EA2">
              <w:rPr>
                <w:rFonts w:ascii="Franklin Gothic Book" w:hAnsi="Franklin Gothic Book"/>
                <w:sz w:val="22"/>
              </w:rPr>
              <w:t>the Pharmaceutical Benefits Advisory Committee (PBAC)</w:t>
            </w:r>
            <w:r w:rsidR="00396E8E">
              <w:rPr>
                <w:rFonts w:ascii="Franklin Gothic Book" w:hAnsi="Franklin Gothic Book"/>
                <w:sz w:val="22"/>
              </w:rPr>
              <w:t xml:space="preserve"> considering the </w:t>
            </w:r>
            <w:r w:rsidR="00AF0059">
              <w:rPr>
                <w:rFonts w:ascii="Franklin Gothic Book" w:hAnsi="Franklin Gothic Book"/>
                <w:sz w:val="22"/>
              </w:rPr>
              <w:t>medicine</w:t>
            </w:r>
            <w:r w:rsidRPr="00D84EA2">
              <w:rPr>
                <w:rFonts w:ascii="Franklin Gothic Book" w:hAnsi="Franklin Gothic Book"/>
                <w:sz w:val="22"/>
              </w:rPr>
              <w:t>.</w:t>
            </w:r>
          </w:p>
          <w:p w14:paraId="313F5C08" w14:textId="4CAD12EF" w:rsidR="005D762A" w:rsidRPr="00D84EA2" w:rsidRDefault="00957228" w:rsidP="00AA6C18">
            <w:pPr>
              <w:jc w:val="left"/>
              <w:rPr>
                <w:rFonts w:ascii="Franklin Gothic Book" w:hAnsi="Franklin Gothic Book"/>
                <w:sz w:val="22"/>
              </w:rPr>
            </w:pPr>
            <w:r>
              <w:rPr>
                <w:rFonts w:ascii="Franklin Gothic Book" w:hAnsi="Franklin Gothic Book"/>
                <w:sz w:val="22"/>
              </w:rPr>
              <w:t>H</w:t>
            </w:r>
            <w:r w:rsidR="005D762A" w:rsidRPr="00D84EA2">
              <w:rPr>
                <w:rFonts w:ascii="Franklin Gothic Book" w:hAnsi="Franklin Gothic Book"/>
                <w:sz w:val="22"/>
              </w:rPr>
              <w:t>epatitis D</w:t>
            </w:r>
            <w:r>
              <w:rPr>
                <w:rFonts w:ascii="Franklin Gothic Book" w:hAnsi="Franklin Gothic Book"/>
                <w:sz w:val="22"/>
              </w:rPr>
              <w:t xml:space="preserve"> is</w:t>
            </w:r>
            <w:r w:rsidR="005D762A" w:rsidRPr="00D84EA2">
              <w:rPr>
                <w:rFonts w:ascii="Franklin Gothic Book" w:hAnsi="Franklin Gothic Book"/>
                <w:sz w:val="22"/>
              </w:rPr>
              <w:t xml:space="preserve"> an infection of the liver. It can result in cirrhosis (scarring) and liver cancer. </w:t>
            </w:r>
            <w:r w:rsidR="00342737">
              <w:rPr>
                <w:rFonts w:ascii="Franklin Gothic Book" w:hAnsi="Franklin Gothic Book"/>
                <w:sz w:val="22"/>
              </w:rPr>
              <w:t xml:space="preserve">Some </w:t>
            </w:r>
            <w:r w:rsidR="00BF6708">
              <w:rPr>
                <w:rFonts w:ascii="Franklin Gothic Book" w:hAnsi="Franklin Gothic Book"/>
                <w:sz w:val="22"/>
              </w:rPr>
              <w:t>people</w:t>
            </w:r>
            <w:r w:rsidR="00342737">
              <w:rPr>
                <w:rFonts w:ascii="Franklin Gothic Book" w:hAnsi="Franklin Gothic Book"/>
                <w:sz w:val="22"/>
              </w:rPr>
              <w:t xml:space="preserve"> may </w:t>
            </w:r>
            <w:r w:rsidR="00975B0F">
              <w:rPr>
                <w:rFonts w:ascii="Franklin Gothic Book" w:hAnsi="Franklin Gothic Book"/>
                <w:sz w:val="22"/>
              </w:rPr>
              <w:t xml:space="preserve">develop </w:t>
            </w:r>
            <w:r w:rsidR="006443B1">
              <w:rPr>
                <w:rFonts w:ascii="Franklin Gothic Book" w:hAnsi="Franklin Gothic Book"/>
                <w:sz w:val="22"/>
              </w:rPr>
              <w:t xml:space="preserve">end-stage liver disease and liver failure. </w:t>
            </w:r>
            <w:r w:rsidR="005D762A" w:rsidRPr="00D84EA2">
              <w:rPr>
                <w:rFonts w:ascii="Franklin Gothic Book" w:hAnsi="Franklin Gothic Book"/>
                <w:sz w:val="22"/>
              </w:rPr>
              <w:t xml:space="preserve">There is </w:t>
            </w:r>
            <w:r w:rsidR="003F7845">
              <w:rPr>
                <w:rFonts w:ascii="Franklin Gothic Book" w:hAnsi="Franklin Gothic Book"/>
                <w:sz w:val="22"/>
              </w:rPr>
              <w:t xml:space="preserve">currently </w:t>
            </w:r>
            <w:r w:rsidR="005D762A" w:rsidRPr="00D84EA2">
              <w:rPr>
                <w:rFonts w:ascii="Franklin Gothic Book" w:hAnsi="Franklin Gothic Book"/>
                <w:sz w:val="22"/>
              </w:rPr>
              <w:t>no treatment</w:t>
            </w:r>
            <w:r w:rsidR="003F7845">
              <w:rPr>
                <w:rFonts w:ascii="Franklin Gothic Book" w:hAnsi="Franklin Gothic Book"/>
                <w:sz w:val="22"/>
              </w:rPr>
              <w:t xml:space="preserve"> available specifically</w:t>
            </w:r>
            <w:r w:rsidR="005D762A" w:rsidRPr="00D84EA2">
              <w:rPr>
                <w:rFonts w:ascii="Franklin Gothic Book" w:hAnsi="Franklin Gothic Book"/>
                <w:sz w:val="22"/>
              </w:rPr>
              <w:t xml:space="preserve"> for hepatitis D. </w:t>
            </w:r>
          </w:p>
          <w:p w14:paraId="66BA7A51" w14:textId="7F5C1A17" w:rsidR="005D762A" w:rsidRPr="00D84EA2" w:rsidRDefault="009E50CA" w:rsidP="7CFE6FF7">
            <w:pPr>
              <w:jc w:val="left"/>
              <w:rPr>
                <w:rFonts w:ascii="Franklin Gothic Book" w:hAnsi="Franklin Gothic Book"/>
                <w:sz w:val="22"/>
              </w:rPr>
            </w:pPr>
            <w:r w:rsidRPr="7CFE6FF7">
              <w:rPr>
                <w:rFonts w:ascii="Franklin Gothic Book" w:hAnsi="Franklin Gothic Book"/>
                <w:sz w:val="22"/>
              </w:rPr>
              <w:t>The h</w:t>
            </w:r>
            <w:r w:rsidR="00957228" w:rsidRPr="7CFE6FF7">
              <w:rPr>
                <w:rFonts w:ascii="Franklin Gothic Book" w:hAnsi="Franklin Gothic Book"/>
                <w:sz w:val="22"/>
              </w:rPr>
              <w:t>epatitis D</w:t>
            </w:r>
            <w:r w:rsidR="005D762A" w:rsidRPr="7CFE6FF7">
              <w:rPr>
                <w:rFonts w:ascii="Franklin Gothic Book" w:hAnsi="Franklin Gothic Book"/>
                <w:sz w:val="22"/>
              </w:rPr>
              <w:t xml:space="preserve"> </w:t>
            </w:r>
            <w:r w:rsidRPr="7CFE6FF7">
              <w:rPr>
                <w:rFonts w:ascii="Franklin Gothic Book" w:hAnsi="Franklin Gothic Book"/>
                <w:sz w:val="22"/>
              </w:rPr>
              <w:t>virus</w:t>
            </w:r>
            <w:r w:rsidR="005D762A" w:rsidRPr="7CFE6FF7">
              <w:rPr>
                <w:rFonts w:ascii="Franklin Gothic Book" w:hAnsi="Franklin Gothic Book"/>
                <w:sz w:val="22"/>
              </w:rPr>
              <w:t xml:space="preserve"> </w:t>
            </w:r>
            <w:r w:rsidR="00A41851" w:rsidRPr="7CFE6FF7">
              <w:rPr>
                <w:rFonts w:ascii="Franklin Gothic Book" w:hAnsi="Franklin Gothic Book"/>
                <w:sz w:val="22"/>
              </w:rPr>
              <w:t xml:space="preserve">only </w:t>
            </w:r>
            <w:r w:rsidR="005D762A" w:rsidRPr="7CFE6FF7">
              <w:rPr>
                <w:rFonts w:ascii="Franklin Gothic Book" w:hAnsi="Franklin Gothic Book"/>
                <w:sz w:val="22"/>
              </w:rPr>
              <w:t xml:space="preserve">infects people who are already infected with </w:t>
            </w:r>
            <w:r w:rsidR="00957228" w:rsidRPr="7CFE6FF7">
              <w:rPr>
                <w:rFonts w:ascii="Franklin Gothic Book" w:hAnsi="Franklin Gothic Book"/>
                <w:sz w:val="22"/>
              </w:rPr>
              <w:t xml:space="preserve">the </w:t>
            </w:r>
            <w:r w:rsidR="005D762A" w:rsidRPr="7CFE6FF7">
              <w:rPr>
                <w:rFonts w:ascii="Franklin Gothic Book" w:hAnsi="Franklin Gothic Book"/>
                <w:sz w:val="22"/>
              </w:rPr>
              <w:t xml:space="preserve">hepatitis B virus. Hepatitis B and D are relatively rare in Australia because there is an effective hepatitis B vaccine available. However, hepatitis B and D are more common in people born overseas, </w:t>
            </w:r>
            <w:r w:rsidR="5DC36298" w:rsidRPr="7CFE6FF7">
              <w:rPr>
                <w:rFonts w:ascii="Franklin Gothic Book" w:hAnsi="Franklin Gothic Book"/>
                <w:sz w:val="22"/>
              </w:rPr>
              <w:t xml:space="preserve">people </w:t>
            </w:r>
            <w:r w:rsidR="005D762A" w:rsidRPr="7CFE6FF7">
              <w:rPr>
                <w:rFonts w:ascii="Franklin Gothic Book" w:hAnsi="Franklin Gothic Book"/>
                <w:sz w:val="22"/>
              </w:rPr>
              <w:t xml:space="preserve">from culturally and linguistically diverse communities, </w:t>
            </w:r>
            <w:r w:rsidR="18251BED" w:rsidRPr="7CFE6FF7">
              <w:rPr>
                <w:rFonts w:ascii="Franklin Gothic Book" w:hAnsi="Franklin Gothic Book"/>
                <w:sz w:val="22"/>
              </w:rPr>
              <w:t xml:space="preserve">people </w:t>
            </w:r>
            <w:r w:rsidR="005D762A" w:rsidRPr="7CFE6FF7">
              <w:rPr>
                <w:rFonts w:ascii="Franklin Gothic Book" w:hAnsi="Franklin Gothic Book"/>
                <w:sz w:val="22"/>
              </w:rPr>
              <w:t xml:space="preserve">who inject drugs, and in men who have sex with men. </w:t>
            </w:r>
          </w:p>
          <w:p w14:paraId="1304F8A4" w14:textId="77777777" w:rsidR="00706066" w:rsidRPr="00D84EA2" w:rsidRDefault="005D762A" w:rsidP="00706066">
            <w:pPr>
              <w:jc w:val="left"/>
              <w:rPr>
                <w:rFonts w:ascii="Franklin Gothic Book" w:hAnsi="Franklin Gothic Book"/>
                <w:sz w:val="22"/>
              </w:rPr>
            </w:pPr>
            <w:r w:rsidRPr="00D84EA2">
              <w:rPr>
                <w:rFonts w:ascii="Franklin Gothic Book" w:hAnsi="Franklin Gothic Book"/>
                <w:sz w:val="22"/>
              </w:rPr>
              <w:t xml:space="preserve">Bulevirtide is a medication that works by preventing the </w:t>
            </w:r>
            <w:r w:rsidR="009E50CA">
              <w:rPr>
                <w:rFonts w:ascii="Franklin Gothic Book" w:hAnsi="Franklin Gothic Book"/>
                <w:sz w:val="22"/>
              </w:rPr>
              <w:t>hepatitis D virus</w:t>
            </w:r>
            <w:r w:rsidRPr="00D84EA2">
              <w:rPr>
                <w:rFonts w:ascii="Franklin Gothic Book" w:hAnsi="Franklin Gothic Book"/>
                <w:sz w:val="22"/>
              </w:rPr>
              <w:t xml:space="preserve"> from entering liver (hepatic) cells.</w:t>
            </w:r>
            <w:r w:rsidR="00706066">
              <w:rPr>
                <w:rFonts w:ascii="Franklin Gothic Book" w:hAnsi="Franklin Gothic Book"/>
                <w:sz w:val="22"/>
              </w:rPr>
              <w:t xml:space="preserve"> </w:t>
            </w:r>
            <w:r w:rsidR="00706066" w:rsidRPr="00D84EA2">
              <w:rPr>
                <w:rFonts w:ascii="Franklin Gothic Book" w:hAnsi="Franklin Gothic Book"/>
                <w:sz w:val="22"/>
              </w:rPr>
              <w:t xml:space="preserve">This application </w:t>
            </w:r>
            <w:r w:rsidR="00706066">
              <w:rPr>
                <w:rFonts w:ascii="Franklin Gothic Book" w:hAnsi="Franklin Gothic Book"/>
                <w:sz w:val="22"/>
              </w:rPr>
              <w:t>proposed</w:t>
            </w:r>
            <w:r w:rsidR="00706066" w:rsidRPr="00D84EA2">
              <w:rPr>
                <w:rFonts w:ascii="Franklin Gothic Book" w:hAnsi="Franklin Gothic Book"/>
                <w:sz w:val="22"/>
              </w:rPr>
              <w:t xml:space="preserve"> testing people who may have hepatitis D, and if they </w:t>
            </w:r>
            <w:r w:rsidR="00706066">
              <w:rPr>
                <w:rFonts w:ascii="Franklin Gothic Book" w:hAnsi="Franklin Gothic Book"/>
                <w:sz w:val="22"/>
              </w:rPr>
              <w:t>test</w:t>
            </w:r>
            <w:r w:rsidR="00706066" w:rsidRPr="00D84EA2">
              <w:rPr>
                <w:rFonts w:ascii="Franklin Gothic Book" w:hAnsi="Franklin Gothic Book"/>
                <w:sz w:val="22"/>
              </w:rPr>
              <w:t xml:space="preserve"> positive</w:t>
            </w:r>
            <w:r w:rsidR="00706066">
              <w:rPr>
                <w:rFonts w:ascii="Franklin Gothic Book" w:hAnsi="Franklin Gothic Book"/>
                <w:sz w:val="22"/>
              </w:rPr>
              <w:t>,</w:t>
            </w:r>
            <w:r w:rsidR="00706066" w:rsidRPr="00D84EA2">
              <w:rPr>
                <w:rFonts w:ascii="Franklin Gothic Book" w:hAnsi="Franklin Gothic Book"/>
                <w:sz w:val="22"/>
              </w:rPr>
              <w:t xml:space="preserve"> they can start bulevirtide treatment. </w:t>
            </w:r>
            <w:r w:rsidR="00706066">
              <w:rPr>
                <w:rFonts w:ascii="Franklin Gothic Book" w:hAnsi="Franklin Gothic Book"/>
                <w:sz w:val="22"/>
              </w:rPr>
              <w:t>Once on treatment, t</w:t>
            </w:r>
            <w:r w:rsidR="00706066" w:rsidRPr="00D84EA2">
              <w:rPr>
                <w:rFonts w:ascii="Franklin Gothic Book" w:hAnsi="Franklin Gothic Book"/>
                <w:sz w:val="22"/>
              </w:rPr>
              <w:t xml:space="preserve">hey would continue to have their levels of HDV RNA monitored to see </w:t>
            </w:r>
            <w:r w:rsidR="00706066">
              <w:rPr>
                <w:rFonts w:ascii="Franklin Gothic Book" w:hAnsi="Franklin Gothic Book"/>
                <w:sz w:val="22"/>
              </w:rPr>
              <w:t>how well</w:t>
            </w:r>
            <w:r w:rsidR="00706066" w:rsidRPr="00D84EA2">
              <w:rPr>
                <w:rFonts w:ascii="Franklin Gothic Book" w:hAnsi="Franklin Gothic Book"/>
                <w:sz w:val="22"/>
              </w:rPr>
              <w:t xml:space="preserve"> the treatment is working.</w:t>
            </w:r>
          </w:p>
          <w:p w14:paraId="44D66397" w14:textId="49E5A817" w:rsidR="005D762A" w:rsidRDefault="005D762A" w:rsidP="7CFE6FF7">
            <w:pPr>
              <w:jc w:val="left"/>
              <w:rPr>
                <w:rFonts w:ascii="Franklin Gothic Book" w:hAnsi="Franklin Gothic Book"/>
                <w:sz w:val="22"/>
              </w:rPr>
            </w:pPr>
            <w:r w:rsidRPr="7CFE6FF7">
              <w:rPr>
                <w:rFonts w:ascii="Franklin Gothic Book" w:hAnsi="Franklin Gothic Book"/>
                <w:sz w:val="22"/>
              </w:rPr>
              <w:t xml:space="preserve">The PBAC did not support </w:t>
            </w:r>
            <w:r w:rsidR="00AF0059" w:rsidRPr="7CFE6FF7">
              <w:rPr>
                <w:rFonts w:ascii="Franklin Gothic Book" w:hAnsi="Franklin Gothic Book"/>
                <w:sz w:val="22"/>
              </w:rPr>
              <w:t>funding</w:t>
            </w:r>
            <w:r w:rsidRPr="7CFE6FF7">
              <w:rPr>
                <w:rFonts w:ascii="Franklin Gothic Book" w:hAnsi="Franklin Gothic Book"/>
                <w:sz w:val="22"/>
              </w:rPr>
              <w:t xml:space="preserve"> bulevirtide on the Pharmaceutical Benefits Scheme (PBS). The PBAC considered that it was not clear if</w:t>
            </w:r>
            <w:r w:rsidR="00033F80">
              <w:rPr>
                <w:rFonts w:ascii="Franklin Gothic Book" w:hAnsi="Franklin Gothic Book"/>
                <w:sz w:val="22"/>
              </w:rPr>
              <w:t xml:space="preserve"> the </w:t>
            </w:r>
            <w:r w:rsidR="0014012E">
              <w:rPr>
                <w:rFonts w:ascii="Franklin Gothic Book" w:hAnsi="Franklin Gothic Book"/>
                <w:sz w:val="22"/>
              </w:rPr>
              <w:t>strength</w:t>
            </w:r>
            <w:r w:rsidR="00033F80">
              <w:rPr>
                <w:rFonts w:ascii="Franklin Gothic Book" w:hAnsi="Franklin Gothic Book"/>
                <w:sz w:val="22"/>
              </w:rPr>
              <w:t xml:space="preserve"> of benefit for patients treated with</w:t>
            </w:r>
            <w:r w:rsidRPr="7CFE6FF7">
              <w:rPr>
                <w:rFonts w:ascii="Franklin Gothic Book" w:hAnsi="Franklin Gothic Book"/>
                <w:sz w:val="22"/>
              </w:rPr>
              <w:t xml:space="preserve"> bulevirtide in the long term</w:t>
            </w:r>
            <w:r w:rsidR="006942B1">
              <w:rPr>
                <w:rFonts w:ascii="Franklin Gothic Book" w:hAnsi="Franklin Gothic Book"/>
                <w:sz w:val="22"/>
              </w:rPr>
              <w:t xml:space="preserve"> could be reliably </w:t>
            </w:r>
            <w:r w:rsidR="000B7855">
              <w:rPr>
                <w:rFonts w:ascii="Franklin Gothic Book" w:hAnsi="Franklin Gothic Book"/>
                <w:sz w:val="22"/>
              </w:rPr>
              <w:t>measured</w:t>
            </w:r>
            <w:r w:rsidRPr="7CFE6FF7">
              <w:rPr>
                <w:rFonts w:ascii="Franklin Gothic Book" w:hAnsi="Franklin Gothic Book"/>
                <w:sz w:val="22"/>
              </w:rPr>
              <w:t xml:space="preserve"> – that is, it was not clear </w:t>
            </w:r>
            <w:r w:rsidR="00CE582E">
              <w:rPr>
                <w:rFonts w:ascii="Franklin Gothic Book" w:hAnsi="Franklin Gothic Book"/>
                <w:sz w:val="22"/>
              </w:rPr>
              <w:t>h</w:t>
            </w:r>
            <w:r w:rsidR="006942B1">
              <w:rPr>
                <w:rFonts w:ascii="Franklin Gothic Book" w:hAnsi="Franklin Gothic Book"/>
                <w:sz w:val="22"/>
              </w:rPr>
              <w:t>ow much</w:t>
            </w:r>
            <w:r w:rsidRPr="7CFE6FF7">
              <w:rPr>
                <w:rFonts w:ascii="Franklin Gothic Book" w:hAnsi="Franklin Gothic Book"/>
                <w:sz w:val="22"/>
              </w:rPr>
              <w:t xml:space="preserve"> the drug decreased the chances of progression to cirrhosis, liver cancer or death. The PBAC also did not consider the drug to be good value for money.</w:t>
            </w:r>
          </w:p>
          <w:p w14:paraId="6FB76661" w14:textId="17040A56" w:rsidR="005D762A" w:rsidRPr="00D84EA2" w:rsidRDefault="007F5A9A" w:rsidP="7CFE6FF7">
            <w:pPr>
              <w:jc w:val="left"/>
              <w:rPr>
                <w:rFonts w:ascii="Franklin Gothic Book" w:hAnsi="Franklin Gothic Book"/>
                <w:sz w:val="22"/>
              </w:rPr>
            </w:pPr>
            <w:r>
              <w:rPr>
                <w:rFonts w:ascii="Franklin Gothic Book" w:hAnsi="Franklin Gothic Book"/>
                <w:sz w:val="22"/>
              </w:rPr>
              <w:t xml:space="preserve">MSAC considered that </w:t>
            </w:r>
            <w:r w:rsidRPr="257BCA9C">
              <w:rPr>
                <w:rFonts w:ascii="Franklin Gothic Book" w:hAnsi="Franklin Gothic Book"/>
                <w:sz w:val="22"/>
              </w:rPr>
              <w:t>since the PBAC did not support listing bulevirtide on the PBS</w:t>
            </w:r>
            <w:r>
              <w:rPr>
                <w:rFonts w:ascii="Franklin Gothic Book" w:hAnsi="Franklin Gothic Book"/>
                <w:sz w:val="22"/>
              </w:rPr>
              <w:t xml:space="preserve"> (the medicine that would be initiated if hepatitis D were detected)</w:t>
            </w:r>
            <w:r w:rsidRPr="257BCA9C">
              <w:rPr>
                <w:rFonts w:ascii="Franklin Gothic Book" w:hAnsi="Franklin Gothic Book"/>
                <w:sz w:val="22"/>
              </w:rPr>
              <w:t>, there was not enough justification to fund the testing</w:t>
            </w:r>
            <w:r>
              <w:rPr>
                <w:rFonts w:ascii="Franklin Gothic Book" w:hAnsi="Franklin Gothic Book"/>
                <w:sz w:val="22"/>
              </w:rPr>
              <w:t xml:space="preserve">. </w:t>
            </w:r>
            <w:r w:rsidR="00D96093">
              <w:rPr>
                <w:rFonts w:ascii="Franklin Gothic Book" w:hAnsi="Franklin Gothic Book"/>
                <w:sz w:val="22"/>
              </w:rPr>
              <w:t xml:space="preserve">In addition, </w:t>
            </w:r>
            <w:r w:rsidR="005D762A" w:rsidRPr="257BCA9C">
              <w:rPr>
                <w:rFonts w:ascii="Franklin Gothic Book" w:hAnsi="Franklin Gothic Book"/>
                <w:sz w:val="22"/>
              </w:rPr>
              <w:t xml:space="preserve">MSAC was not certain </w:t>
            </w:r>
            <w:r w:rsidR="009654CB">
              <w:rPr>
                <w:rFonts w:ascii="Franklin Gothic Book" w:hAnsi="Franklin Gothic Book"/>
                <w:sz w:val="22"/>
              </w:rPr>
              <w:t xml:space="preserve">how the results of </w:t>
            </w:r>
            <w:r w:rsidR="00A9542F">
              <w:rPr>
                <w:rFonts w:ascii="Franklin Gothic Book" w:hAnsi="Franklin Gothic Book"/>
                <w:sz w:val="22"/>
              </w:rPr>
              <w:t xml:space="preserve">testing </w:t>
            </w:r>
            <w:r w:rsidR="00D8339E" w:rsidRPr="257BCA9C">
              <w:rPr>
                <w:rFonts w:ascii="Franklin Gothic Book" w:hAnsi="Franklin Gothic Book"/>
                <w:sz w:val="22"/>
              </w:rPr>
              <w:t xml:space="preserve">would be used to </w:t>
            </w:r>
            <w:r w:rsidR="00AE2DE5">
              <w:rPr>
                <w:rFonts w:ascii="Franklin Gothic Book" w:hAnsi="Franklin Gothic Book"/>
                <w:sz w:val="22"/>
              </w:rPr>
              <w:t xml:space="preserve">manage </w:t>
            </w:r>
            <w:r w:rsidR="00D8339E" w:rsidRPr="257BCA9C">
              <w:rPr>
                <w:rFonts w:ascii="Franklin Gothic Book" w:hAnsi="Franklin Gothic Book"/>
                <w:sz w:val="22"/>
              </w:rPr>
              <w:t xml:space="preserve">treatment </w:t>
            </w:r>
            <w:r w:rsidR="00A9542F">
              <w:rPr>
                <w:rFonts w:ascii="Franklin Gothic Book" w:hAnsi="Franklin Gothic Book"/>
                <w:sz w:val="22"/>
              </w:rPr>
              <w:t xml:space="preserve">as </w:t>
            </w:r>
            <w:r w:rsidR="006B13C2">
              <w:rPr>
                <w:rFonts w:ascii="Franklin Gothic Book" w:hAnsi="Franklin Gothic Book"/>
                <w:sz w:val="22"/>
              </w:rPr>
              <w:t>t</w:t>
            </w:r>
            <w:r w:rsidR="005D762A" w:rsidRPr="257BCA9C">
              <w:rPr>
                <w:rFonts w:ascii="Franklin Gothic Book" w:hAnsi="Franklin Gothic Book"/>
                <w:sz w:val="22"/>
              </w:rPr>
              <w:t xml:space="preserve">here was little evidence to show that the levels of </w:t>
            </w:r>
            <w:r w:rsidR="00D8339E" w:rsidRPr="257BCA9C">
              <w:rPr>
                <w:rFonts w:ascii="Franklin Gothic Book" w:hAnsi="Franklin Gothic Book"/>
                <w:sz w:val="22"/>
              </w:rPr>
              <w:t>virus</w:t>
            </w:r>
            <w:r w:rsidR="005D762A" w:rsidRPr="257BCA9C">
              <w:rPr>
                <w:rFonts w:ascii="Franklin Gothic Book" w:hAnsi="Franklin Gothic Book"/>
                <w:sz w:val="22"/>
              </w:rPr>
              <w:t xml:space="preserve"> in patient</w:t>
            </w:r>
            <w:r w:rsidR="009B3DC9" w:rsidRPr="257BCA9C">
              <w:rPr>
                <w:rFonts w:ascii="Franklin Gothic Book" w:hAnsi="Franklin Gothic Book"/>
                <w:sz w:val="22"/>
              </w:rPr>
              <w:t>s</w:t>
            </w:r>
            <w:r w:rsidR="006B13C2">
              <w:rPr>
                <w:rFonts w:ascii="Franklin Gothic Book" w:hAnsi="Franklin Gothic Book"/>
                <w:sz w:val="22"/>
              </w:rPr>
              <w:t xml:space="preserve"> (as detected by the test) would</w:t>
            </w:r>
            <w:r w:rsidR="005D762A" w:rsidRPr="257BCA9C">
              <w:rPr>
                <w:rFonts w:ascii="Franklin Gothic Book" w:hAnsi="Franklin Gothic Book"/>
                <w:sz w:val="22"/>
              </w:rPr>
              <w:t xml:space="preserve"> </w:t>
            </w:r>
            <w:r w:rsidR="00D56C3A" w:rsidRPr="257BCA9C">
              <w:rPr>
                <w:rFonts w:ascii="Franklin Gothic Book" w:hAnsi="Franklin Gothic Book"/>
                <w:sz w:val="22"/>
              </w:rPr>
              <w:t xml:space="preserve">lead to changes in </w:t>
            </w:r>
            <w:r w:rsidR="005D762A" w:rsidRPr="257BCA9C">
              <w:rPr>
                <w:rFonts w:ascii="Franklin Gothic Book" w:hAnsi="Franklin Gothic Book"/>
                <w:sz w:val="22"/>
              </w:rPr>
              <w:t>clinical management</w:t>
            </w:r>
            <w:r w:rsidR="007177B0">
              <w:rPr>
                <w:rFonts w:ascii="Franklin Gothic Book" w:hAnsi="Franklin Gothic Book"/>
                <w:sz w:val="22"/>
              </w:rPr>
              <w:t xml:space="preserve">. </w:t>
            </w:r>
            <w:r w:rsidR="005D762A" w:rsidRPr="257BCA9C">
              <w:rPr>
                <w:rFonts w:ascii="Franklin Gothic Book" w:hAnsi="Franklin Gothic Book"/>
                <w:sz w:val="22"/>
              </w:rPr>
              <w:t xml:space="preserve">There were also problems with the economic evaluation, meaning that MSAC was not certain that the test was good value for money. MSAC also considered that the </w:t>
            </w:r>
            <w:r w:rsidR="00D8339E" w:rsidRPr="257BCA9C">
              <w:rPr>
                <w:rFonts w:ascii="Franklin Gothic Book" w:hAnsi="Franklin Gothic Book"/>
                <w:sz w:val="22"/>
              </w:rPr>
              <w:t>cost to the MBS</w:t>
            </w:r>
            <w:r w:rsidR="005D762A" w:rsidRPr="257BCA9C">
              <w:rPr>
                <w:rFonts w:ascii="Franklin Gothic Book" w:hAnsi="Franklin Gothic Book"/>
                <w:sz w:val="22"/>
              </w:rPr>
              <w:t xml:space="preserve"> was overestimated, as there were errors in calculating the number of people who would need the tests.</w:t>
            </w:r>
          </w:p>
          <w:p w14:paraId="02808D83" w14:textId="7B760942" w:rsidR="00D77D75" w:rsidRPr="00D84EA2" w:rsidRDefault="005D762A" w:rsidP="00723B27">
            <w:pPr>
              <w:jc w:val="left"/>
              <w:rPr>
                <w:rFonts w:ascii="Franklin Gothic Book" w:hAnsi="Franklin Gothic Book"/>
                <w:sz w:val="22"/>
              </w:rPr>
            </w:pPr>
            <w:r w:rsidRPr="7CFE6FF7">
              <w:rPr>
                <w:rFonts w:ascii="Franklin Gothic Book" w:hAnsi="Franklin Gothic Book"/>
                <w:sz w:val="22"/>
              </w:rPr>
              <w:t xml:space="preserve">MSAC recognised that some people </w:t>
            </w:r>
            <w:r w:rsidR="001D6D7B" w:rsidRPr="7CFE6FF7">
              <w:rPr>
                <w:rFonts w:ascii="Franklin Gothic Book" w:hAnsi="Franklin Gothic Book"/>
                <w:sz w:val="22"/>
              </w:rPr>
              <w:t>suspected of having</w:t>
            </w:r>
            <w:r w:rsidRPr="7CFE6FF7">
              <w:rPr>
                <w:rFonts w:ascii="Franklin Gothic Book" w:hAnsi="Franklin Gothic Book"/>
                <w:sz w:val="22"/>
              </w:rPr>
              <w:t xml:space="preserve"> hepatitis D may want to know </w:t>
            </w:r>
            <w:r w:rsidR="001D6D7B" w:rsidRPr="7CFE6FF7">
              <w:rPr>
                <w:rFonts w:ascii="Franklin Gothic Book" w:hAnsi="Franklin Gothic Book"/>
                <w:sz w:val="22"/>
              </w:rPr>
              <w:t>with more certainty whether</w:t>
            </w:r>
            <w:r w:rsidRPr="7CFE6FF7">
              <w:rPr>
                <w:rFonts w:ascii="Franklin Gothic Book" w:hAnsi="Franklin Gothic Book"/>
                <w:sz w:val="22"/>
              </w:rPr>
              <w:t xml:space="preserve"> they have it, even if there was no treatment available. MSAC noted there </w:t>
            </w:r>
            <w:r w:rsidR="267C64E5" w:rsidRPr="7CFE6FF7">
              <w:rPr>
                <w:rFonts w:ascii="Franklin Gothic Book" w:hAnsi="Franklin Gothic Book"/>
                <w:sz w:val="22"/>
              </w:rPr>
              <w:t>are</w:t>
            </w:r>
            <w:r w:rsidRPr="7CFE6FF7">
              <w:rPr>
                <w:rFonts w:ascii="Franklin Gothic Book" w:hAnsi="Franklin Gothic Book"/>
                <w:sz w:val="22"/>
              </w:rPr>
              <w:t xml:space="preserve"> </w:t>
            </w:r>
            <w:r w:rsidR="00224F81" w:rsidRPr="7CFE6FF7">
              <w:rPr>
                <w:rFonts w:ascii="Franklin Gothic Book" w:hAnsi="Franklin Gothic Book"/>
                <w:sz w:val="22"/>
              </w:rPr>
              <w:t xml:space="preserve">existing </w:t>
            </w:r>
            <w:r w:rsidRPr="7CFE6FF7">
              <w:rPr>
                <w:rFonts w:ascii="Franklin Gothic Book" w:hAnsi="Franklin Gothic Book"/>
                <w:sz w:val="22"/>
              </w:rPr>
              <w:t>MBS item</w:t>
            </w:r>
            <w:r w:rsidR="66FD7CBC" w:rsidRPr="7CFE6FF7">
              <w:rPr>
                <w:rFonts w:ascii="Franklin Gothic Book" w:hAnsi="Franklin Gothic Book"/>
                <w:sz w:val="22"/>
              </w:rPr>
              <w:t>s</w:t>
            </w:r>
            <w:r w:rsidRPr="7CFE6FF7">
              <w:rPr>
                <w:rFonts w:ascii="Franklin Gothic Book" w:hAnsi="Franklin Gothic Book"/>
                <w:sz w:val="22"/>
              </w:rPr>
              <w:t xml:space="preserve"> available for hepatitis D testing</w:t>
            </w:r>
            <w:r w:rsidR="00861887" w:rsidRPr="7CFE6FF7">
              <w:rPr>
                <w:rFonts w:ascii="Franklin Gothic Book" w:hAnsi="Franklin Gothic Book"/>
                <w:sz w:val="22"/>
              </w:rPr>
              <w:t>. However</w:t>
            </w:r>
            <w:r w:rsidR="004F5C5C" w:rsidRPr="7CFE6FF7">
              <w:rPr>
                <w:rFonts w:ascii="Franklin Gothic Book" w:hAnsi="Franklin Gothic Book"/>
                <w:sz w:val="22"/>
              </w:rPr>
              <w:t>,</w:t>
            </w:r>
            <w:r w:rsidR="00861887" w:rsidRPr="7CFE6FF7">
              <w:rPr>
                <w:rFonts w:ascii="Franklin Gothic Book" w:hAnsi="Franklin Gothic Book"/>
                <w:sz w:val="22"/>
              </w:rPr>
              <w:t xml:space="preserve"> </w:t>
            </w:r>
            <w:r w:rsidR="000676FA" w:rsidRPr="7CFE6FF7">
              <w:rPr>
                <w:rFonts w:ascii="Franklin Gothic Book" w:hAnsi="Franklin Gothic Book"/>
                <w:sz w:val="22"/>
              </w:rPr>
              <w:t xml:space="preserve">because </w:t>
            </w:r>
            <w:r w:rsidR="004F5C5C" w:rsidRPr="7CFE6FF7">
              <w:rPr>
                <w:rFonts w:ascii="Franklin Gothic Book" w:hAnsi="Franklin Gothic Book"/>
                <w:sz w:val="22"/>
              </w:rPr>
              <w:t>the existing item</w:t>
            </w:r>
            <w:r w:rsidR="4052FA1F" w:rsidRPr="7CFE6FF7">
              <w:rPr>
                <w:rFonts w:ascii="Franklin Gothic Book" w:hAnsi="Franklin Gothic Book"/>
                <w:sz w:val="22"/>
              </w:rPr>
              <w:t>s</w:t>
            </w:r>
            <w:r w:rsidR="00861887" w:rsidRPr="7CFE6FF7">
              <w:rPr>
                <w:rFonts w:ascii="Franklin Gothic Book" w:hAnsi="Franklin Gothic Book"/>
                <w:sz w:val="22"/>
              </w:rPr>
              <w:t xml:space="preserve"> </w:t>
            </w:r>
            <w:r w:rsidR="34F36025" w:rsidRPr="7CFE6FF7">
              <w:rPr>
                <w:rFonts w:ascii="Franklin Gothic Book" w:hAnsi="Franklin Gothic Book"/>
                <w:sz w:val="22"/>
              </w:rPr>
              <w:t>are</w:t>
            </w:r>
            <w:r w:rsidR="00861887" w:rsidRPr="7CFE6FF7">
              <w:rPr>
                <w:rFonts w:ascii="Franklin Gothic Book" w:hAnsi="Franklin Gothic Book"/>
                <w:sz w:val="22"/>
              </w:rPr>
              <w:t xml:space="preserve"> </w:t>
            </w:r>
            <w:r w:rsidR="000676FA" w:rsidRPr="7CFE6FF7">
              <w:rPr>
                <w:rFonts w:ascii="Franklin Gothic Book" w:hAnsi="Franklin Gothic Book"/>
                <w:sz w:val="22"/>
              </w:rPr>
              <w:t>test</w:t>
            </w:r>
            <w:r w:rsidR="00D01C2D">
              <w:rPr>
                <w:rFonts w:ascii="Franklin Gothic Book" w:hAnsi="Franklin Gothic Book"/>
                <w:sz w:val="22"/>
              </w:rPr>
              <w:t>s</w:t>
            </w:r>
            <w:r w:rsidR="000676FA" w:rsidRPr="7CFE6FF7">
              <w:rPr>
                <w:rFonts w:ascii="Franklin Gothic Book" w:hAnsi="Franklin Gothic Book"/>
                <w:sz w:val="22"/>
              </w:rPr>
              <w:t xml:space="preserve"> for </w:t>
            </w:r>
            <w:r w:rsidR="00105885" w:rsidRPr="7CFE6FF7">
              <w:rPr>
                <w:rFonts w:ascii="Franklin Gothic Book" w:hAnsi="Franklin Gothic Book"/>
                <w:sz w:val="22"/>
              </w:rPr>
              <w:t>viral</w:t>
            </w:r>
            <w:r w:rsidR="003F53CE" w:rsidRPr="7CFE6FF7">
              <w:rPr>
                <w:rFonts w:ascii="Franklin Gothic Book" w:hAnsi="Franklin Gothic Book"/>
                <w:sz w:val="22"/>
              </w:rPr>
              <w:t xml:space="preserve"> </w:t>
            </w:r>
            <w:r w:rsidR="000676FA" w:rsidRPr="7CFE6FF7">
              <w:rPr>
                <w:rFonts w:ascii="Franklin Gothic Book" w:hAnsi="Franklin Gothic Book"/>
                <w:sz w:val="22"/>
              </w:rPr>
              <w:t>antibodies</w:t>
            </w:r>
            <w:r w:rsidR="003F53CE" w:rsidRPr="7CFE6FF7">
              <w:rPr>
                <w:rFonts w:ascii="Franklin Gothic Book" w:hAnsi="Franklin Gothic Book"/>
                <w:sz w:val="22"/>
              </w:rPr>
              <w:t xml:space="preserve">, </w:t>
            </w:r>
            <w:r w:rsidR="65D01611" w:rsidRPr="7CFE6FF7">
              <w:rPr>
                <w:rFonts w:ascii="Franklin Gothic Book" w:hAnsi="Franklin Gothic Book"/>
                <w:sz w:val="22"/>
              </w:rPr>
              <w:t>they are</w:t>
            </w:r>
            <w:r w:rsidR="003F53CE" w:rsidRPr="7CFE6FF7">
              <w:rPr>
                <w:rFonts w:ascii="Franklin Gothic Book" w:hAnsi="Franklin Gothic Book"/>
                <w:sz w:val="22"/>
              </w:rPr>
              <w:t xml:space="preserve"> </w:t>
            </w:r>
            <w:r w:rsidR="00662994" w:rsidRPr="7CFE6FF7">
              <w:rPr>
                <w:rFonts w:ascii="Franklin Gothic Book" w:hAnsi="Franklin Gothic Book"/>
                <w:sz w:val="22"/>
              </w:rPr>
              <w:t xml:space="preserve">only able to identify whether someone has </w:t>
            </w:r>
            <w:r w:rsidR="001D6D7B" w:rsidRPr="7CFE6FF7">
              <w:rPr>
                <w:rFonts w:ascii="Franklin Gothic Book" w:hAnsi="Franklin Gothic Book"/>
                <w:sz w:val="22"/>
              </w:rPr>
              <w:t xml:space="preserve">ever </w:t>
            </w:r>
            <w:r w:rsidR="001254CB" w:rsidRPr="7CFE6FF7">
              <w:rPr>
                <w:rFonts w:ascii="Franklin Gothic Book" w:hAnsi="Franklin Gothic Book"/>
                <w:sz w:val="22"/>
              </w:rPr>
              <w:t>been exposed</w:t>
            </w:r>
            <w:r w:rsidR="003F53CE" w:rsidRPr="7CFE6FF7">
              <w:rPr>
                <w:rFonts w:ascii="Franklin Gothic Book" w:hAnsi="Franklin Gothic Book"/>
                <w:sz w:val="22"/>
              </w:rPr>
              <w:t xml:space="preserve"> to </w:t>
            </w:r>
            <w:r w:rsidR="00105885" w:rsidRPr="7CFE6FF7">
              <w:rPr>
                <w:rFonts w:ascii="Franklin Gothic Book" w:hAnsi="Franklin Gothic Book"/>
                <w:sz w:val="22"/>
              </w:rPr>
              <w:t>the hepatitis D virus</w:t>
            </w:r>
            <w:r w:rsidR="003F53CE" w:rsidRPr="7CFE6FF7">
              <w:rPr>
                <w:rFonts w:ascii="Franklin Gothic Book" w:hAnsi="Franklin Gothic Book"/>
                <w:sz w:val="22"/>
              </w:rPr>
              <w:t xml:space="preserve">. It cannot </w:t>
            </w:r>
            <w:r w:rsidR="00244FE5" w:rsidRPr="7CFE6FF7">
              <w:rPr>
                <w:rFonts w:ascii="Franklin Gothic Book" w:hAnsi="Franklin Gothic Book"/>
                <w:sz w:val="22"/>
              </w:rPr>
              <w:t>confirm that a person has active disease</w:t>
            </w:r>
            <w:r w:rsidR="001B7294" w:rsidRPr="7CFE6FF7">
              <w:rPr>
                <w:rFonts w:ascii="Franklin Gothic Book" w:hAnsi="Franklin Gothic Book"/>
                <w:sz w:val="22"/>
              </w:rPr>
              <w:t xml:space="preserve">, </w:t>
            </w:r>
            <w:r w:rsidR="0006655F" w:rsidRPr="7CFE6FF7">
              <w:rPr>
                <w:rFonts w:ascii="Franklin Gothic Book" w:hAnsi="Franklin Gothic Book"/>
                <w:sz w:val="22"/>
              </w:rPr>
              <w:t xml:space="preserve">which </w:t>
            </w:r>
            <w:r w:rsidR="00055711" w:rsidRPr="7CFE6FF7">
              <w:rPr>
                <w:rFonts w:ascii="Franklin Gothic Book" w:hAnsi="Franklin Gothic Book"/>
                <w:sz w:val="22"/>
              </w:rPr>
              <w:t xml:space="preserve">is what the </w:t>
            </w:r>
            <w:r w:rsidR="003277C3" w:rsidRPr="7CFE6FF7">
              <w:rPr>
                <w:rFonts w:ascii="Franklin Gothic Book" w:hAnsi="Franklin Gothic Book"/>
                <w:sz w:val="22"/>
              </w:rPr>
              <w:t>RNA test</w:t>
            </w:r>
            <w:r w:rsidR="004F5C5C" w:rsidRPr="7CFE6FF7">
              <w:rPr>
                <w:rFonts w:ascii="Franklin Gothic Book" w:hAnsi="Franklin Gothic Book"/>
                <w:sz w:val="22"/>
              </w:rPr>
              <w:t xml:space="preserve"> </w:t>
            </w:r>
            <w:r w:rsidR="00105885" w:rsidRPr="7CFE6FF7">
              <w:rPr>
                <w:rFonts w:ascii="Franklin Gothic Book" w:hAnsi="Franklin Gothic Book"/>
                <w:sz w:val="22"/>
              </w:rPr>
              <w:t>wa</w:t>
            </w:r>
            <w:r w:rsidR="004F5C5C" w:rsidRPr="7CFE6FF7">
              <w:rPr>
                <w:rFonts w:ascii="Franklin Gothic Book" w:hAnsi="Franklin Gothic Book"/>
                <w:sz w:val="22"/>
              </w:rPr>
              <w:t xml:space="preserve">s </w:t>
            </w:r>
            <w:r w:rsidR="00105885" w:rsidRPr="7CFE6FF7">
              <w:rPr>
                <w:rFonts w:ascii="Franklin Gothic Book" w:hAnsi="Franklin Gothic Book"/>
                <w:sz w:val="22"/>
              </w:rPr>
              <w:t>propos</w:t>
            </w:r>
            <w:r w:rsidR="004F5C5C" w:rsidRPr="7CFE6FF7">
              <w:rPr>
                <w:rFonts w:ascii="Franklin Gothic Book" w:hAnsi="Franklin Gothic Book"/>
                <w:sz w:val="22"/>
              </w:rPr>
              <w:t>ed to do.</w:t>
            </w:r>
            <w:r w:rsidRPr="7CFE6FF7">
              <w:rPr>
                <w:rFonts w:ascii="Franklin Gothic Book" w:hAnsi="Franklin Gothic Book"/>
                <w:sz w:val="22"/>
              </w:rPr>
              <w:t xml:space="preserve"> </w:t>
            </w:r>
          </w:p>
          <w:p w14:paraId="4CD69400" w14:textId="77777777" w:rsidR="008F1E49" w:rsidRPr="008F1E49" w:rsidRDefault="005D762A" w:rsidP="00723B27">
            <w:pPr>
              <w:pStyle w:val="Heading3"/>
              <w:spacing w:after="0"/>
              <w:rPr>
                <w:rFonts w:ascii="Franklin Gothic Book" w:hAnsi="Franklin Gothic Book"/>
                <w:sz w:val="22"/>
                <w:szCs w:val="22"/>
                <w:lang w:val="en-GB"/>
              </w:rPr>
            </w:pPr>
            <w:r w:rsidRPr="00D84EA2">
              <w:rPr>
                <w:rFonts w:ascii="Franklin Gothic Book" w:hAnsi="Franklin Gothic Book"/>
                <w:sz w:val="22"/>
                <w:szCs w:val="22"/>
              </w:rPr>
              <w:t xml:space="preserve">MSAC’s advice to the </w:t>
            </w:r>
            <w:r w:rsidRPr="008F1E49">
              <w:rPr>
                <w:rFonts w:ascii="Franklin Gothic Book" w:hAnsi="Franklin Gothic Book"/>
                <w:sz w:val="22"/>
                <w:szCs w:val="22"/>
                <w:lang w:val="en-GB"/>
              </w:rPr>
              <w:t>Commonwealth Minister for Health</w:t>
            </w:r>
            <w:r w:rsidR="008F1E49" w:rsidRPr="008F1E49">
              <w:rPr>
                <w:rFonts w:ascii="Franklin Gothic Book" w:hAnsi="Franklin Gothic Book"/>
                <w:sz w:val="22"/>
                <w:szCs w:val="22"/>
                <w:lang w:val="en-GB"/>
              </w:rPr>
              <w:t xml:space="preserve"> and Aged Care</w:t>
            </w:r>
          </w:p>
          <w:p w14:paraId="714B1554" w14:textId="16397264" w:rsidR="005D762A" w:rsidRPr="00D84EA2" w:rsidRDefault="005D762A" w:rsidP="00723B27">
            <w:pPr>
              <w:jc w:val="left"/>
              <w:rPr>
                <w:rFonts w:ascii="Franklin Gothic Book" w:hAnsi="Franklin Gothic Book"/>
                <w:sz w:val="22"/>
              </w:rPr>
            </w:pPr>
            <w:r w:rsidRPr="00D84EA2">
              <w:rPr>
                <w:rFonts w:ascii="Franklin Gothic Book" w:hAnsi="Franklin Gothic Book"/>
                <w:sz w:val="22"/>
              </w:rPr>
              <w:t xml:space="preserve">MSAC did not support listing HDV RNA testing on the </w:t>
            </w:r>
            <w:r w:rsidR="0072172A">
              <w:rPr>
                <w:rFonts w:ascii="Franklin Gothic Book" w:hAnsi="Franklin Gothic Book"/>
                <w:sz w:val="22"/>
              </w:rPr>
              <w:t>M</w:t>
            </w:r>
            <w:r w:rsidRPr="00D84EA2">
              <w:rPr>
                <w:rFonts w:ascii="Franklin Gothic Book" w:hAnsi="Franklin Gothic Book"/>
                <w:sz w:val="22"/>
              </w:rPr>
              <w:t xml:space="preserve">BS for diagnosis of active hepatitis D infection, for access to bulevirtide and to monitor treatment progress. </w:t>
            </w:r>
            <w:r w:rsidR="0075093C">
              <w:rPr>
                <w:rFonts w:ascii="Franklin Gothic Book" w:hAnsi="Franklin Gothic Book"/>
                <w:sz w:val="22"/>
              </w:rPr>
              <w:t xml:space="preserve"> MSAC considered that </w:t>
            </w:r>
            <w:r w:rsidR="0075093C">
              <w:rPr>
                <w:rFonts w:ascii="Franklin Gothic Book" w:hAnsi="Franklin Gothic Book"/>
                <w:sz w:val="22"/>
              </w:rPr>
              <w:lastRenderedPageBreak/>
              <w:t>there was insufficient clinical justification for the RNA test</w:t>
            </w:r>
            <w:r w:rsidR="0075093C" w:rsidRPr="00D84EA2">
              <w:rPr>
                <w:rFonts w:ascii="Franklin Gothic Book" w:hAnsi="Franklin Gothic Book"/>
                <w:sz w:val="22"/>
              </w:rPr>
              <w:t xml:space="preserve"> since the PBAC did not support listing of bulevirtide</w:t>
            </w:r>
            <w:r w:rsidR="0075093C">
              <w:rPr>
                <w:rFonts w:ascii="Franklin Gothic Book" w:hAnsi="Franklin Gothic Book"/>
                <w:sz w:val="22"/>
              </w:rPr>
              <w:t xml:space="preserve">. In addition, </w:t>
            </w:r>
            <w:r w:rsidRPr="00D84EA2">
              <w:rPr>
                <w:rFonts w:ascii="Franklin Gothic Book" w:hAnsi="Franklin Gothic Book"/>
                <w:sz w:val="22"/>
              </w:rPr>
              <w:t xml:space="preserve">MSAC did not consider the case for codependency </w:t>
            </w:r>
            <w:r w:rsidR="00105885">
              <w:rPr>
                <w:rFonts w:ascii="Franklin Gothic Book" w:hAnsi="Franklin Gothic Book"/>
                <w:sz w:val="22"/>
              </w:rPr>
              <w:t>had been</w:t>
            </w:r>
            <w:r w:rsidRPr="00D84EA2">
              <w:rPr>
                <w:rFonts w:ascii="Franklin Gothic Book" w:hAnsi="Franklin Gothic Book"/>
                <w:sz w:val="22"/>
              </w:rPr>
              <w:t xml:space="preserve"> </w:t>
            </w:r>
            <w:r w:rsidR="00003DDD">
              <w:rPr>
                <w:rFonts w:ascii="Franklin Gothic Book" w:hAnsi="Franklin Gothic Book"/>
                <w:sz w:val="22"/>
              </w:rPr>
              <w:t>well established</w:t>
            </w:r>
            <w:r w:rsidR="00105885">
              <w:rPr>
                <w:rFonts w:ascii="Franklin Gothic Book" w:hAnsi="Franklin Gothic Book"/>
                <w:sz w:val="22"/>
              </w:rPr>
              <w:t>,</w:t>
            </w:r>
            <w:r w:rsidRPr="00D84EA2">
              <w:rPr>
                <w:rFonts w:ascii="Franklin Gothic Book" w:hAnsi="Franklin Gothic Book"/>
                <w:sz w:val="22"/>
              </w:rPr>
              <w:t xml:space="preserve"> and</w:t>
            </w:r>
            <w:r w:rsidR="00234ED3">
              <w:rPr>
                <w:rFonts w:ascii="Franklin Gothic Book" w:hAnsi="Franklin Gothic Book"/>
                <w:sz w:val="22"/>
              </w:rPr>
              <w:t xml:space="preserve"> </w:t>
            </w:r>
            <w:r w:rsidR="00364072">
              <w:rPr>
                <w:rFonts w:ascii="Franklin Gothic Book" w:hAnsi="Franklin Gothic Book"/>
                <w:sz w:val="22"/>
              </w:rPr>
              <w:t>it was unclear how HDV RNA levels would affect d</w:t>
            </w:r>
            <w:r w:rsidR="004A37E4">
              <w:rPr>
                <w:rFonts w:ascii="Franklin Gothic Book" w:hAnsi="Franklin Gothic Book"/>
                <w:sz w:val="22"/>
              </w:rPr>
              <w:t>ecisio</w:t>
            </w:r>
            <w:r w:rsidR="006D3FF9">
              <w:rPr>
                <w:rFonts w:ascii="Franklin Gothic Book" w:hAnsi="Franklin Gothic Book"/>
                <w:sz w:val="22"/>
              </w:rPr>
              <w:t>ns about treatment</w:t>
            </w:r>
            <w:r w:rsidR="004A37E4">
              <w:rPr>
                <w:rFonts w:ascii="Franklin Gothic Book" w:hAnsi="Franklin Gothic Book"/>
                <w:sz w:val="22"/>
              </w:rPr>
              <w:t>.</w:t>
            </w:r>
            <w:r w:rsidR="008E159A">
              <w:rPr>
                <w:rFonts w:ascii="Franklin Gothic Book" w:hAnsi="Franklin Gothic Book"/>
                <w:sz w:val="22"/>
              </w:rPr>
              <w:t xml:space="preserve"> </w:t>
            </w:r>
          </w:p>
        </w:tc>
      </w:tr>
    </w:tbl>
    <w:p w14:paraId="29D47EE3" w14:textId="3F8DB8FC" w:rsidR="00623D46" w:rsidRPr="003347A2" w:rsidRDefault="00623D46" w:rsidP="003347A2">
      <w:pPr>
        <w:pStyle w:val="Heading2"/>
        <w:numPr>
          <w:ilvl w:val="0"/>
          <w:numId w:val="45"/>
        </w:numPr>
        <w:spacing w:after="240"/>
        <w:ind w:hanging="720"/>
        <w:rPr>
          <w:rFonts w:ascii="Franklin Gothic Medium" w:hAnsi="Franklin Gothic Medium"/>
          <w:b w:val="0"/>
          <w:i w:val="0"/>
          <w:snapToGrid/>
          <w:color w:val="000000" w:themeColor="text1"/>
          <w:sz w:val="32"/>
          <w:szCs w:val="26"/>
        </w:rPr>
      </w:pPr>
      <w:r w:rsidRPr="003347A2">
        <w:rPr>
          <w:rFonts w:ascii="Franklin Gothic Medium" w:hAnsi="Franklin Gothic Medium"/>
          <w:b w:val="0"/>
          <w:i w:val="0"/>
          <w:snapToGrid/>
          <w:color w:val="000000" w:themeColor="text1"/>
          <w:sz w:val="32"/>
          <w:szCs w:val="26"/>
        </w:rPr>
        <w:lastRenderedPageBreak/>
        <w:t>Summary of consideration and rationale for MSAC’s advice</w:t>
      </w:r>
    </w:p>
    <w:p w14:paraId="26A84349" w14:textId="5F64B57A"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 xml:space="preserve">MSAC noted that this application from Gilead Sciences was for Medicare Benefits Schedule (MBS) listing of </w:t>
      </w:r>
      <w:r w:rsidR="00565415">
        <w:rPr>
          <w:rFonts w:ascii="Franklin Gothic Book" w:hAnsi="Franklin Gothic Book"/>
          <w:sz w:val="22"/>
        </w:rPr>
        <w:t>ribonucleic acid (</w:t>
      </w:r>
      <w:r w:rsidRPr="00C4353E">
        <w:rPr>
          <w:rFonts w:ascii="Franklin Gothic Book" w:hAnsi="Franklin Gothic Book"/>
          <w:sz w:val="22"/>
        </w:rPr>
        <w:t>RNA</w:t>
      </w:r>
      <w:r w:rsidR="00565415">
        <w:rPr>
          <w:rFonts w:ascii="Franklin Gothic Book" w:hAnsi="Franklin Gothic Book"/>
          <w:sz w:val="22"/>
        </w:rPr>
        <w:t>) polymerase chain reaction</w:t>
      </w:r>
      <w:r w:rsidRPr="00C4353E">
        <w:rPr>
          <w:rFonts w:ascii="Franklin Gothic Book" w:hAnsi="Franklin Gothic Book"/>
          <w:sz w:val="22"/>
        </w:rPr>
        <w:t xml:space="preserve"> </w:t>
      </w:r>
      <w:r w:rsidR="00565415">
        <w:rPr>
          <w:rFonts w:ascii="Franklin Gothic Book" w:hAnsi="Franklin Gothic Book"/>
          <w:sz w:val="22"/>
        </w:rPr>
        <w:t>(</w:t>
      </w:r>
      <w:r w:rsidRPr="00C4353E">
        <w:rPr>
          <w:rFonts w:ascii="Franklin Gothic Book" w:hAnsi="Franklin Gothic Book"/>
          <w:sz w:val="22"/>
        </w:rPr>
        <w:t>PCR</w:t>
      </w:r>
      <w:r w:rsidR="00565415">
        <w:rPr>
          <w:rFonts w:ascii="Franklin Gothic Book" w:hAnsi="Franklin Gothic Book"/>
          <w:sz w:val="22"/>
        </w:rPr>
        <w:t>)</w:t>
      </w:r>
      <w:r w:rsidRPr="00C4353E">
        <w:rPr>
          <w:rFonts w:ascii="Franklin Gothic Book" w:hAnsi="Franklin Gothic Book"/>
          <w:sz w:val="22"/>
        </w:rPr>
        <w:t xml:space="preserve"> testing to detect hepatitis delta virus (HDV) RNA to determine eligibility for treatment with bulevirtide in patients with chronic HDV with compensated liver disease, and to quantify the levels of HDV RNA for monitoring the efficacy of bulevirtide treatment. This was a </w:t>
      </w:r>
      <w:r w:rsidR="00EB2913">
        <w:rPr>
          <w:rFonts w:ascii="Franklin Gothic Book" w:hAnsi="Franklin Gothic Book"/>
          <w:sz w:val="22"/>
        </w:rPr>
        <w:t>codependent</w:t>
      </w:r>
      <w:r w:rsidRPr="00C4353E">
        <w:rPr>
          <w:rFonts w:ascii="Franklin Gothic Book" w:hAnsi="Franklin Gothic Book"/>
          <w:sz w:val="22"/>
        </w:rPr>
        <w:t xml:space="preserve"> application with the Pharmaceutical Benefits Advisory Committee (PBAC).</w:t>
      </w:r>
    </w:p>
    <w:p w14:paraId="202A1539" w14:textId="77777777"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 xml:space="preserve">MSAC noted that HDV is a satellite RNA virus that requires hepatitis B virus (HBV) surface antigen (HBsAg) for entry into hepatocytes and for propagation. Oral nucleotide or nucleoside drugs used for HBV, and pegylated interferon (IFN), are not effective for HDV. Bulevirtide works by inhibiting the entry of HBV and HDV into hepatocytes by binding to and inactivating the sodium taurocholate cotransporting polypeptide (NTCP). </w:t>
      </w:r>
    </w:p>
    <w:p w14:paraId="097CED0C" w14:textId="2F5F2C44" w:rsidR="00C76B4F" w:rsidRDefault="00C76B4F" w:rsidP="7CFE6FF7">
      <w:pPr>
        <w:jc w:val="left"/>
        <w:rPr>
          <w:rFonts w:ascii="Franklin Gothic Book" w:hAnsi="Franklin Gothic Book"/>
          <w:sz w:val="22"/>
        </w:rPr>
      </w:pPr>
      <w:r w:rsidRPr="7CFE6FF7">
        <w:rPr>
          <w:rFonts w:ascii="Franklin Gothic Book" w:hAnsi="Franklin Gothic Book"/>
          <w:sz w:val="22"/>
        </w:rPr>
        <w:t xml:space="preserve">MSAC </w:t>
      </w:r>
      <w:r w:rsidR="00EE5C5D" w:rsidRPr="7CFE6FF7">
        <w:rPr>
          <w:rFonts w:ascii="Franklin Gothic Book" w:hAnsi="Franklin Gothic Book"/>
          <w:sz w:val="22"/>
        </w:rPr>
        <w:t xml:space="preserve">considered </w:t>
      </w:r>
      <w:r w:rsidRPr="7CFE6FF7">
        <w:rPr>
          <w:rFonts w:ascii="Franklin Gothic Book" w:hAnsi="Franklin Gothic Book"/>
          <w:sz w:val="22"/>
        </w:rPr>
        <w:t xml:space="preserve">that the true incidence </w:t>
      </w:r>
      <w:r w:rsidR="00FA6BEF">
        <w:rPr>
          <w:rFonts w:ascii="Franklin Gothic Book" w:hAnsi="Franklin Gothic Book"/>
          <w:sz w:val="22"/>
        </w:rPr>
        <w:t xml:space="preserve">and prevalence </w:t>
      </w:r>
      <w:r w:rsidRPr="7CFE6FF7">
        <w:rPr>
          <w:rFonts w:ascii="Franklin Gothic Book" w:hAnsi="Franklin Gothic Book"/>
          <w:sz w:val="22"/>
        </w:rPr>
        <w:t xml:space="preserve">of HDV in Australia </w:t>
      </w:r>
      <w:r w:rsidR="00EE5C5D" w:rsidRPr="7CFE6FF7">
        <w:rPr>
          <w:rFonts w:ascii="Franklin Gothic Book" w:hAnsi="Franklin Gothic Book"/>
          <w:sz w:val="22"/>
        </w:rPr>
        <w:t>w</w:t>
      </w:r>
      <w:r w:rsidR="00FA6BEF">
        <w:rPr>
          <w:rFonts w:ascii="Franklin Gothic Book" w:hAnsi="Franklin Gothic Book"/>
          <w:sz w:val="22"/>
        </w:rPr>
        <w:t>ere</w:t>
      </w:r>
      <w:r w:rsidR="00EE5C5D" w:rsidRPr="7CFE6FF7">
        <w:rPr>
          <w:rFonts w:ascii="Franklin Gothic Book" w:hAnsi="Franklin Gothic Book"/>
          <w:sz w:val="22"/>
        </w:rPr>
        <w:t xml:space="preserve"> uncertain </w:t>
      </w:r>
      <w:r w:rsidRPr="7CFE6FF7">
        <w:rPr>
          <w:rFonts w:ascii="Franklin Gothic Book" w:hAnsi="Franklin Gothic Book"/>
          <w:sz w:val="22"/>
        </w:rPr>
        <w:t xml:space="preserve">because there </w:t>
      </w:r>
      <w:r w:rsidR="00FA6BEF">
        <w:rPr>
          <w:rFonts w:ascii="Franklin Gothic Book" w:hAnsi="Franklin Gothic Book"/>
          <w:sz w:val="22"/>
        </w:rPr>
        <w:t>are</w:t>
      </w:r>
      <w:r w:rsidRPr="7CFE6FF7">
        <w:rPr>
          <w:rFonts w:ascii="Franklin Gothic Book" w:hAnsi="Franklin Gothic Book"/>
          <w:sz w:val="22"/>
        </w:rPr>
        <w:t xml:space="preserve"> no </w:t>
      </w:r>
      <w:r w:rsidR="00FA6BEF">
        <w:rPr>
          <w:rFonts w:ascii="Franklin Gothic Book" w:hAnsi="Franklin Gothic Book"/>
          <w:sz w:val="22"/>
        </w:rPr>
        <w:t>population-based data</w:t>
      </w:r>
      <w:r w:rsidRPr="7CFE6FF7">
        <w:rPr>
          <w:rFonts w:ascii="Franklin Gothic Book" w:hAnsi="Franklin Gothic Book"/>
          <w:sz w:val="22"/>
        </w:rPr>
        <w:t xml:space="preserve">. </w:t>
      </w:r>
      <w:r w:rsidR="00B21BCE" w:rsidRPr="7CFE6FF7">
        <w:rPr>
          <w:rFonts w:ascii="Franklin Gothic Book" w:hAnsi="Franklin Gothic Book"/>
          <w:sz w:val="22"/>
        </w:rPr>
        <w:t>MSAC noted t</w:t>
      </w:r>
      <w:r w:rsidRPr="7CFE6FF7">
        <w:rPr>
          <w:rFonts w:ascii="Franklin Gothic Book" w:hAnsi="Franklin Gothic Book"/>
          <w:sz w:val="22"/>
        </w:rPr>
        <w:t xml:space="preserve">he prevalence of HDV is </w:t>
      </w:r>
      <w:r w:rsidR="00FA6BEF">
        <w:rPr>
          <w:rFonts w:ascii="Franklin Gothic Book" w:hAnsi="Franklin Gothic Book"/>
          <w:sz w:val="22"/>
        </w:rPr>
        <w:t>likely</w:t>
      </w:r>
      <w:r w:rsidR="00FA6BEF" w:rsidRPr="7CFE6FF7">
        <w:rPr>
          <w:rFonts w:ascii="Franklin Gothic Book" w:hAnsi="Franklin Gothic Book"/>
          <w:sz w:val="22"/>
        </w:rPr>
        <w:t xml:space="preserve"> </w:t>
      </w:r>
      <w:r w:rsidRPr="7CFE6FF7">
        <w:rPr>
          <w:rFonts w:ascii="Franklin Gothic Book" w:hAnsi="Franklin Gothic Book"/>
          <w:sz w:val="22"/>
        </w:rPr>
        <w:t>to be low in Australia due to high rates of vaccination against HBV, but prevalence is likely to be much higher in</w:t>
      </w:r>
      <w:r w:rsidR="00C031CA" w:rsidRPr="7CFE6FF7">
        <w:rPr>
          <w:rFonts w:ascii="Franklin Gothic Book" w:hAnsi="Franklin Gothic Book"/>
          <w:sz w:val="22"/>
        </w:rPr>
        <w:t xml:space="preserve"> the following populations:</w:t>
      </w:r>
      <w:r w:rsidRPr="7CFE6FF7">
        <w:rPr>
          <w:rFonts w:ascii="Franklin Gothic Book" w:hAnsi="Franklin Gothic Book"/>
          <w:sz w:val="22"/>
        </w:rPr>
        <w:t xml:space="preserve"> people born overseas, </w:t>
      </w:r>
      <w:r w:rsidR="2CF3ECD6" w:rsidRPr="7CFE6FF7">
        <w:rPr>
          <w:rFonts w:ascii="Franklin Gothic Book" w:hAnsi="Franklin Gothic Book"/>
          <w:sz w:val="22"/>
        </w:rPr>
        <w:t xml:space="preserve">people </w:t>
      </w:r>
      <w:r w:rsidRPr="7CFE6FF7">
        <w:rPr>
          <w:rFonts w:ascii="Franklin Gothic Book" w:hAnsi="Franklin Gothic Book"/>
          <w:sz w:val="22"/>
        </w:rPr>
        <w:t xml:space="preserve">from culturally and linguistically diverse backgrounds, </w:t>
      </w:r>
      <w:r w:rsidR="25E6B123" w:rsidRPr="7CFE6FF7">
        <w:rPr>
          <w:rFonts w:ascii="Franklin Gothic Book" w:hAnsi="Franklin Gothic Book"/>
          <w:sz w:val="22"/>
        </w:rPr>
        <w:t xml:space="preserve">people </w:t>
      </w:r>
      <w:r w:rsidRPr="7CFE6FF7">
        <w:rPr>
          <w:rFonts w:ascii="Franklin Gothic Book" w:hAnsi="Franklin Gothic Book"/>
          <w:sz w:val="22"/>
        </w:rPr>
        <w:t>who inject drugs, and</w:t>
      </w:r>
      <w:r w:rsidR="00C031CA" w:rsidRPr="7CFE6FF7">
        <w:rPr>
          <w:rFonts w:ascii="Franklin Gothic Book" w:hAnsi="Franklin Gothic Book"/>
          <w:sz w:val="22"/>
        </w:rPr>
        <w:t>/or</w:t>
      </w:r>
      <w:r w:rsidRPr="7CFE6FF7">
        <w:rPr>
          <w:rFonts w:ascii="Franklin Gothic Book" w:hAnsi="Franklin Gothic Book"/>
          <w:sz w:val="22"/>
        </w:rPr>
        <w:t xml:space="preserve"> in men who have sex with men. HDV/HBV </w:t>
      </w:r>
      <w:r w:rsidR="00FA6BEF">
        <w:rPr>
          <w:rFonts w:ascii="Franklin Gothic Book" w:hAnsi="Franklin Gothic Book"/>
          <w:sz w:val="22"/>
        </w:rPr>
        <w:t>co-</w:t>
      </w:r>
      <w:r w:rsidRPr="7CFE6FF7">
        <w:rPr>
          <w:rFonts w:ascii="Franklin Gothic Book" w:hAnsi="Franklin Gothic Book"/>
          <w:sz w:val="22"/>
        </w:rPr>
        <w:t>infection is associated with significantly higher risk of progression to cirrhosis, hepatocellular carcinoma (HCC), liver transplantation and death</w:t>
      </w:r>
      <w:r w:rsidR="00FA6BEF">
        <w:rPr>
          <w:rFonts w:ascii="Franklin Gothic Book" w:hAnsi="Franklin Gothic Book"/>
          <w:sz w:val="22"/>
        </w:rPr>
        <w:t xml:space="preserve"> than HBV infection alone</w:t>
      </w:r>
      <w:r w:rsidRPr="7CFE6FF7">
        <w:rPr>
          <w:rFonts w:ascii="Franklin Gothic Book" w:hAnsi="Franklin Gothic Book"/>
          <w:sz w:val="22"/>
        </w:rPr>
        <w:t>. Persistent, severe HDV viremia is the most important risk factor for disease progression. There is currently no approved treatment in Australia for hepatitis D.</w:t>
      </w:r>
    </w:p>
    <w:p w14:paraId="0A9DBDDF" w14:textId="7B2A3721" w:rsidR="00F6572A" w:rsidRDefault="00F6572A" w:rsidP="00AA6C18">
      <w:pPr>
        <w:jc w:val="left"/>
        <w:rPr>
          <w:rFonts w:ascii="Franklin Gothic Book" w:hAnsi="Franklin Gothic Book"/>
          <w:sz w:val="22"/>
        </w:rPr>
      </w:pPr>
      <w:r w:rsidRPr="00C4353E">
        <w:rPr>
          <w:rFonts w:ascii="Franklin Gothic Book" w:hAnsi="Franklin Gothic Book"/>
          <w:sz w:val="22"/>
        </w:rPr>
        <w:t xml:space="preserve">MSAC noted that the PBAC </w:t>
      </w:r>
      <w:r w:rsidR="00B21BCE">
        <w:rPr>
          <w:rFonts w:ascii="Franklin Gothic Book" w:hAnsi="Franklin Gothic Book"/>
          <w:sz w:val="22"/>
        </w:rPr>
        <w:t>had</w:t>
      </w:r>
      <w:r w:rsidR="00B21BCE" w:rsidRPr="00C4353E">
        <w:rPr>
          <w:rFonts w:ascii="Franklin Gothic Book" w:hAnsi="Franklin Gothic Book"/>
          <w:sz w:val="22"/>
        </w:rPr>
        <w:t xml:space="preserve"> </w:t>
      </w:r>
      <w:r w:rsidRPr="00C4353E">
        <w:rPr>
          <w:rFonts w:ascii="Franklin Gothic Book" w:hAnsi="Franklin Gothic Book"/>
          <w:sz w:val="22"/>
        </w:rPr>
        <w:t>not support</w:t>
      </w:r>
      <w:r w:rsidR="00B21BCE">
        <w:rPr>
          <w:rFonts w:ascii="Franklin Gothic Book" w:hAnsi="Franklin Gothic Book"/>
          <w:sz w:val="22"/>
        </w:rPr>
        <w:t>ed</w:t>
      </w:r>
      <w:r w:rsidRPr="00C4353E">
        <w:rPr>
          <w:rFonts w:ascii="Franklin Gothic Book" w:hAnsi="Franklin Gothic Book"/>
          <w:sz w:val="22"/>
        </w:rPr>
        <w:t xml:space="preserve"> listing bulevirtide on the Pharmaceutical Benefits Scheme (PBS) due to uncertainties about the longer-term and patient-relevant benefits, the economic analysis and incremental cost-effectiveness ratio (ICER), and how bulevirtide was likely to be used in clinical practice. The PBAC considered that bulevirtide would not be cost-effective at the proposed price, and that a revised economic model and re-evaluation would be required. </w:t>
      </w:r>
    </w:p>
    <w:p w14:paraId="2C3B40D8" w14:textId="6FE00F89" w:rsidR="00211AFB" w:rsidRDefault="00C76B4F" w:rsidP="0000185A">
      <w:pPr>
        <w:jc w:val="left"/>
      </w:pPr>
      <w:r w:rsidRPr="00C4353E">
        <w:rPr>
          <w:rFonts w:ascii="Franklin Gothic Book" w:hAnsi="Franklin Gothic Book"/>
          <w:sz w:val="22"/>
        </w:rPr>
        <w:t xml:space="preserve">MSAC </w:t>
      </w:r>
      <w:r w:rsidR="00763EDA">
        <w:rPr>
          <w:rFonts w:ascii="Franklin Gothic Book" w:hAnsi="Franklin Gothic Book"/>
          <w:sz w:val="22"/>
        </w:rPr>
        <w:t xml:space="preserve">noted </w:t>
      </w:r>
      <w:r w:rsidRPr="00C4353E">
        <w:rPr>
          <w:rFonts w:ascii="Franklin Gothic Book" w:hAnsi="Franklin Gothic Book"/>
          <w:sz w:val="22"/>
        </w:rPr>
        <w:t xml:space="preserve">that </w:t>
      </w:r>
      <w:r w:rsidR="008D78A8">
        <w:rPr>
          <w:rFonts w:ascii="Franklin Gothic Book" w:hAnsi="Franklin Gothic Book"/>
          <w:sz w:val="22"/>
        </w:rPr>
        <w:t xml:space="preserve">Hepatitis D </w:t>
      </w:r>
      <w:r w:rsidRPr="00C4353E">
        <w:rPr>
          <w:rFonts w:ascii="Franklin Gothic Book" w:hAnsi="Franklin Gothic Book"/>
          <w:sz w:val="22"/>
        </w:rPr>
        <w:t xml:space="preserve">serology </w:t>
      </w:r>
      <w:r w:rsidR="00232864">
        <w:rPr>
          <w:rFonts w:ascii="Franklin Gothic Book" w:hAnsi="Franklin Gothic Book"/>
          <w:sz w:val="22"/>
        </w:rPr>
        <w:t xml:space="preserve">testing </w:t>
      </w:r>
      <w:r w:rsidR="008D78A8">
        <w:rPr>
          <w:rFonts w:ascii="Franklin Gothic Book" w:hAnsi="Franklin Gothic Book"/>
          <w:sz w:val="22"/>
        </w:rPr>
        <w:t>should</w:t>
      </w:r>
      <w:r w:rsidRPr="00C4353E">
        <w:rPr>
          <w:rFonts w:ascii="Franklin Gothic Book" w:hAnsi="Franklin Gothic Book"/>
          <w:sz w:val="22"/>
        </w:rPr>
        <w:t xml:space="preserve"> only </w:t>
      </w:r>
      <w:r w:rsidR="008D78A8">
        <w:rPr>
          <w:rFonts w:ascii="Franklin Gothic Book" w:hAnsi="Franklin Gothic Book"/>
          <w:sz w:val="22"/>
        </w:rPr>
        <w:t xml:space="preserve">be </w:t>
      </w:r>
      <w:r w:rsidR="002E0DF6">
        <w:rPr>
          <w:rFonts w:ascii="Franklin Gothic Book" w:hAnsi="Franklin Gothic Book"/>
          <w:sz w:val="22"/>
        </w:rPr>
        <w:t>undertaken</w:t>
      </w:r>
      <w:r w:rsidRPr="00C4353E">
        <w:rPr>
          <w:rFonts w:ascii="Franklin Gothic Book" w:hAnsi="Franklin Gothic Book"/>
          <w:sz w:val="22"/>
        </w:rPr>
        <w:t xml:space="preserve"> in </w:t>
      </w:r>
      <w:r w:rsidR="008D78A8">
        <w:rPr>
          <w:rFonts w:ascii="Franklin Gothic Book" w:hAnsi="Franklin Gothic Book"/>
          <w:sz w:val="22"/>
        </w:rPr>
        <w:t xml:space="preserve">people </w:t>
      </w:r>
      <w:r w:rsidR="00177D1C">
        <w:rPr>
          <w:rFonts w:ascii="Franklin Gothic Book" w:hAnsi="Franklin Gothic Book"/>
          <w:sz w:val="22"/>
        </w:rPr>
        <w:t xml:space="preserve">who are </w:t>
      </w:r>
      <w:r w:rsidR="00213C04" w:rsidRPr="00211AFB">
        <w:rPr>
          <w:rFonts w:ascii="Franklin Gothic Book" w:hAnsi="Franklin Gothic Book"/>
          <w:sz w:val="22"/>
        </w:rPr>
        <w:t>HBsAg-positive</w:t>
      </w:r>
      <w:r w:rsidRPr="00C4353E">
        <w:rPr>
          <w:rFonts w:ascii="Franklin Gothic Book" w:hAnsi="Franklin Gothic Book"/>
          <w:sz w:val="22"/>
        </w:rPr>
        <w:t xml:space="preserve"> and that anti-HDV antibodies are the hallmark of exposure to HDV (present in all immunocompetent patients with the infection).</w:t>
      </w:r>
      <w:r w:rsidR="003219DB">
        <w:rPr>
          <w:rFonts w:ascii="Franklin Gothic Book" w:hAnsi="Franklin Gothic Book"/>
          <w:sz w:val="22"/>
        </w:rPr>
        <w:t xml:space="preserve"> </w:t>
      </w:r>
      <w:r w:rsidR="0000185A">
        <w:rPr>
          <w:rFonts w:ascii="Franklin Gothic Book" w:hAnsi="Franklin Gothic Book"/>
          <w:sz w:val="22"/>
        </w:rPr>
        <w:t>MSAC noted that standard</w:t>
      </w:r>
      <w:r w:rsidR="00232864">
        <w:rPr>
          <w:rFonts w:ascii="Franklin Gothic Book" w:hAnsi="Franklin Gothic Book"/>
          <w:sz w:val="22"/>
        </w:rPr>
        <w:t xml:space="preserve"> practice is i</w:t>
      </w:r>
      <w:r w:rsidR="00446F7C" w:rsidRPr="00C4353E">
        <w:rPr>
          <w:rFonts w:ascii="Franklin Gothic Book" w:hAnsi="Franklin Gothic Book"/>
          <w:sz w:val="22"/>
        </w:rPr>
        <w:t>f anti-HDV antibodies are detected, the patient should be tested for serum HDV RNA to determine whether an active infection is present</w:t>
      </w:r>
      <w:r w:rsidR="003219DB">
        <w:rPr>
          <w:rFonts w:ascii="Franklin Gothic Book" w:hAnsi="Franklin Gothic Book"/>
          <w:sz w:val="22"/>
        </w:rPr>
        <w:t xml:space="preserve"> </w:t>
      </w:r>
      <w:r w:rsidR="0000185A">
        <w:rPr>
          <w:rFonts w:ascii="Franklin Gothic Book" w:hAnsi="Franklin Gothic Book"/>
          <w:sz w:val="22"/>
        </w:rPr>
        <w:t>– however</w:t>
      </w:r>
      <w:r w:rsidR="003219DB">
        <w:rPr>
          <w:rFonts w:ascii="Franklin Gothic Book" w:hAnsi="Franklin Gothic Book"/>
          <w:sz w:val="22"/>
        </w:rPr>
        <w:t xml:space="preserve"> there is currently </w:t>
      </w:r>
      <w:r w:rsidR="003219DB" w:rsidRPr="003219DB">
        <w:rPr>
          <w:rFonts w:ascii="Franklin Gothic Book" w:hAnsi="Franklin Gothic Book"/>
          <w:sz w:val="22"/>
        </w:rPr>
        <w:t>no international standard for</w:t>
      </w:r>
      <w:r w:rsidR="00441578">
        <w:rPr>
          <w:rFonts w:ascii="Franklin Gothic Book" w:hAnsi="Franklin Gothic Book"/>
          <w:sz w:val="22"/>
        </w:rPr>
        <w:t xml:space="preserve"> threshold</w:t>
      </w:r>
      <w:r w:rsidR="003219DB" w:rsidRPr="003219DB">
        <w:rPr>
          <w:rFonts w:ascii="Franklin Gothic Book" w:hAnsi="Franklin Gothic Book"/>
          <w:sz w:val="22"/>
        </w:rPr>
        <w:t xml:space="preserve"> levels of anti-HDV antibodies </w:t>
      </w:r>
      <w:r w:rsidR="00441578">
        <w:rPr>
          <w:rFonts w:ascii="Franklin Gothic Book" w:hAnsi="Franklin Gothic Book"/>
          <w:sz w:val="22"/>
        </w:rPr>
        <w:t>that are indicative of HDV exposure.</w:t>
      </w:r>
      <w:r w:rsidR="004B7D89">
        <w:rPr>
          <w:rFonts w:ascii="Franklin Gothic Book" w:hAnsi="Franklin Gothic Book"/>
          <w:sz w:val="22"/>
        </w:rPr>
        <w:t xml:space="preserve"> There is also</w:t>
      </w:r>
      <w:r w:rsidR="00441578">
        <w:rPr>
          <w:rFonts w:ascii="Franklin Gothic Book" w:hAnsi="Franklin Gothic Book"/>
          <w:sz w:val="22"/>
        </w:rPr>
        <w:t xml:space="preserve"> </w:t>
      </w:r>
      <w:r w:rsidR="00213C04">
        <w:rPr>
          <w:rFonts w:ascii="Franklin Gothic Book" w:hAnsi="Franklin Gothic Book"/>
          <w:sz w:val="22"/>
        </w:rPr>
        <w:t xml:space="preserve">a </w:t>
      </w:r>
      <w:r w:rsidR="003219DB" w:rsidRPr="003219DB">
        <w:rPr>
          <w:rFonts w:ascii="Franklin Gothic Book" w:hAnsi="Franklin Gothic Book"/>
          <w:sz w:val="22"/>
        </w:rPr>
        <w:t>lack of uniform international recommendations for screening</w:t>
      </w:r>
      <w:r w:rsidR="00FA6BEF">
        <w:rPr>
          <w:rFonts w:ascii="Franklin Gothic Book" w:hAnsi="Franklin Gothic Book"/>
          <w:sz w:val="22"/>
        </w:rPr>
        <w:t xml:space="preserve"> for HDV infection in people with HBV</w:t>
      </w:r>
      <w:r w:rsidR="003219DB">
        <w:rPr>
          <w:rFonts w:ascii="Franklin Gothic Book" w:hAnsi="Franklin Gothic Book"/>
          <w:sz w:val="22"/>
        </w:rPr>
        <w:t>.</w:t>
      </w:r>
      <w:r w:rsidR="00EB3375" w:rsidRPr="00EB3375">
        <w:t xml:space="preserve"> </w:t>
      </w:r>
    </w:p>
    <w:p w14:paraId="5DE5407A" w14:textId="083A9C2A" w:rsidR="00373028" w:rsidRDefault="00211AFB" w:rsidP="00AA6C18">
      <w:pPr>
        <w:jc w:val="left"/>
        <w:rPr>
          <w:rFonts w:ascii="Franklin Gothic Book" w:hAnsi="Franklin Gothic Book"/>
          <w:sz w:val="22"/>
        </w:rPr>
      </w:pPr>
      <w:r>
        <w:rPr>
          <w:rFonts w:ascii="Franklin Gothic Book" w:hAnsi="Franklin Gothic Book"/>
          <w:sz w:val="22"/>
        </w:rPr>
        <w:t>MSAC noted that i</w:t>
      </w:r>
      <w:r w:rsidR="00EB3375" w:rsidRPr="00EB3375">
        <w:rPr>
          <w:rFonts w:ascii="Franklin Gothic Book" w:hAnsi="Franklin Gothic Book"/>
          <w:sz w:val="22"/>
        </w:rPr>
        <w:t xml:space="preserve">n </w:t>
      </w:r>
      <w:r w:rsidR="00EE6E67" w:rsidRPr="00EB3375">
        <w:rPr>
          <w:rFonts w:ascii="Franklin Gothic Book" w:hAnsi="Franklin Gothic Book"/>
          <w:sz w:val="22"/>
        </w:rPr>
        <w:t>most</w:t>
      </w:r>
      <w:r w:rsidR="00EB3375" w:rsidRPr="00EB3375">
        <w:rPr>
          <w:rFonts w:ascii="Franklin Gothic Book" w:hAnsi="Franklin Gothic Book"/>
          <w:sz w:val="22"/>
        </w:rPr>
        <w:t xml:space="preserve"> patients, serum HBV DNA is undetectable or at the borderline of detectability because of the repression of HBV viremia induced by HDV through interferon-dependent and interferon-independent mechanisms</w:t>
      </w:r>
      <w:r w:rsidR="00EB3375">
        <w:rPr>
          <w:rFonts w:ascii="Franklin Gothic Book" w:hAnsi="Franklin Gothic Book"/>
          <w:sz w:val="22"/>
        </w:rPr>
        <w:t xml:space="preserve">. </w:t>
      </w:r>
      <w:r w:rsidR="00950ECA">
        <w:rPr>
          <w:rFonts w:ascii="Franklin Gothic Book" w:hAnsi="Franklin Gothic Book"/>
          <w:sz w:val="22"/>
        </w:rPr>
        <w:t xml:space="preserve">However, </w:t>
      </w:r>
      <w:r w:rsidRPr="00211AFB">
        <w:rPr>
          <w:rFonts w:ascii="Franklin Gothic Book" w:hAnsi="Franklin Gothic Book"/>
          <w:sz w:val="22"/>
        </w:rPr>
        <w:t xml:space="preserve">HBsAg-positive persons with anti-HDV antibodies who do not have HDV RNA </w:t>
      </w:r>
      <w:r w:rsidR="00E039D6">
        <w:rPr>
          <w:rFonts w:ascii="Franklin Gothic Book" w:hAnsi="Franklin Gothic Book"/>
          <w:sz w:val="22"/>
        </w:rPr>
        <w:t xml:space="preserve">detectable </w:t>
      </w:r>
      <w:r w:rsidRPr="00211AFB">
        <w:rPr>
          <w:rFonts w:ascii="Franklin Gothic Book" w:hAnsi="Franklin Gothic Book"/>
          <w:sz w:val="22"/>
        </w:rPr>
        <w:t xml:space="preserve">in </w:t>
      </w:r>
      <w:r w:rsidR="00E039D6">
        <w:rPr>
          <w:rFonts w:ascii="Franklin Gothic Book" w:hAnsi="Franklin Gothic Book"/>
          <w:sz w:val="22"/>
        </w:rPr>
        <w:t xml:space="preserve">their </w:t>
      </w:r>
      <w:r w:rsidRPr="00211AFB">
        <w:rPr>
          <w:rFonts w:ascii="Franklin Gothic Book" w:hAnsi="Franklin Gothic Book"/>
          <w:sz w:val="22"/>
        </w:rPr>
        <w:t>serum may have had a previous HDV infection</w:t>
      </w:r>
      <w:r w:rsidR="00717376">
        <w:rPr>
          <w:rFonts w:ascii="Franklin Gothic Book" w:hAnsi="Franklin Gothic Book"/>
          <w:sz w:val="22"/>
        </w:rPr>
        <w:t xml:space="preserve">. </w:t>
      </w:r>
    </w:p>
    <w:p w14:paraId="4CAE1055" w14:textId="642FC63B" w:rsidR="00C76B4F" w:rsidRDefault="00833E7F" w:rsidP="00AA6C18">
      <w:pPr>
        <w:jc w:val="left"/>
        <w:rPr>
          <w:rFonts w:ascii="Franklin Gothic Book" w:hAnsi="Franklin Gothic Book"/>
          <w:sz w:val="22"/>
        </w:rPr>
      </w:pPr>
      <w:r>
        <w:rPr>
          <w:rFonts w:ascii="Franklin Gothic Book" w:hAnsi="Franklin Gothic Book"/>
          <w:sz w:val="22"/>
        </w:rPr>
        <w:t xml:space="preserve">MSAC noted that the proposed test uses </w:t>
      </w:r>
      <w:r w:rsidR="00FC41EB">
        <w:rPr>
          <w:rFonts w:ascii="Franklin Gothic Book" w:hAnsi="Franklin Gothic Book"/>
          <w:sz w:val="22"/>
        </w:rPr>
        <w:t>c</w:t>
      </w:r>
      <w:r w:rsidR="00FC41EB" w:rsidRPr="00FC41EB">
        <w:rPr>
          <w:rFonts w:ascii="Franklin Gothic Book" w:hAnsi="Franklin Gothic Book"/>
          <w:sz w:val="22"/>
        </w:rPr>
        <w:t>ommercial or in</w:t>
      </w:r>
      <w:r w:rsidR="00805F08">
        <w:rPr>
          <w:rFonts w:ascii="Franklin Gothic Book" w:hAnsi="Franklin Gothic Book"/>
          <w:sz w:val="22"/>
        </w:rPr>
        <w:t>-</w:t>
      </w:r>
      <w:r w:rsidR="00FC41EB" w:rsidRPr="00FC41EB">
        <w:rPr>
          <w:rFonts w:ascii="Franklin Gothic Book" w:hAnsi="Franklin Gothic Book"/>
          <w:sz w:val="22"/>
        </w:rPr>
        <w:t>house reverse transcriptase (RT) polymerase chain reaction (PCR) assays</w:t>
      </w:r>
      <w:r w:rsidR="00FC41EB">
        <w:rPr>
          <w:rFonts w:ascii="Franklin Gothic Book" w:hAnsi="Franklin Gothic Book"/>
          <w:sz w:val="22"/>
        </w:rPr>
        <w:t xml:space="preserve">. </w:t>
      </w:r>
      <w:r w:rsidR="00C76B4F" w:rsidRPr="00C4353E">
        <w:rPr>
          <w:rFonts w:ascii="Franklin Gothic Book" w:hAnsi="Franklin Gothic Book"/>
          <w:sz w:val="22"/>
        </w:rPr>
        <w:t xml:space="preserve">MSAC noted that HDV RNA levels are often very low and can be difficult to detect, although </w:t>
      </w:r>
      <w:r w:rsidR="004507EA">
        <w:rPr>
          <w:rFonts w:ascii="Franklin Gothic Book" w:hAnsi="Franklin Gothic Book"/>
          <w:sz w:val="22"/>
        </w:rPr>
        <w:t xml:space="preserve">the </w:t>
      </w:r>
      <w:r w:rsidR="00C76B4F" w:rsidRPr="00C4353E">
        <w:rPr>
          <w:rFonts w:ascii="Franklin Gothic Book" w:hAnsi="Franklin Gothic Book"/>
          <w:sz w:val="22"/>
        </w:rPr>
        <w:t>sensitivity</w:t>
      </w:r>
      <w:r w:rsidR="004507EA">
        <w:rPr>
          <w:rFonts w:ascii="Franklin Gothic Book" w:hAnsi="Franklin Gothic Book"/>
          <w:sz w:val="22"/>
        </w:rPr>
        <w:t xml:space="preserve"> of avail</w:t>
      </w:r>
      <w:r w:rsidR="00FC1F29">
        <w:rPr>
          <w:rFonts w:ascii="Franklin Gothic Book" w:hAnsi="Franklin Gothic Book"/>
          <w:sz w:val="22"/>
        </w:rPr>
        <w:t>able</w:t>
      </w:r>
      <w:r w:rsidR="005214FF">
        <w:rPr>
          <w:rFonts w:ascii="Franklin Gothic Book" w:hAnsi="Franklin Gothic Book"/>
          <w:sz w:val="22"/>
        </w:rPr>
        <w:t xml:space="preserve"> tests</w:t>
      </w:r>
      <w:r w:rsidR="00C76B4F" w:rsidRPr="00C4353E">
        <w:rPr>
          <w:rFonts w:ascii="Franklin Gothic Book" w:hAnsi="Franklin Gothic Book"/>
          <w:sz w:val="22"/>
        </w:rPr>
        <w:t xml:space="preserve"> is improving. A 2016 international quality-control study showed a high variation in </w:t>
      </w:r>
      <w:r w:rsidR="00BE3B30">
        <w:rPr>
          <w:rFonts w:ascii="Franklin Gothic Book" w:hAnsi="Franklin Gothic Book"/>
          <w:sz w:val="22"/>
        </w:rPr>
        <w:t xml:space="preserve">the </w:t>
      </w:r>
      <w:r w:rsidR="00C76B4F" w:rsidRPr="00C4353E">
        <w:rPr>
          <w:rFonts w:ascii="Franklin Gothic Book" w:hAnsi="Franklin Gothic Book"/>
          <w:sz w:val="22"/>
        </w:rPr>
        <w:t xml:space="preserve">detection and quantification </w:t>
      </w:r>
      <w:r w:rsidR="00BE3B30">
        <w:rPr>
          <w:rFonts w:ascii="Franklin Gothic Book" w:hAnsi="Franklin Gothic Book"/>
          <w:sz w:val="22"/>
        </w:rPr>
        <w:t xml:space="preserve">of HDV RNA </w:t>
      </w:r>
      <w:r w:rsidR="00C76B4F" w:rsidRPr="00C4353E">
        <w:rPr>
          <w:rFonts w:ascii="Franklin Gothic Book" w:hAnsi="Franklin Gothic Book"/>
          <w:sz w:val="22"/>
        </w:rPr>
        <w:t xml:space="preserve">among assays, with consistent underestimations of the viral load. In addition, </w:t>
      </w:r>
      <w:r w:rsidR="00704E9B">
        <w:rPr>
          <w:rFonts w:ascii="Franklin Gothic Book" w:hAnsi="Franklin Gothic Book"/>
          <w:sz w:val="22"/>
        </w:rPr>
        <w:t xml:space="preserve">the </w:t>
      </w:r>
      <w:r w:rsidR="00C76B4F" w:rsidRPr="00C4353E">
        <w:rPr>
          <w:rFonts w:ascii="Franklin Gothic Book" w:hAnsi="Franklin Gothic Book"/>
          <w:sz w:val="22"/>
        </w:rPr>
        <w:t xml:space="preserve">optimal end point for therapy is loss of </w:t>
      </w:r>
      <w:r w:rsidR="004370EC">
        <w:rPr>
          <w:rFonts w:ascii="Franklin Gothic Book" w:hAnsi="Franklin Gothic Book"/>
          <w:sz w:val="22"/>
        </w:rPr>
        <w:t>detectable</w:t>
      </w:r>
      <w:r w:rsidR="00C76B4F" w:rsidRPr="00C4353E">
        <w:rPr>
          <w:rFonts w:ascii="Franklin Gothic Book" w:hAnsi="Franklin Gothic Book"/>
          <w:sz w:val="22"/>
        </w:rPr>
        <w:t xml:space="preserve"> HBsAg, but this is rare </w:t>
      </w:r>
      <w:r w:rsidR="00EE6E67" w:rsidRPr="00C4353E">
        <w:rPr>
          <w:rFonts w:ascii="Franklin Gothic Book" w:hAnsi="Franklin Gothic Book"/>
          <w:sz w:val="22"/>
        </w:rPr>
        <w:t>with treatments</w:t>
      </w:r>
      <w:r w:rsidR="00B50AB6">
        <w:rPr>
          <w:rFonts w:ascii="Franklin Gothic Book" w:hAnsi="Franklin Gothic Book"/>
          <w:sz w:val="22"/>
        </w:rPr>
        <w:t xml:space="preserve"> </w:t>
      </w:r>
      <w:r w:rsidR="00C76B4F" w:rsidRPr="00C4353E">
        <w:rPr>
          <w:rFonts w:ascii="Franklin Gothic Book" w:hAnsi="Franklin Gothic Book"/>
          <w:sz w:val="22"/>
        </w:rPr>
        <w:t xml:space="preserve">such as </w:t>
      </w:r>
      <w:r w:rsidR="00C76B4F" w:rsidRPr="00C4353E">
        <w:rPr>
          <w:rFonts w:ascii="Franklin Gothic Book" w:hAnsi="Franklin Gothic Book"/>
          <w:sz w:val="22"/>
        </w:rPr>
        <w:lastRenderedPageBreak/>
        <w:t xml:space="preserve">IFN. In addition, long-term relapses are common due to high infectivity of residual, undetectable HDV in patients with persistent HBsAg. </w:t>
      </w:r>
    </w:p>
    <w:p w14:paraId="50A9D391" w14:textId="0CADC09E" w:rsidR="00DB06F2" w:rsidRDefault="00DB06F2" w:rsidP="00AA6C18">
      <w:pPr>
        <w:jc w:val="left"/>
        <w:rPr>
          <w:rFonts w:ascii="Franklin Gothic Book" w:hAnsi="Franklin Gothic Book"/>
          <w:sz w:val="22"/>
        </w:rPr>
      </w:pPr>
      <w:r>
        <w:rPr>
          <w:rFonts w:ascii="Franklin Gothic Book" w:hAnsi="Franklin Gothic Book"/>
          <w:sz w:val="22"/>
        </w:rPr>
        <w:t>MSAC con</w:t>
      </w:r>
      <w:r w:rsidR="006E6814">
        <w:rPr>
          <w:rFonts w:ascii="Franklin Gothic Book" w:hAnsi="Franklin Gothic Book"/>
          <w:sz w:val="22"/>
        </w:rPr>
        <w:t>sidered</w:t>
      </w:r>
      <w:r>
        <w:rPr>
          <w:rFonts w:ascii="Franklin Gothic Book" w:hAnsi="Franklin Gothic Book"/>
          <w:sz w:val="22"/>
        </w:rPr>
        <w:t xml:space="preserve"> that there </w:t>
      </w:r>
      <w:r w:rsidR="00FA6BEF">
        <w:rPr>
          <w:rFonts w:ascii="Franklin Gothic Book" w:hAnsi="Franklin Gothic Book"/>
          <w:sz w:val="22"/>
        </w:rPr>
        <w:t xml:space="preserve">is likely to be </w:t>
      </w:r>
      <w:r w:rsidRPr="00DB06F2">
        <w:rPr>
          <w:rFonts w:ascii="Franklin Gothic Book" w:hAnsi="Franklin Gothic Book"/>
          <w:sz w:val="22"/>
        </w:rPr>
        <w:t>an unmet need for the detection and treatment of patients with CH</w:t>
      </w:r>
      <w:r w:rsidR="00D75801">
        <w:rPr>
          <w:rFonts w:ascii="Franklin Gothic Book" w:hAnsi="Franklin Gothic Book"/>
          <w:sz w:val="22"/>
        </w:rPr>
        <w:t>D as the su</w:t>
      </w:r>
      <w:r w:rsidRPr="00DB06F2">
        <w:rPr>
          <w:rFonts w:ascii="Franklin Gothic Book" w:hAnsi="Franklin Gothic Book"/>
          <w:sz w:val="22"/>
        </w:rPr>
        <w:t xml:space="preserve">perinfection of HDV in chronic HBV carriers is associated with a more aggressive disease course compared with HBV mono-infection and is associated with an increased risk of development of acute hepatic failure, cirrhosis, hepatic </w:t>
      </w:r>
      <w:r w:rsidR="00EE6E67" w:rsidRPr="00DB06F2">
        <w:rPr>
          <w:rFonts w:ascii="Franklin Gothic Book" w:hAnsi="Franklin Gothic Book"/>
          <w:sz w:val="22"/>
        </w:rPr>
        <w:t>decompensation,</w:t>
      </w:r>
      <w:r w:rsidRPr="00DB06F2">
        <w:rPr>
          <w:rFonts w:ascii="Franklin Gothic Book" w:hAnsi="Franklin Gothic Book"/>
          <w:sz w:val="22"/>
        </w:rPr>
        <w:t xml:space="preserve"> and hepatocellular carcinoma (HCC). </w:t>
      </w:r>
      <w:r w:rsidR="00D75801">
        <w:rPr>
          <w:rFonts w:ascii="Franklin Gothic Book" w:hAnsi="Franklin Gothic Book"/>
          <w:sz w:val="22"/>
        </w:rPr>
        <w:t>MSAC noted that t</w:t>
      </w:r>
      <w:r w:rsidRPr="00DB06F2">
        <w:rPr>
          <w:rFonts w:ascii="Franklin Gothic Book" w:hAnsi="Franklin Gothic Book"/>
          <w:sz w:val="22"/>
        </w:rPr>
        <w:t>he 5-year mortality from HDV/HBV superinfection is twice that of HBV mono-infection</w:t>
      </w:r>
      <w:r w:rsidR="00A4071C">
        <w:rPr>
          <w:rFonts w:ascii="Franklin Gothic Book" w:hAnsi="Franklin Gothic Book"/>
          <w:sz w:val="22"/>
        </w:rPr>
        <w:t>.</w:t>
      </w:r>
      <w:r w:rsidR="00CF19CD">
        <w:rPr>
          <w:rFonts w:ascii="Franklin Gothic Book" w:hAnsi="Franklin Gothic Book"/>
          <w:sz w:val="22"/>
        </w:rPr>
        <w:t xml:space="preserve"> MSAC therefore considered this testing may potentially have prognostic value independent of its use for access to bulevirtide, although this had not been claimed</w:t>
      </w:r>
      <w:r w:rsidR="00145455">
        <w:rPr>
          <w:rFonts w:ascii="Franklin Gothic Book" w:hAnsi="Franklin Gothic Book"/>
          <w:sz w:val="22"/>
        </w:rPr>
        <w:t>.</w:t>
      </w:r>
    </w:p>
    <w:p w14:paraId="50BB11B4" w14:textId="1EC69E87" w:rsidR="00144BBB" w:rsidRDefault="007F3345" w:rsidP="00AA6C18">
      <w:pPr>
        <w:jc w:val="left"/>
        <w:rPr>
          <w:rFonts w:ascii="Franklin Gothic Book" w:hAnsi="Franklin Gothic Book"/>
          <w:sz w:val="22"/>
        </w:rPr>
      </w:pPr>
      <w:r>
        <w:rPr>
          <w:rFonts w:ascii="Franklin Gothic Book" w:hAnsi="Franklin Gothic Book"/>
          <w:sz w:val="22"/>
        </w:rPr>
        <w:t xml:space="preserve">MSAC considered that there </w:t>
      </w:r>
      <w:r w:rsidR="00D95BA4">
        <w:rPr>
          <w:rFonts w:ascii="Franklin Gothic Book" w:hAnsi="Franklin Gothic Book"/>
          <w:sz w:val="22"/>
        </w:rPr>
        <w:t>may be</w:t>
      </w:r>
      <w:r>
        <w:rPr>
          <w:rFonts w:ascii="Franklin Gothic Book" w:hAnsi="Franklin Gothic Book"/>
          <w:sz w:val="22"/>
        </w:rPr>
        <w:t xml:space="preserve"> </w:t>
      </w:r>
      <w:r w:rsidRPr="007F3345">
        <w:rPr>
          <w:rFonts w:ascii="Franklin Gothic Book" w:hAnsi="Franklin Gothic Book"/>
          <w:sz w:val="22"/>
        </w:rPr>
        <w:t xml:space="preserve">merit in having </w:t>
      </w:r>
      <w:r>
        <w:rPr>
          <w:rFonts w:ascii="Franklin Gothic Book" w:hAnsi="Franklin Gothic Book"/>
          <w:sz w:val="22"/>
        </w:rPr>
        <w:t>two</w:t>
      </w:r>
      <w:r w:rsidRPr="007F3345">
        <w:rPr>
          <w:rFonts w:ascii="Franklin Gothic Book" w:hAnsi="Franklin Gothic Book"/>
          <w:sz w:val="22"/>
        </w:rPr>
        <w:t xml:space="preserve"> different items for testing</w:t>
      </w:r>
      <w:r w:rsidR="00D95BA4">
        <w:rPr>
          <w:rFonts w:ascii="Franklin Gothic Book" w:hAnsi="Franklin Gothic Book"/>
          <w:sz w:val="22"/>
        </w:rPr>
        <w:t>:</w:t>
      </w:r>
      <w:r w:rsidRPr="007F3345">
        <w:rPr>
          <w:rFonts w:ascii="Franklin Gothic Book" w:hAnsi="Franklin Gothic Book"/>
          <w:sz w:val="22"/>
        </w:rPr>
        <w:t xml:space="preserve"> one for determining eligibility for treatment </w:t>
      </w:r>
      <w:r w:rsidR="00356462">
        <w:rPr>
          <w:rFonts w:ascii="Franklin Gothic Book" w:hAnsi="Franklin Gothic Book"/>
          <w:sz w:val="22"/>
        </w:rPr>
        <w:t>requestable by</w:t>
      </w:r>
      <w:r w:rsidR="00750052">
        <w:rPr>
          <w:rFonts w:ascii="Franklin Gothic Book" w:hAnsi="Franklin Gothic Book"/>
          <w:sz w:val="22"/>
        </w:rPr>
        <w:t xml:space="preserve"> specialist </w:t>
      </w:r>
      <w:r w:rsidR="00891570">
        <w:rPr>
          <w:rFonts w:ascii="Franklin Gothic Book" w:hAnsi="Franklin Gothic Book"/>
          <w:sz w:val="22"/>
        </w:rPr>
        <w:t>or</w:t>
      </w:r>
      <w:r w:rsidR="00750052">
        <w:rPr>
          <w:rFonts w:ascii="Franklin Gothic Book" w:hAnsi="Franklin Gothic Book"/>
          <w:sz w:val="22"/>
        </w:rPr>
        <w:t xml:space="preserve"> consultant physicians</w:t>
      </w:r>
      <w:r w:rsidR="00356462">
        <w:rPr>
          <w:rFonts w:ascii="Franklin Gothic Book" w:hAnsi="Franklin Gothic Book"/>
          <w:sz w:val="22"/>
        </w:rPr>
        <w:t>,</w:t>
      </w:r>
      <w:r w:rsidRPr="007F3345">
        <w:rPr>
          <w:rFonts w:ascii="Franklin Gothic Book" w:hAnsi="Franklin Gothic Book"/>
          <w:sz w:val="22"/>
        </w:rPr>
        <w:t xml:space="preserve"> and one for monitoring of response to treatment </w:t>
      </w:r>
      <w:r w:rsidR="00356462">
        <w:rPr>
          <w:rFonts w:ascii="Franklin Gothic Book" w:hAnsi="Franklin Gothic Book"/>
          <w:sz w:val="22"/>
        </w:rPr>
        <w:t>with no restriction on requestors</w:t>
      </w:r>
      <w:r>
        <w:rPr>
          <w:rFonts w:ascii="Franklin Gothic Book" w:hAnsi="Franklin Gothic Book"/>
          <w:sz w:val="22"/>
        </w:rPr>
        <w:t xml:space="preserve">. MSAC considered that this </w:t>
      </w:r>
      <w:r w:rsidR="00356462">
        <w:rPr>
          <w:rFonts w:ascii="Franklin Gothic Book" w:hAnsi="Franklin Gothic Book"/>
          <w:sz w:val="22"/>
        </w:rPr>
        <w:t xml:space="preserve">split </w:t>
      </w:r>
      <w:r w:rsidR="00CB4DCF">
        <w:rPr>
          <w:rFonts w:ascii="Franklin Gothic Book" w:hAnsi="Franklin Gothic Book"/>
          <w:sz w:val="22"/>
        </w:rPr>
        <w:t xml:space="preserve">would provide </w:t>
      </w:r>
      <w:r w:rsidR="00AF2AA8" w:rsidRPr="00AF2AA8">
        <w:rPr>
          <w:rFonts w:ascii="Franklin Gothic Book" w:hAnsi="Franklin Gothic Book"/>
          <w:sz w:val="22"/>
        </w:rPr>
        <w:t xml:space="preserve">patients with the option of having follow up testing for monitoring of response to treatment </w:t>
      </w:r>
      <w:r w:rsidR="00B03574">
        <w:rPr>
          <w:rFonts w:ascii="Franklin Gothic Book" w:hAnsi="Franklin Gothic Book"/>
          <w:sz w:val="22"/>
        </w:rPr>
        <w:t>undertaken</w:t>
      </w:r>
      <w:r w:rsidR="00AF2AA8" w:rsidRPr="00AF2AA8">
        <w:rPr>
          <w:rFonts w:ascii="Franklin Gothic Book" w:hAnsi="Franklin Gothic Book"/>
          <w:sz w:val="22"/>
        </w:rPr>
        <w:t xml:space="preserve"> by their GP under a shared care model</w:t>
      </w:r>
      <w:r w:rsidR="00356462">
        <w:rPr>
          <w:rFonts w:ascii="Franklin Gothic Book" w:hAnsi="Franklin Gothic Book"/>
          <w:sz w:val="22"/>
        </w:rPr>
        <w:t>,</w:t>
      </w:r>
      <w:r w:rsidR="00CB4DCF">
        <w:rPr>
          <w:rFonts w:ascii="Franklin Gothic Book" w:hAnsi="Franklin Gothic Book"/>
          <w:sz w:val="22"/>
        </w:rPr>
        <w:t xml:space="preserve"> which is </w:t>
      </w:r>
      <w:r w:rsidR="00AF2AA8" w:rsidRPr="00AF2AA8">
        <w:rPr>
          <w:rFonts w:ascii="Franklin Gothic Book" w:hAnsi="Franklin Gothic Book"/>
          <w:sz w:val="22"/>
        </w:rPr>
        <w:t>especially relevant for those living outside metropolitan areas</w:t>
      </w:r>
      <w:r w:rsidR="00A4071C">
        <w:rPr>
          <w:rFonts w:ascii="Franklin Gothic Book" w:hAnsi="Franklin Gothic Book"/>
          <w:sz w:val="22"/>
        </w:rPr>
        <w:t>.</w:t>
      </w:r>
      <w:r w:rsidR="00144BBB" w:rsidRPr="00C4353E">
        <w:rPr>
          <w:rFonts w:ascii="Franklin Gothic Book" w:hAnsi="Franklin Gothic Book"/>
          <w:sz w:val="22"/>
        </w:rPr>
        <w:t xml:space="preserve"> MSAC considered the </w:t>
      </w:r>
      <w:r w:rsidR="00356462">
        <w:rPr>
          <w:rFonts w:ascii="Franklin Gothic Book" w:hAnsi="Franklin Gothic Book"/>
          <w:sz w:val="22"/>
        </w:rPr>
        <w:t xml:space="preserve">proposed </w:t>
      </w:r>
      <w:r w:rsidR="00144BBB" w:rsidRPr="00C4353E">
        <w:rPr>
          <w:rFonts w:ascii="Franklin Gothic Book" w:hAnsi="Franklin Gothic Book"/>
          <w:sz w:val="22"/>
        </w:rPr>
        <w:t xml:space="preserve">fee </w:t>
      </w:r>
      <w:r w:rsidR="00131C5E">
        <w:rPr>
          <w:rFonts w:ascii="Franklin Gothic Book" w:hAnsi="Franklin Gothic Book"/>
          <w:sz w:val="22"/>
        </w:rPr>
        <w:t>and the test not being pathologist-determinable appeared</w:t>
      </w:r>
      <w:r w:rsidR="00144BBB" w:rsidRPr="00C4353E">
        <w:rPr>
          <w:rFonts w:ascii="Franklin Gothic Book" w:hAnsi="Franklin Gothic Book"/>
          <w:sz w:val="22"/>
        </w:rPr>
        <w:t xml:space="preserve"> appropriate. MSAC also considered that the MBS descriptor </w:t>
      </w:r>
      <w:r w:rsidR="00131C5E">
        <w:rPr>
          <w:rFonts w:ascii="Franklin Gothic Book" w:hAnsi="Franklin Gothic Book"/>
          <w:sz w:val="22"/>
        </w:rPr>
        <w:t>would appropriately</w:t>
      </w:r>
      <w:r w:rsidR="00144BBB" w:rsidRPr="00C4353E">
        <w:rPr>
          <w:rFonts w:ascii="Franklin Gothic Book" w:hAnsi="Franklin Gothic Book"/>
          <w:sz w:val="22"/>
        </w:rPr>
        <w:t xml:space="preserve"> specify the exclusion of patients with decompensated liver disease</w:t>
      </w:r>
      <w:r w:rsidR="00EE5B82">
        <w:rPr>
          <w:rFonts w:ascii="Franklin Gothic Book" w:hAnsi="Franklin Gothic Book"/>
          <w:sz w:val="22"/>
        </w:rPr>
        <w:t xml:space="preserve"> (</w:t>
      </w:r>
      <w:r w:rsidR="00EE5B82" w:rsidRPr="00EE5B82">
        <w:rPr>
          <w:rFonts w:ascii="Franklin Gothic Book" w:hAnsi="Franklin Gothic Book"/>
          <w:sz w:val="22"/>
        </w:rPr>
        <w:t>Child Pugh B or C)</w:t>
      </w:r>
      <w:r w:rsidR="00D64370">
        <w:rPr>
          <w:rFonts w:ascii="Franklin Gothic Book" w:hAnsi="Franklin Gothic Book"/>
          <w:sz w:val="22"/>
        </w:rPr>
        <w:t>,</w:t>
      </w:r>
      <w:r w:rsidR="00EE5B82" w:rsidRPr="00EE5B82">
        <w:rPr>
          <w:rFonts w:ascii="Franklin Gothic Book" w:hAnsi="Franklin Gothic Book"/>
          <w:sz w:val="22"/>
        </w:rPr>
        <w:t xml:space="preserve"> </w:t>
      </w:r>
      <w:r w:rsidR="00EE6E67" w:rsidRPr="00EE5B82">
        <w:rPr>
          <w:rFonts w:ascii="Franklin Gothic Book" w:hAnsi="Franklin Gothic Book"/>
          <w:sz w:val="22"/>
        </w:rPr>
        <w:t xml:space="preserve">as </w:t>
      </w:r>
      <w:r w:rsidR="00EE6E67">
        <w:rPr>
          <w:rFonts w:ascii="Franklin Gothic Book" w:hAnsi="Franklin Gothic Book"/>
          <w:sz w:val="22"/>
        </w:rPr>
        <w:t>eligibility</w:t>
      </w:r>
      <w:r w:rsidR="000147C9">
        <w:rPr>
          <w:rFonts w:ascii="Franklin Gothic Book" w:hAnsi="Franklin Gothic Book"/>
          <w:sz w:val="22"/>
        </w:rPr>
        <w:t xml:space="preserve"> for treatment with </w:t>
      </w:r>
      <w:r w:rsidR="00AB780D">
        <w:rPr>
          <w:rFonts w:ascii="Franklin Gothic Book" w:hAnsi="Franklin Gothic Book"/>
          <w:sz w:val="22"/>
        </w:rPr>
        <w:t>bulevirtide</w:t>
      </w:r>
      <w:r w:rsidR="000147C9">
        <w:rPr>
          <w:rFonts w:ascii="Franklin Gothic Book" w:hAnsi="Franklin Gothic Book"/>
          <w:sz w:val="22"/>
        </w:rPr>
        <w:t xml:space="preserve"> is not being sought for these patient groups</w:t>
      </w:r>
      <w:r w:rsidR="00EE5B82">
        <w:rPr>
          <w:rFonts w:ascii="Franklin Gothic Book" w:hAnsi="Franklin Gothic Book"/>
          <w:sz w:val="22"/>
        </w:rPr>
        <w:t>.</w:t>
      </w:r>
      <w:r w:rsidR="00E11CE0" w:rsidRPr="00131C5E">
        <w:rPr>
          <w:rFonts w:ascii="Franklin Gothic Book" w:hAnsi="Franklin Gothic Book"/>
          <w:sz w:val="22"/>
        </w:rPr>
        <w:t xml:space="preserve"> MSAC considered that </w:t>
      </w:r>
      <w:r w:rsidR="00E11CE0">
        <w:rPr>
          <w:rFonts w:ascii="Franklin Gothic Book" w:hAnsi="Franklin Gothic Book"/>
          <w:sz w:val="22"/>
        </w:rPr>
        <w:t>t</w:t>
      </w:r>
      <w:r w:rsidR="00E11CE0" w:rsidRPr="00E11CE0">
        <w:rPr>
          <w:rFonts w:ascii="Franklin Gothic Book" w:hAnsi="Franklin Gothic Book"/>
          <w:sz w:val="22"/>
        </w:rPr>
        <w:t xml:space="preserve">here </w:t>
      </w:r>
      <w:r w:rsidR="00AF6BB6">
        <w:rPr>
          <w:rFonts w:ascii="Franklin Gothic Book" w:hAnsi="Franklin Gothic Book"/>
          <w:sz w:val="22"/>
        </w:rPr>
        <w:t>would be</w:t>
      </w:r>
      <w:r w:rsidR="00E11CE0" w:rsidRPr="00E11CE0">
        <w:rPr>
          <w:rFonts w:ascii="Franklin Gothic Book" w:hAnsi="Franklin Gothic Book"/>
          <w:sz w:val="22"/>
        </w:rPr>
        <w:t xml:space="preserve"> no need for a practice note to provide clinical guidance on determination of Hepatitis D chronicity as it is very unlikely in practice that cases of acute infection would be detected by an HDV RNA test</w:t>
      </w:r>
      <w:r w:rsidR="00144BBB" w:rsidRPr="00C4353E">
        <w:rPr>
          <w:rFonts w:ascii="Franklin Gothic Book" w:hAnsi="Franklin Gothic Book"/>
          <w:sz w:val="22"/>
        </w:rPr>
        <w:t>.</w:t>
      </w:r>
      <w:r w:rsidR="00954D35">
        <w:rPr>
          <w:rFonts w:ascii="Franklin Gothic Book" w:hAnsi="Franklin Gothic Book"/>
          <w:sz w:val="22"/>
        </w:rPr>
        <w:t xml:space="preserve"> MSAC noted that ESC had recommended </w:t>
      </w:r>
      <w:r w:rsidR="00954D35" w:rsidRPr="00954D35">
        <w:rPr>
          <w:rFonts w:ascii="Franklin Gothic Book" w:hAnsi="Franklin Gothic Book"/>
          <w:sz w:val="22"/>
        </w:rPr>
        <w:t>futureproofing the item descriptor by amending it to refer to PBS-listed chronic hepatitis D treatments in general rather than bulevirtide specifically</w:t>
      </w:r>
      <w:r w:rsidR="003D66BE">
        <w:rPr>
          <w:rFonts w:ascii="Franklin Gothic Book" w:hAnsi="Franklin Gothic Book"/>
          <w:sz w:val="22"/>
        </w:rPr>
        <w:t>. However</w:t>
      </w:r>
      <w:r w:rsidR="00A26699">
        <w:rPr>
          <w:rFonts w:ascii="Franklin Gothic Book" w:hAnsi="Franklin Gothic Book"/>
          <w:sz w:val="22"/>
        </w:rPr>
        <w:t>,</w:t>
      </w:r>
      <w:r w:rsidR="003D66BE">
        <w:rPr>
          <w:rFonts w:ascii="Franklin Gothic Book" w:hAnsi="Franklin Gothic Book"/>
          <w:sz w:val="22"/>
        </w:rPr>
        <w:t xml:space="preserve"> MSAC considered that</w:t>
      </w:r>
      <w:r w:rsidR="00954D35">
        <w:rPr>
          <w:rFonts w:ascii="Franklin Gothic Book" w:hAnsi="Franklin Gothic Book"/>
          <w:sz w:val="22"/>
        </w:rPr>
        <w:t xml:space="preserve"> </w:t>
      </w:r>
      <w:r w:rsidR="003D66BE">
        <w:rPr>
          <w:rFonts w:ascii="Franklin Gothic Book" w:hAnsi="Franklin Gothic Book"/>
          <w:sz w:val="22"/>
        </w:rPr>
        <w:t xml:space="preserve">because </w:t>
      </w:r>
      <w:r w:rsidR="003D66BE" w:rsidRPr="003D66BE">
        <w:rPr>
          <w:rFonts w:ascii="Franklin Gothic Book" w:hAnsi="Franklin Gothic Book"/>
          <w:sz w:val="22"/>
        </w:rPr>
        <w:t xml:space="preserve">bulevirtide </w:t>
      </w:r>
      <w:r w:rsidR="00271D68">
        <w:rPr>
          <w:rFonts w:ascii="Franklin Gothic Book" w:hAnsi="Franklin Gothic Book"/>
          <w:sz w:val="22"/>
        </w:rPr>
        <w:t xml:space="preserve">had not been </w:t>
      </w:r>
      <w:r w:rsidR="003D66BE" w:rsidRPr="003D66BE">
        <w:rPr>
          <w:rFonts w:ascii="Franklin Gothic Book" w:hAnsi="Franklin Gothic Book"/>
          <w:sz w:val="22"/>
        </w:rPr>
        <w:t>approved by PBAC</w:t>
      </w:r>
      <w:r w:rsidR="003D66BE">
        <w:rPr>
          <w:rFonts w:ascii="Franklin Gothic Book" w:hAnsi="Franklin Gothic Book"/>
          <w:sz w:val="22"/>
        </w:rPr>
        <w:t xml:space="preserve"> and there were presently </w:t>
      </w:r>
      <w:r w:rsidR="003D66BE" w:rsidRPr="003D66BE">
        <w:rPr>
          <w:rFonts w:ascii="Franklin Gothic Book" w:hAnsi="Franklin Gothic Book"/>
          <w:sz w:val="22"/>
        </w:rPr>
        <w:t>no other equivalent medications</w:t>
      </w:r>
      <w:r w:rsidR="006A0DE4">
        <w:rPr>
          <w:rFonts w:ascii="Franklin Gothic Book" w:hAnsi="Franklin Gothic Book"/>
          <w:sz w:val="22"/>
        </w:rPr>
        <w:t xml:space="preserve"> </w:t>
      </w:r>
      <w:r w:rsidR="00271D68">
        <w:rPr>
          <w:rFonts w:ascii="Franklin Gothic Book" w:hAnsi="Franklin Gothic Book"/>
          <w:sz w:val="22"/>
        </w:rPr>
        <w:t>under</w:t>
      </w:r>
      <w:r w:rsidR="00D054CE">
        <w:rPr>
          <w:rFonts w:ascii="Franklin Gothic Book" w:hAnsi="Franklin Gothic Book"/>
          <w:sz w:val="22"/>
        </w:rPr>
        <w:t xml:space="preserve"> </w:t>
      </w:r>
      <w:r w:rsidR="00271D68">
        <w:rPr>
          <w:rFonts w:ascii="Franklin Gothic Book" w:hAnsi="Franklin Gothic Book"/>
          <w:sz w:val="22"/>
        </w:rPr>
        <w:t>co</w:t>
      </w:r>
      <w:r w:rsidR="008828BC">
        <w:rPr>
          <w:rFonts w:ascii="Franklin Gothic Book" w:hAnsi="Franklin Gothic Book"/>
          <w:sz w:val="22"/>
        </w:rPr>
        <w:t>nsideration</w:t>
      </w:r>
      <w:r w:rsidR="00587B77">
        <w:rPr>
          <w:rFonts w:ascii="Franklin Gothic Book" w:hAnsi="Franklin Gothic Book"/>
          <w:sz w:val="22"/>
        </w:rPr>
        <w:t xml:space="preserve">, </w:t>
      </w:r>
      <w:r w:rsidR="0096693E">
        <w:rPr>
          <w:rFonts w:ascii="Franklin Gothic Book" w:hAnsi="Franklin Gothic Book"/>
          <w:sz w:val="22"/>
        </w:rPr>
        <w:t>th</w:t>
      </w:r>
      <w:r w:rsidR="00B32B0F">
        <w:rPr>
          <w:rFonts w:ascii="Franklin Gothic Book" w:hAnsi="Franklin Gothic Book"/>
          <w:sz w:val="22"/>
        </w:rPr>
        <w:t>e</w:t>
      </w:r>
      <w:r w:rsidR="009652DC">
        <w:rPr>
          <w:rFonts w:ascii="Franklin Gothic Book" w:hAnsi="Franklin Gothic Book"/>
          <w:sz w:val="22"/>
        </w:rPr>
        <w:t xml:space="preserve">re was no </w:t>
      </w:r>
      <w:r w:rsidR="008E2363">
        <w:rPr>
          <w:rFonts w:ascii="Franklin Gothic Book" w:hAnsi="Franklin Gothic Book"/>
          <w:sz w:val="22"/>
        </w:rPr>
        <w:t xml:space="preserve">current </w:t>
      </w:r>
      <w:r w:rsidR="009652DC">
        <w:rPr>
          <w:rFonts w:ascii="Franklin Gothic Book" w:hAnsi="Franklin Gothic Book"/>
          <w:sz w:val="22"/>
        </w:rPr>
        <w:t xml:space="preserve">need to </w:t>
      </w:r>
      <w:r w:rsidR="008C104A">
        <w:rPr>
          <w:rFonts w:ascii="Franklin Gothic Book" w:hAnsi="Franklin Gothic Book"/>
          <w:sz w:val="22"/>
        </w:rPr>
        <w:t xml:space="preserve">amend the </w:t>
      </w:r>
      <w:r w:rsidR="00BA1D7A">
        <w:rPr>
          <w:rFonts w:ascii="Franklin Gothic Book" w:hAnsi="Franklin Gothic Book"/>
          <w:sz w:val="22"/>
        </w:rPr>
        <w:t xml:space="preserve">descriptor to </w:t>
      </w:r>
      <w:r w:rsidR="008E2363">
        <w:rPr>
          <w:rFonts w:ascii="Franklin Gothic Book" w:hAnsi="Franklin Gothic Book"/>
          <w:sz w:val="22"/>
        </w:rPr>
        <w:t xml:space="preserve">refer to </w:t>
      </w:r>
      <w:r w:rsidR="00CF2D13">
        <w:rPr>
          <w:rFonts w:ascii="Franklin Gothic Book" w:hAnsi="Franklin Gothic Book"/>
          <w:sz w:val="22"/>
        </w:rPr>
        <w:t xml:space="preserve">PBS-listed </w:t>
      </w:r>
      <w:r w:rsidR="008E2363" w:rsidRPr="00954D35">
        <w:rPr>
          <w:rFonts w:ascii="Franklin Gothic Book" w:hAnsi="Franklin Gothic Book"/>
          <w:sz w:val="22"/>
        </w:rPr>
        <w:t>chronic hepatitis D treatments</w:t>
      </w:r>
      <w:r w:rsidR="0035660A">
        <w:rPr>
          <w:rFonts w:ascii="Franklin Gothic Book" w:hAnsi="Franklin Gothic Book"/>
          <w:sz w:val="22"/>
        </w:rPr>
        <w:t xml:space="preserve"> in general</w:t>
      </w:r>
      <w:r w:rsidR="008E2363">
        <w:rPr>
          <w:rFonts w:ascii="Franklin Gothic Book" w:hAnsi="Franklin Gothic Book"/>
          <w:sz w:val="22"/>
        </w:rPr>
        <w:t xml:space="preserve">. </w:t>
      </w:r>
    </w:p>
    <w:p w14:paraId="21884277" w14:textId="7F7DCB65" w:rsidR="001D75A0" w:rsidRPr="00C4353E" w:rsidRDefault="001D75A0" w:rsidP="00AA6C18">
      <w:pPr>
        <w:jc w:val="left"/>
        <w:rPr>
          <w:rFonts w:ascii="Franklin Gothic Book" w:hAnsi="Franklin Gothic Book"/>
          <w:sz w:val="22"/>
        </w:rPr>
      </w:pPr>
      <w:r>
        <w:rPr>
          <w:rFonts w:ascii="Franklin Gothic Book" w:hAnsi="Franklin Gothic Book"/>
          <w:sz w:val="22"/>
        </w:rPr>
        <w:t xml:space="preserve">MSAC noted that the European Association for the </w:t>
      </w:r>
      <w:r w:rsidR="00356314">
        <w:rPr>
          <w:rFonts w:ascii="Franklin Gothic Book" w:hAnsi="Franklin Gothic Book"/>
          <w:sz w:val="22"/>
        </w:rPr>
        <w:t>Study of the Liver (</w:t>
      </w:r>
      <w:r w:rsidRPr="00653DB5">
        <w:rPr>
          <w:rFonts w:ascii="Franklin Gothic Book" w:hAnsi="Franklin Gothic Book"/>
          <w:sz w:val="22"/>
        </w:rPr>
        <w:t>EASL</w:t>
      </w:r>
      <w:r w:rsidR="00356314">
        <w:rPr>
          <w:rFonts w:ascii="Franklin Gothic Book" w:hAnsi="Franklin Gothic Book"/>
          <w:sz w:val="22"/>
        </w:rPr>
        <w:t>)</w:t>
      </w:r>
      <w:r w:rsidRPr="00653DB5">
        <w:rPr>
          <w:rFonts w:ascii="Franklin Gothic Book" w:hAnsi="Franklin Gothic Book"/>
          <w:sz w:val="22"/>
        </w:rPr>
        <w:t xml:space="preserve"> guidelines support</w:t>
      </w:r>
      <w:r w:rsidR="008E317E">
        <w:rPr>
          <w:rFonts w:ascii="Franklin Gothic Book" w:hAnsi="Franklin Gothic Book"/>
          <w:sz w:val="22"/>
        </w:rPr>
        <w:t>ed</w:t>
      </w:r>
      <w:r w:rsidRPr="00653DB5">
        <w:rPr>
          <w:rFonts w:ascii="Franklin Gothic Book" w:hAnsi="Franklin Gothic Book"/>
          <w:sz w:val="22"/>
        </w:rPr>
        <w:t xml:space="preserve"> the use of quantitative testing but </w:t>
      </w:r>
      <w:r w:rsidR="00AF6BB6">
        <w:rPr>
          <w:rFonts w:ascii="Franklin Gothic Book" w:hAnsi="Franklin Gothic Book"/>
          <w:sz w:val="22"/>
        </w:rPr>
        <w:t>do</w:t>
      </w:r>
      <w:r w:rsidR="008E317E">
        <w:rPr>
          <w:rFonts w:ascii="Franklin Gothic Book" w:hAnsi="Franklin Gothic Book"/>
          <w:sz w:val="22"/>
        </w:rPr>
        <w:t xml:space="preserve"> </w:t>
      </w:r>
      <w:r w:rsidR="007B417F">
        <w:rPr>
          <w:rFonts w:ascii="Franklin Gothic Book" w:hAnsi="Franklin Gothic Book"/>
          <w:sz w:val="22"/>
        </w:rPr>
        <w:t>n</w:t>
      </w:r>
      <w:r w:rsidRPr="00653DB5">
        <w:rPr>
          <w:rFonts w:ascii="Franklin Gothic Book" w:hAnsi="Franklin Gothic Book"/>
          <w:sz w:val="22"/>
        </w:rPr>
        <w:t>ot provide any guidance as to how the levels would change managemen</w:t>
      </w:r>
      <w:r>
        <w:rPr>
          <w:rFonts w:ascii="Franklin Gothic Book" w:hAnsi="Franklin Gothic Book"/>
          <w:sz w:val="22"/>
        </w:rPr>
        <w:t xml:space="preserve">t and only </w:t>
      </w:r>
      <w:r w:rsidRPr="00715880">
        <w:rPr>
          <w:rFonts w:ascii="Franklin Gothic Book" w:hAnsi="Franklin Gothic Book"/>
          <w:sz w:val="22"/>
        </w:rPr>
        <w:t>recommend maintaining treatment until clinical benefit is observed</w:t>
      </w:r>
      <w:r>
        <w:rPr>
          <w:rFonts w:ascii="Franklin Gothic Book" w:hAnsi="Franklin Gothic Book"/>
          <w:sz w:val="22"/>
        </w:rPr>
        <w:t xml:space="preserve"> </w:t>
      </w:r>
      <w:r w:rsidR="007B417F">
        <w:rPr>
          <w:rFonts w:ascii="Franklin Gothic Book" w:hAnsi="Franklin Gothic Book"/>
          <w:sz w:val="22"/>
        </w:rPr>
        <w:t>(</w:t>
      </w:r>
      <w:r>
        <w:rPr>
          <w:rFonts w:ascii="Franklin Gothic Book" w:hAnsi="Franklin Gothic Book"/>
          <w:sz w:val="22"/>
        </w:rPr>
        <w:t>which is not dependent on the level of HDV RNA</w:t>
      </w:r>
      <w:r w:rsidR="007B417F">
        <w:rPr>
          <w:rFonts w:ascii="Franklin Gothic Book" w:hAnsi="Franklin Gothic Book"/>
          <w:sz w:val="22"/>
        </w:rPr>
        <w:t>)</w:t>
      </w:r>
      <w:r>
        <w:rPr>
          <w:rFonts w:ascii="Franklin Gothic Book" w:hAnsi="Franklin Gothic Book"/>
          <w:sz w:val="22"/>
        </w:rPr>
        <w:t xml:space="preserve">. </w:t>
      </w:r>
      <w:r w:rsidR="00A875F9">
        <w:rPr>
          <w:rFonts w:ascii="Franklin Gothic Book" w:hAnsi="Franklin Gothic Book"/>
          <w:sz w:val="22"/>
        </w:rPr>
        <w:t>MSAC</w:t>
      </w:r>
      <w:r w:rsidR="00146349">
        <w:rPr>
          <w:rFonts w:ascii="Franklin Gothic Book" w:hAnsi="Franklin Gothic Book"/>
          <w:sz w:val="22"/>
        </w:rPr>
        <w:t xml:space="preserve"> therefore</w:t>
      </w:r>
      <w:r w:rsidR="00A875F9">
        <w:rPr>
          <w:rFonts w:ascii="Franklin Gothic Book" w:hAnsi="Franklin Gothic Book"/>
          <w:sz w:val="22"/>
        </w:rPr>
        <w:t xml:space="preserve"> considered </w:t>
      </w:r>
      <w:r>
        <w:rPr>
          <w:rFonts w:ascii="Franklin Gothic Book" w:hAnsi="Franklin Gothic Book"/>
          <w:sz w:val="22"/>
        </w:rPr>
        <w:t xml:space="preserve">it </w:t>
      </w:r>
      <w:r w:rsidR="00AE3052">
        <w:rPr>
          <w:rFonts w:ascii="Franklin Gothic Book" w:hAnsi="Franklin Gothic Book"/>
          <w:sz w:val="22"/>
        </w:rPr>
        <w:t>may be</w:t>
      </w:r>
      <w:r>
        <w:rPr>
          <w:rFonts w:ascii="Franklin Gothic Book" w:hAnsi="Franklin Gothic Book"/>
          <w:sz w:val="22"/>
        </w:rPr>
        <w:t xml:space="preserve"> </w:t>
      </w:r>
      <w:r w:rsidRPr="00C5144E">
        <w:rPr>
          <w:rFonts w:ascii="Franklin Gothic Book" w:hAnsi="Franklin Gothic Book"/>
          <w:sz w:val="22"/>
        </w:rPr>
        <w:t>reasonable to consider substituting qualitative testing for quantitative testing for eligibility as well as for monitoring</w:t>
      </w:r>
      <w:r w:rsidR="00146349">
        <w:rPr>
          <w:rFonts w:ascii="Franklin Gothic Book" w:hAnsi="Franklin Gothic Book"/>
          <w:sz w:val="22"/>
        </w:rPr>
        <w:t xml:space="preserve"> (particularly in light of the l</w:t>
      </w:r>
      <w:r w:rsidR="00146349" w:rsidRPr="00C5144E">
        <w:rPr>
          <w:rFonts w:ascii="Franklin Gothic Book" w:hAnsi="Franklin Gothic Book"/>
          <w:sz w:val="22"/>
        </w:rPr>
        <w:t>imited evidence on the change in management due to the results of quantitative HDV RNA PCR testing</w:t>
      </w:r>
      <w:r w:rsidR="00146349">
        <w:rPr>
          <w:rFonts w:ascii="Franklin Gothic Book" w:hAnsi="Franklin Gothic Book"/>
          <w:sz w:val="22"/>
        </w:rPr>
        <w:t xml:space="preserve"> as discussed below). </w:t>
      </w:r>
      <w:r w:rsidR="00AE3052">
        <w:rPr>
          <w:rFonts w:ascii="Franklin Gothic Book" w:hAnsi="Franklin Gothic Book"/>
          <w:sz w:val="22"/>
        </w:rPr>
        <w:t xml:space="preserve"> </w:t>
      </w:r>
    </w:p>
    <w:p w14:paraId="78383C94" w14:textId="09CD9B92" w:rsidR="00210C9F" w:rsidRPr="00C4353E" w:rsidRDefault="00210C9F" w:rsidP="00AA6C18">
      <w:pPr>
        <w:jc w:val="left"/>
        <w:rPr>
          <w:rFonts w:ascii="Franklin Gothic Book" w:hAnsi="Franklin Gothic Book"/>
          <w:sz w:val="22"/>
        </w:rPr>
      </w:pPr>
      <w:r w:rsidRPr="00C4353E">
        <w:rPr>
          <w:rFonts w:ascii="Franklin Gothic Book" w:hAnsi="Franklin Gothic Book"/>
          <w:sz w:val="22"/>
        </w:rPr>
        <w:t xml:space="preserve">MSAC noted consumer </w:t>
      </w:r>
      <w:r w:rsidR="005D3525">
        <w:rPr>
          <w:rFonts w:ascii="Franklin Gothic Book" w:hAnsi="Franklin Gothic Book"/>
          <w:sz w:val="22"/>
        </w:rPr>
        <w:t xml:space="preserve">feedback </w:t>
      </w:r>
      <w:r w:rsidRPr="00C4353E">
        <w:rPr>
          <w:rFonts w:ascii="Franklin Gothic Book" w:hAnsi="Franklin Gothic Book"/>
          <w:sz w:val="22"/>
        </w:rPr>
        <w:t>support</w:t>
      </w:r>
      <w:r w:rsidR="005D3525">
        <w:rPr>
          <w:rFonts w:ascii="Franklin Gothic Book" w:hAnsi="Franklin Gothic Book"/>
          <w:sz w:val="22"/>
        </w:rPr>
        <w:t>ed</w:t>
      </w:r>
      <w:r w:rsidRPr="00C4353E">
        <w:rPr>
          <w:rFonts w:ascii="Franklin Gothic Book" w:hAnsi="Franklin Gothic Book"/>
          <w:sz w:val="22"/>
        </w:rPr>
        <w:t xml:space="preserve"> the application, </w:t>
      </w:r>
      <w:r w:rsidR="005D3525">
        <w:rPr>
          <w:rFonts w:ascii="Franklin Gothic Book" w:hAnsi="Franklin Gothic Book"/>
          <w:sz w:val="22"/>
        </w:rPr>
        <w:t>and cited the</w:t>
      </w:r>
      <w:r w:rsidRPr="00C4353E">
        <w:rPr>
          <w:rFonts w:ascii="Franklin Gothic Book" w:hAnsi="Franklin Gothic Book"/>
          <w:sz w:val="22"/>
        </w:rPr>
        <w:t xml:space="preserve"> value of knowing</w:t>
      </w:r>
      <w:r w:rsidR="005D3525">
        <w:rPr>
          <w:rFonts w:ascii="Franklin Gothic Book" w:hAnsi="Franklin Gothic Book"/>
          <w:sz w:val="22"/>
        </w:rPr>
        <w:t xml:space="preserve"> benefits of testing</w:t>
      </w:r>
      <w:r w:rsidRPr="00C4353E">
        <w:rPr>
          <w:rFonts w:ascii="Franklin Gothic Book" w:hAnsi="Franklin Gothic Book"/>
          <w:sz w:val="22"/>
        </w:rPr>
        <w:t xml:space="preserve">. MSAC considered that there are tests </w:t>
      </w:r>
      <w:r w:rsidR="00073A56">
        <w:rPr>
          <w:rFonts w:ascii="Franklin Gothic Book" w:hAnsi="Franklin Gothic Book"/>
          <w:sz w:val="22"/>
        </w:rPr>
        <w:t>already</w:t>
      </w:r>
      <w:r w:rsidRPr="00C4353E">
        <w:rPr>
          <w:rFonts w:ascii="Franklin Gothic Book" w:hAnsi="Franklin Gothic Book"/>
          <w:sz w:val="22"/>
        </w:rPr>
        <w:t xml:space="preserve"> available on the MBS that could be used to identify patients with HDV, but acknowledged that these are likely to be serology-based tests</w:t>
      </w:r>
      <w:r w:rsidR="00EC4D1B">
        <w:rPr>
          <w:rFonts w:ascii="Franklin Gothic Book" w:hAnsi="Franklin Gothic Book"/>
          <w:sz w:val="22"/>
        </w:rPr>
        <w:t xml:space="preserve"> (</w:t>
      </w:r>
      <w:r w:rsidR="00F57AA3">
        <w:rPr>
          <w:rFonts w:ascii="Franklin Gothic Book" w:hAnsi="Franklin Gothic Book"/>
          <w:sz w:val="22"/>
        </w:rPr>
        <w:t>testing</w:t>
      </w:r>
      <w:r w:rsidR="00EC4D1B">
        <w:rPr>
          <w:rFonts w:ascii="Franklin Gothic Book" w:hAnsi="Franklin Gothic Book"/>
          <w:sz w:val="22"/>
        </w:rPr>
        <w:t xml:space="preserve"> </w:t>
      </w:r>
      <w:r w:rsidR="00F31F5F">
        <w:rPr>
          <w:rFonts w:ascii="Franklin Gothic Book" w:hAnsi="Franklin Gothic Book"/>
          <w:sz w:val="22"/>
        </w:rPr>
        <w:t xml:space="preserve">if a person has ever been </w:t>
      </w:r>
      <w:r w:rsidR="00EC4D1B">
        <w:rPr>
          <w:rFonts w:ascii="Franklin Gothic Book" w:hAnsi="Franklin Gothic Book"/>
          <w:sz w:val="22"/>
        </w:rPr>
        <w:t>expose</w:t>
      </w:r>
      <w:r w:rsidR="00F31F5F">
        <w:rPr>
          <w:rFonts w:ascii="Franklin Gothic Book" w:hAnsi="Franklin Gothic Book"/>
          <w:sz w:val="22"/>
        </w:rPr>
        <w:t>d</w:t>
      </w:r>
      <w:r w:rsidR="00EC4D1B">
        <w:rPr>
          <w:rFonts w:ascii="Franklin Gothic Book" w:hAnsi="Franklin Gothic Book"/>
          <w:sz w:val="22"/>
        </w:rPr>
        <w:t xml:space="preserve"> to HDV)</w:t>
      </w:r>
      <w:r w:rsidRPr="00C4353E">
        <w:rPr>
          <w:rFonts w:ascii="Franklin Gothic Book" w:hAnsi="Franklin Gothic Book"/>
          <w:sz w:val="22"/>
        </w:rPr>
        <w:t xml:space="preserve">, </w:t>
      </w:r>
      <w:r w:rsidR="00F31F5F">
        <w:rPr>
          <w:rFonts w:ascii="Franklin Gothic Book" w:hAnsi="Franklin Gothic Book"/>
          <w:sz w:val="22"/>
        </w:rPr>
        <w:t>rather than</w:t>
      </w:r>
      <w:r w:rsidRPr="00C4353E">
        <w:rPr>
          <w:rFonts w:ascii="Franklin Gothic Book" w:hAnsi="Franklin Gothic Book"/>
          <w:sz w:val="22"/>
        </w:rPr>
        <w:t xml:space="preserve"> RNA-based</w:t>
      </w:r>
      <w:r w:rsidR="00EC4D1B">
        <w:rPr>
          <w:rFonts w:ascii="Franklin Gothic Book" w:hAnsi="Franklin Gothic Book"/>
          <w:sz w:val="22"/>
        </w:rPr>
        <w:t xml:space="preserve"> (indicative of active </w:t>
      </w:r>
      <w:r w:rsidR="00995E8B">
        <w:rPr>
          <w:rFonts w:ascii="Franklin Gothic Book" w:hAnsi="Franklin Gothic Book"/>
          <w:sz w:val="22"/>
        </w:rPr>
        <w:t>HDV infection)</w:t>
      </w:r>
      <w:r w:rsidRPr="00C4353E">
        <w:rPr>
          <w:rFonts w:ascii="Franklin Gothic Book" w:hAnsi="Franklin Gothic Book"/>
          <w:sz w:val="22"/>
        </w:rPr>
        <w:t>.</w:t>
      </w:r>
    </w:p>
    <w:p w14:paraId="4CB57135" w14:textId="47DC7236"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 xml:space="preserve">In the key clinical trial used in the </w:t>
      </w:r>
      <w:r w:rsidR="006633D4">
        <w:rPr>
          <w:rFonts w:ascii="Franklin Gothic Book" w:hAnsi="Franklin Gothic Book"/>
          <w:sz w:val="22"/>
        </w:rPr>
        <w:t>applicant-developed assessment report (</w:t>
      </w:r>
      <w:r w:rsidR="00137C27">
        <w:rPr>
          <w:rFonts w:ascii="Franklin Gothic Book" w:hAnsi="Franklin Gothic Book"/>
          <w:sz w:val="22"/>
        </w:rPr>
        <w:t>ADAR</w:t>
      </w:r>
      <w:r w:rsidR="006633D4">
        <w:rPr>
          <w:rFonts w:ascii="Franklin Gothic Book" w:hAnsi="Franklin Gothic Book"/>
          <w:sz w:val="22"/>
        </w:rPr>
        <w:t>),</w:t>
      </w:r>
      <w:r w:rsidRPr="00C4353E">
        <w:rPr>
          <w:rFonts w:ascii="Franklin Gothic Book" w:hAnsi="Franklin Gothic Book"/>
          <w:sz w:val="22"/>
        </w:rPr>
        <w:t xml:space="preserve"> MYR301, a decrease of 2 log</w:t>
      </w:r>
      <w:r w:rsidRPr="00C4353E">
        <w:rPr>
          <w:rFonts w:ascii="Franklin Gothic Book" w:hAnsi="Franklin Gothic Book"/>
          <w:sz w:val="22"/>
          <w:vertAlign w:val="superscript"/>
        </w:rPr>
        <w:t>10</w:t>
      </w:r>
      <w:r w:rsidRPr="00C4353E">
        <w:rPr>
          <w:rFonts w:ascii="Franklin Gothic Book" w:hAnsi="Franklin Gothic Book"/>
          <w:sz w:val="22"/>
        </w:rPr>
        <w:t xml:space="preserve"> international units [IU]/mL in the HDV RNA level from the original viremic titre was used as a surrogate marker of potential benefit. However, </w:t>
      </w:r>
      <w:r w:rsidR="00A903E5">
        <w:rPr>
          <w:rFonts w:ascii="Franklin Gothic Book" w:hAnsi="Franklin Gothic Book"/>
          <w:sz w:val="22"/>
        </w:rPr>
        <w:t>evidence</w:t>
      </w:r>
      <w:r w:rsidR="00E40680">
        <w:rPr>
          <w:rFonts w:ascii="Franklin Gothic Book" w:hAnsi="Franklin Gothic Book"/>
          <w:sz w:val="22"/>
        </w:rPr>
        <w:t xml:space="preserve"> </w:t>
      </w:r>
      <w:r w:rsidR="00F6414B">
        <w:rPr>
          <w:rFonts w:ascii="Franklin Gothic Book" w:hAnsi="Franklin Gothic Book"/>
          <w:sz w:val="22"/>
        </w:rPr>
        <w:t>was required</w:t>
      </w:r>
      <w:r w:rsidR="00FD0269">
        <w:rPr>
          <w:rFonts w:ascii="Franklin Gothic Book" w:hAnsi="Franklin Gothic Book"/>
          <w:sz w:val="22"/>
        </w:rPr>
        <w:t xml:space="preserve"> that</w:t>
      </w:r>
      <w:r w:rsidR="00C564C9">
        <w:rPr>
          <w:rFonts w:ascii="Franklin Gothic Book" w:hAnsi="Franklin Gothic Book"/>
          <w:sz w:val="22"/>
        </w:rPr>
        <w:t xml:space="preserve"> </w:t>
      </w:r>
      <w:r w:rsidR="0040093F">
        <w:rPr>
          <w:rFonts w:ascii="Franklin Gothic Book" w:hAnsi="Franklin Gothic Book"/>
          <w:sz w:val="22"/>
        </w:rPr>
        <w:t>a decrease</w:t>
      </w:r>
      <w:r w:rsidR="00FD0269">
        <w:rPr>
          <w:rFonts w:ascii="Franklin Gothic Book" w:hAnsi="Franklin Gothic Book"/>
          <w:sz w:val="22"/>
        </w:rPr>
        <w:t xml:space="preserve"> in HDV RNA levels of </w:t>
      </w:r>
      <w:r w:rsidR="0084567D">
        <w:rPr>
          <w:rFonts w:ascii="Franklin Gothic Book" w:hAnsi="Franklin Gothic Book"/>
          <w:sz w:val="22"/>
        </w:rPr>
        <w:t xml:space="preserve">at least </w:t>
      </w:r>
      <w:r w:rsidR="00FD0269">
        <w:rPr>
          <w:rFonts w:ascii="Franklin Gothic Book" w:hAnsi="Franklin Gothic Book"/>
          <w:sz w:val="22"/>
        </w:rPr>
        <w:t>this magnitude</w:t>
      </w:r>
      <w:r w:rsidR="0040093F">
        <w:rPr>
          <w:rFonts w:ascii="Franklin Gothic Book" w:hAnsi="Franklin Gothic Book"/>
          <w:sz w:val="22"/>
        </w:rPr>
        <w:t xml:space="preserve"> correlated with</w:t>
      </w:r>
      <w:r w:rsidR="00594168" w:rsidRPr="00C4353E">
        <w:rPr>
          <w:rFonts w:ascii="Franklin Gothic Book" w:hAnsi="Franklin Gothic Book"/>
          <w:sz w:val="22"/>
        </w:rPr>
        <w:t xml:space="preserve"> </w:t>
      </w:r>
      <w:r w:rsidRPr="00C4353E">
        <w:rPr>
          <w:rFonts w:ascii="Franklin Gothic Book" w:hAnsi="Franklin Gothic Book"/>
          <w:sz w:val="22"/>
        </w:rPr>
        <w:t>improvements in clinical end points such as progression to cirrhosis, HCC and death</w:t>
      </w:r>
      <w:r w:rsidR="0040093F">
        <w:rPr>
          <w:rFonts w:ascii="Franklin Gothic Book" w:hAnsi="Franklin Gothic Book"/>
          <w:sz w:val="22"/>
        </w:rPr>
        <w:t xml:space="preserve">. </w:t>
      </w:r>
      <w:r w:rsidRPr="00C4353E">
        <w:rPr>
          <w:rFonts w:ascii="Franklin Gothic Book" w:hAnsi="Franklin Gothic Book"/>
          <w:sz w:val="22"/>
        </w:rPr>
        <w:t xml:space="preserve">MSAC considered </w:t>
      </w:r>
      <w:r w:rsidR="00FD0269">
        <w:rPr>
          <w:rFonts w:ascii="Franklin Gothic Book" w:hAnsi="Franklin Gothic Book"/>
          <w:sz w:val="22"/>
        </w:rPr>
        <w:t xml:space="preserve">this </w:t>
      </w:r>
      <w:r w:rsidR="00EE6E67" w:rsidRPr="00C4353E">
        <w:rPr>
          <w:rFonts w:ascii="Franklin Gothic Book" w:hAnsi="Franklin Gothic Book"/>
          <w:sz w:val="22"/>
        </w:rPr>
        <w:t>important,</w:t>
      </w:r>
      <w:r w:rsidR="002B288C">
        <w:rPr>
          <w:rFonts w:ascii="Franklin Gothic Book" w:hAnsi="Franklin Gothic Book"/>
          <w:sz w:val="22"/>
        </w:rPr>
        <w:t xml:space="preserve"> and this was not confirmed in the key trial</w:t>
      </w:r>
      <w:r w:rsidRPr="00C4353E">
        <w:rPr>
          <w:rFonts w:ascii="Franklin Gothic Book" w:hAnsi="Franklin Gothic Book"/>
          <w:sz w:val="22"/>
        </w:rPr>
        <w:t>. MSAC also noted</w:t>
      </w:r>
      <w:r w:rsidR="006B3532">
        <w:rPr>
          <w:rFonts w:ascii="Franklin Gothic Book" w:hAnsi="Franklin Gothic Book"/>
          <w:sz w:val="22"/>
        </w:rPr>
        <w:t xml:space="preserve"> </w:t>
      </w:r>
      <w:r w:rsidRPr="00C4353E">
        <w:rPr>
          <w:rFonts w:ascii="Franklin Gothic Book" w:hAnsi="Franklin Gothic Book"/>
          <w:sz w:val="22"/>
        </w:rPr>
        <w:t>that a threshold ha</w:t>
      </w:r>
      <w:r w:rsidR="00FD0269">
        <w:rPr>
          <w:rFonts w:ascii="Franklin Gothic Book" w:hAnsi="Franklin Gothic Book"/>
          <w:sz w:val="22"/>
        </w:rPr>
        <w:t>d</w:t>
      </w:r>
      <w:r w:rsidRPr="00C4353E">
        <w:rPr>
          <w:rFonts w:ascii="Franklin Gothic Book" w:hAnsi="Franklin Gothic Book"/>
          <w:sz w:val="22"/>
        </w:rPr>
        <w:t xml:space="preserve"> not yet been defined for a serum HDV RNA level (other than undetectable H</w:t>
      </w:r>
      <w:r w:rsidR="00507301">
        <w:rPr>
          <w:rFonts w:ascii="Franklin Gothic Book" w:hAnsi="Franklin Gothic Book"/>
          <w:sz w:val="22"/>
        </w:rPr>
        <w:t>D</w:t>
      </w:r>
      <w:r w:rsidRPr="00C4353E">
        <w:rPr>
          <w:rFonts w:ascii="Franklin Gothic Book" w:hAnsi="Franklin Gothic Book"/>
          <w:sz w:val="22"/>
        </w:rPr>
        <w:t>V RNA) that correspond</w:t>
      </w:r>
      <w:r w:rsidR="00FD0269">
        <w:rPr>
          <w:rFonts w:ascii="Franklin Gothic Book" w:hAnsi="Franklin Gothic Book"/>
          <w:sz w:val="22"/>
        </w:rPr>
        <w:t>ed</w:t>
      </w:r>
      <w:r w:rsidRPr="00C4353E">
        <w:rPr>
          <w:rFonts w:ascii="Franklin Gothic Book" w:hAnsi="Franklin Gothic Book"/>
          <w:sz w:val="22"/>
        </w:rPr>
        <w:t xml:space="preserve"> to a clinical benefit. </w:t>
      </w:r>
    </w:p>
    <w:p w14:paraId="67C4E068" w14:textId="0AE40681"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MSAC noted that the test used in MYR301 was Robogene HDV RNA PCR, with a lower limit of detection (LLOD) of 6 IU/mL</w:t>
      </w:r>
      <w:r w:rsidR="00A55405">
        <w:rPr>
          <w:rFonts w:ascii="Franklin Gothic Book" w:hAnsi="Franklin Gothic Book"/>
          <w:sz w:val="22"/>
        </w:rPr>
        <w:t>.</w:t>
      </w:r>
      <w:r w:rsidRPr="00C4353E">
        <w:rPr>
          <w:rFonts w:ascii="Franklin Gothic Book" w:hAnsi="Franklin Gothic Book"/>
          <w:sz w:val="22"/>
        </w:rPr>
        <w:t xml:space="preserve"> </w:t>
      </w:r>
      <w:r w:rsidR="00207670">
        <w:rPr>
          <w:rFonts w:ascii="Franklin Gothic Book" w:hAnsi="Franklin Gothic Book"/>
          <w:sz w:val="22"/>
        </w:rPr>
        <w:t xml:space="preserve">Compared to patients in the control group, </w:t>
      </w:r>
      <w:r w:rsidR="001E3B73">
        <w:rPr>
          <w:rFonts w:ascii="Franklin Gothic Book" w:hAnsi="Franklin Gothic Book"/>
          <w:sz w:val="22"/>
        </w:rPr>
        <w:t>the</w:t>
      </w:r>
      <w:r w:rsidRPr="00C4353E">
        <w:rPr>
          <w:rFonts w:ascii="Franklin Gothic Book" w:hAnsi="Franklin Gothic Book"/>
          <w:sz w:val="22"/>
        </w:rPr>
        <w:t xml:space="preserve"> treatment group</w:t>
      </w:r>
      <w:r w:rsidR="00A55405">
        <w:rPr>
          <w:rFonts w:ascii="Franklin Gothic Book" w:hAnsi="Franklin Gothic Book"/>
          <w:sz w:val="22"/>
        </w:rPr>
        <w:t xml:space="preserve"> patient</w:t>
      </w:r>
      <w:r w:rsidRPr="00C4353E">
        <w:rPr>
          <w:rFonts w:ascii="Franklin Gothic Book" w:hAnsi="Franklin Gothic Book"/>
          <w:sz w:val="22"/>
        </w:rPr>
        <w:t>s had significantly higher rates of undetectable or a</w:t>
      </w:r>
      <w:r w:rsidR="006B3532">
        <w:rPr>
          <w:rFonts w:ascii="Franklin Gothic Book" w:hAnsi="Franklin Gothic Book"/>
          <w:sz w:val="22"/>
        </w:rPr>
        <w:t>t</w:t>
      </w:r>
      <w:r w:rsidR="00485413">
        <w:rPr>
          <w:rFonts w:ascii="Franklin Gothic Book" w:hAnsi="Franklin Gothic Book"/>
          <w:sz w:val="22"/>
        </w:rPr>
        <w:t xml:space="preserve"> least</w:t>
      </w:r>
      <w:r w:rsidR="006B3532">
        <w:rPr>
          <w:rFonts w:ascii="Franklin Gothic Book" w:hAnsi="Franklin Gothic Book"/>
          <w:sz w:val="22"/>
        </w:rPr>
        <w:t xml:space="preserve"> a</w:t>
      </w:r>
      <w:r w:rsidRPr="00C4353E">
        <w:rPr>
          <w:rFonts w:ascii="Franklin Gothic Book" w:hAnsi="Franklin Gothic Book"/>
          <w:sz w:val="22"/>
        </w:rPr>
        <w:t xml:space="preserve"> </w:t>
      </w:r>
      <w:r w:rsidR="00485413" w:rsidRPr="00C4353E">
        <w:rPr>
          <w:rFonts w:ascii="Franklin Gothic Book" w:hAnsi="Franklin Gothic Book"/>
          <w:sz w:val="22"/>
        </w:rPr>
        <w:t>2 log</w:t>
      </w:r>
      <w:r w:rsidR="00485413" w:rsidRPr="00C4353E">
        <w:rPr>
          <w:rFonts w:ascii="Franklin Gothic Book" w:hAnsi="Franklin Gothic Book"/>
          <w:sz w:val="22"/>
          <w:vertAlign w:val="superscript"/>
        </w:rPr>
        <w:t>10</w:t>
      </w:r>
      <w:r w:rsidR="00485413" w:rsidRPr="00C4353E">
        <w:rPr>
          <w:rFonts w:ascii="Franklin Gothic Book" w:hAnsi="Franklin Gothic Book"/>
          <w:sz w:val="22"/>
        </w:rPr>
        <w:t xml:space="preserve"> </w:t>
      </w:r>
      <w:r w:rsidRPr="00C4353E">
        <w:rPr>
          <w:rFonts w:ascii="Franklin Gothic Book" w:hAnsi="Franklin Gothic Book"/>
          <w:sz w:val="22"/>
        </w:rPr>
        <w:t>decrease in HDV RNA and normalisation of alanine transaminase (ALT). However, MSAC considered that longer-term data were needed to demonstrate clinical benefit.</w:t>
      </w:r>
    </w:p>
    <w:p w14:paraId="255BD995" w14:textId="46925D3D" w:rsidR="00C76B4F" w:rsidRDefault="00C76B4F" w:rsidP="00AA6C18">
      <w:pPr>
        <w:jc w:val="left"/>
        <w:rPr>
          <w:rFonts w:ascii="Franklin Gothic Book" w:hAnsi="Franklin Gothic Book"/>
          <w:sz w:val="22"/>
        </w:rPr>
      </w:pPr>
      <w:r w:rsidRPr="00C4353E">
        <w:rPr>
          <w:rFonts w:ascii="Franklin Gothic Book" w:hAnsi="Franklin Gothic Book"/>
          <w:sz w:val="22"/>
        </w:rPr>
        <w:lastRenderedPageBreak/>
        <w:t>MSAC noted the PICO and the proposed clinical management algorithm</w:t>
      </w:r>
      <w:r w:rsidR="00F35DCC">
        <w:rPr>
          <w:rFonts w:ascii="Franklin Gothic Book" w:hAnsi="Franklin Gothic Book"/>
          <w:sz w:val="22"/>
        </w:rPr>
        <w:t xml:space="preserve"> but considered that </w:t>
      </w:r>
      <w:r w:rsidRPr="00C4353E">
        <w:rPr>
          <w:rFonts w:ascii="Franklin Gothic Book" w:hAnsi="Franklin Gothic Book"/>
          <w:sz w:val="22"/>
        </w:rPr>
        <w:t>there were no continuation or discontinuation criteria</w:t>
      </w:r>
      <w:r w:rsidR="005B2C13">
        <w:rPr>
          <w:rFonts w:ascii="Franklin Gothic Book" w:hAnsi="Franklin Gothic Book"/>
          <w:sz w:val="22"/>
        </w:rPr>
        <w:t xml:space="preserve"> for treatment</w:t>
      </w:r>
      <w:r w:rsidRPr="00C4353E">
        <w:rPr>
          <w:rFonts w:ascii="Franklin Gothic Book" w:hAnsi="Franklin Gothic Book"/>
          <w:sz w:val="22"/>
        </w:rPr>
        <w:t xml:space="preserve"> outlined in the application</w:t>
      </w:r>
      <w:r w:rsidR="004B0E6B">
        <w:rPr>
          <w:rFonts w:ascii="Franklin Gothic Book" w:hAnsi="Franklin Gothic Book"/>
          <w:sz w:val="22"/>
        </w:rPr>
        <w:t xml:space="preserve"> or included in the algorithm</w:t>
      </w:r>
      <w:r w:rsidRPr="00C4353E">
        <w:rPr>
          <w:rFonts w:ascii="Franklin Gothic Book" w:hAnsi="Franklin Gothic Book"/>
          <w:sz w:val="22"/>
        </w:rPr>
        <w:t>. As a result, there was uncertainty in duration of treatment and the number of monitoring tests</w:t>
      </w:r>
      <w:r w:rsidR="00B61728">
        <w:rPr>
          <w:rFonts w:ascii="Franklin Gothic Book" w:hAnsi="Franklin Gothic Book"/>
          <w:sz w:val="22"/>
        </w:rPr>
        <w:t xml:space="preserve"> required</w:t>
      </w:r>
      <w:r w:rsidRPr="00C4353E">
        <w:rPr>
          <w:rFonts w:ascii="Franklin Gothic Book" w:hAnsi="Franklin Gothic Book"/>
          <w:sz w:val="22"/>
        </w:rPr>
        <w:t xml:space="preserve"> per treated patient. MSAC disagreed with the pre-MSAC response</w:t>
      </w:r>
      <w:r w:rsidR="00AE76AD">
        <w:rPr>
          <w:rFonts w:ascii="Franklin Gothic Book" w:hAnsi="Franklin Gothic Book"/>
          <w:sz w:val="22"/>
        </w:rPr>
        <w:t>, which</w:t>
      </w:r>
      <w:r w:rsidRPr="00C4353E">
        <w:rPr>
          <w:rFonts w:ascii="Franklin Gothic Book" w:hAnsi="Franklin Gothic Book"/>
          <w:sz w:val="22"/>
        </w:rPr>
        <w:t xml:space="preserve"> stated that continuation and discontinuation criteria were unnecessary. </w:t>
      </w:r>
      <w:r w:rsidR="00AE76AD">
        <w:rPr>
          <w:rFonts w:ascii="Franklin Gothic Book" w:hAnsi="Franklin Gothic Book"/>
          <w:sz w:val="22"/>
        </w:rPr>
        <w:t>MSAC noted t</w:t>
      </w:r>
      <w:r w:rsidRPr="00C4353E">
        <w:rPr>
          <w:rFonts w:ascii="Franklin Gothic Book" w:hAnsi="Franklin Gothic Book"/>
          <w:sz w:val="22"/>
        </w:rPr>
        <w:t>he EASL guidelines suggest criteria for continuation or discontinuation</w:t>
      </w:r>
      <w:r w:rsidR="001F5DB1">
        <w:rPr>
          <w:rFonts w:ascii="Franklin Gothic Book" w:hAnsi="Franklin Gothic Book"/>
          <w:sz w:val="22"/>
        </w:rPr>
        <w:t xml:space="preserve"> of treatment</w:t>
      </w:r>
      <w:r w:rsidRPr="00C4353E">
        <w:rPr>
          <w:rFonts w:ascii="Franklin Gothic Book" w:hAnsi="Franklin Gothic Book"/>
          <w:sz w:val="22"/>
        </w:rPr>
        <w:t xml:space="preserve"> (for example, consider discontinuation if undetectable HDV RNA and biochemical response beyond one year) and retesting recommendations (that is, at time of stopping, and at 1, 3, 6, 12 months and yearly thereafter to monitor for relapse).</w:t>
      </w:r>
      <w:r w:rsidR="008D6612">
        <w:rPr>
          <w:rFonts w:ascii="Franklin Gothic Book" w:hAnsi="Franklin Gothic Book"/>
          <w:sz w:val="22"/>
        </w:rPr>
        <w:t xml:space="preserve"> </w:t>
      </w:r>
      <w:r w:rsidRPr="00C4353E">
        <w:rPr>
          <w:rFonts w:ascii="Franklin Gothic Book" w:hAnsi="Franklin Gothic Book"/>
          <w:sz w:val="22"/>
        </w:rPr>
        <w:t>MSAC also noted the reference to detection and not quantification.</w:t>
      </w:r>
      <w:r w:rsidR="008272A4">
        <w:rPr>
          <w:rFonts w:ascii="Franklin Gothic Book" w:hAnsi="Franklin Gothic Book"/>
          <w:sz w:val="22"/>
        </w:rPr>
        <w:t xml:space="preserve"> </w:t>
      </w:r>
      <w:r w:rsidRPr="00C4353E">
        <w:rPr>
          <w:rFonts w:ascii="Franklin Gothic Book" w:hAnsi="Franklin Gothic Book"/>
          <w:sz w:val="22"/>
        </w:rPr>
        <w:t>MSAC noted the Product Information states “consideration to discontinue treatment should be given in case of sustained (six month</w:t>
      </w:r>
      <w:r w:rsidR="001E3B73" w:rsidRPr="00C4353E">
        <w:rPr>
          <w:rFonts w:ascii="Franklin Gothic Book" w:hAnsi="Franklin Gothic Book"/>
          <w:sz w:val="22"/>
        </w:rPr>
        <w:t>s</w:t>
      </w:r>
      <w:r w:rsidRPr="00C4353E">
        <w:rPr>
          <w:rFonts w:ascii="Franklin Gothic Book" w:hAnsi="Franklin Gothic Book"/>
          <w:sz w:val="22"/>
        </w:rPr>
        <w:t>) HBsAg seroconversion”. The guidelines also state that further studies with standardised assays are required to define the prognostic role of quantitative HDV RNA monitoring in untreated patients, noting that HDV RNA serum levels may fluctuate over time, becoming temporarily undetectable.</w:t>
      </w:r>
    </w:p>
    <w:p w14:paraId="4FB6FA93" w14:textId="6F16686B" w:rsidR="00C76B4F" w:rsidRPr="00C4353E" w:rsidRDefault="00C76B4F" w:rsidP="7CFE6FF7">
      <w:pPr>
        <w:jc w:val="left"/>
        <w:rPr>
          <w:rFonts w:ascii="Franklin Gothic Book" w:hAnsi="Franklin Gothic Book"/>
          <w:sz w:val="22"/>
        </w:rPr>
      </w:pPr>
      <w:r w:rsidRPr="7CFE6FF7">
        <w:rPr>
          <w:rFonts w:ascii="Franklin Gothic Book" w:hAnsi="Franklin Gothic Book"/>
          <w:sz w:val="22"/>
        </w:rPr>
        <w:t>The proposed intervention in the application was an in-house assay (</w:t>
      </w:r>
      <w:r w:rsidR="00E529F2" w:rsidRPr="7CFE6FF7">
        <w:rPr>
          <w:rFonts w:ascii="Franklin Gothic Book" w:hAnsi="Franklin Gothic Book"/>
          <w:sz w:val="22"/>
        </w:rPr>
        <w:t xml:space="preserve">notably </w:t>
      </w:r>
      <w:r w:rsidRPr="7CFE6FF7">
        <w:rPr>
          <w:rFonts w:ascii="Franklin Gothic Book" w:hAnsi="Franklin Gothic Book"/>
          <w:sz w:val="22"/>
        </w:rPr>
        <w:t xml:space="preserve">not </w:t>
      </w:r>
      <w:r w:rsidR="00796A53" w:rsidRPr="7CFE6FF7">
        <w:rPr>
          <w:rFonts w:ascii="Franklin Gothic Book" w:hAnsi="Franklin Gothic Book"/>
          <w:sz w:val="22"/>
        </w:rPr>
        <w:t xml:space="preserve">the </w:t>
      </w:r>
      <w:r w:rsidRPr="7CFE6FF7">
        <w:rPr>
          <w:rFonts w:ascii="Franklin Gothic Book" w:hAnsi="Franklin Gothic Book"/>
          <w:sz w:val="22"/>
        </w:rPr>
        <w:t>Robogene</w:t>
      </w:r>
      <w:r w:rsidR="00E529F2" w:rsidRPr="7CFE6FF7">
        <w:rPr>
          <w:rFonts w:ascii="Franklin Gothic Book" w:hAnsi="Franklin Gothic Book"/>
          <w:sz w:val="22"/>
        </w:rPr>
        <w:t xml:space="preserve"> </w:t>
      </w:r>
      <w:r w:rsidR="00796A53" w:rsidRPr="7CFE6FF7">
        <w:rPr>
          <w:rFonts w:ascii="Franklin Gothic Book" w:hAnsi="Franklin Gothic Book"/>
          <w:sz w:val="22"/>
        </w:rPr>
        <w:t xml:space="preserve">test as </w:t>
      </w:r>
      <w:r w:rsidR="00E529F2" w:rsidRPr="7CFE6FF7">
        <w:rPr>
          <w:rFonts w:ascii="Franklin Gothic Book" w:hAnsi="Franklin Gothic Book"/>
          <w:sz w:val="22"/>
        </w:rPr>
        <w:t>used in the</w:t>
      </w:r>
      <w:r w:rsidR="002A2468" w:rsidRPr="7CFE6FF7">
        <w:rPr>
          <w:rFonts w:ascii="Franklin Gothic Book" w:hAnsi="Franklin Gothic Book"/>
          <w:sz w:val="22"/>
        </w:rPr>
        <w:t xml:space="preserve"> MYR301 trial</w:t>
      </w:r>
      <w:r w:rsidRPr="7CFE6FF7">
        <w:rPr>
          <w:rFonts w:ascii="Franklin Gothic Book" w:hAnsi="Franklin Gothic Book"/>
          <w:sz w:val="22"/>
        </w:rPr>
        <w:t xml:space="preserve">), which is the only assay </w:t>
      </w:r>
      <w:r w:rsidR="00217889" w:rsidRPr="7CFE6FF7">
        <w:rPr>
          <w:rFonts w:ascii="Franklin Gothic Book" w:hAnsi="Franklin Gothic Book"/>
          <w:sz w:val="22"/>
        </w:rPr>
        <w:t xml:space="preserve">currently </w:t>
      </w:r>
      <w:r w:rsidRPr="7CFE6FF7">
        <w:rPr>
          <w:rFonts w:ascii="Franklin Gothic Book" w:hAnsi="Franklin Gothic Book"/>
          <w:sz w:val="22"/>
        </w:rPr>
        <w:t>available in Australia and is</w:t>
      </w:r>
      <w:r w:rsidR="001E632A" w:rsidRPr="7CFE6FF7">
        <w:rPr>
          <w:rFonts w:ascii="Franklin Gothic Book" w:hAnsi="Franklin Gothic Book"/>
          <w:sz w:val="22"/>
        </w:rPr>
        <w:t xml:space="preserve"> currently</w:t>
      </w:r>
      <w:r w:rsidRPr="7CFE6FF7">
        <w:rPr>
          <w:rFonts w:ascii="Franklin Gothic Book" w:hAnsi="Franklin Gothic Book"/>
          <w:sz w:val="22"/>
        </w:rPr>
        <w:t xml:space="preserve"> offered by one laboratory (</w:t>
      </w:r>
      <w:r w:rsidR="00796A53" w:rsidRPr="7CFE6FF7">
        <w:rPr>
          <w:rFonts w:ascii="Franklin Gothic Book" w:hAnsi="Franklin Gothic Book"/>
          <w:sz w:val="22"/>
        </w:rPr>
        <w:t xml:space="preserve">the </w:t>
      </w:r>
      <w:r w:rsidRPr="7CFE6FF7">
        <w:rPr>
          <w:rFonts w:ascii="Franklin Gothic Book" w:hAnsi="Franklin Gothic Book"/>
          <w:sz w:val="22"/>
        </w:rPr>
        <w:t xml:space="preserve">Victorian Infectious Diseases Reference Laboratory [VIDRL]), </w:t>
      </w:r>
      <w:r w:rsidR="00B0488D" w:rsidRPr="00B0488D">
        <w:rPr>
          <w:rFonts w:ascii="Franklin Gothic Book" w:hAnsi="Franklin Gothic Book"/>
          <w:b/>
          <w:bCs/>
          <w:sz w:val="22"/>
        </w:rPr>
        <w:t>redacted</w:t>
      </w:r>
      <w:r w:rsidR="008D58D7">
        <w:rPr>
          <w:rFonts w:ascii="Franklin Gothic Book" w:hAnsi="Franklin Gothic Book"/>
          <w:sz w:val="22"/>
        </w:rPr>
        <w:t xml:space="preserve"> </w:t>
      </w:r>
      <w:r w:rsidRPr="7CFE6FF7">
        <w:rPr>
          <w:rFonts w:ascii="Franklin Gothic Book" w:hAnsi="Franklin Gothic Book"/>
          <w:sz w:val="22"/>
        </w:rPr>
        <w:t xml:space="preserve">MSAC </w:t>
      </w:r>
      <w:r w:rsidR="009B19E4" w:rsidRPr="7CFE6FF7">
        <w:rPr>
          <w:rFonts w:ascii="Franklin Gothic Book" w:hAnsi="Franklin Gothic Book"/>
          <w:sz w:val="22"/>
        </w:rPr>
        <w:t xml:space="preserve">noted the </w:t>
      </w:r>
      <w:r w:rsidRPr="7CFE6FF7">
        <w:rPr>
          <w:rFonts w:ascii="Franklin Gothic Book" w:hAnsi="Franklin Gothic Book"/>
          <w:sz w:val="22"/>
        </w:rPr>
        <w:t xml:space="preserve">commentary </w:t>
      </w:r>
      <w:r w:rsidR="00C834CE" w:rsidRPr="7CFE6FF7">
        <w:rPr>
          <w:rFonts w:ascii="Franklin Gothic Book" w:hAnsi="Franklin Gothic Book"/>
          <w:sz w:val="22"/>
        </w:rPr>
        <w:t xml:space="preserve">raised </w:t>
      </w:r>
      <w:r w:rsidRPr="7CFE6FF7">
        <w:rPr>
          <w:rFonts w:ascii="Franklin Gothic Book" w:hAnsi="Franklin Gothic Book"/>
          <w:sz w:val="22"/>
        </w:rPr>
        <w:t>the risk of false negative</w:t>
      </w:r>
      <w:r w:rsidR="003907FC" w:rsidRPr="7CFE6FF7">
        <w:rPr>
          <w:rFonts w:ascii="Franklin Gothic Book" w:hAnsi="Franklin Gothic Book"/>
          <w:sz w:val="22"/>
        </w:rPr>
        <w:t xml:space="preserve"> results</w:t>
      </w:r>
      <w:r w:rsidRPr="7CFE6FF7">
        <w:rPr>
          <w:rFonts w:ascii="Franklin Gothic Book" w:hAnsi="Franklin Gothic Book"/>
          <w:sz w:val="22"/>
        </w:rPr>
        <w:t xml:space="preserve"> </w:t>
      </w:r>
      <w:r w:rsidR="00C834CE" w:rsidRPr="7CFE6FF7">
        <w:rPr>
          <w:rFonts w:ascii="Franklin Gothic Book" w:hAnsi="Franklin Gothic Book"/>
          <w:sz w:val="22"/>
        </w:rPr>
        <w:t xml:space="preserve">due to </w:t>
      </w:r>
      <w:r w:rsidRPr="7CFE6FF7">
        <w:rPr>
          <w:rFonts w:ascii="Franklin Gothic Book" w:hAnsi="Franklin Gothic Book"/>
          <w:sz w:val="22"/>
        </w:rPr>
        <w:t xml:space="preserve">suboptimal assays and/or a higher </w:t>
      </w:r>
      <w:r w:rsidR="00F555C5" w:rsidRPr="7CFE6FF7">
        <w:rPr>
          <w:rFonts w:ascii="Franklin Gothic Book" w:hAnsi="Franklin Gothic Book"/>
          <w:sz w:val="22"/>
        </w:rPr>
        <w:t>lower limit of detection (</w:t>
      </w:r>
      <w:r w:rsidRPr="7CFE6FF7">
        <w:rPr>
          <w:rFonts w:ascii="Franklin Gothic Book" w:hAnsi="Franklin Gothic Book"/>
          <w:sz w:val="22"/>
        </w:rPr>
        <w:t>LL</w:t>
      </w:r>
      <w:r w:rsidR="001921EE" w:rsidRPr="7CFE6FF7">
        <w:rPr>
          <w:rFonts w:ascii="Franklin Gothic Book" w:hAnsi="Franklin Gothic Book"/>
          <w:sz w:val="22"/>
        </w:rPr>
        <w:t>o</w:t>
      </w:r>
      <w:r w:rsidRPr="7CFE6FF7">
        <w:rPr>
          <w:rFonts w:ascii="Franklin Gothic Book" w:hAnsi="Franklin Gothic Book"/>
          <w:sz w:val="22"/>
        </w:rPr>
        <w:t>D</w:t>
      </w:r>
      <w:r w:rsidR="00F555C5" w:rsidRPr="7CFE6FF7">
        <w:rPr>
          <w:rFonts w:ascii="Franklin Gothic Book" w:hAnsi="Franklin Gothic Book"/>
          <w:sz w:val="22"/>
        </w:rPr>
        <w:t>)</w:t>
      </w:r>
      <w:r w:rsidRPr="7CFE6FF7">
        <w:rPr>
          <w:rFonts w:ascii="Franklin Gothic Book" w:hAnsi="Franklin Gothic Book"/>
          <w:sz w:val="22"/>
        </w:rPr>
        <w:t xml:space="preserve"> with in-house assays compared to t</w:t>
      </w:r>
      <w:r w:rsidR="001E3B73" w:rsidRPr="7CFE6FF7">
        <w:rPr>
          <w:rFonts w:ascii="Franklin Gothic Book" w:hAnsi="Franklin Gothic Book"/>
          <w:sz w:val="22"/>
        </w:rPr>
        <w:t>h</w:t>
      </w:r>
      <w:r w:rsidRPr="7CFE6FF7">
        <w:rPr>
          <w:rFonts w:ascii="Franklin Gothic Book" w:hAnsi="Franklin Gothic Book"/>
          <w:sz w:val="22"/>
        </w:rPr>
        <w:t>e</w:t>
      </w:r>
      <w:r w:rsidR="001921EE" w:rsidRPr="7CFE6FF7">
        <w:rPr>
          <w:rFonts w:ascii="Franklin Gothic Book" w:hAnsi="Franklin Gothic Book"/>
          <w:sz w:val="22"/>
        </w:rPr>
        <w:t xml:space="preserve"> LLoD of the</w:t>
      </w:r>
      <w:r w:rsidRPr="7CFE6FF7">
        <w:rPr>
          <w:rFonts w:ascii="Franklin Gothic Book" w:hAnsi="Franklin Gothic Book"/>
          <w:sz w:val="22"/>
        </w:rPr>
        <w:t xml:space="preserve"> Robogene assay used in </w:t>
      </w:r>
      <w:r w:rsidR="001921EE" w:rsidRPr="7CFE6FF7">
        <w:rPr>
          <w:rFonts w:ascii="Franklin Gothic Book" w:hAnsi="Franklin Gothic Book"/>
          <w:sz w:val="22"/>
        </w:rPr>
        <w:t xml:space="preserve">the </w:t>
      </w:r>
      <w:r w:rsidRPr="7CFE6FF7">
        <w:rPr>
          <w:rFonts w:ascii="Franklin Gothic Book" w:hAnsi="Franklin Gothic Book"/>
          <w:sz w:val="22"/>
        </w:rPr>
        <w:t>MYR301</w:t>
      </w:r>
      <w:r w:rsidR="001921EE" w:rsidRPr="7CFE6FF7">
        <w:rPr>
          <w:rFonts w:ascii="Franklin Gothic Book" w:hAnsi="Franklin Gothic Book"/>
          <w:sz w:val="22"/>
        </w:rPr>
        <w:t xml:space="preserve"> trial</w:t>
      </w:r>
      <w:r w:rsidR="00602A04" w:rsidRPr="7CFE6FF7">
        <w:rPr>
          <w:rFonts w:ascii="Franklin Gothic Book" w:hAnsi="Franklin Gothic Book"/>
          <w:sz w:val="22"/>
        </w:rPr>
        <w:t>. However</w:t>
      </w:r>
      <w:r w:rsidR="00D4746B">
        <w:rPr>
          <w:rFonts w:ascii="Franklin Gothic Book" w:hAnsi="Franklin Gothic Book"/>
          <w:sz w:val="22"/>
        </w:rPr>
        <w:t>,</w:t>
      </w:r>
      <w:r w:rsidR="00602A04" w:rsidRPr="7CFE6FF7">
        <w:rPr>
          <w:rFonts w:ascii="Franklin Gothic Book" w:hAnsi="Franklin Gothic Book"/>
          <w:sz w:val="22"/>
        </w:rPr>
        <w:t xml:space="preserve"> </w:t>
      </w:r>
      <w:r w:rsidRPr="7CFE6FF7">
        <w:rPr>
          <w:rFonts w:ascii="Franklin Gothic Book" w:hAnsi="Franklin Gothic Book"/>
          <w:sz w:val="22"/>
        </w:rPr>
        <w:t xml:space="preserve">MSAC </w:t>
      </w:r>
      <w:r w:rsidR="0042630A" w:rsidRPr="7CFE6FF7">
        <w:rPr>
          <w:rFonts w:ascii="Franklin Gothic Book" w:hAnsi="Franklin Gothic Book"/>
          <w:sz w:val="22"/>
        </w:rPr>
        <w:t>considered</w:t>
      </w:r>
      <w:r w:rsidRPr="7CFE6FF7">
        <w:rPr>
          <w:rFonts w:ascii="Franklin Gothic Book" w:hAnsi="Franklin Gothic Book"/>
          <w:sz w:val="22"/>
        </w:rPr>
        <w:t xml:space="preserve"> this </w:t>
      </w:r>
      <w:r w:rsidR="0042630A" w:rsidRPr="7CFE6FF7">
        <w:rPr>
          <w:rFonts w:ascii="Franklin Gothic Book" w:hAnsi="Franklin Gothic Book"/>
          <w:sz w:val="22"/>
        </w:rPr>
        <w:t xml:space="preserve">may not </w:t>
      </w:r>
      <w:r w:rsidRPr="7CFE6FF7">
        <w:rPr>
          <w:rFonts w:ascii="Franklin Gothic Book" w:hAnsi="Franklin Gothic Book"/>
          <w:sz w:val="22"/>
        </w:rPr>
        <w:t xml:space="preserve">be a clinically important difference </w:t>
      </w:r>
      <w:r w:rsidR="0042630A" w:rsidRPr="7CFE6FF7">
        <w:rPr>
          <w:rFonts w:ascii="Franklin Gothic Book" w:hAnsi="Franklin Gothic Book"/>
          <w:sz w:val="22"/>
        </w:rPr>
        <w:t>in the future</w:t>
      </w:r>
      <w:r w:rsidR="00D536EF" w:rsidRPr="7CFE6FF7">
        <w:rPr>
          <w:rFonts w:ascii="Franklin Gothic Book" w:hAnsi="Franklin Gothic Book"/>
          <w:sz w:val="22"/>
        </w:rPr>
        <w:t xml:space="preserve"> </w:t>
      </w:r>
      <w:r w:rsidR="00B0488D" w:rsidRPr="00B0488D">
        <w:rPr>
          <w:rFonts w:ascii="Franklin Gothic Book" w:hAnsi="Franklin Gothic Book"/>
          <w:b/>
          <w:bCs/>
          <w:sz w:val="22"/>
        </w:rPr>
        <w:t>redacted</w:t>
      </w:r>
      <w:r w:rsidR="003E6F63" w:rsidRPr="7CFE6FF7">
        <w:rPr>
          <w:rFonts w:ascii="Franklin Gothic Book" w:hAnsi="Franklin Gothic Book"/>
          <w:sz w:val="22"/>
        </w:rPr>
        <w:t xml:space="preserve">. </w:t>
      </w:r>
    </w:p>
    <w:p w14:paraId="39B7C440" w14:textId="65860F2D" w:rsidR="00C76B4F" w:rsidRPr="00C4353E" w:rsidRDefault="00C02813" w:rsidP="00AA6C18">
      <w:pPr>
        <w:jc w:val="left"/>
        <w:rPr>
          <w:rFonts w:ascii="Franklin Gothic Book" w:hAnsi="Franklin Gothic Book"/>
          <w:sz w:val="22"/>
        </w:rPr>
      </w:pPr>
      <w:r>
        <w:rPr>
          <w:rFonts w:ascii="Franklin Gothic Book" w:hAnsi="Franklin Gothic Book"/>
          <w:sz w:val="22"/>
        </w:rPr>
        <w:t xml:space="preserve">MSAC noted that </w:t>
      </w:r>
      <w:r w:rsidR="00C76B4F" w:rsidRPr="00C4353E">
        <w:rPr>
          <w:rFonts w:ascii="Franklin Gothic Book" w:hAnsi="Franklin Gothic Book"/>
          <w:sz w:val="22"/>
        </w:rPr>
        <w:t>the</w:t>
      </w:r>
      <w:r w:rsidR="005258BE">
        <w:rPr>
          <w:rFonts w:ascii="Franklin Gothic Book" w:hAnsi="Franklin Gothic Book"/>
          <w:sz w:val="22"/>
        </w:rPr>
        <w:t xml:space="preserve"> linked</w:t>
      </w:r>
      <w:r w:rsidR="00C76B4F" w:rsidRPr="00C4353E">
        <w:rPr>
          <w:rFonts w:ascii="Franklin Gothic Book" w:hAnsi="Franklin Gothic Book"/>
          <w:sz w:val="22"/>
        </w:rPr>
        <w:t xml:space="preserve"> </w:t>
      </w:r>
      <w:r w:rsidR="00B0785B">
        <w:rPr>
          <w:rFonts w:ascii="Franklin Gothic Book" w:hAnsi="Franklin Gothic Book"/>
          <w:sz w:val="22"/>
        </w:rPr>
        <w:t>evidence for</w:t>
      </w:r>
      <w:r w:rsidR="005258BE">
        <w:rPr>
          <w:rFonts w:ascii="Franklin Gothic Book" w:hAnsi="Franklin Gothic Book"/>
          <w:sz w:val="22"/>
        </w:rPr>
        <w:t xml:space="preserve"> clinical effectiveness</w:t>
      </w:r>
      <w:r w:rsidR="00B0785B">
        <w:rPr>
          <w:rFonts w:ascii="Franklin Gothic Book" w:hAnsi="Franklin Gothic Book"/>
          <w:sz w:val="22"/>
        </w:rPr>
        <w:t xml:space="preserve"> </w:t>
      </w:r>
      <w:r w:rsidR="005258BE">
        <w:rPr>
          <w:rFonts w:ascii="Franklin Gothic Book" w:hAnsi="Franklin Gothic Book"/>
          <w:sz w:val="22"/>
        </w:rPr>
        <w:t>(</w:t>
      </w:r>
      <w:r w:rsidR="00B0785B" w:rsidRPr="00C4353E">
        <w:rPr>
          <w:rFonts w:ascii="Franklin Gothic Book" w:hAnsi="Franklin Gothic Book"/>
          <w:sz w:val="22"/>
        </w:rPr>
        <w:t>test accuracy and performance, prognostic evidence and change in patient management</w:t>
      </w:r>
      <w:r w:rsidR="005258BE">
        <w:rPr>
          <w:rFonts w:ascii="Franklin Gothic Book" w:hAnsi="Franklin Gothic Book"/>
          <w:sz w:val="22"/>
        </w:rPr>
        <w:t>)</w:t>
      </w:r>
      <w:r w:rsidR="00B0785B">
        <w:rPr>
          <w:rFonts w:ascii="Franklin Gothic Book" w:hAnsi="Franklin Gothic Book"/>
          <w:sz w:val="22"/>
        </w:rPr>
        <w:t xml:space="preserve"> </w:t>
      </w:r>
      <w:r w:rsidR="007B39A7">
        <w:rPr>
          <w:rFonts w:ascii="Franklin Gothic Book" w:hAnsi="Franklin Gothic Book"/>
          <w:sz w:val="22"/>
        </w:rPr>
        <w:t>was considered to be at</w:t>
      </w:r>
      <w:r w:rsidR="00C76B4F" w:rsidRPr="00C4353E">
        <w:rPr>
          <w:rFonts w:ascii="Franklin Gothic Book" w:hAnsi="Franklin Gothic Book"/>
          <w:sz w:val="22"/>
        </w:rPr>
        <w:t xml:space="preserve"> hi</w:t>
      </w:r>
      <w:r w:rsidR="00BB1DEC">
        <w:rPr>
          <w:rFonts w:ascii="Franklin Gothic Book" w:hAnsi="Franklin Gothic Book"/>
          <w:sz w:val="22"/>
        </w:rPr>
        <w:t>g</w:t>
      </w:r>
      <w:r w:rsidR="00C76B4F" w:rsidRPr="00C4353E">
        <w:rPr>
          <w:rFonts w:ascii="Franklin Gothic Book" w:hAnsi="Franklin Gothic Book"/>
          <w:sz w:val="22"/>
        </w:rPr>
        <w:t>h risk of bias</w:t>
      </w:r>
      <w:r w:rsidR="00B0785B">
        <w:rPr>
          <w:rFonts w:ascii="Franklin Gothic Book" w:hAnsi="Franklin Gothic Book"/>
          <w:sz w:val="22"/>
        </w:rPr>
        <w:t xml:space="preserve"> in all domains and </w:t>
      </w:r>
      <w:r w:rsidR="00CC3AB7" w:rsidRPr="00CC3AB7">
        <w:rPr>
          <w:rFonts w:ascii="Franklin Gothic Book" w:hAnsi="Franklin Gothic Book"/>
          <w:sz w:val="22"/>
        </w:rPr>
        <w:t>its generalisability was uncertain as no Australian studies were included.</w:t>
      </w:r>
      <w:r w:rsidR="00CC3AB7" w:rsidRPr="00CC3AB7" w:rsidDel="00B0785B">
        <w:rPr>
          <w:rFonts w:ascii="Franklin Gothic Book" w:hAnsi="Franklin Gothic Book"/>
          <w:sz w:val="22"/>
        </w:rPr>
        <w:t xml:space="preserve"> </w:t>
      </w:r>
      <w:r w:rsidR="00C76B4F" w:rsidRPr="00C4353E">
        <w:rPr>
          <w:rFonts w:ascii="Franklin Gothic Book" w:hAnsi="Franklin Gothic Book"/>
          <w:sz w:val="22"/>
        </w:rPr>
        <w:t xml:space="preserve">There was no evidence presented for clinical utility or treatment effect variation. </w:t>
      </w:r>
    </w:p>
    <w:p w14:paraId="59F0A5D6" w14:textId="63012BEE"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 xml:space="preserve">MSAC noted that the presence of HDV RNA as detected by PCR was inconsistently associated with poorer health outcomes (three out of five studies reported a statistically significant association). The prognostic evidence using the baseline presence or absence of HDV RNA was severely confounded </w:t>
      </w:r>
      <w:r w:rsidR="00AB2CB8">
        <w:rPr>
          <w:rFonts w:ascii="Franklin Gothic Book" w:hAnsi="Franklin Gothic Book"/>
          <w:sz w:val="22"/>
        </w:rPr>
        <w:t>by</w:t>
      </w:r>
      <w:r w:rsidR="00AB2CB8" w:rsidRPr="00C4353E">
        <w:rPr>
          <w:rFonts w:ascii="Franklin Gothic Book" w:hAnsi="Franklin Gothic Book"/>
          <w:sz w:val="22"/>
        </w:rPr>
        <w:t xml:space="preserve"> </w:t>
      </w:r>
      <w:r w:rsidRPr="00C4353E">
        <w:rPr>
          <w:rFonts w:ascii="Franklin Gothic Book" w:hAnsi="Franklin Gothic Book"/>
          <w:sz w:val="22"/>
        </w:rPr>
        <w:t xml:space="preserve">treatment variability. In addition, the presence of HDV RNA in patients with anti-HDV antibodies was not significantly associated with any liver-related outcomes, HCC or hepatic decompensation, but was reported in a single study to be significantly associated with risk of death or </w:t>
      </w:r>
      <w:r w:rsidR="00CB6523">
        <w:rPr>
          <w:rFonts w:ascii="Franklin Gothic Book" w:hAnsi="Franklin Gothic Book"/>
          <w:sz w:val="22"/>
        </w:rPr>
        <w:t xml:space="preserve">liver </w:t>
      </w:r>
      <w:r w:rsidRPr="00C4353E">
        <w:rPr>
          <w:rFonts w:ascii="Franklin Gothic Book" w:hAnsi="Franklin Gothic Book"/>
          <w:sz w:val="22"/>
        </w:rPr>
        <w:t>transplantation (k = 1, hazard ratio [HR] = 7.40, 95% CI 1.74, 31.47). However, MSAC noted that the response to treatments (other than bulevirtide) as determined by HDV RNA loss (undetectable</w:t>
      </w:r>
      <w:r w:rsidR="00CB6523">
        <w:rPr>
          <w:rFonts w:ascii="Franklin Gothic Book" w:hAnsi="Franklin Gothic Book"/>
          <w:sz w:val="22"/>
        </w:rPr>
        <w:t xml:space="preserve"> HDV RNA</w:t>
      </w:r>
      <w:r w:rsidRPr="00C4353E">
        <w:rPr>
          <w:rFonts w:ascii="Franklin Gothic Book" w:hAnsi="Franklin Gothic Book"/>
          <w:sz w:val="22"/>
        </w:rPr>
        <w:t xml:space="preserve"> or a ≥2 log</w:t>
      </w:r>
      <w:r w:rsidRPr="00C4353E">
        <w:rPr>
          <w:rFonts w:ascii="Franklin Gothic Book" w:hAnsi="Franklin Gothic Book"/>
          <w:sz w:val="22"/>
          <w:vertAlign w:val="superscript"/>
        </w:rPr>
        <w:t>10</w:t>
      </w:r>
      <w:r w:rsidRPr="00C4353E">
        <w:rPr>
          <w:rFonts w:ascii="Franklin Gothic Book" w:hAnsi="Franklin Gothic Book"/>
          <w:sz w:val="22"/>
        </w:rPr>
        <w:t xml:space="preserve"> drop) was significantly associated with favourable clinical outcomes, and that the persistence of HDV RNA was associated with an increased hazard of any liver-related event. One study reported larger effect sizes by comparing health outcomes in patients who had maintained virologic response (no detectable HDV RNA for two years after completion of treatment) against those with detectable HDV RNA. This indicates that maintained response to treatment was more favourable</w:t>
      </w:r>
      <w:r w:rsidR="00EE777F">
        <w:rPr>
          <w:rFonts w:ascii="Franklin Gothic Book" w:hAnsi="Franklin Gothic Book"/>
          <w:sz w:val="22"/>
        </w:rPr>
        <w:t xml:space="preserve"> in terms of health outcomes,</w:t>
      </w:r>
      <w:r w:rsidRPr="00C4353E">
        <w:rPr>
          <w:rFonts w:ascii="Franklin Gothic Book" w:hAnsi="Franklin Gothic Book"/>
          <w:sz w:val="22"/>
        </w:rPr>
        <w:t xml:space="preserve"> than a single measurement </w:t>
      </w:r>
      <w:r w:rsidR="00EE777F">
        <w:rPr>
          <w:rFonts w:ascii="Franklin Gothic Book" w:hAnsi="Franklin Gothic Book"/>
          <w:sz w:val="22"/>
        </w:rPr>
        <w:t xml:space="preserve">of HDV RNA </w:t>
      </w:r>
      <w:r w:rsidRPr="00C4353E">
        <w:rPr>
          <w:rFonts w:ascii="Franklin Gothic Book" w:hAnsi="Franklin Gothic Book"/>
          <w:sz w:val="22"/>
        </w:rPr>
        <w:t>suggesting response to treatment.</w:t>
      </w:r>
    </w:p>
    <w:p w14:paraId="0016F3BD" w14:textId="7FBCCF7A"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 xml:space="preserve">MSAC agreed with ESC that </w:t>
      </w:r>
      <w:r w:rsidR="00EB2913">
        <w:rPr>
          <w:rFonts w:ascii="Franklin Gothic Book" w:hAnsi="Franklin Gothic Book"/>
          <w:sz w:val="22"/>
        </w:rPr>
        <w:t>codependency</w:t>
      </w:r>
      <w:r w:rsidRPr="00C4353E">
        <w:rPr>
          <w:rFonts w:ascii="Franklin Gothic Book" w:hAnsi="Franklin Gothic Book"/>
          <w:sz w:val="22"/>
        </w:rPr>
        <w:t xml:space="preserve"> </w:t>
      </w:r>
      <w:r w:rsidR="00E278B3">
        <w:rPr>
          <w:rFonts w:ascii="Franklin Gothic Book" w:hAnsi="Franklin Gothic Book"/>
          <w:sz w:val="22"/>
        </w:rPr>
        <w:t>between testing and bulevirtide use</w:t>
      </w:r>
      <w:r w:rsidRPr="00C4353E">
        <w:rPr>
          <w:rFonts w:ascii="Franklin Gothic Book" w:hAnsi="Franklin Gothic Book"/>
          <w:sz w:val="22"/>
        </w:rPr>
        <w:t xml:space="preserve"> </w:t>
      </w:r>
      <w:r w:rsidR="00E278B3">
        <w:rPr>
          <w:rFonts w:ascii="Franklin Gothic Book" w:hAnsi="Franklin Gothic Book"/>
          <w:sz w:val="22"/>
        </w:rPr>
        <w:t>had</w:t>
      </w:r>
      <w:r w:rsidR="00E278B3" w:rsidRPr="00C4353E">
        <w:rPr>
          <w:rFonts w:ascii="Franklin Gothic Book" w:hAnsi="Franklin Gothic Book"/>
          <w:sz w:val="22"/>
        </w:rPr>
        <w:t xml:space="preserve"> </w:t>
      </w:r>
      <w:r w:rsidRPr="00C4353E">
        <w:rPr>
          <w:rFonts w:ascii="Franklin Gothic Book" w:hAnsi="Franklin Gothic Book"/>
          <w:sz w:val="22"/>
        </w:rPr>
        <w:t xml:space="preserve">not </w:t>
      </w:r>
      <w:r w:rsidR="00E278B3">
        <w:rPr>
          <w:rFonts w:ascii="Franklin Gothic Book" w:hAnsi="Franklin Gothic Book"/>
          <w:sz w:val="22"/>
        </w:rPr>
        <w:t>been sufficiently</w:t>
      </w:r>
      <w:r w:rsidRPr="00C4353E">
        <w:rPr>
          <w:rFonts w:ascii="Franklin Gothic Book" w:hAnsi="Franklin Gothic Book"/>
          <w:sz w:val="22"/>
        </w:rPr>
        <w:t xml:space="preserve"> established. As mentioned, the continuation and discontinuation criteria for bulevirtide were not included in the submission, and there were inconsistencies between the clinical criteria, the Product Information and the key trial MYR301. </w:t>
      </w:r>
      <w:r w:rsidR="00E278B3">
        <w:rPr>
          <w:rFonts w:ascii="Franklin Gothic Book" w:hAnsi="Franklin Gothic Book"/>
          <w:sz w:val="22"/>
        </w:rPr>
        <w:t>MSAC considered i</w:t>
      </w:r>
      <w:r w:rsidRPr="00C4353E">
        <w:rPr>
          <w:rFonts w:ascii="Franklin Gothic Book" w:hAnsi="Franklin Gothic Book"/>
          <w:sz w:val="22"/>
        </w:rPr>
        <w:t xml:space="preserve">t </w:t>
      </w:r>
      <w:r w:rsidR="00E278B3">
        <w:rPr>
          <w:rFonts w:ascii="Franklin Gothic Book" w:hAnsi="Franklin Gothic Book"/>
          <w:sz w:val="22"/>
        </w:rPr>
        <w:t>wa</w:t>
      </w:r>
      <w:r w:rsidRPr="00C4353E">
        <w:rPr>
          <w:rFonts w:ascii="Franklin Gothic Book" w:hAnsi="Franklin Gothic Book"/>
          <w:sz w:val="22"/>
        </w:rPr>
        <w:t xml:space="preserve">s unknown whether the level of HDV RNA (other than the presence of HDV RNA) would be used to alter patient management in non-responders or </w:t>
      </w:r>
      <w:r w:rsidR="00355E1F" w:rsidRPr="00C4353E">
        <w:rPr>
          <w:rFonts w:ascii="Franklin Gothic Book" w:hAnsi="Franklin Gothic Book"/>
          <w:sz w:val="22"/>
        </w:rPr>
        <w:t>partial responders</w:t>
      </w:r>
      <w:r w:rsidRPr="00C4353E">
        <w:rPr>
          <w:rFonts w:ascii="Franklin Gothic Book" w:hAnsi="Franklin Gothic Book"/>
          <w:sz w:val="22"/>
        </w:rPr>
        <w:t xml:space="preserve">. MSAC noted that the </w:t>
      </w:r>
      <w:r w:rsidR="00507DB4">
        <w:rPr>
          <w:rFonts w:ascii="Franklin Gothic Book" w:hAnsi="Franklin Gothic Book"/>
          <w:sz w:val="22"/>
        </w:rPr>
        <w:t xml:space="preserve">duration of the </w:t>
      </w:r>
      <w:r w:rsidRPr="00C4353E">
        <w:rPr>
          <w:rFonts w:ascii="Franklin Gothic Book" w:hAnsi="Franklin Gothic Book"/>
          <w:sz w:val="22"/>
        </w:rPr>
        <w:t>chronicity of detectable HDV RNA</w:t>
      </w:r>
      <w:r w:rsidR="003838D0">
        <w:rPr>
          <w:rFonts w:ascii="Franklin Gothic Book" w:hAnsi="Franklin Gothic Book"/>
          <w:sz w:val="22"/>
        </w:rPr>
        <w:t xml:space="preserve"> that would determine</w:t>
      </w:r>
      <w:r w:rsidRPr="00C4353E">
        <w:rPr>
          <w:rFonts w:ascii="Franklin Gothic Book" w:hAnsi="Franklin Gothic Book"/>
          <w:sz w:val="22"/>
        </w:rPr>
        <w:t xml:space="preserve"> </w:t>
      </w:r>
      <w:r w:rsidR="00E278B3" w:rsidRPr="00C4353E">
        <w:rPr>
          <w:rFonts w:ascii="Franklin Gothic Book" w:hAnsi="Franklin Gothic Book"/>
          <w:sz w:val="22"/>
        </w:rPr>
        <w:t>eligibi</w:t>
      </w:r>
      <w:r w:rsidR="00E278B3">
        <w:rPr>
          <w:rFonts w:ascii="Franklin Gothic Book" w:hAnsi="Franklin Gothic Book"/>
          <w:sz w:val="22"/>
        </w:rPr>
        <w:t>lity</w:t>
      </w:r>
      <w:r w:rsidRPr="00C4353E">
        <w:rPr>
          <w:rFonts w:ascii="Franklin Gothic Book" w:hAnsi="Franklin Gothic Book"/>
          <w:sz w:val="22"/>
        </w:rPr>
        <w:t xml:space="preserve"> for bulevirtide ha</w:t>
      </w:r>
      <w:r w:rsidR="001404A0">
        <w:rPr>
          <w:rFonts w:ascii="Franklin Gothic Book" w:hAnsi="Franklin Gothic Book"/>
          <w:sz w:val="22"/>
        </w:rPr>
        <w:t>d</w:t>
      </w:r>
      <w:r w:rsidRPr="00C4353E">
        <w:rPr>
          <w:rFonts w:ascii="Franklin Gothic Book" w:hAnsi="Franklin Gothic Book"/>
          <w:sz w:val="22"/>
        </w:rPr>
        <w:t xml:space="preserve"> not been defined. </w:t>
      </w:r>
      <w:r w:rsidR="009B72E8">
        <w:rPr>
          <w:rFonts w:ascii="Franklin Gothic Book" w:hAnsi="Franklin Gothic Book"/>
          <w:sz w:val="22"/>
        </w:rPr>
        <w:t xml:space="preserve">MSAC </w:t>
      </w:r>
      <w:r w:rsidR="007F4FBC">
        <w:rPr>
          <w:rFonts w:ascii="Franklin Gothic Book" w:hAnsi="Franklin Gothic Book"/>
          <w:sz w:val="22"/>
        </w:rPr>
        <w:t>considered</w:t>
      </w:r>
      <w:r w:rsidR="009B72E8">
        <w:rPr>
          <w:rFonts w:ascii="Franklin Gothic Book" w:hAnsi="Franklin Gothic Book"/>
          <w:sz w:val="22"/>
        </w:rPr>
        <w:t xml:space="preserve"> that </w:t>
      </w:r>
      <w:r w:rsidR="00E01F71">
        <w:rPr>
          <w:rFonts w:ascii="Franklin Gothic Book" w:hAnsi="Franklin Gothic Book"/>
          <w:sz w:val="22"/>
        </w:rPr>
        <w:t xml:space="preserve">a duration of detectable HDV RNA of at least 6 months </w:t>
      </w:r>
      <w:r w:rsidR="001B2D68">
        <w:rPr>
          <w:rFonts w:ascii="Franklin Gothic Book" w:hAnsi="Franklin Gothic Book"/>
          <w:sz w:val="22"/>
        </w:rPr>
        <w:t>would</w:t>
      </w:r>
      <w:r w:rsidR="00E01F71">
        <w:rPr>
          <w:rFonts w:ascii="Franklin Gothic Book" w:hAnsi="Franklin Gothic Book"/>
          <w:sz w:val="22"/>
        </w:rPr>
        <w:t xml:space="preserve"> be reasonable because only </w:t>
      </w:r>
      <w:r w:rsidR="00C27C24">
        <w:rPr>
          <w:rFonts w:ascii="Franklin Gothic Book" w:hAnsi="Franklin Gothic Book"/>
          <w:sz w:val="22"/>
        </w:rPr>
        <w:t xml:space="preserve">patients with </w:t>
      </w:r>
      <w:r w:rsidR="001B2D68">
        <w:rPr>
          <w:rFonts w:ascii="Franklin Gothic Book" w:hAnsi="Franklin Gothic Book"/>
          <w:sz w:val="22"/>
        </w:rPr>
        <w:t>chronic HDV infection required treatment</w:t>
      </w:r>
      <w:r w:rsidR="002963A3">
        <w:rPr>
          <w:rFonts w:ascii="Franklin Gothic Book" w:hAnsi="Franklin Gothic Book"/>
          <w:sz w:val="22"/>
        </w:rPr>
        <w:t xml:space="preserve">, although </w:t>
      </w:r>
      <w:r w:rsidR="00276E9F">
        <w:rPr>
          <w:rFonts w:ascii="Franklin Gothic Book" w:hAnsi="Franklin Gothic Book"/>
          <w:sz w:val="22"/>
        </w:rPr>
        <w:t>detection of acute infection was unlikely</w:t>
      </w:r>
      <w:r w:rsidR="001B2D68">
        <w:rPr>
          <w:rFonts w:ascii="Franklin Gothic Book" w:hAnsi="Franklin Gothic Book"/>
          <w:sz w:val="22"/>
        </w:rPr>
        <w:t xml:space="preserve">. </w:t>
      </w:r>
      <w:r w:rsidRPr="00C4353E">
        <w:rPr>
          <w:rFonts w:ascii="Franklin Gothic Book" w:hAnsi="Franklin Gothic Book"/>
          <w:sz w:val="22"/>
        </w:rPr>
        <w:t xml:space="preserve">MSAC considered that </w:t>
      </w:r>
      <w:r w:rsidR="00276E9F">
        <w:rPr>
          <w:rFonts w:ascii="Franklin Gothic Book" w:hAnsi="Franklin Gothic Book"/>
          <w:sz w:val="22"/>
        </w:rPr>
        <w:t>this testing also has</w:t>
      </w:r>
      <w:r w:rsidR="00276E9F" w:rsidRPr="00C4353E">
        <w:rPr>
          <w:rFonts w:ascii="Franklin Gothic Book" w:hAnsi="Franklin Gothic Book"/>
          <w:sz w:val="22"/>
        </w:rPr>
        <w:t xml:space="preserve"> </w:t>
      </w:r>
      <w:r w:rsidR="00276E9F">
        <w:rPr>
          <w:rFonts w:ascii="Franklin Gothic Book" w:hAnsi="Franklin Gothic Book"/>
          <w:sz w:val="22"/>
        </w:rPr>
        <w:t xml:space="preserve">potential </w:t>
      </w:r>
      <w:r w:rsidRPr="00C4353E">
        <w:rPr>
          <w:rFonts w:ascii="Franklin Gothic Book" w:hAnsi="Franklin Gothic Book"/>
          <w:sz w:val="22"/>
        </w:rPr>
        <w:t>prognostic value</w:t>
      </w:r>
      <w:r w:rsidR="001404A0">
        <w:rPr>
          <w:rFonts w:ascii="Franklin Gothic Book" w:hAnsi="Franklin Gothic Book"/>
          <w:sz w:val="22"/>
        </w:rPr>
        <w:t xml:space="preserve"> </w:t>
      </w:r>
      <w:r w:rsidR="00276E9F">
        <w:rPr>
          <w:rFonts w:ascii="Franklin Gothic Book" w:hAnsi="Franklin Gothic Book"/>
          <w:sz w:val="22"/>
        </w:rPr>
        <w:t>from</w:t>
      </w:r>
      <w:r w:rsidRPr="00C4353E">
        <w:rPr>
          <w:rFonts w:ascii="Franklin Gothic Book" w:hAnsi="Franklin Gothic Book"/>
          <w:sz w:val="22"/>
        </w:rPr>
        <w:t xml:space="preserve"> the detection of active infection.</w:t>
      </w:r>
    </w:p>
    <w:p w14:paraId="0B9149D8" w14:textId="59770F90"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lastRenderedPageBreak/>
        <w:t xml:space="preserve">MSAC noted that the </w:t>
      </w:r>
      <w:r w:rsidR="00276E9F">
        <w:rPr>
          <w:rFonts w:ascii="Franklin Gothic Book" w:hAnsi="Franklin Gothic Book"/>
          <w:sz w:val="22"/>
        </w:rPr>
        <w:t>ADAR</w:t>
      </w:r>
      <w:r w:rsidRPr="00C4353E">
        <w:rPr>
          <w:rFonts w:ascii="Franklin Gothic Book" w:hAnsi="Franklin Gothic Book"/>
          <w:sz w:val="22"/>
        </w:rPr>
        <w:t xml:space="preserve"> did not explore </w:t>
      </w:r>
      <w:r w:rsidR="008E29BF">
        <w:rPr>
          <w:rFonts w:ascii="Franklin Gothic Book" w:hAnsi="Franklin Gothic Book"/>
          <w:sz w:val="22"/>
        </w:rPr>
        <w:t>alternative</w:t>
      </w:r>
      <w:r w:rsidR="008E29BF" w:rsidRPr="00C4353E">
        <w:rPr>
          <w:rFonts w:ascii="Franklin Gothic Book" w:hAnsi="Franklin Gothic Book"/>
          <w:sz w:val="22"/>
        </w:rPr>
        <w:t xml:space="preserve"> </w:t>
      </w:r>
      <w:r w:rsidRPr="00C4353E">
        <w:rPr>
          <w:rFonts w:ascii="Franklin Gothic Book" w:hAnsi="Franklin Gothic Book"/>
          <w:sz w:val="22"/>
        </w:rPr>
        <w:t xml:space="preserve">scenarios of test and treatment provision. </w:t>
      </w:r>
      <w:r w:rsidR="0032754A" w:rsidRPr="00C4353E">
        <w:rPr>
          <w:rFonts w:ascii="Franklin Gothic Book" w:hAnsi="Franklin Gothic Book"/>
          <w:sz w:val="22"/>
        </w:rPr>
        <w:t xml:space="preserve">The pre-MSAC response stated that alternative treatment pathways were out of scope, which MSAC did not agree with. </w:t>
      </w:r>
      <w:r w:rsidR="00DE5496">
        <w:rPr>
          <w:rFonts w:ascii="Franklin Gothic Book" w:hAnsi="Franklin Gothic Book"/>
          <w:sz w:val="22"/>
        </w:rPr>
        <w:t>MSAC considered that t</w:t>
      </w:r>
      <w:r w:rsidRPr="00C4353E">
        <w:rPr>
          <w:rFonts w:ascii="Franklin Gothic Book" w:hAnsi="Franklin Gothic Book"/>
          <w:sz w:val="22"/>
        </w:rPr>
        <w:t xml:space="preserve">here may be benefits of testing independent of treatment, given the prognostic information </w:t>
      </w:r>
      <w:r w:rsidR="00A041E9">
        <w:rPr>
          <w:rFonts w:ascii="Franklin Gothic Book" w:hAnsi="Franklin Gothic Book"/>
          <w:sz w:val="22"/>
        </w:rPr>
        <w:t>that</w:t>
      </w:r>
      <w:r w:rsidRPr="00C4353E">
        <w:rPr>
          <w:rFonts w:ascii="Franklin Gothic Book" w:hAnsi="Franklin Gothic Book"/>
          <w:sz w:val="22"/>
        </w:rPr>
        <w:t xml:space="preserve"> HDV RNA testing may provide. MSAC noted that public consultation supported this approach at the PICO confirmation stage</w:t>
      </w:r>
      <w:r w:rsidR="00761289">
        <w:rPr>
          <w:rFonts w:ascii="Franklin Gothic Book" w:hAnsi="Franklin Gothic Book"/>
          <w:sz w:val="22"/>
        </w:rPr>
        <w:t>, yet the ADAR had not subsequently addressed it</w:t>
      </w:r>
      <w:r w:rsidRPr="00C4353E">
        <w:rPr>
          <w:rFonts w:ascii="Franklin Gothic Book" w:hAnsi="Franklin Gothic Book"/>
          <w:sz w:val="22"/>
        </w:rPr>
        <w:t>.</w:t>
      </w:r>
    </w:p>
    <w:p w14:paraId="5FCA8F14" w14:textId="0EEF352C"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MSAC noted that the economic evaluation was a cost-utility analysis comparing bulevirtide treatment to best supportive care (BSC) in patients with RNA-positive chronic HDV based on virologic response rates (defined as undetectable HDV RNA or a decrease in HDV RNA by ≥2 log</w:t>
      </w:r>
      <w:r w:rsidRPr="00C4353E">
        <w:rPr>
          <w:rFonts w:ascii="Franklin Gothic Book" w:hAnsi="Franklin Gothic Book"/>
          <w:sz w:val="22"/>
          <w:vertAlign w:val="superscript"/>
        </w:rPr>
        <w:t>10</w:t>
      </w:r>
      <w:r w:rsidRPr="00C4353E">
        <w:rPr>
          <w:rFonts w:ascii="Franklin Gothic Book" w:hAnsi="Franklin Gothic Book"/>
          <w:sz w:val="22"/>
        </w:rPr>
        <w:t xml:space="preserve"> IU/mL from baseline) as reported in the MYR301 trial. </w:t>
      </w:r>
      <w:r w:rsidR="008E1405">
        <w:rPr>
          <w:rFonts w:ascii="Franklin Gothic Book" w:hAnsi="Franklin Gothic Book"/>
          <w:sz w:val="22"/>
        </w:rPr>
        <w:t>MSAC noted that s</w:t>
      </w:r>
      <w:r w:rsidRPr="00C4353E">
        <w:rPr>
          <w:rFonts w:ascii="Franklin Gothic Book" w:hAnsi="Franklin Gothic Book"/>
          <w:sz w:val="22"/>
        </w:rPr>
        <w:t>ince patients enter</w:t>
      </w:r>
      <w:r w:rsidR="0095723A">
        <w:rPr>
          <w:rFonts w:ascii="Franklin Gothic Book" w:hAnsi="Franklin Gothic Book"/>
          <w:sz w:val="22"/>
        </w:rPr>
        <w:t>ed</w:t>
      </w:r>
      <w:r w:rsidRPr="00C4353E">
        <w:rPr>
          <w:rFonts w:ascii="Franklin Gothic Book" w:hAnsi="Franklin Gothic Book"/>
          <w:sz w:val="22"/>
        </w:rPr>
        <w:t xml:space="preserve"> the model at the point of treatment, </w:t>
      </w:r>
      <w:r w:rsidR="008E1405">
        <w:rPr>
          <w:rFonts w:ascii="Franklin Gothic Book" w:hAnsi="Franklin Gothic Book"/>
          <w:sz w:val="22"/>
        </w:rPr>
        <w:t>the</w:t>
      </w:r>
      <w:r w:rsidRPr="00C4353E">
        <w:rPr>
          <w:rFonts w:ascii="Franklin Gothic Book" w:hAnsi="Franklin Gothic Book"/>
          <w:sz w:val="22"/>
        </w:rPr>
        <w:t xml:space="preserve"> cost of testing to find one patient eligible for treatment was applied at model entry. MSAC </w:t>
      </w:r>
      <w:r w:rsidR="008E1405">
        <w:rPr>
          <w:rFonts w:ascii="Franklin Gothic Book" w:hAnsi="Franklin Gothic Book"/>
          <w:sz w:val="22"/>
        </w:rPr>
        <w:t>considered</w:t>
      </w:r>
      <w:r w:rsidRPr="00C4353E">
        <w:rPr>
          <w:rFonts w:ascii="Franklin Gothic Book" w:hAnsi="Franklin Gothic Book"/>
          <w:sz w:val="22"/>
        </w:rPr>
        <w:t xml:space="preserve"> that this was not </w:t>
      </w:r>
      <w:r w:rsidR="00E23DAF">
        <w:rPr>
          <w:rFonts w:ascii="Franklin Gothic Book" w:hAnsi="Franklin Gothic Book"/>
          <w:sz w:val="22"/>
        </w:rPr>
        <w:t>its preferred</w:t>
      </w:r>
      <w:r w:rsidR="00E23DAF" w:rsidRPr="00C4353E">
        <w:rPr>
          <w:rFonts w:ascii="Franklin Gothic Book" w:hAnsi="Franklin Gothic Book"/>
          <w:sz w:val="22"/>
        </w:rPr>
        <w:t xml:space="preserve"> </w:t>
      </w:r>
      <w:r w:rsidRPr="00C4353E">
        <w:rPr>
          <w:rFonts w:ascii="Franklin Gothic Book" w:hAnsi="Franklin Gothic Book"/>
          <w:sz w:val="22"/>
        </w:rPr>
        <w:t xml:space="preserve">approach </w:t>
      </w:r>
      <w:r w:rsidR="00E23DAF">
        <w:rPr>
          <w:rFonts w:ascii="Franklin Gothic Book" w:hAnsi="Franklin Gothic Book"/>
          <w:sz w:val="22"/>
        </w:rPr>
        <w:t>as described</w:t>
      </w:r>
      <w:r w:rsidR="00E23DAF" w:rsidRPr="00C4353E">
        <w:rPr>
          <w:rFonts w:ascii="Franklin Gothic Book" w:hAnsi="Franklin Gothic Book"/>
          <w:sz w:val="22"/>
        </w:rPr>
        <w:t xml:space="preserve"> </w:t>
      </w:r>
      <w:r w:rsidRPr="00C4353E">
        <w:rPr>
          <w:rFonts w:ascii="Franklin Gothic Book" w:hAnsi="Franklin Gothic Book"/>
          <w:sz w:val="22"/>
        </w:rPr>
        <w:t xml:space="preserve">in the MSAC Guidelines for submissions of </w:t>
      </w:r>
      <w:r w:rsidR="00EB2913">
        <w:rPr>
          <w:rFonts w:ascii="Franklin Gothic Book" w:hAnsi="Franklin Gothic Book"/>
          <w:sz w:val="22"/>
        </w:rPr>
        <w:t>codependent</w:t>
      </w:r>
      <w:r w:rsidRPr="00C4353E">
        <w:rPr>
          <w:rFonts w:ascii="Franklin Gothic Book" w:hAnsi="Franklin Gothic Book"/>
          <w:sz w:val="22"/>
        </w:rPr>
        <w:t xml:space="preserve"> technologies</w:t>
      </w:r>
      <w:r w:rsidR="0012038C">
        <w:rPr>
          <w:rFonts w:ascii="Franklin Gothic Book" w:hAnsi="Franklin Gothic Book"/>
          <w:sz w:val="22"/>
        </w:rPr>
        <w:t>, because it omits consideration of the impact of false results</w:t>
      </w:r>
      <w:r w:rsidRPr="00C4353E">
        <w:rPr>
          <w:rFonts w:ascii="Franklin Gothic Book" w:hAnsi="Franklin Gothic Book"/>
          <w:sz w:val="22"/>
        </w:rPr>
        <w:t>. MSAC considered that the impact of a false positive result could be significant because these patients may appear to (falsely) respond to bulevirtide treatment and depending on the continuation criteria for treatment, may receive ongoing treatment for no benefit. In addition, MSAC considered that false positive results may have differing and uncertain impacts depending on whether the test is used to determine eligibility for starting treatment or to monitor treatment.</w:t>
      </w:r>
      <w:r w:rsidR="006B413C" w:rsidRPr="006B413C">
        <w:rPr>
          <w:rFonts w:ascii="Franklin Gothic Book" w:hAnsi="Franklin Gothic Book"/>
          <w:sz w:val="22"/>
        </w:rPr>
        <w:t xml:space="preserve"> </w:t>
      </w:r>
    </w:p>
    <w:p w14:paraId="3D4A9846" w14:textId="1D0E4EC5" w:rsidR="00020A6F" w:rsidRPr="00C4353E" w:rsidRDefault="00C76B4F" w:rsidP="00AA6C18">
      <w:pPr>
        <w:jc w:val="left"/>
        <w:rPr>
          <w:rFonts w:ascii="Franklin Gothic Book" w:hAnsi="Franklin Gothic Book"/>
          <w:sz w:val="22"/>
        </w:rPr>
      </w:pPr>
      <w:r w:rsidRPr="00C4353E">
        <w:rPr>
          <w:rFonts w:ascii="Franklin Gothic Book" w:hAnsi="Franklin Gothic Book"/>
          <w:sz w:val="22"/>
        </w:rPr>
        <w:t xml:space="preserve">MSAC noted that six-monthly monitoring with HDV RNA testing while on bulevirtide treatment was included in the </w:t>
      </w:r>
      <w:r w:rsidR="00C60622">
        <w:rPr>
          <w:rFonts w:ascii="Franklin Gothic Book" w:hAnsi="Franklin Gothic Book"/>
          <w:sz w:val="22"/>
        </w:rPr>
        <w:t>economic modelling</w:t>
      </w:r>
      <w:r w:rsidR="00C60622" w:rsidRPr="00C4353E">
        <w:rPr>
          <w:rFonts w:ascii="Franklin Gothic Book" w:hAnsi="Franklin Gothic Book"/>
          <w:sz w:val="22"/>
        </w:rPr>
        <w:t xml:space="preserve"> </w:t>
      </w:r>
      <w:r w:rsidRPr="00C4353E">
        <w:rPr>
          <w:rFonts w:ascii="Franklin Gothic Book" w:hAnsi="Franklin Gothic Book"/>
          <w:sz w:val="22"/>
        </w:rPr>
        <w:t>and was consistent with the proposed MBS item descriptor. However, the only change in management from the inclusion of HDV RNA monitoring that was modelled was to cease treatment in non-responders at week 96. As mentioned, MSAC noted that alternate scenarios of test</w:t>
      </w:r>
      <w:r w:rsidR="005D42AD">
        <w:rPr>
          <w:rFonts w:ascii="Franklin Gothic Book" w:hAnsi="Franklin Gothic Book"/>
          <w:sz w:val="22"/>
        </w:rPr>
        <w:t xml:space="preserve"> and </w:t>
      </w:r>
      <w:r w:rsidRPr="00C4353E">
        <w:rPr>
          <w:rFonts w:ascii="Franklin Gothic Book" w:hAnsi="Franklin Gothic Book"/>
          <w:sz w:val="22"/>
        </w:rPr>
        <w:t xml:space="preserve">treatment provision were not explored in the submission. In addition, MSAC considered it likely that uptake and adherence to drug </w:t>
      </w:r>
      <w:r w:rsidR="00FE0E69">
        <w:rPr>
          <w:rFonts w:ascii="Franklin Gothic Book" w:hAnsi="Franklin Gothic Book"/>
          <w:sz w:val="22"/>
        </w:rPr>
        <w:t>treatment</w:t>
      </w:r>
      <w:r w:rsidRPr="00C4353E">
        <w:rPr>
          <w:rFonts w:ascii="Franklin Gothic Book" w:hAnsi="Franklin Gothic Book"/>
          <w:sz w:val="22"/>
        </w:rPr>
        <w:t xml:space="preserve"> </w:t>
      </w:r>
      <w:r w:rsidR="00FE0E69">
        <w:rPr>
          <w:rFonts w:ascii="Franklin Gothic Book" w:hAnsi="Franklin Gothic Book"/>
          <w:sz w:val="22"/>
        </w:rPr>
        <w:t>had been</w:t>
      </w:r>
      <w:r w:rsidR="00FE0E69" w:rsidRPr="00C4353E">
        <w:rPr>
          <w:rFonts w:ascii="Franklin Gothic Book" w:hAnsi="Franklin Gothic Book"/>
          <w:sz w:val="22"/>
        </w:rPr>
        <w:t xml:space="preserve"> </w:t>
      </w:r>
      <w:r w:rsidRPr="00C4353E">
        <w:rPr>
          <w:rFonts w:ascii="Franklin Gothic Book" w:hAnsi="Franklin Gothic Book"/>
          <w:sz w:val="22"/>
        </w:rPr>
        <w:t>overestimated</w:t>
      </w:r>
      <w:r w:rsidR="00FE0E69">
        <w:rPr>
          <w:rFonts w:ascii="Franklin Gothic Book" w:hAnsi="Franklin Gothic Book"/>
          <w:sz w:val="22"/>
        </w:rPr>
        <w:t xml:space="preserve"> by the ADAR</w:t>
      </w:r>
      <w:r w:rsidRPr="00C4353E">
        <w:rPr>
          <w:rFonts w:ascii="Franklin Gothic Book" w:hAnsi="Franklin Gothic Book"/>
          <w:sz w:val="22"/>
        </w:rPr>
        <w:t>, because drug administration is a daily injection for about 8 years.</w:t>
      </w:r>
      <w:r w:rsidR="00020A6F">
        <w:rPr>
          <w:rFonts w:ascii="Franklin Gothic Book" w:hAnsi="Franklin Gothic Book"/>
          <w:sz w:val="22"/>
        </w:rPr>
        <w:t xml:space="preserve"> MSAC </w:t>
      </w:r>
      <w:r w:rsidR="00BD3B9E">
        <w:rPr>
          <w:rFonts w:ascii="Franklin Gothic Book" w:hAnsi="Franklin Gothic Book"/>
          <w:sz w:val="22"/>
        </w:rPr>
        <w:t>considered</w:t>
      </w:r>
      <w:r w:rsidR="00020A6F">
        <w:rPr>
          <w:rFonts w:ascii="Franklin Gothic Book" w:hAnsi="Franklin Gothic Book"/>
          <w:sz w:val="22"/>
        </w:rPr>
        <w:t xml:space="preserve"> that the EASL guidelines</w:t>
      </w:r>
      <w:r w:rsidR="00BD3B9E">
        <w:rPr>
          <w:rFonts w:ascii="Franklin Gothic Book" w:hAnsi="Franklin Gothic Book"/>
          <w:sz w:val="22"/>
        </w:rPr>
        <w:t>’</w:t>
      </w:r>
      <w:r w:rsidR="00020A6F">
        <w:rPr>
          <w:rFonts w:ascii="Franklin Gothic Book" w:hAnsi="Franklin Gothic Book"/>
          <w:sz w:val="22"/>
        </w:rPr>
        <w:t xml:space="preserve"> recommendations on retesting had additional implications for the projected utilisation of the test </w:t>
      </w:r>
      <w:r w:rsidR="002B6659">
        <w:rPr>
          <w:rFonts w:ascii="Franklin Gothic Book" w:hAnsi="Franklin Gothic Book"/>
          <w:sz w:val="22"/>
        </w:rPr>
        <w:t>that had</w:t>
      </w:r>
      <w:r w:rsidR="00020A6F">
        <w:rPr>
          <w:rFonts w:ascii="Franklin Gothic Book" w:hAnsi="Franklin Gothic Book"/>
          <w:sz w:val="22"/>
        </w:rPr>
        <w:t xml:space="preserve"> not been captured in the economic model (or the financial implications).</w:t>
      </w:r>
    </w:p>
    <w:p w14:paraId="171E3934" w14:textId="607203C1" w:rsidR="000E1F80" w:rsidRPr="00C4353E" w:rsidRDefault="000E1F80" w:rsidP="000E1F80">
      <w:pPr>
        <w:jc w:val="left"/>
        <w:rPr>
          <w:rFonts w:ascii="Franklin Gothic Book" w:hAnsi="Franklin Gothic Book"/>
          <w:sz w:val="22"/>
        </w:rPr>
      </w:pPr>
      <w:r w:rsidRPr="00C4353E">
        <w:rPr>
          <w:rFonts w:ascii="Franklin Gothic Book" w:hAnsi="Franklin Gothic Book"/>
          <w:sz w:val="22"/>
        </w:rPr>
        <w:t xml:space="preserve">MSAC noted the base case </w:t>
      </w:r>
      <w:r>
        <w:rPr>
          <w:rFonts w:ascii="Franklin Gothic Book" w:hAnsi="Franklin Gothic Book"/>
          <w:sz w:val="22"/>
        </w:rPr>
        <w:t>incremental cost-effectiveness ratio</w:t>
      </w:r>
      <w:r w:rsidRPr="00C4353E">
        <w:rPr>
          <w:rFonts w:ascii="Franklin Gothic Book" w:hAnsi="Franklin Gothic Book"/>
          <w:sz w:val="22"/>
        </w:rPr>
        <w:t xml:space="preserve"> </w:t>
      </w:r>
      <w:r>
        <w:rPr>
          <w:rFonts w:ascii="Franklin Gothic Book" w:hAnsi="Franklin Gothic Book"/>
          <w:sz w:val="22"/>
        </w:rPr>
        <w:t>(</w:t>
      </w:r>
      <w:r w:rsidRPr="00C4353E">
        <w:rPr>
          <w:rFonts w:ascii="Franklin Gothic Book" w:hAnsi="Franklin Gothic Book"/>
          <w:sz w:val="22"/>
        </w:rPr>
        <w:t>ICER</w:t>
      </w:r>
      <w:r>
        <w:rPr>
          <w:rFonts w:ascii="Franklin Gothic Book" w:hAnsi="Franklin Gothic Book"/>
          <w:sz w:val="22"/>
        </w:rPr>
        <w:t>)</w:t>
      </w:r>
      <w:r w:rsidRPr="00C4353E">
        <w:rPr>
          <w:rFonts w:ascii="Franklin Gothic Book" w:hAnsi="Franklin Gothic Book"/>
          <w:sz w:val="22"/>
        </w:rPr>
        <w:t xml:space="preserve"> generated </w:t>
      </w:r>
      <w:r>
        <w:rPr>
          <w:rFonts w:ascii="Franklin Gothic Book" w:hAnsi="Franklin Gothic Book"/>
          <w:sz w:val="22"/>
        </w:rPr>
        <w:t>using</w:t>
      </w:r>
      <w:r w:rsidRPr="00C4353E">
        <w:rPr>
          <w:rFonts w:ascii="Franklin Gothic Book" w:hAnsi="Franklin Gothic Book"/>
          <w:sz w:val="22"/>
        </w:rPr>
        <w:t xml:space="preserve"> a stepped approach was </w:t>
      </w:r>
      <w:r w:rsidR="00FE2CFC" w:rsidRPr="00FE2CFC">
        <w:rPr>
          <w:rFonts w:ascii="Franklin Gothic Book" w:hAnsi="Franklin Gothic Book"/>
          <w:sz w:val="22"/>
        </w:rPr>
        <w:t>$95,000 to &lt; $115,000</w:t>
      </w:r>
      <w:r w:rsidR="00B24EDE">
        <w:rPr>
          <w:rFonts w:ascii="Franklin Gothic Book" w:hAnsi="Franklin Gothic Book"/>
          <w:sz w:val="22"/>
        </w:rPr>
        <w:t xml:space="preserve"> </w:t>
      </w:r>
      <w:r w:rsidRPr="00C4353E">
        <w:rPr>
          <w:rFonts w:ascii="Franklin Gothic Book" w:hAnsi="Franklin Gothic Book"/>
          <w:sz w:val="22"/>
        </w:rPr>
        <w:t>per quality-adjusted life year (QALY).</w:t>
      </w:r>
      <w:r>
        <w:rPr>
          <w:rFonts w:ascii="Franklin Gothic Book" w:hAnsi="Franklin Gothic Book"/>
          <w:sz w:val="22"/>
        </w:rPr>
        <w:t xml:space="preserve"> MSAC considered this was high, and also highly uncertain for the reasons already discussed (it did not take false positive and false negative test results into account, </w:t>
      </w:r>
      <w:r w:rsidR="005C4947">
        <w:rPr>
          <w:rFonts w:ascii="Franklin Gothic Book" w:hAnsi="Franklin Gothic Book"/>
          <w:sz w:val="22"/>
        </w:rPr>
        <w:t xml:space="preserve">and </w:t>
      </w:r>
      <w:r w:rsidR="00835F63">
        <w:rPr>
          <w:rFonts w:ascii="Franklin Gothic Book" w:hAnsi="Franklin Gothic Book"/>
          <w:sz w:val="22"/>
        </w:rPr>
        <w:t xml:space="preserve">there was </w:t>
      </w:r>
      <w:r>
        <w:rPr>
          <w:rFonts w:ascii="Franklin Gothic Book" w:hAnsi="Franklin Gothic Book"/>
          <w:sz w:val="22"/>
        </w:rPr>
        <w:t>uncertainty around the pattern of testing and retesting</w:t>
      </w:r>
      <w:r w:rsidR="00835F63">
        <w:rPr>
          <w:rFonts w:ascii="Franklin Gothic Book" w:hAnsi="Franklin Gothic Book"/>
          <w:sz w:val="22"/>
        </w:rPr>
        <w:t xml:space="preserve"> and the average duration of treatment which further contributed to the uncertainty around</w:t>
      </w:r>
      <w:r w:rsidR="00C53A32">
        <w:rPr>
          <w:rFonts w:ascii="Franklin Gothic Book" w:hAnsi="Franklin Gothic Book"/>
          <w:sz w:val="22"/>
        </w:rPr>
        <w:t xml:space="preserve"> number of tests used)</w:t>
      </w:r>
      <w:r>
        <w:rPr>
          <w:rFonts w:ascii="Franklin Gothic Book" w:hAnsi="Franklin Gothic Book"/>
          <w:sz w:val="22"/>
        </w:rPr>
        <w:t>.</w:t>
      </w:r>
    </w:p>
    <w:p w14:paraId="0441F0E1" w14:textId="7345032D"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 xml:space="preserve">MSAC noted that the estimated base case budget impact was </w:t>
      </w:r>
      <w:r w:rsidR="00342116" w:rsidRPr="00342116">
        <w:rPr>
          <w:rFonts w:ascii="Franklin Gothic Book" w:hAnsi="Franklin Gothic Book"/>
          <w:sz w:val="22"/>
        </w:rPr>
        <w:t>$0 to &lt; $10 million</w:t>
      </w:r>
      <w:r w:rsidR="004960B4">
        <w:rPr>
          <w:rFonts w:ascii="Franklin Gothic Book" w:hAnsi="Franklin Gothic Book"/>
          <w:sz w:val="22"/>
        </w:rPr>
        <w:t xml:space="preserve"> </w:t>
      </w:r>
      <w:r w:rsidRPr="00C4353E">
        <w:rPr>
          <w:rFonts w:ascii="Franklin Gothic Book" w:hAnsi="Franklin Gothic Book"/>
          <w:sz w:val="22"/>
        </w:rPr>
        <w:t xml:space="preserve">in year 1, increasing to about </w:t>
      </w:r>
      <w:r w:rsidR="00342116" w:rsidRPr="00342116">
        <w:rPr>
          <w:rFonts w:ascii="Franklin Gothic Book" w:hAnsi="Franklin Gothic Book"/>
          <w:sz w:val="22"/>
        </w:rPr>
        <w:t>$0 to &lt; $10 million</w:t>
      </w:r>
      <w:r w:rsidR="00342116">
        <w:rPr>
          <w:rFonts w:ascii="Franklin Gothic Book" w:hAnsi="Franklin Gothic Book"/>
          <w:sz w:val="22"/>
        </w:rPr>
        <w:t xml:space="preserve"> </w:t>
      </w:r>
      <w:r w:rsidRPr="00C4353E">
        <w:rPr>
          <w:rFonts w:ascii="Franklin Gothic Book" w:hAnsi="Franklin Gothic Book"/>
          <w:sz w:val="22"/>
        </w:rPr>
        <w:t xml:space="preserve">in years 2 and 3 and then decreasing to </w:t>
      </w:r>
      <w:r w:rsidR="00342116" w:rsidRPr="00342116">
        <w:rPr>
          <w:rFonts w:ascii="Franklin Gothic Book" w:hAnsi="Franklin Gothic Book"/>
          <w:sz w:val="22"/>
        </w:rPr>
        <w:t>$0 to &lt; $10 million</w:t>
      </w:r>
      <w:r w:rsidR="00E017FD">
        <w:rPr>
          <w:rFonts w:ascii="Franklin Gothic Book" w:hAnsi="Franklin Gothic Book"/>
          <w:sz w:val="22"/>
        </w:rPr>
        <w:t xml:space="preserve"> </w:t>
      </w:r>
      <w:r w:rsidRPr="00C4353E">
        <w:rPr>
          <w:rFonts w:ascii="Franklin Gothic Book" w:hAnsi="Franklin Gothic Book"/>
          <w:sz w:val="22"/>
        </w:rPr>
        <w:t>in year 6, with the increase accounting for the testing of existing infections.</w:t>
      </w:r>
      <w:r w:rsidR="00BD3B9E">
        <w:rPr>
          <w:rFonts w:ascii="Franklin Gothic Book" w:hAnsi="Franklin Gothic Book"/>
          <w:sz w:val="22"/>
        </w:rPr>
        <w:t xml:space="preserve"> </w:t>
      </w:r>
      <w:r w:rsidRPr="00C4353E">
        <w:rPr>
          <w:rFonts w:ascii="Franklin Gothic Book" w:hAnsi="Franklin Gothic Book"/>
          <w:sz w:val="22"/>
        </w:rPr>
        <w:t xml:space="preserve">However, MSAC noted errors with how the extent of use of HDV RNA testing was calculated, which </w:t>
      </w:r>
      <w:r w:rsidR="00BD3B9E">
        <w:rPr>
          <w:rFonts w:ascii="Franklin Gothic Book" w:hAnsi="Franklin Gothic Book"/>
          <w:sz w:val="22"/>
        </w:rPr>
        <w:t xml:space="preserve">it considered had </w:t>
      </w:r>
      <w:r w:rsidRPr="00C4353E">
        <w:rPr>
          <w:rFonts w:ascii="Franklin Gothic Book" w:hAnsi="Franklin Gothic Book"/>
          <w:sz w:val="22"/>
        </w:rPr>
        <w:t>resulted in an overestimation of the extent of use of HDV RNA testing:</w:t>
      </w:r>
    </w:p>
    <w:p w14:paraId="70C2A2B4" w14:textId="5FD1FE10" w:rsidR="00C76B4F" w:rsidRPr="00C4353E" w:rsidRDefault="00C76B4F" w:rsidP="00C76B4F">
      <w:pPr>
        <w:pStyle w:val="Bullet"/>
        <w:numPr>
          <w:ilvl w:val="0"/>
          <w:numId w:val="50"/>
        </w:numPr>
        <w:spacing w:before="0"/>
        <w:ind w:left="720"/>
        <w:rPr>
          <w:rFonts w:ascii="Franklin Gothic Book" w:hAnsi="Franklin Gothic Book"/>
        </w:rPr>
      </w:pPr>
      <w:r w:rsidRPr="00C4353E">
        <w:rPr>
          <w:rFonts w:ascii="Franklin Gothic Book" w:hAnsi="Franklin Gothic Book"/>
        </w:rPr>
        <w:t xml:space="preserve">When HDV RNA </w:t>
      </w:r>
      <w:r w:rsidR="00BD3B9E">
        <w:rPr>
          <w:rFonts w:ascii="Franklin Gothic Book" w:hAnsi="Franklin Gothic Book"/>
        </w:rPr>
        <w:t xml:space="preserve">testing </w:t>
      </w:r>
      <w:r w:rsidRPr="00C4353E">
        <w:rPr>
          <w:rFonts w:ascii="Franklin Gothic Book" w:hAnsi="Franklin Gothic Book"/>
        </w:rPr>
        <w:t xml:space="preserve">was used to determine eligibility for bulevirtide treatment, the </w:t>
      </w:r>
      <w:r w:rsidR="00BD3B9E">
        <w:rPr>
          <w:rFonts w:ascii="Franklin Gothic Book" w:hAnsi="Franklin Gothic Book"/>
        </w:rPr>
        <w:t>ADAR</w:t>
      </w:r>
      <w:r w:rsidR="00BD3B9E" w:rsidRPr="00C4353E">
        <w:rPr>
          <w:rFonts w:ascii="Franklin Gothic Book" w:hAnsi="Franklin Gothic Book"/>
        </w:rPr>
        <w:t xml:space="preserve"> </w:t>
      </w:r>
      <w:r w:rsidRPr="00C4353E">
        <w:rPr>
          <w:rFonts w:ascii="Franklin Gothic Book" w:hAnsi="Franklin Gothic Book"/>
        </w:rPr>
        <w:t xml:space="preserve">assumed that all patients who had serology testing for anti-HDV would also be eligible for HDV RNA testing. However, </w:t>
      </w:r>
      <w:r w:rsidR="0010640D">
        <w:rPr>
          <w:rFonts w:ascii="Franklin Gothic Book" w:hAnsi="Franklin Gothic Book"/>
        </w:rPr>
        <w:t>MSAC considered</w:t>
      </w:r>
      <w:r w:rsidRPr="00C4353E">
        <w:rPr>
          <w:rFonts w:ascii="Franklin Gothic Book" w:hAnsi="Franklin Gothic Book"/>
        </w:rPr>
        <w:t xml:space="preserve"> this assumption was incorrect and patients must have positive anti-HDV serology to be eligible for the HDV RNA test</w:t>
      </w:r>
      <w:r w:rsidR="0010640D">
        <w:rPr>
          <w:rFonts w:ascii="Franklin Gothic Book" w:hAnsi="Franklin Gothic Book"/>
        </w:rPr>
        <w:t>, t</w:t>
      </w:r>
      <w:r w:rsidRPr="00C4353E">
        <w:rPr>
          <w:rFonts w:ascii="Franklin Gothic Book" w:hAnsi="Franklin Gothic Book"/>
        </w:rPr>
        <w:t>herefore the use of HDV RNA testing ha</w:t>
      </w:r>
      <w:r w:rsidR="0010640D">
        <w:rPr>
          <w:rFonts w:ascii="Franklin Gothic Book" w:hAnsi="Franklin Gothic Book"/>
        </w:rPr>
        <w:t>d</w:t>
      </w:r>
      <w:r w:rsidRPr="00C4353E">
        <w:rPr>
          <w:rFonts w:ascii="Franklin Gothic Book" w:hAnsi="Franklin Gothic Book"/>
        </w:rPr>
        <w:t xml:space="preserve"> been overestimated. </w:t>
      </w:r>
    </w:p>
    <w:p w14:paraId="75E8D1B7" w14:textId="160C8FD8" w:rsidR="00C76B4F" w:rsidRPr="00C4353E" w:rsidRDefault="00C76B4F" w:rsidP="00C76B4F">
      <w:pPr>
        <w:pStyle w:val="Bullet"/>
        <w:numPr>
          <w:ilvl w:val="0"/>
          <w:numId w:val="50"/>
        </w:numPr>
        <w:spacing w:before="0"/>
        <w:ind w:left="720"/>
        <w:rPr>
          <w:rFonts w:ascii="Franklin Gothic Book" w:hAnsi="Franklin Gothic Book"/>
        </w:rPr>
      </w:pPr>
      <w:r w:rsidRPr="00C4353E">
        <w:rPr>
          <w:rFonts w:ascii="Franklin Gothic Book" w:hAnsi="Franklin Gothic Book"/>
        </w:rPr>
        <w:t xml:space="preserve">To estimate the number of HDV RNA tests performed for monitoring purposes, the </w:t>
      </w:r>
      <w:r w:rsidR="0010640D">
        <w:rPr>
          <w:rFonts w:ascii="Franklin Gothic Book" w:hAnsi="Franklin Gothic Book"/>
        </w:rPr>
        <w:t>ADAR</w:t>
      </w:r>
      <w:r w:rsidR="0010640D" w:rsidRPr="00C4353E">
        <w:rPr>
          <w:rFonts w:ascii="Franklin Gothic Book" w:hAnsi="Franklin Gothic Book"/>
        </w:rPr>
        <w:t xml:space="preserve"> </w:t>
      </w:r>
      <w:r w:rsidRPr="00C4353E">
        <w:rPr>
          <w:rFonts w:ascii="Franklin Gothic Book" w:hAnsi="Franklin Gothic Book"/>
        </w:rPr>
        <w:t xml:space="preserve">erroneously multiplied the average proportion of patients who remain on treatment by the number of patients who receive HDV RNA testing to determine eligibility for bulevirtide treatment each year. However, a proportion of patients tested for HDV RNA will not be eligible for bulevirtide treatment and, therefore, will not need to be monitored. </w:t>
      </w:r>
    </w:p>
    <w:p w14:paraId="7FC26345" w14:textId="7AF717C0" w:rsidR="00C76B4F" w:rsidRPr="00C4353E" w:rsidRDefault="0010640D" w:rsidP="00AA6C18">
      <w:pPr>
        <w:jc w:val="left"/>
        <w:rPr>
          <w:rFonts w:ascii="Franklin Gothic Book" w:hAnsi="Franklin Gothic Book"/>
          <w:sz w:val="22"/>
        </w:rPr>
      </w:pPr>
      <w:r>
        <w:rPr>
          <w:rFonts w:ascii="Franklin Gothic Book" w:hAnsi="Franklin Gothic Book"/>
          <w:sz w:val="22"/>
        </w:rPr>
        <w:t>MSAC noted t</w:t>
      </w:r>
      <w:r w:rsidR="00C76B4F" w:rsidRPr="00C4353E">
        <w:rPr>
          <w:rFonts w:ascii="Franklin Gothic Book" w:hAnsi="Franklin Gothic Book"/>
          <w:sz w:val="22"/>
        </w:rPr>
        <w:t>he pre-MSAC response acknowledged these errors.</w:t>
      </w:r>
    </w:p>
    <w:p w14:paraId="5EB817BB" w14:textId="5C4362F0" w:rsidR="00C76B4F" w:rsidRPr="0010640D" w:rsidRDefault="00C76B4F" w:rsidP="0010640D">
      <w:pPr>
        <w:jc w:val="left"/>
        <w:rPr>
          <w:rFonts w:ascii="Franklin Gothic Book" w:hAnsi="Franklin Gothic Book"/>
          <w:sz w:val="22"/>
        </w:rPr>
      </w:pPr>
      <w:r w:rsidRPr="00C4353E">
        <w:rPr>
          <w:rFonts w:ascii="Franklin Gothic Book" w:hAnsi="Franklin Gothic Book"/>
          <w:sz w:val="22"/>
        </w:rPr>
        <w:lastRenderedPageBreak/>
        <w:t>The commentary conducted sensitivity analyses, and MSAC noted that the budget impact was most sensitive to</w:t>
      </w:r>
      <w:r w:rsidR="0010640D">
        <w:rPr>
          <w:rFonts w:ascii="Franklin Gothic Book" w:hAnsi="Franklin Gothic Book"/>
          <w:sz w:val="22"/>
        </w:rPr>
        <w:t xml:space="preserve"> </w:t>
      </w:r>
      <w:r w:rsidRPr="0010640D">
        <w:rPr>
          <w:rFonts w:ascii="Franklin Gothic Book" w:hAnsi="Franklin Gothic Book"/>
          <w:sz w:val="22"/>
        </w:rPr>
        <w:t>changes in the proportion of patients expected to be anti-HDV positive or HDV RNA positive</w:t>
      </w:r>
      <w:r w:rsidR="0010640D" w:rsidRPr="0010640D">
        <w:rPr>
          <w:rFonts w:ascii="Franklin Gothic Book" w:hAnsi="Franklin Gothic Book"/>
          <w:sz w:val="22"/>
        </w:rPr>
        <w:t xml:space="preserve">, and </w:t>
      </w:r>
      <w:r w:rsidRPr="0010640D">
        <w:rPr>
          <w:rFonts w:ascii="Franklin Gothic Book" w:hAnsi="Franklin Gothic Book"/>
          <w:sz w:val="22"/>
        </w:rPr>
        <w:t>the proportion of patients eligible and who uptake bulevirtide treatment and the expected uptake of HDV RNA testing.</w:t>
      </w:r>
    </w:p>
    <w:p w14:paraId="577358E5" w14:textId="51768B3B" w:rsidR="00C76B4F" w:rsidRPr="00C4353E" w:rsidRDefault="00C76B4F" w:rsidP="00AA6C18">
      <w:pPr>
        <w:jc w:val="left"/>
        <w:rPr>
          <w:rFonts w:ascii="Franklin Gothic Book" w:hAnsi="Franklin Gothic Book"/>
          <w:sz w:val="22"/>
        </w:rPr>
      </w:pPr>
      <w:r w:rsidRPr="00C4353E">
        <w:rPr>
          <w:rFonts w:ascii="Franklin Gothic Book" w:hAnsi="Franklin Gothic Book"/>
          <w:sz w:val="22"/>
        </w:rPr>
        <w:t>MSAC noted</w:t>
      </w:r>
      <w:r w:rsidR="00E17A73">
        <w:rPr>
          <w:rFonts w:ascii="Franklin Gothic Book" w:hAnsi="Franklin Gothic Book"/>
          <w:sz w:val="22"/>
        </w:rPr>
        <w:t xml:space="preserve"> the commentary’s </w:t>
      </w:r>
      <w:r w:rsidRPr="00C4353E">
        <w:rPr>
          <w:rFonts w:ascii="Franklin Gothic Book" w:hAnsi="Franklin Gothic Book"/>
          <w:sz w:val="22"/>
        </w:rPr>
        <w:t>concerns regarding the proportion of patients considered eligible for bulevirtide treatment and the</w:t>
      </w:r>
      <w:r w:rsidR="00F373B6">
        <w:rPr>
          <w:rFonts w:ascii="Franklin Gothic Book" w:hAnsi="Franklin Gothic Book"/>
          <w:sz w:val="22"/>
        </w:rPr>
        <w:t>refore the</w:t>
      </w:r>
      <w:r w:rsidRPr="00C4353E">
        <w:rPr>
          <w:rFonts w:ascii="Franklin Gothic Book" w:hAnsi="Franklin Gothic Book"/>
          <w:sz w:val="22"/>
        </w:rPr>
        <w:t xml:space="preserve"> uptake estimates applied for HDV RNA testing and bulevirtide treatment (given an increase in anti-HDV testing was also assumed, and drivers for the increase in uptake may be for access to HDV RNA testing and bulevirtide treatment). MSAC noted the revised base case budget impacts were </w:t>
      </w:r>
      <w:r w:rsidR="00E017FD" w:rsidRPr="00E017FD">
        <w:rPr>
          <w:rFonts w:ascii="Franklin Gothic Book" w:hAnsi="Franklin Gothic Book"/>
          <w:sz w:val="22"/>
        </w:rPr>
        <w:t>$0 to &lt; $10 million</w:t>
      </w:r>
      <w:r w:rsidR="00772891">
        <w:rPr>
          <w:rFonts w:ascii="Franklin Gothic Book" w:hAnsi="Franklin Gothic Book"/>
          <w:sz w:val="22"/>
        </w:rPr>
        <w:t xml:space="preserve"> </w:t>
      </w:r>
      <w:r w:rsidRPr="00C4353E">
        <w:rPr>
          <w:rFonts w:ascii="Franklin Gothic Book" w:hAnsi="Franklin Gothic Book"/>
          <w:sz w:val="22"/>
        </w:rPr>
        <w:t xml:space="preserve">in year 1 decreasing to </w:t>
      </w:r>
      <w:r w:rsidR="00E017FD" w:rsidRPr="00E017FD">
        <w:rPr>
          <w:rFonts w:ascii="Franklin Gothic Book" w:hAnsi="Franklin Gothic Book"/>
          <w:sz w:val="22"/>
        </w:rPr>
        <w:t>$0 to &lt; $10 million</w:t>
      </w:r>
      <w:r w:rsidR="00772891">
        <w:rPr>
          <w:rFonts w:ascii="Franklin Gothic Book" w:hAnsi="Franklin Gothic Book"/>
          <w:sz w:val="22"/>
        </w:rPr>
        <w:t xml:space="preserve"> </w:t>
      </w:r>
      <w:r w:rsidRPr="00C4353E">
        <w:rPr>
          <w:rFonts w:ascii="Franklin Gothic Book" w:hAnsi="Franklin Gothic Book"/>
          <w:sz w:val="22"/>
        </w:rPr>
        <w:t>in year 6.</w:t>
      </w:r>
      <w:r w:rsidR="00FB3389">
        <w:rPr>
          <w:rFonts w:ascii="Franklin Gothic Book" w:hAnsi="Franklin Gothic Book"/>
          <w:sz w:val="22"/>
        </w:rPr>
        <w:t xml:space="preserve"> </w:t>
      </w:r>
      <w:r w:rsidR="004162E5">
        <w:rPr>
          <w:rFonts w:ascii="Franklin Gothic Book" w:hAnsi="Franklin Gothic Book"/>
          <w:sz w:val="22"/>
        </w:rPr>
        <w:t>However,</w:t>
      </w:r>
      <w:r w:rsidR="00FB3389">
        <w:rPr>
          <w:rFonts w:ascii="Franklin Gothic Book" w:hAnsi="Franklin Gothic Book"/>
          <w:sz w:val="22"/>
        </w:rPr>
        <w:t xml:space="preserve"> </w:t>
      </w:r>
      <w:r w:rsidR="009A33BA">
        <w:rPr>
          <w:rFonts w:ascii="Franklin Gothic Book" w:hAnsi="Franklin Gothic Book"/>
          <w:sz w:val="22"/>
        </w:rPr>
        <w:t xml:space="preserve">there were </w:t>
      </w:r>
      <w:r w:rsidR="00E8110E">
        <w:rPr>
          <w:rFonts w:ascii="Franklin Gothic Book" w:hAnsi="Franklin Gothic Book"/>
          <w:sz w:val="22"/>
        </w:rPr>
        <w:t xml:space="preserve">also </w:t>
      </w:r>
      <w:r w:rsidR="009A33BA">
        <w:rPr>
          <w:rFonts w:ascii="Franklin Gothic Book" w:hAnsi="Franklin Gothic Book"/>
          <w:sz w:val="22"/>
        </w:rPr>
        <w:t>other considerations arising from the EASL guidelines</w:t>
      </w:r>
      <w:r w:rsidR="00E8110E">
        <w:rPr>
          <w:rFonts w:ascii="Franklin Gothic Book" w:hAnsi="Franklin Gothic Book"/>
          <w:sz w:val="22"/>
        </w:rPr>
        <w:t>,</w:t>
      </w:r>
      <w:r w:rsidR="009A33BA">
        <w:rPr>
          <w:rFonts w:ascii="Franklin Gothic Book" w:hAnsi="Franklin Gothic Book"/>
          <w:sz w:val="22"/>
        </w:rPr>
        <w:t xml:space="preserve"> which </w:t>
      </w:r>
      <w:r w:rsidR="00CE0A91">
        <w:rPr>
          <w:rFonts w:ascii="Franklin Gothic Book" w:hAnsi="Franklin Gothic Book"/>
          <w:sz w:val="22"/>
        </w:rPr>
        <w:t>resulted in MSAC considering</w:t>
      </w:r>
      <w:r w:rsidR="009A33BA">
        <w:rPr>
          <w:rFonts w:ascii="Franklin Gothic Book" w:hAnsi="Franklin Gothic Book"/>
          <w:sz w:val="22"/>
        </w:rPr>
        <w:t xml:space="preserve"> the </w:t>
      </w:r>
      <w:r w:rsidR="00E94C8F">
        <w:rPr>
          <w:rFonts w:ascii="Franklin Gothic Book" w:hAnsi="Franklin Gothic Book"/>
          <w:sz w:val="22"/>
        </w:rPr>
        <w:t xml:space="preserve">utilisation of the test may have been underestimated (after taking account of additional retesting requirements). Thus </w:t>
      </w:r>
      <w:r w:rsidR="00CE0A91">
        <w:rPr>
          <w:rFonts w:ascii="Franklin Gothic Book" w:hAnsi="Franklin Gothic Book"/>
          <w:sz w:val="22"/>
        </w:rPr>
        <w:t xml:space="preserve">MSAC considered </w:t>
      </w:r>
      <w:r w:rsidR="00E94C8F">
        <w:rPr>
          <w:rFonts w:ascii="Franklin Gothic Book" w:hAnsi="Franklin Gothic Book"/>
          <w:sz w:val="22"/>
        </w:rPr>
        <w:t xml:space="preserve">there </w:t>
      </w:r>
      <w:r w:rsidR="00CE0A91">
        <w:rPr>
          <w:rFonts w:ascii="Franklin Gothic Book" w:hAnsi="Franklin Gothic Book"/>
          <w:sz w:val="22"/>
        </w:rPr>
        <w:t>wa</w:t>
      </w:r>
      <w:r w:rsidR="00E94C8F">
        <w:rPr>
          <w:rFonts w:ascii="Franklin Gothic Book" w:hAnsi="Franklin Gothic Book"/>
          <w:sz w:val="22"/>
        </w:rPr>
        <w:t xml:space="preserve">s a considerable degree of uncertainty associated with the financial implications of the proposed test. </w:t>
      </w:r>
    </w:p>
    <w:p w14:paraId="7F261B9C" w14:textId="47DAAEC0" w:rsidR="00C76B4F" w:rsidRPr="00C4353E" w:rsidRDefault="00C76B4F" w:rsidP="7CFE6FF7">
      <w:pPr>
        <w:jc w:val="left"/>
        <w:rPr>
          <w:rFonts w:ascii="Franklin Gothic Book" w:hAnsi="Franklin Gothic Book"/>
          <w:sz w:val="22"/>
        </w:rPr>
      </w:pPr>
      <w:r w:rsidRPr="7CFE6FF7">
        <w:rPr>
          <w:rFonts w:ascii="Franklin Gothic Book" w:hAnsi="Franklin Gothic Book"/>
          <w:sz w:val="22"/>
        </w:rPr>
        <w:t xml:space="preserve">MSAC noted that an external quality assurance program (QAP) is required for in-house assays, particularly if they are adopted by laboratories </w:t>
      </w:r>
      <w:r w:rsidR="3061419E" w:rsidRPr="7CFE6FF7">
        <w:rPr>
          <w:rFonts w:ascii="Franklin Gothic Book" w:hAnsi="Franklin Gothic Book"/>
          <w:sz w:val="22"/>
        </w:rPr>
        <w:t xml:space="preserve">other </w:t>
      </w:r>
      <w:r w:rsidR="009B641D" w:rsidRPr="7CFE6FF7">
        <w:rPr>
          <w:rFonts w:ascii="Franklin Gothic Book" w:hAnsi="Franklin Gothic Book"/>
          <w:sz w:val="22"/>
        </w:rPr>
        <w:t xml:space="preserve">than VIDRL, </w:t>
      </w:r>
      <w:r w:rsidRPr="7CFE6FF7">
        <w:rPr>
          <w:rFonts w:ascii="Franklin Gothic Book" w:hAnsi="Franklin Gothic Book"/>
          <w:sz w:val="22"/>
        </w:rPr>
        <w:t xml:space="preserve">because of technical aspects of the HDV RNA assay. However, as noted, only </w:t>
      </w:r>
      <w:r w:rsidR="009B641D" w:rsidRPr="7CFE6FF7">
        <w:rPr>
          <w:rFonts w:ascii="Franklin Gothic Book" w:hAnsi="Franklin Gothic Book"/>
          <w:sz w:val="22"/>
        </w:rPr>
        <w:t xml:space="preserve">VIDRL </w:t>
      </w:r>
      <w:r w:rsidRPr="7CFE6FF7">
        <w:rPr>
          <w:rFonts w:ascii="Franklin Gothic Book" w:hAnsi="Franklin Gothic Book"/>
          <w:sz w:val="22"/>
        </w:rPr>
        <w:t>is currently offering the assay</w:t>
      </w:r>
      <w:r w:rsidR="009B641D" w:rsidRPr="7CFE6FF7">
        <w:rPr>
          <w:rFonts w:ascii="Franklin Gothic Book" w:hAnsi="Franklin Gothic Book"/>
          <w:sz w:val="22"/>
        </w:rPr>
        <w:t xml:space="preserve"> in Australia</w:t>
      </w:r>
      <w:r w:rsidRPr="7CFE6FF7">
        <w:rPr>
          <w:rFonts w:ascii="Franklin Gothic Book" w:hAnsi="Franklin Gothic Book"/>
          <w:sz w:val="22"/>
        </w:rPr>
        <w:t xml:space="preserve">. MSAC also noted that there is high genetic variability among genotypes, which can lead to underestimating the viral load. This can sometimes be </w:t>
      </w:r>
      <w:r w:rsidR="009B641D" w:rsidRPr="7CFE6FF7">
        <w:rPr>
          <w:rFonts w:ascii="Franklin Gothic Book" w:hAnsi="Franklin Gothic Book"/>
          <w:sz w:val="22"/>
        </w:rPr>
        <w:t>by</w:t>
      </w:r>
      <w:r w:rsidRPr="7CFE6FF7">
        <w:rPr>
          <w:rFonts w:ascii="Franklin Gothic Book" w:hAnsi="Franklin Gothic Book"/>
          <w:sz w:val="22"/>
        </w:rPr>
        <w:t xml:space="preserve"> as much as &gt;2 log</w:t>
      </w:r>
      <w:r w:rsidRPr="7CFE6FF7">
        <w:rPr>
          <w:rFonts w:ascii="Franklin Gothic Book" w:hAnsi="Franklin Gothic Book"/>
          <w:sz w:val="22"/>
          <w:vertAlign w:val="superscript"/>
        </w:rPr>
        <w:t>10</w:t>
      </w:r>
      <w:r w:rsidRPr="7CFE6FF7">
        <w:rPr>
          <w:rFonts w:ascii="Franklin Gothic Book" w:hAnsi="Franklin Gothic Book"/>
          <w:sz w:val="22"/>
        </w:rPr>
        <w:t>, which is a clinically important difference.</w:t>
      </w:r>
    </w:p>
    <w:p w14:paraId="7058122B" w14:textId="193C9523" w:rsidR="00C17C8A" w:rsidRDefault="00C76B4F" w:rsidP="00DF31C3">
      <w:pPr>
        <w:spacing w:after="0"/>
        <w:jc w:val="left"/>
        <w:rPr>
          <w:rFonts w:ascii="Franklin Gothic Book" w:hAnsi="Franklin Gothic Book"/>
          <w:sz w:val="22"/>
        </w:rPr>
      </w:pPr>
      <w:r w:rsidRPr="00C4353E">
        <w:rPr>
          <w:rFonts w:ascii="Franklin Gothic Book" w:hAnsi="Franklin Gothic Book"/>
          <w:sz w:val="22"/>
        </w:rPr>
        <w:t xml:space="preserve">MSAC was not supportive of the </w:t>
      </w:r>
      <w:r w:rsidR="009B641D">
        <w:rPr>
          <w:rFonts w:ascii="Franklin Gothic Book" w:hAnsi="Franklin Gothic Book"/>
          <w:sz w:val="22"/>
        </w:rPr>
        <w:t xml:space="preserve">application </w:t>
      </w:r>
      <w:r w:rsidR="00C17C8A">
        <w:rPr>
          <w:rFonts w:ascii="Franklin Gothic Book" w:hAnsi="Franklin Gothic Book"/>
          <w:sz w:val="22"/>
        </w:rPr>
        <w:t>and identified the following deficiencies:</w:t>
      </w:r>
    </w:p>
    <w:p w14:paraId="35A8AFBA" w14:textId="44321789" w:rsidR="009D7DFB" w:rsidRDefault="009D7DFB" w:rsidP="00DF31C3">
      <w:pPr>
        <w:pStyle w:val="ListParagraph"/>
        <w:numPr>
          <w:ilvl w:val="0"/>
          <w:numId w:val="51"/>
        </w:numPr>
        <w:spacing w:before="0" w:after="0"/>
        <w:jc w:val="left"/>
        <w:rPr>
          <w:rFonts w:ascii="Franklin Gothic Book" w:hAnsi="Franklin Gothic Book"/>
          <w:sz w:val="22"/>
        </w:rPr>
      </w:pPr>
      <w:r>
        <w:rPr>
          <w:rFonts w:ascii="Franklin Gothic Book" w:hAnsi="Franklin Gothic Book"/>
          <w:sz w:val="22"/>
        </w:rPr>
        <w:t>T</w:t>
      </w:r>
      <w:r w:rsidRPr="00C17C8A">
        <w:rPr>
          <w:rFonts w:ascii="Franklin Gothic Book" w:hAnsi="Franklin Gothic Book"/>
          <w:sz w:val="22"/>
        </w:rPr>
        <w:t>he submission and the international guidelines were unclear as to how quantitative HDV RNA levels changes clinical decision making.</w:t>
      </w:r>
    </w:p>
    <w:p w14:paraId="33F00F3B" w14:textId="60B40576" w:rsidR="00013F2D" w:rsidRDefault="00013F2D" w:rsidP="00DF31C3">
      <w:pPr>
        <w:pStyle w:val="ListParagraph"/>
        <w:numPr>
          <w:ilvl w:val="0"/>
          <w:numId w:val="51"/>
        </w:numPr>
        <w:spacing w:before="0" w:after="0"/>
        <w:jc w:val="left"/>
        <w:rPr>
          <w:rFonts w:ascii="Franklin Gothic Book" w:hAnsi="Franklin Gothic Book"/>
          <w:sz w:val="22"/>
        </w:rPr>
      </w:pPr>
      <w:r>
        <w:rPr>
          <w:rFonts w:ascii="Franklin Gothic Book" w:hAnsi="Franklin Gothic Book"/>
          <w:sz w:val="22"/>
        </w:rPr>
        <w:t>T</w:t>
      </w:r>
      <w:r w:rsidRPr="00C17C8A">
        <w:rPr>
          <w:rFonts w:ascii="Franklin Gothic Book" w:hAnsi="Franklin Gothic Book"/>
          <w:sz w:val="22"/>
        </w:rPr>
        <w:t xml:space="preserve">he evidence submitted was at high risk of bias in all domains </w:t>
      </w:r>
      <w:r w:rsidR="009B641D">
        <w:rPr>
          <w:rFonts w:ascii="Franklin Gothic Book" w:hAnsi="Franklin Gothic Book"/>
          <w:sz w:val="22"/>
        </w:rPr>
        <w:t>(</w:t>
      </w:r>
      <w:r w:rsidRPr="00C17C8A">
        <w:rPr>
          <w:rFonts w:ascii="Franklin Gothic Book" w:hAnsi="Franklin Gothic Book"/>
          <w:sz w:val="22"/>
        </w:rPr>
        <w:t>particularly selection bias</w:t>
      </w:r>
      <w:r w:rsidR="009B641D">
        <w:rPr>
          <w:rFonts w:ascii="Franklin Gothic Book" w:hAnsi="Franklin Gothic Book"/>
          <w:sz w:val="22"/>
        </w:rPr>
        <w:t>)</w:t>
      </w:r>
      <w:r w:rsidRPr="00C17C8A">
        <w:rPr>
          <w:rFonts w:ascii="Franklin Gothic Book" w:hAnsi="Franklin Gothic Book"/>
          <w:sz w:val="22"/>
        </w:rPr>
        <w:t xml:space="preserve"> and its generalisability was uncertain as no Australian studies were included</w:t>
      </w:r>
      <w:r>
        <w:rPr>
          <w:rFonts w:ascii="Franklin Gothic Book" w:hAnsi="Franklin Gothic Book"/>
          <w:sz w:val="22"/>
        </w:rPr>
        <w:t>.</w:t>
      </w:r>
    </w:p>
    <w:p w14:paraId="1647562C" w14:textId="49181D2A" w:rsidR="00013F2D" w:rsidRDefault="00013F2D" w:rsidP="00DF31C3">
      <w:pPr>
        <w:pStyle w:val="ListParagraph"/>
        <w:numPr>
          <w:ilvl w:val="0"/>
          <w:numId w:val="51"/>
        </w:numPr>
        <w:spacing w:before="0" w:after="0"/>
        <w:jc w:val="left"/>
        <w:rPr>
          <w:rFonts w:ascii="Franklin Gothic Book" w:hAnsi="Franklin Gothic Book"/>
          <w:sz w:val="22"/>
        </w:rPr>
      </w:pPr>
      <w:r w:rsidRPr="00013F2D">
        <w:rPr>
          <w:rFonts w:ascii="Franklin Gothic Book" w:hAnsi="Franklin Gothic Book"/>
          <w:sz w:val="22"/>
        </w:rPr>
        <w:t>The economic model structure excluded consideration of false positive and false negative results for HDV RNA PCR testing for eligibility, as patients entered at treatment</w:t>
      </w:r>
      <w:r>
        <w:rPr>
          <w:rFonts w:ascii="Franklin Gothic Book" w:hAnsi="Franklin Gothic Book"/>
          <w:sz w:val="22"/>
        </w:rPr>
        <w:t xml:space="preserve">. </w:t>
      </w:r>
      <w:r w:rsidR="00D74D5E">
        <w:rPr>
          <w:rFonts w:ascii="Franklin Gothic Book" w:hAnsi="Franklin Gothic Book"/>
          <w:sz w:val="22"/>
        </w:rPr>
        <w:t xml:space="preserve">The </w:t>
      </w:r>
      <w:r w:rsidR="00265BA8" w:rsidRPr="00265BA8">
        <w:rPr>
          <w:rFonts w:ascii="Franklin Gothic Book" w:hAnsi="Franklin Gothic Book"/>
          <w:sz w:val="22"/>
        </w:rPr>
        <w:t xml:space="preserve">impact of a false positive result could be significant because these patients may appear to (falsely) respond to bulevirtide treatment </w:t>
      </w:r>
      <w:r w:rsidR="004162E5" w:rsidRPr="00265BA8">
        <w:rPr>
          <w:rFonts w:ascii="Franklin Gothic Book" w:hAnsi="Franklin Gothic Book"/>
          <w:sz w:val="22"/>
        </w:rPr>
        <w:t>and</w:t>
      </w:r>
      <w:r w:rsidR="00265BA8" w:rsidRPr="00265BA8">
        <w:rPr>
          <w:rFonts w:ascii="Franklin Gothic Book" w:hAnsi="Franklin Gothic Book"/>
          <w:sz w:val="22"/>
        </w:rPr>
        <w:t xml:space="preserve"> depending on the continuation criteria for treatment, may receive ongoing treatment for no benefit</w:t>
      </w:r>
      <w:r w:rsidR="00265BA8">
        <w:rPr>
          <w:rFonts w:ascii="Franklin Gothic Book" w:hAnsi="Franklin Gothic Book"/>
          <w:sz w:val="22"/>
        </w:rPr>
        <w:t>.</w:t>
      </w:r>
    </w:p>
    <w:p w14:paraId="088B9CDC" w14:textId="26D30F52" w:rsidR="007E40BF" w:rsidRPr="00013F2D" w:rsidRDefault="007E40BF" w:rsidP="00DF31C3">
      <w:pPr>
        <w:pStyle w:val="ListParagraph"/>
        <w:numPr>
          <w:ilvl w:val="0"/>
          <w:numId w:val="51"/>
        </w:numPr>
        <w:spacing w:before="0" w:after="0"/>
        <w:jc w:val="left"/>
        <w:rPr>
          <w:rFonts w:ascii="Franklin Gothic Book" w:hAnsi="Franklin Gothic Book"/>
          <w:sz w:val="22"/>
        </w:rPr>
      </w:pPr>
      <w:r>
        <w:rPr>
          <w:rFonts w:ascii="Franklin Gothic Book" w:hAnsi="Franklin Gothic Book"/>
          <w:sz w:val="22"/>
        </w:rPr>
        <w:t>T</w:t>
      </w:r>
      <w:r w:rsidRPr="003F6132">
        <w:rPr>
          <w:rFonts w:ascii="Franklin Gothic Book" w:hAnsi="Franklin Gothic Book"/>
          <w:sz w:val="22"/>
        </w:rPr>
        <w:t>he likely pattern of use of HDV RNA PCR testing and re-testing was uncertain and should have been more fully explored in the economic model</w:t>
      </w:r>
      <w:r w:rsidR="009B641D">
        <w:rPr>
          <w:rFonts w:ascii="Franklin Gothic Book" w:hAnsi="Franklin Gothic Book"/>
          <w:sz w:val="22"/>
        </w:rPr>
        <w:t>.</w:t>
      </w:r>
      <w:r>
        <w:rPr>
          <w:rFonts w:ascii="Franklin Gothic Book" w:hAnsi="Franklin Gothic Book"/>
          <w:sz w:val="22"/>
        </w:rPr>
        <w:t xml:space="preserve"> </w:t>
      </w:r>
      <w:r w:rsidR="009B641D">
        <w:rPr>
          <w:rFonts w:ascii="Franklin Gothic Book" w:hAnsi="Franklin Gothic Book"/>
          <w:sz w:val="22"/>
        </w:rPr>
        <w:t>T</w:t>
      </w:r>
      <w:r>
        <w:rPr>
          <w:rFonts w:ascii="Franklin Gothic Book" w:hAnsi="Franklin Gothic Book"/>
          <w:sz w:val="22"/>
        </w:rPr>
        <w:t xml:space="preserve">he </w:t>
      </w:r>
      <w:r w:rsidRPr="003F6132">
        <w:rPr>
          <w:rFonts w:ascii="Franklin Gothic Book" w:hAnsi="Franklin Gothic Book"/>
          <w:sz w:val="22"/>
        </w:rPr>
        <w:t xml:space="preserve">uncertainty in the average duration of bulevirtide treatment </w:t>
      </w:r>
      <w:r>
        <w:rPr>
          <w:rFonts w:ascii="Franklin Gothic Book" w:hAnsi="Franklin Gothic Book"/>
          <w:sz w:val="22"/>
        </w:rPr>
        <w:t>also t</w:t>
      </w:r>
      <w:r w:rsidRPr="003F6132">
        <w:rPr>
          <w:rFonts w:ascii="Franklin Gothic Book" w:hAnsi="Franklin Gothic Book"/>
          <w:sz w:val="22"/>
        </w:rPr>
        <w:t>ranslated to uncertainty in the number of monitoring tests per treated patient.</w:t>
      </w:r>
      <w:r>
        <w:rPr>
          <w:rFonts w:ascii="Franklin Gothic Book" w:hAnsi="Franklin Gothic Book"/>
          <w:sz w:val="22"/>
        </w:rPr>
        <w:t xml:space="preserve"> These considerations affected the certainty of both the economic and financial modelling.</w:t>
      </w:r>
    </w:p>
    <w:p w14:paraId="16A83837" w14:textId="3EE046B1" w:rsidR="00013F2D" w:rsidRPr="009D7DFB" w:rsidRDefault="007E40BF" w:rsidP="00AA6C18">
      <w:pPr>
        <w:pStyle w:val="ListParagraph"/>
        <w:numPr>
          <w:ilvl w:val="0"/>
          <w:numId w:val="51"/>
        </w:numPr>
        <w:jc w:val="left"/>
        <w:rPr>
          <w:rFonts w:ascii="Franklin Gothic Book" w:hAnsi="Franklin Gothic Book"/>
          <w:sz w:val="22"/>
        </w:rPr>
      </w:pPr>
      <w:r>
        <w:rPr>
          <w:rFonts w:ascii="Franklin Gothic Book" w:hAnsi="Franklin Gothic Book"/>
          <w:sz w:val="22"/>
        </w:rPr>
        <w:t xml:space="preserve">The proposed </w:t>
      </w:r>
      <w:r w:rsidR="00EB2913">
        <w:rPr>
          <w:rFonts w:ascii="Franklin Gothic Book" w:hAnsi="Franklin Gothic Book"/>
          <w:sz w:val="22"/>
        </w:rPr>
        <w:t>codependency</w:t>
      </w:r>
      <w:r>
        <w:rPr>
          <w:rFonts w:ascii="Franklin Gothic Book" w:hAnsi="Franklin Gothic Book"/>
          <w:sz w:val="22"/>
        </w:rPr>
        <w:t xml:space="preserve"> was </w:t>
      </w:r>
      <w:r w:rsidR="00FA6BEF">
        <w:rPr>
          <w:rFonts w:ascii="Franklin Gothic Book" w:hAnsi="Franklin Gothic Book"/>
          <w:sz w:val="22"/>
        </w:rPr>
        <w:t xml:space="preserve">not </w:t>
      </w:r>
      <w:r w:rsidR="002A1579">
        <w:rPr>
          <w:rFonts w:ascii="Franklin Gothic Book" w:hAnsi="Franklin Gothic Book"/>
          <w:sz w:val="22"/>
        </w:rPr>
        <w:t xml:space="preserve">well established </w:t>
      </w:r>
      <w:r w:rsidR="004D0814">
        <w:rPr>
          <w:rFonts w:ascii="Franklin Gothic Book" w:hAnsi="Franklin Gothic Book"/>
          <w:sz w:val="22"/>
        </w:rPr>
        <w:t>and</w:t>
      </w:r>
      <w:r>
        <w:rPr>
          <w:rFonts w:ascii="Franklin Gothic Book" w:hAnsi="Franklin Gothic Book"/>
          <w:sz w:val="22"/>
        </w:rPr>
        <w:t xml:space="preserve"> as </w:t>
      </w:r>
      <w:r w:rsidRPr="00013F2D">
        <w:rPr>
          <w:rFonts w:ascii="Franklin Gothic Book" w:hAnsi="Franklin Gothic Book"/>
          <w:sz w:val="22"/>
        </w:rPr>
        <w:t xml:space="preserve">the PBAC </w:t>
      </w:r>
      <w:r w:rsidR="002E5774">
        <w:rPr>
          <w:rFonts w:ascii="Franklin Gothic Book" w:hAnsi="Franklin Gothic Book"/>
          <w:sz w:val="22"/>
        </w:rPr>
        <w:t>had</w:t>
      </w:r>
      <w:r w:rsidRPr="00013F2D">
        <w:rPr>
          <w:rFonts w:ascii="Franklin Gothic Book" w:hAnsi="Franklin Gothic Book"/>
          <w:sz w:val="22"/>
        </w:rPr>
        <w:t xml:space="preserve"> not support</w:t>
      </w:r>
      <w:r w:rsidR="002E5774">
        <w:rPr>
          <w:rFonts w:ascii="Franklin Gothic Book" w:hAnsi="Franklin Gothic Book"/>
          <w:sz w:val="22"/>
        </w:rPr>
        <w:t>ed</w:t>
      </w:r>
      <w:r w:rsidRPr="00013F2D">
        <w:rPr>
          <w:rFonts w:ascii="Franklin Gothic Book" w:hAnsi="Franklin Gothic Book"/>
          <w:sz w:val="22"/>
        </w:rPr>
        <w:t xml:space="preserve"> </w:t>
      </w:r>
      <w:r w:rsidR="002E5774">
        <w:rPr>
          <w:rFonts w:ascii="Franklin Gothic Book" w:hAnsi="Franklin Gothic Book"/>
          <w:sz w:val="22"/>
        </w:rPr>
        <w:t>PBS</w:t>
      </w:r>
      <w:r w:rsidRPr="00013F2D">
        <w:rPr>
          <w:rFonts w:ascii="Franklin Gothic Book" w:hAnsi="Franklin Gothic Book"/>
          <w:sz w:val="22"/>
        </w:rPr>
        <w:t xml:space="preserve"> listing</w:t>
      </w:r>
      <w:r w:rsidR="002A1579">
        <w:rPr>
          <w:rFonts w:ascii="Franklin Gothic Book" w:hAnsi="Franklin Gothic Book"/>
          <w:sz w:val="22"/>
        </w:rPr>
        <w:t xml:space="preserve"> of</w:t>
      </w:r>
      <w:r w:rsidRPr="00013F2D">
        <w:rPr>
          <w:rFonts w:ascii="Franklin Gothic Book" w:hAnsi="Franklin Gothic Book"/>
          <w:sz w:val="22"/>
        </w:rPr>
        <w:t xml:space="preserve"> bulevirtide</w:t>
      </w:r>
      <w:r w:rsidR="005770E6">
        <w:rPr>
          <w:rFonts w:ascii="Franklin Gothic Book" w:hAnsi="Franklin Gothic Book"/>
          <w:sz w:val="22"/>
        </w:rPr>
        <w:t xml:space="preserve">, </w:t>
      </w:r>
      <w:r w:rsidR="00BD3095">
        <w:rPr>
          <w:rFonts w:ascii="Franklin Gothic Book" w:hAnsi="Franklin Gothic Book"/>
          <w:sz w:val="22"/>
        </w:rPr>
        <w:t xml:space="preserve">MSAC considered that without the drug being publicly funded, </w:t>
      </w:r>
      <w:r w:rsidRPr="00013F2D">
        <w:rPr>
          <w:rFonts w:ascii="Franklin Gothic Book" w:hAnsi="Franklin Gothic Book"/>
          <w:sz w:val="22"/>
        </w:rPr>
        <w:t xml:space="preserve">there was </w:t>
      </w:r>
      <w:r w:rsidR="00BD3095">
        <w:rPr>
          <w:rFonts w:ascii="Franklin Gothic Book" w:hAnsi="Franklin Gothic Book"/>
          <w:sz w:val="22"/>
        </w:rPr>
        <w:t>insufficient</w:t>
      </w:r>
      <w:r w:rsidRPr="00013F2D">
        <w:rPr>
          <w:rFonts w:ascii="Franklin Gothic Book" w:hAnsi="Franklin Gothic Book"/>
          <w:sz w:val="22"/>
        </w:rPr>
        <w:t xml:space="preserve"> clinical </w:t>
      </w:r>
      <w:r w:rsidR="00BD3095">
        <w:rPr>
          <w:rFonts w:ascii="Franklin Gothic Book" w:hAnsi="Franklin Gothic Book"/>
          <w:sz w:val="22"/>
        </w:rPr>
        <w:t>justification</w:t>
      </w:r>
      <w:r w:rsidRPr="00013F2D">
        <w:rPr>
          <w:rFonts w:ascii="Franklin Gothic Book" w:hAnsi="Franklin Gothic Book"/>
          <w:sz w:val="22"/>
        </w:rPr>
        <w:t xml:space="preserve"> </w:t>
      </w:r>
      <w:r w:rsidR="00BD3095">
        <w:rPr>
          <w:rFonts w:ascii="Franklin Gothic Book" w:hAnsi="Franklin Gothic Book"/>
          <w:sz w:val="22"/>
        </w:rPr>
        <w:t>to fund</w:t>
      </w:r>
      <w:r w:rsidRPr="00013F2D">
        <w:rPr>
          <w:rFonts w:ascii="Franklin Gothic Book" w:hAnsi="Franklin Gothic Book"/>
          <w:sz w:val="22"/>
        </w:rPr>
        <w:t xml:space="preserve"> the test.</w:t>
      </w:r>
    </w:p>
    <w:p w14:paraId="1BC7CA67" w14:textId="0CD8D80A" w:rsidR="00CD2111" w:rsidRPr="00DF31C3" w:rsidRDefault="006E0F19" w:rsidP="00DF31C3">
      <w:pPr>
        <w:spacing w:after="0"/>
        <w:jc w:val="left"/>
        <w:rPr>
          <w:rFonts w:ascii="Franklin Gothic Book" w:hAnsi="Franklin Gothic Book"/>
          <w:sz w:val="22"/>
        </w:rPr>
      </w:pPr>
      <w:r w:rsidRPr="00DF31C3">
        <w:rPr>
          <w:rFonts w:ascii="Franklin Gothic Book" w:hAnsi="Franklin Gothic Book"/>
          <w:sz w:val="22"/>
        </w:rPr>
        <w:t>MSAC considered that a resubmission would need to</w:t>
      </w:r>
      <w:r w:rsidR="00CD2111" w:rsidRPr="00DF31C3">
        <w:rPr>
          <w:rFonts w:ascii="Franklin Gothic Book" w:hAnsi="Franklin Gothic Book"/>
          <w:sz w:val="22"/>
        </w:rPr>
        <w:t>:</w:t>
      </w:r>
    </w:p>
    <w:p w14:paraId="56161360" w14:textId="7E349C55" w:rsidR="00CD2111" w:rsidRDefault="005A1EB8" w:rsidP="00DF31C3">
      <w:pPr>
        <w:pStyle w:val="ListParagraph"/>
        <w:numPr>
          <w:ilvl w:val="0"/>
          <w:numId w:val="52"/>
        </w:numPr>
        <w:spacing w:before="0" w:after="0"/>
        <w:jc w:val="left"/>
        <w:rPr>
          <w:rFonts w:ascii="Franklin Gothic Book" w:hAnsi="Franklin Gothic Book"/>
          <w:sz w:val="22"/>
        </w:rPr>
      </w:pPr>
      <w:r>
        <w:rPr>
          <w:rFonts w:ascii="Franklin Gothic Book" w:hAnsi="Franklin Gothic Book"/>
          <w:sz w:val="22"/>
        </w:rPr>
        <w:t>C</w:t>
      </w:r>
      <w:r w:rsidR="002D1FED" w:rsidRPr="002D1FED">
        <w:rPr>
          <w:rFonts w:ascii="Franklin Gothic Book" w:hAnsi="Franklin Gothic Book"/>
          <w:sz w:val="22"/>
        </w:rPr>
        <w:t xml:space="preserve">onsider </w:t>
      </w:r>
      <w:r w:rsidR="002D1FED">
        <w:rPr>
          <w:rFonts w:ascii="Franklin Gothic Book" w:hAnsi="Franklin Gothic Book"/>
          <w:sz w:val="22"/>
        </w:rPr>
        <w:t>whether there was merit in propos</w:t>
      </w:r>
      <w:r>
        <w:rPr>
          <w:rFonts w:ascii="Franklin Gothic Book" w:hAnsi="Franklin Gothic Book"/>
          <w:sz w:val="22"/>
        </w:rPr>
        <w:t>ing</w:t>
      </w:r>
      <w:r w:rsidR="002D1FED">
        <w:rPr>
          <w:rFonts w:ascii="Franklin Gothic Book" w:hAnsi="Franklin Gothic Book"/>
          <w:sz w:val="22"/>
        </w:rPr>
        <w:t xml:space="preserve"> </w:t>
      </w:r>
      <w:r w:rsidR="002D1FED" w:rsidRPr="002D1FED">
        <w:rPr>
          <w:rFonts w:ascii="Franklin Gothic Book" w:hAnsi="Franklin Gothic Book"/>
          <w:sz w:val="22"/>
        </w:rPr>
        <w:t xml:space="preserve">qualitative </w:t>
      </w:r>
      <w:r>
        <w:rPr>
          <w:rFonts w:ascii="Franklin Gothic Book" w:hAnsi="Franklin Gothic Book"/>
          <w:sz w:val="22"/>
        </w:rPr>
        <w:t>rather than</w:t>
      </w:r>
      <w:r w:rsidR="002D1FED" w:rsidRPr="002D1FED">
        <w:rPr>
          <w:rFonts w:ascii="Franklin Gothic Book" w:hAnsi="Franklin Gothic Book"/>
          <w:sz w:val="22"/>
        </w:rPr>
        <w:t xml:space="preserve"> quantitative testing</w:t>
      </w:r>
      <w:r>
        <w:rPr>
          <w:rFonts w:ascii="Franklin Gothic Book" w:hAnsi="Franklin Gothic Book"/>
          <w:sz w:val="22"/>
        </w:rPr>
        <w:t>,</w:t>
      </w:r>
      <w:r w:rsidR="00293F6F">
        <w:rPr>
          <w:rFonts w:ascii="Franklin Gothic Book" w:hAnsi="Franklin Gothic Book"/>
          <w:sz w:val="22"/>
        </w:rPr>
        <w:t xml:space="preserve"> </w:t>
      </w:r>
      <w:r w:rsidR="00293F6F" w:rsidRPr="00293F6F">
        <w:rPr>
          <w:rFonts w:ascii="Franklin Gothic Book" w:hAnsi="Franklin Gothic Book"/>
          <w:sz w:val="22"/>
        </w:rPr>
        <w:t xml:space="preserve">given </w:t>
      </w:r>
      <w:r>
        <w:rPr>
          <w:rFonts w:ascii="Franklin Gothic Book" w:hAnsi="Franklin Gothic Book"/>
          <w:sz w:val="22"/>
        </w:rPr>
        <w:t xml:space="preserve">lack of </w:t>
      </w:r>
      <w:r w:rsidR="00293F6F" w:rsidRPr="00293F6F">
        <w:rPr>
          <w:rFonts w:ascii="Franklin Gothic Book" w:hAnsi="Franklin Gothic Book"/>
          <w:sz w:val="22"/>
        </w:rPr>
        <w:t>evidence that the levels of HDV RNA inform decision making</w:t>
      </w:r>
      <w:r>
        <w:rPr>
          <w:rFonts w:ascii="Franklin Gothic Book" w:hAnsi="Franklin Gothic Book"/>
          <w:sz w:val="22"/>
        </w:rPr>
        <w:t>.</w:t>
      </w:r>
    </w:p>
    <w:p w14:paraId="5F6D8132" w14:textId="14AAC224" w:rsidR="00A904CB" w:rsidRDefault="005A1EB8" w:rsidP="00DF31C3">
      <w:pPr>
        <w:pStyle w:val="ListParagraph"/>
        <w:numPr>
          <w:ilvl w:val="0"/>
          <w:numId w:val="52"/>
        </w:numPr>
        <w:spacing w:before="0" w:after="0"/>
        <w:jc w:val="left"/>
        <w:rPr>
          <w:rFonts w:ascii="Franklin Gothic Book" w:hAnsi="Franklin Gothic Book"/>
          <w:sz w:val="22"/>
        </w:rPr>
      </w:pPr>
      <w:r>
        <w:rPr>
          <w:rFonts w:ascii="Franklin Gothic Book" w:hAnsi="Franklin Gothic Book"/>
          <w:sz w:val="22"/>
        </w:rPr>
        <w:t>I</w:t>
      </w:r>
      <w:r w:rsidR="00FF76FF" w:rsidRPr="00FF76FF">
        <w:rPr>
          <w:rFonts w:ascii="Franklin Gothic Book" w:hAnsi="Franklin Gothic Book"/>
          <w:sz w:val="22"/>
        </w:rPr>
        <w:t>dentify</w:t>
      </w:r>
      <w:r w:rsidR="00FF76FF">
        <w:rPr>
          <w:rFonts w:ascii="Franklin Gothic Book" w:hAnsi="Franklin Gothic Book"/>
          <w:sz w:val="22"/>
        </w:rPr>
        <w:t xml:space="preserve"> </w:t>
      </w:r>
      <w:r w:rsidR="00FF76FF" w:rsidRPr="00FF76FF">
        <w:rPr>
          <w:rFonts w:ascii="Franklin Gothic Book" w:hAnsi="Franklin Gothic Book"/>
          <w:sz w:val="22"/>
        </w:rPr>
        <w:t>continuation and discontinuation criteria</w:t>
      </w:r>
      <w:r>
        <w:rPr>
          <w:rFonts w:ascii="Franklin Gothic Book" w:hAnsi="Franklin Gothic Book"/>
          <w:sz w:val="22"/>
        </w:rPr>
        <w:t>,</w:t>
      </w:r>
      <w:r w:rsidR="00FF76FF" w:rsidRPr="00FF76FF">
        <w:rPr>
          <w:rFonts w:ascii="Franklin Gothic Book" w:hAnsi="Franklin Gothic Book"/>
          <w:sz w:val="22"/>
        </w:rPr>
        <w:t xml:space="preserve"> </w:t>
      </w:r>
      <w:r w:rsidR="00FF76FF">
        <w:rPr>
          <w:rFonts w:ascii="Franklin Gothic Book" w:hAnsi="Franklin Gothic Book"/>
          <w:sz w:val="22"/>
        </w:rPr>
        <w:t xml:space="preserve">to </w:t>
      </w:r>
      <w:r w:rsidR="00FF76FF" w:rsidRPr="00FF76FF">
        <w:rPr>
          <w:rFonts w:ascii="Franklin Gothic Book" w:hAnsi="Franklin Gothic Book"/>
          <w:sz w:val="22"/>
        </w:rPr>
        <w:t xml:space="preserve">provide </w:t>
      </w:r>
      <w:r>
        <w:rPr>
          <w:rFonts w:ascii="Franklin Gothic Book" w:hAnsi="Franklin Gothic Book"/>
          <w:sz w:val="22"/>
        </w:rPr>
        <w:t>more certainty around</w:t>
      </w:r>
      <w:r w:rsidR="00FF76FF" w:rsidRPr="00FF76FF">
        <w:rPr>
          <w:rFonts w:ascii="Franklin Gothic Book" w:hAnsi="Franklin Gothic Book"/>
          <w:sz w:val="22"/>
        </w:rPr>
        <w:t xml:space="preserve"> the likely duration of treatment and the number of tests required for monitoring treatment</w:t>
      </w:r>
      <w:r>
        <w:rPr>
          <w:rFonts w:ascii="Franklin Gothic Book" w:hAnsi="Franklin Gothic Book"/>
          <w:sz w:val="22"/>
        </w:rPr>
        <w:t>.</w:t>
      </w:r>
    </w:p>
    <w:p w14:paraId="623C8B22" w14:textId="75E6A728" w:rsidR="00CA49DF" w:rsidRDefault="005A1EB8" w:rsidP="00DF31C3">
      <w:pPr>
        <w:pStyle w:val="ListParagraph"/>
        <w:numPr>
          <w:ilvl w:val="0"/>
          <w:numId w:val="52"/>
        </w:numPr>
        <w:spacing w:before="0" w:after="0"/>
        <w:jc w:val="left"/>
        <w:rPr>
          <w:rFonts w:ascii="Franklin Gothic Book" w:hAnsi="Franklin Gothic Book"/>
          <w:sz w:val="22"/>
        </w:rPr>
      </w:pPr>
      <w:r>
        <w:rPr>
          <w:rFonts w:ascii="Franklin Gothic Book" w:hAnsi="Franklin Gothic Book"/>
          <w:sz w:val="22"/>
        </w:rPr>
        <w:t>P</w:t>
      </w:r>
      <w:r w:rsidR="00CA49DF">
        <w:rPr>
          <w:rFonts w:ascii="Franklin Gothic Book" w:hAnsi="Franklin Gothic Book"/>
          <w:sz w:val="22"/>
        </w:rPr>
        <w:t>rovide additional c</w:t>
      </w:r>
      <w:r w:rsidR="00CA49DF" w:rsidRPr="00CA49DF">
        <w:rPr>
          <w:rFonts w:ascii="Franklin Gothic Book" w:hAnsi="Franklin Gothic Book"/>
          <w:sz w:val="22"/>
        </w:rPr>
        <w:t xml:space="preserve">larity around the likely pattern of testing and re-testing as per the </w:t>
      </w:r>
      <w:r w:rsidR="00CA49DF">
        <w:rPr>
          <w:rFonts w:ascii="Franklin Gothic Book" w:hAnsi="Franklin Gothic Book"/>
          <w:sz w:val="22"/>
        </w:rPr>
        <w:t xml:space="preserve">EASL </w:t>
      </w:r>
      <w:r w:rsidR="00CA49DF" w:rsidRPr="00CA49DF">
        <w:rPr>
          <w:rFonts w:ascii="Franklin Gothic Book" w:hAnsi="Franklin Gothic Book"/>
          <w:sz w:val="22"/>
        </w:rPr>
        <w:t xml:space="preserve">guidelines </w:t>
      </w:r>
      <w:r w:rsidR="00CA49DF">
        <w:rPr>
          <w:rFonts w:ascii="Franklin Gothic Book" w:hAnsi="Franklin Gothic Book"/>
          <w:sz w:val="22"/>
        </w:rPr>
        <w:t xml:space="preserve">to </w:t>
      </w:r>
      <w:r w:rsidR="00CA49DF" w:rsidRPr="00CA49DF">
        <w:rPr>
          <w:rFonts w:ascii="Franklin Gothic Book" w:hAnsi="Franklin Gothic Book"/>
          <w:sz w:val="22"/>
        </w:rPr>
        <w:t>better inform the economic evaluation</w:t>
      </w:r>
      <w:r>
        <w:rPr>
          <w:rFonts w:ascii="Franklin Gothic Book" w:hAnsi="Franklin Gothic Book"/>
          <w:sz w:val="22"/>
        </w:rPr>
        <w:t>.</w:t>
      </w:r>
    </w:p>
    <w:p w14:paraId="05B72164" w14:textId="7836F5A0" w:rsidR="00CA49DF" w:rsidRDefault="002A2CE1" w:rsidP="00DF31C3">
      <w:pPr>
        <w:pStyle w:val="ListParagraph"/>
        <w:numPr>
          <w:ilvl w:val="0"/>
          <w:numId w:val="52"/>
        </w:numPr>
        <w:spacing w:before="0" w:after="0"/>
        <w:jc w:val="left"/>
        <w:rPr>
          <w:rFonts w:ascii="Franklin Gothic Book" w:hAnsi="Franklin Gothic Book"/>
          <w:sz w:val="22"/>
        </w:rPr>
      </w:pPr>
      <w:r>
        <w:rPr>
          <w:rFonts w:ascii="Franklin Gothic Book" w:hAnsi="Franklin Gothic Book"/>
          <w:sz w:val="22"/>
        </w:rPr>
        <w:t>Identify and include any further new evidence g</w:t>
      </w:r>
      <w:r w:rsidRPr="002A2CE1">
        <w:rPr>
          <w:rFonts w:ascii="Franklin Gothic Book" w:hAnsi="Franklin Gothic Book"/>
          <w:sz w:val="22"/>
        </w:rPr>
        <w:t>iven the high risk of bias in the submitted evidence</w:t>
      </w:r>
      <w:r w:rsidR="005A1EB8">
        <w:rPr>
          <w:rFonts w:ascii="Franklin Gothic Book" w:hAnsi="Franklin Gothic Book"/>
          <w:sz w:val="22"/>
        </w:rPr>
        <w:t>.</w:t>
      </w:r>
    </w:p>
    <w:p w14:paraId="17D81D94" w14:textId="101BF9F6" w:rsidR="002A2CE1" w:rsidRPr="00FF76FF" w:rsidRDefault="005A1EB8" w:rsidP="00AA6C18">
      <w:pPr>
        <w:pStyle w:val="ListParagraph"/>
        <w:numPr>
          <w:ilvl w:val="0"/>
          <w:numId w:val="52"/>
        </w:numPr>
        <w:spacing w:before="0" w:after="240"/>
        <w:jc w:val="left"/>
        <w:rPr>
          <w:rFonts w:ascii="Franklin Gothic Book" w:hAnsi="Franklin Gothic Book"/>
          <w:sz w:val="22"/>
        </w:rPr>
      </w:pPr>
      <w:r>
        <w:rPr>
          <w:rFonts w:ascii="Franklin Gothic Book" w:hAnsi="Franklin Gothic Book"/>
          <w:sz w:val="22"/>
        </w:rPr>
        <w:t>Provide updated</w:t>
      </w:r>
      <w:r w:rsidR="000009E9">
        <w:rPr>
          <w:rFonts w:ascii="Franklin Gothic Book" w:hAnsi="Franklin Gothic Book"/>
          <w:sz w:val="22"/>
        </w:rPr>
        <w:t xml:space="preserve"> </w:t>
      </w:r>
      <w:r w:rsidR="000009E9" w:rsidRPr="000009E9">
        <w:rPr>
          <w:rFonts w:ascii="Franklin Gothic Book" w:hAnsi="Franklin Gothic Book"/>
          <w:sz w:val="22"/>
        </w:rPr>
        <w:t xml:space="preserve">economic evaluation and financial </w:t>
      </w:r>
      <w:r>
        <w:rPr>
          <w:rFonts w:ascii="Franklin Gothic Book" w:hAnsi="Franklin Gothic Book"/>
          <w:sz w:val="22"/>
        </w:rPr>
        <w:t>assessments</w:t>
      </w:r>
      <w:r w:rsidR="000009E9" w:rsidRPr="000009E9">
        <w:rPr>
          <w:rFonts w:ascii="Franklin Gothic Book" w:hAnsi="Franklin Gothic Book"/>
          <w:sz w:val="22"/>
        </w:rPr>
        <w:t xml:space="preserve"> </w:t>
      </w:r>
      <w:r>
        <w:rPr>
          <w:rFonts w:ascii="Franklin Gothic Book" w:hAnsi="Franklin Gothic Book"/>
          <w:sz w:val="22"/>
        </w:rPr>
        <w:t>that address MSAC’s advice</w:t>
      </w:r>
      <w:r w:rsidR="000009E9">
        <w:rPr>
          <w:rFonts w:ascii="Franklin Gothic Book" w:hAnsi="Franklin Gothic Book"/>
          <w:sz w:val="22"/>
        </w:rPr>
        <w:t>.</w:t>
      </w:r>
    </w:p>
    <w:p w14:paraId="30329DC0" w14:textId="1A8AA166" w:rsidR="00A904CB" w:rsidRPr="003347A2" w:rsidRDefault="00A904CB" w:rsidP="00AA6C18">
      <w:pPr>
        <w:spacing w:before="0" w:after="240"/>
        <w:jc w:val="left"/>
        <w:rPr>
          <w:rFonts w:ascii="Franklin Gothic Book" w:eastAsia="Calibri" w:hAnsi="Franklin Gothic Book" w:cs="Calibri"/>
          <w:sz w:val="22"/>
        </w:rPr>
      </w:pPr>
      <w:r>
        <w:rPr>
          <w:rFonts w:ascii="Franklin Gothic Book" w:eastAsia="Calibri" w:hAnsi="Franklin Gothic Book" w:cs="Calibri"/>
          <w:sz w:val="22"/>
        </w:rPr>
        <w:lastRenderedPageBreak/>
        <w:t xml:space="preserve">MSAC </w:t>
      </w:r>
      <w:r w:rsidR="00593374">
        <w:rPr>
          <w:rFonts w:ascii="Franklin Gothic Book" w:eastAsia="Calibri" w:hAnsi="Franklin Gothic Book" w:cs="Calibri"/>
          <w:sz w:val="22"/>
        </w:rPr>
        <w:t>considered</w:t>
      </w:r>
      <w:r>
        <w:rPr>
          <w:rFonts w:ascii="Franklin Gothic Book" w:eastAsia="Calibri" w:hAnsi="Franklin Gothic Book" w:cs="Calibri"/>
          <w:sz w:val="22"/>
        </w:rPr>
        <w:t xml:space="preserve"> that there </w:t>
      </w:r>
      <w:r w:rsidR="00593374">
        <w:rPr>
          <w:rFonts w:ascii="Franklin Gothic Book" w:eastAsia="Calibri" w:hAnsi="Franklin Gothic Book" w:cs="Calibri"/>
          <w:sz w:val="22"/>
        </w:rPr>
        <w:t>may</w:t>
      </w:r>
      <w:r>
        <w:rPr>
          <w:rFonts w:ascii="Franklin Gothic Book" w:eastAsia="Calibri" w:hAnsi="Franklin Gothic Book" w:cs="Calibri"/>
          <w:sz w:val="22"/>
        </w:rPr>
        <w:t xml:space="preserve"> also</w:t>
      </w:r>
      <w:r w:rsidR="00593374">
        <w:rPr>
          <w:rFonts w:ascii="Franklin Gothic Book" w:eastAsia="Calibri" w:hAnsi="Franklin Gothic Book" w:cs="Calibri"/>
          <w:sz w:val="22"/>
        </w:rPr>
        <w:t xml:space="preserve"> be</w:t>
      </w:r>
      <w:r>
        <w:rPr>
          <w:rFonts w:ascii="Franklin Gothic Book" w:eastAsia="Calibri" w:hAnsi="Franklin Gothic Book" w:cs="Calibri"/>
          <w:sz w:val="22"/>
        </w:rPr>
        <w:t xml:space="preserve"> a </w:t>
      </w:r>
      <w:r w:rsidRPr="00A904CB">
        <w:rPr>
          <w:rFonts w:ascii="Franklin Gothic Book" w:eastAsia="Calibri" w:hAnsi="Franklin Gothic Book" w:cs="Calibri"/>
          <w:sz w:val="22"/>
        </w:rPr>
        <w:t>case for exploring the prognostic value of testing given the evidence of a worse outcome in those with HDV RNA viraemia</w:t>
      </w:r>
      <w:r w:rsidR="00593374">
        <w:rPr>
          <w:rFonts w:ascii="Franklin Gothic Book" w:eastAsia="Calibri" w:hAnsi="Franklin Gothic Book" w:cs="Calibri"/>
          <w:sz w:val="22"/>
        </w:rPr>
        <w:t>,</w:t>
      </w:r>
      <w:r w:rsidR="004162E5">
        <w:rPr>
          <w:rFonts w:ascii="Franklin Gothic Book" w:eastAsia="Calibri" w:hAnsi="Franklin Gothic Book" w:cs="Calibri"/>
          <w:sz w:val="22"/>
        </w:rPr>
        <w:t xml:space="preserve"> </w:t>
      </w:r>
      <w:r w:rsidRPr="00A904CB">
        <w:rPr>
          <w:rFonts w:ascii="Franklin Gothic Book" w:eastAsia="Calibri" w:hAnsi="Franklin Gothic Book" w:cs="Calibri"/>
          <w:sz w:val="22"/>
        </w:rPr>
        <w:t xml:space="preserve">and considering testing independent of </w:t>
      </w:r>
      <w:r w:rsidR="005A1EB8">
        <w:rPr>
          <w:rFonts w:ascii="Franklin Gothic Book" w:eastAsia="Calibri" w:hAnsi="Franklin Gothic Book" w:cs="Calibri"/>
          <w:sz w:val="22"/>
        </w:rPr>
        <w:t xml:space="preserve">bulevirtide </w:t>
      </w:r>
      <w:r w:rsidRPr="00A904CB">
        <w:rPr>
          <w:rFonts w:ascii="Franklin Gothic Book" w:eastAsia="Calibri" w:hAnsi="Franklin Gothic Book" w:cs="Calibri"/>
          <w:sz w:val="22"/>
        </w:rPr>
        <w:t>treatment</w:t>
      </w:r>
      <w:r>
        <w:rPr>
          <w:rFonts w:ascii="Franklin Gothic Book" w:eastAsia="Calibri" w:hAnsi="Franklin Gothic Book" w:cs="Calibri"/>
          <w:sz w:val="22"/>
        </w:rPr>
        <w:t xml:space="preserve">. </w:t>
      </w:r>
    </w:p>
    <w:p w14:paraId="40251A42" w14:textId="5E025200" w:rsidR="00E965EE" w:rsidRPr="00793341" w:rsidRDefault="00E965EE" w:rsidP="00793341">
      <w:pPr>
        <w:pStyle w:val="Heading2"/>
        <w:numPr>
          <w:ilvl w:val="0"/>
          <w:numId w:val="45"/>
        </w:numPr>
        <w:spacing w:after="240"/>
        <w:ind w:hanging="720"/>
        <w:rPr>
          <w:rFonts w:ascii="Franklin Gothic Medium" w:hAnsi="Franklin Gothic Medium"/>
          <w:b w:val="0"/>
          <w:i w:val="0"/>
          <w:snapToGrid/>
          <w:color w:val="000000" w:themeColor="text1"/>
          <w:sz w:val="32"/>
          <w:szCs w:val="26"/>
        </w:rPr>
      </w:pPr>
      <w:r w:rsidRPr="00793341">
        <w:rPr>
          <w:rFonts w:ascii="Franklin Gothic Medium" w:hAnsi="Franklin Gothic Medium"/>
          <w:b w:val="0"/>
          <w:i w:val="0"/>
          <w:snapToGrid/>
          <w:color w:val="000000" w:themeColor="text1"/>
          <w:sz w:val="32"/>
          <w:szCs w:val="26"/>
        </w:rPr>
        <w:t>Background</w:t>
      </w:r>
      <w:bookmarkEnd w:id="3"/>
    </w:p>
    <w:p w14:paraId="6A6D2FD0" w14:textId="77777777" w:rsidR="00E965EE" w:rsidRPr="00793341" w:rsidRDefault="00E965EE" w:rsidP="00AA6C18">
      <w:pPr>
        <w:spacing w:before="0" w:after="240"/>
        <w:jc w:val="left"/>
        <w:rPr>
          <w:rFonts w:ascii="Franklin Gothic Book" w:eastAsia="Calibri" w:hAnsi="Franklin Gothic Book" w:cs="Calibri"/>
          <w:sz w:val="22"/>
        </w:rPr>
      </w:pPr>
      <w:r w:rsidRPr="00793341">
        <w:rPr>
          <w:rFonts w:ascii="Franklin Gothic Book" w:eastAsia="Calibri" w:hAnsi="Franklin Gothic Book" w:cs="Calibri"/>
          <w:sz w:val="22"/>
        </w:rPr>
        <w:t xml:space="preserve">Applicant Developed Assessment Report (ADAR) 1708 was the first submission for HDV RNA PCR testing and treatment with bulevirtide. </w:t>
      </w:r>
    </w:p>
    <w:p w14:paraId="79D03698" w14:textId="77777777" w:rsidR="00E965EE" w:rsidRPr="00793341" w:rsidRDefault="00E965EE" w:rsidP="00793341">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4" w:name="_Toc156984610"/>
      <w:r w:rsidRPr="00793341">
        <w:rPr>
          <w:rFonts w:ascii="Franklin Gothic Medium" w:hAnsi="Franklin Gothic Medium"/>
          <w:b w:val="0"/>
          <w:i w:val="0"/>
          <w:snapToGrid/>
          <w:color w:val="000000" w:themeColor="text1"/>
          <w:sz w:val="32"/>
          <w:szCs w:val="26"/>
        </w:rPr>
        <w:t>Prerequisites to implementation of any funding advice</w:t>
      </w:r>
      <w:bookmarkEnd w:id="4"/>
    </w:p>
    <w:p w14:paraId="43CB64F9" w14:textId="2CE65921" w:rsidR="00E965EE" w:rsidRPr="00793341" w:rsidRDefault="00E965EE" w:rsidP="00AA6C18">
      <w:pPr>
        <w:spacing w:line="259" w:lineRule="auto"/>
        <w:jc w:val="left"/>
        <w:rPr>
          <w:rFonts w:ascii="Franklin Gothic Book" w:eastAsia="Calibri" w:hAnsi="Franklin Gothic Book" w:cs="Times New Roman"/>
          <w:sz w:val="22"/>
        </w:rPr>
      </w:pPr>
      <w:r w:rsidRPr="00793341">
        <w:rPr>
          <w:rFonts w:ascii="Franklin Gothic Book" w:eastAsia="Calibri" w:hAnsi="Franklin Gothic Book" w:cs="Times New Roman"/>
          <w:sz w:val="22"/>
        </w:rPr>
        <w:t>The Therapeutic Goods Administration (TGA) Priority Review of bulevirtide was lodged on 15 March 2023, and Australian Register of Therapeutic Goods (ARTG) registration is expected by February 2024 (</w:t>
      </w:r>
      <w:r w:rsidRPr="00793341">
        <w:rPr>
          <w:rFonts w:ascii="Franklin Gothic Book" w:eastAsia="Calibri" w:hAnsi="Franklin Gothic Book" w:cs="Times New Roman"/>
          <w:sz w:val="22"/>
        </w:rPr>
        <w:fldChar w:fldCharType="begin"/>
      </w:r>
      <w:r w:rsidRPr="00793341">
        <w:rPr>
          <w:rFonts w:ascii="Franklin Gothic Book" w:eastAsia="Calibri" w:hAnsi="Franklin Gothic Book" w:cs="Times New Roman"/>
          <w:sz w:val="22"/>
        </w:rPr>
        <w:instrText xml:space="preserve"> REF _Ref151121766 \h  \* MERGEFORMAT </w:instrText>
      </w:r>
      <w:r w:rsidRPr="00793341">
        <w:rPr>
          <w:rFonts w:ascii="Franklin Gothic Book" w:eastAsia="Calibri" w:hAnsi="Franklin Gothic Book" w:cs="Times New Roman"/>
          <w:sz w:val="22"/>
        </w:rPr>
      </w:r>
      <w:r w:rsidRPr="00793341">
        <w:rPr>
          <w:rFonts w:ascii="Franklin Gothic Book" w:eastAsia="Calibri" w:hAnsi="Franklin Gothic Book" w:cs="Times New Roman"/>
          <w:sz w:val="22"/>
        </w:rPr>
        <w:fldChar w:fldCharType="separate"/>
      </w:r>
      <w:r w:rsidR="00B02BFE" w:rsidRPr="00793341">
        <w:rPr>
          <w:rFonts w:ascii="Franklin Gothic Book" w:eastAsia="Calibri" w:hAnsi="Franklin Gothic Book" w:cs="Times New Roman"/>
          <w:sz w:val="22"/>
        </w:rPr>
        <w:t>Table 2</w:t>
      </w:r>
      <w:r w:rsidRPr="00793341">
        <w:rPr>
          <w:rFonts w:ascii="Franklin Gothic Book" w:eastAsia="Calibri" w:hAnsi="Franklin Gothic Book" w:cs="Times New Roman"/>
          <w:sz w:val="22"/>
        </w:rPr>
        <w:fldChar w:fldCharType="end"/>
      </w:r>
      <w:r w:rsidRPr="00793341">
        <w:rPr>
          <w:rFonts w:ascii="Franklin Gothic Book" w:eastAsia="Calibri" w:hAnsi="Franklin Gothic Book" w:cs="Times New Roman"/>
          <w:sz w:val="22"/>
        </w:rPr>
        <w:t>).</w:t>
      </w:r>
    </w:p>
    <w:p w14:paraId="6CED72C1" w14:textId="4BC67D27" w:rsidR="00E965EE" w:rsidRPr="00E965EE"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5" w:name="_Ref151121766"/>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2</w:t>
      </w:r>
      <w:r w:rsidRPr="00E965EE">
        <w:rPr>
          <w:rFonts w:ascii="Arial Narrow" w:eastAsia="Calibri" w:hAnsi="Arial Narrow" w:cs="Times New Roman"/>
          <w:b/>
          <w:bCs/>
          <w:iCs/>
          <w:sz w:val="20"/>
          <w:szCs w:val="18"/>
          <w:lang w:val="en-US"/>
        </w:rPr>
        <w:fldChar w:fldCharType="end"/>
      </w:r>
      <w:bookmarkEnd w:id="5"/>
      <w:r w:rsidRPr="00E965EE">
        <w:rPr>
          <w:rFonts w:ascii="Arial Narrow" w:eastAsia="Calibri" w:hAnsi="Arial Narrow" w:cs="Times New Roman"/>
          <w:b/>
          <w:bCs/>
          <w:iCs/>
          <w:sz w:val="20"/>
          <w:szCs w:val="18"/>
          <w:lang w:val="en-US"/>
        </w:rPr>
        <w:tab/>
        <w:t>Anticipated timelines for TGA application for bulevirtide</w:t>
      </w:r>
    </w:p>
    <w:tbl>
      <w:tblPr>
        <w:tblStyle w:val="PBACTableStyle1"/>
        <w:tblW w:w="0" w:type="auto"/>
        <w:tblLook w:val="04A0" w:firstRow="1" w:lastRow="0" w:firstColumn="1" w:lastColumn="0" w:noHBand="0" w:noVBand="1"/>
      </w:tblPr>
      <w:tblGrid>
        <w:gridCol w:w="2972"/>
        <w:gridCol w:w="6044"/>
      </w:tblGrid>
      <w:tr w:rsidR="00E965EE" w:rsidRPr="00E965EE" w14:paraId="2E37D3EF" w14:textId="77777777" w:rsidTr="19120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top"/>
          </w:tcPr>
          <w:p w14:paraId="6C584F32" w14:textId="77777777" w:rsidR="00E965EE" w:rsidRPr="00E965EE" w:rsidRDefault="00E965EE" w:rsidP="00BA1BA5">
            <w:pPr>
              <w:pStyle w:val="TableText"/>
            </w:pPr>
            <w:bookmarkStart w:id="6" w:name="_Hlk166505711"/>
            <w:r w:rsidRPr="00E965EE">
              <w:t>Regulatory milestone</w:t>
            </w:r>
          </w:p>
        </w:tc>
        <w:tc>
          <w:tcPr>
            <w:tcW w:w="6044" w:type="dxa"/>
            <w:vAlign w:val="top"/>
          </w:tcPr>
          <w:p w14:paraId="12E31F63" w14:textId="77777777" w:rsidR="00E965EE" w:rsidRPr="00E965EE" w:rsidRDefault="00E965EE" w:rsidP="00BA1BA5">
            <w:pPr>
              <w:pStyle w:val="TableText"/>
              <w:cnfStyle w:val="100000000000" w:firstRow="1" w:lastRow="0" w:firstColumn="0" w:lastColumn="0" w:oddVBand="0" w:evenVBand="0" w:oddHBand="0" w:evenHBand="0" w:firstRowFirstColumn="0" w:firstRowLastColumn="0" w:lastRowFirstColumn="0" w:lastRowLastColumn="0"/>
            </w:pPr>
            <w:r w:rsidRPr="00E965EE">
              <w:t>Date scheduled/expected</w:t>
            </w:r>
          </w:p>
        </w:tc>
      </w:tr>
      <w:tr w:rsidR="00E965EE" w:rsidRPr="00E965EE" w14:paraId="6BEED615" w14:textId="77777777" w:rsidTr="19120466">
        <w:tc>
          <w:tcPr>
            <w:cnfStyle w:val="001000000000" w:firstRow="0" w:lastRow="0" w:firstColumn="1" w:lastColumn="0" w:oddVBand="0" w:evenVBand="0" w:oddHBand="0" w:evenHBand="0" w:firstRowFirstColumn="0" w:firstRowLastColumn="0" w:lastRowFirstColumn="0" w:lastRowLastColumn="0"/>
            <w:tcW w:w="2972" w:type="dxa"/>
            <w:vAlign w:val="top"/>
          </w:tcPr>
          <w:p w14:paraId="2ECA4FCB" w14:textId="14F30E4D" w:rsidR="00E965EE" w:rsidRPr="00E965EE" w:rsidRDefault="00E965EE" w:rsidP="00BA1BA5">
            <w:pPr>
              <w:pStyle w:val="TableText"/>
            </w:pPr>
            <w:r w:rsidRPr="19120466">
              <w:rPr>
                <w:lang w:val="en-AU"/>
              </w:rPr>
              <w:t>Lodg</w:t>
            </w:r>
            <w:r w:rsidR="175E1A51" w:rsidRPr="19120466">
              <w:rPr>
                <w:lang w:val="en-AU"/>
              </w:rPr>
              <w:t>e</w:t>
            </w:r>
            <w:r w:rsidRPr="19120466">
              <w:rPr>
                <w:lang w:val="en-AU"/>
              </w:rPr>
              <w:t>ment of TGA dossier</w:t>
            </w:r>
          </w:p>
        </w:tc>
        <w:tc>
          <w:tcPr>
            <w:tcW w:w="6044" w:type="dxa"/>
            <w:vAlign w:val="top"/>
          </w:tcPr>
          <w:p w14:paraId="2263DBAA" w14:textId="77777777" w:rsidR="00E965EE" w:rsidRPr="00E965EE" w:rsidRDefault="00E965EE" w:rsidP="00BA1BA5">
            <w:pPr>
              <w:pStyle w:val="TableText"/>
              <w:cnfStyle w:val="000000000000" w:firstRow="0" w:lastRow="0" w:firstColumn="0" w:lastColumn="0" w:oddVBand="0" w:evenVBand="0" w:oddHBand="0" w:evenHBand="0" w:firstRowFirstColumn="0" w:firstRowLastColumn="0" w:lastRowFirstColumn="0" w:lastRowLastColumn="0"/>
              <w:rPr>
                <w:iCs/>
              </w:rPr>
            </w:pPr>
            <w:r w:rsidRPr="00E965EE">
              <w:t>15 March 2023</w:t>
            </w:r>
          </w:p>
        </w:tc>
      </w:tr>
      <w:tr w:rsidR="00E965EE" w:rsidRPr="00E965EE" w14:paraId="5C34BE99" w14:textId="77777777" w:rsidTr="19120466">
        <w:tc>
          <w:tcPr>
            <w:cnfStyle w:val="001000000000" w:firstRow="0" w:lastRow="0" w:firstColumn="1" w:lastColumn="0" w:oddVBand="0" w:evenVBand="0" w:oddHBand="0" w:evenHBand="0" w:firstRowFirstColumn="0" w:firstRowLastColumn="0" w:lastRowFirstColumn="0" w:lastRowLastColumn="0"/>
            <w:tcW w:w="2972" w:type="dxa"/>
            <w:vAlign w:val="top"/>
          </w:tcPr>
          <w:p w14:paraId="4497CEDA" w14:textId="77777777" w:rsidR="00E965EE" w:rsidRPr="00E965EE" w:rsidRDefault="00E965EE" w:rsidP="00BA1BA5">
            <w:pPr>
              <w:pStyle w:val="TableText"/>
            </w:pPr>
            <w:r w:rsidRPr="00E965EE">
              <w:t>Completion of evaluation phase</w:t>
            </w:r>
          </w:p>
        </w:tc>
        <w:tc>
          <w:tcPr>
            <w:tcW w:w="6044" w:type="dxa"/>
            <w:vAlign w:val="top"/>
          </w:tcPr>
          <w:p w14:paraId="0EE75857" w14:textId="5F2DF662" w:rsidR="00E965EE" w:rsidRPr="00E965EE" w:rsidRDefault="00E965EE" w:rsidP="00BA1BA5">
            <w:pPr>
              <w:pStyle w:val="TableText"/>
              <w:cnfStyle w:val="000000000000" w:firstRow="0" w:lastRow="0" w:firstColumn="0" w:lastColumn="0" w:oddVBand="0" w:evenVBand="0" w:oddHBand="0" w:evenHBand="0" w:firstRowFirstColumn="0" w:firstRowLastColumn="0" w:lastRowFirstColumn="0" w:lastRowLastColumn="0"/>
            </w:pPr>
            <w:r w:rsidRPr="00E965EE">
              <w:t>Expected 30th September 2023</w:t>
            </w:r>
          </w:p>
        </w:tc>
      </w:tr>
      <w:tr w:rsidR="00E965EE" w:rsidRPr="00E965EE" w14:paraId="2FD7F6C3" w14:textId="77777777" w:rsidTr="19120466">
        <w:tc>
          <w:tcPr>
            <w:cnfStyle w:val="001000000000" w:firstRow="0" w:lastRow="0" w:firstColumn="1" w:lastColumn="0" w:oddVBand="0" w:evenVBand="0" w:oddHBand="0" w:evenHBand="0" w:firstRowFirstColumn="0" w:firstRowLastColumn="0" w:lastRowFirstColumn="0" w:lastRowLastColumn="0"/>
            <w:tcW w:w="2972" w:type="dxa"/>
            <w:vAlign w:val="top"/>
          </w:tcPr>
          <w:p w14:paraId="6E80C7E0" w14:textId="77777777" w:rsidR="00E965EE" w:rsidRPr="00E965EE" w:rsidRDefault="00E965EE" w:rsidP="00BA1BA5">
            <w:pPr>
              <w:pStyle w:val="TableText"/>
            </w:pPr>
            <w:r w:rsidRPr="00E965EE">
              <w:t>Delegate request for ACM advice</w:t>
            </w:r>
          </w:p>
        </w:tc>
        <w:tc>
          <w:tcPr>
            <w:tcW w:w="6044" w:type="dxa"/>
            <w:vAlign w:val="top"/>
          </w:tcPr>
          <w:p w14:paraId="5D80C37A" w14:textId="2CCA1254" w:rsidR="00E965EE" w:rsidRPr="00E965EE" w:rsidRDefault="00E965EE" w:rsidP="00BA1BA5">
            <w:pPr>
              <w:pStyle w:val="TableText"/>
              <w:cnfStyle w:val="000000000000" w:firstRow="0" w:lastRow="0" w:firstColumn="0" w:lastColumn="0" w:oddVBand="0" w:evenVBand="0" w:oddHBand="0" w:evenHBand="0" w:firstRowFirstColumn="0" w:firstRowLastColumn="0" w:lastRowFirstColumn="0" w:lastRowLastColumn="0"/>
            </w:pPr>
            <w:r w:rsidRPr="00E965EE">
              <w:t>Expected 31st October 2023</w:t>
            </w:r>
          </w:p>
        </w:tc>
      </w:tr>
      <w:tr w:rsidR="00E965EE" w:rsidRPr="00E965EE" w14:paraId="5F4E1AE9" w14:textId="77777777" w:rsidTr="19120466">
        <w:tc>
          <w:tcPr>
            <w:cnfStyle w:val="001000000000" w:firstRow="0" w:lastRow="0" w:firstColumn="1" w:lastColumn="0" w:oddVBand="0" w:evenVBand="0" w:oddHBand="0" w:evenHBand="0" w:firstRowFirstColumn="0" w:firstRowLastColumn="0" w:lastRowFirstColumn="0" w:lastRowLastColumn="0"/>
            <w:tcW w:w="2972" w:type="dxa"/>
            <w:vAlign w:val="top"/>
          </w:tcPr>
          <w:p w14:paraId="0B226FB5" w14:textId="77777777" w:rsidR="00E965EE" w:rsidRPr="00E965EE" w:rsidRDefault="00E965EE" w:rsidP="00BA1BA5">
            <w:pPr>
              <w:pStyle w:val="TableText"/>
            </w:pPr>
            <w:r w:rsidRPr="00E965EE">
              <w:t>ACM meeting</w:t>
            </w:r>
          </w:p>
        </w:tc>
        <w:tc>
          <w:tcPr>
            <w:tcW w:w="6044" w:type="dxa"/>
            <w:vAlign w:val="top"/>
          </w:tcPr>
          <w:p w14:paraId="43243690" w14:textId="4263E4E2" w:rsidR="00E965EE" w:rsidRPr="00E965EE" w:rsidRDefault="00E965EE" w:rsidP="00BA1BA5">
            <w:pPr>
              <w:pStyle w:val="TableText"/>
              <w:cnfStyle w:val="000000000000" w:firstRow="0" w:lastRow="0" w:firstColumn="0" w:lastColumn="0" w:oddVBand="0" w:evenVBand="0" w:oddHBand="0" w:evenHBand="0" w:firstRowFirstColumn="0" w:firstRowLastColumn="0" w:lastRowFirstColumn="0" w:lastRowLastColumn="0"/>
            </w:pPr>
            <w:r w:rsidRPr="00E965EE">
              <w:t>15-17 November 2023</w:t>
            </w:r>
          </w:p>
        </w:tc>
      </w:tr>
      <w:tr w:rsidR="00E965EE" w:rsidRPr="00E965EE" w14:paraId="0E10A84F" w14:textId="77777777" w:rsidTr="19120466">
        <w:tc>
          <w:tcPr>
            <w:cnfStyle w:val="001000000000" w:firstRow="0" w:lastRow="0" w:firstColumn="1" w:lastColumn="0" w:oddVBand="0" w:evenVBand="0" w:oddHBand="0" w:evenHBand="0" w:firstRowFirstColumn="0" w:firstRowLastColumn="0" w:lastRowFirstColumn="0" w:lastRowLastColumn="0"/>
            <w:tcW w:w="2972" w:type="dxa"/>
            <w:vAlign w:val="top"/>
          </w:tcPr>
          <w:p w14:paraId="526B4C5D" w14:textId="77777777" w:rsidR="00E965EE" w:rsidRPr="00E965EE" w:rsidRDefault="00E965EE" w:rsidP="00BA1BA5">
            <w:pPr>
              <w:pStyle w:val="TableText"/>
            </w:pPr>
            <w:r w:rsidRPr="00E965EE">
              <w:t>Delegate’s decision</w:t>
            </w:r>
          </w:p>
        </w:tc>
        <w:tc>
          <w:tcPr>
            <w:tcW w:w="6044" w:type="dxa"/>
            <w:vAlign w:val="top"/>
          </w:tcPr>
          <w:p w14:paraId="795D5EF4" w14:textId="6B9EB3C8" w:rsidR="00E965EE" w:rsidRPr="00E965EE" w:rsidRDefault="00E965EE" w:rsidP="00BA1BA5">
            <w:pPr>
              <w:pStyle w:val="TableText"/>
              <w:cnfStyle w:val="000000000000" w:firstRow="0" w:lastRow="0" w:firstColumn="0" w:lastColumn="0" w:oddVBand="0" w:evenVBand="0" w:oddHBand="0" w:evenHBand="0" w:firstRowFirstColumn="0" w:firstRowLastColumn="0" w:lastRowFirstColumn="0" w:lastRowLastColumn="0"/>
            </w:pPr>
            <w:r w:rsidRPr="00E965EE">
              <w:t>Expected 29 November 2023</w:t>
            </w:r>
          </w:p>
        </w:tc>
      </w:tr>
      <w:tr w:rsidR="00E965EE" w:rsidRPr="00E965EE" w14:paraId="6DD3305F" w14:textId="77777777" w:rsidTr="19120466">
        <w:tc>
          <w:tcPr>
            <w:cnfStyle w:val="001000000000" w:firstRow="0" w:lastRow="0" w:firstColumn="1" w:lastColumn="0" w:oddVBand="0" w:evenVBand="0" w:oddHBand="0" w:evenHBand="0" w:firstRowFirstColumn="0" w:firstRowLastColumn="0" w:lastRowFirstColumn="0" w:lastRowLastColumn="0"/>
            <w:tcW w:w="2972" w:type="dxa"/>
            <w:vAlign w:val="top"/>
          </w:tcPr>
          <w:p w14:paraId="3015A74E" w14:textId="77777777" w:rsidR="00E965EE" w:rsidRPr="00E965EE" w:rsidRDefault="00E965EE" w:rsidP="00BA1BA5">
            <w:pPr>
              <w:pStyle w:val="TableText"/>
            </w:pPr>
            <w:r w:rsidRPr="00E965EE">
              <w:t>ARTG registration</w:t>
            </w:r>
          </w:p>
        </w:tc>
        <w:tc>
          <w:tcPr>
            <w:tcW w:w="6044" w:type="dxa"/>
            <w:vAlign w:val="top"/>
          </w:tcPr>
          <w:p w14:paraId="49C0358D" w14:textId="4E5029BA" w:rsidR="00E965EE" w:rsidRPr="00E965EE" w:rsidRDefault="00E965EE" w:rsidP="00BA1BA5">
            <w:pPr>
              <w:pStyle w:val="TableText"/>
              <w:cnfStyle w:val="000000000000" w:firstRow="0" w:lastRow="0" w:firstColumn="0" w:lastColumn="0" w:oddVBand="0" w:evenVBand="0" w:oddHBand="0" w:evenHBand="0" w:firstRowFirstColumn="0" w:firstRowLastColumn="0" w:lastRowFirstColumn="0" w:lastRowLastColumn="0"/>
            </w:pPr>
            <w:r w:rsidRPr="00E965EE">
              <w:t>Expected by February 2024</w:t>
            </w:r>
          </w:p>
        </w:tc>
      </w:tr>
    </w:tbl>
    <w:bookmarkEnd w:id="6"/>
    <w:p w14:paraId="59F397A8" w14:textId="77777777" w:rsidR="00E965EE" w:rsidRPr="00E965EE" w:rsidRDefault="00E965EE" w:rsidP="00E965EE">
      <w:pPr>
        <w:widowControl w:val="0"/>
        <w:spacing w:before="0" w:after="0"/>
        <w:contextualSpacing/>
        <w:rPr>
          <w:rFonts w:ascii="Calibri" w:eastAsia="Times New Roman" w:hAnsi="Calibri" w:cs="Calibri"/>
          <w:snapToGrid w:val="0"/>
          <w:szCs w:val="24"/>
        </w:rPr>
      </w:pPr>
      <w:r w:rsidRPr="00E965EE">
        <w:rPr>
          <w:rFonts w:ascii="Arial Narrow" w:eastAsia="Times New Roman" w:hAnsi="Arial Narrow" w:cs="Arial"/>
          <w:snapToGrid w:val="0"/>
          <w:sz w:val="18"/>
          <w:szCs w:val="20"/>
        </w:rPr>
        <w:t>Source: Table 1.3-1 p24 of the submission</w:t>
      </w:r>
    </w:p>
    <w:p w14:paraId="710DFEA4"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ACM = Advisory Committee on Medicines, ARTG = Australian Register of Therapeutic Goods, TGA = Therapeutic Goods Administration</w:t>
      </w:r>
    </w:p>
    <w:p w14:paraId="40EEC806" w14:textId="77777777" w:rsidR="00E965EE" w:rsidRPr="00793341" w:rsidRDefault="00E965EE" w:rsidP="00AA6C18">
      <w:pPr>
        <w:spacing w:line="259" w:lineRule="auto"/>
        <w:jc w:val="left"/>
        <w:rPr>
          <w:rFonts w:ascii="Franklin Gothic Book" w:eastAsia="Calibri" w:hAnsi="Franklin Gothic Book" w:cs="Times New Roman"/>
          <w:sz w:val="22"/>
        </w:rPr>
      </w:pPr>
      <w:r w:rsidRPr="00793341">
        <w:rPr>
          <w:rFonts w:ascii="Franklin Gothic Book" w:eastAsia="Calibri" w:hAnsi="Franklin Gothic Book" w:cs="Times New Roman"/>
          <w:sz w:val="22"/>
        </w:rPr>
        <w:t>In Australia, the only HDV RNA PCR test currently available is an in-house assay developed by the Victorian Infectious Disease Reference Laboratory (VIDRL), which is accredited by the National Association of Testing Authorities (NATA). The test is a Class 3 in-house in vitro diagnostic (IVD) and therefore does not need to be included in the ARTG</w:t>
      </w:r>
      <w:r w:rsidRPr="00793341">
        <w:rPr>
          <w:rFonts w:ascii="Franklin Gothic Book" w:eastAsia="Calibri" w:hAnsi="Franklin Gothic Book" w:cs="Times New Roman"/>
          <w:sz w:val="22"/>
          <w:vertAlign w:val="superscript"/>
        </w:rPr>
        <w:footnoteReference w:id="2"/>
      </w:r>
      <w:r w:rsidRPr="00793341">
        <w:rPr>
          <w:rFonts w:ascii="Franklin Gothic Book" w:eastAsia="Calibri" w:hAnsi="Franklin Gothic Book" w:cs="Times New Roman"/>
          <w:sz w:val="22"/>
        </w:rPr>
        <w:t xml:space="preserve">, although Class 3 </w:t>
      </w:r>
      <w:r w:rsidRPr="00793341">
        <w:rPr>
          <w:rFonts w:ascii="Franklin Gothic Book" w:eastAsia="Calibri" w:hAnsi="Franklin Gothic Book" w:cs="Times New Roman"/>
          <w:sz w:val="22"/>
          <w:u w:val="double"/>
        </w:rPr>
        <w:t>IVDs</w:t>
      </w:r>
      <w:r w:rsidRPr="00793341">
        <w:rPr>
          <w:rFonts w:ascii="Franklin Gothic Book" w:eastAsia="Calibri" w:hAnsi="Franklin Gothic Book" w:cs="Times New Roman"/>
          <w:sz w:val="22"/>
        </w:rPr>
        <w:t xml:space="preserve"> do require NATA accreditation and need to meet the National Pathology Accreditation Advisory Council (NPAAC) standard</w:t>
      </w:r>
      <w:r w:rsidRPr="00793341">
        <w:rPr>
          <w:rFonts w:ascii="Franklin Gothic Book" w:eastAsia="Calibri" w:hAnsi="Franklin Gothic Book" w:cs="Times New Roman"/>
          <w:sz w:val="22"/>
          <w:vertAlign w:val="superscript"/>
        </w:rPr>
        <w:footnoteReference w:id="3"/>
      </w:r>
      <w:r w:rsidRPr="00793341">
        <w:rPr>
          <w:rFonts w:ascii="Franklin Gothic Book" w:eastAsia="Calibri" w:hAnsi="Franklin Gothic Book" w:cs="Times New Roman"/>
          <w:sz w:val="22"/>
        </w:rPr>
        <w:t xml:space="preserve">. </w:t>
      </w:r>
    </w:p>
    <w:p w14:paraId="237C5E21" w14:textId="77777777" w:rsidR="00E965EE" w:rsidRPr="00793341" w:rsidRDefault="00E965EE" w:rsidP="00793341">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7" w:name="_Toc156984611"/>
      <w:r w:rsidRPr="00793341">
        <w:rPr>
          <w:rFonts w:ascii="Franklin Gothic Medium" w:hAnsi="Franklin Gothic Medium"/>
          <w:b w:val="0"/>
          <w:i w:val="0"/>
          <w:snapToGrid/>
          <w:color w:val="000000" w:themeColor="text1"/>
          <w:sz w:val="32"/>
          <w:szCs w:val="26"/>
        </w:rPr>
        <w:t>Proposal for public funding</w:t>
      </w:r>
      <w:bookmarkEnd w:id="7"/>
    </w:p>
    <w:p w14:paraId="7533EA8E" w14:textId="5CDA5FE2" w:rsidR="00E965EE" w:rsidRPr="00793341" w:rsidRDefault="00E965EE" w:rsidP="00AA6C18">
      <w:pPr>
        <w:keepNext/>
        <w:tabs>
          <w:tab w:val="left" w:pos="2172"/>
        </w:tabs>
        <w:spacing w:line="259" w:lineRule="auto"/>
        <w:jc w:val="left"/>
        <w:rPr>
          <w:rFonts w:ascii="Franklin Gothic Book" w:eastAsia="Calibri" w:hAnsi="Franklin Gothic Book" w:cs="Times New Roman"/>
          <w:sz w:val="22"/>
        </w:rPr>
      </w:pPr>
      <w:r w:rsidRPr="00793341">
        <w:rPr>
          <w:rFonts w:ascii="Franklin Gothic Book" w:eastAsia="Calibri" w:hAnsi="Franklin Gothic Book" w:cs="Times New Roman"/>
          <w:sz w:val="22"/>
        </w:rPr>
        <w:t xml:space="preserve">The proposed new MBS listing (as per the ratified PICO confirmation) is shown in </w:t>
      </w:r>
      <w:r w:rsidRPr="00793341">
        <w:rPr>
          <w:rFonts w:ascii="Franklin Gothic Book" w:eastAsia="Calibri" w:hAnsi="Franklin Gothic Book" w:cs="Times New Roman"/>
          <w:sz w:val="22"/>
        </w:rPr>
        <w:fldChar w:fldCharType="begin"/>
      </w:r>
      <w:r w:rsidRPr="00793341">
        <w:rPr>
          <w:rFonts w:ascii="Franklin Gothic Book" w:eastAsia="Calibri" w:hAnsi="Franklin Gothic Book" w:cs="Times New Roman"/>
          <w:sz w:val="22"/>
        </w:rPr>
        <w:instrText xml:space="preserve"> REF _Ref94771322 \h  \* MERGEFORMAT </w:instrText>
      </w:r>
      <w:r w:rsidRPr="00793341">
        <w:rPr>
          <w:rFonts w:ascii="Franklin Gothic Book" w:eastAsia="Calibri" w:hAnsi="Franklin Gothic Book" w:cs="Times New Roman"/>
          <w:sz w:val="22"/>
        </w:rPr>
      </w:r>
      <w:r w:rsidRPr="00793341">
        <w:rPr>
          <w:rFonts w:ascii="Franklin Gothic Book" w:eastAsia="Calibri" w:hAnsi="Franklin Gothic Book" w:cs="Times New Roman"/>
          <w:sz w:val="22"/>
        </w:rPr>
        <w:fldChar w:fldCharType="separate"/>
      </w:r>
      <w:r w:rsidR="00B02BFE" w:rsidRPr="00793341">
        <w:rPr>
          <w:rFonts w:ascii="Franklin Gothic Book" w:eastAsia="Calibri" w:hAnsi="Franklin Gothic Book" w:cs="Times New Roman"/>
          <w:sz w:val="22"/>
        </w:rPr>
        <w:t>Table 3</w:t>
      </w:r>
      <w:r w:rsidRPr="00793341">
        <w:rPr>
          <w:rFonts w:ascii="Franklin Gothic Book" w:eastAsia="Calibri" w:hAnsi="Franklin Gothic Book" w:cs="Times New Roman"/>
          <w:sz w:val="22"/>
        </w:rPr>
        <w:fldChar w:fldCharType="end"/>
      </w:r>
      <w:r w:rsidRPr="00793341">
        <w:rPr>
          <w:rFonts w:ascii="Franklin Gothic Book" w:eastAsia="Calibri" w:hAnsi="Franklin Gothic Book" w:cs="Times New Roman"/>
          <w:sz w:val="22"/>
        </w:rPr>
        <w:t xml:space="preserve">. The test proposed is an in vitro diagnostic test which measures the amount of HDV RNA present in the blood. If HDV RNA is detected, then the patient is considered to have a current Hepatitis D infection and may be eligible for bulevirtide (if other clinical criteria are also met). The test is also </w:t>
      </w:r>
      <w:r w:rsidRPr="00793341">
        <w:rPr>
          <w:rFonts w:ascii="Franklin Gothic Book" w:eastAsia="Calibri" w:hAnsi="Franklin Gothic Book" w:cs="Times New Roman"/>
          <w:sz w:val="22"/>
        </w:rPr>
        <w:lastRenderedPageBreak/>
        <w:t>proposed for monitoring the effectiveness of treatment, however</w:t>
      </w:r>
      <w:r w:rsidRPr="00793341">
        <w:rPr>
          <w:rFonts w:ascii="Franklin Gothic Book" w:eastAsia="Calibri" w:hAnsi="Franklin Gothic Book" w:cs="Times New Roman"/>
          <w:i/>
          <w:iCs/>
          <w:sz w:val="22"/>
        </w:rPr>
        <w:t xml:space="preserve"> no separate treatment continuation criteria were provided</w:t>
      </w:r>
      <w:r w:rsidRPr="00793341">
        <w:rPr>
          <w:rFonts w:ascii="Franklin Gothic Book" w:eastAsia="Calibri" w:hAnsi="Franklin Gothic Book" w:cs="Times New Roman"/>
          <w:sz w:val="22"/>
        </w:rPr>
        <w:t xml:space="preserve">. </w:t>
      </w:r>
    </w:p>
    <w:p w14:paraId="7DA4D101" w14:textId="409D40EF" w:rsidR="00E965EE" w:rsidRPr="00E965EE" w:rsidRDefault="00E965EE" w:rsidP="00343C2D">
      <w:pPr>
        <w:keepNext/>
        <w:keepLines/>
        <w:widowControl w:val="0"/>
        <w:spacing w:after="0"/>
        <w:ind w:left="1134" w:hanging="1134"/>
        <w:jc w:val="left"/>
        <w:rPr>
          <w:rFonts w:ascii="Arial Narrow" w:eastAsia="Calibri" w:hAnsi="Arial Narrow" w:cs="Times New Roman"/>
          <w:b/>
          <w:bCs/>
          <w:iCs/>
          <w:sz w:val="20"/>
          <w:szCs w:val="18"/>
          <w:lang w:val="en-US"/>
        </w:rPr>
      </w:pPr>
      <w:bookmarkStart w:id="8" w:name="_Ref94771322"/>
      <w:bookmarkStart w:id="9" w:name="_Ref151107113"/>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3</w:t>
      </w:r>
      <w:r w:rsidRPr="00E965EE">
        <w:rPr>
          <w:rFonts w:ascii="Arial Narrow" w:eastAsia="Calibri" w:hAnsi="Arial Narrow" w:cs="Times New Roman"/>
          <w:b/>
          <w:bCs/>
          <w:iCs/>
          <w:sz w:val="20"/>
          <w:szCs w:val="18"/>
          <w:lang w:val="en-US"/>
        </w:rPr>
        <w:fldChar w:fldCharType="end"/>
      </w:r>
      <w:bookmarkEnd w:id="8"/>
      <w:r w:rsidRPr="00E965EE">
        <w:rPr>
          <w:rFonts w:ascii="Arial Narrow" w:eastAsia="Calibri" w:hAnsi="Arial Narrow" w:cs="Times New Roman"/>
          <w:b/>
          <w:bCs/>
          <w:iCs/>
          <w:sz w:val="20"/>
          <w:szCs w:val="18"/>
          <w:lang w:val="en-US"/>
        </w:rPr>
        <w:tab/>
        <w:t>Newly proposed MBS item for testing HDV RNA</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965EE" w:rsidRPr="00E965EE" w14:paraId="4AAF7C8C" w14:textId="77777777" w:rsidTr="00396F09">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36F310F2" w14:textId="77777777" w:rsidR="00E965EE" w:rsidRPr="00E965EE" w:rsidRDefault="00E965EE" w:rsidP="00343C2D">
            <w:pPr>
              <w:keepNext/>
              <w:keepLines/>
              <w:widowControl w:val="0"/>
              <w:spacing w:before="0" w:after="0"/>
              <w:jc w:val="right"/>
              <w:rPr>
                <w:rFonts w:ascii="Arial Narrow" w:eastAsia="Calibri" w:hAnsi="Arial Narrow" w:cs="Times New Roman"/>
                <w:sz w:val="20"/>
              </w:rPr>
            </w:pPr>
            <w:r w:rsidRPr="00E965EE">
              <w:rPr>
                <w:rFonts w:ascii="Arial Narrow" w:eastAsia="Calibri" w:hAnsi="Arial Narrow" w:cs="Times New Roman"/>
                <w:sz w:val="20"/>
              </w:rPr>
              <w:t>Category 6 – PATHOLOGY SERVICES</w:t>
            </w:r>
          </w:p>
          <w:p w14:paraId="25DDD7E0" w14:textId="77777777" w:rsidR="00E965EE" w:rsidRPr="00E965EE" w:rsidRDefault="00E965EE" w:rsidP="00343C2D">
            <w:pPr>
              <w:keepNext/>
              <w:keepLines/>
              <w:widowControl w:val="0"/>
              <w:spacing w:before="0" w:after="0"/>
              <w:jc w:val="right"/>
              <w:rPr>
                <w:rFonts w:ascii="Arial Narrow" w:eastAsia="Calibri" w:hAnsi="Arial Narrow" w:cs="Times New Roman"/>
              </w:rPr>
            </w:pPr>
            <w:r w:rsidRPr="00E965EE">
              <w:rPr>
                <w:rFonts w:ascii="Arial Narrow" w:eastAsia="Calibri" w:hAnsi="Arial Narrow" w:cs="Times New Roman"/>
                <w:sz w:val="20"/>
              </w:rPr>
              <w:t>Group P3 - Microbiology</w:t>
            </w:r>
          </w:p>
        </w:tc>
      </w:tr>
      <w:tr w:rsidR="00E965EE" w:rsidRPr="00E965EE" w14:paraId="1D27BF83" w14:textId="77777777" w:rsidTr="00396F09">
        <w:tc>
          <w:tcPr>
            <w:tcW w:w="5000" w:type="pct"/>
            <w:tcBorders>
              <w:top w:val="single" w:sz="4" w:space="0" w:color="000000"/>
              <w:left w:val="single" w:sz="4" w:space="0" w:color="000000"/>
              <w:bottom w:val="single" w:sz="4" w:space="0" w:color="000000"/>
              <w:right w:val="single" w:sz="4" w:space="0" w:color="000000"/>
            </w:tcBorders>
            <w:hideMark/>
          </w:tcPr>
          <w:p w14:paraId="4949EE56" w14:textId="77777777" w:rsidR="00E965EE" w:rsidRPr="00E965EE" w:rsidRDefault="00E965EE" w:rsidP="00343C2D">
            <w:pPr>
              <w:keepNext/>
              <w:keepLines/>
              <w:spacing w:before="0" w:after="120"/>
              <w:jc w:val="left"/>
              <w:rPr>
                <w:rFonts w:ascii="Arial Narrow" w:eastAsia="Calibri" w:hAnsi="Arial Narrow" w:cs="Times New Roman"/>
                <w:sz w:val="20"/>
                <w:szCs w:val="20"/>
                <w:lang w:eastAsia="ja-JP"/>
              </w:rPr>
            </w:pPr>
            <w:r w:rsidRPr="00E965EE">
              <w:rPr>
                <w:rFonts w:ascii="Arial Narrow" w:eastAsia="Calibri" w:hAnsi="Arial Narrow" w:cs="Times New Roman"/>
                <w:sz w:val="20"/>
                <w:szCs w:val="20"/>
                <w:lang w:eastAsia="ja-JP"/>
              </w:rPr>
              <w:t>MBS item *XXXX</w:t>
            </w:r>
          </w:p>
          <w:p w14:paraId="34492D2A" w14:textId="77777777" w:rsidR="00E965EE" w:rsidRPr="00E965EE" w:rsidRDefault="00E965EE" w:rsidP="00343C2D">
            <w:pPr>
              <w:keepNext/>
              <w:keepLines/>
              <w:spacing w:before="0" w:after="120"/>
              <w:jc w:val="left"/>
              <w:rPr>
                <w:rFonts w:ascii="Arial Narrow" w:eastAsia="Calibri" w:hAnsi="Arial Narrow" w:cs="Times New Roman"/>
                <w:sz w:val="20"/>
                <w:szCs w:val="20"/>
                <w:lang w:eastAsia="ja-JP"/>
              </w:rPr>
            </w:pPr>
            <w:r w:rsidRPr="00E965EE">
              <w:rPr>
                <w:rFonts w:ascii="Arial Narrow" w:eastAsia="Calibri" w:hAnsi="Arial Narrow" w:cs="Times New Roman"/>
                <w:sz w:val="20"/>
                <w:szCs w:val="20"/>
                <w:lang w:eastAsia="ja-JP"/>
              </w:rPr>
              <w:t>Quantitation of Hepatitis D viral RNA load in plasma or serum in:</w:t>
            </w:r>
          </w:p>
          <w:p w14:paraId="76566884" w14:textId="77777777" w:rsidR="00E965EE" w:rsidRPr="00E965EE" w:rsidRDefault="00E965EE" w:rsidP="00343C2D">
            <w:pPr>
              <w:keepNext/>
              <w:keepLines/>
              <w:numPr>
                <w:ilvl w:val="0"/>
                <w:numId w:val="21"/>
              </w:numPr>
              <w:spacing w:before="0" w:after="120"/>
              <w:jc w:val="left"/>
              <w:rPr>
                <w:rFonts w:ascii="Arial Narrow" w:eastAsia="Calibri" w:hAnsi="Arial Narrow" w:cs="Times New Roman"/>
                <w:sz w:val="20"/>
                <w:szCs w:val="20"/>
                <w:lang w:eastAsia="ja-JP"/>
              </w:rPr>
            </w:pPr>
            <w:r w:rsidRPr="00E965EE">
              <w:rPr>
                <w:rFonts w:ascii="Arial Narrow" w:eastAsia="Calibri" w:hAnsi="Arial Narrow" w:cs="Times New Roman"/>
                <w:sz w:val="20"/>
                <w:szCs w:val="20"/>
                <w:lang w:eastAsia="ja-JP"/>
              </w:rPr>
              <w:t>The pre-treatment evaluation for access to therapy for chronic HDV in patients who are Hepatitis D viral antibody positive and suspected of having chronic hepatitis D; or</w:t>
            </w:r>
          </w:p>
          <w:p w14:paraId="6BF47BFF" w14:textId="77777777" w:rsidR="00E965EE" w:rsidRPr="00E965EE" w:rsidRDefault="00E965EE" w:rsidP="00343C2D">
            <w:pPr>
              <w:keepNext/>
              <w:keepLines/>
              <w:numPr>
                <w:ilvl w:val="0"/>
                <w:numId w:val="21"/>
              </w:numPr>
              <w:spacing w:before="0" w:after="120"/>
              <w:jc w:val="left"/>
              <w:rPr>
                <w:rFonts w:ascii="Arial Narrow" w:eastAsia="Calibri" w:hAnsi="Arial Narrow" w:cs="Times New Roman"/>
                <w:sz w:val="20"/>
                <w:szCs w:val="20"/>
                <w:lang w:eastAsia="ja-JP"/>
              </w:rPr>
            </w:pPr>
            <w:r w:rsidRPr="00E965EE">
              <w:rPr>
                <w:rFonts w:ascii="Arial Narrow" w:eastAsia="Calibri" w:hAnsi="Arial Narrow" w:cs="Times New Roman"/>
                <w:sz w:val="20"/>
                <w:szCs w:val="20"/>
                <w:lang w:eastAsia="ja-JP"/>
              </w:rPr>
              <w:t>A patient undertaking viral therapy for chronic hepatitis D with bulevirtide for the purpose of assessing treatment effectiveness.</w:t>
            </w:r>
          </w:p>
          <w:p w14:paraId="1D45E325" w14:textId="77777777" w:rsidR="00E965EE" w:rsidRPr="00E965EE" w:rsidRDefault="00E965EE" w:rsidP="00343C2D">
            <w:pPr>
              <w:keepNext/>
              <w:keepLines/>
              <w:spacing w:before="0" w:after="120"/>
              <w:jc w:val="left"/>
              <w:rPr>
                <w:rFonts w:ascii="Arial Narrow" w:eastAsia="Calibri" w:hAnsi="Arial Narrow" w:cs="Times New Roman"/>
                <w:sz w:val="20"/>
                <w:szCs w:val="20"/>
                <w:lang w:eastAsia="ja-JP"/>
              </w:rPr>
            </w:pPr>
            <w:r w:rsidRPr="00E965EE">
              <w:rPr>
                <w:rFonts w:ascii="Arial Narrow" w:eastAsia="Calibri" w:hAnsi="Arial Narrow" w:cs="Times New Roman"/>
                <w:sz w:val="20"/>
                <w:szCs w:val="20"/>
                <w:lang w:eastAsia="ja-JP"/>
              </w:rPr>
              <w:t>To a maximum of 2 tests in a 12 month period</w:t>
            </w:r>
          </w:p>
        </w:tc>
      </w:tr>
      <w:tr w:rsidR="00E965EE" w:rsidRPr="00E965EE" w14:paraId="7FDAD363" w14:textId="77777777" w:rsidTr="00396F09">
        <w:tc>
          <w:tcPr>
            <w:tcW w:w="5000" w:type="pct"/>
            <w:tcBorders>
              <w:top w:val="single" w:sz="4" w:space="0" w:color="000000"/>
              <w:left w:val="single" w:sz="4" w:space="0" w:color="000000"/>
              <w:bottom w:val="single" w:sz="4" w:space="0" w:color="000000"/>
              <w:right w:val="single" w:sz="4" w:space="0" w:color="000000"/>
            </w:tcBorders>
            <w:vAlign w:val="center"/>
            <w:hideMark/>
          </w:tcPr>
          <w:p w14:paraId="18EAB97E" w14:textId="77777777" w:rsidR="00E965EE" w:rsidRPr="00E965EE" w:rsidRDefault="00E965EE" w:rsidP="00343C2D">
            <w:pPr>
              <w:keepNext/>
              <w:keepLines/>
              <w:widowControl w:val="0"/>
              <w:spacing w:before="0" w:after="0"/>
              <w:jc w:val="left"/>
              <w:rPr>
                <w:rFonts w:ascii="Arial Narrow" w:eastAsia="Calibri" w:hAnsi="Arial Narrow" w:cs="Times New Roman"/>
                <w:sz w:val="20"/>
                <w:szCs w:val="20"/>
              </w:rPr>
            </w:pPr>
            <w:r w:rsidRPr="00E965EE">
              <w:rPr>
                <w:rFonts w:ascii="Arial Narrow" w:eastAsia="Calibri" w:hAnsi="Arial Narrow" w:cs="Times New Roman"/>
                <w:sz w:val="20"/>
                <w:szCs w:val="20"/>
              </w:rPr>
              <w:t>Fee: $152.10  Benefit: 75% $114.10   85% = $129.30</w:t>
            </w:r>
          </w:p>
        </w:tc>
      </w:tr>
    </w:tbl>
    <w:p w14:paraId="08936797" w14:textId="37B43219" w:rsidR="00E965EE" w:rsidRDefault="00142EB0" w:rsidP="00DB6EAC">
      <w:pPr>
        <w:spacing w:before="240" w:after="240"/>
        <w:jc w:val="left"/>
        <w:rPr>
          <w:rFonts w:ascii="Franklin Gothic Book" w:hAnsi="Franklin Gothic Book"/>
          <w:sz w:val="22"/>
        </w:rPr>
      </w:pPr>
      <w:r w:rsidRPr="00766DB5">
        <w:rPr>
          <w:rFonts w:ascii="Franklin Gothic Book" w:eastAsia="Calibri" w:hAnsi="Franklin Gothic Book" w:cs="Calibri"/>
          <w:i/>
          <w:iCs/>
          <w:sz w:val="22"/>
        </w:rPr>
        <w:t xml:space="preserve">ESC had recommended futureproofing the item descriptor by amending it to refer to PBS-listed chronic hepatitis D treatments in general rather than bulevirtide specifically. </w:t>
      </w:r>
      <w:r w:rsidR="004162E5" w:rsidRPr="00766DB5">
        <w:rPr>
          <w:rFonts w:ascii="Franklin Gothic Book" w:hAnsi="Franklin Gothic Book"/>
          <w:i/>
          <w:iCs/>
          <w:sz w:val="22"/>
        </w:rPr>
        <w:t>However,</w:t>
      </w:r>
      <w:r w:rsidRPr="00766DB5">
        <w:rPr>
          <w:rFonts w:ascii="Franklin Gothic Book" w:hAnsi="Franklin Gothic Book"/>
          <w:i/>
          <w:iCs/>
          <w:sz w:val="22"/>
        </w:rPr>
        <w:t xml:space="preserve"> MSAC considered that because bulevirtide had not been approved by PBAC and there were presently no other equivalent medications under consideration, there was no current need to amend the descriptor to refer to</w:t>
      </w:r>
      <w:r w:rsidR="008B585A" w:rsidRPr="00766DB5">
        <w:rPr>
          <w:rFonts w:ascii="Franklin Gothic Book" w:hAnsi="Franklin Gothic Book"/>
          <w:i/>
          <w:iCs/>
          <w:sz w:val="22"/>
        </w:rPr>
        <w:t xml:space="preserve"> PBS-listed</w:t>
      </w:r>
      <w:r w:rsidRPr="00766DB5">
        <w:rPr>
          <w:rFonts w:ascii="Franklin Gothic Book" w:hAnsi="Franklin Gothic Book"/>
          <w:i/>
          <w:iCs/>
          <w:sz w:val="22"/>
        </w:rPr>
        <w:t xml:space="preserve"> chronic hepatitis D treatments</w:t>
      </w:r>
      <w:r w:rsidR="008B585A" w:rsidRPr="00766DB5">
        <w:rPr>
          <w:rFonts w:ascii="Franklin Gothic Book" w:hAnsi="Franklin Gothic Book"/>
          <w:i/>
          <w:iCs/>
          <w:sz w:val="22"/>
        </w:rPr>
        <w:t xml:space="preserve"> in general</w:t>
      </w:r>
      <w:r>
        <w:rPr>
          <w:rFonts w:ascii="Franklin Gothic Book" w:hAnsi="Franklin Gothic Book"/>
          <w:sz w:val="22"/>
        </w:rPr>
        <w:t>.</w:t>
      </w:r>
    </w:p>
    <w:p w14:paraId="19F9D01E" w14:textId="77777777" w:rsidR="00E965EE" w:rsidRPr="003347A2" w:rsidRDefault="00E965EE" w:rsidP="003347A2">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10" w:name="_Toc156984612"/>
      <w:r w:rsidRPr="003347A2">
        <w:rPr>
          <w:rFonts w:ascii="Franklin Gothic Medium" w:hAnsi="Franklin Gothic Medium"/>
          <w:b w:val="0"/>
          <w:i w:val="0"/>
          <w:snapToGrid/>
          <w:color w:val="000000" w:themeColor="text1"/>
          <w:sz w:val="32"/>
          <w:szCs w:val="26"/>
        </w:rPr>
        <w:t>Population</w:t>
      </w:r>
      <w:bookmarkEnd w:id="10"/>
    </w:p>
    <w:p w14:paraId="1FB1D496" w14:textId="77777777"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There are two populations proposed for HDV RNA PCR testing: </w:t>
      </w:r>
    </w:p>
    <w:p w14:paraId="04352F20" w14:textId="77777777" w:rsidR="00E965EE" w:rsidRPr="003347A2" w:rsidRDefault="00E965EE" w:rsidP="00E965EE">
      <w:pPr>
        <w:numPr>
          <w:ilvl w:val="0"/>
          <w:numId w:val="22"/>
        </w:num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Patients who are hepatitis B surface antigen (HBsAg) positive and anti-HDV antibody positive (where testing is performed to confirm the diagnosis of CHD infection status and assist in determining eligibility for bulevirtide); and </w:t>
      </w:r>
    </w:p>
    <w:p w14:paraId="075D8DAF" w14:textId="77777777" w:rsidR="00E965EE" w:rsidRPr="003347A2" w:rsidRDefault="00E965EE" w:rsidP="00E965EE">
      <w:pPr>
        <w:numPr>
          <w:ilvl w:val="0"/>
          <w:numId w:val="22"/>
        </w:num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Patients undertaking antiviral therapy for CHD with bulevirtide to measure the clinical benefit of treatment. </w:t>
      </w:r>
    </w:p>
    <w:p w14:paraId="2B1128C0" w14:textId="77777777"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These proposed populations are consistent with the ratified PICO confirmation. </w:t>
      </w:r>
    </w:p>
    <w:p w14:paraId="4C550DBD" w14:textId="6E5CCE89"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Hepatitis D virus (HDV) is a ‘satellite virus’ that requires the Hepatitis B virus (HBV) envelope protein </w:t>
      </w:r>
      <w:r w:rsidR="00F40B74" w:rsidRPr="003347A2">
        <w:rPr>
          <w:rFonts w:ascii="Franklin Gothic Book" w:eastAsia="Calibri" w:hAnsi="Franklin Gothic Book" w:cs="Calibri"/>
          <w:sz w:val="22"/>
        </w:rPr>
        <w:t>for</w:t>
      </w:r>
      <w:r w:rsidRPr="003347A2">
        <w:rPr>
          <w:rFonts w:ascii="Franklin Gothic Book" w:eastAsia="Calibri" w:hAnsi="Franklin Gothic Book" w:cs="Calibri"/>
          <w:sz w:val="22"/>
        </w:rPr>
        <w:t xml:space="preserve"> it to enter hepatocytes to replicate. Patients with HBV can contract HDV as a superinfection, </w:t>
      </w:r>
      <w:r w:rsidR="00F40B74" w:rsidRPr="003347A2">
        <w:rPr>
          <w:rFonts w:ascii="Franklin Gothic Book" w:eastAsia="Calibri" w:hAnsi="Franklin Gothic Book" w:cs="Calibri"/>
          <w:sz w:val="22"/>
        </w:rPr>
        <w:t>most of the</w:t>
      </w:r>
      <w:r w:rsidRPr="003347A2">
        <w:rPr>
          <w:rFonts w:ascii="Franklin Gothic Book" w:eastAsia="Calibri" w:hAnsi="Franklin Gothic Book" w:cs="Calibri"/>
          <w:sz w:val="22"/>
        </w:rPr>
        <w:t xml:space="preserve"> which progress to chronic HDV which may then exacerbate any pre-existing HBV-related liver damage. Alternatively, HBV and HDV may be contracted together as a coinfection. Coinfections usually resolve within 6 months (during the acute phase), with only 5-10% of coinfections becoming chronic. </w:t>
      </w:r>
    </w:p>
    <w:p w14:paraId="75FCEA24" w14:textId="2E269599"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HDV causes hepatitis D, which is frequently severe, leading to cirrhosis (scarring on the liver). Patients with chronic Hepatitis B (CHB) have a higher risk of decompensating cirrhosis events (variceal bleeding, encephalopathy and ascites), hepatocellular carcinoma, and death if they have concomitant HDV rather than a HBV mono-infection. Knowledge of HDV infection is prognostic and can also alter the management of the patient. Management of HDV infection is proposed with the antiviral bulevirtide. </w:t>
      </w:r>
    </w:p>
    <w:p w14:paraId="02AF6928" w14:textId="4A1970C3" w:rsidR="00E965EE" w:rsidRPr="003347A2" w:rsidRDefault="00F40B74"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To</w:t>
      </w:r>
      <w:r w:rsidR="00E965EE" w:rsidRPr="003347A2">
        <w:rPr>
          <w:rFonts w:ascii="Franklin Gothic Book" w:eastAsia="Calibri" w:hAnsi="Franklin Gothic Book" w:cs="Times New Roman"/>
          <w:sz w:val="22"/>
        </w:rPr>
        <w:t xml:space="preserve"> be eligible for HDV RNA testing, the patient must first be confirmed to have CHB by being positive for HBsAg, and then suspected of having CHD due to being positive for anti-HDV antibodies. </w:t>
      </w:r>
      <w:r w:rsidR="00E965EE" w:rsidRPr="003347A2">
        <w:rPr>
          <w:rFonts w:ascii="Franklin Gothic Book" w:eastAsia="Calibri" w:hAnsi="Franklin Gothic Book" w:cs="Times New Roman"/>
          <w:i/>
          <w:iCs/>
          <w:sz w:val="22"/>
        </w:rPr>
        <w:t xml:space="preserve">In the application form, anti-HDV antibodies were further defined as “IgM or IgG to HDV”. </w:t>
      </w:r>
      <w:r w:rsidR="00E965EE" w:rsidRPr="003347A2">
        <w:rPr>
          <w:rFonts w:ascii="Franklin Gothic Book" w:eastAsia="Calibri" w:hAnsi="Franklin Gothic Book" w:cs="Times New Roman"/>
          <w:sz w:val="22"/>
        </w:rPr>
        <w:t xml:space="preserve">If patients are positive for anti-HDV antibodies then they may be tested for HDV RNA, and if they have detectable HDV RNA and elevated alanine transaminase (ALT), then they may access </w:t>
      </w:r>
      <w:r w:rsidR="00E965EE" w:rsidRPr="003347A2">
        <w:rPr>
          <w:rFonts w:ascii="Franklin Gothic Book" w:eastAsia="Calibri" w:hAnsi="Franklin Gothic Book" w:cs="Times New Roman"/>
          <w:sz w:val="22"/>
        </w:rPr>
        <w:lastRenderedPageBreak/>
        <w:t xml:space="preserve">bulevirtide. Currently, bulevirtide is the only treatment specific to CHD, so in the absence of bulevirtide, symptom management is the standard practice in Australia. </w:t>
      </w:r>
    </w:p>
    <w:p w14:paraId="1E61E399" w14:textId="77777777"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Patients are proposed to be eligible for bulevirtide upon HDV RNA being detected. The Commentary noted that it is, however, possible that some patients tested may still be in the acute phase of infection, rather than having CHD (this differs from the key trial MYR301, which required patients to have the infection for at least 6 months prior to treatment initiation). The Commentary noted that PASC advised that a single positive HDV RNA PCR result would be sufficient to confirm chronic active HDV as it is very rare to identify acute HDV infection in clinical practice. Although this may be the case in current practice, the Commentary noted that if bulevirtide becomes available, it is possible that testing for anti-HDV-antibodies will be performed more regularly, which could increase the likelihood of identifying HDV RNA when the infection is in an acute rather than chronic phase. No evidence is available on the effectiveness of bulevirtide in acute HDV infection. The clinical implications of treating acute infections are therefore unclear.</w:t>
      </w:r>
    </w:p>
    <w:p w14:paraId="2C6523AD" w14:textId="4B01D7A4"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Hepatitis D is a notifiable disease in Australia. Notifications can be made on the basis of a patient being positive for anti-HDV antibodies or following the detection of HDV on liver biopsy</w:t>
      </w:r>
      <w:r w:rsidRPr="003347A2">
        <w:rPr>
          <w:rFonts w:ascii="Franklin Gothic Book" w:eastAsia="Calibri" w:hAnsi="Franklin Gothic Book" w:cs="Times New Roman"/>
          <w:sz w:val="22"/>
          <w:vertAlign w:val="superscript"/>
        </w:rPr>
        <w:footnoteReference w:id="4"/>
      </w:r>
      <w:r w:rsidRPr="003347A2">
        <w:rPr>
          <w:rFonts w:ascii="Franklin Gothic Book" w:eastAsia="Calibri" w:hAnsi="Franklin Gothic Book" w:cs="Times New Roman"/>
          <w:sz w:val="22"/>
        </w:rPr>
        <w:t xml:space="preserve">. Data from the National Notifiable Disease Surveillance System (NNDSS) report that the incidence of HDV is low, with only 70 cases being reported in 2022. This corresponds to an incidence of 0.29 per 100,000 population. </w:t>
      </w:r>
      <w:r w:rsidR="00761818" w:rsidRPr="003347A2">
        <w:rPr>
          <w:rFonts w:ascii="Franklin Gothic Book" w:eastAsia="Calibri" w:hAnsi="Franklin Gothic Book" w:cs="Times New Roman"/>
          <w:sz w:val="22"/>
        </w:rPr>
        <w:t xml:space="preserve">However, </w:t>
      </w:r>
      <w:r w:rsidR="003A6C94" w:rsidRPr="003347A2">
        <w:rPr>
          <w:rFonts w:ascii="Franklin Gothic Book" w:eastAsia="Calibri" w:hAnsi="Franklin Gothic Book" w:cs="Times New Roman"/>
          <w:sz w:val="22"/>
        </w:rPr>
        <w:t>as the NNDSS only records positive serology, it is likely that some (up to half) of these cases may not have chronic infection and will be PCR negative</w:t>
      </w:r>
      <w:r w:rsidR="001D5677" w:rsidRPr="003347A2">
        <w:rPr>
          <w:rFonts w:ascii="Franklin Gothic Book" w:eastAsia="Calibri" w:hAnsi="Franklin Gothic Book" w:cs="Times New Roman"/>
          <w:sz w:val="22"/>
        </w:rPr>
        <w:t xml:space="preserve">. </w:t>
      </w:r>
      <w:r w:rsidRPr="003347A2">
        <w:rPr>
          <w:rFonts w:ascii="Franklin Gothic Book" w:eastAsia="Calibri" w:hAnsi="Franklin Gothic Book" w:cs="Times New Roman"/>
          <w:sz w:val="22"/>
        </w:rPr>
        <w:t xml:space="preserve">HDV </w:t>
      </w:r>
      <w:r w:rsidR="001D5677" w:rsidRPr="003347A2">
        <w:rPr>
          <w:rFonts w:ascii="Franklin Gothic Book" w:eastAsia="Calibri" w:hAnsi="Franklin Gothic Book" w:cs="Times New Roman"/>
          <w:sz w:val="22"/>
        </w:rPr>
        <w:t>may also be</w:t>
      </w:r>
      <w:r w:rsidRPr="003347A2">
        <w:rPr>
          <w:rFonts w:ascii="Franklin Gothic Book" w:eastAsia="Calibri" w:hAnsi="Franklin Gothic Book" w:cs="Times New Roman"/>
          <w:sz w:val="22"/>
        </w:rPr>
        <w:t xml:space="preserve"> underdiagnosed</w:t>
      </w:r>
      <w:r w:rsidR="001D5677" w:rsidRPr="003347A2">
        <w:rPr>
          <w:rFonts w:ascii="Franklin Gothic Book" w:eastAsia="Calibri" w:hAnsi="Franklin Gothic Book" w:cs="Times New Roman"/>
          <w:sz w:val="22"/>
        </w:rPr>
        <w:t xml:space="preserve"> as it is not routinely tested for</w:t>
      </w:r>
      <w:r w:rsidRPr="003347A2">
        <w:rPr>
          <w:rFonts w:ascii="Franklin Gothic Book" w:eastAsia="Calibri" w:hAnsi="Franklin Gothic Book" w:cs="Times New Roman"/>
          <w:sz w:val="22"/>
        </w:rPr>
        <w:t xml:space="preserve">. HDV disproportionately affects people born overseas, from cultural and linguistically diverse communities, and injecting drug users, all of whom may experience barriers to healthcare.  </w:t>
      </w:r>
    </w:p>
    <w:p w14:paraId="3F166C14" w14:textId="77777777" w:rsidR="00E965EE" w:rsidRPr="003347A2" w:rsidRDefault="00E965EE" w:rsidP="003347A2">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11" w:name="_Toc156984613"/>
      <w:r w:rsidRPr="003347A2">
        <w:rPr>
          <w:rFonts w:ascii="Franklin Gothic Medium" w:hAnsi="Franklin Gothic Medium"/>
          <w:b w:val="0"/>
          <w:i w:val="0"/>
          <w:snapToGrid/>
          <w:color w:val="000000" w:themeColor="text1"/>
          <w:sz w:val="32"/>
          <w:szCs w:val="26"/>
        </w:rPr>
        <w:t>Comparator</w:t>
      </w:r>
      <w:bookmarkEnd w:id="11"/>
    </w:p>
    <w:p w14:paraId="5A3D1900" w14:textId="77777777"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 comparator to HDV RNA PCR testing is no HDV RNA PCR testing. The proposed test is expected to be used in addition to current tests, such as anti-HDV antibody tests and ALT testing, rather than as a replacement. </w:t>
      </w:r>
    </w:p>
    <w:p w14:paraId="74F4F7C1" w14:textId="280CAB31"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 comparator to treatment with bulevirtide is proposed to be current standard of care, which is symptom management. Treatment for the concomitant hepatitis B is not expected to alter with the addition of bulevirtide for hepatitis D. </w:t>
      </w:r>
    </w:p>
    <w:p w14:paraId="74D19062" w14:textId="77777777"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This is consistent with the ratified PICO confirmation.</w:t>
      </w:r>
    </w:p>
    <w:p w14:paraId="269D07C0" w14:textId="239E399C" w:rsidR="00E965EE" w:rsidRDefault="00E965EE" w:rsidP="00AA6C18">
      <w:pPr>
        <w:spacing w:before="0" w:after="240"/>
        <w:jc w:val="left"/>
        <w:rPr>
          <w:rFonts w:ascii="Franklin Gothic Book" w:eastAsia="Calibri" w:hAnsi="Franklin Gothic Book" w:cs="Arial"/>
          <w:sz w:val="22"/>
        </w:rPr>
      </w:pPr>
      <w:r w:rsidRPr="003347A2">
        <w:rPr>
          <w:rFonts w:ascii="Franklin Gothic Book" w:eastAsia="Calibri" w:hAnsi="Franklin Gothic Book" w:cs="Times New Roman"/>
          <w:sz w:val="22"/>
        </w:rPr>
        <w:t xml:space="preserve">The Commentary noted that a weekly dose of pegylated interferon alpha </w:t>
      </w:r>
      <w:r w:rsidRPr="003347A2">
        <w:rPr>
          <w:rFonts w:ascii="Franklin Gothic Book" w:eastAsia="Calibri" w:hAnsi="Franklin Gothic Book" w:cs="Arial"/>
          <w:sz w:val="22"/>
        </w:rPr>
        <w:t>(PEG- IFN- α) is currently recommended by some international guidelines</w:t>
      </w:r>
      <w:r w:rsidR="00FA4FDF" w:rsidRPr="003347A2">
        <w:rPr>
          <w:rFonts w:ascii="Franklin Gothic Book" w:eastAsia="Calibri" w:hAnsi="Franklin Gothic Book" w:cs="Arial"/>
          <w:sz w:val="22"/>
        </w:rPr>
        <w:t>, particularly European,</w:t>
      </w:r>
      <w:r w:rsidRPr="003347A2">
        <w:rPr>
          <w:rFonts w:ascii="Franklin Gothic Book" w:eastAsia="Calibri" w:hAnsi="Franklin Gothic Book" w:cs="Arial"/>
          <w:sz w:val="22"/>
        </w:rPr>
        <w:t xml:space="preserve"> to treat HDV</w:t>
      </w:r>
      <w:r w:rsidRPr="003347A2">
        <w:rPr>
          <w:rFonts w:ascii="Franklin Gothic Book" w:eastAsia="Calibri" w:hAnsi="Franklin Gothic Book" w:cs="Arial"/>
          <w:sz w:val="22"/>
          <w:vertAlign w:val="superscript"/>
        </w:rPr>
        <w:footnoteReference w:id="5"/>
      </w:r>
      <w:r w:rsidRPr="003347A2">
        <w:rPr>
          <w:rFonts w:ascii="Franklin Gothic Book" w:eastAsia="Calibri" w:hAnsi="Franklin Gothic Book" w:cs="Arial"/>
          <w:sz w:val="22"/>
        </w:rPr>
        <w:t>. In Australia, PEG-IFN- α is registered with the TGA for the treatment of CHB, so patients with CHD may be able to access it. It is possible that the use of bulevirtide may have some impact on the use of PEG-IFN- α, so it could be considered an additional comparator.</w:t>
      </w:r>
    </w:p>
    <w:p w14:paraId="5C7E89F8" w14:textId="1040E4D9" w:rsidR="003347A2" w:rsidRPr="003347A2" w:rsidRDefault="003347A2" w:rsidP="003347A2">
      <w:pPr>
        <w:pStyle w:val="Heading2"/>
        <w:numPr>
          <w:ilvl w:val="0"/>
          <w:numId w:val="45"/>
        </w:numPr>
        <w:spacing w:after="240"/>
        <w:ind w:hanging="720"/>
        <w:rPr>
          <w:rFonts w:ascii="Franklin Gothic Medium" w:hAnsi="Franklin Gothic Medium"/>
          <w:b w:val="0"/>
          <w:i w:val="0"/>
          <w:snapToGrid/>
          <w:color w:val="000000" w:themeColor="text1"/>
          <w:sz w:val="32"/>
          <w:szCs w:val="26"/>
        </w:rPr>
      </w:pPr>
      <w:r w:rsidRPr="003347A2">
        <w:rPr>
          <w:rFonts w:ascii="Franklin Gothic Medium" w:hAnsi="Franklin Gothic Medium"/>
          <w:b w:val="0"/>
          <w:i w:val="0"/>
          <w:snapToGrid/>
          <w:color w:val="000000" w:themeColor="text1"/>
          <w:sz w:val="32"/>
          <w:szCs w:val="26"/>
        </w:rPr>
        <w:t>Summary of public consultation input</w:t>
      </w:r>
    </w:p>
    <w:p w14:paraId="3BE310A5" w14:textId="4845F1CA" w:rsidR="003347A2" w:rsidRPr="003347A2" w:rsidRDefault="003347A2" w:rsidP="003347A2">
      <w:pPr>
        <w:pStyle w:val="paragraph"/>
        <w:spacing w:before="0" w:beforeAutospacing="0" w:after="0" w:afterAutospacing="0"/>
        <w:textAlignment w:val="baseline"/>
        <w:rPr>
          <w:rFonts w:ascii="Franklin Gothic Book" w:hAnsi="Franklin Gothic Book" w:cs="Segoe UI"/>
          <w:sz w:val="18"/>
          <w:szCs w:val="18"/>
        </w:rPr>
      </w:pPr>
      <w:r w:rsidRPr="003347A2">
        <w:rPr>
          <w:rStyle w:val="normaltextrun"/>
          <w:rFonts w:ascii="Franklin Gothic Book" w:hAnsi="Franklin Gothic Book" w:cs="Calibri"/>
          <w:sz w:val="22"/>
          <w:szCs w:val="22"/>
        </w:rPr>
        <w:t xml:space="preserve">Consultation input was welcomed from three (3) professional organisations, </w:t>
      </w:r>
      <w:r w:rsidR="00A67670">
        <w:rPr>
          <w:rStyle w:val="normaltextrun"/>
          <w:rFonts w:ascii="Franklin Gothic Book" w:hAnsi="Franklin Gothic Book" w:cs="Calibri"/>
          <w:sz w:val="22"/>
          <w:szCs w:val="22"/>
        </w:rPr>
        <w:t xml:space="preserve">three </w:t>
      </w:r>
      <w:r w:rsidRPr="003347A2">
        <w:rPr>
          <w:rStyle w:val="normaltextrun"/>
          <w:rFonts w:ascii="Franklin Gothic Book" w:hAnsi="Franklin Gothic Book" w:cs="Calibri"/>
          <w:sz w:val="22"/>
          <w:szCs w:val="22"/>
        </w:rPr>
        <w:t>(</w:t>
      </w:r>
      <w:r w:rsidR="00A67670">
        <w:rPr>
          <w:rStyle w:val="normaltextrun"/>
          <w:rFonts w:ascii="Franklin Gothic Book" w:hAnsi="Franklin Gothic Book" w:cs="Calibri"/>
          <w:sz w:val="22"/>
          <w:szCs w:val="22"/>
        </w:rPr>
        <w:t>3</w:t>
      </w:r>
      <w:r w:rsidRPr="003347A2">
        <w:rPr>
          <w:rStyle w:val="normaltextrun"/>
          <w:rFonts w:ascii="Franklin Gothic Book" w:hAnsi="Franklin Gothic Book" w:cs="Calibri"/>
          <w:sz w:val="22"/>
          <w:szCs w:val="22"/>
        </w:rPr>
        <w:t>) consumer organisations and one (1) individual, who was a medical professional.</w:t>
      </w:r>
      <w:r w:rsidRPr="003347A2">
        <w:rPr>
          <w:rStyle w:val="eop"/>
          <w:rFonts w:ascii="Franklin Gothic Book" w:hAnsi="Franklin Gothic Book" w:cs="Calibri"/>
          <w:sz w:val="22"/>
          <w:szCs w:val="22"/>
        </w:rPr>
        <w:t> </w:t>
      </w:r>
    </w:p>
    <w:p w14:paraId="11026475" w14:textId="77777777" w:rsidR="003347A2" w:rsidRPr="003347A2" w:rsidRDefault="003347A2" w:rsidP="00814E01">
      <w:pPr>
        <w:pStyle w:val="paragraph"/>
        <w:keepNext/>
        <w:keepLines/>
        <w:spacing w:before="240" w:beforeAutospacing="0" w:after="0" w:afterAutospacing="0"/>
        <w:textAlignment w:val="baseline"/>
        <w:rPr>
          <w:rFonts w:ascii="Franklin Gothic Book" w:hAnsi="Franklin Gothic Book" w:cs="Segoe UI"/>
          <w:sz w:val="18"/>
          <w:szCs w:val="18"/>
        </w:rPr>
      </w:pPr>
      <w:r w:rsidRPr="003347A2">
        <w:rPr>
          <w:rStyle w:val="normaltextrun"/>
          <w:rFonts w:ascii="Franklin Gothic Book" w:hAnsi="Franklin Gothic Book" w:cs="Calibri"/>
          <w:sz w:val="22"/>
          <w:szCs w:val="22"/>
        </w:rPr>
        <w:lastRenderedPageBreak/>
        <w:t>The five (5) organisations that submitted input were: </w:t>
      </w:r>
      <w:r w:rsidRPr="003347A2">
        <w:rPr>
          <w:rStyle w:val="eop"/>
          <w:rFonts w:ascii="Franklin Gothic Book" w:hAnsi="Franklin Gothic Book" w:cs="Calibri"/>
          <w:sz w:val="22"/>
          <w:szCs w:val="22"/>
        </w:rPr>
        <w:t> </w:t>
      </w:r>
    </w:p>
    <w:p w14:paraId="23D4A02B" w14:textId="77777777" w:rsidR="003347A2" w:rsidRPr="003347A2" w:rsidRDefault="003347A2" w:rsidP="00814E01">
      <w:pPr>
        <w:pStyle w:val="paragraph"/>
        <w:keepNext/>
        <w:keepLines/>
        <w:numPr>
          <w:ilvl w:val="0"/>
          <w:numId w:val="46"/>
        </w:numPr>
        <w:spacing w:before="0" w:beforeAutospacing="0" w:after="0" w:afterAutospacing="0"/>
        <w:ind w:left="1080"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Australian Pathology (AP)</w:t>
      </w:r>
      <w:r w:rsidRPr="003347A2">
        <w:rPr>
          <w:rStyle w:val="eop"/>
          <w:rFonts w:ascii="Franklin Gothic Book" w:hAnsi="Franklin Gothic Book" w:cs="Calibri"/>
          <w:sz w:val="22"/>
          <w:szCs w:val="22"/>
        </w:rPr>
        <w:t> </w:t>
      </w:r>
    </w:p>
    <w:p w14:paraId="2F1145EC" w14:textId="77777777" w:rsidR="003347A2" w:rsidRPr="003347A2" w:rsidRDefault="003347A2" w:rsidP="00814E01">
      <w:pPr>
        <w:pStyle w:val="paragraph"/>
        <w:keepNext/>
        <w:keepLines/>
        <w:numPr>
          <w:ilvl w:val="0"/>
          <w:numId w:val="46"/>
        </w:numPr>
        <w:spacing w:before="0" w:beforeAutospacing="0" w:after="0" w:afterAutospacing="0"/>
        <w:ind w:left="1080"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Gastroenterological Society of Australia (GESA)</w:t>
      </w:r>
      <w:r w:rsidRPr="003347A2">
        <w:rPr>
          <w:rStyle w:val="eop"/>
          <w:rFonts w:ascii="Franklin Gothic Book" w:hAnsi="Franklin Gothic Book" w:cs="Calibri"/>
          <w:sz w:val="22"/>
          <w:szCs w:val="22"/>
        </w:rPr>
        <w:t> </w:t>
      </w:r>
    </w:p>
    <w:p w14:paraId="44B44055" w14:textId="77777777" w:rsidR="003347A2" w:rsidRPr="003347A2" w:rsidRDefault="003347A2" w:rsidP="00814E01">
      <w:pPr>
        <w:pStyle w:val="paragraph"/>
        <w:keepNext/>
        <w:keepLines/>
        <w:numPr>
          <w:ilvl w:val="0"/>
          <w:numId w:val="46"/>
        </w:numPr>
        <w:spacing w:before="0" w:beforeAutospacing="0" w:after="0" w:afterAutospacing="0"/>
        <w:ind w:left="1080"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Hepatitis SA</w:t>
      </w:r>
      <w:r w:rsidRPr="003347A2">
        <w:rPr>
          <w:rStyle w:val="eop"/>
          <w:rFonts w:ascii="Franklin Gothic Book" w:hAnsi="Franklin Gothic Book" w:cs="Calibri"/>
          <w:sz w:val="22"/>
          <w:szCs w:val="22"/>
        </w:rPr>
        <w:t> </w:t>
      </w:r>
    </w:p>
    <w:p w14:paraId="5214CF4D" w14:textId="77777777" w:rsidR="003347A2" w:rsidRPr="003347A2" w:rsidRDefault="003347A2" w:rsidP="00814E01">
      <w:pPr>
        <w:pStyle w:val="paragraph"/>
        <w:keepNext/>
        <w:keepLines/>
        <w:numPr>
          <w:ilvl w:val="0"/>
          <w:numId w:val="46"/>
        </w:numPr>
        <w:spacing w:before="0" w:beforeAutospacing="0" w:after="0" w:afterAutospacing="0"/>
        <w:ind w:left="1080"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Hepatitis Queensland (HQ)</w:t>
      </w:r>
      <w:r w:rsidRPr="003347A2">
        <w:rPr>
          <w:rStyle w:val="eop"/>
          <w:rFonts w:ascii="Franklin Gothic Book" w:hAnsi="Franklin Gothic Book" w:cs="Calibri"/>
          <w:sz w:val="22"/>
          <w:szCs w:val="22"/>
        </w:rPr>
        <w:t> </w:t>
      </w:r>
    </w:p>
    <w:p w14:paraId="03618F53" w14:textId="77777777" w:rsidR="003347A2" w:rsidRDefault="003347A2" w:rsidP="00814E01">
      <w:pPr>
        <w:pStyle w:val="paragraph"/>
        <w:keepNext/>
        <w:keepLines/>
        <w:numPr>
          <w:ilvl w:val="0"/>
          <w:numId w:val="46"/>
        </w:numPr>
        <w:spacing w:before="0" w:beforeAutospacing="0" w:after="0" w:afterAutospacing="0"/>
        <w:ind w:left="1080" w:firstLine="0"/>
        <w:textAlignment w:val="baseline"/>
        <w:rPr>
          <w:rStyle w:val="eop"/>
          <w:rFonts w:ascii="Franklin Gothic Book" w:hAnsi="Franklin Gothic Book" w:cs="Calibri"/>
          <w:sz w:val="22"/>
          <w:szCs w:val="22"/>
        </w:rPr>
      </w:pPr>
      <w:r w:rsidRPr="003347A2">
        <w:rPr>
          <w:rStyle w:val="normaltextrun"/>
          <w:rFonts w:ascii="Franklin Gothic Book" w:hAnsi="Franklin Gothic Book" w:cs="Calibri"/>
          <w:sz w:val="22"/>
          <w:szCs w:val="22"/>
        </w:rPr>
        <w:t>Public Pathology Australia (PPA)</w:t>
      </w:r>
      <w:r w:rsidRPr="003347A2">
        <w:rPr>
          <w:rStyle w:val="eop"/>
          <w:rFonts w:ascii="Franklin Gothic Book" w:hAnsi="Franklin Gothic Book" w:cs="Calibri"/>
          <w:sz w:val="22"/>
          <w:szCs w:val="22"/>
        </w:rPr>
        <w:t> </w:t>
      </w:r>
    </w:p>
    <w:p w14:paraId="7BC66C35" w14:textId="2554538C" w:rsidR="00A67670" w:rsidRPr="003347A2" w:rsidRDefault="00A01E12" w:rsidP="003347A2">
      <w:pPr>
        <w:pStyle w:val="paragraph"/>
        <w:numPr>
          <w:ilvl w:val="0"/>
          <w:numId w:val="46"/>
        </w:numPr>
        <w:spacing w:before="0" w:beforeAutospacing="0" w:after="0" w:afterAutospacing="0"/>
        <w:ind w:left="1080" w:firstLine="0"/>
        <w:textAlignment w:val="baseline"/>
        <w:rPr>
          <w:rFonts w:ascii="Franklin Gothic Book" w:hAnsi="Franklin Gothic Book" w:cs="Calibri"/>
          <w:sz w:val="22"/>
          <w:szCs w:val="22"/>
        </w:rPr>
      </w:pPr>
      <w:r>
        <w:rPr>
          <w:rStyle w:val="eop"/>
          <w:rFonts w:ascii="Franklin Gothic Book" w:hAnsi="Franklin Gothic Book" w:cs="Calibri"/>
          <w:sz w:val="22"/>
          <w:szCs w:val="22"/>
        </w:rPr>
        <w:t xml:space="preserve">Hepatitis NSW </w:t>
      </w:r>
    </w:p>
    <w:p w14:paraId="50C4082B" w14:textId="77777777" w:rsidR="003347A2" w:rsidRPr="003347A2" w:rsidRDefault="003347A2" w:rsidP="003347A2">
      <w:pPr>
        <w:pStyle w:val="paragraph"/>
        <w:spacing w:before="240" w:beforeAutospacing="0" w:after="0" w:afterAutospacing="0"/>
        <w:textAlignment w:val="baseline"/>
        <w:rPr>
          <w:rFonts w:ascii="Franklin Gothic Book" w:hAnsi="Franklin Gothic Book" w:cs="Segoe UI"/>
          <w:sz w:val="18"/>
          <w:szCs w:val="18"/>
        </w:rPr>
      </w:pPr>
      <w:r w:rsidRPr="003347A2">
        <w:rPr>
          <w:rStyle w:val="normaltextrun"/>
          <w:rFonts w:ascii="Franklin Gothic Book" w:hAnsi="Franklin Gothic Book" w:cs="Calibri"/>
          <w:sz w:val="22"/>
          <w:szCs w:val="22"/>
        </w:rPr>
        <w:t>The consultation feedback received was mostly supportive of public funding for Application 1708. </w:t>
      </w:r>
      <w:r w:rsidRPr="003347A2">
        <w:rPr>
          <w:rStyle w:val="eop"/>
          <w:rFonts w:ascii="Franklin Gothic Book" w:hAnsi="Franklin Gothic Book" w:cs="Calibri"/>
          <w:sz w:val="22"/>
          <w:szCs w:val="22"/>
        </w:rPr>
        <w:t> </w:t>
      </w:r>
    </w:p>
    <w:p w14:paraId="0B7A2920" w14:textId="77777777" w:rsidR="003347A2" w:rsidRPr="003347A2" w:rsidRDefault="003347A2" w:rsidP="003347A2">
      <w:pPr>
        <w:pStyle w:val="paragraph"/>
        <w:spacing w:before="240" w:beforeAutospacing="0" w:after="0" w:afterAutospacing="0"/>
        <w:textAlignment w:val="baseline"/>
        <w:rPr>
          <w:rFonts w:ascii="Franklin Gothic Book" w:hAnsi="Franklin Gothic Book" w:cs="Segoe UI"/>
          <w:sz w:val="18"/>
          <w:szCs w:val="18"/>
        </w:rPr>
      </w:pPr>
      <w:r w:rsidRPr="003347A2">
        <w:rPr>
          <w:rStyle w:val="normaltextrun"/>
          <w:rFonts w:ascii="Franklin Gothic Book" w:hAnsi="Franklin Gothic Book" w:cs="Calibri"/>
          <w:b/>
          <w:bCs/>
          <w:sz w:val="22"/>
          <w:szCs w:val="22"/>
        </w:rPr>
        <w:t>Benefits</w:t>
      </w:r>
      <w:r w:rsidRPr="003347A2">
        <w:rPr>
          <w:rStyle w:val="eop"/>
          <w:rFonts w:ascii="Franklin Gothic Book" w:hAnsi="Franklin Gothic Book" w:cs="Calibri"/>
          <w:sz w:val="22"/>
          <w:szCs w:val="22"/>
        </w:rPr>
        <w:t> </w:t>
      </w:r>
    </w:p>
    <w:p w14:paraId="68885962" w14:textId="77777777" w:rsidR="003347A2" w:rsidRPr="003347A2" w:rsidRDefault="003347A2" w:rsidP="003347A2">
      <w:pPr>
        <w:pStyle w:val="paragraph"/>
        <w:numPr>
          <w:ilvl w:val="0"/>
          <w:numId w:val="47"/>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Current testing (serology) is inadequate as it only detects exposure to the virus, and does not distinguish between current and past infection. </w:t>
      </w:r>
      <w:r w:rsidRPr="003347A2">
        <w:rPr>
          <w:rStyle w:val="eop"/>
          <w:rFonts w:ascii="Franklin Gothic Book" w:hAnsi="Franklin Gothic Book" w:cs="Calibri"/>
          <w:sz w:val="22"/>
          <w:szCs w:val="22"/>
        </w:rPr>
        <w:t> </w:t>
      </w:r>
    </w:p>
    <w:p w14:paraId="51D9FD9C" w14:textId="77777777" w:rsidR="003347A2" w:rsidRPr="003347A2" w:rsidRDefault="003347A2" w:rsidP="003347A2">
      <w:pPr>
        <w:pStyle w:val="paragraph"/>
        <w:numPr>
          <w:ilvl w:val="0"/>
          <w:numId w:val="47"/>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HDV infection is largely under-diagnosed due to the prohibitive cost of PCR testing and public funding of the testing would promote correct testing processes, standardisation of HDV testing and higher rates of diagnosis. </w:t>
      </w:r>
      <w:r w:rsidRPr="003347A2">
        <w:rPr>
          <w:rStyle w:val="eop"/>
          <w:rFonts w:ascii="Franklin Gothic Book" w:hAnsi="Franklin Gothic Book" w:cs="Calibri"/>
          <w:sz w:val="22"/>
          <w:szCs w:val="22"/>
        </w:rPr>
        <w:t> </w:t>
      </w:r>
    </w:p>
    <w:p w14:paraId="32E330ED" w14:textId="77777777" w:rsidR="003347A2" w:rsidRPr="003347A2" w:rsidRDefault="003347A2" w:rsidP="003347A2">
      <w:pPr>
        <w:pStyle w:val="paragraph"/>
        <w:numPr>
          <w:ilvl w:val="0"/>
          <w:numId w:val="47"/>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RNA PCR testing has increased accuracy in diagnosing HDV, including quantification of virus levels, and determining active and past infections. </w:t>
      </w:r>
      <w:r w:rsidRPr="003347A2">
        <w:rPr>
          <w:rStyle w:val="eop"/>
          <w:rFonts w:ascii="Franklin Gothic Book" w:hAnsi="Franklin Gothic Book" w:cs="Calibri"/>
          <w:sz w:val="22"/>
          <w:szCs w:val="22"/>
        </w:rPr>
        <w:t> </w:t>
      </w:r>
    </w:p>
    <w:p w14:paraId="50D8B31D" w14:textId="77777777" w:rsidR="003347A2" w:rsidRPr="003347A2" w:rsidRDefault="003347A2" w:rsidP="003347A2">
      <w:pPr>
        <w:pStyle w:val="paragraph"/>
        <w:numPr>
          <w:ilvl w:val="0"/>
          <w:numId w:val="47"/>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Testing will allow regular monitoring of disease progression, improve access to appropriate treatment and prompt response to treatment failure and avoidance of unnecessary investigations or interventions.</w:t>
      </w:r>
      <w:r w:rsidRPr="003347A2">
        <w:rPr>
          <w:rStyle w:val="eop"/>
          <w:rFonts w:ascii="Franklin Gothic Book" w:hAnsi="Franklin Gothic Book" w:cs="Calibri"/>
          <w:sz w:val="22"/>
          <w:szCs w:val="22"/>
        </w:rPr>
        <w:t> </w:t>
      </w:r>
    </w:p>
    <w:p w14:paraId="245C3029" w14:textId="77777777" w:rsidR="003347A2" w:rsidRPr="003347A2" w:rsidRDefault="003347A2" w:rsidP="003347A2">
      <w:pPr>
        <w:pStyle w:val="paragraph"/>
        <w:numPr>
          <w:ilvl w:val="0"/>
          <w:numId w:val="47"/>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The rates of HDV transmission would reduce with increased rates of diagnosis and greater awareness.</w:t>
      </w:r>
      <w:r w:rsidRPr="003347A2">
        <w:rPr>
          <w:rStyle w:val="eop"/>
          <w:rFonts w:ascii="Franklin Gothic Book" w:hAnsi="Franklin Gothic Book" w:cs="Calibri"/>
          <w:sz w:val="22"/>
          <w:szCs w:val="22"/>
        </w:rPr>
        <w:t> </w:t>
      </w:r>
    </w:p>
    <w:p w14:paraId="7FB05973" w14:textId="77777777" w:rsidR="003347A2" w:rsidRPr="003347A2" w:rsidRDefault="003347A2" w:rsidP="003347A2">
      <w:pPr>
        <w:pStyle w:val="paragraph"/>
        <w:numPr>
          <w:ilvl w:val="0"/>
          <w:numId w:val="47"/>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Current treatment for HBV/HDV chronic infection is only effective in a small portion of patients, with severe side-effects and minimal long-term benefits.</w:t>
      </w:r>
      <w:r w:rsidRPr="003347A2">
        <w:rPr>
          <w:rStyle w:val="eop"/>
          <w:rFonts w:ascii="Franklin Gothic Book" w:hAnsi="Franklin Gothic Book" w:cs="Calibri"/>
          <w:sz w:val="22"/>
          <w:szCs w:val="22"/>
        </w:rPr>
        <w:t> </w:t>
      </w:r>
    </w:p>
    <w:p w14:paraId="2B6498B3" w14:textId="77777777" w:rsidR="003347A2" w:rsidRPr="003347A2" w:rsidRDefault="003347A2" w:rsidP="003347A2">
      <w:pPr>
        <w:pStyle w:val="paragraph"/>
        <w:numPr>
          <w:ilvl w:val="0"/>
          <w:numId w:val="48"/>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Bulevirtide is a targeted therapy with a higher rate of efficacy and tolerability. The proposed treatment has shown specific response as an anti-HDV treatment with visible decline in HDV RNA and minimal side effects. </w:t>
      </w:r>
      <w:r w:rsidRPr="003347A2">
        <w:rPr>
          <w:rStyle w:val="eop"/>
          <w:rFonts w:ascii="Franklin Gothic Book" w:hAnsi="Franklin Gothic Book" w:cs="Calibri"/>
          <w:sz w:val="22"/>
          <w:szCs w:val="22"/>
        </w:rPr>
        <w:t> </w:t>
      </w:r>
    </w:p>
    <w:p w14:paraId="4D42D1AF" w14:textId="77777777" w:rsidR="003347A2" w:rsidRPr="003347A2" w:rsidRDefault="003347A2" w:rsidP="003347A2">
      <w:pPr>
        <w:pStyle w:val="paragraph"/>
        <w:numPr>
          <w:ilvl w:val="0"/>
          <w:numId w:val="48"/>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Increased equity of access, as HDV priority populations experience multiple socio-economic barriers to healthcare. </w:t>
      </w:r>
      <w:r w:rsidRPr="003347A2">
        <w:rPr>
          <w:rStyle w:val="eop"/>
          <w:rFonts w:ascii="Franklin Gothic Book" w:hAnsi="Franklin Gothic Book" w:cs="Calibri"/>
          <w:sz w:val="22"/>
          <w:szCs w:val="22"/>
        </w:rPr>
        <w:t> </w:t>
      </w:r>
    </w:p>
    <w:p w14:paraId="17730B6E" w14:textId="77777777" w:rsidR="003347A2" w:rsidRPr="003347A2" w:rsidRDefault="003347A2" w:rsidP="003347A2">
      <w:pPr>
        <w:pStyle w:val="paragraph"/>
        <w:spacing w:before="240" w:beforeAutospacing="0" w:after="0" w:afterAutospacing="0"/>
        <w:textAlignment w:val="baseline"/>
        <w:rPr>
          <w:rFonts w:ascii="Franklin Gothic Book" w:hAnsi="Franklin Gothic Book" w:cs="Segoe UI"/>
          <w:sz w:val="18"/>
          <w:szCs w:val="18"/>
        </w:rPr>
      </w:pPr>
      <w:r w:rsidRPr="003347A2">
        <w:rPr>
          <w:rStyle w:val="normaltextrun"/>
          <w:rFonts w:ascii="Franklin Gothic Book" w:hAnsi="Franklin Gothic Book" w:cs="Calibri"/>
          <w:b/>
          <w:bCs/>
          <w:sz w:val="22"/>
          <w:szCs w:val="22"/>
        </w:rPr>
        <w:t>Disadvantages</w:t>
      </w:r>
      <w:r w:rsidRPr="003347A2">
        <w:rPr>
          <w:rStyle w:val="eop"/>
          <w:rFonts w:ascii="Franklin Gothic Book" w:hAnsi="Franklin Gothic Book" w:cs="Calibri"/>
          <w:sz w:val="22"/>
          <w:szCs w:val="22"/>
        </w:rPr>
        <w:t> </w:t>
      </w:r>
    </w:p>
    <w:p w14:paraId="57EF1B7A" w14:textId="32CF99E2" w:rsidR="003347A2" w:rsidRPr="003347A2" w:rsidRDefault="003347A2" w:rsidP="003347A2">
      <w:pPr>
        <w:pStyle w:val="paragraph"/>
        <w:numPr>
          <w:ilvl w:val="0"/>
          <w:numId w:val="49"/>
        </w:numPr>
        <w:spacing w:before="0" w:beforeAutospacing="0" w:after="0" w:afterAutospacing="0"/>
        <w:ind w:left="426" w:firstLine="0"/>
        <w:textAlignment w:val="baseline"/>
        <w:rPr>
          <w:rFonts w:ascii="Franklin Gothic Book" w:hAnsi="Franklin Gothic Book" w:cs="Calibri"/>
          <w:sz w:val="22"/>
          <w:szCs w:val="22"/>
        </w:rPr>
      </w:pPr>
      <w:r w:rsidRPr="003347A2">
        <w:rPr>
          <w:rStyle w:val="normaltextrun"/>
          <w:rFonts w:ascii="Franklin Gothic Book" w:hAnsi="Franklin Gothic Book" w:cs="Calibri"/>
          <w:sz w:val="22"/>
          <w:szCs w:val="22"/>
        </w:rPr>
        <w:t>Inconvenience of daily sub-cutaneous injections of the medication.</w:t>
      </w:r>
      <w:r w:rsidRPr="003347A2">
        <w:rPr>
          <w:rStyle w:val="eop"/>
          <w:rFonts w:ascii="Franklin Gothic Book" w:hAnsi="Franklin Gothic Book" w:cs="Calibri"/>
          <w:sz w:val="22"/>
          <w:szCs w:val="22"/>
        </w:rPr>
        <w:t> </w:t>
      </w:r>
    </w:p>
    <w:p w14:paraId="0AFDF67C" w14:textId="4D07CC45" w:rsidR="003347A2" w:rsidRPr="003347A2" w:rsidRDefault="003347A2" w:rsidP="003347A2">
      <w:pPr>
        <w:pStyle w:val="paragraph"/>
        <w:spacing w:before="240" w:beforeAutospacing="0" w:after="0" w:afterAutospacing="0"/>
        <w:textAlignment w:val="baseline"/>
        <w:rPr>
          <w:rFonts w:ascii="Franklin Gothic Book" w:hAnsi="Franklin Gothic Book" w:cs="Segoe UI"/>
          <w:sz w:val="18"/>
          <w:szCs w:val="18"/>
        </w:rPr>
      </w:pPr>
      <w:r w:rsidRPr="003347A2">
        <w:rPr>
          <w:rStyle w:val="normaltextrun"/>
          <w:rFonts w:ascii="Franklin Gothic Book" w:hAnsi="Franklin Gothic Book" w:cs="Calibri"/>
          <w:b/>
          <w:bCs/>
          <w:sz w:val="22"/>
          <w:szCs w:val="22"/>
        </w:rPr>
        <w:t>Additional comments </w:t>
      </w:r>
      <w:r w:rsidR="00847A4D">
        <w:rPr>
          <w:rStyle w:val="eop"/>
          <w:rFonts w:ascii="Franklin Gothic Book" w:hAnsi="Franklin Gothic Book" w:cs="Calibri"/>
          <w:sz w:val="22"/>
          <w:szCs w:val="22"/>
        </w:rPr>
        <w:t>(including feedback from late targeted consultation)</w:t>
      </w:r>
    </w:p>
    <w:p w14:paraId="116B357E" w14:textId="77777777" w:rsidR="00966806" w:rsidRPr="00966806" w:rsidRDefault="003347A2" w:rsidP="00966806">
      <w:pPr>
        <w:pStyle w:val="paragraph"/>
        <w:numPr>
          <w:ilvl w:val="0"/>
          <w:numId w:val="53"/>
        </w:numPr>
        <w:spacing w:before="0" w:beforeAutospacing="0" w:after="0" w:afterAutospacing="0"/>
        <w:textAlignment w:val="baseline"/>
        <w:rPr>
          <w:rStyle w:val="normaltextrun"/>
          <w:rFonts w:ascii="Franklin Gothic Book" w:hAnsi="Franklin Gothic Book" w:cs="Segoe UI"/>
          <w:sz w:val="18"/>
          <w:szCs w:val="18"/>
        </w:rPr>
      </w:pPr>
      <w:r w:rsidRPr="003347A2">
        <w:rPr>
          <w:rStyle w:val="normaltextrun"/>
          <w:rFonts w:ascii="Franklin Gothic Book" w:hAnsi="Franklin Gothic Book" w:cs="Calibri"/>
          <w:sz w:val="22"/>
          <w:szCs w:val="22"/>
        </w:rPr>
        <w:t>Hepatitis-D Testing should not be restricted to Hepatitis-B-positive patients by the Descriptor due to the possibility of transmission via exposure to bodily fluids. </w:t>
      </w:r>
    </w:p>
    <w:p w14:paraId="4260894D" w14:textId="79C7E6D0" w:rsidR="003347A2" w:rsidRPr="00257226" w:rsidRDefault="003347A2" w:rsidP="003347A2">
      <w:pPr>
        <w:pStyle w:val="paragraph"/>
        <w:numPr>
          <w:ilvl w:val="0"/>
          <w:numId w:val="53"/>
        </w:numPr>
        <w:spacing w:before="0" w:beforeAutospacing="0" w:after="0" w:afterAutospacing="0"/>
        <w:textAlignment w:val="baseline"/>
        <w:rPr>
          <w:rStyle w:val="eop"/>
          <w:rFonts w:ascii="Franklin Gothic Book" w:hAnsi="Franklin Gothic Book" w:cs="Segoe UI"/>
          <w:sz w:val="18"/>
          <w:szCs w:val="18"/>
        </w:rPr>
      </w:pPr>
      <w:r w:rsidRPr="00966806">
        <w:rPr>
          <w:rStyle w:val="normaltextrun"/>
          <w:rFonts w:ascii="Franklin Gothic Book" w:hAnsi="Franklin Gothic Book" w:cs="Calibri"/>
          <w:sz w:val="22"/>
          <w:szCs w:val="22"/>
        </w:rPr>
        <w:t xml:space="preserve">The MBS items for the detection of the Hepatitis D surface antigen are too restrictive in the number of tests funded and these items should be revised to increase </w:t>
      </w:r>
      <w:r w:rsidR="00257226">
        <w:rPr>
          <w:rStyle w:val="normaltextrun"/>
          <w:rFonts w:ascii="Franklin Gothic Book" w:hAnsi="Franklin Gothic Book" w:cs="Calibri"/>
          <w:sz w:val="22"/>
          <w:szCs w:val="22"/>
        </w:rPr>
        <w:t xml:space="preserve">the </w:t>
      </w:r>
      <w:r w:rsidRPr="00966806">
        <w:rPr>
          <w:rStyle w:val="normaltextrun"/>
          <w:rFonts w:ascii="Franklin Gothic Book" w:hAnsi="Franklin Gothic Book" w:cs="Calibri"/>
          <w:sz w:val="22"/>
          <w:szCs w:val="22"/>
        </w:rPr>
        <w:t>limit to 6 tests, to allow pathologists to claim for more than 3 hepatitis antigen tests in a patient episode.</w:t>
      </w:r>
      <w:r w:rsidRPr="00966806">
        <w:rPr>
          <w:rStyle w:val="eop"/>
          <w:rFonts w:ascii="Franklin Gothic Book" w:hAnsi="Franklin Gothic Book" w:cs="Calibri"/>
          <w:sz w:val="22"/>
          <w:szCs w:val="22"/>
        </w:rPr>
        <w:t> </w:t>
      </w:r>
    </w:p>
    <w:p w14:paraId="6EC8E251" w14:textId="169B79C7" w:rsidR="003347A2" w:rsidRPr="00257226" w:rsidRDefault="003347A2" w:rsidP="00257226">
      <w:pPr>
        <w:pStyle w:val="paragraph"/>
        <w:numPr>
          <w:ilvl w:val="0"/>
          <w:numId w:val="53"/>
        </w:numPr>
        <w:spacing w:before="0" w:beforeAutospacing="0" w:after="0" w:afterAutospacing="0"/>
        <w:textAlignment w:val="baseline"/>
        <w:rPr>
          <w:rStyle w:val="eop"/>
          <w:rFonts w:ascii="Franklin Gothic Book" w:hAnsi="Franklin Gothic Book" w:cs="Segoe UI"/>
          <w:sz w:val="18"/>
          <w:szCs w:val="18"/>
        </w:rPr>
      </w:pPr>
      <w:r w:rsidRPr="00257226">
        <w:rPr>
          <w:rStyle w:val="normaltextrun"/>
          <w:rFonts w:ascii="Franklin Gothic Book" w:hAnsi="Franklin Gothic Book" w:cs="Calibri"/>
          <w:sz w:val="22"/>
          <w:szCs w:val="22"/>
        </w:rPr>
        <w:t>The severity of disease caused by HDV co-infection warrants the screening of all HBV infected individuals for HDV antibodies and then anti-HD positive individuals for HDV RNA</w:t>
      </w:r>
      <w:r w:rsidRPr="00257226">
        <w:rPr>
          <w:rStyle w:val="eop"/>
          <w:rFonts w:ascii="Franklin Gothic Book" w:hAnsi="Franklin Gothic Book" w:cs="Calibri"/>
          <w:sz w:val="22"/>
          <w:szCs w:val="22"/>
        </w:rPr>
        <w:t> </w:t>
      </w:r>
      <w:r w:rsidRPr="00257226">
        <w:rPr>
          <w:rStyle w:val="normaltextrun"/>
          <w:rFonts w:ascii="Franklin Gothic Book" w:hAnsi="Franklin Gothic Book" w:cs="Calibri"/>
          <w:sz w:val="22"/>
          <w:szCs w:val="22"/>
        </w:rPr>
        <w:t>Liver function testing is essential before and during treatment to assess liver damage and response.</w:t>
      </w:r>
      <w:r w:rsidRPr="00257226">
        <w:rPr>
          <w:rStyle w:val="eop"/>
          <w:rFonts w:ascii="Franklin Gothic Book" w:hAnsi="Franklin Gothic Book" w:cs="Calibri"/>
          <w:sz w:val="22"/>
          <w:szCs w:val="22"/>
        </w:rPr>
        <w:t> </w:t>
      </w:r>
    </w:p>
    <w:p w14:paraId="15099250" w14:textId="66F365E4" w:rsidR="003347A2" w:rsidRPr="00257226" w:rsidRDefault="003347A2" w:rsidP="00257226">
      <w:pPr>
        <w:pStyle w:val="paragraph"/>
        <w:numPr>
          <w:ilvl w:val="0"/>
          <w:numId w:val="53"/>
        </w:numPr>
        <w:spacing w:before="0" w:beforeAutospacing="0" w:after="0" w:afterAutospacing="0"/>
        <w:textAlignment w:val="baseline"/>
        <w:rPr>
          <w:rStyle w:val="eop"/>
          <w:rFonts w:ascii="Franklin Gothic Book" w:hAnsi="Franklin Gothic Book" w:cs="Segoe UI"/>
          <w:sz w:val="18"/>
          <w:szCs w:val="18"/>
        </w:rPr>
      </w:pPr>
      <w:r w:rsidRPr="00257226">
        <w:rPr>
          <w:rStyle w:val="eop"/>
          <w:rFonts w:ascii="Franklin Gothic Book" w:hAnsi="Franklin Gothic Book" w:cs="Calibri"/>
          <w:sz w:val="22"/>
          <w:szCs w:val="22"/>
        </w:rPr>
        <w:t> </w:t>
      </w:r>
      <w:r w:rsidRPr="00257226">
        <w:rPr>
          <w:rStyle w:val="normaltextrun"/>
          <w:rFonts w:ascii="Franklin Gothic Book" w:hAnsi="Franklin Gothic Book" w:cs="Calibri"/>
          <w:sz w:val="22"/>
          <w:szCs w:val="22"/>
        </w:rPr>
        <w:t>Pre-test counselling and consent were identified as being needed to be delivered before the intervention. </w:t>
      </w:r>
      <w:r w:rsidRPr="00257226">
        <w:rPr>
          <w:rStyle w:val="eop"/>
          <w:rFonts w:ascii="Franklin Gothic Book" w:hAnsi="Franklin Gothic Book" w:cs="Calibri"/>
          <w:sz w:val="22"/>
          <w:szCs w:val="22"/>
        </w:rPr>
        <w:t> </w:t>
      </w:r>
    </w:p>
    <w:p w14:paraId="2A8F74BF" w14:textId="34F38C71" w:rsidR="003347A2" w:rsidRPr="00A55B6E" w:rsidRDefault="003347A2" w:rsidP="00A55B6E">
      <w:pPr>
        <w:pStyle w:val="paragraph"/>
        <w:numPr>
          <w:ilvl w:val="0"/>
          <w:numId w:val="53"/>
        </w:numPr>
        <w:spacing w:before="0" w:beforeAutospacing="0" w:after="0" w:afterAutospacing="0"/>
        <w:textAlignment w:val="baseline"/>
        <w:rPr>
          <w:rStyle w:val="eop"/>
          <w:rFonts w:ascii="Franklin Gothic Book" w:hAnsi="Franklin Gothic Book" w:cs="Segoe UI"/>
          <w:sz w:val="18"/>
          <w:szCs w:val="18"/>
        </w:rPr>
      </w:pPr>
      <w:r w:rsidRPr="00257226">
        <w:rPr>
          <w:rStyle w:val="normaltextrun"/>
          <w:rFonts w:ascii="Franklin Gothic Book" w:hAnsi="Franklin Gothic Book" w:cs="Calibri"/>
          <w:sz w:val="22"/>
          <w:szCs w:val="22"/>
        </w:rPr>
        <w:t>Consideration should be given to restricting this MBS item to infectious disease specialists as HDV treatment is usually managed by these specialists and there is limited benefit to pe</w:t>
      </w:r>
      <w:r w:rsidRPr="00A55B6E">
        <w:rPr>
          <w:rStyle w:val="normaltextrun"/>
          <w:rFonts w:ascii="Franklin Gothic Book" w:hAnsi="Franklin Gothic Book" w:cs="Calibri"/>
          <w:sz w:val="22"/>
          <w:szCs w:val="22"/>
        </w:rPr>
        <w:t>rforming the test outside of this setting.</w:t>
      </w:r>
      <w:r w:rsidRPr="00A55B6E">
        <w:rPr>
          <w:rStyle w:val="eop"/>
          <w:rFonts w:ascii="Franklin Gothic Book" w:hAnsi="Franklin Gothic Book" w:cs="Calibri"/>
          <w:sz w:val="22"/>
          <w:szCs w:val="22"/>
        </w:rPr>
        <w:t> </w:t>
      </w:r>
    </w:p>
    <w:p w14:paraId="2E4A0655" w14:textId="778FD72E" w:rsidR="00847A4D" w:rsidRDefault="00847A4D" w:rsidP="00847A4D">
      <w:pPr>
        <w:pStyle w:val="paragraph"/>
        <w:numPr>
          <w:ilvl w:val="0"/>
          <w:numId w:val="53"/>
        </w:numPr>
        <w:spacing w:before="0" w:after="0"/>
        <w:textAlignment w:val="baseline"/>
        <w:rPr>
          <w:rFonts w:ascii="Franklin Gothic Book" w:hAnsi="Franklin Gothic Book" w:cs="Segoe UI"/>
          <w:sz w:val="22"/>
          <w:szCs w:val="22"/>
        </w:rPr>
      </w:pPr>
      <w:r w:rsidRPr="00847A4D">
        <w:rPr>
          <w:rFonts w:ascii="Franklin Gothic Book" w:hAnsi="Franklin Gothic Book" w:cs="Segoe UI"/>
          <w:sz w:val="22"/>
          <w:szCs w:val="22"/>
        </w:rPr>
        <w:t xml:space="preserve">There may be a role for general practitioners (GPs) in requesting HDV RNA PCR testing for the purpose of monitoring response to the proposed treatment (bulevirtide). </w:t>
      </w:r>
    </w:p>
    <w:p w14:paraId="0801519F" w14:textId="56887F28" w:rsidR="00A55B6E" w:rsidRPr="00847A4D" w:rsidRDefault="00A55B6E" w:rsidP="00847A4D">
      <w:pPr>
        <w:pStyle w:val="paragraph"/>
        <w:numPr>
          <w:ilvl w:val="0"/>
          <w:numId w:val="53"/>
        </w:numPr>
        <w:spacing w:before="0" w:after="0"/>
        <w:textAlignment w:val="baseline"/>
        <w:rPr>
          <w:rFonts w:ascii="Franklin Gothic Book" w:hAnsi="Franklin Gothic Book" w:cs="Segoe UI"/>
          <w:sz w:val="22"/>
          <w:szCs w:val="22"/>
        </w:rPr>
      </w:pPr>
      <w:r w:rsidRPr="00A55B6E">
        <w:rPr>
          <w:rFonts w:ascii="Franklin Gothic Book" w:hAnsi="Franklin Gothic Book" w:cs="Segoe UI"/>
          <w:sz w:val="22"/>
          <w:szCs w:val="22"/>
        </w:rPr>
        <w:t xml:space="preserve">Access to specialist physicians in regional, rural and remote </w:t>
      </w:r>
      <w:r w:rsidR="00F40B74" w:rsidRPr="00A55B6E">
        <w:rPr>
          <w:rFonts w:ascii="Franklin Gothic Book" w:hAnsi="Franklin Gothic Book" w:cs="Segoe UI"/>
          <w:sz w:val="22"/>
          <w:szCs w:val="22"/>
        </w:rPr>
        <w:t xml:space="preserve">areas </w:t>
      </w:r>
      <w:r w:rsidR="00F40B74">
        <w:rPr>
          <w:rFonts w:ascii="Franklin Gothic Book" w:hAnsi="Franklin Gothic Book" w:cs="Segoe UI"/>
          <w:sz w:val="22"/>
          <w:szCs w:val="22"/>
        </w:rPr>
        <w:t>is</w:t>
      </w:r>
      <w:r>
        <w:rPr>
          <w:rFonts w:ascii="Franklin Gothic Book" w:hAnsi="Franklin Gothic Book" w:cs="Segoe UI"/>
          <w:sz w:val="22"/>
          <w:szCs w:val="22"/>
        </w:rPr>
        <w:t xml:space="preserve"> </w:t>
      </w:r>
      <w:r w:rsidRPr="00A55B6E">
        <w:rPr>
          <w:rFonts w:ascii="Franklin Gothic Book" w:hAnsi="Franklin Gothic Book" w:cs="Segoe UI"/>
          <w:sz w:val="22"/>
          <w:szCs w:val="22"/>
        </w:rPr>
        <w:t>challenging and problematic, even with advances in, and access to, telehealth services</w:t>
      </w:r>
      <w:r>
        <w:rPr>
          <w:rFonts w:ascii="Franklin Gothic Book" w:hAnsi="Franklin Gothic Book" w:cs="Segoe UI"/>
          <w:sz w:val="22"/>
          <w:szCs w:val="22"/>
        </w:rPr>
        <w:t xml:space="preserve">. </w:t>
      </w:r>
      <w:r w:rsidR="00F40B74">
        <w:rPr>
          <w:rFonts w:ascii="Franklin Gothic Book" w:hAnsi="Franklin Gothic Book" w:cs="Segoe UI"/>
          <w:sz w:val="22"/>
          <w:szCs w:val="22"/>
        </w:rPr>
        <w:t>Consequently,</w:t>
      </w:r>
      <w:r>
        <w:rPr>
          <w:rFonts w:ascii="Franklin Gothic Book" w:hAnsi="Franklin Gothic Book" w:cs="Segoe UI"/>
          <w:sz w:val="22"/>
          <w:szCs w:val="22"/>
        </w:rPr>
        <w:t xml:space="preserve"> </w:t>
      </w:r>
      <w:r>
        <w:rPr>
          <w:rFonts w:ascii="Franklin Gothic Book" w:hAnsi="Franklin Gothic Book" w:cs="Segoe UI"/>
          <w:sz w:val="22"/>
          <w:szCs w:val="22"/>
        </w:rPr>
        <w:lastRenderedPageBreak/>
        <w:t xml:space="preserve">there may also be </w:t>
      </w:r>
      <w:r w:rsidR="00891DA5">
        <w:rPr>
          <w:rFonts w:ascii="Franklin Gothic Book" w:hAnsi="Franklin Gothic Book" w:cs="Segoe UI"/>
          <w:sz w:val="22"/>
          <w:szCs w:val="22"/>
        </w:rPr>
        <w:t xml:space="preserve">a case for </w:t>
      </w:r>
      <w:r w:rsidR="00891DA5" w:rsidRPr="00891DA5">
        <w:rPr>
          <w:rFonts w:ascii="Franklin Gothic Book" w:hAnsi="Franklin Gothic Book" w:cs="Segoe UI"/>
          <w:sz w:val="22"/>
          <w:szCs w:val="22"/>
        </w:rPr>
        <w:t>HDV RNA PCR testing for people living with hepatitis B and under the care of a GP rather than a specialist, or in a shared care arrangement.</w:t>
      </w:r>
    </w:p>
    <w:p w14:paraId="713F05DF" w14:textId="77777777" w:rsidR="00E965EE" w:rsidRPr="003347A2" w:rsidRDefault="00E965EE" w:rsidP="003347A2">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12" w:name="_Toc156984615"/>
      <w:r w:rsidRPr="003347A2">
        <w:rPr>
          <w:rFonts w:ascii="Franklin Gothic Medium" w:hAnsi="Franklin Gothic Medium"/>
          <w:b w:val="0"/>
          <w:i w:val="0"/>
          <w:snapToGrid/>
          <w:color w:val="000000" w:themeColor="text1"/>
          <w:sz w:val="32"/>
          <w:szCs w:val="26"/>
        </w:rPr>
        <w:t>Characteristics of the evidence base</w:t>
      </w:r>
      <w:bookmarkEnd w:id="12"/>
    </w:p>
    <w:p w14:paraId="19D133E6" w14:textId="5AAB295B"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 xml:space="preserve">The approach taken in the submission was to present evidence that the use of bulevirtide reduces the quantity of HDV RNA and ALT in those with detectable HDV RNA prior to treatment. These data were in turn linked to evidence indicating that those with undetectable HDV RNA have a better prognosis than those with detectable HDV RNA. A summary of the linked evidence approach is shown in </w:t>
      </w:r>
      <w:r w:rsidRPr="003347A2">
        <w:rPr>
          <w:rFonts w:ascii="Franklin Gothic Book" w:eastAsia="Calibri" w:hAnsi="Franklin Gothic Book" w:cs="Times New Roman"/>
          <w:sz w:val="22"/>
        </w:rPr>
        <w:fldChar w:fldCharType="begin"/>
      </w:r>
      <w:r w:rsidRPr="003347A2">
        <w:rPr>
          <w:rFonts w:ascii="Franklin Gothic Book" w:eastAsia="Calibri" w:hAnsi="Franklin Gothic Book" w:cs="Times New Roman"/>
          <w:sz w:val="22"/>
        </w:rPr>
        <w:instrText xml:space="preserve"> REF _Ref152339089 \h  \* MERGEFORMAT </w:instrText>
      </w:r>
      <w:r w:rsidRPr="003347A2">
        <w:rPr>
          <w:rFonts w:ascii="Franklin Gothic Book" w:eastAsia="Calibri" w:hAnsi="Franklin Gothic Book" w:cs="Times New Roman"/>
          <w:sz w:val="22"/>
        </w:rPr>
      </w:r>
      <w:r w:rsidRPr="003347A2">
        <w:rPr>
          <w:rFonts w:ascii="Franklin Gothic Book" w:eastAsia="Calibri" w:hAnsi="Franklin Gothic Book" w:cs="Times New Roman"/>
          <w:sz w:val="22"/>
        </w:rPr>
        <w:fldChar w:fldCharType="separate"/>
      </w:r>
      <w:r w:rsidR="00B02BFE" w:rsidRPr="003347A2">
        <w:rPr>
          <w:rFonts w:ascii="Franklin Gothic Book" w:eastAsia="Calibri" w:hAnsi="Franklin Gothic Book" w:cs="Times New Roman"/>
          <w:sz w:val="22"/>
        </w:rPr>
        <w:t>Table 4</w:t>
      </w:r>
      <w:r w:rsidRPr="003347A2">
        <w:rPr>
          <w:rFonts w:ascii="Franklin Gothic Book" w:eastAsia="Calibri" w:hAnsi="Franklin Gothic Book" w:cs="Times New Roman"/>
          <w:sz w:val="22"/>
        </w:rPr>
        <w:fldChar w:fldCharType="end"/>
      </w:r>
      <w:r w:rsidRPr="003347A2">
        <w:rPr>
          <w:rFonts w:ascii="Franklin Gothic Book" w:eastAsia="Calibri" w:hAnsi="Franklin Gothic Book" w:cs="Times New Roman"/>
          <w:sz w:val="22"/>
        </w:rPr>
        <w:t>.</w:t>
      </w:r>
    </w:p>
    <w:p w14:paraId="09C0CA03" w14:textId="735E70F5" w:rsidR="00E965EE" w:rsidRPr="00E965EE"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13" w:name="_Ref152339089"/>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4</w:t>
      </w:r>
      <w:r w:rsidRPr="00E965EE">
        <w:rPr>
          <w:rFonts w:ascii="Arial Narrow" w:eastAsia="Calibri" w:hAnsi="Arial Narrow" w:cs="Times New Roman"/>
          <w:b/>
          <w:bCs/>
          <w:iCs/>
          <w:sz w:val="20"/>
          <w:szCs w:val="18"/>
          <w:lang w:val="en-US"/>
        </w:rPr>
        <w:fldChar w:fldCharType="end"/>
      </w:r>
      <w:bookmarkEnd w:id="13"/>
      <w:r w:rsidRPr="00E965EE">
        <w:rPr>
          <w:rFonts w:ascii="Arial Narrow" w:eastAsia="Calibri" w:hAnsi="Arial Narrow" w:cs="Times New Roman"/>
          <w:b/>
          <w:bCs/>
          <w:iCs/>
          <w:sz w:val="20"/>
          <w:szCs w:val="18"/>
          <w:lang w:val="en-US"/>
        </w:rPr>
        <w:tab/>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631"/>
        <w:gridCol w:w="2267"/>
        <w:gridCol w:w="1277"/>
        <w:gridCol w:w="1455"/>
      </w:tblGrid>
      <w:tr w:rsidR="00E965EE" w:rsidRPr="00E965EE" w14:paraId="68631C9A" w14:textId="77777777" w:rsidTr="00396F09">
        <w:trPr>
          <w:tblHeader/>
        </w:trPr>
        <w:tc>
          <w:tcPr>
            <w:tcW w:w="769" w:type="pct"/>
            <w:tcBorders>
              <w:top w:val="single" w:sz="4" w:space="0" w:color="auto"/>
              <w:left w:val="single" w:sz="4" w:space="0" w:color="auto"/>
              <w:bottom w:val="single" w:sz="4" w:space="0" w:color="auto"/>
              <w:right w:val="single" w:sz="4" w:space="0" w:color="auto"/>
            </w:tcBorders>
            <w:vAlign w:val="bottom"/>
          </w:tcPr>
          <w:p w14:paraId="44128532" w14:textId="77777777" w:rsidR="00E965EE" w:rsidRPr="00E965EE" w:rsidRDefault="00E965EE" w:rsidP="00E965EE">
            <w:pPr>
              <w:keepNext/>
              <w:widowControl w:val="0"/>
              <w:spacing w:before="0" w:after="0"/>
              <w:jc w:val="left"/>
              <w:rPr>
                <w:rFonts w:ascii="Arial Narrow" w:eastAsia="Calibri" w:hAnsi="Arial Narrow" w:cs="Times New Roman"/>
                <w:b/>
                <w:sz w:val="20"/>
              </w:rPr>
            </w:pPr>
            <w:bookmarkStart w:id="14" w:name="_Hlk68276288"/>
            <w:bookmarkStart w:id="15" w:name="_Hlk153204053"/>
            <w:r w:rsidRPr="00E965EE">
              <w:rPr>
                <w:rFonts w:ascii="Arial Narrow" w:eastAsia="Calibri" w:hAnsi="Arial Narrow" w:cs="Times New Roman"/>
                <w:b/>
                <w:sz w:val="20"/>
              </w:rPr>
              <w:t>Criterion</w:t>
            </w:r>
          </w:p>
        </w:tc>
        <w:tc>
          <w:tcPr>
            <w:tcW w:w="1459" w:type="pct"/>
            <w:tcBorders>
              <w:top w:val="single" w:sz="4" w:space="0" w:color="auto"/>
              <w:left w:val="single" w:sz="4" w:space="0" w:color="auto"/>
              <w:bottom w:val="single" w:sz="4" w:space="0" w:color="auto"/>
              <w:right w:val="single" w:sz="4" w:space="0" w:color="auto"/>
            </w:tcBorders>
            <w:vAlign w:val="bottom"/>
            <w:hideMark/>
          </w:tcPr>
          <w:p w14:paraId="158C9A2C" w14:textId="77777777" w:rsidR="00E965EE" w:rsidRPr="00E965EE" w:rsidRDefault="00E965EE" w:rsidP="00E965EE">
            <w:pPr>
              <w:keepNext/>
              <w:widowControl w:val="0"/>
              <w:spacing w:before="0" w:after="0"/>
              <w:jc w:val="left"/>
              <w:rPr>
                <w:rFonts w:ascii="Arial Narrow" w:eastAsia="Calibri" w:hAnsi="Arial Narrow" w:cs="Times New Roman"/>
                <w:b/>
                <w:sz w:val="20"/>
              </w:rPr>
            </w:pPr>
            <w:r w:rsidRPr="00E965EE">
              <w:rPr>
                <w:rFonts w:ascii="Arial Narrow" w:eastAsia="Calibri" w:hAnsi="Arial Narrow" w:cs="Times New Roman"/>
                <w:b/>
                <w:sz w:val="20"/>
              </w:rPr>
              <w:t>Type of evidence supplied</w:t>
            </w:r>
          </w:p>
        </w:tc>
        <w:tc>
          <w:tcPr>
            <w:tcW w:w="1257" w:type="pct"/>
            <w:tcBorders>
              <w:top w:val="single" w:sz="4" w:space="0" w:color="auto"/>
              <w:left w:val="single" w:sz="4" w:space="0" w:color="auto"/>
              <w:bottom w:val="single" w:sz="4" w:space="0" w:color="auto"/>
              <w:right w:val="single" w:sz="4" w:space="0" w:color="auto"/>
            </w:tcBorders>
            <w:vAlign w:val="bottom"/>
            <w:hideMark/>
          </w:tcPr>
          <w:p w14:paraId="4E0336A4" w14:textId="77777777" w:rsidR="00E965EE" w:rsidRPr="00E965EE" w:rsidRDefault="00E965EE" w:rsidP="00E965EE">
            <w:pPr>
              <w:keepNext/>
              <w:widowControl w:val="0"/>
              <w:spacing w:before="0" w:after="0"/>
              <w:jc w:val="left"/>
              <w:rPr>
                <w:rFonts w:ascii="Arial Narrow" w:eastAsia="Calibri" w:hAnsi="Arial Narrow" w:cs="Times New Roman"/>
                <w:b/>
                <w:sz w:val="20"/>
              </w:rPr>
            </w:pPr>
            <w:r w:rsidRPr="00E965EE">
              <w:rPr>
                <w:rFonts w:ascii="Arial Narrow" w:eastAsia="Calibri" w:hAnsi="Arial Narrow" w:cs="Times New Roman"/>
                <w:b/>
                <w:sz w:val="20"/>
              </w:rPr>
              <w:t>Extent of evidence supplied</w:t>
            </w:r>
          </w:p>
        </w:tc>
        <w:tc>
          <w:tcPr>
            <w:tcW w:w="708" w:type="pct"/>
            <w:tcBorders>
              <w:top w:val="single" w:sz="4" w:space="0" w:color="auto"/>
              <w:left w:val="single" w:sz="4" w:space="0" w:color="auto"/>
              <w:bottom w:val="single" w:sz="4" w:space="0" w:color="auto"/>
              <w:right w:val="single" w:sz="4" w:space="0" w:color="auto"/>
            </w:tcBorders>
            <w:vAlign w:val="bottom"/>
            <w:hideMark/>
          </w:tcPr>
          <w:p w14:paraId="6C54154E" w14:textId="77777777" w:rsidR="00E965EE" w:rsidRPr="00E965EE" w:rsidRDefault="00E965EE" w:rsidP="00E965EE">
            <w:pPr>
              <w:keepNext/>
              <w:widowControl w:val="0"/>
              <w:spacing w:before="0" w:after="0"/>
              <w:jc w:val="left"/>
              <w:rPr>
                <w:rFonts w:ascii="Arial Narrow" w:eastAsia="Calibri" w:hAnsi="Arial Narrow" w:cs="Times New Roman"/>
                <w:b/>
                <w:sz w:val="20"/>
              </w:rPr>
            </w:pPr>
            <w:r w:rsidRPr="00E965EE">
              <w:rPr>
                <w:rFonts w:ascii="Arial Narrow" w:eastAsia="Calibri" w:hAnsi="Arial Narrow" w:cs="Times New Roman"/>
                <w:b/>
                <w:sz w:val="20"/>
              </w:rPr>
              <w:t>Overall risk of bias in evidence base</w:t>
            </w:r>
          </w:p>
        </w:tc>
        <w:tc>
          <w:tcPr>
            <w:tcW w:w="807" w:type="pct"/>
            <w:tcBorders>
              <w:top w:val="single" w:sz="4" w:space="0" w:color="auto"/>
              <w:left w:val="single" w:sz="4" w:space="0" w:color="auto"/>
              <w:bottom w:val="single" w:sz="4" w:space="0" w:color="auto"/>
              <w:right w:val="single" w:sz="4" w:space="0" w:color="auto"/>
            </w:tcBorders>
          </w:tcPr>
          <w:p w14:paraId="70C24878" w14:textId="77777777" w:rsidR="00E965EE" w:rsidRPr="00E965EE" w:rsidRDefault="00E965EE" w:rsidP="00E965EE">
            <w:pPr>
              <w:keepNext/>
              <w:widowControl w:val="0"/>
              <w:spacing w:before="0" w:after="0"/>
              <w:jc w:val="left"/>
              <w:rPr>
                <w:rFonts w:ascii="Arial Narrow" w:eastAsia="Calibri" w:hAnsi="Arial Narrow" w:cs="Times New Roman"/>
                <w:b/>
                <w:sz w:val="20"/>
              </w:rPr>
            </w:pPr>
            <w:r w:rsidRPr="00E965EE">
              <w:rPr>
                <w:rFonts w:ascii="Arial Narrow" w:eastAsia="Calibri" w:hAnsi="Arial Narrow" w:cs="Times New Roman"/>
                <w:b/>
                <w:sz w:val="20"/>
              </w:rPr>
              <w:t>Used in modelled evaluation</w:t>
            </w:r>
          </w:p>
        </w:tc>
      </w:tr>
      <w:tr w:rsidR="00E965EE" w:rsidRPr="00E965EE" w14:paraId="34317B3F" w14:textId="77777777" w:rsidTr="00396F09">
        <w:tc>
          <w:tcPr>
            <w:tcW w:w="769" w:type="pct"/>
            <w:tcBorders>
              <w:top w:val="single" w:sz="4" w:space="0" w:color="auto"/>
              <w:left w:val="single" w:sz="4" w:space="0" w:color="auto"/>
              <w:bottom w:val="single" w:sz="4" w:space="0" w:color="auto"/>
              <w:right w:val="single" w:sz="4" w:space="0" w:color="auto"/>
            </w:tcBorders>
            <w:hideMark/>
          </w:tcPr>
          <w:p w14:paraId="3D4D2746" w14:textId="77777777" w:rsidR="00E965EE" w:rsidRPr="00E965EE" w:rsidRDefault="00E965EE" w:rsidP="00E965EE">
            <w:pPr>
              <w:keepNext/>
              <w:widowControl w:val="0"/>
              <w:spacing w:before="0" w:after="0"/>
              <w:jc w:val="left"/>
              <w:rPr>
                <w:rFonts w:ascii="Arial Narrow" w:eastAsia="Calibri" w:hAnsi="Arial Narrow" w:cs="Times New Roman"/>
                <w:sz w:val="20"/>
                <w:szCs w:val="20"/>
              </w:rPr>
            </w:pPr>
            <w:r w:rsidRPr="4398B72C">
              <w:rPr>
                <w:rFonts w:ascii="Arial Narrow" w:eastAsia="Calibri" w:hAnsi="Arial Narrow" w:cs="Times New Roman"/>
                <w:sz w:val="20"/>
                <w:szCs w:val="20"/>
              </w:rPr>
              <w:t>Accuracy and performance of the test (cross-sectional accuracy)</w:t>
            </w:r>
          </w:p>
        </w:tc>
        <w:tc>
          <w:tcPr>
            <w:tcW w:w="1459" w:type="pct"/>
            <w:tcBorders>
              <w:top w:val="single" w:sz="4" w:space="0" w:color="auto"/>
              <w:left w:val="single" w:sz="4" w:space="0" w:color="auto"/>
              <w:bottom w:val="single" w:sz="4" w:space="0" w:color="auto"/>
              <w:right w:val="single" w:sz="4" w:space="0" w:color="auto"/>
            </w:tcBorders>
            <w:hideMark/>
          </w:tcPr>
          <w:p w14:paraId="53E86E69"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Concordance with clinical utility standard.</w:t>
            </w:r>
          </w:p>
        </w:tc>
        <w:tc>
          <w:tcPr>
            <w:tcW w:w="1257" w:type="pct"/>
            <w:tcBorders>
              <w:top w:val="single" w:sz="4" w:space="0" w:color="auto"/>
              <w:left w:val="single" w:sz="4" w:space="0" w:color="auto"/>
              <w:bottom w:val="single" w:sz="4" w:space="0" w:color="auto"/>
              <w:right w:val="single" w:sz="4" w:space="0" w:color="auto"/>
            </w:tcBorders>
            <w:hideMark/>
          </w:tcPr>
          <w:p w14:paraId="16E0A503" w14:textId="77777777" w:rsidR="00E965EE" w:rsidRPr="00E965EE" w:rsidRDefault="003571BB" w:rsidP="00E965EE">
            <w:pPr>
              <w:keepNext/>
              <w:widowControl w:val="0"/>
              <w:spacing w:before="0" w:after="0"/>
              <w:ind w:left="690" w:hanging="709"/>
              <w:jc w:val="left"/>
              <w:rPr>
                <w:rFonts w:ascii="Arial Narrow" w:eastAsia="Calibri" w:hAnsi="Arial Narrow" w:cs="Times New Roman"/>
                <w:sz w:val="20"/>
              </w:rPr>
            </w:pPr>
            <w:sdt>
              <w:sdtPr>
                <w:rPr>
                  <w:rFonts w:ascii="Arial Narrow" w:eastAsia="Calibri" w:hAnsi="Arial Narrow" w:cs="Times New Roman"/>
                  <w:sz w:val="20"/>
                </w:rPr>
                <w:id w:val="1454910707"/>
                <w14:checkbox>
                  <w14:checked w14:val="1"/>
                  <w14:checkedState w14:val="2612" w14:font="MS Gothic"/>
                  <w14:uncheckedState w14:val="2610" w14:font="MS Gothic"/>
                </w14:checkbox>
              </w:sdtPr>
              <w:sdtEndPr/>
              <w:sdtContent>
                <w:r w:rsidR="00E965EE" w:rsidRPr="00E965EE">
                  <w:rPr>
                    <w:rFonts w:ascii="Segoe UI Symbol" w:eastAsia="Calibri" w:hAnsi="Segoe UI Symbol" w:cs="Segoe UI Symbol"/>
                    <w:sz w:val="20"/>
                  </w:rPr>
                  <w:t>☒</w:t>
                </w:r>
              </w:sdtContent>
            </w:sdt>
            <w:r w:rsidR="00E965EE" w:rsidRPr="00E965EE">
              <w:rPr>
                <w:rFonts w:ascii="Arial Narrow" w:eastAsia="Calibri" w:hAnsi="Arial Narrow" w:cs="Times New Roman"/>
                <w:sz w:val="20"/>
              </w:rPr>
              <w:tab/>
              <w:t xml:space="preserve">k=1 concordance study </w:t>
            </w:r>
            <w:r w:rsidR="00E965EE" w:rsidRPr="00E965EE">
              <w:rPr>
                <w:rFonts w:ascii="Arial Narrow" w:eastAsia="Calibri" w:hAnsi="Arial Narrow" w:cs="Times New Roman"/>
                <w:sz w:val="20"/>
              </w:rPr>
              <w:tab/>
              <w:t>n=35</w:t>
            </w:r>
          </w:p>
        </w:tc>
        <w:tc>
          <w:tcPr>
            <w:tcW w:w="708" w:type="pct"/>
            <w:tcBorders>
              <w:top w:val="single" w:sz="4" w:space="0" w:color="auto"/>
              <w:left w:val="single" w:sz="4" w:space="0" w:color="auto"/>
              <w:bottom w:val="single" w:sz="4" w:space="0" w:color="auto"/>
              <w:right w:val="single" w:sz="4" w:space="0" w:color="auto"/>
            </w:tcBorders>
            <w:hideMark/>
          </w:tcPr>
          <w:p w14:paraId="43272906"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High</w:t>
            </w:r>
          </w:p>
        </w:tc>
        <w:tc>
          <w:tcPr>
            <w:tcW w:w="807" w:type="pct"/>
            <w:tcBorders>
              <w:top w:val="single" w:sz="4" w:space="0" w:color="auto"/>
              <w:left w:val="single" w:sz="4" w:space="0" w:color="auto"/>
              <w:bottom w:val="single" w:sz="4" w:space="0" w:color="auto"/>
              <w:right w:val="single" w:sz="4" w:space="0" w:color="auto"/>
            </w:tcBorders>
          </w:tcPr>
          <w:p w14:paraId="505DA937" w14:textId="30F2FFEA" w:rsidR="00E965EE" w:rsidRPr="00E965EE" w:rsidRDefault="00E965EE" w:rsidP="00E965EE">
            <w:pPr>
              <w:keepNext/>
              <w:widowControl w:val="0"/>
              <w:spacing w:before="0" w:after="0"/>
              <w:jc w:val="left"/>
              <w:rPr>
                <w:rFonts w:ascii="Arial Narrow" w:eastAsia="Calibri" w:hAnsi="Arial Narrow" w:cs="Times New Roman"/>
                <w:sz w:val="20"/>
                <w:szCs w:val="20"/>
              </w:rPr>
            </w:pPr>
            <w:r w:rsidRPr="4398B72C">
              <w:rPr>
                <w:rFonts w:ascii="Arial Narrow" w:eastAsia="Calibri" w:hAnsi="Arial Narrow" w:cs="Times New Roman"/>
                <w:sz w:val="20"/>
                <w:szCs w:val="20"/>
              </w:rPr>
              <w:t>No</w:t>
            </w:r>
          </w:p>
        </w:tc>
      </w:tr>
      <w:tr w:rsidR="00E965EE" w:rsidRPr="00E965EE" w14:paraId="127ED541" w14:textId="77777777" w:rsidTr="00396F09">
        <w:tc>
          <w:tcPr>
            <w:tcW w:w="769" w:type="pct"/>
            <w:vMerge w:val="restart"/>
            <w:tcBorders>
              <w:top w:val="single" w:sz="4" w:space="0" w:color="auto"/>
              <w:left w:val="single" w:sz="4" w:space="0" w:color="auto"/>
              <w:right w:val="single" w:sz="4" w:space="0" w:color="auto"/>
            </w:tcBorders>
            <w:hideMark/>
          </w:tcPr>
          <w:p w14:paraId="6951F8AD"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Prognostic evidence (longitudinal accuracy)</w:t>
            </w:r>
          </w:p>
        </w:tc>
        <w:tc>
          <w:tcPr>
            <w:tcW w:w="1459" w:type="pct"/>
            <w:tcBorders>
              <w:top w:val="single" w:sz="4" w:space="0" w:color="auto"/>
              <w:left w:val="single" w:sz="4" w:space="0" w:color="auto"/>
              <w:bottom w:val="single" w:sz="4" w:space="0" w:color="auto"/>
              <w:right w:val="single" w:sz="4" w:space="0" w:color="auto"/>
            </w:tcBorders>
            <w:hideMark/>
          </w:tcPr>
          <w:p w14:paraId="08BDE80E"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 xml:space="preserve">Comparison of outcomes in patients receiving </w:t>
            </w:r>
            <w:r w:rsidRPr="00E965EE">
              <w:rPr>
                <w:rFonts w:ascii="Arial Narrow" w:eastAsia="Calibri" w:hAnsi="Arial Narrow" w:cs="Times New Roman"/>
                <w:i/>
                <w:iCs/>
                <w:sz w:val="20"/>
              </w:rPr>
              <w:t>usual care,</w:t>
            </w:r>
            <w:r w:rsidRPr="00E965EE">
              <w:rPr>
                <w:rFonts w:ascii="Arial Narrow" w:eastAsia="Calibri" w:hAnsi="Arial Narrow" w:cs="Times New Roman"/>
                <w:sz w:val="20"/>
              </w:rPr>
              <w:t xml:space="preserve"> conditioned on the presence or absence of HDV RNA at baseline</w:t>
            </w:r>
          </w:p>
        </w:tc>
        <w:tc>
          <w:tcPr>
            <w:tcW w:w="1257" w:type="pct"/>
            <w:tcBorders>
              <w:top w:val="single" w:sz="4" w:space="0" w:color="auto"/>
              <w:left w:val="single" w:sz="4" w:space="0" w:color="auto"/>
              <w:bottom w:val="single" w:sz="4" w:space="0" w:color="auto"/>
              <w:right w:val="single" w:sz="4" w:space="0" w:color="auto"/>
            </w:tcBorders>
            <w:hideMark/>
          </w:tcPr>
          <w:p w14:paraId="787C2771" w14:textId="77777777" w:rsidR="00E965EE" w:rsidRPr="00E965EE" w:rsidRDefault="003571BB" w:rsidP="00E965EE">
            <w:pPr>
              <w:keepNext/>
              <w:widowControl w:val="0"/>
              <w:spacing w:before="0" w:after="0"/>
              <w:ind w:left="690" w:hanging="709"/>
              <w:jc w:val="left"/>
              <w:rPr>
                <w:rFonts w:ascii="Arial Narrow" w:eastAsia="Calibri" w:hAnsi="Arial Narrow" w:cs="Times New Roman"/>
                <w:sz w:val="20"/>
              </w:rPr>
            </w:pPr>
            <w:sdt>
              <w:sdtPr>
                <w:rPr>
                  <w:rFonts w:ascii="Arial Narrow" w:eastAsia="Calibri" w:hAnsi="Arial Narrow" w:cs="Times New Roman"/>
                  <w:sz w:val="20"/>
                </w:rPr>
                <w:id w:val="-842623280"/>
                <w14:checkbox>
                  <w14:checked w14:val="1"/>
                  <w14:checkedState w14:val="2612" w14:font="MS Gothic"/>
                  <w14:uncheckedState w14:val="2610" w14:font="MS Gothic"/>
                </w14:checkbox>
              </w:sdtPr>
              <w:sdtEndPr/>
              <w:sdtContent>
                <w:r w:rsidR="00E965EE" w:rsidRPr="00E965EE">
                  <w:rPr>
                    <w:rFonts w:ascii="Segoe UI Symbol" w:eastAsia="Calibri" w:hAnsi="Segoe UI Symbol" w:cs="Segoe UI Symbol"/>
                    <w:sz w:val="20"/>
                  </w:rPr>
                  <w:t>☒</w:t>
                </w:r>
              </w:sdtContent>
            </w:sdt>
            <w:r w:rsidR="00E965EE" w:rsidRPr="00E965EE">
              <w:rPr>
                <w:rFonts w:ascii="Arial Narrow" w:eastAsia="Calibri" w:hAnsi="Arial Narrow" w:cs="Times New Roman"/>
                <w:sz w:val="20"/>
              </w:rPr>
              <w:tab/>
              <w:t>k=5 retrospective cohorts</w:t>
            </w:r>
            <w:r w:rsidR="00E965EE" w:rsidRPr="00E965EE">
              <w:rPr>
                <w:rFonts w:ascii="Arial Narrow" w:eastAsia="Calibri" w:hAnsi="Arial Narrow" w:cs="Times New Roman"/>
                <w:sz w:val="20"/>
              </w:rPr>
              <w:tab/>
              <w:t>n=1896</w:t>
            </w:r>
          </w:p>
        </w:tc>
        <w:tc>
          <w:tcPr>
            <w:tcW w:w="708" w:type="pct"/>
            <w:tcBorders>
              <w:top w:val="single" w:sz="4" w:space="0" w:color="auto"/>
              <w:left w:val="single" w:sz="4" w:space="0" w:color="auto"/>
              <w:bottom w:val="single" w:sz="4" w:space="0" w:color="auto"/>
              <w:right w:val="single" w:sz="4" w:space="0" w:color="auto"/>
            </w:tcBorders>
            <w:hideMark/>
          </w:tcPr>
          <w:p w14:paraId="4E020965"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High</w:t>
            </w:r>
          </w:p>
        </w:tc>
        <w:tc>
          <w:tcPr>
            <w:tcW w:w="807" w:type="pct"/>
            <w:tcBorders>
              <w:top w:val="single" w:sz="4" w:space="0" w:color="auto"/>
              <w:left w:val="single" w:sz="4" w:space="0" w:color="auto"/>
              <w:bottom w:val="single" w:sz="4" w:space="0" w:color="auto"/>
              <w:right w:val="single" w:sz="4" w:space="0" w:color="auto"/>
            </w:tcBorders>
          </w:tcPr>
          <w:p w14:paraId="3F2F3E89"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No</w:t>
            </w:r>
          </w:p>
        </w:tc>
      </w:tr>
      <w:tr w:rsidR="00E965EE" w:rsidRPr="00E965EE" w14:paraId="6F9680A3" w14:textId="77777777" w:rsidTr="4398B72C">
        <w:tc>
          <w:tcPr>
            <w:tcW w:w="769" w:type="pct"/>
            <w:vMerge/>
          </w:tcPr>
          <w:p w14:paraId="26C7DD08" w14:textId="77777777" w:rsidR="00E965EE" w:rsidRPr="00E965EE" w:rsidRDefault="00E965EE" w:rsidP="00E965EE">
            <w:pPr>
              <w:keepNext/>
              <w:widowControl w:val="0"/>
              <w:spacing w:before="0" w:after="0"/>
              <w:jc w:val="left"/>
              <w:rPr>
                <w:rFonts w:ascii="Arial Narrow" w:eastAsia="Calibri" w:hAnsi="Arial Narrow" w:cs="Times New Roman"/>
                <w:sz w:val="20"/>
              </w:rPr>
            </w:pPr>
          </w:p>
        </w:tc>
        <w:tc>
          <w:tcPr>
            <w:tcW w:w="1459" w:type="pct"/>
            <w:tcBorders>
              <w:top w:val="single" w:sz="4" w:space="0" w:color="auto"/>
              <w:left w:val="single" w:sz="4" w:space="0" w:color="auto"/>
              <w:bottom w:val="single" w:sz="4" w:space="0" w:color="auto"/>
              <w:right w:val="single" w:sz="4" w:space="0" w:color="auto"/>
            </w:tcBorders>
          </w:tcPr>
          <w:p w14:paraId="5C773B25"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 xml:space="preserve">Comparison of outcomes in patients receiving </w:t>
            </w:r>
            <w:r w:rsidRPr="00E965EE">
              <w:rPr>
                <w:rFonts w:ascii="Arial Narrow" w:eastAsia="Calibri" w:hAnsi="Arial Narrow" w:cs="Times New Roman"/>
                <w:i/>
                <w:iCs/>
                <w:sz w:val="20"/>
              </w:rPr>
              <w:t>usual care,</w:t>
            </w:r>
            <w:r w:rsidRPr="00E965EE">
              <w:rPr>
                <w:rFonts w:ascii="Arial Narrow" w:eastAsia="Calibri" w:hAnsi="Arial Narrow" w:cs="Times New Roman"/>
                <w:sz w:val="20"/>
              </w:rPr>
              <w:t xml:space="preserve"> conditioned on the reduction of HDV RNA</w:t>
            </w:r>
          </w:p>
        </w:tc>
        <w:tc>
          <w:tcPr>
            <w:tcW w:w="1257" w:type="pct"/>
            <w:tcBorders>
              <w:top w:val="single" w:sz="4" w:space="0" w:color="auto"/>
              <w:left w:val="single" w:sz="4" w:space="0" w:color="auto"/>
              <w:bottom w:val="single" w:sz="4" w:space="0" w:color="auto"/>
              <w:right w:val="single" w:sz="4" w:space="0" w:color="auto"/>
            </w:tcBorders>
          </w:tcPr>
          <w:p w14:paraId="6524DFF8" w14:textId="77777777" w:rsidR="00E965EE" w:rsidRPr="00E965EE" w:rsidRDefault="003571BB" w:rsidP="00E965EE">
            <w:pPr>
              <w:keepNext/>
              <w:widowControl w:val="0"/>
              <w:spacing w:before="0" w:after="0"/>
              <w:ind w:left="690" w:hanging="690"/>
              <w:jc w:val="left"/>
              <w:rPr>
                <w:rFonts w:ascii="Arial Narrow" w:eastAsia="Calibri" w:hAnsi="Arial Narrow" w:cs="Times New Roman"/>
                <w:sz w:val="20"/>
              </w:rPr>
            </w:pPr>
            <w:sdt>
              <w:sdtPr>
                <w:rPr>
                  <w:rFonts w:ascii="Arial Narrow" w:eastAsia="Calibri" w:hAnsi="Arial Narrow" w:cs="Times New Roman"/>
                  <w:sz w:val="20"/>
                </w:rPr>
                <w:id w:val="-1937276607"/>
                <w14:checkbox>
                  <w14:checked w14:val="1"/>
                  <w14:checkedState w14:val="2612" w14:font="MS Gothic"/>
                  <w14:uncheckedState w14:val="2610" w14:font="MS Gothic"/>
                </w14:checkbox>
              </w:sdtPr>
              <w:sdtEndPr/>
              <w:sdtContent>
                <w:r w:rsidR="00E965EE" w:rsidRPr="00E965EE">
                  <w:rPr>
                    <w:rFonts w:ascii="Segoe UI Symbol" w:eastAsia="Calibri" w:hAnsi="Segoe UI Symbol" w:cs="Segoe UI Symbol"/>
                    <w:sz w:val="20"/>
                  </w:rPr>
                  <w:t>☒</w:t>
                </w:r>
              </w:sdtContent>
            </w:sdt>
            <w:r w:rsidR="00E965EE" w:rsidRPr="00E965EE">
              <w:rPr>
                <w:rFonts w:ascii="Arial Narrow" w:eastAsia="Calibri" w:hAnsi="Arial Narrow" w:cs="Times New Roman"/>
                <w:sz w:val="20"/>
              </w:rPr>
              <w:tab/>
              <w:t>k=7 retrospective cohorts</w:t>
            </w:r>
            <w:r w:rsidR="00E965EE" w:rsidRPr="00E965EE">
              <w:rPr>
                <w:rFonts w:ascii="Arial Narrow" w:eastAsia="Calibri" w:hAnsi="Arial Narrow" w:cs="Times New Roman"/>
                <w:sz w:val="20"/>
              </w:rPr>
              <w:tab/>
              <w:t>n=1687</w:t>
            </w:r>
          </w:p>
        </w:tc>
        <w:tc>
          <w:tcPr>
            <w:tcW w:w="708" w:type="pct"/>
            <w:tcBorders>
              <w:top w:val="single" w:sz="4" w:space="0" w:color="auto"/>
              <w:left w:val="single" w:sz="4" w:space="0" w:color="auto"/>
              <w:bottom w:val="single" w:sz="4" w:space="0" w:color="auto"/>
              <w:right w:val="single" w:sz="4" w:space="0" w:color="auto"/>
            </w:tcBorders>
          </w:tcPr>
          <w:p w14:paraId="52B10BA7"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High</w:t>
            </w:r>
          </w:p>
        </w:tc>
        <w:tc>
          <w:tcPr>
            <w:tcW w:w="807" w:type="pct"/>
            <w:tcBorders>
              <w:top w:val="single" w:sz="4" w:space="0" w:color="auto"/>
              <w:left w:val="single" w:sz="4" w:space="0" w:color="auto"/>
              <w:bottom w:val="single" w:sz="4" w:space="0" w:color="auto"/>
              <w:right w:val="single" w:sz="4" w:space="0" w:color="auto"/>
            </w:tcBorders>
          </w:tcPr>
          <w:p w14:paraId="6D18E859"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Yes</w:t>
            </w:r>
          </w:p>
        </w:tc>
      </w:tr>
      <w:tr w:rsidR="00E965EE" w:rsidRPr="00E965EE" w14:paraId="301A7D92" w14:textId="77777777" w:rsidTr="00396F09">
        <w:tc>
          <w:tcPr>
            <w:tcW w:w="769" w:type="pct"/>
            <w:tcBorders>
              <w:top w:val="single" w:sz="4" w:space="0" w:color="auto"/>
              <w:left w:val="single" w:sz="4" w:space="0" w:color="auto"/>
              <w:bottom w:val="single" w:sz="4" w:space="0" w:color="auto"/>
              <w:right w:val="single" w:sz="4" w:space="0" w:color="auto"/>
            </w:tcBorders>
            <w:hideMark/>
          </w:tcPr>
          <w:p w14:paraId="7BD1D30A"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 xml:space="preserve">Change in patient management </w:t>
            </w:r>
          </w:p>
        </w:tc>
        <w:tc>
          <w:tcPr>
            <w:tcW w:w="1459" w:type="pct"/>
            <w:tcBorders>
              <w:top w:val="single" w:sz="4" w:space="0" w:color="auto"/>
              <w:left w:val="single" w:sz="4" w:space="0" w:color="auto"/>
              <w:bottom w:val="single" w:sz="4" w:space="0" w:color="auto"/>
              <w:right w:val="single" w:sz="4" w:space="0" w:color="auto"/>
            </w:tcBorders>
            <w:hideMark/>
          </w:tcPr>
          <w:p w14:paraId="3B9A2124"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Evidence to show that HDV RNA guides decisions about stopping treatment (due to response or lack of response) or intensifying treatment (due to limited response)</w:t>
            </w:r>
          </w:p>
        </w:tc>
        <w:tc>
          <w:tcPr>
            <w:tcW w:w="1257" w:type="pct"/>
            <w:tcBorders>
              <w:top w:val="single" w:sz="4" w:space="0" w:color="auto"/>
              <w:left w:val="single" w:sz="4" w:space="0" w:color="auto"/>
              <w:bottom w:val="single" w:sz="4" w:space="0" w:color="auto"/>
              <w:right w:val="single" w:sz="4" w:space="0" w:color="auto"/>
            </w:tcBorders>
            <w:hideMark/>
          </w:tcPr>
          <w:p w14:paraId="22F63B52" w14:textId="77777777" w:rsidR="00E965EE" w:rsidRPr="00E965EE" w:rsidRDefault="003571BB" w:rsidP="00E965EE">
            <w:pPr>
              <w:keepNext/>
              <w:widowControl w:val="0"/>
              <w:spacing w:before="0" w:after="0"/>
              <w:ind w:left="696" w:hanging="696"/>
              <w:jc w:val="left"/>
              <w:rPr>
                <w:rFonts w:ascii="Arial Narrow" w:eastAsia="Calibri" w:hAnsi="Arial Narrow" w:cs="Times New Roman"/>
                <w:sz w:val="20"/>
              </w:rPr>
            </w:pPr>
            <w:sdt>
              <w:sdtPr>
                <w:rPr>
                  <w:rFonts w:ascii="Arial Narrow" w:eastAsia="Calibri" w:hAnsi="Arial Narrow" w:cs="Times New Roman"/>
                  <w:sz w:val="20"/>
                </w:rPr>
                <w:id w:val="-1943214893"/>
                <w14:checkbox>
                  <w14:checked w14:val="1"/>
                  <w14:checkedState w14:val="2612" w14:font="MS Gothic"/>
                  <w14:uncheckedState w14:val="2610" w14:font="MS Gothic"/>
                </w14:checkbox>
              </w:sdtPr>
              <w:sdtEndPr/>
              <w:sdtContent>
                <w:r w:rsidR="00E965EE" w:rsidRPr="00E965EE">
                  <w:rPr>
                    <w:rFonts w:ascii="Segoe UI Symbol" w:eastAsia="Calibri" w:hAnsi="Segoe UI Symbol" w:cs="Segoe UI Symbol"/>
                    <w:sz w:val="20"/>
                  </w:rPr>
                  <w:t>☒</w:t>
                </w:r>
              </w:sdtContent>
            </w:sdt>
            <w:r w:rsidR="00E965EE" w:rsidRPr="00E965EE">
              <w:rPr>
                <w:rFonts w:ascii="Arial Narrow" w:eastAsia="Calibri" w:hAnsi="Arial Narrow" w:cs="Times New Roman"/>
                <w:sz w:val="20"/>
              </w:rPr>
              <w:tab/>
              <w:t>k=2 uncontrolled before/after study</w:t>
            </w:r>
            <w:r w:rsidR="00E965EE" w:rsidRPr="00E965EE">
              <w:rPr>
                <w:rFonts w:ascii="Arial Narrow" w:eastAsia="Calibri" w:hAnsi="Arial Narrow" w:cs="Times New Roman"/>
                <w:sz w:val="20"/>
              </w:rPr>
              <w:tab/>
              <w:t>n=129</w:t>
            </w:r>
          </w:p>
        </w:tc>
        <w:tc>
          <w:tcPr>
            <w:tcW w:w="708" w:type="pct"/>
            <w:tcBorders>
              <w:top w:val="single" w:sz="4" w:space="0" w:color="auto"/>
              <w:left w:val="single" w:sz="4" w:space="0" w:color="auto"/>
              <w:bottom w:val="single" w:sz="4" w:space="0" w:color="auto"/>
              <w:right w:val="single" w:sz="4" w:space="0" w:color="auto"/>
            </w:tcBorders>
            <w:hideMark/>
          </w:tcPr>
          <w:p w14:paraId="5B4E7914"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High</w:t>
            </w:r>
          </w:p>
        </w:tc>
        <w:tc>
          <w:tcPr>
            <w:tcW w:w="807" w:type="pct"/>
            <w:tcBorders>
              <w:top w:val="single" w:sz="4" w:space="0" w:color="auto"/>
              <w:left w:val="single" w:sz="4" w:space="0" w:color="auto"/>
              <w:bottom w:val="single" w:sz="4" w:space="0" w:color="auto"/>
              <w:right w:val="single" w:sz="4" w:space="0" w:color="auto"/>
            </w:tcBorders>
          </w:tcPr>
          <w:p w14:paraId="6C87C842"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No</w:t>
            </w:r>
          </w:p>
        </w:tc>
      </w:tr>
      <w:tr w:rsidR="00E965EE" w:rsidRPr="00E965EE" w14:paraId="39F9152A" w14:textId="77777777" w:rsidTr="00396F09">
        <w:trPr>
          <w:trHeight w:val="796"/>
        </w:trPr>
        <w:tc>
          <w:tcPr>
            <w:tcW w:w="769" w:type="pct"/>
            <w:tcBorders>
              <w:top w:val="single" w:sz="4" w:space="0" w:color="auto"/>
              <w:left w:val="single" w:sz="4" w:space="0" w:color="auto"/>
              <w:bottom w:val="nil"/>
              <w:right w:val="single" w:sz="4" w:space="0" w:color="auto"/>
            </w:tcBorders>
            <w:hideMark/>
          </w:tcPr>
          <w:p w14:paraId="03500B9B"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 xml:space="preserve">Health outcomes (clinical utility) </w:t>
            </w:r>
          </w:p>
        </w:tc>
        <w:tc>
          <w:tcPr>
            <w:tcW w:w="1459" w:type="pct"/>
            <w:tcBorders>
              <w:top w:val="single" w:sz="4" w:space="0" w:color="auto"/>
              <w:left w:val="single" w:sz="4" w:space="0" w:color="auto"/>
              <w:bottom w:val="nil"/>
              <w:right w:val="single" w:sz="4" w:space="0" w:color="auto"/>
            </w:tcBorders>
          </w:tcPr>
          <w:p w14:paraId="30D9EA50"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No evidence presented.</w:t>
            </w:r>
          </w:p>
        </w:tc>
        <w:tc>
          <w:tcPr>
            <w:tcW w:w="1257" w:type="pct"/>
            <w:tcBorders>
              <w:top w:val="single" w:sz="4" w:space="0" w:color="auto"/>
              <w:left w:val="single" w:sz="4" w:space="0" w:color="auto"/>
              <w:bottom w:val="nil"/>
              <w:right w:val="single" w:sz="4" w:space="0" w:color="auto"/>
            </w:tcBorders>
          </w:tcPr>
          <w:p w14:paraId="32FED0F6" w14:textId="77777777" w:rsidR="00E965EE" w:rsidRPr="00E965EE" w:rsidRDefault="003571BB" w:rsidP="00E965EE">
            <w:pPr>
              <w:keepNext/>
              <w:widowControl w:val="0"/>
              <w:spacing w:before="0" w:after="0"/>
              <w:jc w:val="left"/>
              <w:rPr>
                <w:rFonts w:ascii="Arial Narrow" w:eastAsia="Calibri" w:hAnsi="Arial Narrow" w:cs="Times New Roman"/>
                <w:sz w:val="20"/>
              </w:rPr>
            </w:pPr>
            <w:sdt>
              <w:sdtPr>
                <w:rPr>
                  <w:rFonts w:ascii="Arial Narrow" w:eastAsia="Calibri" w:hAnsi="Arial Narrow" w:cs="Times New Roman"/>
                  <w:sz w:val="20"/>
                </w:rPr>
                <w:id w:val="-605892943"/>
                <w14:checkbox>
                  <w14:checked w14:val="0"/>
                  <w14:checkedState w14:val="2612" w14:font="MS Gothic"/>
                  <w14:uncheckedState w14:val="2610" w14:font="MS Gothic"/>
                </w14:checkbox>
              </w:sdtPr>
              <w:sdtEndPr/>
              <w:sdtContent>
                <w:r w:rsidR="00E965EE" w:rsidRPr="00E965EE">
                  <w:rPr>
                    <w:rFonts w:ascii="Segoe UI Symbol" w:eastAsia="Calibri" w:hAnsi="Segoe UI Symbol" w:cs="Segoe UI Symbol"/>
                    <w:sz w:val="20"/>
                  </w:rPr>
                  <w:t>☐</w:t>
                </w:r>
              </w:sdtContent>
            </w:sdt>
            <w:r w:rsidR="00E965EE" w:rsidRPr="00E965EE">
              <w:rPr>
                <w:rFonts w:ascii="Arial Narrow" w:eastAsia="Calibri" w:hAnsi="Arial Narrow" w:cs="Times New Roman"/>
                <w:sz w:val="20"/>
              </w:rPr>
              <w:tab/>
              <w:t>k=0</w:t>
            </w:r>
            <w:r w:rsidR="00E965EE" w:rsidRPr="00E965EE">
              <w:rPr>
                <w:rFonts w:ascii="Arial Narrow" w:eastAsia="Calibri" w:hAnsi="Arial Narrow" w:cs="Times New Roman"/>
                <w:sz w:val="20"/>
              </w:rPr>
              <w:tab/>
              <w:t>n=0</w:t>
            </w:r>
          </w:p>
          <w:p w14:paraId="74A34C4C" w14:textId="77777777" w:rsidR="00E965EE" w:rsidRPr="00E965EE" w:rsidRDefault="00E965EE" w:rsidP="00E965EE">
            <w:pPr>
              <w:keepNext/>
              <w:widowControl w:val="0"/>
              <w:spacing w:before="0" w:after="0"/>
              <w:jc w:val="left"/>
              <w:rPr>
                <w:rFonts w:ascii="Arial Narrow" w:eastAsia="Calibri" w:hAnsi="Arial Narrow" w:cs="Times New Roman"/>
                <w:sz w:val="20"/>
              </w:rPr>
            </w:pPr>
          </w:p>
        </w:tc>
        <w:tc>
          <w:tcPr>
            <w:tcW w:w="708" w:type="pct"/>
            <w:tcBorders>
              <w:top w:val="single" w:sz="4" w:space="0" w:color="auto"/>
              <w:left w:val="single" w:sz="4" w:space="0" w:color="auto"/>
              <w:bottom w:val="nil"/>
              <w:right w:val="single" w:sz="4" w:space="0" w:color="auto"/>
            </w:tcBorders>
            <w:hideMark/>
          </w:tcPr>
          <w:p w14:paraId="37B30522"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p>
        </w:tc>
        <w:tc>
          <w:tcPr>
            <w:tcW w:w="807" w:type="pct"/>
            <w:tcBorders>
              <w:top w:val="single" w:sz="4" w:space="0" w:color="auto"/>
              <w:left w:val="single" w:sz="4" w:space="0" w:color="auto"/>
              <w:bottom w:val="nil"/>
              <w:right w:val="single" w:sz="4" w:space="0" w:color="auto"/>
            </w:tcBorders>
          </w:tcPr>
          <w:p w14:paraId="69D8B733" w14:textId="77777777" w:rsidR="00E965EE" w:rsidRPr="00E965EE" w:rsidRDefault="00E965EE" w:rsidP="00E965EE">
            <w:pPr>
              <w:keepNext/>
              <w:widowControl w:val="0"/>
              <w:spacing w:before="0" w:after="0"/>
              <w:jc w:val="left"/>
              <w:rPr>
                <w:rFonts w:ascii="Arial Narrow" w:eastAsia="Calibri" w:hAnsi="Arial Narrow" w:cs="Times New Roman"/>
                <w:sz w:val="20"/>
              </w:rPr>
            </w:pPr>
          </w:p>
        </w:tc>
      </w:tr>
      <w:tr w:rsidR="00E965EE" w:rsidRPr="00E965EE" w14:paraId="77F9136E" w14:textId="77777777" w:rsidTr="00396F09">
        <w:tc>
          <w:tcPr>
            <w:tcW w:w="769" w:type="pct"/>
            <w:tcBorders>
              <w:top w:val="nil"/>
              <w:left w:val="single" w:sz="4" w:space="0" w:color="auto"/>
              <w:bottom w:val="nil"/>
              <w:right w:val="single" w:sz="4" w:space="0" w:color="auto"/>
            </w:tcBorders>
          </w:tcPr>
          <w:p w14:paraId="23ADCCD8"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 xml:space="preserve">Predictive effect (treatment effect variation) </w:t>
            </w:r>
          </w:p>
        </w:tc>
        <w:tc>
          <w:tcPr>
            <w:tcW w:w="1459" w:type="pct"/>
            <w:tcBorders>
              <w:top w:val="nil"/>
              <w:left w:val="single" w:sz="4" w:space="0" w:color="auto"/>
              <w:bottom w:val="nil"/>
              <w:right w:val="single" w:sz="4" w:space="0" w:color="auto"/>
            </w:tcBorders>
          </w:tcPr>
          <w:p w14:paraId="5D98331D"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No evidence presented.</w:t>
            </w:r>
          </w:p>
        </w:tc>
        <w:tc>
          <w:tcPr>
            <w:tcW w:w="1257" w:type="pct"/>
            <w:tcBorders>
              <w:top w:val="nil"/>
              <w:left w:val="single" w:sz="4" w:space="0" w:color="auto"/>
              <w:bottom w:val="nil"/>
              <w:right w:val="single" w:sz="4" w:space="0" w:color="auto"/>
            </w:tcBorders>
          </w:tcPr>
          <w:p w14:paraId="32EDC5AA" w14:textId="77777777" w:rsidR="00E965EE" w:rsidRPr="00E965EE" w:rsidRDefault="003571BB" w:rsidP="00E965EE">
            <w:pPr>
              <w:keepNext/>
              <w:widowControl w:val="0"/>
              <w:spacing w:before="0" w:after="0"/>
              <w:jc w:val="left"/>
              <w:rPr>
                <w:rFonts w:ascii="Arial Narrow" w:eastAsia="Calibri" w:hAnsi="Arial Narrow" w:cs="Times New Roman"/>
                <w:sz w:val="20"/>
              </w:rPr>
            </w:pPr>
            <w:sdt>
              <w:sdtPr>
                <w:rPr>
                  <w:rFonts w:ascii="Arial Narrow" w:eastAsia="Calibri" w:hAnsi="Arial Narrow" w:cs="Times New Roman"/>
                  <w:sz w:val="20"/>
                </w:rPr>
                <w:id w:val="-1216044709"/>
                <w14:checkbox>
                  <w14:checked w14:val="0"/>
                  <w14:checkedState w14:val="2612" w14:font="MS Gothic"/>
                  <w14:uncheckedState w14:val="2610" w14:font="MS Gothic"/>
                </w14:checkbox>
              </w:sdtPr>
              <w:sdtEndPr/>
              <w:sdtContent>
                <w:r w:rsidR="00E965EE" w:rsidRPr="00E965EE">
                  <w:rPr>
                    <w:rFonts w:ascii="Segoe UI Symbol" w:eastAsia="Calibri" w:hAnsi="Segoe UI Symbol" w:cs="Segoe UI Symbol"/>
                    <w:sz w:val="20"/>
                  </w:rPr>
                  <w:t>☐</w:t>
                </w:r>
              </w:sdtContent>
            </w:sdt>
            <w:r w:rsidR="00E965EE" w:rsidRPr="00E965EE">
              <w:rPr>
                <w:rFonts w:ascii="Arial Narrow" w:eastAsia="Calibri" w:hAnsi="Arial Narrow" w:cs="Times New Roman"/>
                <w:sz w:val="20"/>
              </w:rPr>
              <w:tab/>
              <w:t>k=0</w:t>
            </w:r>
            <w:r w:rsidR="00E965EE" w:rsidRPr="00E965EE">
              <w:rPr>
                <w:rFonts w:ascii="Arial Narrow" w:eastAsia="Calibri" w:hAnsi="Arial Narrow" w:cs="Times New Roman"/>
                <w:sz w:val="20"/>
              </w:rPr>
              <w:tab/>
              <w:t>n=0</w:t>
            </w:r>
          </w:p>
          <w:p w14:paraId="66C4D456" w14:textId="77777777" w:rsidR="00E965EE" w:rsidRPr="00E965EE" w:rsidRDefault="00E965EE" w:rsidP="00E965EE">
            <w:pPr>
              <w:keepNext/>
              <w:widowControl w:val="0"/>
              <w:spacing w:before="0" w:after="0"/>
              <w:jc w:val="left"/>
              <w:rPr>
                <w:rFonts w:ascii="Arial Narrow" w:eastAsia="Calibri" w:hAnsi="Arial Narrow" w:cs="Times New Roman"/>
                <w:sz w:val="20"/>
              </w:rPr>
            </w:pPr>
          </w:p>
          <w:p w14:paraId="2812CF52" w14:textId="77777777" w:rsidR="00E965EE" w:rsidRPr="00E965EE" w:rsidRDefault="00E965EE" w:rsidP="00E965EE">
            <w:pPr>
              <w:keepNext/>
              <w:widowControl w:val="0"/>
              <w:spacing w:before="0" w:after="0"/>
              <w:jc w:val="left"/>
              <w:rPr>
                <w:rFonts w:ascii="Arial Narrow" w:eastAsia="Calibri" w:hAnsi="Arial Narrow" w:cs="Times New Roman"/>
                <w:sz w:val="20"/>
              </w:rPr>
            </w:pPr>
          </w:p>
          <w:p w14:paraId="74A83BBA" w14:textId="77777777" w:rsidR="00E965EE" w:rsidRPr="00E965EE" w:rsidRDefault="00E965EE" w:rsidP="00E965EE">
            <w:pPr>
              <w:keepNext/>
              <w:widowControl w:val="0"/>
              <w:spacing w:before="0" w:after="0"/>
              <w:jc w:val="left"/>
              <w:rPr>
                <w:rFonts w:ascii="Arial Narrow" w:eastAsia="Calibri" w:hAnsi="Arial Narrow" w:cs="Times New Roman"/>
                <w:sz w:val="20"/>
              </w:rPr>
            </w:pPr>
          </w:p>
          <w:p w14:paraId="75083E96" w14:textId="77777777" w:rsidR="00E965EE" w:rsidRPr="00E965EE" w:rsidRDefault="00E965EE" w:rsidP="00E965EE">
            <w:pPr>
              <w:keepNext/>
              <w:widowControl w:val="0"/>
              <w:spacing w:before="0" w:after="0"/>
              <w:jc w:val="left"/>
              <w:rPr>
                <w:rFonts w:ascii="Arial Narrow" w:eastAsia="Calibri" w:hAnsi="Arial Narrow" w:cs="Times New Roman"/>
                <w:sz w:val="20"/>
              </w:rPr>
            </w:pPr>
          </w:p>
        </w:tc>
        <w:tc>
          <w:tcPr>
            <w:tcW w:w="708" w:type="pct"/>
            <w:tcBorders>
              <w:top w:val="nil"/>
              <w:left w:val="single" w:sz="4" w:space="0" w:color="auto"/>
              <w:bottom w:val="nil"/>
              <w:right w:val="single" w:sz="4" w:space="0" w:color="auto"/>
            </w:tcBorders>
          </w:tcPr>
          <w:p w14:paraId="5855EF9C"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p>
        </w:tc>
        <w:tc>
          <w:tcPr>
            <w:tcW w:w="807" w:type="pct"/>
            <w:tcBorders>
              <w:top w:val="nil"/>
              <w:left w:val="single" w:sz="4" w:space="0" w:color="auto"/>
              <w:bottom w:val="nil"/>
              <w:right w:val="single" w:sz="4" w:space="0" w:color="auto"/>
            </w:tcBorders>
          </w:tcPr>
          <w:p w14:paraId="73D61BE5" w14:textId="77777777" w:rsidR="00E965EE" w:rsidRPr="00E965EE" w:rsidRDefault="00E965EE" w:rsidP="00E965EE">
            <w:pPr>
              <w:keepNext/>
              <w:widowControl w:val="0"/>
              <w:spacing w:before="0" w:after="0"/>
              <w:jc w:val="left"/>
              <w:rPr>
                <w:rFonts w:ascii="Arial Narrow" w:eastAsia="Calibri" w:hAnsi="Arial Narrow" w:cs="Times New Roman"/>
                <w:sz w:val="20"/>
              </w:rPr>
            </w:pPr>
          </w:p>
        </w:tc>
      </w:tr>
      <w:tr w:rsidR="00E965EE" w:rsidRPr="00E965EE" w14:paraId="76D6F5D8" w14:textId="77777777" w:rsidTr="00396F09">
        <w:tc>
          <w:tcPr>
            <w:tcW w:w="769" w:type="pct"/>
            <w:tcBorders>
              <w:top w:val="nil"/>
              <w:left w:val="single" w:sz="4" w:space="0" w:color="auto"/>
              <w:bottom w:val="single" w:sz="4" w:space="0" w:color="auto"/>
              <w:right w:val="single" w:sz="4" w:space="0" w:color="auto"/>
            </w:tcBorders>
          </w:tcPr>
          <w:p w14:paraId="296B4AE3"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Treatment effect (enriched)</w:t>
            </w:r>
          </w:p>
        </w:tc>
        <w:tc>
          <w:tcPr>
            <w:tcW w:w="1459" w:type="pct"/>
            <w:tcBorders>
              <w:top w:val="nil"/>
              <w:left w:val="single" w:sz="4" w:space="0" w:color="auto"/>
              <w:bottom w:val="single" w:sz="4" w:space="0" w:color="auto"/>
              <w:right w:val="single" w:sz="4" w:space="0" w:color="auto"/>
            </w:tcBorders>
          </w:tcPr>
          <w:p w14:paraId="1424BDE9"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sz w:val="20"/>
              </w:rPr>
              <w:t>Single randomised controlled trial of bulevirtide vs symptom management of CHD in patients that are tested for HDV RNA by PCR in both arms and found to be positive.</w:t>
            </w:r>
          </w:p>
        </w:tc>
        <w:tc>
          <w:tcPr>
            <w:tcW w:w="1257" w:type="pct"/>
            <w:tcBorders>
              <w:top w:val="nil"/>
              <w:left w:val="single" w:sz="4" w:space="0" w:color="auto"/>
              <w:bottom w:val="single" w:sz="4" w:space="0" w:color="auto"/>
              <w:right w:val="single" w:sz="4" w:space="0" w:color="auto"/>
            </w:tcBorders>
          </w:tcPr>
          <w:p w14:paraId="60964625" w14:textId="77777777" w:rsidR="00E965EE" w:rsidRPr="00E965EE" w:rsidRDefault="003571BB" w:rsidP="00E965EE">
            <w:pPr>
              <w:keepNext/>
              <w:widowControl w:val="0"/>
              <w:spacing w:before="0" w:after="0"/>
              <w:jc w:val="left"/>
              <w:rPr>
                <w:rFonts w:ascii="Arial Narrow" w:eastAsia="Calibri" w:hAnsi="Arial Narrow" w:cs="Times New Roman"/>
                <w:sz w:val="20"/>
              </w:rPr>
            </w:pPr>
            <w:sdt>
              <w:sdtPr>
                <w:rPr>
                  <w:rFonts w:ascii="Arial Narrow" w:eastAsia="Calibri" w:hAnsi="Arial Narrow" w:cs="Times New Roman"/>
                  <w:sz w:val="20"/>
                </w:rPr>
                <w:id w:val="680405120"/>
                <w14:checkbox>
                  <w14:checked w14:val="1"/>
                  <w14:checkedState w14:val="2612" w14:font="MS Gothic"/>
                  <w14:uncheckedState w14:val="2610" w14:font="MS Gothic"/>
                </w14:checkbox>
              </w:sdtPr>
              <w:sdtEndPr/>
              <w:sdtContent>
                <w:r w:rsidR="00E965EE" w:rsidRPr="00E965EE">
                  <w:rPr>
                    <w:rFonts w:ascii="Segoe UI Symbol" w:eastAsia="Calibri" w:hAnsi="Segoe UI Symbol" w:cs="Segoe UI Symbol"/>
                    <w:sz w:val="20"/>
                  </w:rPr>
                  <w:t>☒</w:t>
                </w:r>
              </w:sdtContent>
            </w:sdt>
            <w:r w:rsidR="00E965EE" w:rsidRPr="00E965EE">
              <w:rPr>
                <w:rFonts w:ascii="Arial Narrow" w:eastAsia="Calibri" w:hAnsi="Arial Narrow" w:cs="Times New Roman"/>
                <w:sz w:val="20"/>
              </w:rPr>
              <w:tab/>
              <w:t>k=1</w:t>
            </w:r>
            <w:r w:rsidR="00E965EE" w:rsidRPr="00E965EE">
              <w:rPr>
                <w:rFonts w:ascii="Arial Narrow" w:eastAsia="Calibri" w:hAnsi="Arial Narrow" w:cs="Times New Roman"/>
                <w:sz w:val="20"/>
              </w:rPr>
              <w:tab/>
              <w:t>n=150</w:t>
            </w:r>
          </w:p>
          <w:p w14:paraId="000DE39E" w14:textId="77777777" w:rsidR="00E965EE" w:rsidRPr="00E965EE" w:rsidRDefault="00E965EE" w:rsidP="00E965EE">
            <w:pPr>
              <w:keepNext/>
              <w:widowControl w:val="0"/>
              <w:spacing w:before="0" w:after="0"/>
              <w:jc w:val="left"/>
              <w:rPr>
                <w:rFonts w:ascii="Arial Narrow" w:eastAsia="Calibri" w:hAnsi="Arial Narrow" w:cs="Times New Roman"/>
                <w:sz w:val="20"/>
              </w:rPr>
            </w:pPr>
          </w:p>
        </w:tc>
        <w:tc>
          <w:tcPr>
            <w:tcW w:w="708" w:type="pct"/>
            <w:tcBorders>
              <w:top w:val="nil"/>
              <w:left w:val="single" w:sz="4" w:space="0" w:color="auto"/>
              <w:bottom w:val="single" w:sz="4" w:space="0" w:color="auto"/>
              <w:right w:val="single" w:sz="4" w:space="0" w:color="auto"/>
            </w:tcBorders>
          </w:tcPr>
          <w:p w14:paraId="2FE1E6A3" w14:textId="77777777" w:rsidR="00E965EE" w:rsidRPr="00E965EE" w:rsidRDefault="00E965EE" w:rsidP="00E965EE">
            <w:pPr>
              <w:keepNext/>
              <w:widowControl w:val="0"/>
              <w:spacing w:before="0" w:after="0"/>
              <w:jc w:val="left"/>
              <w:rPr>
                <w:rFonts w:ascii="Arial Narrow" w:eastAsia="Calibri" w:hAnsi="Arial Narrow" w:cs="Times New Roman"/>
                <w:color w:val="3366FF"/>
                <w:sz w:val="20"/>
              </w:rPr>
            </w:pPr>
            <w:r w:rsidRPr="00E965EE">
              <w:rPr>
                <w:rFonts w:ascii="Arial Narrow" w:eastAsia="Calibri" w:hAnsi="Arial Narrow" w:cs="Times New Roman"/>
                <w:color w:val="000000"/>
                <w:sz w:val="20"/>
              </w:rPr>
              <w:t>Low</w:t>
            </w:r>
          </w:p>
        </w:tc>
        <w:tc>
          <w:tcPr>
            <w:tcW w:w="807" w:type="pct"/>
            <w:tcBorders>
              <w:top w:val="nil"/>
              <w:left w:val="single" w:sz="4" w:space="0" w:color="auto"/>
              <w:bottom w:val="single" w:sz="4" w:space="0" w:color="auto"/>
              <w:right w:val="single" w:sz="4" w:space="0" w:color="auto"/>
            </w:tcBorders>
          </w:tcPr>
          <w:p w14:paraId="0859C493" w14:textId="77777777" w:rsidR="00E965EE" w:rsidRPr="00E965EE" w:rsidRDefault="00E965EE" w:rsidP="00E965E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Yes</w:t>
            </w:r>
          </w:p>
        </w:tc>
      </w:tr>
    </w:tbl>
    <w:bookmarkEnd w:id="14"/>
    <w:p w14:paraId="2FA25362"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Source: developed during the evaluation</w:t>
      </w:r>
    </w:p>
    <w:p w14:paraId="0165B072"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CHD = chronic hepatitis D, HDV = hepatitis D virus, k=number of studies, n=number of patients, NA=not applicable, PCR = polymerase chain reaction; RNA = ribonucleic acid</w:t>
      </w:r>
    </w:p>
    <w:p w14:paraId="352EB0B9" w14:textId="77777777" w:rsidR="00E965EE" w:rsidRPr="003347A2" w:rsidRDefault="00E965EE" w:rsidP="003347A2">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16" w:name="_Toc156984616"/>
      <w:bookmarkEnd w:id="15"/>
      <w:r w:rsidRPr="003347A2">
        <w:rPr>
          <w:rFonts w:ascii="Franklin Gothic Medium" w:hAnsi="Franklin Gothic Medium"/>
          <w:b w:val="0"/>
          <w:i w:val="0"/>
          <w:snapToGrid/>
          <w:color w:val="000000" w:themeColor="text1"/>
          <w:sz w:val="32"/>
          <w:szCs w:val="26"/>
        </w:rPr>
        <w:lastRenderedPageBreak/>
        <w:t>Comparative safety</w:t>
      </w:r>
      <w:bookmarkEnd w:id="16"/>
    </w:p>
    <w:p w14:paraId="5B3E8299" w14:textId="77777777" w:rsidR="00E965EE" w:rsidRPr="003347A2" w:rsidRDefault="00E965EE" w:rsidP="00E965EE">
      <w:pPr>
        <w:keepNext/>
        <w:keepLines/>
        <w:spacing w:before="40" w:after="0"/>
        <w:jc w:val="left"/>
        <w:outlineLvl w:val="3"/>
        <w:rPr>
          <w:rFonts w:ascii="Franklin Gothic Book" w:eastAsia="Times New Roman" w:hAnsi="Franklin Gothic Book" w:cs="Calibri"/>
          <w:b/>
          <w:iCs/>
          <w:sz w:val="22"/>
        </w:rPr>
      </w:pPr>
      <w:r w:rsidRPr="003347A2">
        <w:rPr>
          <w:rFonts w:ascii="Franklin Gothic Book" w:eastAsia="Times New Roman" w:hAnsi="Franklin Gothic Book" w:cs="Calibri"/>
          <w:b/>
          <w:iCs/>
          <w:sz w:val="22"/>
        </w:rPr>
        <w:t>Adverse events from testing</w:t>
      </w:r>
    </w:p>
    <w:p w14:paraId="08250150" w14:textId="77777777"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The Commentary noted that the submission did not make any claims regarding the safety of testing.</w:t>
      </w:r>
      <w:r w:rsidRPr="003347A2">
        <w:rPr>
          <w:rFonts w:ascii="Franklin Gothic Book" w:eastAsia="Calibri" w:hAnsi="Franklin Gothic Book" w:cs="Times New Roman"/>
          <w:i/>
          <w:iCs/>
          <w:sz w:val="22"/>
        </w:rPr>
        <w:t xml:space="preserve"> </w:t>
      </w:r>
      <w:r w:rsidRPr="003347A2">
        <w:rPr>
          <w:rFonts w:ascii="Franklin Gothic Book" w:eastAsia="Calibri" w:hAnsi="Franklin Gothic Book" w:cs="Times New Roman"/>
          <w:sz w:val="22"/>
        </w:rPr>
        <w:t xml:space="preserve">Testing is performed on serum or blood. When the proposed test is used for diagnosing HDV, reflex testing is proposed which means the test would be done on the same sample which was used for the antibody test, and no additional harms would occur.  The Commentary noted that harms due to the test or obtaining a sample for the test are therefore highly unlikely when used for HDV diagnosis. However, when the test is used for monitoring, additional blood tests would be necessary which can lead to some side effects. Adverse events associated with diagnostic venepuncture include vasovagal reactions, pain and bruising, and nerve injuries. </w:t>
      </w:r>
    </w:p>
    <w:p w14:paraId="0EB00E11" w14:textId="77777777"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 xml:space="preserve">The Commentary noted that the submission did not discuss the consequences of false positive or false negative test results. A small proportion of patients identified with HDV RNA may have an acute infection rather than a chronic infection and could be considered “false positives”. The adverse events related to the treatment of these patients with acute hepatitis D are likely to be consistent with the treatment of CHD. </w:t>
      </w:r>
    </w:p>
    <w:p w14:paraId="131857E7" w14:textId="599CBB99"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 xml:space="preserve">The Commentary noted that </w:t>
      </w:r>
      <w:r w:rsidR="00DD0C07" w:rsidRPr="00B0488D">
        <w:rPr>
          <w:rFonts w:ascii="Franklin Gothic Book" w:hAnsi="Franklin Gothic Book"/>
          <w:b/>
          <w:bCs/>
          <w:sz w:val="22"/>
        </w:rPr>
        <w:t>redacted</w:t>
      </w:r>
      <w:r w:rsidRPr="003347A2">
        <w:rPr>
          <w:rFonts w:ascii="Franklin Gothic Book" w:eastAsia="Calibri" w:hAnsi="Franklin Gothic Book" w:cs="Times New Roman"/>
          <w:sz w:val="22"/>
        </w:rPr>
        <w:t xml:space="preserve">. </w:t>
      </w:r>
      <w:r w:rsidR="0006356D">
        <w:rPr>
          <w:rFonts w:ascii="Franklin Gothic Book" w:eastAsia="Calibri" w:hAnsi="Franklin Gothic Book" w:cs="Times New Roman"/>
          <w:sz w:val="22"/>
        </w:rPr>
        <w:t>T</w:t>
      </w:r>
      <w:r w:rsidRPr="003347A2">
        <w:rPr>
          <w:rFonts w:ascii="Franklin Gothic Book" w:eastAsia="Calibri" w:hAnsi="Franklin Gothic Book" w:cs="Times New Roman"/>
          <w:sz w:val="22"/>
        </w:rPr>
        <w:t xml:space="preserve">here is a chance that patients may have very low levels of HDV RNA after treatment, which is undetected by the test used. These “false negatives” would be ineligible to continue treatment with bulevirtide. The safety implications of ceasing treatment are efficacy related (that is, there is a risk of relapse/rebounding if the HDV infection is still active and treatment is stopped).  </w:t>
      </w:r>
    </w:p>
    <w:p w14:paraId="27F0F576" w14:textId="77777777" w:rsidR="00E965EE" w:rsidRPr="003347A2" w:rsidRDefault="00E965EE" w:rsidP="00E965EE">
      <w:pPr>
        <w:keepNext/>
        <w:keepLines/>
        <w:spacing w:before="40" w:after="0"/>
        <w:jc w:val="left"/>
        <w:outlineLvl w:val="3"/>
        <w:rPr>
          <w:rFonts w:ascii="Franklin Gothic Book" w:eastAsia="Times New Roman" w:hAnsi="Franklin Gothic Book" w:cs="Calibri"/>
          <w:b/>
          <w:iCs/>
          <w:sz w:val="22"/>
        </w:rPr>
      </w:pPr>
      <w:r w:rsidRPr="003347A2">
        <w:rPr>
          <w:rFonts w:ascii="Franklin Gothic Book" w:eastAsia="Times New Roman" w:hAnsi="Franklin Gothic Book" w:cs="Calibri"/>
          <w:b/>
          <w:iCs/>
          <w:sz w:val="22"/>
        </w:rPr>
        <w:t>Adverse events from changes in management</w:t>
      </w:r>
    </w:p>
    <w:p w14:paraId="620580B7" w14:textId="762B9C1B" w:rsidR="00E965EE" w:rsidRPr="003347A2" w:rsidRDefault="00E965EE" w:rsidP="00E965EE">
      <w:pPr>
        <w:spacing w:before="0" w:after="240"/>
        <w:ind w:hanging="11"/>
        <w:jc w:val="left"/>
        <w:rPr>
          <w:rFonts w:ascii="Franklin Gothic Book" w:eastAsia="Calibri" w:hAnsi="Franklin Gothic Book" w:cs="Times New Roman"/>
          <w:i/>
          <w:iCs/>
          <w:sz w:val="22"/>
        </w:rPr>
      </w:pPr>
      <w:r w:rsidRPr="003347A2">
        <w:rPr>
          <w:rFonts w:ascii="Franklin Gothic Book" w:eastAsia="Calibri" w:hAnsi="Franklin Gothic Book" w:cs="Times New Roman"/>
          <w:sz w:val="22"/>
        </w:rPr>
        <w:fldChar w:fldCharType="begin"/>
      </w:r>
      <w:r w:rsidRPr="003347A2">
        <w:rPr>
          <w:rFonts w:ascii="Franklin Gothic Book" w:eastAsia="Calibri" w:hAnsi="Franklin Gothic Book" w:cs="Times New Roman"/>
          <w:sz w:val="22"/>
        </w:rPr>
        <w:instrText xml:space="preserve"> REF _Ref152428955 \h  \* MERGEFORMAT </w:instrText>
      </w:r>
      <w:r w:rsidRPr="003347A2">
        <w:rPr>
          <w:rFonts w:ascii="Franklin Gothic Book" w:eastAsia="Calibri" w:hAnsi="Franklin Gothic Book" w:cs="Times New Roman"/>
          <w:sz w:val="22"/>
        </w:rPr>
      </w:r>
      <w:r w:rsidRPr="003347A2">
        <w:rPr>
          <w:rFonts w:ascii="Franklin Gothic Book" w:eastAsia="Calibri" w:hAnsi="Franklin Gothic Book" w:cs="Times New Roman"/>
          <w:sz w:val="22"/>
        </w:rPr>
        <w:fldChar w:fldCharType="separate"/>
      </w:r>
      <w:r w:rsidR="00B02BFE" w:rsidRPr="003347A2">
        <w:rPr>
          <w:rFonts w:ascii="Franklin Gothic Book" w:eastAsia="Calibri" w:hAnsi="Franklin Gothic Book" w:cs="Times New Roman"/>
          <w:sz w:val="22"/>
        </w:rPr>
        <w:t xml:space="preserve">Table </w:t>
      </w:r>
      <w:r w:rsidR="00B02BFE" w:rsidRPr="003347A2">
        <w:rPr>
          <w:rFonts w:ascii="Franklin Gothic Book" w:eastAsia="Calibri" w:hAnsi="Franklin Gothic Book" w:cs="Times New Roman"/>
          <w:noProof/>
          <w:sz w:val="22"/>
        </w:rPr>
        <w:t>5</w:t>
      </w:r>
      <w:r w:rsidRPr="003347A2">
        <w:rPr>
          <w:rFonts w:ascii="Franklin Gothic Book" w:eastAsia="Calibri" w:hAnsi="Franklin Gothic Book" w:cs="Times New Roman"/>
          <w:sz w:val="22"/>
        </w:rPr>
        <w:fldChar w:fldCharType="end"/>
      </w:r>
      <w:r w:rsidRPr="003347A2">
        <w:rPr>
          <w:rFonts w:ascii="Franklin Gothic Book" w:eastAsia="Calibri" w:hAnsi="Franklin Gothic Book" w:cs="Times New Roman"/>
          <w:sz w:val="22"/>
        </w:rPr>
        <w:t xml:space="preserve"> below summarises the overall treatment-emergent adverse events (TEAEs) in the MYR301 trial. As patients in the delayed treatment arm received symptomatic management of CHD (or best supportive care (BSC)) for the first 48 weeks and were switched to bulevirtide 10 mg thereafter, safety data at Week 96 for this treatment arm do not inform the comparative safety of bulevirtide </w:t>
      </w:r>
      <w:r w:rsidRPr="003347A2">
        <w:rPr>
          <w:rFonts w:ascii="Franklin Gothic Book" w:eastAsia="Calibri" w:hAnsi="Franklin Gothic Book" w:cs="Times New Roman"/>
          <w:i/>
          <w:iCs/>
          <w:sz w:val="22"/>
        </w:rPr>
        <w:t xml:space="preserve">versus </w:t>
      </w:r>
      <w:r w:rsidRPr="003347A2">
        <w:rPr>
          <w:rFonts w:ascii="Franklin Gothic Book" w:eastAsia="Calibri" w:hAnsi="Franklin Gothic Book" w:cs="Times New Roman"/>
          <w:sz w:val="22"/>
        </w:rPr>
        <w:t xml:space="preserve">BSC and, therefore, are not presented in the table below. </w:t>
      </w:r>
    </w:p>
    <w:p w14:paraId="0827C5F3" w14:textId="0210A2F6" w:rsidR="00E965EE" w:rsidRPr="00E965EE"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17" w:name="_Ref152428955"/>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5</w:t>
      </w:r>
      <w:r w:rsidRPr="00E965EE">
        <w:rPr>
          <w:rFonts w:ascii="Arial Narrow" w:eastAsia="Calibri" w:hAnsi="Arial Narrow" w:cs="Times New Roman"/>
          <w:b/>
          <w:bCs/>
          <w:iCs/>
          <w:sz w:val="20"/>
          <w:szCs w:val="18"/>
          <w:lang w:val="en-US"/>
        </w:rPr>
        <w:fldChar w:fldCharType="end"/>
      </w:r>
      <w:bookmarkEnd w:id="17"/>
      <w:r w:rsidRPr="00E965EE">
        <w:rPr>
          <w:rFonts w:ascii="Arial Narrow" w:eastAsia="Calibri" w:hAnsi="Arial Narrow" w:cs="Times New Roman"/>
          <w:b/>
          <w:bCs/>
          <w:iCs/>
          <w:sz w:val="20"/>
          <w:szCs w:val="18"/>
          <w:lang w:val="en-US"/>
        </w:rPr>
        <w:tab/>
        <w:t>Summary of overall TEAEs in the MYR301 trial</w:t>
      </w:r>
    </w:p>
    <w:tbl>
      <w:tblPr>
        <w:tblStyle w:val="Legemiddelverket31"/>
        <w:tblW w:w="5000" w:type="pct"/>
        <w:tblCellMar>
          <w:left w:w="115" w:type="dxa"/>
          <w:right w:w="115" w:type="dxa"/>
        </w:tblCellMar>
        <w:tblLook w:val="04A0" w:firstRow="1" w:lastRow="0" w:firstColumn="1" w:lastColumn="0" w:noHBand="0" w:noVBand="1"/>
      </w:tblPr>
      <w:tblGrid>
        <w:gridCol w:w="2671"/>
        <w:gridCol w:w="1264"/>
        <w:gridCol w:w="1470"/>
        <w:gridCol w:w="1890"/>
        <w:gridCol w:w="1721"/>
      </w:tblGrid>
      <w:tr w:rsidR="00E965EE" w:rsidRPr="00BA1BA5" w14:paraId="420A457B" w14:textId="77777777" w:rsidTr="00E965EE">
        <w:trPr>
          <w:trHeight w:val="388"/>
        </w:trPr>
        <w:tc>
          <w:tcPr>
            <w:tcW w:w="2671" w:type="dxa"/>
            <w:shd w:val="clear" w:color="auto" w:fill="auto"/>
          </w:tcPr>
          <w:p w14:paraId="78E1AA1B" w14:textId="77777777" w:rsidR="00E965EE" w:rsidRPr="00E965EE" w:rsidRDefault="00E965EE" w:rsidP="00E965EE">
            <w:pPr>
              <w:widowControl w:val="0"/>
              <w:spacing w:before="0"/>
              <w:jc w:val="left"/>
              <w:rPr>
                <w:rFonts w:ascii="Arial Narrow" w:eastAsia="Calibri" w:hAnsi="Arial Narrow" w:cs="Times New Roman"/>
                <w:b/>
                <w:sz w:val="20"/>
              </w:rPr>
            </w:pPr>
          </w:p>
        </w:tc>
        <w:tc>
          <w:tcPr>
            <w:tcW w:w="1264" w:type="dxa"/>
            <w:shd w:val="clear" w:color="auto" w:fill="FFFFFF"/>
          </w:tcPr>
          <w:p w14:paraId="0447BBCF" w14:textId="77777777" w:rsidR="00E965EE" w:rsidRPr="00E965EE" w:rsidRDefault="00E965EE" w:rsidP="00E965EE">
            <w:pPr>
              <w:widowControl w:val="0"/>
              <w:spacing w:before="0"/>
              <w:jc w:val="center"/>
              <w:rPr>
                <w:rFonts w:ascii="Arial Narrow" w:eastAsia="Calibri" w:hAnsi="Arial Narrow" w:cs="Times New Roman"/>
                <w:b/>
                <w:sz w:val="20"/>
              </w:rPr>
            </w:pPr>
            <w:r w:rsidRPr="00E965EE">
              <w:rPr>
                <w:rFonts w:ascii="Arial Narrow" w:eastAsia="Calibri" w:hAnsi="Arial Narrow" w:cs="Times New Roman"/>
                <w:sz w:val="20"/>
              </w:rPr>
              <w:t>Bulevirtide 2 mg (N=49)</w:t>
            </w:r>
          </w:p>
        </w:tc>
        <w:tc>
          <w:tcPr>
            <w:tcW w:w="1470" w:type="dxa"/>
            <w:shd w:val="clear" w:color="auto" w:fill="FFFFFF"/>
          </w:tcPr>
          <w:p w14:paraId="4EFC9A30"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Delayed treatment (N=51)</w:t>
            </w:r>
          </w:p>
        </w:tc>
        <w:tc>
          <w:tcPr>
            <w:tcW w:w="1890" w:type="dxa"/>
            <w:shd w:val="clear" w:color="auto" w:fill="FFFFFF"/>
          </w:tcPr>
          <w:p w14:paraId="4BB400CC" w14:textId="77777777" w:rsidR="00E965EE" w:rsidRPr="00E965EE" w:rsidRDefault="00E965EE" w:rsidP="00E965EE">
            <w:pPr>
              <w:widowControl w:val="0"/>
              <w:spacing w:before="0"/>
              <w:jc w:val="center"/>
              <w:rPr>
                <w:rFonts w:ascii="Arial Narrow" w:eastAsia="Calibri" w:hAnsi="Arial Narrow" w:cs="Times New Roman"/>
                <w:b/>
                <w:sz w:val="20"/>
              </w:rPr>
            </w:pPr>
            <w:r w:rsidRPr="00E965EE">
              <w:rPr>
                <w:rFonts w:ascii="Arial Narrow" w:eastAsia="Calibri" w:hAnsi="Arial Narrow" w:cs="Times New Roman"/>
                <w:sz w:val="20"/>
              </w:rPr>
              <w:t>Comparison between bulevirtide 2 mg and delayed treatment (RR, 95%CI)</w:t>
            </w:r>
          </w:p>
        </w:tc>
        <w:tc>
          <w:tcPr>
            <w:tcW w:w="1721" w:type="dxa"/>
            <w:shd w:val="clear" w:color="auto" w:fill="FFFFFF"/>
          </w:tcPr>
          <w:p w14:paraId="538F7863" w14:textId="77777777" w:rsidR="00E965EE" w:rsidRPr="00E965EE" w:rsidRDefault="00E965EE" w:rsidP="00E965EE">
            <w:pPr>
              <w:widowControl w:val="0"/>
              <w:spacing w:before="0"/>
              <w:jc w:val="center"/>
              <w:rPr>
                <w:rFonts w:ascii="Arial Narrow" w:eastAsia="Calibri" w:hAnsi="Arial Narrow" w:cs="Times New Roman"/>
                <w:bCs/>
                <w:sz w:val="20"/>
              </w:rPr>
            </w:pPr>
            <w:r w:rsidRPr="00E965EE">
              <w:rPr>
                <w:rFonts w:ascii="Arial Narrow" w:eastAsia="Calibri" w:hAnsi="Arial Narrow" w:cs="Times New Roman"/>
                <w:bCs/>
                <w:sz w:val="20"/>
              </w:rPr>
              <w:t>Bulevirtide 2 mg (N=49)</w:t>
            </w:r>
          </w:p>
        </w:tc>
      </w:tr>
      <w:tr w:rsidR="00E965EE" w:rsidRPr="00E965EE" w14:paraId="07AE2694" w14:textId="77777777" w:rsidTr="00396F09">
        <w:trPr>
          <w:trHeight w:val="47"/>
        </w:trPr>
        <w:tc>
          <w:tcPr>
            <w:tcW w:w="2671" w:type="dxa"/>
            <w:shd w:val="clear" w:color="auto" w:fill="auto"/>
          </w:tcPr>
          <w:p w14:paraId="1F185F85"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Data cut-off</w:t>
            </w:r>
          </w:p>
        </w:tc>
        <w:tc>
          <w:tcPr>
            <w:tcW w:w="1264" w:type="dxa"/>
          </w:tcPr>
          <w:p w14:paraId="05153102"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Week 48</w:t>
            </w:r>
          </w:p>
        </w:tc>
        <w:tc>
          <w:tcPr>
            <w:tcW w:w="1470" w:type="dxa"/>
          </w:tcPr>
          <w:p w14:paraId="1905DC57"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Week 48</w:t>
            </w:r>
          </w:p>
        </w:tc>
        <w:tc>
          <w:tcPr>
            <w:tcW w:w="1890" w:type="dxa"/>
          </w:tcPr>
          <w:p w14:paraId="10E2BB71"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Week 48</w:t>
            </w:r>
          </w:p>
        </w:tc>
        <w:tc>
          <w:tcPr>
            <w:tcW w:w="1721" w:type="dxa"/>
          </w:tcPr>
          <w:p w14:paraId="653D9C9D"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Week 96</w:t>
            </w:r>
          </w:p>
        </w:tc>
      </w:tr>
      <w:tr w:rsidR="00E965EE" w:rsidRPr="00E965EE" w14:paraId="6F7B7ED7" w14:textId="77777777" w:rsidTr="00396F09">
        <w:trPr>
          <w:trHeight w:val="64"/>
        </w:trPr>
        <w:tc>
          <w:tcPr>
            <w:tcW w:w="2671" w:type="dxa"/>
            <w:shd w:val="clear" w:color="auto" w:fill="auto"/>
            <w:vAlign w:val="bottom"/>
          </w:tcPr>
          <w:p w14:paraId="3F0AB2B0"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TEAE</w:t>
            </w:r>
          </w:p>
        </w:tc>
        <w:tc>
          <w:tcPr>
            <w:tcW w:w="1264" w:type="dxa"/>
          </w:tcPr>
          <w:p w14:paraId="1875E940"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41 (83.7%)</w:t>
            </w:r>
          </w:p>
        </w:tc>
        <w:tc>
          <w:tcPr>
            <w:tcW w:w="1470" w:type="dxa"/>
          </w:tcPr>
          <w:p w14:paraId="7E81F185"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39 (76.5%)</w:t>
            </w:r>
          </w:p>
        </w:tc>
        <w:tc>
          <w:tcPr>
            <w:tcW w:w="1890" w:type="dxa"/>
          </w:tcPr>
          <w:p w14:paraId="5A1B8123"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1.03 (0.86, 1.24)</w:t>
            </w:r>
          </w:p>
        </w:tc>
        <w:tc>
          <w:tcPr>
            <w:tcW w:w="1721" w:type="dxa"/>
          </w:tcPr>
          <w:p w14:paraId="6C360570"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47 (95.9%)</w:t>
            </w:r>
          </w:p>
        </w:tc>
      </w:tr>
      <w:tr w:rsidR="00E965EE" w:rsidRPr="00E965EE" w14:paraId="29D90523" w14:textId="77777777" w:rsidTr="00396F09">
        <w:trPr>
          <w:trHeight w:val="300"/>
        </w:trPr>
        <w:tc>
          <w:tcPr>
            <w:tcW w:w="2671" w:type="dxa"/>
            <w:shd w:val="clear" w:color="auto" w:fill="auto"/>
            <w:vAlign w:val="bottom"/>
          </w:tcPr>
          <w:p w14:paraId="6FBDE055"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TEAE with Grade 3 or higher</w:t>
            </w:r>
          </w:p>
        </w:tc>
        <w:tc>
          <w:tcPr>
            <w:tcW w:w="1264" w:type="dxa"/>
          </w:tcPr>
          <w:p w14:paraId="6254222D"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5 (10.2%)</w:t>
            </w:r>
          </w:p>
        </w:tc>
        <w:tc>
          <w:tcPr>
            <w:tcW w:w="1470" w:type="dxa"/>
          </w:tcPr>
          <w:p w14:paraId="50AFF795"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4 (7.8%)</w:t>
            </w:r>
          </w:p>
        </w:tc>
        <w:tc>
          <w:tcPr>
            <w:tcW w:w="1890" w:type="dxa"/>
          </w:tcPr>
          <w:p w14:paraId="09B9E3CD"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1.30 (0.37, 4.56)</w:t>
            </w:r>
          </w:p>
        </w:tc>
        <w:tc>
          <w:tcPr>
            <w:tcW w:w="1721" w:type="dxa"/>
          </w:tcPr>
          <w:p w14:paraId="3B64ECB1"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9 (18.4%)</w:t>
            </w:r>
          </w:p>
        </w:tc>
      </w:tr>
      <w:tr w:rsidR="00E965EE" w:rsidRPr="00E965EE" w14:paraId="4BFC023C" w14:textId="77777777" w:rsidTr="00396F09">
        <w:trPr>
          <w:trHeight w:val="300"/>
        </w:trPr>
        <w:tc>
          <w:tcPr>
            <w:tcW w:w="2671" w:type="dxa"/>
            <w:shd w:val="clear" w:color="auto" w:fill="auto"/>
            <w:vAlign w:val="center"/>
          </w:tcPr>
          <w:p w14:paraId="05A6EA75"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TEAE related to study drug</w:t>
            </w:r>
          </w:p>
        </w:tc>
        <w:tc>
          <w:tcPr>
            <w:tcW w:w="1264" w:type="dxa"/>
          </w:tcPr>
          <w:p w14:paraId="6F7D3CB4"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24 (49.0%)</w:t>
            </w:r>
          </w:p>
        </w:tc>
        <w:tc>
          <w:tcPr>
            <w:tcW w:w="1470" w:type="dxa"/>
          </w:tcPr>
          <w:p w14:paraId="328EBA0E"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c>
          <w:tcPr>
            <w:tcW w:w="1890" w:type="dxa"/>
          </w:tcPr>
          <w:p w14:paraId="28847DE2" w14:textId="77777777" w:rsidR="00E965EE" w:rsidRPr="00E965EE" w:rsidRDefault="00E965EE" w:rsidP="00E965EE">
            <w:pPr>
              <w:widowControl w:val="0"/>
              <w:spacing w:before="0"/>
              <w:jc w:val="center"/>
              <w:rPr>
                <w:rFonts w:ascii="Arial Narrow" w:eastAsia="Calibri" w:hAnsi="Arial Narrow" w:cs="Times New Roman"/>
                <w:b/>
                <w:bCs/>
                <w:sz w:val="20"/>
              </w:rPr>
            </w:pPr>
            <w:r w:rsidRPr="00E965EE">
              <w:rPr>
                <w:rFonts w:ascii="Arial Narrow" w:eastAsia="Calibri" w:hAnsi="Arial Narrow" w:cs="Times New Roman"/>
                <w:b/>
                <w:bCs/>
                <w:sz w:val="20"/>
              </w:rPr>
              <w:t>50.96 (3.19, 815.66)</w:t>
            </w:r>
          </w:p>
        </w:tc>
        <w:tc>
          <w:tcPr>
            <w:tcW w:w="1721" w:type="dxa"/>
          </w:tcPr>
          <w:p w14:paraId="7DDE15EC"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25 (51.0%)</w:t>
            </w:r>
          </w:p>
        </w:tc>
      </w:tr>
      <w:tr w:rsidR="00E965EE" w:rsidRPr="00E965EE" w14:paraId="79393762" w14:textId="77777777" w:rsidTr="00396F09">
        <w:trPr>
          <w:trHeight w:val="300"/>
        </w:trPr>
        <w:tc>
          <w:tcPr>
            <w:tcW w:w="2671" w:type="dxa"/>
            <w:shd w:val="clear" w:color="auto" w:fill="auto"/>
            <w:vAlign w:val="center"/>
          </w:tcPr>
          <w:p w14:paraId="1DEE893F"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TEAE related to study drug with Grade 3 or higher</w:t>
            </w:r>
          </w:p>
        </w:tc>
        <w:tc>
          <w:tcPr>
            <w:tcW w:w="1264" w:type="dxa"/>
          </w:tcPr>
          <w:p w14:paraId="6313FA5F"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1 (2.0%)</w:t>
            </w:r>
          </w:p>
        </w:tc>
        <w:tc>
          <w:tcPr>
            <w:tcW w:w="1470" w:type="dxa"/>
          </w:tcPr>
          <w:p w14:paraId="1078E91A"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c>
          <w:tcPr>
            <w:tcW w:w="1890" w:type="dxa"/>
          </w:tcPr>
          <w:p w14:paraId="09935514"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3.12 (0.13, 74.80)</w:t>
            </w:r>
          </w:p>
        </w:tc>
        <w:tc>
          <w:tcPr>
            <w:tcW w:w="1721" w:type="dxa"/>
          </w:tcPr>
          <w:p w14:paraId="74339071"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4 (8.2%)</w:t>
            </w:r>
          </w:p>
        </w:tc>
      </w:tr>
      <w:tr w:rsidR="00E965EE" w:rsidRPr="00E965EE" w14:paraId="4DF10AEE" w14:textId="77777777" w:rsidTr="00396F09">
        <w:trPr>
          <w:trHeight w:val="300"/>
        </w:trPr>
        <w:tc>
          <w:tcPr>
            <w:tcW w:w="2671" w:type="dxa"/>
            <w:shd w:val="clear" w:color="auto" w:fill="auto"/>
            <w:vAlign w:val="center"/>
          </w:tcPr>
          <w:p w14:paraId="230EA004"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TE serious AE</w:t>
            </w:r>
          </w:p>
        </w:tc>
        <w:tc>
          <w:tcPr>
            <w:tcW w:w="1264" w:type="dxa"/>
          </w:tcPr>
          <w:p w14:paraId="031D8536"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2 (4.1%)</w:t>
            </w:r>
          </w:p>
        </w:tc>
        <w:tc>
          <w:tcPr>
            <w:tcW w:w="1470" w:type="dxa"/>
          </w:tcPr>
          <w:p w14:paraId="1E8C0E3C"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1 (2.0%)</w:t>
            </w:r>
          </w:p>
        </w:tc>
        <w:tc>
          <w:tcPr>
            <w:tcW w:w="1890" w:type="dxa"/>
          </w:tcPr>
          <w:p w14:paraId="7E0ACE51"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2.08 (0.19, 22.23)</w:t>
            </w:r>
          </w:p>
        </w:tc>
        <w:tc>
          <w:tcPr>
            <w:tcW w:w="1721" w:type="dxa"/>
          </w:tcPr>
          <w:p w14:paraId="7F99E4F2"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2 (4.1%)</w:t>
            </w:r>
          </w:p>
        </w:tc>
      </w:tr>
      <w:tr w:rsidR="00E965EE" w:rsidRPr="00E965EE" w14:paraId="45AEEAE6" w14:textId="77777777" w:rsidTr="00396F09">
        <w:trPr>
          <w:trHeight w:val="300"/>
        </w:trPr>
        <w:tc>
          <w:tcPr>
            <w:tcW w:w="2671" w:type="dxa"/>
            <w:shd w:val="clear" w:color="auto" w:fill="auto"/>
            <w:vAlign w:val="center"/>
          </w:tcPr>
          <w:p w14:paraId="333D1F68"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TE serious AE related to study drug</w:t>
            </w:r>
          </w:p>
        </w:tc>
        <w:tc>
          <w:tcPr>
            <w:tcW w:w="1264" w:type="dxa"/>
          </w:tcPr>
          <w:p w14:paraId="4AEAB58B"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c>
          <w:tcPr>
            <w:tcW w:w="1470" w:type="dxa"/>
          </w:tcPr>
          <w:p w14:paraId="29436A64"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c>
          <w:tcPr>
            <w:tcW w:w="1890" w:type="dxa"/>
          </w:tcPr>
          <w:p w14:paraId="1A555074"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w:t>
            </w:r>
          </w:p>
        </w:tc>
        <w:tc>
          <w:tcPr>
            <w:tcW w:w="1721" w:type="dxa"/>
          </w:tcPr>
          <w:p w14:paraId="55FC289D"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r>
      <w:tr w:rsidR="00E965EE" w:rsidRPr="00E965EE" w14:paraId="7CF4742E" w14:textId="77777777" w:rsidTr="00396F09">
        <w:trPr>
          <w:trHeight w:val="300"/>
        </w:trPr>
        <w:tc>
          <w:tcPr>
            <w:tcW w:w="2671" w:type="dxa"/>
            <w:shd w:val="clear" w:color="auto" w:fill="auto"/>
            <w:vAlign w:val="center"/>
          </w:tcPr>
          <w:p w14:paraId="6276478E"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TEAE leading to premature discontinuation of study drug</w:t>
            </w:r>
          </w:p>
        </w:tc>
        <w:tc>
          <w:tcPr>
            <w:tcW w:w="1264" w:type="dxa"/>
          </w:tcPr>
          <w:p w14:paraId="6EA3EFCB"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c>
          <w:tcPr>
            <w:tcW w:w="1470" w:type="dxa"/>
          </w:tcPr>
          <w:p w14:paraId="22333D74"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c>
          <w:tcPr>
            <w:tcW w:w="1890" w:type="dxa"/>
          </w:tcPr>
          <w:p w14:paraId="22C9449D"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w:t>
            </w:r>
          </w:p>
        </w:tc>
        <w:tc>
          <w:tcPr>
            <w:tcW w:w="1721" w:type="dxa"/>
          </w:tcPr>
          <w:p w14:paraId="1E59FABA"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r>
      <w:tr w:rsidR="00E965EE" w:rsidRPr="00E965EE" w14:paraId="1F66459F" w14:textId="77777777" w:rsidTr="00396F09">
        <w:trPr>
          <w:trHeight w:val="300"/>
        </w:trPr>
        <w:tc>
          <w:tcPr>
            <w:tcW w:w="2671" w:type="dxa"/>
            <w:shd w:val="clear" w:color="auto" w:fill="auto"/>
            <w:vAlign w:val="center"/>
          </w:tcPr>
          <w:p w14:paraId="4919F4E8" w14:textId="77777777" w:rsidR="00E965EE" w:rsidRPr="00E965EE" w:rsidRDefault="00E965EE" w:rsidP="00E965EE">
            <w:pPr>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Death</w:t>
            </w:r>
          </w:p>
        </w:tc>
        <w:tc>
          <w:tcPr>
            <w:tcW w:w="1264" w:type="dxa"/>
          </w:tcPr>
          <w:p w14:paraId="03D54D37"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c>
          <w:tcPr>
            <w:tcW w:w="1470" w:type="dxa"/>
          </w:tcPr>
          <w:p w14:paraId="28FFDDCC"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c>
          <w:tcPr>
            <w:tcW w:w="1890" w:type="dxa"/>
          </w:tcPr>
          <w:p w14:paraId="7AEC9207"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w:t>
            </w:r>
          </w:p>
        </w:tc>
        <w:tc>
          <w:tcPr>
            <w:tcW w:w="1721" w:type="dxa"/>
          </w:tcPr>
          <w:p w14:paraId="60AB1C37" w14:textId="77777777" w:rsidR="00E965EE" w:rsidRPr="00E965EE" w:rsidRDefault="00E965EE" w:rsidP="00E965EE">
            <w:pPr>
              <w:widowControl w:val="0"/>
              <w:spacing w:before="0"/>
              <w:jc w:val="center"/>
              <w:rPr>
                <w:rFonts w:ascii="Arial Narrow" w:eastAsia="Calibri" w:hAnsi="Arial Narrow" w:cs="Times New Roman"/>
                <w:sz w:val="20"/>
              </w:rPr>
            </w:pPr>
            <w:r w:rsidRPr="00E965EE">
              <w:rPr>
                <w:rFonts w:ascii="Arial Narrow" w:eastAsia="Calibri" w:hAnsi="Arial Narrow" w:cs="Times New Roman"/>
                <w:sz w:val="20"/>
              </w:rPr>
              <w:t>0</w:t>
            </w:r>
          </w:p>
        </w:tc>
      </w:tr>
    </w:tbl>
    <w:p w14:paraId="31899DDC" w14:textId="77777777" w:rsidR="00E965EE" w:rsidRPr="00E965EE" w:rsidRDefault="00E965EE" w:rsidP="00E965EE">
      <w:pPr>
        <w:widowControl w:val="0"/>
        <w:spacing w:before="0" w:after="0"/>
        <w:contextualSpacing/>
        <w:rPr>
          <w:rFonts w:ascii="Arial Narrow" w:eastAsia="Calibri" w:hAnsi="Arial Narrow" w:cs="Times New Roman"/>
          <w:snapToGrid w:val="0"/>
          <w:sz w:val="18"/>
          <w:szCs w:val="20"/>
        </w:rPr>
      </w:pPr>
      <w:r w:rsidRPr="00E965EE">
        <w:rPr>
          <w:rFonts w:ascii="Arial Narrow" w:eastAsia="Calibri" w:hAnsi="Arial Narrow" w:cs="Times New Roman"/>
          <w:snapToGrid w:val="0"/>
          <w:sz w:val="18"/>
          <w:szCs w:val="20"/>
        </w:rPr>
        <w:t>Source: Table 2.10-7, p118 of the submission. Results in bold were statistically significant.</w:t>
      </w:r>
    </w:p>
    <w:p w14:paraId="0779C423" w14:textId="77777777" w:rsidR="00E965EE" w:rsidRPr="00E965EE" w:rsidRDefault="00E965EE" w:rsidP="00E965EE">
      <w:pPr>
        <w:widowControl w:val="0"/>
        <w:spacing w:before="0" w:after="0"/>
        <w:contextualSpacing/>
        <w:rPr>
          <w:rFonts w:ascii="Arial Narrow" w:eastAsia="Calibri" w:hAnsi="Arial Narrow" w:cs="Times New Roman"/>
          <w:snapToGrid w:val="0"/>
          <w:sz w:val="18"/>
          <w:szCs w:val="20"/>
        </w:rPr>
      </w:pPr>
      <w:r w:rsidRPr="00E965EE">
        <w:rPr>
          <w:rFonts w:ascii="Arial Narrow" w:eastAsia="Calibri" w:hAnsi="Arial Narrow" w:cs="Times New Roman"/>
          <w:snapToGrid w:val="0"/>
          <w:sz w:val="18"/>
          <w:szCs w:val="20"/>
        </w:rPr>
        <w:t>AE = adverse event; CI = confidence interval; RR = relative risk; SAS = Safety Analysis Set; TE = treatment-emergent; TEAE = treatment-emergent adverse event</w:t>
      </w:r>
    </w:p>
    <w:p w14:paraId="1A6F5C00" w14:textId="4D830D94" w:rsidR="00E965EE" w:rsidRPr="003347A2" w:rsidRDefault="00E965EE" w:rsidP="003347A2">
      <w:pPr>
        <w:spacing w:after="240"/>
        <w:jc w:val="left"/>
        <w:rPr>
          <w:rFonts w:ascii="Franklin Gothic Book" w:eastAsia="Calibri" w:hAnsi="Franklin Gothic Book" w:cs="Times New Roman"/>
          <w:sz w:val="22"/>
        </w:rPr>
      </w:pPr>
      <w:bookmarkStart w:id="18" w:name="_Ref496866969"/>
      <w:bookmarkStart w:id="19" w:name="_Ref496866994"/>
      <w:r w:rsidRPr="003347A2">
        <w:rPr>
          <w:rFonts w:ascii="Franklin Gothic Book" w:eastAsia="Calibri" w:hAnsi="Franklin Gothic Book" w:cs="Times New Roman"/>
          <w:sz w:val="22"/>
        </w:rPr>
        <w:t xml:space="preserve">The key trial (MYR301) reported an overall higher incidence of treatment-emergent adverse events (TEAEs) in bulevirtide 2 mg treated patients compared with patients receiving symptomatic management of CHD. However, the TEAEs were not severe enough to result in premature discontinuation of treatment. In the trial, no patient experienced serious TEAE related </w:t>
      </w:r>
      <w:r w:rsidRPr="003347A2">
        <w:rPr>
          <w:rFonts w:ascii="Franklin Gothic Book" w:eastAsia="Calibri" w:hAnsi="Franklin Gothic Book" w:cs="Times New Roman"/>
          <w:sz w:val="22"/>
        </w:rPr>
        <w:lastRenderedPageBreak/>
        <w:t>to bulevirtide treatment, and no death was caused by the treatment. The Commentary noted that only the higher relative risk of TEAE in the bulevirtide arm related to the study drug was found to be statistically significant. By week 96, nearly all patients had experienced at least one TEAE, but only one additional patient was considered to have a TEAE related to the study drug (over and above those who had had a TEAE related to the study drug after 48 weeks).</w:t>
      </w:r>
    </w:p>
    <w:p w14:paraId="3D293C2C" w14:textId="576E5BA3" w:rsidR="00E965EE" w:rsidRPr="003347A2" w:rsidRDefault="00E965EE" w:rsidP="00E965EE">
      <w:pPr>
        <w:spacing w:before="0" w:after="240"/>
        <w:ind w:hanging="11"/>
        <w:jc w:val="left"/>
        <w:rPr>
          <w:rFonts w:ascii="Franklin Gothic Book" w:eastAsia="Calibri" w:hAnsi="Franklin Gothic Book" w:cs="Times New Roman"/>
          <w:sz w:val="22"/>
        </w:rPr>
      </w:pPr>
      <w:r w:rsidRPr="003347A2">
        <w:rPr>
          <w:rFonts w:ascii="Franklin Gothic Book" w:eastAsia="Calibri" w:hAnsi="Franklin Gothic Book" w:cs="Times New Roman"/>
          <w:sz w:val="22"/>
        </w:rPr>
        <w:t xml:space="preserve">Results of AEs of special interest (AESIs) in the MYR301 trial are presented in </w:t>
      </w:r>
      <w:r w:rsidRPr="003347A2">
        <w:rPr>
          <w:rFonts w:ascii="Franklin Gothic Book" w:eastAsia="Calibri" w:hAnsi="Franklin Gothic Book" w:cs="Times New Roman"/>
          <w:sz w:val="22"/>
        </w:rPr>
        <w:fldChar w:fldCharType="begin"/>
      </w:r>
      <w:r w:rsidRPr="003347A2">
        <w:rPr>
          <w:rFonts w:ascii="Franklin Gothic Book" w:eastAsia="Calibri" w:hAnsi="Franklin Gothic Book" w:cs="Times New Roman"/>
          <w:sz w:val="22"/>
        </w:rPr>
        <w:instrText xml:space="preserve"> REF _Ref153204546 \h  \* MERGEFORMAT </w:instrText>
      </w:r>
      <w:r w:rsidRPr="003347A2">
        <w:rPr>
          <w:rFonts w:ascii="Franklin Gothic Book" w:eastAsia="Calibri" w:hAnsi="Franklin Gothic Book" w:cs="Times New Roman"/>
          <w:sz w:val="22"/>
        </w:rPr>
      </w:r>
      <w:r w:rsidRPr="003347A2">
        <w:rPr>
          <w:rFonts w:ascii="Franklin Gothic Book" w:eastAsia="Calibri" w:hAnsi="Franklin Gothic Book" w:cs="Times New Roman"/>
          <w:sz w:val="22"/>
        </w:rPr>
        <w:fldChar w:fldCharType="separate"/>
      </w:r>
      <w:r w:rsidR="00B02BFE" w:rsidRPr="003347A2">
        <w:rPr>
          <w:rFonts w:ascii="Franklin Gothic Book" w:eastAsia="Calibri" w:hAnsi="Franklin Gothic Book" w:cs="Times New Roman"/>
          <w:sz w:val="22"/>
        </w:rPr>
        <w:t xml:space="preserve">Table </w:t>
      </w:r>
      <w:r w:rsidR="00B02BFE" w:rsidRPr="003347A2">
        <w:rPr>
          <w:rFonts w:ascii="Franklin Gothic Book" w:eastAsia="Calibri" w:hAnsi="Franklin Gothic Book" w:cs="Times New Roman"/>
          <w:noProof/>
          <w:sz w:val="22"/>
        </w:rPr>
        <w:t>6</w:t>
      </w:r>
      <w:r w:rsidRPr="003347A2">
        <w:rPr>
          <w:rFonts w:ascii="Franklin Gothic Book" w:eastAsia="Calibri" w:hAnsi="Franklin Gothic Book" w:cs="Times New Roman"/>
          <w:sz w:val="22"/>
        </w:rPr>
        <w:fldChar w:fldCharType="end"/>
      </w:r>
      <w:r w:rsidRPr="003347A2">
        <w:rPr>
          <w:rFonts w:ascii="Franklin Gothic Book" w:eastAsia="Calibri" w:hAnsi="Franklin Gothic Book" w:cs="Times New Roman"/>
          <w:sz w:val="22"/>
        </w:rPr>
        <w:t xml:space="preserve">. All AESIs observed in the trial were Grade 1 or 2 in severity and none resulted in discontinuation of treatment. </w:t>
      </w:r>
    </w:p>
    <w:p w14:paraId="71F64B75" w14:textId="1E2482B2" w:rsidR="00E965EE" w:rsidRPr="00E965EE"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20" w:name="_Ref153204546"/>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6</w:t>
      </w:r>
      <w:r w:rsidRPr="00E965EE">
        <w:rPr>
          <w:rFonts w:ascii="Arial Narrow" w:eastAsia="Calibri" w:hAnsi="Arial Narrow" w:cs="Times New Roman"/>
          <w:b/>
          <w:bCs/>
          <w:iCs/>
          <w:sz w:val="20"/>
          <w:szCs w:val="18"/>
          <w:lang w:val="en-US"/>
        </w:rPr>
        <w:fldChar w:fldCharType="end"/>
      </w:r>
      <w:bookmarkEnd w:id="20"/>
      <w:r w:rsidRPr="00E965EE">
        <w:rPr>
          <w:rFonts w:ascii="Arial Narrow" w:eastAsia="Calibri" w:hAnsi="Arial Narrow" w:cs="Times New Roman"/>
          <w:b/>
          <w:bCs/>
          <w:iCs/>
          <w:sz w:val="20"/>
          <w:szCs w:val="18"/>
          <w:lang w:val="en-US"/>
        </w:rPr>
        <w:tab/>
        <w:t xml:space="preserve">Summary of results of adverse events of special interest in the MYR301 trial </w:t>
      </w:r>
    </w:p>
    <w:tbl>
      <w:tblPr>
        <w:tblStyle w:val="Legemiddelverket31"/>
        <w:tblW w:w="4962" w:type="pct"/>
        <w:tblInd w:w="137" w:type="dxa"/>
        <w:tblLayout w:type="fixed"/>
        <w:tblCellMar>
          <w:left w:w="115" w:type="dxa"/>
          <w:right w:w="115" w:type="dxa"/>
        </w:tblCellMar>
        <w:tblLook w:val="04A0" w:firstRow="1" w:lastRow="0" w:firstColumn="1" w:lastColumn="0" w:noHBand="0" w:noVBand="1"/>
      </w:tblPr>
      <w:tblGrid>
        <w:gridCol w:w="2835"/>
        <w:gridCol w:w="2006"/>
        <w:gridCol w:w="2122"/>
        <w:gridCol w:w="1984"/>
      </w:tblGrid>
      <w:tr w:rsidR="00E965EE" w:rsidRPr="00E965EE" w14:paraId="44D7B651" w14:textId="77777777" w:rsidTr="00E965EE">
        <w:trPr>
          <w:trHeight w:val="253"/>
        </w:trPr>
        <w:tc>
          <w:tcPr>
            <w:tcW w:w="1584" w:type="pct"/>
            <w:shd w:val="clear" w:color="auto" w:fill="auto"/>
          </w:tcPr>
          <w:p w14:paraId="10B9C1CA" w14:textId="77777777" w:rsidR="00E965EE" w:rsidRPr="00E965EE" w:rsidRDefault="00E965EE" w:rsidP="00E965EE">
            <w:pPr>
              <w:widowControl w:val="0"/>
              <w:spacing w:before="0"/>
              <w:jc w:val="left"/>
              <w:rPr>
                <w:rFonts w:ascii="Arial Narrow" w:eastAsia="Calibri" w:hAnsi="Arial Narrow" w:cs="Times New Roman"/>
                <w:b/>
                <w:sz w:val="20"/>
              </w:rPr>
            </w:pPr>
          </w:p>
        </w:tc>
        <w:tc>
          <w:tcPr>
            <w:tcW w:w="1121" w:type="pct"/>
            <w:shd w:val="clear" w:color="auto" w:fill="FFFFFF"/>
          </w:tcPr>
          <w:p w14:paraId="414C26A5" w14:textId="77777777" w:rsidR="00E965EE" w:rsidRPr="00E965EE" w:rsidRDefault="00E965EE" w:rsidP="00E965EE">
            <w:pPr>
              <w:widowControl w:val="0"/>
              <w:spacing w:before="0"/>
              <w:jc w:val="center"/>
              <w:rPr>
                <w:rFonts w:ascii="Arial Narrow" w:eastAsia="Calibri" w:hAnsi="Arial Narrow" w:cs="Times New Roman"/>
                <w:bCs/>
                <w:sz w:val="20"/>
              </w:rPr>
            </w:pPr>
            <w:r w:rsidRPr="00E965EE">
              <w:rPr>
                <w:rFonts w:ascii="Arial Narrow" w:eastAsia="Calibri" w:hAnsi="Arial Narrow" w:cs="Times New Roman"/>
                <w:bCs/>
                <w:sz w:val="20"/>
              </w:rPr>
              <w:t>Bulevirtide 2 mg (N=49)</w:t>
            </w:r>
          </w:p>
        </w:tc>
        <w:tc>
          <w:tcPr>
            <w:tcW w:w="1186" w:type="pct"/>
            <w:shd w:val="clear" w:color="auto" w:fill="FFFFFF"/>
          </w:tcPr>
          <w:p w14:paraId="21734DA0" w14:textId="77777777" w:rsidR="00E965EE" w:rsidRPr="00E965EE" w:rsidRDefault="00E965EE" w:rsidP="00E965EE">
            <w:pPr>
              <w:widowControl w:val="0"/>
              <w:spacing w:before="0"/>
              <w:jc w:val="center"/>
              <w:rPr>
                <w:rFonts w:ascii="Arial Narrow" w:eastAsia="Calibri" w:hAnsi="Arial Narrow" w:cs="Times New Roman"/>
                <w:bCs/>
                <w:sz w:val="20"/>
              </w:rPr>
            </w:pPr>
            <w:r w:rsidRPr="00E965EE">
              <w:rPr>
                <w:rFonts w:ascii="Arial Narrow" w:eastAsia="Calibri" w:hAnsi="Arial Narrow" w:cs="Times New Roman"/>
                <w:bCs/>
                <w:sz w:val="20"/>
              </w:rPr>
              <w:t>Delayed treatment (N=51)</w:t>
            </w:r>
          </w:p>
        </w:tc>
        <w:tc>
          <w:tcPr>
            <w:tcW w:w="1109" w:type="pct"/>
            <w:shd w:val="clear" w:color="auto" w:fill="FFFFFF"/>
          </w:tcPr>
          <w:p w14:paraId="5F75CA1D" w14:textId="77777777" w:rsidR="00E965EE" w:rsidRPr="00E965EE" w:rsidRDefault="00E965EE" w:rsidP="00E965EE">
            <w:pPr>
              <w:widowControl w:val="0"/>
              <w:spacing w:before="0"/>
              <w:jc w:val="center"/>
              <w:rPr>
                <w:rFonts w:ascii="Arial Narrow" w:eastAsia="Calibri" w:hAnsi="Arial Narrow" w:cs="Times New Roman"/>
                <w:bCs/>
                <w:sz w:val="20"/>
              </w:rPr>
            </w:pPr>
            <w:r w:rsidRPr="00E965EE">
              <w:rPr>
                <w:rFonts w:ascii="Arial Narrow" w:eastAsia="Calibri" w:hAnsi="Arial Narrow" w:cs="Times New Roman"/>
                <w:bCs/>
                <w:sz w:val="20"/>
              </w:rPr>
              <w:t>Bulevirtide 2 mg (N=49)</w:t>
            </w:r>
          </w:p>
        </w:tc>
      </w:tr>
      <w:tr w:rsidR="00E965EE" w:rsidRPr="00E965EE" w14:paraId="401B367F" w14:textId="77777777" w:rsidTr="00396F09">
        <w:trPr>
          <w:trHeight w:val="253"/>
        </w:trPr>
        <w:tc>
          <w:tcPr>
            <w:tcW w:w="1584" w:type="pct"/>
            <w:shd w:val="clear" w:color="auto" w:fill="auto"/>
          </w:tcPr>
          <w:p w14:paraId="227A1DF7" w14:textId="77777777" w:rsidR="00E965EE" w:rsidRPr="00E965EE" w:rsidRDefault="00E965EE" w:rsidP="00E965EE">
            <w:pPr>
              <w:widowControl w:val="0"/>
              <w:spacing w:before="0"/>
              <w:jc w:val="left"/>
              <w:rPr>
                <w:rFonts w:ascii="Arial Narrow" w:eastAsia="Calibri" w:hAnsi="Arial Narrow" w:cs="Times New Roman"/>
                <w:b/>
                <w:sz w:val="20"/>
              </w:rPr>
            </w:pPr>
          </w:p>
        </w:tc>
        <w:tc>
          <w:tcPr>
            <w:tcW w:w="1121" w:type="pct"/>
            <w:shd w:val="clear" w:color="auto" w:fill="auto"/>
          </w:tcPr>
          <w:p w14:paraId="41DC4CB8" w14:textId="77777777" w:rsidR="00E965EE" w:rsidRPr="00E965EE" w:rsidRDefault="00E965EE" w:rsidP="00E965EE">
            <w:pPr>
              <w:widowControl w:val="0"/>
              <w:spacing w:before="0"/>
              <w:jc w:val="center"/>
              <w:rPr>
                <w:rFonts w:ascii="Arial Narrow" w:eastAsia="Calibri" w:hAnsi="Arial Narrow" w:cs="Times New Roman"/>
                <w:bCs/>
                <w:sz w:val="20"/>
              </w:rPr>
            </w:pPr>
            <w:r w:rsidRPr="00E965EE">
              <w:rPr>
                <w:rFonts w:ascii="Arial Narrow" w:eastAsia="Calibri" w:hAnsi="Arial Narrow" w:cs="Times New Roman"/>
                <w:bCs/>
                <w:sz w:val="20"/>
              </w:rPr>
              <w:t>Week 48</w:t>
            </w:r>
          </w:p>
        </w:tc>
        <w:tc>
          <w:tcPr>
            <w:tcW w:w="1186" w:type="pct"/>
          </w:tcPr>
          <w:p w14:paraId="3B780D54" w14:textId="77777777" w:rsidR="00E965EE" w:rsidRPr="00E965EE" w:rsidRDefault="00E965EE" w:rsidP="00E965EE">
            <w:pPr>
              <w:widowControl w:val="0"/>
              <w:spacing w:before="0"/>
              <w:jc w:val="center"/>
              <w:rPr>
                <w:rFonts w:ascii="Arial Narrow" w:eastAsia="Calibri" w:hAnsi="Arial Narrow" w:cs="Times New Roman"/>
                <w:bCs/>
                <w:sz w:val="20"/>
              </w:rPr>
            </w:pPr>
            <w:r w:rsidRPr="00E965EE">
              <w:rPr>
                <w:rFonts w:ascii="Arial Narrow" w:eastAsia="Calibri" w:hAnsi="Arial Narrow" w:cs="Times New Roman"/>
                <w:bCs/>
                <w:sz w:val="20"/>
              </w:rPr>
              <w:t>Week 48</w:t>
            </w:r>
          </w:p>
        </w:tc>
        <w:tc>
          <w:tcPr>
            <w:tcW w:w="1109" w:type="pct"/>
            <w:shd w:val="clear" w:color="auto" w:fill="auto"/>
          </w:tcPr>
          <w:p w14:paraId="07A42B3B" w14:textId="77777777" w:rsidR="00E965EE" w:rsidRPr="00E965EE" w:rsidRDefault="00E965EE" w:rsidP="00E965EE">
            <w:pPr>
              <w:widowControl w:val="0"/>
              <w:spacing w:before="0"/>
              <w:jc w:val="center"/>
              <w:rPr>
                <w:rFonts w:ascii="Arial Narrow" w:eastAsia="Calibri" w:hAnsi="Arial Narrow" w:cs="Times New Roman"/>
                <w:bCs/>
                <w:sz w:val="20"/>
              </w:rPr>
            </w:pPr>
            <w:r w:rsidRPr="00E965EE">
              <w:rPr>
                <w:rFonts w:ascii="Arial Narrow" w:eastAsia="Calibri" w:hAnsi="Arial Narrow" w:cs="Times New Roman"/>
                <w:bCs/>
                <w:sz w:val="20"/>
              </w:rPr>
              <w:t>Week 96</w:t>
            </w:r>
          </w:p>
        </w:tc>
      </w:tr>
      <w:tr w:rsidR="00E965EE" w:rsidRPr="00E965EE" w14:paraId="40092FE2" w14:textId="77777777" w:rsidTr="00396F09">
        <w:trPr>
          <w:trHeight w:val="173"/>
        </w:trPr>
        <w:tc>
          <w:tcPr>
            <w:tcW w:w="1584" w:type="pct"/>
            <w:shd w:val="clear" w:color="auto" w:fill="auto"/>
            <w:vAlign w:val="bottom"/>
          </w:tcPr>
          <w:p w14:paraId="6F068B96" w14:textId="77777777" w:rsidR="00E965EE" w:rsidRPr="00E965EE" w:rsidRDefault="00E965EE" w:rsidP="00E965EE">
            <w:pPr>
              <w:widowControl w:val="0"/>
              <w:spacing w:before="0"/>
              <w:jc w:val="left"/>
              <w:rPr>
                <w:rFonts w:ascii="Arial Narrow" w:eastAsia="Calibri" w:hAnsi="Arial Narrow" w:cs="Times New Roman"/>
                <w:bCs/>
                <w:sz w:val="20"/>
              </w:rPr>
            </w:pPr>
            <w:r w:rsidRPr="00E965EE">
              <w:rPr>
                <w:rFonts w:ascii="Arial Narrow" w:eastAsia="Calibri" w:hAnsi="Arial Narrow" w:cs="Times New Roman"/>
                <w:bCs/>
                <w:sz w:val="20"/>
              </w:rPr>
              <w:t xml:space="preserve">Hepatic flares </w:t>
            </w:r>
          </w:p>
        </w:tc>
        <w:tc>
          <w:tcPr>
            <w:tcW w:w="1121" w:type="pct"/>
          </w:tcPr>
          <w:p w14:paraId="6925F772"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7 (14.3%)</w:t>
            </w:r>
          </w:p>
        </w:tc>
        <w:tc>
          <w:tcPr>
            <w:tcW w:w="1186" w:type="pct"/>
          </w:tcPr>
          <w:p w14:paraId="7092B74A"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4 (7.8%)</w:t>
            </w:r>
          </w:p>
        </w:tc>
        <w:tc>
          <w:tcPr>
            <w:tcW w:w="1109" w:type="pct"/>
            <w:shd w:val="clear" w:color="auto" w:fill="auto"/>
          </w:tcPr>
          <w:p w14:paraId="478E7AC8"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1</w:t>
            </w:r>
            <w:r w:rsidRPr="00E965EE">
              <w:rPr>
                <w:rFonts w:ascii="Arial Narrow" w:eastAsia="Calibri" w:hAnsi="Arial Narrow" w:cs="Times New Roman"/>
                <w:sz w:val="20"/>
              </w:rPr>
              <w:t>0 (20.4%)</w:t>
            </w:r>
          </w:p>
        </w:tc>
      </w:tr>
      <w:tr w:rsidR="00E965EE" w:rsidRPr="00E965EE" w14:paraId="66A9BC5B" w14:textId="77777777" w:rsidTr="00396F09">
        <w:tblPrEx>
          <w:tblCellMar>
            <w:left w:w="108" w:type="dxa"/>
            <w:right w:w="108" w:type="dxa"/>
          </w:tblCellMar>
        </w:tblPrEx>
        <w:tc>
          <w:tcPr>
            <w:tcW w:w="1584" w:type="pct"/>
            <w:shd w:val="clear" w:color="auto" w:fill="auto"/>
            <w:vAlign w:val="bottom"/>
          </w:tcPr>
          <w:p w14:paraId="3B7EDA27" w14:textId="77777777" w:rsidR="00E965EE" w:rsidRPr="00E965EE" w:rsidRDefault="00E965EE" w:rsidP="00E965EE">
            <w:pPr>
              <w:widowControl w:val="0"/>
              <w:spacing w:before="0"/>
              <w:jc w:val="left"/>
              <w:rPr>
                <w:rFonts w:ascii="Arial Narrow" w:eastAsia="Calibri" w:hAnsi="Arial Narrow" w:cs="Times New Roman"/>
                <w:bCs/>
                <w:sz w:val="20"/>
              </w:rPr>
            </w:pPr>
            <w:r w:rsidRPr="00E965EE">
              <w:rPr>
                <w:rFonts w:ascii="Arial Narrow" w:eastAsia="Calibri" w:hAnsi="Arial Narrow" w:cs="Times New Roman"/>
                <w:bCs/>
                <w:sz w:val="20"/>
              </w:rPr>
              <w:t>Eosinophilia and Eosinophil count increased</w:t>
            </w:r>
          </w:p>
        </w:tc>
        <w:tc>
          <w:tcPr>
            <w:tcW w:w="1121" w:type="pct"/>
          </w:tcPr>
          <w:p w14:paraId="0C83D6F9"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5 (10.2%)</w:t>
            </w:r>
          </w:p>
        </w:tc>
        <w:tc>
          <w:tcPr>
            <w:tcW w:w="1186" w:type="pct"/>
          </w:tcPr>
          <w:p w14:paraId="38DAC8E7"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1 (2.0%)</w:t>
            </w:r>
          </w:p>
        </w:tc>
        <w:tc>
          <w:tcPr>
            <w:tcW w:w="1109" w:type="pct"/>
            <w:shd w:val="clear" w:color="auto" w:fill="auto"/>
          </w:tcPr>
          <w:p w14:paraId="3C5A1378"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5 (10.2%)</w:t>
            </w:r>
          </w:p>
        </w:tc>
      </w:tr>
      <w:tr w:rsidR="00E965EE" w:rsidRPr="00E965EE" w14:paraId="08ECA903" w14:textId="77777777" w:rsidTr="00396F09">
        <w:tblPrEx>
          <w:tblCellMar>
            <w:left w:w="108" w:type="dxa"/>
            <w:right w:w="108" w:type="dxa"/>
          </w:tblCellMar>
        </w:tblPrEx>
        <w:tc>
          <w:tcPr>
            <w:tcW w:w="1584" w:type="pct"/>
            <w:shd w:val="clear" w:color="auto" w:fill="auto"/>
            <w:vAlign w:val="bottom"/>
          </w:tcPr>
          <w:p w14:paraId="18ABE021" w14:textId="77777777" w:rsidR="00E965EE" w:rsidRPr="00E965EE" w:rsidRDefault="00E965EE" w:rsidP="00E965EE">
            <w:pPr>
              <w:widowControl w:val="0"/>
              <w:spacing w:before="0"/>
              <w:jc w:val="left"/>
              <w:rPr>
                <w:rFonts w:ascii="Arial Narrow" w:eastAsia="Calibri" w:hAnsi="Arial Narrow" w:cs="Times New Roman"/>
                <w:bCs/>
                <w:sz w:val="20"/>
              </w:rPr>
            </w:pPr>
            <w:r w:rsidRPr="00E965EE">
              <w:rPr>
                <w:rFonts w:ascii="Arial Narrow" w:eastAsia="Calibri" w:hAnsi="Arial Narrow" w:cs="Times New Roman"/>
                <w:bCs/>
                <w:sz w:val="20"/>
              </w:rPr>
              <w:t xml:space="preserve">Injection site reactions </w:t>
            </w:r>
          </w:p>
        </w:tc>
        <w:tc>
          <w:tcPr>
            <w:tcW w:w="1121" w:type="pct"/>
          </w:tcPr>
          <w:p w14:paraId="14C20923"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8 (16.3%)</w:t>
            </w:r>
          </w:p>
        </w:tc>
        <w:tc>
          <w:tcPr>
            <w:tcW w:w="1186" w:type="pct"/>
          </w:tcPr>
          <w:p w14:paraId="72E55190"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0 (0.0%)</w:t>
            </w:r>
          </w:p>
        </w:tc>
        <w:tc>
          <w:tcPr>
            <w:tcW w:w="1109" w:type="pct"/>
            <w:shd w:val="clear" w:color="auto" w:fill="auto"/>
          </w:tcPr>
          <w:p w14:paraId="6276F6F3"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1</w:t>
            </w:r>
            <w:r w:rsidRPr="00E965EE">
              <w:rPr>
                <w:rFonts w:ascii="Arial Narrow" w:eastAsia="Calibri" w:hAnsi="Arial Narrow" w:cs="Times New Roman"/>
                <w:sz w:val="20"/>
              </w:rPr>
              <w:t>0 (20.4%)</w:t>
            </w:r>
          </w:p>
        </w:tc>
      </w:tr>
      <w:tr w:rsidR="00E965EE" w:rsidRPr="00E965EE" w14:paraId="28E68810" w14:textId="77777777" w:rsidTr="00396F09">
        <w:tblPrEx>
          <w:tblCellMar>
            <w:left w:w="108" w:type="dxa"/>
            <w:right w:w="108" w:type="dxa"/>
          </w:tblCellMar>
        </w:tblPrEx>
        <w:tc>
          <w:tcPr>
            <w:tcW w:w="1584" w:type="pct"/>
            <w:shd w:val="clear" w:color="auto" w:fill="auto"/>
            <w:vAlign w:val="center"/>
          </w:tcPr>
          <w:p w14:paraId="7A1C9EAB" w14:textId="77777777" w:rsidR="00E965EE" w:rsidRPr="00E965EE" w:rsidRDefault="00E965EE" w:rsidP="00E965EE">
            <w:pPr>
              <w:widowControl w:val="0"/>
              <w:spacing w:before="0"/>
              <w:jc w:val="left"/>
              <w:rPr>
                <w:rFonts w:ascii="Arial Narrow" w:eastAsia="Calibri" w:hAnsi="Arial Narrow" w:cs="Times New Roman"/>
                <w:bCs/>
                <w:sz w:val="20"/>
              </w:rPr>
            </w:pPr>
            <w:r w:rsidRPr="00E965EE">
              <w:rPr>
                <w:rFonts w:ascii="Arial Narrow" w:eastAsia="Calibri" w:hAnsi="Arial Narrow" w:cs="Times New Roman"/>
                <w:bCs/>
                <w:sz w:val="20"/>
              </w:rPr>
              <w:t>Hypersensitivity/Angioedema/</w:t>
            </w:r>
            <w:r w:rsidRPr="00E965EE">
              <w:rPr>
                <w:rFonts w:ascii="Arial Narrow" w:eastAsia="Calibri" w:hAnsi="Arial Narrow" w:cs="Times New Roman"/>
                <w:bCs/>
                <w:sz w:val="20"/>
              </w:rPr>
              <w:br/>
              <w:t>Anaphylactic/Anaphylactoid</w:t>
            </w:r>
          </w:p>
        </w:tc>
        <w:tc>
          <w:tcPr>
            <w:tcW w:w="1121" w:type="pct"/>
          </w:tcPr>
          <w:p w14:paraId="37000A5F"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1 (2.0%)</w:t>
            </w:r>
          </w:p>
        </w:tc>
        <w:tc>
          <w:tcPr>
            <w:tcW w:w="1186" w:type="pct"/>
          </w:tcPr>
          <w:p w14:paraId="179AA8EB"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0 (0.0%)</w:t>
            </w:r>
          </w:p>
        </w:tc>
        <w:tc>
          <w:tcPr>
            <w:tcW w:w="1109" w:type="pct"/>
            <w:shd w:val="clear" w:color="auto" w:fill="auto"/>
          </w:tcPr>
          <w:p w14:paraId="234F0103"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4</w:t>
            </w:r>
            <w:r w:rsidRPr="00E965EE">
              <w:rPr>
                <w:rFonts w:ascii="Arial Narrow" w:eastAsia="Calibri" w:hAnsi="Arial Narrow" w:cs="Times New Roman"/>
                <w:sz w:val="20"/>
              </w:rPr>
              <w:t xml:space="preserve"> (8.2%)</w:t>
            </w:r>
          </w:p>
        </w:tc>
      </w:tr>
      <w:tr w:rsidR="00E965EE" w:rsidRPr="00E965EE" w14:paraId="38E7ECA1" w14:textId="77777777" w:rsidTr="00396F09">
        <w:tblPrEx>
          <w:tblCellMar>
            <w:left w:w="108" w:type="dxa"/>
            <w:right w:w="108" w:type="dxa"/>
          </w:tblCellMar>
        </w:tblPrEx>
        <w:tc>
          <w:tcPr>
            <w:tcW w:w="1584" w:type="pct"/>
            <w:shd w:val="clear" w:color="auto" w:fill="auto"/>
            <w:vAlign w:val="center"/>
          </w:tcPr>
          <w:p w14:paraId="2EFE9B97" w14:textId="77777777" w:rsidR="00E965EE" w:rsidRPr="00E965EE" w:rsidRDefault="00E965EE" w:rsidP="00E965EE">
            <w:pPr>
              <w:widowControl w:val="0"/>
              <w:spacing w:before="0"/>
              <w:jc w:val="left"/>
              <w:rPr>
                <w:rFonts w:ascii="Arial Narrow" w:eastAsia="Calibri" w:hAnsi="Arial Narrow" w:cs="Times New Roman"/>
                <w:bCs/>
                <w:sz w:val="20"/>
              </w:rPr>
            </w:pPr>
            <w:r w:rsidRPr="00E965EE">
              <w:rPr>
                <w:rFonts w:ascii="Arial Narrow" w:eastAsia="Calibri" w:hAnsi="Arial Narrow" w:cs="Times New Roman"/>
                <w:bCs/>
                <w:sz w:val="20"/>
              </w:rPr>
              <w:t xml:space="preserve">Skin and subcutaneous disorders </w:t>
            </w:r>
          </w:p>
        </w:tc>
        <w:tc>
          <w:tcPr>
            <w:tcW w:w="1121" w:type="pct"/>
          </w:tcPr>
          <w:p w14:paraId="78A3B828"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9 (18.4%)</w:t>
            </w:r>
          </w:p>
        </w:tc>
        <w:tc>
          <w:tcPr>
            <w:tcW w:w="1186" w:type="pct"/>
          </w:tcPr>
          <w:p w14:paraId="3BDCE199"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1 (2.0%)</w:t>
            </w:r>
          </w:p>
        </w:tc>
        <w:tc>
          <w:tcPr>
            <w:tcW w:w="1109" w:type="pct"/>
            <w:shd w:val="clear" w:color="auto" w:fill="auto"/>
          </w:tcPr>
          <w:p w14:paraId="23C78938"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1</w:t>
            </w:r>
            <w:r w:rsidRPr="00E965EE">
              <w:rPr>
                <w:rFonts w:ascii="Arial Narrow" w:eastAsia="Calibri" w:hAnsi="Arial Narrow" w:cs="Times New Roman"/>
                <w:sz w:val="20"/>
              </w:rPr>
              <w:t>0 (20.4%)</w:t>
            </w:r>
          </w:p>
        </w:tc>
      </w:tr>
      <w:tr w:rsidR="00E965EE" w:rsidRPr="00E965EE" w14:paraId="6735A08C" w14:textId="77777777" w:rsidTr="00396F09">
        <w:trPr>
          <w:trHeight w:val="221"/>
        </w:trPr>
        <w:tc>
          <w:tcPr>
            <w:tcW w:w="1584" w:type="pct"/>
            <w:shd w:val="clear" w:color="auto" w:fill="auto"/>
            <w:vAlign w:val="center"/>
          </w:tcPr>
          <w:p w14:paraId="346DBAAD" w14:textId="77777777" w:rsidR="00E965EE" w:rsidRPr="00E965EE" w:rsidRDefault="00E965EE" w:rsidP="00E965EE">
            <w:pPr>
              <w:widowControl w:val="0"/>
              <w:spacing w:before="0"/>
              <w:jc w:val="left"/>
              <w:rPr>
                <w:rFonts w:ascii="Arial Narrow" w:eastAsia="Calibri" w:hAnsi="Arial Narrow" w:cs="Times New Roman"/>
                <w:bCs/>
                <w:sz w:val="20"/>
              </w:rPr>
            </w:pPr>
            <w:r w:rsidRPr="00E965EE">
              <w:rPr>
                <w:rFonts w:ascii="Arial Narrow" w:eastAsia="Calibri" w:hAnsi="Arial Narrow" w:cs="Times New Roman"/>
                <w:bCs/>
                <w:sz w:val="20"/>
              </w:rPr>
              <w:t xml:space="preserve">Increases in bile salt </w:t>
            </w:r>
          </w:p>
        </w:tc>
        <w:tc>
          <w:tcPr>
            <w:tcW w:w="1121" w:type="pct"/>
          </w:tcPr>
          <w:p w14:paraId="709F3EAF"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1 (2.0%)</w:t>
            </w:r>
          </w:p>
        </w:tc>
        <w:tc>
          <w:tcPr>
            <w:tcW w:w="1186" w:type="pct"/>
          </w:tcPr>
          <w:p w14:paraId="2834B67D"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0 (0.0%)</w:t>
            </w:r>
          </w:p>
        </w:tc>
        <w:tc>
          <w:tcPr>
            <w:tcW w:w="1109" w:type="pct"/>
            <w:shd w:val="clear" w:color="auto" w:fill="auto"/>
          </w:tcPr>
          <w:p w14:paraId="09499714" w14:textId="77777777" w:rsidR="00E965EE" w:rsidRPr="00E965EE" w:rsidRDefault="00E965EE" w:rsidP="00E965EE">
            <w:pPr>
              <w:widowControl w:val="0"/>
              <w:spacing w:before="0"/>
              <w:ind w:left="57"/>
              <w:jc w:val="center"/>
              <w:rPr>
                <w:rFonts w:ascii="Arial Narrow" w:eastAsia="Calibri" w:hAnsi="Arial Narrow" w:cs="Times New Roman"/>
                <w:bCs/>
                <w:sz w:val="20"/>
              </w:rPr>
            </w:pPr>
            <w:r w:rsidRPr="00E965EE">
              <w:rPr>
                <w:rFonts w:ascii="Arial Narrow" w:eastAsia="Calibri" w:hAnsi="Arial Narrow" w:cs="Times New Roman"/>
                <w:bCs/>
                <w:sz w:val="20"/>
              </w:rPr>
              <w:t>1 (2.0%)</w:t>
            </w:r>
          </w:p>
        </w:tc>
      </w:tr>
    </w:tbl>
    <w:p w14:paraId="0F5D033D" w14:textId="77777777" w:rsidR="00E965EE" w:rsidRPr="00E965EE" w:rsidRDefault="00E965EE" w:rsidP="00E965EE">
      <w:pPr>
        <w:widowControl w:val="0"/>
        <w:spacing w:before="0" w:after="0"/>
        <w:contextualSpacing/>
        <w:rPr>
          <w:rFonts w:ascii="Arial Narrow" w:eastAsia="Calibri" w:hAnsi="Arial Narrow" w:cs="Arial"/>
          <w:snapToGrid w:val="0"/>
          <w:sz w:val="18"/>
          <w:szCs w:val="20"/>
        </w:rPr>
      </w:pPr>
      <w:r w:rsidRPr="00E965EE">
        <w:rPr>
          <w:rFonts w:ascii="Arial Narrow" w:eastAsia="Calibri" w:hAnsi="Arial Narrow" w:cs="Arial"/>
          <w:snapToGrid w:val="0"/>
          <w:sz w:val="18"/>
          <w:szCs w:val="20"/>
        </w:rPr>
        <w:t>Source: Table 2.10-10, p123 of the submission, pp166-173 of the Interim Week 96 CSR</w:t>
      </w:r>
    </w:p>
    <w:p w14:paraId="28621335" w14:textId="77777777" w:rsidR="00E965EE" w:rsidRPr="003347A2" w:rsidRDefault="00E965EE" w:rsidP="00AA6C18">
      <w:pPr>
        <w:spacing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It was reported that through to Week 96, only one patient (2.0%) in the bulevirtide 2 mg treatment arm had increases in bile salt. The Commentary noted that very low incidence of increases in bile salt was reported up to Week 96 in the trial, this was because isolated and asymptomatic increase of total bile salts above the ULN that was considered to be clinically insignificant by the investigator was not reported as an AE as per the study protocol. Increases in bile salt is the most commonly reported bulevirtide-related adverse event in “real-world” bulevirtide studies (Section 2.12.2 of the submission). Since bile salts are renally excreted and the proposed PBS restriction does not restrict by patient’s renal function, bulevirtide treatment may have safety issues if used in patients with impaired renal function as safety data of bulevirtide in this group of patients is lacking.</w:t>
      </w:r>
    </w:p>
    <w:p w14:paraId="5587A282" w14:textId="77777777" w:rsidR="00E965EE" w:rsidRPr="003347A2" w:rsidRDefault="00E965EE" w:rsidP="003347A2">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21" w:name="_Toc156984617"/>
      <w:r w:rsidRPr="003347A2">
        <w:rPr>
          <w:rFonts w:ascii="Franklin Gothic Medium" w:hAnsi="Franklin Gothic Medium"/>
          <w:b w:val="0"/>
          <w:i w:val="0"/>
          <w:snapToGrid/>
          <w:color w:val="000000" w:themeColor="text1"/>
          <w:sz w:val="32"/>
          <w:szCs w:val="26"/>
        </w:rPr>
        <w:t>Comparative effectiveness</w:t>
      </w:r>
      <w:bookmarkEnd w:id="18"/>
      <w:bookmarkEnd w:id="19"/>
      <w:bookmarkEnd w:id="21"/>
    </w:p>
    <w:p w14:paraId="4F722F4A" w14:textId="49D46450"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 PICO Confirmation suggested a linked evidence approach to determine the effectiveness of PCR testing and bulevirtide. </w:t>
      </w:r>
      <w:r w:rsidRPr="003347A2">
        <w:rPr>
          <w:rFonts w:ascii="Franklin Gothic Book" w:eastAsia="Calibri" w:hAnsi="Franklin Gothic Book" w:cs="Calibri"/>
          <w:sz w:val="22"/>
        </w:rPr>
        <w:fldChar w:fldCharType="begin"/>
      </w:r>
      <w:r w:rsidRPr="003347A2">
        <w:rPr>
          <w:rFonts w:ascii="Franklin Gothic Book" w:eastAsia="Calibri" w:hAnsi="Franklin Gothic Book" w:cs="Calibri"/>
          <w:sz w:val="22"/>
        </w:rPr>
        <w:instrText xml:space="preserve"> REF _Ref152141731 \h  \* MERGEFORMAT </w:instrText>
      </w:r>
      <w:r w:rsidRPr="003347A2">
        <w:rPr>
          <w:rFonts w:ascii="Franklin Gothic Book" w:eastAsia="Calibri" w:hAnsi="Franklin Gothic Book" w:cs="Calibri"/>
          <w:sz w:val="22"/>
        </w:rPr>
      </w:r>
      <w:r w:rsidRPr="003347A2">
        <w:rPr>
          <w:rFonts w:ascii="Franklin Gothic Book" w:eastAsia="Calibri" w:hAnsi="Franklin Gothic Book" w:cs="Calibri"/>
          <w:sz w:val="22"/>
        </w:rPr>
        <w:fldChar w:fldCharType="separate"/>
      </w:r>
      <w:r w:rsidR="00B02BFE" w:rsidRPr="003347A2">
        <w:rPr>
          <w:rFonts w:ascii="Franklin Gothic Book" w:eastAsia="Calibri" w:hAnsi="Franklin Gothic Book" w:cs="Calibri"/>
          <w:sz w:val="22"/>
        </w:rPr>
        <w:t>Table 7</w:t>
      </w:r>
      <w:r w:rsidRPr="003347A2">
        <w:rPr>
          <w:rFonts w:ascii="Franklin Gothic Book" w:eastAsia="Calibri" w:hAnsi="Franklin Gothic Book" w:cs="Calibri"/>
          <w:sz w:val="22"/>
        </w:rPr>
        <w:fldChar w:fldCharType="end"/>
      </w:r>
      <w:r w:rsidRPr="003347A2">
        <w:rPr>
          <w:rFonts w:ascii="Franklin Gothic Book" w:eastAsia="Calibri" w:hAnsi="Franklin Gothic Book" w:cs="Calibri"/>
          <w:sz w:val="22"/>
        </w:rPr>
        <w:t xml:space="preserve"> shows which research questions (associated with different steps of the linked analysis) were informed by evidence in the submission.</w:t>
      </w:r>
    </w:p>
    <w:p w14:paraId="6A8D1075" w14:textId="7419220F" w:rsidR="00E965EE" w:rsidRPr="00E965EE" w:rsidRDefault="00E965EE" w:rsidP="00343C2D">
      <w:pPr>
        <w:keepNext/>
        <w:keepLines/>
        <w:widowControl w:val="0"/>
        <w:spacing w:after="0"/>
        <w:ind w:left="1134" w:hanging="1134"/>
        <w:jc w:val="left"/>
        <w:rPr>
          <w:rFonts w:ascii="Arial Narrow" w:eastAsia="Calibri" w:hAnsi="Arial Narrow" w:cs="Times New Roman"/>
          <w:b/>
          <w:bCs/>
          <w:iCs/>
          <w:sz w:val="20"/>
          <w:szCs w:val="18"/>
          <w:lang w:val="en-US"/>
        </w:rPr>
      </w:pPr>
      <w:bookmarkStart w:id="22" w:name="_Ref152141731"/>
      <w:r w:rsidRPr="00E965EE">
        <w:rPr>
          <w:rFonts w:ascii="Arial Narrow" w:eastAsia="Calibri" w:hAnsi="Arial Narrow" w:cs="Times New Roman"/>
          <w:b/>
          <w:bCs/>
          <w:iCs/>
          <w:sz w:val="20"/>
          <w:szCs w:val="18"/>
          <w:lang w:val="en-US"/>
        </w:rPr>
        <w:lastRenderedPageBreak/>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7</w:t>
      </w:r>
      <w:r w:rsidRPr="00E965EE">
        <w:rPr>
          <w:rFonts w:ascii="Arial Narrow" w:eastAsia="Calibri" w:hAnsi="Arial Narrow" w:cs="Times New Roman"/>
          <w:b/>
          <w:bCs/>
          <w:iCs/>
          <w:sz w:val="20"/>
          <w:szCs w:val="18"/>
          <w:lang w:val="en-US"/>
        </w:rPr>
        <w:fldChar w:fldCharType="end"/>
      </w:r>
      <w:bookmarkEnd w:id="22"/>
      <w:r w:rsidRPr="00E965EE">
        <w:rPr>
          <w:rFonts w:ascii="Arial Narrow" w:eastAsia="Calibri" w:hAnsi="Arial Narrow" w:cs="Times New Roman"/>
          <w:b/>
          <w:bCs/>
          <w:iCs/>
          <w:sz w:val="20"/>
          <w:szCs w:val="18"/>
          <w:lang w:val="en-US"/>
        </w:rPr>
        <w:t xml:space="preserve"> Research questions in linked analysis that were informed by evidence</w:t>
      </w:r>
    </w:p>
    <w:tbl>
      <w:tblPr>
        <w:tblStyle w:val="PBACTableStyle1"/>
        <w:tblW w:w="5028" w:type="pct"/>
        <w:tblLook w:val="04A0" w:firstRow="1" w:lastRow="0" w:firstColumn="1" w:lastColumn="0" w:noHBand="0" w:noVBand="1"/>
      </w:tblPr>
      <w:tblGrid>
        <w:gridCol w:w="5380"/>
        <w:gridCol w:w="3686"/>
      </w:tblGrid>
      <w:tr w:rsidR="00E965EE" w:rsidRPr="00E965EE" w14:paraId="03FF18B0" w14:textId="77777777" w:rsidTr="00396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14:paraId="40BD4BE5" w14:textId="77777777" w:rsidR="00E965EE" w:rsidRPr="00E965EE" w:rsidRDefault="00E965EE" w:rsidP="00343C2D">
            <w:pPr>
              <w:pStyle w:val="TableText"/>
              <w:keepNext/>
              <w:keepLines/>
            </w:pPr>
            <w:r w:rsidRPr="00E965EE">
              <w:t xml:space="preserve">Research question outlined in PICO confirmation </w:t>
            </w:r>
          </w:p>
        </w:tc>
        <w:tc>
          <w:tcPr>
            <w:tcW w:w="3686" w:type="dxa"/>
          </w:tcPr>
          <w:p w14:paraId="39155F8B" w14:textId="77777777" w:rsidR="00E965EE" w:rsidRPr="00E965EE" w:rsidRDefault="00E965EE" w:rsidP="00343C2D">
            <w:pPr>
              <w:pStyle w:val="TableText"/>
              <w:keepNext/>
              <w:keepLines/>
              <w:cnfStyle w:val="100000000000" w:firstRow="1" w:lastRow="0" w:firstColumn="0" w:lastColumn="0" w:oddVBand="0" w:evenVBand="0" w:oddHBand="0" w:evenHBand="0" w:firstRowFirstColumn="0" w:firstRowLastColumn="0" w:lastRowFirstColumn="0" w:lastRowLastColumn="0"/>
            </w:pPr>
            <w:r w:rsidRPr="00E965EE">
              <w:t xml:space="preserve">Informed by evidence? Available data. </w:t>
            </w:r>
          </w:p>
        </w:tc>
      </w:tr>
      <w:tr w:rsidR="00E965EE" w:rsidRPr="00E965EE" w14:paraId="3D834F92"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6C62CC76" w14:textId="77777777" w:rsidR="00E965EE" w:rsidRPr="00E965EE" w:rsidRDefault="00E965EE" w:rsidP="00343C2D">
            <w:pPr>
              <w:pStyle w:val="TableText"/>
              <w:keepNext/>
              <w:keepLines/>
              <w:rPr>
                <w:rFonts w:eastAsia="Calibri"/>
              </w:rPr>
            </w:pPr>
            <w:r w:rsidRPr="00E965EE">
              <w:rPr>
                <w:rFonts w:eastAsia="Calibri"/>
              </w:rPr>
              <w:t>What is the concordance of the PCR test proposed for use in Australia, compared to the clinical utility standard?</w:t>
            </w:r>
          </w:p>
        </w:tc>
        <w:tc>
          <w:tcPr>
            <w:tcW w:w="3686" w:type="dxa"/>
          </w:tcPr>
          <w:p w14:paraId="254AB15F"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Yes. Study by Bonanzinga et al. (2023). K=1, n=35</w:t>
            </w:r>
          </w:p>
        </w:tc>
      </w:tr>
      <w:tr w:rsidR="00E965EE" w:rsidRPr="00E965EE" w14:paraId="63D7C6E7"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71906782" w14:textId="77777777" w:rsidR="00E965EE" w:rsidRPr="00E965EE" w:rsidRDefault="00E965EE" w:rsidP="00343C2D">
            <w:pPr>
              <w:pStyle w:val="TableText"/>
              <w:keepNext/>
              <w:keepLines/>
              <w:rPr>
                <w:rFonts w:eastAsia="Calibri"/>
                <w:lang w:val="en-AU"/>
              </w:rPr>
            </w:pPr>
            <w:r w:rsidRPr="1230503C">
              <w:rPr>
                <w:rFonts w:eastAsia="Calibri"/>
                <w:lang w:val="en-AU"/>
              </w:rPr>
              <w:t>What is the accuracy of HDV RNA PCR testing for predicting response to bulevirtide treatment in those diagnosed with hepatitis D?</w:t>
            </w:r>
          </w:p>
        </w:tc>
        <w:tc>
          <w:tcPr>
            <w:tcW w:w="3686" w:type="dxa"/>
          </w:tcPr>
          <w:p w14:paraId="4BDFCD67"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Not informed by evidence.</w:t>
            </w:r>
          </w:p>
        </w:tc>
      </w:tr>
      <w:tr w:rsidR="00E965EE" w:rsidRPr="00E965EE" w14:paraId="5A090376"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67F667A1" w14:textId="77777777" w:rsidR="00E965EE" w:rsidRPr="00E965EE" w:rsidRDefault="00E965EE" w:rsidP="00343C2D">
            <w:pPr>
              <w:pStyle w:val="TableText"/>
              <w:keepNext/>
              <w:keepLines/>
              <w:rPr>
                <w:rFonts w:eastAsia="Calibri"/>
              </w:rPr>
            </w:pPr>
            <w:r w:rsidRPr="00E965EE">
              <w:rPr>
                <w:rFonts w:eastAsia="Calibri"/>
              </w:rPr>
              <w:t>Does the HDV RNA PCR test result lead to a change in clinical decisions?</w:t>
            </w:r>
          </w:p>
        </w:tc>
        <w:tc>
          <w:tcPr>
            <w:tcW w:w="3686" w:type="dxa"/>
          </w:tcPr>
          <w:p w14:paraId="72F271EA"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Limited. Studies by Binter et al. (2021) and Dietz-Fricke et al. (2023). K=2; n=129</w:t>
            </w:r>
          </w:p>
        </w:tc>
      </w:tr>
      <w:tr w:rsidR="00E965EE" w:rsidRPr="00E965EE" w14:paraId="6997FE0C"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26D69D9C" w14:textId="77777777" w:rsidR="00E965EE" w:rsidRPr="00E965EE" w:rsidRDefault="00E965EE" w:rsidP="00343C2D">
            <w:pPr>
              <w:pStyle w:val="TableText"/>
              <w:keepNext/>
              <w:keepLines/>
              <w:rPr>
                <w:rFonts w:eastAsia="Calibri"/>
                <w:lang w:val="en-AU"/>
              </w:rPr>
            </w:pPr>
            <w:r w:rsidRPr="1230503C">
              <w:rPr>
                <w:rFonts w:eastAsia="Calibri"/>
                <w:lang w:val="en-AU"/>
              </w:rPr>
              <w:t>How does bulevirtide treatment impact HDV RNA levels and ALT levels?</w:t>
            </w:r>
          </w:p>
        </w:tc>
        <w:tc>
          <w:tcPr>
            <w:tcW w:w="3686" w:type="dxa"/>
          </w:tcPr>
          <w:p w14:paraId="1269380D"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Yes. Study by Wedemeyer et al. (2023). K=1, n=150</w:t>
            </w:r>
          </w:p>
        </w:tc>
      </w:tr>
      <w:tr w:rsidR="00E965EE" w:rsidRPr="00E965EE" w14:paraId="062D6A32"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06F9FC76" w14:textId="77777777" w:rsidR="00E965EE" w:rsidRPr="00E965EE" w:rsidRDefault="00E965EE" w:rsidP="00343C2D">
            <w:pPr>
              <w:pStyle w:val="TableText"/>
              <w:keepNext/>
              <w:keepLines/>
              <w:rPr>
                <w:rFonts w:eastAsia="Calibri"/>
              </w:rPr>
            </w:pPr>
            <w:r w:rsidRPr="00E965EE">
              <w:rPr>
                <w:rFonts w:eastAsia="Calibri"/>
              </w:rPr>
              <w:t>How does a decrease in HDV RNA levels and ALT levels lead to better health outcomes?</w:t>
            </w:r>
          </w:p>
        </w:tc>
        <w:tc>
          <w:tcPr>
            <w:tcW w:w="3686" w:type="dxa"/>
          </w:tcPr>
          <w:p w14:paraId="3F56F623"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Yes. Prognostic evidence K=7, n=1687</w:t>
            </w:r>
          </w:p>
        </w:tc>
      </w:tr>
      <w:tr w:rsidR="00E965EE" w:rsidRPr="00E965EE" w14:paraId="3889CAEB"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174FAC99" w14:textId="77777777" w:rsidR="00E965EE" w:rsidRPr="00E965EE" w:rsidRDefault="00E965EE" w:rsidP="00343C2D">
            <w:pPr>
              <w:pStyle w:val="TableText"/>
              <w:keepNext/>
              <w:keepLines/>
              <w:rPr>
                <w:rFonts w:eastAsia="Calibri"/>
              </w:rPr>
            </w:pPr>
            <w:r w:rsidRPr="00E965EE">
              <w:rPr>
                <w:rFonts w:eastAsia="Calibri"/>
              </w:rPr>
              <w:t>What is the safety of HDV RNA PCR testing?</w:t>
            </w:r>
          </w:p>
        </w:tc>
        <w:tc>
          <w:tcPr>
            <w:tcW w:w="3686" w:type="dxa"/>
          </w:tcPr>
          <w:p w14:paraId="669D3868"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 xml:space="preserve">Not informed by evidence. </w:t>
            </w:r>
          </w:p>
        </w:tc>
      </w:tr>
      <w:tr w:rsidR="00E965EE" w:rsidRPr="00E965EE" w14:paraId="21FD22A1"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193A6ABF" w14:textId="77777777" w:rsidR="00E965EE" w:rsidRPr="00E965EE" w:rsidRDefault="00E965EE" w:rsidP="00343C2D">
            <w:pPr>
              <w:pStyle w:val="TableText"/>
              <w:keepNext/>
              <w:keepLines/>
              <w:rPr>
                <w:rFonts w:eastAsia="Calibri"/>
                <w:lang w:val="en-AU"/>
              </w:rPr>
            </w:pPr>
            <w:r w:rsidRPr="1230503C">
              <w:rPr>
                <w:rFonts w:eastAsia="Calibri"/>
                <w:lang w:val="en-AU"/>
              </w:rPr>
              <w:t>What is the safety of bulevirtide treatment?</w:t>
            </w:r>
          </w:p>
        </w:tc>
        <w:tc>
          <w:tcPr>
            <w:tcW w:w="3686" w:type="dxa"/>
          </w:tcPr>
          <w:p w14:paraId="711DDEE6"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Yes. Study by Wedemeyer et al. (2023). K=1, n=150</w:t>
            </w:r>
          </w:p>
        </w:tc>
      </w:tr>
      <w:tr w:rsidR="00E965EE" w:rsidRPr="00E965EE" w14:paraId="34A4BD92"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072644BF" w14:textId="77777777" w:rsidR="00E965EE" w:rsidRPr="00E965EE" w:rsidRDefault="00E965EE" w:rsidP="00343C2D">
            <w:pPr>
              <w:pStyle w:val="TableText"/>
              <w:keepNext/>
              <w:keepLines/>
              <w:rPr>
                <w:rFonts w:eastAsia="Calibri"/>
                <w:lang w:val="en-AU"/>
              </w:rPr>
            </w:pPr>
            <w:r w:rsidRPr="1230503C">
              <w:rPr>
                <w:rFonts w:eastAsia="Calibri"/>
                <w:lang w:val="en-AU"/>
              </w:rPr>
              <w:t>What is the safety, effectiveness and cost-effectiveness of HDV RNA PCR testing to determine eligibility for bulevirtide for the treatment of HDV compared to no HDV treatment in those diagnosed with HBV, and testing positive for serum anti-HDV antibodies?</w:t>
            </w:r>
          </w:p>
        </w:tc>
        <w:tc>
          <w:tcPr>
            <w:tcW w:w="3686" w:type="dxa"/>
          </w:tcPr>
          <w:p w14:paraId="62280716"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Not informed by evidence.</w:t>
            </w:r>
          </w:p>
        </w:tc>
      </w:tr>
      <w:tr w:rsidR="00E965EE" w:rsidRPr="00E965EE" w14:paraId="73C75A3A"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2F095711" w14:textId="77777777" w:rsidR="00E965EE" w:rsidRPr="00E965EE" w:rsidRDefault="00E965EE" w:rsidP="00343C2D">
            <w:pPr>
              <w:pStyle w:val="TableText"/>
              <w:keepNext/>
              <w:keepLines/>
              <w:rPr>
                <w:rFonts w:eastAsia="Calibri"/>
                <w:lang w:val="en-AU"/>
              </w:rPr>
            </w:pPr>
            <w:r w:rsidRPr="1230503C">
              <w:rPr>
                <w:rFonts w:eastAsia="Calibri"/>
                <w:lang w:val="en-AU"/>
              </w:rPr>
              <w:t>How does bulevirtide treatment impact health outcomes?</w:t>
            </w:r>
          </w:p>
        </w:tc>
        <w:tc>
          <w:tcPr>
            <w:tcW w:w="3686" w:type="dxa"/>
          </w:tcPr>
          <w:p w14:paraId="145DF687"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Not informed by evidence.</w:t>
            </w:r>
          </w:p>
        </w:tc>
      </w:tr>
      <w:tr w:rsidR="00E965EE" w:rsidRPr="00E965EE" w14:paraId="7608D72C" w14:textId="77777777" w:rsidTr="00396F09">
        <w:tc>
          <w:tcPr>
            <w:cnfStyle w:val="001000000000" w:firstRow="0" w:lastRow="0" w:firstColumn="1" w:lastColumn="0" w:oddVBand="0" w:evenVBand="0" w:oddHBand="0" w:evenHBand="0" w:firstRowFirstColumn="0" w:firstRowLastColumn="0" w:lastRowFirstColumn="0" w:lastRowLastColumn="0"/>
            <w:tcW w:w="5381" w:type="dxa"/>
          </w:tcPr>
          <w:p w14:paraId="41DD6452" w14:textId="77777777" w:rsidR="00E965EE" w:rsidRPr="00E965EE" w:rsidRDefault="00E965EE" w:rsidP="00343C2D">
            <w:pPr>
              <w:pStyle w:val="TableText"/>
              <w:keepNext/>
              <w:keepLines/>
              <w:rPr>
                <w:rFonts w:eastAsia="Calibri"/>
              </w:rPr>
            </w:pPr>
            <w:r w:rsidRPr="00E965EE">
              <w:rPr>
                <w:rFonts w:eastAsia="Calibri"/>
              </w:rPr>
              <w:t>How well does HDV RNA PCR distinguish response to treatment compared to background variation?</w:t>
            </w:r>
          </w:p>
        </w:tc>
        <w:tc>
          <w:tcPr>
            <w:tcW w:w="3686" w:type="dxa"/>
          </w:tcPr>
          <w:p w14:paraId="655E845D" w14:textId="77777777" w:rsidR="00E965EE" w:rsidRPr="00E965EE" w:rsidRDefault="00E965EE" w:rsidP="00343C2D">
            <w:pPr>
              <w:pStyle w:val="TableText"/>
              <w:keepNext/>
              <w:keepLines/>
              <w:cnfStyle w:val="000000000000" w:firstRow="0" w:lastRow="0" w:firstColumn="0" w:lastColumn="0" w:oddVBand="0" w:evenVBand="0" w:oddHBand="0" w:evenHBand="0" w:firstRowFirstColumn="0" w:firstRowLastColumn="0" w:lastRowFirstColumn="0" w:lastRowLastColumn="0"/>
              <w:rPr>
                <w:rFonts w:eastAsia="Calibri"/>
              </w:rPr>
            </w:pPr>
            <w:r w:rsidRPr="00E965EE">
              <w:rPr>
                <w:rFonts w:eastAsia="Calibri"/>
              </w:rPr>
              <w:t xml:space="preserve">Not informed by evidence. </w:t>
            </w:r>
          </w:p>
        </w:tc>
      </w:tr>
    </w:tbl>
    <w:p w14:paraId="4C33A8B2" w14:textId="77777777" w:rsidR="00E965EE" w:rsidRPr="00E965EE" w:rsidRDefault="00E965EE" w:rsidP="00343C2D">
      <w:pPr>
        <w:keepNext/>
        <w:keepLines/>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ALT = Alanine Aminotransferase, HDV = Hepatitis D Virus, PCR = Polymerase Chain Reaction, RNA = Ribonucleic Acid</w:t>
      </w:r>
    </w:p>
    <w:p w14:paraId="2807A4BE" w14:textId="357EDA11" w:rsidR="00E965EE" w:rsidRPr="003347A2" w:rsidRDefault="00E965EE" w:rsidP="003347A2">
      <w:pPr>
        <w:spacing w:after="240"/>
        <w:rPr>
          <w:rFonts w:ascii="Franklin Gothic Book" w:eastAsia="Calibri" w:hAnsi="Franklin Gothic Book" w:cs="Calibri"/>
          <w:color w:val="3366FF"/>
          <w:sz w:val="22"/>
        </w:rPr>
      </w:pPr>
      <w:r w:rsidRPr="003347A2">
        <w:rPr>
          <w:rFonts w:ascii="Franklin Gothic Book" w:eastAsia="Calibri" w:hAnsi="Franklin Gothic Book" w:cs="Calibri"/>
          <w:sz w:val="22"/>
        </w:rPr>
        <w:t xml:space="preserve">Not all parts of the analytic framework (as outlined in </w:t>
      </w:r>
      <w:r w:rsidRPr="003347A2">
        <w:rPr>
          <w:rFonts w:ascii="Franklin Gothic Book" w:eastAsia="Calibri" w:hAnsi="Franklin Gothic Book" w:cs="Calibri"/>
          <w:sz w:val="22"/>
        </w:rPr>
        <w:fldChar w:fldCharType="begin"/>
      </w:r>
      <w:r w:rsidRPr="003347A2">
        <w:rPr>
          <w:rFonts w:ascii="Franklin Gothic Book" w:eastAsia="Calibri" w:hAnsi="Franklin Gothic Book" w:cs="Calibri"/>
          <w:sz w:val="22"/>
        </w:rPr>
        <w:instrText xml:space="preserve"> REF _Ref496876353 \h  \* MERGEFORMAT </w:instrText>
      </w:r>
      <w:r w:rsidRPr="003347A2">
        <w:rPr>
          <w:rFonts w:ascii="Franklin Gothic Book" w:eastAsia="Calibri" w:hAnsi="Franklin Gothic Book" w:cs="Calibri"/>
          <w:sz w:val="22"/>
        </w:rPr>
      </w:r>
      <w:r w:rsidRPr="003347A2">
        <w:rPr>
          <w:rFonts w:ascii="Franklin Gothic Book" w:eastAsia="Calibri" w:hAnsi="Franklin Gothic Book" w:cs="Calibri"/>
          <w:sz w:val="22"/>
        </w:rPr>
        <w:fldChar w:fldCharType="separate"/>
      </w:r>
      <w:r w:rsidR="00B02BFE" w:rsidRPr="003347A2">
        <w:rPr>
          <w:rFonts w:ascii="Franklin Gothic Book" w:eastAsia="Calibri" w:hAnsi="Franklin Gothic Book" w:cs="Calibri"/>
          <w:sz w:val="22"/>
        </w:rPr>
        <w:t xml:space="preserve">Table </w:t>
      </w:r>
      <w:r w:rsidR="00B02BFE" w:rsidRPr="003347A2">
        <w:rPr>
          <w:rFonts w:ascii="Franklin Gothic Book" w:eastAsia="Calibri" w:hAnsi="Franklin Gothic Book" w:cs="Calibri"/>
          <w:noProof/>
          <w:sz w:val="22"/>
        </w:rPr>
        <w:t>8</w:t>
      </w:r>
      <w:r w:rsidRPr="003347A2">
        <w:rPr>
          <w:rFonts w:ascii="Franklin Gothic Book" w:eastAsia="Calibri" w:hAnsi="Franklin Gothic Book" w:cs="Calibri"/>
          <w:sz w:val="22"/>
        </w:rPr>
        <w:fldChar w:fldCharType="end"/>
      </w:r>
      <w:r w:rsidRPr="003347A2">
        <w:rPr>
          <w:rFonts w:ascii="Franklin Gothic Book" w:eastAsia="Calibri" w:hAnsi="Franklin Gothic Book" w:cs="Calibri"/>
          <w:sz w:val="22"/>
        </w:rPr>
        <w:t xml:space="preserve">) were addressed. </w:t>
      </w:r>
    </w:p>
    <w:p w14:paraId="4847C931" w14:textId="5136C341" w:rsidR="00E965EE" w:rsidRPr="00E965EE"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23" w:name="_Ref496876353"/>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8</w:t>
      </w:r>
      <w:r w:rsidRPr="00E965EE">
        <w:rPr>
          <w:rFonts w:ascii="Arial Narrow" w:eastAsia="Calibri" w:hAnsi="Arial Narrow" w:cs="Times New Roman"/>
          <w:b/>
          <w:bCs/>
          <w:iCs/>
          <w:sz w:val="20"/>
          <w:szCs w:val="18"/>
          <w:lang w:val="en-US"/>
        </w:rPr>
        <w:fldChar w:fldCharType="end"/>
      </w:r>
      <w:bookmarkEnd w:id="23"/>
      <w:r w:rsidRPr="00E965EE">
        <w:rPr>
          <w:rFonts w:ascii="Arial Narrow" w:eastAsia="Calibri" w:hAnsi="Arial Narrow" w:cs="Times New Roman"/>
          <w:b/>
          <w:bCs/>
          <w:iCs/>
          <w:sz w:val="20"/>
          <w:szCs w:val="18"/>
          <w:lang w:val="en-US"/>
        </w:rPr>
        <w:tab/>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134"/>
        <w:gridCol w:w="3689"/>
      </w:tblGrid>
      <w:tr w:rsidR="00E965EE" w:rsidRPr="00E965EE" w14:paraId="760C559E" w14:textId="77777777" w:rsidTr="00396F09">
        <w:tc>
          <w:tcPr>
            <w:tcW w:w="1216" w:type="pct"/>
            <w:tcBorders>
              <w:top w:val="single" w:sz="4" w:space="0" w:color="000000"/>
              <w:left w:val="single" w:sz="4" w:space="0" w:color="000000"/>
              <w:bottom w:val="single" w:sz="4" w:space="0" w:color="000000"/>
              <w:right w:val="single" w:sz="4" w:space="0" w:color="000000"/>
            </w:tcBorders>
            <w:hideMark/>
          </w:tcPr>
          <w:p w14:paraId="04FE312D"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Proposed test vs no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26B12CB1"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No evidence presented.</w:t>
            </w:r>
          </w:p>
        </w:tc>
      </w:tr>
      <w:tr w:rsidR="00E965EE" w:rsidRPr="00E965EE" w14:paraId="4F26C688" w14:textId="77777777" w:rsidTr="00396F09">
        <w:tc>
          <w:tcPr>
            <w:tcW w:w="1216" w:type="pct"/>
            <w:tcBorders>
              <w:top w:val="single" w:sz="4" w:space="0" w:color="000000"/>
              <w:left w:val="single" w:sz="4" w:space="0" w:color="000000"/>
              <w:bottom w:val="single" w:sz="4" w:space="0" w:color="000000"/>
              <w:right w:val="single" w:sz="4" w:space="0" w:color="000000"/>
            </w:tcBorders>
            <w:hideMark/>
          </w:tcPr>
          <w:p w14:paraId="523D8E00"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Proposed test vs alternative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1E7D7CBB"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 xml:space="preserve">Concordance between test used in Australia and clinical utility standard: 1 study </w:t>
            </w:r>
          </w:p>
        </w:tc>
      </w:tr>
      <w:tr w:rsidR="00E965EE" w:rsidRPr="00E965EE" w14:paraId="757556F4" w14:textId="77777777" w:rsidTr="00396F09">
        <w:tc>
          <w:tcPr>
            <w:tcW w:w="1216" w:type="pct"/>
            <w:tcBorders>
              <w:top w:val="single" w:sz="4" w:space="0" w:color="000000"/>
              <w:left w:val="single" w:sz="4" w:space="0" w:color="000000"/>
              <w:bottom w:val="single" w:sz="4" w:space="0" w:color="000000"/>
              <w:right w:val="single" w:sz="4" w:space="0" w:color="000000"/>
            </w:tcBorders>
          </w:tcPr>
          <w:p w14:paraId="1D9B3CE1" w14:textId="77777777" w:rsidR="00E965EE" w:rsidRPr="00E965EE" w:rsidRDefault="00E965EE" w:rsidP="00E965EE">
            <w:pPr>
              <w:widowControl w:val="0"/>
              <w:spacing w:before="0" w:after="0"/>
              <w:jc w:val="left"/>
              <w:rPr>
                <w:rFonts w:ascii="Arial Narrow" w:eastAsia="Calibri" w:hAnsi="Arial Narrow" w:cs="Times New Roman"/>
                <w:sz w:val="20"/>
              </w:rPr>
            </w:pPr>
          </w:p>
        </w:tc>
        <w:tc>
          <w:tcPr>
            <w:tcW w:w="1738" w:type="pct"/>
            <w:tcBorders>
              <w:top w:val="single" w:sz="4" w:space="0" w:color="000000"/>
              <w:left w:val="single" w:sz="4" w:space="0" w:color="000000"/>
              <w:bottom w:val="single" w:sz="4" w:space="0" w:color="000000"/>
              <w:right w:val="single" w:sz="4" w:space="0" w:color="000000"/>
            </w:tcBorders>
            <w:hideMark/>
          </w:tcPr>
          <w:p w14:paraId="677B45AC" w14:textId="77777777" w:rsidR="00E965EE" w:rsidRPr="00E965EE" w:rsidRDefault="00E965EE" w:rsidP="00E965EE">
            <w:pPr>
              <w:widowControl w:val="0"/>
              <w:spacing w:before="0" w:after="0"/>
              <w:jc w:val="left"/>
              <w:rPr>
                <w:rFonts w:ascii="Arial Narrow" w:eastAsia="Calibri" w:hAnsi="Arial Narrow" w:cs="Times New Roman"/>
                <w:b/>
                <w:bCs/>
                <w:sz w:val="20"/>
              </w:rPr>
            </w:pPr>
            <w:r w:rsidRPr="00E965EE">
              <w:rPr>
                <w:rFonts w:ascii="Arial Narrow" w:eastAsia="Calibri" w:hAnsi="Arial Narrow" w:cs="Times New Roman"/>
                <w:b/>
                <w:bCs/>
                <w:sz w:val="20"/>
              </w:rPr>
              <w:t>Bulevirtide</w:t>
            </w:r>
          </w:p>
        </w:tc>
        <w:tc>
          <w:tcPr>
            <w:tcW w:w="2046" w:type="pct"/>
            <w:tcBorders>
              <w:top w:val="single" w:sz="4" w:space="0" w:color="000000"/>
              <w:left w:val="single" w:sz="4" w:space="0" w:color="000000"/>
              <w:bottom w:val="single" w:sz="4" w:space="0" w:color="000000"/>
              <w:right w:val="single" w:sz="4" w:space="0" w:color="000000"/>
            </w:tcBorders>
            <w:hideMark/>
          </w:tcPr>
          <w:p w14:paraId="7F2CD1B0" w14:textId="77777777" w:rsidR="00E965EE" w:rsidRPr="00E965EE" w:rsidRDefault="00E965EE" w:rsidP="00E965EE">
            <w:pPr>
              <w:widowControl w:val="0"/>
              <w:spacing w:before="0" w:after="0"/>
              <w:jc w:val="left"/>
              <w:rPr>
                <w:rFonts w:ascii="Arial Narrow" w:eastAsia="Calibri" w:hAnsi="Arial Narrow" w:cs="Times New Roman"/>
                <w:b/>
                <w:bCs/>
                <w:sz w:val="20"/>
              </w:rPr>
            </w:pPr>
            <w:r w:rsidRPr="00E965EE">
              <w:rPr>
                <w:rFonts w:ascii="Arial Narrow" w:eastAsia="Calibri" w:hAnsi="Arial Narrow" w:cs="Times New Roman"/>
                <w:b/>
                <w:bCs/>
                <w:sz w:val="20"/>
              </w:rPr>
              <w:t>No active treatment</w:t>
            </w:r>
          </w:p>
        </w:tc>
      </w:tr>
      <w:tr w:rsidR="00E965EE" w:rsidRPr="00E965EE" w14:paraId="26CF04BA" w14:textId="77777777" w:rsidTr="00396F09">
        <w:tc>
          <w:tcPr>
            <w:tcW w:w="1216" w:type="pct"/>
            <w:tcBorders>
              <w:top w:val="single" w:sz="4" w:space="0" w:color="000000"/>
              <w:left w:val="single" w:sz="4" w:space="0" w:color="000000"/>
              <w:bottom w:val="single" w:sz="4" w:space="0" w:color="000000"/>
              <w:right w:val="single" w:sz="4" w:space="0" w:color="000000"/>
            </w:tcBorders>
            <w:hideMark/>
          </w:tcPr>
          <w:p w14:paraId="3195BEF6"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Biomarker test positive</w:t>
            </w:r>
          </w:p>
        </w:tc>
        <w:tc>
          <w:tcPr>
            <w:tcW w:w="1738" w:type="pct"/>
            <w:tcBorders>
              <w:top w:val="single" w:sz="4" w:space="0" w:color="000000"/>
              <w:left w:val="single" w:sz="4" w:space="0" w:color="000000"/>
              <w:bottom w:val="single" w:sz="4" w:space="0" w:color="000000"/>
              <w:right w:val="single" w:sz="4" w:space="0" w:color="000000"/>
            </w:tcBorders>
            <w:hideMark/>
          </w:tcPr>
          <w:p w14:paraId="58CBA1A2"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MYR301</w:t>
            </w:r>
          </w:p>
        </w:tc>
        <w:tc>
          <w:tcPr>
            <w:tcW w:w="2046" w:type="pct"/>
            <w:tcBorders>
              <w:top w:val="single" w:sz="4" w:space="0" w:color="000000"/>
              <w:left w:val="single" w:sz="4" w:space="0" w:color="000000"/>
              <w:bottom w:val="single" w:sz="4" w:space="0" w:color="000000"/>
              <w:right w:val="single" w:sz="4" w:space="0" w:color="000000"/>
            </w:tcBorders>
          </w:tcPr>
          <w:p w14:paraId="17049B85"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MYR301</w:t>
            </w:r>
          </w:p>
        </w:tc>
      </w:tr>
      <w:tr w:rsidR="00E965EE" w:rsidRPr="00E965EE" w14:paraId="7C2B3973" w14:textId="77777777" w:rsidTr="00396F09">
        <w:tc>
          <w:tcPr>
            <w:tcW w:w="1216" w:type="pct"/>
            <w:tcBorders>
              <w:top w:val="single" w:sz="4" w:space="0" w:color="000000"/>
              <w:left w:val="single" w:sz="4" w:space="0" w:color="000000"/>
              <w:bottom w:val="single" w:sz="4" w:space="0" w:color="000000"/>
              <w:right w:val="single" w:sz="4" w:space="0" w:color="000000"/>
            </w:tcBorders>
            <w:hideMark/>
          </w:tcPr>
          <w:p w14:paraId="6EF50B04"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 xml:space="preserve">Biomarker test negative </w:t>
            </w:r>
          </w:p>
        </w:tc>
        <w:tc>
          <w:tcPr>
            <w:tcW w:w="1738" w:type="pct"/>
            <w:tcBorders>
              <w:top w:val="single" w:sz="4" w:space="0" w:color="000000"/>
              <w:left w:val="single" w:sz="4" w:space="0" w:color="000000"/>
              <w:bottom w:val="single" w:sz="4" w:space="0" w:color="000000"/>
              <w:right w:val="single" w:sz="4" w:space="0" w:color="000000"/>
            </w:tcBorders>
            <w:hideMark/>
          </w:tcPr>
          <w:p w14:paraId="49B4822D" w14:textId="77777777" w:rsidR="00E965EE" w:rsidRPr="00E965EE" w:rsidRDefault="00E965EE" w:rsidP="00E965EE">
            <w:pPr>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No evidence presented</w:t>
            </w:r>
          </w:p>
        </w:tc>
        <w:tc>
          <w:tcPr>
            <w:tcW w:w="2046" w:type="pct"/>
            <w:tcBorders>
              <w:top w:val="single" w:sz="4" w:space="0" w:color="000000"/>
              <w:left w:val="single" w:sz="4" w:space="0" w:color="000000"/>
              <w:bottom w:val="single" w:sz="4" w:space="0" w:color="000000"/>
              <w:right w:val="single" w:sz="4" w:space="0" w:color="000000"/>
            </w:tcBorders>
          </w:tcPr>
          <w:p w14:paraId="2CF2DD94" w14:textId="77777777" w:rsidR="00E965EE" w:rsidRPr="00E965EE" w:rsidRDefault="00E965EE" w:rsidP="00E965EE">
            <w:pPr>
              <w:widowControl w:val="0"/>
              <w:spacing w:before="0" w:after="0"/>
              <w:jc w:val="left"/>
              <w:rPr>
                <w:rFonts w:ascii="Arial Narrow" w:eastAsia="Calibri" w:hAnsi="Arial Narrow" w:cs="Times New Roman"/>
                <w:sz w:val="20"/>
              </w:rPr>
            </w:pPr>
          </w:p>
        </w:tc>
      </w:tr>
    </w:tbl>
    <w:p w14:paraId="2147E3F2" w14:textId="77777777" w:rsidR="00E965EE" w:rsidRPr="00E965EE" w:rsidRDefault="00E965EE" w:rsidP="00E965EE">
      <w:pPr>
        <w:widowControl w:val="0"/>
        <w:spacing w:before="0" w:after="0"/>
        <w:contextualSpacing/>
        <w:rPr>
          <w:rFonts w:ascii="Arial Narrow" w:eastAsia="Times New Roman" w:hAnsi="Arial Narrow" w:cs="Arial"/>
          <w:i/>
          <w:iCs/>
          <w:snapToGrid w:val="0"/>
          <w:sz w:val="18"/>
          <w:szCs w:val="20"/>
        </w:rPr>
      </w:pPr>
      <w:r w:rsidRPr="00E965EE">
        <w:rPr>
          <w:rFonts w:ascii="Arial Narrow" w:eastAsia="Times New Roman" w:hAnsi="Arial Narrow" w:cs="Arial"/>
          <w:i/>
          <w:iCs/>
          <w:snapToGrid w:val="0"/>
          <w:sz w:val="18"/>
          <w:szCs w:val="20"/>
        </w:rPr>
        <w:t>Source: developed during the evaluation</w:t>
      </w:r>
    </w:p>
    <w:p w14:paraId="52A5F7D8" w14:textId="77777777" w:rsidR="00E965EE" w:rsidRPr="003347A2" w:rsidRDefault="00E965EE" w:rsidP="00AA6C18">
      <w:pPr>
        <w:spacing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 Commentary noted that the populations, tests and treatment regimens were not always transferrable across the evidence linkages, as they varied considerably. </w:t>
      </w:r>
    </w:p>
    <w:p w14:paraId="4421EF1D" w14:textId="77777777"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The Commentary noted that due to uncertainties with the timing of the testing and applicability of the patient samples, the evidence on test concordance was considered to be at high risk of bias (using QUADAS-2).</w:t>
      </w:r>
    </w:p>
    <w:p w14:paraId="64DEF69D" w14:textId="77777777" w:rsidR="00E965EE" w:rsidRPr="003347A2" w:rsidRDefault="00E965EE" w:rsidP="00E965EE">
      <w:pPr>
        <w:keepNext/>
        <w:keepLines/>
        <w:spacing w:before="40" w:after="0"/>
        <w:jc w:val="left"/>
        <w:outlineLvl w:val="3"/>
        <w:rPr>
          <w:rFonts w:ascii="Franklin Gothic Book" w:eastAsia="Times New Roman" w:hAnsi="Franklin Gothic Book" w:cs="Times New Roman"/>
          <w:b/>
          <w:iCs/>
          <w:szCs w:val="24"/>
        </w:rPr>
      </w:pPr>
      <w:r w:rsidRPr="003347A2">
        <w:rPr>
          <w:rFonts w:ascii="Franklin Gothic Book" w:eastAsia="Times New Roman" w:hAnsi="Franklin Gothic Book" w:cs="Times New Roman"/>
          <w:b/>
          <w:iCs/>
          <w:szCs w:val="24"/>
        </w:rPr>
        <w:t>Effectiveness (based on linked evidence)</w:t>
      </w:r>
    </w:p>
    <w:p w14:paraId="58A7BF06" w14:textId="77777777" w:rsidR="00E965EE" w:rsidRPr="003347A2" w:rsidRDefault="00E965EE" w:rsidP="003347A2">
      <w:pPr>
        <w:keepNext/>
        <w:keepLines/>
        <w:spacing w:after="0"/>
        <w:jc w:val="left"/>
        <w:outlineLvl w:val="3"/>
        <w:rPr>
          <w:rFonts w:ascii="Franklin Gothic Book" w:eastAsia="Times New Roman" w:hAnsi="Franklin Gothic Book" w:cs="Times New Roman"/>
          <w:b/>
          <w:iCs/>
          <w:color w:val="2F5496"/>
          <w:sz w:val="22"/>
        </w:rPr>
      </w:pPr>
      <w:r w:rsidRPr="003347A2">
        <w:rPr>
          <w:rFonts w:ascii="Franklin Gothic Book" w:eastAsia="Times New Roman" w:hAnsi="Franklin Gothic Book" w:cs="Times New Roman"/>
          <w:b/>
          <w:iCs/>
          <w:sz w:val="22"/>
        </w:rPr>
        <w:t xml:space="preserve">Comparative accuracy/test performance </w:t>
      </w:r>
    </w:p>
    <w:p w14:paraId="365828CA" w14:textId="77777777" w:rsidR="00E965EE" w:rsidRPr="003347A2" w:rsidRDefault="00E965EE" w:rsidP="00AA6C18">
      <w:pPr>
        <w:widowControl w:val="0"/>
        <w:spacing w:before="0" w:after="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 proposed test is an HDV PCR RNA test, as developed by VIDRL. The clinical utility standard was specified as the RoboGene RNA quantification kit (as conducted in the main bulevirtide trial), whereas the reference standards presented in the submission included the 1st WHO International Standard for Hepatitis D Virus RNA and the French National Reference Laboratory samples across multiple genotypes (used for calibration of PCR tests). </w:t>
      </w:r>
    </w:p>
    <w:p w14:paraId="3E9859EC" w14:textId="6C284B1E" w:rsidR="00E965EE" w:rsidRPr="003347A2" w:rsidRDefault="00E965EE" w:rsidP="00050E6B">
      <w:pPr>
        <w:widowControl w:val="0"/>
        <w:spacing w:after="0"/>
        <w:jc w:val="left"/>
        <w:rPr>
          <w:rFonts w:ascii="Franklin Gothic Book" w:eastAsia="Calibri" w:hAnsi="Franklin Gothic Book" w:cs="Calibri"/>
          <w:color w:val="3366FF"/>
          <w:sz w:val="22"/>
        </w:rPr>
      </w:pPr>
      <w:r w:rsidRPr="003347A2">
        <w:rPr>
          <w:rFonts w:ascii="Franklin Gothic Book" w:eastAsia="Calibri" w:hAnsi="Franklin Gothic Book" w:cs="Times New Roman"/>
          <w:sz w:val="22"/>
        </w:rPr>
        <w:t>Agreement/concordance between the clinical utility standard and the test used in Australia by VIDRL was presented in the submission</w:t>
      </w:r>
      <w:r w:rsidRPr="003347A2">
        <w:rPr>
          <w:rFonts w:ascii="Franklin Gothic Book" w:eastAsia="Calibri" w:hAnsi="Franklin Gothic Book" w:cs="Times New Roman"/>
          <w:sz w:val="22"/>
          <w:vertAlign w:val="superscript"/>
        </w:rPr>
        <w:footnoteReference w:id="6"/>
      </w:r>
      <w:r w:rsidRPr="003347A2">
        <w:rPr>
          <w:rFonts w:ascii="Franklin Gothic Book" w:eastAsia="Calibri" w:hAnsi="Franklin Gothic Book" w:cs="Times New Roman"/>
          <w:sz w:val="22"/>
        </w:rPr>
        <w:t xml:space="preserve"> (one study). </w:t>
      </w:r>
      <w:r w:rsidR="00DD0C07" w:rsidRPr="00B0488D">
        <w:rPr>
          <w:rFonts w:ascii="Franklin Gothic Book" w:hAnsi="Franklin Gothic Book"/>
          <w:b/>
          <w:bCs/>
          <w:sz w:val="22"/>
        </w:rPr>
        <w:t>redacted</w:t>
      </w:r>
      <w:r w:rsidRPr="4398B72C">
        <w:rPr>
          <w:rFonts w:ascii="Calibri" w:eastAsia="Calibri" w:hAnsi="Calibri" w:cs="Times New Roman"/>
        </w:rPr>
        <w:t xml:space="preserve"> </w:t>
      </w:r>
    </w:p>
    <w:p w14:paraId="75BE99D5" w14:textId="7C42824C" w:rsidR="00E965EE" w:rsidRPr="003347A2" w:rsidRDefault="00E965EE" w:rsidP="00AA6C18">
      <w:pPr>
        <w:widowControl w:val="0"/>
        <w:spacing w:before="0" w:after="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 Commentary noted that in addition to the evidence presented in the submission, one systematic review was identified during the evaluation that provided some additional relevant </w:t>
      </w:r>
      <w:r w:rsidRPr="003347A2">
        <w:rPr>
          <w:rFonts w:ascii="Franklin Gothic Book" w:eastAsia="Calibri" w:hAnsi="Franklin Gothic Book" w:cs="Calibri"/>
          <w:sz w:val="22"/>
        </w:rPr>
        <w:lastRenderedPageBreak/>
        <w:t>information on the performance of HDV RNA tests (no specific assay) for diagnosing HDV</w:t>
      </w:r>
      <w:r w:rsidRPr="003347A2">
        <w:rPr>
          <w:rFonts w:ascii="Franklin Gothic Book" w:eastAsia="Calibri" w:hAnsi="Franklin Gothic Book" w:cs="Calibri"/>
          <w:sz w:val="22"/>
          <w:vertAlign w:val="superscript"/>
        </w:rPr>
        <w:footnoteReference w:id="7"/>
      </w:r>
      <w:r w:rsidRPr="003347A2">
        <w:rPr>
          <w:rFonts w:ascii="Franklin Gothic Book" w:eastAsia="Calibri" w:hAnsi="Franklin Gothic Book" w:cs="Calibri"/>
          <w:sz w:val="22"/>
        </w:rPr>
        <w:t>.  Ten studies were included, of which four were also identified/included in the submission’s literature search for diagnostic accuracy studies. The meta-analysis reported a sensitivity of 0.92 (95%CI 0.87, 0.95) and a specificity of 0.90 (95%CI 0.86, 0.93). The area under the curve (AUC) was 0.95 (95%CI 0.92, 0.96). It should be noted that in this systematic review both the index tests and the reference standards were different types of PCR assays, and therefore it technically does not meet the PICO criteria as stated in the PICO Confirmation. However, these results show that the different HDV RNA assays generally have similar test performance when diagnosing active HDV.</w:t>
      </w:r>
    </w:p>
    <w:p w14:paraId="7595AA03" w14:textId="77777777" w:rsidR="00E965EE" w:rsidRPr="003347A2" w:rsidRDefault="00E965EE" w:rsidP="00AA6C18">
      <w:pPr>
        <w:widowControl w:val="0"/>
        <w:spacing w:after="0"/>
        <w:jc w:val="left"/>
        <w:rPr>
          <w:rFonts w:ascii="Franklin Gothic Book" w:eastAsia="Calibri" w:hAnsi="Franklin Gothic Book" w:cs="Calibri"/>
          <w:b/>
          <w:szCs w:val="24"/>
        </w:rPr>
      </w:pPr>
      <w:r w:rsidRPr="003347A2">
        <w:rPr>
          <w:rFonts w:ascii="Franklin Gothic Book" w:eastAsia="Calibri" w:hAnsi="Franklin Gothic Book" w:cs="Calibri"/>
          <w:b/>
          <w:szCs w:val="24"/>
        </w:rPr>
        <w:t>Prognostic evidence</w:t>
      </w:r>
    </w:p>
    <w:p w14:paraId="09A8263C" w14:textId="77777777"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Data on the association between the presence of HDV RNA and subsequent health outcomes (in patients receiving usual care or treatment other than bulevirtide) were provided in the submission in Section 2.3 and in Attachment 11. The Commentary noted that results were separated during the evaluation for presence/absence of HDV RNA at baseline (prior to treatment) and the presence/absence of detectable HDV RNA after treatment (monitoring treatment effectiveness). Studies were excluded if they: did not use HDV RNA as an independent variable (k=4); or included patients without anti-HDV antibodies (i.e. compared outcomes for patients with HBV against HBV/HDV) (k=7).   </w:t>
      </w:r>
    </w:p>
    <w:p w14:paraId="12CF8A11" w14:textId="77777777"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 xml:space="preserve">The Commentary noted that in those who had evidence of an HDV infection, presence of HDV RNA on PCR testing was inconsistently associated with poorer health outcomes (three out of five studies reported statistically significant associations). The prognostic evidence using the baseline presence or absence of HDV RNA was severely confounded (with treatment variability). Presence of HDV RNA in those with anti-HDV antibodies was not significantly associated with any liver related outcomes (k=3, HR=1.61, 95%CI 0.94, 2.76); HCC (k=2, HR=0.84, 95%CI 0.41, 1.72); or hepatic decompensation (k=2, HR=1.35, 95%CI 0.72, 2.53) but was reported in a single study to be significantly associated with risk of death or transplantation (k=1, HR=7.40, 95%CI 1.74, 31.47).  </w:t>
      </w:r>
    </w:p>
    <w:p w14:paraId="3EF05F7B" w14:textId="77777777"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However, response to treatments (other than bulevirtide) as determined by HDV RNA loss (HDV RNA undetectable or ≥2 log</w:t>
      </w:r>
      <w:r w:rsidRPr="003347A2">
        <w:rPr>
          <w:rFonts w:ascii="Franklin Gothic Book" w:eastAsia="Calibri" w:hAnsi="Franklin Gothic Book" w:cs="Calibri"/>
          <w:sz w:val="22"/>
          <w:vertAlign w:val="subscript"/>
        </w:rPr>
        <w:t>10</w:t>
      </w:r>
      <w:r w:rsidRPr="003347A2">
        <w:rPr>
          <w:rFonts w:ascii="Franklin Gothic Book" w:eastAsia="Calibri" w:hAnsi="Franklin Gothic Book" w:cs="Calibri"/>
          <w:sz w:val="22"/>
        </w:rPr>
        <w:t xml:space="preserve"> drop) was significantly associated with favourable clinical outcomes. Persistence of HDV RNA was associated with an increased hazard of any liver related event (k=4; HR=1.72, 95%CI 1.08, 2.76). A single study also reported significant associations between detectable HDV RNA at last follow-up and the likelihood of HCC (k=1, HR=2.46, 95%CI 1.35, 4.48), decompensated cirrhosis (k=1, HR=2.57, 95%CI 1.42, 4.63) and liver related mortality (k=1; HR=3.30, 95%CI 1.93, 5.66). Larger effect sizes were reported by one study that compared health outcomes in patients who had maintained virologic response (no detectable HDV RNA for two years after completion of treatment) against those with detectable HDV RNA. This suggests that maintained response to treatment was more favourable than a single measurement suggesting response to treatment. </w:t>
      </w:r>
    </w:p>
    <w:p w14:paraId="268BB918" w14:textId="77777777" w:rsidR="00E965EE" w:rsidRPr="003347A2" w:rsidRDefault="00E965EE" w:rsidP="00E965EE">
      <w:pPr>
        <w:spacing w:before="0" w:after="240"/>
        <w:jc w:val="left"/>
        <w:rPr>
          <w:rFonts w:ascii="Franklin Gothic Book" w:eastAsia="Calibri" w:hAnsi="Franklin Gothic Book" w:cs="Times New Roman"/>
          <w:b/>
          <w:bCs/>
          <w:szCs w:val="24"/>
        </w:rPr>
      </w:pPr>
      <w:r w:rsidRPr="003347A2">
        <w:rPr>
          <w:rFonts w:ascii="Franklin Gothic Book" w:eastAsia="Calibri" w:hAnsi="Franklin Gothic Book" w:cs="Times New Roman"/>
          <w:b/>
          <w:szCs w:val="24"/>
        </w:rPr>
        <w:t xml:space="preserve">Predictive evidence </w:t>
      </w:r>
    </w:p>
    <w:p w14:paraId="5948852A" w14:textId="77777777"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 Commentary noted that no evidence was provided in the submission on the predictive validity of the test or was identified independently. </w:t>
      </w:r>
    </w:p>
    <w:p w14:paraId="4E2985FB" w14:textId="77777777" w:rsidR="00E965EE" w:rsidRPr="003347A2" w:rsidRDefault="00E965EE" w:rsidP="003347A2">
      <w:pPr>
        <w:spacing w:before="0" w:after="240"/>
        <w:jc w:val="left"/>
        <w:rPr>
          <w:rFonts w:ascii="Franklin Gothic Book" w:eastAsia="Calibri" w:hAnsi="Franklin Gothic Book" w:cs="Times New Roman"/>
          <w:b/>
          <w:szCs w:val="24"/>
        </w:rPr>
      </w:pPr>
      <w:r w:rsidRPr="003347A2">
        <w:rPr>
          <w:rFonts w:ascii="Franklin Gothic Book" w:eastAsia="Calibri" w:hAnsi="Franklin Gothic Book" w:cs="Times New Roman"/>
          <w:b/>
          <w:szCs w:val="24"/>
        </w:rPr>
        <w:t>Change in management in practice</w:t>
      </w:r>
    </w:p>
    <w:p w14:paraId="2A05D357" w14:textId="1A3B9EA9" w:rsidR="00E965EE" w:rsidRPr="003347A2" w:rsidRDefault="00E965EE" w:rsidP="00AA6C18">
      <w:pPr>
        <w:spacing w:before="0" w:after="240"/>
        <w:jc w:val="left"/>
        <w:rPr>
          <w:rFonts w:ascii="Franklin Gothic Book" w:eastAsia="Calibri" w:hAnsi="Franklin Gothic Book" w:cs="Calibri"/>
          <w:sz w:val="22"/>
        </w:rPr>
      </w:pPr>
      <w:r w:rsidRPr="003347A2">
        <w:rPr>
          <w:rFonts w:ascii="Franklin Gothic Book" w:eastAsia="Calibri" w:hAnsi="Franklin Gothic Book" w:cs="Calibri"/>
          <w:sz w:val="22"/>
        </w:rPr>
        <w:t xml:space="preserve">The Commentary noted that although no evidence was provided in the submission that testing of HDV RNA at diagnosis influences the management of patients, it can be assumed that HDV RNA testing would be key for treatment decision making </w:t>
      </w:r>
      <w:r w:rsidR="00B14C80" w:rsidRPr="003347A2">
        <w:rPr>
          <w:rFonts w:ascii="Franklin Gothic Book" w:eastAsia="Calibri" w:hAnsi="Franklin Gothic Book" w:cs="Calibri"/>
          <w:sz w:val="22"/>
        </w:rPr>
        <w:t>in</w:t>
      </w:r>
      <w:r w:rsidR="00B14C80">
        <w:rPr>
          <w:rFonts w:ascii="Franklin Gothic Book" w:eastAsia="Calibri" w:hAnsi="Franklin Gothic Book" w:cs="Calibri"/>
          <w:sz w:val="22"/>
        </w:rPr>
        <w:t xml:space="preserve"> </w:t>
      </w:r>
      <w:r w:rsidR="00B14C80" w:rsidRPr="003347A2">
        <w:rPr>
          <w:rFonts w:ascii="Franklin Gothic Book" w:eastAsia="Calibri" w:hAnsi="Franklin Gothic Book" w:cs="Calibri"/>
          <w:sz w:val="22"/>
        </w:rPr>
        <w:t>regard to</w:t>
      </w:r>
      <w:r w:rsidRPr="003347A2">
        <w:rPr>
          <w:rFonts w:ascii="Franklin Gothic Book" w:eastAsia="Calibri" w:hAnsi="Franklin Gothic Book" w:cs="Calibri"/>
          <w:sz w:val="22"/>
        </w:rPr>
        <w:t xml:space="preserve"> the initiation of bulevirtide in </w:t>
      </w:r>
      <w:r w:rsidRPr="003347A2">
        <w:rPr>
          <w:rFonts w:ascii="Franklin Gothic Book" w:eastAsia="Calibri" w:hAnsi="Franklin Gothic Book" w:cs="Calibri"/>
          <w:sz w:val="22"/>
        </w:rPr>
        <w:lastRenderedPageBreak/>
        <w:t xml:space="preserve">those who have detectable HDV RNA (given that evidence of HDV RNA is a proposed requirement for access to bulevirtide). </w:t>
      </w:r>
    </w:p>
    <w:p w14:paraId="3C896C53" w14:textId="77777777"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The Commentary noted that only very limited evidence was identified linking HDV RNA monitoring to changes in management. One uncontrolled before and after study of 15 patients from Austria reported that 2/15 patients had their bulevirtide treatment stopped due to a maintained virologic response (&gt;6 months), and that one patient had their treatment regimen altered (by the addition of pegylated interferon) due to lack of virologic response to bulevirtide</w:t>
      </w:r>
      <w:r w:rsidRPr="003347A2">
        <w:rPr>
          <w:rFonts w:ascii="Franklin Gothic Book" w:eastAsia="Calibri" w:hAnsi="Franklin Gothic Book" w:cs="Times New Roman"/>
          <w:sz w:val="22"/>
          <w:vertAlign w:val="superscript"/>
        </w:rPr>
        <w:footnoteReference w:id="8"/>
      </w:r>
      <w:r w:rsidRPr="003347A2">
        <w:rPr>
          <w:rFonts w:ascii="Franklin Gothic Book" w:eastAsia="Calibri" w:hAnsi="Franklin Gothic Book" w:cs="Times New Roman"/>
          <w:sz w:val="22"/>
        </w:rPr>
        <w:t>. A case series of 114 patients treated with bulevirtide in Germany reported that one patient ceased treatment due to lack of response (likely determined by HDV RNA, although it was not explicitly described how this was defined)</w:t>
      </w:r>
      <w:r w:rsidRPr="003347A2">
        <w:rPr>
          <w:rFonts w:ascii="Franklin Gothic Book" w:eastAsia="Calibri" w:hAnsi="Franklin Gothic Book" w:cs="Times New Roman"/>
          <w:sz w:val="22"/>
          <w:vertAlign w:val="superscript"/>
        </w:rPr>
        <w:footnoteReference w:id="9"/>
      </w:r>
      <w:r w:rsidRPr="003347A2">
        <w:rPr>
          <w:rFonts w:ascii="Franklin Gothic Book" w:eastAsia="Calibri" w:hAnsi="Franklin Gothic Book" w:cs="Times New Roman"/>
          <w:sz w:val="22"/>
        </w:rPr>
        <w:t xml:space="preserve">. Only some of these changes in management are relevant to the Australian setting (ceasing treatment due to undetectable HDV RNA) given that pegylated interferon is currently not indicated for use by the Australian regulatory authorities to treat HDV. Although HDV RNA testing may be prognostic, a change in management (informed by HDV RNA testing during bulevirtide treatment) is required to demonstrate codependency between the ongoing monitoring and treatment.  </w:t>
      </w:r>
    </w:p>
    <w:p w14:paraId="7F0D7D12" w14:textId="77777777" w:rsidR="00E965EE" w:rsidRPr="003347A2" w:rsidRDefault="00E965EE" w:rsidP="00AA6C18">
      <w:pPr>
        <w:spacing w:before="0" w:after="240"/>
        <w:jc w:val="left"/>
        <w:rPr>
          <w:rFonts w:ascii="Franklin Gothic Book" w:eastAsia="Calibri" w:hAnsi="Franklin Gothic Book" w:cs="Times New Roman"/>
          <w:sz w:val="22"/>
        </w:rPr>
      </w:pPr>
      <w:r w:rsidRPr="003347A2">
        <w:rPr>
          <w:rFonts w:ascii="Franklin Gothic Book" w:eastAsia="Calibri" w:hAnsi="Franklin Gothic Book" w:cs="Times New Roman"/>
          <w:sz w:val="22"/>
        </w:rPr>
        <w:t xml:space="preserve">The Commentary noted that if the proposed clinical criteria for bulevirtide (including detectable HDV RNA) must be met for ongoing eligibility for bulevirtide, then the link between HDV RNA testing (for a monitoring purpose) and treatment can be assumed </w:t>
      </w:r>
      <w:r w:rsidRPr="003347A2">
        <w:rPr>
          <w:rFonts w:ascii="Franklin Gothic Book" w:eastAsia="Calibri" w:hAnsi="Franklin Gothic Book" w:cs="Times New Roman"/>
          <w:sz w:val="22"/>
          <w:u w:val="single"/>
        </w:rPr>
        <w:t>if</w:t>
      </w:r>
      <w:r w:rsidRPr="003347A2">
        <w:rPr>
          <w:rFonts w:ascii="Franklin Gothic Book" w:eastAsia="Calibri" w:hAnsi="Franklin Gothic Book" w:cs="Times New Roman"/>
          <w:sz w:val="22"/>
        </w:rPr>
        <w:t xml:space="preserve"> the test provides incremental information over the other clinical criteria (i.e. if some patients stop bulevirtide due to undetectable HDV RNA levels, who would not have otherwise stopped bulevirtide due to normalisation of the ALT values). It is unclear whether treatment would be ceased under these conditions in clinical practice.  </w:t>
      </w:r>
    </w:p>
    <w:p w14:paraId="43842256" w14:textId="77777777" w:rsidR="00E965EE" w:rsidRPr="0080382E" w:rsidRDefault="00E965EE" w:rsidP="00E965EE">
      <w:pPr>
        <w:keepNext/>
        <w:keepLines/>
        <w:spacing w:before="40" w:after="0"/>
        <w:jc w:val="left"/>
        <w:outlineLvl w:val="3"/>
        <w:rPr>
          <w:rFonts w:ascii="Franklin Gothic Book" w:eastAsia="Times New Roman" w:hAnsi="Franklin Gothic Book" w:cs="Calibri"/>
          <w:b/>
          <w:iCs/>
          <w:szCs w:val="24"/>
        </w:rPr>
      </w:pPr>
      <w:r w:rsidRPr="0080382E">
        <w:rPr>
          <w:rFonts w:ascii="Franklin Gothic Book" w:eastAsia="Times New Roman" w:hAnsi="Franklin Gothic Book" w:cs="Calibri"/>
          <w:b/>
          <w:iCs/>
          <w:szCs w:val="24"/>
        </w:rPr>
        <w:t xml:space="preserve">Claim of codependence </w:t>
      </w:r>
    </w:p>
    <w:p w14:paraId="3202E14E" w14:textId="77777777" w:rsidR="00E965EE" w:rsidRPr="0080382E" w:rsidRDefault="00E965EE" w:rsidP="00AA6C18">
      <w:pPr>
        <w:spacing w:before="0" w:after="240"/>
        <w:jc w:val="left"/>
        <w:rPr>
          <w:rFonts w:ascii="Franklin Gothic Book" w:eastAsia="Calibri" w:hAnsi="Franklin Gothic Book" w:cs="Calibri"/>
          <w:sz w:val="22"/>
        </w:rPr>
      </w:pPr>
      <w:bookmarkStart w:id="24" w:name="_Hlk153205189"/>
      <w:r w:rsidRPr="0080382E">
        <w:rPr>
          <w:rFonts w:ascii="Franklin Gothic Book" w:eastAsia="Calibri" w:hAnsi="Franklin Gothic Book" w:cs="Calibri"/>
          <w:sz w:val="22"/>
        </w:rPr>
        <w:t xml:space="preserve">The Commentary noted that the claim of codependence has not been properly addressed in the submission, for two reasons: </w:t>
      </w:r>
    </w:p>
    <w:p w14:paraId="338A320C" w14:textId="77777777" w:rsidR="00E965EE" w:rsidRPr="0080382E" w:rsidRDefault="00E965EE" w:rsidP="00A42D1A">
      <w:pPr>
        <w:numPr>
          <w:ilvl w:val="0"/>
          <w:numId w:val="32"/>
        </w:numPr>
        <w:spacing w:before="0" w:after="240"/>
        <w:jc w:val="left"/>
        <w:rPr>
          <w:rFonts w:ascii="Franklin Gothic Book" w:eastAsia="Calibri" w:hAnsi="Franklin Gothic Book" w:cs="Calibri"/>
          <w:sz w:val="22"/>
        </w:rPr>
      </w:pPr>
      <w:r w:rsidRPr="0080382E">
        <w:rPr>
          <w:rFonts w:ascii="Franklin Gothic Book" w:eastAsia="Calibri" w:hAnsi="Franklin Gothic Book" w:cs="Calibri"/>
          <w:sz w:val="22"/>
        </w:rPr>
        <w:t xml:space="preserve">Duration of detectable HDV RNA for ≥ 6 months might help with decision making of who will receive bulevirtide treatment because only patients with chronic HDV infection need the treatment. However, the chronicity of detectable HDV RNA in eligible patients for bulevirtide has not been defined. Note that PASC advised that a single positive HDV RNA PCR result would be sufficient to confirm chronic active HDV, as it is very rare to identify acute HDV infection in clinical practice. </w:t>
      </w:r>
    </w:p>
    <w:p w14:paraId="511B9698" w14:textId="25DFCD99" w:rsidR="00E965EE" w:rsidRPr="0080382E" w:rsidRDefault="00E965EE" w:rsidP="00A42D1A">
      <w:pPr>
        <w:numPr>
          <w:ilvl w:val="0"/>
          <w:numId w:val="32"/>
        </w:numPr>
        <w:spacing w:before="0" w:after="240"/>
        <w:jc w:val="left"/>
        <w:rPr>
          <w:rFonts w:ascii="Franklin Gothic Book" w:eastAsia="Calibri" w:hAnsi="Franklin Gothic Book" w:cs="Calibri"/>
          <w:sz w:val="22"/>
        </w:rPr>
      </w:pPr>
      <w:r w:rsidRPr="0080382E">
        <w:rPr>
          <w:rFonts w:ascii="Franklin Gothic Book" w:eastAsia="Calibri" w:hAnsi="Franklin Gothic Book" w:cs="Calibri"/>
          <w:sz w:val="22"/>
        </w:rPr>
        <w:t xml:space="preserve">In the submission, it was not clear how the HDV RNA PCR testing for monitoring of response to bulevirtide, being claimed to be the codependent technology of bulevirtide treatment, would influence bulevirtide use. Although clinical criteria were provided suggesting that patients may only access bulevirtide if they have detectable HDV RNA and elevated ALT, it was unclear how frequently the presence/absence of detectable HDV RNA would impact on management, incremental to ALT levels.  </w:t>
      </w:r>
    </w:p>
    <w:p w14:paraId="65F50309" w14:textId="77777777" w:rsidR="00E965EE" w:rsidRPr="0080382E" w:rsidRDefault="00E965EE" w:rsidP="0080382E">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25" w:name="_Toc156984618"/>
      <w:bookmarkEnd w:id="24"/>
      <w:r w:rsidRPr="0080382E">
        <w:rPr>
          <w:rFonts w:ascii="Franklin Gothic Medium" w:hAnsi="Franklin Gothic Medium"/>
          <w:b w:val="0"/>
          <w:i w:val="0"/>
          <w:snapToGrid/>
          <w:color w:val="000000" w:themeColor="text1"/>
          <w:sz w:val="32"/>
          <w:szCs w:val="26"/>
        </w:rPr>
        <w:t>Economic evaluation</w:t>
      </w:r>
      <w:bookmarkEnd w:id="25"/>
    </w:p>
    <w:p w14:paraId="03826E4E" w14:textId="77777777" w:rsidR="00E965EE" w:rsidRPr="0080382E" w:rsidRDefault="00E965EE" w:rsidP="00E965EE">
      <w:pPr>
        <w:keepNext/>
        <w:keepLines/>
        <w:spacing w:before="40" w:after="0"/>
        <w:jc w:val="left"/>
        <w:outlineLvl w:val="3"/>
        <w:rPr>
          <w:rFonts w:ascii="Franklin Gothic Book" w:eastAsia="Times New Roman" w:hAnsi="Franklin Gothic Book" w:cs="Calibri"/>
          <w:b/>
          <w:iCs/>
          <w:szCs w:val="24"/>
        </w:rPr>
      </w:pPr>
      <w:r w:rsidRPr="0080382E">
        <w:rPr>
          <w:rFonts w:ascii="Franklin Gothic Book" w:eastAsia="Times New Roman" w:hAnsi="Franklin Gothic Book" w:cs="Calibri"/>
          <w:b/>
          <w:iCs/>
          <w:szCs w:val="24"/>
        </w:rPr>
        <w:t>Structure of the economic model</w:t>
      </w:r>
    </w:p>
    <w:p w14:paraId="2D95320D" w14:textId="77777777"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The submission presented a modelled economic evaluation which compared bulevirtide treatment to BSC in patients with HDV RNA positive chronic HDV based on virologic response </w:t>
      </w:r>
      <w:r w:rsidRPr="0080382E">
        <w:rPr>
          <w:rFonts w:ascii="Franklin Gothic Book" w:eastAsia="Calibri" w:hAnsi="Franklin Gothic Book" w:cs="Times New Roman"/>
          <w:sz w:val="22"/>
        </w:rPr>
        <w:lastRenderedPageBreak/>
        <w:t>rates (defined as undetectable HDV RNA or decrease in HDV RNA by ≥2 log</w:t>
      </w:r>
      <w:r w:rsidRPr="0080382E">
        <w:rPr>
          <w:rFonts w:ascii="Franklin Gothic Book" w:eastAsia="Calibri" w:hAnsi="Franklin Gothic Book" w:cs="Times New Roman"/>
          <w:sz w:val="22"/>
          <w:vertAlign w:val="subscript"/>
        </w:rPr>
        <w:t>10</w:t>
      </w:r>
      <w:r w:rsidRPr="0080382E">
        <w:rPr>
          <w:rFonts w:ascii="Franklin Gothic Book" w:eastAsia="Calibri" w:hAnsi="Franklin Gothic Book" w:cs="Times New Roman"/>
          <w:sz w:val="22"/>
        </w:rPr>
        <w:t> IU/mL from baseline) reported in the MYR301 trial.</w:t>
      </w:r>
    </w:p>
    <w:p w14:paraId="4FADE015" w14:textId="77777777"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Alternate scenarios of test/treatment provision were not explored in the submission. The Commentary noted that there may be some benefits of testing independent of treatment given the prognostic information about a patient’s HDV that RNA testing may provide. This approach was supported by public consultation received on the PICO Confirmation.</w:t>
      </w:r>
    </w:p>
    <w:p w14:paraId="5C7A6AC8" w14:textId="31FD1EDA"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Patients enter the model at the point of treatment, and so the cost of testing in order to find one patient eligible for treatment was applied at model entry. The Commentary noted that entry at the point of treatment is not the approach preferred in the Guidelines for submissions of codependent technologies, as this does not explicitly allow the impact of false-positive and/or false-negative results to be explored. The submission stated that if in practice there are low levels of false positives or false negative due to uncertainty in the sensitivity and specificity of the proposed HDV RNA PCR testing, this will have minimal impact on the overall cost-effectiveness results. At treatment initiation, the impact of a false negative result may be limited to foregone potential benefit from bulevirtide treatment (i.e. cost of testing incurred, without benefit from treatment), though as Australian sources were used to inform the yield of HDV RNA testing (which may therefore reflect performance of testing in practice), the impact of false negatives may have been captured in the yield data used. The impact of a false positive result may not be insignificant – these patients may appear to falsely respond to bulevirtide treatment, </w:t>
      </w:r>
      <w:r w:rsidR="00B14C80" w:rsidRPr="0080382E">
        <w:rPr>
          <w:rFonts w:ascii="Franklin Gothic Book" w:eastAsia="Calibri" w:hAnsi="Franklin Gothic Book" w:cs="Times New Roman"/>
          <w:sz w:val="22"/>
        </w:rPr>
        <w:t>and</w:t>
      </w:r>
      <w:r w:rsidRPr="0080382E">
        <w:rPr>
          <w:rFonts w:ascii="Franklin Gothic Book" w:eastAsia="Calibri" w:hAnsi="Franklin Gothic Book" w:cs="Times New Roman"/>
          <w:sz w:val="22"/>
        </w:rPr>
        <w:t xml:space="preserve"> depending on the continuation criteria for treatment, may receive ongoing treatment for no benefit. False results may have different effects when the test is used for monitoring. False negatives may appear to respond to treatment, whereas false positives would not. These may affect decisions to continue or cease treatment, depending on bulevirtide continuation and stopping rules. </w:t>
      </w:r>
    </w:p>
    <w:p w14:paraId="5F5F5CBC" w14:textId="51CD4EAA" w:rsidR="00E965EE" w:rsidRPr="0080382E" w:rsidRDefault="00E965EE" w:rsidP="00ED20CB">
      <w:pPr>
        <w:keepNext/>
        <w:keepLines/>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The submission assumed that of patients who are anti-HDV positive and who are suspected of having chronic HDV, 56.2% would have detectable HDV RNA. The submission claimed that this was based on a weighted average from Coghill et al. (2018)</w:t>
      </w:r>
      <w:r w:rsidRPr="0080382E">
        <w:rPr>
          <w:rFonts w:ascii="Franklin Gothic Book" w:eastAsia="Calibri" w:hAnsi="Franklin Gothic Book" w:cs="Times New Roman"/>
          <w:sz w:val="22"/>
          <w:vertAlign w:val="superscript"/>
        </w:rPr>
        <w:footnoteReference w:id="10"/>
      </w:r>
      <w:r w:rsidRPr="0080382E">
        <w:rPr>
          <w:rFonts w:ascii="Franklin Gothic Book" w:eastAsia="Calibri" w:hAnsi="Franklin Gothic Book" w:cs="Times New Roman"/>
          <w:sz w:val="22"/>
        </w:rPr>
        <w:t>, Jackson et al. (2018)</w:t>
      </w:r>
      <w:bookmarkStart w:id="26" w:name="_Ref153183422"/>
      <w:r w:rsidRPr="0080382E">
        <w:rPr>
          <w:rFonts w:ascii="Franklin Gothic Book" w:eastAsia="Calibri" w:hAnsi="Franklin Gothic Book" w:cs="Times New Roman"/>
          <w:sz w:val="22"/>
          <w:vertAlign w:val="superscript"/>
        </w:rPr>
        <w:footnoteReference w:id="11"/>
      </w:r>
      <w:bookmarkEnd w:id="26"/>
      <w:r w:rsidRPr="0080382E">
        <w:rPr>
          <w:rFonts w:ascii="Franklin Gothic Book" w:eastAsia="Calibri" w:hAnsi="Franklin Gothic Book" w:cs="Times New Roman"/>
          <w:sz w:val="22"/>
        </w:rPr>
        <w:t xml:space="preserve"> and Shadur et al. (2013)</w:t>
      </w:r>
      <w:r w:rsidRPr="0080382E">
        <w:rPr>
          <w:rFonts w:ascii="Franklin Gothic Book" w:eastAsia="Calibri" w:hAnsi="Franklin Gothic Book" w:cs="Times New Roman"/>
          <w:sz w:val="22"/>
          <w:vertAlign w:val="superscript"/>
        </w:rPr>
        <w:footnoteReference w:id="12"/>
      </w:r>
      <w:r w:rsidRPr="0080382E">
        <w:rPr>
          <w:rFonts w:ascii="Franklin Gothic Book" w:eastAsia="Calibri" w:hAnsi="Franklin Gothic Book" w:cs="Times New Roman"/>
          <w:sz w:val="22"/>
        </w:rPr>
        <w:t>. The Commentary noted that while these sources appear reasonable and are likely applicable to the proposed setting, given that they were all reporting on Australian patients, the weighted average calculated from these sources was estimated during the evaluation to be 54.4%. The submission’s estimate was derived by assuming that for Jackson et al. (2018)</w:t>
      </w:r>
      <w:r w:rsidRPr="0080382E">
        <w:rPr>
          <w:rFonts w:ascii="Franklin Gothic Book" w:eastAsia="Calibri" w:hAnsi="Franklin Gothic Book" w:cs="Times New Roman"/>
          <w:sz w:val="22"/>
          <w:vertAlign w:val="superscript"/>
        </w:rPr>
        <w:fldChar w:fldCharType="begin"/>
      </w:r>
      <w:r w:rsidRPr="0080382E">
        <w:rPr>
          <w:rFonts w:ascii="Franklin Gothic Book" w:eastAsia="Calibri" w:hAnsi="Franklin Gothic Book" w:cs="Times New Roman"/>
          <w:sz w:val="22"/>
          <w:vertAlign w:val="superscript"/>
        </w:rPr>
        <w:instrText xml:space="preserve"> NOTEREF _Ref153183422 \h  \* MERGEFORMAT </w:instrText>
      </w:r>
      <w:r w:rsidRPr="0080382E">
        <w:rPr>
          <w:rFonts w:ascii="Franklin Gothic Book" w:eastAsia="Calibri" w:hAnsi="Franklin Gothic Book" w:cs="Times New Roman"/>
          <w:sz w:val="22"/>
          <w:vertAlign w:val="superscript"/>
        </w:rPr>
      </w:r>
      <w:r w:rsidRPr="0080382E">
        <w:rPr>
          <w:rFonts w:ascii="Franklin Gothic Book" w:eastAsia="Calibri" w:hAnsi="Franklin Gothic Book" w:cs="Times New Roman"/>
          <w:sz w:val="22"/>
          <w:vertAlign w:val="superscript"/>
        </w:rPr>
        <w:fldChar w:fldCharType="separate"/>
      </w:r>
      <w:r w:rsidR="00B02BFE" w:rsidRPr="0080382E">
        <w:rPr>
          <w:rFonts w:ascii="Franklin Gothic Book" w:eastAsia="Calibri" w:hAnsi="Franklin Gothic Book" w:cs="Times New Roman"/>
          <w:sz w:val="22"/>
          <w:vertAlign w:val="superscript"/>
        </w:rPr>
        <w:t>xv</w:t>
      </w:r>
      <w:r w:rsidRPr="0080382E">
        <w:rPr>
          <w:rFonts w:ascii="Franklin Gothic Book" w:eastAsia="Calibri" w:hAnsi="Franklin Gothic Book" w:cs="Times New Roman"/>
          <w:sz w:val="22"/>
          <w:vertAlign w:val="superscript"/>
        </w:rPr>
        <w:fldChar w:fldCharType="end"/>
      </w:r>
      <w:r w:rsidRPr="0080382E">
        <w:rPr>
          <w:rFonts w:ascii="Franklin Gothic Book" w:eastAsia="Calibri" w:hAnsi="Franklin Gothic Book" w:cs="Times New Roman"/>
          <w:sz w:val="22"/>
        </w:rPr>
        <w:t xml:space="preserve"> the proportion of positives in a randomly tested sample would be applied to the denominator for the sample where PCR testing had been requested, which may not be reasonable. Under the submission’s assumption of the rate of HDV RNA positivity (56.2%) and 100% test performance, 1.78</w:t>
      </w:r>
      <w:r w:rsidRPr="0080382E">
        <w:rPr>
          <w:rFonts w:ascii="Franklin Gothic Book" w:eastAsia="Calibri" w:hAnsi="Franklin Gothic Book" w:cs="Times New Roman"/>
          <w:sz w:val="22"/>
          <w:vertAlign w:val="superscript"/>
        </w:rPr>
        <w:footnoteReference w:id="13"/>
      </w:r>
      <w:r w:rsidRPr="0080382E">
        <w:rPr>
          <w:rFonts w:ascii="Franklin Gothic Book" w:eastAsia="Calibri" w:hAnsi="Franklin Gothic Book" w:cs="Times New Roman"/>
          <w:sz w:val="22"/>
        </w:rPr>
        <w:t xml:space="preserve"> patients require testing to identify one patient eligible for bulevirtide treatment (increasing to 1.83, assuming 54.4% test positive).</w:t>
      </w:r>
    </w:p>
    <w:p w14:paraId="68758F95" w14:textId="1E8D93B3"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All patients identified with detectable RNA were assumed to be eligible and uptake bulevirtide treatment. The Commentary noted that limited information was provided on the patients tested in the studies used to estimate yield of HDV RNA testing. Patients found to be HDV RNA positive may not all be eligible for bulevirtide treatment, given that use is excluded in patients with normal ALT or who have decompensated disease. However</w:t>
      </w:r>
      <w:r w:rsidR="00B14C80">
        <w:rPr>
          <w:rFonts w:ascii="Franklin Gothic Book" w:eastAsia="Calibri" w:hAnsi="Franklin Gothic Book" w:cs="Times New Roman"/>
          <w:sz w:val="22"/>
        </w:rPr>
        <w:t>,</w:t>
      </w:r>
      <w:r w:rsidRPr="0080382E">
        <w:rPr>
          <w:rFonts w:ascii="Franklin Gothic Book" w:eastAsia="Calibri" w:hAnsi="Franklin Gothic Book" w:cs="Times New Roman"/>
          <w:sz w:val="22"/>
        </w:rPr>
        <w:t xml:space="preserve"> the analysis is not sensitive to changes in the proportion of patients tested who receive bulevirtide treatment.</w:t>
      </w:r>
    </w:p>
    <w:p w14:paraId="01122791" w14:textId="0BCE8633"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The submission used a Markov model structure that included eleven distinct health states: non-cirrhosis (separated into F0, F1, F2 and F3 states), compensated cirrhosis (CC) (i.e. F4), </w:t>
      </w:r>
      <w:r w:rsidRPr="0080382E">
        <w:rPr>
          <w:rFonts w:ascii="Franklin Gothic Book" w:eastAsia="Calibri" w:hAnsi="Franklin Gothic Book" w:cs="Times New Roman"/>
          <w:sz w:val="22"/>
        </w:rPr>
        <w:lastRenderedPageBreak/>
        <w:t xml:space="preserve">decompensated cirrhosis (DCC), hepatocellular carcinoma (HCC), liver transplantation, post-liver transplantation, dead (liver-related) and dead (background). Patients eligible for bulevirtide treatment include those with non-cirrhotic or CC disease. </w:t>
      </w:r>
      <w:r w:rsidR="00B14C80" w:rsidRPr="0080382E">
        <w:rPr>
          <w:rFonts w:ascii="Franklin Gothic Book" w:eastAsia="Calibri" w:hAnsi="Franklin Gothic Book" w:cs="Times New Roman"/>
          <w:sz w:val="22"/>
        </w:rPr>
        <w:t>Therefore,</w:t>
      </w:r>
      <w:r w:rsidRPr="0080382E">
        <w:rPr>
          <w:rFonts w:ascii="Franklin Gothic Book" w:eastAsia="Calibri" w:hAnsi="Franklin Gothic Book" w:cs="Times New Roman"/>
          <w:sz w:val="22"/>
        </w:rPr>
        <w:t xml:space="preserve"> patients entering the model were distributed across these health states, as non-responders. Within each model cycle (24 weeks), patients in either treatment arm could respond to treatment (up to 96 weeks only) and/or progress. Responding to treatment was assumed to reduce further disease </w:t>
      </w:r>
      <w:r w:rsidR="00B14C80" w:rsidRPr="0080382E">
        <w:rPr>
          <w:rFonts w:ascii="Franklin Gothic Book" w:eastAsia="Calibri" w:hAnsi="Franklin Gothic Book" w:cs="Times New Roman"/>
          <w:sz w:val="22"/>
        </w:rPr>
        <w:t>progression and</w:t>
      </w:r>
      <w:r w:rsidRPr="0080382E">
        <w:rPr>
          <w:rFonts w:ascii="Franklin Gothic Book" w:eastAsia="Calibri" w:hAnsi="Franklin Gothic Book" w:cs="Times New Roman"/>
          <w:sz w:val="22"/>
        </w:rPr>
        <w:t xml:space="preserve"> allowed regression of F3 (to F2) and CC (to F3) disease. The modelled benefit for bulevirtide was therefore mediated through an increase in the proportion of responders, who were assumed to have slower disease progression (or regression of disease) and additional utility due to response. </w:t>
      </w:r>
    </w:p>
    <w:p w14:paraId="30849063" w14:textId="77777777"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As the MYR301 trial reported limited liver-related outcomes, transition probabilities were generally derived from external sources. Probabilities for chronic HDV disease progression were based on those in patients with HBV mono-infection, adjusted for an increased risk in patients with HBV/HDV concomitant infection. The Commentary noted that additional sources were identified during the evaluation that report outcomes directly in HBV/HDV patients. These may provide a more reasonable basis for deriving the transition probabilities for use in the economic model and the ICER was noted to be sensitive to using these probabilities, where applicable. The primary source for the HBV mono-infection transition probabilities was an economic evaluation of alternate treatment options for chronic HBV conducted in the United Kingdom (UK). The Commentary noted that the submission did not justify the selection of this source, nor were alternate sources considered, which was not reasonable as alternate Australian data have been published.</w:t>
      </w:r>
    </w:p>
    <w:p w14:paraId="68A3EDF8" w14:textId="39FF0F0F"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Hazard ratios were applied to some of the transitions to model reduced disease progression in patients who achieved a response. The submission presented a systematic review and meta-analysis to estimate the relationship of HDV RNA reduction or undetectability or ALT normalisation on chronic HDV progression. The Commentary noted that the comparisons presented in </w:t>
      </w:r>
      <w:r w:rsidR="00B14C80" w:rsidRPr="0080382E">
        <w:rPr>
          <w:rFonts w:ascii="Franklin Gothic Book" w:eastAsia="Calibri" w:hAnsi="Franklin Gothic Book" w:cs="Times New Roman"/>
          <w:sz w:val="22"/>
        </w:rPr>
        <w:t>several of</w:t>
      </w:r>
      <w:r w:rsidRPr="0080382E">
        <w:rPr>
          <w:rFonts w:ascii="Franklin Gothic Book" w:eastAsia="Calibri" w:hAnsi="Franklin Gothic Book" w:cs="Times New Roman"/>
          <w:sz w:val="22"/>
        </w:rPr>
        <w:t xml:space="preserve"> the studies are unlikely to be applicable to inform the relationship between response as observed in the MYR301 trial and liver-related outcomes in patients with chronic HDV. Some studies presented a comparison of outcomes in patients with acute versus chronic HDV infections or compared outcomes in HBV mono-infection versus HBV/HDV infection. Some studies did not test patients for RNA. After excluding studies that contained irrelevant comparisons, revised meta-analyses presented show an increased risk of liver-related events in chronic HDV patients with anti-HDV positive who have detectable HDV RNA compared to those with undetectable HDV RNA. </w:t>
      </w:r>
    </w:p>
    <w:p w14:paraId="73ED3DC9" w14:textId="77777777"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Furthermore, the economic model used response rates from MYR301 defined as virologic response (undetectable RNA or decrease in HDV RNA levels by ≥2 log</w:t>
      </w:r>
      <w:r w:rsidRPr="0080382E">
        <w:rPr>
          <w:rFonts w:ascii="Franklin Gothic Book" w:eastAsia="Calibri" w:hAnsi="Franklin Gothic Book" w:cs="Times New Roman"/>
          <w:sz w:val="22"/>
          <w:vertAlign w:val="subscript"/>
        </w:rPr>
        <w:t>10</w:t>
      </w:r>
      <w:r w:rsidRPr="0080382E">
        <w:rPr>
          <w:rFonts w:ascii="Franklin Gothic Book" w:eastAsia="Calibri" w:hAnsi="Franklin Gothic Book" w:cs="Times New Roman"/>
          <w:sz w:val="22"/>
        </w:rPr>
        <w:t> IU/mL from baseline), which was noted to be broader than the definition of the surrogate measure (detectable versus undetectable RNA) used to estimate the effect of response on liver-related outcomes. While response rates from MYR301 defined as undetectable RNA may be more consistent with the studies included in the meta-analyses, heterogeneity was observed across the studies in terms of the LLoD of the tests applied and in general differed to the LLoD of the test used in the MYR301 trial. It is unclear what impact differences in LLoD have on the transformation of the surrogate to clinical outcomes.</w:t>
      </w:r>
    </w:p>
    <w:p w14:paraId="6F6845BF" w14:textId="77777777"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The submission assumed six-monthly HDV RNA testing while patients remained on treatment. The Commentary noted that while this was consistent with the proposed MBS item, the only change in management modelled due to the inclusion of HDV RNA monitoring was to cease treatment in non-responders at Week 96. Patients who responded to treatment were assumed to remain on bulevirtide unless they experienced disease progression, HBsAg seroclearance, or discontinued due to other reasons. </w:t>
      </w:r>
    </w:p>
    <w:p w14:paraId="0E48A8CD" w14:textId="77777777"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A lifetime time horizon (i.e. until 100 years of age) was assumed, based on the claim that the treatment improved response delays, or potentially avoids, sequelae that result in substantial </w:t>
      </w:r>
      <w:r w:rsidRPr="0080382E">
        <w:rPr>
          <w:rFonts w:ascii="Franklin Gothic Book" w:eastAsia="Calibri" w:hAnsi="Franklin Gothic Book" w:cs="Times New Roman"/>
          <w:sz w:val="22"/>
        </w:rPr>
        <w:lastRenderedPageBreak/>
        <w:t>excess mortality. Given an average age of 42 years on model entry, the time horizon was therefore 58 years. The Commentary noted that this was substantially longer than observed in the trial (96 weeks, 1.8 years) and what the PBAC had previously considered reasonable for models of chronic HBV infection (20 years, lamivudine, March 1999 PBAC meeting and Section 10, telbivudine PSD, March 2008 PBAC meeting).</w:t>
      </w:r>
    </w:p>
    <w:p w14:paraId="1480700E" w14:textId="77777777" w:rsidR="00E965EE" w:rsidRPr="0080382E" w:rsidRDefault="00E965EE" w:rsidP="00E965EE">
      <w:pPr>
        <w:keepNext/>
        <w:keepLines/>
        <w:spacing w:before="40" w:after="0"/>
        <w:jc w:val="left"/>
        <w:outlineLvl w:val="3"/>
        <w:rPr>
          <w:rFonts w:ascii="Franklin Gothic Book" w:eastAsia="Times New Roman" w:hAnsi="Franklin Gothic Book" w:cs="Calibri"/>
          <w:b/>
          <w:bCs/>
          <w:szCs w:val="24"/>
        </w:rPr>
      </w:pPr>
      <w:r w:rsidRPr="0080382E">
        <w:rPr>
          <w:rFonts w:ascii="Franklin Gothic Book" w:eastAsia="Times New Roman" w:hAnsi="Franklin Gothic Book" w:cs="Calibri"/>
          <w:b/>
          <w:bCs/>
          <w:szCs w:val="24"/>
        </w:rPr>
        <w:t>Results of the economic analysis</w:t>
      </w:r>
    </w:p>
    <w:p w14:paraId="1E5789AD" w14:textId="22072E71"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The cost per test applied to determine initial eligibility to bulevirtide was $152.10. Assuming that 1.78 tests are required to identify one patient that enters the model, the one-off cost applied on model entry was $270.64. HDV RNA monitoring was assumed twice per year while on bulevirtide treatment. </w:t>
      </w:r>
      <w:r w:rsidR="00E843DD" w:rsidRPr="0080382E">
        <w:rPr>
          <w:rFonts w:ascii="Franklin Gothic Book" w:eastAsia="Calibri" w:hAnsi="Franklin Gothic Book" w:cs="Times New Roman"/>
          <w:sz w:val="22"/>
        </w:rPr>
        <w:t>Therefore,</w:t>
      </w:r>
      <w:r w:rsidRPr="0080382E">
        <w:rPr>
          <w:rFonts w:ascii="Franklin Gothic Book" w:eastAsia="Calibri" w:hAnsi="Franklin Gothic Book" w:cs="Times New Roman"/>
          <w:sz w:val="22"/>
        </w:rPr>
        <w:t xml:space="preserve"> the cost per year for monitoring was $304.20. Given that the duration of bulevirtide treatment modelled is 8.8 years, cost of monitoring applied per treatment course was $</w:t>
      </w:r>
      <w:r w:rsidR="00ED17F8" w:rsidRPr="00ED17F8">
        <w:rPr>
          <w:rFonts w:ascii="Franklin Gothic Book" w:eastAsia="Calibri" w:hAnsi="Franklin Gothic Book" w:cs="Times New Roman"/>
          <w:sz w:val="22"/>
        </w:rPr>
        <w:t xml:space="preserve"> </w:t>
      </w:r>
      <w:r w:rsidR="00ED17F8" w:rsidRPr="00EB6B42">
        <w:rPr>
          <w:rFonts w:ascii="Franklin Gothic Book" w:eastAsia="Calibri" w:hAnsi="Franklin Gothic Book" w:cs="Times New Roman"/>
          <w:b/>
          <w:bCs/>
          <w:sz w:val="22"/>
        </w:rPr>
        <w:t>redacted</w:t>
      </w:r>
      <w:r w:rsidRPr="0080382E">
        <w:rPr>
          <w:rFonts w:ascii="Franklin Gothic Book" w:eastAsia="Calibri" w:hAnsi="Franklin Gothic Book" w:cs="Times New Roman"/>
          <w:sz w:val="22"/>
        </w:rPr>
        <w:t xml:space="preserve"> (undiscounted).</w:t>
      </w:r>
    </w:p>
    <w:p w14:paraId="1F497B5B" w14:textId="5FD9FEA5"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The results of the stepped economic evaluation are presented in </w:t>
      </w:r>
      <w:r w:rsidRPr="0080382E">
        <w:rPr>
          <w:rFonts w:ascii="Franklin Gothic Book" w:eastAsia="Calibri" w:hAnsi="Franklin Gothic Book" w:cs="Times New Roman"/>
          <w:sz w:val="22"/>
        </w:rPr>
        <w:fldChar w:fldCharType="begin"/>
      </w:r>
      <w:r w:rsidRPr="0080382E">
        <w:rPr>
          <w:rFonts w:ascii="Franklin Gothic Book" w:eastAsia="Calibri" w:hAnsi="Franklin Gothic Book" w:cs="Times New Roman"/>
          <w:sz w:val="22"/>
        </w:rPr>
        <w:instrText xml:space="preserve"> REF _Ref152349384 \h </w:instrText>
      </w:r>
      <w:r w:rsidR="00FF67BB" w:rsidRPr="0080382E">
        <w:rPr>
          <w:rFonts w:ascii="Franklin Gothic Book" w:eastAsia="Calibri" w:hAnsi="Franklin Gothic Book" w:cs="Times New Roman"/>
          <w:sz w:val="22"/>
        </w:rPr>
        <w:instrText xml:space="preserve"> \* MERGEFORMAT </w:instrText>
      </w:r>
      <w:r w:rsidRPr="0080382E">
        <w:rPr>
          <w:rFonts w:ascii="Franklin Gothic Book" w:eastAsia="Calibri" w:hAnsi="Franklin Gothic Book" w:cs="Times New Roman"/>
          <w:sz w:val="22"/>
        </w:rPr>
      </w:r>
      <w:r w:rsidRPr="0080382E">
        <w:rPr>
          <w:rFonts w:ascii="Franklin Gothic Book" w:eastAsia="Calibri" w:hAnsi="Franklin Gothic Book" w:cs="Times New Roman"/>
          <w:sz w:val="22"/>
        </w:rPr>
        <w:fldChar w:fldCharType="separate"/>
      </w:r>
      <w:r w:rsidR="00B02BFE" w:rsidRPr="0080382E">
        <w:rPr>
          <w:rFonts w:ascii="Franklin Gothic Book" w:eastAsia="Calibri" w:hAnsi="Franklin Gothic Book" w:cstheme="minorHAnsi"/>
          <w:iCs/>
          <w:sz w:val="22"/>
          <w:lang w:val="en-US"/>
        </w:rPr>
        <w:t xml:space="preserve">Table </w:t>
      </w:r>
      <w:r w:rsidR="00B02BFE" w:rsidRPr="0080382E">
        <w:rPr>
          <w:rFonts w:ascii="Franklin Gothic Book" w:eastAsia="Calibri" w:hAnsi="Franklin Gothic Book" w:cstheme="minorHAnsi"/>
          <w:iCs/>
          <w:noProof/>
          <w:sz w:val="22"/>
          <w:lang w:val="en-US"/>
        </w:rPr>
        <w:t>9</w:t>
      </w:r>
      <w:r w:rsidRPr="0080382E">
        <w:rPr>
          <w:rFonts w:ascii="Franklin Gothic Book" w:eastAsia="Calibri" w:hAnsi="Franklin Gothic Book" w:cs="Times New Roman"/>
          <w:sz w:val="22"/>
        </w:rPr>
        <w:fldChar w:fldCharType="end"/>
      </w:r>
      <w:r w:rsidRPr="0080382E">
        <w:rPr>
          <w:rFonts w:ascii="Franklin Gothic Book" w:eastAsia="Calibri" w:hAnsi="Franklin Gothic Book" w:cs="Times New Roman"/>
          <w:sz w:val="22"/>
        </w:rPr>
        <w:t xml:space="preserve">. The Commentary noted that the stepped analyses presented in the submission combined </w:t>
      </w:r>
      <w:r w:rsidR="00E843DD" w:rsidRPr="0080382E">
        <w:rPr>
          <w:rFonts w:ascii="Franklin Gothic Book" w:eastAsia="Calibri" w:hAnsi="Franklin Gothic Book" w:cs="Times New Roman"/>
          <w:sz w:val="22"/>
        </w:rPr>
        <w:t>several</w:t>
      </w:r>
      <w:r w:rsidRPr="0080382E">
        <w:rPr>
          <w:rFonts w:ascii="Franklin Gothic Book" w:eastAsia="Calibri" w:hAnsi="Franklin Gothic Book" w:cs="Times New Roman"/>
          <w:sz w:val="22"/>
        </w:rPr>
        <w:t xml:space="preserve"> transformations of the trial data to the proposed clinical setting from Steps 3 to Step 4, including the transformation of the surrogate outcome of response into effect on disease progression, assumption of reduced compliance to bulevirtide treatment expected in practice and extrapolation of costs and outcomes over the 58-year time horizon. Additional steps (3a and 3b) were included during the evaluation to allow the effect of each of these transformations to be distinguished from one another.</w:t>
      </w:r>
    </w:p>
    <w:p w14:paraId="610E0CCD" w14:textId="418F4F85" w:rsidR="00E965EE" w:rsidRPr="00E965EE"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27" w:name="_Ref152349384"/>
      <w:r w:rsidRPr="00E965EE">
        <w:rPr>
          <w:rFonts w:ascii="Arial Narrow" w:eastAsia="Calibri" w:hAnsi="Arial Narrow" w:cs="Times New Roman"/>
          <w:b/>
          <w:bCs/>
          <w:iCs/>
          <w:sz w:val="20"/>
          <w:szCs w:val="18"/>
          <w:lang w:val="en-US"/>
        </w:rPr>
        <w:lastRenderedPageBreak/>
        <w:t>Table</w:t>
      </w:r>
      <w:bookmarkEnd w:id="27"/>
      <w:r w:rsidR="00773379">
        <w:rPr>
          <w:rFonts w:ascii="Arial Narrow" w:eastAsia="Calibri" w:hAnsi="Arial Narrow" w:cs="Times New Roman"/>
          <w:b/>
          <w:bCs/>
          <w:iCs/>
          <w:sz w:val="20"/>
          <w:szCs w:val="18"/>
          <w:lang w:val="en-US"/>
        </w:rPr>
        <w:t xml:space="preserve"> 9</w:t>
      </w:r>
      <w:r w:rsidRPr="00E965EE">
        <w:rPr>
          <w:rFonts w:ascii="Arial Narrow" w:eastAsia="Calibri" w:hAnsi="Arial Narrow" w:cs="Times New Roman"/>
          <w:b/>
          <w:bCs/>
          <w:iCs/>
          <w:sz w:val="20"/>
          <w:szCs w:val="18"/>
          <w:lang w:val="en-US"/>
        </w:rPr>
        <w:tab/>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E965EE" w:rsidRPr="00E965EE" w14:paraId="5AD4BE7D" w14:textId="77777777" w:rsidTr="00396F09">
        <w:trPr>
          <w:tblHeader/>
        </w:trPr>
        <w:tc>
          <w:tcPr>
            <w:tcW w:w="1529" w:type="pct"/>
            <w:vAlign w:val="center"/>
          </w:tcPr>
          <w:p w14:paraId="730DFDE5" w14:textId="77777777" w:rsidR="00E965EE" w:rsidRPr="00E965EE" w:rsidRDefault="00E965EE" w:rsidP="00A67F5E">
            <w:pPr>
              <w:keepNext/>
              <w:spacing w:before="0" w:after="0"/>
              <w:jc w:val="left"/>
              <w:rPr>
                <w:rFonts w:ascii="Arial Narrow" w:eastAsia="Times New Roman" w:hAnsi="Arial Narrow" w:cs="Times New Roman"/>
                <w:b/>
                <w:sz w:val="20"/>
                <w:szCs w:val="24"/>
                <w:lang w:eastAsia="en-AU"/>
              </w:rPr>
            </w:pPr>
            <w:r w:rsidRPr="00E965EE">
              <w:rPr>
                <w:rFonts w:ascii="Arial Narrow" w:eastAsia="Times New Roman" w:hAnsi="Arial Narrow" w:cs="Times New Roman"/>
                <w:b/>
                <w:sz w:val="20"/>
                <w:szCs w:val="24"/>
                <w:lang w:eastAsia="en-AU"/>
              </w:rPr>
              <w:t>Step and component</w:t>
            </w:r>
          </w:p>
        </w:tc>
        <w:tc>
          <w:tcPr>
            <w:tcW w:w="1359" w:type="pct"/>
            <w:vAlign w:val="center"/>
          </w:tcPr>
          <w:p w14:paraId="7AD229D5" w14:textId="77777777" w:rsidR="00E965EE" w:rsidRPr="00E965EE" w:rsidRDefault="00E965EE" w:rsidP="00A67F5E">
            <w:pPr>
              <w:keepNext/>
              <w:spacing w:before="0" w:after="0"/>
              <w:jc w:val="center"/>
              <w:rPr>
                <w:rFonts w:ascii="Arial Narrow" w:eastAsia="Times New Roman" w:hAnsi="Arial Narrow" w:cs="Times New Roman"/>
                <w:b/>
                <w:sz w:val="20"/>
                <w:szCs w:val="24"/>
                <w:lang w:eastAsia="en-AU"/>
              </w:rPr>
            </w:pPr>
            <w:r w:rsidRPr="00E965EE">
              <w:rPr>
                <w:rFonts w:ascii="Arial Narrow" w:eastAsia="Times New Roman" w:hAnsi="Arial Narrow" w:cs="Times New Roman"/>
                <w:b/>
                <w:sz w:val="20"/>
                <w:szCs w:val="24"/>
                <w:lang w:eastAsia="en-AU"/>
              </w:rPr>
              <w:t>Bulevirtide</w:t>
            </w:r>
          </w:p>
        </w:tc>
        <w:tc>
          <w:tcPr>
            <w:tcW w:w="1274" w:type="pct"/>
            <w:vAlign w:val="center"/>
          </w:tcPr>
          <w:p w14:paraId="6B9BC317" w14:textId="77777777" w:rsidR="00E965EE" w:rsidRPr="00E965EE" w:rsidRDefault="00E965EE" w:rsidP="00A67F5E">
            <w:pPr>
              <w:keepNext/>
              <w:spacing w:before="0" w:after="0"/>
              <w:jc w:val="center"/>
              <w:rPr>
                <w:rFonts w:ascii="Arial Narrow" w:eastAsia="Times New Roman" w:hAnsi="Arial Narrow" w:cs="Times New Roman"/>
                <w:b/>
                <w:sz w:val="20"/>
                <w:szCs w:val="24"/>
                <w:lang w:eastAsia="en-AU"/>
              </w:rPr>
            </w:pPr>
            <w:r w:rsidRPr="00E965EE">
              <w:rPr>
                <w:rFonts w:ascii="Arial Narrow" w:eastAsia="Times New Roman" w:hAnsi="Arial Narrow" w:cs="Times New Roman"/>
                <w:b/>
                <w:sz w:val="20"/>
                <w:szCs w:val="24"/>
                <w:lang w:eastAsia="en-AU"/>
              </w:rPr>
              <w:t>BSC</w:t>
            </w:r>
          </w:p>
        </w:tc>
        <w:tc>
          <w:tcPr>
            <w:tcW w:w="838" w:type="pct"/>
            <w:vAlign w:val="center"/>
          </w:tcPr>
          <w:p w14:paraId="51984D27" w14:textId="77777777" w:rsidR="00E965EE" w:rsidRPr="00E965EE" w:rsidRDefault="00E965EE" w:rsidP="00A67F5E">
            <w:pPr>
              <w:keepNext/>
              <w:spacing w:before="0" w:after="0"/>
              <w:jc w:val="center"/>
              <w:rPr>
                <w:rFonts w:ascii="Arial Narrow" w:eastAsia="Times New Roman" w:hAnsi="Arial Narrow" w:cs="Times New Roman"/>
                <w:b/>
                <w:sz w:val="20"/>
                <w:szCs w:val="24"/>
                <w:lang w:eastAsia="en-AU"/>
              </w:rPr>
            </w:pPr>
            <w:r w:rsidRPr="00E965EE">
              <w:rPr>
                <w:rFonts w:ascii="Arial Narrow" w:eastAsia="Times New Roman" w:hAnsi="Arial Narrow" w:cs="Times New Roman"/>
                <w:b/>
                <w:sz w:val="20"/>
                <w:szCs w:val="24"/>
                <w:lang w:eastAsia="en-AU"/>
              </w:rPr>
              <w:t>Increment</w:t>
            </w:r>
          </w:p>
        </w:tc>
      </w:tr>
      <w:tr w:rsidR="00E965EE" w:rsidRPr="00E965EE" w14:paraId="2615975C" w14:textId="77777777" w:rsidTr="00396F09">
        <w:tc>
          <w:tcPr>
            <w:tcW w:w="5000" w:type="pct"/>
            <w:gridSpan w:val="4"/>
            <w:vAlign w:val="center"/>
          </w:tcPr>
          <w:p w14:paraId="2E9C9BC6" w14:textId="77777777" w:rsidR="00E965EE" w:rsidRPr="00E965EE" w:rsidRDefault="00E965EE" w:rsidP="00A67F5E">
            <w:pPr>
              <w:keepNext/>
              <w:widowControl w:val="0"/>
              <w:spacing w:before="0" w:after="0"/>
              <w:jc w:val="left"/>
              <w:rPr>
                <w:rFonts w:ascii="Arial Narrow" w:eastAsia="Calibri" w:hAnsi="Arial Narrow" w:cs="Times New Roman"/>
                <w:b/>
                <w:bCs/>
                <w:sz w:val="20"/>
              </w:rPr>
            </w:pPr>
            <w:r w:rsidRPr="00E965EE">
              <w:rPr>
                <w:rFonts w:ascii="Arial Narrow" w:eastAsia="Calibri" w:hAnsi="Arial Narrow" w:cs="Times New Roman"/>
                <w:b/>
                <w:bCs/>
                <w:sz w:val="20"/>
              </w:rPr>
              <w:t>Step 1: Trial-based costs and outcomes (48 weeks)</w:t>
            </w:r>
          </w:p>
          <w:p w14:paraId="4910D704" w14:textId="77777777" w:rsidR="00E965EE" w:rsidRPr="00E965EE" w:rsidRDefault="00E965EE" w:rsidP="00A67F5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Trial-based analysis at 48 weeks. Cost of testing to identify one patient with detectable HDV RNA included (assuming 56.2% positivity rate), based on a weighted average from Coghill et al. (2018)</w:t>
            </w:r>
            <w:r w:rsidRPr="00E965EE">
              <w:rPr>
                <w:rFonts w:ascii="Arial Narrow" w:eastAsia="Calibri" w:hAnsi="Arial Narrow" w:cs="Times New Roman"/>
                <w:sz w:val="20"/>
                <w:vertAlign w:val="superscript"/>
              </w:rPr>
              <w:t>a</w:t>
            </w:r>
            <w:r w:rsidRPr="00E965EE">
              <w:rPr>
                <w:rFonts w:ascii="Arial Narrow" w:eastAsia="Calibri" w:hAnsi="Arial Narrow" w:cs="Times New Roman"/>
                <w:sz w:val="20"/>
              </w:rPr>
              <w:t>, Jackson et al. (2018)</w:t>
            </w:r>
            <w:r w:rsidRPr="00E965EE">
              <w:rPr>
                <w:rFonts w:ascii="Arial Narrow" w:eastAsia="Calibri" w:hAnsi="Arial Narrow" w:cs="Times New Roman"/>
                <w:sz w:val="20"/>
                <w:vertAlign w:val="superscript"/>
              </w:rPr>
              <w:t>b</w:t>
            </w:r>
            <w:r w:rsidRPr="00E965EE">
              <w:rPr>
                <w:rFonts w:ascii="Arial Narrow" w:eastAsia="Calibri" w:hAnsi="Arial Narrow" w:cs="Times New Roman"/>
                <w:sz w:val="20"/>
              </w:rPr>
              <w:t xml:space="preserve"> and Shadur et al. (2013)</w:t>
            </w:r>
            <w:r w:rsidRPr="00E965EE">
              <w:rPr>
                <w:rFonts w:ascii="Arial Narrow" w:eastAsia="Calibri" w:hAnsi="Arial Narrow" w:cs="Times New Roman"/>
                <w:sz w:val="20"/>
                <w:vertAlign w:val="superscript"/>
              </w:rPr>
              <w:t>c</w:t>
            </w:r>
            <w:r w:rsidRPr="00E965EE">
              <w:rPr>
                <w:rFonts w:ascii="Arial Narrow" w:eastAsia="Calibri" w:hAnsi="Arial Narrow" w:cs="Times New Roman"/>
                <w:sz w:val="20"/>
              </w:rPr>
              <w:t>. Compliance to bulevirtide was 99.6% based on MYR301 trial compliance at 48 weeks (equivalent to 5.57 scripts per patient per 48 weeks).</w:t>
            </w:r>
          </w:p>
        </w:tc>
      </w:tr>
      <w:tr w:rsidR="00E965EE" w:rsidRPr="00E965EE" w14:paraId="6E1F641D" w14:textId="77777777" w:rsidTr="00396F09">
        <w:tc>
          <w:tcPr>
            <w:tcW w:w="1529" w:type="pct"/>
            <w:vAlign w:val="center"/>
          </w:tcPr>
          <w:p w14:paraId="255C7545"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Costs</w:t>
            </w:r>
          </w:p>
        </w:tc>
        <w:tc>
          <w:tcPr>
            <w:tcW w:w="1359" w:type="pct"/>
          </w:tcPr>
          <w:p w14:paraId="670BB187" w14:textId="7F34681C"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61458E">
              <w:rPr>
                <w:rFonts w:ascii="Arial Narrow" w:eastAsia="Calibri" w:hAnsi="Arial Narrow" w:cs="Times New Roman"/>
                <w:sz w:val="20"/>
              </w:rPr>
              <w:t xml:space="preserve"> </w:t>
            </w:r>
            <w:r w:rsidR="00845BD8" w:rsidRPr="00845BD8">
              <w:rPr>
                <w:rFonts w:ascii="Arial Narrow" w:eastAsia="Calibri" w:hAnsi="Arial Narrow" w:cs="Times New Roman"/>
                <w:b/>
                <w:bCs/>
                <w:sz w:val="20"/>
              </w:rPr>
              <w:t>r</w:t>
            </w:r>
            <w:r w:rsidR="00B67B8F" w:rsidRPr="00845BD8">
              <w:rPr>
                <w:rFonts w:ascii="Arial Narrow" w:eastAsia="Calibri" w:hAnsi="Arial Narrow" w:cs="Times New Roman"/>
                <w:b/>
                <w:bCs/>
                <w:sz w:val="20"/>
              </w:rPr>
              <w:t>edacted</w:t>
            </w:r>
          </w:p>
        </w:tc>
        <w:tc>
          <w:tcPr>
            <w:tcW w:w="1274" w:type="pct"/>
          </w:tcPr>
          <w:p w14:paraId="46A6839A"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$0</w:t>
            </w:r>
          </w:p>
        </w:tc>
        <w:tc>
          <w:tcPr>
            <w:tcW w:w="838" w:type="pct"/>
          </w:tcPr>
          <w:p w14:paraId="7D137293" w14:textId="770EBEE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B67B8F">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r>
      <w:tr w:rsidR="00E965EE" w:rsidRPr="00E965EE" w14:paraId="1C4611EA" w14:textId="77777777" w:rsidTr="00396F09">
        <w:tc>
          <w:tcPr>
            <w:tcW w:w="1529" w:type="pct"/>
            <w:vAlign w:val="center"/>
          </w:tcPr>
          <w:p w14:paraId="4550B056"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Virologic response </w:t>
            </w:r>
            <w:r w:rsidRPr="00E965EE">
              <w:rPr>
                <w:rFonts w:ascii="Arial Narrow" w:eastAsia="Calibri" w:hAnsi="Arial Narrow" w:cs="Times New Roman"/>
                <w:sz w:val="20"/>
                <w:vertAlign w:val="superscript"/>
              </w:rPr>
              <w:t>d</w:t>
            </w:r>
            <w:r w:rsidRPr="00E965EE">
              <w:rPr>
                <w:rFonts w:ascii="Arial Narrow" w:eastAsia="Calibri" w:hAnsi="Arial Narrow" w:cs="Times New Roman"/>
                <w:sz w:val="20"/>
              </w:rPr>
              <w:t xml:space="preserve"> at 48 weeks</w:t>
            </w:r>
          </w:p>
        </w:tc>
        <w:tc>
          <w:tcPr>
            <w:tcW w:w="1359" w:type="pct"/>
          </w:tcPr>
          <w:p w14:paraId="43899A33"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73.5%</w:t>
            </w:r>
          </w:p>
        </w:tc>
        <w:tc>
          <w:tcPr>
            <w:tcW w:w="1274" w:type="pct"/>
          </w:tcPr>
          <w:p w14:paraId="10ED70E5"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3.9%</w:t>
            </w:r>
          </w:p>
        </w:tc>
        <w:tc>
          <w:tcPr>
            <w:tcW w:w="838" w:type="pct"/>
          </w:tcPr>
          <w:p w14:paraId="0010B6EB" w14:textId="77777777" w:rsidR="00E965EE" w:rsidRPr="00E965EE" w:rsidRDefault="00E965EE" w:rsidP="00A67F5E">
            <w:pPr>
              <w:keepNext/>
              <w:widowControl w:val="0"/>
              <w:spacing w:before="0" w:after="0"/>
              <w:jc w:val="center"/>
              <w:rPr>
                <w:rFonts w:ascii="Arial Narrow" w:eastAsia="Calibri" w:hAnsi="Arial Narrow" w:cs="Times New Roman"/>
                <w:sz w:val="20"/>
              </w:rPr>
            </w:pPr>
            <w:r w:rsidRPr="00E965EE">
              <w:rPr>
                <w:rFonts w:ascii="Arial Narrow" w:eastAsia="Calibri" w:hAnsi="Arial Narrow" w:cs="Times New Roman"/>
                <w:sz w:val="20"/>
              </w:rPr>
              <w:t>69.6%</w:t>
            </w:r>
          </w:p>
        </w:tc>
      </w:tr>
      <w:tr w:rsidR="00E965EE" w:rsidRPr="00E965EE" w14:paraId="226D00D7" w14:textId="77777777" w:rsidTr="00396F09">
        <w:tc>
          <w:tcPr>
            <w:tcW w:w="4162" w:type="pct"/>
            <w:gridSpan w:val="3"/>
            <w:vAlign w:val="center"/>
          </w:tcPr>
          <w:p w14:paraId="472A0EDB"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Incremental cost/additional responder</w:t>
            </w:r>
          </w:p>
        </w:tc>
        <w:tc>
          <w:tcPr>
            <w:tcW w:w="838" w:type="pct"/>
            <w:vAlign w:val="center"/>
          </w:tcPr>
          <w:p w14:paraId="3388CEA9" w14:textId="3123A6CE"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94417F">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r w:rsidR="00775998" w:rsidRPr="00775998">
              <w:rPr>
                <w:rFonts w:ascii="Arial Narrow" w:eastAsia="Calibri" w:hAnsi="Arial Narrow" w:cs="Times New Roman"/>
                <w:sz w:val="20"/>
                <w:vertAlign w:val="superscript"/>
              </w:rPr>
              <w:t>1</w:t>
            </w:r>
          </w:p>
        </w:tc>
      </w:tr>
      <w:tr w:rsidR="00E965EE" w:rsidRPr="00E965EE" w14:paraId="69062ADF" w14:textId="77777777" w:rsidTr="00396F09">
        <w:tc>
          <w:tcPr>
            <w:tcW w:w="5000" w:type="pct"/>
            <w:gridSpan w:val="4"/>
            <w:vAlign w:val="center"/>
          </w:tcPr>
          <w:p w14:paraId="4AC5EA9B" w14:textId="77777777" w:rsidR="00E965EE" w:rsidRPr="00E965EE" w:rsidRDefault="00E965EE" w:rsidP="00A67F5E">
            <w:pPr>
              <w:keepNext/>
              <w:widowControl w:val="0"/>
              <w:spacing w:before="0" w:after="0"/>
              <w:jc w:val="left"/>
              <w:rPr>
                <w:rFonts w:ascii="Arial Narrow" w:eastAsia="Calibri" w:hAnsi="Arial Narrow" w:cs="Times New Roman"/>
                <w:b/>
                <w:bCs/>
                <w:sz w:val="20"/>
              </w:rPr>
            </w:pPr>
            <w:r w:rsidRPr="00E965EE">
              <w:rPr>
                <w:rFonts w:ascii="Arial Narrow" w:eastAsia="Calibri" w:hAnsi="Arial Narrow" w:cs="Times New Roman"/>
                <w:b/>
                <w:bCs/>
                <w:sz w:val="20"/>
              </w:rPr>
              <w:t>Step 2: Trial-based costs and outcomes to 96 weeks, with extrapolation of comparator outcomes</w:t>
            </w:r>
          </w:p>
          <w:p w14:paraId="25C6267C" w14:textId="77777777" w:rsidR="00E965EE" w:rsidRPr="00E965EE" w:rsidRDefault="00E965EE" w:rsidP="00A67F5E">
            <w:pPr>
              <w:keepNext/>
              <w:spacing w:before="0" w:after="0"/>
              <w:jc w:val="left"/>
              <w:rPr>
                <w:rFonts w:ascii="Arial Narrow" w:eastAsia="Times New Roman" w:hAnsi="Arial Narrow" w:cs="Times New Roman"/>
                <w:bCs/>
                <w:sz w:val="20"/>
                <w:szCs w:val="24"/>
                <w:lang w:eastAsia="en-AU"/>
              </w:rPr>
            </w:pPr>
            <w:r w:rsidRPr="00E965EE">
              <w:rPr>
                <w:rFonts w:ascii="Arial Narrow" w:eastAsia="Times New Roman" w:hAnsi="Arial Narrow" w:cs="Times New Roman"/>
                <w:bCs/>
                <w:sz w:val="20"/>
                <w:szCs w:val="24"/>
                <w:lang w:eastAsia="en-AU"/>
              </w:rPr>
              <w:t xml:space="preserve">Trial-based analysis at 96 weeks, assuming extrapolation of virologic response in the comparator arm. </w:t>
            </w:r>
          </w:p>
          <w:p w14:paraId="3DBF2549" w14:textId="77777777" w:rsidR="00E965EE" w:rsidRPr="00E965EE" w:rsidRDefault="00E965EE" w:rsidP="00A67F5E">
            <w:pPr>
              <w:keepNext/>
              <w:spacing w:before="0" w:after="0"/>
              <w:jc w:val="left"/>
              <w:rPr>
                <w:rFonts w:ascii="Arial Narrow" w:eastAsia="Times New Roman" w:hAnsi="Arial Narrow" w:cs="Times New Roman"/>
                <w:bCs/>
                <w:sz w:val="20"/>
                <w:szCs w:val="24"/>
                <w:lang w:eastAsia="en-AU"/>
              </w:rPr>
            </w:pPr>
            <w:r w:rsidRPr="00E965EE">
              <w:rPr>
                <w:rFonts w:ascii="Arial Narrow" w:eastAsia="Times New Roman" w:hAnsi="Arial Narrow" w:cs="Times New Roman"/>
                <w:bCs/>
                <w:sz w:val="20"/>
                <w:szCs w:val="24"/>
                <w:lang w:eastAsia="en-AU"/>
              </w:rPr>
              <w:t>Compliance to bulevirtide was 98.1% based on MYR301 trial compliance at 96 weeks (equivalent to 10.98 scripts</w:t>
            </w:r>
            <w:r w:rsidRPr="00E965EE">
              <w:rPr>
                <w:rFonts w:ascii="Arial Narrow" w:eastAsia="Times New Roman" w:hAnsi="Arial Narrow" w:cs="Times New Roman"/>
                <w:b/>
                <w:sz w:val="20"/>
                <w:szCs w:val="24"/>
                <w:lang w:eastAsia="en-AU"/>
              </w:rPr>
              <w:t xml:space="preserve"> </w:t>
            </w:r>
            <w:r w:rsidRPr="00E965EE">
              <w:rPr>
                <w:rFonts w:ascii="Arial Narrow" w:eastAsia="Times New Roman" w:hAnsi="Arial Narrow" w:cs="Times New Roman"/>
                <w:bCs/>
                <w:sz w:val="20"/>
                <w:szCs w:val="24"/>
                <w:lang w:eastAsia="en-AU"/>
              </w:rPr>
              <w:t>per patient per 96 weeks).</w:t>
            </w:r>
          </w:p>
        </w:tc>
      </w:tr>
      <w:tr w:rsidR="00E965EE" w:rsidRPr="00E965EE" w14:paraId="285EF9C3" w14:textId="77777777" w:rsidTr="00396F09">
        <w:tc>
          <w:tcPr>
            <w:tcW w:w="1529" w:type="pct"/>
            <w:vAlign w:val="center"/>
          </w:tcPr>
          <w:p w14:paraId="2CA7A68C"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Costs</w:t>
            </w:r>
          </w:p>
        </w:tc>
        <w:tc>
          <w:tcPr>
            <w:tcW w:w="1359" w:type="pct"/>
          </w:tcPr>
          <w:p w14:paraId="36AD142A" w14:textId="681644F8"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94417F">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c>
          <w:tcPr>
            <w:tcW w:w="1274" w:type="pct"/>
          </w:tcPr>
          <w:p w14:paraId="28EB57CA"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$0</w:t>
            </w:r>
          </w:p>
        </w:tc>
        <w:tc>
          <w:tcPr>
            <w:tcW w:w="838" w:type="pct"/>
          </w:tcPr>
          <w:p w14:paraId="6793B3A0" w14:textId="7F05FBE5"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94417F">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r>
      <w:tr w:rsidR="00E965EE" w:rsidRPr="00E965EE" w14:paraId="2D097A39" w14:textId="77777777" w:rsidTr="00396F09">
        <w:tc>
          <w:tcPr>
            <w:tcW w:w="1529" w:type="pct"/>
            <w:vAlign w:val="center"/>
          </w:tcPr>
          <w:p w14:paraId="5EA0723F"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Virologic response </w:t>
            </w:r>
            <w:r w:rsidRPr="00E965EE">
              <w:rPr>
                <w:rFonts w:ascii="Arial Narrow" w:eastAsia="Calibri" w:hAnsi="Arial Narrow" w:cs="Times New Roman"/>
                <w:sz w:val="20"/>
                <w:vertAlign w:val="superscript"/>
              </w:rPr>
              <w:t>d</w:t>
            </w:r>
            <w:r w:rsidRPr="00E965EE">
              <w:rPr>
                <w:rFonts w:ascii="Arial Narrow" w:eastAsia="Calibri" w:hAnsi="Arial Narrow" w:cs="Times New Roman"/>
                <w:sz w:val="20"/>
              </w:rPr>
              <w:t xml:space="preserve"> at 96 weeks</w:t>
            </w:r>
          </w:p>
        </w:tc>
        <w:tc>
          <w:tcPr>
            <w:tcW w:w="1359" w:type="pct"/>
          </w:tcPr>
          <w:p w14:paraId="4C4BD4DF"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75.5%</w:t>
            </w:r>
          </w:p>
        </w:tc>
        <w:tc>
          <w:tcPr>
            <w:tcW w:w="1274" w:type="pct"/>
          </w:tcPr>
          <w:p w14:paraId="14323DC4"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4.2%</w:t>
            </w:r>
          </w:p>
        </w:tc>
        <w:tc>
          <w:tcPr>
            <w:tcW w:w="838" w:type="pct"/>
          </w:tcPr>
          <w:p w14:paraId="66783801" w14:textId="77777777" w:rsidR="00E965EE" w:rsidRPr="00E965EE" w:rsidRDefault="00E965EE" w:rsidP="00A67F5E">
            <w:pPr>
              <w:keepNext/>
              <w:widowControl w:val="0"/>
              <w:spacing w:before="0" w:after="0"/>
              <w:jc w:val="center"/>
              <w:rPr>
                <w:rFonts w:ascii="Arial Narrow" w:eastAsia="Calibri" w:hAnsi="Arial Narrow" w:cs="Times New Roman"/>
                <w:sz w:val="20"/>
              </w:rPr>
            </w:pPr>
            <w:r w:rsidRPr="00E965EE">
              <w:rPr>
                <w:rFonts w:ascii="Arial Narrow" w:eastAsia="Calibri" w:hAnsi="Arial Narrow" w:cs="Times New Roman"/>
                <w:sz w:val="20"/>
              </w:rPr>
              <w:t>71.3%</w:t>
            </w:r>
          </w:p>
        </w:tc>
      </w:tr>
      <w:tr w:rsidR="00E965EE" w:rsidRPr="00E965EE" w14:paraId="0076D0AD" w14:textId="77777777" w:rsidTr="00396F09">
        <w:tc>
          <w:tcPr>
            <w:tcW w:w="4162" w:type="pct"/>
            <w:gridSpan w:val="3"/>
            <w:vAlign w:val="center"/>
          </w:tcPr>
          <w:p w14:paraId="5FA299D9"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Incremental cost/additional responder</w:t>
            </w:r>
          </w:p>
        </w:tc>
        <w:tc>
          <w:tcPr>
            <w:tcW w:w="838" w:type="pct"/>
            <w:vAlign w:val="center"/>
          </w:tcPr>
          <w:p w14:paraId="7BF4FC0F" w14:textId="74402ECB"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94417F">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r w:rsidR="006E0373" w:rsidRPr="006E0373">
              <w:rPr>
                <w:rFonts w:ascii="Arial Narrow" w:eastAsia="Calibri" w:hAnsi="Arial Narrow" w:cs="Times New Roman"/>
                <w:sz w:val="20"/>
                <w:vertAlign w:val="superscript"/>
              </w:rPr>
              <w:t>2</w:t>
            </w:r>
          </w:p>
        </w:tc>
      </w:tr>
      <w:tr w:rsidR="00E965EE" w:rsidRPr="00E965EE" w14:paraId="0FC48AB2" w14:textId="77777777" w:rsidTr="00396F09">
        <w:tc>
          <w:tcPr>
            <w:tcW w:w="5000" w:type="pct"/>
            <w:gridSpan w:val="4"/>
            <w:vAlign w:val="center"/>
          </w:tcPr>
          <w:p w14:paraId="69302ED3" w14:textId="77777777" w:rsidR="00E965EE" w:rsidRPr="00E965EE" w:rsidRDefault="00E965EE" w:rsidP="00A67F5E">
            <w:pPr>
              <w:keepNext/>
              <w:spacing w:before="0" w:after="0"/>
              <w:jc w:val="left"/>
              <w:rPr>
                <w:rFonts w:ascii="Arial Narrow" w:eastAsia="Times New Roman" w:hAnsi="Arial Narrow" w:cs="Times New Roman"/>
                <w:b/>
                <w:sz w:val="20"/>
                <w:szCs w:val="24"/>
                <w:lang w:eastAsia="en-AU"/>
              </w:rPr>
            </w:pPr>
            <w:r w:rsidRPr="00E965EE">
              <w:rPr>
                <w:rFonts w:ascii="Arial Narrow" w:eastAsia="Times New Roman" w:hAnsi="Arial Narrow" w:cs="Times New Roman"/>
                <w:b/>
                <w:sz w:val="20"/>
                <w:szCs w:val="24"/>
                <w:lang w:eastAsia="en-AU"/>
              </w:rPr>
              <w:t>Step 3: Transformation of virologic response into QALYs</w:t>
            </w:r>
          </w:p>
          <w:p w14:paraId="78813469" w14:textId="77777777" w:rsidR="00E965EE" w:rsidRPr="00E965EE" w:rsidRDefault="00E965EE" w:rsidP="00A67F5E">
            <w:pPr>
              <w:keepNext/>
              <w:spacing w:before="0" w:after="0"/>
              <w:jc w:val="left"/>
              <w:rPr>
                <w:rFonts w:ascii="Arial Narrow" w:eastAsia="Times New Roman" w:hAnsi="Arial Narrow" w:cs="Times New Roman"/>
                <w:bCs/>
                <w:sz w:val="20"/>
                <w:szCs w:val="24"/>
                <w:lang w:eastAsia="en-AU"/>
              </w:rPr>
            </w:pPr>
            <w:r w:rsidRPr="00E965EE">
              <w:rPr>
                <w:rFonts w:ascii="Arial Narrow" w:eastAsia="Times New Roman" w:hAnsi="Arial Narrow" w:cs="Times New Roman"/>
                <w:bCs/>
                <w:sz w:val="20"/>
                <w:szCs w:val="24"/>
                <w:lang w:eastAsia="en-AU"/>
              </w:rPr>
              <w:t>A utility increment of 0.0574 × 1.84 years (i.e. 96 weeks) was applied per patients with virologic response at 96 weeks.</w:t>
            </w:r>
          </w:p>
        </w:tc>
      </w:tr>
      <w:tr w:rsidR="00E965EE" w:rsidRPr="00E965EE" w14:paraId="46E66279" w14:textId="77777777" w:rsidTr="00396F09">
        <w:tc>
          <w:tcPr>
            <w:tcW w:w="1529" w:type="pct"/>
            <w:vAlign w:val="center"/>
          </w:tcPr>
          <w:p w14:paraId="02098D88"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Costs</w:t>
            </w:r>
          </w:p>
        </w:tc>
        <w:tc>
          <w:tcPr>
            <w:tcW w:w="1359" w:type="pct"/>
          </w:tcPr>
          <w:p w14:paraId="43875D18" w14:textId="46E85B0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94417F">
              <w:t xml:space="preserve"> </w:t>
            </w:r>
            <w:r w:rsidR="00845BD8" w:rsidRPr="00845BD8">
              <w:rPr>
                <w:rFonts w:ascii="Arial Narrow" w:eastAsia="Calibri" w:hAnsi="Arial Narrow" w:cs="Times New Roman"/>
                <w:b/>
                <w:bCs/>
                <w:sz w:val="20"/>
              </w:rPr>
              <w:t>redacted</w:t>
            </w:r>
            <w:r w:rsidR="00845BD8" w:rsidRPr="0094417F" w:rsidDel="00845BD8">
              <w:rPr>
                <w:rFonts w:ascii="Arial Narrow" w:eastAsia="Calibri" w:hAnsi="Arial Narrow" w:cs="Times New Roman"/>
                <w:sz w:val="20"/>
              </w:rPr>
              <w:t xml:space="preserve"> </w:t>
            </w:r>
          </w:p>
        </w:tc>
        <w:tc>
          <w:tcPr>
            <w:tcW w:w="1274" w:type="pct"/>
          </w:tcPr>
          <w:p w14:paraId="3B0B2E86"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$0</w:t>
            </w:r>
          </w:p>
        </w:tc>
        <w:tc>
          <w:tcPr>
            <w:tcW w:w="838" w:type="pct"/>
          </w:tcPr>
          <w:p w14:paraId="37049C21" w14:textId="73396948"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94417F">
              <w:t xml:space="preserve"> </w:t>
            </w:r>
            <w:r w:rsidR="00845BD8" w:rsidRPr="00845BD8">
              <w:rPr>
                <w:rFonts w:ascii="Arial Narrow" w:eastAsia="Calibri" w:hAnsi="Arial Narrow" w:cs="Times New Roman"/>
                <w:b/>
                <w:bCs/>
                <w:sz w:val="20"/>
              </w:rPr>
              <w:t>redacted</w:t>
            </w:r>
            <w:r w:rsidR="00845BD8" w:rsidRPr="0094417F" w:rsidDel="00845BD8">
              <w:rPr>
                <w:rFonts w:ascii="Arial Narrow" w:eastAsia="Calibri" w:hAnsi="Arial Narrow" w:cs="Times New Roman"/>
                <w:sz w:val="20"/>
              </w:rPr>
              <w:t xml:space="preserve"> </w:t>
            </w:r>
          </w:p>
        </w:tc>
      </w:tr>
      <w:tr w:rsidR="00E965EE" w:rsidRPr="00E965EE" w14:paraId="6CFAF7CE" w14:textId="77777777" w:rsidTr="00396F09">
        <w:tc>
          <w:tcPr>
            <w:tcW w:w="1529" w:type="pct"/>
            <w:vAlign w:val="center"/>
          </w:tcPr>
          <w:p w14:paraId="0F5C968C"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QALY gained</w:t>
            </w:r>
          </w:p>
        </w:tc>
        <w:tc>
          <w:tcPr>
            <w:tcW w:w="1359" w:type="pct"/>
          </w:tcPr>
          <w:p w14:paraId="6E08437C"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0.080</w:t>
            </w:r>
          </w:p>
        </w:tc>
        <w:tc>
          <w:tcPr>
            <w:tcW w:w="1274" w:type="pct"/>
          </w:tcPr>
          <w:p w14:paraId="4E11E8F4"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0.004</w:t>
            </w:r>
          </w:p>
        </w:tc>
        <w:tc>
          <w:tcPr>
            <w:tcW w:w="838" w:type="pct"/>
          </w:tcPr>
          <w:p w14:paraId="2022AAB0" w14:textId="77777777" w:rsidR="00E965EE" w:rsidRPr="00E965EE" w:rsidRDefault="00E965EE" w:rsidP="00A67F5E">
            <w:pPr>
              <w:keepNext/>
              <w:widowControl w:val="0"/>
              <w:spacing w:before="0" w:after="0"/>
              <w:jc w:val="center"/>
              <w:rPr>
                <w:rFonts w:ascii="Arial Narrow" w:eastAsia="Calibri" w:hAnsi="Arial Narrow" w:cs="Times New Roman"/>
                <w:sz w:val="20"/>
              </w:rPr>
            </w:pPr>
            <w:r w:rsidRPr="00E965EE">
              <w:rPr>
                <w:rFonts w:ascii="Arial Narrow" w:eastAsia="Calibri" w:hAnsi="Arial Narrow" w:cs="Times New Roman"/>
                <w:sz w:val="20"/>
              </w:rPr>
              <w:t>0.075</w:t>
            </w:r>
          </w:p>
        </w:tc>
      </w:tr>
      <w:tr w:rsidR="00E965EE" w:rsidRPr="00E965EE" w14:paraId="3602E3B0" w14:textId="77777777" w:rsidTr="00396F09">
        <w:tc>
          <w:tcPr>
            <w:tcW w:w="4162" w:type="pct"/>
            <w:gridSpan w:val="3"/>
            <w:vAlign w:val="center"/>
          </w:tcPr>
          <w:p w14:paraId="730179D1"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Incremental cost/extra QALY gained</w:t>
            </w:r>
          </w:p>
        </w:tc>
        <w:tc>
          <w:tcPr>
            <w:tcW w:w="838" w:type="pct"/>
            <w:vAlign w:val="center"/>
          </w:tcPr>
          <w:p w14:paraId="1AAB3AFE" w14:textId="57230D36"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5E0B1F">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r w:rsidR="008A23A3" w:rsidRPr="008A23A3">
              <w:rPr>
                <w:rFonts w:ascii="Arial Narrow" w:eastAsia="Calibri" w:hAnsi="Arial Narrow" w:cs="Times New Roman"/>
                <w:sz w:val="20"/>
                <w:vertAlign w:val="superscript"/>
              </w:rPr>
              <w:t>3</w:t>
            </w:r>
          </w:p>
        </w:tc>
      </w:tr>
      <w:tr w:rsidR="00E965EE" w:rsidRPr="00E965EE" w14:paraId="2DEBAE11" w14:textId="77777777" w:rsidTr="00396F09">
        <w:tc>
          <w:tcPr>
            <w:tcW w:w="5000" w:type="pct"/>
            <w:gridSpan w:val="4"/>
            <w:vAlign w:val="center"/>
          </w:tcPr>
          <w:p w14:paraId="27E5A05E" w14:textId="77777777" w:rsidR="00E965EE" w:rsidRPr="00E965EE" w:rsidRDefault="00E965EE" w:rsidP="00A67F5E">
            <w:pPr>
              <w:keepNext/>
              <w:spacing w:before="0" w:after="0"/>
              <w:jc w:val="left"/>
              <w:rPr>
                <w:rFonts w:ascii="Arial Narrow" w:eastAsia="Times New Roman" w:hAnsi="Arial Narrow" w:cs="Times New Roman"/>
                <w:b/>
                <w:sz w:val="20"/>
                <w:szCs w:val="24"/>
                <w:lang w:eastAsia="en-AU"/>
              </w:rPr>
            </w:pPr>
            <w:r w:rsidRPr="00E965EE">
              <w:rPr>
                <w:rFonts w:ascii="Arial Narrow" w:eastAsia="Times New Roman" w:hAnsi="Arial Narrow" w:cs="Times New Roman"/>
                <w:b/>
                <w:sz w:val="20"/>
                <w:szCs w:val="24"/>
                <w:lang w:eastAsia="en-AU"/>
              </w:rPr>
              <w:t>Step 3a: Transformation of the surrogate outcome of response into effect on disease progression</w:t>
            </w:r>
          </w:p>
          <w:p w14:paraId="2F46104A" w14:textId="77777777" w:rsidR="00E965EE" w:rsidRPr="00E965EE" w:rsidRDefault="00E965EE" w:rsidP="00A67F5E">
            <w:pPr>
              <w:keepNext/>
              <w:spacing w:before="0" w:after="0"/>
              <w:jc w:val="left"/>
              <w:rPr>
                <w:rFonts w:ascii="Arial Narrow" w:eastAsia="Times New Roman" w:hAnsi="Arial Narrow" w:cs="Times New Roman"/>
                <w:sz w:val="20"/>
                <w:szCs w:val="24"/>
                <w:lang w:eastAsia="en-AU"/>
              </w:rPr>
            </w:pPr>
            <w:r w:rsidRPr="00E965EE">
              <w:rPr>
                <w:rFonts w:ascii="Arial Narrow" w:eastAsia="Times New Roman" w:hAnsi="Arial Narrow" w:cs="Times New Roman"/>
                <w:sz w:val="20"/>
                <w:szCs w:val="24"/>
                <w:lang w:eastAsia="en-AU"/>
              </w:rPr>
              <w:t>Differences in disease progression were modelled across responders and non-responders based on the estimated relationship between response and liver-related outcomes. While the cost of testing was unchanged from the steps prior, the cost of bulevirtide treatment was reduced due to disease progression or HBsAg seroclearance. Costs of managing AEs, monitoring costs and other health state costs (disease management, liver transplantation and liver-related death) were included. Utility weights were applied according to the time spent in each health state and disutility due to AEs was included.</w:t>
            </w:r>
          </w:p>
        </w:tc>
      </w:tr>
      <w:tr w:rsidR="00E965EE" w:rsidRPr="00E965EE" w14:paraId="0D6C2893" w14:textId="77777777" w:rsidTr="00396F09">
        <w:tc>
          <w:tcPr>
            <w:tcW w:w="1529" w:type="pct"/>
            <w:vAlign w:val="center"/>
          </w:tcPr>
          <w:p w14:paraId="45818B15"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Costs</w:t>
            </w:r>
          </w:p>
        </w:tc>
        <w:tc>
          <w:tcPr>
            <w:tcW w:w="1359" w:type="pct"/>
          </w:tcPr>
          <w:p w14:paraId="15C1745B" w14:textId="3E750907"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c>
          <w:tcPr>
            <w:tcW w:w="1274" w:type="pct"/>
          </w:tcPr>
          <w:p w14:paraId="399984BA" w14:textId="77777777"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$8,688</w:t>
            </w:r>
          </w:p>
        </w:tc>
        <w:tc>
          <w:tcPr>
            <w:tcW w:w="838" w:type="pct"/>
          </w:tcPr>
          <w:p w14:paraId="518599DA" w14:textId="7CEC150A"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r>
      <w:tr w:rsidR="00E965EE" w:rsidRPr="00E965EE" w14:paraId="062B5F44" w14:textId="77777777" w:rsidTr="00396F09">
        <w:trPr>
          <w:trHeight w:val="300"/>
        </w:trPr>
        <w:tc>
          <w:tcPr>
            <w:tcW w:w="1529" w:type="pct"/>
            <w:vAlign w:val="center"/>
          </w:tcPr>
          <w:p w14:paraId="095D43DB" w14:textId="77777777" w:rsidR="00E965EE" w:rsidRPr="00E965EE" w:rsidRDefault="00E965EE" w:rsidP="00A67F5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LY gained</w:t>
            </w:r>
          </w:p>
        </w:tc>
        <w:tc>
          <w:tcPr>
            <w:tcW w:w="1359" w:type="pct"/>
          </w:tcPr>
          <w:p w14:paraId="5A00E1BA" w14:textId="77777777"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1.688</w:t>
            </w:r>
          </w:p>
        </w:tc>
        <w:tc>
          <w:tcPr>
            <w:tcW w:w="1274" w:type="pct"/>
          </w:tcPr>
          <w:p w14:paraId="6EE08D1C" w14:textId="77777777"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1.674</w:t>
            </w:r>
          </w:p>
        </w:tc>
        <w:tc>
          <w:tcPr>
            <w:tcW w:w="838" w:type="pct"/>
          </w:tcPr>
          <w:p w14:paraId="379264A2" w14:textId="77777777"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0.015</w:t>
            </w:r>
          </w:p>
        </w:tc>
      </w:tr>
      <w:tr w:rsidR="00E965EE" w:rsidRPr="00E965EE" w14:paraId="5C5839A0" w14:textId="77777777" w:rsidTr="00396F09">
        <w:tc>
          <w:tcPr>
            <w:tcW w:w="1529" w:type="pct"/>
            <w:vAlign w:val="center"/>
          </w:tcPr>
          <w:p w14:paraId="48F260F6"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QALY gained</w:t>
            </w:r>
          </w:p>
        </w:tc>
        <w:tc>
          <w:tcPr>
            <w:tcW w:w="1359" w:type="pct"/>
          </w:tcPr>
          <w:p w14:paraId="157E8C1F" w14:textId="77777777"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1.396</w:t>
            </w:r>
          </w:p>
        </w:tc>
        <w:tc>
          <w:tcPr>
            <w:tcW w:w="1274" w:type="pct"/>
          </w:tcPr>
          <w:p w14:paraId="32D23111" w14:textId="77777777"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1.323</w:t>
            </w:r>
          </w:p>
        </w:tc>
        <w:tc>
          <w:tcPr>
            <w:tcW w:w="838" w:type="pct"/>
          </w:tcPr>
          <w:p w14:paraId="44B12EAB" w14:textId="77777777"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0.074</w:t>
            </w:r>
          </w:p>
        </w:tc>
      </w:tr>
      <w:tr w:rsidR="00E965EE" w:rsidRPr="00E965EE" w14:paraId="4294C590" w14:textId="77777777" w:rsidTr="00396F09">
        <w:tc>
          <w:tcPr>
            <w:tcW w:w="4162" w:type="pct"/>
            <w:gridSpan w:val="3"/>
            <w:vAlign w:val="center"/>
          </w:tcPr>
          <w:p w14:paraId="3FA7915B"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Incremental cost/extra QALY gained</w:t>
            </w:r>
          </w:p>
        </w:tc>
        <w:tc>
          <w:tcPr>
            <w:tcW w:w="838" w:type="pct"/>
            <w:vAlign w:val="center"/>
          </w:tcPr>
          <w:p w14:paraId="1A802EEC" w14:textId="171EC4B0"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r w:rsidR="00F91349" w:rsidRPr="00F91349">
              <w:rPr>
                <w:rFonts w:ascii="Arial Narrow" w:eastAsia="Calibri" w:hAnsi="Arial Narrow" w:cs="Times New Roman"/>
                <w:sz w:val="20"/>
                <w:vertAlign w:val="superscript"/>
              </w:rPr>
              <w:t>4</w:t>
            </w:r>
          </w:p>
        </w:tc>
      </w:tr>
      <w:tr w:rsidR="00E965EE" w:rsidRPr="00E965EE" w14:paraId="4FAA6B31" w14:textId="77777777" w:rsidTr="00396F09">
        <w:tc>
          <w:tcPr>
            <w:tcW w:w="5000" w:type="pct"/>
            <w:gridSpan w:val="4"/>
            <w:vAlign w:val="center"/>
          </w:tcPr>
          <w:p w14:paraId="606BF722" w14:textId="77777777" w:rsidR="00E965EE" w:rsidRPr="00E965EE" w:rsidRDefault="00E965EE" w:rsidP="00A67F5E">
            <w:pPr>
              <w:keepNext/>
              <w:spacing w:before="0" w:after="0"/>
              <w:jc w:val="left"/>
              <w:rPr>
                <w:rFonts w:ascii="Arial Narrow" w:eastAsia="Times New Roman" w:hAnsi="Arial Narrow" w:cs="Times New Roman"/>
                <w:b/>
                <w:sz w:val="20"/>
                <w:szCs w:val="24"/>
                <w:lang w:eastAsia="en-AU"/>
              </w:rPr>
            </w:pPr>
            <w:r w:rsidRPr="00E965EE">
              <w:rPr>
                <w:rFonts w:ascii="Arial Narrow" w:eastAsia="Times New Roman" w:hAnsi="Arial Narrow" w:cs="Times New Roman"/>
                <w:b/>
                <w:sz w:val="20"/>
                <w:szCs w:val="24"/>
                <w:lang w:eastAsia="en-AU"/>
              </w:rPr>
              <w:t>Step 3b: Adjustment of compliance to bulevirtide treatment</w:t>
            </w:r>
          </w:p>
          <w:p w14:paraId="28F4BAAE" w14:textId="77777777" w:rsidR="00E965EE" w:rsidRPr="00E965EE" w:rsidRDefault="00E965EE" w:rsidP="00A67F5E">
            <w:pPr>
              <w:keepNext/>
              <w:spacing w:before="0" w:after="0"/>
              <w:jc w:val="left"/>
              <w:rPr>
                <w:rFonts w:ascii="Arial Narrow" w:eastAsia="Times New Roman" w:hAnsi="Arial Narrow" w:cs="Times New Roman"/>
                <w:bCs/>
                <w:sz w:val="20"/>
                <w:szCs w:val="24"/>
                <w:lang w:eastAsia="en-AU"/>
              </w:rPr>
            </w:pPr>
            <w:r w:rsidRPr="00E965EE">
              <w:rPr>
                <w:rFonts w:ascii="Arial Narrow" w:eastAsia="Times New Roman" w:hAnsi="Arial Narrow" w:cs="Times New Roman"/>
                <w:bCs/>
                <w:sz w:val="20"/>
                <w:szCs w:val="24"/>
                <w:lang w:eastAsia="en-AU"/>
              </w:rPr>
              <w:t>Costs and outcomes as per Step 3a, except bulevirtide costs were adjusted for reduced compliance (90%)</w:t>
            </w:r>
          </w:p>
        </w:tc>
      </w:tr>
      <w:tr w:rsidR="00E965EE" w:rsidRPr="00E965EE" w14:paraId="097BDDD6" w14:textId="77777777" w:rsidTr="00396F09">
        <w:tc>
          <w:tcPr>
            <w:tcW w:w="1529" w:type="pct"/>
            <w:vAlign w:val="center"/>
          </w:tcPr>
          <w:p w14:paraId="57DF29AA"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Costs</w:t>
            </w:r>
          </w:p>
        </w:tc>
        <w:tc>
          <w:tcPr>
            <w:tcW w:w="1359" w:type="pct"/>
          </w:tcPr>
          <w:p w14:paraId="274E4A0F" w14:textId="4CB58652"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c>
          <w:tcPr>
            <w:tcW w:w="1274" w:type="pct"/>
          </w:tcPr>
          <w:p w14:paraId="017BD920" w14:textId="77777777"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$8,688</w:t>
            </w:r>
          </w:p>
        </w:tc>
        <w:tc>
          <w:tcPr>
            <w:tcW w:w="838" w:type="pct"/>
          </w:tcPr>
          <w:p w14:paraId="07455288" w14:textId="6CDC1E69"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r>
      <w:tr w:rsidR="00E965EE" w:rsidRPr="00E965EE" w14:paraId="25965D85" w14:textId="77777777" w:rsidTr="00396F09">
        <w:trPr>
          <w:trHeight w:val="300"/>
        </w:trPr>
        <w:tc>
          <w:tcPr>
            <w:tcW w:w="1529" w:type="pct"/>
            <w:vAlign w:val="center"/>
          </w:tcPr>
          <w:p w14:paraId="6FFA2315" w14:textId="77777777" w:rsidR="00E965EE" w:rsidRPr="00E965EE" w:rsidRDefault="00E965EE" w:rsidP="00A67F5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LY gained</w:t>
            </w:r>
          </w:p>
        </w:tc>
        <w:tc>
          <w:tcPr>
            <w:tcW w:w="1359" w:type="pct"/>
          </w:tcPr>
          <w:p w14:paraId="6A20D7FF" w14:textId="77777777"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1.688</w:t>
            </w:r>
          </w:p>
        </w:tc>
        <w:tc>
          <w:tcPr>
            <w:tcW w:w="1274" w:type="pct"/>
          </w:tcPr>
          <w:p w14:paraId="090B4182" w14:textId="77777777"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1.674</w:t>
            </w:r>
          </w:p>
        </w:tc>
        <w:tc>
          <w:tcPr>
            <w:tcW w:w="838" w:type="pct"/>
          </w:tcPr>
          <w:p w14:paraId="0FDCD2F9" w14:textId="77777777"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0.015</w:t>
            </w:r>
          </w:p>
        </w:tc>
      </w:tr>
      <w:tr w:rsidR="00E965EE" w:rsidRPr="00E965EE" w14:paraId="0545FBCF" w14:textId="77777777" w:rsidTr="00396F09">
        <w:tc>
          <w:tcPr>
            <w:tcW w:w="1529" w:type="pct"/>
            <w:vAlign w:val="center"/>
          </w:tcPr>
          <w:p w14:paraId="148E8099"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QALY gained</w:t>
            </w:r>
          </w:p>
        </w:tc>
        <w:tc>
          <w:tcPr>
            <w:tcW w:w="1359" w:type="pct"/>
          </w:tcPr>
          <w:p w14:paraId="39E839C9" w14:textId="77777777"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1.396</w:t>
            </w:r>
          </w:p>
        </w:tc>
        <w:tc>
          <w:tcPr>
            <w:tcW w:w="1274" w:type="pct"/>
          </w:tcPr>
          <w:p w14:paraId="1CFDA372" w14:textId="77777777"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1.323</w:t>
            </w:r>
          </w:p>
        </w:tc>
        <w:tc>
          <w:tcPr>
            <w:tcW w:w="838" w:type="pct"/>
          </w:tcPr>
          <w:p w14:paraId="49741492" w14:textId="77777777" w:rsidR="00E965EE" w:rsidRPr="00E965EE" w:rsidRDefault="00E965EE" w:rsidP="00A67F5E">
            <w:pPr>
              <w:keepNext/>
              <w:widowControl w:val="0"/>
              <w:spacing w:before="0" w:after="0"/>
              <w:jc w:val="center"/>
              <w:rPr>
                <w:rFonts w:ascii="Arial Narrow" w:eastAsia="Calibri" w:hAnsi="Arial Narrow" w:cs="Times New Roman"/>
                <w:i/>
                <w:iCs/>
                <w:sz w:val="20"/>
              </w:rPr>
            </w:pPr>
            <w:r w:rsidRPr="00E965EE">
              <w:rPr>
                <w:rFonts w:ascii="Arial Narrow" w:eastAsia="Calibri" w:hAnsi="Arial Narrow" w:cs="Times New Roman"/>
                <w:i/>
                <w:iCs/>
                <w:sz w:val="20"/>
              </w:rPr>
              <w:t>0.074</w:t>
            </w:r>
          </w:p>
        </w:tc>
      </w:tr>
      <w:tr w:rsidR="00E965EE" w:rsidRPr="00E965EE" w14:paraId="37E525AF" w14:textId="77777777" w:rsidTr="00396F09">
        <w:tc>
          <w:tcPr>
            <w:tcW w:w="4162" w:type="pct"/>
            <w:gridSpan w:val="3"/>
            <w:vAlign w:val="center"/>
          </w:tcPr>
          <w:p w14:paraId="68D9F4B6"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Incremental cost/extra QALY gained</w:t>
            </w:r>
          </w:p>
        </w:tc>
        <w:tc>
          <w:tcPr>
            <w:tcW w:w="838" w:type="pct"/>
            <w:vAlign w:val="center"/>
          </w:tcPr>
          <w:p w14:paraId="0C8DD305" w14:textId="6664F38F" w:rsidR="00E965EE" w:rsidRPr="00E965EE" w:rsidRDefault="00E965EE" w:rsidP="00A67F5E">
            <w:pPr>
              <w:keepNext/>
              <w:widowControl w:val="0"/>
              <w:spacing w:before="0" w:after="0"/>
              <w:jc w:val="center"/>
              <w:rPr>
                <w:rFonts w:ascii="Times" w:eastAsia="Calibri" w:hAnsi="Times" w:cs="Times New Roman"/>
                <w:i/>
                <w:iCs/>
                <w:sz w:val="20"/>
              </w:rPr>
            </w:pPr>
            <w:r w:rsidRPr="00E965EE">
              <w:rPr>
                <w:rFonts w:ascii="Arial Narrow" w:eastAsia="Calibri" w:hAnsi="Arial Narrow" w:cs="Times New Roman"/>
                <w:i/>
                <w:iCs/>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r w:rsidR="00F91349" w:rsidRPr="00F91349">
              <w:rPr>
                <w:rFonts w:ascii="Arial Narrow" w:eastAsia="Calibri" w:hAnsi="Arial Narrow" w:cs="Times New Roman"/>
                <w:sz w:val="20"/>
                <w:vertAlign w:val="superscript"/>
              </w:rPr>
              <w:t>5</w:t>
            </w:r>
          </w:p>
        </w:tc>
      </w:tr>
      <w:tr w:rsidR="00E965EE" w:rsidRPr="00E965EE" w14:paraId="0F51F5F7" w14:textId="77777777" w:rsidTr="00396F09">
        <w:tc>
          <w:tcPr>
            <w:tcW w:w="5000" w:type="pct"/>
            <w:gridSpan w:val="4"/>
            <w:vAlign w:val="center"/>
          </w:tcPr>
          <w:p w14:paraId="6CE36D42" w14:textId="77777777" w:rsidR="00E965EE" w:rsidRPr="00E965EE" w:rsidRDefault="00E965EE" w:rsidP="00A67F5E">
            <w:pPr>
              <w:keepNext/>
              <w:spacing w:before="0" w:after="0"/>
              <w:jc w:val="left"/>
              <w:rPr>
                <w:rFonts w:ascii="Arial Narrow" w:eastAsia="Times New Roman" w:hAnsi="Arial Narrow" w:cs="Times New Roman"/>
                <w:b/>
                <w:sz w:val="20"/>
                <w:szCs w:val="24"/>
                <w:lang w:eastAsia="en-AU"/>
              </w:rPr>
            </w:pPr>
            <w:r w:rsidRPr="00E965EE">
              <w:rPr>
                <w:rFonts w:ascii="Arial Narrow" w:eastAsia="Times New Roman" w:hAnsi="Arial Narrow" w:cs="Times New Roman"/>
                <w:b/>
                <w:sz w:val="20"/>
                <w:szCs w:val="24"/>
                <w:lang w:eastAsia="en-AU"/>
              </w:rPr>
              <w:t>Step 4: Extrapolation over 58 years</w:t>
            </w:r>
          </w:p>
          <w:p w14:paraId="6BE37024" w14:textId="77777777" w:rsidR="00E965EE" w:rsidRPr="00E965EE" w:rsidRDefault="00E965EE" w:rsidP="00A67F5E">
            <w:pPr>
              <w:keepNext/>
              <w:spacing w:before="0" w:after="0"/>
              <w:jc w:val="left"/>
              <w:rPr>
                <w:rFonts w:ascii="Arial Narrow" w:eastAsia="Times New Roman" w:hAnsi="Arial Narrow" w:cs="Times New Roman"/>
                <w:bCs/>
                <w:sz w:val="20"/>
                <w:szCs w:val="24"/>
                <w:lang w:eastAsia="en-AU"/>
              </w:rPr>
            </w:pPr>
            <w:r w:rsidRPr="00E965EE">
              <w:rPr>
                <w:rFonts w:ascii="Arial Narrow" w:eastAsia="Times New Roman" w:hAnsi="Arial Narrow" w:cs="Times New Roman"/>
                <w:bCs/>
                <w:sz w:val="20"/>
                <w:szCs w:val="24"/>
                <w:lang w:eastAsia="en-AU"/>
              </w:rPr>
              <w:t xml:space="preserve">Cost of testing and costs and outcomes due to AEs were unchanged from previous steps. All other costs and outcomes were extrapolated over 58-year time horizon. </w:t>
            </w:r>
          </w:p>
        </w:tc>
      </w:tr>
      <w:tr w:rsidR="00E965EE" w:rsidRPr="00E965EE" w14:paraId="62922123" w14:textId="77777777" w:rsidTr="00396F09">
        <w:tc>
          <w:tcPr>
            <w:tcW w:w="1529" w:type="pct"/>
            <w:vAlign w:val="center"/>
          </w:tcPr>
          <w:p w14:paraId="5655B2F6"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Costs</w:t>
            </w:r>
          </w:p>
        </w:tc>
        <w:tc>
          <w:tcPr>
            <w:tcW w:w="1359" w:type="pct"/>
          </w:tcPr>
          <w:p w14:paraId="30BF63FB" w14:textId="4399CDC3"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c>
          <w:tcPr>
            <w:tcW w:w="1274" w:type="pct"/>
          </w:tcPr>
          <w:p w14:paraId="396B5B24"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$68,278</w:t>
            </w:r>
          </w:p>
        </w:tc>
        <w:tc>
          <w:tcPr>
            <w:tcW w:w="838" w:type="pct"/>
          </w:tcPr>
          <w:p w14:paraId="66944E71" w14:textId="0C4A411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p>
        </w:tc>
      </w:tr>
      <w:tr w:rsidR="00E965EE" w:rsidRPr="00E965EE" w14:paraId="4C45D55A" w14:textId="77777777" w:rsidTr="00396F09">
        <w:trPr>
          <w:trHeight w:val="300"/>
        </w:trPr>
        <w:tc>
          <w:tcPr>
            <w:tcW w:w="1529" w:type="pct"/>
            <w:vAlign w:val="center"/>
          </w:tcPr>
          <w:p w14:paraId="1B0E1E9F" w14:textId="77777777" w:rsidR="00E965EE" w:rsidRPr="00E965EE" w:rsidRDefault="00E965EE" w:rsidP="00A67F5E">
            <w:pPr>
              <w:keepNext/>
              <w:widowControl w:val="0"/>
              <w:spacing w:before="0" w:after="0"/>
              <w:jc w:val="left"/>
              <w:rPr>
                <w:rFonts w:ascii="Arial Narrow" w:eastAsia="Calibri" w:hAnsi="Arial Narrow" w:cs="Times New Roman"/>
                <w:sz w:val="20"/>
              </w:rPr>
            </w:pPr>
            <w:r w:rsidRPr="00E965EE">
              <w:rPr>
                <w:rFonts w:ascii="Arial Narrow" w:eastAsia="Calibri" w:hAnsi="Arial Narrow" w:cs="Times New Roman"/>
                <w:sz w:val="20"/>
              </w:rPr>
              <w:t>LY gained</w:t>
            </w:r>
          </w:p>
        </w:tc>
        <w:tc>
          <w:tcPr>
            <w:tcW w:w="1359" w:type="pct"/>
          </w:tcPr>
          <w:p w14:paraId="07B98A9D" w14:textId="77777777" w:rsidR="00E965EE" w:rsidRPr="00E965EE" w:rsidRDefault="00E965EE" w:rsidP="00A67F5E">
            <w:pPr>
              <w:keepNext/>
              <w:widowControl w:val="0"/>
              <w:spacing w:before="0" w:after="0"/>
              <w:jc w:val="center"/>
              <w:rPr>
                <w:rFonts w:ascii="Arial Narrow" w:eastAsia="Calibri" w:hAnsi="Arial Narrow" w:cs="Times New Roman"/>
                <w:sz w:val="20"/>
              </w:rPr>
            </w:pPr>
            <w:r w:rsidRPr="00E965EE">
              <w:rPr>
                <w:rFonts w:ascii="Arial Narrow" w:eastAsia="Calibri" w:hAnsi="Arial Narrow" w:cs="Times New Roman"/>
                <w:sz w:val="20"/>
              </w:rPr>
              <w:t>10.851</w:t>
            </w:r>
          </w:p>
        </w:tc>
        <w:tc>
          <w:tcPr>
            <w:tcW w:w="1274" w:type="pct"/>
          </w:tcPr>
          <w:p w14:paraId="74075C22" w14:textId="77777777" w:rsidR="00E965EE" w:rsidRPr="00E965EE" w:rsidRDefault="00E965EE" w:rsidP="00A67F5E">
            <w:pPr>
              <w:keepNext/>
              <w:widowControl w:val="0"/>
              <w:spacing w:before="0" w:after="0"/>
              <w:jc w:val="center"/>
              <w:rPr>
                <w:rFonts w:ascii="Arial Narrow" w:eastAsia="Calibri" w:hAnsi="Arial Narrow" w:cs="Times New Roman"/>
                <w:sz w:val="20"/>
              </w:rPr>
            </w:pPr>
            <w:r w:rsidRPr="00E965EE">
              <w:rPr>
                <w:rFonts w:ascii="Arial Narrow" w:eastAsia="Calibri" w:hAnsi="Arial Narrow" w:cs="Times New Roman"/>
                <w:sz w:val="20"/>
              </w:rPr>
              <w:t>8.462</w:t>
            </w:r>
          </w:p>
        </w:tc>
        <w:tc>
          <w:tcPr>
            <w:tcW w:w="838" w:type="pct"/>
          </w:tcPr>
          <w:p w14:paraId="59667FE8" w14:textId="77777777" w:rsidR="00E965EE" w:rsidRPr="00E965EE" w:rsidRDefault="00E965EE" w:rsidP="00A67F5E">
            <w:pPr>
              <w:keepNext/>
              <w:widowControl w:val="0"/>
              <w:spacing w:before="0" w:after="0"/>
              <w:jc w:val="center"/>
              <w:rPr>
                <w:rFonts w:ascii="Arial Narrow" w:eastAsia="Calibri" w:hAnsi="Arial Narrow" w:cs="Times New Roman"/>
                <w:sz w:val="20"/>
              </w:rPr>
            </w:pPr>
            <w:r w:rsidRPr="00E965EE">
              <w:rPr>
                <w:rFonts w:ascii="Arial Narrow" w:eastAsia="Calibri" w:hAnsi="Arial Narrow" w:cs="Times New Roman"/>
                <w:sz w:val="20"/>
              </w:rPr>
              <w:t>2.389</w:t>
            </w:r>
          </w:p>
        </w:tc>
      </w:tr>
      <w:tr w:rsidR="00E965EE" w:rsidRPr="00E965EE" w14:paraId="31AF1385" w14:textId="77777777" w:rsidTr="00396F09">
        <w:tc>
          <w:tcPr>
            <w:tcW w:w="1529" w:type="pct"/>
            <w:vAlign w:val="center"/>
          </w:tcPr>
          <w:p w14:paraId="2E16B104" w14:textId="77777777" w:rsidR="00E965EE" w:rsidRPr="00E965EE" w:rsidRDefault="00E965EE" w:rsidP="00A67F5E">
            <w:pPr>
              <w:keepNext/>
              <w:widowControl w:val="0"/>
              <w:spacing w:before="0" w:after="0"/>
              <w:jc w:val="left"/>
              <w:rPr>
                <w:rFonts w:ascii="Times" w:eastAsia="Calibri" w:hAnsi="Times" w:cs="Times New Roman"/>
                <w:sz w:val="20"/>
              </w:rPr>
            </w:pPr>
            <w:r w:rsidRPr="00E965EE">
              <w:rPr>
                <w:rFonts w:ascii="Arial Narrow" w:eastAsia="Calibri" w:hAnsi="Arial Narrow" w:cs="Times New Roman"/>
                <w:sz w:val="20"/>
              </w:rPr>
              <w:t>QALY gained</w:t>
            </w:r>
          </w:p>
        </w:tc>
        <w:tc>
          <w:tcPr>
            <w:tcW w:w="1359" w:type="pct"/>
          </w:tcPr>
          <w:p w14:paraId="3791BFB2"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8.548</w:t>
            </w:r>
          </w:p>
        </w:tc>
        <w:tc>
          <w:tcPr>
            <w:tcW w:w="1274" w:type="pct"/>
          </w:tcPr>
          <w:p w14:paraId="6D73CFF3" w14:textId="77777777" w:rsidR="00E965EE" w:rsidRPr="00E965EE" w:rsidRDefault="00E965EE" w:rsidP="00A67F5E">
            <w:pPr>
              <w:keepNext/>
              <w:widowControl w:val="0"/>
              <w:spacing w:before="0" w:after="0"/>
              <w:jc w:val="center"/>
              <w:rPr>
                <w:rFonts w:ascii="Times" w:eastAsia="Calibri" w:hAnsi="Times" w:cs="Times New Roman"/>
                <w:sz w:val="20"/>
              </w:rPr>
            </w:pPr>
            <w:r w:rsidRPr="00E965EE">
              <w:rPr>
                <w:rFonts w:ascii="Arial Narrow" w:eastAsia="Calibri" w:hAnsi="Arial Narrow" w:cs="Times New Roman"/>
                <w:sz w:val="20"/>
              </w:rPr>
              <w:t>6.327</w:t>
            </w:r>
          </w:p>
        </w:tc>
        <w:tc>
          <w:tcPr>
            <w:tcW w:w="838" w:type="pct"/>
          </w:tcPr>
          <w:p w14:paraId="0EFD97A3" w14:textId="77777777" w:rsidR="00E965EE" w:rsidRPr="00E965EE" w:rsidRDefault="00E965EE" w:rsidP="00A67F5E">
            <w:pPr>
              <w:keepNext/>
              <w:widowControl w:val="0"/>
              <w:spacing w:before="0" w:after="0"/>
              <w:jc w:val="center"/>
              <w:rPr>
                <w:rFonts w:ascii="Arial Narrow" w:eastAsia="Calibri" w:hAnsi="Arial Narrow" w:cs="Times New Roman"/>
                <w:sz w:val="20"/>
              </w:rPr>
            </w:pPr>
            <w:r w:rsidRPr="00E965EE">
              <w:rPr>
                <w:rFonts w:ascii="Arial Narrow" w:eastAsia="Calibri" w:hAnsi="Arial Narrow" w:cs="Times New Roman"/>
                <w:sz w:val="20"/>
              </w:rPr>
              <w:t>2.221</w:t>
            </w:r>
          </w:p>
        </w:tc>
      </w:tr>
      <w:tr w:rsidR="00E965EE" w:rsidRPr="00E965EE" w14:paraId="5AE90E89" w14:textId="77777777" w:rsidTr="00396F09">
        <w:tc>
          <w:tcPr>
            <w:tcW w:w="4162" w:type="pct"/>
            <w:gridSpan w:val="3"/>
            <w:vAlign w:val="center"/>
          </w:tcPr>
          <w:p w14:paraId="248C9DD9" w14:textId="77777777" w:rsidR="00E965EE" w:rsidRPr="00E965EE" w:rsidRDefault="00E965EE" w:rsidP="00A67F5E">
            <w:pPr>
              <w:keepNext/>
              <w:widowControl w:val="0"/>
              <w:spacing w:before="0" w:after="0"/>
              <w:jc w:val="left"/>
              <w:rPr>
                <w:rFonts w:ascii="Times" w:eastAsia="Calibri" w:hAnsi="Times" w:cs="Times New Roman"/>
                <w:b/>
                <w:sz w:val="20"/>
              </w:rPr>
            </w:pPr>
            <w:r w:rsidRPr="00E965EE">
              <w:rPr>
                <w:rFonts w:ascii="Arial Narrow" w:eastAsia="Calibri" w:hAnsi="Arial Narrow" w:cs="Times New Roman"/>
                <w:b/>
                <w:sz w:val="20"/>
              </w:rPr>
              <w:t>Incremental cost/extra QALY gained (base case)</w:t>
            </w:r>
          </w:p>
        </w:tc>
        <w:tc>
          <w:tcPr>
            <w:tcW w:w="838" w:type="pct"/>
            <w:vAlign w:val="center"/>
          </w:tcPr>
          <w:p w14:paraId="41906114" w14:textId="2D3A870C" w:rsidR="00E965EE" w:rsidRPr="00E965EE" w:rsidRDefault="00E965EE" w:rsidP="00A67F5E">
            <w:pPr>
              <w:keepNext/>
              <w:widowControl w:val="0"/>
              <w:spacing w:before="0" w:after="0"/>
              <w:jc w:val="center"/>
              <w:rPr>
                <w:rFonts w:ascii="Times" w:eastAsia="Calibri" w:hAnsi="Times" w:cs="Times New Roman"/>
                <w:b/>
                <w:sz w:val="20"/>
              </w:rPr>
            </w:pPr>
            <w:r w:rsidRPr="00E965EE">
              <w:rPr>
                <w:rFonts w:ascii="Arial Narrow" w:eastAsia="Calibri" w:hAnsi="Arial Narrow" w:cs="Times New Roman"/>
                <w:b/>
                <w:sz w:val="20"/>
              </w:rPr>
              <w:t>$</w:t>
            </w:r>
            <w:r w:rsidR="003C05D3">
              <w:rPr>
                <w:rFonts w:ascii="Arial Narrow" w:eastAsia="Calibri" w:hAnsi="Arial Narrow" w:cs="Times New Roman"/>
                <w:sz w:val="20"/>
              </w:rPr>
              <w:t xml:space="preserve"> </w:t>
            </w:r>
            <w:r w:rsidR="00845BD8" w:rsidRPr="00845BD8">
              <w:rPr>
                <w:rFonts w:ascii="Arial Narrow" w:eastAsia="Calibri" w:hAnsi="Arial Narrow" w:cs="Times New Roman"/>
                <w:b/>
                <w:bCs/>
                <w:sz w:val="20"/>
              </w:rPr>
              <w:t>redacted</w:t>
            </w:r>
            <w:r w:rsidR="00845BD8" w:rsidDel="00845BD8">
              <w:rPr>
                <w:rFonts w:ascii="Arial Narrow" w:eastAsia="Calibri" w:hAnsi="Arial Narrow" w:cs="Times New Roman"/>
                <w:sz w:val="20"/>
              </w:rPr>
              <w:t xml:space="preserve"> </w:t>
            </w:r>
            <w:r w:rsidR="005E6065" w:rsidRPr="005E6065">
              <w:rPr>
                <w:rFonts w:ascii="Arial Narrow" w:eastAsia="Calibri" w:hAnsi="Arial Narrow" w:cs="Times New Roman"/>
                <w:sz w:val="20"/>
                <w:vertAlign w:val="superscript"/>
              </w:rPr>
              <w:t>6</w:t>
            </w:r>
          </w:p>
        </w:tc>
      </w:tr>
    </w:tbl>
    <w:p w14:paraId="39DF888B"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Source: Adapted from Table 3.8−1, p171 of the of the submission, and the attached ‘Attachment 10 - Hepcludex HDV Section 3A Cost-Eff Model_vfinal.xlsm’ and ‘Attachment 13 - Hepcludex HDV Section 3A Stepped Evaluation.xlsx’ files.</w:t>
      </w:r>
    </w:p>
    <w:p w14:paraId="4F86101E"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AE = adverse event; BSC = best supportive care; HBsAg = hepatitis B surface antigen; HDV = hepatitis D virus; LY = life years; QALYs = quality adjusted life years; RNA = ribonucleic acid.</w:t>
      </w:r>
    </w:p>
    <w:p w14:paraId="5BEF3F79"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vertAlign w:val="superscript"/>
        </w:rPr>
        <w:t>a</w:t>
      </w:r>
      <w:r w:rsidRPr="00E965EE">
        <w:rPr>
          <w:rFonts w:ascii="Arial Narrow" w:eastAsia="Times New Roman" w:hAnsi="Arial Narrow" w:cs="Arial"/>
          <w:snapToGrid w:val="0"/>
          <w:sz w:val="18"/>
          <w:szCs w:val="20"/>
        </w:rPr>
        <w:t xml:space="preserve"> Coghill S, McNamara J, Woods M, Hajkowicz K. Epidemiology and clinical outcomes of hepatitis delta (D) virus infection in Queensland, Australia. Int J Infect Dis. 2018 Sep;74:123-7.</w:t>
      </w:r>
    </w:p>
    <w:p w14:paraId="0462DA74"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vertAlign w:val="superscript"/>
        </w:rPr>
        <w:t>b</w:t>
      </w:r>
      <w:r w:rsidRPr="00E965EE">
        <w:rPr>
          <w:rFonts w:ascii="Arial Narrow" w:eastAsia="Times New Roman" w:hAnsi="Arial Narrow" w:cs="Arial"/>
          <w:snapToGrid w:val="0"/>
          <w:sz w:val="18"/>
          <w:szCs w:val="20"/>
        </w:rPr>
        <w:t xml:space="preserve"> Jackson K, MacLachlan J, Cowie B, Locarnini S, Bowden S, Higgins N, et al. Epidemiology and phylogenetic analysis of hepatitis D virus infection in Australia. Intern Med J. 2018 Nov;48(11):1308-17.</w:t>
      </w:r>
    </w:p>
    <w:p w14:paraId="5F635148"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vertAlign w:val="superscript"/>
        </w:rPr>
        <w:t>c</w:t>
      </w:r>
      <w:r w:rsidRPr="00E965EE">
        <w:rPr>
          <w:rFonts w:ascii="Arial Narrow" w:eastAsia="Times New Roman" w:hAnsi="Arial Narrow" w:cs="Arial"/>
          <w:snapToGrid w:val="0"/>
          <w:sz w:val="18"/>
          <w:szCs w:val="20"/>
        </w:rPr>
        <w:t xml:space="preserve"> Shadur B, MacLachlan J, Cowie B. Hepatitis D virus in Victoria 2000-2009. Intern Med J. 2013 Oct;43(10):1081-7.</w:t>
      </w:r>
    </w:p>
    <w:p w14:paraId="342397EC" w14:textId="77777777" w:rsidR="00026EEE" w:rsidRDefault="00E965EE" w:rsidP="00A67F5E">
      <w:pPr>
        <w:widowControl w:val="0"/>
        <w:spacing w:before="0" w:after="0"/>
        <w:rPr>
          <w:rFonts w:ascii="Arial Narrow" w:eastAsia="Times New Roman" w:hAnsi="Arial Narrow" w:cs="Arial"/>
          <w:snapToGrid w:val="0"/>
          <w:sz w:val="18"/>
          <w:szCs w:val="20"/>
        </w:rPr>
      </w:pPr>
      <w:r w:rsidRPr="00E965EE">
        <w:rPr>
          <w:rFonts w:ascii="Arial Narrow" w:eastAsia="Times New Roman" w:hAnsi="Arial Narrow" w:cs="Arial"/>
          <w:snapToGrid w:val="0"/>
          <w:sz w:val="20"/>
          <w:szCs w:val="20"/>
          <w:vertAlign w:val="superscript"/>
        </w:rPr>
        <w:t>d</w:t>
      </w:r>
      <w:r w:rsidRPr="00E965EE">
        <w:rPr>
          <w:rFonts w:ascii="Arial Narrow" w:eastAsia="Times New Roman" w:hAnsi="Arial Narrow" w:cs="Arial"/>
          <w:snapToGrid w:val="0"/>
          <w:sz w:val="20"/>
          <w:szCs w:val="20"/>
        </w:rPr>
        <w:t xml:space="preserve"> </w:t>
      </w:r>
      <w:r w:rsidRPr="00E965EE">
        <w:rPr>
          <w:rFonts w:ascii="Arial Narrow" w:eastAsia="Times New Roman" w:hAnsi="Arial Narrow" w:cs="Arial"/>
          <w:snapToGrid w:val="0"/>
          <w:sz w:val="18"/>
          <w:szCs w:val="20"/>
        </w:rPr>
        <w:t>defined as undetectable HDV RNA or decrease in HDV RNA by ≥2 log</w:t>
      </w:r>
      <w:r w:rsidRPr="00E965EE">
        <w:rPr>
          <w:rFonts w:ascii="Arial Narrow" w:eastAsia="Times New Roman" w:hAnsi="Arial Narrow" w:cs="Arial"/>
          <w:snapToGrid w:val="0"/>
          <w:sz w:val="18"/>
          <w:szCs w:val="20"/>
          <w:vertAlign w:val="subscript"/>
        </w:rPr>
        <w:t>10</w:t>
      </w:r>
      <w:r w:rsidRPr="00E965EE">
        <w:rPr>
          <w:rFonts w:ascii="Arial Narrow" w:eastAsia="Times New Roman" w:hAnsi="Arial Narrow" w:cs="Arial"/>
          <w:snapToGrid w:val="0"/>
          <w:sz w:val="18"/>
          <w:szCs w:val="20"/>
        </w:rPr>
        <w:t> IU/mL from baseline.</w:t>
      </w:r>
    </w:p>
    <w:p w14:paraId="03BC740A" w14:textId="4F1357FE" w:rsidR="00026EEE" w:rsidRDefault="00026EEE" w:rsidP="00A67F5E">
      <w:pPr>
        <w:widowControl w:val="0"/>
        <w:spacing w:before="0" w:after="0"/>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1 </w:t>
      </w:r>
      <w:r w:rsidRPr="00026EEE">
        <w:rPr>
          <w:rFonts w:ascii="Arial Narrow" w:eastAsia="Times New Roman" w:hAnsi="Arial Narrow" w:cs="Arial"/>
          <w:snapToGrid w:val="0"/>
          <w:sz w:val="18"/>
          <w:szCs w:val="20"/>
        </w:rPr>
        <w:t>$55,000 to &lt; $75,000</w:t>
      </w:r>
    </w:p>
    <w:p w14:paraId="0754C49D" w14:textId="3537715A" w:rsidR="001243BC" w:rsidRDefault="001243BC" w:rsidP="00A67F5E">
      <w:pPr>
        <w:widowControl w:val="0"/>
        <w:spacing w:before="0" w:after="0"/>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2 </w:t>
      </w:r>
      <w:r w:rsidR="009A7B66" w:rsidRPr="00026EEE">
        <w:rPr>
          <w:rFonts w:ascii="Arial Narrow" w:eastAsia="Times New Roman" w:hAnsi="Arial Narrow" w:cs="Arial"/>
          <w:snapToGrid w:val="0"/>
          <w:sz w:val="18"/>
          <w:szCs w:val="20"/>
        </w:rPr>
        <w:t>$</w:t>
      </w:r>
      <w:r w:rsidR="009A7B66">
        <w:rPr>
          <w:rFonts w:ascii="Arial Narrow" w:eastAsia="Times New Roman" w:hAnsi="Arial Narrow" w:cs="Arial"/>
          <w:snapToGrid w:val="0"/>
          <w:sz w:val="18"/>
          <w:szCs w:val="20"/>
        </w:rPr>
        <w:t>11</w:t>
      </w:r>
      <w:r w:rsidR="009A7B66" w:rsidRPr="00026EEE">
        <w:rPr>
          <w:rFonts w:ascii="Arial Narrow" w:eastAsia="Times New Roman" w:hAnsi="Arial Narrow" w:cs="Arial"/>
          <w:snapToGrid w:val="0"/>
          <w:sz w:val="18"/>
          <w:szCs w:val="20"/>
        </w:rPr>
        <w:t>5,000 to &lt; $</w:t>
      </w:r>
      <w:r w:rsidR="009A7B66">
        <w:rPr>
          <w:rFonts w:ascii="Arial Narrow" w:eastAsia="Times New Roman" w:hAnsi="Arial Narrow" w:cs="Arial"/>
          <w:snapToGrid w:val="0"/>
          <w:sz w:val="18"/>
          <w:szCs w:val="20"/>
        </w:rPr>
        <w:t>13</w:t>
      </w:r>
      <w:r w:rsidR="009A7B66" w:rsidRPr="00026EEE">
        <w:rPr>
          <w:rFonts w:ascii="Arial Narrow" w:eastAsia="Times New Roman" w:hAnsi="Arial Narrow" w:cs="Arial"/>
          <w:snapToGrid w:val="0"/>
          <w:sz w:val="18"/>
          <w:szCs w:val="20"/>
        </w:rPr>
        <w:t>5,000</w:t>
      </w:r>
    </w:p>
    <w:p w14:paraId="74991A15" w14:textId="0B88760D" w:rsidR="00F91349" w:rsidRDefault="00F91349" w:rsidP="00A67F5E">
      <w:pPr>
        <w:widowControl w:val="0"/>
        <w:spacing w:before="0" w:after="0"/>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3 </w:t>
      </w:r>
      <w:r w:rsidRPr="00F91349">
        <w:rPr>
          <w:rFonts w:ascii="Arial Narrow" w:eastAsia="Times New Roman" w:hAnsi="Arial Narrow" w:cs="Arial"/>
          <w:snapToGrid w:val="0"/>
          <w:sz w:val="18"/>
          <w:szCs w:val="20"/>
        </w:rPr>
        <w:t>&gt; $1,055,000</w:t>
      </w:r>
    </w:p>
    <w:p w14:paraId="02CBF310" w14:textId="0CE538B2" w:rsidR="00F91349" w:rsidRDefault="00F91349" w:rsidP="00A67F5E">
      <w:pPr>
        <w:widowControl w:val="0"/>
        <w:spacing w:before="0" w:after="0"/>
        <w:rPr>
          <w:rFonts w:ascii="Arial Narrow" w:eastAsia="Times New Roman" w:hAnsi="Arial Narrow" w:cs="Arial"/>
          <w:snapToGrid w:val="0"/>
          <w:sz w:val="18"/>
          <w:szCs w:val="20"/>
        </w:rPr>
      </w:pPr>
      <w:r>
        <w:rPr>
          <w:rFonts w:ascii="Arial Narrow" w:eastAsia="Times New Roman" w:hAnsi="Arial Narrow" w:cs="Arial"/>
          <w:snapToGrid w:val="0"/>
          <w:sz w:val="18"/>
          <w:szCs w:val="20"/>
        </w:rPr>
        <w:lastRenderedPageBreak/>
        <w:t xml:space="preserve">4 </w:t>
      </w:r>
      <w:r w:rsidR="009C19FF" w:rsidRPr="009C19FF">
        <w:rPr>
          <w:rFonts w:ascii="Arial Narrow" w:eastAsia="Times New Roman" w:hAnsi="Arial Narrow" w:cs="Arial"/>
          <w:snapToGrid w:val="0"/>
          <w:sz w:val="18"/>
          <w:szCs w:val="20"/>
        </w:rPr>
        <w:t>$955,000 to &lt; $1,055,000</w:t>
      </w:r>
    </w:p>
    <w:p w14:paraId="644FA026" w14:textId="16702549" w:rsidR="00F91349" w:rsidRDefault="007E4DD9" w:rsidP="00A67F5E">
      <w:pPr>
        <w:widowControl w:val="0"/>
        <w:spacing w:before="0" w:after="0"/>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5 </w:t>
      </w:r>
      <w:r w:rsidRPr="007E4DD9">
        <w:rPr>
          <w:rFonts w:ascii="Arial Narrow" w:eastAsia="Times New Roman" w:hAnsi="Arial Narrow" w:cs="Arial"/>
          <w:snapToGrid w:val="0"/>
          <w:sz w:val="18"/>
          <w:szCs w:val="20"/>
        </w:rPr>
        <w:t>$</w:t>
      </w:r>
      <w:r>
        <w:rPr>
          <w:rFonts w:ascii="Arial Narrow" w:eastAsia="Times New Roman" w:hAnsi="Arial Narrow" w:cs="Arial"/>
          <w:snapToGrid w:val="0"/>
          <w:sz w:val="18"/>
          <w:szCs w:val="20"/>
        </w:rPr>
        <w:t>8</w:t>
      </w:r>
      <w:r w:rsidRPr="007E4DD9">
        <w:rPr>
          <w:rFonts w:ascii="Arial Narrow" w:eastAsia="Times New Roman" w:hAnsi="Arial Narrow" w:cs="Arial"/>
          <w:snapToGrid w:val="0"/>
          <w:sz w:val="18"/>
          <w:szCs w:val="20"/>
        </w:rPr>
        <w:t>55,000 to &lt; $</w:t>
      </w:r>
      <w:r>
        <w:rPr>
          <w:rFonts w:ascii="Arial Narrow" w:eastAsia="Times New Roman" w:hAnsi="Arial Narrow" w:cs="Arial"/>
          <w:snapToGrid w:val="0"/>
          <w:sz w:val="18"/>
          <w:szCs w:val="20"/>
        </w:rPr>
        <w:t>9</w:t>
      </w:r>
      <w:r w:rsidRPr="007E4DD9">
        <w:rPr>
          <w:rFonts w:ascii="Arial Narrow" w:eastAsia="Times New Roman" w:hAnsi="Arial Narrow" w:cs="Arial"/>
          <w:snapToGrid w:val="0"/>
          <w:sz w:val="18"/>
          <w:szCs w:val="20"/>
        </w:rPr>
        <w:t>55,000</w:t>
      </w:r>
    </w:p>
    <w:p w14:paraId="67BE4FE6" w14:textId="0FAAAED3" w:rsidR="00F91349" w:rsidRPr="00026EEE" w:rsidRDefault="007E4DD9" w:rsidP="00A67F5E">
      <w:pPr>
        <w:widowControl w:val="0"/>
        <w:spacing w:before="0"/>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6 </w:t>
      </w:r>
      <w:r w:rsidR="004E3399" w:rsidRPr="007E4DD9">
        <w:rPr>
          <w:rFonts w:ascii="Arial Narrow" w:eastAsia="Times New Roman" w:hAnsi="Arial Narrow" w:cs="Arial"/>
          <w:snapToGrid w:val="0"/>
          <w:sz w:val="18"/>
          <w:szCs w:val="20"/>
        </w:rPr>
        <w:t>$</w:t>
      </w:r>
      <w:r w:rsidR="004E3399">
        <w:rPr>
          <w:rFonts w:ascii="Arial Narrow" w:eastAsia="Times New Roman" w:hAnsi="Arial Narrow" w:cs="Arial"/>
          <w:snapToGrid w:val="0"/>
          <w:sz w:val="18"/>
          <w:szCs w:val="20"/>
        </w:rPr>
        <w:t>9</w:t>
      </w:r>
      <w:r w:rsidR="004E3399" w:rsidRPr="007E4DD9">
        <w:rPr>
          <w:rFonts w:ascii="Arial Narrow" w:eastAsia="Times New Roman" w:hAnsi="Arial Narrow" w:cs="Arial"/>
          <w:snapToGrid w:val="0"/>
          <w:sz w:val="18"/>
          <w:szCs w:val="20"/>
        </w:rPr>
        <w:t>5,000 to &lt; $</w:t>
      </w:r>
      <w:r w:rsidR="004E3399">
        <w:rPr>
          <w:rFonts w:ascii="Arial Narrow" w:eastAsia="Times New Roman" w:hAnsi="Arial Narrow" w:cs="Arial"/>
          <w:snapToGrid w:val="0"/>
          <w:sz w:val="18"/>
          <w:szCs w:val="20"/>
        </w:rPr>
        <w:t>11</w:t>
      </w:r>
      <w:r w:rsidR="004E3399" w:rsidRPr="007E4DD9">
        <w:rPr>
          <w:rFonts w:ascii="Arial Narrow" w:eastAsia="Times New Roman" w:hAnsi="Arial Narrow" w:cs="Arial"/>
          <w:snapToGrid w:val="0"/>
          <w:sz w:val="18"/>
          <w:szCs w:val="20"/>
        </w:rPr>
        <w:t>5,000</w:t>
      </w:r>
    </w:p>
    <w:p w14:paraId="5BBF7BD8" w14:textId="52C52E2B" w:rsidR="00E965EE" w:rsidRPr="0080382E" w:rsidRDefault="00E965EE" w:rsidP="00ED20CB">
      <w:pPr>
        <w:keepNext/>
        <w:keepLines/>
        <w:spacing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The Commentary noted that sensitivity analyses were conducted during the evaluation to explore the sensitivity of the model to inputs related to testing. In </w:t>
      </w:r>
      <w:r w:rsidR="00E843DD" w:rsidRPr="0080382E">
        <w:rPr>
          <w:rFonts w:ascii="Franklin Gothic Book" w:eastAsia="Calibri" w:hAnsi="Franklin Gothic Book" w:cs="Times New Roman"/>
          <w:sz w:val="22"/>
        </w:rPr>
        <w:t>general,</w:t>
      </w:r>
      <w:r w:rsidRPr="0080382E">
        <w:rPr>
          <w:rFonts w:ascii="Franklin Gothic Book" w:eastAsia="Calibri" w:hAnsi="Franklin Gothic Book" w:cs="Times New Roman"/>
          <w:sz w:val="22"/>
        </w:rPr>
        <w:t xml:space="preserve"> the incremental cost-effectiveness ratio (ICER) was not sensitive to changes related to testing able to be explored with the provided model structure. Assumptions not able to be tested include the impact of false positive results from HDV RNA testing and the inclusion of acute patients in the population (both tested and treated). The ICER was however observed to be sensitive to the definition of response, source used to model chronic HDV disease progression, assumptions around utility values modelled (e.g. source for health state utilities and inclusion of utility increment in responders), some specific transition probabilities (e.g. fibrosis stage progression, HBsAg seroclearance and regression), time horizon and discount rate applied.</w:t>
      </w:r>
    </w:p>
    <w:p w14:paraId="5BFEEDAD" w14:textId="77777777" w:rsidR="00E965EE" w:rsidRPr="0080382E" w:rsidRDefault="00E965EE" w:rsidP="0080382E">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28" w:name="_Toc152355242"/>
      <w:bookmarkStart w:id="29" w:name="_Toc156984619"/>
      <w:r w:rsidRPr="0080382E">
        <w:rPr>
          <w:rFonts w:ascii="Franklin Gothic Medium" w:hAnsi="Franklin Gothic Medium"/>
          <w:b w:val="0"/>
          <w:i w:val="0"/>
          <w:snapToGrid/>
          <w:color w:val="000000" w:themeColor="text1"/>
          <w:sz w:val="32"/>
          <w:szCs w:val="26"/>
        </w:rPr>
        <w:t>Financial/budgetary impacts</w:t>
      </w:r>
      <w:bookmarkEnd w:id="28"/>
      <w:bookmarkEnd w:id="29"/>
    </w:p>
    <w:p w14:paraId="5DF0E860" w14:textId="77777777" w:rsidR="00E965EE" w:rsidRPr="0080382E" w:rsidRDefault="00E965EE" w:rsidP="00AA6C18">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The submission used an epidemiological approach to estimate the use and cost of HDV RNA testing and bulevirtide treatment. The Commentary considered that this was reasonable. Use of bulevirtide was estimated in three population groups: prevalent patients with known chronic HDV, prevalent patients with chronic HBV who have not previously been tested for HDV, and incident patients. </w:t>
      </w:r>
    </w:p>
    <w:p w14:paraId="7E0FA59B" w14:textId="07C6BF75" w:rsidR="00E965EE" w:rsidRPr="0080382E" w:rsidRDefault="00E965EE" w:rsidP="00E965EE">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An increase in use and cost of HDV RNA testing was not assumed in prevalent patients with known chronic HDV who had previously received HDV RNA testing. The Commentary noted </w:t>
      </w:r>
      <w:r w:rsidR="00E843DD" w:rsidRPr="0080382E">
        <w:rPr>
          <w:rFonts w:ascii="Franklin Gothic Book" w:eastAsia="Calibri" w:hAnsi="Franklin Gothic Book" w:cs="Times New Roman"/>
          <w:sz w:val="22"/>
        </w:rPr>
        <w:t>that in</w:t>
      </w:r>
      <w:r w:rsidRPr="0080382E">
        <w:rPr>
          <w:rFonts w:ascii="Franklin Gothic Book" w:eastAsia="Calibri" w:hAnsi="Franklin Gothic Book" w:cs="Times New Roman"/>
          <w:sz w:val="22"/>
        </w:rPr>
        <w:t xml:space="preserve"> practice clinicians may repeat HDV testing in this patient population prior to initiating treatment with bulevirtide, to confirm presence of chronic HDV or to determine baseline levels of viral load. </w:t>
      </w:r>
      <w:r w:rsidR="00E843DD" w:rsidRPr="0080382E">
        <w:rPr>
          <w:rFonts w:ascii="Franklin Gothic Book" w:eastAsia="Calibri" w:hAnsi="Franklin Gothic Book" w:cs="Times New Roman"/>
          <w:sz w:val="22"/>
        </w:rPr>
        <w:t>Therefore,</w:t>
      </w:r>
      <w:r w:rsidRPr="0080382E">
        <w:rPr>
          <w:rFonts w:ascii="Franklin Gothic Book" w:eastAsia="Calibri" w:hAnsi="Franklin Gothic Book" w:cs="Times New Roman"/>
          <w:sz w:val="22"/>
        </w:rPr>
        <w:t xml:space="preserve"> the submission has only estimated the use and cost of HDV RNA testing to determine access to bulevirtide treatment in incident patients and prevalent patients, engaged in care, who had not previously been tested for HDV. The Commentary noted that this approach may not be comprehensive. Repeat testing in prevalent patients who were previously anti-HDV</w:t>
      </w:r>
      <w:r w:rsidRPr="0080382E">
        <w:rPr>
          <w:rFonts w:ascii="Franklin Gothic Book" w:eastAsia="Calibri" w:hAnsi="Franklin Gothic Book" w:cs="Calibri"/>
          <w:sz w:val="22"/>
        </w:rPr>
        <w:t xml:space="preserve"> negative</w:t>
      </w:r>
      <w:r w:rsidRPr="0080382E">
        <w:rPr>
          <w:rFonts w:ascii="Franklin Gothic Book" w:eastAsia="Calibri" w:hAnsi="Franklin Gothic Book" w:cs="Times New Roman"/>
          <w:sz w:val="22"/>
        </w:rPr>
        <w:t xml:space="preserve"> or those who were anti-HDV positive and had not received HDV RNA testing was not considered. Further, the submission assumed use only in prevalent patients who were currently engaged in care. This may not be reasonable. With increased awareness of treatment options in chronic hepatitis following listing of bulevirtide, opportunistic testing may occur.</w:t>
      </w:r>
    </w:p>
    <w:p w14:paraId="39511961" w14:textId="69554862" w:rsidR="00E965EE" w:rsidRPr="0080382E" w:rsidRDefault="00E965EE" w:rsidP="00E965EE">
      <w:pPr>
        <w:spacing w:before="0" w:after="240"/>
        <w:jc w:val="left"/>
        <w:rPr>
          <w:rFonts w:ascii="Franklin Gothic Book" w:eastAsia="Calibri" w:hAnsi="Franklin Gothic Book" w:cs="Times New Roman"/>
          <w:sz w:val="22"/>
        </w:rPr>
      </w:pPr>
      <w:bookmarkStart w:id="30" w:name="_Ref152354711"/>
      <w:r w:rsidRPr="0080382E">
        <w:rPr>
          <w:rFonts w:ascii="Franklin Gothic Book" w:eastAsia="Calibri" w:hAnsi="Franklin Gothic Book" w:cs="Times New Roman"/>
          <w:sz w:val="22"/>
        </w:rPr>
        <w:t xml:space="preserve">The submission’s approach to estimate the use and cost of HDV RNA testing for determining access to bulevirtide is presented in </w:t>
      </w:r>
      <w:r w:rsidRPr="0080382E">
        <w:rPr>
          <w:rFonts w:ascii="Franklin Gothic Book" w:eastAsia="Calibri" w:hAnsi="Franklin Gothic Book" w:cs="Times New Roman"/>
          <w:sz w:val="22"/>
        </w:rPr>
        <w:fldChar w:fldCharType="begin"/>
      </w:r>
      <w:r w:rsidRPr="0080382E">
        <w:rPr>
          <w:rFonts w:ascii="Franklin Gothic Book" w:eastAsia="Calibri" w:hAnsi="Franklin Gothic Book" w:cs="Times New Roman"/>
          <w:sz w:val="22"/>
        </w:rPr>
        <w:instrText xml:space="preserve"> REF _Ref152349392 \h  \* MERGEFORMAT </w:instrText>
      </w:r>
      <w:r w:rsidRPr="0080382E">
        <w:rPr>
          <w:rFonts w:ascii="Franklin Gothic Book" w:eastAsia="Calibri" w:hAnsi="Franklin Gothic Book" w:cs="Times New Roman"/>
          <w:sz w:val="22"/>
        </w:rPr>
      </w:r>
      <w:r w:rsidRPr="0080382E">
        <w:rPr>
          <w:rFonts w:ascii="Franklin Gothic Book" w:eastAsia="Calibri" w:hAnsi="Franklin Gothic Book" w:cs="Times New Roman"/>
          <w:sz w:val="22"/>
        </w:rPr>
        <w:fldChar w:fldCharType="separate"/>
      </w:r>
      <w:r w:rsidR="00B02BFE" w:rsidRPr="0080382E">
        <w:rPr>
          <w:rFonts w:ascii="Franklin Gothic Book" w:eastAsia="Calibri" w:hAnsi="Franklin Gothic Book" w:cs="Times New Roman"/>
          <w:sz w:val="22"/>
        </w:rPr>
        <w:t xml:space="preserve">Table </w:t>
      </w:r>
      <w:r w:rsidR="00B02BFE" w:rsidRPr="0080382E">
        <w:rPr>
          <w:rFonts w:ascii="Franklin Gothic Book" w:eastAsia="Calibri" w:hAnsi="Franklin Gothic Book" w:cs="Times New Roman"/>
          <w:noProof/>
          <w:sz w:val="22"/>
        </w:rPr>
        <w:t>10</w:t>
      </w:r>
      <w:r w:rsidRPr="0080382E">
        <w:rPr>
          <w:rFonts w:ascii="Franklin Gothic Book" w:eastAsia="Calibri" w:hAnsi="Franklin Gothic Book" w:cs="Times New Roman"/>
          <w:sz w:val="22"/>
        </w:rPr>
        <w:fldChar w:fldCharType="end"/>
      </w:r>
      <w:r w:rsidRPr="0080382E">
        <w:rPr>
          <w:rFonts w:ascii="Franklin Gothic Book" w:eastAsia="Calibri" w:hAnsi="Franklin Gothic Book" w:cs="Times New Roman"/>
          <w:sz w:val="22"/>
        </w:rPr>
        <w:t xml:space="preserve">. The Commentary noted that use of HDV RNA testing was erroneously based on the number of patients tested for anti-HDV (not those who were also anti-HDV positive) and so was overestimated. Use of HDV RNA testing in incident patients was estimated only in the additional patients who uptake anti-HDV testing (and so does not account for the increase in HDV RNA testing uptake following proposed listings in patients who would have otherwise received anti-HDV testing). Estimates calculated during the evaluation accounting for these issues are presented in </w:t>
      </w:r>
      <w:r w:rsidRPr="0080382E">
        <w:rPr>
          <w:rFonts w:ascii="Franklin Gothic Book" w:eastAsia="Calibri" w:hAnsi="Franklin Gothic Book" w:cs="Times New Roman"/>
          <w:sz w:val="22"/>
        </w:rPr>
        <w:fldChar w:fldCharType="begin"/>
      </w:r>
      <w:r w:rsidRPr="0080382E">
        <w:rPr>
          <w:rFonts w:ascii="Franklin Gothic Book" w:eastAsia="Calibri" w:hAnsi="Franklin Gothic Book" w:cs="Times New Roman"/>
          <w:sz w:val="22"/>
        </w:rPr>
        <w:instrText xml:space="preserve"> REF _Ref152683824 \h  \* MERGEFORMAT </w:instrText>
      </w:r>
      <w:r w:rsidRPr="0080382E">
        <w:rPr>
          <w:rFonts w:ascii="Franklin Gothic Book" w:eastAsia="Calibri" w:hAnsi="Franklin Gothic Book" w:cs="Times New Roman"/>
          <w:sz w:val="22"/>
        </w:rPr>
      </w:r>
      <w:r w:rsidRPr="0080382E">
        <w:rPr>
          <w:rFonts w:ascii="Franklin Gothic Book" w:eastAsia="Calibri" w:hAnsi="Franklin Gothic Book" w:cs="Times New Roman"/>
          <w:sz w:val="22"/>
        </w:rPr>
        <w:fldChar w:fldCharType="separate"/>
      </w:r>
      <w:r w:rsidR="00B02BFE" w:rsidRPr="0080382E">
        <w:rPr>
          <w:rFonts w:ascii="Franklin Gothic Book" w:eastAsia="Calibri" w:hAnsi="Franklin Gothic Book" w:cs="Times New Roman"/>
          <w:sz w:val="22"/>
        </w:rPr>
        <w:t>Table 11</w:t>
      </w:r>
      <w:r w:rsidRPr="0080382E">
        <w:rPr>
          <w:rFonts w:ascii="Franklin Gothic Book" w:eastAsia="Calibri" w:hAnsi="Franklin Gothic Book" w:cs="Times New Roman"/>
          <w:sz w:val="22"/>
        </w:rPr>
        <w:fldChar w:fldCharType="end"/>
      </w:r>
      <w:r w:rsidRPr="0080382E">
        <w:rPr>
          <w:rFonts w:ascii="Franklin Gothic Book" w:eastAsia="Calibri" w:hAnsi="Franklin Gothic Book" w:cs="Times New Roman"/>
          <w:sz w:val="22"/>
        </w:rPr>
        <w:t>.</w:t>
      </w:r>
    </w:p>
    <w:p w14:paraId="774771A1" w14:textId="44C56EBA" w:rsidR="00E965EE" w:rsidRPr="0080382E" w:rsidRDefault="00E965EE" w:rsidP="00E965EE">
      <w:pPr>
        <w:spacing w:before="0"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t xml:space="preserve">While uptake of HDV RNA testing was assumed to increase from </w:t>
      </w:r>
      <w:r w:rsidR="00E013A2" w:rsidRPr="00845BD8">
        <w:rPr>
          <w:rFonts w:ascii="Franklin Gothic Book" w:eastAsia="Calibri" w:hAnsi="Franklin Gothic Book" w:cs="Times New Roman"/>
          <w:b/>
          <w:bCs/>
          <w:sz w:val="22"/>
        </w:rPr>
        <w:t>redacted</w:t>
      </w:r>
      <w:r w:rsidRPr="0080382E">
        <w:rPr>
          <w:rFonts w:ascii="Franklin Gothic Book" w:eastAsia="Calibri" w:hAnsi="Franklin Gothic Book" w:cs="Times New Roman"/>
          <w:sz w:val="22"/>
        </w:rPr>
        <w:t xml:space="preserve"> prior to listing, to </w:t>
      </w:r>
      <w:r w:rsidR="00E013A2" w:rsidRPr="00845BD8">
        <w:rPr>
          <w:rFonts w:ascii="Franklin Gothic Book" w:eastAsia="Calibri" w:hAnsi="Franklin Gothic Book" w:cs="Times New Roman"/>
          <w:b/>
          <w:bCs/>
          <w:sz w:val="22"/>
        </w:rPr>
        <w:t>redacted</w:t>
      </w:r>
      <w:r w:rsidR="00E013A2" w:rsidRPr="0080382E" w:rsidDel="00E013A2">
        <w:rPr>
          <w:rFonts w:ascii="Franklin Gothic Book" w:eastAsia="Calibri" w:hAnsi="Franklin Gothic Book" w:cs="Times New Roman"/>
          <w:sz w:val="22"/>
        </w:rPr>
        <w:t xml:space="preserve"> </w:t>
      </w:r>
      <w:r w:rsidRPr="0080382E">
        <w:rPr>
          <w:rFonts w:ascii="Franklin Gothic Book" w:eastAsia="Calibri" w:hAnsi="Franklin Gothic Book" w:cs="Times New Roman"/>
          <w:sz w:val="22"/>
        </w:rPr>
        <w:t xml:space="preserve">following listing, the cost to the MBS was estimated only for those additional tests due to the listing of HDV RNA testing and bulevirtide treatment (i.e. proportion of tests above </w:t>
      </w:r>
      <w:r w:rsidR="00E013A2" w:rsidRPr="00FB3164">
        <w:rPr>
          <w:rFonts w:ascii="Franklin Gothic Book" w:eastAsia="Calibri" w:hAnsi="Franklin Gothic Book" w:cs="Times New Roman"/>
          <w:b/>
          <w:bCs/>
          <w:sz w:val="22"/>
        </w:rPr>
        <w:t>redacted</w:t>
      </w:r>
      <w:r w:rsidR="00E013A2" w:rsidRPr="0080382E" w:rsidDel="00E013A2">
        <w:rPr>
          <w:rFonts w:ascii="Franklin Gothic Book" w:eastAsia="Calibri" w:hAnsi="Franklin Gothic Book" w:cs="Times New Roman"/>
          <w:sz w:val="22"/>
        </w:rPr>
        <w:t xml:space="preserve"> </w:t>
      </w:r>
      <w:r w:rsidRPr="0080382E">
        <w:rPr>
          <w:rFonts w:ascii="Franklin Gothic Book" w:eastAsia="Calibri" w:hAnsi="Franklin Gothic Book" w:cs="Times New Roman"/>
          <w:sz w:val="22"/>
        </w:rPr>
        <w:t>%). The Commentary noted that this assumes that current payers for HDV RNA testing will continue to pay for testing that would have occurred in the absence of MBS listing. It is likely that with MBS listing, these costs will shift to the MBS and so costs estimated may underestimate those in practice. Furthermore, uptake of HDV RNA testing following listing may have been underestimated if the increase in anti-HDV testing was due to increased awareness and availability of HDV testing and bulevirtide treatment (i.e. it may be reasonable to assume those patients who additionally take up anti-HDV testing would also receive HDV RNA testing if eligible).</w:t>
      </w:r>
    </w:p>
    <w:p w14:paraId="0ADF3410" w14:textId="7E64B34F" w:rsidR="00E965EE" w:rsidRPr="00E965EE" w:rsidDel="0015247C"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31" w:name="_Ref152349392"/>
      <w:r w:rsidRPr="00E965EE">
        <w:rPr>
          <w:rFonts w:ascii="Arial Narrow" w:eastAsia="Calibri" w:hAnsi="Arial Narrow" w:cs="Times New Roman"/>
          <w:b/>
          <w:bCs/>
          <w:iCs/>
          <w:sz w:val="20"/>
          <w:szCs w:val="18"/>
          <w:lang w:val="en-US"/>
        </w:rPr>
        <w:lastRenderedPageBreak/>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10</w:t>
      </w:r>
      <w:r w:rsidRPr="00E965EE">
        <w:rPr>
          <w:rFonts w:ascii="Arial Narrow" w:eastAsia="Calibri" w:hAnsi="Arial Narrow" w:cs="Times New Roman"/>
          <w:b/>
          <w:bCs/>
          <w:iCs/>
          <w:sz w:val="20"/>
          <w:szCs w:val="18"/>
          <w:lang w:val="en-US"/>
        </w:rPr>
        <w:fldChar w:fldCharType="end"/>
      </w:r>
      <w:bookmarkEnd w:id="31"/>
      <w:r w:rsidRPr="00E965EE">
        <w:rPr>
          <w:rFonts w:ascii="Arial Narrow" w:eastAsia="Calibri" w:hAnsi="Arial Narrow" w:cs="Times New Roman"/>
          <w:b/>
          <w:bCs/>
          <w:iCs/>
          <w:sz w:val="20"/>
          <w:szCs w:val="18"/>
          <w:lang w:val="en-US"/>
        </w:rPr>
        <w:tab/>
        <w:t>Use and cost of HDV RNA testing for access to bulevirtide treatment, estimated in the submission</w:t>
      </w:r>
    </w:p>
    <w:tbl>
      <w:tblPr>
        <w:tblStyle w:val="ASDTable1"/>
        <w:tblW w:w="5000" w:type="pct"/>
        <w:tblLayout w:type="fixed"/>
        <w:tblLook w:val="04A0" w:firstRow="1" w:lastRow="0" w:firstColumn="1" w:lastColumn="0" w:noHBand="0" w:noVBand="1"/>
      </w:tblPr>
      <w:tblGrid>
        <w:gridCol w:w="280"/>
        <w:gridCol w:w="3261"/>
        <w:gridCol w:w="913"/>
        <w:gridCol w:w="912"/>
        <w:gridCol w:w="912"/>
        <w:gridCol w:w="912"/>
        <w:gridCol w:w="912"/>
        <w:gridCol w:w="914"/>
      </w:tblGrid>
      <w:tr w:rsidR="00E965EE" w:rsidRPr="00E965EE" w14:paraId="0C8EA084" w14:textId="77777777" w:rsidTr="004457F4">
        <w:trPr>
          <w:cantSplit/>
          <w:trHeight w:val="20"/>
        </w:trPr>
        <w:tc>
          <w:tcPr>
            <w:tcW w:w="155" w:type="pct"/>
          </w:tcPr>
          <w:p w14:paraId="2FDD05FB" w14:textId="77777777" w:rsidR="00E965EE" w:rsidRPr="00E965EE" w:rsidRDefault="00E965EE" w:rsidP="00A67F5E">
            <w:pPr>
              <w:keepNext/>
              <w:spacing w:before="0"/>
              <w:jc w:val="left"/>
              <w:rPr>
                <w:rFonts w:ascii="Arial Narrow" w:hAnsi="Arial Narrow"/>
                <w:b/>
                <w:sz w:val="20"/>
              </w:rPr>
            </w:pPr>
          </w:p>
        </w:tc>
        <w:tc>
          <w:tcPr>
            <w:tcW w:w="1808" w:type="pct"/>
            <w:noWrap/>
            <w:hideMark/>
          </w:tcPr>
          <w:p w14:paraId="4D3B428D" w14:textId="77777777" w:rsidR="00E965EE" w:rsidRPr="00E965EE" w:rsidRDefault="00E965EE" w:rsidP="00A67F5E">
            <w:pPr>
              <w:keepNext/>
              <w:spacing w:before="0"/>
              <w:jc w:val="left"/>
              <w:rPr>
                <w:rFonts w:ascii="Arial Narrow" w:hAnsi="Arial Narrow"/>
                <w:b/>
                <w:sz w:val="20"/>
              </w:rPr>
            </w:pPr>
          </w:p>
        </w:tc>
        <w:tc>
          <w:tcPr>
            <w:tcW w:w="506" w:type="pct"/>
            <w:noWrap/>
            <w:hideMark/>
          </w:tcPr>
          <w:p w14:paraId="7575094A" w14:textId="77777777" w:rsidR="00E965EE" w:rsidRPr="00E965EE" w:rsidRDefault="00E965EE" w:rsidP="00A67F5E">
            <w:pPr>
              <w:keepNext/>
              <w:spacing w:before="0"/>
              <w:jc w:val="center"/>
              <w:rPr>
                <w:rFonts w:ascii="Arial Narrow" w:hAnsi="Arial Narrow"/>
                <w:b/>
                <w:sz w:val="20"/>
              </w:rPr>
            </w:pPr>
            <w:r w:rsidRPr="00E965EE">
              <w:rPr>
                <w:rFonts w:ascii="Arial Narrow" w:hAnsi="Arial Narrow"/>
                <w:b/>
                <w:sz w:val="20"/>
              </w:rPr>
              <w:t>Year 1</w:t>
            </w:r>
          </w:p>
        </w:tc>
        <w:tc>
          <w:tcPr>
            <w:tcW w:w="506" w:type="pct"/>
            <w:noWrap/>
            <w:hideMark/>
          </w:tcPr>
          <w:p w14:paraId="25F25591" w14:textId="77777777" w:rsidR="00E965EE" w:rsidRPr="00E965EE" w:rsidRDefault="00E965EE" w:rsidP="00A67F5E">
            <w:pPr>
              <w:keepNext/>
              <w:spacing w:before="0"/>
              <w:jc w:val="center"/>
              <w:rPr>
                <w:rFonts w:ascii="Arial Narrow" w:hAnsi="Arial Narrow"/>
                <w:b/>
                <w:sz w:val="20"/>
              </w:rPr>
            </w:pPr>
            <w:r w:rsidRPr="00E965EE">
              <w:rPr>
                <w:rFonts w:ascii="Arial Narrow" w:hAnsi="Arial Narrow"/>
                <w:b/>
                <w:sz w:val="20"/>
              </w:rPr>
              <w:t>Year 2</w:t>
            </w:r>
          </w:p>
        </w:tc>
        <w:tc>
          <w:tcPr>
            <w:tcW w:w="506" w:type="pct"/>
            <w:noWrap/>
            <w:hideMark/>
          </w:tcPr>
          <w:p w14:paraId="5CC974EA" w14:textId="77777777" w:rsidR="00E965EE" w:rsidRPr="00E965EE" w:rsidRDefault="00E965EE" w:rsidP="00A67F5E">
            <w:pPr>
              <w:keepNext/>
              <w:spacing w:before="0"/>
              <w:jc w:val="center"/>
              <w:rPr>
                <w:rFonts w:ascii="Arial Narrow" w:hAnsi="Arial Narrow"/>
                <w:b/>
                <w:sz w:val="20"/>
              </w:rPr>
            </w:pPr>
            <w:r w:rsidRPr="00E965EE">
              <w:rPr>
                <w:rFonts w:ascii="Arial Narrow" w:hAnsi="Arial Narrow"/>
                <w:b/>
                <w:sz w:val="20"/>
              </w:rPr>
              <w:t>Year 3</w:t>
            </w:r>
          </w:p>
        </w:tc>
        <w:tc>
          <w:tcPr>
            <w:tcW w:w="506" w:type="pct"/>
            <w:noWrap/>
            <w:hideMark/>
          </w:tcPr>
          <w:p w14:paraId="37971BA9" w14:textId="77777777" w:rsidR="00E965EE" w:rsidRPr="00E965EE" w:rsidRDefault="00E965EE" w:rsidP="00A67F5E">
            <w:pPr>
              <w:keepNext/>
              <w:spacing w:before="0"/>
              <w:jc w:val="center"/>
              <w:rPr>
                <w:rFonts w:ascii="Arial Narrow" w:hAnsi="Arial Narrow"/>
                <w:b/>
                <w:sz w:val="20"/>
              </w:rPr>
            </w:pPr>
            <w:r w:rsidRPr="00E965EE">
              <w:rPr>
                <w:rFonts w:ascii="Arial Narrow" w:hAnsi="Arial Narrow"/>
                <w:b/>
                <w:sz w:val="20"/>
              </w:rPr>
              <w:t>Year 4</w:t>
            </w:r>
          </w:p>
        </w:tc>
        <w:tc>
          <w:tcPr>
            <w:tcW w:w="506" w:type="pct"/>
            <w:noWrap/>
            <w:hideMark/>
          </w:tcPr>
          <w:p w14:paraId="3B0CF664" w14:textId="77777777" w:rsidR="00E965EE" w:rsidRPr="00E965EE" w:rsidRDefault="00E965EE" w:rsidP="00A67F5E">
            <w:pPr>
              <w:keepNext/>
              <w:spacing w:before="0"/>
              <w:jc w:val="center"/>
              <w:rPr>
                <w:rFonts w:ascii="Arial Narrow" w:hAnsi="Arial Narrow"/>
                <w:b/>
                <w:sz w:val="20"/>
              </w:rPr>
            </w:pPr>
            <w:r w:rsidRPr="00E965EE">
              <w:rPr>
                <w:rFonts w:ascii="Arial Narrow" w:hAnsi="Arial Narrow"/>
                <w:b/>
                <w:sz w:val="20"/>
              </w:rPr>
              <w:t>Year 5</w:t>
            </w:r>
          </w:p>
        </w:tc>
        <w:tc>
          <w:tcPr>
            <w:tcW w:w="507" w:type="pct"/>
            <w:noWrap/>
            <w:hideMark/>
          </w:tcPr>
          <w:p w14:paraId="7B55258E" w14:textId="77777777" w:rsidR="00E965EE" w:rsidRPr="00E965EE" w:rsidRDefault="00E965EE" w:rsidP="00A67F5E">
            <w:pPr>
              <w:keepNext/>
              <w:spacing w:before="0"/>
              <w:jc w:val="center"/>
              <w:rPr>
                <w:rFonts w:ascii="Arial Narrow" w:hAnsi="Arial Narrow"/>
                <w:b/>
                <w:sz w:val="20"/>
              </w:rPr>
            </w:pPr>
            <w:r w:rsidRPr="00E965EE">
              <w:rPr>
                <w:rFonts w:ascii="Arial Narrow" w:hAnsi="Arial Narrow"/>
                <w:b/>
                <w:sz w:val="20"/>
              </w:rPr>
              <w:t>Year 6</w:t>
            </w:r>
          </w:p>
        </w:tc>
      </w:tr>
      <w:tr w:rsidR="00E965EE" w:rsidRPr="00E965EE" w14:paraId="4FEBA0C5" w14:textId="77777777" w:rsidTr="004457F4">
        <w:trPr>
          <w:cantSplit/>
          <w:trHeight w:val="20"/>
        </w:trPr>
        <w:tc>
          <w:tcPr>
            <w:tcW w:w="5000" w:type="pct"/>
            <w:gridSpan w:val="8"/>
          </w:tcPr>
          <w:p w14:paraId="56B09908"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Prevalent population - unknown chronic HDV diagnosis</w:t>
            </w:r>
          </w:p>
        </w:tc>
      </w:tr>
      <w:tr w:rsidR="00E965EE" w:rsidRPr="00E965EE" w14:paraId="138154C3" w14:textId="77777777" w:rsidTr="004457F4">
        <w:trPr>
          <w:cantSplit/>
          <w:trHeight w:val="20"/>
        </w:trPr>
        <w:tc>
          <w:tcPr>
            <w:tcW w:w="155" w:type="pct"/>
          </w:tcPr>
          <w:p w14:paraId="1D838FBE"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A</w:t>
            </w:r>
          </w:p>
        </w:tc>
        <w:tc>
          <w:tcPr>
            <w:tcW w:w="1808" w:type="pct"/>
            <w:noWrap/>
          </w:tcPr>
          <w:p w14:paraId="5B2E2E42"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prevalent chronic HBV patients (0.87% × Australian population projections 2023 age 0−100+)</w:t>
            </w:r>
          </w:p>
        </w:tc>
        <w:tc>
          <w:tcPr>
            <w:tcW w:w="506" w:type="pct"/>
            <w:noWrap/>
          </w:tcPr>
          <w:p w14:paraId="15B189B3" w14:textId="458E2466" w:rsidR="00E965EE" w:rsidRPr="00E965EE" w:rsidRDefault="00E13793" w:rsidP="00A67F5E">
            <w:pPr>
              <w:keepNext/>
              <w:widowControl w:val="0"/>
              <w:spacing w:before="0"/>
              <w:jc w:val="right"/>
              <w:rPr>
                <w:rFonts w:ascii="Arial Narrow" w:hAnsi="Arial Narrow"/>
                <w:sz w:val="20"/>
              </w:rPr>
            </w:pPr>
            <w:r w:rsidRPr="00845BD8">
              <w:rPr>
                <w:rFonts w:ascii="Arial Narrow" w:hAnsi="Arial Narrow"/>
                <w:b/>
                <w:bCs/>
                <w:sz w:val="20"/>
              </w:rPr>
              <w:t>redacted</w:t>
            </w:r>
            <w:r w:rsidRPr="00E13793">
              <w:rPr>
                <w:rFonts w:ascii="Arial Narrow" w:hAnsi="Arial Narrow"/>
                <w:sz w:val="20"/>
                <w:vertAlign w:val="superscript"/>
              </w:rPr>
              <w:t>1</w:t>
            </w:r>
          </w:p>
        </w:tc>
        <w:tc>
          <w:tcPr>
            <w:tcW w:w="506" w:type="pct"/>
            <w:noWrap/>
          </w:tcPr>
          <w:p w14:paraId="56FC44D5"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26E9910C"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696E41E3"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45E29B13" w14:textId="77777777" w:rsidR="00E965EE" w:rsidRPr="00E965EE" w:rsidRDefault="00E965EE" w:rsidP="00A67F5E">
            <w:pPr>
              <w:keepNext/>
              <w:widowControl w:val="0"/>
              <w:spacing w:before="0"/>
              <w:jc w:val="right"/>
              <w:rPr>
                <w:rFonts w:ascii="Arial Narrow" w:hAnsi="Arial Narrow"/>
                <w:sz w:val="20"/>
              </w:rPr>
            </w:pPr>
          </w:p>
        </w:tc>
        <w:tc>
          <w:tcPr>
            <w:tcW w:w="507" w:type="pct"/>
            <w:noWrap/>
          </w:tcPr>
          <w:p w14:paraId="2163FA2D" w14:textId="77777777" w:rsidR="00E965EE" w:rsidRPr="00E965EE" w:rsidRDefault="00E965EE" w:rsidP="00A67F5E">
            <w:pPr>
              <w:keepNext/>
              <w:widowControl w:val="0"/>
              <w:spacing w:before="0"/>
              <w:jc w:val="right"/>
              <w:rPr>
                <w:rFonts w:ascii="Arial Narrow" w:hAnsi="Arial Narrow"/>
                <w:sz w:val="20"/>
              </w:rPr>
            </w:pPr>
          </w:p>
        </w:tc>
      </w:tr>
      <w:tr w:rsidR="00E965EE" w:rsidRPr="00E965EE" w14:paraId="4E23A809" w14:textId="77777777" w:rsidTr="004457F4">
        <w:trPr>
          <w:cantSplit/>
          <w:trHeight w:val="20"/>
        </w:trPr>
        <w:tc>
          <w:tcPr>
            <w:tcW w:w="155" w:type="pct"/>
          </w:tcPr>
          <w:p w14:paraId="639D6A18"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B</w:t>
            </w:r>
          </w:p>
        </w:tc>
        <w:tc>
          <w:tcPr>
            <w:tcW w:w="1808" w:type="pct"/>
            <w:noWrap/>
          </w:tcPr>
          <w:p w14:paraId="28FC0FD5" w14:textId="328F522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prevalent chronic HBV patients who are diagnosed prior to listing (A × </w:t>
            </w:r>
            <w:r w:rsidR="008B4B8E" w:rsidRPr="008B4B8E">
              <w:rPr>
                <w:rFonts w:ascii="Arial Narrow" w:hAnsi="Arial Narrow"/>
                <w:sz w:val="20"/>
              </w:rPr>
              <w:t>73.0</w:t>
            </w:r>
            <w:r w:rsidRPr="00E965EE">
              <w:rPr>
                <w:rFonts w:ascii="Arial Narrow" w:hAnsi="Arial Narrow"/>
                <w:sz w:val="20"/>
              </w:rPr>
              <w:t>%)</w:t>
            </w:r>
          </w:p>
        </w:tc>
        <w:tc>
          <w:tcPr>
            <w:tcW w:w="506" w:type="pct"/>
            <w:noWrap/>
          </w:tcPr>
          <w:p w14:paraId="68F8348B" w14:textId="5B28AAFA" w:rsidR="00E965EE" w:rsidRPr="00845BD8" w:rsidRDefault="00725534"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Pr>
                <w:rFonts w:ascii="Arial Narrow" w:hAnsi="Arial Narrow"/>
                <w:b/>
                <w:bCs/>
                <w:sz w:val="20"/>
                <w:vertAlign w:val="superscript"/>
              </w:rPr>
              <w:t>2</w:t>
            </w:r>
          </w:p>
        </w:tc>
        <w:tc>
          <w:tcPr>
            <w:tcW w:w="506" w:type="pct"/>
            <w:noWrap/>
          </w:tcPr>
          <w:p w14:paraId="1504B45B"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7087C433"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237EBAC3"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4FCF8369" w14:textId="77777777" w:rsidR="00E965EE" w:rsidRPr="00E965EE" w:rsidRDefault="00E965EE" w:rsidP="00A67F5E">
            <w:pPr>
              <w:keepNext/>
              <w:widowControl w:val="0"/>
              <w:spacing w:before="0"/>
              <w:jc w:val="right"/>
              <w:rPr>
                <w:rFonts w:ascii="Arial Narrow" w:hAnsi="Arial Narrow"/>
                <w:sz w:val="20"/>
              </w:rPr>
            </w:pPr>
          </w:p>
        </w:tc>
        <w:tc>
          <w:tcPr>
            <w:tcW w:w="507" w:type="pct"/>
            <w:noWrap/>
          </w:tcPr>
          <w:p w14:paraId="66F1324D" w14:textId="77777777" w:rsidR="00E965EE" w:rsidRPr="00E965EE" w:rsidRDefault="00E965EE" w:rsidP="00A67F5E">
            <w:pPr>
              <w:keepNext/>
              <w:widowControl w:val="0"/>
              <w:spacing w:before="0"/>
              <w:jc w:val="right"/>
              <w:rPr>
                <w:rFonts w:ascii="Arial Narrow" w:hAnsi="Arial Narrow"/>
                <w:sz w:val="20"/>
              </w:rPr>
            </w:pPr>
          </w:p>
        </w:tc>
      </w:tr>
      <w:tr w:rsidR="00E965EE" w:rsidRPr="00E965EE" w14:paraId="2A660B86" w14:textId="77777777" w:rsidTr="004457F4">
        <w:trPr>
          <w:cantSplit/>
          <w:trHeight w:val="20"/>
        </w:trPr>
        <w:tc>
          <w:tcPr>
            <w:tcW w:w="155" w:type="pct"/>
          </w:tcPr>
          <w:p w14:paraId="48F248F8"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C</w:t>
            </w:r>
          </w:p>
        </w:tc>
        <w:tc>
          <w:tcPr>
            <w:tcW w:w="1808" w:type="pct"/>
            <w:noWrap/>
          </w:tcPr>
          <w:p w14:paraId="11E63AEC" w14:textId="3F4F8333"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prevalent chronic HBV patients who are engaged in care prior to listing (B × </w:t>
            </w:r>
            <w:r w:rsidR="00EF5138" w:rsidRPr="00EF5138">
              <w:rPr>
                <w:rFonts w:ascii="Arial Narrow" w:hAnsi="Arial Narrow"/>
                <w:sz w:val="20"/>
              </w:rPr>
              <w:t>30.9</w:t>
            </w:r>
            <w:r w:rsidR="004457F4" w:rsidRPr="00E965EE" w:rsidDel="004457F4">
              <w:rPr>
                <w:rFonts w:ascii="Arial Narrow" w:hAnsi="Arial Narrow"/>
                <w:sz w:val="20"/>
              </w:rPr>
              <w:t xml:space="preserve"> </w:t>
            </w:r>
            <w:r w:rsidRPr="00E965EE">
              <w:rPr>
                <w:rFonts w:ascii="Arial Narrow" w:hAnsi="Arial Narrow"/>
                <w:sz w:val="20"/>
              </w:rPr>
              <w:t>%)</w:t>
            </w:r>
          </w:p>
        </w:tc>
        <w:tc>
          <w:tcPr>
            <w:tcW w:w="506" w:type="pct"/>
            <w:noWrap/>
          </w:tcPr>
          <w:p w14:paraId="486F27A1" w14:textId="66BEE0E5" w:rsidR="00E965EE" w:rsidRPr="00845BD8" w:rsidRDefault="00B90797"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Pr>
                <w:rFonts w:ascii="Arial Narrow" w:hAnsi="Arial Narrow"/>
                <w:b/>
                <w:bCs/>
                <w:sz w:val="20"/>
                <w:vertAlign w:val="superscript"/>
              </w:rPr>
              <w:t>3</w:t>
            </w:r>
            <w:r w:rsidRPr="00845BD8">
              <w:rPr>
                <w:rFonts w:ascii="Arial Narrow" w:hAnsi="Arial Narrow"/>
                <w:b/>
                <w:bCs/>
                <w:sz w:val="20"/>
              </w:rPr>
              <w:t xml:space="preserve"> </w:t>
            </w:r>
          </w:p>
        </w:tc>
        <w:tc>
          <w:tcPr>
            <w:tcW w:w="506" w:type="pct"/>
            <w:noWrap/>
          </w:tcPr>
          <w:p w14:paraId="6B5038A8"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7F9A77D1"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63F3979E"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130C6AA2" w14:textId="77777777" w:rsidR="00E965EE" w:rsidRPr="00E965EE" w:rsidRDefault="00E965EE" w:rsidP="00A67F5E">
            <w:pPr>
              <w:keepNext/>
              <w:widowControl w:val="0"/>
              <w:spacing w:before="0"/>
              <w:jc w:val="right"/>
              <w:rPr>
                <w:rFonts w:ascii="Arial Narrow" w:hAnsi="Arial Narrow"/>
                <w:sz w:val="20"/>
              </w:rPr>
            </w:pPr>
          </w:p>
        </w:tc>
        <w:tc>
          <w:tcPr>
            <w:tcW w:w="507" w:type="pct"/>
            <w:noWrap/>
          </w:tcPr>
          <w:p w14:paraId="5E638159" w14:textId="77777777" w:rsidR="00E965EE" w:rsidRPr="00E965EE" w:rsidRDefault="00E965EE" w:rsidP="00A67F5E">
            <w:pPr>
              <w:keepNext/>
              <w:widowControl w:val="0"/>
              <w:spacing w:before="0"/>
              <w:jc w:val="right"/>
              <w:rPr>
                <w:rFonts w:ascii="Arial Narrow" w:hAnsi="Arial Narrow"/>
                <w:sz w:val="20"/>
              </w:rPr>
            </w:pPr>
          </w:p>
        </w:tc>
      </w:tr>
      <w:tr w:rsidR="00E965EE" w:rsidRPr="00E965EE" w14:paraId="110BBA99" w14:textId="77777777" w:rsidTr="004457F4">
        <w:trPr>
          <w:cantSplit/>
          <w:trHeight w:val="20"/>
        </w:trPr>
        <w:tc>
          <w:tcPr>
            <w:tcW w:w="155" w:type="pct"/>
          </w:tcPr>
          <w:p w14:paraId="27D4E581"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D</w:t>
            </w:r>
          </w:p>
        </w:tc>
        <w:tc>
          <w:tcPr>
            <w:tcW w:w="1808" w:type="pct"/>
            <w:noWrap/>
          </w:tcPr>
          <w:p w14:paraId="2D7546D4"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Proportion of prevalent chronic HBV patients tested for anti-HDV following bulevirtide listing</w:t>
            </w:r>
          </w:p>
        </w:tc>
        <w:tc>
          <w:tcPr>
            <w:tcW w:w="506" w:type="pct"/>
            <w:noWrap/>
          </w:tcPr>
          <w:p w14:paraId="072AF901" w14:textId="43C6A388" w:rsidR="00E965EE" w:rsidRPr="00845BD8" w:rsidRDefault="00A77FA5"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E965EE" w:rsidRPr="00845BD8">
              <w:rPr>
                <w:rFonts w:ascii="Arial Narrow" w:hAnsi="Arial Narrow"/>
                <w:b/>
                <w:bCs/>
                <w:sz w:val="20"/>
              </w:rPr>
              <w:t>% </w:t>
            </w:r>
            <w:r w:rsidR="00E965EE" w:rsidRPr="00845BD8">
              <w:rPr>
                <w:rFonts w:ascii="Arial Narrow" w:hAnsi="Arial Narrow"/>
                <w:b/>
                <w:bCs/>
                <w:sz w:val="20"/>
                <w:vertAlign w:val="superscript"/>
              </w:rPr>
              <w:t>a</w:t>
            </w:r>
          </w:p>
        </w:tc>
        <w:tc>
          <w:tcPr>
            <w:tcW w:w="506" w:type="pct"/>
            <w:noWrap/>
          </w:tcPr>
          <w:p w14:paraId="169F4181" w14:textId="367C794A" w:rsidR="00E965EE" w:rsidRPr="00845BD8" w:rsidRDefault="00A77FA5"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A77FA5">
              <w:rPr>
                <w:rFonts w:ascii="Arial Narrow" w:eastAsia="Calibri" w:hAnsi="Arial Narrow"/>
                <w:b/>
                <w:bCs/>
                <w:sz w:val="20"/>
                <w:szCs w:val="22"/>
                <w:lang w:eastAsia="en-US"/>
              </w:rPr>
              <w:t xml:space="preserve"> </w:t>
            </w:r>
            <w:r w:rsidR="00E965EE" w:rsidRPr="00845BD8">
              <w:rPr>
                <w:rFonts w:ascii="Arial Narrow" w:eastAsia="Calibri" w:hAnsi="Arial Narrow"/>
                <w:b/>
                <w:bCs/>
                <w:sz w:val="20"/>
                <w:szCs w:val="22"/>
                <w:lang w:eastAsia="en-US"/>
              </w:rPr>
              <w:t>% </w:t>
            </w:r>
            <w:r w:rsidR="00E965EE" w:rsidRPr="00845BD8">
              <w:rPr>
                <w:rFonts w:ascii="Arial Narrow" w:eastAsia="Calibri" w:hAnsi="Arial Narrow"/>
                <w:b/>
                <w:bCs/>
                <w:sz w:val="20"/>
                <w:szCs w:val="22"/>
                <w:vertAlign w:val="superscript"/>
                <w:lang w:eastAsia="en-US"/>
              </w:rPr>
              <w:t>b</w:t>
            </w:r>
          </w:p>
        </w:tc>
        <w:tc>
          <w:tcPr>
            <w:tcW w:w="506" w:type="pct"/>
            <w:noWrap/>
          </w:tcPr>
          <w:p w14:paraId="76A0B6CB" w14:textId="6045E066" w:rsidR="00E965EE" w:rsidRPr="00845BD8" w:rsidRDefault="00A77FA5"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A77FA5">
              <w:rPr>
                <w:rFonts w:ascii="Arial Narrow" w:eastAsia="Calibri" w:hAnsi="Arial Narrow"/>
                <w:b/>
                <w:bCs/>
                <w:sz w:val="20"/>
                <w:szCs w:val="22"/>
                <w:lang w:eastAsia="en-US"/>
              </w:rPr>
              <w:t xml:space="preserve"> </w:t>
            </w:r>
            <w:r w:rsidR="00E965EE" w:rsidRPr="00845BD8">
              <w:rPr>
                <w:rFonts w:ascii="Arial Narrow" w:eastAsia="Calibri" w:hAnsi="Arial Narrow"/>
                <w:b/>
                <w:bCs/>
                <w:sz w:val="20"/>
                <w:szCs w:val="22"/>
                <w:lang w:eastAsia="en-US"/>
              </w:rPr>
              <w:t>% </w:t>
            </w:r>
            <w:r w:rsidR="00E965EE" w:rsidRPr="00845BD8">
              <w:rPr>
                <w:rFonts w:ascii="Arial Narrow" w:eastAsia="Calibri" w:hAnsi="Arial Narrow"/>
                <w:b/>
                <w:bCs/>
                <w:sz w:val="20"/>
                <w:szCs w:val="22"/>
                <w:vertAlign w:val="superscript"/>
                <w:lang w:eastAsia="en-US"/>
              </w:rPr>
              <w:t>c</w:t>
            </w:r>
          </w:p>
        </w:tc>
        <w:tc>
          <w:tcPr>
            <w:tcW w:w="506" w:type="pct"/>
            <w:noWrap/>
          </w:tcPr>
          <w:p w14:paraId="0E918E26" w14:textId="77777777" w:rsidR="00E965EE" w:rsidRPr="00E965EE" w:rsidRDefault="00E965EE" w:rsidP="00A67F5E">
            <w:pPr>
              <w:keepNext/>
              <w:widowControl w:val="0"/>
              <w:spacing w:before="0"/>
              <w:jc w:val="right"/>
              <w:rPr>
                <w:rFonts w:ascii="Arial Narrow" w:hAnsi="Arial Narrow"/>
                <w:sz w:val="20"/>
              </w:rPr>
            </w:pPr>
          </w:p>
        </w:tc>
        <w:tc>
          <w:tcPr>
            <w:tcW w:w="506" w:type="pct"/>
            <w:noWrap/>
          </w:tcPr>
          <w:p w14:paraId="0106F9C9" w14:textId="77777777" w:rsidR="00E965EE" w:rsidRPr="00E965EE" w:rsidRDefault="00E965EE" w:rsidP="00A67F5E">
            <w:pPr>
              <w:keepNext/>
              <w:widowControl w:val="0"/>
              <w:spacing w:before="0"/>
              <w:jc w:val="right"/>
              <w:rPr>
                <w:rFonts w:ascii="Arial Narrow" w:hAnsi="Arial Narrow"/>
                <w:sz w:val="20"/>
              </w:rPr>
            </w:pPr>
          </w:p>
        </w:tc>
        <w:tc>
          <w:tcPr>
            <w:tcW w:w="507" w:type="pct"/>
            <w:noWrap/>
          </w:tcPr>
          <w:p w14:paraId="03A94D6B" w14:textId="77777777" w:rsidR="00E965EE" w:rsidRPr="00E965EE" w:rsidRDefault="00E965EE" w:rsidP="00A67F5E">
            <w:pPr>
              <w:keepNext/>
              <w:widowControl w:val="0"/>
              <w:spacing w:before="0"/>
              <w:jc w:val="right"/>
              <w:rPr>
                <w:rFonts w:ascii="Arial Narrow" w:hAnsi="Arial Narrow"/>
                <w:sz w:val="20"/>
              </w:rPr>
            </w:pPr>
          </w:p>
        </w:tc>
      </w:tr>
      <w:tr w:rsidR="00E965EE" w:rsidRPr="00E965EE" w14:paraId="29B6CEAB" w14:textId="77777777" w:rsidTr="004457F4">
        <w:trPr>
          <w:cantSplit/>
          <w:trHeight w:val="20"/>
        </w:trPr>
        <w:tc>
          <w:tcPr>
            <w:tcW w:w="155" w:type="pct"/>
          </w:tcPr>
          <w:p w14:paraId="0A022B74"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E</w:t>
            </w:r>
          </w:p>
        </w:tc>
        <w:tc>
          <w:tcPr>
            <w:tcW w:w="1808" w:type="pct"/>
            <w:noWrap/>
            <w:hideMark/>
          </w:tcPr>
          <w:p w14:paraId="1049A743"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prevalent chronic HBV patients tested for anti-HDV following bulevirtide listing (C × D)</w:t>
            </w:r>
          </w:p>
        </w:tc>
        <w:tc>
          <w:tcPr>
            <w:tcW w:w="506" w:type="pct"/>
            <w:noWrap/>
            <w:hideMark/>
          </w:tcPr>
          <w:p w14:paraId="74A2821F" w14:textId="73BEA50F" w:rsidR="00E965EE" w:rsidRPr="00845BD8" w:rsidRDefault="00992BA9"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4B407C" w:rsidRPr="00845BD8">
              <w:rPr>
                <w:rFonts w:ascii="Arial Narrow" w:hAnsi="Arial Narrow"/>
                <w:b/>
                <w:bCs/>
                <w:sz w:val="20"/>
                <w:vertAlign w:val="superscript"/>
              </w:rPr>
              <w:t>4</w:t>
            </w:r>
          </w:p>
        </w:tc>
        <w:tc>
          <w:tcPr>
            <w:tcW w:w="506" w:type="pct"/>
            <w:noWrap/>
            <w:hideMark/>
          </w:tcPr>
          <w:p w14:paraId="1966C7EC" w14:textId="73CF21E3" w:rsidR="00E965EE" w:rsidRPr="00845BD8" w:rsidRDefault="002C481D"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Pr>
                <w:rFonts w:ascii="Arial Narrow" w:hAnsi="Arial Narrow"/>
                <w:b/>
                <w:bCs/>
                <w:sz w:val="20"/>
                <w:vertAlign w:val="superscript"/>
              </w:rPr>
              <w:t>5</w:t>
            </w:r>
          </w:p>
        </w:tc>
        <w:tc>
          <w:tcPr>
            <w:tcW w:w="506" w:type="pct"/>
            <w:noWrap/>
            <w:hideMark/>
          </w:tcPr>
          <w:p w14:paraId="17105A91" w14:textId="6C5401F7" w:rsidR="00E965EE" w:rsidRPr="00845BD8" w:rsidRDefault="00CE1F2C"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944769" w:rsidRPr="00845BD8">
              <w:rPr>
                <w:rFonts w:ascii="Arial Narrow" w:hAnsi="Arial Narrow"/>
                <w:b/>
                <w:bCs/>
                <w:sz w:val="20"/>
                <w:vertAlign w:val="superscript"/>
              </w:rPr>
              <w:t>5</w:t>
            </w:r>
          </w:p>
        </w:tc>
        <w:tc>
          <w:tcPr>
            <w:tcW w:w="506" w:type="pct"/>
            <w:noWrap/>
            <w:hideMark/>
          </w:tcPr>
          <w:p w14:paraId="696F1822" w14:textId="77777777" w:rsidR="00E965EE" w:rsidRPr="00E965EE" w:rsidRDefault="00E965EE" w:rsidP="00A67F5E">
            <w:pPr>
              <w:keepNext/>
              <w:widowControl w:val="0"/>
              <w:spacing w:before="0"/>
              <w:jc w:val="right"/>
              <w:rPr>
                <w:rFonts w:ascii="Arial Narrow" w:hAnsi="Arial Narrow"/>
                <w:sz w:val="20"/>
              </w:rPr>
            </w:pPr>
          </w:p>
        </w:tc>
        <w:tc>
          <w:tcPr>
            <w:tcW w:w="506" w:type="pct"/>
            <w:noWrap/>
            <w:hideMark/>
          </w:tcPr>
          <w:p w14:paraId="65FDB7AD" w14:textId="77777777" w:rsidR="00E965EE" w:rsidRPr="00E965EE" w:rsidRDefault="00E965EE" w:rsidP="00A67F5E">
            <w:pPr>
              <w:keepNext/>
              <w:widowControl w:val="0"/>
              <w:spacing w:before="0"/>
              <w:jc w:val="right"/>
              <w:rPr>
                <w:rFonts w:ascii="Arial Narrow" w:hAnsi="Arial Narrow"/>
                <w:sz w:val="20"/>
              </w:rPr>
            </w:pPr>
          </w:p>
        </w:tc>
        <w:tc>
          <w:tcPr>
            <w:tcW w:w="507" w:type="pct"/>
            <w:noWrap/>
            <w:hideMark/>
          </w:tcPr>
          <w:p w14:paraId="517C5431" w14:textId="77777777" w:rsidR="00E965EE" w:rsidRPr="00E965EE" w:rsidRDefault="00E965EE" w:rsidP="00A67F5E">
            <w:pPr>
              <w:keepNext/>
              <w:widowControl w:val="0"/>
              <w:spacing w:before="0"/>
              <w:jc w:val="right"/>
              <w:rPr>
                <w:rFonts w:ascii="Arial Narrow" w:hAnsi="Arial Narrow"/>
                <w:sz w:val="20"/>
              </w:rPr>
            </w:pPr>
          </w:p>
        </w:tc>
      </w:tr>
      <w:tr w:rsidR="00E965EE" w:rsidRPr="00E965EE" w14:paraId="5DFF2C8A" w14:textId="77777777" w:rsidTr="004457F4">
        <w:trPr>
          <w:cantSplit/>
          <w:trHeight w:val="20"/>
        </w:trPr>
        <w:tc>
          <w:tcPr>
            <w:tcW w:w="155" w:type="pct"/>
          </w:tcPr>
          <w:p w14:paraId="65233B0E"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F</w:t>
            </w:r>
          </w:p>
        </w:tc>
        <w:tc>
          <w:tcPr>
            <w:tcW w:w="1808" w:type="pct"/>
            <w:noWrap/>
            <w:hideMark/>
          </w:tcPr>
          <w:p w14:paraId="139D6620" w14:textId="35E04B1B"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patients eligible for diagnostic HDV RNA testing (E × </w:t>
            </w:r>
            <w:r w:rsidR="001C090D" w:rsidRPr="00E965EE">
              <w:rPr>
                <w:rFonts w:ascii="Arial Narrow" w:hAnsi="Arial Narrow"/>
                <w:sz w:val="20"/>
              </w:rPr>
              <w:t>100</w:t>
            </w:r>
            <w:r w:rsidRPr="00E965EE">
              <w:rPr>
                <w:rFonts w:ascii="Arial Narrow" w:hAnsi="Arial Narrow"/>
                <w:sz w:val="20"/>
              </w:rPr>
              <w:t>%)</w:t>
            </w:r>
          </w:p>
        </w:tc>
        <w:tc>
          <w:tcPr>
            <w:tcW w:w="506" w:type="pct"/>
            <w:noWrap/>
            <w:hideMark/>
          </w:tcPr>
          <w:p w14:paraId="18638B88" w14:textId="37B6A2A5" w:rsidR="00E965EE" w:rsidRPr="00845BD8" w:rsidRDefault="002435D2"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944769" w:rsidRPr="00845BD8">
              <w:rPr>
                <w:rFonts w:ascii="Arial Narrow" w:hAnsi="Arial Narrow"/>
                <w:b/>
                <w:bCs/>
                <w:sz w:val="20"/>
                <w:vertAlign w:val="superscript"/>
              </w:rPr>
              <w:t>4</w:t>
            </w:r>
          </w:p>
        </w:tc>
        <w:tc>
          <w:tcPr>
            <w:tcW w:w="506" w:type="pct"/>
            <w:noWrap/>
            <w:hideMark/>
          </w:tcPr>
          <w:p w14:paraId="3DEC92D5" w14:textId="748A6696" w:rsidR="00E965EE" w:rsidRPr="00845BD8" w:rsidRDefault="002435D2"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930173" w:rsidRPr="00845BD8">
              <w:rPr>
                <w:rFonts w:ascii="Arial Narrow" w:hAnsi="Arial Narrow"/>
                <w:b/>
                <w:bCs/>
                <w:sz w:val="20"/>
                <w:vertAlign w:val="superscript"/>
              </w:rPr>
              <w:t>5</w:t>
            </w:r>
          </w:p>
        </w:tc>
        <w:tc>
          <w:tcPr>
            <w:tcW w:w="506" w:type="pct"/>
            <w:noWrap/>
            <w:hideMark/>
          </w:tcPr>
          <w:p w14:paraId="37C9D896" w14:textId="7C8E6FBD" w:rsidR="00E965EE" w:rsidRPr="00845BD8" w:rsidRDefault="002435D2"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930173" w:rsidRPr="00845BD8">
              <w:rPr>
                <w:rFonts w:ascii="Arial Narrow" w:hAnsi="Arial Narrow"/>
                <w:b/>
                <w:bCs/>
                <w:sz w:val="20"/>
                <w:vertAlign w:val="superscript"/>
              </w:rPr>
              <w:t>5</w:t>
            </w:r>
          </w:p>
        </w:tc>
        <w:tc>
          <w:tcPr>
            <w:tcW w:w="506" w:type="pct"/>
            <w:noWrap/>
            <w:hideMark/>
          </w:tcPr>
          <w:p w14:paraId="5586B8D9" w14:textId="77777777" w:rsidR="00E965EE" w:rsidRPr="00E965EE" w:rsidRDefault="00E965EE" w:rsidP="00A67F5E">
            <w:pPr>
              <w:keepNext/>
              <w:widowControl w:val="0"/>
              <w:spacing w:before="0"/>
              <w:jc w:val="right"/>
              <w:rPr>
                <w:rFonts w:ascii="Arial Narrow" w:hAnsi="Arial Narrow"/>
                <w:sz w:val="20"/>
              </w:rPr>
            </w:pPr>
          </w:p>
        </w:tc>
        <w:tc>
          <w:tcPr>
            <w:tcW w:w="506" w:type="pct"/>
            <w:noWrap/>
            <w:hideMark/>
          </w:tcPr>
          <w:p w14:paraId="2C6E4C2D" w14:textId="77777777" w:rsidR="00E965EE" w:rsidRPr="00E965EE" w:rsidRDefault="00E965EE" w:rsidP="00A67F5E">
            <w:pPr>
              <w:keepNext/>
              <w:widowControl w:val="0"/>
              <w:spacing w:before="0"/>
              <w:jc w:val="right"/>
              <w:rPr>
                <w:rFonts w:ascii="Arial Narrow" w:hAnsi="Arial Narrow"/>
                <w:sz w:val="20"/>
              </w:rPr>
            </w:pPr>
          </w:p>
        </w:tc>
        <w:tc>
          <w:tcPr>
            <w:tcW w:w="507" w:type="pct"/>
            <w:noWrap/>
            <w:hideMark/>
          </w:tcPr>
          <w:p w14:paraId="1E6D310B" w14:textId="77777777" w:rsidR="00E965EE" w:rsidRPr="00E965EE" w:rsidRDefault="00E965EE" w:rsidP="00A67F5E">
            <w:pPr>
              <w:keepNext/>
              <w:widowControl w:val="0"/>
              <w:spacing w:before="0"/>
              <w:jc w:val="right"/>
              <w:rPr>
                <w:rFonts w:ascii="Arial Narrow" w:hAnsi="Arial Narrow"/>
                <w:sz w:val="20"/>
              </w:rPr>
            </w:pPr>
          </w:p>
        </w:tc>
      </w:tr>
      <w:tr w:rsidR="00E965EE" w:rsidRPr="00E965EE" w14:paraId="5DBE9D87" w14:textId="77777777" w:rsidTr="004457F4">
        <w:trPr>
          <w:cantSplit/>
          <w:trHeight w:val="20"/>
        </w:trPr>
        <w:tc>
          <w:tcPr>
            <w:tcW w:w="155" w:type="pct"/>
          </w:tcPr>
          <w:p w14:paraId="215C9728"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G</w:t>
            </w:r>
          </w:p>
        </w:tc>
        <w:tc>
          <w:tcPr>
            <w:tcW w:w="1808" w:type="pct"/>
            <w:noWrap/>
            <w:hideMark/>
          </w:tcPr>
          <w:p w14:paraId="781F9805" w14:textId="0E2DE0CB"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 xml:space="preserve">Increase in patients receiving diagnostic HDV RNA tests following bulevirtide listing (above </w:t>
            </w:r>
            <w:r w:rsidR="00FE1ECB">
              <w:rPr>
                <w:rFonts w:ascii="Arial Narrow" w:hAnsi="Arial Narrow"/>
                <w:sz w:val="20"/>
              </w:rPr>
              <w:t>44.4</w:t>
            </w:r>
            <w:r w:rsidR="004457F4" w:rsidRPr="00E965EE" w:rsidDel="004457F4">
              <w:rPr>
                <w:rFonts w:ascii="Arial Narrow" w:hAnsi="Arial Narrow"/>
                <w:sz w:val="20"/>
              </w:rPr>
              <w:t xml:space="preserve"> </w:t>
            </w:r>
            <w:r w:rsidRPr="00E965EE">
              <w:rPr>
                <w:rFonts w:ascii="Arial Narrow" w:hAnsi="Arial Narrow"/>
                <w:sz w:val="20"/>
              </w:rPr>
              <w:t>% assumed in absence of listing)</w:t>
            </w:r>
          </w:p>
        </w:tc>
        <w:tc>
          <w:tcPr>
            <w:tcW w:w="506" w:type="pct"/>
            <w:noWrap/>
            <w:hideMark/>
          </w:tcPr>
          <w:p w14:paraId="6F17E463" w14:textId="61E54CDB" w:rsidR="00E965EE" w:rsidRPr="00845BD8" w:rsidRDefault="007A196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E965EE" w:rsidRPr="00845BD8">
              <w:rPr>
                <w:rFonts w:ascii="Arial Narrow" w:hAnsi="Arial Narrow"/>
                <w:b/>
                <w:bCs/>
                <w:sz w:val="20"/>
              </w:rPr>
              <w:t>%</w:t>
            </w:r>
          </w:p>
        </w:tc>
        <w:tc>
          <w:tcPr>
            <w:tcW w:w="506" w:type="pct"/>
            <w:noWrap/>
            <w:hideMark/>
          </w:tcPr>
          <w:p w14:paraId="02A18B73" w14:textId="34C25749" w:rsidR="00E965EE" w:rsidRPr="00845BD8" w:rsidRDefault="007A196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7A1961">
              <w:rPr>
                <w:rFonts w:ascii="Arial Narrow" w:hAnsi="Arial Narrow"/>
                <w:b/>
                <w:bCs/>
                <w:sz w:val="20"/>
              </w:rPr>
              <w:t xml:space="preserve"> </w:t>
            </w:r>
            <w:r w:rsidR="00E965EE" w:rsidRPr="00845BD8">
              <w:rPr>
                <w:rFonts w:ascii="Arial Narrow" w:hAnsi="Arial Narrow"/>
                <w:b/>
                <w:bCs/>
                <w:sz w:val="20"/>
              </w:rPr>
              <w:t>%</w:t>
            </w:r>
          </w:p>
        </w:tc>
        <w:tc>
          <w:tcPr>
            <w:tcW w:w="506" w:type="pct"/>
            <w:noWrap/>
            <w:hideMark/>
          </w:tcPr>
          <w:p w14:paraId="0A6F7A65" w14:textId="1E9B4A50" w:rsidR="00E965EE" w:rsidRPr="00845BD8" w:rsidRDefault="007A196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7A1961">
              <w:rPr>
                <w:rFonts w:ascii="Arial Narrow" w:hAnsi="Arial Narrow"/>
                <w:b/>
                <w:bCs/>
                <w:sz w:val="20"/>
              </w:rPr>
              <w:t xml:space="preserve"> </w:t>
            </w:r>
            <w:r w:rsidR="00E965EE" w:rsidRPr="00845BD8">
              <w:rPr>
                <w:rFonts w:ascii="Arial Narrow" w:hAnsi="Arial Narrow"/>
                <w:b/>
                <w:bCs/>
                <w:sz w:val="20"/>
              </w:rPr>
              <w:t>%</w:t>
            </w:r>
          </w:p>
        </w:tc>
        <w:tc>
          <w:tcPr>
            <w:tcW w:w="506" w:type="pct"/>
            <w:noWrap/>
            <w:hideMark/>
          </w:tcPr>
          <w:p w14:paraId="71B73055" w14:textId="77777777" w:rsidR="00E965EE" w:rsidRPr="00E965EE" w:rsidRDefault="00E965EE" w:rsidP="00A67F5E">
            <w:pPr>
              <w:keepNext/>
              <w:widowControl w:val="0"/>
              <w:spacing w:before="0"/>
              <w:jc w:val="right"/>
              <w:rPr>
                <w:rFonts w:ascii="Arial Narrow" w:hAnsi="Arial Narrow"/>
                <w:sz w:val="20"/>
              </w:rPr>
            </w:pPr>
          </w:p>
        </w:tc>
        <w:tc>
          <w:tcPr>
            <w:tcW w:w="506" w:type="pct"/>
            <w:noWrap/>
            <w:hideMark/>
          </w:tcPr>
          <w:p w14:paraId="1BC63431" w14:textId="77777777" w:rsidR="00E965EE" w:rsidRPr="00E965EE" w:rsidRDefault="00E965EE" w:rsidP="00A67F5E">
            <w:pPr>
              <w:keepNext/>
              <w:widowControl w:val="0"/>
              <w:spacing w:before="0"/>
              <w:jc w:val="right"/>
              <w:rPr>
                <w:rFonts w:ascii="Arial Narrow" w:hAnsi="Arial Narrow"/>
                <w:sz w:val="20"/>
              </w:rPr>
            </w:pPr>
          </w:p>
        </w:tc>
        <w:tc>
          <w:tcPr>
            <w:tcW w:w="507" w:type="pct"/>
            <w:noWrap/>
            <w:hideMark/>
          </w:tcPr>
          <w:p w14:paraId="1DCD0828" w14:textId="77777777" w:rsidR="00E965EE" w:rsidRPr="00E965EE" w:rsidRDefault="00E965EE" w:rsidP="00A67F5E">
            <w:pPr>
              <w:keepNext/>
              <w:widowControl w:val="0"/>
              <w:spacing w:before="0"/>
              <w:jc w:val="right"/>
              <w:rPr>
                <w:rFonts w:ascii="Arial Narrow" w:hAnsi="Arial Narrow"/>
                <w:sz w:val="20"/>
              </w:rPr>
            </w:pPr>
          </w:p>
        </w:tc>
      </w:tr>
      <w:tr w:rsidR="00E965EE" w:rsidRPr="00E965EE" w14:paraId="05023E82" w14:textId="77777777" w:rsidTr="004457F4">
        <w:trPr>
          <w:cantSplit/>
          <w:trHeight w:val="20"/>
        </w:trPr>
        <w:tc>
          <w:tcPr>
            <w:tcW w:w="155" w:type="pct"/>
          </w:tcPr>
          <w:p w14:paraId="74AE2A51"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H</w:t>
            </w:r>
          </w:p>
        </w:tc>
        <w:tc>
          <w:tcPr>
            <w:tcW w:w="1808" w:type="pct"/>
            <w:noWrap/>
            <w:hideMark/>
          </w:tcPr>
          <w:p w14:paraId="589A634E"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additional patients who receive diagnostic HDV RNA testing (F × G)</w:t>
            </w:r>
          </w:p>
        </w:tc>
        <w:tc>
          <w:tcPr>
            <w:tcW w:w="506" w:type="pct"/>
            <w:noWrap/>
            <w:hideMark/>
          </w:tcPr>
          <w:p w14:paraId="35E0872C" w14:textId="467E9AC8" w:rsidR="00E965EE" w:rsidRPr="00845BD8" w:rsidRDefault="00B40B50"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C36B66" w:rsidRPr="00845BD8">
              <w:rPr>
                <w:rFonts w:ascii="Arial Narrow" w:hAnsi="Arial Narrow"/>
                <w:b/>
                <w:bCs/>
                <w:sz w:val="20"/>
                <w:vertAlign w:val="superscript"/>
              </w:rPr>
              <w:t>6</w:t>
            </w:r>
          </w:p>
        </w:tc>
        <w:tc>
          <w:tcPr>
            <w:tcW w:w="506" w:type="pct"/>
            <w:noWrap/>
            <w:hideMark/>
          </w:tcPr>
          <w:p w14:paraId="01AE62AD" w14:textId="0204BB95" w:rsidR="00E965EE" w:rsidRPr="00845BD8" w:rsidRDefault="0048211F" w:rsidP="00A67F5E">
            <w:pPr>
              <w:keepNext/>
              <w:widowControl w:val="0"/>
              <w:spacing w:before="0"/>
              <w:jc w:val="right"/>
              <w:rPr>
                <w:rFonts w:ascii="Arial Narrow" w:hAnsi="Arial Narrow"/>
                <w:b/>
                <w:bCs/>
                <w:sz w:val="20"/>
              </w:rPr>
            </w:pPr>
            <w:r w:rsidRPr="00845BD8">
              <w:rPr>
                <w:rFonts w:ascii="Arial Narrow" w:hAnsi="Arial Narrow"/>
                <w:b/>
                <w:bCs/>
                <w:sz w:val="20"/>
              </w:rPr>
              <w:t xml:space="preserve">redacted </w:t>
            </w:r>
            <w:r w:rsidR="00C12FB6" w:rsidRPr="00845BD8">
              <w:rPr>
                <w:rFonts w:ascii="Arial Narrow" w:hAnsi="Arial Narrow"/>
                <w:b/>
                <w:bCs/>
                <w:sz w:val="20"/>
                <w:vertAlign w:val="superscript"/>
              </w:rPr>
              <w:t>6</w:t>
            </w:r>
          </w:p>
        </w:tc>
        <w:tc>
          <w:tcPr>
            <w:tcW w:w="506" w:type="pct"/>
            <w:noWrap/>
            <w:hideMark/>
          </w:tcPr>
          <w:p w14:paraId="1A0C4976" w14:textId="0A9CFD34" w:rsidR="00E965EE" w:rsidRPr="00845BD8" w:rsidRDefault="0048211F"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C12FB6" w:rsidRPr="00845BD8">
              <w:rPr>
                <w:rFonts w:ascii="Arial Narrow" w:hAnsi="Arial Narrow"/>
                <w:b/>
                <w:bCs/>
                <w:sz w:val="20"/>
                <w:vertAlign w:val="superscript"/>
              </w:rPr>
              <w:t>6</w:t>
            </w:r>
          </w:p>
        </w:tc>
        <w:tc>
          <w:tcPr>
            <w:tcW w:w="506" w:type="pct"/>
            <w:noWrap/>
            <w:hideMark/>
          </w:tcPr>
          <w:p w14:paraId="646AF9B3" w14:textId="77777777" w:rsidR="00E965EE" w:rsidRPr="00E965EE" w:rsidRDefault="00E965EE" w:rsidP="00A67F5E">
            <w:pPr>
              <w:keepNext/>
              <w:widowControl w:val="0"/>
              <w:spacing w:before="0"/>
              <w:jc w:val="right"/>
              <w:rPr>
                <w:rFonts w:ascii="Arial Narrow" w:hAnsi="Arial Narrow"/>
                <w:sz w:val="20"/>
              </w:rPr>
            </w:pPr>
          </w:p>
        </w:tc>
        <w:tc>
          <w:tcPr>
            <w:tcW w:w="506" w:type="pct"/>
            <w:noWrap/>
            <w:hideMark/>
          </w:tcPr>
          <w:p w14:paraId="76FA43F5" w14:textId="77777777" w:rsidR="00E965EE" w:rsidRPr="00E965EE" w:rsidRDefault="00E965EE" w:rsidP="00A67F5E">
            <w:pPr>
              <w:keepNext/>
              <w:widowControl w:val="0"/>
              <w:spacing w:before="0"/>
              <w:jc w:val="right"/>
              <w:rPr>
                <w:rFonts w:ascii="Arial Narrow" w:hAnsi="Arial Narrow"/>
                <w:sz w:val="20"/>
              </w:rPr>
            </w:pPr>
          </w:p>
        </w:tc>
        <w:tc>
          <w:tcPr>
            <w:tcW w:w="507" w:type="pct"/>
            <w:noWrap/>
            <w:hideMark/>
          </w:tcPr>
          <w:p w14:paraId="7A0DF879" w14:textId="77777777" w:rsidR="00E965EE" w:rsidRPr="00E965EE" w:rsidRDefault="00E965EE" w:rsidP="00A67F5E">
            <w:pPr>
              <w:keepNext/>
              <w:widowControl w:val="0"/>
              <w:spacing w:before="0"/>
              <w:jc w:val="right"/>
              <w:rPr>
                <w:rFonts w:ascii="Arial Narrow" w:hAnsi="Arial Narrow"/>
                <w:sz w:val="20"/>
              </w:rPr>
            </w:pPr>
          </w:p>
        </w:tc>
      </w:tr>
      <w:tr w:rsidR="00E965EE" w:rsidRPr="00E965EE" w14:paraId="17125999" w14:textId="77777777" w:rsidTr="004457F4">
        <w:trPr>
          <w:cantSplit/>
          <w:trHeight w:val="20"/>
        </w:trPr>
        <w:tc>
          <w:tcPr>
            <w:tcW w:w="5000" w:type="pct"/>
            <w:gridSpan w:val="8"/>
          </w:tcPr>
          <w:p w14:paraId="4224C124"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Incident patients</w:t>
            </w:r>
          </w:p>
        </w:tc>
      </w:tr>
      <w:tr w:rsidR="00E965EE" w:rsidRPr="00E965EE" w14:paraId="694BBD06" w14:textId="77777777" w:rsidTr="004457F4">
        <w:trPr>
          <w:cantSplit/>
          <w:trHeight w:val="20"/>
        </w:trPr>
        <w:tc>
          <w:tcPr>
            <w:tcW w:w="155" w:type="pct"/>
          </w:tcPr>
          <w:p w14:paraId="3603FC0E"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I</w:t>
            </w:r>
          </w:p>
        </w:tc>
        <w:tc>
          <w:tcPr>
            <w:tcW w:w="1808" w:type="pct"/>
            <w:noWrap/>
          </w:tcPr>
          <w:p w14:paraId="51E964C6" w14:textId="78AE1DC0"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incident chronic HBV patients diagnosed (</w:t>
            </w:r>
            <w:r w:rsidR="00CE5504">
              <w:rPr>
                <w:rFonts w:ascii="Arial Narrow" w:hAnsi="Arial Narrow"/>
                <w:sz w:val="20"/>
              </w:rPr>
              <w:t>0.02</w:t>
            </w:r>
            <w:r w:rsidR="004457F4" w:rsidRPr="00E965EE" w:rsidDel="004457F4">
              <w:rPr>
                <w:rFonts w:ascii="Arial Narrow" w:hAnsi="Arial Narrow"/>
                <w:sz w:val="20"/>
              </w:rPr>
              <w:t xml:space="preserve"> </w:t>
            </w:r>
            <w:r w:rsidRPr="00E965EE">
              <w:rPr>
                <w:rFonts w:ascii="Arial Narrow" w:hAnsi="Arial Narrow"/>
                <w:sz w:val="20"/>
              </w:rPr>
              <w:t>% × Australian population projections age 0−100+)</w:t>
            </w:r>
          </w:p>
        </w:tc>
        <w:tc>
          <w:tcPr>
            <w:tcW w:w="506" w:type="pct"/>
            <w:noWrap/>
          </w:tcPr>
          <w:p w14:paraId="01CBE8E9" w14:textId="79FC18F1" w:rsidR="00E965EE" w:rsidRPr="00845BD8" w:rsidRDefault="007D7A23"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6" w:type="pct"/>
            <w:noWrap/>
          </w:tcPr>
          <w:p w14:paraId="06B2D21E" w14:textId="5755D2C1" w:rsidR="00E965EE" w:rsidRPr="00845BD8" w:rsidRDefault="007D7A23"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6" w:type="pct"/>
            <w:noWrap/>
          </w:tcPr>
          <w:p w14:paraId="15338778" w14:textId="71BBA70D" w:rsidR="00E965EE" w:rsidRPr="00845BD8" w:rsidRDefault="007D7A23"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6" w:type="pct"/>
            <w:noWrap/>
          </w:tcPr>
          <w:p w14:paraId="74E0C466" w14:textId="4C0A32A7" w:rsidR="00E965EE" w:rsidRPr="00845BD8" w:rsidRDefault="00CD681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6" w:type="pct"/>
            <w:noWrap/>
          </w:tcPr>
          <w:p w14:paraId="6DDB6863" w14:textId="3E461226" w:rsidR="00E965EE" w:rsidRPr="00845BD8" w:rsidRDefault="00CD681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7" w:type="pct"/>
            <w:noWrap/>
          </w:tcPr>
          <w:p w14:paraId="154092C8" w14:textId="213321B6" w:rsidR="00E965EE" w:rsidRPr="00845BD8" w:rsidRDefault="00CD681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Pr>
                <w:rFonts w:ascii="Arial Narrow" w:hAnsi="Arial Narrow"/>
                <w:b/>
                <w:bCs/>
                <w:sz w:val="20"/>
                <w:vertAlign w:val="superscript"/>
              </w:rPr>
              <w:t>1</w:t>
            </w:r>
            <w:r w:rsidR="00BC3D48" w:rsidRPr="00845BD8">
              <w:rPr>
                <w:rFonts w:ascii="Arial Narrow" w:hAnsi="Arial Narrow"/>
                <w:b/>
                <w:bCs/>
                <w:sz w:val="20"/>
                <w:vertAlign w:val="superscript"/>
              </w:rPr>
              <w:t>5</w:t>
            </w:r>
          </w:p>
        </w:tc>
      </w:tr>
      <w:tr w:rsidR="00E965EE" w:rsidRPr="00E965EE" w14:paraId="7820D653" w14:textId="77777777" w:rsidTr="004457F4">
        <w:trPr>
          <w:cantSplit/>
          <w:trHeight w:val="20"/>
        </w:trPr>
        <w:tc>
          <w:tcPr>
            <w:tcW w:w="155" w:type="pct"/>
          </w:tcPr>
          <w:p w14:paraId="199F7C21"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J</w:t>
            </w:r>
          </w:p>
        </w:tc>
        <w:tc>
          <w:tcPr>
            <w:tcW w:w="1808" w:type="pct"/>
            <w:noWrap/>
            <w:hideMark/>
          </w:tcPr>
          <w:p w14:paraId="1669B583" w14:textId="4AB851E0"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incident chronic HBV patients engaged in care (I × </w:t>
            </w:r>
            <w:r w:rsidR="004F2BF6">
              <w:rPr>
                <w:rFonts w:ascii="Arial Narrow" w:hAnsi="Arial Narrow"/>
                <w:sz w:val="20"/>
              </w:rPr>
              <w:t>90.0</w:t>
            </w:r>
            <w:r w:rsidR="004457F4" w:rsidRPr="00E965EE" w:rsidDel="004457F4">
              <w:rPr>
                <w:rFonts w:ascii="Arial Narrow" w:hAnsi="Arial Narrow"/>
                <w:sz w:val="20"/>
              </w:rPr>
              <w:t xml:space="preserve"> </w:t>
            </w:r>
            <w:r w:rsidRPr="00E965EE">
              <w:rPr>
                <w:rFonts w:ascii="Arial Narrow" w:hAnsi="Arial Narrow"/>
                <w:sz w:val="20"/>
              </w:rPr>
              <w:t>%)</w:t>
            </w:r>
          </w:p>
        </w:tc>
        <w:tc>
          <w:tcPr>
            <w:tcW w:w="506" w:type="pct"/>
            <w:noWrap/>
            <w:hideMark/>
          </w:tcPr>
          <w:p w14:paraId="70652CEB" w14:textId="574EF4D2" w:rsidR="00E965EE" w:rsidRPr="00845BD8" w:rsidRDefault="00CD681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6" w:type="pct"/>
            <w:noWrap/>
            <w:hideMark/>
          </w:tcPr>
          <w:p w14:paraId="74791466" w14:textId="0B130079" w:rsidR="00E965EE" w:rsidRPr="00845BD8" w:rsidRDefault="00CD681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6" w:type="pct"/>
            <w:noWrap/>
            <w:hideMark/>
          </w:tcPr>
          <w:p w14:paraId="641095F2" w14:textId="7305CFCF" w:rsidR="00E965EE" w:rsidRPr="00845BD8" w:rsidRDefault="00CD681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6" w:type="pct"/>
            <w:noWrap/>
            <w:hideMark/>
          </w:tcPr>
          <w:p w14:paraId="6B555FB8" w14:textId="41023EB2"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6" w:type="pct"/>
            <w:noWrap/>
            <w:hideMark/>
          </w:tcPr>
          <w:p w14:paraId="45460AE2" w14:textId="0E2C0E4E"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BC3D48" w:rsidRPr="00845BD8">
              <w:rPr>
                <w:rFonts w:ascii="Arial Narrow" w:hAnsi="Arial Narrow"/>
                <w:b/>
                <w:bCs/>
                <w:sz w:val="20"/>
                <w:vertAlign w:val="superscript"/>
              </w:rPr>
              <w:t>5</w:t>
            </w:r>
          </w:p>
        </w:tc>
        <w:tc>
          <w:tcPr>
            <w:tcW w:w="507" w:type="pct"/>
            <w:noWrap/>
            <w:hideMark/>
          </w:tcPr>
          <w:p w14:paraId="2B1C4F74" w14:textId="4B2D7F6E"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Pr>
                <w:rFonts w:ascii="Arial Narrow" w:hAnsi="Arial Narrow"/>
                <w:b/>
                <w:bCs/>
                <w:sz w:val="20"/>
                <w:vertAlign w:val="superscript"/>
              </w:rPr>
              <w:t>2</w:t>
            </w:r>
            <w:r w:rsidR="00BC3D48" w:rsidRPr="00845BD8">
              <w:rPr>
                <w:rFonts w:ascii="Arial Narrow" w:hAnsi="Arial Narrow"/>
                <w:b/>
                <w:bCs/>
                <w:sz w:val="20"/>
                <w:vertAlign w:val="superscript"/>
              </w:rPr>
              <w:t>5</w:t>
            </w:r>
          </w:p>
        </w:tc>
      </w:tr>
      <w:tr w:rsidR="00E965EE" w:rsidRPr="00E965EE" w14:paraId="7DB6F1BE" w14:textId="77777777" w:rsidTr="004457F4">
        <w:trPr>
          <w:cantSplit/>
          <w:trHeight w:val="20"/>
        </w:trPr>
        <w:tc>
          <w:tcPr>
            <w:tcW w:w="155" w:type="pct"/>
          </w:tcPr>
          <w:p w14:paraId="1ECB2F68"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K</w:t>
            </w:r>
          </w:p>
        </w:tc>
        <w:tc>
          <w:tcPr>
            <w:tcW w:w="1808" w:type="pct"/>
            <w:noWrap/>
            <w:hideMark/>
          </w:tcPr>
          <w:p w14:paraId="73E668FE" w14:textId="1C29D36C"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 xml:space="preserve">Increase in patients receiving anti-HDV testing following listing (above </w:t>
            </w:r>
            <w:r w:rsidR="00E16178">
              <w:rPr>
                <w:rFonts w:ascii="Arial Narrow" w:hAnsi="Arial Narrow"/>
                <w:sz w:val="20"/>
              </w:rPr>
              <w:t>35.0</w:t>
            </w:r>
            <w:r w:rsidR="004457F4" w:rsidRPr="00E965EE" w:rsidDel="004457F4">
              <w:rPr>
                <w:rFonts w:ascii="Arial Narrow" w:hAnsi="Arial Narrow"/>
                <w:sz w:val="20"/>
              </w:rPr>
              <w:t xml:space="preserve"> </w:t>
            </w:r>
            <w:r w:rsidRPr="00E965EE">
              <w:rPr>
                <w:rFonts w:ascii="Arial Narrow" w:hAnsi="Arial Narrow"/>
                <w:sz w:val="20"/>
              </w:rPr>
              <w:t>% assumed in absence of listing)</w:t>
            </w:r>
          </w:p>
        </w:tc>
        <w:tc>
          <w:tcPr>
            <w:tcW w:w="506" w:type="pct"/>
            <w:noWrap/>
            <w:hideMark/>
          </w:tcPr>
          <w:p w14:paraId="6956CBA9" w14:textId="3048C6FD"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E965EE" w:rsidRPr="00845BD8">
              <w:rPr>
                <w:rFonts w:ascii="Arial Narrow" w:hAnsi="Arial Narrow"/>
                <w:b/>
                <w:bCs/>
                <w:sz w:val="20"/>
              </w:rPr>
              <w:t>%</w:t>
            </w:r>
          </w:p>
        </w:tc>
        <w:tc>
          <w:tcPr>
            <w:tcW w:w="506" w:type="pct"/>
            <w:noWrap/>
            <w:hideMark/>
          </w:tcPr>
          <w:p w14:paraId="41D0081B" w14:textId="73069BDE"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BA4A6E">
              <w:rPr>
                <w:rFonts w:ascii="Arial Narrow" w:hAnsi="Arial Narrow"/>
                <w:b/>
                <w:bCs/>
                <w:sz w:val="20"/>
              </w:rPr>
              <w:t xml:space="preserve"> </w:t>
            </w:r>
            <w:r w:rsidR="00E965EE" w:rsidRPr="00845BD8">
              <w:rPr>
                <w:rFonts w:ascii="Arial Narrow" w:hAnsi="Arial Narrow"/>
                <w:b/>
                <w:bCs/>
                <w:sz w:val="20"/>
              </w:rPr>
              <w:t>%</w:t>
            </w:r>
          </w:p>
        </w:tc>
        <w:tc>
          <w:tcPr>
            <w:tcW w:w="506" w:type="pct"/>
            <w:noWrap/>
            <w:hideMark/>
          </w:tcPr>
          <w:p w14:paraId="64D3DB5C" w14:textId="5F968A2F"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BA4A6E">
              <w:rPr>
                <w:rFonts w:ascii="Arial Narrow" w:hAnsi="Arial Narrow"/>
                <w:b/>
                <w:bCs/>
                <w:sz w:val="20"/>
              </w:rPr>
              <w:t xml:space="preserve"> </w:t>
            </w:r>
            <w:r w:rsidR="00E965EE" w:rsidRPr="00845BD8">
              <w:rPr>
                <w:rFonts w:ascii="Arial Narrow" w:hAnsi="Arial Narrow"/>
                <w:b/>
                <w:bCs/>
                <w:sz w:val="20"/>
              </w:rPr>
              <w:t>%</w:t>
            </w:r>
          </w:p>
        </w:tc>
        <w:tc>
          <w:tcPr>
            <w:tcW w:w="506" w:type="pct"/>
            <w:noWrap/>
            <w:hideMark/>
          </w:tcPr>
          <w:p w14:paraId="2E933350" w14:textId="2D4014B4"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BA4A6E">
              <w:rPr>
                <w:rFonts w:ascii="Arial Narrow" w:hAnsi="Arial Narrow"/>
                <w:b/>
                <w:bCs/>
                <w:sz w:val="20"/>
              </w:rPr>
              <w:t xml:space="preserve"> </w:t>
            </w:r>
            <w:r w:rsidR="00E965EE" w:rsidRPr="00845BD8">
              <w:rPr>
                <w:rFonts w:ascii="Arial Narrow" w:hAnsi="Arial Narrow"/>
                <w:b/>
                <w:bCs/>
                <w:sz w:val="20"/>
              </w:rPr>
              <w:t>%</w:t>
            </w:r>
          </w:p>
        </w:tc>
        <w:tc>
          <w:tcPr>
            <w:tcW w:w="506" w:type="pct"/>
            <w:noWrap/>
            <w:hideMark/>
          </w:tcPr>
          <w:p w14:paraId="60244433" w14:textId="0E66F8E3"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BA4A6E">
              <w:rPr>
                <w:rFonts w:ascii="Arial Narrow" w:hAnsi="Arial Narrow"/>
                <w:b/>
                <w:bCs/>
                <w:sz w:val="20"/>
              </w:rPr>
              <w:t xml:space="preserve"> </w:t>
            </w:r>
            <w:r w:rsidR="00E965EE" w:rsidRPr="00845BD8">
              <w:rPr>
                <w:rFonts w:ascii="Arial Narrow" w:hAnsi="Arial Narrow"/>
                <w:b/>
                <w:bCs/>
                <w:sz w:val="20"/>
              </w:rPr>
              <w:t>%</w:t>
            </w:r>
          </w:p>
        </w:tc>
        <w:tc>
          <w:tcPr>
            <w:tcW w:w="507" w:type="pct"/>
            <w:noWrap/>
            <w:hideMark/>
          </w:tcPr>
          <w:p w14:paraId="6A5944F2" w14:textId="1F66D87C" w:rsidR="00E965EE" w:rsidRPr="00845BD8" w:rsidRDefault="00BA4A6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BA4A6E">
              <w:rPr>
                <w:rFonts w:ascii="Arial Narrow" w:hAnsi="Arial Narrow"/>
                <w:b/>
                <w:bCs/>
                <w:sz w:val="20"/>
              </w:rPr>
              <w:t xml:space="preserve"> </w:t>
            </w:r>
            <w:r w:rsidR="00E965EE" w:rsidRPr="00845BD8">
              <w:rPr>
                <w:rFonts w:ascii="Arial Narrow" w:hAnsi="Arial Narrow"/>
                <w:b/>
                <w:bCs/>
                <w:sz w:val="20"/>
              </w:rPr>
              <w:t>%</w:t>
            </w:r>
          </w:p>
        </w:tc>
      </w:tr>
      <w:tr w:rsidR="00E965EE" w:rsidRPr="00E965EE" w14:paraId="03072433" w14:textId="77777777" w:rsidTr="004457F4">
        <w:trPr>
          <w:cantSplit/>
          <w:trHeight w:val="20"/>
        </w:trPr>
        <w:tc>
          <w:tcPr>
            <w:tcW w:w="155" w:type="pct"/>
          </w:tcPr>
          <w:p w14:paraId="6E65138F"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L</w:t>
            </w:r>
          </w:p>
        </w:tc>
        <w:tc>
          <w:tcPr>
            <w:tcW w:w="1808" w:type="pct"/>
            <w:noWrap/>
            <w:hideMark/>
          </w:tcPr>
          <w:p w14:paraId="36AC59CC"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additional patients tested for anti-HDV (J × K)</w:t>
            </w:r>
          </w:p>
        </w:tc>
        <w:tc>
          <w:tcPr>
            <w:tcW w:w="506" w:type="pct"/>
            <w:noWrap/>
            <w:hideMark/>
          </w:tcPr>
          <w:p w14:paraId="0CFDC2E6" w14:textId="478BD37B" w:rsidR="00E965EE" w:rsidRPr="00845BD8" w:rsidRDefault="00891F08"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6" w:type="pct"/>
            <w:noWrap/>
            <w:hideMark/>
          </w:tcPr>
          <w:p w14:paraId="7E2AB895" w14:textId="5A3CE5A1" w:rsidR="00E965EE" w:rsidRPr="00845BD8" w:rsidRDefault="007A15A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6" w:type="pct"/>
            <w:noWrap/>
            <w:hideMark/>
          </w:tcPr>
          <w:p w14:paraId="47F833D3" w14:textId="6D424A6C" w:rsidR="00E965EE" w:rsidRPr="00845BD8" w:rsidRDefault="007A15A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6" w:type="pct"/>
            <w:noWrap/>
            <w:hideMark/>
          </w:tcPr>
          <w:p w14:paraId="17E8FDB2" w14:textId="232DF185" w:rsidR="00E965EE" w:rsidRPr="00845BD8" w:rsidRDefault="007A15A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6" w:type="pct"/>
            <w:noWrap/>
            <w:hideMark/>
          </w:tcPr>
          <w:p w14:paraId="6059598C" w14:textId="34973E87" w:rsidR="00E965EE" w:rsidRPr="00845BD8" w:rsidRDefault="007A15A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7" w:type="pct"/>
            <w:noWrap/>
            <w:hideMark/>
          </w:tcPr>
          <w:p w14:paraId="5ECD3F6D" w14:textId="29469843" w:rsidR="00E965EE" w:rsidRPr="00845BD8" w:rsidRDefault="007A15AB"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r>
      <w:tr w:rsidR="00E965EE" w:rsidRPr="00E965EE" w14:paraId="3D5748B2" w14:textId="77777777" w:rsidTr="004457F4">
        <w:trPr>
          <w:cantSplit/>
          <w:trHeight w:val="20"/>
        </w:trPr>
        <w:tc>
          <w:tcPr>
            <w:tcW w:w="155" w:type="pct"/>
          </w:tcPr>
          <w:p w14:paraId="440465B6"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M</w:t>
            </w:r>
          </w:p>
        </w:tc>
        <w:tc>
          <w:tcPr>
            <w:tcW w:w="1808" w:type="pct"/>
            <w:noWrap/>
            <w:hideMark/>
          </w:tcPr>
          <w:p w14:paraId="77BEBEE6" w14:textId="0BA08FEF"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patients eligible for diagnostic HDV RNA testing (L ×</w:t>
            </w:r>
            <w:r w:rsidR="004457F4">
              <w:rPr>
                <w:rFonts w:ascii="Arial Narrow" w:hAnsi="Arial Narrow"/>
                <w:sz w:val="20"/>
              </w:rPr>
              <w:t xml:space="preserve"> </w:t>
            </w:r>
            <w:r w:rsidR="00062928">
              <w:rPr>
                <w:rFonts w:ascii="Arial Narrow" w:hAnsi="Arial Narrow"/>
                <w:sz w:val="20"/>
              </w:rPr>
              <w:t>100</w:t>
            </w:r>
            <w:r w:rsidR="004457F4" w:rsidRPr="00E965EE" w:rsidDel="004457F4">
              <w:rPr>
                <w:rFonts w:ascii="Arial Narrow" w:hAnsi="Arial Narrow"/>
                <w:sz w:val="20"/>
              </w:rPr>
              <w:t xml:space="preserve"> </w:t>
            </w:r>
            <w:r w:rsidRPr="00E965EE">
              <w:rPr>
                <w:rFonts w:ascii="Arial Narrow" w:hAnsi="Arial Narrow"/>
                <w:sz w:val="20"/>
              </w:rPr>
              <w:t>%)</w:t>
            </w:r>
          </w:p>
        </w:tc>
        <w:tc>
          <w:tcPr>
            <w:tcW w:w="506" w:type="pct"/>
            <w:noWrap/>
            <w:hideMark/>
          </w:tcPr>
          <w:p w14:paraId="6BAE6ED8" w14:textId="439A8825" w:rsidR="00E965EE" w:rsidRPr="00845BD8" w:rsidRDefault="00B51252"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6" w:type="pct"/>
            <w:noWrap/>
            <w:hideMark/>
          </w:tcPr>
          <w:p w14:paraId="1DDF46E3" w14:textId="1A65DAEC" w:rsidR="00E965EE" w:rsidRPr="00845BD8" w:rsidRDefault="002B53B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6" w:type="pct"/>
            <w:noWrap/>
            <w:hideMark/>
          </w:tcPr>
          <w:p w14:paraId="19AF3408" w14:textId="508C3D4A" w:rsidR="00E965EE" w:rsidRPr="00845BD8" w:rsidRDefault="002B53B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6" w:type="pct"/>
            <w:noWrap/>
            <w:hideMark/>
          </w:tcPr>
          <w:p w14:paraId="716BC7E8" w14:textId="2F182A82" w:rsidR="00E965EE" w:rsidRPr="00845BD8" w:rsidRDefault="002B53B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6" w:type="pct"/>
            <w:noWrap/>
            <w:hideMark/>
          </w:tcPr>
          <w:p w14:paraId="4EE1078A" w14:textId="4D2382E9" w:rsidR="00E965EE" w:rsidRPr="00845BD8" w:rsidRDefault="002B53B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c>
          <w:tcPr>
            <w:tcW w:w="507" w:type="pct"/>
            <w:noWrap/>
            <w:hideMark/>
          </w:tcPr>
          <w:p w14:paraId="29EB2781" w14:textId="6661FBA2" w:rsidR="00E965EE" w:rsidRPr="00845BD8" w:rsidRDefault="002B53B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DD5DB0" w:rsidRPr="00845BD8">
              <w:rPr>
                <w:rFonts w:ascii="Arial Narrow" w:hAnsi="Arial Narrow"/>
                <w:b/>
                <w:bCs/>
                <w:sz w:val="20"/>
                <w:vertAlign w:val="superscript"/>
              </w:rPr>
              <w:t>6</w:t>
            </w:r>
          </w:p>
        </w:tc>
      </w:tr>
      <w:tr w:rsidR="00E965EE" w:rsidRPr="00E965EE" w14:paraId="68DDB1A5" w14:textId="77777777" w:rsidTr="004457F4">
        <w:trPr>
          <w:cantSplit/>
          <w:trHeight w:val="20"/>
        </w:trPr>
        <w:tc>
          <w:tcPr>
            <w:tcW w:w="155" w:type="pct"/>
          </w:tcPr>
          <w:p w14:paraId="588C9D6B"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w:t>
            </w:r>
          </w:p>
        </w:tc>
        <w:tc>
          <w:tcPr>
            <w:tcW w:w="1808" w:type="pct"/>
            <w:noWrap/>
            <w:hideMark/>
          </w:tcPr>
          <w:p w14:paraId="257FFA06" w14:textId="7F502543"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 xml:space="preserve">Increase in patients receiving diagnostic HDV RNA tests (above </w:t>
            </w:r>
            <w:r w:rsidR="00C65C91">
              <w:rPr>
                <w:rFonts w:ascii="Arial Narrow" w:hAnsi="Arial Narrow"/>
                <w:sz w:val="20"/>
              </w:rPr>
              <w:t>44.4</w:t>
            </w:r>
            <w:r w:rsidRPr="00E965EE">
              <w:rPr>
                <w:rFonts w:ascii="Arial Narrow" w:hAnsi="Arial Narrow"/>
                <w:sz w:val="20"/>
              </w:rPr>
              <w:t>% assumed in absence of listing)</w:t>
            </w:r>
          </w:p>
        </w:tc>
        <w:tc>
          <w:tcPr>
            <w:tcW w:w="506" w:type="pct"/>
            <w:noWrap/>
            <w:hideMark/>
          </w:tcPr>
          <w:p w14:paraId="39A77E17" w14:textId="7DB73062" w:rsidR="00E965EE" w:rsidRPr="00845BD8" w:rsidRDefault="003721D6" w:rsidP="00A67F5E">
            <w:pPr>
              <w:keepNext/>
              <w:widowControl w:val="0"/>
              <w:spacing w:before="0"/>
              <w:jc w:val="right"/>
              <w:rPr>
                <w:rFonts w:ascii="Arial Narrow" w:hAnsi="Arial Narrow"/>
                <w:b/>
                <w:bCs/>
                <w:sz w:val="20"/>
              </w:rPr>
            </w:pPr>
            <w:r w:rsidRPr="00845BD8">
              <w:rPr>
                <w:rFonts w:ascii="Arial Narrow" w:hAnsi="Arial Narrow"/>
                <w:b/>
                <w:bCs/>
                <w:sz w:val="20"/>
              </w:rPr>
              <w:t>redacted</w:t>
            </w:r>
          </w:p>
        </w:tc>
        <w:tc>
          <w:tcPr>
            <w:tcW w:w="506" w:type="pct"/>
            <w:noWrap/>
            <w:hideMark/>
          </w:tcPr>
          <w:p w14:paraId="699CFDE3" w14:textId="77C82C50" w:rsidR="00E965EE" w:rsidRPr="00845BD8" w:rsidRDefault="003721D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3721D6">
              <w:rPr>
                <w:rFonts w:ascii="Arial Narrow" w:hAnsi="Arial Narrow"/>
                <w:b/>
                <w:bCs/>
                <w:sz w:val="20"/>
              </w:rPr>
              <w:t xml:space="preserve"> </w:t>
            </w:r>
            <w:r w:rsidR="00E965EE" w:rsidRPr="00845BD8">
              <w:rPr>
                <w:rFonts w:ascii="Arial Narrow" w:hAnsi="Arial Narrow"/>
                <w:b/>
                <w:bCs/>
                <w:sz w:val="20"/>
              </w:rPr>
              <w:t>%</w:t>
            </w:r>
          </w:p>
        </w:tc>
        <w:tc>
          <w:tcPr>
            <w:tcW w:w="506" w:type="pct"/>
            <w:noWrap/>
            <w:hideMark/>
          </w:tcPr>
          <w:p w14:paraId="46C4DCE2" w14:textId="5558FE0F" w:rsidR="00E965EE" w:rsidRPr="00845BD8" w:rsidRDefault="003721D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3721D6">
              <w:rPr>
                <w:rFonts w:ascii="Arial Narrow" w:hAnsi="Arial Narrow"/>
                <w:b/>
                <w:bCs/>
                <w:sz w:val="20"/>
              </w:rPr>
              <w:t xml:space="preserve"> </w:t>
            </w:r>
            <w:r w:rsidR="00E965EE" w:rsidRPr="00845BD8">
              <w:rPr>
                <w:rFonts w:ascii="Arial Narrow" w:hAnsi="Arial Narrow"/>
                <w:b/>
                <w:bCs/>
                <w:sz w:val="20"/>
              </w:rPr>
              <w:t>%</w:t>
            </w:r>
          </w:p>
        </w:tc>
        <w:tc>
          <w:tcPr>
            <w:tcW w:w="506" w:type="pct"/>
            <w:noWrap/>
            <w:hideMark/>
          </w:tcPr>
          <w:p w14:paraId="095AA7C4" w14:textId="52176F2C" w:rsidR="00E965EE" w:rsidRPr="00845BD8" w:rsidRDefault="003721D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3721D6">
              <w:rPr>
                <w:rFonts w:ascii="Arial Narrow" w:hAnsi="Arial Narrow"/>
                <w:b/>
                <w:bCs/>
                <w:sz w:val="20"/>
              </w:rPr>
              <w:t xml:space="preserve"> </w:t>
            </w:r>
            <w:r w:rsidR="00E965EE" w:rsidRPr="00845BD8">
              <w:rPr>
                <w:rFonts w:ascii="Arial Narrow" w:hAnsi="Arial Narrow"/>
                <w:b/>
                <w:bCs/>
                <w:sz w:val="20"/>
              </w:rPr>
              <w:t>%</w:t>
            </w:r>
          </w:p>
        </w:tc>
        <w:tc>
          <w:tcPr>
            <w:tcW w:w="506" w:type="pct"/>
            <w:noWrap/>
            <w:hideMark/>
          </w:tcPr>
          <w:p w14:paraId="75E2BFA0" w14:textId="6810D023" w:rsidR="00E965EE" w:rsidRPr="00845BD8" w:rsidRDefault="003721D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3721D6">
              <w:rPr>
                <w:rFonts w:ascii="Arial Narrow" w:hAnsi="Arial Narrow"/>
                <w:b/>
                <w:bCs/>
                <w:sz w:val="20"/>
              </w:rPr>
              <w:t xml:space="preserve"> </w:t>
            </w:r>
            <w:r w:rsidR="00E965EE" w:rsidRPr="00845BD8">
              <w:rPr>
                <w:rFonts w:ascii="Arial Narrow" w:hAnsi="Arial Narrow"/>
                <w:b/>
                <w:bCs/>
                <w:sz w:val="20"/>
              </w:rPr>
              <w:t>%</w:t>
            </w:r>
          </w:p>
        </w:tc>
        <w:tc>
          <w:tcPr>
            <w:tcW w:w="507" w:type="pct"/>
            <w:noWrap/>
            <w:hideMark/>
          </w:tcPr>
          <w:p w14:paraId="16DE4A86" w14:textId="680DB0CB" w:rsidR="00E965EE" w:rsidRPr="00845BD8" w:rsidRDefault="003721D6"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Pr="00845BD8" w:rsidDel="003721D6">
              <w:rPr>
                <w:rFonts w:ascii="Arial Narrow" w:hAnsi="Arial Narrow"/>
                <w:b/>
                <w:bCs/>
                <w:sz w:val="20"/>
              </w:rPr>
              <w:t xml:space="preserve"> </w:t>
            </w:r>
            <w:r w:rsidR="00E965EE" w:rsidRPr="00845BD8">
              <w:rPr>
                <w:rFonts w:ascii="Arial Narrow" w:hAnsi="Arial Narrow"/>
                <w:b/>
                <w:bCs/>
                <w:sz w:val="20"/>
              </w:rPr>
              <w:t>%</w:t>
            </w:r>
          </w:p>
        </w:tc>
      </w:tr>
      <w:tr w:rsidR="00E965EE" w:rsidRPr="00E965EE" w14:paraId="5D96E11E" w14:textId="77777777" w:rsidTr="004457F4">
        <w:trPr>
          <w:cantSplit/>
          <w:trHeight w:val="20"/>
        </w:trPr>
        <w:tc>
          <w:tcPr>
            <w:tcW w:w="155" w:type="pct"/>
          </w:tcPr>
          <w:p w14:paraId="1BF50546"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O</w:t>
            </w:r>
          </w:p>
        </w:tc>
        <w:tc>
          <w:tcPr>
            <w:tcW w:w="1808" w:type="pct"/>
            <w:noWrap/>
            <w:hideMark/>
          </w:tcPr>
          <w:p w14:paraId="21D80B59"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No. additional patients who receive diagnostic HDV RNA testing (M × N)</w:t>
            </w:r>
          </w:p>
        </w:tc>
        <w:tc>
          <w:tcPr>
            <w:tcW w:w="506" w:type="pct"/>
            <w:noWrap/>
            <w:hideMark/>
          </w:tcPr>
          <w:p w14:paraId="783822A8" w14:textId="70445308" w:rsidR="00E965EE" w:rsidRPr="00845BD8" w:rsidRDefault="00AD5AE5" w:rsidP="00A67F5E">
            <w:pPr>
              <w:keepNext/>
              <w:widowControl w:val="0"/>
              <w:spacing w:before="0"/>
              <w:jc w:val="right"/>
              <w:rPr>
                <w:rFonts w:ascii="Arial Narrow" w:hAnsi="Arial Narrow"/>
                <w:b/>
                <w:bCs/>
                <w:sz w:val="20"/>
              </w:rPr>
            </w:pPr>
            <w:r w:rsidRPr="00845BD8">
              <w:rPr>
                <w:rFonts w:ascii="Arial Narrow" w:hAnsi="Arial Narrow"/>
                <w:b/>
                <w:bCs/>
                <w:sz w:val="20"/>
              </w:rPr>
              <w:t>redac</w:t>
            </w:r>
            <w:r w:rsidR="00B225EB" w:rsidRPr="00845BD8">
              <w:rPr>
                <w:rFonts w:ascii="Arial Narrow" w:hAnsi="Arial Narrow"/>
                <w:b/>
                <w:bCs/>
                <w:sz w:val="20"/>
              </w:rPr>
              <w:t>ted</w:t>
            </w:r>
            <w:r w:rsidR="00B225EB" w:rsidRPr="00845BD8">
              <w:rPr>
                <w:rFonts w:ascii="Arial Narrow" w:hAnsi="Arial Narrow"/>
                <w:b/>
                <w:bCs/>
                <w:sz w:val="20"/>
                <w:vertAlign w:val="superscript"/>
              </w:rPr>
              <w:t>7</w:t>
            </w:r>
          </w:p>
        </w:tc>
        <w:tc>
          <w:tcPr>
            <w:tcW w:w="506" w:type="pct"/>
            <w:noWrap/>
            <w:hideMark/>
          </w:tcPr>
          <w:p w14:paraId="1C967242" w14:textId="08323A58" w:rsidR="00E965EE" w:rsidRPr="00845BD8" w:rsidRDefault="0091134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5104B0" w:rsidRPr="00845BD8">
              <w:rPr>
                <w:rFonts w:ascii="Arial Narrow" w:hAnsi="Arial Narrow"/>
                <w:b/>
                <w:bCs/>
                <w:sz w:val="20"/>
                <w:vertAlign w:val="superscript"/>
              </w:rPr>
              <w:t>6</w:t>
            </w:r>
          </w:p>
        </w:tc>
        <w:tc>
          <w:tcPr>
            <w:tcW w:w="506" w:type="pct"/>
            <w:noWrap/>
            <w:hideMark/>
          </w:tcPr>
          <w:p w14:paraId="52A9FEC1" w14:textId="09F4ECC2" w:rsidR="00E965EE" w:rsidRPr="00845BD8" w:rsidRDefault="0091134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5104B0" w:rsidRPr="00845BD8">
              <w:rPr>
                <w:rFonts w:ascii="Arial Narrow" w:hAnsi="Arial Narrow"/>
                <w:b/>
                <w:bCs/>
                <w:sz w:val="20"/>
                <w:vertAlign w:val="superscript"/>
              </w:rPr>
              <w:t>6</w:t>
            </w:r>
          </w:p>
        </w:tc>
        <w:tc>
          <w:tcPr>
            <w:tcW w:w="506" w:type="pct"/>
            <w:noWrap/>
            <w:hideMark/>
          </w:tcPr>
          <w:p w14:paraId="5E9F1577" w14:textId="142B7717" w:rsidR="00E965EE" w:rsidRPr="00845BD8" w:rsidRDefault="0091134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5104B0" w:rsidRPr="00845BD8">
              <w:rPr>
                <w:rFonts w:ascii="Arial Narrow" w:hAnsi="Arial Narrow"/>
                <w:b/>
                <w:bCs/>
                <w:sz w:val="20"/>
                <w:vertAlign w:val="superscript"/>
              </w:rPr>
              <w:t>6</w:t>
            </w:r>
          </w:p>
        </w:tc>
        <w:tc>
          <w:tcPr>
            <w:tcW w:w="506" w:type="pct"/>
            <w:noWrap/>
            <w:hideMark/>
          </w:tcPr>
          <w:p w14:paraId="180770E4" w14:textId="62847210" w:rsidR="00E965EE" w:rsidRPr="00845BD8" w:rsidRDefault="0091134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5104B0" w:rsidRPr="00845BD8">
              <w:rPr>
                <w:rFonts w:ascii="Arial Narrow" w:hAnsi="Arial Narrow"/>
                <w:b/>
                <w:bCs/>
                <w:sz w:val="20"/>
                <w:vertAlign w:val="superscript"/>
              </w:rPr>
              <w:t>6</w:t>
            </w:r>
          </w:p>
        </w:tc>
        <w:tc>
          <w:tcPr>
            <w:tcW w:w="507" w:type="pct"/>
            <w:noWrap/>
            <w:hideMark/>
          </w:tcPr>
          <w:p w14:paraId="70829B90" w14:textId="0E18BF4F" w:rsidR="00E965EE" w:rsidRPr="00845BD8" w:rsidRDefault="0091134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5104B0" w:rsidRPr="00845BD8">
              <w:rPr>
                <w:rFonts w:ascii="Arial Narrow" w:hAnsi="Arial Narrow"/>
                <w:b/>
                <w:bCs/>
                <w:sz w:val="20"/>
                <w:vertAlign w:val="superscript"/>
              </w:rPr>
              <w:t>6</w:t>
            </w:r>
          </w:p>
        </w:tc>
      </w:tr>
      <w:tr w:rsidR="00E965EE" w:rsidRPr="00E965EE" w14:paraId="20B60AD9" w14:textId="77777777" w:rsidTr="004457F4">
        <w:trPr>
          <w:cantSplit/>
          <w:trHeight w:val="20"/>
        </w:trPr>
        <w:tc>
          <w:tcPr>
            <w:tcW w:w="155" w:type="pct"/>
          </w:tcPr>
          <w:p w14:paraId="004714D8"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P</w:t>
            </w:r>
          </w:p>
        </w:tc>
        <w:tc>
          <w:tcPr>
            <w:tcW w:w="1808" w:type="pct"/>
            <w:noWrap/>
            <w:hideMark/>
          </w:tcPr>
          <w:p w14:paraId="41F746E2"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Total additional patients who receive diagnostic HDV RNA tests (H + O)</w:t>
            </w:r>
          </w:p>
        </w:tc>
        <w:tc>
          <w:tcPr>
            <w:tcW w:w="506" w:type="pct"/>
            <w:noWrap/>
            <w:hideMark/>
          </w:tcPr>
          <w:p w14:paraId="46673095" w14:textId="666FF7F6" w:rsidR="00E965EE" w:rsidRPr="00845BD8" w:rsidRDefault="0091134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5104B0" w:rsidRPr="00845BD8">
              <w:rPr>
                <w:rFonts w:ascii="Arial Narrow" w:hAnsi="Arial Narrow"/>
                <w:b/>
                <w:bCs/>
                <w:sz w:val="20"/>
                <w:vertAlign w:val="superscript"/>
              </w:rPr>
              <w:t>6</w:t>
            </w:r>
          </w:p>
        </w:tc>
        <w:tc>
          <w:tcPr>
            <w:tcW w:w="506" w:type="pct"/>
            <w:noWrap/>
            <w:hideMark/>
          </w:tcPr>
          <w:p w14:paraId="7FBF9C3E" w14:textId="70889665" w:rsidR="00E965EE" w:rsidRPr="00845BD8" w:rsidRDefault="00911341"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5104B0" w:rsidRPr="00845BD8">
              <w:rPr>
                <w:rFonts w:ascii="Arial Narrow" w:hAnsi="Arial Narrow"/>
                <w:b/>
                <w:bCs/>
                <w:sz w:val="20"/>
                <w:vertAlign w:val="superscript"/>
              </w:rPr>
              <w:t>6</w:t>
            </w:r>
          </w:p>
        </w:tc>
        <w:tc>
          <w:tcPr>
            <w:tcW w:w="506" w:type="pct"/>
            <w:noWrap/>
            <w:hideMark/>
          </w:tcPr>
          <w:p w14:paraId="74D9E7BD" w14:textId="42FE8E76" w:rsidR="00E965EE" w:rsidRPr="00845BD8" w:rsidRDefault="003A42FF" w:rsidP="00A67F5E">
            <w:pPr>
              <w:keepNext/>
              <w:widowControl w:val="0"/>
              <w:spacing w:before="0"/>
              <w:jc w:val="right"/>
              <w:rPr>
                <w:rFonts w:ascii="Arial Narrow" w:hAnsi="Arial Narrow"/>
                <w:b/>
                <w:bCs/>
                <w:sz w:val="20"/>
              </w:rPr>
            </w:pPr>
            <w:r w:rsidRPr="00845BD8">
              <w:rPr>
                <w:rFonts w:ascii="Arial Narrow" w:hAnsi="Arial Narrow"/>
                <w:b/>
                <w:bCs/>
                <w:sz w:val="20"/>
              </w:rPr>
              <w:t xml:space="preserve"> </w:t>
            </w:r>
            <w:r w:rsidR="00257887" w:rsidRPr="00845BD8">
              <w:rPr>
                <w:rFonts w:ascii="Arial Narrow" w:hAnsi="Arial Narrow"/>
                <w:b/>
                <w:bCs/>
                <w:sz w:val="20"/>
              </w:rPr>
              <w:t>r</w:t>
            </w:r>
            <w:r w:rsidRPr="00845BD8">
              <w:rPr>
                <w:rFonts w:ascii="Arial Narrow" w:hAnsi="Arial Narrow"/>
                <w:b/>
                <w:bCs/>
                <w:sz w:val="20"/>
              </w:rPr>
              <w:t>edacted</w:t>
            </w:r>
            <w:r w:rsidR="005104B0" w:rsidRPr="00845BD8">
              <w:rPr>
                <w:rFonts w:ascii="Arial Narrow" w:hAnsi="Arial Narrow"/>
                <w:b/>
                <w:bCs/>
                <w:sz w:val="20"/>
                <w:vertAlign w:val="superscript"/>
              </w:rPr>
              <w:t>6</w:t>
            </w:r>
          </w:p>
        </w:tc>
        <w:tc>
          <w:tcPr>
            <w:tcW w:w="506" w:type="pct"/>
            <w:noWrap/>
            <w:hideMark/>
          </w:tcPr>
          <w:p w14:paraId="669C292E" w14:textId="3AAC22C1" w:rsidR="00E965EE" w:rsidRPr="00845BD8" w:rsidRDefault="00257887" w:rsidP="00A67F5E">
            <w:pPr>
              <w:keepNext/>
              <w:widowControl w:val="0"/>
              <w:spacing w:before="0"/>
              <w:jc w:val="right"/>
              <w:rPr>
                <w:rFonts w:ascii="Arial Narrow" w:hAnsi="Arial Narrow"/>
                <w:b/>
                <w:bCs/>
                <w:sz w:val="20"/>
              </w:rPr>
            </w:pPr>
            <w:r w:rsidRPr="00845BD8">
              <w:rPr>
                <w:rFonts w:ascii="Arial Narrow" w:hAnsi="Arial Narrow"/>
                <w:b/>
                <w:bCs/>
                <w:sz w:val="20"/>
              </w:rPr>
              <w:t>r</w:t>
            </w:r>
            <w:r w:rsidR="003A42FF" w:rsidRPr="00845BD8">
              <w:rPr>
                <w:rFonts w:ascii="Arial Narrow" w:hAnsi="Arial Narrow"/>
                <w:b/>
                <w:bCs/>
                <w:sz w:val="20"/>
              </w:rPr>
              <w:t>eda</w:t>
            </w:r>
            <w:r w:rsidR="008A6CD7" w:rsidRPr="00845BD8">
              <w:rPr>
                <w:rFonts w:ascii="Arial Narrow" w:hAnsi="Arial Narrow"/>
                <w:b/>
                <w:bCs/>
                <w:sz w:val="20"/>
              </w:rPr>
              <w:t xml:space="preserve">cted </w:t>
            </w:r>
            <w:r w:rsidR="005104B0" w:rsidRPr="00845BD8">
              <w:rPr>
                <w:rFonts w:ascii="Arial Narrow" w:hAnsi="Arial Narrow"/>
                <w:b/>
                <w:bCs/>
                <w:sz w:val="20"/>
                <w:vertAlign w:val="superscript"/>
              </w:rPr>
              <w:t>6</w:t>
            </w:r>
          </w:p>
        </w:tc>
        <w:tc>
          <w:tcPr>
            <w:tcW w:w="506" w:type="pct"/>
            <w:noWrap/>
            <w:hideMark/>
          </w:tcPr>
          <w:p w14:paraId="0FE4BCBB" w14:textId="78BE1070" w:rsidR="00E965EE" w:rsidRPr="00845BD8" w:rsidRDefault="00257887" w:rsidP="00A67F5E">
            <w:pPr>
              <w:keepNext/>
              <w:widowControl w:val="0"/>
              <w:spacing w:before="0"/>
              <w:jc w:val="right"/>
              <w:rPr>
                <w:rFonts w:ascii="Arial Narrow" w:hAnsi="Arial Narrow"/>
                <w:b/>
                <w:bCs/>
                <w:sz w:val="20"/>
              </w:rPr>
            </w:pPr>
            <w:r w:rsidRPr="00845BD8">
              <w:rPr>
                <w:rFonts w:ascii="Arial Narrow" w:hAnsi="Arial Narrow"/>
                <w:b/>
                <w:bCs/>
                <w:sz w:val="20"/>
              </w:rPr>
              <w:t>r</w:t>
            </w:r>
            <w:r w:rsidR="008A6CD7" w:rsidRPr="00845BD8">
              <w:rPr>
                <w:rFonts w:ascii="Arial Narrow" w:hAnsi="Arial Narrow"/>
                <w:b/>
                <w:bCs/>
                <w:sz w:val="20"/>
              </w:rPr>
              <w:t>edacted</w:t>
            </w:r>
            <w:r w:rsidR="005104B0" w:rsidRPr="00845BD8">
              <w:rPr>
                <w:rFonts w:ascii="Arial Narrow" w:hAnsi="Arial Narrow"/>
                <w:b/>
                <w:bCs/>
                <w:sz w:val="20"/>
                <w:vertAlign w:val="superscript"/>
              </w:rPr>
              <w:t>6</w:t>
            </w:r>
          </w:p>
        </w:tc>
        <w:tc>
          <w:tcPr>
            <w:tcW w:w="507" w:type="pct"/>
            <w:noWrap/>
            <w:hideMark/>
          </w:tcPr>
          <w:p w14:paraId="5528FE71" w14:textId="2E89A016" w:rsidR="00E965EE" w:rsidRPr="00845BD8" w:rsidRDefault="00257887" w:rsidP="00A67F5E">
            <w:pPr>
              <w:keepNext/>
              <w:widowControl w:val="0"/>
              <w:spacing w:before="0"/>
              <w:jc w:val="right"/>
              <w:rPr>
                <w:rFonts w:ascii="Arial Narrow" w:hAnsi="Arial Narrow"/>
                <w:b/>
                <w:bCs/>
                <w:sz w:val="20"/>
              </w:rPr>
            </w:pPr>
            <w:r w:rsidRPr="00845BD8">
              <w:rPr>
                <w:rFonts w:ascii="Arial Narrow" w:hAnsi="Arial Narrow"/>
                <w:b/>
                <w:bCs/>
                <w:sz w:val="20"/>
              </w:rPr>
              <w:t>r</w:t>
            </w:r>
            <w:r w:rsidR="008A6CD7" w:rsidRPr="00845BD8">
              <w:rPr>
                <w:rFonts w:ascii="Arial Narrow" w:hAnsi="Arial Narrow"/>
                <w:b/>
                <w:bCs/>
                <w:sz w:val="20"/>
              </w:rPr>
              <w:t>edacted</w:t>
            </w:r>
            <w:r w:rsidR="005104B0" w:rsidRPr="00845BD8">
              <w:rPr>
                <w:rFonts w:ascii="Arial Narrow" w:hAnsi="Arial Narrow"/>
                <w:b/>
                <w:bCs/>
                <w:sz w:val="20"/>
                <w:vertAlign w:val="superscript"/>
              </w:rPr>
              <w:t>6</w:t>
            </w:r>
          </w:p>
        </w:tc>
      </w:tr>
      <w:tr w:rsidR="00E965EE" w:rsidRPr="00E965EE" w14:paraId="14EEF47C" w14:textId="77777777" w:rsidTr="004457F4">
        <w:trPr>
          <w:cantSplit/>
          <w:trHeight w:val="20"/>
        </w:trPr>
        <w:tc>
          <w:tcPr>
            <w:tcW w:w="155" w:type="pct"/>
          </w:tcPr>
          <w:p w14:paraId="02CAD97D" w14:textId="77777777" w:rsidR="00E965EE" w:rsidRPr="00E965EE" w:rsidRDefault="00E965EE" w:rsidP="00A67F5E">
            <w:pPr>
              <w:keepNext/>
              <w:widowControl w:val="0"/>
              <w:spacing w:before="0"/>
              <w:jc w:val="left"/>
              <w:rPr>
                <w:rFonts w:ascii="Arial Narrow" w:hAnsi="Arial Narrow"/>
                <w:sz w:val="20"/>
              </w:rPr>
            </w:pPr>
          </w:p>
        </w:tc>
        <w:tc>
          <w:tcPr>
            <w:tcW w:w="1808" w:type="pct"/>
            <w:noWrap/>
          </w:tcPr>
          <w:p w14:paraId="3B063BCB" w14:textId="77777777" w:rsidR="00E965EE" w:rsidRPr="00E965EE" w:rsidRDefault="00E965EE" w:rsidP="00A67F5E">
            <w:pPr>
              <w:keepNext/>
              <w:widowControl w:val="0"/>
              <w:spacing w:before="0"/>
              <w:jc w:val="left"/>
              <w:rPr>
                <w:rFonts w:ascii="Arial Narrow" w:hAnsi="Arial Narrow"/>
                <w:sz w:val="20"/>
              </w:rPr>
            </w:pPr>
            <w:r w:rsidRPr="00E965EE">
              <w:rPr>
                <w:rFonts w:ascii="Arial Narrow" w:hAnsi="Arial Narrow"/>
                <w:sz w:val="20"/>
              </w:rPr>
              <w:t>Additional HDV RNA tests (1 per patient)</w:t>
            </w:r>
          </w:p>
        </w:tc>
        <w:tc>
          <w:tcPr>
            <w:tcW w:w="506" w:type="pct"/>
            <w:noWrap/>
          </w:tcPr>
          <w:p w14:paraId="7930BB1A" w14:textId="70CF2828" w:rsidR="00E965EE" w:rsidRPr="00845BD8" w:rsidRDefault="000670AE"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257887" w:rsidRPr="00845BD8">
              <w:rPr>
                <w:rFonts w:ascii="Arial Narrow" w:hAnsi="Arial Narrow"/>
                <w:b/>
                <w:bCs/>
                <w:sz w:val="20"/>
                <w:vertAlign w:val="superscript"/>
              </w:rPr>
              <w:t>6</w:t>
            </w:r>
          </w:p>
        </w:tc>
        <w:tc>
          <w:tcPr>
            <w:tcW w:w="506" w:type="pct"/>
            <w:noWrap/>
          </w:tcPr>
          <w:p w14:paraId="5D86DBEA" w14:textId="56448143" w:rsidR="00E965EE" w:rsidRPr="00845BD8" w:rsidRDefault="00257887" w:rsidP="00A67F5E">
            <w:pPr>
              <w:keepNext/>
              <w:widowControl w:val="0"/>
              <w:spacing w:before="0"/>
              <w:jc w:val="right"/>
              <w:rPr>
                <w:rFonts w:ascii="Arial Narrow" w:hAnsi="Arial Narrow"/>
                <w:b/>
                <w:bCs/>
                <w:sz w:val="20"/>
              </w:rPr>
            </w:pPr>
            <w:r w:rsidRPr="00845BD8">
              <w:rPr>
                <w:rFonts w:ascii="Arial Narrow" w:hAnsi="Arial Narrow"/>
                <w:b/>
                <w:bCs/>
                <w:sz w:val="20"/>
              </w:rPr>
              <w:t>r</w:t>
            </w:r>
            <w:r w:rsidR="007F1F8F" w:rsidRPr="00845BD8">
              <w:rPr>
                <w:rFonts w:ascii="Arial Narrow" w:hAnsi="Arial Narrow"/>
                <w:b/>
                <w:bCs/>
                <w:sz w:val="20"/>
              </w:rPr>
              <w:t>edacted</w:t>
            </w:r>
            <w:r w:rsidRPr="00845BD8">
              <w:rPr>
                <w:rFonts w:ascii="Arial Narrow" w:hAnsi="Arial Narrow"/>
                <w:b/>
                <w:bCs/>
                <w:sz w:val="20"/>
                <w:vertAlign w:val="superscript"/>
              </w:rPr>
              <w:t>6</w:t>
            </w:r>
          </w:p>
        </w:tc>
        <w:tc>
          <w:tcPr>
            <w:tcW w:w="506" w:type="pct"/>
            <w:noWrap/>
          </w:tcPr>
          <w:p w14:paraId="19AF896F" w14:textId="1D1FD590" w:rsidR="00E965EE" w:rsidRPr="00845BD8" w:rsidRDefault="00257887" w:rsidP="00A67F5E">
            <w:pPr>
              <w:keepNext/>
              <w:widowControl w:val="0"/>
              <w:spacing w:before="0"/>
              <w:jc w:val="right"/>
              <w:rPr>
                <w:rFonts w:ascii="Arial Narrow" w:hAnsi="Arial Narrow"/>
                <w:b/>
                <w:bCs/>
                <w:sz w:val="20"/>
              </w:rPr>
            </w:pPr>
            <w:r w:rsidRPr="00845BD8">
              <w:rPr>
                <w:rFonts w:ascii="Arial Narrow" w:hAnsi="Arial Narrow"/>
                <w:b/>
                <w:bCs/>
                <w:sz w:val="20"/>
              </w:rPr>
              <w:t>r</w:t>
            </w:r>
            <w:r w:rsidR="007F1F8F" w:rsidRPr="00845BD8">
              <w:rPr>
                <w:rFonts w:ascii="Arial Narrow" w:hAnsi="Arial Narrow"/>
                <w:b/>
                <w:bCs/>
                <w:sz w:val="20"/>
              </w:rPr>
              <w:t>edacted</w:t>
            </w:r>
            <w:r w:rsidRPr="00845BD8">
              <w:rPr>
                <w:rFonts w:ascii="Arial Narrow" w:hAnsi="Arial Narrow"/>
                <w:b/>
                <w:bCs/>
                <w:sz w:val="20"/>
                <w:vertAlign w:val="superscript"/>
              </w:rPr>
              <w:t>6</w:t>
            </w:r>
          </w:p>
        </w:tc>
        <w:tc>
          <w:tcPr>
            <w:tcW w:w="506" w:type="pct"/>
            <w:noWrap/>
          </w:tcPr>
          <w:p w14:paraId="7E38309A" w14:textId="6950B034" w:rsidR="00E965EE" w:rsidRPr="00845BD8" w:rsidRDefault="007F1F8F"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257887" w:rsidRPr="00845BD8">
              <w:rPr>
                <w:rFonts w:ascii="Arial Narrow" w:hAnsi="Arial Narrow"/>
                <w:b/>
                <w:bCs/>
                <w:sz w:val="20"/>
                <w:vertAlign w:val="superscript"/>
              </w:rPr>
              <w:t>6</w:t>
            </w:r>
          </w:p>
        </w:tc>
        <w:tc>
          <w:tcPr>
            <w:tcW w:w="506" w:type="pct"/>
            <w:noWrap/>
          </w:tcPr>
          <w:p w14:paraId="4CAD7683" w14:textId="5784B240" w:rsidR="00E965EE" w:rsidRPr="00845BD8" w:rsidRDefault="007F1F8F" w:rsidP="00A67F5E">
            <w:pPr>
              <w:keepNext/>
              <w:widowControl w:val="0"/>
              <w:spacing w:before="0"/>
              <w:jc w:val="right"/>
              <w:rPr>
                <w:rFonts w:ascii="Arial Narrow" w:hAnsi="Arial Narrow"/>
                <w:b/>
                <w:bCs/>
                <w:sz w:val="20"/>
              </w:rPr>
            </w:pPr>
            <w:r w:rsidRPr="00845BD8">
              <w:rPr>
                <w:rFonts w:ascii="Arial Narrow" w:hAnsi="Arial Narrow"/>
                <w:b/>
                <w:bCs/>
                <w:sz w:val="20"/>
              </w:rPr>
              <w:t>redacted</w:t>
            </w:r>
            <w:r w:rsidR="005104B0" w:rsidRPr="00845BD8">
              <w:rPr>
                <w:rFonts w:ascii="Arial Narrow" w:hAnsi="Arial Narrow"/>
                <w:b/>
                <w:bCs/>
                <w:sz w:val="20"/>
                <w:vertAlign w:val="superscript"/>
              </w:rPr>
              <w:t>6</w:t>
            </w:r>
          </w:p>
        </w:tc>
        <w:tc>
          <w:tcPr>
            <w:tcW w:w="507" w:type="pct"/>
            <w:noWrap/>
          </w:tcPr>
          <w:p w14:paraId="35A84F17" w14:textId="18B728A7" w:rsidR="00E965EE" w:rsidRPr="00845BD8" w:rsidRDefault="00257887" w:rsidP="00A67F5E">
            <w:pPr>
              <w:keepNext/>
              <w:widowControl w:val="0"/>
              <w:spacing w:before="0"/>
              <w:jc w:val="right"/>
              <w:rPr>
                <w:rFonts w:ascii="Arial Narrow" w:hAnsi="Arial Narrow"/>
                <w:b/>
                <w:bCs/>
                <w:sz w:val="20"/>
              </w:rPr>
            </w:pPr>
            <w:r w:rsidRPr="00845BD8">
              <w:rPr>
                <w:rFonts w:ascii="Arial Narrow" w:hAnsi="Arial Narrow"/>
                <w:b/>
                <w:bCs/>
                <w:sz w:val="20"/>
              </w:rPr>
              <w:t>r</w:t>
            </w:r>
            <w:r w:rsidR="00200FC7" w:rsidRPr="00845BD8">
              <w:rPr>
                <w:rFonts w:ascii="Arial Narrow" w:hAnsi="Arial Narrow"/>
                <w:b/>
                <w:bCs/>
                <w:sz w:val="20"/>
              </w:rPr>
              <w:t>edacted</w:t>
            </w:r>
            <w:r w:rsidR="005104B0" w:rsidRPr="00845BD8">
              <w:rPr>
                <w:rFonts w:ascii="Arial Narrow" w:hAnsi="Arial Narrow"/>
                <w:b/>
                <w:bCs/>
                <w:sz w:val="20"/>
                <w:vertAlign w:val="superscript"/>
              </w:rPr>
              <w:t>6</w:t>
            </w:r>
          </w:p>
        </w:tc>
      </w:tr>
      <w:tr w:rsidR="00E965EE" w:rsidRPr="00E965EE" w14:paraId="7BE22066" w14:textId="77777777" w:rsidTr="004457F4">
        <w:trPr>
          <w:cantSplit/>
          <w:trHeight w:val="20"/>
        </w:trPr>
        <w:tc>
          <w:tcPr>
            <w:tcW w:w="155" w:type="pct"/>
          </w:tcPr>
          <w:p w14:paraId="2E25E555" w14:textId="77777777" w:rsidR="00E965EE" w:rsidRPr="00E965EE" w:rsidRDefault="00E965EE" w:rsidP="00A67F5E">
            <w:pPr>
              <w:keepNext/>
              <w:widowControl w:val="0"/>
              <w:spacing w:before="0"/>
              <w:jc w:val="left"/>
              <w:rPr>
                <w:rFonts w:ascii="Arial Narrow" w:hAnsi="Arial Narrow"/>
                <w:b/>
                <w:bCs/>
                <w:sz w:val="20"/>
              </w:rPr>
            </w:pPr>
          </w:p>
        </w:tc>
        <w:tc>
          <w:tcPr>
            <w:tcW w:w="1808" w:type="pct"/>
            <w:noWrap/>
          </w:tcPr>
          <w:p w14:paraId="7EDBAEC3" w14:textId="77777777" w:rsidR="00E965EE" w:rsidRPr="00E965EE" w:rsidRDefault="00E965EE" w:rsidP="00A67F5E">
            <w:pPr>
              <w:keepNext/>
              <w:widowControl w:val="0"/>
              <w:spacing w:before="0"/>
              <w:jc w:val="left"/>
              <w:rPr>
                <w:rFonts w:ascii="Arial Narrow" w:hAnsi="Arial Narrow"/>
                <w:b/>
                <w:bCs/>
                <w:sz w:val="20"/>
              </w:rPr>
            </w:pPr>
            <w:r w:rsidRPr="00E965EE">
              <w:rPr>
                <w:rFonts w:ascii="Arial Narrow" w:hAnsi="Arial Narrow"/>
                <w:b/>
                <w:bCs/>
                <w:sz w:val="20"/>
              </w:rPr>
              <w:t>Cost to the MBS ($129.30 per test)</w:t>
            </w:r>
          </w:p>
        </w:tc>
        <w:tc>
          <w:tcPr>
            <w:tcW w:w="506" w:type="pct"/>
            <w:noWrap/>
          </w:tcPr>
          <w:p w14:paraId="4CCC7A95" w14:textId="0D8AAB25" w:rsidR="00E965EE" w:rsidRPr="00E965EE" w:rsidRDefault="00200FC7" w:rsidP="00A67F5E">
            <w:pPr>
              <w:keepNext/>
              <w:widowControl w:val="0"/>
              <w:spacing w:before="0"/>
              <w:jc w:val="right"/>
              <w:rPr>
                <w:rFonts w:ascii="Arial Narrow" w:hAnsi="Arial Narrow"/>
                <w:b/>
                <w:bCs/>
                <w:sz w:val="20"/>
              </w:rPr>
            </w:pPr>
            <w:r>
              <w:rPr>
                <w:rFonts w:ascii="Arial Narrow" w:hAnsi="Arial Narrow"/>
                <w:b/>
                <w:bCs/>
                <w:sz w:val="20"/>
              </w:rPr>
              <w:t>redacted</w:t>
            </w:r>
            <w:r w:rsidR="00D56BE1" w:rsidRPr="00D56BE1">
              <w:rPr>
                <w:rFonts w:ascii="Arial Narrow" w:hAnsi="Arial Narrow"/>
                <w:b/>
                <w:bCs/>
                <w:sz w:val="20"/>
                <w:vertAlign w:val="superscript"/>
              </w:rPr>
              <w:t>8</w:t>
            </w:r>
          </w:p>
        </w:tc>
        <w:tc>
          <w:tcPr>
            <w:tcW w:w="506" w:type="pct"/>
            <w:noWrap/>
          </w:tcPr>
          <w:p w14:paraId="5B8776D3" w14:textId="3FCFF344" w:rsidR="00E965EE" w:rsidRPr="00E965EE" w:rsidRDefault="00651A1B" w:rsidP="00A67F5E">
            <w:pPr>
              <w:keepNext/>
              <w:widowControl w:val="0"/>
              <w:spacing w:before="0"/>
              <w:jc w:val="right"/>
              <w:rPr>
                <w:rFonts w:ascii="Arial Narrow" w:hAnsi="Arial Narrow"/>
                <w:b/>
                <w:bCs/>
                <w:sz w:val="20"/>
              </w:rPr>
            </w:pPr>
            <w:r>
              <w:rPr>
                <w:rFonts w:ascii="Arial Narrow" w:hAnsi="Arial Narrow"/>
                <w:b/>
                <w:bCs/>
                <w:sz w:val="20"/>
              </w:rPr>
              <w:t>redacted</w:t>
            </w:r>
            <w:r w:rsidR="00D56BE1" w:rsidRPr="00D56BE1">
              <w:rPr>
                <w:rFonts w:ascii="Arial Narrow" w:hAnsi="Arial Narrow"/>
                <w:b/>
                <w:bCs/>
                <w:sz w:val="20"/>
                <w:vertAlign w:val="superscript"/>
              </w:rPr>
              <w:t>8</w:t>
            </w:r>
          </w:p>
        </w:tc>
        <w:tc>
          <w:tcPr>
            <w:tcW w:w="506" w:type="pct"/>
            <w:noWrap/>
          </w:tcPr>
          <w:p w14:paraId="76E66E8A" w14:textId="27B43B5D" w:rsidR="00E965EE" w:rsidRPr="00E965EE" w:rsidRDefault="00651A1B" w:rsidP="00A67F5E">
            <w:pPr>
              <w:keepNext/>
              <w:widowControl w:val="0"/>
              <w:spacing w:before="0"/>
              <w:jc w:val="right"/>
              <w:rPr>
                <w:rFonts w:ascii="Arial Narrow" w:hAnsi="Arial Narrow"/>
                <w:b/>
                <w:bCs/>
                <w:sz w:val="20"/>
              </w:rPr>
            </w:pPr>
            <w:r>
              <w:rPr>
                <w:rFonts w:ascii="Arial Narrow" w:hAnsi="Arial Narrow"/>
                <w:b/>
                <w:bCs/>
                <w:sz w:val="20"/>
              </w:rPr>
              <w:t>redacted</w:t>
            </w:r>
            <w:r w:rsidR="00D56BE1" w:rsidRPr="00D56BE1">
              <w:rPr>
                <w:rFonts w:ascii="Arial Narrow" w:hAnsi="Arial Narrow"/>
                <w:b/>
                <w:bCs/>
                <w:sz w:val="20"/>
                <w:vertAlign w:val="superscript"/>
              </w:rPr>
              <w:t>8</w:t>
            </w:r>
          </w:p>
        </w:tc>
        <w:tc>
          <w:tcPr>
            <w:tcW w:w="506" w:type="pct"/>
            <w:noWrap/>
          </w:tcPr>
          <w:p w14:paraId="012BA7F0" w14:textId="48563973" w:rsidR="00E965EE" w:rsidRPr="00E965EE" w:rsidRDefault="00651A1B" w:rsidP="00A67F5E">
            <w:pPr>
              <w:keepNext/>
              <w:widowControl w:val="0"/>
              <w:spacing w:before="0"/>
              <w:jc w:val="right"/>
              <w:rPr>
                <w:rFonts w:ascii="Arial Narrow" w:hAnsi="Arial Narrow"/>
                <w:b/>
                <w:bCs/>
                <w:sz w:val="20"/>
              </w:rPr>
            </w:pPr>
            <w:r>
              <w:rPr>
                <w:rFonts w:ascii="Arial Narrow" w:hAnsi="Arial Narrow"/>
                <w:b/>
                <w:bCs/>
                <w:sz w:val="20"/>
              </w:rPr>
              <w:t>redacted</w:t>
            </w:r>
            <w:r w:rsidR="00D56BE1" w:rsidRPr="00D56BE1">
              <w:rPr>
                <w:rFonts w:ascii="Arial Narrow" w:hAnsi="Arial Narrow"/>
                <w:b/>
                <w:bCs/>
                <w:sz w:val="20"/>
                <w:vertAlign w:val="superscript"/>
              </w:rPr>
              <w:t>8</w:t>
            </w:r>
          </w:p>
        </w:tc>
        <w:tc>
          <w:tcPr>
            <w:tcW w:w="506" w:type="pct"/>
            <w:noWrap/>
          </w:tcPr>
          <w:p w14:paraId="02D642C9" w14:textId="2EE6C260" w:rsidR="00E965EE" w:rsidRPr="00E965EE" w:rsidRDefault="00651A1B" w:rsidP="00A67F5E">
            <w:pPr>
              <w:keepNext/>
              <w:widowControl w:val="0"/>
              <w:spacing w:before="0"/>
              <w:jc w:val="right"/>
              <w:rPr>
                <w:rFonts w:ascii="Arial Narrow" w:hAnsi="Arial Narrow"/>
                <w:b/>
                <w:bCs/>
                <w:sz w:val="20"/>
              </w:rPr>
            </w:pPr>
            <w:r>
              <w:rPr>
                <w:rFonts w:ascii="Arial Narrow" w:hAnsi="Arial Narrow"/>
                <w:b/>
                <w:bCs/>
                <w:sz w:val="20"/>
              </w:rPr>
              <w:t>redacted</w:t>
            </w:r>
            <w:r w:rsidR="00D56BE1" w:rsidRPr="00D56BE1">
              <w:rPr>
                <w:rFonts w:ascii="Arial Narrow" w:hAnsi="Arial Narrow"/>
                <w:b/>
                <w:bCs/>
                <w:sz w:val="20"/>
                <w:vertAlign w:val="superscript"/>
              </w:rPr>
              <w:t>8</w:t>
            </w:r>
          </w:p>
        </w:tc>
        <w:tc>
          <w:tcPr>
            <w:tcW w:w="507" w:type="pct"/>
            <w:noWrap/>
          </w:tcPr>
          <w:p w14:paraId="70CCCD05" w14:textId="7F4A914F" w:rsidR="00E965EE" w:rsidRPr="00E965EE" w:rsidRDefault="00651A1B" w:rsidP="00A67F5E">
            <w:pPr>
              <w:keepNext/>
              <w:widowControl w:val="0"/>
              <w:spacing w:before="0"/>
              <w:jc w:val="right"/>
              <w:rPr>
                <w:rFonts w:ascii="Arial Narrow" w:hAnsi="Arial Narrow"/>
                <w:b/>
                <w:bCs/>
                <w:sz w:val="20"/>
              </w:rPr>
            </w:pPr>
            <w:r>
              <w:rPr>
                <w:rFonts w:ascii="Arial Narrow" w:hAnsi="Arial Narrow"/>
                <w:b/>
                <w:bCs/>
                <w:sz w:val="20"/>
              </w:rPr>
              <w:t>redacted</w:t>
            </w:r>
            <w:r w:rsidR="00D56BE1" w:rsidRPr="00D56BE1">
              <w:rPr>
                <w:rFonts w:ascii="Arial Narrow" w:hAnsi="Arial Narrow"/>
                <w:b/>
                <w:bCs/>
                <w:sz w:val="20"/>
                <w:vertAlign w:val="superscript"/>
              </w:rPr>
              <w:t>8</w:t>
            </w:r>
          </w:p>
        </w:tc>
      </w:tr>
    </w:tbl>
    <w:p w14:paraId="2D01EA02"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Source: Table 4.5−4, pp199-200 and Table 4.5−5 and Table 4.5−6, p200 of the submission and the attached ‘Attachment 14 - HEPCLUDEX HDV CoDep Section 4_final.xlsm’ file.</w:t>
      </w:r>
    </w:p>
    <w:p w14:paraId="3D7B196E"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 xml:space="preserve">HBV = hepatitis B virus, HDV = hepatitis D virus; RNA = ribonucleic acid. </w:t>
      </w:r>
    </w:p>
    <w:p w14:paraId="368B6E79" w14:textId="0CD5F17B" w:rsidR="00E965EE" w:rsidRPr="00A15628" w:rsidRDefault="00E965EE" w:rsidP="00E965EE">
      <w:pPr>
        <w:widowControl w:val="0"/>
        <w:spacing w:before="0" w:after="0"/>
        <w:contextualSpacing/>
        <w:rPr>
          <w:rFonts w:ascii="Arial Narrow" w:eastAsia="Times New Roman" w:hAnsi="Arial Narrow" w:cs="Arial"/>
          <w:snapToGrid w:val="0"/>
          <w:sz w:val="18"/>
          <w:szCs w:val="20"/>
        </w:rPr>
      </w:pPr>
      <w:r w:rsidRPr="00A15628">
        <w:rPr>
          <w:rFonts w:ascii="Arial Narrow" w:eastAsia="Times New Roman" w:hAnsi="Arial Narrow" w:cs="Arial"/>
          <w:snapToGrid w:val="0"/>
          <w:sz w:val="18"/>
          <w:szCs w:val="20"/>
          <w:vertAlign w:val="superscript"/>
        </w:rPr>
        <w:t>a</w:t>
      </w:r>
      <w:r w:rsidRPr="00A15628">
        <w:rPr>
          <w:rFonts w:ascii="Arial Narrow" w:eastAsia="Times New Roman" w:hAnsi="Arial Narrow" w:cs="Arial"/>
          <w:snapToGrid w:val="0"/>
          <w:sz w:val="18"/>
          <w:szCs w:val="20"/>
        </w:rPr>
        <w:t xml:space="preserve"> Prevalent patients who haven’t previously been tested for HDV (</w:t>
      </w:r>
      <w:r w:rsidR="00B95B90" w:rsidRPr="00FB3164">
        <w:rPr>
          <w:rFonts w:ascii="Arial Narrow" w:eastAsia="Times New Roman" w:hAnsi="Arial Narrow" w:cs="Arial"/>
          <w:b/>
          <w:bCs/>
          <w:snapToGrid w:val="0"/>
          <w:sz w:val="18"/>
          <w:szCs w:val="20"/>
        </w:rPr>
        <w:t>redacted</w:t>
      </w:r>
      <w:r w:rsidRPr="00A15628">
        <w:rPr>
          <w:rFonts w:ascii="Arial Narrow" w:eastAsia="Times New Roman" w:hAnsi="Arial Narrow" w:cs="Arial"/>
          <w:snapToGrid w:val="0"/>
          <w:sz w:val="18"/>
          <w:szCs w:val="20"/>
        </w:rPr>
        <w:t>%) × the proportion of prevalent patients expected to uptake testing in Year 1 (</w:t>
      </w:r>
      <w:r w:rsidR="00A767BE" w:rsidRPr="00A15628">
        <w:rPr>
          <w:rFonts w:ascii="Arial Narrow" w:eastAsia="Times New Roman" w:hAnsi="Arial Narrow" w:cs="Arial"/>
          <w:b/>
          <w:bCs/>
          <w:snapToGrid w:val="0"/>
          <w:sz w:val="18"/>
          <w:szCs w:val="20"/>
        </w:rPr>
        <w:t>redacted</w:t>
      </w:r>
      <w:r w:rsidRPr="00A15628">
        <w:rPr>
          <w:rFonts w:ascii="Arial Narrow" w:eastAsia="Times New Roman" w:hAnsi="Arial Narrow" w:cs="Arial"/>
          <w:snapToGrid w:val="0"/>
          <w:sz w:val="18"/>
          <w:szCs w:val="20"/>
        </w:rPr>
        <w:t>%)</w:t>
      </w:r>
    </w:p>
    <w:p w14:paraId="1E19E5CF" w14:textId="6B6F3CE4" w:rsidR="00E965EE" w:rsidRPr="00A15628" w:rsidRDefault="00E965EE" w:rsidP="00E965EE">
      <w:pPr>
        <w:widowControl w:val="0"/>
        <w:spacing w:before="0" w:after="0"/>
        <w:contextualSpacing/>
        <w:rPr>
          <w:rFonts w:ascii="Arial Narrow" w:eastAsia="Times New Roman" w:hAnsi="Arial Narrow" w:cs="Arial"/>
          <w:snapToGrid w:val="0"/>
          <w:sz w:val="18"/>
          <w:szCs w:val="20"/>
        </w:rPr>
      </w:pPr>
      <w:r w:rsidRPr="00A15628">
        <w:rPr>
          <w:rFonts w:ascii="Arial Narrow" w:eastAsia="Times New Roman" w:hAnsi="Arial Narrow" w:cs="Arial"/>
          <w:snapToGrid w:val="0"/>
          <w:sz w:val="18"/>
          <w:szCs w:val="20"/>
          <w:vertAlign w:val="superscript"/>
        </w:rPr>
        <w:t>b</w:t>
      </w:r>
      <w:r w:rsidRPr="00A15628">
        <w:rPr>
          <w:rFonts w:ascii="Arial Narrow" w:eastAsia="Times New Roman" w:hAnsi="Arial Narrow" w:cs="Arial"/>
          <w:snapToGrid w:val="0"/>
          <w:sz w:val="18"/>
          <w:szCs w:val="20"/>
        </w:rPr>
        <w:t xml:space="preserve"> Prevalent patients who haven’t previously been tested for HDV (</w:t>
      </w:r>
      <w:r w:rsidR="00E5745E" w:rsidRPr="00FB3164">
        <w:rPr>
          <w:rFonts w:ascii="Arial Narrow" w:eastAsia="Times New Roman" w:hAnsi="Arial Narrow" w:cs="Arial"/>
          <w:b/>
          <w:bCs/>
          <w:snapToGrid w:val="0"/>
          <w:sz w:val="18"/>
          <w:szCs w:val="20"/>
        </w:rPr>
        <w:t>redacted</w:t>
      </w:r>
      <w:r w:rsidR="00E5745E" w:rsidRPr="00A15628" w:rsidDel="00E5745E">
        <w:rPr>
          <w:rFonts w:ascii="Arial Narrow" w:eastAsia="Times New Roman" w:hAnsi="Arial Narrow" w:cs="Arial"/>
          <w:snapToGrid w:val="0"/>
          <w:sz w:val="18"/>
          <w:szCs w:val="20"/>
        </w:rPr>
        <w:t xml:space="preserve"> </w:t>
      </w:r>
      <w:r w:rsidRPr="00A15628">
        <w:rPr>
          <w:rFonts w:ascii="Arial Narrow" w:eastAsia="Times New Roman" w:hAnsi="Arial Narrow" w:cs="Arial"/>
          <w:snapToGrid w:val="0"/>
          <w:sz w:val="18"/>
          <w:szCs w:val="20"/>
        </w:rPr>
        <w:t>%) × the proportion of prevalent patients expected to uptake testing in Year 2 (</w:t>
      </w:r>
      <w:r w:rsidR="00A767BE" w:rsidRPr="00A15628">
        <w:rPr>
          <w:rFonts w:ascii="Arial Narrow" w:eastAsia="Times New Roman" w:hAnsi="Arial Narrow" w:cs="Arial"/>
          <w:b/>
          <w:bCs/>
          <w:snapToGrid w:val="0"/>
          <w:sz w:val="18"/>
          <w:szCs w:val="20"/>
        </w:rPr>
        <w:t>redacted</w:t>
      </w:r>
      <w:r w:rsidRPr="00A15628">
        <w:rPr>
          <w:rFonts w:ascii="Arial Narrow" w:eastAsia="Times New Roman" w:hAnsi="Arial Narrow" w:cs="Arial"/>
          <w:snapToGrid w:val="0"/>
          <w:sz w:val="18"/>
          <w:szCs w:val="20"/>
        </w:rPr>
        <w:t>%)</w:t>
      </w:r>
    </w:p>
    <w:p w14:paraId="16E8D38B" w14:textId="4272ABE1" w:rsidR="00E965EE" w:rsidRDefault="00E965EE" w:rsidP="00E965EE">
      <w:pPr>
        <w:widowControl w:val="0"/>
        <w:spacing w:before="0" w:after="0"/>
        <w:contextualSpacing/>
        <w:rPr>
          <w:rFonts w:ascii="Arial Narrow" w:eastAsia="Times New Roman" w:hAnsi="Arial Narrow" w:cs="Arial"/>
          <w:snapToGrid w:val="0"/>
          <w:sz w:val="18"/>
          <w:szCs w:val="20"/>
        </w:rPr>
      </w:pPr>
      <w:r w:rsidRPr="00A15628">
        <w:rPr>
          <w:rFonts w:ascii="Arial Narrow" w:eastAsia="Times New Roman" w:hAnsi="Arial Narrow" w:cs="Arial"/>
          <w:snapToGrid w:val="0"/>
          <w:sz w:val="18"/>
          <w:szCs w:val="20"/>
          <w:vertAlign w:val="superscript"/>
        </w:rPr>
        <w:t>c</w:t>
      </w:r>
      <w:r w:rsidRPr="00A15628">
        <w:rPr>
          <w:rFonts w:ascii="Arial Narrow" w:eastAsia="Times New Roman" w:hAnsi="Arial Narrow" w:cs="Arial"/>
          <w:snapToGrid w:val="0"/>
          <w:sz w:val="18"/>
          <w:szCs w:val="20"/>
        </w:rPr>
        <w:t xml:space="preserve"> Prevalent patients who haven’t previously been tested for HDV (</w:t>
      </w:r>
      <w:r w:rsidR="00E5745E" w:rsidRPr="00FB3164">
        <w:rPr>
          <w:rFonts w:ascii="Arial Narrow" w:eastAsia="Times New Roman" w:hAnsi="Arial Narrow" w:cs="Arial"/>
          <w:b/>
          <w:bCs/>
          <w:snapToGrid w:val="0"/>
          <w:sz w:val="18"/>
          <w:szCs w:val="20"/>
        </w:rPr>
        <w:t>redacted</w:t>
      </w:r>
      <w:r w:rsidR="00E5745E" w:rsidRPr="00A15628" w:rsidDel="00E5745E">
        <w:rPr>
          <w:rFonts w:ascii="Arial Narrow" w:eastAsia="Times New Roman" w:hAnsi="Arial Narrow" w:cs="Arial"/>
          <w:snapToGrid w:val="0"/>
          <w:sz w:val="18"/>
          <w:szCs w:val="20"/>
        </w:rPr>
        <w:t xml:space="preserve"> </w:t>
      </w:r>
      <w:r w:rsidRPr="00A15628">
        <w:rPr>
          <w:rFonts w:ascii="Arial Narrow" w:eastAsia="Times New Roman" w:hAnsi="Arial Narrow" w:cs="Arial"/>
          <w:snapToGrid w:val="0"/>
          <w:sz w:val="18"/>
          <w:szCs w:val="20"/>
        </w:rPr>
        <w:t>%) × the proportion of prevalent patients expected to uptake testing in Year 3 (</w:t>
      </w:r>
      <w:r w:rsidR="000B1920" w:rsidRPr="00A15628">
        <w:rPr>
          <w:rFonts w:ascii="Arial Narrow" w:eastAsia="Times New Roman" w:hAnsi="Arial Narrow" w:cs="Arial"/>
          <w:b/>
          <w:bCs/>
          <w:snapToGrid w:val="0"/>
          <w:sz w:val="18"/>
          <w:szCs w:val="20"/>
        </w:rPr>
        <w:t>redacted</w:t>
      </w:r>
      <w:r w:rsidRPr="00A15628">
        <w:rPr>
          <w:rFonts w:ascii="Arial Narrow" w:eastAsia="Times New Roman" w:hAnsi="Arial Narrow" w:cs="Arial"/>
          <w:snapToGrid w:val="0"/>
          <w:sz w:val="18"/>
          <w:szCs w:val="20"/>
        </w:rPr>
        <w:t>%)</w:t>
      </w:r>
    </w:p>
    <w:p w14:paraId="7825B1C5" w14:textId="51D14663" w:rsidR="00E13793" w:rsidRDefault="00E13793"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1 </w:t>
      </w:r>
      <w:r w:rsidR="00725534" w:rsidRPr="00725534">
        <w:rPr>
          <w:rFonts w:ascii="Arial Narrow" w:eastAsia="Times New Roman" w:hAnsi="Arial Narrow" w:cs="Arial"/>
          <w:snapToGrid w:val="0"/>
          <w:sz w:val="18"/>
          <w:szCs w:val="20"/>
        </w:rPr>
        <w:t>200,000 to &lt; 300,000</w:t>
      </w:r>
    </w:p>
    <w:p w14:paraId="0646435D" w14:textId="6C2B7F9E" w:rsidR="00725534" w:rsidRDefault="00725534"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lastRenderedPageBreak/>
        <w:t xml:space="preserve">2 </w:t>
      </w:r>
      <w:r w:rsidR="00B90797" w:rsidRPr="00B90797">
        <w:rPr>
          <w:rFonts w:ascii="Arial Narrow" w:eastAsia="Times New Roman" w:hAnsi="Arial Narrow" w:cs="Arial"/>
          <w:snapToGrid w:val="0"/>
          <w:sz w:val="18"/>
          <w:szCs w:val="20"/>
        </w:rPr>
        <w:t>100,000 to &lt; 200,000</w:t>
      </w:r>
    </w:p>
    <w:p w14:paraId="2360FF28" w14:textId="1131F52B" w:rsidR="00725534" w:rsidRDefault="00B90797"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3 </w:t>
      </w:r>
      <w:r w:rsidR="00A77FA5">
        <w:rPr>
          <w:rFonts w:ascii="Arial Narrow" w:eastAsia="Times New Roman" w:hAnsi="Arial Narrow" w:cs="Arial"/>
          <w:snapToGrid w:val="0"/>
          <w:sz w:val="18"/>
          <w:szCs w:val="20"/>
        </w:rPr>
        <w:t xml:space="preserve"> </w:t>
      </w:r>
      <w:r w:rsidR="00A77FA5" w:rsidRPr="00A77FA5">
        <w:rPr>
          <w:rFonts w:ascii="Arial Narrow" w:eastAsia="Times New Roman" w:hAnsi="Arial Narrow" w:cs="Arial"/>
          <w:snapToGrid w:val="0"/>
          <w:sz w:val="18"/>
          <w:szCs w:val="20"/>
        </w:rPr>
        <w:t>50,000 to &lt; 60,000</w:t>
      </w:r>
    </w:p>
    <w:p w14:paraId="1F8BDCB6" w14:textId="6D942216" w:rsidR="004B407C" w:rsidRDefault="004B407C"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4 </w:t>
      </w:r>
      <w:r w:rsidR="002C481D" w:rsidRPr="002C481D">
        <w:rPr>
          <w:rFonts w:ascii="Arial Narrow" w:eastAsia="Times New Roman" w:hAnsi="Arial Narrow" w:cs="Arial"/>
          <w:snapToGrid w:val="0"/>
          <w:sz w:val="18"/>
          <w:szCs w:val="20"/>
        </w:rPr>
        <w:t>10,000 to &lt; 20,000</w:t>
      </w:r>
    </w:p>
    <w:p w14:paraId="0AABA8A8" w14:textId="07427141" w:rsidR="00CE1F2C" w:rsidRDefault="002C481D"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5 </w:t>
      </w:r>
      <w:r w:rsidR="00CE1F2C" w:rsidRPr="00CE1F2C">
        <w:rPr>
          <w:rFonts w:ascii="Arial Narrow" w:eastAsia="Times New Roman" w:hAnsi="Arial Narrow" w:cs="Arial"/>
          <w:snapToGrid w:val="0"/>
          <w:sz w:val="18"/>
          <w:szCs w:val="20"/>
        </w:rPr>
        <w:t>5,000 to &lt; 10,000</w:t>
      </w:r>
    </w:p>
    <w:p w14:paraId="422FF6FE" w14:textId="553F221C" w:rsidR="007A1961" w:rsidRDefault="00C36B66"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6</w:t>
      </w:r>
      <w:r w:rsidR="007A1961">
        <w:rPr>
          <w:rFonts w:ascii="Arial Narrow" w:eastAsia="Times New Roman" w:hAnsi="Arial Narrow" w:cs="Arial"/>
          <w:snapToGrid w:val="0"/>
          <w:sz w:val="18"/>
          <w:szCs w:val="20"/>
        </w:rPr>
        <w:t xml:space="preserve"> </w:t>
      </w:r>
      <w:r w:rsidR="0048211F" w:rsidRPr="0048211F">
        <w:rPr>
          <w:rFonts w:ascii="Arial Narrow" w:eastAsia="Times New Roman" w:hAnsi="Arial Narrow" w:cs="Arial"/>
          <w:snapToGrid w:val="0"/>
          <w:sz w:val="18"/>
          <w:szCs w:val="20"/>
        </w:rPr>
        <w:t>500 to &lt; 5,000</w:t>
      </w:r>
    </w:p>
    <w:p w14:paraId="68BBD53E" w14:textId="51511531" w:rsidR="00B225EB" w:rsidRDefault="00B225EB"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7 </w:t>
      </w:r>
      <w:r w:rsidR="00911341">
        <w:rPr>
          <w:rFonts w:ascii="Arial Narrow" w:eastAsia="Times New Roman" w:hAnsi="Arial Narrow" w:cs="Arial"/>
          <w:snapToGrid w:val="0"/>
          <w:sz w:val="18"/>
          <w:szCs w:val="20"/>
        </w:rPr>
        <w:t>&lt;500</w:t>
      </w:r>
    </w:p>
    <w:p w14:paraId="1FC79CE1" w14:textId="2C9090BA" w:rsidR="002C481D" w:rsidRPr="00E965EE" w:rsidRDefault="00D56BE1"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8</w:t>
      </w:r>
      <w:r w:rsidR="00200FC7">
        <w:rPr>
          <w:rFonts w:ascii="Arial Narrow" w:eastAsia="Times New Roman" w:hAnsi="Arial Narrow" w:cs="Arial"/>
          <w:snapToGrid w:val="0"/>
          <w:sz w:val="18"/>
          <w:szCs w:val="20"/>
        </w:rPr>
        <w:t xml:space="preserve"> </w:t>
      </w:r>
      <w:r w:rsidR="00280638" w:rsidRPr="00280638">
        <w:rPr>
          <w:rFonts w:ascii="Arial Narrow" w:eastAsia="Times New Roman" w:hAnsi="Arial Narrow" w:cs="Arial"/>
          <w:snapToGrid w:val="0"/>
          <w:sz w:val="18"/>
          <w:szCs w:val="20"/>
        </w:rPr>
        <w:t>$0 to &lt; $10 million</w:t>
      </w:r>
    </w:p>
    <w:p w14:paraId="7D083423" w14:textId="783FE34B" w:rsidR="00E965EE" w:rsidRPr="00E965EE" w:rsidDel="0015247C"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32" w:name="_Ref152683824"/>
      <w:bookmarkStart w:id="33" w:name="_Ref153186014"/>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11</w:t>
      </w:r>
      <w:r w:rsidRPr="00E965EE">
        <w:rPr>
          <w:rFonts w:ascii="Arial Narrow" w:eastAsia="Calibri" w:hAnsi="Arial Narrow" w:cs="Times New Roman"/>
          <w:b/>
          <w:bCs/>
          <w:iCs/>
          <w:sz w:val="20"/>
          <w:szCs w:val="18"/>
          <w:lang w:val="en-US"/>
        </w:rPr>
        <w:fldChar w:fldCharType="end"/>
      </w:r>
      <w:bookmarkEnd w:id="32"/>
      <w:r w:rsidRPr="00E965EE">
        <w:rPr>
          <w:rFonts w:ascii="Arial Narrow" w:eastAsia="Calibri" w:hAnsi="Arial Narrow" w:cs="Times New Roman"/>
          <w:b/>
          <w:bCs/>
          <w:iCs/>
          <w:sz w:val="20"/>
          <w:szCs w:val="18"/>
          <w:lang w:val="en-US"/>
        </w:rPr>
        <w:tab/>
        <w:t>Use and cost of HDV RNA testing for access to bulevirtide treatment, revised during the evaluation</w:t>
      </w:r>
      <w:bookmarkEnd w:id="33"/>
    </w:p>
    <w:tbl>
      <w:tblPr>
        <w:tblStyle w:val="ASDTable1"/>
        <w:tblW w:w="5343" w:type="pct"/>
        <w:tblLayout w:type="fixed"/>
        <w:tblLook w:val="04A0" w:firstRow="1" w:lastRow="0" w:firstColumn="1" w:lastColumn="0" w:noHBand="0" w:noVBand="1"/>
      </w:tblPr>
      <w:tblGrid>
        <w:gridCol w:w="569"/>
        <w:gridCol w:w="3120"/>
        <w:gridCol w:w="987"/>
        <w:gridCol w:w="994"/>
        <w:gridCol w:w="990"/>
        <w:gridCol w:w="990"/>
        <w:gridCol w:w="990"/>
        <w:gridCol w:w="994"/>
      </w:tblGrid>
      <w:tr w:rsidR="00A67F5E" w:rsidRPr="00E965EE" w14:paraId="4362BD81" w14:textId="77777777" w:rsidTr="00A67F5E">
        <w:trPr>
          <w:trHeight w:val="20"/>
        </w:trPr>
        <w:tc>
          <w:tcPr>
            <w:tcW w:w="295" w:type="pct"/>
            <w:tcBorders>
              <w:bottom w:val="single" w:sz="4" w:space="0" w:color="auto"/>
            </w:tcBorders>
          </w:tcPr>
          <w:p w14:paraId="3EC52F35" w14:textId="77777777" w:rsidR="00E965EE" w:rsidRPr="00E965EE" w:rsidRDefault="00E965EE" w:rsidP="00E965EE">
            <w:pPr>
              <w:keepNext/>
              <w:widowControl w:val="0"/>
              <w:spacing w:before="0"/>
              <w:jc w:val="left"/>
              <w:rPr>
                <w:rFonts w:ascii="Arial Narrow" w:hAnsi="Arial Narrow"/>
                <w:b/>
                <w:sz w:val="20"/>
              </w:rPr>
            </w:pPr>
          </w:p>
        </w:tc>
        <w:tc>
          <w:tcPr>
            <w:tcW w:w="1619" w:type="pct"/>
            <w:tcBorders>
              <w:bottom w:val="single" w:sz="4" w:space="0" w:color="auto"/>
            </w:tcBorders>
            <w:noWrap/>
            <w:hideMark/>
          </w:tcPr>
          <w:p w14:paraId="2DB0CDE9" w14:textId="77777777" w:rsidR="00E965EE" w:rsidRPr="00E965EE" w:rsidRDefault="00E965EE" w:rsidP="00E965EE">
            <w:pPr>
              <w:keepNext/>
              <w:widowControl w:val="0"/>
              <w:spacing w:before="0"/>
              <w:jc w:val="left"/>
              <w:rPr>
                <w:rFonts w:ascii="Arial Narrow" w:hAnsi="Arial Narrow"/>
                <w:b/>
                <w:sz w:val="20"/>
              </w:rPr>
            </w:pPr>
          </w:p>
        </w:tc>
        <w:tc>
          <w:tcPr>
            <w:tcW w:w="512" w:type="pct"/>
            <w:tcBorders>
              <w:bottom w:val="single" w:sz="4" w:space="0" w:color="auto"/>
            </w:tcBorders>
            <w:noWrap/>
            <w:hideMark/>
          </w:tcPr>
          <w:p w14:paraId="72D82C52" w14:textId="77777777" w:rsidR="00E965EE" w:rsidRPr="00E965EE" w:rsidRDefault="00E965EE" w:rsidP="00E965EE">
            <w:pPr>
              <w:keepNext/>
              <w:widowControl w:val="0"/>
              <w:spacing w:before="0"/>
              <w:jc w:val="center"/>
              <w:rPr>
                <w:rFonts w:ascii="Arial Narrow" w:hAnsi="Arial Narrow"/>
                <w:b/>
                <w:iCs/>
                <w:sz w:val="20"/>
              </w:rPr>
            </w:pPr>
            <w:r w:rsidRPr="00E965EE">
              <w:rPr>
                <w:rFonts w:ascii="Arial Narrow" w:hAnsi="Arial Narrow"/>
                <w:b/>
                <w:iCs/>
                <w:sz w:val="20"/>
              </w:rPr>
              <w:t>Year 1</w:t>
            </w:r>
          </w:p>
        </w:tc>
        <w:tc>
          <w:tcPr>
            <w:tcW w:w="516" w:type="pct"/>
            <w:tcBorders>
              <w:bottom w:val="single" w:sz="4" w:space="0" w:color="auto"/>
            </w:tcBorders>
            <w:noWrap/>
            <w:hideMark/>
          </w:tcPr>
          <w:p w14:paraId="6A294D55" w14:textId="77777777" w:rsidR="00E965EE" w:rsidRPr="00E965EE" w:rsidRDefault="00E965EE" w:rsidP="00E965EE">
            <w:pPr>
              <w:keepNext/>
              <w:widowControl w:val="0"/>
              <w:spacing w:before="0"/>
              <w:jc w:val="center"/>
              <w:rPr>
                <w:rFonts w:ascii="Arial Narrow" w:hAnsi="Arial Narrow"/>
                <w:b/>
                <w:iCs/>
                <w:sz w:val="20"/>
              </w:rPr>
            </w:pPr>
            <w:r w:rsidRPr="00E965EE">
              <w:rPr>
                <w:rFonts w:ascii="Arial Narrow" w:hAnsi="Arial Narrow"/>
                <w:b/>
                <w:iCs/>
                <w:sz w:val="20"/>
              </w:rPr>
              <w:t>Year 2</w:t>
            </w:r>
          </w:p>
        </w:tc>
        <w:tc>
          <w:tcPr>
            <w:tcW w:w="514" w:type="pct"/>
            <w:tcBorders>
              <w:bottom w:val="single" w:sz="4" w:space="0" w:color="auto"/>
            </w:tcBorders>
            <w:noWrap/>
            <w:hideMark/>
          </w:tcPr>
          <w:p w14:paraId="4D88A659" w14:textId="77777777" w:rsidR="00E965EE" w:rsidRPr="00E965EE" w:rsidRDefault="00E965EE" w:rsidP="00E965EE">
            <w:pPr>
              <w:keepNext/>
              <w:widowControl w:val="0"/>
              <w:spacing w:before="0"/>
              <w:jc w:val="center"/>
              <w:rPr>
                <w:rFonts w:ascii="Arial Narrow" w:hAnsi="Arial Narrow"/>
                <w:b/>
                <w:iCs/>
                <w:sz w:val="20"/>
              </w:rPr>
            </w:pPr>
            <w:r w:rsidRPr="00E965EE">
              <w:rPr>
                <w:rFonts w:ascii="Arial Narrow" w:hAnsi="Arial Narrow"/>
                <w:b/>
                <w:iCs/>
                <w:sz w:val="20"/>
              </w:rPr>
              <w:t>Year 3</w:t>
            </w:r>
          </w:p>
        </w:tc>
        <w:tc>
          <w:tcPr>
            <w:tcW w:w="514" w:type="pct"/>
            <w:tcBorders>
              <w:bottom w:val="single" w:sz="4" w:space="0" w:color="auto"/>
            </w:tcBorders>
            <w:noWrap/>
            <w:hideMark/>
          </w:tcPr>
          <w:p w14:paraId="0E627076" w14:textId="77777777" w:rsidR="00E965EE" w:rsidRPr="00E965EE" w:rsidRDefault="00E965EE" w:rsidP="00E965EE">
            <w:pPr>
              <w:keepNext/>
              <w:widowControl w:val="0"/>
              <w:spacing w:before="0"/>
              <w:jc w:val="center"/>
              <w:rPr>
                <w:rFonts w:ascii="Arial Narrow" w:hAnsi="Arial Narrow"/>
                <w:b/>
                <w:iCs/>
                <w:sz w:val="20"/>
              </w:rPr>
            </w:pPr>
            <w:r w:rsidRPr="00E965EE">
              <w:rPr>
                <w:rFonts w:ascii="Arial Narrow" w:hAnsi="Arial Narrow"/>
                <w:b/>
                <w:iCs/>
                <w:sz w:val="20"/>
              </w:rPr>
              <w:t>Year 4</w:t>
            </w:r>
          </w:p>
        </w:tc>
        <w:tc>
          <w:tcPr>
            <w:tcW w:w="514" w:type="pct"/>
            <w:tcBorders>
              <w:bottom w:val="single" w:sz="4" w:space="0" w:color="auto"/>
            </w:tcBorders>
            <w:noWrap/>
            <w:hideMark/>
          </w:tcPr>
          <w:p w14:paraId="71812752" w14:textId="77777777" w:rsidR="00E965EE" w:rsidRPr="00E965EE" w:rsidRDefault="00E965EE" w:rsidP="00E965EE">
            <w:pPr>
              <w:keepNext/>
              <w:widowControl w:val="0"/>
              <w:spacing w:before="0"/>
              <w:jc w:val="center"/>
              <w:rPr>
                <w:rFonts w:ascii="Arial Narrow" w:hAnsi="Arial Narrow"/>
                <w:b/>
                <w:iCs/>
                <w:sz w:val="20"/>
              </w:rPr>
            </w:pPr>
            <w:r w:rsidRPr="00E965EE">
              <w:rPr>
                <w:rFonts w:ascii="Arial Narrow" w:hAnsi="Arial Narrow"/>
                <w:b/>
                <w:iCs/>
                <w:sz w:val="20"/>
              </w:rPr>
              <w:t>Year 5</w:t>
            </w:r>
          </w:p>
        </w:tc>
        <w:tc>
          <w:tcPr>
            <w:tcW w:w="514" w:type="pct"/>
            <w:tcBorders>
              <w:bottom w:val="single" w:sz="4" w:space="0" w:color="auto"/>
            </w:tcBorders>
            <w:noWrap/>
            <w:hideMark/>
          </w:tcPr>
          <w:p w14:paraId="02CE676F" w14:textId="77777777" w:rsidR="00E965EE" w:rsidRPr="00E965EE" w:rsidRDefault="00E965EE" w:rsidP="00E965EE">
            <w:pPr>
              <w:keepNext/>
              <w:widowControl w:val="0"/>
              <w:spacing w:before="0"/>
              <w:jc w:val="center"/>
              <w:rPr>
                <w:rFonts w:ascii="Arial Narrow" w:hAnsi="Arial Narrow"/>
                <w:b/>
                <w:iCs/>
                <w:sz w:val="20"/>
              </w:rPr>
            </w:pPr>
            <w:r w:rsidRPr="00E965EE">
              <w:rPr>
                <w:rFonts w:ascii="Arial Narrow" w:hAnsi="Arial Narrow"/>
                <w:b/>
                <w:iCs/>
                <w:sz w:val="20"/>
              </w:rPr>
              <w:t>Year 6</w:t>
            </w:r>
          </w:p>
        </w:tc>
      </w:tr>
      <w:tr w:rsidR="00E965EE" w:rsidRPr="00E965EE" w14:paraId="0C8E2AA6" w14:textId="77777777" w:rsidTr="00A67F5E">
        <w:trPr>
          <w:trHeight w:val="20"/>
        </w:trPr>
        <w:tc>
          <w:tcPr>
            <w:tcW w:w="5000" w:type="pct"/>
            <w:gridSpan w:val="8"/>
            <w:tcBorders>
              <w:bottom w:val="single" w:sz="4" w:space="0" w:color="auto"/>
            </w:tcBorders>
          </w:tcPr>
          <w:p w14:paraId="3E0CCFD6" w14:textId="77777777" w:rsidR="00E965EE" w:rsidRPr="00E965EE" w:rsidRDefault="00E965EE" w:rsidP="00E965EE">
            <w:pPr>
              <w:keepNext/>
              <w:widowControl w:val="0"/>
              <w:spacing w:before="0"/>
              <w:jc w:val="left"/>
              <w:rPr>
                <w:rFonts w:ascii="Arial Narrow" w:hAnsi="Arial Narrow"/>
                <w:bCs/>
                <w:sz w:val="20"/>
              </w:rPr>
            </w:pPr>
            <w:r w:rsidRPr="00E965EE">
              <w:rPr>
                <w:rFonts w:ascii="Arial Narrow" w:hAnsi="Arial Narrow"/>
                <w:bCs/>
                <w:sz w:val="20"/>
              </w:rPr>
              <w:t>Prevalent patients (previously untested for HDV)</w:t>
            </w:r>
          </w:p>
        </w:tc>
      </w:tr>
      <w:tr w:rsidR="00A67F5E" w:rsidRPr="00E965EE" w14:paraId="2F80CC45" w14:textId="77777777" w:rsidTr="00A67F5E">
        <w:trPr>
          <w:trHeight w:val="20"/>
        </w:trPr>
        <w:tc>
          <w:tcPr>
            <w:tcW w:w="295" w:type="pct"/>
            <w:tcBorders>
              <w:bottom w:val="single" w:sz="4" w:space="0" w:color="auto"/>
            </w:tcBorders>
          </w:tcPr>
          <w:p w14:paraId="4506D6FB" w14:textId="77777777" w:rsidR="00E965EE" w:rsidRPr="00E965EE" w:rsidRDefault="00E965EE" w:rsidP="00E965EE">
            <w:pPr>
              <w:keepNext/>
              <w:widowControl w:val="0"/>
              <w:spacing w:before="0"/>
              <w:jc w:val="left"/>
              <w:rPr>
                <w:rFonts w:ascii="Arial Narrow" w:hAnsi="Arial Narrow"/>
                <w:bCs/>
                <w:sz w:val="20"/>
              </w:rPr>
            </w:pPr>
            <w:r w:rsidRPr="00E965EE">
              <w:rPr>
                <w:rFonts w:ascii="Arial Narrow" w:hAnsi="Arial Narrow"/>
                <w:bCs/>
                <w:sz w:val="20"/>
              </w:rPr>
              <w:t>Q</w:t>
            </w:r>
          </w:p>
        </w:tc>
        <w:tc>
          <w:tcPr>
            <w:tcW w:w="1619" w:type="pct"/>
            <w:tcBorders>
              <w:bottom w:val="single" w:sz="4" w:space="0" w:color="auto"/>
            </w:tcBorders>
            <w:noWrap/>
          </w:tcPr>
          <w:p w14:paraId="32722943" w14:textId="03C260BF" w:rsidR="00E965EE" w:rsidRPr="00E965EE" w:rsidRDefault="00E965EE" w:rsidP="00E965EE">
            <w:pPr>
              <w:keepNext/>
              <w:widowControl w:val="0"/>
              <w:spacing w:before="0"/>
              <w:jc w:val="left"/>
              <w:rPr>
                <w:rFonts w:ascii="Arial Narrow" w:hAnsi="Arial Narrow"/>
                <w:iCs/>
                <w:sz w:val="20"/>
              </w:rPr>
            </w:pPr>
            <w:r w:rsidRPr="00E965EE">
              <w:rPr>
                <w:rFonts w:ascii="Arial Narrow" w:hAnsi="Arial Narrow"/>
                <w:iCs/>
                <w:sz w:val="20"/>
              </w:rPr>
              <w:t xml:space="preserve">No. prevalent chronic HBV patients tested for anti-HDV following bulevirtide listing (Row E, </w:t>
            </w:r>
            <w:r w:rsidRPr="00E965EE">
              <w:rPr>
                <w:rFonts w:ascii="Arial Narrow" w:hAnsi="Arial Narrow"/>
                <w:iCs/>
                <w:sz w:val="20"/>
              </w:rPr>
              <w:fldChar w:fldCharType="begin"/>
            </w:r>
            <w:r w:rsidRPr="00E965EE">
              <w:rPr>
                <w:rFonts w:ascii="Arial Narrow" w:hAnsi="Arial Narrow"/>
                <w:iCs/>
                <w:sz w:val="20"/>
              </w:rPr>
              <w:instrText xml:space="preserve"> REF _Ref152349392 \h  \* MERGEFORMAT </w:instrText>
            </w:r>
            <w:r w:rsidRPr="00E965EE">
              <w:rPr>
                <w:rFonts w:ascii="Arial Narrow" w:hAnsi="Arial Narrow"/>
                <w:iCs/>
                <w:sz w:val="20"/>
              </w:rPr>
            </w:r>
            <w:r w:rsidRPr="00E965EE">
              <w:rPr>
                <w:rFonts w:ascii="Arial Narrow" w:hAnsi="Arial Narrow"/>
                <w:iCs/>
                <w:sz w:val="20"/>
              </w:rPr>
              <w:fldChar w:fldCharType="separate"/>
            </w:r>
            <w:r w:rsidR="00B02BFE" w:rsidRPr="00B02BFE">
              <w:rPr>
                <w:rFonts w:ascii="Arial Narrow" w:hAnsi="Arial Narrow"/>
                <w:iCs/>
                <w:sz w:val="20"/>
              </w:rPr>
              <w:t xml:space="preserve">Table </w:t>
            </w:r>
            <w:r w:rsidR="00B02BFE" w:rsidRPr="00B02BFE">
              <w:rPr>
                <w:rFonts w:ascii="Arial Narrow" w:hAnsi="Arial Narrow"/>
                <w:iCs/>
                <w:noProof/>
                <w:sz w:val="20"/>
              </w:rPr>
              <w:t>10</w:t>
            </w:r>
            <w:r w:rsidRPr="00E965EE">
              <w:rPr>
                <w:rFonts w:ascii="Arial Narrow" w:hAnsi="Arial Narrow"/>
                <w:iCs/>
                <w:sz w:val="20"/>
              </w:rPr>
              <w:fldChar w:fldCharType="end"/>
            </w:r>
            <w:r w:rsidRPr="00E965EE">
              <w:rPr>
                <w:rFonts w:ascii="Arial Narrow" w:hAnsi="Arial Narrow"/>
                <w:iCs/>
                <w:sz w:val="20"/>
              </w:rPr>
              <w:t>)</w:t>
            </w:r>
          </w:p>
        </w:tc>
        <w:tc>
          <w:tcPr>
            <w:tcW w:w="512" w:type="pct"/>
            <w:tcBorders>
              <w:bottom w:val="single" w:sz="4" w:space="0" w:color="auto"/>
            </w:tcBorders>
            <w:noWrap/>
          </w:tcPr>
          <w:p w14:paraId="60A5AD27" w14:textId="5B59115C" w:rsidR="00E965EE" w:rsidRPr="004B1B41" w:rsidRDefault="007434A3"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16" w:type="pct"/>
            <w:tcBorders>
              <w:bottom w:val="single" w:sz="4" w:space="0" w:color="auto"/>
            </w:tcBorders>
            <w:noWrap/>
          </w:tcPr>
          <w:p w14:paraId="4EF0ABC0" w14:textId="02FBE578"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D43954" w:rsidRPr="004B1B41">
              <w:rPr>
                <w:rFonts w:ascii="Arial Narrow" w:hAnsi="Arial Narrow"/>
                <w:b/>
                <w:bCs/>
                <w:sz w:val="20"/>
              </w:rPr>
              <w:t>edacted</w:t>
            </w:r>
            <w:r w:rsidR="00D43954" w:rsidRPr="004B1B41">
              <w:rPr>
                <w:rFonts w:ascii="Arial Narrow" w:hAnsi="Arial Narrow"/>
                <w:b/>
                <w:bCs/>
                <w:sz w:val="20"/>
                <w:vertAlign w:val="superscript"/>
              </w:rPr>
              <w:t>2</w:t>
            </w:r>
          </w:p>
        </w:tc>
        <w:tc>
          <w:tcPr>
            <w:tcW w:w="514" w:type="pct"/>
            <w:tcBorders>
              <w:bottom w:val="single" w:sz="4" w:space="0" w:color="auto"/>
            </w:tcBorders>
            <w:noWrap/>
          </w:tcPr>
          <w:p w14:paraId="01F9C4E3" w14:textId="149EE76A"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086C31" w:rsidRPr="004B1B41">
              <w:rPr>
                <w:rFonts w:ascii="Arial Narrow" w:hAnsi="Arial Narrow"/>
                <w:b/>
                <w:bCs/>
                <w:sz w:val="20"/>
              </w:rPr>
              <w:t>edacted</w:t>
            </w:r>
            <w:r w:rsidRPr="004B1B41">
              <w:rPr>
                <w:rFonts w:ascii="Arial Narrow" w:hAnsi="Arial Narrow"/>
                <w:b/>
                <w:bCs/>
                <w:sz w:val="20"/>
                <w:vertAlign w:val="superscript"/>
              </w:rPr>
              <w:t>2</w:t>
            </w:r>
          </w:p>
        </w:tc>
        <w:tc>
          <w:tcPr>
            <w:tcW w:w="514" w:type="pct"/>
            <w:tcBorders>
              <w:bottom w:val="single" w:sz="4" w:space="0" w:color="auto"/>
            </w:tcBorders>
            <w:noWrap/>
          </w:tcPr>
          <w:p w14:paraId="6602EDA9" w14:textId="77777777" w:rsidR="00E965EE" w:rsidRPr="00E965EE" w:rsidRDefault="00E965EE" w:rsidP="00E965EE">
            <w:pPr>
              <w:keepNext/>
              <w:widowControl w:val="0"/>
              <w:spacing w:before="0"/>
              <w:jc w:val="right"/>
              <w:rPr>
                <w:rFonts w:ascii="Arial Narrow" w:hAnsi="Arial Narrow"/>
                <w:bCs/>
                <w:sz w:val="20"/>
              </w:rPr>
            </w:pPr>
          </w:p>
        </w:tc>
        <w:tc>
          <w:tcPr>
            <w:tcW w:w="514" w:type="pct"/>
            <w:tcBorders>
              <w:bottom w:val="single" w:sz="4" w:space="0" w:color="auto"/>
            </w:tcBorders>
            <w:noWrap/>
          </w:tcPr>
          <w:p w14:paraId="19646B41" w14:textId="77777777" w:rsidR="00E965EE" w:rsidRPr="00E965EE" w:rsidRDefault="00E965EE" w:rsidP="00E965EE">
            <w:pPr>
              <w:keepNext/>
              <w:widowControl w:val="0"/>
              <w:spacing w:before="0"/>
              <w:jc w:val="right"/>
              <w:rPr>
                <w:rFonts w:ascii="Arial Narrow" w:hAnsi="Arial Narrow"/>
                <w:b/>
                <w:bCs/>
                <w:sz w:val="16"/>
                <w:szCs w:val="16"/>
              </w:rPr>
            </w:pPr>
          </w:p>
        </w:tc>
        <w:tc>
          <w:tcPr>
            <w:tcW w:w="514" w:type="pct"/>
            <w:tcBorders>
              <w:bottom w:val="single" w:sz="4" w:space="0" w:color="auto"/>
            </w:tcBorders>
            <w:noWrap/>
          </w:tcPr>
          <w:p w14:paraId="3C735496" w14:textId="77777777" w:rsidR="00E965EE" w:rsidRPr="00E965EE" w:rsidRDefault="00E965EE" w:rsidP="00E965EE">
            <w:pPr>
              <w:keepNext/>
              <w:widowControl w:val="0"/>
              <w:spacing w:before="0"/>
              <w:jc w:val="right"/>
              <w:rPr>
                <w:rFonts w:ascii="Arial Narrow" w:hAnsi="Arial Narrow"/>
                <w:bCs/>
                <w:sz w:val="20"/>
              </w:rPr>
            </w:pPr>
          </w:p>
        </w:tc>
      </w:tr>
      <w:tr w:rsidR="00A67F5E" w:rsidRPr="00E965EE" w14:paraId="140C188C" w14:textId="77777777" w:rsidTr="00A67F5E">
        <w:trPr>
          <w:trHeight w:val="20"/>
        </w:trPr>
        <w:tc>
          <w:tcPr>
            <w:tcW w:w="295" w:type="pct"/>
            <w:tcBorders>
              <w:bottom w:val="single" w:sz="4" w:space="0" w:color="auto"/>
            </w:tcBorders>
          </w:tcPr>
          <w:p w14:paraId="7B293B5E" w14:textId="77777777" w:rsidR="00E965EE" w:rsidRPr="00E965EE" w:rsidRDefault="00E965EE" w:rsidP="00E965EE">
            <w:pPr>
              <w:keepNext/>
              <w:widowControl w:val="0"/>
              <w:spacing w:before="0"/>
              <w:jc w:val="left"/>
              <w:rPr>
                <w:rFonts w:ascii="Arial Narrow" w:hAnsi="Arial Narrow"/>
                <w:bCs/>
                <w:sz w:val="20"/>
              </w:rPr>
            </w:pPr>
            <w:r w:rsidRPr="00E965EE">
              <w:rPr>
                <w:rFonts w:ascii="Arial Narrow" w:hAnsi="Arial Narrow"/>
                <w:bCs/>
                <w:sz w:val="20"/>
              </w:rPr>
              <w:t>R</w:t>
            </w:r>
          </w:p>
        </w:tc>
        <w:tc>
          <w:tcPr>
            <w:tcW w:w="1619" w:type="pct"/>
            <w:tcBorders>
              <w:bottom w:val="single" w:sz="4" w:space="0" w:color="auto"/>
            </w:tcBorders>
            <w:noWrap/>
          </w:tcPr>
          <w:p w14:paraId="77D79036" w14:textId="17D610DE" w:rsidR="00E965EE" w:rsidRPr="00E965EE" w:rsidRDefault="00E965EE" w:rsidP="00E965EE">
            <w:pPr>
              <w:keepNext/>
              <w:widowControl w:val="0"/>
              <w:spacing w:before="0"/>
              <w:jc w:val="left"/>
              <w:rPr>
                <w:rFonts w:ascii="Arial Narrow" w:hAnsi="Arial Narrow"/>
                <w:iCs/>
                <w:sz w:val="20"/>
              </w:rPr>
            </w:pPr>
            <w:r w:rsidRPr="00E965EE">
              <w:rPr>
                <w:rFonts w:ascii="Arial Narrow" w:hAnsi="Arial Narrow"/>
                <w:iCs/>
                <w:sz w:val="20"/>
              </w:rPr>
              <w:t>No. eligible for HDV RNA testing (i.e. chronic HBV patients with anti-HDV+) (Q × 4.06%)</w:t>
            </w:r>
          </w:p>
        </w:tc>
        <w:tc>
          <w:tcPr>
            <w:tcW w:w="512" w:type="pct"/>
            <w:tcBorders>
              <w:bottom w:val="single" w:sz="4" w:space="0" w:color="auto"/>
            </w:tcBorders>
            <w:noWrap/>
          </w:tcPr>
          <w:p w14:paraId="23C46C9E" w14:textId="2F20978A" w:rsidR="00E965EE" w:rsidRPr="004B1B41" w:rsidRDefault="00086C31"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00D56BE1" w:rsidRPr="004B1B41">
              <w:rPr>
                <w:rFonts w:ascii="Arial Narrow" w:hAnsi="Arial Narrow"/>
                <w:b/>
                <w:bCs/>
                <w:sz w:val="20"/>
                <w:vertAlign w:val="superscript"/>
              </w:rPr>
              <w:t>3</w:t>
            </w:r>
          </w:p>
        </w:tc>
        <w:tc>
          <w:tcPr>
            <w:tcW w:w="516" w:type="pct"/>
            <w:tcBorders>
              <w:bottom w:val="single" w:sz="4" w:space="0" w:color="auto"/>
            </w:tcBorders>
            <w:noWrap/>
          </w:tcPr>
          <w:p w14:paraId="4187ACC2" w14:textId="1062654C" w:rsidR="00E965EE" w:rsidRPr="004B1B41" w:rsidRDefault="00FB79FA" w:rsidP="00E965EE">
            <w:pPr>
              <w:keepNext/>
              <w:widowControl w:val="0"/>
              <w:spacing w:before="0"/>
              <w:jc w:val="right"/>
              <w:rPr>
                <w:rFonts w:ascii="Arial Narrow" w:hAnsi="Arial Narrow"/>
                <w:b/>
                <w:bCs/>
                <w:sz w:val="20"/>
              </w:rPr>
            </w:pPr>
            <w:r w:rsidRPr="004B1B41">
              <w:rPr>
                <w:rFonts w:ascii="Arial Narrow" w:eastAsia="Calibri" w:hAnsi="Arial Narrow"/>
                <w:b/>
                <w:bCs/>
                <w:sz w:val="20"/>
                <w:szCs w:val="22"/>
                <w:lang w:eastAsia="en-US"/>
              </w:rPr>
              <w:t>redacted</w:t>
            </w:r>
            <w:r w:rsidR="00D56BE1" w:rsidRPr="004B1B41">
              <w:rPr>
                <w:rFonts w:ascii="Arial Narrow" w:hAnsi="Arial Narrow"/>
                <w:b/>
                <w:bCs/>
                <w:sz w:val="20"/>
                <w:vertAlign w:val="superscript"/>
              </w:rPr>
              <w:t>3</w:t>
            </w:r>
          </w:p>
        </w:tc>
        <w:tc>
          <w:tcPr>
            <w:tcW w:w="514" w:type="pct"/>
            <w:tcBorders>
              <w:bottom w:val="single" w:sz="4" w:space="0" w:color="auto"/>
            </w:tcBorders>
            <w:noWrap/>
          </w:tcPr>
          <w:p w14:paraId="0CFB73A2" w14:textId="29D4D81F" w:rsidR="00E965EE" w:rsidRPr="004B1B41" w:rsidRDefault="00FB79FA" w:rsidP="00E965EE">
            <w:pPr>
              <w:keepNext/>
              <w:widowControl w:val="0"/>
              <w:spacing w:before="0"/>
              <w:jc w:val="right"/>
              <w:rPr>
                <w:rFonts w:ascii="Arial Narrow" w:hAnsi="Arial Narrow"/>
                <w:b/>
                <w:bCs/>
                <w:sz w:val="20"/>
              </w:rPr>
            </w:pPr>
            <w:r w:rsidRPr="004B1B41">
              <w:rPr>
                <w:rFonts w:ascii="Arial Narrow" w:eastAsia="Calibri" w:hAnsi="Arial Narrow"/>
                <w:b/>
                <w:bCs/>
                <w:sz w:val="20"/>
                <w:szCs w:val="22"/>
                <w:lang w:eastAsia="en-US"/>
              </w:rPr>
              <w:t>redacted</w:t>
            </w:r>
            <w:r w:rsidR="00D56BE1" w:rsidRPr="004B1B41">
              <w:rPr>
                <w:rFonts w:ascii="Arial Narrow" w:hAnsi="Arial Narrow"/>
                <w:b/>
                <w:bCs/>
                <w:sz w:val="20"/>
                <w:vertAlign w:val="superscript"/>
              </w:rPr>
              <w:t>3</w:t>
            </w:r>
          </w:p>
        </w:tc>
        <w:tc>
          <w:tcPr>
            <w:tcW w:w="514" w:type="pct"/>
            <w:tcBorders>
              <w:bottom w:val="single" w:sz="4" w:space="0" w:color="auto"/>
            </w:tcBorders>
            <w:noWrap/>
          </w:tcPr>
          <w:p w14:paraId="258FC992" w14:textId="77777777" w:rsidR="00E965EE" w:rsidRPr="00E965EE" w:rsidRDefault="00E965EE" w:rsidP="00E965EE">
            <w:pPr>
              <w:keepNext/>
              <w:widowControl w:val="0"/>
              <w:spacing w:before="0"/>
              <w:jc w:val="right"/>
              <w:rPr>
                <w:rFonts w:ascii="Arial Narrow" w:hAnsi="Arial Narrow"/>
                <w:bCs/>
                <w:sz w:val="20"/>
              </w:rPr>
            </w:pPr>
          </w:p>
        </w:tc>
        <w:tc>
          <w:tcPr>
            <w:tcW w:w="514" w:type="pct"/>
            <w:tcBorders>
              <w:bottom w:val="single" w:sz="4" w:space="0" w:color="auto"/>
            </w:tcBorders>
            <w:noWrap/>
          </w:tcPr>
          <w:p w14:paraId="1834B6F7" w14:textId="77777777" w:rsidR="00E965EE" w:rsidRPr="00E965EE" w:rsidRDefault="00E965EE" w:rsidP="00E965EE">
            <w:pPr>
              <w:keepNext/>
              <w:widowControl w:val="0"/>
              <w:spacing w:before="0"/>
              <w:jc w:val="right"/>
              <w:rPr>
                <w:rFonts w:ascii="Arial Narrow" w:hAnsi="Arial Narrow"/>
                <w:b/>
                <w:bCs/>
                <w:sz w:val="16"/>
                <w:szCs w:val="16"/>
              </w:rPr>
            </w:pPr>
          </w:p>
        </w:tc>
        <w:tc>
          <w:tcPr>
            <w:tcW w:w="514" w:type="pct"/>
            <w:tcBorders>
              <w:bottom w:val="single" w:sz="4" w:space="0" w:color="auto"/>
            </w:tcBorders>
            <w:noWrap/>
          </w:tcPr>
          <w:p w14:paraId="395BDBCD" w14:textId="77777777" w:rsidR="00E965EE" w:rsidRPr="00E965EE" w:rsidRDefault="00E965EE" w:rsidP="00E965EE">
            <w:pPr>
              <w:keepNext/>
              <w:widowControl w:val="0"/>
              <w:spacing w:before="0"/>
              <w:jc w:val="right"/>
              <w:rPr>
                <w:rFonts w:ascii="Arial Narrow" w:hAnsi="Arial Narrow"/>
                <w:bCs/>
                <w:sz w:val="20"/>
              </w:rPr>
            </w:pPr>
          </w:p>
        </w:tc>
      </w:tr>
      <w:tr w:rsidR="00A67F5E" w:rsidRPr="00E965EE" w14:paraId="02CDA51F" w14:textId="77777777" w:rsidTr="00A67F5E">
        <w:trPr>
          <w:trHeight w:val="20"/>
        </w:trPr>
        <w:tc>
          <w:tcPr>
            <w:tcW w:w="295" w:type="pct"/>
            <w:tcBorders>
              <w:bottom w:val="single" w:sz="4" w:space="0" w:color="auto"/>
            </w:tcBorders>
          </w:tcPr>
          <w:p w14:paraId="2F167ADE" w14:textId="77777777" w:rsidR="00E965EE" w:rsidRPr="00E965EE" w:rsidRDefault="00E965EE" w:rsidP="00E965EE">
            <w:pPr>
              <w:keepNext/>
              <w:widowControl w:val="0"/>
              <w:spacing w:before="0"/>
              <w:jc w:val="left"/>
              <w:rPr>
                <w:rFonts w:ascii="Arial Narrow" w:hAnsi="Arial Narrow"/>
                <w:bCs/>
                <w:sz w:val="20"/>
              </w:rPr>
            </w:pPr>
            <w:r w:rsidRPr="00E965EE">
              <w:rPr>
                <w:rFonts w:ascii="Arial Narrow" w:hAnsi="Arial Narrow"/>
                <w:bCs/>
                <w:sz w:val="20"/>
              </w:rPr>
              <w:t>S</w:t>
            </w:r>
          </w:p>
        </w:tc>
        <w:tc>
          <w:tcPr>
            <w:tcW w:w="1619" w:type="pct"/>
            <w:tcBorders>
              <w:bottom w:val="single" w:sz="4" w:space="0" w:color="auto"/>
            </w:tcBorders>
            <w:noWrap/>
          </w:tcPr>
          <w:p w14:paraId="0C745F7B" w14:textId="77777777" w:rsidR="00E965EE" w:rsidRPr="00E965EE" w:rsidRDefault="00E965EE" w:rsidP="00E965EE">
            <w:pPr>
              <w:keepNext/>
              <w:widowControl w:val="0"/>
              <w:spacing w:before="0"/>
              <w:jc w:val="left"/>
              <w:rPr>
                <w:rFonts w:ascii="Arial Narrow" w:hAnsi="Arial Narrow"/>
                <w:bCs/>
                <w:sz w:val="20"/>
              </w:rPr>
            </w:pPr>
            <w:r w:rsidRPr="00E965EE">
              <w:rPr>
                <w:rFonts w:ascii="Arial Narrow" w:hAnsi="Arial Narrow"/>
                <w:sz w:val="20"/>
              </w:rPr>
              <w:t>Uptake of HDV RNA testing following listing</w:t>
            </w:r>
          </w:p>
        </w:tc>
        <w:tc>
          <w:tcPr>
            <w:tcW w:w="512" w:type="pct"/>
            <w:tcBorders>
              <w:bottom w:val="single" w:sz="4" w:space="0" w:color="auto"/>
            </w:tcBorders>
            <w:noWrap/>
          </w:tcPr>
          <w:p w14:paraId="677FBA70" w14:textId="6573E9FD" w:rsidR="00E965EE" w:rsidRPr="004B1B41" w:rsidRDefault="00FB79FA"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00E965EE" w:rsidRPr="004B1B41">
              <w:rPr>
                <w:rFonts w:ascii="Arial Narrow" w:hAnsi="Arial Narrow"/>
                <w:b/>
                <w:bCs/>
                <w:sz w:val="20"/>
              </w:rPr>
              <w:t>%</w:t>
            </w:r>
          </w:p>
        </w:tc>
        <w:tc>
          <w:tcPr>
            <w:tcW w:w="516" w:type="pct"/>
            <w:tcBorders>
              <w:bottom w:val="single" w:sz="4" w:space="0" w:color="auto"/>
            </w:tcBorders>
            <w:noWrap/>
          </w:tcPr>
          <w:p w14:paraId="2A2042D7" w14:textId="2AE468C0" w:rsidR="00E965EE" w:rsidRPr="004B1B41" w:rsidRDefault="00DE788B"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DE788B">
              <w:rPr>
                <w:rFonts w:ascii="Arial Narrow" w:eastAsia="Calibri" w:hAnsi="Arial Narrow"/>
                <w:b/>
                <w:bCs/>
                <w:sz w:val="20"/>
                <w:szCs w:val="22"/>
                <w:lang w:eastAsia="en-US"/>
              </w:rPr>
              <w:t xml:space="preserve"> </w:t>
            </w:r>
            <w:r w:rsidR="00E965EE" w:rsidRPr="004B1B41">
              <w:rPr>
                <w:rFonts w:ascii="Arial Narrow" w:eastAsia="Calibri" w:hAnsi="Arial Narrow"/>
                <w:b/>
                <w:bCs/>
                <w:sz w:val="20"/>
                <w:szCs w:val="22"/>
                <w:lang w:eastAsia="en-US"/>
              </w:rPr>
              <w:t>%</w:t>
            </w:r>
          </w:p>
        </w:tc>
        <w:tc>
          <w:tcPr>
            <w:tcW w:w="514" w:type="pct"/>
            <w:tcBorders>
              <w:bottom w:val="single" w:sz="4" w:space="0" w:color="auto"/>
            </w:tcBorders>
            <w:noWrap/>
          </w:tcPr>
          <w:p w14:paraId="32B0F804" w14:textId="17935F6D" w:rsidR="00E965EE" w:rsidRPr="004B1B41" w:rsidRDefault="00DE788B"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DE788B">
              <w:rPr>
                <w:rFonts w:ascii="Arial Narrow" w:eastAsia="Calibri" w:hAnsi="Arial Narrow"/>
                <w:b/>
                <w:bCs/>
                <w:sz w:val="20"/>
                <w:szCs w:val="22"/>
                <w:lang w:eastAsia="en-US"/>
              </w:rPr>
              <w:t xml:space="preserve"> </w:t>
            </w:r>
            <w:r w:rsidR="00E965EE" w:rsidRPr="004B1B41">
              <w:rPr>
                <w:rFonts w:ascii="Arial Narrow" w:eastAsia="Calibri" w:hAnsi="Arial Narrow"/>
                <w:b/>
                <w:bCs/>
                <w:sz w:val="20"/>
                <w:szCs w:val="22"/>
                <w:lang w:eastAsia="en-US"/>
              </w:rPr>
              <w:t>%</w:t>
            </w:r>
          </w:p>
        </w:tc>
        <w:tc>
          <w:tcPr>
            <w:tcW w:w="514" w:type="pct"/>
            <w:tcBorders>
              <w:bottom w:val="single" w:sz="4" w:space="0" w:color="auto"/>
            </w:tcBorders>
            <w:noWrap/>
          </w:tcPr>
          <w:p w14:paraId="4A2776FC" w14:textId="77777777" w:rsidR="00E965EE" w:rsidRPr="00E965EE" w:rsidRDefault="00E965EE" w:rsidP="00E965EE">
            <w:pPr>
              <w:keepNext/>
              <w:widowControl w:val="0"/>
              <w:spacing w:before="0"/>
              <w:jc w:val="right"/>
              <w:rPr>
                <w:rFonts w:ascii="Arial Narrow" w:hAnsi="Arial Narrow"/>
                <w:bCs/>
                <w:sz w:val="20"/>
              </w:rPr>
            </w:pPr>
          </w:p>
        </w:tc>
        <w:tc>
          <w:tcPr>
            <w:tcW w:w="514" w:type="pct"/>
            <w:tcBorders>
              <w:bottom w:val="single" w:sz="4" w:space="0" w:color="auto"/>
            </w:tcBorders>
            <w:noWrap/>
          </w:tcPr>
          <w:p w14:paraId="670C90F7" w14:textId="77777777" w:rsidR="00E965EE" w:rsidRPr="00E965EE" w:rsidRDefault="00E965EE" w:rsidP="00E965EE">
            <w:pPr>
              <w:keepNext/>
              <w:widowControl w:val="0"/>
              <w:spacing w:before="0"/>
              <w:jc w:val="right"/>
              <w:rPr>
                <w:rFonts w:ascii="Arial Narrow" w:hAnsi="Arial Narrow"/>
                <w:b/>
                <w:bCs/>
                <w:sz w:val="16"/>
                <w:szCs w:val="16"/>
              </w:rPr>
            </w:pPr>
          </w:p>
        </w:tc>
        <w:tc>
          <w:tcPr>
            <w:tcW w:w="514" w:type="pct"/>
            <w:tcBorders>
              <w:bottom w:val="single" w:sz="4" w:space="0" w:color="auto"/>
            </w:tcBorders>
            <w:noWrap/>
          </w:tcPr>
          <w:p w14:paraId="68223164" w14:textId="77777777" w:rsidR="00E965EE" w:rsidRPr="00E965EE" w:rsidRDefault="00E965EE" w:rsidP="00E965EE">
            <w:pPr>
              <w:keepNext/>
              <w:widowControl w:val="0"/>
              <w:spacing w:before="0"/>
              <w:jc w:val="right"/>
              <w:rPr>
                <w:rFonts w:ascii="Arial Narrow" w:hAnsi="Arial Narrow"/>
                <w:bCs/>
                <w:sz w:val="20"/>
              </w:rPr>
            </w:pPr>
          </w:p>
        </w:tc>
      </w:tr>
      <w:tr w:rsidR="00A67F5E" w:rsidRPr="00E965EE" w14:paraId="59B6BC73" w14:textId="77777777" w:rsidTr="00A67F5E">
        <w:trPr>
          <w:trHeight w:val="20"/>
        </w:trPr>
        <w:tc>
          <w:tcPr>
            <w:tcW w:w="295" w:type="pct"/>
            <w:tcBorders>
              <w:bottom w:val="double" w:sz="4" w:space="0" w:color="auto"/>
            </w:tcBorders>
          </w:tcPr>
          <w:p w14:paraId="264436EF" w14:textId="77777777" w:rsidR="00E965EE" w:rsidRPr="00E965EE" w:rsidRDefault="00E965EE" w:rsidP="00E965EE">
            <w:pPr>
              <w:keepNext/>
              <w:widowControl w:val="0"/>
              <w:spacing w:before="0"/>
              <w:jc w:val="left"/>
              <w:rPr>
                <w:rFonts w:ascii="Arial Narrow" w:hAnsi="Arial Narrow"/>
                <w:bCs/>
                <w:sz w:val="20"/>
              </w:rPr>
            </w:pPr>
            <w:r w:rsidRPr="00E965EE">
              <w:rPr>
                <w:rFonts w:ascii="Arial Narrow" w:hAnsi="Arial Narrow"/>
                <w:bCs/>
                <w:sz w:val="20"/>
              </w:rPr>
              <w:t>T</w:t>
            </w:r>
          </w:p>
        </w:tc>
        <w:tc>
          <w:tcPr>
            <w:tcW w:w="1619" w:type="pct"/>
            <w:tcBorders>
              <w:bottom w:val="double" w:sz="4" w:space="0" w:color="auto"/>
            </w:tcBorders>
            <w:noWrap/>
          </w:tcPr>
          <w:p w14:paraId="21FC29CC" w14:textId="77777777" w:rsidR="00E965EE" w:rsidRPr="00E965EE" w:rsidRDefault="00E965EE" w:rsidP="00E965EE">
            <w:pPr>
              <w:keepNext/>
              <w:widowControl w:val="0"/>
              <w:spacing w:before="0"/>
              <w:jc w:val="left"/>
              <w:rPr>
                <w:rFonts w:ascii="Arial Narrow" w:hAnsi="Arial Narrow"/>
                <w:bCs/>
                <w:sz w:val="20"/>
              </w:rPr>
            </w:pPr>
            <w:r w:rsidRPr="00E965EE">
              <w:rPr>
                <w:rFonts w:ascii="Arial Narrow" w:hAnsi="Arial Narrow"/>
                <w:bCs/>
                <w:sz w:val="20"/>
              </w:rPr>
              <w:t>Patients tested with HDV RNA following listing (R × S)</w:t>
            </w:r>
          </w:p>
        </w:tc>
        <w:tc>
          <w:tcPr>
            <w:tcW w:w="512" w:type="pct"/>
            <w:tcBorders>
              <w:bottom w:val="double" w:sz="4" w:space="0" w:color="auto"/>
            </w:tcBorders>
            <w:noWrap/>
          </w:tcPr>
          <w:p w14:paraId="61DC3FB7" w14:textId="0BC08BA1"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DE788B" w:rsidRPr="004B1B41">
              <w:rPr>
                <w:rFonts w:ascii="Arial Narrow" w:hAnsi="Arial Narrow"/>
                <w:b/>
                <w:bCs/>
                <w:sz w:val="20"/>
              </w:rPr>
              <w:t>edacted</w:t>
            </w:r>
            <w:r w:rsidRPr="004B1B41">
              <w:rPr>
                <w:rFonts w:ascii="Arial Narrow" w:hAnsi="Arial Narrow"/>
                <w:b/>
                <w:bCs/>
                <w:sz w:val="20"/>
                <w:vertAlign w:val="superscript"/>
              </w:rPr>
              <w:t>3</w:t>
            </w:r>
          </w:p>
        </w:tc>
        <w:tc>
          <w:tcPr>
            <w:tcW w:w="516" w:type="pct"/>
            <w:tcBorders>
              <w:bottom w:val="double" w:sz="4" w:space="0" w:color="auto"/>
            </w:tcBorders>
            <w:noWrap/>
          </w:tcPr>
          <w:p w14:paraId="598529B1" w14:textId="74B94759"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DE788B" w:rsidRPr="004B1B41">
              <w:rPr>
                <w:rFonts w:ascii="Arial Narrow" w:hAnsi="Arial Narrow"/>
                <w:b/>
                <w:bCs/>
                <w:sz w:val="20"/>
              </w:rPr>
              <w:t>edacted</w:t>
            </w:r>
            <w:r w:rsidRPr="004B1B41">
              <w:rPr>
                <w:rFonts w:ascii="Arial Narrow" w:hAnsi="Arial Narrow"/>
                <w:b/>
                <w:bCs/>
                <w:sz w:val="20"/>
                <w:vertAlign w:val="superscript"/>
              </w:rPr>
              <w:t>3</w:t>
            </w:r>
          </w:p>
        </w:tc>
        <w:tc>
          <w:tcPr>
            <w:tcW w:w="514" w:type="pct"/>
            <w:tcBorders>
              <w:bottom w:val="double" w:sz="4" w:space="0" w:color="auto"/>
            </w:tcBorders>
            <w:noWrap/>
          </w:tcPr>
          <w:p w14:paraId="649D5FD0" w14:textId="02F31374"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DE788B" w:rsidRPr="004B1B41">
              <w:rPr>
                <w:rFonts w:ascii="Arial Narrow" w:hAnsi="Arial Narrow"/>
                <w:b/>
                <w:bCs/>
                <w:sz w:val="20"/>
              </w:rPr>
              <w:t>edacted</w:t>
            </w:r>
            <w:r w:rsidRPr="004B1B41">
              <w:rPr>
                <w:rFonts w:ascii="Arial Narrow" w:hAnsi="Arial Narrow"/>
                <w:b/>
                <w:bCs/>
                <w:sz w:val="20"/>
                <w:vertAlign w:val="superscript"/>
              </w:rPr>
              <w:t>3</w:t>
            </w:r>
          </w:p>
        </w:tc>
        <w:tc>
          <w:tcPr>
            <w:tcW w:w="514" w:type="pct"/>
            <w:tcBorders>
              <w:bottom w:val="double" w:sz="4" w:space="0" w:color="auto"/>
            </w:tcBorders>
            <w:noWrap/>
          </w:tcPr>
          <w:p w14:paraId="047199B7" w14:textId="77777777" w:rsidR="00E965EE" w:rsidRPr="00E965EE" w:rsidRDefault="00E965EE" w:rsidP="00E965EE">
            <w:pPr>
              <w:keepNext/>
              <w:widowControl w:val="0"/>
              <w:spacing w:before="0"/>
              <w:jc w:val="right"/>
              <w:rPr>
                <w:rFonts w:ascii="Arial Narrow" w:hAnsi="Arial Narrow"/>
                <w:bCs/>
                <w:sz w:val="20"/>
              </w:rPr>
            </w:pPr>
          </w:p>
        </w:tc>
        <w:tc>
          <w:tcPr>
            <w:tcW w:w="514" w:type="pct"/>
            <w:tcBorders>
              <w:bottom w:val="double" w:sz="4" w:space="0" w:color="auto"/>
            </w:tcBorders>
            <w:noWrap/>
          </w:tcPr>
          <w:p w14:paraId="1522AB38" w14:textId="77777777" w:rsidR="00E965EE" w:rsidRPr="00E965EE" w:rsidRDefault="00E965EE" w:rsidP="00E965EE">
            <w:pPr>
              <w:keepNext/>
              <w:widowControl w:val="0"/>
              <w:spacing w:before="0"/>
              <w:jc w:val="right"/>
              <w:rPr>
                <w:rFonts w:ascii="Arial Narrow" w:hAnsi="Arial Narrow"/>
                <w:bCs/>
                <w:sz w:val="20"/>
              </w:rPr>
            </w:pPr>
          </w:p>
        </w:tc>
        <w:tc>
          <w:tcPr>
            <w:tcW w:w="514" w:type="pct"/>
            <w:tcBorders>
              <w:bottom w:val="double" w:sz="4" w:space="0" w:color="auto"/>
            </w:tcBorders>
            <w:noWrap/>
          </w:tcPr>
          <w:p w14:paraId="6E0F3D7C" w14:textId="77777777" w:rsidR="00E965EE" w:rsidRPr="00E965EE" w:rsidRDefault="00E965EE" w:rsidP="00E965EE">
            <w:pPr>
              <w:keepNext/>
              <w:widowControl w:val="0"/>
              <w:spacing w:before="0"/>
              <w:jc w:val="right"/>
              <w:rPr>
                <w:rFonts w:ascii="Arial Narrow" w:hAnsi="Arial Narrow"/>
                <w:bCs/>
                <w:sz w:val="20"/>
              </w:rPr>
            </w:pPr>
          </w:p>
        </w:tc>
      </w:tr>
      <w:tr w:rsidR="00A67F5E" w:rsidRPr="00E965EE" w14:paraId="711E4C43" w14:textId="77777777" w:rsidTr="00A67F5E">
        <w:trPr>
          <w:trHeight w:val="20"/>
        </w:trPr>
        <w:tc>
          <w:tcPr>
            <w:tcW w:w="1914" w:type="pct"/>
            <w:gridSpan w:val="2"/>
            <w:tcBorders>
              <w:top w:val="double" w:sz="4" w:space="0" w:color="auto"/>
              <w:right w:val="nil"/>
            </w:tcBorders>
          </w:tcPr>
          <w:p w14:paraId="5268721A" w14:textId="77777777" w:rsidR="00E965EE" w:rsidRPr="00E965EE" w:rsidRDefault="00E965EE" w:rsidP="00E965EE">
            <w:pPr>
              <w:keepNext/>
              <w:widowControl w:val="0"/>
              <w:spacing w:before="0"/>
              <w:jc w:val="left"/>
              <w:rPr>
                <w:rFonts w:ascii="Arial Narrow" w:hAnsi="Arial Narrow"/>
                <w:bCs/>
                <w:sz w:val="20"/>
              </w:rPr>
            </w:pPr>
            <w:r w:rsidRPr="00E965EE">
              <w:rPr>
                <w:rFonts w:ascii="Arial Narrow" w:hAnsi="Arial Narrow"/>
                <w:bCs/>
                <w:sz w:val="20"/>
              </w:rPr>
              <w:t>Incident patients</w:t>
            </w:r>
          </w:p>
        </w:tc>
        <w:tc>
          <w:tcPr>
            <w:tcW w:w="512" w:type="pct"/>
            <w:tcBorders>
              <w:top w:val="double" w:sz="4" w:space="0" w:color="auto"/>
              <w:left w:val="nil"/>
              <w:right w:val="nil"/>
            </w:tcBorders>
            <w:noWrap/>
          </w:tcPr>
          <w:p w14:paraId="0BEE1F9F" w14:textId="77777777" w:rsidR="00E965EE" w:rsidRPr="00E965EE" w:rsidRDefault="00E965EE" w:rsidP="00E965EE">
            <w:pPr>
              <w:keepNext/>
              <w:widowControl w:val="0"/>
              <w:spacing w:before="0"/>
              <w:jc w:val="center"/>
              <w:rPr>
                <w:rFonts w:ascii="Arial Narrow" w:hAnsi="Arial Narrow"/>
                <w:bCs/>
                <w:sz w:val="20"/>
              </w:rPr>
            </w:pPr>
          </w:p>
        </w:tc>
        <w:tc>
          <w:tcPr>
            <w:tcW w:w="516" w:type="pct"/>
            <w:tcBorders>
              <w:top w:val="double" w:sz="4" w:space="0" w:color="auto"/>
              <w:left w:val="nil"/>
              <w:right w:val="nil"/>
            </w:tcBorders>
            <w:noWrap/>
          </w:tcPr>
          <w:p w14:paraId="493FD7E0" w14:textId="77777777" w:rsidR="00E965EE" w:rsidRPr="00E965EE" w:rsidRDefault="00E965EE" w:rsidP="00E965EE">
            <w:pPr>
              <w:keepNext/>
              <w:widowControl w:val="0"/>
              <w:spacing w:before="0"/>
              <w:jc w:val="center"/>
              <w:rPr>
                <w:rFonts w:ascii="Arial Narrow" w:hAnsi="Arial Narrow"/>
                <w:bCs/>
                <w:sz w:val="20"/>
              </w:rPr>
            </w:pPr>
          </w:p>
        </w:tc>
        <w:tc>
          <w:tcPr>
            <w:tcW w:w="514" w:type="pct"/>
            <w:tcBorders>
              <w:top w:val="double" w:sz="4" w:space="0" w:color="auto"/>
              <w:left w:val="nil"/>
              <w:right w:val="nil"/>
            </w:tcBorders>
            <w:noWrap/>
          </w:tcPr>
          <w:p w14:paraId="3149804C" w14:textId="77777777" w:rsidR="00E965EE" w:rsidRPr="00E965EE" w:rsidRDefault="00E965EE" w:rsidP="00E965EE">
            <w:pPr>
              <w:keepNext/>
              <w:widowControl w:val="0"/>
              <w:spacing w:before="0"/>
              <w:jc w:val="center"/>
              <w:rPr>
                <w:rFonts w:ascii="Arial Narrow" w:hAnsi="Arial Narrow"/>
                <w:bCs/>
                <w:sz w:val="20"/>
              </w:rPr>
            </w:pPr>
          </w:p>
        </w:tc>
        <w:tc>
          <w:tcPr>
            <w:tcW w:w="514" w:type="pct"/>
            <w:tcBorders>
              <w:top w:val="double" w:sz="4" w:space="0" w:color="auto"/>
              <w:left w:val="nil"/>
              <w:right w:val="nil"/>
            </w:tcBorders>
            <w:noWrap/>
          </w:tcPr>
          <w:p w14:paraId="6BCBA7DE" w14:textId="77777777" w:rsidR="00E965EE" w:rsidRPr="00E965EE" w:rsidRDefault="00E965EE" w:rsidP="00E965EE">
            <w:pPr>
              <w:keepNext/>
              <w:widowControl w:val="0"/>
              <w:spacing w:before="0"/>
              <w:jc w:val="center"/>
              <w:rPr>
                <w:rFonts w:ascii="Arial Narrow" w:hAnsi="Arial Narrow"/>
                <w:bCs/>
                <w:sz w:val="20"/>
              </w:rPr>
            </w:pPr>
          </w:p>
        </w:tc>
        <w:tc>
          <w:tcPr>
            <w:tcW w:w="514" w:type="pct"/>
            <w:tcBorders>
              <w:top w:val="double" w:sz="4" w:space="0" w:color="auto"/>
              <w:left w:val="nil"/>
              <w:right w:val="nil"/>
            </w:tcBorders>
            <w:noWrap/>
          </w:tcPr>
          <w:p w14:paraId="7EF3DBB1" w14:textId="77777777" w:rsidR="00E965EE" w:rsidRPr="00E965EE" w:rsidRDefault="00E965EE" w:rsidP="00E965EE">
            <w:pPr>
              <w:keepNext/>
              <w:widowControl w:val="0"/>
              <w:spacing w:before="0"/>
              <w:jc w:val="center"/>
              <w:rPr>
                <w:rFonts w:ascii="Arial Narrow" w:hAnsi="Arial Narrow"/>
                <w:bCs/>
                <w:sz w:val="20"/>
              </w:rPr>
            </w:pPr>
          </w:p>
        </w:tc>
        <w:tc>
          <w:tcPr>
            <w:tcW w:w="514" w:type="pct"/>
            <w:tcBorders>
              <w:top w:val="double" w:sz="4" w:space="0" w:color="auto"/>
              <w:left w:val="nil"/>
            </w:tcBorders>
            <w:noWrap/>
          </w:tcPr>
          <w:p w14:paraId="6C4012CE" w14:textId="77777777" w:rsidR="00E965EE" w:rsidRPr="00E965EE" w:rsidRDefault="00E965EE" w:rsidP="00E965EE">
            <w:pPr>
              <w:keepNext/>
              <w:widowControl w:val="0"/>
              <w:spacing w:before="0"/>
              <w:jc w:val="center"/>
              <w:rPr>
                <w:rFonts w:ascii="Arial Narrow" w:hAnsi="Arial Narrow"/>
                <w:bCs/>
                <w:sz w:val="20"/>
              </w:rPr>
            </w:pPr>
          </w:p>
        </w:tc>
      </w:tr>
      <w:tr w:rsidR="00A67F5E" w:rsidRPr="00E965EE" w14:paraId="16FD6ABA" w14:textId="77777777" w:rsidTr="00A67F5E">
        <w:trPr>
          <w:trHeight w:val="20"/>
        </w:trPr>
        <w:tc>
          <w:tcPr>
            <w:tcW w:w="295" w:type="pct"/>
          </w:tcPr>
          <w:p w14:paraId="3260A80B"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U</w:t>
            </w:r>
          </w:p>
        </w:tc>
        <w:tc>
          <w:tcPr>
            <w:tcW w:w="1619" w:type="pct"/>
            <w:noWrap/>
          </w:tcPr>
          <w:p w14:paraId="411B71A8" w14:textId="5306230D" w:rsidR="00E965EE" w:rsidRPr="00E965EE" w:rsidRDefault="00E965EE" w:rsidP="00E965EE">
            <w:pPr>
              <w:keepNext/>
              <w:widowControl w:val="0"/>
              <w:spacing w:before="0"/>
              <w:jc w:val="left"/>
              <w:rPr>
                <w:rFonts w:ascii="Arial Narrow" w:hAnsi="Arial Narrow"/>
                <w:iCs/>
                <w:sz w:val="20"/>
              </w:rPr>
            </w:pPr>
            <w:r w:rsidRPr="00E965EE">
              <w:rPr>
                <w:rFonts w:ascii="Arial Narrow" w:hAnsi="Arial Narrow"/>
                <w:iCs/>
                <w:sz w:val="20"/>
              </w:rPr>
              <w:t xml:space="preserve">No. incident chronic HBV patients who are diagnosed and engaged in care (Row J, </w:t>
            </w:r>
            <w:r w:rsidRPr="00E965EE">
              <w:rPr>
                <w:rFonts w:ascii="Arial Narrow" w:hAnsi="Arial Narrow"/>
                <w:iCs/>
                <w:sz w:val="20"/>
              </w:rPr>
              <w:fldChar w:fldCharType="begin"/>
            </w:r>
            <w:r w:rsidRPr="00E965EE">
              <w:rPr>
                <w:rFonts w:ascii="Arial Narrow" w:hAnsi="Arial Narrow"/>
                <w:iCs/>
                <w:sz w:val="20"/>
              </w:rPr>
              <w:instrText xml:space="preserve"> REF _Ref152349392 \h  \* MERGEFORMAT </w:instrText>
            </w:r>
            <w:r w:rsidRPr="00E965EE">
              <w:rPr>
                <w:rFonts w:ascii="Arial Narrow" w:hAnsi="Arial Narrow"/>
                <w:iCs/>
                <w:sz w:val="20"/>
              </w:rPr>
            </w:r>
            <w:r w:rsidRPr="00E965EE">
              <w:rPr>
                <w:rFonts w:ascii="Arial Narrow" w:hAnsi="Arial Narrow"/>
                <w:iCs/>
                <w:sz w:val="20"/>
              </w:rPr>
              <w:fldChar w:fldCharType="separate"/>
            </w:r>
            <w:r w:rsidR="00B02BFE" w:rsidRPr="00B02BFE">
              <w:rPr>
                <w:rFonts w:ascii="Arial Narrow" w:hAnsi="Arial Narrow"/>
                <w:iCs/>
                <w:sz w:val="20"/>
              </w:rPr>
              <w:t>Table</w:t>
            </w:r>
            <w:r w:rsidR="00773379">
              <w:rPr>
                <w:rFonts w:ascii="Arial Narrow" w:hAnsi="Arial Narrow"/>
                <w:iCs/>
                <w:sz w:val="20"/>
              </w:rPr>
              <w:t xml:space="preserve"> </w:t>
            </w:r>
            <w:r w:rsidR="00B02BFE" w:rsidRPr="00B02BFE">
              <w:rPr>
                <w:rFonts w:ascii="Arial Narrow" w:hAnsi="Arial Narrow"/>
                <w:iCs/>
                <w:noProof/>
                <w:sz w:val="20"/>
              </w:rPr>
              <w:t>10</w:t>
            </w:r>
            <w:r w:rsidRPr="00E965EE">
              <w:rPr>
                <w:rFonts w:ascii="Arial Narrow" w:hAnsi="Arial Narrow"/>
                <w:iCs/>
                <w:sz w:val="20"/>
              </w:rPr>
              <w:fldChar w:fldCharType="end"/>
            </w:r>
            <w:r w:rsidRPr="00E965EE">
              <w:rPr>
                <w:rFonts w:ascii="Arial Narrow" w:hAnsi="Arial Narrow"/>
                <w:iCs/>
                <w:sz w:val="20"/>
              </w:rPr>
              <w:t>)</w:t>
            </w:r>
          </w:p>
        </w:tc>
        <w:tc>
          <w:tcPr>
            <w:tcW w:w="512" w:type="pct"/>
            <w:noWrap/>
          </w:tcPr>
          <w:p w14:paraId="54E414B2" w14:textId="423DEED4" w:rsidR="00E965EE" w:rsidRPr="004B1B41" w:rsidRDefault="00B1214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007C78E1" w:rsidRPr="004B1B41">
              <w:rPr>
                <w:rFonts w:ascii="Arial Narrow" w:hAnsi="Arial Narrow"/>
                <w:b/>
                <w:bCs/>
                <w:sz w:val="20"/>
                <w:vertAlign w:val="superscript"/>
              </w:rPr>
              <w:t>4</w:t>
            </w:r>
          </w:p>
        </w:tc>
        <w:tc>
          <w:tcPr>
            <w:tcW w:w="516" w:type="pct"/>
            <w:noWrap/>
          </w:tcPr>
          <w:p w14:paraId="4CFAC243" w14:textId="5D0022DE"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B12144" w:rsidRPr="004B1B41">
              <w:rPr>
                <w:rFonts w:ascii="Arial Narrow" w:hAnsi="Arial Narrow"/>
                <w:b/>
                <w:bCs/>
                <w:sz w:val="20"/>
              </w:rPr>
              <w:t>edacted</w:t>
            </w:r>
            <w:r w:rsidR="007C78E1" w:rsidRPr="004B1B41">
              <w:rPr>
                <w:rFonts w:ascii="Arial Narrow" w:hAnsi="Arial Narrow"/>
                <w:b/>
                <w:bCs/>
                <w:sz w:val="20"/>
                <w:vertAlign w:val="superscript"/>
              </w:rPr>
              <w:t>4</w:t>
            </w:r>
          </w:p>
        </w:tc>
        <w:tc>
          <w:tcPr>
            <w:tcW w:w="514" w:type="pct"/>
            <w:noWrap/>
          </w:tcPr>
          <w:p w14:paraId="4AFB56C3" w14:textId="6946860C"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 xml:space="preserve"> </w:t>
            </w:r>
            <w:r w:rsidR="007C78E1" w:rsidRPr="004B1B41">
              <w:rPr>
                <w:rFonts w:ascii="Arial Narrow" w:hAnsi="Arial Narrow"/>
                <w:b/>
                <w:bCs/>
                <w:sz w:val="20"/>
                <w:vertAlign w:val="superscript"/>
              </w:rPr>
              <w:t>4</w:t>
            </w:r>
          </w:p>
        </w:tc>
        <w:tc>
          <w:tcPr>
            <w:tcW w:w="514" w:type="pct"/>
            <w:noWrap/>
          </w:tcPr>
          <w:p w14:paraId="273C4930" w14:textId="51916DAC"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 xml:space="preserve"> </w:t>
            </w:r>
            <w:r w:rsidR="007C78E1" w:rsidRPr="004B1B41">
              <w:rPr>
                <w:rFonts w:ascii="Arial Narrow" w:hAnsi="Arial Narrow"/>
                <w:b/>
                <w:bCs/>
                <w:sz w:val="20"/>
                <w:vertAlign w:val="superscript"/>
              </w:rPr>
              <w:t>4</w:t>
            </w:r>
          </w:p>
        </w:tc>
        <w:tc>
          <w:tcPr>
            <w:tcW w:w="514" w:type="pct"/>
            <w:noWrap/>
          </w:tcPr>
          <w:p w14:paraId="4ED081D1" w14:textId="53294E3A"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B12144" w:rsidRPr="004B1B41">
              <w:rPr>
                <w:rFonts w:ascii="Arial Narrow" w:hAnsi="Arial Narrow"/>
                <w:b/>
                <w:bCs/>
                <w:sz w:val="20"/>
              </w:rPr>
              <w:t>edacted</w:t>
            </w:r>
            <w:r w:rsidR="007C78E1" w:rsidRPr="004B1B41">
              <w:rPr>
                <w:rFonts w:ascii="Arial Narrow" w:hAnsi="Arial Narrow"/>
                <w:b/>
                <w:bCs/>
                <w:sz w:val="20"/>
                <w:vertAlign w:val="superscript"/>
              </w:rPr>
              <w:t>4</w:t>
            </w:r>
          </w:p>
        </w:tc>
        <w:tc>
          <w:tcPr>
            <w:tcW w:w="514" w:type="pct"/>
            <w:noWrap/>
          </w:tcPr>
          <w:p w14:paraId="3010FE6D" w14:textId="72AAF2BD"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B12144" w:rsidRPr="004B1B41">
              <w:rPr>
                <w:rFonts w:ascii="Arial Narrow" w:hAnsi="Arial Narrow"/>
                <w:b/>
                <w:bCs/>
                <w:sz w:val="20"/>
              </w:rPr>
              <w:t>edacted</w:t>
            </w:r>
            <w:r w:rsidR="007C78E1" w:rsidRPr="004B1B41">
              <w:rPr>
                <w:rFonts w:ascii="Arial Narrow" w:hAnsi="Arial Narrow"/>
                <w:b/>
                <w:bCs/>
                <w:sz w:val="20"/>
                <w:vertAlign w:val="superscript"/>
              </w:rPr>
              <w:t>4</w:t>
            </w:r>
          </w:p>
        </w:tc>
      </w:tr>
      <w:tr w:rsidR="00E965EE" w:rsidRPr="00E965EE" w14:paraId="008F39CC" w14:textId="77777777" w:rsidTr="00A67F5E">
        <w:trPr>
          <w:trHeight w:val="20"/>
        </w:trPr>
        <w:tc>
          <w:tcPr>
            <w:tcW w:w="295" w:type="pct"/>
          </w:tcPr>
          <w:p w14:paraId="12F40DDB" w14:textId="77777777" w:rsidR="00E965EE" w:rsidRPr="00E965EE" w:rsidRDefault="00E965EE" w:rsidP="00E965EE">
            <w:pPr>
              <w:keepNext/>
              <w:widowControl w:val="0"/>
              <w:spacing w:before="0"/>
              <w:jc w:val="left"/>
              <w:rPr>
                <w:rFonts w:ascii="Arial Narrow" w:hAnsi="Arial Narrow"/>
                <w:sz w:val="20"/>
              </w:rPr>
            </w:pPr>
          </w:p>
        </w:tc>
        <w:tc>
          <w:tcPr>
            <w:tcW w:w="4705" w:type="pct"/>
            <w:gridSpan w:val="7"/>
            <w:noWrap/>
          </w:tcPr>
          <w:p w14:paraId="37C44B73"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Use of anti-HDV and HDV RNA testing prior to listing</w:t>
            </w:r>
          </w:p>
        </w:tc>
      </w:tr>
      <w:tr w:rsidR="00A67F5E" w:rsidRPr="00E965EE" w14:paraId="0084271A" w14:textId="77777777" w:rsidTr="00A67F5E">
        <w:trPr>
          <w:trHeight w:val="20"/>
        </w:trPr>
        <w:tc>
          <w:tcPr>
            <w:tcW w:w="295" w:type="pct"/>
          </w:tcPr>
          <w:p w14:paraId="11A8F15F"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V</w:t>
            </w:r>
          </w:p>
        </w:tc>
        <w:tc>
          <w:tcPr>
            <w:tcW w:w="1619" w:type="pct"/>
            <w:noWrap/>
          </w:tcPr>
          <w:p w14:paraId="19408E13" w14:textId="77777777" w:rsidR="00E965EE" w:rsidRPr="00E965EE" w:rsidRDefault="00E965EE" w:rsidP="00E965EE">
            <w:pPr>
              <w:keepNext/>
              <w:widowControl w:val="0"/>
              <w:spacing w:before="0"/>
              <w:ind w:left="164"/>
              <w:jc w:val="left"/>
              <w:rPr>
                <w:rFonts w:ascii="Arial Narrow" w:hAnsi="Arial Narrow"/>
                <w:sz w:val="20"/>
              </w:rPr>
            </w:pPr>
            <w:r w:rsidRPr="00E965EE">
              <w:rPr>
                <w:rFonts w:ascii="Arial Narrow" w:hAnsi="Arial Narrow"/>
                <w:sz w:val="20"/>
              </w:rPr>
              <w:t>No. chronic HBV patients tested for anti-HDV (U× 35.0%)</w:t>
            </w:r>
          </w:p>
        </w:tc>
        <w:tc>
          <w:tcPr>
            <w:tcW w:w="512" w:type="pct"/>
            <w:noWrap/>
          </w:tcPr>
          <w:p w14:paraId="5C973599" w14:textId="232F3D8A" w:rsidR="00E965EE" w:rsidRPr="004B1B41" w:rsidRDefault="00ED554D"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007C78E1" w:rsidRPr="004B1B41">
              <w:rPr>
                <w:rFonts w:ascii="Arial Narrow" w:hAnsi="Arial Narrow"/>
                <w:b/>
                <w:bCs/>
                <w:sz w:val="20"/>
                <w:vertAlign w:val="superscript"/>
              </w:rPr>
              <w:t>5</w:t>
            </w:r>
          </w:p>
        </w:tc>
        <w:tc>
          <w:tcPr>
            <w:tcW w:w="516" w:type="pct"/>
            <w:noWrap/>
          </w:tcPr>
          <w:p w14:paraId="2FF003BD" w14:textId="66589ACB"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ED554D" w:rsidRPr="004B1B41">
              <w:rPr>
                <w:rFonts w:ascii="Arial Narrow" w:hAnsi="Arial Narrow"/>
                <w:b/>
                <w:bCs/>
                <w:sz w:val="20"/>
              </w:rPr>
              <w:t>edacted</w:t>
            </w:r>
            <w:r w:rsidR="007C78E1" w:rsidRPr="004B1B41">
              <w:rPr>
                <w:rFonts w:ascii="Arial Narrow" w:hAnsi="Arial Narrow"/>
                <w:b/>
                <w:bCs/>
                <w:sz w:val="20"/>
                <w:vertAlign w:val="superscript"/>
              </w:rPr>
              <w:t>5</w:t>
            </w:r>
          </w:p>
        </w:tc>
        <w:tc>
          <w:tcPr>
            <w:tcW w:w="514" w:type="pct"/>
            <w:noWrap/>
          </w:tcPr>
          <w:p w14:paraId="25CC4107" w14:textId="70373868"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 xml:space="preserve"> </w:t>
            </w:r>
            <w:r w:rsidR="007C78E1" w:rsidRPr="004B1B41">
              <w:rPr>
                <w:rFonts w:ascii="Arial Narrow" w:hAnsi="Arial Narrow"/>
                <w:b/>
                <w:bCs/>
                <w:sz w:val="20"/>
                <w:vertAlign w:val="superscript"/>
              </w:rPr>
              <w:t>5</w:t>
            </w:r>
          </w:p>
        </w:tc>
        <w:tc>
          <w:tcPr>
            <w:tcW w:w="514" w:type="pct"/>
            <w:noWrap/>
          </w:tcPr>
          <w:p w14:paraId="27E77B71" w14:textId="117BE5BF"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ED554D" w:rsidRPr="004B1B41">
              <w:rPr>
                <w:rFonts w:ascii="Arial Narrow" w:hAnsi="Arial Narrow"/>
                <w:b/>
                <w:bCs/>
                <w:sz w:val="20"/>
              </w:rPr>
              <w:t>edacted</w:t>
            </w:r>
            <w:r w:rsidR="007C78E1" w:rsidRPr="004B1B41">
              <w:rPr>
                <w:rFonts w:ascii="Arial Narrow" w:hAnsi="Arial Narrow"/>
                <w:b/>
                <w:bCs/>
                <w:sz w:val="20"/>
                <w:vertAlign w:val="superscript"/>
              </w:rPr>
              <w:t>5</w:t>
            </w:r>
          </w:p>
        </w:tc>
        <w:tc>
          <w:tcPr>
            <w:tcW w:w="514" w:type="pct"/>
            <w:noWrap/>
          </w:tcPr>
          <w:p w14:paraId="767765FB" w14:textId="59297C85"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ED554D" w:rsidRPr="004B1B41">
              <w:rPr>
                <w:rFonts w:ascii="Arial Narrow" w:hAnsi="Arial Narrow"/>
                <w:b/>
                <w:bCs/>
                <w:sz w:val="20"/>
              </w:rPr>
              <w:t>edacted</w:t>
            </w:r>
            <w:r w:rsidR="007C78E1" w:rsidRPr="004B1B41">
              <w:rPr>
                <w:rFonts w:ascii="Arial Narrow" w:hAnsi="Arial Narrow"/>
                <w:b/>
                <w:bCs/>
                <w:sz w:val="20"/>
                <w:vertAlign w:val="superscript"/>
              </w:rPr>
              <w:t>5</w:t>
            </w:r>
          </w:p>
        </w:tc>
        <w:tc>
          <w:tcPr>
            <w:tcW w:w="514" w:type="pct"/>
            <w:noWrap/>
          </w:tcPr>
          <w:p w14:paraId="5D903668" w14:textId="279AD3A2"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w:t>
            </w:r>
            <w:r w:rsidR="00ED554D" w:rsidRPr="004B1B41">
              <w:rPr>
                <w:rFonts w:ascii="Arial Narrow" w:hAnsi="Arial Narrow"/>
                <w:b/>
                <w:bCs/>
                <w:sz w:val="20"/>
              </w:rPr>
              <w:t>edacted</w:t>
            </w:r>
            <w:r w:rsidR="007C78E1" w:rsidRPr="004B1B41">
              <w:rPr>
                <w:rFonts w:ascii="Arial Narrow" w:hAnsi="Arial Narrow"/>
                <w:b/>
                <w:bCs/>
                <w:sz w:val="20"/>
                <w:vertAlign w:val="superscript"/>
              </w:rPr>
              <w:t>5</w:t>
            </w:r>
          </w:p>
        </w:tc>
      </w:tr>
      <w:tr w:rsidR="00A67F5E" w:rsidRPr="00E965EE" w14:paraId="05EF87CB" w14:textId="77777777" w:rsidTr="00A67F5E">
        <w:trPr>
          <w:trHeight w:val="20"/>
        </w:trPr>
        <w:tc>
          <w:tcPr>
            <w:tcW w:w="295" w:type="pct"/>
          </w:tcPr>
          <w:p w14:paraId="68DCB276"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W</w:t>
            </w:r>
          </w:p>
        </w:tc>
        <w:tc>
          <w:tcPr>
            <w:tcW w:w="1619" w:type="pct"/>
            <w:noWrap/>
          </w:tcPr>
          <w:p w14:paraId="75B7448A" w14:textId="32A3727E" w:rsidR="00E965EE" w:rsidRPr="00E965EE" w:rsidRDefault="00E965EE" w:rsidP="00E965EE">
            <w:pPr>
              <w:keepNext/>
              <w:widowControl w:val="0"/>
              <w:spacing w:before="0"/>
              <w:ind w:left="164"/>
              <w:jc w:val="left"/>
              <w:rPr>
                <w:rFonts w:ascii="Arial Narrow" w:hAnsi="Arial Narrow"/>
                <w:sz w:val="20"/>
              </w:rPr>
            </w:pPr>
            <w:r w:rsidRPr="00E965EE">
              <w:rPr>
                <w:rFonts w:ascii="Arial Narrow" w:hAnsi="Arial Narrow"/>
                <w:sz w:val="20"/>
              </w:rPr>
              <w:t>No. chronic HBV patients found with anti-HDV+ (V × 4.06%)</w:t>
            </w:r>
          </w:p>
        </w:tc>
        <w:tc>
          <w:tcPr>
            <w:tcW w:w="512" w:type="pct"/>
            <w:noWrap/>
          </w:tcPr>
          <w:p w14:paraId="12CD481D" w14:textId="4AF1C30C" w:rsidR="00E965EE" w:rsidRPr="004B1B41" w:rsidRDefault="00F309A8"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000B1D18">
              <w:rPr>
                <w:rFonts w:ascii="Arial Narrow" w:hAnsi="Arial Narrow"/>
                <w:b/>
                <w:bCs/>
                <w:sz w:val="20"/>
                <w:vertAlign w:val="superscript"/>
              </w:rPr>
              <w:t>3</w:t>
            </w:r>
          </w:p>
        </w:tc>
        <w:tc>
          <w:tcPr>
            <w:tcW w:w="516" w:type="pct"/>
            <w:noWrap/>
          </w:tcPr>
          <w:p w14:paraId="68543C40" w14:textId="15CF8E92" w:rsidR="00E965EE" w:rsidRPr="004B1B41" w:rsidRDefault="00FB3164" w:rsidP="00E965EE">
            <w:pPr>
              <w:keepNext/>
              <w:widowControl w:val="0"/>
              <w:spacing w:before="0"/>
              <w:jc w:val="right"/>
              <w:rPr>
                <w:rFonts w:ascii="Arial Narrow" w:hAnsi="Arial Narrow"/>
                <w:b/>
                <w:bCs/>
                <w:sz w:val="20"/>
              </w:rPr>
            </w:pPr>
            <w:r>
              <w:rPr>
                <w:rFonts w:ascii="Arial Narrow" w:hAnsi="Arial Narrow"/>
                <w:b/>
                <w:bCs/>
                <w:sz w:val="20"/>
              </w:rPr>
              <w:t>r</w:t>
            </w:r>
            <w:r w:rsidR="00F309A8" w:rsidRPr="004B1B41">
              <w:rPr>
                <w:rFonts w:ascii="Arial Narrow" w:hAnsi="Arial Narrow"/>
                <w:b/>
                <w:bCs/>
                <w:sz w:val="20"/>
              </w:rPr>
              <w:t>edacted</w:t>
            </w:r>
            <w:r w:rsidR="000B1D18">
              <w:rPr>
                <w:rFonts w:ascii="Arial Narrow" w:hAnsi="Arial Narrow"/>
                <w:b/>
                <w:bCs/>
                <w:sz w:val="20"/>
                <w:vertAlign w:val="superscript"/>
              </w:rPr>
              <w:t>3</w:t>
            </w:r>
          </w:p>
        </w:tc>
        <w:tc>
          <w:tcPr>
            <w:tcW w:w="514" w:type="pct"/>
            <w:noWrap/>
          </w:tcPr>
          <w:p w14:paraId="02985A8A" w14:textId="18219F8E"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 xml:space="preserve"> </w:t>
            </w:r>
            <w:r w:rsidR="000B1D18">
              <w:rPr>
                <w:rFonts w:ascii="Arial Narrow" w:hAnsi="Arial Narrow"/>
                <w:b/>
                <w:bCs/>
                <w:sz w:val="20"/>
                <w:vertAlign w:val="superscript"/>
              </w:rPr>
              <w:t>3</w:t>
            </w:r>
          </w:p>
        </w:tc>
        <w:tc>
          <w:tcPr>
            <w:tcW w:w="514" w:type="pct"/>
            <w:noWrap/>
          </w:tcPr>
          <w:p w14:paraId="29D61A34" w14:textId="68776479" w:rsidR="00E965EE" w:rsidRPr="004B1B41" w:rsidRDefault="00FB3164" w:rsidP="00E965EE">
            <w:pPr>
              <w:keepNext/>
              <w:widowControl w:val="0"/>
              <w:spacing w:before="0"/>
              <w:jc w:val="right"/>
              <w:rPr>
                <w:rFonts w:ascii="Arial Narrow" w:hAnsi="Arial Narrow"/>
                <w:b/>
                <w:bCs/>
                <w:sz w:val="20"/>
              </w:rPr>
            </w:pPr>
            <w:r>
              <w:rPr>
                <w:rFonts w:ascii="Arial Narrow" w:hAnsi="Arial Narrow"/>
                <w:b/>
                <w:bCs/>
                <w:sz w:val="20"/>
              </w:rPr>
              <w:t>r</w:t>
            </w:r>
            <w:r w:rsidR="00F309A8" w:rsidRPr="004B1B41">
              <w:rPr>
                <w:rFonts w:ascii="Arial Narrow" w:hAnsi="Arial Narrow"/>
                <w:b/>
                <w:bCs/>
                <w:sz w:val="20"/>
              </w:rPr>
              <w:t>edacted</w:t>
            </w:r>
            <w:r w:rsidR="000B1D18">
              <w:rPr>
                <w:rFonts w:ascii="Arial Narrow" w:hAnsi="Arial Narrow"/>
                <w:b/>
                <w:bCs/>
                <w:sz w:val="20"/>
                <w:vertAlign w:val="superscript"/>
              </w:rPr>
              <w:t>3</w:t>
            </w:r>
          </w:p>
        </w:tc>
        <w:tc>
          <w:tcPr>
            <w:tcW w:w="514" w:type="pct"/>
            <w:noWrap/>
          </w:tcPr>
          <w:p w14:paraId="15B80DF8" w14:textId="599E4479" w:rsidR="00E965EE" w:rsidRPr="004B1B41" w:rsidRDefault="00FB3164" w:rsidP="00E965EE">
            <w:pPr>
              <w:keepNext/>
              <w:widowControl w:val="0"/>
              <w:spacing w:before="0"/>
              <w:jc w:val="right"/>
              <w:rPr>
                <w:rFonts w:ascii="Arial Narrow" w:hAnsi="Arial Narrow"/>
                <w:b/>
                <w:bCs/>
                <w:sz w:val="20"/>
              </w:rPr>
            </w:pPr>
            <w:r>
              <w:rPr>
                <w:rFonts w:ascii="Arial Narrow" w:hAnsi="Arial Narrow"/>
                <w:b/>
                <w:bCs/>
                <w:sz w:val="20"/>
              </w:rPr>
              <w:t>r</w:t>
            </w:r>
            <w:r w:rsidR="00F309A8" w:rsidRPr="004B1B41">
              <w:rPr>
                <w:rFonts w:ascii="Arial Narrow" w:hAnsi="Arial Narrow"/>
                <w:b/>
                <w:bCs/>
                <w:sz w:val="20"/>
              </w:rPr>
              <w:t>edacted</w:t>
            </w:r>
            <w:r w:rsidR="000B1D18">
              <w:rPr>
                <w:rFonts w:ascii="Arial Narrow" w:hAnsi="Arial Narrow"/>
                <w:b/>
                <w:bCs/>
                <w:sz w:val="20"/>
                <w:vertAlign w:val="superscript"/>
              </w:rPr>
              <w:t>3</w:t>
            </w:r>
          </w:p>
        </w:tc>
        <w:tc>
          <w:tcPr>
            <w:tcW w:w="514" w:type="pct"/>
            <w:noWrap/>
          </w:tcPr>
          <w:p w14:paraId="50FC9BBD" w14:textId="014E0977" w:rsidR="00E965EE" w:rsidRPr="004B1B41" w:rsidRDefault="00FB3164" w:rsidP="00E965EE">
            <w:pPr>
              <w:keepNext/>
              <w:widowControl w:val="0"/>
              <w:spacing w:before="0"/>
              <w:jc w:val="right"/>
              <w:rPr>
                <w:rFonts w:ascii="Arial Narrow" w:hAnsi="Arial Narrow"/>
                <w:b/>
                <w:bCs/>
                <w:sz w:val="20"/>
              </w:rPr>
            </w:pPr>
            <w:r>
              <w:rPr>
                <w:rFonts w:ascii="Arial Narrow" w:hAnsi="Arial Narrow"/>
                <w:b/>
                <w:bCs/>
                <w:sz w:val="20"/>
              </w:rPr>
              <w:t>r</w:t>
            </w:r>
            <w:r w:rsidR="00F309A8" w:rsidRPr="004B1B41">
              <w:rPr>
                <w:rFonts w:ascii="Arial Narrow" w:hAnsi="Arial Narrow"/>
                <w:b/>
                <w:bCs/>
                <w:sz w:val="20"/>
              </w:rPr>
              <w:t>edacted</w:t>
            </w:r>
            <w:r w:rsidR="000B1D18">
              <w:rPr>
                <w:rFonts w:ascii="Arial Narrow" w:hAnsi="Arial Narrow"/>
                <w:b/>
                <w:bCs/>
                <w:sz w:val="20"/>
                <w:vertAlign w:val="superscript"/>
              </w:rPr>
              <w:t>3</w:t>
            </w:r>
          </w:p>
        </w:tc>
      </w:tr>
      <w:tr w:rsidR="00A67F5E" w:rsidRPr="00E965EE" w14:paraId="33517784" w14:textId="77777777" w:rsidTr="00A67F5E">
        <w:trPr>
          <w:trHeight w:val="20"/>
        </w:trPr>
        <w:tc>
          <w:tcPr>
            <w:tcW w:w="295" w:type="pct"/>
            <w:tcBorders>
              <w:bottom w:val="single" w:sz="4" w:space="0" w:color="auto"/>
            </w:tcBorders>
          </w:tcPr>
          <w:p w14:paraId="513919F6"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X</w:t>
            </w:r>
          </w:p>
        </w:tc>
        <w:tc>
          <w:tcPr>
            <w:tcW w:w="1619" w:type="pct"/>
            <w:tcBorders>
              <w:bottom w:val="single" w:sz="4" w:space="0" w:color="auto"/>
            </w:tcBorders>
            <w:noWrap/>
          </w:tcPr>
          <w:p w14:paraId="16A5DA72" w14:textId="77777777" w:rsidR="00E965EE" w:rsidRPr="00E965EE" w:rsidRDefault="00E965EE" w:rsidP="00E965EE">
            <w:pPr>
              <w:keepNext/>
              <w:widowControl w:val="0"/>
              <w:spacing w:before="0"/>
              <w:ind w:left="164"/>
              <w:jc w:val="left"/>
              <w:rPr>
                <w:rFonts w:ascii="Arial Narrow" w:hAnsi="Arial Narrow"/>
                <w:sz w:val="20"/>
              </w:rPr>
            </w:pPr>
            <w:r w:rsidRPr="00E965EE">
              <w:rPr>
                <w:rFonts w:ascii="Arial Narrow" w:hAnsi="Arial Narrow"/>
                <w:sz w:val="20"/>
              </w:rPr>
              <w:t>No. patients with anti-HDV+ who received HDV RNA testing (W × 44.4%)</w:t>
            </w:r>
          </w:p>
        </w:tc>
        <w:tc>
          <w:tcPr>
            <w:tcW w:w="512" w:type="pct"/>
            <w:tcBorders>
              <w:bottom w:val="single" w:sz="4" w:space="0" w:color="auto"/>
            </w:tcBorders>
            <w:noWrap/>
          </w:tcPr>
          <w:p w14:paraId="73BA065A" w14:textId="56E94F78" w:rsidR="00E965EE" w:rsidRPr="004B1B41" w:rsidRDefault="00FB3164" w:rsidP="00E965EE">
            <w:pPr>
              <w:keepNext/>
              <w:widowControl w:val="0"/>
              <w:spacing w:before="0"/>
              <w:jc w:val="right"/>
              <w:rPr>
                <w:rFonts w:ascii="Arial Narrow" w:hAnsi="Arial Narrow"/>
                <w:b/>
                <w:bCs/>
                <w:sz w:val="20"/>
              </w:rPr>
            </w:pPr>
            <w:r>
              <w:rPr>
                <w:rFonts w:ascii="Arial Narrow" w:hAnsi="Arial Narrow"/>
                <w:b/>
                <w:bCs/>
                <w:sz w:val="20"/>
              </w:rPr>
              <w:t>r</w:t>
            </w:r>
            <w:r w:rsidR="00F309A8" w:rsidRPr="004B1B41">
              <w:rPr>
                <w:rFonts w:ascii="Arial Narrow" w:hAnsi="Arial Narrow"/>
                <w:b/>
                <w:bCs/>
                <w:sz w:val="20"/>
              </w:rPr>
              <w:t>edacted</w:t>
            </w:r>
            <w:r w:rsidR="000B1D18">
              <w:rPr>
                <w:rFonts w:ascii="Arial Narrow" w:hAnsi="Arial Narrow"/>
                <w:b/>
                <w:bCs/>
                <w:sz w:val="20"/>
                <w:vertAlign w:val="superscript"/>
              </w:rPr>
              <w:t>3</w:t>
            </w:r>
          </w:p>
        </w:tc>
        <w:tc>
          <w:tcPr>
            <w:tcW w:w="516" w:type="pct"/>
            <w:tcBorders>
              <w:bottom w:val="single" w:sz="4" w:space="0" w:color="auto"/>
            </w:tcBorders>
            <w:noWrap/>
          </w:tcPr>
          <w:p w14:paraId="42929AB7" w14:textId="792FAC56" w:rsidR="00E965EE" w:rsidRPr="004B1B41" w:rsidRDefault="00FB3164" w:rsidP="00E965EE">
            <w:pPr>
              <w:keepNext/>
              <w:widowControl w:val="0"/>
              <w:spacing w:before="0"/>
              <w:jc w:val="right"/>
              <w:rPr>
                <w:rFonts w:ascii="Arial Narrow" w:hAnsi="Arial Narrow"/>
                <w:b/>
                <w:bCs/>
                <w:sz w:val="20"/>
              </w:rPr>
            </w:pPr>
            <w:r>
              <w:rPr>
                <w:rFonts w:ascii="Arial Narrow" w:hAnsi="Arial Narrow"/>
                <w:b/>
                <w:bCs/>
                <w:sz w:val="20"/>
              </w:rPr>
              <w:t>r</w:t>
            </w:r>
            <w:r w:rsidR="00F309A8" w:rsidRPr="004B1B41">
              <w:rPr>
                <w:rFonts w:ascii="Arial Narrow" w:hAnsi="Arial Narrow"/>
                <w:b/>
                <w:bCs/>
                <w:sz w:val="20"/>
              </w:rPr>
              <w:t>edacted</w:t>
            </w:r>
            <w:r w:rsidR="000B1D18">
              <w:rPr>
                <w:rFonts w:ascii="Arial Narrow" w:hAnsi="Arial Narrow"/>
                <w:b/>
                <w:bCs/>
                <w:sz w:val="20"/>
                <w:vertAlign w:val="superscript"/>
              </w:rPr>
              <w:t>3</w:t>
            </w:r>
          </w:p>
        </w:tc>
        <w:tc>
          <w:tcPr>
            <w:tcW w:w="514" w:type="pct"/>
            <w:tcBorders>
              <w:bottom w:val="single" w:sz="4" w:space="0" w:color="auto"/>
            </w:tcBorders>
            <w:noWrap/>
          </w:tcPr>
          <w:p w14:paraId="0D46273D" w14:textId="75850279" w:rsidR="00E965EE" w:rsidRPr="004B1B41" w:rsidRDefault="00FB3164" w:rsidP="00E965EE">
            <w:pPr>
              <w:keepNext/>
              <w:widowControl w:val="0"/>
              <w:spacing w:before="0"/>
              <w:jc w:val="right"/>
              <w:rPr>
                <w:rFonts w:ascii="Arial Narrow" w:hAnsi="Arial Narrow"/>
                <w:b/>
                <w:bCs/>
                <w:sz w:val="20"/>
              </w:rPr>
            </w:pPr>
            <w:r>
              <w:rPr>
                <w:rFonts w:ascii="Arial Narrow" w:hAnsi="Arial Narrow"/>
                <w:b/>
                <w:bCs/>
                <w:sz w:val="20"/>
              </w:rPr>
              <w:t>r</w:t>
            </w:r>
            <w:r w:rsidR="00F309A8" w:rsidRPr="004B1B41">
              <w:rPr>
                <w:rFonts w:ascii="Arial Narrow" w:hAnsi="Arial Narrow"/>
                <w:b/>
                <w:bCs/>
                <w:sz w:val="20"/>
              </w:rPr>
              <w:t>edacted</w:t>
            </w:r>
            <w:r w:rsidR="000B1D18">
              <w:rPr>
                <w:rFonts w:ascii="Arial Narrow" w:hAnsi="Arial Narrow"/>
                <w:b/>
                <w:bCs/>
                <w:sz w:val="20"/>
                <w:vertAlign w:val="superscript"/>
              </w:rPr>
              <w:t>3</w:t>
            </w:r>
          </w:p>
        </w:tc>
        <w:tc>
          <w:tcPr>
            <w:tcW w:w="514" w:type="pct"/>
            <w:tcBorders>
              <w:bottom w:val="single" w:sz="4" w:space="0" w:color="auto"/>
            </w:tcBorders>
            <w:noWrap/>
          </w:tcPr>
          <w:p w14:paraId="575C10F2" w14:textId="36A27293"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 xml:space="preserve"> </w:t>
            </w:r>
            <w:r w:rsidR="000B1D18">
              <w:rPr>
                <w:rFonts w:ascii="Arial Narrow" w:hAnsi="Arial Narrow"/>
                <w:b/>
                <w:bCs/>
                <w:sz w:val="20"/>
                <w:vertAlign w:val="superscript"/>
              </w:rPr>
              <w:t>3</w:t>
            </w:r>
          </w:p>
        </w:tc>
        <w:tc>
          <w:tcPr>
            <w:tcW w:w="514" w:type="pct"/>
            <w:tcBorders>
              <w:bottom w:val="single" w:sz="4" w:space="0" w:color="auto"/>
            </w:tcBorders>
            <w:noWrap/>
          </w:tcPr>
          <w:p w14:paraId="02030031" w14:textId="3FBDCF54"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 xml:space="preserve">redacted </w:t>
            </w:r>
            <w:r w:rsidR="000B1D18">
              <w:rPr>
                <w:rFonts w:ascii="Arial Narrow" w:hAnsi="Arial Narrow"/>
                <w:b/>
                <w:bCs/>
                <w:sz w:val="20"/>
                <w:vertAlign w:val="superscript"/>
              </w:rPr>
              <w:t>3</w:t>
            </w:r>
          </w:p>
        </w:tc>
        <w:tc>
          <w:tcPr>
            <w:tcW w:w="514" w:type="pct"/>
            <w:tcBorders>
              <w:bottom w:val="single" w:sz="4" w:space="0" w:color="auto"/>
            </w:tcBorders>
            <w:noWrap/>
          </w:tcPr>
          <w:p w14:paraId="482AF6F9" w14:textId="40CB7D41" w:rsidR="00E965EE" w:rsidRPr="004B1B41" w:rsidRDefault="00D56BE1" w:rsidP="00E965EE">
            <w:pPr>
              <w:keepNext/>
              <w:widowControl w:val="0"/>
              <w:spacing w:before="0"/>
              <w:jc w:val="right"/>
              <w:rPr>
                <w:rFonts w:ascii="Arial Narrow" w:hAnsi="Arial Narrow"/>
                <w:b/>
                <w:bCs/>
                <w:sz w:val="20"/>
              </w:rPr>
            </w:pPr>
            <w:r w:rsidRPr="004B1B41">
              <w:rPr>
                <w:rFonts w:ascii="Arial Narrow" w:hAnsi="Arial Narrow"/>
                <w:b/>
                <w:bCs/>
                <w:sz w:val="20"/>
              </w:rPr>
              <w:t xml:space="preserve">redacted </w:t>
            </w:r>
            <w:r w:rsidR="000B1D18">
              <w:rPr>
                <w:rFonts w:ascii="Arial Narrow" w:hAnsi="Arial Narrow"/>
                <w:b/>
                <w:bCs/>
                <w:sz w:val="20"/>
                <w:vertAlign w:val="superscript"/>
              </w:rPr>
              <w:t>3</w:t>
            </w:r>
          </w:p>
        </w:tc>
      </w:tr>
      <w:tr w:rsidR="00E965EE" w:rsidRPr="00E965EE" w14:paraId="4B8F1419" w14:textId="77777777" w:rsidTr="00A67F5E">
        <w:trPr>
          <w:trHeight w:val="20"/>
        </w:trPr>
        <w:tc>
          <w:tcPr>
            <w:tcW w:w="295" w:type="pct"/>
            <w:tcBorders>
              <w:right w:val="nil"/>
            </w:tcBorders>
          </w:tcPr>
          <w:p w14:paraId="5762D141" w14:textId="77777777" w:rsidR="00E965EE" w:rsidRPr="00E965EE" w:rsidRDefault="00E965EE" w:rsidP="00E965EE">
            <w:pPr>
              <w:keepNext/>
              <w:widowControl w:val="0"/>
              <w:spacing w:before="0"/>
              <w:jc w:val="left"/>
              <w:rPr>
                <w:rFonts w:ascii="Arial Narrow" w:hAnsi="Arial Narrow"/>
                <w:sz w:val="20"/>
              </w:rPr>
            </w:pPr>
          </w:p>
        </w:tc>
        <w:tc>
          <w:tcPr>
            <w:tcW w:w="4705" w:type="pct"/>
            <w:gridSpan w:val="7"/>
            <w:noWrap/>
          </w:tcPr>
          <w:p w14:paraId="05027D57"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Use of anti-HDV and HDV RNA testing after listing</w:t>
            </w:r>
          </w:p>
        </w:tc>
      </w:tr>
      <w:tr w:rsidR="00A67F5E" w:rsidRPr="00E965EE" w14:paraId="5D2A9A25" w14:textId="77777777" w:rsidTr="00A67F5E">
        <w:trPr>
          <w:trHeight w:val="20"/>
        </w:trPr>
        <w:tc>
          <w:tcPr>
            <w:tcW w:w="295" w:type="pct"/>
          </w:tcPr>
          <w:p w14:paraId="4B02E457"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Y</w:t>
            </w:r>
          </w:p>
        </w:tc>
        <w:tc>
          <w:tcPr>
            <w:tcW w:w="1619" w:type="pct"/>
            <w:noWrap/>
          </w:tcPr>
          <w:p w14:paraId="48FEAE9A" w14:textId="77777777" w:rsidR="00E965EE" w:rsidRPr="00E965EE" w:rsidRDefault="00E965EE" w:rsidP="00E965EE">
            <w:pPr>
              <w:keepNext/>
              <w:widowControl w:val="0"/>
              <w:spacing w:before="0"/>
              <w:ind w:left="164"/>
              <w:jc w:val="left"/>
              <w:rPr>
                <w:rFonts w:ascii="Arial Narrow" w:hAnsi="Arial Narrow"/>
                <w:sz w:val="20"/>
              </w:rPr>
            </w:pPr>
            <w:r w:rsidRPr="00E965EE">
              <w:rPr>
                <w:rFonts w:ascii="Arial Narrow" w:hAnsi="Arial Narrow"/>
                <w:sz w:val="20"/>
              </w:rPr>
              <w:t>Proportion incident chronic HBV patients tested for anti-HDV following bulevirtide listing</w:t>
            </w:r>
          </w:p>
        </w:tc>
        <w:tc>
          <w:tcPr>
            <w:tcW w:w="512" w:type="pct"/>
            <w:noWrap/>
          </w:tcPr>
          <w:p w14:paraId="6D7D3158" w14:textId="599103D3" w:rsidR="00E965EE" w:rsidRPr="004B1B41" w:rsidRDefault="00F309A8"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F309A8">
              <w:rPr>
                <w:rFonts w:ascii="Arial Narrow" w:hAnsi="Arial Narrow"/>
                <w:b/>
                <w:bCs/>
                <w:sz w:val="20"/>
              </w:rPr>
              <w:t xml:space="preserve"> </w:t>
            </w:r>
            <w:r w:rsidR="00E965EE" w:rsidRPr="004B1B41">
              <w:rPr>
                <w:rFonts w:ascii="Arial Narrow" w:hAnsi="Arial Narrow"/>
                <w:b/>
                <w:bCs/>
                <w:sz w:val="20"/>
              </w:rPr>
              <w:t>%</w:t>
            </w:r>
          </w:p>
        </w:tc>
        <w:tc>
          <w:tcPr>
            <w:tcW w:w="516" w:type="pct"/>
            <w:noWrap/>
          </w:tcPr>
          <w:p w14:paraId="76DAF048" w14:textId="2B4C8DFF" w:rsidR="00E965EE" w:rsidRPr="004B1B41" w:rsidRDefault="00F309A8"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F309A8">
              <w:rPr>
                <w:rFonts w:ascii="Arial Narrow" w:hAnsi="Arial Narrow"/>
                <w:b/>
                <w:bCs/>
                <w:sz w:val="20"/>
              </w:rPr>
              <w:t xml:space="preserve"> </w:t>
            </w:r>
            <w:r w:rsidR="00E965EE" w:rsidRPr="004B1B41">
              <w:rPr>
                <w:rFonts w:ascii="Arial Narrow" w:hAnsi="Arial Narrow"/>
                <w:b/>
                <w:bCs/>
                <w:sz w:val="20"/>
              </w:rPr>
              <w:t>%</w:t>
            </w:r>
          </w:p>
        </w:tc>
        <w:tc>
          <w:tcPr>
            <w:tcW w:w="514" w:type="pct"/>
            <w:noWrap/>
          </w:tcPr>
          <w:p w14:paraId="4840E8FA" w14:textId="32F02908" w:rsidR="00E965EE" w:rsidRPr="004B1B41" w:rsidRDefault="00F309A8"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F309A8">
              <w:rPr>
                <w:rFonts w:ascii="Arial Narrow" w:hAnsi="Arial Narrow"/>
                <w:b/>
                <w:bCs/>
                <w:sz w:val="20"/>
              </w:rPr>
              <w:t xml:space="preserve"> </w:t>
            </w:r>
            <w:r w:rsidR="00E965EE" w:rsidRPr="004B1B41">
              <w:rPr>
                <w:rFonts w:ascii="Arial Narrow" w:hAnsi="Arial Narrow"/>
                <w:b/>
                <w:bCs/>
                <w:sz w:val="20"/>
              </w:rPr>
              <w:t>%</w:t>
            </w:r>
          </w:p>
        </w:tc>
        <w:tc>
          <w:tcPr>
            <w:tcW w:w="514" w:type="pct"/>
            <w:noWrap/>
          </w:tcPr>
          <w:p w14:paraId="7D368B2B" w14:textId="4262F6FE" w:rsidR="00E965EE" w:rsidRPr="004B1B41" w:rsidRDefault="00F309A8"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F309A8">
              <w:rPr>
                <w:rFonts w:ascii="Arial Narrow" w:hAnsi="Arial Narrow"/>
                <w:b/>
                <w:bCs/>
                <w:sz w:val="20"/>
              </w:rPr>
              <w:t xml:space="preserve"> </w:t>
            </w:r>
            <w:r w:rsidR="00E965EE" w:rsidRPr="004B1B41">
              <w:rPr>
                <w:rFonts w:ascii="Arial Narrow" w:hAnsi="Arial Narrow"/>
                <w:b/>
                <w:bCs/>
                <w:sz w:val="20"/>
              </w:rPr>
              <w:t>%</w:t>
            </w:r>
          </w:p>
        </w:tc>
        <w:tc>
          <w:tcPr>
            <w:tcW w:w="514" w:type="pct"/>
            <w:noWrap/>
          </w:tcPr>
          <w:p w14:paraId="3085F459" w14:textId="69AA3501" w:rsidR="00E965EE" w:rsidRPr="004B1B41" w:rsidRDefault="00F309A8"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F309A8">
              <w:rPr>
                <w:rFonts w:ascii="Arial Narrow" w:hAnsi="Arial Narrow"/>
                <w:b/>
                <w:bCs/>
                <w:sz w:val="20"/>
              </w:rPr>
              <w:t xml:space="preserve"> </w:t>
            </w:r>
            <w:r w:rsidR="00E965EE" w:rsidRPr="004B1B41">
              <w:rPr>
                <w:rFonts w:ascii="Arial Narrow" w:hAnsi="Arial Narrow"/>
                <w:b/>
                <w:bCs/>
                <w:sz w:val="20"/>
              </w:rPr>
              <w:t>%</w:t>
            </w:r>
          </w:p>
        </w:tc>
        <w:tc>
          <w:tcPr>
            <w:tcW w:w="514" w:type="pct"/>
            <w:noWrap/>
          </w:tcPr>
          <w:p w14:paraId="1DFBBA66" w14:textId="41C0532F" w:rsidR="00E965EE" w:rsidRPr="004B1B41" w:rsidRDefault="00F309A8"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F309A8">
              <w:rPr>
                <w:rFonts w:ascii="Arial Narrow" w:hAnsi="Arial Narrow"/>
                <w:b/>
                <w:bCs/>
                <w:sz w:val="20"/>
              </w:rPr>
              <w:t xml:space="preserve"> </w:t>
            </w:r>
            <w:r w:rsidR="00E965EE" w:rsidRPr="004B1B41">
              <w:rPr>
                <w:rFonts w:ascii="Arial Narrow" w:hAnsi="Arial Narrow"/>
                <w:b/>
                <w:bCs/>
                <w:sz w:val="20"/>
              </w:rPr>
              <w:t>%</w:t>
            </w:r>
          </w:p>
        </w:tc>
      </w:tr>
      <w:tr w:rsidR="00A67F5E" w:rsidRPr="00E965EE" w14:paraId="74737AC5" w14:textId="77777777" w:rsidTr="00A67F5E">
        <w:trPr>
          <w:trHeight w:val="20"/>
        </w:trPr>
        <w:tc>
          <w:tcPr>
            <w:tcW w:w="295" w:type="pct"/>
          </w:tcPr>
          <w:p w14:paraId="46685508"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Z</w:t>
            </w:r>
          </w:p>
        </w:tc>
        <w:tc>
          <w:tcPr>
            <w:tcW w:w="1619" w:type="pct"/>
            <w:noWrap/>
          </w:tcPr>
          <w:p w14:paraId="2B92FAB6" w14:textId="77777777" w:rsidR="00E965EE" w:rsidRPr="00E965EE" w:rsidRDefault="00E965EE" w:rsidP="00E965EE">
            <w:pPr>
              <w:keepNext/>
              <w:widowControl w:val="0"/>
              <w:spacing w:before="0"/>
              <w:ind w:left="164"/>
              <w:jc w:val="left"/>
              <w:rPr>
                <w:rFonts w:ascii="Arial Narrow" w:hAnsi="Arial Narrow"/>
                <w:sz w:val="20"/>
              </w:rPr>
            </w:pPr>
            <w:r w:rsidRPr="00E965EE">
              <w:rPr>
                <w:rFonts w:ascii="Arial Narrow" w:hAnsi="Arial Narrow"/>
                <w:sz w:val="20"/>
              </w:rPr>
              <w:t>No. incident chronic HBV patients tested for anti-HDV (U × Y)</w:t>
            </w:r>
          </w:p>
        </w:tc>
        <w:tc>
          <w:tcPr>
            <w:tcW w:w="512" w:type="pct"/>
            <w:noWrap/>
          </w:tcPr>
          <w:p w14:paraId="40A8D3AF" w14:textId="0A441A87" w:rsidR="00E965EE" w:rsidRPr="004B1B41" w:rsidRDefault="00645905" w:rsidP="00E965EE">
            <w:pPr>
              <w:keepNext/>
              <w:widowControl w:val="0"/>
              <w:spacing w:before="0"/>
              <w:jc w:val="right"/>
              <w:rPr>
                <w:rFonts w:ascii="Arial Narrow" w:hAnsi="Arial Narrow"/>
                <w:b/>
                <w:bCs/>
                <w:sz w:val="20"/>
              </w:rPr>
            </w:pPr>
            <w:r w:rsidRPr="004B1B41">
              <w:rPr>
                <w:rFonts w:ascii="Arial Narrow" w:hAnsi="Arial Narrow"/>
                <w:b/>
                <w:bCs/>
                <w:sz w:val="20"/>
              </w:rPr>
              <w:t>redacted</w:t>
            </w:r>
          </w:p>
        </w:tc>
        <w:tc>
          <w:tcPr>
            <w:tcW w:w="516" w:type="pct"/>
            <w:noWrap/>
          </w:tcPr>
          <w:p w14:paraId="27CDC9ED" w14:textId="71BA6875" w:rsidR="00E965EE" w:rsidRPr="004B1B41" w:rsidRDefault="00645905" w:rsidP="00E965EE">
            <w:pPr>
              <w:keepNext/>
              <w:widowControl w:val="0"/>
              <w:spacing w:before="0"/>
              <w:jc w:val="right"/>
              <w:rPr>
                <w:rFonts w:ascii="Arial Narrow" w:hAnsi="Arial Narrow"/>
                <w:b/>
                <w:bCs/>
                <w:sz w:val="20"/>
              </w:rPr>
            </w:pPr>
            <w:r w:rsidRPr="004B1B41">
              <w:rPr>
                <w:rFonts w:ascii="Arial Narrow" w:hAnsi="Arial Narrow"/>
                <w:b/>
                <w:bCs/>
                <w:sz w:val="20"/>
              </w:rPr>
              <w:t>redacted</w:t>
            </w:r>
          </w:p>
        </w:tc>
        <w:tc>
          <w:tcPr>
            <w:tcW w:w="514" w:type="pct"/>
            <w:noWrap/>
          </w:tcPr>
          <w:p w14:paraId="1CC84B69" w14:textId="17465248" w:rsidR="00E965EE" w:rsidRPr="004B1B41" w:rsidRDefault="00645905" w:rsidP="00E965EE">
            <w:pPr>
              <w:keepNext/>
              <w:widowControl w:val="0"/>
              <w:spacing w:before="0"/>
              <w:jc w:val="right"/>
              <w:rPr>
                <w:rFonts w:ascii="Arial Narrow" w:hAnsi="Arial Narrow"/>
                <w:b/>
                <w:bCs/>
                <w:sz w:val="20"/>
              </w:rPr>
            </w:pPr>
            <w:r w:rsidRPr="004B1B41">
              <w:rPr>
                <w:rFonts w:ascii="Arial Narrow" w:hAnsi="Arial Narrow"/>
                <w:b/>
                <w:bCs/>
                <w:sz w:val="20"/>
              </w:rPr>
              <w:t>redacted</w:t>
            </w:r>
          </w:p>
        </w:tc>
        <w:tc>
          <w:tcPr>
            <w:tcW w:w="514" w:type="pct"/>
            <w:noWrap/>
          </w:tcPr>
          <w:p w14:paraId="4B01CB78" w14:textId="7FCF5EB5" w:rsidR="00E965EE" w:rsidRPr="004B1B41" w:rsidRDefault="00645905" w:rsidP="00E965EE">
            <w:pPr>
              <w:keepNext/>
              <w:widowControl w:val="0"/>
              <w:spacing w:before="0"/>
              <w:jc w:val="right"/>
              <w:rPr>
                <w:rFonts w:ascii="Arial Narrow" w:hAnsi="Arial Narrow"/>
                <w:b/>
                <w:bCs/>
                <w:sz w:val="20"/>
              </w:rPr>
            </w:pPr>
            <w:r w:rsidRPr="004B1B41">
              <w:rPr>
                <w:rFonts w:ascii="Arial Narrow" w:hAnsi="Arial Narrow"/>
                <w:b/>
                <w:bCs/>
                <w:sz w:val="20"/>
              </w:rPr>
              <w:t>redacted</w:t>
            </w:r>
          </w:p>
        </w:tc>
        <w:tc>
          <w:tcPr>
            <w:tcW w:w="514" w:type="pct"/>
            <w:noWrap/>
          </w:tcPr>
          <w:p w14:paraId="1EE789A5" w14:textId="51713BB1" w:rsidR="00E965EE" w:rsidRPr="004B1B41" w:rsidRDefault="00645905" w:rsidP="00E965EE">
            <w:pPr>
              <w:keepNext/>
              <w:widowControl w:val="0"/>
              <w:spacing w:before="0"/>
              <w:jc w:val="right"/>
              <w:rPr>
                <w:rFonts w:ascii="Arial Narrow" w:hAnsi="Arial Narrow"/>
                <w:b/>
                <w:bCs/>
                <w:sz w:val="20"/>
              </w:rPr>
            </w:pPr>
            <w:r w:rsidRPr="004B1B41">
              <w:rPr>
                <w:rFonts w:ascii="Arial Narrow" w:hAnsi="Arial Narrow"/>
                <w:b/>
                <w:bCs/>
                <w:sz w:val="20"/>
              </w:rPr>
              <w:t>redacted</w:t>
            </w:r>
          </w:p>
        </w:tc>
        <w:tc>
          <w:tcPr>
            <w:tcW w:w="514" w:type="pct"/>
            <w:noWrap/>
          </w:tcPr>
          <w:p w14:paraId="33984A9F" w14:textId="000BCB8C" w:rsidR="00E965EE" w:rsidRPr="004B1B41" w:rsidRDefault="00645905" w:rsidP="00E965EE">
            <w:pPr>
              <w:keepNext/>
              <w:widowControl w:val="0"/>
              <w:spacing w:before="0"/>
              <w:jc w:val="right"/>
              <w:rPr>
                <w:rFonts w:ascii="Arial Narrow" w:hAnsi="Arial Narrow"/>
                <w:b/>
                <w:bCs/>
                <w:sz w:val="20"/>
              </w:rPr>
            </w:pPr>
            <w:r w:rsidRPr="004B1B41">
              <w:rPr>
                <w:rFonts w:ascii="Arial Narrow" w:hAnsi="Arial Narrow"/>
                <w:b/>
                <w:bCs/>
                <w:sz w:val="20"/>
              </w:rPr>
              <w:t>redacted</w:t>
            </w:r>
          </w:p>
        </w:tc>
      </w:tr>
      <w:tr w:rsidR="00A67F5E" w:rsidRPr="00E965EE" w14:paraId="71095C84" w14:textId="77777777" w:rsidTr="00A67F5E">
        <w:trPr>
          <w:trHeight w:val="20"/>
        </w:trPr>
        <w:tc>
          <w:tcPr>
            <w:tcW w:w="295" w:type="pct"/>
          </w:tcPr>
          <w:p w14:paraId="0D39BC93"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AA</w:t>
            </w:r>
          </w:p>
        </w:tc>
        <w:tc>
          <w:tcPr>
            <w:tcW w:w="1619" w:type="pct"/>
            <w:noWrap/>
          </w:tcPr>
          <w:p w14:paraId="7B04012E" w14:textId="0121C2D5" w:rsidR="00E965EE" w:rsidRPr="00E965EE" w:rsidRDefault="00E965EE" w:rsidP="00E965EE">
            <w:pPr>
              <w:keepNext/>
              <w:widowControl w:val="0"/>
              <w:spacing w:before="0"/>
              <w:ind w:left="164"/>
              <w:jc w:val="left"/>
              <w:rPr>
                <w:rFonts w:ascii="Arial Narrow" w:hAnsi="Arial Narrow"/>
                <w:sz w:val="20"/>
              </w:rPr>
            </w:pPr>
            <w:r w:rsidRPr="00E965EE">
              <w:rPr>
                <w:rFonts w:ascii="Arial Narrow" w:hAnsi="Arial Narrow"/>
                <w:sz w:val="20"/>
              </w:rPr>
              <w:t>No. incident chronic HBV patients found with anti-HDV+ (Z × 4.06%)</w:t>
            </w:r>
          </w:p>
        </w:tc>
        <w:tc>
          <w:tcPr>
            <w:tcW w:w="512" w:type="pct"/>
            <w:noWrap/>
          </w:tcPr>
          <w:p w14:paraId="63AE413D" w14:textId="5C996B35"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2B4E1C" w:rsidRPr="004B1B41">
              <w:rPr>
                <w:rFonts w:ascii="Arial Narrow" w:hAnsi="Arial Narrow"/>
                <w:b/>
                <w:bCs/>
                <w:sz w:val="20"/>
              </w:rPr>
              <w:t>edacted</w:t>
            </w:r>
            <w:r>
              <w:rPr>
                <w:rFonts w:ascii="Arial Narrow" w:hAnsi="Arial Narrow"/>
                <w:b/>
                <w:bCs/>
                <w:sz w:val="20"/>
                <w:vertAlign w:val="superscript"/>
              </w:rPr>
              <w:t>3</w:t>
            </w:r>
          </w:p>
        </w:tc>
        <w:tc>
          <w:tcPr>
            <w:tcW w:w="516" w:type="pct"/>
            <w:noWrap/>
          </w:tcPr>
          <w:p w14:paraId="2F09A0FF" w14:textId="57588040"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2B4E1C" w:rsidRPr="004B1B41">
              <w:rPr>
                <w:rFonts w:ascii="Arial Narrow" w:hAnsi="Arial Narrow"/>
                <w:b/>
                <w:bCs/>
                <w:sz w:val="20"/>
              </w:rPr>
              <w:t>edacted</w:t>
            </w:r>
            <w:r>
              <w:rPr>
                <w:rFonts w:ascii="Arial Narrow" w:hAnsi="Arial Narrow"/>
                <w:b/>
                <w:bCs/>
                <w:sz w:val="20"/>
                <w:vertAlign w:val="superscript"/>
              </w:rPr>
              <w:t>3</w:t>
            </w:r>
          </w:p>
        </w:tc>
        <w:tc>
          <w:tcPr>
            <w:tcW w:w="514" w:type="pct"/>
            <w:noWrap/>
          </w:tcPr>
          <w:p w14:paraId="1F721654" w14:textId="43F61E9F"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2B4E1C" w:rsidRPr="004B1B41">
              <w:rPr>
                <w:rFonts w:ascii="Arial Narrow" w:hAnsi="Arial Narrow"/>
                <w:b/>
                <w:bCs/>
                <w:sz w:val="20"/>
              </w:rPr>
              <w:t>edacted</w:t>
            </w:r>
            <w:r>
              <w:rPr>
                <w:rFonts w:ascii="Arial Narrow" w:hAnsi="Arial Narrow"/>
                <w:b/>
                <w:bCs/>
                <w:sz w:val="20"/>
                <w:vertAlign w:val="superscript"/>
              </w:rPr>
              <w:t>3</w:t>
            </w:r>
          </w:p>
        </w:tc>
        <w:tc>
          <w:tcPr>
            <w:tcW w:w="514" w:type="pct"/>
            <w:noWrap/>
          </w:tcPr>
          <w:p w14:paraId="76CF5720" w14:textId="71B52F9C"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2B4E1C" w:rsidRPr="004B1B41">
              <w:rPr>
                <w:rFonts w:ascii="Arial Narrow" w:hAnsi="Arial Narrow"/>
                <w:b/>
                <w:bCs/>
                <w:sz w:val="20"/>
              </w:rPr>
              <w:t>edacted</w:t>
            </w:r>
            <w:r>
              <w:rPr>
                <w:rFonts w:ascii="Arial Narrow" w:hAnsi="Arial Narrow"/>
                <w:b/>
                <w:bCs/>
                <w:sz w:val="20"/>
                <w:vertAlign w:val="superscript"/>
              </w:rPr>
              <w:t>3</w:t>
            </w:r>
          </w:p>
        </w:tc>
        <w:tc>
          <w:tcPr>
            <w:tcW w:w="514" w:type="pct"/>
            <w:noWrap/>
          </w:tcPr>
          <w:p w14:paraId="0B4E52D3" w14:textId="3859B2B5"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2B4E1C" w:rsidRPr="004B1B41">
              <w:rPr>
                <w:rFonts w:ascii="Arial Narrow" w:hAnsi="Arial Narrow"/>
                <w:b/>
                <w:bCs/>
                <w:sz w:val="20"/>
              </w:rPr>
              <w:t>edacted</w:t>
            </w:r>
            <w:r>
              <w:rPr>
                <w:rFonts w:ascii="Arial Narrow" w:hAnsi="Arial Narrow"/>
                <w:b/>
                <w:bCs/>
                <w:sz w:val="20"/>
                <w:vertAlign w:val="superscript"/>
              </w:rPr>
              <w:t>3</w:t>
            </w:r>
          </w:p>
        </w:tc>
        <w:tc>
          <w:tcPr>
            <w:tcW w:w="514" w:type="pct"/>
            <w:noWrap/>
          </w:tcPr>
          <w:p w14:paraId="56CC2737" w14:textId="28D081A9"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2B4E1C" w:rsidRPr="004B1B41">
              <w:rPr>
                <w:rFonts w:ascii="Arial Narrow" w:hAnsi="Arial Narrow"/>
                <w:b/>
                <w:bCs/>
                <w:sz w:val="20"/>
              </w:rPr>
              <w:t>edacted</w:t>
            </w:r>
            <w:r>
              <w:rPr>
                <w:rFonts w:ascii="Arial Narrow" w:hAnsi="Arial Narrow"/>
                <w:b/>
                <w:bCs/>
                <w:sz w:val="20"/>
                <w:vertAlign w:val="superscript"/>
              </w:rPr>
              <w:t>3</w:t>
            </w:r>
          </w:p>
        </w:tc>
      </w:tr>
      <w:tr w:rsidR="00A67F5E" w:rsidRPr="00E965EE" w14:paraId="74654933" w14:textId="77777777" w:rsidTr="00A67F5E">
        <w:trPr>
          <w:trHeight w:val="20"/>
        </w:trPr>
        <w:tc>
          <w:tcPr>
            <w:tcW w:w="295" w:type="pct"/>
          </w:tcPr>
          <w:p w14:paraId="0F2F379B"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AB</w:t>
            </w:r>
          </w:p>
        </w:tc>
        <w:tc>
          <w:tcPr>
            <w:tcW w:w="1619" w:type="pct"/>
            <w:noWrap/>
          </w:tcPr>
          <w:p w14:paraId="2174EE55" w14:textId="77777777" w:rsidR="00E965EE" w:rsidRPr="00E965EE" w:rsidRDefault="00E965EE" w:rsidP="00E965EE">
            <w:pPr>
              <w:keepNext/>
              <w:widowControl w:val="0"/>
              <w:spacing w:before="0"/>
              <w:ind w:left="164"/>
              <w:jc w:val="left"/>
              <w:rPr>
                <w:rFonts w:ascii="Arial Narrow" w:hAnsi="Arial Narrow"/>
                <w:sz w:val="20"/>
              </w:rPr>
            </w:pPr>
            <w:r w:rsidRPr="00E965EE">
              <w:rPr>
                <w:rFonts w:ascii="Arial Narrow" w:hAnsi="Arial Narrow"/>
                <w:sz w:val="20"/>
              </w:rPr>
              <w:t>Uptake of HDV RNA testing following bulevirtide listing</w:t>
            </w:r>
          </w:p>
        </w:tc>
        <w:tc>
          <w:tcPr>
            <w:tcW w:w="512" w:type="pct"/>
            <w:noWrap/>
          </w:tcPr>
          <w:p w14:paraId="1DE7EF20" w14:textId="620B06B6" w:rsidR="00E965EE" w:rsidRPr="004B1B41" w:rsidRDefault="00C86AB6"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86AB6">
              <w:rPr>
                <w:rFonts w:ascii="Arial Narrow" w:hAnsi="Arial Narrow"/>
                <w:b/>
                <w:bCs/>
                <w:sz w:val="20"/>
              </w:rPr>
              <w:t xml:space="preserve"> </w:t>
            </w:r>
            <w:r w:rsidR="00E965EE" w:rsidRPr="004B1B41">
              <w:rPr>
                <w:rFonts w:ascii="Arial Narrow" w:hAnsi="Arial Narrow"/>
                <w:b/>
                <w:bCs/>
                <w:sz w:val="20"/>
              </w:rPr>
              <w:t>%</w:t>
            </w:r>
          </w:p>
        </w:tc>
        <w:tc>
          <w:tcPr>
            <w:tcW w:w="516" w:type="pct"/>
            <w:noWrap/>
          </w:tcPr>
          <w:p w14:paraId="65CD5399" w14:textId="5C0D578C" w:rsidR="00E965EE" w:rsidRPr="004B1B41" w:rsidRDefault="00C86AB6"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86AB6">
              <w:rPr>
                <w:rFonts w:ascii="Arial Narrow" w:hAnsi="Arial Narrow"/>
                <w:b/>
                <w:bCs/>
                <w:sz w:val="20"/>
              </w:rPr>
              <w:t xml:space="preserve"> </w:t>
            </w:r>
            <w:r w:rsidR="00E965EE" w:rsidRPr="004B1B41">
              <w:rPr>
                <w:rFonts w:ascii="Arial Narrow" w:hAnsi="Arial Narrow"/>
                <w:b/>
                <w:bCs/>
                <w:sz w:val="20"/>
              </w:rPr>
              <w:t>%</w:t>
            </w:r>
          </w:p>
        </w:tc>
        <w:tc>
          <w:tcPr>
            <w:tcW w:w="514" w:type="pct"/>
            <w:noWrap/>
          </w:tcPr>
          <w:p w14:paraId="110CFE89" w14:textId="06E47120" w:rsidR="00E965EE" w:rsidRPr="004B1B41" w:rsidRDefault="00C86AB6"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86AB6">
              <w:rPr>
                <w:rFonts w:ascii="Arial Narrow" w:hAnsi="Arial Narrow"/>
                <w:b/>
                <w:bCs/>
                <w:sz w:val="20"/>
              </w:rPr>
              <w:t xml:space="preserve"> </w:t>
            </w:r>
            <w:r w:rsidR="00E965EE" w:rsidRPr="004B1B41">
              <w:rPr>
                <w:rFonts w:ascii="Arial Narrow" w:hAnsi="Arial Narrow"/>
                <w:b/>
                <w:bCs/>
                <w:sz w:val="20"/>
              </w:rPr>
              <w:t>%</w:t>
            </w:r>
          </w:p>
        </w:tc>
        <w:tc>
          <w:tcPr>
            <w:tcW w:w="514" w:type="pct"/>
            <w:noWrap/>
          </w:tcPr>
          <w:p w14:paraId="3A8D7B1A" w14:textId="04D4953F" w:rsidR="00E965EE" w:rsidRPr="004B1B41" w:rsidRDefault="00C86AB6"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86AB6">
              <w:rPr>
                <w:rFonts w:ascii="Arial Narrow" w:hAnsi="Arial Narrow"/>
                <w:b/>
                <w:bCs/>
                <w:sz w:val="20"/>
              </w:rPr>
              <w:t xml:space="preserve"> </w:t>
            </w:r>
            <w:r w:rsidR="00E965EE" w:rsidRPr="004B1B41">
              <w:rPr>
                <w:rFonts w:ascii="Arial Narrow" w:hAnsi="Arial Narrow"/>
                <w:b/>
                <w:bCs/>
                <w:sz w:val="20"/>
              </w:rPr>
              <w:t>%</w:t>
            </w:r>
          </w:p>
        </w:tc>
        <w:tc>
          <w:tcPr>
            <w:tcW w:w="514" w:type="pct"/>
            <w:noWrap/>
          </w:tcPr>
          <w:p w14:paraId="60B86A29" w14:textId="6A6E4356" w:rsidR="00E965EE" w:rsidRPr="004B1B41" w:rsidRDefault="00C86AB6"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86AB6">
              <w:rPr>
                <w:rFonts w:ascii="Arial Narrow" w:hAnsi="Arial Narrow"/>
                <w:b/>
                <w:bCs/>
                <w:sz w:val="20"/>
              </w:rPr>
              <w:t xml:space="preserve"> </w:t>
            </w:r>
            <w:r w:rsidR="00E965EE" w:rsidRPr="004B1B41">
              <w:rPr>
                <w:rFonts w:ascii="Arial Narrow" w:hAnsi="Arial Narrow"/>
                <w:b/>
                <w:bCs/>
                <w:sz w:val="20"/>
              </w:rPr>
              <w:t>%</w:t>
            </w:r>
          </w:p>
        </w:tc>
        <w:tc>
          <w:tcPr>
            <w:tcW w:w="514" w:type="pct"/>
            <w:noWrap/>
          </w:tcPr>
          <w:p w14:paraId="1DCD9F4F" w14:textId="231A35F3" w:rsidR="00E965EE" w:rsidRPr="004B1B41" w:rsidRDefault="00C86AB6"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86AB6">
              <w:rPr>
                <w:rFonts w:ascii="Arial Narrow" w:hAnsi="Arial Narrow"/>
                <w:b/>
                <w:bCs/>
                <w:sz w:val="20"/>
              </w:rPr>
              <w:t xml:space="preserve"> </w:t>
            </w:r>
            <w:r w:rsidR="00E965EE" w:rsidRPr="004B1B41">
              <w:rPr>
                <w:rFonts w:ascii="Arial Narrow" w:hAnsi="Arial Narrow"/>
                <w:b/>
                <w:bCs/>
                <w:sz w:val="20"/>
              </w:rPr>
              <w:t>%</w:t>
            </w:r>
          </w:p>
        </w:tc>
      </w:tr>
      <w:tr w:rsidR="00A67F5E" w:rsidRPr="00E965EE" w14:paraId="3E0623BC" w14:textId="77777777" w:rsidTr="00A67F5E">
        <w:trPr>
          <w:trHeight w:val="20"/>
        </w:trPr>
        <w:tc>
          <w:tcPr>
            <w:tcW w:w="295" w:type="pct"/>
            <w:tcBorders>
              <w:bottom w:val="single" w:sz="4" w:space="0" w:color="auto"/>
            </w:tcBorders>
          </w:tcPr>
          <w:p w14:paraId="6CB62FDF"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AC</w:t>
            </w:r>
          </w:p>
        </w:tc>
        <w:tc>
          <w:tcPr>
            <w:tcW w:w="1619" w:type="pct"/>
            <w:tcBorders>
              <w:bottom w:val="single" w:sz="4" w:space="0" w:color="auto"/>
            </w:tcBorders>
            <w:noWrap/>
          </w:tcPr>
          <w:p w14:paraId="24577214" w14:textId="77777777" w:rsidR="00E965EE" w:rsidRPr="00E965EE" w:rsidRDefault="00E965EE" w:rsidP="00E965EE">
            <w:pPr>
              <w:keepNext/>
              <w:widowControl w:val="0"/>
              <w:spacing w:before="0"/>
              <w:ind w:left="164"/>
              <w:jc w:val="left"/>
              <w:rPr>
                <w:rFonts w:ascii="Arial Narrow" w:hAnsi="Arial Narrow"/>
                <w:sz w:val="20"/>
              </w:rPr>
            </w:pPr>
            <w:r w:rsidRPr="00E965EE">
              <w:rPr>
                <w:rFonts w:ascii="Arial Narrow" w:hAnsi="Arial Narrow"/>
                <w:sz w:val="20"/>
              </w:rPr>
              <w:t>No. incident chronic HBV patients with anti-HDV+ who received HDV RNA testing (AA × AB)</w:t>
            </w:r>
          </w:p>
        </w:tc>
        <w:tc>
          <w:tcPr>
            <w:tcW w:w="512" w:type="pct"/>
            <w:tcBorders>
              <w:bottom w:val="single" w:sz="4" w:space="0" w:color="auto"/>
            </w:tcBorders>
            <w:noWrap/>
          </w:tcPr>
          <w:p w14:paraId="49C02AAE" w14:textId="416CA3A9"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2B4E1C" w:rsidRPr="004B1B41">
              <w:rPr>
                <w:rFonts w:ascii="Arial Narrow" w:hAnsi="Arial Narrow"/>
                <w:b/>
                <w:bCs/>
                <w:sz w:val="20"/>
              </w:rPr>
              <w:t>edacted</w:t>
            </w:r>
            <w:r>
              <w:rPr>
                <w:rFonts w:ascii="Arial Narrow" w:hAnsi="Arial Narrow"/>
                <w:b/>
                <w:bCs/>
                <w:sz w:val="20"/>
                <w:vertAlign w:val="superscript"/>
              </w:rPr>
              <w:t>3</w:t>
            </w:r>
          </w:p>
        </w:tc>
        <w:tc>
          <w:tcPr>
            <w:tcW w:w="516" w:type="pct"/>
            <w:tcBorders>
              <w:bottom w:val="single" w:sz="4" w:space="0" w:color="auto"/>
            </w:tcBorders>
            <w:noWrap/>
          </w:tcPr>
          <w:p w14:paraId="6C321EA3" w14:textId="453C5443"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2B4E1C" w:rsidRPr="004B1B41">
              <w:rPr>
                <w:rFonts w:ascii="Arial Narrow" w:hAnsi="Arial Narrow"/>
                <w:b/>
                <w:bCs/>
                <w:sz w:val="20"/>
              </w:rPr>
              <w:t>edacted</w:t>
            </w:r>
            <w:r>
              <w:rPr>
                <w:rFonts w:ascii="Arial Narrow" w:hAnsi="Arial Narrow"/>
                <w:b/>
                <w:bCs/>
                <w:sz w:val="20"/>
                <w:vertAlign w:val="superscript"/>
              </w:rPr>
              <w:t>3</w:t>
            </w:r>
          </w:p>
        </w:tc>
        <w:tc>
          <w:tcPr>
            <w:tcW w:w="514" w:type="pct"/>
            <w:tcBorders>
              <w:bottom w:val="single" w:sz="4" w:space="0" w:color="auto"/>
            </w:tcBorders>
            <w:noWrap/>
          </w:tcPr>
          <w:p w14:paraId="59CE53B7" w14:textId="3E1B4239"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bottom w:val="single" w:sz="4" w:space="0" w:color="auto"/>
            </w:tcBorders>
            <w:noWrap/>
          </w:tcPr>
          <w:p w14:paraId="5B6E8119" w14:textId="39318FE9"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bottom w:val="single" w:sz="4" w:space="0" w:color="auto"/>
            </w:tcBorders>
            <w:noWrap/>
          </w:tcPr>
          <w:p w14:paraId="395B9252" w14:textId="66617BD1"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bottom w:val="single" w:sz="4" w:space="0" w:color="auto"/>
            </w:tcBorders>
            <w:noWrap/>
          </w:tcPr>
          <w:p w14:paraId="09091F65" w14:textId="2A81BC9C"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r>
      <w:tr w:rsidR="00A67F5E" w:rsidRPr="00E965EE" w14:paraId="5E32C5B4" w14:textId="77777777" w:rsidTr="00A67F5E">
        <w:trPr>
          <w:trHeight w:val="20"/>
        </w:trPr>
        <w:tc>
          <w:tcPr>
            <w:tcW w:w="295" w:type="pct"/>
            <w:tcBorders>
              <w:bottom w:val="double" w:sz="4" w:space="0" w:color="auto"/>
            </w:tcBorders>
          </w:tcPr>
          <w:p w14:paraId="0C95A610"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AD</w:t>
            </w:r>
          </w:p>
        </w:tc>
        <w:tc>
          <w:tcPr>
            <w:tcW w:w="1619" w:type="pct"/>
            <w:tcBorders>
              <w:bottom w:val="double" w:sz="4" w:space="0" w:color="auto"/>
            </w:tcBorders>
            <w:noWrap/>
          </w:tcPr>
          <w:p w14:paraId="64106138"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Increase in incident patients tested with HDV RNA (AC – X)</w:t>
            </w:r>
          </w:p>
        </w:tc>
        <w:tc>
          <w:tcPr>
            <w:tcW w:w="512" w:type="pct"/>
            <w:tcBorders>
              <w:bottom w:val="double" w:sz="4" w:space="0" w:color="auto"/>
            </w:tcBorders>
            <w:noWrap/>
          </w:tcPr>
          <w:p w14:paraId="636E7E07" w14:textId="523F5AE7"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6" w:type="pct"/>
            <w:tcBorders>
              <w:bottom w:val="double" w:sz="4" w:space="0" w:color="auto"/>
            </w:tcBorders>
            <w:noWrap/>
          </w:tcPr>
          <w:p w14:paraId="20E5C6D5" w14:textId="424ED602"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bottom w:val="double" w:sz="4" w:space="0" w:color="auto"/>
            </w:tcBorders>
            <w:noWrap/>
          </w:tcPr>
          <w:p w14:paraId="2A09AF9F" w14:textId="77694FBB"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bottom w:val="double" w:sz="4" w:space="0" w:color="auto"/>
            </w:tcBorders>
            <w:noWrap/>
          </w:tcPr>
          <w:p w14:paraId="50A34339" w14:textId="40068B42"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bottom w:val="double" w:sz="4" w:space="0" w:color="auto"/>
            </w:tcBorders>
            <w:noWrap/>
          </w:tcPr>
          <w:p w14:paraId="2256C118" w14:textId="30EFCC67"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bottom w:val="double" w:sz="4" w:space="0" w:color="auto"/>
            </w:tcBorders>
            <w:noWrap/>
          </w:tcPr>
          <w:p w14:paraId="753A71F5" w14:textId="05374A37"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r>
      <w:tr w:rsidR="00A67F5E" w:rsidRPr="00E965EE" w14:paraId="19F779DD" w14:textId="77777777" w:rsidTr="00A67F5E">
        <w:trPr>
          <w:trHeight w:val="20"/>
        </w:trPr>
        <w:tc>
          <w:tcPr>
            <w:tcW w:w="295" w:type="pct"/>
            <w:tcBorders>
              <w:top w:val="double" w:sz="4" w:space="0" w:color="auto"/>
            </w:tcBorders>
          </w:tcPr>
          <w:p w14:paraId="5CD7746A"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AE</w:t>
            </w:r>
          </w:p>
        </w:tc>
        <w:tc>
          <w:tcPr>
            <w:tcW w:w="1619" w:type="pct"/>
            <w:tcBorders>
              <w:top w:val="double" w:sz="4" w:space="0" w:color="auto"/>
            </w:tcBorders>
            <w:noWrap/>
          </w:tcPr>
          <w:p w14:paraId="5099E12C"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Total increase in patients tested with HDV RNA (T + AD)</w:t>
            </w:r>
          </w:p>
        </w:tc>
        <w:tc>
          <w:tcPr>
            <w:tcW w:w="512" w:type="pct"/>
            <w:tcBorders>
              <w:top w:val="double" w:sz="4" w:space="0" w:color="auto"/>
            </w:tcBorders>
            <w:noWrap/>
          </w:tcPr>
          <w:p w14:paraId="3A602695" w14:textId="65DBE33A"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6" w:type="pct"/>
            <w:tcBorders>
              <w:top w:val="double" w:sz="4" w:space="0" w:color="auto"/>
            </w:tcBorders>
            <w:noWrap/>
          </w:tcPr>
          <w:p w14:paraId="15B4F48E" w14:textId="51FFD534"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top w:val="double" w:sz="4" w:space="0" w:color="auto"/>
            </w:tcBorders>
            <w:noWrap/>
          </w:tcPr>
          <w:p w14:paraId="5A169791" w14:textId="4292778A"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top w:val="double" w:sz="4" w:space="0" w:color="auto"/>
            </w:tcBorders>
            <w:noWrap/>
          </w:tcPr>
          <w:p w14:paraId="2FC1876B" w14:textId="4600CD79"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top w:val="double" w:sz="4" w:space="0" w:color="auto"/>
            </w:tcBorders>
            <w:noWrap/>
          </w:tcPr>
          <w:p w14:paraId="2E74E35F" w14:textId="590F6E79"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tcBorders>
              <w:top w:val="double" w:sz="4" w:space="0" w:color="auto"/>
            </w:tcBorders>
            <w:noWrap/>
          </w:tcPr>
          <w:p w14:paraId="554382A3" w14:textId="2E30F41B"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r>
      <w:tr w:rsidR="00A67F5E" w:rsidRPr="00E965EE" w14:paraId="58E6D23D" w14:textId="77777777" w:rsidTr="00A67F5E">
        <w:trPr>
          <w:trHeight w:val="20"/>
        </w:trPr>
        <w:tc>
          <w:tcPr>
            <w:tcW w:w="295" w:type="pct"/>
          </w:tcPr>
          <w:p w14:paraId="460AD42C"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AF</w:t>
            </w:r>
          </w:p>
        </w:tc>
        <w:tc>
          <w:tcPr>
            <w:tcW w:w="1619" w:type="pct"/>
            <w:noWrap/>
          </w:tcPr>
          <w:p w14:paraId="287A815D"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Increase in HDV RNA testing (AE × 1)</w:t>
            </w:r>
          </w:p>
        </w:tc>
        <w:tc>
          <w:tcPr>
            <w:tcW w:w="512" w:type="pct"/>
            <w:noWrap/>
          </w:tcPr>
          <w:p w14:paraId="7EC19D68" w14:textId="7604FD5C"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6" w:type="pct"/>
            <w:noWrap/>
          </w:tcPr>
          <w:p w14:paraId="64C089B4" w14:textId="45C962F8"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noWrap/>
          </w:tcPr>
          <w:p w14:paraId="496FA006" w14:textId="192A852F"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noWrap/>
          </w:tcPr>
          <w:p w14:paraId="5A5AD3A7" w14:textId="372A87B8"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noWrap/>
          </w:tcPr>
          <w:p w14:paraId="6976A6D3" w14:textId="1CA59FEE"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c>
          <w:tcPr>
            <w:tcW w:w="514" w:type="pct"/>
            <w:noWrap/>
          </w:tcPr>
          <w:p w14:paraId="07EAE1D8" w14:textId="2A4F41FE" w:rsidR="00E965EE" w:rsidRPr="004B1B41" w:rsidRDefault="000B1D18" w:rsidP="00E965EE">
            <w:pPr>
              <w:keepNext/>
              <w:widowControl w:val="0"/>
              <w:spacing w:before="0"/>
              <w:jc w:val="right"/>
              <w:rPr>
                <w:rFonts w:ascii="Arial Narrow" w:hAnsi="Arial Narrow"/>
                <w:b/>
                <w:bCs/>
                <w:sz w:val="20"/>
              </w:rPr>
            </w:pPr>
            <w:r>
              <w:rPr>
                <w:rFonts w:ascii="Arial Narrow" w:hAnsi="Arial Narrow"/>
                <w:b/>
                <w:bCs/>
                <w:sz w:val="20"/>
              </w:rPr>
              <w:t>r</w:t>
            </w:r>
            <w:r w:rsidR="000F243E" w:rsidRPr="004B1B41">
              <w:rPr>
                <w:rFonts w:ascii="Arial Narrow" w:hAnsi="Arial Narrow"/>
                <w:b/>
                <w:bCs/>
                <w:sz w:val="20"/>
              </w:rPr>
              <w:t>edacted</w:t>
            </w:r>
            <w:r>
              <w:rPr>
                <w:rFonts w:ascii="Arial Narrow" w:hAnsi="Arial Narrow"/>
                <w:b/>
                <w:bCs/>
                <w:sz w:val="20"/>
                <w:vertAlign w:val="superscript"/>
              </w:rPr>
              <w:t>3</w:t>
            </w:r>
          </w:p>
        </w:tc>
      </w:tr>
      <w:tr w:rsidR="00A67F5E" w:rsidRPr="00E965EE" w14:paraId="475E35C2" w14:textId="77777777" w:rsidTr="00A67F5E">
        <w:trPr>
          <w:trHeight w:val="20"/>
        </w:trPr>
        <w:tc>
          <w:tcPr>
            <w:tcW w:w="295" w:type="pct"/>
          </w:tcPr>
          <w:p w14:paraId="2A1C65E6" w14:textId="77777777" w:rsidR="00E965EE" w:rsidRPr="00E965EE" w:rsidRDefault="00E965EE" w:rsidP="00E965EE">
            <w:pPr>
              <w:keepNext/>
              <w:widowControl w:val="0"/>
              <w:spacing w:before="0"/>
              <w:jc w:val="left"/>
              <w:rPr>
                <w:rFonts w:ascii="Arial Narrow" w:hAnsi="Arial Narrow"/>
                <w:b/>
                <w:bCs/>
                <w:sz w:val="20"/>
              </w:rPr>
            </w:pPr>
          </w:p>
        </w:tc>
        <w:tc>
          <w:tcPr>
            <w:tcW w:w="1619" w:type="pct"/>
            <w:noWrap/>
          </w:tcPr>
          <w:p w14:paraId="1E7DE613" w14:textId="77777777" w:rsidR="00E965EE" w:rsidRPr="00E965EE" w:rsidRDefault="00E965EE" w:rsidP="00E965EE">
            <w:pPr>
              <w:keepNext/>
              <w:widowControl w:val="0"/>
              <w:spacing w:before="0"/>
              <w:jc w:val="left"/>
              <w:rPr>
                <w:rFonts w:ascii="Arial Narrow" w:hAnsi="Arial Narrow"/>
                <w:b/>
                <w:bCs/>
                <w:sz w:val="20"/>
              </w:rPr>
            </w:pPr>
            <w:r w:rsidRPr="00E965EE">
              <w:rPr>
                <w:rFonts w:ascii="Arial Narrow" w:hAnsi="Arial Narrow"/>
                <w:b/>
                <w:bCs/>
                <w:sz w:val="20"/>
              </w:rPr>
              <w:t>Cost to the MBS (AF × $129.30)</w:t>
            </w:r>
          </w:p>
        </w:tc>
        <w:tc>
          <w:tcPr>
            <w:tcW w:w="512" w:type="pct"/>
            <w:noWrap/>
          </w:tcPr>
          <w:p w14:paraId="5EF01F3F" w14:textId="4338CF97" w:rsidR="00E965EE" w:rsidRPr="00E965EE" w:rsidRDefault="009A6430" w:rsidP="00E965EE">
            <w:pPr>
              <w:keepNext/>
              <w:widowControl w:val="0"/>
              <w:spacing w:before="0"/>
              <w:jc w:val="right"/>
              <w:rPr>
                <w:rFonts w:ascii="Arial Narrow" w:hAnsi="Arial Narrow"/>
                <w:b/>
                <w:bCs/>
                <w:sz w:val="20"/>
              </w:rPr>
            </w:pPr>
            <w:r>
              <w:rPr>
                <w:rFonts w:ascii="Arial Narrow" w:hAnsi="Arial Narrow"/>
                <w:b/>
                <w:bCs/>
                <w:sz w:val="20"/>
              </w:rPr>
              <w:t>redacted</w:t>
            </w:r>
            <w:r w:rsidR="00405688">
              <w:rPr>
                <w:rFonts w:ascii="Arial Narrow" w:hAnsi="Arial Narrow"/>
                <w:sz w:val="20"/>
              </w:rPr>
              <w:t xml:space="preserve"> </w:t>
            </w:r>
            <w:r w:rsidR="000B1D18">
              <w:rPr>
                <w:rFonts w:ascii="Arial Narrow" w:hAnsi="Arial Narrow"/>
                <w:sz w:val="20"/>
                <w:vertAlign w:val="superscript"/>
              </w:rPr>
              <w:t>6</w:t>
            </w:r>
          </w:p>
        </w:tc>
        <w:tc>
          <w:tcPr>
            <w:tcW w:w="516" w:type="pct"/>
            <w:noWrap/>
          </w:tcPr>
          <w:p w14:paraId="3CEBA481" w14:textId="64049DCD" w:rsidR="00E965EE" w:rsidRPr="00E965EE" w:rsidRDefault="009A6430" w:rsidP="00E965EE">
            <w:pPr>
              <w:keepNext/>
              <w:widowControl w:val="0"/>
              <w:spacing w:before="0"/>
              <w:jc w:val="right"/>
              <w:rPr>
                <w:rFonts w:ascii="Arial Narrow" w:hAnsi="Arial Narrow"/>
                <w:b/>
                <w:bCs/>
                <w:sz w:val="20"/>
              </w:rPr>
            </w:pPr>
            <w:r>
              <w:rPr>
                <w:rFonts w:ascii="Arial Narrow" w:hAnsi="Arial Narrow"/>
                <w:b/>
                <w:bCs/>
                <w:sz w:val="20"/>
              </w:rPr>
              <w:t>redacted</w:t>
            </w:r>
            <w:r>
              <w:rPr>
                <w:rFonts w:ascii="Arial Narrow" w:hAnsi="Arial Narrow"/>
                <w:sz w:val="20"/>
              </w:rPr>
              <w:t xml:space="preserve"> </w:t>
            </w:r>
            <w:r w:rsidR="000B1D18">
              <w:rPr>
                <w:rFonts w:ascii="Arial Narrow" w:hAnsi="Arial Narrow"/>
                <w:sz w:val="20"/>
                <w:vertAlign w:val="superscript"/>
              </w:rPr>
              <w:t>6</w:t>
            </w:r>
          </w:p>
        </w:tc>
        <w:tc>
          <w:tcPr>
            <w:tcW w:w="514" w:type="pct"/>
            <w:noWrap/>
          </w:tcPr>
          <w:p w14:paraId="3712C2EE" w14:textId="063205F1" w:rsidR="00E965EE" w:rsidRPr="00E965EE" w:rsidRDefault="009A6430" w:rsidP="00E965EE">
            <w:pPr>
              <w:keepNext/>
              <w:widowControl w:val="0"/>
              <w:spacing w:before="0"/>
              <w:jc w:val="right"/>
              <w:rPr>
                <w:rFonts w:ascii="Arial Narrow" w:hAnsi="Arial Narrow"/>
                <w:b/>
                <w:bCs/>
                <w:sz w:val="20"/>
              </w:rPr>
            </w:pPr>
            <w:r>
              <w:rPr>
                <w:rFonts w:ascii="Arial Narrow" w:hAnsi="Arial Narrow"/>
                <w:b/>
                <w:bCs/>
                <w:sz w:val="20"/>
              </w:rPr>
              <w:t>redacted</w:t>
            </w:r>
            <w:r>
              <w:rPr>
                <w:rFonts w:ascii="Arial Narrow" w:hAnsi="Arial Narrow"/>
                <w:sz w:val="20"/>
              </w:rPr>
              <w:t xml:space="preserve"> </w:t>
            </w:r>
            <w:r w:rsidR="000B1D18">
              <w:rPr>
                <w:rFonts w:ascii="Arial Narrow" w:hAnsi="Arial Narrow"/>
                <w:sz w:val="20"/>
                <w:vertAlign w:val="superscript"/>
              </w:rPr>
              <w:t>6</w:t>
            </w:r>
          </w:p>
        </w:tc>
        <w:tc>
          <w:tcPr>
            <w:tcW w:w="514" w:type="pct"/>
            <w:noWrap/>
          </w:tcPr>
          <w:p w14:paraId="65CCE4AC" w14:textId="420E6979" w:rsidR="00E965EE" w:rsidRPr="00E965EE" w:rsidRDefault="009A6430" w:rsidP="00E965EE">
            <w:pPr>
              <w:keepNext/>
              <w:widowControl w:val="0"/>
              <w:spacing w:before="0"/>
              <w:jc w:val="right"/>
              <w:rPr>
                <w:rFonts w:ascii="Arial Narrow" w:hAnsi="Arial Narrow"/>
                <w:b/>
                <w:bCs/>
                <w:sz w:val="20"/>
              </w:rPr>
            </w:pPr>
            <w:r>
              <w:rPr>
                <w:rFonts w:ascii="Arial Narrow" w:hAnsi="Arial Narrow"/>
                <w:b/>
                <w:bCs/>
                <w:sz w:val="20"/>
              </w:rPr>
              <w:t>redacted</w:t>
            </w:r>
            <w:r>
              <w:rPr>
                <w:rFonts w:ascii="Arial Narrow" w:hAnsi="Arial Narrow"/>
                <w:sz w:val="20"/>
              </w:rPr>
              <w:t xml:space="preserve"> </w:t>
            </w:r>
            <w:r w:rsidR="000B1D18">
              <w:rPr>
                <w:rFonts w:ascii="Arial Narrow" w:hAnsi="Arial Narrow"/>
                <w:sz w:val="20"/>
                <w:vertAlign w:val="superscript"/>
              </w:rPr>
              <w:t>6</w:t>
            </w:r>
          </w:p>
        </w:tc>
        <w:tc>
          <w:tcPr>
            <w:tcW w:w="514" w:type="pct"/>
            <w:noWrap/>
          </w:tcPr>
          <w:p w14:paraId="006D8DE1" w14:textId="650894DA" w:rsidR="00E965EE" w:rsidRPr="00E965EE" w:rsidRDefault="009A6430" w:rsidP="00E965EE">
            <w:pPr>
              <w:keepNext/>
              <w:widowControl w:val="0"/>
              <w:spacing w:before="0"/>
              <w:jc w:val="right"/>
              <w:rPr>
                <w:rFonts w:ascii="Arial Narrow" w:hAnsi="Arial Narrow"/>
                <w:b/>
                <w:bCs/>
                <w:sz w:val="20"/>
              </w:rPr>
            </w:pPr>
            <w:r>
              <w:rPr>
                <w:rFonts w:ascii="Arial Narrow" w:hAnsi="Arial Narrow"/>
                <w:b/>
                <w:bCs/>
                <w:sz w:val="20"/>
              </w:rPr>
              <w:t>redacted</w:t>
            </w:r>
            <w:r>
              <w:rPr>
                <w:rFonts w:ascii="Arial Narrow" w:hAnsi="Arial Narrow"/>
                <w:sz w:val="20"/>
              </w:rPr>
              <w:t xml:space="preserve"> </w:t>
            </w:r>
            <w:r w:rsidR="000B1D18">
              <w:rPr>
                <w:rFonts w:ascii="Arial Narrow" w:hAnsi="Arial Narrow"/>
                <w:sz w:val="20"/>
                <w:vertAlign w:val="superscript"/>
              </w:rPr>
              <w:t>6</w:t>
            </w:r>
          </w:p>
        </w:tc>
        <w:tc>
          <w:tcPr>
            <w:tcW w:w="514" w:type="pct"/>
            <w:noWrap/>
          </w:tcPr>
          <w:p w14:paraId="05E899BA" w14:textId="35C76808" w:rsidR="00E965EE" w:rsidRPr="00E965EE" w:rsidRDefault="009A6430" w:rsidP="00E965EE">
            <w:pPr>
              <w:keepNext/>
              <w:widowControl w:val="0"/>
              <w:spacing w:before="0"/>
              <w:jc w:val="right"/>
              <w:rPr>
                <w:rFonts w:ascii="Arial Narrow" w:hAnsi="Arial Narrow"/>
                <w:b/>
                <w:bCs/>
                <w:sz w:val="20"/>
              </w:rPr>
            </w:pPr>
            <w:r>
              <w:rPr>
                <w:rFonts w:ascii="Arial Narrow" w:hAnsi="Arial Narrow"/>
                <w:b/>
                <w:bCs/>
                <w:sz w:val="20"/>
              </w:rPr>
              <w:t>redacted</w:t>
            </w:r>
            <w:r>
              <w:rPr>
                <w:rFonts w:ascii="Arial Narrow" w:hAnsi="Arial Narrow"/>
                <w:sz w:val="20"/>
              </w:rPr>
              <w:t xml:space="preserve"> </w:t>
            </w:r>
            <w:r w:rsidR="000B1D18">
              <w:rPr>
                <w:rFonts w:ascii="Arial Narrow" w:hAnsi="Arial Narrow"/>
                <w:sz w:val="20"/>
                <w:vertAlign w:val="superscript"/>
              </w:rPr>
              <w:t>6</w:t>
            </w:r>
          </w:p>
        </w:tc>
      </w:tr>
    </w:tbl>
    <w:p w14:paraId="044139DE" w14:textId="77777777" w:rsidR="00E965EE" w:rsidRPr="00A67F5E" w:rsidRDefault="00E965EE" w:rsidP="00E965EE">
      <w:pPr>
        <w:widowControl w:val="0"/>
        <w:spacing w:before="0" w:after="0"/>
        <w:contextualSpacing/>
        <w:rPr>
          <w:rFonts w:ascii="Arial Narrow" w:eastAsia="Times New Roman" w:hAnsi="Arial Narrow" w:cs="Arial"/>
          <w:snapToGrid w:val="0"/>
          <w:sz w:val="16"/>
          <w:szCs w:val="16"/>
        </w:rPr>
      </w:pPr>
      <w:r w:rsidRPr="00A67F5E">
        <w:rPr>
          <w:rFonts w:ascii="Arial Narrow" w:eastAsia="Times New Roman" w:hAnsi="Arial Narrow" w:cs="Arial"/>
          <w:snapToGrid w:val="0"/>
          <w:sz w:val="16"/>
          <w:szCs w:val="16"/>
        </w:rPr>
        <w:t>Source: Constructed during the evaluation from the ‘Attachment 14 - HEPCLUDEX HDV CoDep Section 4_final.xlsm’ file included with the submission.</w:t>
      </w:r>
    </w:p>
    <w:p w14:paraId="5013B680" w14:textId="07AA7C19" w:rsid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 xml:space="preserve">HBV = hepatitis B virus, HDV = hepatitis D virus; RNA = ribonucleic acid. </w:t>
      </w:r>
    </w:p>
    <w:p w14:paraId="1F60081C" w14:textId="0BC5EECF" w:rsidR="007434A3" w:rsidRDefault="007434A3"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1 </w:t>
      </w:r>
      <w:r w:rsidR="00D43954" w:rsidRPr="00D43954">
        <w:rPr>
          <w:rFonts w:ascii="Arial Narrow" w:eastAsia="Times New Roman" w:hAnsi="Arial Narrow" w:cs="Arial"/>
          <w:snapToGrid w:val="0"/>
          <w:sz w:val="18"/>
          <w:szCs w:val="20"/>
        </w:rPr>
        <w:t>10,000 to &lt; 20,000</w:t>
      </w:r>
    </w:p>
    <w:p w14:paraId="094036D5" w14:textId="1CACA98C" w:rsidR="00D43954" w:rsidRDefault="00D43954"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2 </w:t>
      </w:r>
      <w:r w:rsidR="00086C31" w:rsidRPr="00086C31">
        <w:rPr>
          <w:rFonts w:ascii="Arial Narrow" w:eastAsia="Times New Roman" w:hAnsi="Arial Narrow" w:cs="Arial"/>
          <w:snapToGrid w:val="0"/>
          <w:sz w:val="18"/>
          <w:szCs w:val="20"/>
        </w:rPr>
        <w:t>5,000 to &lt; 10,000</w:t>
      </w:r>
    </w:p>
    <w:p w14:paraId="18323A4A" w14:textId="66D277C0" w:rsidR="00086C31" w:rsidRDefault="00D56BE1"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3</w:t>
      </w:r>
      <w:r w:rsidR="00086C31">
        <w:rPr>
          <w:rFonts w:ascii="Arial Narrow" w:eastAsia="Times New Roman" w:hAnsi="Arial Narrow" w:cs="Arial"/>
          <w:snapToGrid w:val="0"/>
          <w:sz w:val="18"/>
          <w:szCs w:val="20"/>
        </w:rPr>
        <w:t xml:space="preserve"> </w:t>
      </w:r>
      <w:r w:rsidR="00FB79FA" w:rsidRPr="00FB79FA">
        <w:rPr>
          <w:rFonts w:ascii="Arial Narrow" w:eastAsia="Times New Roman" w:hAnsi="Arial Narrow" w:cs="Arial"/>
          <w:snapToGrid w:val="0"/>
          <w:sz w:val="18"/>
          <w:szCs w:val="20"/>
        </w:rPr>
        <w:t>&lt; 500</w:t>
      </w:r>
    </w:p>
    <w:p w14:paraId="59D52A84" w14:textId="202F4BA1" w:rsidR="00DE788B" w:rsidRDefault="007C78E1"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4</w:t>
      </w:r>
      <w:r w:rsidR="00DE788B">
        <w:rPr>
          <w:rFonts w:ascii="Arial Narrow" w:eastAsia="Times New Roman" w:hAnsi="Arial Narrow" w:cs="Arial"/>
          <w:snapToGrid w:val="0"/>
          <w:sz w:val="18"/>
          <w:szCs w:val="20"/>
        </w:rPr>
        <w:t xml:space="preserve"> </w:t>
      </w:r>
      <w:r w:rsidR="00ED554D" w:rsidRPr="00086C31">
        <w:rPr>
          <w:rFonts w:ascii="Arial Narrow" w:eastAsia="Times New Roman" w:hAnsi="Arial Narrow" w:cs="Arial"/>
          <w:snapToGrid w:val="0"/>
          <w:sz w:val="18"/>
          <w:szCs w:val="20"/>
        </w:rPr>
        <w:t>5,000 to &lt; 10,000</w:t>
      </w:r>
    </w:p>
    <w:p w14:paraId="01209153" w14:textId="12623A22" w:rsidR="00835E37" w:rsidRDefault="007C78E1"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5 </w:t>
      </w:r>
      <w:r w:rsidR="00D37E29" w:rsidRPr="00D37E29">
        <w:rPr>
          <w:rFonts w:ascii="Arial Narrow" w:eastAsia="Times New Roman" w:hAnsi="Arial Narrow" w:cs="Arial"/>
          <w:snapToGrid w:val="0"/>
          <w:sz w:val="18"/>
          <w:szCs w:val="20"/>
        </w:rPr>
        <w:t>500 to &lt; 5,000</w:t>
      </w:r>
    </w:p>
    <w:p w14:paraId="6AD62F3C" w14:textId="76A19B63" w:rsidR="009A6430" w:rsidRDefault="00405688"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6</w:t>
      </w:r>
      <w:r w:rsidR="00CA5CDC">
        <w:rPr>
          <w:rFonts w:ascii="Arial Narrow" w:eastAsia="Times New Roman" w:hAnsi="Arial Narrow" w:cs="Arial"/>
          <w:snapToGrid w:val="0"/>
          <w:sz w:val="18"/>
          <w:szCs w:val="20"/>
        </w:rPr>
        <w:t xml:space="preserve"> </w:t>
      </w:r>
      <w:r w:rsidR="000B1D18" w:rsidRPr="00F06FBE">
        <w:rPr>
          <w:rFonts w:ascii="Arial Narrow" w:eastAsia="Times New Roman" w:hAnsi="Arial Narrow" w:cs="Arial"/>
          <w:snapToGrid w:val="0"/>
          <w:sz w:val="18"/>
          <w:szCs w:val="20"/>
        </w:rPr>
        <w:t>$0 to &lt; $10 million</w:t>
      </w:r>
      <w:r w:rsidR="000B1D18" w:rsidRPr="00FB79FA" w:rsidDel="000B1D18">
        <w:rPr>
          <w:rFonts w:ascii="Arial Narrow" w:eastAsia="Times New Roman" w:hAnsi="Arial Narrow" w:cs="Arial"/>
          <w:snapToGrid w:val="0"/>
          <w:sz w:val="18"/>
          <w:szCs w:val="20"/>
        </w:rPr>
        <w:t xml:space="preserve"> </w:t>
      </w:r>
    </w:p>
    <w:p w14:paraId="1F4D1C3A" w14:textId="63E0A1A0" w:rsidR="00E965EE" w:rsidRPr="0080382E" w:rsidRDefault="00E965EE" w:rsidP="0080382E">
      <w:pPr>
        <w:spacing w:after="240"/>
        <w:jc w:val="left"/>
        <w:rPr>
          <w:rFonts w:ascii="Franklin Gothic Book" w:eastAsia="Calibri" w:hAnsi="Franklin Gothic Book" w:cs="Times New Roman"/>
          <w:sz w:val="22"/>
        </w:rPr>
      </w:pPr>
      <w:r w:rsidRPr="0080382E">
        <w:rPr>
          <w:rFonts w:ascii="Franklin Gothic Book" w:eastAsia="Calibri" w:hAnsi="Franklin Gothic Book" w:cs="Times New Roman"/>
          <w:sz w:val="22"/>
        </w:rPr>
        <w:lastRenderedPageBreak/>
        <w:t xml:space="preserve">The Commentary noted that the estimated number of incident patients found to be anti-HDV positive </w:t>
      </w:r>
      <w:r w:rsidR="00F06FBE">
        <w:rPr>
          <w:rFonts w:ascii="Franklin Gothic Book" w:eastAsia="Calibri" w:hAnsi="Franklin Gothic Book" w:cs="Times New Roman"/>
          <w:sz w:val="22"/>
        </w:rPr>
        <w:t>&lt;500</w:t>
      </w:r>
      <w:r w:rsidRPr="0080382E">
        <w:rPr>
          <w:rFonts w:ascii="Franklin Gothic Book" w:eastAsia="Calibri" w:hAnsi="Franklin Gothic Book" w:cs="Times New Roman"/>
          <w:sz w:val="22"/>
        </w:rPr>
        <w:t xml:space="preserve"> per year) was noted to be higher than current HDV notifications (70–80 per year, which would also capture diagnoses in prevalent patients). This was due to an increase in anti-HDV testing following listing of HDV RNA testing and bulevirtide treatment. Underdiagnosis of HDV in Australia has been acknowledged in the literature</w:t>
      </w:r>
      <w:r w:rsidR="00C44E1B">
        <w:rPr>
          <w:rStyle w:val="FootnoteReference"/>
          <w:rFonts w:ascii="Franklin Gothic Book" w:eastAsia="Calibri" w:hAnsi="Franklin Gothic Book" w:cs="Times New Roman"/>
          <w:sz w:val="22"/>
        </w:rPr>
        <w:footnoteReference w:id="14"/>
      </w:r>
      <w:r w:rsidRPr="0080382E">
        <w:rPr>
          <w:rFonts w:ascii="Franklin Gothic Book" w:eastAsia="Calibri" w:hAnsi="Franklin Gothic Book" w:cs="Times New Roman"/>
          <w:sz w:val="22"/>
        </w:rPr>
        <w:t>,</w:t>
      </w:r>
      <w:r w:rsidR="00C44E1B" w:rsidRPr="0080382E" w:rsidDel="00C44E1B">
        <w:rPr>
          <w:rFonts w:ascii="Franklin Gothic Book" w:eastAsia="Calibri" w:hAnsi="Franklin Gothic Book" w:cs="Times New Roman"/>
          <w:sz w:val="22"/>
        </w:rPr>
        <w:t xml:space="preserve"> </w:t>
      </w:r>
      <w:r w:rsidR="00C44E1B">
        <w:rPr>
          <w:rFonts w:ascii="Franklin Gothic Book" w:eastAsia="Calibri" w:hAnsi="Franklin Gothic Book" w:cs="Times New Roman"/>
          <w:sz w:val="22"/>
        </w:rPr>
        <w:t>a</w:t>
      </w:r>
      <w:r w:rsidRPr="0080382E">
        <w:rPr>
          <w:rFonts w:ascii="Franklin Gothic Book" w:eastAsia="Calibri" w:hAnsi="Franklin Gothic Book" w:cs="Times New Roman"/>
          <w:sz w:val="22"/>
        </w:rPr>
        <w:t>nd an increase in notifications following listing may be reasonable. Though the extent estimated remains for MSAC consideration, given the number of assumptions used in the analysis.</w:t>
      </w:r>
    </w:p>
    <w:p w14:paraId="6C409ABC" w14:textId="79195E76" w:rsidR="00E965EE" w:rsidRPr="00B11FE2" w:rsidRDefault="00E965EE" w:rsidP="00E965EE">
      <w:pPr>
        <w:spacing w:before="0" w:after="240"/>
        <w:jc w:val="left"/>
        <w:rPr>
          <w:rFonts w:ascii="Franklin Gothic Book" w:eastAsia="Calibri" w:hAnsi="Franklin Gothic Book" w:cs="Times New Roman"/>
          <w:sz w:val="22"/>
        </w:rPr>
      </w:pPr>
      <w:r w:rsidRPr="00B11FE2">
        <w:rPr>
          <w:rFonts w:ascii="Franklin Gothic Book" w:eastAsia="Calibri" w:hAnsi="Franklin Gothic Book" w:cs="Times New Roman"/>
          <w:sz w:val="22"/>
        </w:rPr>
        <w:t xml:space="preserve">To estimate the use and financial impact of HDV RNA testing for monitoring the effect of bulevirtide treatment, the submission converted the additional patients who received HDV RNA testing each year (calculated in Row P, </w:t>
      </w:r>
      <w:r w:rsidRPr="00B11FE2">
        <w:rPr>
          <w:rFonts w:ascii="Franklin Gothic Book" w:eastAsia="Calibri" w:hAnsi="Franklin Gothic Book" w:cs="Times New Roman"/>
          <w:sz w:val="22"/>
        </w:rPr>
        <w:fldChar w:fldCharType="begin"/>
      </w:r>
      <w:r w:rsidRPr="00B11FE2">
        <w:rPr>
          <w:rFonts w:ascii="Franklin Gothic Book" w:eastAsia="Calibri" w:hAnsi="Franklin Gothic Book" w:cs="Times New Roman"/>
          <w:sz w:val="22"/>
        </w:rPr>
        <w:instrText xml:space="preserve"> REF _Ref152349392 \h  \* MERGEFORMAT </w:instrText>
      </w:r>
      <w:r w:rsidRPr="00B11FE2">
        <w:rPr>
          <w:rFonts w:ascii="Franklin Gothic Book" w:eastAsia="Calibri" w:hAnsi="Franklin Gothic Book" w:cs="Times New Roman"/>
          <w:sz w:val="22"/>
        </w:rPr>
      </w:r>
      <w:r w:rsidRPr="00B11FE2">
        <w:rPr>
          <w:rFonts w:ascii="Franklin Gothic Book" w:eastAsia="Calibri" w:hAnsi="Franklin Gothic Book" w:cs="Times New Roman"/>
          <w:sz w:val="22"/>
        </w:rPr>
        <w:fldChar w:fldCharType="separate"/>
      </w:r>
      <w:r w:rsidR="00B02BFE" w:rsidRPr="00B11FE2">
        <w:rPr>
          <w:rFonts w:ascii="Franklin Gothic Book" w:eastAsia="Calibri" w:hAnsi="Franklin Gothic Book" w:cs="Times New Roman"/>
          <w:sz w:val="22"/>
        </w:rPr>
        <w:t xml:space="preserve">Table </w:t>
      </w:r>
      <w:r w:rsidR="00B02BFE" w:rsidRPr="00B11FE2">
        <w:rPr>
          <w:rFonts w:ascii="Franklin Gothic Book" w:eastAsia="Calibri" w:hAnsi="Franklin Gothic Book" w:cs="Times New Roman"/>
          <w:noProof/>
          <w:sz w:val="22"/>
        </w:rPr>
        <w:t>10</w:t>
      </w:r>
      <w:r w:rsidRPr="00B11FE2">
        <w:rPr>
          <w:rFonts w:ascii="Franklin Gothic Book" w:eastAsia="Calibri" w:hAnsi="Franklin Gothic Book" w:cs="Times New Roman"/>
          <w:sz w:val="22"/>
        </w:rPr>
        <w:fldChar w:fldCharType="end"/>
      </w:r>
      <w:r w:rsidRPr="00B11FE2">
        <w:rPr>
          <w:rFonts w:ascii="Franklin Gothic Book" w:eastAsia="Calibri" w:hAnsi="Franklin Gothic Book" w:cs="Times New Roman"/>
          <w:sz w:val="22"/>
        </w:rPr>
        <w:t>) into patient-years on treatment and assumed two monitoring tests per patient-year on treatment (</w:t>
      </w:r>
      <w:r w:rsidRPr="00B11FE2">
        <w:rPr>
          <w:rFonts w:ascii="Franklin Gothic Book" w:eastAsia="Calibri" w:hAnsi="Franklin Gothic Book" w:cs="Times New Roman"/>
          <w:sz w:val="22"/>
        </w:rPr>
        <w:fldChar w:fldCharType="begin"/>
      </w:r>
      <w:r w:rsidRPr="00B11FE2">
        <w:rPr>
          <w:rFonts w:ascii="Franklin Gothic Book" w:eastAsia="Calibri" w:hAnsi="Franklin Gothic Book" w:cs="Times New Roman"/>
          <w:sz w:val="22"/>
        </w:rPr>
        <w:instrText xml:space="preserve"> REF _Ref152683297 \h  \* MERGEFORMAT </w:instrText>
      </w:r>
      <w:r w:rsidRPr="00B11FE2">
        <w:rPr>
          <w:rFonts w:ascii="Franklin Gothic Book" w:eastAsia="Calibri" w:hAnsi="Franklin Gothic Book" w:cs="Times New Roman"/>
          <w:sz w:val="22"/>
        </w:rPr>
      </w:r>
      <w:r w:rsidRPr="00B11FE2">
        <w:rPr>
          <w:rFonts w:ascii="Franklin Gothic Book" w:eastAsia="Calibri" w:hAnsi="Franklin Gothic Book" w:cs="Times New Roman"/>
          <w:sz w:val="22"/>
        </w:rPr>
        <w:fldChar w:fldCharType="separate"/>
      </w:r>
      <w:r w:rsidR="00B02BFE" w:rsidRPr="00B11FE2">
        <w:rPr>
          <w:rFonts w:ascii="Franklin Gothic Book" w:eastAsia="Calibri" w:hAnsi="Franklin Gothic Book" w:cs="Times New Roman"/>
          <w:sz w:val="22"/>
        </w:rPr>
        <w:t xml:space="preserve">Table </w:t>
      </w:r>
      <w:r w:rsidR="00B02BFE" w:rsidRPr="00B11FE2">
        <w:rPr>
          <w:rFonts w:ascii="Franklin Gothic Book" w:eastAsia="Calibri" w:hAnsi="Franklin Gothic Book" w:cs="Times New Roman"/>
          <w:noProof/>
          <w:sz w:val="22"/>
        </w:rPr>
        <w:t>12</w:t>
      </w:r>
      <w:r w:rsidRPr="00B11FE2">
        <w:rPr>
          <w:rFonts w:ascii="Franklin Gothic Book" w:eastAsia="Calibri" w:hAnsi="Franklin Gothic Book" w:cs="Times New Roman"/>
          <w:sz w:val="22"/>
        </w:rPr>
        <w:fldChar w:fldCharType="end"/>
      </w:r>
      <w:r w:rsidRPr="00B11FE2">
        <w:rPr>
          <w:rFonts w:ascii="Franklin Gothic Book" w:eastAsia="Calibri" w:hAnsi="Franklin Gothic Book" w:cs="Times New Roman"/>
          <w:sz w:val="22"/>
        </w:rPr>
        <w:t xml:space="preserve">).  The Commentary noted that this was incorrect. Firstly, the number of patients who additionally received HDV RNA testing does not represent the number of patients who initiate bulevirtide treatment. Secondly, it was not correct to apply this estimate to the average durations of treatment, which represent the time on treatment for patients initiating in the first year of listing. As the submission has estimated patient-years on treatment (Table 4.2−3, pp190-1 of the submission), this may be a more appropriate basis to derive the use and cost of HDV RNA testing for monitoring purposes (see revised estimates in </w:t>
      </w:r>
      <w:r w:rsidRPr="00B11FE2">
        <w:rPr>
          <w:rFonts w:ascii="Franklin Gothic Book" w:eastAsia="Calibri" w:hAnsi="Franklin Gothic Book" w:cs="Times New Roman"/>
          <w:sz w:val="22"/>
        </w:rPr>
        <w:fldChar w:fldCharType="begin"/>
      </w:r>
      <w:r w:rsidRPr="00B11FE2">
        <w:rPr>
          <w:rFonts w:ascii="Franklin Gothic Book" w:eastAsia="Calibri" w:hAnsi="Franklin Gothic Book" w:cs="Times New Roman"/>
          <w:sz w:val="22"/>
        </w:rPr>
        <w:instrText xml:space="preserve"> REF _Ref152683297 \h  \* MERGEFORMAT </w:instrText>
      </w:r>
      <w:r w:rsidRPr="00B11FE2">
        <w:rPr>
          <w:rFonts w:ascii="Franklin Gothic Book" w:eastAsia="Calibri" w:hAnsi="Franklin Gothic Book" w:cs="Times New Roman"/>
          <w:sz w:val="22"/>
        </w:rPr>
      </w:r>
      <w:r w:rsidRPr="00B11FE2">
        <w:rPr>
          <w:rFonts w:ascii="Franklin Gothic Book" w:eastAsia="Calibri" w:hAnsi="Franklin Gothic Book" w:cs="Times New Roman"/>
          <w:sz w:val="22"/>
        </w:rPr>
        <w:fldChar w:fldCharType="separate"/>
      </w:r>
      <w:r w:rsidR="00B02BFE" w:rsidRPr="00B11FE2">
        <w:rPr>
          <w:rFonts w:ascii="Franklin Gothic Book" w:eastAsia="Calibri" w:hAnsi="Franklin Gothic Book" w:cs="Times New Roman"/>
          <w:sz w:val="22"/>
        </w:rPr>
        <w:t>Table 12</w:t>
      </w:r>
      <w:r w:rsidRPr="00B11FE2">
        <w:rPr>
          <w:rFonts w:ascii="Franklin Gothic Book" w:eastAsia="Calibri" w:hAnsi="Franklin Gothic Book" w:cs="Times New Roman"/>
          <w:sz w:val="22"/>
        </w:rPr>
        <w:fldChar w:fldCharType="end"/>
      </w:r>
      <w:r w:rsidRPr="00B11FE2">
        <w:rPr>
          <w:rFonts w:ascii="Franklin Gothic Book" w:eastAsia="Calibri" w:hAnsi="Franklin Gothic Book" w:cs="Times New Roman"/>
          <w:sz w:val="22"/>
        </w:rPr>
        <w:t>).</w:t>
      </w:r>
    </w:p>
    <w:p w14:paraId="057D0AF2" w14:textId="7CF6FA51" w:rsidR="00E965EE" w:rsidRPr="00E965EE" w:rsidDel="0015247C"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34" w:name="_Ref152683297"/>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12</w:t>
      </w:r>
      <w:r w:rsidRPr="00E965EE">
        <w:rPr>
          <w:rFonts w:ascii="Arial Narrow" w:eastAsia="Calibri" w:hAnsi="Arial Narrow" w:cs="Times New Roman"/>
          <w:b/>
          <w:bCs/>
          <w:iCs/>
          <w:sz w:val="20"/>
          <w:szCs w:val="18"/>
          <w:lang w:val="en-US"/>
        </w:rPr>
        <w:fldChar w:fldCharType="end"/>
      </w:r>
      <w:bookmarkEnd w:id="30"/>
      <w:bookmarkEnd w:id="34"/>
      <w:r w:rsidRPr="00E965EE">
        <w:rPr>
          <w:rFonts w:ascii="Arial Narrow" w:eastAsia="Calibri" w:hAnsi="Arial Narrow" w:cs="Times New Roman"/>
          <w:b/>
          <w:bCs/>
          <w:iCs/>
          <w:sz w:val="20"/>
          <w:szCs w:val="18"/>
          <w:lang w:val="en-US"/>
        </w:rPr>
        <w:tab/>
        <w:t>Estimated use of HDV RNA testing for treatment monitoring</w:t>
      </w:r>
    </w:p>
    <w:tbl>
      <w:tblPr>
        <w:tblStyle w:val="ASDTable1"/>
        <w:tblW w:w="5001" w:type="pct"/>
        <w:tblLayout w:type="fixed"/>
        <w:tblLook w:val="04A0" w:firstRow="1" w:lastRow="0" w:firstColumn="1" w:lastColumn="0" w:noHBand="0" w:noVBand="1"/>
      </w:tblPr>
      <w:tblGrid>
        <w:gridCol w:w="3540"/>
        <w:gridCol w:w="913"/>
        <w:gridCol w:w="913"/>
        <w:gridCol w:w="913"/>
        <w:gridCol w:w="913"/>
        <w:gridCol w:w="913"/>
        <w:gridCol w:w="913"/>
      </w:tblGrid>
      <w:tr w:rsidR="00E965EE" w:rsidRPr="00E965EE" w14:paraId="4D600389" w14:textId="77777777" w:rsidTr="00CB28C4">
        <w:trPr>
          <w:cantSplit/>
          <w:trHeight w:val="20"/>
        </w:trPr>
        <w:tc>
          <w:tcPr>
            <w:tcW w:w="1963" w:type="pct"/>
            <w:tcBorders>
              <w:bottom w:val="single" w:sz="4" w:space="0" w:color="auto"/>
            </w:tcBorders>
            <w:noWrap/>
            <w:hideMark/>
          </w:tcPr>
          <w:p w14:paraId="2919A814" w14:textId="77777777" w:rsidR="00E965EE" w:rsidRPr="00E965EE" w:rsidRDefault="00E965EE" w:rsidP="00E965EE">
            <w:pPr>
              <w:keepNext/>
              <w:spacing w:before="0"/>
              <w:jc w:val="left"/>
              <w:rPr>
                <w:rFonts w:ascii="Arial Narrow" w:hAnsi="Arial Narrow"/>
                <w:b/>
                <w:sz w:val="20"/>
              </w:rPr>
            </w:pPr>
          </w:p>
        </w:tc>
        <w:tc>
          <w:tcPr>
            <w:tcW w:w="506" w:type="pct"/>
            <w:tcBorders>
              <w:bottom w:val="single" w:sz="4" w:space="0" w:color="auto"/>
            </w:tcBorders>
            <w:noWrap/>
            <w:hideMark/>
          </w:tcPr>
          <w:p w14:paraId="5851C9A7"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1</w:t>
            </w:r>
          </w:p>
        </w:tc>
        <w:tc>
          <w:tcPr>
            <w:tcW w:w="506" w:type="pct"/>
            <w:tcBorders>
              <w:bottom w:val="single" w:sz="4" w:space="0" w:color="auto"/>
            </w:tcBorders>
            <w:noWrap/>
            <w:hideMark/>
          </w:tcPr>
          <w:p w14:paraId="54B1E2F5"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2</w:t>
            </w:r>
          </w:p>
        </w:tc>
        <w:tc>
          <w:tcPr>
            <w:tcW w:w="506" w:type="pct"/>
            <w:tcBorders>
              <w:bottom w:val="single" w:sz="4" w:space="0" w:color="auto"/>
            </w:tcBorders>
            <w:noWrap/>
            <w:hideMark/>
          </w:tcPr>
          <w:p w14:paraId="475CC24C"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3</w:t>
            </w:r>
          </w:p>
        </w:tc>
        <w:tc>
          <w:tcPr>
            <w:tcW w:w="506" w:type="pct"/>
            <w:tcBorders>
              <w:bottom w:val="single" w:sz="4" w:space="0" w:color="auto"/>
            </w:tcBorders>
            <w:noWrap/>
            <w:hideMark/>
          </w:tcPr>
          <w:p w14:paraId="4C96A9A9"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4</w:t>
            </w:r>
          </w:p>
        </w:tc>
        <w:tc>
          <w:tcPr>
            <w:tcW w:w="506" w:type="pct"/>
            <w:tcBorders>
              <w:bottom w:val="single" w:sz="4" w:space="0" w:color="auto"/>
            </w:tcBorders>
            <w:noWrap/>
            <w:hideMark/>
          </w:tcPr>
          <w:p w14:paraId="4AF7A03F"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5</w:t>
            </w:r>
          </w:p>
        </w:tc>
        <w:tc>
          <w:tcPr>
            <w:tcW w:w="506" w:type="pct"/>
            <w:tcBorders>
              <w:bottom w:val="single" w:sz="4" w:space="0" w:color="auto"/>
            </w:tcBorders>
            <w:noWrap/>
            <w:hideMark/>
          </w:tcPr>
          <w:p w14:paraId="18CB614A"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6</w:t>
            </w:r>
          </w:p>
        </w:tc>
      </w:tr>
      <w:tr w:rsidR="00E965EE" w:rsidRPr="00E965EE" w14:paraId="06EBC369" w14:textId="77777777" w:rsidTr="00CB28C4">
        <w:trPr>
          <w:cantSplit/>
          <w:trHeight w:val="20"/>
        </w:trPr>
        <w:tc>
          <w:tcPr>
            <w:tcW w:w="1963" w:type="pct"/>
            <w:tcBorders>
              <w:bottom w:val="single" w:sz="4" w:space="0" w:color="auto"/>
              <w:right w:val="nil"/>
            </w:tcBorders>
            <w:noWrap/>
          </w:tcPr>
          <w:p w14:paraId="77748CB0" w14:textId="77777777" w:rsidR="00E965EE" w:rsidRPr="00E965EE" w:rsidRDefault="00E965EE" w:rsidP="00E965EE">
            <w:pPr>
              <w:keepNext/>
              <w:spacing w:before="0"/>
              <w:jc w:val="left"/>
              <w:rPr>
                <w:rFonts w:ascii="Arial Narrow" w:hAnsi="Arial Narrow"/>
                <w:b/>
                <w:sz w:val="20"/>
              </w:rPr>
            </w:pPr>
            <w:r w:rsidRPr="00E965EE">
              <w:rPr>
                <w:rFonts w:ascii="Arial Narrow" w:hAnsi="Arial Narrow"/>
                <w:b/>
                <w:sz w:val="20"/>
              </w:rPr>
              <w:t>Submission</w:t>
            </w:r>
          </w:p>
        </w:tc>
        <w:tc>
          <w:tcPr>
            <w:tcW w:w="506" w:type="pct"/>
            <w:tcBorders>
              <w:left w:val="nil"/>
              <w:bottom w:val="single" w:sz="4" w:space="0" w:color="auto"/>
              <w:right w:val="nil"/>
            </w:tcBorders>
            <w:noWrap/>
          </w:tcPr>
          <w:p w14:paraId="4D4627AF" w14:textId="77777777" w:rsidR="00E965EE" w:rsidRPr="00E965EE" w:rsidRDefault="00E965EE" w:rsidP="00E965EE">
            <w:pPr>
              <w:keepNext/>
              <w:spacing w:before="0"/>
              <w:jc w:val="center"/>
              <w:rPr>
                <w:rFonts w:ascii="Arial Narrow" w:hAnsi="Arial Narrow"/>
                <w:b/>
                <w:sz w:val="20"/>
              </w:rPr>
            </w:pPr>
          </w:p>
        </w:tc>
        <w:tc>
          <w:tcPr>
            <w:tcW w:w="506" w:type="pct"/>
            <w:tcBorders>
              <w:left w:val="nil"/>
              <w:bottom w:val="single" w:sz="4" w:space="0" w:color="auto"/>
              <w:right w:val="nil"/>
            </w:tcBorders>
            <w:noWrap/>
          </w:tcPr>
          <w:p w14:paraId="176D4635" w14:textId="77777777" w:rsidR="00E965EE" w:rsidRPr="00E965EE" w:rsidRDefault="00E965EE" w:rsidP="00E965EE">
            <w:pPr>
              <w:keepNext/>
              <w:spacing w:before="0"/>
              <w:jc w:val="center"/>
              <w:rPr>
                <w:rFonts w:ascii="Arial Narrow" w:hAnsi="Arial Narrow"/>
                <w:b/>
                <w:sz w:val="20"/>
              </w:rPr>
            </w:pPr>
          </w:p>
        </w:tc>
        <w:tc>
          <w:tcPr>
            <w:tcW w:w="506" w:type="pct"/>
            <w:tcBorders>
              <w:left w:val="nil"/>
              <w:bottom w:val="single" w:sz="4" w:space="0" w:color="auto"/>
              <w:right w:val="nil"/>
            </w:tcBorders>
            <w:noWrap/>
          </w:tcPr>
          <w:p w14:paraId="562B2CBB" w14:textId="77777777" w:rsidR="00E965EE" w:rsidRPr="00E965EE" w:rsidRDefault="00E965EE" w:rsidP="00E965EE">
            <w:pPr>
              <w:keepNext/>
              <w:spacing w:before="0"/>
              <w:jc w:val="center"/>
              <w:rPr>
                <w:rFonts w:ascii="Arial Narrow" w:hAnsi="Arial Narrow"/>
                <w:b/>
                <w:sz w:val="20"/>
              </w:rPr>
            </w:pPr>
          </w:p>
        </w:tc>
        <w:tc>
          <w:tcPr>
            <w:tcW w:w="506" w:type="pct"/>
            <w:tcBorders>
              <w:left w:val="nil"/>
              <w:bottom w:val="single" w:sz="4" w:space="0" w:color="auto"/>
              <w:right w:val="nil"/>
            </w:tcBorders>
            <w:noWrap/>
          </w:tcPr>
          <w:p w14:paraId="515FD4BB" w14:textId="77777777" w:rsidR="00E965EE" w:rsidRPr="00E965EE" w:rsidRDefault="00E965EE" w:rsidP="00E965EE">
            <w:pPr>
              <w:keepNext/>
              <w:spacing w:before="0"/>
              <w:jc w:val="center"/>
              <w:rPr>
                <w:rFonts w:ascii="Arial Narrow" w:hAnsi="Arial Narrow"/>
                <w:b/>
                <w:sz w:val="20"/>
              </w:rPr>
            </w:pPr>
          </w:p>
        </w:tc>
        <w:tc>
          <w:tcPr>
            <w:tcW w:w="506" w:type="pct"/>
            <w:tcBorders>
              <w:left w:val="nil"/>
              <w:bottom w:val="single" w:sz="4" w:space="0" w:color="auto"/>
              <w:right w:val="nil"/>
            </w:tcBorders>
            <w:noWrap/>
          </w:tcPr>
          <w:p w14:paraId="6470D8C2" w14:textId="77777777" w:rsidR="00E965EE" w:rsidRPr="00E965EE" w:rsidRDefault="00E965EE" w:rsidP="00E965EE">
            <w:pPr>
              <w:keepNext/>
              <w:spacing w:before="0"/>
              <w:jc w:val="center"/>
              <w:rPr>
                <w:rFonts w:ascii="Arial Narrow" w:hAnsi="Arial Narrow"/>
                <w:b/>
                <w:sz w:val="20"/>
              </w:rPr>
            </w:pPr>
          </w:p>
        </w:tc>
        <w:tc>
          <w:tcPr>
            <w:tcW w:w="506" w:type="pct"/>
            <w:tcBorders>
              <w:left w:val="nil"/>
              <w:bottom w:val="single" w:sz="4" w:space="0" w:color="auto"/>
            </w:tcBorders>
            <w:noWrap/>
          </w:tcPr>
          <w:p w14:paraId="5838679C" w14:textId="77777777" w:rsidR="00E965EE" w:rsidRPr="00E965EE" w:rsidRDefault="00E965EE" w:rsidP="00E965EE">
            <w:pPr>
              <w:keepNext/>
              <w:spacing w:before="0"/>
              <w:jc w:val="center"/>
              <w:rPr>
                <w:rFonts w:ascii="Arial Narrow" w:hAnsi="Arial Narrow"/>
                <w:b/>
                <w:sz w:val="20"/>
              </w:rPr>
            </w:pPr>
          </w:p>
        </w:tc>
      </w:tr>
      <w:tr w:rsidR="00E965EE" w:rsidRPr="00E965EE" w14:paraId="7C398D24" w14:textId="77777777" w:rsidTr="00CB28C4">
        <w:trPr>
          <w:cantSplit/>
          <w:trHeight w:val="20"/>
        </w:trPr>
        <w:tc>
          <w:tcPr>
            <w:tcW w:w="1963" w:type="pct"/>
            <w:noWrap/>
          </w:tcPr>
          <w:p w14:paraId="1DB450AA" w14:textId="14A98731"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 xml:space="preserve">No. patients eligible for treatment monitoring (Row P, </w:t>
            </w:r>
            <w:r w:rsidRPr="00E965EE">
              <w:rPr>
                <w:rFonts w:ascii="Arial Narrow" w:hAnsi="Arial Narrow"/>
                <w:sz w:val="20"/>
              </w:rPr>
              <w:fldChar w:fldCharType="begin"/>
            </w:r>
            <w:r w:rsidRPr="00E965EE">
              <w:rPr>
                <w:rFonts w:ascii="Arial Narrow" w:hAnsi="Arial Narrow"/>
                <w:sz w:val="20"/>
              </w:rPr>
              <w:instrText xml:space="preserve"> REF _Ref152349392 \h </w:instrText>
            </w:r>
            <w:r w:rsidR="009C278B">
              <w:rPr>
                <w:rFonts w:ascii="Arial Narrow" w:hAnsi="Arial Narrow"/>
                <w:sz w:val="20"/>
              </w:rPr>
              <w:instrText xml:space="preserve"> \* MERGEFORMAT </w:instrText>
            </w:r>
            <w:r w:rsidRPr="00E965EE">
              <w:rPr>
                <w:rFonts w:ascii="Arial Narrow" w:hAnsi="Arial Narrow"/>
                <w:sz w:val="20"/>
              </w:rPr>
            </w:r>
            <w:r w:rsidRPr="00E965EE">
              <w:rPr>
                <w:rFonts w:ascii="Arial Narrow" w:hAnsi="Arial Narrow"/>
                <w:sz w:val="20"/>
              </w:rPr>
              <w:fldChar w:fldCharType="separate"/>
            </w:r>
            <w:r w:rsidR="00B02BFE" w:rsidRPr="009C278B">
              <w:rPr>
                <w:rFonts w:ascii="Arial Narrow" w:eastAsia="Calibri" w:hAnsi="Arial Narrow"/>
                <w:iCs/>
                <w:sz w:val="20"/>
                <w:szCs w:val="18"/>
                <w:lang w:val="en-US"/>
              </w:rPr>
              <w:t xml:space="preserve">Table </w:t>
            </w:r>
            <w:r w:rsidR="00B02BFE" w:rsidRPr="009C278B">
              <w:rPr>
                <w:rFonts w:ascii="Arial Narrow" w:eastAsia="Calibri" w:hAnsi="Arial Narrow"/>
                <w:iCs/>
                <w:noProof/>
                <w:sz w:val="20"/>
                <w:szCs w:val="18"/>
                <w:lang w:val="en-US"/>
              </w:rPr>
              <w:t>10</w:t>
            </w:r>
            <w:r w:rsidRPr="00E965EE">
              <w:rPr>
                <w:rFonts w:ascii="Arial Narrow" w:hAnsi="Arial Narrow"/>
                <w:sz w:val="20"/>
              </w:rPr>
              <w:fldChar w:fldCharType="end"/>
            </w:r>
            <w:r w:rsidRPr="00E965EE">
              <w:rPr>
                <w:rFonts w:ascii="Arial Narrow" w:hAnsi="Arial Narrow"/>
                <w:sz w:val="20"/>
              </w:rPr>
              <w:t>)</w:t>
            </w:r>
          </w:p>
        </w:tc>
        <w:tc>
          <w:tcPr>
            <w:tcW w:w="506" w:type="pct"/>
            <w:noWrap/>
          </w:tcPr>
          <w:p w14:paraId="2987421B" w14:textId="510355CF" w:rsidR="00E965EE" w:rsidRPr="004B1B41" w:rsidRDefault="00455E12"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44FFD010" w14:textId="07FFD41F" w:rsidR="00E965EE" w:rsidRPr="004B1B41" w:rsidRDefault="00455E12"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24DDCFE1" w14:textId="7C796EA4" w:rsidR="00E965EE" w:rsidRPr="004B1B41" w:rsidRDefault="00455E12"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6C7CAAF3" w14:textId="5996916C" w:rsidR="00E965EE" w:rsidRPr="004B1B41" w:rsidRDefault="00455E12"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05B71FAC" w14:textId="0055C237" w:rsidR="00E965EE" w:rsidRPr="004B1B41" w:rsidRDefault="00455E12"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5D46B278" w14:textId="7508739F" w:rsidR="00E965EE" w:rsidRPr="004B1B41" w:rsidRDefault="00455E12"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r>
      <w:tr w:rsidR="00E965EE" w:rsidRPr="00E965EE" w14:paraId="35CD9664" w14:textId="77777777" w:rsidTr="00CB28C4">
        <w:trPr>
          <w:cantSplit/>
          <w:trHeight w:val="20"/>
        </w:trPr>
        <w:tc>
          <w:tcPr>
            <w:tcW w:w="1963" w:type="pct"/>
            <w:noWrap/>
          </w:tcPr>
          <w:p w14:paraId="46E89F54"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Average duration of treatment (by year)</w:t>
            </w:r>
          </w:p>
        </w:tc>
        <w:tc>
          <w:tcPr>
            <w:tcW w:w="506" w:type="pct"/>
            <w:noWrap/>
          </w:tcPr>
          <w:p w14:paraId="65354017" w14:textId="60488B14" w:rsidR="00E965EE" w:rsidRPr="004B1B41" w:rsidRDefault="00CB28C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00E965EE" w:rsidRPr="004B1B41">
              <w:rPr>
                <w:rFonts w:ascii="Arial Narrow" w:hAnsi="Arial Narrow"/>
                <w:b/>
                <w:bCs/>
                <w:sz w:val="20"/>
              </w:rPr>
              <w:t>%</w:t>
            </w:r>
          </w:p>
        </w:tc>
        <w:tc>
          <w:tcPr>
            <w:tcW w:w="506" w:type="pct"/>
            <w:noWrap/>
          </w:tcPr>
          <w:p w14:paraId="46E8A5BF" w14:textId="5A0C7147" w:rsidR="00E965EE" w:rsidRPr="004B1B41" w:rsidRDefault="00CB28C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B28C4">
              <w:rPr>
                <w:rFonts w:ascii="Arial Narrow" w:hAnsi="Arial Narrow"/>
                <w:b/>
                <w:bCs/>
                <w:sz w:val="20"/>
              </w:rPr>
              <w:t xml:space="preserve"> </w:t>
            </w:r>
            <w:r w:rsidR="00E965EE" w:rsidRPr="004B1B41">
              <w:rPr>
                <w:rFonts w:ascii="Arial Narrow" w:hAnsi="Arial Narrow"/>
                <w:b/>
                <w:bCs/>
                <w:sz w:val="20"/>
              </w:rPr>
              <w:t>%</w:t>
            </w:r>
          </w:p>
        </w:tc>
        <w:tc>
          <w:tcPr>
            <w:tcW w:w="506" w:type="pct"/>
            <w:noWrap/>
          </w:tcPr>
          <w:p w14:paraId="662B5FBC" w14:textId="2A62AA07" w:rsidR="00E965EE" w:rsidRPr="004B1B41" w:rsidRDefault="00CB28C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B28C4">
              <w:rPr>
                <w:rFonts w:ascii="Arial Narrow" w:hAnsi="Arial Narrow"/>
                <w:b/>
                <w:bCs/>
                <w:sz w:val="20"/>
              </w:rPr>
              <w:t xml:space="preserve"> </w:t>
            </w:r>
            <w:r w:rsidR="00E965EE" w:rsidRPr="004B1B41">
              <w:rPr>
                <w:rFonts w:ascii="Arial Narrow" w:hAnsi="Arial Narrow"/>
                <w:b/>
                <w:bCs/>
                <w:sz w:val="20"/>
              </w:rPr>
              <w:t>%</w:t>
            </w:r>
          </w:p>
        </w:tc>
        <w:tc>
          <w:tcPr>
            <w:tcW w:w="506" w:type="pct"/>
            <w:noWrap/>
          </w:tcPr>
          <w:p w14:paraId="290496D9" w14:textId="2621A456" w:rsidR="00E965EE" w:rsidRPr="004B1B41" w:rsidRDefault="00CB28C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B28C4">
              <w:rPr>
                <w:rFonts w:ascii="Arial Narrow" w:hAnsi="Arial Narrow"/>
                <w:b/>
                <w:bCs/>
                <w:sz w:val="20"/>
              </w:rPr>
              <w:t xml:space="preserve"> </w:t>
            </w:r>
            <w:r w:rsidR="00E965EE" w:rsidRPr="004B1B41">
              <w:rPr>
                <w:rFonts w:ascii="Arial Narrow" w:hAnsi="Arial Narrow"/>
                <w:b/>
                <w:bCs/>
                <w:sz w:val="20"/>
              </w:rPr>
              <w:t>%</w:t>
            </w:r>
          </w:p>
        </w:tc>
        <w:tc>
          <w:tcPr>
            <w:tcW w:w="506" w:type="pct"/>
            <w:noWrap/>
          </w:tcPr>
          <w:p w14:paraId="301BDDB9" w14:textId="73AA5041" w:rsidR="00E965EE" w:rsidRPr="004B1B41" w:rsidRDefault="00CB28C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B28C4">
              <w:rPr>
                <w:rFonts w:ascii="Arial Narrow" w:hAnsi="Arial Narrow"/>
                <w:b/>
                <w:bCs/>
                <w:sz w:val="20"/>
              </w:rPr>
              <w:t xml:space="preserve"> </w:t>
            </w:r>
            <w:r w:rsidR="00E965EE" w:rsidRPr="004B1B41">
              <w:rPr>
                <w:rFonts w:ascii="Arial Narrow" w:hAnsi="Arial Narrow"/>
                <w:b/>
                <w:bCs/>
                <w:sz w:val="20"/>
              </w:rPr>
              <w:t>%</w:t>
            </w:r>
          </w:p>
        </w:tc>
        <w:tc>
          <w:tcPr>
            <w:tcW w:w="506" w:type="pct"/>
            <w:noWrap/>
          </w:tcPr>
          <w:p w14:paraId="3815C259" w14:textId="67D5C5B9" w:rsidR="00E965EE" w:rsidRPr="004B1B41" w:rsidRDefault="00CB28C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sidDel="00CB28C4">
              <w:rPr>
                <w:rFonts w:ascii="Arial Narrow" w:hAnsi="Arial Narrow"/>
                <w:b/>
                <w:bCs/>
                <w:sz w:val="20"/>
              </w:rPr>
              <w:t xml:space="preserve"> </w:t>
            </w:r>
            <w:r w:rsidR="00E965EE" w:rsidRPr="004B1B41">
              <w:rPr>
                <w:rFonts w:ascii="Arial Narrow" w:hAnsi="Arial Narrow"/>
                <w:b/>
                <w:bCs/>
                <w:sz w:val="20"/>
              </w:rPr>
              <w:t>%</w:t>
            </w:r>
          </w:p>
        </w:tc>
      </w:tr>
      <w:tr w:rsidR="00E965EE" w:rsidRPr="00E965EE" w14:paraId="1B09A991" w14:textId="77777777" w:rsidTr="00CB28C4">
        <w:trPr>
          <w:cantSplit/>
          <w:trHeight w:val="20"/>
        </w:trPr>
        <w:tc>
          <w:tcPr>
            <w:tcW w:w="1963" w:type="pct"/>
            <w:noWrap/>
          </w:tcPr>
          <w:p w14:paraId="2B0F4DCD"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No. monitoring tests (2 per year)</w:t>
            </w:r>
          </w:p>
        </w:tc>
        <w:tc>
          <w:tcPr>
            <w:tcW w:w="506" w:type="pct"/>
            <w:noWrap/>
          </w:tcPr>
          <w:p w14:paraId="0528724A" w14:textId="0F0F2AA5" w:rsidR="00E965EE" w:rsidRPr="004B1B41" w:rsidRDefault="009C6630"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7BB538ED" w14:textId="53E3A6A6" w:rsidR="00E965EE" w:rsidRPr="004B1B41" w:rsidRDefault="00571677"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2</w:t>
            </w:r>
          </w:p>
        </w:tc>
        <w:tc>
          <w:tcPr>
            <w:tcW w:w="506" w:type="pct"/>
            <w:noWrap/>
          </w:tcPr>
          <w:p w14:paraId="7255D734" w14:textId="5F7D1CAC" w:rsidR="00E965EE" w:rsidRPr="004B1B41" w:rsidRDefault="007D11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2</w:t>
            </w:r>
          </w:p>
        </w:tc>
        <w:tc>
          <w:tcPr>
            <w:tcW w:w="506" w:type="pct"/>
            <w:noWrap/>
          </w:tcPr>
          <w:p w14:paraId="622DD083" w14:textId="5DC1E1AD" w:rsidR="00E965EE" w:rsidRPr="004B1B41" w:rsidRDefault="00B504D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12A51DB7" w14:textId="71FB98F7" w:rsidR="00E965EE" w:rsidRPr="004B1B41" w:rsidRDefault="00B504D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6371AD13" w14:textId="5C2823E1" w:rsidR="00E965EE" w:rsidRPr="004B1B41" w:rsidRDefault="00B504D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r>
      <w:tr w:rsidR="00E965EE" w:rsidRPr="00E965EE" w14:paraId="746F3A99" w14:textId="77777777" w:rsidTr="00CB28C4">
        <w:trPr>
          <w:cantSplit/>
          <w:trHeight w:val="20"/>
        </w:trPr>
        <w:tc>
          <w:tcPr>
            <w:tcW w:w="1963" w:type="pct"/>
            <w:tcBorders>
              <w:bottom w:val="single" w:sz="4" w:space="0" w:color="auto"/>
            </w:tcBorders>
            <w:noWrap/>
          </w:tcPr>
          <w:p w14:paraId="5CBAD639" w14:textId="77777777" w:rsidR="00E965EE" w:rsidRPr="00E965EE" w:rsidRDefault="00E965EE" w:rsidP="00E965EE">
            <w:pPr>
              <w:keepNext/>
              <w:widowControl w:val="0"/>
              <w:spacing w:before="0"/>
              <w:jc w:val="left"/>
              <w:rPr>
                <w:rFonts w:ascii="Arial Narrow" w:hAnsi="Arial Narrow"/>
                <w:b/>
                <w:bCs/>
                <w:sz w:val="20"/>
              </w:rPr>
            </w:pPr>
            <w:r w:rsidRPr="00E965EE">
              <w:rPr>
                <w:rFonts w:ascii="Arial Narrow" w:hAnsi="Arial Narrow"/>
                <w:b/>
                <w:bCs/>
                <w:sz w:val="20"/>
              </w:rPr>
              <w:t>Cost to the MBS ($129.30 per test)</w:t>
            </w:r>
          </w:p>
        </w:tc>
        <w:tc>
          <w:tcPr>
            <w:tcW w:w="506" w:type="pct"/>
            <w:tcBorders>
              <w:bottom w:val="single" w:sz="4" w:space="0" w:color="auto"/>
            </w:tcBorders>
            <w:noWrap/>
          </w:tcPr>
          <w:p w14:paraId="06B92B8B" w14:textId="0AF55B2A"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tcBorders>
              <w:bottom w:val="single" w:sz="4" w:space="0" w:color="auto"/>
            </w:tcBorders>
            <w:noWrap/>
          </w:tcPr>
          <w:p w14:paraId="08C81704" w14:textId="01B7075E"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tcBorders>
              <w:bottom w:val="single" w:sz="4" w:space="0" w:color="auto"/>
            </w:tcBorders>
            <w:noWrap/>
          </w:tcPr>
          <w:p w14:paraId="7F27ABAC" w14:textId="65A261F6"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tcBorders>
              <w:bottom w:val="single" w:sz="4" w:space="0" w:color="auto"/>
            </w:tcBorders>
            <w:noWrap/>
          </w:tcPr>
          <w:p w14:paraId="2FF1E0AB" w14:textId="2194F8C8" w:rsidR="00E965EE" w:rsidRPr="004B1B41" w:rsidRDefault="00CB28C4"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tcBorders>
              <w:bottom w:val="single" w:sz="4" w:space="0" w:color="auto"/>
            </w:tcBorders>
            <w:noWrap/>
          </w:tcPr>
          <w:p w14:paraId="6D44CB46" w14:textId="6B18D60A"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tcBorders>
              <w:bottom w:val="single" w:sz="4" w:space="0" w:color="auto"/>
            </w:tcBorders>
            <w:noWrap/>
          </w:tcPr>
          <w:p w14:paraId="03371D64" w14:textId="32D81F1E"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r>
      <w:tr w:rsidR="00E965EE" w:rsidRPr="00E965EE" w14:paraId="0F361434" w14:textId="77777777" w:rsidTr="00CB28C4">
        <w:trPr>
          <w:cantSplit/>
          <w:trHeight w:val="20"/>
        </w:trPr>
        <w:tc>
          <w:tcPr>
            <w:tcW w:w="1963" w:type="pct"/>
            <w:tcBorders>
              <w:right w:val="nil"/>
            </w:tcBorders>
            <w:noWrap/>
          </w:tcPr>
          <w:p w14:paraId="6A280567" w14:textId="77777777" w:rsidR="00E965EE" w:rsidRPr="00E965EE" w:rsidRDefault="00E965EE" w:rsidP="00E965EE">
            <w:pPr>
              <w:keepNext/>
              <w:spacing w:before="0"/>
              <w:jc w:val="left"/>
              <w:rPr>
                <w:rFonts w:ascii="Arial Narrow" w:hAnsi="Arial Narrow"/>
                <w:b/>
                <w:iCs/>
                <w:sz w:val="20"/>
              </w:rPr>
            </w:pPr>
            <w:r w:rsidRPr="00E965EE">
              <w:rPr>
                <w:rFonts w:ascii="Arial Narrow" w:hAnsi="Arial Narrow"/>
                <w:b/>
                <w:iCs/>
                <w:sz w:val="20"/>
              </w:rPr>
              <w:t>Revised</w:t>
            </w:r>
          </w:p>
        </w:tc>
        <w:tc>
          <w:tcPr>
            <w:tcW w:w="506" w:type="pct"/>
            <w:tcBorders>
              <w:left w:val="nil"/>
              <w:right w:val="nil"/>
            </w:tcBorders>
            <w:noWrap/>
          </w:tcPr>
          <w:p w14:paraId="1C644113" w14:textId="77777777" w:rsidR="00E965EE" w:rsidRPr="004B1B41" w:rsidRDefault="00E965EE" w:rsidP="00E965EE">
            <w:pPr>
              <w:keepNext/>
              <w:spacing w:before="0"/>
              <w:jc w:val="center"/>
              <w:rPr>
                <w:rFonts w:ascii="Arial Narrow" w:hAnsi="Arial Narrow"/>
                <w:b/>
                <w:bCs/>
                <w:iCs/>
                <w:sz w:val="20"/>
              </w:rPr>
            </w:pPr>
          </w:p>
        </w:tc>
        <w:tc>
          <w:tcPr>
            <w:tcW w:w="506" w:type="pct"/>
            <w:tcBorders>
              <w:left w:val="nil"/>
              <w:right w:val="nil"/>
            </w:tcBorders>
            <w:noWrap/>
          </w:tcPr>
          <w:p w14:paraId="4D2124A8" w14:textId="77777777" w:rsidR="00E965EE" w:rsidRPr="004B1B41" w:rsidRDefault="00E965EE" w:rsidP="00E965EE">
            <w:pPr>
              <w:keepNext/>
              <w:spacing w:before="0"/>
              <w:jc w:val="center"/>
              <w:rPr>
                <w:rFonts w:ascii="Arial Narrow" w:hAnsi="Arial Narrow"/>
                <w:b/>
                <w:bCs/>
                <w:iCs/>
                <w:sz w:val="20"/>
              </w:rPr>
            </w:pPr>
          </w:p>
        </w:tc>
        <w:tc>
          <w:tcPr>
            <w:tcW w:w="506" w:type="pct"/>
            <w:tcBorders>
              <w:left w:val="nil"/>
              <w:right w:val="nil"/>
            </w:tcBorders>
            <w:noWrap/>
          </w:tcPr>
          <w:p w14:paraId="0B882810" w14:textId="77777777" w:rsidR="00E965EE" w:rsidRPr="004B1B41" w:rsidRDefault="00E965EE" w:rsidP="00E965EE">
            <w:pPr>
              <w:keepNext/>
              <w:spacing w:before="0"/>
              <w:jc w:val="center"/>
              <w:rPr>
                <w:rFonts w:ascii="Arial Narrow" w:hAnsi="Arial Narrow"/>
                <w:b/>
                <w:bCs/>
                <w:iCs/>
                <w:sz w:val="20"/>
              </w:rPr>
            </w:pPr>
          </w:p>
        </w:tc>
        <w:tc>
          <w:tcPr>
            <w:tcW w:w="506" w:type="pct"/>
            <w:tcBorders>
              <w:left w:val="nil"/>
              <w:right w:val="nil"/>
            </w:tcBorders>
            <w:noWrap/>
          </w:tcPr>
          <w:p w14:paraId="017597ED" w14:textId="77777777" w:rsidR="00E965EE" w:rsidRPr="004B1B41" w:rsidRDefault="00E965EE" w:rsidP="00E965EE">
            <w:pPr>
              <w:keepNext/>
              <w:spacing w:before="0"/>
              <w:jc w:val="center"/>
              <w:rPr>
                <w:rFonts w:ascii="Arial Narrow" w:hAnsi="Arial Narrow"/>
                <w:b/>
                <w:bCs/>
                <w:iCs/>
                <w:sz w:val="20"/>
              </w:rPr>
            </w:pPr>
          </w:p>
        </w:tc>
        <w:tc>
          <w:tcPr>
            <w:tcW w:w="506" w:type="pct"/>
            <w:tcBorders>
              <w:left w:val="nil"/>
              <w:right w:val="nil"/>
            </w:tcBorders>
            <w:noWrap/>
          </w:tcPr>
          <w:p w14:paraId="175215B9" w14:textId="77777777" w:rsidR="00E965EE" w:rsidRPr="004B1B41" w:rsidRDefault="00E965EE" w:rsidP="00E965EE">
            <w:pPr>
              <w:keepNext/>
              <w:spacing w:before="0"/>
              <w:jc w:val="center"/>
              <w:rPr>
                <w:rFonts w:ascii="Arial Narrow" w:hAnsi="Arial Narrow"/>
                <w:b/>
                <w:bCs/>
                <w:iCs/>
                <w:sz w:val="20"/>
              </w:rPr>
            </w:pPr>
          </w:p>
        </w:tc>
        <w:tc>
          <w:tcPr>
            <w:tcW w:w="506" w:type="pct"/>
            <w:tcBorders>
              <w:left w:val="nil"/>
            </w:tcBorders>
            <w:noWrap/>
          </w:tcPr>
          <w:p w14:paraId="43181DA5" w14:textId="77777777" w:rsidR="00E965EE" w:rsidRPr="004B1B41" w:rsidRDefault="00E965EE" w:rsidP="00E965EE">
            <w:pPr>
              <w:keepNext/>
              <w:spacing w:before="0"/>
              <w:jc w:val="center"/>
              <w:rPr>
                <w:rFonts w:ascii="Arial Narrow" w:hAnsi="Arial Narrow"/>
                <w:b/>
                <w:bCs/>
                <w:iCs/>
                <w:sz w:val="20"/>
              </w:rPr>
            </w:pPr>
          </w:p>
        </w:tc>
      </w:tr>
      <w:tr w:rsidR="00E965EE" w:rsidRPr="00E965EE" w14:paraId="642AFD04" w14:textId="77777777" w:rsidTr="00CB28C4">
        <w:trPr>
          <w:cantSplit/>
          <w:trHeight w:val="20"/>
        </w:trPr>
        <w:tc>
          <w:tcPr>
            <w:tcW w:w="1963" w:type="pct"/>
            <w:noWrap/>
          </w:tcPr>
          <w:p w14:paraId="28B1D52D"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 xml:space="preserve">No. patient years on treatment </w:t>
            </w:r>
            <w:r w:rsidRPr="00E965EE">
              <w:rPr>
                <w:rFonts w:ascii="Arial Narrow" w:hAnsi="Arial Narrow"/>
                <w:sz w:val="20"/>
              </w:rPr>
              <w:br/>
              <w:t>(</w:t>
            </w:r>
            <w:r w:rsidRPr="00E965EE">
              <w:rPr>
                <w:rFonts w:ascii="Arial Narrow" w:hAnsi="Arial Narrow"/>
                <w:iCs/>
                <w:sz w:val="20"/>
              </w:rPr>
              <w:t>Table 4.2−3 of the submission</w:t>
            </w:r>
            <w:r w:rsidRPr="00E965EE">
              <w:rPr>
                <w:rFonts w:ascii="Arial Narrow" w:hAnsi="Arial Narrow"/>
                <w:sz w:val="20"/>
              </w:rPr>
              <w:t>)</w:t>
            </w:r>
          </w:p>
        </w:tc>
        <w:tc>
          <w:tcPr>
            <w:tcW w:w="506" w:type="pct"/>
            <w:noWrap/>
          </w:tcPr>
          <w:p w14:paraId="494BE15C" w14:textId="282E8184"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4</w:t>
            </w:r>
          </w:p>
        </w:tc>
        <w:tc>
          <w:tcPr>
            <w:tcW w:w="506" w:type="pct"/>
            <w:noWrap/>
          </w:tcPr>
          <w:p w14:paraId="7F11613B" w14:textId="1B2B6099"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4</w:t>
            </w:r>
          </w:p>
        </w:tc>
        <w:tc>
          <w:tcPr>
            <w:tcW w:w="506" w:type="pct"/>
            <w:noWrap/>
          </w:tcPr>
          <w:p w14:paraId="58CC1A54" w14:textId="6A259789"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4</w:t>
            </w:r>
          </w:p>
        </w:tc>
        <w:tc>
          <w:tcPr>
            <w:tcW w:w="506" w:type="pct"/>
            <w:noWrap/>
          </w:tcPr>
          <w:p w14:paraId="291AF922" w14:textId="3F334753"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4</w:t>
            </w:r>
          </w:p>
        </w:tc>
        <w:tc>
          <w:tcPr>
            <w:tcW w:w="506" w:type="pct"/>
            <w:noWrap/>
          </w:tcPr>
          <w:p w14:paraId="0AD4676B" w14:textId="2D440BDA"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4</w:t>
            </w:r>
          </w:p>
        </w:tc>
        <w:tc>
          <w:tcPr>
            <w:tcW w:w="506" w:type="pct"/>
            <w:noWrap/>
          </w:tcPr>
          <w:p w14:paraId="11903416" w14:textId="268775BA"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4</w:t>
            </w:r>
          </w:p>
        </w:tc>
      </w:tr>
      <w:tr w:rsidR="00E965EE" w:rsidRPr="00E965EE" w14:paraId="2D672BF4" w14:textId="77777777" w:rsidTr="00CB28C4">
        <w:trPr>
          <w:cantSplit/>
          <w:trHeight w:val="20"/>
        </w:trPr>
        <w:tc>
          <w:tcPr>
            <w:tcW w:w="1963" w:type="pct"/>
            <w:noWrap/>
          </w:tcPr>
          <w:p w14:paraId="6039782A"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 xml:space="preserve">No. HDV RNA monitoring tests </w:t>
            </w:r>
            <w:r w:rsidRPr="00E965EE">
              <w:rPr>
                <w:rFonts w:ascii="Arial Narrow" w:hAnsi="Arial Narrow"/>
                <w:sz w:val="20"/>
              </w:rPr>
              <w:br/>
              <w:t>(2 per patient-year on treatment)</w:t>
            </w:r>
          </w:p>
        </w:tc>
        <w:tc>
          <w:tcPr>
            <w:tcW w:w="506" w:type="pct"/>
            <w:noWrap/>
          </w:tcPr>
          <w:p w14:paraId="17C3CAD0" w14:textId="35BC17A5"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4</w:t>
            </w:r>
          </w:p>
        </w:tc>
        <w:tc>
          <w:tcPr>
            <w:tcW w:w="506" w:type="pct"/>
            <w:noWrap/>
          </w:tcPr>
          <w:p w14:paraId="4D484216" w14:textId="0BE3DBD4"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681C2C7E" w14:textId="3F75010C"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1BE3CA32" w14:textId="06B60992"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0CD0B3A3" w14:textId="1099E236"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c>
          <w:tcPr>
            <w:tcW w:w="506" w:type="pct"/>
            <w:noWrap/>
          </w:tcPr>
          <w:p w14:paraId="3D883507" w14:textId="7A87DF9F" w:rsidR="00E965EE" w:rsidRPr="004B1B41" w:rsidRDefault="00C82965"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1</w:t>
            </w:r>
          </w:p>
        </w:tc>
      </w:tr>
      <w:tr w:rsidR="00E965EE" w:rsidRPr="00E965EE" w14:paraId="6259FAB9" w14:textId="77777777" w:rsidTr="00CB28C4">
        <w:trPr>
          <w:cantSplit/>
          <w:trHeight w:val="20"/>
        </w:trPr>
        <w:tc>
          <w:tcPr>
            <w:tcW w:w="1963" w:type="pct"/>
            <w:noWrap/>
          </w:tcPr>
          <w:p w14:paraId="6A0E0462" w14:textId="77777777" w:rsidR="00E965EE" w:rsidRPr="00E965EE" w:rsidRDefault="00E965EE" w:rsidP="00E965EE">
            <w:pPr>
              <w:keepNext/>
              <w:widowControl w:val="0"/>
              <w:spacing w:before="0"/>
              <w:jc w:val="left"/>
              <w:rPr>
                <w:rFonts w:ascii="Arial Narrow" w:hAnsi="Arial Narrow"/>
                <w:b/>
                <w:bCs/>
                <w:sz w:val="20"/>
              </w:rPr>
            </w:pPr>
            <w:r w:rsidRPr="00E965EE">
              <w:rPr>
                <w:rFonts w:ascii="Arial Narrow" w:hAnsi="Arial Narrow"/>
                <w:b/>
                <w:bCs/>
                <w:sz w:val="20"/>
              </w:rPr>
              <w:t>Cost to the MBS ($129.30 per test)</w:t>
            </w:r>
          </w:p>
        </w:tc>
        <w:tc>
          <w:tcPr>
            <w:tcW w:w="506" w:type="pct"/>
            <w:noWrap/>
          </w:tcPr>
          <w:p w14:paraId="36CB0E27" w14:textId="499AC4D5"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noWrap/>
          </w:tcPr>
          <w:p w14:paraId="26EAACE3" w14:textId="517DF2C6"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noWrap/>
          </w:tcPr>
          <w:p w14:paraId="13F73538" w14:textId="67D77623"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noWrap/>
          </w:tcPr>
          <w:p w14:paraId="0DC15407" w14:textId="4FDBFF3F"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noWrap/>
          </w:tcPr>
          <w:p w14:paraId="4CC14A3D" w14:textId="45DBE842"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c>
          <w:tcPr>
            <w:tcW w:w="506" w:type="pct"/>
            <w:noWrap/>
          </w:tcPr>
          <w:p w14:paraId="2E49DAC1" w14:textId="22A94837" w:rsidR="00E965EE" w:rsidRPr="004B1B41" w:rsidRDefault="00A13E6F" w:rsidP="00E965EE">
            <w:pPr>
              <w:keepNext/>
              <w:widowControl w:val="0"/>
              <w:spacing w:before="0"/>
              <w:jc w:val="right"/>
              <w:rPr>
                <w:rFonts w:ascii="Arial Narrow" w:hAnsi="Arial Narrow"/>
                <w:b/>
                <w:bCs/>
                <w:sz w:val="20"/>
              </w:rPr>
            </w:pPr>
            <w:r w:rsidRPr="004B1B41">
              <w:rPr>
                <w:rFonts w:ascii="Arial Narrow" w:hAnsi="Arial Narrow"/>
                <w:b/>
                <w:bCs/>
                <w:sz w:val="20"/>
              </w:rPr>
              <w:t>redacted</w:t>
            </w:r>
            <w:r w:rsidRPr="004B1B41">
              <w:rPr>
                <w:rFonts w:ascii="Arial Narrow" w:hAnsi="Arial Narrow"/>
                <w:b/>
                <w:bCs/>
                <w:sz w:val="20"/>
                <w:vertAlign w:val="superscript"/>
              </w:rPr>
              <w:t>3</w:t>
            </w:r>
          </w:p>
        </w:tc>
      </w:tr>
    </w:tbl>
    <w:p w14:paraId="30F47887"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Source: Table 4.5−5 and Table 4.5−6, p200 of the submission and the attached ‘Attachment 14 - HEPCLUDEX HDV CoDep Section 4_final.xlsm’ file.</w:t>
      </w:r>
    </w:p>
    <w:p w14:paraId="2DC0AD68" w14:textId="77777777" w:rsid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 xml:space="preserve">HDV = hepatitis D virus; RNA = ribonucleic acid. </w:t>
      </w:r>
    </w:p>
    <w:p w14:paraId="2186CE78" w14:textId="64066739" w:rsidR="00455E12" w:rsidRDefault="00455E12"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1</w:t>
      </w:r>
      <w:r w:rsidR="00DD111A">
        <w:rPr>
          <w:rFonts w:ascii="Arial Narrow" w:eastAsia="Times New Roman" w:hAnsi="Arial Narrow" w:cs="Arial"/>
          <w:snapToGrid w:val="0"/>
          <w:sz w:val="18"/>
          <w:szCs w:val="20"/>
        </w:rPr>
        <w:t xml:space="preserve"> </w:t>
      </w:r>
      <w:r w:rsidR="00DD111A" w:rsidRPr="00DD111A">
        <w:rPr>
          <w:rFonts w:ascii="Arial Narrow" w:eastAsia="Times New Roman" w:hAnsi="Arial Narrow" w:cs="Arial"/>
          <w:snapToGrid w:val="0"/>
          <w:sz w:val="18"/>
          <w:szCs w:val="20"/>
        </w:rPr>
        <w:t>500 to &lt; 5,000</w:t>
      </w:r>
    </w:p>
    <w:p w14:paraId="5B62FFD5" w14:textId="70268503" w:rsidR="00571677" w:rsidRDefault="00571677"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2 </w:t>
      </w:r>
      <w:r w:rsidR="007D116F" w:rsidRPr="007D116F">
        <w:rPr>
          <w:rFonts w:ascii="Arial Narrow" w:eastAsia="Times New Roman" w:hAnsi="Arial Narrow" w:cs="Arial"/>
          <w:snapToGrid w:val="0"/>
          <w:sz w:val="18"/>
          <w:szCs w:val="20"/>
        </w:rPr>
        <w:t>5,000 to &lt; 10,000</w:t>
      </w:r>
    </w:p>
    <w:p w14:paraId="51002FB2" w14:textId="38A3D47D" w:rsidR="0058700C" w:rsidRDefault="0058700C"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3 </w:t>
      </w:r>
      <w:r w:rsidR="00A13E6F" w:rsidRPr="00A13E6F">
        <w:rPr>
          <w:rFonts w:ascii="Arial Narrow" w:eastAsia="Times New Roman" w:hAnsi="Arial Narrow" w:cs="Arial"/>
          <w:snapToGrid w:val="0"/>
          <w:sz w:val="18"/>
          <w:szCs w:val="20"/>
        </w:rPr>
        <w:t>$0 to &lt; $10 million</w:t>
      </w:r>
    </w:p>
    <w:p w14:paraId="00437F1A" w14:textId="104B19DE" w:rsidR="00A13E6F" w:rsidRPr="00E965EE" w:rsidRDefault="00A13E6F"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4 </w:t>
      </w:r>
      <w:r w:rsidR="00C82965" w:rsidRPr="00C82965">
        <w:rPr>
          <w:rFonts w:ascii="Arial Narrow" w:eastAsia="Times New Roman" w:hAnsi="Arial Narrow" w:cs="Arial"/>
          <w:snapToGrid w:val="0"/>
          <w:sz w:val="18"/>
          <w:szCs w:val="20"/>
        </w:rPr>
        <w:t>&lt; 500</w:t>
      </w:r>
    </w:p>
    <w:p w14:paraId="6F5D5D6E" w14:textId="75468755" w:rsidR="00E965EE" w:rsidRPr="00B11FE2" w:rsidRDefault="00E965EE" w:rsidP="00B11FE2">
      <w:pPr>
        <w:spacing w:after="240"/>
        <w:jc w:val="left"/>
        <w:rPr>
          <w:rFonts w:ascii="Franklin Gothic Book" w:eastAsia="Calibri" w:hAnsi="Franklin Gothic Book" w:cs="Times New Roman"/>
          <w:sz w:val="22"/>
        </w:rPr>
      </w:pPr>
      <w:r w:rsidRPr="00B11FE2">
        <w:rPr>
          <w:rFonts w:ascii="Franklin Gothic Book" w:eastAsia="Calibri" w:hAnsi="Franklin Gothic Book" w:cs="Times New Roman"/>
          <w:sz w:val="22"/>
        </w:rPr>
        <w:t xml:space="preserve">Following the listing of HDV RNA testing and bulevirtide treatment, anti-HDV testing was assumed to increase given that anti-HDV testing is a pre-requisite to HDV RNA </w:t>
      </w:r>
      <w:r w:rsidR="00A06F25" w:rsidRPr="00B11FE2">
        <w:rPr>
          <w:rFonts w:ascii="Franklin Gothic Book" w:eastAsia="Calibri" w:hAnsi="Franklin Gothic Book" w:cs="Times New Roman"/>
          <w:sz w:val="22"/>
        </w:rPr>
        <w:t>testing,</w:t>
      </w:r>
      <w:r w:rsidRPr="00B11FE2">
        <w:rPr>
          <w:rFonts w:ascii="Franklin Gothic Book" w:eastAsia="Calibri" w:hAnsi="Franklin Gothic Book" w:cs="Times New Roman"/>
          <w:sz w:val="22"/>
        </w:rPr>
        <w:t xml:space="preserve"> and that use was expected to increase due to increased awareness of testing for HDV following the availability of the proposed codependent technologies on the MBS and PBS. </w:t>
      </w:r>
      <w:r w:rsidR="009F782D">
        <w:rPr>
          <w:rFonts w:ascii="Franklin Gothic Book" w:eastAsia="Calibri" w:hAnsi="Franklin Gothic Book" w:cs="Times New Roman"/>
          <w:sz w:val="22"/>
        </w:rPr>
        <w:t xml:space="preserve">The commentary considered </w:t>
      </w:r>
      <w:r w:rsidR="009F782D" w:rsidRPr="009F782D">
        <w:rPr>
          <w:rFonts w:ascii="Franklin Gothic Book" w:eastAsia="Calibri" w:hAnsi="Franklin Gothic Book" w:cs="Times New Roman"/>
          <w:sz w:val="22"/>
        </w:rPr>
        <w:t>t</w:t>
      </w:r>
      <w:r w:rsidRPr="009F782D">
        <w:rPr>
          <w:rFonts w:ascii="Franklin Gothic Book" w:eastAsia="Calibri" w:hAnsi="Franklin Gothic Book" w:cs="Times New Roman"/>
          <w:sz w:val="22"/>
        </w:rPr>
        <w:t>his was reasonable.</w:t>
      </w:r>
      <w:r w:rsidRPr="00B11FE2">
        <w:rPr>
          <w:rFonts w:ascii="Franklin Gothic Book" w:eastAsia="Calibri" w:hAnsi="Franklin Gothic Book" w:cs="Times New Roman"/>
          <w:i/>
          <w:iCs/>
          <w:sz w:val="22"/>
        </w:rPr>
        <w:t xml:space="preserve"> </w:t>
      </w:r>
      <w:r w:rsidRPr="00B11FE2">
        <w:rPr>
          <w:rFonts w:ascii="Franklin Gothic Book" w:eastAsia="Calibri" w:hAnsi="Franklin Gothic Book" w:cs="Times New Roman"/>
          <w:sz w:val="22"/>
        </w:rPr>
        <w:t xml:space="preserve">In incident patients, uptake of anti-HDV testing was assumed to increase from </w:t>
      </w:r>
      <w:r w:rsidR="000401E5" w:rsidRPr="000401E5">
        <w:rPr>
          <w:rFonts w:ascii="Franklin Gothic Book" w:eastAsia="Calibri" w:hAnsi="Franklin Gothic Book" w:cs="Times New Roman"/>
          <w:b/>
          <w:bCs/>
          <w:sz w:val="22"/>
        </w:rPr>
        <w:t>redacted</w:t>
      </w:r>
      <w:r w:rsidRPr="00B11FE2">
        <w:rPr>
          <w:rFonts w:ascii="Franklin Gothic Book" w:eastAsia="Calibri" w:hAnsi="Franklin Gothic Book" w:cs="Times New Roman"/>
          <w:sz w:val="22"/>
        </w:rPr>
        <w:t xml:space="preserve">% to </w:t>
      </w:r>
      <w:r w:rsidR="000401E5" w:rsidRPr="000401E5">
        <w:rPr>
          <w:rFonts w:ascii="Franklin Gothic Book" w:eastAsia="Calibri" w:hAnsi="Franklin Gothic Book" w:cs="Times New Roman"/>
          <w:b/>
          <w:bCs/>
          <w:sz w:val="22"/>
        </w:rPr>
        <w:t>redacted</w:t>
      </w:r>
      <w:r w:rsidR="000401E5" w:rsidRPr="00B11FE2" w:rsidDel="000401E5">
        <w:rPr>
          <w:rFonts w:ascii="Franklin Gothic Book" w:eastAsia="Calibri" w:hAnsi="Franklin Gothic Book" w:cs="Times New Roman"/>
          <w:sz w:val="22"/>
        </w:rPr>
        <w:t xml:space="preserve"> </w:t>
      </w:r>
      <w:r w:rsidRPr="00B11FE2">
        <w:rPr>
          <w:rFonts w:ascii="Franklin Gothic Book" w:eastAsia="Calibri" w:hAnsi="Franklin Gothic Book" w:cs="Times New Roman"/>
          <w:sz w:val="22"/>
        </w:rPr>
        <w:t xml:space="preserve">% following listing of bulevirtide. In prevalent patients who had not been HDV tested previously the submission assumed </w:t>
      </w:r>
      <w:r w:rsidR="000401E5" w:rsidRPr="000401E5">
        <w:rPr>
          <w:rFonts w:ascii="Franklin Gothic Book" w:eastAsia="Calibri" w:hAnsi="Franklin Gothic Book" w:cs="Times New Roman"/>
          <w:b/>
          <w:bCs/>
          <w:sz w:val="22"/>
        </w:rPr>
        <w:t>redacted</w:t>
      </w:r>
      <w:r w:rsidR="000401E5" w:rsidRPr="00B11FE2" w:rsidDel="000401E5">
        <w:rPr>
          <w:rFonts w:ascii="Franklin Gothic Book" w:eastAsia="Calibri" w:hAnsi="Franklin Gothic Book" w:cs="Times New Roman"/>
          <w:sz w:val="22"/>
        </w:rPr>
        <w:t xml:space="preserve"> </w:t>
      </w:r>
      <w:r w:rsidRPr="00B11FE2">
        <w:rPr>
          <w:rFonts w:ascii="Franklin Gothic Book" w:eastAsia="Calibri" w:hAnsi="Franklin Gothic Book" w:cs="Times New Roman"/>
          <w:sz w:val="22"/>
        </w:rPr>
        <w:t xml:space="preserve">% uptake over the first three years of listing in the </w:t>
      </w:r>
      <w:r w:rsidR="005936EC" w:rsidRPr="007B0EF4">
        <w:rPr>
          <w:rFonts w:ascii="Franklin Gothic Book" w:eastAsia="Calibri" w:hAnsi="Franklin Gothic Book" w:cs="Times New Roman"/>
          <w:b/>
          <w:bCs/>
          <w:sz w:val="22"/>
        </w:rPr>
        <w:t>redacted</w:t>
      </w:r>
      <w:r w:rsidRPr="00B11FE2">
        <w:rPr>
          <w:rFonts w:ascii="Franklin Gothic Book" w:eastAsia="Calibri" w:hAnsi="Franklin Gothic Book" w:cs="Times New Roman"/>
          <w:sz w:val="22"/>
        </w:rPr>
        <w:t xml:space="preserve">% of prevalent patients engaged in care who had not previously been tested for HDV. The Commentary noted that this was consistent with the epidemiological </w:t>
      </w:r>
      <w:r w:rsidRPr="00B11FE2">
        <w:rPr>
          <w:rFonts w:ascii="Franklin Gothic Book" w:eastAsia="Calibri" w:hAnsi="Franklin Gothic Book" w:cs="Times New Roman"/>
          <w:sz w:val="22"/>
        </w:rPr>
        <w:lastRenderedPageBreak/>
        <w:t xml:space="preserve">approach used to estimate the number of patients eligible for treatment. The submission then applied </w:t>
      </w:r>
      <w:r w:rsidR="000401E5" w:rsidRPr="000401E5">
        <w:rPr>
          <w:rFonts w:ascii="Franklin Gothic Book" w:eastAsia="Calibri" w:hAnsi="Franklin Gothic Book" w:cs="Times New Roman"/>
          <w:b/>
          <w:bCs/>
          <w:sz w:val="22"/>
        </w:rPr>
        <w:t>redacted</w:t>
      </w:r>
      <w:r w:rsidR="000401E5" w:rsidRPr="00B11FE2" w:rsidDel="000401E5">
        <w:rPr>
          <w:rFonts w:ascii="Franklin Gothic Book" w:eastAsia="Calibri" w:hAnsi="Franklin Gothic Book" w:cs="Times New Roman"/>
          <w:sz w:val="22"/>
        </w:rPr>
        <w:t xml:space="preserve"> </w:t>
      </w:r>
      <w:r w:rsidRPr="00B11FE2">
        <w:rPr>
          <w:rFonts w:ascii="Franklin Gothic Book" w:eastAsia="Calibri" w:hAnsi="Franklin Gothic Book" w:cs="Times New Roman"/>
          <w:sz w:val="22"/>
        </w:rPr>
        <w:t>tests for each patient who received anti-HDV testing, based on the assumption that there may be some patients that would be initially diagnosed as anti-HDV negative but who would subsequently be re-tested at a later date. As Australian practice recommendations</w:t>
      </w:r>
      <w:r w:rsidR="00F06613" w:rsidRPr="00B11FE2">
        <w:rPr>
          <w:rFonts w:ascii="Franklin Gothic Book" w:eastAsia="Calibri" w:hAnsi="Franklin Gothic Book" w:cs="Times New Roman"/>
          <w:sz w:val="22"/>
        </w:rPr>
        <w:t xml:space="preserve"> </w:t>
      </w:r>
      <w:r w:rsidRPr="00B11FE2">
        <w:rPr>
          <w:rFonts w:ascii="Franklin Gothic Book" w:eastAsia="Calibri" w:hAnsi="Franklin Gothic Book" w:cs="Times New Roman"/>
          <w:sz w:val="22"/>
        </w:rPr>
        <w:t xml:space="preserve">recommend screening for HDV at least once, the extent of repeated screening is unclear, though is unlikely to occur within the same year. The increase in cost of anti-HDV testing is presented in </w:t>
      </w:r>
      <w:r w:rsidRPr="00B11FE2">
        <w:rPr>
          <w:rFonts w:ascii="Franklin Gothic Book" w:eastAsia="Calibri" w:hAnsi="Franklin Gothic Book" w:cs="Times New Roman"/>
          <w:sz w:val="22"/>
        </w:rPr>
        <w:fldChar w:fldCharType="begin"/>
      </w:r>
      <w:r w:rsidRPr="00B11FE2">
        <w:rPr>
          <w:rFonts w:ascii="Franklin Gothic Book" w:eastAsia="Calibri" w:hAnsi="Franklin Gothic Book" w:cs="Times New Roman"/>
          <w:sz w:val="22"/>
        </w:rPr>
        <w:instrText xml:space="preserve"> REF _Ref152684359 \h  \* MERGEFORMAT </w:instrText>
      </w:r>
      <w:r w:rsidRPr="00B11FE2">
        <w:rPr>
          <w:rFonts w:ascii="Franklin Gothic Book" w:eastAsia="Calibri" w:hAnsi="Franklin Gothic Book" w:cs="Times New Roman"/>
          <w:sz w:val="22"/>
        </w:rPr>
      </w:r>
      <w:r w:rsidRPr="00B11FE2">
        <w:rPr>
          <w:rFonts w:ascii="Franklin Gothic Book" w:eastAsia="Calibri" w:hAnsi="Franklin Gothic Book" w:cs="Times New Roman"/>
          <w:sz w:val="22"/>
        </w:rPr>
        <w:fldChar w:fldCharType="separate"/>
      </w:r>
      <w:r w:rsidR="00B02BFE" w:rsidRPr="00B11FE2">
        <w:rPr>
          <w:rFonts w:ascii="Franklin Gothic Book" w:eastAsia="Calibri" w:hAnsi="Franklin Gothic Book" w:cs="Times New Roman"/>
          <w:sz w:val="22"/>
        </w:rPr>
        <w:t xml:space="preserve">Table </w:t>
      </w:r>
      <w:r w:rsidR="00B02BFE" w:rsidRPr="00B11FE2">
        <w:rPr>
          <w:rFonts w:ascii="Franklin Gothic Book" w:eastAsia="Calibri" w:hAnsi="Franklin Gothic Book" w:cs="Times New Roman"/>
          <w:noProof/>
          <w:sz w:val="22"/>
        </w:rPr>
        <w:t>13</w:t>
      </w:r>
      <w:r w:rsidRPr="00B11FE2">
        <w:rPr>
          <w:rFonts w:ascii="Franklin Gothic Book" w:eastAsia="Calibri" w:hAnsi="Franklin Gothic Book" w:cs="Times New Roman"/>
          <w:sz w:val="22"/>
        </w:rPr>
        <w:fldChar w:fldCharType="end"/>
      </w:r>
      <w:r w:rsidRPr="00B11FE2">
        <w:rPr>
          <w:rFonts w:ascii="Franklin Gothic Book" w:eastAsia="Calibri" w:hAnsi="Franklin Gothic Book" w:cs="Times New Roman"/>
          <w:sz w:val="22"/>
        </w:rPr>
        <w:t>.</w:t>
      </w:r>
    </w:p>
    <w:p w14:paraId="6BD644DC" w14:textId="24733988" w:rsidR="00E965EE" w:rsidRPr="00B11FE2" w:rsidRDefault="00E965EE" w:rsidP="00E965EE">
      <w:pPr>
        <w:spacing w:before="0" w:after="240"/>
        <w:jc w:val="left"/>
        <w:rPr>
          <w:rFonts w:ascii="Franklin Gothic Book" w:eastAsia="Calibri" w:hAnsi="Franklin Gothic Book" w:cs="Times New Roman"/>
          <w:sz w:val="22"/>
        </w:rPr>
      </w:pPr>
      <w:r w:rsidRPr="00B11FE2">
        <w:rPr>
          <w:rFonts w:ascii="Franklin Gothic Book" w:eastAsia="Calibri" w:hAnsi="Franklin Gothic Book" w:cs="Times New Roman"/>
          <w:sz w:val="22"/>
        </w:rPr>
        <w:t xml:space="preserve">The net cost to the MBS for the increase in use and cost of HDV RNA and anti-HDV testing is presented in </w:t>
      </w:r>
      <w:r w:rsidRPr="00B11FE2">
        <w:rPr>
          <w:rFonts w:ascii="Franklin Gothic Book" w:eastAsia="Calibri" w:hAnsi="Franklin Gothic Book" w:cs="Times New Roman"/>
          <w:sz w:val="22"/>
        </w:rPr>
        <w:fldChar w:fldCharType="begin"/>
      </w:r>
      <w:r w:rsidRPr="00B11FE2">
        <w:rPr>
          <w:rFonts w:ascii="Franklin Gothic Book" w:eastAsia="Calibri" w:hAnsi="Franklin Gothic Book" w:cs="Times New Roman"/>
          <w:sz w:val="22"/>
        </w:rPr>
        <w:instrText xml:space="preserve"> REF _Ref152684359 \h  \* MERGEFORMAT </w:instrText>
      </w:r>
      <w:r w:rsidRPr="00B11FE2">
        <w:rPr>
          <w:rFonts w:ascii="Franklin Gothic Book" w:eastAsia="Calibri" w:hAnsi="Franklin Gothic Book" w:cs="Times New Roman"/>
          <w:sz w:val="22"/>
        </w:rPr>
      </w:r>
      <w:r w:rsidRPr="00B11FE2">
        <w:rPr>
          <w:rFonts w:ascii="Franklin Gothic Book" w:eastAsia="Calibri" w:hAnsi="Franklin Gothic Book" w:cs="Times New Roman"/>
          <w:sz w:val="22"/>
        </w:rPr>
        <w:fldChar w:fldCharType="separate"/>
      </w:r>
      <w:r w:rsidR="00B02BFE" w:rsidRPr="00B11FE2">
        <w:rPr>
          <w:rFonts w:ascii="Franklin Gothic Book" w:eastAsia="Calibri" w:hAnsi="Franklin Gothic Book" w:cs="Times New Roman"/>
          <w:sz w:val="22"/>
        </w:rPr>
        <w:t xml:space="preserve">Table </w:t>
      </w:r>
      <w:r w:rsidR="00B02BFE" w:rsidRPr="00B11FE2">
        <w:rPr>
          <w:rFonts w:ascii="Franklin Gothic Book" w:eastAsia="Calibri" w:hAnsi="Franklin Gothic Book" w:cs="Times New Roman"/>
          <w:noProof/>
          <w:sz w:val="22"/>
        </w:rPr>
        <w:t>13</w:t>
      </w:r>
      <w:r w:rsidRPr="00B11FE2">
        <w:rPr>
          <w:rFonts w:ascii="Franklin Gothic Book" w:eastAsia="Calibri" w:hAnsi="Franklin Gothic Book" w:cs="Times New Roman"/>
          <w:sz w:val="22"/>
        </w:rPr>
        <w:fldChar w:fldCharType="end"/>
      </w:r>
      <w:r w:rsidRPr="00B11FE2">
        <w:rPr>
          <w:rFonts w:ascii="Franklin Gothic Book" w:eastAsia="Calibri" w:hAnsi="Franklin Gothic Book" w:cs="Times New Roman"/>
          <w:sz w:val="22"/>
        </w:rPr>
        <w:t>. The impact was estimated to be highest in the first three years of listing, due to testing in the prevalent population.</w:t>
      </w:r>
    </w:p>
    <w:p w14:paraId="161CAE86" w14:textId="7372D9CD" w:rsidR="00E965EE" w:rsidRPr="00E965EE" w:rsidDel="0015247C" w:rsidRDefault="00E965EE" w:rsidP="00E965EE">
      <w:pPr>
        <w:keepNext/>
        <w:keepLines/>
        <w:widowControl w:val="0"/>
        <w:spacing w:after="0"/>
        <w:ind w:left="1134" w:hanging="1134"/>
        <w:jc w:val="left"/>
        <w:rPr>
          <w:rFonts w:ascii="Arial Narrow" w:eastAsia="Calibri" w:hAnsi="Arial Narrow" w:cs="Times New Roman"/>
          <w:b/>
          <w:bCs/>
          <w:iCs/>
          <w:sz w:val="20"/>
          <w:szCs w:val="18"/>
          <w:lang w:val="en-US"/>
        </w:rPr>
      </w:pPr>
      <w:bookmarkStart w:id="35" w:name="_Ref152684359"/>
      <w:r w:rsidRPr="00E965EE">
        <w:rPr>
          <w:rFonts w:ascii="Arial Narrow" w:eastAsia="Calibri" w:hAnsi="Arial Narrow" w:cs="Times New Roman"/>
          <w:b/>
          <w:bCs/>
          <w:iCs/>
          <w:sz w:val="20"/>
          <w:szCs w:val="18"/>
          <w:lang w:val="en-US"/>
        </w:rPr>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13</w:t>
      </w:r>
      <w:r w:rsidRPr="00E965EE">
        <w:rPr>
          <w:rFonts w:ascii="Arial Narrow" w:eastAsia="Calibri" w:hAnsi="Arial Narrow" w:cs="Times New Roman"/>
          <w:b/>
          <w:bCs/>
          <w:iCs/>
          <w:sz w:val="20"/>
          <w:szCs w:val="18"/>
          <w:lang w:val="en-US"/>
        </w:rPr>
        <w:fldChar w:fldCharType="end"/>
      </w:r>
      <w:bookmarkEnd w:id="35"/>
      <w:r w:rsidRPr="00E965EE">
        <w:rPr>
          <w:rFonts w:ascii="Arial Narrow" w:eastAsia="Calibri" w:hAnsi="Arial Narrow" w:cs="Times New Roman"/>
          <w:b/>
          <w:bCs/>
          <w:iCs/>
          <w:sz w:val="20"/>
          <w:szCs w:val="18"/>
          <w:lang w:val="en-US"/>
        </w:rPr>
        <w:tab/>
        <w:t>Net financial implications to the MBS</w:t>
      </w:r>
    </w:p>
    <w:tbl>
      <w:tblPr>
        <w:tblStyle w:val="ASDTable1"/>
        <w:tblW w:w="5000" w:type="pct"/>
        <w:tblLayout w:type="fixed"/>
        <w:tblLook w:val="04A0" w:firstRow="1" w:lastRow="0" w:firstColumn="1" w:lastColumn="0" w:noHBand="0" w:noVBand="1"/>
      </w:tblPr>
      <w:tblGrid>
        <w:gridCol w:w="2122"/>
        <w:gridCol w:w="1149"/>
        <w:gridCol w:w="1149"/>
        <w:gridCol w:w="1149"/>
        <w:gridCol w:w="1149"/>
        <w:gridCol w:w="1149"/>
        <w:gridCol w:w="1149"/>
      </w:tblGrid>
      <w:tr w:rsidR="00E965EE" w:rsidRPr="00E965EE" w14:paraId="151A6B01" w14:textId="77777777" w:rsidTr="00396F09">
        <w:trPr>
          <w:cantSplit/>
          <w:trHeight w:val="20"/>
        </w:trPr>
        <w:tc>
          <w:tcPr>
            <w:tcW w:w="1177" w:type="pct"/>
            <w:tcBorders>
              <w:bottom w:val="single" w:sz="4" w:space="0" w:color="auto"/>
            </w:tcBorders>
            <w:noWrap/>
            <w:hideMark/>
          </w:tcPr>
          <w:p w14:paraId="6560153B" w14:textId="77777777" w:rsidR="00E965EE" w:rsidRPr="00E965EE" w:rsidRDefault="00E965EE" w:rsidP="00E965EE">
            <w:pPr>
              <w:keepNext/>
              <w:spacing w:before="0"/>
              <w:jc w:val="left"/>
              <w:rPr>
                <w:rFonts w:ascii="Arial Narrow" w:hAnsi="Arial Narrow"/>
                <w:b/>
                <w:sz w:val="20"/>
              </w:rPr>
            </w:pPr>
          </w:p>
        </w:tc>
        <w:tc>
          <w:tcPr>
            <w:tcW w:w="637" w:type="pct"/>
            <w:tcBorders>
              <w:bottom w:val="single" w:sz="4" w:space="0" w:color="auto"/>
            </w:tcBorders>
            <w:noWrap/>
            <w:hideMark/>
          </w:tcPr>
          <w:p w14:paraId="321B6E5F"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1</w:t>
            </w:r>
          </w:p>
        </w:tc>
        <w:tc>
          <w:tcPr>
            <w:tcW w:w="637" w:type="pct"/>
            <w:tcBorders>
              <w:bottom w:val="single" w:sz="4" w:space="0" w:color="auto"/>
            </w:tcBorders>
            <w:noWrap/>
            <w:hideMark/>
          </w:tcPr>
          <w:p w14:paraId="6166089A"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2</w:t>
            </w:r>
          </w:p>
        </w:tc>
        <w:tc>
          <w:tcPr>
            <w:tcW w:w="637" w:type="pct"/>
            <w:tcBorders>
              <w:bottom w:val="single" w:sz="4" w:space="0" w:color="auto"/>
            </w:tcBorders>
            <w:noWrap/>
            <w:hideMark/>
          </w:tcPr>
          <w:p w14:paraId="2264F0D6"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3</w:t>
            </w:r>
          </w:p>
        </w:tc>
        <w:tc>
          <w:tcPr>
            <w:tcW w:w="637" w:type="pct"/>
            <w:tcBorders>
              <w:bottom w:val="single" w:sz="4" w:space="0" w:color="auto"/>
            </w:tcBorders>
            <w:noWrap/>
            <w:hideMark/>
          </w:tcPr>
          <w:p w14:paraId="15780302"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4</w:t>
            </w:r>
          </w:p>
        </w:tc>
        <w:tc>
          <w:tcPr>
            <w:tcW w:w="637" w:type="pct"/>
            <w:tcBorders>
              <w:bottom w:val="single" w:sz="4" w:space="0" w:color="auto"/>
            </w:tcBorders>
            <w:noWrap/>
            <w:hideMark/>
          </w:tcPr>
          <w:p w14:paraId="38181F38"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5</w:t>
            </w:r>
          </w:p>
        </w:tc>
        <w:tc>
          <w:tcPr>
            <w:tcW w:w="637" w:type="pct"/>
            <w:tcBorders>
              <w:bottom w:val="single" w:sz="4" w:space="0" w:color="auto"/>
            </w:tcBorders>
            <w:noWrap/>
            <w:hideMark/>
          </w:tcPr>
          <w:p w14:paraId="107289BA" w14:textId="77777777" w:rsidR="00E965EE" w:rsidRPr="00E965EE" w:rsidRDefault="00E965EE" w:rsidP="00E965EE">
            <w:pPr>
              <w:keepNext/>
              <w:spacing w:before="0"/>
              <w:jc w:val="center"/>
              <w:rPr>
                <w:rFonts w:ascii="Arial Narrow" w:hAnsi="Arial Narrow"/>
                <w:b/>
                <w:sz w:val="20"/>
              </w:rPr>
            </w:pPr>
            <w:r w:rsidRPr="00E965EE">
              <w:rPr>
                <w:rFonts w:ascii="Arial Narrow" w:hAnsi="Arial Narrow"/>
                <w:b/>
                <w:sz w:val="20"/>
              </w:rPr>
              <w:t>Year 6</w:t>
            </w:r>
          </w:p>
        </w:tc>
      </w:tr>
      <w:tr w:rsidR="00E965EE" w:rsidRPr="00E965EE" w14:paraId="11E15ED3" w14:textId="77777777" w:rsidTr="00396F09">
        <w:trPr>
          <w:cantSplit/>
          <w:trHeight w:val="20"/>
        </w:trPr>
        <w:tc>
          <w:tcPr>
            <w:tcW w:w="1177" w:type="pct"/>
            <w:tcBorders>
              <w:bottom w:val="nil"/>
            </w:tcBorders>
            <w:noWrap/>
          </w:tcPr>
          <w:p w14:paraId="3187D550"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Cost to the MBS of HDV RNA testing </w:t>
            </w:r>
            <w:r w:rsidRPr="00E965EE">
              <w:rPr>
                <w:rFonts w:ascii="Arial Narrow" w:hAnsi="Arial Narrow"/>
                <w:sz w:val="20"/>
                <w:vertAlign w:val="superscript"/>
              </w:rPr>
              <w:t>a</w:t>
            </w:r>
          </w:p>
        </w:tc>
        <w:tc>
          <w:tcPr>
            <w:tcW w:w="637" w:type="pct"/>
            <w:tcBorders>
              <w:bottom w:val="nil"/>
            </w:tcBorders>
            <w:noWrap/>
          </w:tcPr>
          <w:p w14:paraId="430F30A2" w14:textId="65CC7CA3"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38C99723" w14:textId="70D663C3"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28B7DCDA" w14:textId="6BBE14EA"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30A06772" w14:textId="7635568E"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14AD4880" w14:textId="77468808"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56C2FFEF" w14:textId="67DDA43F"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27779C0B" w14:textId="77777777" w:rsidTr="00396F09">
        <w:trPr>
          <w:cantSplit/>
          <w:trHeight w:val="20"/>
        </w:trPr>
        <w:tc>
          <w:tcPr>
            <w:tcW w:w="1177" w:type="pct"/>
            <w:tcBorders>
              <w:top w:val="nil"/>
              <w:bottom w:val="single" w:sz="4" w:space="0" w:color="auto"/>
            </w:tcBorders>
            <w:noWrap/>
          </w:tcPr>
          <w:p w14:paraId="0DFF86D1" w14:textId="77777777" w:rsidR="00E965EE" w:rsidRPr="00E965EE" w:rsidRDefault="00E965EE" w:rsidP="00E965EE">
            <w:pPr>
              <w:keepNext/>
              <w:widowControl w:val="0"/>
              <w:spacing w:before="0"/>
              <w:jc w:val="left"/>
              <w:rPr>
                <w:rFonts w:ascii="Arial Narrow" w:hAnsi="Arial Narrow"/>
                <w:iCs/>
                <w:sz w:val="20"/>
              </w:rPr>
            </w:pPr>
            <w:r w:rsidRPr="00E965EE">
              <w:rPr>
                <w:rFonts w:ascii="Arial Narrow" w:hAnsi="Arial Narrow"/>
                <w:iCs/>
                <w:sz w:val="20"/>
              </w:rPr>
              <w:t>Revised </w:t>
            </w:r>
            <w:r w:rsidRPr="00E965EE">
              <w:rPr>
                <w:rFonts w:ascii="Arial Narrow" w:hAnsi="Arial Narrow"/>
                <w:iCs/>
                <w:sz w:val="20"/>
                <w:vertAlign w:val="superscript"/>
              </w:rPr>
              <w:t>b</w:t>
            </w:r>
          </w:p>
        </w:tc>
        <w:tc>
          <w:tcPr>
            <w:tcW w:w="637" w:type="pct"/>
            <w:tcBorders>
              <w:top w:val="nil"/>
              <w:bottom w:val="single" w:sz="4" w:space="0" w:color="auto"/>
            </w:tcBorders>
            <w:noWrap/>
          </w:tcPr>
          <w:p w14:paraId="1EE3C251" w14:textId="3CF30324" w:rsidR="00E965EE" w:rsidRPr="00C6199E" w:rsidRDefault="00D36573" w:rsidP="00E965EE">
            <w:pPr>
              <w:keepNext/>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22A24E5B" w14:textId="51CC5864" w:rsidR="00E965EE" w:rsidRPr="00C6199E" w:rsidRDefault="00D36573" w:rsidP="00E965EE">
            <w:pPr>
              <w:keepNext/>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47A4C3FD" w14:textId="2767C5C7" w:rsidR="00E965EE" w:rsidRPr="00C6199E" w:rsidRDefault="00D36573" w:rsidP="00E965EE">
            <w:pPr>
              <w:keepNext/>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16FF8CF7" w14:textId="531B27C7" w:rsidR="00E965EE" w:rsidRPr="00C6199E" w:rsidRDefault="00D36573" w:rsidP="00E965EE">
            <w:pPr>
              <w:keepNext/>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64CFA137" w14:textId="53D1D7E1" w:rsidR="00E965EE" w:rsidRPr="00C6199E" w:rsidRDefault="00D36573" w:rsidP="00E965EE">
            <w:pPr>
              <w:keepNext/>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0C68B1BF" w14:textId="3453C3BB" w:rsidR="00E965EE" w:rsidRPr="00C6199E" w:rsidRDefault="00D36573" w:rsidP="00E965EE">
            <w:pPr>
              <w:keepNext/>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2B7BFEBA" w14:textId="77777777" w:rsidTr="00396F09">
        <w:trPr>
          <w:cantSplit/>
          <w:trHeight w:val="20"/>
        </w:trPr>
        <w:tc>
          <w:tcPr>
            <w:tcW w:w="1177" w:type="pct"/>
            <w:tcBorders>
              <w:bottom w:val="single" w:sz="4" w:space="0" w:color="auto"/>
            </w:tcBorders>
            <w:noWrap/>
          </w:tcPr>
          <w:p w14:paraId="32AA198E" w14:textId="77777777" w:rsidR="00E965EE" w:rsidRPr="00E965EE" w:rsidRDefault="00E965EE" w:rsidP="00E965EE">
            <w:pPr>
              <w:keepNext/>
              <w:widowControl w:val="0"/>
              <w:spacing w:before="0"/>
              <w:jc w:val="left"/>
              <w:rPr>
                <w:rFonts w:ascii="Arial Narrow" w:hAnsi="Arial Narrow"/>
                <w:sz w:val="20"/>
              </w:rPr>
            </w:pPr>
            <w:r w:rsidRPr="00E965EE">
              <w:rPr>
                <w:rFonts w:ascii="Arial Narrow" w:hAnsi="Arial Narrow"/>
                <w:sz w:val="20"/>
              </w:rPr>
              <w:t>Cost to the MBS for changes in anti</w:t>
            </w:r>
            <w:r w:rsidRPr="00E965EE">
              <w:rPr>
                <w:rFonts w:ascii="Arial Narrow" w:hAnsi="Arial Narrow"/>
                <w:sz w:val="20"/>
              </w:rPr>
              <w:noBreakHyphen/>
              <w:t>HDV testing</w:t>
            </w:r>
          </w:p>
        </w:tc>
        <w:tc>
          <w:tcPr>
            <w:tcW w:w="637" w:type="pct"/>
            <w:tcBorders>
              <w:bottom w:val="single" w:sz="4" w:space="0" w:color="auto"/>
            </w:tcBorders>
            <w:noWrap/>
          </w:tcPr>
          <w:p w14:paraId="42A321F8" w14:textId="0C88B37B"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075B0894" w14:textId="735A214A"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4A64D54E" w14:textId="63BC0925"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1957EC60" w14:textId="3FB7B49F"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5D13ECF3" w14:textId="05990BFC"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60760A74" w14:textId="5B6D7C51" w:rsidR="00E965EE" w:rsidRPr="00C6199E" w:rsidRDefault="00D36573" w:rsidP="00E965EE">
            <w:pPr>
              <w:keepNext/>
              <w:widowControl w:val="0"/>
              <w:spacing w:before="0"/>
              <w:jc w:val="right"/>
              <w:rPr>
                <w:rFonts w:ascii="Arial Narrow" w:hAnsi="Arial Narrow"/>
                <w:b/>
                <w:b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72146CEE" w14:textId="77777777" w:rsidTr="00396F09">
        <w:trPr>
          <w:cantSplit/>
          <w:trHeight w:val="20"/>
        </w:trPr>
        <w:tc>
          <w:tcPr>
            <w:tcW w:w="1177" w:type="pct"/>
            <w:tcBorders>
              <w:bottom w:val="nil"/>
            </w:tcBorders>
            <w:noWrap/>
          </w:tcPr>
          <w:p w14:paraId="4EE7DF57" w14:textId="77777777" w:rsidR="00E965EE" w:rsidRPr="00E965EE" w:rsidRDefault="00E965EE" w:rsidP="00E965EE">
            <w:pPr>
              <w:keepNext/>
              <w:widowControl w:val="0"/>
              <w:spacing w:before="0"/>
              <w:jc w:val="left"/>
              <w:rPr>
                <w:rFonts w:ascii="Arial Narrow" w:hAnsi="Arial Narrow"/>
                <w:b/>
                <w:bCs/>
                <w:sz w:val="20"/>
              </w:rPr>
            </w:pPr>
            <w:r w:rsidRPr="00E965EE">
              <w:rPr>
                <w:rFonts w:ascii="Arial Narrow" w:hAnsi="Arial Narrow"/>
                <w:b/>
                <w:bCs/>
                <w:sz w:val="20"/>
              </w:rPr>
              <w:t>Net cost to the MBS</w:t>
            </w:r>
          </w:p>
        </w:tc>
        <w:tc>
          <w:tcPr>
            <w:tcW w:w="637" w:type="pct"/>
            <w:tcBorders>
              <w:bottom w:val="nil"/>
            </w:tcBorders>
            <w:noWrap/>
          </w:tcPr>
          <w:p w14:paraId="306FE82B" w14:textId="12470AFE" w:rsidR="00E965EE" w:rsidRPr="006C30D6" w:rsidRDefault="00D36573" w:rsidP="00E965EE">
            <w:pPr>
              <w:keepNext/>
              <w:widowControl w:val="0"/>
              <w:spacing w:before="0"/>
              <w:jc w:val="right"/>
              <w:rPr>
                <w:rFonts w:ascii="Arial Narrow" w:hAnsi="Arial Narrow"/>
                <w:b/>
                <w:b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bottom w:val="nil"/>
            </w:tcBorders>
            <w:noWrap/>
          </w:tcPr>
          <w:p w14:paraId="502A921C" w14:textId="4A7D6466" w:rsidR="00E965EE" w:rsidRPr="006C30D6" w:rsidRDefault="00D36573" w:rsidP="00E965EE">
            <w:pPr>
              <w:keepNext/>
              <w:widowControl w:val="0"/>
              <w:spacing w:before="0"/>
              <w:jc w:val="right"/>
              <w:rPr>
                <w:rFonts w:ascii="Arial Narrow" w:hAnsi="Arial Narrow"/>
                <w:b/>
                <w:b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bottom w:val="nil"/>
            </w:tcBorders>
            <w:noWrap/>
          </w:tcPr>
          <w:p w14:paraId="0C3429DF" w14:textId="47818AC0" w:rsidR="00E965EE" w:rsidRPr="006C30D6" w:rsidRDefault="00D36573" w:rsidP="00E965EE">
            <w:pPr>
              <w:keepNext/>
              <w:widowControl w:val="0"/>
              <w:spacing w:before="0"/>
              <w:jc w:val="right"/>
              <w:rPr>
                <w:rFonts w:ascii="Arial Narrow" w:hAnsi="Arial Narrow"/>
                <w:b/>
                <w:b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bottom w:val="nil"/>
            </w:tcBorders>
            <w:noWrap/>
          </w:tcPr>
          <w:p w14:paraId="4837007D" w14:textId="4FB4BE97" w:rsidR="00E965EE" w:rsidRPr="006C30D6" w:rsidRDefault="00D36573" w:rsidP="00E965EE">
            <w:pPr>
              <w:keepNext/>
              <w:widowControl w:val="0"/>
              <w:spacing w:before="0"/>
              <w:jc w:val="right"/>
              <w:rPr>
                <w:rFonts w:ascii="Arial Narrow" w:hAnsi="Arial Narrow"/>
                <w:b/>
                <w:b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bottom w:val="nil"/>
            </w:tcBorders>
            <w:noWrap/>
          </w:tcPr>
          <w:p w14:paraId="011AA942" w14:textId="640094B3" w:rsidR="00E965EE" w:rsidRPr="006C30D6" w:rsidRDefault="00D36573" w:rsidP="00E965EE">
            <w:pPr>
              <w:keepNext/>
              <w:widowControl w:val="0"/>
              <w:spacing w:before="0"/>
              <w:jc w:val="right"/>
              <w:rPr>
                <w:rFonts w:ascii="Arial Narrow" w:hAnsi="Arial Narrow"/>
                <w:b/>
                <w:b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bottom w:val="nil"/>
            </w:tcBorders>
            <w:noWrap/>
          </w:tcPr>
          <w:p w14:paraId="76DC0764" w14:textId="05557BCF" w:rsidR="00E965EE" w:rsidRPr="006C30D6" w:rsidRDefault="00D36573" w:rsidP="00E965EE">
            <w:pPr>
              <w:keepNext/>
              <w:widowControl w:val="0"/>
              <w:spacing w:before="0"/>
              <w:jc w:val="right"/>
              <w:rPr>
                <w:rFonts w:ascii="Arial Narrow" w:hAnsi="Arial Narrow"/>
                <w:b/>
                <w:bCs/>
                <w:sz w:val="20"/>
              </w:rPr>
            </w:pPr>
            <w:r w:rsidRPr="006C30D6">
              <w:rPr>
                <w:rFonts w:ascii="Arial Narrow" w:hAnsi="Arial Narrow"/>
                <w:b/>
                <w:bCs/>
                <w:sz w:val="20"/>
              </w:rPr>
              <w:t>redacted</w:t>
            </w:r>
            <w:r w:rsidRPr="006C30D6">
              <w:rPr>
                <w:rFonts w:ascii="Arial Narrow" w:hAnsi="Arial Narrow"/>
                <w:b/>
                <w:bCs/>
                <w:sz w:val="20"/>
                <w:vertAlign w:val="superscript"/>
              </w:rPr>
              <w:t>1</w:t>
            </w:r>
          </w:p>
        </w:tc>
      </w:tr>
      <w:tr w:rsidR="00E965EE" w:rsidRPr="00E965EE" w14:paraId="72932D3D" w14:textId="77777777" w:rsidTr="00396F09">
        <w:trPr>
          <w:cantSplit/>
          <w:trHeight w:val="20"/>
        </w:trPr>
        <w:tc>
          <w:tcPr>
            <w:tcW w:w="1177" w:type="pct"/>
            <w:tcBorders>
              <w:top w:val="nil"/>
            </w:tcBorders>
            <w:noWrap/>
          </w:tcPr>
          <w:p w14:paraId="14A3D788" w14:textId="77777777" w:rsidR="00E965EE" w:rsidRPr="00E965EE" w:rsidRDefault="00E965EE" w:rsidP="00E965EE">
            <w:pPr>
              <w:keepNext/>
              <w:widowControl w:val="0"/>
              <w:spacing w:before="0"/>
              <w:jc w:val="left"/>
              <w:rPr>
                <w:rFonts w:ascii="Arial Narrow" w:hAnsi="Arial Narrow"/>
                <w:b/>
                <w:bCs/>
                <w:iCs/>
                <w:sz w:val="20"/>
              </w:rPr>
            </w:pPr>
            <w:r w:rsidRPr="00E965EE">
              <w:rPr>
                <w:rFonts w:ascii="Arial Narrow" w:hAnsi="Arial Narrow"/>
                <w:b/>
                <w:bCs/>
                <w:iCs/>
                <w:sz w:val="20"/>
              </w:rPr>
              <w:t>Revised</w:t>
            </w:r>
          </w:p>
        </w:tc>
        <w:tc>
          <w:tcPr>
            <w:tcW w:w="637" w:type="pct"/>
            <w:tcBorders>
              <w:top w:val="nil"/>
            </w:tcBorders>
            <w:noWrap/>
          </w:tcPr>
          <w:p w14:paraId="6C9033A0" w14:textId="3B7B7370" w:rsidR="00E965EE" w:rsidRPr="006C30D6" w:rsidRDefault="00D36573" w:rsidP="00E965EE">
            <w:pPr>
              <w:keepNext/>
              <w:widowControl w:val="0"/>
              <w:spacing w:before="0"/>
              <w:jc w:val="right"/>
              <w:rPr>
                <w:rFonts w:ascii="Arial Narrow" w:hAnsi="Arial Narrow"/>
                <w:b/>
                <w:bCs/>
                <w:i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top w:val="nil"/>
            </w:tcBorders>
            <w:noWrap/>
          </w:tcPr>
          <w:p w14:paraId="73197C4E" w14:textId="0A087538" w:rsidR="00E965EE" w:rsidRPr="006C30D6" w:rsidRDefault="00D36573" w:rsidP="00E965EE">
            <w:pPr>
              <w:keepNext/>
              <w:widowControl w:val="0"/>
              <w:spacing w:before="0"/>
              <w:jc w:val="right"/>
              <w:rPr>
                <w:rFonts w:ascii="Arial Narrow" w:hAnsi="Arial Narrow"/>
                <w:b/>
                <w:bCs/>
                <w:i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top w:val="nil"/>
            </w:tcBorders>
            <w:noWrap/>
          </w:tcPr>
          <w:p w14:paraId="33C2ADDA" w14:textId="01859D8B" w:rsidR="00E965EE" w:rsidRPr="006C30D6" w:rsidRDefault="00D36573" w:rsidP="00E965EE">
            <w:pPr>
              <w:keepNext/>
              <w:widowControl w:val="0"/>
              <w:spacing w:before="0"/>
              <w:jc w:val="right"/>
              <w:rPr>
                <w:rFonts w:ascii="Arial Narrow" w:hAnsi="Arial Narrow"/>
                <w:b/>
                <w:bCs/>
                <w:i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top w:val="nil"/>
            </w:tcBorders>
            <w:noWrap/>
          </w:tcPr>
          <w:p w14:paraId="4E94653A" w14:textId="7DF999CF" w:rsidR="00E965EE" w:rsidRPr="006C30D6" w:rsidRDefault="00D36573" w:rsidP="00E965EE">
            <w:pPr>
              <w:keepNext/>
              <w:widowControl w:val="0"/>
              <w:spacing w:before="0"/>
              <w:jc w:val="right"/>
              <w:rPr>
                <w:rFonts w:ascii="Arial Narrow" w:hAnsi="Arial Narrow"/>
                <w:b/>
                <w:bCs/>
                <w:i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top w:val="nil"/>
            </w:tcBorders>
            <w:noWrap/>
          </w:tcPr>
          <w:p w14:paraId="2DFC4487" w14:textId="6B8EA2DE" w:rsidR="00E965EE" w:rsidRPr="006C30D6" w:rsidRDefault="00D36573" w:rsidP="00E965EE">
            <w:pPr>
              <w:keepNext/>
              <w:widowControl w:val="0"/>
              <w:spacing w:before="0"/>
              <w:jc w:val="right"/>
              <w:rPr>
                <w:rFonts w:ascii="Arial Narrow" w:hAnsi="Arial Narrow"/>
                <w:b/>
                <w:bCs/>
                <w:iCs/>
                <w:sz w:val="20"/>
              </w:rPr>
            </w:pPr>
            <w:r w:rsidRPr="006C30D6">
              <w:rPr>
                <w:rFonts w:ascii="Arial Narrow" w:hAnsi="Arial Narrow"/>
                <w:b/>
                <w:bCs/>
                <w:sz w:val="20"/>
              </w:rPr>
              <w:t>redacted</w:t>
            </w:r>
            <w:r w:rsidRPr="006C30D6">
              <w:rPr>
                <w:rFonts w:ascii="Arial Narrow" w:hAnsi="Arial Narrow"/>
                <w:b/>
                <w:bCs/>
                <w:sz w:val="20"/>
                <w:vertAlign w:val="superscript"/>
              </w:rPr>
              <w:t>1</w:t>
            </w:r>
          </w:p>
        </w:tc>
        <w:tc>
          <w:tcPr>
            <w:tcW w:w="637" w:type="pct"/>
            <w:tcBorders>
              <w:top w:val="nil"/>
            </w:tcBorders>
            <w:noWrap/>
          </w:tcPr>
          <w:p w14:paraId="41DDBC72" w14:textId="37F7F1D1" w:rsidR="00E965EE" w:rsidRPr="006C30D6" w:rsidRDefault="00D36573" w:rsidP="00E965EE">
            <w:pPr>
              <w:keepNext/>
              <w:widowControl w:val="0"/>
              <w:spacing w:before="0"/>
              <w:jc w:val="right"/>
              <w:rPr>
                <w:rFonts w:ascii="Arial Narrow" w:hAnsi="Arial Narrow"/>
                <w:b/>
                <w:bCs/>
                <w:iCs/>
                <w:sz w:val="20"/>
              </w:rPr>
            </w:pPr>
            <w:r w:rsidRPr="006C30D6">
              <w:rPr>
                <w:rFonts w:ascii="Arial Narrow" w:hAnsi="Arial Narrow"/>
                <w:b/>
                <w:bCs/>
                <w:sz w:val="20"/>
              </w:rPr>
              <w:t>redacted</w:t>
            </w:r>
            <w:r w:rsidRPr="006C30D6">
              <w:rPr>
                <w:rFonts w:ascii="Arial Narrow" w:hAnsi="Arial Narrow"/>
                <w:b/>
                <w:bCs/>
                <w:sz w:val="20"/>
                <w:vertAlign w:val="superscript"/>
              </w:rPr>
              <w:t>1</w:t>
            </w:r>
          </w:p>
        </w:tc>
      </w:tr>
    </w:tbl>
    <w:p w14:paraId="133B7679"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Source: Table 4.5−7, p201 of the submission and the attached ‘Attachment 14 - HEPCLUDEX HDV CoDep Section 4_final.xlsm’ file.</w:t>
      </w:r>
    </w:p>
    <w:p w14:paraId="6B3CB66D" w14:textId="77777777"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 xml:space="preserve">HDV = hepatitis D virus; RNA = ribonucleic acid. </w:t>
      </w:r>
    </w:p>
    <w:p w14:paraId="1EC7EDCE" w14:textId="1D0D0AC8" w:rsidR="00E965EE" w:rsidRP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vertAlign w:val="superscript"/>
        </w:rPr>
        <w:t>a</w:t>
      </w:r>
      <w:r w:rsidRPr="00E965EE">
        <w:rPr>
          <w:rFonts w:ascii="Arial Narrow" w:eastAsia="Times New Roman" w:hAnsi="Arial Narrow" w:cs="Arial"/>
          <w:snapToGrid w:val="0"/>
          <w:sz w:val="18"/>
          <w:szCs w:val="20"/>
        </w:rPr>
        <w:t xml:space="preserve"> Sum of HDV RNA costs for determining treatment </w:t>
      </w:r>
      <w:r w:rsidRPr="0011516F">
        <w:rPr>
          <w:rFonts w:ascii="Arial Narrow" w:eastAsia="Times New Roman" w:hAnsi="Arial Narrow" w:cs="Arial"/>
          <w:snapToGrid w:val="0"/>
          <w:sz w:val="18"/>
          <w:szCs w:val="20"/>
        </w:rPr>
        <w:t>initiation (</w:t>
      </w:r>
      <w:r w:rsidRPr="00DD47A1">
        <w:rPr>
          <w:rStyle w:val="TablefootnoteChar"/>
        </w:rPr>
        <w:fldChar w:fldCharType="begin"/>
      </w:r>
      <w:r w:rsidRPr="00DD47A1">
        <w:rPr>
          <w:rStyle w:val="TablefootnoteChar"/>
        </w:rPr>
        <w:instrText xml:space="preserve"> REF _Ref152349392 \h </w:instrText>
      </w:r>
      <w:r w:rsidR="0011516F" w:rsidRPr="00DD47A1">
        <w:rPr>
          <w:rStyle w:val="TablefootnoteChar"/>
        </w:rPr>
        <w:instrText xml:space="preserve"> \* MERGEFORMAT </w:instrText>
      </w:r>
      <w:r w:rsidRPr="00DD47A1">
        <w:rPr>
          <w:rStyle w:val="TablefootnoteChar"/>
        </w:rPr>
      </w:r>
      <w:r w:rsidRPr="00DD47A1">
        <w:rPr>
          <w:rStyle w:val="TablefootnoteChar"/>
        </w:rPr>
        <w:fldChar w:fldCharType="separate"/>
      </w:r>
      <w:r w:rsidR="00B02BFE" w:rsidRPr="00DD47A1">
        <w:rPr>
          <w:rStyle w:val="TablefootnoteChar"/>
        </w:rPr>
        <w:t>Table 10</w:t>
      </w:r>
      <w:r w:rsidRPr="00DD47A1">
        <w:rPr>
          <w:rStyle w:val="TablefootnoteChar"/>
        </w:rPr>
        <w:fldChar w:fldCharType="end"/>
      </w:r>
      <w:r w:rsidRPr="00DD47A1">
        <w:rPr>
          <w:rStyle w:val="TablefootnoteChar"/>
        </w:rPr>
        <w:t>) and monitoring (</w:t>
      </w:r>
      <w:r w:rsidRPr="00DD47A1">
        <w:rPr>
          <w:rStyle w:val="TablefootnoteChar"/>
        </w:rPr>
        <w:fldChar w:fldCharType="begin"/>
      </w:r>
      <w:r w:rsidRPr="00DD47A1">
        <w:rPr>
          <w:rStyle w:val="TablefootnoteChar"/>
        </w:rPr>
        <w:instrText xml:space="preserve"> REF _Ref152683297 \h </w:instrText>
      </w:r>
      <w:r w:rsidR="0011516F" w:rsidRPr="00DD47A1">
        <w:rPr>
          <w:rStyle w:val="TablefootnoteChar"/>
        </w:rPr>
        <w:instrText xml:space="preserve"> \* MERGEFORMAT </w:instrText>
      </w:r>
      <w:r w:rsidRPr="00DD47A1">
        <w:rPr>
          <w:rStyle w:val="TablefootnoteChar"/>
        </w:rPr>
      </w:r>
      <w:r w:rsidRPr="00DD47A1">
        <w:rPr>
          <w:rStyle w:val="TablefootnoteChar"/>
        </w:rPr>
        <w:fldChar w:fldCharType="separate"/>
      </w:r>
      <w:r w:rsidR="00B02BFE" w:rsidRPr="00DD47A1">
        <w:rPr>
          <w:rStyle w:val="TablefootnoteChar"/>
        </w:rPr>
        <w:t>Table 12</w:t>
      </w:r>
      <w:r w:rsidRPr="00DD47A1">
        <w:rPr>
          <w:rStyle w:val="TablefootnoteChar"/>
        </w:rPr>
        <w:fldChar w:fldCharType="end"/>
      </w:r>
      <w:r w:rsidRPr="0011516F">
        <w:rPr>
          <w:rFonts w:ascii="Arial Narrow" w:eastAsia="Times New Roman" w:hAnsi="Arial Narrow" w:cs="Arial"/>
          <w:snapToGrid w:val="0"/>
          <w:sz w:val="18"/>
          <w:szCs w:val="20"/>
        </w:rPr>
        <w:t>).</w:t>
      </w:r>
    </w:p>
    <w:p w14:paraId="76FABC9E" w14:textId="3574179E" w:rsidR="00E965EE" w:rsidRDefault="00E965EE" w:rsidP="00E965EE">
      <w:pPr>
        <w:widowControl w:val="0"/>
        <w:spacing w:before="0" w:after="0"/>
        <w:contextualSpacing/>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vertAlign w:val="superscript"/>
        </w:rPr>
        <w:t>b</w:t>
      </w:r>
      <w:r w:rsidRPr="00E965EE">
        <w:rPr>
          <w:rFonts w:ascii="Arial Narrow" w:eastAsia="Times New Roman" w:hAnsi="Arial Narrow" w:cs="Arial"/>
          <w:snapToGrid w:val="0"/>
          <w:sz w:val="18"/>
          <w:szCs w:val="20"/>
        </w:rPr>
        <w:t xml:space="preserve"> Sum of HDV RNA costs for determining treatment initiation (</w:t>
      </w:r>
      <w:r w:rsidRPr="00E965EE">
        <w:rPr>
          <w:rFonts w:ascii="Arial Narrow" w:eastAsia="Times New Roman" w:hAnsi="Arial Narrow" w:cs="Arial"/>
          <w:snapToGrid w:val="0"/>
          <w:sz w:val="18"/>
          <w:szCs w:val="20"/>
        </w:rPr>
        <w:fldChar w:fldCharType="begin"/>
      </w:r>
      <w:r w:rsidRPr="00E965EE">
        <w:rPr>
          <w:rFonts w:ascii="Arial Narrow" w:eastAsia="Times New Roman" w:hAnsi="Arial Narrow" w:cs="Arial"/>
          <w:snapToGrid w:val="0"/>
          <w:sz w:val="18"/>
          <w:szCs w:val="20"/>
        </w:rPr>
        <w:instrText xml:space="preserve"> REF _Ref152683824 \h  \* MERGEFORMAT </w:instrText>
      </w:r>
      <w:r w:rsidRPr="00E965EE">
        <w:rPr>
          <w:rFonts w:ascii="Arial Narrow" w:eastAsia="Times New Roman" w:hAnsi="Arial Narrow" w:cs="Arial"/>
          <w:snapToGrid w:val="0"/>
          <w:sz w:val="18"/>
          <w:szCs w:val="20"/>
        </w:rPr>
      </w:r>
      <w:r w:rsidRPr="00E965EE">
        <w:rPr>
          <w:rFonts w:ascii="Arial Narrow" w:eastAsia="Times New Roman" w:hAnsi="Arial Narrow" w:cs="Arial"/>
          <w:snapToGrid w:val="0"/>
          <w:sz w:val="18"/>
          <w:szCs w:val="20"/>
        </w:rPr>
        <w:fldChar w:fldCharType="separate"/>
      </w:r>
      <w:r w:rsidR="00B02BFE" w:rsidRPr="00B02BFE">
        <w:rPr>
          <w:rFonts w:ascii="Arial Narrow" w:eastAsia="Times New Roman" w:hAnsi="Arial Narrow" w:cs="Arial"/>
          <w:snapToGrid w:val="0"/>
          <w:sz w:val="18"/>
          <w:szCs w:val="20"/>
        </w:rPr>
        <w:t xml:space="preserve">Table </w:t>
      </w:r>
      <w:r w:rsidR="00B02BFE" w:rsidRPr="00B02BFE">
        <w:rPr>
          <w:rFonts w:ascii="Arial Narrow" w:eastAsia="Times New Roman" w:hAnsi="Arial Narrow" w:cs="Arial"/>
          <w:noProof/>
          <w:snapToGrid w:val="0"/>
          <w:sz w:val="18"/>
          <w:szCs w:val="20"/>
        </w:rPr>
        <w:t>11</w:t>
      </w:r>
      <w:r w:rsidRPr="00E965EE">
        <w:rPr>
          <w:rFonts w:ascii="Arial Narrow" w:eastAsia="Times New Roman" w:hAnsi="Arial Narrow" w:cs="Arial"/>
          <w:snapToGrid w:val="0"/>
          <w:sz w:val="18"/>
          <w:szCs w:val="20"/>
        </w:rPr>
        <w:fldChar w:fldCharType="end"/>
      </w:r>
      <w:r w:rsidRPr="00E965EE">
        <w:rPr>
          <w:rFonts w:ascii="Arial Narrow" w:eastAsia="Times New Roman" w:hAnsi="Arial Narrow" w:cs="Arial"/>
          <w:snapToGrid w:val="0"/>
          <w:sz w:val="18"/>
          <w:szCs w:val="20"/>
        </w:rPr>
        <w:t>) and monitoring (</w:t>
      </w:r>
      <w:r w:rsidRPr="00E965EE">
        <w:rPr>
          <w:rFonts w:ascii="Arial Narrow" w:eastAsia="Times New Roman" w:hAnsi="Arial Narrow" w:cs="Arial"/>
          <w:snapToGrid w:val="0"/>
          <w:sz w:val="18"/>
          <w:szCs w:val="20"/>
        </w:rPr>
        <w:fldChar w:fldCharType="begin"/>
      </w:r>
      <w:r w:rsidRPr="00E965EE">
        <w:rPr>
          <w:rFonts w:ascii="Arial Narrow" w:eastAsia="Times New Roman" w:hAnsi="Arial Narrow" w:cs="Arial"/>
          <w:snapToGrid w:val="0"/>
          <w:sz w:val="18"/>
          <w:szCs w:val="20"/>
        </w:rPr>
        <w:instrText xml:space="preserve"> REF _Ref152683297 \h  \* MERGEFORMAT </w:instrText>
      </w:r>
      <w:r w:rsidRPr="00E965EE">
        <w:rPr>
          <w:rFonts w:ascii="Arial Narrow" w:eastAsia="Times New Roman" w:hAnsi="Arial Narrow" w:cs="Arial"/>
          <w:snapToGrid w:val="0"/>
          <w:sz w:val="18"/>
          <w:szCs w:val="20"/>
        </w:rPr>
      </w:r>
      <w:r w:rsidRPr="00E965EE">
        <w:rPr>
          <w:rFonts w:ascii="Arial Narrow" w:eastAsia="Times New Roman" w:hAnsi="Arial Narrow" w:cs="Arial"/>
          <w:snapToGrid w:val="0"/>
          <w:sz w:val="18"/>
          <w:szCs w:val="20"/>
        </w:rPr>
        <w:fldChar w:fldCharType="separate"/>
      </w:r>
      <w:r w:rsidR="00B02BFE" w:rsidRPr="00B02BFE">
        <w:rPr>
          <w:rFonts w:ascii="Arial Narrow" w:eastAsia="Times New Roman" w:hAnsi="Arial Narrow" w:cs="Arial"/>
          <w:snapToGrid w:val="0"/>
          <w:sz w:val="18"/>
          <w:szCs w:val="20"/>
        </w:rPr>
        <w:t xml:space="preserve">Table </w:t>
      </w:r>
      <w:r w:rsidR="00B02BFE" w:rsidRPr="00B02BFE">
        <w:rPr>
          <w:rFonts w:ascii="Arial Narrow" w:eastAsia="Times New Roman" w:hAnsi="Arial Narrow" w:cs="Arial"/>
          <w:noProof/>
          <w:snapToGrid w:val="0"/>
          <w:sz w:val="18"/>
          <w:szCs w:val="20"/>
        </w:rPr>
        <w:t>12</w:t>
      </w:r>
      <w:r w:rsidRPr="00E965EE">
        <w:rPr>
          <w:rFonts w:ascii="Arial Narrow" w:eastAsia="Times New Roman" w:hAnsi="Arial Narrow" w:cs="Arial"/>
          <w:snapToGrid w:val="0"/>
          <w:sz w:val="18"/>
          <w:szCs w:val="20"/>
        </w:rPr>
        <w:fldChar w:fldCharType="end"/>
      </w:r>
      <w:r w:rsidRPr="00E965EE">
        <w:rPr>
          <w:rFonts w:ascii="Arial Narrow" w:eastAsia="Times New Roman" w:hAnsi="Arial Narrow" w:cs="Arial"/>
          <w:snapToGrid w:val="0"/>
          <w:sz w:val="18"/>
          <w:szCs w:val="20"/>
        </w:rPr>
        <w:t>).</w:t>
      </w:r>
    </w:p>
    <w:p w14:paraId="0C34D518" w14:textId="39CB3CC7" w:rsidR="00393AB7" w:rsidRPr="00E965EE" w:rsidRDefault="00393AB7" w:rsidP="00E965EE">
      <w:pPr>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1 </w:t>
      </w:r>
      <w:r w:rsidR="00D36573" w:rsidRPr="00D36573">
        <w:rPr>
          <w:rFonts w:ascii="Arial Narrow" w:eastAsia="Times New Roman" w:hAnsi="Arial Narrow" w:cs="Arial"/>
          <w:snapToGrid w:val="0"/>
          <w:sz w:val="18"/>
          <w:szCs w:val="20"/>
        </w:rPr>
        <w:t>$0 to &lt; $10 million</w:t>
      </w:r>
    </w:p>
    <w:p w14:paraId="3358AB81" w14:textId="0976490D" w:rsidR="00E965EE" w:rsidRPr="00B11FE2" w:rsidRDefault="00E965EE" w:rsidP="00B11FE2">
      <w:pPr>
        <w:spacing w:after="240"/>
        <w:jc w:val="left"/>
        <w:rPr>
          <w:rFonts w:ascii="Franklin Gothic Book" w:eastAsia="Calibri" w:hAnsi="Franklin Gothic Book" w:cs="Times New Roman"/>
          <w:sz w:val="22"/>
        </w:rPr>
      </w:pPr>
      <w:r w:rsidRPr="00B11FE2">
        <w:rPr>
          <w:rFonts w:ascii="Franklin Gothic Book" w:eastAsia="Calibri" w:hAnsi="Franklin Gothic Book" w:cs="Times New Roman"/>
          <w:sz w:val="22"/>
        </w:rPr>
        <w:t xml:space="preserve">Key sensitivity analyses are presented in </w:t>
      </w:r>
      <w:r w:rsidRPr="00B11FE2">
        <w:rPr>
          <w:rFonts w:ascii="Franklin Gothic Book" w:eastAsia="Calibri" w:hAnsi="Franklin Gothic Book" w:cs="Times New Roman"/>
          <w:sz w:val="22"/>
        </w:rPr>
        <w:fldChar w:fldCharType="begin"/>
      </w:r>
      <w:r w:rsidRPr="00B11FE2">
        <w:rPr>
          <w:rFonts w:ascii="Franklin Gothic Book" w:eastAsia="Calibri" w:hAnsi="Franklin Gothic Book" w:cs="Times New Roman"/>
          <w:sz w:val="22"/>
        </w:rPr>
        <w:instrText xml:space="preserve"> REF _Ref152685017 \h  \* MERGEFORMAT </w:instrText>
      </w:r>
      <w:r w:rsidRPr="00B11FE2">
        <w:rPr>
          <w:rFonts w:ascii="Franklin Gothic Book" w:eastAsia="Calibri" w:hAnsi="Franklin Gothic Book" w:cs="Times New Roman"/>
          <w:sz w:val="22"/>
        </w:rPr>
      </w:r>
      <w:r w:rsidRPr="00B11FE2">
        <w:rPr>
          <w:rFonts w:ascii="Franklin Gothic Book" w:eastAsia="Calibri" w:hAnsi="Franklin Gothic Book" w:cs="Times New Roman"/>
          <w:sz w:val="22"/>
        </w:rPr>
        <w:fldChar w:fldCharType="separate"/>
      </w:r>
      <w:r w:rsidR="00B02BFE" w:rsidRPr="00B11FE2">
        <w:rPr>
          <w:rFonts w:ascii="Franklin Gothic Book" w:eastAsia="Calibri" w:hAnsi="Franklin Gothic Book" w:cs="Times New Roman"/>
          <w:sz w:val="22"/>
        </w:rPr>
        <w:t xml:space="preserve">Table </w:t>
      </w:r>
      <w:r w:rsidR="00B02BFE" w:rsidRPr="00B11FE2">
        <w:rPr>
          <w:rFonts w:ascii="Franklin Gothic Book" w:eastAsia="Calibri" w:hAnsi="Franklin Gothic Book" w:cs="Times New Roman"/>
          <w:noProof/>
          <w:sz w:val="22"/>
        </w:rPr>
        <w:t>14</w:t>
      </w:r>
      <w:r w:rsidRPr="00B11FE2">
        <w:rPr>
          <w:rFonts w:ascii="Franklin Gothic Book" w:eastAsia="Calibri" w:hAnsi="Franklin Gothic Book" w:cs="Times New Roman"/>
          <w:sz w:val="22"/>
        </w:rPr>
        <w:fldChar w:fldCharType="end"/>
      </w:r>
      <w:r w:rsidRPr="00B11FE2">
        <w:rPr>
          <w:rFonts w:ascii="Franklin Gothic Book" w:eastAsia="Calibri" w:hAnsi="Franklin Gothic Book" w:cs="Times New Roman"/>
          <w:sz w:val="22"/>
        </w:rPr>
        <w:t>. The Commentary noted that the analyses were most sensitive to changes in the proportion of patients expected to be anti-HDV positive or HDV RNA positive, the proportion of patients eligible and who uptake bulevirtide treatment and the expected uptake of HDV RNA testing. Concerns were noted regarding the proportion of patients considered eligible for bulevirtide treatment and uptake estimates applied for HDV RNA testing and bulevirtide treatment (given that an increase in anti-HDV testing was also assumed, and drivers for the increase in uptake may be for access to HDV RNA testing and bulevirtide treatment).</w:t>
      </w:r>
    </w:p>
    <w:p w14:paraId="6BB852DF" w14:textId="41BAE276" w:rsidR="00E965EE" w:rsidRPr="00E965EE" w:rsidDel="0015247C" w:rsidRDefault="00E965EE" w:rsidP="00A67F5E">
      <w:pPr>
        <w:keepNext/>
        <w:keepLines/>
        <w:widowControl w:val="0"/>
        <w:spacing w:after="0"/>
        <w:ind w:left="1134" w:hanging="1134"/>
        <w:jc w:val="left"/>
        <w:rPr>
          <w:rFonts w:ascii="Arial Narrow" w:eastAsia="Calibri" w:hAnsi="Arial Narrow" w:cs="Times New Roman"/>
          <w:b/>
          <w:bCs/>
          <w:iCs/>
          <w:sz w:val="20"/>
          <w:szCs w:val="18"/>
          <w:lang w:val="en-US"/>
        </w:rPr>
      </w:pPr>
      <w:bookmarkStart w:id="36" w:name="_Ref152685017"/>
      <w:r w:rsidRPr="00E965EE">
        <w:rPr>
          <w:rFonts w:ascii="Arial Narrow" w:eastAsia="Calibri" w:hAnsi="Arial Narrow" w:cs="Times New Roman"/>
          <w:b/>
          <w:bCs/>
          <w:iCs/>
          <w:sz w:val="20"/>
          <w:szCs w:val="18"/>
          <w:lang w:val="en-US"/>
        </w:rPr>
        <w:lastRenderedPageBreak/>
        <w:t xml:space="preserve">Table </w:t>
      </w:r>
      <w:r w:rsidRPr="00E965EE">
        <w:rPr>
          <w:rFonts w:ascii="Arial Narrow" w:eastAsia="Calibri" w:hAnsi="Arial Narrow" w:cs="Times New Roman"/>
          <w:b/>
          <w:bCs/>
          <w:iCs/>
          <w:sz w:val="20"/>
          <w:szCs w:val="18"/>
          <w:lang w:val="en-US"/>
        </w:rPr>
        <w:fldChar w:fldCharType="begin"/>
      </w:r>
      <w:r w:rsidRPr="00E965EE">
        <w:rPr>
          <w:rFonts w:ascii="Arial Narrow" w:eastAsia="Calibri" w:hAnsi="Arial Narrow" w:cs="Times New Roman"/>
          <w:b/>
          <w:bCs/>
          <w:iCs/>
          <w:sz w:val="20"/>
          <w:szCs w:val="18"/>
          <w:lang w:val="en-US"/>
        </w:rPr>
        <w:instrText>SEQ Table_MSAC. \* ARABIC</w:instrText>
      </w:r>
      <w:r w:rsidRPr="00E965EE">
        <w:rPr>
          <w:rFonts w:ascii="Arial Narrow" w:eastAsia="Calibri" w:hAnsi="Arial Narrow" w:cs="Times New Roman"/>
          <w:b/>
          <w:bCs/>
          <w:iCs/>
          <w:sz w:val="20"/>
          <w:szCs w:val="18"/>
          <w:lang w:val="en-US"/>
        </w:rPr>
        <w:fldChar w:fldCharType="separate"/>
      </w:r>
      <w:r w:rsidR="00B02BFE">
        <w:rPr>
          <w:rFonts w:ascii="Arial Narrow" w:eastAsia="Calibri" w:hAnsi="Arial Narrow" w:cs="Times New Roman"/>
          <w:b/>
          <w:bCs/>
          <w:iCs/>
          <w:noProof/>
          <w:sz w:val="20"/>
          <w:szCs w:val="18"/>
          <w:lang w:val="en-US"/>
        </w:rPr>
        <w:t>14</w:t>
      </w:r>
      <w:r w:rsidRPr="00E965EE">
        <w:rPr>
          <w:rFonts w:ascii="Arial Narrow" w:eastAsia="Calibri" w:hAnsi="Arial Narrow" w:cs="Times New Roman"/>
          <w:b/>
          <w:bCs/>
          <w:iCs/>
          <w:sz w:val="20"/>
          <w:szCs w:val="18"/>
          <w:lang w:val="en-US"/>
        </w:rPr>
        <w:fldChar w:fldCharType="end"/>
      </w:r>
      <w:bookmarkEnd w:id="36"/>
      <w:r w:rsidRPr="00E965EE">
        <w:rPr>
          <w:rFonts w:ascii="Arial Narrow" w:eastAsia="Calibri" w:hAnsi="Arial Narrow" w:cs="Times New Roman"/>
          <w:b/>
          <w:bCs/>
          <w:iCs/>
          <w:sz w:val="20"/>
          <w:szCs w:val="18"/>
          <w:lang w:val="en-US"/>
        </w:rPr>
        <w:tab/>
        <w:t>Key sensitivity analyses around the financial impact to the MBS</w:t>
      </w:r>
    </w:p>
    <w:tbl>
      <w:tblPr>
        <w:tblStyle w:val="ASDTable1"/>
        <w:tblW w:w="5000" w:type="pct"/>
        <w:tblLayout w:type="fixed"/>
        <w:tblLook w:val="04A0" w:firstRow="1" w:lastRow="0" w:firstColumn="1" w:lastColumn="0" w:noHBand="0" w:noVBand="1"/>
      </w:tblPr>
      <w:tblGrid>
        <w:gridCol w:w="2120"/>
        <w:gridCol w:w="1148"/>
        <w:gridCol w:w="1149"/>
        <w:gridCol w:w="1149"/>
        <w:gridCol w:w="1149"/>
        <w:gridCol w:w="1149"/>
        <w:gridCol w:w="1152"/>
      </w:tblGrid>
      <w:tr w:rsidR="00E965EE" w:rsidRPr="00E965EE" w14:paraId="0A3912C8" w14:textId="77777777" w:rsidTr="007C78E6">
        <w:trPr>
          <w:cantSplit/>
          <w:trHeight w:val="20"/>
        </w:trPr>
        <w:tc>
          <w:tcPr>
            <w:tcW w:w="1176" w:type="pct"/>
            <w:tcBorders>
              <w:bottom w:val="single" w:sz="4" w:space="0" w:color="auto"/>
            </w:tcBorders>
            <w:noWrap/>
            <w:hideMark/>
          </w:tcPr>
          <w:p w14:paraId="19501B24" w14:textId="77777777" w:rsidR="00E965EE" w:rsidRPr="00E965EE" w:rsidRDefault="00E965EE" w:rsidP="00A67F5E">
            <w:pPr>
              <w:keepNext/>
              <w:keepLines/>
              <w:spacing w:before="0"/>
              <w:jc w:val="left"/>
              <w:rPr>
                <w:rFonts w:ascii="Arial Narrow" w:hAnsi="Arial Narrow"/>
                <w:b/>
                <w:sz w:val="20"/>
              </w:rPr>
            </w:pPr>
          </w:p>
        </w:tc>
        <w:tc>
          <w:tcPr>
            <w:tcW w:w="637" w:type="pct"/>
            <w:tcBorders>
              <w:bottom w:val="single" w:sz="4" w:space="0" w:color="auto"/>
            </w:tcBorders>
            <w:noWrap/>
            <w:hideMark/>
          </w:tcPr>
          <w:p w14:paraId="312DFDBC" w14:textId="77777777" w:rsidR="00E965EE" w:rsidRPr="00E965EE" w:rsidRDefault="00E965EE" w:rsidP="00A67F5E">
            <w:pPr>
              <w:keepNext/>
              <w:keepLines/>
              <w:spacing w:before="0"/>
              <w:jc w:val="center"/>
              <w:rPr>
                <w:rFonts w:ascii="Arial Narrow" w:hAnsi="Arial Narrow"/>
                <w:b/>
                <w:sz w:val="20"/>
              </w:rPr>
            </w:pPr>
            <w:r w:rsidRPr="00E965EE">
              <w:rPr>
                <w:rFonts w:ascii="Arial Narrow" w:hAnsi="Arial Narrow"/>
                <w:b/>
                <w:sz w:val="20"/>
              </w:rPr>
              <w:t>Year 1</w:t>
            </w:r>
          </w:p>
        </w:tc>
        <w:tc>
          <w:tcPr>
            <w:tcW w:w="637" w:type="pct"/>
            <w:tcBorders>
              <w:bottom w:val="single" w:sz="4" w:space="0" w:color="auto"/>
            </w:tcBorders>
            <w:noWrap/>
            <w:hideMark/>
          </w:tcPr>
          <w:p w14:paraId="4C6BDDFA" w14:textId="77777777" w:rsidR="00E965EE" w:rsidRPr="00E965EE" w:rsidRDefault="00E965EE" w:rsidP="00A67F5E">
            <w:pPr>
              <w:keepNext/>
              <w:keepLines/>
              <w:spacing w:before="0"/>
              <w:jc w:val="center"/>
              <w:rPr>
                <w:rFonts w:ascii="Arial Narrow" w:hAnsi="Arial Narrow"/>
                <w:b/>
                <w:sz w:val="20"/>
              </w:rPr>
            </w:pPr>
            <w:r w:rsidRPr="00E965EE">
              <w:rPr>
                <w:rFonts w:ascii="Arial Narrow" w:hAnsi="Arial Narrow"/>
                <w:b/>
                <w:sz w:val="20"/>
              </w:rPr>
              <w:t>Year 2</w:t>
            </w:r>
          </w:p>
        </w:tc>
        <w:tc>
          <w:tcPr>
            <w:tcW w:w="637" w:type="pct"/>
            <w:tcBorders>
              <w:bottom w:val="single" w:sz="4" w:space="0" w:color="auto"/>
            </w:tcBorders>
            <w:noWrap/>
            <w:hideMark/>
          </w:tcPr>
          <w:p w14:paraId="612FA100" w14:textId="77777777" w:rsidR="00E965EE" w:rsidRPr="00E965EE" w:rsidRDefault="00E965EE" w:rsidP="00A67F5E">
            <w:pPr>
              <w:keepNext/>
              <w:keepLines/>
              <w:spacing w:before="0"/>
              <w:jc w:val="center"/>
              <w:rPr>
                <w:rFonts w:ascii="Arial Narrow" w:hAnsi="Arial Narrow"/>
                <w:b/>
                <w:sz w:val="20"/>
              </w:rPr>
            </w:pPr>
            <w:r w:rsidRPr="00E965EE">
              <w:rPr>
                <w:rFonts w:ascii="Arial Narrow" w:hAnsi="Arial Narrow"/>
                <w:b/>
                <w:sz w:val="20"/>
              </w:rPr>
              <w:t>Year 3</w:t>
            </w:r>
          </w:p>
        </w:tc>
        <w:tc>
          <w:tcPr>
            <w:tcW w:w="637" w:type="pct"/>
            <w:tcBorders>
              <w:bottom w:val="single" w:sz="4" w:space="0" w:color="auto"/>
            </w:tcBorders>
            <w:noWrap/>
            <w:hideMark/>
          </w:tcPr>
          <w:p w14:paraId="7B406D64" w14:textId="77777777" w:rsidR="00E965EE" w:rsidRPr="00E965EE" w:rsidRDefault="00E965EE" w:rsidP="00A67F5E">
            <w:pPr>
              <w:keepNext/>
              <w:keepLines/>
              <w:spacing w:before="0"/>
              <w:jc w:val="center"/>
              <w:rPr>
                <w:rFonts w:ascii="Arial Narrow" w:hAnsi="Arial Narrow"/>
                <w:b/>
                <w:sz w:val="20"/>
              </w:rPr>
            </w:pPr>
            <w:r w:rsidRPr="00E965EE">
              <w:rPr>
                <w:rFonts w:ascii="Arial Narrow" w:hAnsi="Arial Narrow"/>
                <w:b/>
                <w:sz w:val="20"/>
              </w:rPr>
              <w:t>Year 4</w:t>
            </w:r>
          </w:p>
        </w:tc>
        <w:tc>
          <w:tcPr>
            <w:tcW w:w="637" w:type="pct"/>
            <w:tcBorders>
              <w:bottom w:val="single" w:sz="4" w:space="0" w:color="auto"/>
            </w:tcBorders>
            <w:noWrap/>
            <w:hideMark/>
          </w:tcPr>
          <w:p w14:paraId="71B180D9" w14:textId="77777777" w:rsidR="00E965EE" w:rsidRPr="00E965EE" w:rsidRDefault="00E965EE" w:rsidP="00A67F5E">
            <w:pPr>
              <w:keepNext/>
              <w:keepLines/>
              <w:spacing w:before="0"/>
              <w:jc w:val="center"/>
              <w:rPr>
                <w:rFonts w:ascii="Arial Narrow" w:hAnsi="Arial Narrow"/>
                <w:b/>
                <w:sz w:val="20"/>
              </w:rPr>
            </w:pPr>
            <w:r w:rsidRPr="00E965EE">
              <w:rPr>
                <w:rFonts w:ascii="Arial Narrow" w:hAnsi="Arial Narrow"/>
                <w:b/>
                <w:sz w:val="20"/>
              </w:rPr>
              <w:t>Year 5</w:t>
            </w:r>
          </w:p>
        </w:tc>
        <w:tc>
          <w:tcPr>
            <w:tcW w:w="639" w:type="pct"/>
            <w:tcBorders>
              <w:bottom w:val="single" w:sz="4" w:space="0" w:color="auto"/>
            </w:tcBorders>
            <w:noWrap/>
            <w:hideMark/>
          </w:tcPr>
          <w:p w14:paraId="41A8F7D9" w14:textId="77777777" w:rsidR="00E965EE" w:rsidRPr="00E965EE" w:rsidRDefault="00E965EE" w:rsidP="00A67F5E">
            <w:pPr>
              <w:keepNext/>
              <w:keepLines/>
              <w:spacing w:before="0"/>
              <w:jc w:val="center"/>
              <w:rPr>
                <w:rFonts w:ascii="Arial Narrow" w:hAnsi="Arial Narrow"/>
                <w:b/>
                <w:sz w:val="20"/>
              </w:rPr>
            </w:pPr>
            <w:r w:rsidRPr="00E965EE">
              <w:rPr>
                <w:rFonts w:ascii="Arial Narrow" w:hAnsi="Arial Narrow"/>
                <w:b/>
                <w:sz w:val="20"/>
              </w:rPr>
              <w:t>Year 6</w:t>
            </w:r>
          </w:p>
        </w:tc>
      </w:tr>
      <w:tr w:rsidR="00E965EE" w:rsidRPr="00E965EE" w14:paraId="09067433" w14:textId="77777777" w:rsidTr="007C78E6">
        <w:trPr>
          <w:cantSplit/>
          <w:trHeight w:val="20"/>
        </w:trPr>
        <w:tc>
          <w:tcPr>
            <w:tcW w:w="1176" w:type="pct"/>
            <w:tcBorders>
              <w:top w:val="nil"/>
              <w:bottom w:val="single" w:sz="4" w:space="0" w:color="auto"/>
            </w:tcBorders>
            <w:noWrap/>
          </w:tcPr>
          <w:p w14:paraId="4A92390E" w14:textId="77777777" w:rsidR="00E965EE" w:rsidRPr="00E965EE" w:rsidRDefault="00E965EE" w:rsidP="00A67F5E">
            <w:pPr>
              <w:keepNext/>
              <w:keepLines/>
              <w:widowControl w:val="0"/>
              <w:spacing w:before="0"/>
              <w:jc w:val="left"/>
              <w:rPr>
                <w:rFonts w:ascii="Arial Narrow" w:hAnsi="Arial Narrow"/>
                <w:b/>
                <w:bCs/>
                <w:iCs/>
                <w:sz w:val="20"/>
              </w:rPr>
            </w:pPr>
            <w:r w:rsidRPr="00E965EE">
              <w:rPr>
                <w:rFonts w:ascii="Arial Narrow" w:hAnsi="Arial Narrow"/>
                <w:b/>
                <w:bCs/>
                <w:iCs/>
                <w:sz w:val="20"/>
              </w:rPr>
              <w:t>Base case (revised)</w:t>
            </w:r>
          </w:p>
        </w:tc>
        <w:tc>
          <w:tcPr>
            <w:tcW w:w="637" w:type="pct"/>
            <w:tcBorders>
              <w:top w:val="nil"/>
              <w:bottom w:val="single" w:sz="4" w:space="0" w:color="auto"/>
            </w:tcBorders>
            <w:noWrap/>
          </w:tcPr>
          <w:p w14:paraId="66A3A2FA" w14:textId="5229EB9C" w:rsidR="00E965EE" w:rsidRPr="0001070A" w:rsidRDefault="00A27690" w:rsidP="00A67F5E">
            <w:pPr>
              <w:keepNext/>
              <w:keepLines/>
              <w:widowControl w:val="0"/>
              <w:spacing w:before="0"/>
              <w:jc w:val="right"/>
              <w:rPr>
                <w:rFonts w:ascii="Arial Narrow" w:hAnsi="Arial Narrow"/>
                <w:b/>
                <w:bCs/>
                <w:iCs/>
                <w:sz w:val="20"/>
              </w:rPr>
            </w:pPr>
            <w:r w:rsidRPr="0001070A">
              <w:rPr>
                <w:rFonts w:ascii="Arial Narrow" w:hAnsi="Arial Narrow"/>
                <w:b/>
                <w:bCs/>
                <w:sz w:val="20"/>
              </w:rPr>
              <w:t>redacted</w:t>
            </w:r>
            <w:r w:rsidRPr="0001070A">
              <w:rPr>
                <w:rFonts w:ascii="Arial Narrow" w:hAnsi="Arial Narrow"/>
                <w:b/>
                <w:bCs/>
                <w:sz w:val="20"/>
                <w:vertAlign w:val="superscript"/>
              </w:rPr>
              <w:t>1</w:t>
            </w:r>
          </w:p>
        </w:tc>
        <w:tc>
          <w:tcPr>
            <w:tcW w:w="637" w:type="pct"/>
            <w:tcBorders>
              <w:top w:val="nil"/>
              <w:bottom w:val="single" w:sz="4" w:space="0" w:color="auto"/>
            </w:tcBorders>
            <w:noWrap/>
          </w:tcPr>
          <w:p w14:paraId="2EB0494E" w14:textId="2D4098EA" w:rsidR="00E965EE" w:rsidRPr="0001070A" w:rsidRDefault="00A27690" w:rsidP="00A67F5E">
            <w:pPr>
              <w:keepNext/>
              <w:keepLines/>
              <w:widowControl w:val="0"/>
              <w:spacing w:before="0"/>
              <w:jc w:val="right"/>
              <w:rPr>
                <w:rFonts w:ascii="Arial Narrow" w:hAnsi="Arial Narrow"/>
                <w:b/>
                <w:bCs/>
                <w:iCs/>
                <w:sz w:val="20"/>
              </w:rPr>
            </w:pPr>
            <w:r w:rsidRPr="0001070A">
              <w:rPr>
                <w:rFonts w:ascii="Arial Narrow" w:hAnsi="Arial Narrow"/>
                <w:b/>
                <w:bCs/>
                <w:sz w:val="20"/>
              </w:rPr>
              <w:t>redacted</w:t>
            </w:r>
            <w:r w:rsidRPr="0001070A">
              <w:rPr>
                <w:rFonts w:ascii="Arial Narrow" w:hAnsi="Arial Narrow"/>
                <w:b/>
                <w:bCs/>
                <w:sz w:val="20"/>
                <w:vertAlign w:val="superscript"/>
              </w:rPr>
              <w:t>1</w:t>
            </w:r>
          </w:p>
        </w:tc>
        <w:tc>
          <w:tcPr>
            <w:tcW w:w="637" w:type="pct"/>
            <w:tcBorders>
              <w:top w:val="nil"/>
              <w:bottom w:val="single" w:sz="4" w:space="0" w:color="auto"/>
            </w:tcBorders>
            <w:noWrap/>
          </w:tcPr>
          <w:p w14:paraId="3BF9122C" w14:textId="2237094C" w:rsidR="00E965EE" w:rsidRPr="0001070A" w:rsidRDefault="00A27690" w:rsidP="00A67F5E">
            <w:pPr>
              <w:keepNext/>
              <w:keepLines/>
              <w:widowControl w:val="0"/>
              <w:spacing w:before="0"/>
              <w:jc w:val="right"/>
              <w:rPr>
                <w:rFonts w:ascii="Arial Narrow" w:hAnsi="Arial Narrow"/>
                <w:b/>
                <w:bCs/>
                <w:iCs/>
                <w:sz w:val="20"/>
              </w:rPr>
            </w:pPr>
            <w:r w:rsidRPr="0001070A">
              <w:rPr>
                <w:rFonts w:ascii="Arial Narrow" w:hAnsi="Arial Narrow"/>
                <w:b/>
                <w:bCs/>
                <w:sz w:val="20"/>
              </w:rPr>
              <w:t>redacted</w:t>
            </w:r>
            <w:r w:rsidRPr="0001070A">
              <w:rPr>
                <w:rFonts w:ascii="Arial Narrow" w:hAnsi="Arial Narrow"/>
                <w:b/>
                <w:bCs/>
                <w:sz w:val="20"/>
                <w:vertAlign w:val="superscript"/>
              </w:rPr>
              <w:t>1</w:t>
            </w:r>
          </w:p>
        </w:tc>
        <w:tc>
          <w:tcPr>
            <w:tcW w:w="637" w:type="pct"/>
            <w:tcBorders>
              <w:top w:val="nil"/>
              <w:bottom w:val="single" w:sz="4" w:space="0" w:color="auto"/>
            </w:tcBorders>
            <w:noWrap/>
          </w:tcPr>
          <w:p w14:paraId="5D3AFDD8" w14:textId="346C7C9B" w:rsidR="00E965EE" w:rsidRPr="0001070A" w:rsidRDefault="00A27690" w:rsidP="00A67F5E">
            <w:pPr>
              <w:keepNext/>
              <w:keepLines/>
              <w:widowControl w:val="0"/>
              <w:spacing w:before="0"/>
              <w:jc w:val="right"/>
              <w:rPr>
                <w:rFonts w:ascii="Arial Narrow" w:hAnsi="Arial Narrow"/>
                <w:b/>
                <w:bCs/>
                <w:iCs/>
                <w:sz w:val="20"/>
              </w:rPr>
            </w:pPr>
            <w:r w:rsidRPr="0001070A">
              <w:rPr>
                <w:rFonts w:ascii="Arial Narrow" w:hAnsi="Arial Narrow"/>
                <w:b/>
                <w:bCs/>
                <w:sz w:val="20"/>
              </w:rPr>
              <w:t>redacted</w:t>
            </w:r>
            <w:r w:rsidRPr="0001070A">
              <w:rPr>
                <w:rFonts w:ascii="Arial Narrow" w:hAnsi="Arial Narrow"/>
                <w:b/>
                <w:bCs/>
                <w:sz w:val="20"/>
                <w:vertAlign w:val="superscript"/>
              </w:rPr>
              <w:t>1</w:t>
            </w:r>
          </w:p>
        </w:tc>
        <w:tc>
          <w:tcPr>
            <w:tcW w:w="637" w:type="pct"/>
            <w:tcBorders>
              <w:top w:val="nil"/>
              <w:bottom w:val="single" w:sz="4" w:space="0" w:color="auto"/>
            </w:tcBorders>
            <w:noWrap/>
          </w:tcPr>
          <w:p w14:paraId="3B293BD5" w14:textId="40F51189" w:rsidR="00E965EE" w:rsidRPr="0001070A" w:rsidRDefault="00A27690" w:rsidP="00A67F5E">
            <w:pPr>
              <w:keepNext/>
              <w:keepLines/>
              <w:widowControl w:val="0"/>
              <w:spacing w:before="0"/>
              <w:jc w:val="right"/>
              <w:rPr>
                <w:rFonts w:ascii="Arial Narrow" w:hAnsi="Arial Narrow"/>
                <w:b/>
                <w:bCs/>
                <w:iCs/>
                <w:sz w:val="20"/>
              </w:rPr>
            </w:pPr>
            <w:r w:rsidRPr="0001070A">
              <w:rPr>
                <w:rFonts w:ascii="Arial Narrow" w:hAnsi="Arial Narrow"/>
                <w:b/>
                <w:bCs/>
                <w:sz w:val="20"/>
              </w:rPr>
              <w:t>redacted</w:t>
            </w:r>
            <w:r w:rsidRPr="0001070A">
              <w:rPr>
                <w:rFonts w:ascii="Arial Narrow" w:hAnsi="Arial Narrow"/>
                <w:b/>
                <w:bCs/>
                <w:sz w:val="20"/>
                <w:vertAlign w:val="superscript"/>
              </w:rPr>
              <w:t>1</w:t>
            </w:r>
          </w:p>
        </w:tc>
        <w:tc>
          <w:tcPr>
            <w:tcW w:w="639" w:type="pct"/>
            <w:tcBorders>
              <w:top w:val="nil"/>
              <w:bottom w:val="single" w:sz="4" w:space="0" w:color="auto"/>
            </w:tcBorders>
            <w:noWrap/>
          </w:tcPr>
          <w:p w14:paraId="37E93797" w14:textId="14AE9CB3" w:rsidR="00E965EE" w:rsidRPr="0001070A" w:rsidRDefault="00A27690" w:rsidP="00A67F5E">
            <w:pPr>
              <w:keepNext/>
              <w:keepLines/>
              <w:widowControl w:val="0"/>
              <w:spacing w:before="0"/>
              <w:jc w:val="right"/>
              <w:rPr>
                <w:rFonts w:ascii="Arial Narrow" w:hAnsi="Arial Narrow"/>
                <w:b/>
                <w:bCs/>
                <w:iCs/>
                <w:sz w:val="20"/>
              </w:rPr>
            </w:pPr>
            <w:r w:rsidRPr="0001070A">
              <w:rPr>
                <w:rFonts w:ascii="Arial Narrow" w:hAnsi="Arial Narrow"/>
                <w:b/>
                <w:bCs/>
                <w:sz w:val="20"/>
              </w:rPr>
              <w:t>redacted</w:t>
            </w:r>
            <w:r w:rsidRPr="0001070A">
              <w:rPr>
                <w:rFonts w:ascii="Arial Narrow" w:hAnsi="Arial Narrow"/>
                <w:b/>
                <w:bCs/>
                <w:sz w:val="20"/>
                <w:vertAlign w:val="superscript"/>
              </w:rPr>
              <w:t>1</w:t>
            </w:r>
          </w:p>
        </w:tc>
      </w:tr>
      <w:tr w:rsidR="00E965EE" w:rsidRPr="00E965EE" w14:paraId="5D1919D1" w14:textId="77777777" w:rsidTr="007C78E6">
        <w:trPr>
          <w:cantSplit/>
          <w:trHeight w:val="20"/>
        </w:trPr>
        <w:tc>
          <w:tcPr>
            <w:tcW w:w="5000" w:type="pct"/>
            <w:gridSpan w:val="7"/>
            <w:tcBorders>
              <w:bottom w:val="single" w:sz="4" w:space="0" w:color="auto"/>
            </w:tcBorders>
            <w:noWrap/>
          </w:tcPr>
          <w:p w14:paraId="57A481EC" w14:textId="09BE3009" w:rsidR="00E965EE" w:rsidRPr="00E965EE" w:rsidRDefault="00E965EE" w:rsidP="00A67F5E">
            <w:pPr>
              <w:keepNext/>
              <w:keepLines/>
              <w:widowControl w:val="0"/>
              <w:spacing w:before="0"/>
              <w:jc w:val="left"/>
              <w:rPr>
                <w:rFonts w:ascii="Arial Narrow" w:hAnsi="Arial Narrow"/>
                <w:iCs/>
                <w:sz w:val="20"/>
              </w:rPr>
            </w:pPr>
            <w:r w:rsidRPr="00E965EE">
              <w:rPr>
                <w:rFonts w:ascii="Arial Narrow" w:hAnsi="Arial Narrow"/>
                <w:iCs/>
                <w:sz w:val="20"/>
              </w:rPr>
              <w:t xml:space="preserve">Proportion anti-HDV+, base case: </w:t>
            </w:r>
            <w:r w:rsidR="005B2478">
              <w:rPr>
                <w:rFonts w:ascii="Arial Narrow" w:hAnsi="Arial Narrow"/>
                <w:iCs/>
                <w:sz w:val="20"/>
              </w:rPr>
              <w:t>redacted</w:t>
            </w:r>
            <w:r w:rsidR="005B2478" w:rsidRPr="00E965EE" w:rsidDel="005B2478">
              <w:rPr>
                <w:rFonts w:ascii="Arial Narrow" w:hAnsi="Arial Narrow"/>
                <w:iCs/>
                <w:sz w:val="20"/>
              </w:rPr>
              <w:t xml:space="preserve"> </w:t>
            </w:r>
            <w:r w:rsidRPr="00E965EE">
              <w:rPr>
                <w:rFonts w:ascii="Arial Narrow" w:hAnsi="Arial Narrow"/>
                <w:iCs/>
                <w:sz w:val="20"/>
              </w:rPr>
              <w:t>%</w:t>
            </w:r>
          </w:p>
        </w:tc>
      </w:tr>
      <w:tr w:rsidR="00E965EE" w:rsidRPr="00E965EE" w14:paraId="44FAE2ED" w14:textId="77777777" w:rsidTr="007C78E6">
        <w:trPr>
          <w:cantSplit/>
          <w:trHeight w:val="20"/>
        </w:trPr>
        <w:tc>
          <w:tcPr>
            <w:tcW w:w="1176" w:type="pct"/>
            <w:tcBorders>
              <w:top w:val="nil"/>
              <w:bottom w:val="single" w:sz="4" w:space="0" w:color="auto"/>
            </w:tcBorders>
            <w:noWrap/>
          </w:tcPr>
          <w:p w14:paraId="27005406" w14:textId="604574CD" w:rsidR="00E965EE" w:rsidRPr="00E965EE" w:rsidRDefault="005B2478" w:rsidP="00A67F5E">
            <w:pPr>
              <w:keepNext/>
              <w:keepLines/>
              <w:widowControl w:val="0"/>
              <w:numPr>
                <w:ilvl w:val="0"/>
                <w:numId w:val="23"/>
              </w:numPr>
              <w:spacing w:before="0"/>
              <w:ind w:left="306" w:hanging="191"/>
              <w:jc w:val="left"/>
              <w:rPr>
                <w:rFonts w:ascii="Arial Narrow" w:hAnsi="Arial Narrow"/>
                <w:iCs/>
                <w:sz w:val="20"/>
              </w:rPr>
            </w:pPr>
            <w:r w:rsidRPr="00C6199E">
              <w:rPr>
                <w:rFonts w:ascii="Arial Narrow" w:hAnsi="Arial Narrow"/>
                <w:b/>
                <w:bCs/>
                <w:iCs/>
                <w:sz w:val="20"/>
              </w:rPr>
              <w:t>redacted</w:t>
            </w:r>
            <w:r w:rsidR="00E965EE" w:rsidRPr="00E965EE">
              <w:rPr>
                <w:rFonts w:ascii="Arial Narrow" w:hAnsi="Arial Narrow"/>
                <w:iCs/>
                <w:sz w:val="20"/>
              </w:rPr>
              <w:t>%</w:t>
            </w:r>
          </w:p>
        </w:tc>
        <w:tc>
          <w:tcPr>
            <w:tcW w:w="637" w:type="pct"/>
            <w:tcBorders>
              <w:top w:val="nil"/>
              <w:bottom w:val="single" w:sz="4" w:space="0" w:color="auto"/>
            </w:tcBorders>
            <w:noWrap/>
          </w:tcPr>
          <w:p w14:paraId="52A42FA3" w14:textId="639ECAC4" w:rsidR="00E965EE" w:rsidRPr="00C6199E" w:rsidRDefault="00A27690"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7FC468A9" w14:textId="5DD5A96D" w:rsidR="00E965EE" w:rsidRPr="00C6199E" w:rsidRDefault="00A27690"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2CF0238A" w14:textId="68D1ADD6" w:rsidR="00E965EE" w:rsidRPr="00C6199E" w:rsidRDefault="00A27690"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139040A0" w14:textId="4F06D284" w:rsidR="00E965EE" w:rsidRPr="00C6199E" w:rsidRDefault="00A27690"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bottom w:val="single" w:sz="4" w:space="0" w:color="auto"/>
            </w:tcBorders>
            <w:noWrap/>
          </w:tcPr>
          <w:p w14:paraId="200BE549" w14:textId="53C701BF" w:rsidR="00E965EE" w:rsidRPr="00C6199E" w:rsidRDefault="00A27690"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9" w:type="pct"/>
            <w:tcBorders>
              <w:top w:val="nil"/>
              <w:bottom w:val="single" w:sz="4" w:space="0" w:color="auto"/>
            </w:tcBorders>
            <w:noWrap/>
          </w:tcPr>
          <w:p w14:paraId="0367ECFA" w14:textId="149AD687" w:rsidR="00E965EE" w:rsidRPr="00C6199E" w:rsidRDefault="00A27690"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04D5F5BA" w14:textId="77777777" w:rsidTr="007C78E6">
        <w:trPr>
          <w:cantSplit/>
          <w:trHeight w:val="20"/>
        </w:trPr>
        <w:tc>
          <w:tcPr>
            <w:tcW w:w="1176" w:type="pct"/>
            <w:tcBorders>
              <w:bottom w:val="single" w:sz="4" w:space="0" w:color="auto"/>
            </w:tcBorders>
            <w:noWrap/>
          </w:tcPr>
          <w:p w14:paraId="67E06919" w14:textId="0B8FFB8C" w:rsidR="00E965EE" w:rsidRPr="00E965EE" w:rsidRDefault="00E965EE" w:rsidP="00A67F5E">
            <w:pPr>
              <w:keepNext/>
              <w:keepLines/>
              <w:widowControl w:val="0"/>
              <w:spacing w:before="0"/>
              <w:jc w:val="left"/>
              <w:rPr>
                <w:rFonts w:ascii="Arial Narrow" w:hAnsi="Arial Narrow"/>
                <w:iCs/>
                <w:sz w:val="20"/>
              </w:rPr>
            </w:pPr>
            <w:r w:rsidRPr="00E965EE">
              <w:rPr>
                <w:rFonts w:ascii="Arial Narrow" w:hAnsi="Arial Narrow"/>
                <w:iCs/>
                <w:sz w:val="20"/>
              </w:rPr>
              <w:t xml:space="preserve">Uptake of HDV RNA testing following listing, </w:t>
            </w:r>
            <w:r w:rsidR="005B2478" w:rsidRPr="00FB3164">
              <w:rPr>
                <w:rFonts w:ascii="Arial Narrow" w:hAnsi="Arial Narrow"/>
                <w:b/>
                <w:bCs/>
                <w:iCs/>
                <w:sz w:val="20"/>
              </w:rPr>
              <w:t>redacted</w:t>
            </w:r>
            <w:r w:rsidR="005B2478" w:rsidRPr="00E965EE" w:rsidDel="005B2478">
              <w:rPr>
                <w:rFonts w:ascii="Arial Narrow" w:hAnsi="Arial Narrow"/>
                <w:iCs/>
                <w:sz w:val="20"/>
              </w:rPr>
              <w:t xml:space="preserve"> </w:t>
            </w:r>
            <w:r w:rsidRPr="00E965EE">
              <w:rPr>
                <w:rFonts w:ascii="Arial Narrow" w:hAnsi="Arial Narrow"/>
                <w:iCs/>
                <w:sz w:val="20"/>
              </w:rPr>
              <w:t xml:space="preserve">% (base case: increasing from </w:t>
            </w:r>
            <w:r w:rsidR="005B2478" w:rsidRPr="00FB3164">
              <w:rPr>
                <w:rFonts w:ascii="Arial Narrow" w:hAnsi="Arial Narrow"/>
                <w:b/>
                <w:bCs/>
                <w:iCs/>
                <w:sz w:val="20"/>
              </w:rPr>
              <w:t>redacted</w:t>
            </w:r>
            <w:r w:rsidR="005B2478" w:rsidRPr="00E965EE" w:rsidDel="005B2478">
              <w:rPr>
                <w:rFonts w:ascii="Arial Narrow" w:hAnsi="Arial Narrow"/>
                <w:iCs/>
                <w:sz w:val="20"/>
              </w:rPr>
              <w:t xml:space="preserve"> </w:t>
            </w:r>
            <w:r w:rsidRPr="00E965EE">
              <w:rPr>
                <w:rFonts w:ascii="Arial Narrow" w:hAnsi="Arial Narrow"/>
                <w:iCs/>
                <w:sz w:val="20"/>
              </w:rPr>
              <w:t xml:space="preserve">% to </w:t>
            </w:r>
            <w:r w:rsidR="005B2478" w:rsidRPr="00FB3164">
              <w:rPr>
                <w:rFonts w:ascii="Arial Narrow" w:hAnsi="Arial Narrow"/>
                <w:b/>
                <w:bCs/>
                <w:iCs/>
                <w:sz w:val="20"/>
              </w:rPr>
              <w:t>redacted</w:t>
            </w:r>
            <w:r w:rsidR="005B2478" w:rsidRPr="00E965EE" w:rsidDel="005B2478">
              <w:rPr>
                <w:rFonts w:ascii="Arial Narrow" w:hAnsi="Arial Narrow"/>
                <w:iCs/>
                <w:sz w:val="20"/>
              </w:rPr>
              <w:t xml:space="preserve"> </w:t>
            </w:r>
            <w:r w:rsidRPr="00E965EE">
              <w:rPr>
                <w:rFonts w:ascii="Arial Narrow" w:hAnsi="Arial Narrow"/>
                <w:iCs/>
                <w:sz w:val="20"/>
              </w:rPr>
              <w:t>% by Year 3)</w:t>
            </w:r>
          </w:p>
        </w:tc>
        <w:tc>
          <w:tcPr>
            <w:tcW w:w="637" w:type="pct"/>
            <w:tcBorders>
              <w:bottom w:val="single" w:sz="4" w:space="0" w:color="auto"/>
            </w:tcBorders>
            <w:noWrap/>
          </w:tcPr>
          <w:p w14:paraId="272CDD78" w14:textId="2DB1E787" w:rsidR="00E965EE" w:rsidRPr="00C6199E" w:rsidRDefault="00A27690"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7F3901F5" w14:textId="1D0BEC54" w:rsidR="00E965EE" w:rsidRPr="00C6199E" w:rsidRDefault="00A27690"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490D0B24" w14:textId="6D761486"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147136BA" w14:textId="65FE59DB"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564D3E75" w14:textId="69CA0617"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9" w:type="pct"/>
            <w:tcBorders>
              <w:bottom w:val="single" w:sz="4" w:space="0" w:color="auto"/>
            </w:tcBorders>
            <w:noWrap/>
          </w:tcPr>
          <w:p w14:paraId="6C61F3E1" w14:textId="065890E7"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0E0BC48C" w14:textId="77777777" w:rsidTr="007C78E6">
        <w:trPr>
          <w:cantSplit/>
          <w:trHeight w:val="20"/>
        </w:trPr>
        <w:tc>
          <w:tcPr>
            <w:tcW w:w="5000" w:type="pct"/>
            <w:gridSpan w:val="7"/>
            <w:tcBorders>
              <w:bottom w:val="single" w:sz="4" w:space="0" w:color="auto"/>
            </w:tcBorders>
            <w:noWrap/>
          </w:tcPr>
          <w:p w14:paraId="1F40A522" w14:textId="0EBB9AA7" w:rsidR="00E965EE" w:rsidRPr="00E965EE" w:rsidRDefault="00E965EE" w:rsidP="00A67F5E">
            <w:pPr>
              <w:keepNext/>
              <w:keepLines/>
              <w:widowControl w:val="0"/>
              <w:spacing w:before="0"/>
              <w:jc w:val="left"/>
              <w:rPr>
                <w:rFonts w:ascii="Arial Narrow" w:hAnsi="Arial Narrow"/>
                <w:iCs/>
                <w:sz w:val="20"/>
              </w:rPr>
            </w:pPr>
            <w:r w:rsidRPr="00E965EE">
              <w:rPr>
                <w:rFonts w:ascii="Arial Narrow" w:hAnsi="Arial Narrow"/>
                <w:iCs/>
                <w:sz w:val="20"/>
              </w:rPr>
              <w:t xml:space="preserve">Proportion tested who are HDV RNA+, base case: </w:t>
            </w:r>
            <w:r w:rsidR="005B2478">
              <w:rPr>
                <w:rFonts w:ascii="Arial Narrow" w:hAnsi="Arial Narrow"/>
                <w:iCs/>
                <w:sz w:val="20"/>
              </w:rPr>
              <w:t>redacted</w:t>
            </w:r>
            <w:r w:rsidR="005B2478" w:rsidRPr="00E965EE" w:rsidDel="005B2478">
              <w:rPr>
                <w:rFonts w:ascii="Arial Narrow" w:hAnsi="Arial Narrow"/>
                <w:iCs/>
                <w:sz w:val="20"/>
              </w:rPr>
              <w:t xml:space="preserve"> </w:t>
            </w:r>
            <w:r w:rsidRPr="00E965EE">
              <w:rPr>
                <w:rFonts w:ascii="Arial Narrow" w:hAnsi="Arial Narrow"/>
                <w:iCs/>
                <w:sz w:val="20"/>
              </w:rPr>
              <w:t>%</w:t>
            </w:r>
          </w:p>
        </w:tc>
      </w:tr>
      <w:tr w:rsidR="00E965EE" w:rsidRPr="00E965EE" w14:paraId="5074B24C" w14:textId="77777777" w:rsidTr="007C78E6">
        <w:trPr>
          <w:cantSplit/>
          <w:trHeight w:val="20"/>
        </w:trPr>
        <w:tc>
          <w:tcPr>
            <w:tcW w:w="1176" w:type="pct"/>
            <w:tcBorders>
              <w:top w:val="single" w:sz="4" w:space="0" w:color="auto"/>
              <w:bottom w:val="nil"/>
            </w:tcBorders>
            <w:noWrap/>
          </w:tcPr>
          <w:p w14:paraId="747FF55D" w14:textId="4E28BD01" w:rsidR="00E965EE" w:rsidRPr="00C6199E" w:rsidRDefault="007C78E6" w:rsidP="00A67F5E">
            <w:pPr>
              <w:keepNext/>
              <w:keepLines/>
              <w:widowControl w:val="0"/>
              <w:numPr>
                <w:ilvl w:val="0"/>
                <w:numId w:val="23"/>
              </w:numPr>
              <w:spacing w:before="0"/>
              <w:ind w:left="306" w:hanging="191"/>
              <w:jc w:val="left"/>
              <w:rPr>
                <w:rFonts w:ascii="Arial Narrow" w:hAnsi="Arial Narrow"/>
                <w:b/>
                <w:bCs/>
                <w:iCs/>
                <w:sz w:val="20"/>
              </w:rPr>
            </w:pPr>
            <w:r w:rsidRPr="00C6199E">
              <w:rPr>
                <w:rFonts w:ascii="Arial Narrow" w:hAnsi="Arial Narrow"/>
                <w:b/>
                <w:bCs/>
                <w:iCs/>
                <w:sz w:val="20"/>
              </w:rPr>
              <w:t>redacted</w:t>
            </w:r>
            <w:r w:rsidRPr="00C6199E" w:rsidDel="007C78E6">
              <w:rPr>
                <w:rFonts w:ascii="Arial Narrow" w:hAnsi="Arial Narrow"/>
                <w:b/>
                <w:bCs/>
                <w:iCs/>
                <w:sz w:val="20"/>
              </w:rPr>
              <w:t xml:space="preserve"> </w:t>
            </w:r>
            <w:r w:rsidR="00E965EE" w:rsidRPr="00C6199E">
              <w:rPr>
                <w:rFonts w:ascii="Arial Narrow" w:hAnsi="Arial Narrow"/>
                <w:b/>
                <w:bCs/>
                <w:iCs/>
                <w:sz w:val="20"/>
              </w:rPr>
              <w:t>%</w:t>
            </w:r>
          </w:p>
        </w:tc>
        <w:tc>
          <w:tcPr>
            <w:tcW w:w="637" w:type="pct"/>
            <w:tcBorders>
              <w:top w:val="single" w:sz="4" w:space="0" w:color="auto"/>
              <w:bottom w:val="nil"/>
            </w:tcBorders>
            <w:noWrap/>
          </w:tcPr>
          <w:p w14:paraId="6BF4EE10" w14:textId="0BE79C05"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single" w:sz="4" w:space="0" w:color="auto"/>
              <w:bottom w:val="nil"/>
            </w:tcBorders>
            <w:noWrap/>
          </w:tcPr>
          <w:p w14:paraId="2E5DD0A1" w14:textId="4F591853"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single" w:sz="4" w:space="0" w:color="auto"/>
              <w:bottom w:val="nil"/>
            </w:tcBorders>
            <w:noWrap/>
          </w:tcPr>
          <w:p w14:paraId="60196ADB" w14:textId="2806FDF2"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single" w:sz="4" w:space="0" w:color="auto"/>
              <w:bottom w:val="nil"/>
            </w:tcBorders>
            <w:noWrap/>
          </w:tcPr>
          <w:p w14:paraId="4A254081" w14:textId="2F4905EE"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single" w:sz="4" w:space="0" w:color="auto"/>
              <w:bottom w:val="nil"/>
            </w:tcBorders>
            <w:noWrap/>
          </w:tcPr>
          <w:p w14:paraId="122872C0" w14:textId="1F754D36"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9" w:type="pct"/>
            <w:tcBorders>
              <w:top w:val="single" w:sz="4" w:space="0" w:color="auto"/>
              <w:bottom w:val="nil"/>
            </w:tcBorders>
            <w:noWrap/>
          </w:tcPr>
          <w:p w14:paraId="34C6FA14" w14:textId="721FCA9C"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5C0254FF" w14:textId="77777777" w:rsidTr="007C78E6">
        <w:trPr>
          <w:cantSplit/>
          <w:trHeight w:val="20"/>
        </w:trPr>
        <w:tc>
          <w:tcPr>
            <w:tcW w:w="1176" w:type="pct"/>
            <w:tcBorders>
              <w:top w:val="nil"/>
            </w:tcBorders>
            <w:noWrap/>
          </w:tcPr>
          <w:p w14:paraId="27E8F011" w14:textId="48ACB324" w:rsidR="00E965EE" w:rsidRPr="00C6199E" w:rsidRDefault="007C78E6" w:rsidP="00A67F5E">
            <w:pPr>
              <w:keepNext/>
              <w:keepLines/>
              <w:widowControl w:val="0"/>
              <w:numPr>
                <w:ilvl w:val="0"/>
                <w:numId w:val="23"/>
              </w:numPr>
              <w:spacing w:before="0"/>
              <w:ind w:left="306" w:hanging="191"/>
              <w:jc w:val="left"/>
              <w:rPr>
                <w:rFonts w:ascii="Arial Narrow" w:hAnsi="Arial Narrow"/>
                <w:b/>
                <w:bCs/>
                <w:iCs/>
                <w:sz w:val="20"/>
              </w:rPr>
            </w:pPr>
            <w:r w:rsidRPr="00C6199E">
              <w:rPr>
                <w:rFonts w:ascii="Arial Narrow" w:hAnsi="Arial Narrow"/>
                <w:b/>
                <w:bCs/>
                <w:iCs/>
                <w:sz w:val="20"/>
              </w:rPr>
              <w:t>redacted</w:t>
            </w:r>
            <w:r w:rsidRPr="00C6199E" w:rsidDel="007C78E6">
              <w:rPr>
                <w:rFonts w:ascii="Arial Narrow" w:hAnsi="Arial Narrow"/>
                <w:b/>
                <w:bCs/>
                <w:iCs/>
                <w:sz w:val="20"/>
              </w:rPr>
              <w:t xml:space="preserve"> </w:t>
            </w:r>
            <w:r w:rsidR="00E965EE" w:rsidRPr="00C6199E">
              <w:rPr>
                <w:rFonts w:ascii="Arial Narrow" w:hAnsi="Arial Narrow"/>
                <w:b/>
                <w:bCs/>
                <w:iCs/>
                <w:sz w:val="20"/>
              </w:rPr>
              <w:t>%</w:t>
            </w:r>
          </w:p>
        </w:tc>
        <w:tc>
          <w:tcPr>
            <w:tcW w:w="637" w:type="pct"/>
            <w:tcBorders>
              <w:top w:val="nil"/>
            </w:tcBorders>
            <w:noWrap/>
          </w:tcPr>
          <w:p w14:paraId="2E4E8994" w14:textId="24613848"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tcBorders>
            <w:noWrap/>
          </w:tcPr>
          <w:p w14:paraId="1600BE99" w14:textId="40B8F195"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tcBorders>
            <w:noWrap/>
          </w:tcPr>
          <w:p w14:paraId="359CA02A" w14:textId="1218A94A"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tcBorders>
            <w:noWrap/>
          </w:tcPr>
          <w:p w14:paraId="54B94805" w14:textId="57232C49"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tcBorders>
            <w:noWrap/>
          </w:tcPr>
          <w:p w14:paraId="630CBCB5" w14:textId="7B66D365"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9" w:type="pct"/>
            <w:tcBorders>
              <w:top w:val="nil"/>
            </w:tcBorders>
            <w:noWrap/>
          </w:tcPr>
          <w:p w14:paraId="7AB0643C" w14:textId="32C8B298"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4A8A5527" w14:textId="77777777" w:rsidTr="007C78E6">
        <w:trPr>
          <w:cantSplit/>
          <w:trHeight w:val="20"/>
        </w:trPr>
        <w:tc>
          <w:tcPr>
            <w:tcW w:w="1176" w:type="pct"/>
            <w:tcBorders>
              <w:bottom w:val="single" w:sz="4" w:space="0" w:color="auto"/>
            </w:tcBorders>
            <w:noWrap/>
          </w:tcPr>
          <w:p w14:paraId="60839692" w14:textId="58783015" w:rsidR="00E965EE" w:rsidRPr="00E965EE" w:rsidRDefault="00E965EE" w:rsidP="00A67F5E">
            <w:pPr>
              <w:keepNext/>
              <w:keepLines/>
              <w:widowControl w:val="0"/>
              <w:spacing w:before="0"/>
              <w:jc w:val="left"/>
              <w:rPr>
                <w:rFonts w:ascii="Arial Narrow" w:hAnsi="Arial Narrow"/>
                <w:iCs/>
                <w:sz w:val="20"/>
              </w:rPr>
            </w:pPr>
            <w:r w:rsidRPr="00E965EE">
              <w:rPr>
                <w:rFonts w:ascii="Arial Narrow" w:hAnsi="Arial Narrow"/>
                <w:iCs/>
                <w:sz w:val="20"/>
              </w:rPr>
              <w:t xml:space="preserve">Proportion eligible for bulevirtide, 100% (base case: </w:t>
            </w:r>
            <w:r w:rsidR="007C78E6" w:rsidRPr="00FB3164">
              <w:rPr>
                <w:rFonts w:ascii="Arial Narrow" w:hAnsi="Arial Narrow"/>
                <w:b/>
                <w:bCs/>
                <w:iCs/>
                <w:sz w:val="20"/>
              </w:rPr>
              <w:t>redacted</w:t>
            </w:r>
            <w:r w:rsidR="007C78E6" w:rsidRPr="00E965EE" w:rsidDel="007C78E6">
              <w:rPr>
                <w:rFonts w:ascii="Arial Narrow" w:hAnsi="Arial Narrow"/>
                <w:iCs/>
                <w:sz w:val="20"/>
              </w:rPr>
              <w:t xml:space="preserve"> </w:t>
            </w:r>
            <w:r w:rsidRPr="00E965EE">
              <w:rPr>
                <w:rFonts w:ascii="Arial Narrow" w:hAnsi="Arial Narrow"/>
                <w:iCs/>
                <w:sz w:val="20"/>
              </w:rPr>
              <w:t>%)</w:t>
            </w:r>
          </w:p>
        </w:tc>
        <w:tc>
          <w:tcPr>
            <w:tcW w:w="637" w:type="pct"/>
            <w:tcBorders>
              <w:bottom w:val="single" w:sz="4" w:space="0" w:color="auto"/>
            </w:tcBorders>
            <w:noWrap/>
          </w:tcPr>
          <w:p w14:paraId="33345A5F" w14:textId="15D97EAE"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7A7BC799" w14:textId="53DDA603"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79A537A8" w14:textId="7936A1E5"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52552AA1" w14:textId="3FEDC21B"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single" w:sz="4" w:space="0" w:color="auto"/>
            </w:tcBorders>
            <w:noWrap/>
          </w:tcPr>
          <w:p w14:paraId="28515368" w14:textId="1F3C5FA6"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9" w:type="pct"/>
            <w:tcBorders>
              <w:bottom w:val="single" w:sz="4" w:space="0" w:color="auto"/>
            </w:tcBorders>
            <w:noWrap/>
          </w:tcPr>
          <w:p w14:paraId="52F98C5B" w14:textId="6A2E34F9"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47EF78ED" w14:textId="77777777" w:rsidTr="007C78E6">
        <w:trPr>
          <w:cantSplit/>
          <w:trHeight w:val="20"/>
        </w:trPr>
        <w:tc>
          <w:tcPr>
            <w:tcW w:w="5000" w:type="pct"/>
            <w:gridSpan w:val="7"/>
            <w:tcBorders>
              <w:bottom w:val="single" w:sz="4" w:space="0" w:color="auto"/>
            </w:tcBorders>
            <w:noWrap/>
          </w:tcPr>
          <w:p w14:paraId="37F187B2" w14:textId="3AE6C9D8" w:rsidR="00E965EE" w:rsidRPr="00E965EE" w:rsidRDefault="00E965EE" w:rsidP="00A67F5E">
            <w:pPr>
              <w:keepNext/>
              <w:keepLines/>
              <w:widowControl w:val="0"/>
              <w:spacing w:before="0"/>
              <w:jc w:val="left"/>
              <w:rPr>
                <w:rFonts w:ascii="Arial Narrow" w:hAnsi="Arial Narrow"/>
                <w:iCs/>
                <w:sz w:val="20"/>
              </w:rPr>
            </w:pPr>
            <w:r w:rsidRPr="00E965EE">
              <w:rPr>
                <w:rFonts w:ascii="Arial Narrow" w:hAnsi="Arial Narrow"/>
                <w:iCs/>
                <w:sz w:val="20"/>
              </w:rPr>
              <w:t xml:space="preserve">Uptake of bulevirtide, base case: increasing from </w:t>
            </w:r>
            <w:r w:rsidR="007C78E6" w:rsidRPr="00C6199E">
              <w:rPr>
                <w:rFonts w:ascii="Arial Narrow" w:hAnsi="Arial Narrow"/>
                <w:b/>
                <w:bCs/>
                <w:iCs/>
                <w:sz w:val="20"/>
              </w:rPr>
              <w:t>redacted</w:t>
            </w:r>
            <w:r w:rsidR="007C78E6" w:rsidRPr="00E965EE" w:rsidDel="007C78E6">
              <w:rPr>
                <w:rFonts w:ascii="Arial Narrow" w:hAnsi="Arial Narrow"/>
                <w:iCs/>
                <w:sz w:val="20"/>
              </w:rPr>
              <w:t xml:space="preserve"> </w:t>
            </w:r>
            <w:r w:rsidRPr="00E965EE">
              <w:rPr>
                <w:rFonts w:ascii="Arial Narrow" w:hAnsi="Arial Narrow"/>
                <w:iCs/>
                <w:sz w:val="20"/>
              </w:rPr>
              <w:t xml:space="preserve">% to </w:t>
            </w:r>
            <w:r w:rsidR="007C78E6" w:rsidRPr="00C6199E">
              <w:rPr>
                <w:rFonts w:ascii="Arial Narrow" w:hAnsi="Arial Narrow"/>
                <w:b/>
                <w:bCs/>
                <w:iCs/>
                <w:sz w:val="20"/>
              </w:rPr>
              <w:t>redacted</w:t>
            </w:r>
            <w:r w:rsidR="007C78E6" w:rsidRPr="00E965EE" w:rsidDel="007C78E6">
              <w:rPr>
                <w:rFonts w:ascii="Arial Narrow" w:hAnsi="Arial Narrow"/>
                <w:iCs/>
                <w:sz w:val="20"/>
              </w:rPr>
              <w:t xml:space="preserve"> </w:t>
            </w:r>
            <w:r w:rsidRPr="00E965EE">
              <w:rPr>
                <w:rFonts w:ascii="Arial Narrow" w:hAnsi="Arial Narrow"/>
                <w:iCs/>
                <w:sz w:val="20"/>
              </w:rPr>
              <w:t>% by Year 4</w:t>
            </w:r>
          </w:p>
        </w:tc>
      </w:tr>
      <w:tr w:rsidR="00E965EE" w:rsidRPr="00E965EE" w14:paraId="4C4CB0DD" w14:textId="77777777" w:rsidTr="007C78E6">
        <w:trPr>
          <w:cantSplit/>
          <w:trHeight w:val="20"/>
        </w:trPr>
        <w:tc>
          <w:tcPr>
            <w:tcW w:w="1176" w:type="pct"/>
            <w:tcBorders>
              <w:bottom w:val="nil"/>
            </w:tcBorders>
            <w:noWrap/>
          </w:tcPr>
          <w:p w14:paraId="48FEFDF4" w14:textId="42DA2F39" w:rsidR="00E965EE" w:rsidRPr="00C6199E" w:rsidRDefault="007C78E6" w:rsidP="00A67F5E">
            <w:pPr>
              <w:keepNext/>
              <w:keepLines/>
              <w:widowControl w:val="0"/>
              <w:numPr>
                <w:ilvl w:val="0"/>
                <w:numId w:val="23"/>
              </w:numPr>
              <w:spacing w:before="0"/>
              <w:ind w:left="306" w:hanging="191"/>
              <w:jc w:val="left"/>
              <w:rPr>
                <w:rFonts w:ascii="Arial Narrow" w:hAnsi="Arial Narrow"/>
                <w:b/>
                <w:bCs/>
                <w:iCs/>
                <w:sz w:val="20"/>
              </w:rPr>
            </w:pPr>
            <w:r w:rsidRPr="00C6199E">
              <w:rPr>
                <w:rFonts w:ascii="Arial Narrow" w:hAnsi="Arial Narrow"/>
                <w:b/>
                <w:bCs/>
                <w:iCs/>
                <w:sz w:val="20"/>
              </w:rPr>
              <w:t>redacted</w:t>
            </w:r>
            <w:r w:rsidRPr="00C6199E" w:rsidDel="007C78E6">
              <w:rPr>
                <w:rFonts w:ascii="Arial Narrow" w:hAnsi="Arial Narrow"/>
                <w:b/>
                <w:bCs/>
                <w:iCs/>
                <w:sz w:val="20"/>
              </w:rPr>
              <w:t xml:space="preserve"> </w:t>
            </w:r>
            <w:r w:rsidR="00E965EE" w:rsidRPr="00C6199E">
              <w:rPr>
                <w:rFonts w:ascii="Arial Narrow" w:hAnsi="Arial Narrow"/>
                <w:b/>
                <w:bCs/>
                <w:iCs/>
                <w:sz w:val="20"/>
              </w:rPr>
              <w:t xml:space="preserve">% </w:t>
            </w:r>
          </w:p>
        </w:tc>
        <w:tc>
          <w:tcPr>
            <w:tcW w:w="637" w:type="pct"/>
            <w:tcBorders>
              <w:bottom w:val="nil"/>
            </w:tcBorders>
            <w:noWrap/>
          </w:tcPr>
          <w:p w14:paraId="79615C05" w14:textId="475269AF"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2714189D" w14:textId="3FAD3F75"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49010EFC" w14:textId="74684005"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48A8AC1E" w14:textId="5E6CFBD2"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bottom w:val="nil"/>
            </w:tcBorders>
            <w:noWrap/>
          </w:tcPr>
          <w:p w14:paraId="09DFDB2F" w14:textId="160598CF"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9" w:type="pct"/>
            <w:tcBorders>
              <w:bottom w:val="nil"/>
            </w:tcBorders>
            <w:noWrap/>
          </w:tcPr>
          <w:p w14:paraId="6BE85D35" w14:textId="6FC3F7CA"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r>
      <w:tr w:rsidR="00E965EE" w:rsidRPr="00E965EE" w14:paraId="302EF0B3" w14:textId="77777777" w:rsidTr="007C78E6">
        <w:trPr>
          <w:trHeight w:val="20"/>
        </w:trPr>
        <w:tc>
          <w:tcPr>
            <w:tcW w:w="1176" w:type="pct"/>
            <w:tcBorders>
              <w:top w:val="nil"/>
            </w:tcBorders>
            <w:noWrap/>
          </w:tcPr>
          <w:p w14:paraId="3529FCCE" w14:textId="4C06023C" w:rsidR="00E965EE" w:rsidRPr="00C6199E" w:rsidDel="007428AD" w:rsidRDefault="007C78E6" w:rsidP="00A67F5E">
            <w:pPr>
              <w:keepNext/>
              <w:keepLines/>
              <w:widowControl w:val="0"/>
              <w:numPr>
                <w:ilvl w:val="0"/>
                <w:numId w:val="23"/>
              </w:numPr>
              <w:spacing w:before="0"/>
              <w:ind w:left="306" w:hanging="191"/>
              <w:jc w:val="left"/>
              <w:rPr>
                <w:rFonts w:ascii="Arial Narrow" w:hAnsi="Arial Narrow"/>
                <w:b/>
                <w:bCs/>
                <w:iCs/>
                <w:sz w:val="20"/>
              </w:rPr>
            </w:pPr>
            <w:r w:rsidRPr="00C6199E">
              <w:rPr>
                <w:rFonts w:ascii="Arial Narrow" w:hAnsi="Arial Narrow"/>
                <w:b/>
                <w:bCs/>
                <w:iCs/>
                <w:sz w:val="20"/>
              </w:rPr>
              <w:t>redacted</w:t>
            </w:r>
            <w:r w:rsidRPr="00C6199E" w:rsidDel="007C78E6">
              <w:rPr>
                <w:rFonts w:ascii="Arial Narrow" w:hAnsi="Arial Narrow"/>
                <w:b/>
                <w:bCs/>
                <w:iCs/>
                <w:sz w:val="20"/>
              </w:rPr>
              <w:t xml:space="preserve"> </w:t>
            </w:r>
            <w:r w:rsidR="00E965EE" w:rsidRPr="00C6199E">
              <w:rPr>
                <w:rFonts w:ascii="Arial Narrow" w:hAnsi="Arial Narrow"/>
                <w:b/>
                <w:bCs/>
                <w:iCs/>
                <w:sz w:val="20"/>
              </w:rPr>
              <w:t>%</w:t>
            </w:r>
          </w:p>
        </w:tc>
        <w:tc>
          <w:tcPr>
            <w:tcW w:w="637" w:type="pct"/>
            <w:tcBorders>
              <w:top w:val="nil"/>
            </w:tcBorders>
            <w:noWrap/>
          </w:tcPr>
          <w:p w14:paraId="26D4419B" w14:textId="1D908965"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tcBorders>
            <w:noWrap/>
          </w:tcPr>
          <w:p w14:paraId="37E597D3" w14:textId="4CF3BA1D"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tcBorders>
            <w:noWrap/>
          </w:tcPr>
          <w:p w14:paraId="7DFE3C2F" w14:textId="3D37BCE2"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tcBorders>
            <w:noWrap/>
          </w:tcPr>
          <w:p w14:paraId="1D57E2AB" w14:textId="1E55F57B"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7" w:type="pct"/>
            <w:tcBorders>
              <w:top w:val="nil"/>
            </w:tcBorders>
            <w:noWrap/>
          </w:tcPr>
          <w:p w14:paraId="4F9F7CE2" w14:textId="62B73F2E"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c>
          <w:tcPr>
            <w:tcW w:w="639" w:type="pct"/>
            <w:tcBorders>
              <w:top w:val="nil"/>
            </w:tcBorders>
            <w:noWrap/>
          </w:tcPr>
          <w:p w14:paraId="3486BDDF" w14:textId="52FD5CF8" w:rsidR="00E965EE" w:rsidRPr="00C6199E" w:rsidRDefault="00212F1A" w:rsidP="00A67F5E">
            <w:pPr>
              <w:keepNext/>
              <w:keepLines/>
              <w:widowControl w:val="0"/>
              <w:spacing w:before="0"/>
              <w:jc w:val="right"/>
              <w:rPr>
                <w:rFonts w:ascii="Arial Narrow" w:hAnsi="Arial Narrow"/>
                <w:b/>
                <w:bCs/>
                <w:iCs/>
                <w:sz w:val="20"/>
              </w:rPr>
            </w:pPr>
            <w:r w:rsidRPr="00C6199E">
              <w:rPr>
                <w:rFonts w:ascii="Arial Narrow" w:hAnsi="Arial Narrow"/>
                <w:b/>
                <w:bCs/>
                <w:sz w:val="20"/>
              </w:rPr>
              <w:t>redacted</w:t>
            </w:r>
            <w:r w:rsidRPr="00C6199E">
              <w:rPr>
                <w:rFonts w:ascii="Arial Narrow" w:hAnsi="Arial Narrow"/>
                <w:b/>
                <w:bCs/>
                <w:sz w:val="20"/>
                <w:vertAlign w:val="superscript"/>
              </w:rPr>
              <w:t>1</w:t>
            </w:r>
          </w:p>
        </w:tc>
      </w:tr>
    </w:tbl>
    <w:p w14:paraId="13D4D0F5" w14:textId="77777777" w:rsidR="00E965EE" w:rsidRPr="00E965EE" w:rsidRDefault="00E965EE" w:rsidP="00A67F5E">
      <w:pPr>
        <w:pStyle w:val="Tablefootnote"/>
      </w:pPr>
      <w:r w:rsidRPr="00E965EE">
        <w:t>Source: Constructed during the evaluation from the ‘Attachment 14 - HEPCLUDEX HDV CoDep Section 4_final.xlsm’ file included with the submission.</w:t>
      </w:r>
    </w:p>
    <w:p w14:paraId="6660F6E2" w14:textId="77777777" w:rsidR="00E965EE" w:rsidRDefault="00E965EE" w:rsidP="00A67F5E">
      <w:pPr>
        <w:pStyle w:val="Tablefootnote"/>
        <w:spacing w:after="0"/>
        <w:contextualSpacing w:val="0"/>
      </w:pPr>
      <w:r w:rsidRPr="00E965EE">
        <w:t xml:space="preserve">HDV = hepatitis D virus; RNA = ribonucleic acid. </w:t>
      </w:r>
    </w:p>
    <w:p w14:paraId="14EB66D9" w14:textId="1185F99E" w:rsidR="00A27690" w:rsidRPr="00E965EE" w:rsidRDefault="00A27690" w:rsidP="00A67F5E">
      <w:pPr>
        <w:pStyle w:val="Tablefootnote"/>
        <w:spacing w:after="0"/>
        <w:contextualSpacing w:val="0"/>
      </w:pPr>
      <w:r>
        <w:rPr>
          <w:rFonts w:eastAsia="Times New Roman" w:cs="Arial"/>
          <w:snapToGrid w:val="0"/>
          <w:szCs w:val="20"/>
        </w:rPr>
        <w:t xml:space="preserve">1 </w:t>
      </w:r>
      <w:r w:rsidRPr="00D36573">
        <w:rPr>
          <w:rFonts w:eastAsia="Times New Roman" w:cs="Arial"/>
          <w:snapToGrid w:val="0"/>
          <w:szCs w:val="20"/>
        </w:rPr>
        <w:t>$0 to &lt; $10 million</w:t>
      </w:r>
    </w:p>
    <w:p w14:paraId="06C9B281" w14:textId="4BB58E0B" w:rsidR="00B11FE2" w:rsidRPr="00B11FE2" w:rsidRDefault="00B11FE2" w:rsidP="00B11FE2">
      <w:pPr>
        <w:pStyle w:val="Heading2"/>
        <w:numPr>
          <w:ilvl w:val="0"/>
          <w:numId w:val="45"/>
        </w:numPr>
        <w:spacing w:after="240"/>
        <w:ind w:hanging="720"/>
        <w:rPr>
          <w:rFonts w:ascii="Franklin Gothic Medium" w:hAnsi="Franklin Gothic Medium"/>
          <w:b w:val="0"/>
          <w:i w:val="0"/>
          <w:snapToGrid/>
          <w:color w:val="000000" w:themeColor="text1"/>
          <w:sz w:val="32"/>
          <w:szCs w:val="26"/>
        </w:rPr>
      </w:pPr>
      <w:bookmarkStart w:id="37" w:name="_Toc69491427"/>
      <w:r w:rsidRPr="00B11FE2">
        <w:rPr>
          <w:rFonts w:ascii="Franklin Gothic Medium" w:hAnsi="Franklin Gothic Medium"/>
          <w:b w:val="0"/>
          <w:i w:val="0"/>
          <w:snapToGrid/>
          <w:color w:val="000000" w:themeColor="text1"/>
          <w:sz w:val="32"/>
          <w:szCs w:val="26"/>
        </w:rPr>
        <w:t xml:space="preserve">Other relevant </w:t>
      </w:r>
      <w:bookmarkEnd w:id="37"/>
      <w:r w:rsidRPr="00B11FE2">
        <w:rPr>
          <w:rFonts w:ascii="Franklin Gothic Medium" w:hAnsi="Franklin Gothic Medium"/>
          <w:b w:val="0"/>
          <w:i w:val="0"/>
          <w:snapToGrid/>
          <w:color w:val="000000" w:themeColor="text1"/>
          <w:sz w:val="32"/>
          <w:szCs w:val="26"/>
        </w:rPr>
        <w:t>information</w:t>
      </w:r>
    </w:p>
    <w:p w14:paraId="4C939690" w14:textId="7D525E98" w:rsidR="005F06B2" w:rsidRDefault="00B11FE2" w:rsidP="005F06B2">
      <w:pPr>
        <w:rPr>
          <w:rFonts w:ascii="Franklin Gothic Book" w:hAnsi="Franklin Gothic Book"/>
          <w:sz w:val="22"/>
        </w:rPr>
      </w:pPr>
      <w:r w:rsidRPr="00B11FE2">
        <w:rPr>
          <w:rFonts w:ascii="Franklin Gothic Book" w:hAnsi="Franklin Gothic Book"/>
          <w:sz w:val="22"/>
        </w:rPr>
        <w:t>Nil.</w:t>
      </w:r>
      <w:r w:rsidR="005F06B2">
        <w:rPr>
          <w:rFonts w:ascii="Franklin Gothic Book" w:hAnsi="Franklin Gothic Book"/>
          <w:sz w:val="22"/>
        </w:rPr>
        <w:br w:type="page"/>
      </w:r>
    </w:p>
    <w:p w14:paraId="3672D181" w14:textId="4079ADCA" w:rsidR="00B11FE2" w:rsidRPr="00B11FE2" w:rsidRDefault="00B11FE2" w:rsidP="00B11FE2">
      <w:pPr>
        <w:pStyle w:val="Heading2"/>
        <w:numPr>
          <w:ilvl w:val="0"/>
          <w:numId w:val="45"/>
        </w:numPr>
        <w:spacing w:after="240"/>
        <w:ind w:hanging="720"/>
        <w:rPr>
          <w:rFonts w:ascii="Franklin Gothic Medium" w:hAnsi="Franklin Gothic Medium"/>
          <w:b w:val="0"/>
          <w:i w:val="0"/>
          <w:snapToGrid/>
          <w:color w:val="000000" w:themeColor="text1"/>
          <w:sz w:val="32"/>
          <w:szCs w:val="26"/>
        </w:rPr>
      </w:pPr>
      <w:r w:rsidRPr="00B11FE2">
        <w:rPr>
          <w:rFonts w:ascii="Franklin Gothic Medium" w:hAnsi="Franklin Gothic Medium"/>
          <w:b w:val="0"/>
          <w:i w:val="0"/>
          <w:snapToGrid/>
          <w:color w:val="000000" w:themeColor="text1"/>
          <w:sz w:val="32"/>
          <w:szCs w:val="26"/>
        </w:rPr>
        <w:lastRenderedPageBreak/>
        <w:t>Key issues from ESC to MSAC</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9016"/>
      </w:tblGrid>
      <w:tr w:rsidR="00793341" w:rsidRPr="008E4982" w14:paraId="018B3574" w14:textId="77777777" w:rsidTr="00B11FE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uto"/>
          </w:tcPr>
          <w:p w14:paraId="2417A9B5" w14:textId="77777777" w:rsidR="00B11FE2" w:rsidRPr="008E4982" w:rsidRDefault="00B11FE2">
            <w:pPr>
              <w:widowControl w:val="0"/>
              <w:tabs>
                <w:tab w:val="num" w:pos="360"/>
              </w:tabs>
              <w:spacing w:before="240" w:after="120"/>
              <w:jc w:val="left"/>
              <w:outlineLvl w:val="1"/>
              <w:rPr>
                <w:rFonts w:ascii="Franklin Gothic Book" w:eastAsia="Calibri" w:hAnsi="Franklin Gothic Book"/>
                <w:b w:val="0"/>
                <w:lang w:val="en-AU" w:eastAsia="en-AU"/>
              </w:rPr>
            </w:pPr>
            <w:r w:rsidRPr="1230503C">
              <w:rPr>
                <w:rFonts w:ascii="Franklin Gothic Book" w:hAnsi="Franklin Gothic Book"/>
                <w:lang w:val="en-AU"/>
              </w:rPr>
              <w:t>Main issues for MSAC consideration</w:t>
            </w:r>
            <w:r w:rsidRPr="1230503C">
              <w:rPr>
                <w:rFonts w:ascii="Franklin Gothic Book" w:eastAsia="Calibri" w:hAnsi="Franklin Gothic Book"/>
                <w:lang w:val="en-AU" w:eastAsia="en-AU"/>
              </w:rPr>
              <w:t xml:space="preserve"> </w:t>
            </w:r>
          </w:p>
          <w:p w14:paraId="1CD03D12" w14:textId="16D5D34B" w:rsidR="00793341" w:rsidRPr="008E4982" w:rsidRDefault="00793341">
            <w:pPr>
              <w:widowControl w:val="0"/>
              <w:tabs>
                <w:tab w:val="num" w:pos="360"/>
              </w:tabs>
              <w:spacing w:before="240" w:after="120"/>
              <w:jc w:val="left"/>
              <w:outlineLvl w:val="1"/>
              <w:rPr>
                <w:rFonts w:ascii="Franklin Gothic Book" w:eastAsia="Calibri" w:hAnsi="Franklin Gothic Book" w:cstheme="minorHAnsi"/>
                <w:bCs/>
                <w:szCs w:val="24"/>
                <w:lang w:eastAsia="en-AU"/>
              </w:rPr>
            </w:pPr>
            <w:r w:rsidRPr="008E4982">
              <w:rPr>
                <w:rFonts w:ascii="Franklin Gothic Book" w:eastAsia="Calibri" w:hAnsi="Franklin Gothic Book" w:cstheme="minorHAnsi"/>
                <w:bCs/>
                <w:szCs w:val="24"/>
                <w:lang w:eastAsia="en-AU"/>
              </w:rPr>
              <w:t>Clinical issues:</w:t>
            </w:r>
          </w:p>
          <w:p w14:paraId="7BC393F5" w14:textId="3EAAE185" w:rsidR="00793341" w:rsidRPr="008E4982" w:rsidRDefault="00793341" w:rsidP="00AA6C18">
            <w:pPr>
              <w:widowControl w:val="0"/>
              <w:numPr>
                <w:ilvl w:val="0"/>
                <w:numId w:val="38"/>
              </w:numPr>
              <w:spacing w:before="0" w:after="120"/>
              <w:ind w:left="313"/>
              <w:jc w:val="left"/>
              <w:rPr>
                <w:rFonts w:ascii="Franklin Gothic Book" w:eastAsia="Calibri" w:hAnsi="Franklin Gothic Book"/>
                <w:b w:val="0"/>
                <w:sz w:val="22"/>
                <w:lang w:val="en-AU"/>
              </w:rPr>
            </w:pPr>
            <w:r w:rsidRPr="1230503C">
              <w:rPr>
                <w:rFonts w:ascii="Franklin Gothic Book" w:eastAsia="Calibri" w:hAnsi="Franklin Gothic Book"/>
                <w:b w:val="0"/>
                <w:sz w:val="22"/>
                <w:lang w:val="en-AU"/>
              </w:rPr>
              <w:t>The submission proposed a quantitative HDV RNA PCR test, however it did not clearly specify how quantitative RNA levels would change clinical decision making. The submission had defined a response to treatment as undetectable HDV RNA (HDV RNA &lt; lower limit of detection) or a ≥2 log</w:t>
            </w:r>
            <w:r w:rsidRPr="1230503C">
              <w:rPr>
                <w:rFonts w:ascii="Franklin Gothic Book" w:eastAsia="Calibri" w:hAnsi="Franklin Gothic Book"/>
                <w:b w:val="0"/>
                <w:sz w:val="22"/>
                <w:vertAlign w:val="subscript"/>
                <w:lang w:val="en-AU"/>
              </w:rPr>
              <w:t>10</w:t>
            </w:r>
            <w:r w:rsidRPr="1230503C">
              <w:rPr>
                <w:rFonts w:ascii="Franklin Gothic Book" w:eastAsia="Calibri" w:hAnsi="Franklin Gothic Book"/>
                <w:b w:val="0"/>
                <w:sz w:val="22"/>
                <w:lang w:val="en-AU"/>
              </w:rPr>
              <w:t xml:space="preserve"> drop in HDV RNA from baseline measured by quantitative testing. However, there was no evidence that a 2 log</w:t>
            </w:r>
            <w:r w:rsidRPr="1230503C">
              <w:rPr>
                <w:rFonts w:ascii="Franklin Gothic Book" w:eastAsia="Calibri" w:hAnsi="Franklin Gothic Book"/>
                <w:b w:val="0"/>
                <w:sz w:val="22"/>
                <w:vertAlign w:val="subscript"/>
                <w:lang w:val="en-AU"/>
              </w:rPr>
              <w:t>10</w:t>
            </w:r>
            <w:r w:rsidRPr="1230503C">
              <w:rPr>
                <w:rFonts w:ascii="Franklin Gothic Book" w:eastAsia="Calibri" w:hAnsi="Franklin Gothic Book"/>
                <w:b w:val="0"/>
                <w:sz w:val="22"/>
                <w:lang w:val="en-AU"/>
              </w:rPr>
              <w:t xml:space="preserve"> drop in viraemia was associated with improvements in clinical outcomes. </w:t>
            </w:r>
            <w:r w:rsidR="00A06F25" w:rsidRPr="1230503C">
              <w:rPr>
                <w:rFonts w:ascii="Franklin Gothic Book" w:eastAsia="Calibri" w:hAnsi="Franklin Gothic Book"/>
                <w:b w:val="0"/>
                <w:sz w:val="22"/>
                <w:lang w:val="en-AU"/>
              </w:rPr>
              <w:t>Therefore</w:t>
            </w:r>
            <w:r w:rsidR="00A06F25" w:rsidRPr="1230503C">
              <w:rPr>
                <w:rFonts w:ascii="Franklin Gothic Book" w:eastAsia="Calibri" w:hAnsi="Franklin Gothic Book"/>
                <w:sz w:val="22"/>
              </w:rPr>
              <w:t>,</w:t>
            </w:r>
            <w:r w:rsidRPr="1230503C">
              <w:rPr>
                <w:rFonts w:ascii="Franklin Gothic Book" w:eastAsia="Calibri" w:hAnsi="Franklin Gothic Book"/>
                <w:b w:val="0"/>
                <w:sz w:val="22"/>
                <w:lang w:val="en-AU"/>
              </w:rPr>
              <w:t xml:space="preserve"> there could be a role for qualitative HDV RNA testing in either triaging for or replacing quantitative HDV RNA testing, with an additional benefit from the fact that qualitative testing costs much less than quantitative testing.</w:t>
            </w:r>
          </w:p>
          <w:p w14:paraId="19101598" w14:textId="77777777" w:rsidR="00793341" w:rsidRPr="008E4982" w:rsidRDefault="00793341" w:rsidP="00AA6C18">
            <w:pPr>
              <w:widowControl w:val="0"/>
              <w:numPr>
                <w:ilvl w:val="0"/>
                <w:numId w:val="37"/>
              </w:numPr>
              <w:spacing w:before="0" w:after="120"/>
              <w:ind w:left="313"/>
              <w:jc w:val="left"/>
              <w:rPr>
                <w:rFonts w:ascii="Franklin Gothic Book" w:eastAsia="Calibri" w:hAnsi="Franklin Gothic Book" w:cstheme="minorHAnsi"/>
                <w:b w:val="0"/>
                <w:sz w:val="22"/>
              </w:rPr>
            </w:pPr>
            <w:r w:rsidRPr="008E4982">
              <w:rPr>
                <w:rFonts w:ascii="Franklin Gothic Book" w:eastAsia="Calibri" w:hAnsi="Franklin Gothic Book" w:cstheme="minorHAnsi"/>
                <w:b w:val="0"/>
                <w:sz w:val="22"/>
              </w:rPr>
              <w:t>The evidence of an association between HDV RNA viral load and clinical outcomes was based on data from retrospective cohort studies and only looked at association between the presence/absence of HDV RNA in people at baseline and clinical outcomes. In addition,</w:t>
            </w:r>
            <w:r w:rsidRPr="008E4982" w:rsidDel="005B4309">
              <w:rPr>
                <w:rFonts w:ascii="Franklin Gothic Book" w:eastAsia="Calibri" w:hAnsi="Franklin Gothic Book" w:cstheme="minorHAnsi"/>
                <w:b w:val="0"/>
                <w:sz w:val="22"/>
              </w:rPr>
              <w:t xml:space="preserve"> </w:t>
            </w:r>
            <w:r w:rsidRPr="008E4982">
              <w:rPr>
                <w:rFonts w:ascii="Franklin Gothic Book" w:eastAsia="Calibri" w:hAnsi="Franklin Gothic Book" w:cstheme="minorHAnsi"/>
                <w:b w:val="0"/>
                <w:sz w:val="22"/>
              </w:rPr>
              <w:t xml:space="preserve">the evidence was at high risk of bias in all domains particularly selection bias, and its </w:t>
            </w:r>
            <w:r w:rsidRPr="008E4982">
              <w:rPr>
                <w:rFonts w:ascii="Franklin Gothic Book" w:eastAsia="Calibri" w:hAnsi="Franklin Gothic Book" w:cstheme="minorHAnsi"/>
                <w:b w:val="0"/>
                <w:sz w:val="22"/>
                <w:lang w:val="en-AU"/>
              </w:rPr>
              <w:t>generalisability</w:t>
            </w:r>
            <w:r w:rsidRPr="008E4982">
              <w:rPr>
                <w:rFonts w:ascii="Franklin Gothic Book" w:eastAsia="Calibri" w:hAnsi="Franklin Gothic Book" w:cstheme="minorHAnsi"/>
                <w:b w:val="0"/>
                <w:sz w:val="22"/>
              </w:rPr>
              <w:t xml:space="preserve"> was uncertain as no Australian studies were included. </w:t>
            </w:r>
          </w:p>
          <w:p w14:paraId="191917CD" w14:textId="0E944579" w:rsidR="00793341" w:rsidRPr="008E4982" w:rsidRDefault="00793341" w:rsidP="00AA6C18">
            <w:pPr>
              <w:widowControl w:val="0"/>
              <w:numPr>
                <w:ilvl w:val="0"/>
                <w:numId w:val="37"/>
              </w:numPr>
              <w:spacing w:before="0" w:after="120"/>
              <w:ind w:left="313"/>
              <w:jc w:val="left"/>
              <w:rPr>
                <w:rFonts w:ascii="Franklin Gothic Book" w:eastAsia="Calibri" w:hAnsi="Franklin Gothic Book"/>
                <w:b w:val="0"/>
                <w:sz w:val="22"/>
                <w:lang w:val="en-AU"/>
              </w:rPr>
            </w:pPr>
            <w:r w:rsidRPr="1230503C">
              <w:rPr>
                <w:rFonts w:ascii="Franklin Gothic Book" w:eastAsia="Calibri" w:hAnsi="Franklin Gothic Book"/>
                <w:b w:val="0"/>
                <w:sz w:val="22"/>
                <w:lang w:val="en-AU"/>
              </w:rPr>
              <w:t xml:space="preserve">There was limited evidence that the test results predicted clinical outcomes, although despite this lack of evidence, recent guidelines on decision-making included reference to </w:t>
            </w:r>
            <w:r w:rsidR="00A06F25" w:rsidRPr="1230503C">
              <w:rPr>
                <w:rFonts w:ascii="Franklin Gothic Book" w:eastAsia="Calibri" w:hAnsi="Franklin Gothic Book"/>
                <w:b w:val="0"/>
                <w:sz w:val="22"/>
                <w:lang w:val="en-AU"/>
              </w:rPr>
              <w:t>testing HDV</w:t>
            </w:r>
            <w:r w:rsidRPr="1230503C">
              <w:rPr>
                <w:rFonts w:ascii="Franklin Gothic Book" w:eastAsia="Calibri" w:hAnsi="Franklin Gothic Book"/>
                <w:b w:val="0"/>
                <w:sz w:val="22"/>
                <w:lang w:val="en-AU"/>
              </w:rPr>
              <w:t xml:space="preserve"> RNA PCR levels every 6 months to monitor response to treatment.</w:t>
            </w:r>
          </w:p>
          <w:p w14:paraId="72B2D40F" w14:textId="486237D8" w:rsidR="00793341" w:rsidRPr="008E4982" w:rsidRDefault="00793341" w:rsidP="00AA6C18">
            <w:pPr>
              <w:widowControl w:val="0"/>
              <w:numPr>
                <w:ilvl w:val="0"/>
                <w:numId w:val="37"/>
              </w:numPr>
              <w:spacing w:before="0" w:after="120"/>
              <w:ind w:left="313"/>
              <w:jc w:val="left"/>
              <w:rPr>
                <w:rFonts w:ascii="Franklin Gothic Book" w:eastAsia="Calibri" w:hAnsi="Franklin Gothic Book"/>
                <w:b w:val="0"/>
                <w:sz w:val="22"/>
                <w:lang w:val="en-AU"/>
              </w:rPr>
            </w:pPr>
            <w:r w:rsidRPr="1230503C">
              <w:rPr>
                <w:rFonts w:ascii="Franklin Gothic Book" w:eastAsia="Calibri" w:hAnsi="Franklin Gothic Book"/>
                <w:b w:val="0"/>
                <w:sz w:val="22"/>
                <w:lang w:val="en-AU"/>
              </w:rPr>
              <w:t>The test used in the key trial evidence (Robogene</w:t>
            </w:r>
            <w:r w:rsidRPr="1230503C">
              <w:rPr>
                <w:rFonts w:ascii="Franklin Gothic Book" w:eastAsia="Calibri" w:hAnsi="Franklin Gothic Book"/>
                <w:b w:val="0"/>
                <w:sz w:val="22"/>
                <w:vertAlign w:val="superscript"/>
                <w:lang w:val="en-AU"/>
              </w:rPr>
              <w:t>®</w:t>
            </w:r>
            <w:r w:rsidRPr="1230503C">
              <w:rPr>
                <w:rFonts w:ascii="Franklin Gothic Book" w:eastAsia="Calibri" w:hAnsi="Franklin Gothic Book"/>
                <w:b w:val="0"/>
                <w:sz w:val="22"/>
                <w:lang w:val="en-AU"/>
              </w:rPr>
              <w:t xml:space="preserve"> RNA quantification kit, the clinical utility standard) differed from the proposed test (developed </w:t>
            </w:r>
            <w:r w:rsidR="00A06F25" w:rsidRPr="1230503C">
              <w:rPr>
                <w:rFonts w:ascii="Franklin Gothic Book" w:eastAsia="Calibri" w:hAnsi="Franklin Gothic Book"/>
                <w:b w:val="0"/>
                <w:sz w:val="22"/>
                <w:lang w:val="en-AU"/>
              </w:rPr>
              <w:t>by the</w:t>
            </w:r>
            <w:r w:rsidRPr="1230503C">
              <w:rPr>
                <w:rFonts w:ascii="Franklin Gothic Book" w:eastAsia="Calibri" w:hAnsi="Franklin Gothic Book"/>
                <w:b w:val="0"/>
                <w:sz w:val="22"/>
                <w:lang w:val="en-AU"/>
              </w:rPr>
              <w:t xml:space="preserve"> Victorian Infectious Diseases Reference Laboratory (VIDRL))</w:t>
            </w:r>
            <w:r w:rsidR="007B0EF4">
              <w:rPr>
                <w:rFonts w:ascii="Franklin Gothic Book" w:eastAsia="Calibri" w:hAnsi="Franklin Gothic Book"/>
                <w:b w:val="0"/>
                <w:sz w:val="22"/>
                <w:lang w:val="en-AU"/>
              </w:rPr>
              <w:t xml:space="preserve"> </w:t>
            </w:r>
            <w:r w:rsidR="0029779C" w:rsidRPr="0029779C">
              <w:rPr>
                <w:rFonts w:ascii="Franklin Gothic Book" w:eastAsia="Calibri" w:hAnsi="Franklin Gothic Book"/>
                <w:bCs/>
                <w:sz w:val="22"/>
                <w:lang w:val="en-AU"/>
              </w:rPr>
              <w:t>redacted</w:t>
            </w:r>
          </w:p>
          <w:p w14:paraId="517E3351" w14:textId="77777777" w:rsidR="00793341" w:rsidRPr="008E4982" w:rsidRDefault="00793341" w:rsidP="00AA6C18">
            <w:pPr>
              <w:widowControl w:val="0"/>
              <w:numPr>
                <w:ilvl w:val="0"/>
                <w:numId w:val="37"/>
              </w:numPr>
              <w:spacing w:before="0" w:after="120"/>
              <w:ind w:left="313"/>
              <w:jc w:val="left"/>
              <w:rPr>
                <w:rFonts w:ascii="Franklin Gothic Book" w:eastAsia="Calibri" w:hAnsi="Franklin Gothic Book"/>
                <w:b w:val="0"/>
                <w:sz w:val="22"/>
                <w:lang w:val="en-AU" w:eastAsia="en-AU"/>
              </w:rPr>
            </w:pPr>
            <w:r w:rsidRPr="1230503C">
              <w:rPr>
                <w:rFonts w:ascii="Franklin Gothic Book" w:eastAsia="Calibri" w:hAnsi="Franklin Gothic Book"/>
                <w:b w:val="0"/>
                <w:sz w:val="22"/>
                <w:lang w:val="en-AU"/>
              </w:rPr>
              <w:t xml:space="preserve">The ESCs considered the test should not be pathologist-determinable as this is not clinically required, the test is not likely to be subject to substantial loss to follow up, and making the test pathologist-determinable would likely result in over-testing. </w:t>
            </w:r>
          </w:p>
          <w:p w14:paraId="71838B9B" w14:textId="77777777" w:rsidR="00793341" w:rsidRPr="008E4982" w:rsidRDefault="00793341" w:rsidP="00AA6C18">
            <w:pPr>
              <w:keepNext/>
              <w:keepLines/>
              <w:widowControl w:val="0"/>
              <w:tabs>
                <w:tab w:val="num" w:pos="360"/>
              </w:tabs>
              <w:spacing w:before="0" w:after="120"/>
              <w:jc w:val="left"/>
              <w:rPr>
                <w:rFonts w:ascii="Franklin Gothic Book" w:eastAsia="Calibri" w:hAnsi="Franklin Gothic Book" w:cstheme="minorHAnsi"/>
                <w:bCs/>
                <w:szCs w:val="24"/>
              </w:rPr>
            </w:pPr>
            <w:r w:rsidRPr="008E4982">
              <w:rPr>
                <w:rFonts w:ascii="Franklin Gothic Book" w:eastAsia="Calibri" w:hAnsi="Franklin Gothic Book" w:cstheme="minorHAnsi"/>
                <w:bCs/>
                <w:szCs w:val="24"/>
                <w:lang w:eastAsia="en-AU"/>
              </w:rPr>
              <w:t>Economic issues:</w:t>
            </w:r>
          </w:p>
          <w:p w14:paraId="5E8FA9B3" w14:textId="77777777" w:rsidR="00793341" w:rsidRPr="008E4982" w:rsidRDefault="00793341" w:rsidP="00AA6C18">
            <w:pPr>
              <w:keepNext/>
              <w:keepLines/>
              <w:widowControl w:val="0"/>
              <w:numPr>
                <w:ilvl w:val="0"/>
                <w:numId w:val="38"/>
              </w:numPr>
              <w:spacing w:before="0" w:after="120"/>
              <w:ind w:left="313"/>
              <w:jc w:val="left"/>
              <w:rPr>
                <w:rFonts w:ascii="Franklin Gothic Book" w:eastAsia="Calibri" w:hAnsi="Franklin Gothic Book" w:cstheme="minorHAnsi"/>
                <w:b w:val="0"/>
                <w:sz w:val="22"/>
              </w:rPr>
            </w:pPr>
            <w:r w:rsidRPr="008E4982">
              <w:rPr>
                <w:rFonts w:ascii="Franklin Gothic Book" w:eastAsia="Calibri" w:hAnsi="Franklin Gothic Book" w:cstheme="minorHAnsi"/>
                <w:b w:val="0"/>
                <w:sz w:val="22"/>
              </w:rPr>
              <w:t xml:space="preserve">The economic model structure excluded consideration of false positive and false negative results for HDV RNA PCR testing for eligibility, as patients entered at treatment. </w:t>
            </w:r>
          </w:p>
          <w:p w14:paraId="486E238D" w14:textId="77777777" w:rsidR="00793341" w:rsidRPr="008E4982" w:rsidRDefault="00793341" w:rsidP="00AA6C18">
            <w:pPr>
              <w:widowControl w:val="0"/>
              <w:numPr>
                <w:ilvl w:val="0"/>
                <w:numId w:val="38"/>
              </w:numPr>
              <w:spacing w:before="0" w:after="120"/>
              <w:ind w:left="313"/>
              <w:jc w:val="left"/>
              <w:rPr>
                <w:rFonts w:ascii="Franklin Gothic Book" w:eastAsia="Calibri" w:hAnsi="Franklin Gothic Book"/>
                <w:b w:val="0"/>
                <w:sz w:val="22"/>
                <w:lang w:val="en-AU"/>
              </w:rPr>
            </w:pPr>
            <w:r w:rsidRPr="1230503C">
              <w:rPr>
                <w:rFonts w:ascii="Franklin Gothic Book" w:eastAsia="Calibri" w:hAnsi="Franklin Gothic Book"/>
                <w:b w:val="0"/>
                <w:sz w:val="22"/>
                <w:lang w:val="en-AU"/>
              </w:rPr>
              <w:t xml:space="preserve">The ESCs considered the likely pattern of use of HDV RNA PCR testing and re-testing was uncertain and should have been more fully explored in the economic model. </w:t>
            </w:r>
          </w:p>
          <w:p w14:paraId="4456A4CD" w14:textId="77777777" w:rsidR="00793341" w:rsidRPr="008E4982" w:rsidRDefault="00793341" w:rsidP="00AA6C18">
            <w:pPr>
              <w:widowControl w:val="0"/>
              <w:numPr>
                <w:ilvl w:val="0"/>
                <w:numId w:val="38"/>
              </w:numPr>
              <w:tabs>
                <w:tab w:val="num" w:pos="360"/>
              </w:tabs>
              <w:spacing w:before="0" w:after="120"/>
              <w:ind w:left="313"/>
              <w:jc w:val="left"/>
              <w:rPr>
                <w:rFonts w:ascii="Franklin Gothic Book" w:eastAsia="Calibri" w:hAnsi="Franklin Gothic Book" w:cstheme="minorHAnsi"/>
                <w:b w:val="0"/>
                <w:sz w:val="22"/>
              </w:rPr>
            </w:pPr>
            <w:r w:rsidRPr="008E4982">
              <w:rPr>
                <w:rFonts w:ascii="Franklin Gothic Book" w:eastAsia="Calibri" w:hAnsi="Franklin Gothic Book" w:cstheme="minorHAnsi"/>
                <w:b w:val="0"/>
                <w:sz w:val="22"/>
              </w:rPr>
              <w:t xml:space="preserve">The ESCs noted there was uncertainty in the average duration of bulevirtide treatment, which translated to uncertainty in the number of monitoring tests per treated patient. There may therefore be merit in having separate MBS items to track </w:t>
            </w:r>
            <w:r w:rsidRPr="008E4982">
              <w:rPr>
                <w:rFonts w:ascii="Franklin Gothic Book" w:eastAsia="Calibri" w:hAnsi="Franklin Gothic Book" w:cstheme="minorHAnsi"/>
                <w:b w:val="0"/>
                <w:sz w:val="22"/>
                <w:lang w:val="en-AU"/>
              </w:rPr>
              <w:t>utilisation</w:t>
            </w:r>
            <w:r w:rsidRPr="008E4982">
              <w:rPr>
                <w:rFonts w:ascii="Franklin Gothic Book" w:eastAsia="Calibri" w:hAnsi="Franklin Gothic Book" w:cstheme="minorHAnsi"/>
                <w:b w:val="0"/>
                <w:sz w:val="22"/>
              </w:rPr>
              <w:t xml:space="preserve"> of HDV RNA PCR testing for determining eligibility for treatment versus monitoring of treatment effectiveness.</w:t>
            </w:r>
          </w:p>
          <w:p w14:paraId="4AFD1860" w14:textId="77777777" w:rsidR="00793341" w:rsidRPr="008E4982" w:rsidRDefault="00793341" w:rsidP="00AA6C18">
            <w:pPr>
              <w:widowControl w:val="0"/>
              <w:tabs>
                <w:tab w:val="num" w:pos="360"/>
              </w:tabs>
              <w:spacing w:before="240" w:after="120"/>
              <w:jc w:val="left"/>
              <w:outlineLvl w:val="1"/>
              <w:rPr>
                <w:rFonts w:ascii="Franklin Gothic Book" w:eastAsia="Calibri" w:hAnsi="Franklin Gothic Book" w:cstheme="minorHAnsi"/>
                <w:bCs/>
                <w:szCs w:val="24"/>
                <w:lang w:eastAsia="en-AU"/>
              </w:rPr>
            </w:pPr>
            <w:r w:rsidRPr="008E4982">
              <w:rPr>
                <w:rFonts w:ascii="Franklin Gothic Book" w:eastAsia="Calibri" w:hAnsi="Franklin Gothic Book" w:cstheme="minorHAnsi"/>
                <w:bCs/>
                <w:szCs w:val="24"/>
                <w:lang w:eastAsia="en-AU"/>
              </w:rPr>
              <w:t>Financial issues:</w:t>
            </w:r>
          </w:p>
          <w:p w14:paraId="2267C206" w14:textId="4EB04080" w:rsidR="00793341" w:rsidRPr="008E4982" w:rsidRDefault="00793341" w:rsidP="00AA6C18">
            <w:pPr>
              <w:widowControl w:val="0"/>
              <w:numPr>
                <w:ilvl w:val="0"/>
                <w:numId w:val="38"/>
              </w:numPr>
              <w:tabs>
                <w:tab w:val="num" w:pos="360"/>
              </w:tabs>
              <w:spacing w:before="0" w:after="120"/>
              <w:ind w:left="313"/>
              <w:jc w:val="left"/>
              <w:rPr>
                <w:rFonts w:ascii="Franklin Gothic Book" w:eastAsia="Calibri" w:hAnsi="Franklin Gothic Book"/>
                <w:b w:val="0"/>
                <w:sz w:val="22"/>
                <w:lang w:val="en-AU"/>
              </w:rPr>
            </w:pPr>
            <w:r w:rsidRPr="1230503C">
              <w:rPr>
                <w:rFonts w:ascii="Franklin Gothic Book" w:eastAsia="Calibri" w:hAnsi="Franklin Gothic Book"/>
                <w:b w:val="0"/>
                <w:sz w:val="22"/>
                <w:lang w:val="en-AU"/>
              </w:rPr>
              <w:t>The Commentary’s revised financial estimates were significantly below the estimates provided in the submission, and the ESCs considered the revised estimates may be reasonable if MSAC agrees HDV RNA PCR testing should not be pathologist-determinable.</w:t>
            </w:r>
          </w:p>
        </w:tc>
      </w:tr>
    </w:tbl>
    <w:p w14:paraId="71EE9078" w14:textId="77777777" w:rsidR="00793341" w:rsidRPr="00B11FE2" w:rsidRDefault="00793341" w:rsidP="00793341">
      <w:pPr>
        <w:keepNext/>
        <w:spacing w:before="240" w:after="240"/>
        <w:jc w:val="left"/>
        <w:outlineLvl w:val="1"/>
        <w:rPr>
          <w:rFonts w:ascii="Franklin Gothic Book" w:eastAsia="Calibri" w:hAnsi="Franklin Gothic Book" w:cs="Calibri"/>
          <w:b/>
          <w:bCs/>
          <w:iCs/>
          <w:szCs w:val="24"/>
          <w:lang w:eastAsia="en-AU"/>
        </w:rPr>
      </w:pPr>
      <w:r w:rsidRPr="00B11FE2">
        <w:rPr>
          <w:rFonts w:ascii="Franklin Gothic Book" w:eastAsia="Calibri" w:hAnsi="Franklin Gothic Book" w:cs="Calibri"/>
          <w:b/>
          <w:bCs/>
          <w:iCs/>
          <w:szCs w:val="24"/>
          <w:lang w:eastAsia="en-AU"/>
        </w:rPr>
        <w:t>ESC discussion</w:t>
      </w:r>
    </w:p>
    <w:p w14:paraId="682934CA" w14:textId="77777777" w:rsidR="00793341" w:rsidRPr="00B11FE2" w:rsidRDefault="00793341" w:rsidP="00793341">
      <w:pPr>
        <w:spacing w:before="0" w:after="240" w:line="256" w:lineRule="auto"/>
        <w:jc w:val="left"/>
        <w:rPr>
          <w:rFonts w:ascii="Franklin Gothic Book" w:eastAsia="Calibri" w:hAnsi="Franklin Gothic Book" w:cs="Calibri"/>
          <w:sz w:val="22"/>
        </w:rPr>
      </w:pPr>
      <w:r w:rsidRPr="00B11FE2">
        <w:rPr>
          <w:rFonts w:ascii="Franklin Gothic Book" w:eastAsia="Calibri" w:hAnsi="Franklin Gothic Book" w:cs="Calibri"/>
          <w:sz w:val="22"/>
        </w:rPr>
        <w:t xml:space="preserve">The ESCs noted that the integrated codependent submission sought Medicare Benefits Schedule (MBS) listing of ribonucleic acid (RNA) polymerase chain reaction (PCR) testing to detect the </w:t>
      </w:r>
      <w:r w:rsidRPr="00B11FE2">
        <w:rPr>
          <w:rFonts w:ascii="Franklin Gothic Book" w:eastAsia="Calibri" w:hAnsi="Franklin Gothic Book" w:cs="Calibri"/>
          <w:sz w:val="22"/>
        </w:rPr>
        <w:lastRenderedPageBreak/>
        <w:t xml:space="preserve">presence of hepatitis D virus (HDV) RNA to determine eligibility for treatment with bulevirtide in patients with chronic HDV (CHD) with compensated liver disease. A second MBS listing was requested for HDV RNA PCR testing to quantify levels of HDV RNA for monitoring efficacy of bulevirtide treatment. </w:t>
      </w:r>
    </w:p>
    <w:p w14:paraId="0FDB2A7D" w14:textId="77777777" w:rsidR="00793341" w:rsidRPr="00B11FE2" w:rsidRDefault="00793341" w:rsidP="00793341">
      <w:pPr>
        <w:spacing w:before="0" w:after="240" w:line="256" w:lineRule="auto"/>
        <w:jc w:val="left"/>
        <w:rPr>
          <w:rFonts w:ascii="Franklin Gothic Book" w:eastAsia="Calibri" w:hAnsi="Franklin Gothic Book" w:cs="Calibri"/>
          <w:sz w:val="22"/>
        </w:rPr>
      </w:pPr>
      <w:r w:rsidRPr="00B11FE2">
        <w:rPr>
          <w:rFonts w:ascii="Franklin Gothic Book" w:eastAsia="Calibri" w:hAnsi="Franklin Gothic Book" w:cs="Calibri"/>
          <w:sz w:val="22"/>
        </w:rPr>
        <w:t xml:space="preserve">The ESCs noted that HDV virions attach to the receptors on the surface of hepatocytes infected with the hepatitis B virus (HBV). They are then enveloped within a coating of HBV surface antigen before gaining entry into the hepatocyte. Bulevirtide binds to and inactivates the receptor that the HDV virions use to gain entry into the hepatocytes, thus blocking their entry into hepatocytes. </w:t>
      </w:r>
    </w:p>
    <w:p w14:paraId="65F9AF9C" w14:textId="77777777" w:rsidR="00793341" w:rsidRPr="00B11FE2" w:rsidRDefault="00793341" w:rsidP="00793341">
      <w:pPr>
        <w:spacing w:before="0" w:after="240" w:line="256" w:lineRule="auto"/>
        <w:jc w:val="left"/>
        <w:rPr>
          <w:rFonts w:ascii="Franklin Gothic Book" w:eastAsia="Calibri" w:hAnsi="Franklin Gothic Book" w:cs="Calibri"/>
          <w:sz w:val="22"/>
        </w:rPr>
      </w:pPr>
      <w:r w:rsidRPr="00B11FE2">
        <w:rPr>
          <w:rFonts w:ascii="Franklin Gothic Book" w:eastAsia="Calibri" w:hAnsi="Franklin Gothic Book" w:cs="Calibri"/>
          <w:sz w:val="22"/>
        </w:rPr>
        <w:t>The ESCs noted that HDV cases in Australia were stable over time, and there were an estimated 70 reported cases of HDV in 2022</w:t>
      </w:r>
      <w:r w:rsidRPr="00B11FE2">
        <w:rPr>
          <w:rFonts w:ascii="Franklin Gothic Book" w:eastAsia="Calibri" w:hAnsi="Franklin Gothic Book" w:cs="Calibri"/>
          <w:sz w:val="22"/>
          <w:vertAlign w:val="superscript"/>
        </w:rPr>
        <w:footnoteReference w:id="15"/>
      </w:r>
      <w:r w:rsidRPr="00B11FE2">
        <w:rPr>
          <w:rFonts w:ascii="Franklin Gothic Book" w:eastAsia="Calibri" w:hAnsi="Franklin Gothic Book" w:cs="Calibri"/>
          <w:sz w:val="22"/>
        </w:rPr>
        <w:t xml:space="preserve"> based on positive HDV serology, representing an incidence of 0.29 cases per 100,000 population. The ESCs considered HDV is a rare disease in Australia, although it is more common in Europe, which made the applicability of international prevalence estimates to Australia uncertain. There is no current therapy available specifically for HDV. Pegylated interferon (peg-IFN) is used to treat HDV overseas, but is curative in only 30% of cases and is poorly tolerated. The ESCs noted that international guidelines</w:t>
      </w:r>
      <w:r w:rsidRPr="00B11FE2">
        <w:rPr>
          <w:rFonts w:ascii="Franklin Gothic Book" w:eastAsia="Calibri" w:hAnsi="Franklin Gothic Book" w:cs="Calibri"/>
          <w:sz w:val="22"/>
          <w:vertAlign w:val="superscript"/>
        </w:rPr>
        <w:footnoteReference w:id="16"/>
      </w:r>
      <w:r w:rsidRPr="00B11FE2">
        <w:rPr>
          <w:rFonts w:ascii="Franklin Gothic Book" w:eastAsia="Calibri" w:hAnsi="Franklin Gothic Book" w:cs="Calibri"/>
          <w:sz w:val="22"/>
        </w:rPr>
        <w:t xml:space="preserve"> recommend that patients should be eligible for bulevirtide only if they have failed a prior course of peg-IFN. This is similar to NICE eligibility requirements to access bulevirtide in the UK. The ESCs considered that a similar requirement would be difficult to implement in Australia due to patient and clinician preference for treatments other than peg-IFN. In addition, peg-IFN is not indicated for use for treatment of HDV in Australia, although it is known to be used off-label.</w:t>
      </w:r>
    </w:p>
    <w:p w14:paraId="36D2E856" w14:textId="6CEE7C12" w:rsidR="00793341" w:rsidRPr="00B11FE2" w:rsidRDefault="00793341" w:rsidP="00793341">
      <w:pPr>
        <w:spacing w:before="0" w:after="240" w:line="256" w:lineRule="auto"/>
        <w:jc w:val="left"/>
        <w:rPr>
          <w:rFonts w:ascii="Franklin Gothic Book" w:eastAsia="Calibri" w:hAnsi="Franklin Gothic Book" w:cs="Calibri"/>
          <w:sz w:val="22"/>
        </w:rPr>
      </w:pPr>
      <w:r w:rsidRPr="00B11FE2">
        <w:rPr>
          <w:rFonts w:ascii="Franklin Gothic Book" w:eastAsia="Calibri" w:hAnsi="Franklin Gothic Book" w:cs="Calibri"/>
          <w:sz w:val="22"/>
        </w:rPr>
        <w:t xml:space="preserve">The ESCs noted that the PICO for this application was ratified three years ago, prior to the publication of the MYR 301 trial results in 2023 and this has led to differences in the proposed testing algorithm as it was not informed by the later trial results. </w:t>
      </w:r>
      <w:r w:rsidR="008B2353" w:rsidRPr="00B11FE2">
        <w:rPr>
          <w:rFonts w:ascii="Franklin Gothic Book" w:eastAsia="Calibri" w:hAnsi="Franklin Gothic Book" w:cs="Calibri"/>
          <w:sz w:val="22"/>
        </w:rPr>
        <w:t>Therefore,</w:t>
      </w:r>
      <w:r w:rsidRPr="00B11FE2">
        <w:rPr>
          <w:rFonts w:ascii="Franklin Gothic Book" w:eastAsia="Calibri" w:hAnsi="Franklin Gothic Book" w:cs="Calibri"/>
          <w:sz w:val="22"/>
        </w:rPr>
        <w:t xml:space="preserve"> the ESCs considered that the proposed algorithm may require amendment and further investigation. </w:t>
      </w:r>
    </w:p>
    <w:p w14:paraId="5427FDF6" w14:textId="77777777" w:rsidR="00793341" w:rsidRPr="00B11FE2" w:rsidRDefault="00793341" w:rsidP="00793341">
      <w:pPr>
        <w:spacing w:before="0" w:after="240" w:line="256" w:lineRule="auto"/>
        <w:jc w:val="left"/>
        <w:rPr>
          <w:rFonts w:ascii="Franklin Gothic Book" w:eastAsia="Calibri" w:hAnsi="Franklin Gothic Book" w:cs="Calibri"/>
          <w:sz w:val="22"/>
        </w:rPr>
      </w:pPr>
      <w:r w:rsidRPr="00B11FE2">
        <w:rPr>
          <w:rFonts w:ascii="Franklin Gothic Book" w:eastAsia="Calibri" w:hAnsi="Franklin Gothic Book" w:cs="Calibri"/>
          <w:sz w:val="22"/>
        </w:rPr>
        <w:t>The ESCs noted that the proposed HDV RNA PCR test (a test developed by the only Australian laboratory that currently offers this testing, VIDRL) was different to the clinical utility standard (Robogene</w:t>
      </w:r>
      <w:r w:rsidRPr="00B11FE2">
        <w:rPr>
          <w:rFonts w:ascii="Franklin Gothic Book" w:eastAsia="Calibri" w:hAnsi="Franklin Gothic Book" w:cs="Calibri"/>
          <w:sz w:val="22"/>
          <w:vertAlign w:val="superscript"/>
        </w:rPr>
        <w:t>®</w:t>
      </w:r>
      <w:r w:rsidRPr="00B11FE2">
        <w:rPr>
          <w:rFonts w:ascii="Franklin Gothic Book" w:eastAsia="Calibri" w:hAnsi="Franklin Gothic Book" w:cs="Calibri"/>
          <w:sz w:val="22"/>
        </w:rPr>
        <w:t xml:space="preserve"> RNA quantification kit) that was used in the key trial. </w:t>
      </w:r>
    </w:p>
    <w:p w14:paraId="1D46B497" w14:textId="2C5C79E0" w:rsidR="00793341" w:rsidRPr="00B11FE2" w:rsidRDefault="00793341" w:rsidP="00793341">
      <w:pPr>
        <w:spacing w:before="0" w:after="240" w:line="256" w:lineRule="auto"/>
        <w:jc w:val="left"/>
        <w:rPr>
          <w:rFonts w:ascii="Franklin Gothic Book" w:eastAsia="Calibri" w:hAnsi="Franklin Gothic Book" w:cs="Calibri"/>
          <w:sz w:val="22"/>
        </w:rPr>
      </w:pPr>
      <w:r w:rsidRPr="00B11FE2">
        <w:rPr>
          <w:rFonts w:ascii="Franklin Gothic Book" w:eastAsia="Calibri" w:hAnsi="Franklin Gothic Book" w:cs="Calibri"/>
          <w:sz w:val="22"/>
        </w:rPr>
        <w:t>The ESCs noted two points raised by the National Pathology Accreditation Advisory Council (NPAAC) for MSAC consideration. Firstly, as testing is currently available in one laboratory in Australia, there was no general experience with the assay and no external quality assurance program (QAP) was currently available. Secondly, NPAAC Standards require that test performance is monitored by participation in an external QAP or, if this is not available, an equivalent documented internal program such as sample exchange with another laboratory. The ESCs recalled NPAAC had also advised there was no QAP in place when this application went to PASC 3 years ago. The ESCs considered it would be informative for the applicant to confirm whether unpublished validation information from VIRDL meets regulatory/accreditation requirements currently</w:t>
      </w:r>
      <w:r w:rsidRPr="00D87BAB">
        <w:rPr>
          <w:rFonts w:ascii="Franklin Gothic Book" w:eastAsia="Calibri" w:hAnsi="Franklin Gothic Book" w:cs="Calibri"/>
          <w:b/>
          <w:bCs/>
          <w:sz w:val="22"/>
        </w:rPr>
        <w:t xml:space="preserve">, </w:t>
      </w:r>
      <w:r w:rsidR="00987A76" w:rsidRPr="00D87BAB">
        <w:rPr>
          <w:rFonts w:ascii="Franklin Gothic Book" w:eastAsia="Calibri" w:hAnsi="Franklin Gothic Book" w:cs="Calibri"/>
          <w:b/>
          <w:bCs/>
          <w:sz w:val="22"/>
        </w:rPr>
        <w:t>redacted</w:t>
      </w:r>
      <w:r w:rsidRPr="00B11FE2">
        <w:rPr>
          <w:rFonts w:ascii="Franklin Gothic Book" w:eastAsia="Calibri" w:hAnsi="Franklin Gothic Book" w:cs="Calibri"/>
          <w:sz w:val="22"/>
        </w:rPr>
        <w:t>.</w:t>
      </w:r>
    </w:p>
    <w:p w14:paraId="3C8ABFC0" w14:textId="77777777" w:rsidR="00793341" w:rsidRPr="00B11FE2" w:rsidRDefault="00793341" w:rsidP="00793341">
      <w:pPr>
        <w:spacing w:before="0" w:after="240" w:line="256" w:lineRule="auto"/>
        <w:jc w:val="left"/>
        <w:rPr>
          <w:rFonts w:ascii="Franklin Gothic Book" w:eastAsia="Calibri" w:hAnsi="Franklin Gothic Book" w:cs="Calibri"/>
          <w:sz w:val="22"/>
        </w:rPr>
      </w:pPr>
      <w:r w:rsidRPr="00B11FE2">
        <w:rPr>
          <w:rFonts w:ascii="Franklin Gothic Book" w:eastAsia="Calibri" w:hAnsi="Franklin Gothic Book" w:cs="Calibri"/>
          <w:sz w:val="22"/>
        </w:rPr>
        <w:t>The ESCs considered that the proposed clinical management algorithms were overly simplistic, and that additional consideration may be needed of the potential role for qualitative testing in this algorithm. This is discussed further below.</w:t>
      </w:r>
    </w:p>
    <w:p w14:paraId="31EAF9C0" w14:textId="5F0AD15E" w:rsidR="00793341" w:rsidRPr="00B11FE2" w:rsidRDefault="00793341" w:rsidP="00793341">
      <w:pPr>
        <w:spacing w:before="0" w:after="240" w:line="256" w:lineRule="auto"/>
        <w:jc w:val="left"/>
        <w:rPr>
          <w:rFonts w:ascii="Franklin Gothic Book" w:eastAsia="Calibri" w:hAnsi="Franklin Gothic Book" w:cs="Calibri"/>
          <w:sz w:val="22"/>
        </w:rPr>
      </w:pPr>
      <w:r w:rsidRPr="00B11FE2">
        <w:rPr>
          <w:rFonts w:ascii="Franklin Gothic Book" w:eastAsia="Calibri" w:hAnsi="Franklin Gothic Book" w:cs="Calibri"/>
          <w:sz w:val="22"/>
        </w:rPr>
        <w:lastRenderedPageBreak/>
        <w:t>The ESCs suggested revisions to the proposed MBS item descriptor are below (Table 1</w:t>
      </w:r>
      <w:r w:rsidR="002275D3">
        <w:rPr>
          <w:rFonts w:ascii="Franklin Gothic Book" w:eastAsia="Calibri" w:hAnsi="Franklin Gothic Book" w:cs="Calibri"/>
          <w:sz w:val="22"/>
        </w:rPr>
        <w:t>3</w:t>
      </w:r>
      <w:r w:rsidRPr="00B11FE2">
        <w:rPr>
          <w:rFonts w:ascii="Franklin Gothic Book" w:eastAsia="Calibri" w:hAnsi="Franklin Gothic Book" w:cs="Calibri"/>
          <w:sz w:val="22"/>
        </w:rPr>
        <w:t>).</w:t>
      </w:r>
    </w:p>
    <w:p w14:paraId="1E7BFBCA" w14:textId="57B36DF7" w:rsidR="00793341" w:rsidRPr="00E965EE" w:rsidRDefault="00793341" w:rsidP="00793341">
      <w:pPr>
        <w:keepNext/>
        <w:keepLines/>
        <w:widowControl w:val="0"/>
        <w:spacing w:after="0"/>
        <w:ind w:left="1134" w:hanging="1134"/>
        <w:jc w:val="left"/>
        <w:rPr>
          <w:rFonts w:ascii="Arial Narrow" w:eastAsia="Calibri" w:hAnsi="Arial Narrow" w:cs="Times New Roman"/>
          <w:b/>
          <w:bCs/>
          <w:iCs/>
          <w:sz w:val="20"/>
          <w:szCs w:val="18"/>
          <w:lang w:val="en-US"/>
        </w:rPr>
      </w:pPr>
      <w:r w:rsidRPr="00E965EE">
        <w:rPr>
          <w:rFonts w:ascii="Arial Narrow" w:eastAsia="Calibri" w:hAnsi="Arial Narrow" w:cs="Times New Roman"/>
          <w:b/>
          <w:bCs/>
          <w:iCs/>
          <w:sz w:val="20"/>
          <w:szCs w:val="18"/>
          <w:lang w:val="en-US"/>
        </w:rPr>
        <w:t>Table 1</w:t>
      </w:r>
      <w:r w:rsidR="002275D3">
        <w:rPr>
          <w:rFonts w:ascii="Arial Narrow" w:eastAsia="Calibri" w:hAnsi="Arial Narrow" w:cs="Times New Roman"/>
          <w:b/>
          <w:bCs/>
          <w:iCs/>
          <w:sz w:val="20"/>
          <w:szCs w:val="18"/>
          <w:lang w:val="en-US"/>
        </w:rPr>
        <w:t>3</w:t>
      </w:r>
      <w:r w:rsidRPr="00E965EE">
        <w:rPr>
          <w:rFonts w:ascii="Arial Narrow" w:eastAsia="Calibri" w:hAnsi="Arial Narrow" w:cs="Times New Roman"/>
          <w:b/>
          <w:bCs/>
          <w:iCs/>
          <w:sz w:val="20"/>
          <w:szCs w:val="18"/>
          <w:lang w:val="en-US"/>
        </w:rPr>
        <w:tab/>
        <w:t>ESC’s suggested revisions to the proposed MBS item descriptor</w:t>
      </w:r>
    </w:p>
    <w:tbl>
      <w:tblPr>
        <w:tblStyle w:val="PBACtable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16"/>
      </w:tblGrid>
      <w:tr w:rsidR="00793341" w:rsidRPr="00E965EE" w14:paraId="1B1248A0"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auto"/>
              <w:left w:val="single" w:sz="4" w:space="0" w:color="auto"/>
              <w:bottom w:val="single" w:sz="4" w:space="0" w:color="auto"/>
              <w:right w:val="single" w:sz="4" w:space="0" w:color="auto"/>
            </w:tcBorders>
            <w:hideMark/>
          </w:tcPr>
          <w:p w14:paraId="15774156" w14:textId="77777777" w:rsidR="00793341" w:rsidRPr="00E965EE" w:rsidRDefault="00793341">
            <w:pPr>
              <w:keepNext/>
              <w:keepLines/>
              <w:widowControl w:val="0"/>
              <w:spacing w:before="0" w:after="240"/>
              <w:jc w:val="left"/>
              <w:rPr>
                <w:rFonts w:ascii="Arial Narrow" w:eastAsia="Calibri" w:hAnsi="Arial Narrow" w:cs="Times New Roman"/>
                <w:sz w:val="20"/>
              </w:rPr>
            </w:pPr>
            <w:r w:rsidRPr="00E965EE">
              <w:rPr>
                <w:rFonts w:ascii="Arial Narrow" w:eastAsia="Calibri" w:hAnsi="Arial Narrow" w:cs="Times New Roman"/>
                <w:sz w:val="20"/>
              </w:rPr>
              <w:t xml:space="preserve">Category </w:t>
            </w:r>
            <w:r w:rsidRPr="00E965EE">
              <w:rPr>
                <w:rFonts w:ascii="Arial Narrow" w:eastAsia="Calibri" w:hAnsi="Arial Narrow" w:cs="Times New Roman"/>
                <w:sz w:val="20"/>
                <w:highlight w:val="yellow"/>
              </w:rPr>
              <w:t>xx</w:t>
            </w:r>
            <w:r w:rsidRPr="00E965EE">
              <w:rPr>
                <w:rFonts w:ascii="Arial Narrow" w:eastAsia="Calibri" w:hAnsi="Arial Narrow" w:cs="Times New Roman"/>
                <w:sz w:val="20"/>
              </w:rPr>
              <w:t xml:space="preserve"> – Pathology service – P3 – Microbiology</w:t>
            </w:r>
          </w:p>
        </w:tc>
      </w:tr>
      <w:tr w:rsidR="00793341" w:rsidRPr="00E965EE" w14:paraId="114A54C6" w14:textId="77777777">
        <w:tc>
          <w:tcPr>
            <w:tcW w:w="9016" w:type="dxa"/>
            <w:tcBorders>
              <w:top w:val="single" w:sz="4" w:space="0" w:color="auto"/>
              <w:left w:val="single" w:sz="4" w:space="0" w:color="auto"/>
              <w:bottom w:val="single" w:sz="4" w:space="0" w:color="auto"/>
              <w:right w:val="single" w:sz="4" w:space="0" w:color="auto"/>
            </w:tcBorders>
          </w:tcPr>
          <w:p w14:paraId="2778E76F" w14:textId="77777777" w:rsidR="00793341" w:rsidRPr="00E965EE" w:rsidRDefault="00793341">
            <w:pPr>
              <w:keepNext/>
              <w:keepLines/>
              <w:widowControl w:val="0"/>
              <w:spacing w:before="0"/>
              <w:jc w:val="left"/>
              <w:rPr>
                <w:rFonts w:ascii="Arial Narrow" w:eastAsia="Calibri" w:hAnsi="Arial Narrow" w:cs="Times New Roman"/>
                <w:b/>
                <w:sz w:val="20"/>
              </w:rPr>
            </w:pPr>
            <w:r w:rsidRPr="00E965EE">
              <w:rPr>
                <w:rFonts w:ascii="Arial Narrow" w:eastAsia="Calibri" w:hAnsi="Arial Narrow" w:cs="Times New Roman"/>
                <w:b/>
                <w:sz w:val="20"/>
              </w:rPr>
              <w:t>AAAA</w:t>
            </w:r>
          </w:p>
          <w:p w14:paraId="645367D6" w14:textId="77777777" w:rsidR="00793341" w:rsidRPr="00E965EE" w:rsidRDefault="00793341">
            <w:pPr>
              <w:keepNext/>
              <w:keepLines/>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Quantitation of Hepatitis D viral RNA load in plasma or serum in:</w:t>
            </w:r>
          </w:p>
          <w:p w14:paraId="6EC366C3" w14:textId="77777777" w:rsidR="00793341" w:rsidRPr="00E965EE" w:rsidRDefault="00793341">
            <w:pPr>
              <w:keepNext/>
              <w:keepLines/>
              <w:widowControl w:val="0"/>
              <w:spacing w:before="0"/>
              <w:jc w:val="left"/>
              <w:rPr>
                <w:rFonts w:ascii="Arial Narrow" w:eastAsia="Calibri" w:hAnsi="Arial Narrow" w:cs="Times New Roman"/>
                <w:sz w:val="20"/>
              </w:rPr>
            </w:pPr>
          </w:p>
          <w:p w14:paraId="594A47DD" w14:textId="77777777" w:rsidR="00793341" w:rsidRPr="00E965EE" w:rsidRDefault="00793341">
            <w:pPr>
              <w:keepNext/>
              <w:keepLines/>
              <w:widowControl w:val="0"/>
              <w:numPr>
                <w:ilvl w:val="0"/>
                <w:numId w:val="42"/>
              </w:numPr>
              <w:spacing w:before="0"/>
              <w:contextualSpacing/>
              <w:jc w:val="left"/>
              <w:rPr>
                <w:rFonts w:ascii="Arial Narrow" w:eastAsia="Calibri" w:hAnsi="Arial Narrow" w:cs="Times New Roman"/>
                <w:sz w:val="20"/>
              </w:rPr>
            </w:pPr>
            <w:r w:rsidRPr="00E965EE">
              <w:rPr>
                <w:rFonts w:ascii="Arial Narrow" w:eastAsia="Calibri" w:hAnsi="Arial Narrow" w:cs="Times New Roman"/>
                <w:sz w:val="20"/>
              </w:rPr>
              <w:t xml:space="preserve">the pre-treatment evaluation for access to </w:t>
            </w:r>
            <w:r w:rsidRPr="00E965EE">
              <w:rPr>
                <w:rFonts w:ascii="Arial Narrow" w:eastAsia="Calibri" w:hAnsi="Arial Narrow" w:cs="Times New Roman"/>
                <w:strike/>
                <w:color w:val="00B050"/>
                <w:sz w:val="20"/>
              </w:rPr>
              <w:t>therapy</w:t>
            </w:r>
            <w:r w:rsidRPr="00E965EE">
              <w:rPr>
                <w:rFonts w:ascii="Arial Narrow" w:eastAsia="Calibri" w:hAnsi="Arial Narrow" w:cs="Times New Roman"/>
                <w:color w:val="00B050"/>
                <w:sz w:val="20"/>
              </w:rPr>
              <w:t xml:space="preserve"> a treatment listed on the Pharmaceutical Benefits Scheme (PBS) </w:t>
            </w:r>
            <w:r w:rsidRPr="00E965EE">
              <w:rPr>
                <w:rFonts w:ascii="Arial Narrow" w:eastAsia="Calibri" w:hAnsi="Arial Narrow" w:cs="Times New Roman"/>
                <w:sz w:val="20"/>
              </w:rPr>
              <w:t xml:space="preserve">for chronic </w:t>
            </w:r>
            <w:r w:rsidRPr="00E965EE">
              <w:rPr>
                <w:rFonts w:ascii="Arial Narrow" w:eastAsia="Calibri" w:hAnsi="Arial Narrow" w:cs="Times New Roman"/>
                <w:strike/>
                <w:color w:val="00B050"/>
                <w:sz w:val="20"/>
              </w:rPr>
              <w:t>HDV</w:t>
            </w:r>
            <w:r w:rsidRPr="00E965EE">
              <w:rPr>
                <w:rFonts w:ascii="Arial Narrow" w:eastAsia="Calibri" w:hAnsi="Arial Narrow" w:cs="Times New Roman"/>
                <w:color w:val="00B050"/>
                <w:sz w:val="20"/>
              </w:rPr>
              <w:t xml:space="preserve"> </w:t>
            </w:r>
            <w:r w:rsidRPr="00E965EE">
              <w:rPr>
                <w:rFonts w:ascii="Arial Narrow" w:eastAsia="Calibri" w:hAnsi="Arial Narrow" w:cs="Times New Roman"/>
                <w:sz w:val="20"/>
              </w:rPr>
              <w:t xml:space="preserve">hepatitis </w:t>
            </w:r>
            <w:r w:rsidRPr="00E965EE">
              <w:rPr>
                <w:rFonts w:ascii="Arial Narrow" w:eastAsia="Calibri" w:hAnsi="Arial Narrow" w:cs="Times New Roman"/>
                <w:color w:val="00B050"/>
                <w:sz w:val="20"/>
              </w:rPr>
              <w:t xml:space="preserve">D </w:t>
            </w:r>
            <w:r w:rsidRPr="00E965EE">
              <w:rPr>
                <w:rFonts w:ascii="Arial Narrow" w:eastAsia="Calibri" w:hAnsi="Arial Narrow" w:cs="Times New Roman"/>
                <w:sz w:val="20"/>
              </w:rPr>
              <w:t>in patients who are Hepatitis D viral antibody positive and suspected of having chronic Hepatitis D; or</w:t>
            </w:r>
          </w:p>
          <w:p w14:paraId="11B3E166" w14:textId="77777777" w:rsidR="00793341" w:rsidRPr="00E965EE" w:rsidRDefault="00793341">
            <w:pPr>
              <w:keepNext/>
              <w:keepLines/>
              <w:widowControl w:val="0"/>
              <w:spacing w:before="0"/>
              <w:jc w:val="left"/>
              <w:rPr>
                <w:rFonts w:ascii="Arial Narrow" w:eastAsia="Calibri" w:hAnsi="Arial Narrow" w:cs="Times New Roman"/>
                <w:sz w:val="20"/>
              </w:rPr>
            </w:pPr>
          </w:p>
          <w:p w14:paraId="3CDAC00D" w14:textId="77777777" w:rsidR="00793341" w:rsidRPr="00E965EE" w:rsidRDefault="00793341">
            <w:pPr>
              <w:keepNext/>
              <w:keepLines/>
              <w:widowControl w:val="0"/>
              <w:numPr>
                <w:ilvl w:val="0"/>
                <w:numId w:val="42"/>
              </w:numPr>
              <w:spacing w:before="0"/>
              <w:contextualSpacing/>
              <w:jc w:val="left"/>
              <w:rPr>
                <w:rFonts w:ascii="Arial Narrow" w:eastAsia="Calibri" w:hAnsi="Arial Narrow" w:cs="Times New Roman"/>
                <w:sz w:val="20"/>
              </w:rPr>
            </w:pPr>
            <w:r w:rsidRPr="00E965EE">
              <w:rPr>
                <w:rFonts w:ascii="Arial Narrow" w:eastAsia="Calibri" w:hAnsi="Arial Narrow" w:cs="Times New Roman"/>
                <w:sz w:val="20"/>
              </w:rPr>
              <w:t xml:space="preserve">a patient undertaking antiviral therapy for chronic hepatitis </w:t>
            </w:r>
            <w:r w:rsidRPr="00E965EE">
              <w:rPr>
                <w:rFonts w:ascii="Arial Narrow" w:eastAsia="Calibri" w:hAnsi="Arial Narrow" w:cs="Times New Roman"/>
                <w:color w:val="00B050"/>
                <w:sz w:val="20"/>
              </w:rPr>
              <w:t xml:space="preserve">D virus </w:t>
            </w:r>
            <w:r w:rsidRPr="00E965EE">
              <w:rPr>
                <w:rFonts w:ascii="Arial Narrow" w:eastAsia="Calibri" w:hAnsi="Arial Narrow" w:cs="Times New Roman"/>
                <w:sz w:val="20"/>
              </w:rPr>
              <w:t xml:space="preserve">with </w:t>
            </w:r>
            <w:r w:rsidRPr="00E965EE">
              <w:rPr>
                <w:rFonts w:ascii="Arial Narrow" w:eastAsia="Calibri" w:hAnsi="Arial Narrow" w:cs="Times New Roman"/>
                <w:strike/>
                <w:color w:val="00B050"/>
                <w:sz w:val="20"/>
              </w:rPr>
              <w:t>bulevirtide</w:t>
            </w:r>
            <w:r w:rsidRPr="00E965EE">
              <w:rPr>
                <w:rFonts w:ascii="Arial Narrow" w:eastAsia="Calibri" w:hAnsi="Arial Narrow" w:cs="Times New Roman"/>
                <w:color w:val="00B050"/>
                <w:sz w:val="20"/>
              </w:rPr>
              <w:t xml:space="preserve"> a treatment listed on the PBS </w:t>
            </w:r>
            <w:r w:rsidRPr="00E965EE">
              <w:rPr>
                <w:rFonts w:ascii="Arial Narrow" w:eastAsia="Calibri" w:hAnsi="Arial Narrow" w:cs="Times New Roman"/>
                <w:sz w:val="20"/>
              </w:rPr>
              <w:t>for the purpose of assessing treatment effectiveness.</w:t>
            </w:r>
          </w:p>
          <w:p w14:paraId="2F067CD4" w14:textId="77777777" w:rsidR="00793341" w:rsidRPr="00E965EE" w:rsidRDefault="00793341">
            <w:pPr>
              <w:keepNext/>
              <w:keepLines/>
              <w:widowControl w:val="0"/>
              <w:spacing w:before="0"/>
              <w:jc w:val="left"/>
              <w:rPr>
                <w:rFonts w:ascii="Arial Narrow" w:eastAsia="Calibri" w:hAnsi="Arial Narrow" w:cs="Times New Roman"/>
                <w:sz w:val="20"/>
              </w:rPr>
            </w:pPr>
          </w:p>
          <w:p w14:paraId="26EF9D25" w14:textId="77777777" w:rsidR="00793341" w:rsidRPr="00E965EE" w:rsidRDefault="00793341">
            <w:pPr>
              <w:keepNext/>
              <w:keepLines/>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To a maximum of 2 tests in a 12 month period.</w:t>
            </w:r>
          </w:p>
          <w:p w14:paraId="516C5CE5" w14:textId="77777777" w:rsidR="00793341" w:rsidRPr="00E965EE" w:rsidRDefault="00793341">
            <w:pPr>
              <w:keepNext/>
              <w:keepLines/>
              <w:widowControl w:val="0"/>
              <w:spacing w:before="0"/>
              <w:jc w:val="left"/>
              <w:rPr>
                <w:rFonts w:ascii="Arial Narrow" w:eastAsia="Calibri" w:hAnsi="Arial Narrow" w:cs="Times New Roman"/>
                <w:sz w:val="20"/>
              </w:rPr>
            </w:pPr>
          </w:p>
          <w:p w14:paraId="4534AFD5" w14:textId="77777777" w:rsidR="00793341" w:rsidRPr="00E965EE" w:rsidRDefault="00793341">
            <w:pPr>
              <w:keepNext/>
              <w:keepLines/>
              <w:widowControl w:val="0"/>
              <w:spacing w:before="0"/>
              <w:jc w:val="left"/>
              <w:rPr>
                <w:rFonts w:ascii="Arial Narrow" w:eastAsia="Calibri" w:hAnsi="Arial Narrow" w:cs="Times New Roman"/>
                <w:sz w:val="20"/>
              </w:rPr>
            </w:pPr>
            <w:r w:rsidRPr="00E965EE">
              <w:rPr>
                <w:rFonts w:ascii="Arial Narrow" w:eastAsia="Calibri" w:hAnsi="Arial Narrow" w:cs="Times New Roman"/>
                <w:sz w:val="20"/>
              </w:rPr>
              <w:t>Fee: $152.10   Benefit: 75% = $114.10   85% = $129.30</w:t>
            </w:r>
          </w:p>
        </w:tc>
      </w:tr>
      <w:tr w:rsidR="00793341" w:rsidRPr="00E965EE" w14:paraId="7FFE4B70" w14:textId="77777777">
        <w:tc>
          <w:tcPr>
            <w:tcW w:w="9016" w:type="dxa"/>
            <w:tcBorders>
              <w:top w:val="single" w:sz="4" w:space="0" w:color="auto"/>
              <w:left w:val="single" w:sz="4" w:space="0" w:color="auto"/>
              <w:bottom w:val="single" w:sz="4" w:space="0" w:color="auto"/>
              <w:right w:val="single" w:sz="4" w:space="0" w:color="auto"/>
            </w:tcBorders>
          </w:tcPr>
          <w:p w14:paraId="6BA2F3F6" w14:textId="77777777" w:rsidR="00793341" w:rsidRPr="00E965EE" w:rsidRDefault="00793341">
            <w:pPr>
              <w:keepNext/>
              <w:keepLines/>
              <w:widowControl w:val="0"/>
              <w:spacing w:before="0"/>
              <w:jc w:val="left"/>
              <w:rPr>
                <w:rFonts w:ascii="Arial Narrow" w:eastAsia="Calibri" w:hAnsi="Arial Narrow" w:cs="Times New Roman"/>
                <w:color w:val="00B050"/>
                <w:sz w:val="20"/>
              </w:rPr>
            </w:pPr>
            <w:r w:rsidRPr="00E965EE">
              <w:rPr>
                <w:rFonts w:ascii="Arial Narrow" w:eastAsia="Calibri" w:hAnsi="Arial Narrow" w:cs="Times New Roman"/>
                <w:b/>
                <w:color w:val="00B050"/>
                <w:sz w:val="20"/>
              </w:rPr>
              <w:t>Practice note</w:t>
            </w:r>
          </w:p>
          <w:p w14:paraId="657621DF" w14:textId="77777777" w:rsidR="00793341" w:rsidRPr="00E965EE" w:rsidRDefault="00793341">
            <w:pPr>
              <w:keepNext/>
              <w:keepLines/>
              <w:widowControl w:val="0"/>
              <w:spacing w:before="0"/>
              <w:jc w:val="left"/>
              <w:rPr>
                <w:rFonts w:ascii="Arial Narrow" w:eastAsia="Calibri" w:hAnsi="Arial Narrow" w:cs="Times New Roman"/>
                <w:bCs/>
                <w:sz w:val="20"/>
              </w:rPr>
            </w:pPr>
            <w:r w:rsidRPr="00E965EE">
              <w:rPr>
                <w:rFonts w:ascii="Arial Narrow" w:eastAsia="Calibri" w:hAnsi="Arial Narrow" w:cs="Times New Roman"/>
                <w:color w:val="00B050"/>
                <w:sz w:val="20"/>
              </w:rPr>
              <w:t>Patients with decompensated liver disease (Child Pugh B or C) are not eligible for testing</w:t>
            </w:r>
          </w:p>
        </w:tc>
      </w:tr>
    </w:tbl>
    <w:p w14:paraId="59A10950" w14:textId="77777777" w:rsidR="00793341" w:rsidRPr="00E965EE" w:rsidRDefault="00793341" w:rsidP="00793341">
      <w:pPr>
        <w:keepNext/>
        <w:keepLines/>
        <w:widowControl w:val="0"/>
        <w:spacing w:before="0" w:after="0"/>
        <w:contextualSpacing/>
        <w:jc w:val="left"/>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ESC’s changes are shown in green text (deletions shown in strikethrough).</w:t>
      </w:r>
    </w:p>
    <w:p w14:paraId="11EF2532" w14:textId="77777777" w:rsidR="00793341" w:rsidRPr="00E965EE" w:rsidRDefault="00793341" w:rsidP="00793341">
      <w:pPr>
        <w:keepNext/>
        <w:keepLines/>
        <w:widowControl w:val="0"/>
        <w:spacing w:before="0" w:after="0"/>
        <w:contextualSpacing/>
        <w:jc w:val="left"/>
        <w:rPr>
          <w:rFonts w:ascii="Arial Narrow" w:eastAsia="Times New Roman" w:hAnsi="Arial Narrow" w:cs="Arial"/>
          <w:snapToGrid w:val="0"/>
          <w:sz w:val="18"/>
          <w:szCs w:val="20"/>
        </w:rPr>
      </w:pPr>
      <w:r w:rsidRPr="00E965EE">
        <w:rPr>
          <w:rFonts w:ascii="Arial Narrow" w:eastAsia="Times New Roman" w:hAnsi="Arial Narrow" w:cs="Arial"/>
          <w:snapToGrid w:val="0"/>
          <w:sz w:val="18"/>
          <w:szCs w:val="20"/>
        </w:rPr>
        <w:t>Source: ESC</w:t>
      </w:r>
    </w:p>
    <w:p w14:paraId="309F4AB0" w14:textId="77777777" w:rsidR="00793341" w:rsidRPr="00B11FE2" w:rsidRDefault="00793341" w:rsidP="00B11FE2">
      <w:pPr>
        <w:spacing w:after="240" w:line="256"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considered that the proposed item descriptor broadly captured the pivotal elements of the test, including the population (which broadly matched the population from the evidence) and the proposed use of the test in clinical practice. In the pre-ESC response the applicant agreed that patients classified as Child Pugh B and C should be excluded from testing. The ESCs considered that a practice note should be added to exclude patients classified as Child Pugh B or C, as these patients are not eligible for treatment.</w:t>
      </w:r>
    </w:p>
    <w:p w14:paraId="6A011841" w14:textId="77777777" w:rsidR="00793341" w:rsidRPr="00B11FE2" w:rsidRDefault="00793341" w:rsidP="00793341">
      <w:pPr>
        <w:spacing w:before="0" w:after="240" w:line="256"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ESCs considered this test could potentially also be used to determine eligibility for future PBS-listed treatments for this patient group, and proposed futureproofing the item descriptor by amending it to refer to PBS-listed chronic hepatitis D treatments in general rather than bulevirtide specifically. </w:t>
      </w:r>
    </w:p>
    <w:p w14:paraId="470C590B" w14:textId="77777777" w:rsidR="00793341" w:rsidRPr="00B11FE2" w:rsidRDefault="00793341" w:rsidP="00793341">
      <w:pPr>
        <w:spacing w:before="0" w:after="240" w:line="256"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noted that the Commentary raised the issue of ensuring the item descriptor limited the test to patients with chronic Hepatitis D, i.e. excluding patients with acute Hepatitis D. The ESCs considered that while theoretically this could be implemented by requiring evidence of chronic viraemia (for example by requiring two tests a minimum number of months apart for confirmation that viraemia is chronic), in practice it was very unlikely that cases of acute infection would be detected by a HDV RNA test. Overall, the ESCs considered that detecting patients with acute Hepatitis D was unlikely, but if MSAC had concerns about this risk then it could be better addressed by including clinical guidance on eligibility in the Practice Note than by adding the requirement for prior testing to conclusively determine chronicity to the item descriptor.</w:t>
      </w:r>
    </w:p>
    <w:p w14:paraId="3FC0D642" w14:textId="3D4C1EC3" w:rsidR="00793341" w:rsidRPr="00B11FE2" w:rsidRDefault="00793341" w:rsidP="00793341">
      <w:pPr>
        <w:spacing w:before="0" w:after="240" w:line="256" w:lineRule="auto"/>
        <w:jc w:val="left"/>
        <w:rPr>
          <w:rFonts w:ascii="Franklin Gothic Book" w:eastAsia="Calibri" w:hAnsi="Franklin Gothic Book"/>
          <w:sz w:val="22"/>
        </w:rPr>
      </w:pPr>
      <w:r w:rsidRPr="4398B72C">
        <w:rPr>
          <w:rFonts w:ascii="Franklin Gothic Book" w:eastAsia="Calibri" w:hAnsi="Franklin Gothic Book"/>
          <w:sz w:val="22"/>
        </w:rPr>
        <w:t xml:space="preserve">The ESCs considered that while the proposed MBS item fee of $152.10 was reasonable as it matched the fee for item 69482 (quantitation of Hepatitis B viral DNA), this fee was higher than the </w:t>
      </w:r>
      <w:r w:rsidR="00D87BAB" w:rsidRPr="00D87BAB">
        <w:rPr>
          <w:rFonts w:ascii="Franklin Gothic Book" w:eastAsia="Calibri" w:hAnsi="Franklin Gothic Book"/>
          <w:b/>
          <w:bCs/>
          <w:sz w:val="22"/>
        </w:rPr>
        <w:t>redacted</w:t>
      </w:r>
      <w:r w:rsidRPr="4398B72C">
        <w:rPr>
          <w:rFonts w:ascii="Franklin Gothic Book" w:eastAsia="Calibri" w:hAnsi="Franklin Gothic Book"/>
          <w:sz w:val="22"/>
        </w:rPr>
        <w:t xml:space="preserve"> currently charged privately by VIDRL</w:t>
      </w:r>
      <w:r w:rsidR="007B0EF4">
        <w:rPr>
          <w:rFonts w:ascii="Franklin Gothic Book" w:eastAsia="Calibri" w:hAnsi="Franklin Gothic Book"/>
          <w:sz w:val="22"/>
        </w:rPr>
        <w:t xml:space="preserve"> </w:t>
      </w:r>
      <w:r w:rsidR="00D87BAB" w:rsidRPr="00D87BAB">
        <w:rPr>
          <w:rFonts w:ascii="Franklin Gothic Book" w:eastAsia="Calibri" w:hAnsi="Franklin Gothic Book"/>
          <w:b/>
          <w:bCs/>
          <w:sz w:val="22"/>
        </w:rPr>
        <w:t>redacted</w:t>
      </w:r>
      <w:r w:rsidRPr="4398B72C">
        <w:rPr>
          <w:rFonts w:ascii="Franklin Gothic Book" w:eastAsia="Calibri" w:hAnsi="Franklin Gothic Book"/>
          <w:sz w:val="22"/>
        </w:rPr>
        <w:t>. The ESCs noted that the IVD test kit used in the pivotal clinical trials, Robogene</w:t>
      </w:r>
      <w:r w:rsidRPr="4398B72C">
        <w:rPr>
          <w:rFonts w:ascii="Franklin Gothic Book" w:eastAsia="Calibri" w:hAnsi="Franklin Gothic Book"/>
          <w:sz w:val="22"/>
          <w:vertAlign w:val="superscript"/>
        </w:rPr>
        <w:t>®</w:t>
      </w:r>
      <w:r w:rsidRPr="4398B72C">
        <w:rPr>
          <w:rFonts w:ascii="Franklin Gothic Book" w:eastAsia="Calibri" w:hAnsi="Franklin Gothic Book"/>
          <w:sz w:val="22"/>
        </w:rPr>
        <w:t>, was listed for sale in the US at US$3,026 (approximately AUD $4,600).</w:t>
      </w:r>
    </w:p>
    <w:p w14:paraId="63E884F4"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ESCs noted that the likely pattern of use of HDV RNA PCR testing and re-testing was uncertain and this was partly due to the uncertainty in number of monitoring tests per patient which in turn was caused by uncertainty in the average duration of treatment for bulevirtide. Therefore the ESCs queried whether there may be merit in having separate MBS items (one for </w:t>
      </w:r>
      <w:r w:rsidRPr="00B11FE2">
        <w:rPr>
          <w:rFonts w:ascii="Franklin Gothic Book" w:eastAsia="Calibri" w:hAnsi="Franklin Gothic Book" w:cstheme="minorHAnsi"/>
          <w:sz w:val="22"/>
        </w:rPr>
        <w:lastRenderedPageBreak/>
        <w:t xml:space="preserve">determining eligibility for treatment and one for monitoring of response to treatment) to track utilisation of HDV RNA PCR testing for each purpose. </w:t>
      </w:r>
    </w:p>
    <w:p w14:paraId="6A4182D1"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ESCs considered the item descriptor requiring that anti-HDV positivity is established prior to HDV RNA PCR testing was appropriate, and noted that the MBS fees for testing HDV serology were lower than the proposed fees for HDV RNA testing. The ESCs noted as a side issue that Australian Pathology is requesting access to up to 6 hepatitis antigen/antibody tests per patient episode covering all hepatitis serology testing including Hepatitis B and C but if this is approved then the value of using the lower cost antigen/antibody test (items 69475, 69478, 69481) as a triage test before HDV RNA testing would be diminished. The current listed MBS items for HDV antigen/antibody tests (e.g, 69475, 69478, 69481) allowed for up to 3 tests per patient episode. </w:t>
      </w:r>
    </w:p>
    <w:p w14:paraId="6E4487A1" w14:textId="77202C1A" w:rsidR="00793341" w:rsidRPr="00B11FE2" w:rsidRDefault="00793341" w:rsidP="00793341">
      <w:pPr>
        <w:spacing w:before="0" w:after="240"/>
        <w:jc w:val="left"/>
        <w:rPr>
          <w:rFonts w:ascii="Franklin Gothic Book" w:eastAsia="Calibri" w:hAnsi="Franklin Gothic Book"/>
          <w:sz w:val="22"/>
        </w:rPr>
      </w:pPr>
      <w:r w:rsidRPr="4398B72C">
        <w:rPr>
          <w:rFonts w:ascii="Franklin Gothic Book" w:eastAsia="Calibri" w:hAnsi="Franklin Gothic Book"/>
          <w:sz w:val="22"/>
        </w:rPr>
        <w:t>The ESC noted PASC’s and the applicant’s proposal that HDV RNA PCR testing could be pathologist determinable and still subject to this requirement for anti-HDV positivity insofar as HDV RNA PCR testing could be triggered by a positive HDV antigen/antibody test (e.g, 69475, 69478, 69481).</w:t>
      </w:r>
      <w:r w:rsidR="00880A48" w:rsidRPr="4398B72C">
        <w:rPr>
          <w:rFonts w:ascii="Franklin Gothic Book" w:eastAsia="Calibri" w:hAnsi="Franklin Gothic Book"/>
          <w:sz w:val="22"/>
        </w:rPr>
        <w:t xml:space="preserve"> </w:t>
      </w:r>
      <w:r w:rsidRPr="4398B72C">
        <w:rPr>
          <w:rFonts w:ascii="Franklin Gothic Book" w:eastAsia="Calibri" w:hAnsi="Franklin Gothic Book"/>
          <w:sz w:val="22"/>
        </w:rPr>
        <w:t xml:space="preserve"> </w:t>
      </w:r>
      <w:r w:rsidR="008B2353" w:rsidRPr="4398B72C">
        <w:rPr>
          <w:rFonts w:ascii="Franklin Gothic Book" w:eastAsia="Calibri" w:hAnsi="Franklin Gothic Book"/>
          <w:sz w:val="22"/>
        </w:rPr>
        <w:t>However,</w:t>
      </w:r>
      <w:r w:rsidRPr="4398B72C">
        <w:rPr>
          <w:rFonts w:ascii="Franklin Gothic Book" w:eastAsia="Calibri" w:hAnsi="Franklin Gothic Book"/>
          <w:sz w:val="22"/>
        </w:rPr>
        <w:t xml:space="preserve"> the ESCs questioned whether there was a clear clinical indication to justify this </w:t>
      </w:r>
      <w:r w:rsidR="00D87BAB" w:rsidRPr="00D87BAB">
        <w:rPr>
          <w:rFonts w:ascii="Franklin Gothic Book" w:eastAsia="Calibri" w:hAnsi="Franklin Gothic Book"/>
          <w:b/>
          <w:bCs/>
          <w:sz w:val="22"/>
        </w:rPr>
        <w:t>redacted</w:t>
      </w:r>
      <w:r w:rsidR="007B0EF4">
        <w:rPr>
          <w:rFonts w:ascii="Franklin Gothic Book" w:eastAsia="Calibri" w:hAnsi="Franklin Gothic Book"/>
          <w:b/>
          <w:bCs/>
          <w:sz w:val="22"/>
        </w:rPr>
        <w:t>.</w:t>
      </w:r>
      <w:r w:rsidRPr="4398B72C">
        <w:rPr>
          <w:rFonts w:ascii="Franklin Gothic Book" w:eastAsia="Calibri" w:hAnsi="Franklin Gothic Book"/>
          <w:sz w:val="22"/>
        </w:rPr>
        <w:t xml:space="preserve"> The ESCs noted the submission’s argument that reflex testing is recommended to ensure that a diagnosis of chronic Hepatitis D is not overlooked by healthcare providers inexperienced in the management of chronic Hepatitis D and also reduces the need for an additional specimen to be taken from the patient. </w:t>
      </w:r>
      <w:r w:rsidR="008B2353" w:rsidRPr="4398B72C">
        <w:rPr>
          <w:rFonts w:ascii="Franklin Gothic Book" w:eastAsia="Calibri" w:hAnsi="Franklin Gothic Book"/>
          <w:sz w:val="22"/>
        </w:rPr>
        <w:t>However,</w:t>
      </w:r>
      <w:r w:rsidRPr="4398B72C">
        <w:rPr>
          <w:rFonts w:ascii="Franklin Gothic Book" w:eastAsia="Calibri" w:hAnsi="Franklin Gothic Book"/>
          <w:sz w:val="22"/>
        </w:rPr>
        <w:t xml:space="preserve"> the ESCs noted that:</w:t>
      </w:r>
    </w:p>
    <w:p w14:paraId="5614276B" w14:textId="77777777" w:rsidR="00793341" w:rsidRPr="00B11FE2" w:rsidRDefault="00793341" w:rsidP="00793341">
      <w:pPr>
        <w:numPr>
          <w:ilvl w:val="0"/>
          <w:numId w:val="41"/>
        </w:numPr>
        <w:spacing w:before="0" w:after="240" w:line="259"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These patients are typically already managed by specialists who are experienced in hepatitis management. </w:t>
      </w:r>
    </w:p>
    <w:p w14:paraId="5E391E7E" w14:textId="77777777" w:rsidR="00793341" w:rsidRPr="00B11FE2" w:rsidRDefault="00793341" w:rsidP="00793341">
      <w:pPr>
        <w:numPr>
          <w:ilvl w:val="0"/>
          <w:numId w:val="41"/>
        </w:numPr>
        <w:spacing w:before="0" w:after="240" w:line="259"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Any potential loss to follow up testing was likely to be low and no different from that in other serological testing in practice and could be managed as the need arises. </w:t>
      </w:r>
    </w:p>
    <w:p w14:paraId="5053B3D2" w14:textId="77777777" w:rsidR="00793341" w:rsidRPr="00B11FE2" w:rsidRDefault="00793341" w:rsidP="00B64F42">
      <w:pPr>
        <w:numPr>
          <w:ilvl w:val="0"/>
          <w:numId w:val="41"/>
        </w:numPr>
        <w:spacing w:before="0" w:after="240" w:line="259" w:lineRule="auto"/>
        <w:ind w:left="714" w:hanging="357"/>
        <w:jc w:val="left"/>
        <w:rPr>
          <w:rFonts w:ascii="Franklin Gothic Book" w:eastAsia="Calibri" w:hAnsi="Franklin Gothic Book" w:cstheme="minorHAnsi"/>
          <w:sz w:val="22"/>
        </w:rPr>
      </w:pPr>
      <w:r w:rsidRPr="00B11FE2">
        <w:rPr>
          <w:rFonts w:ascii="Franklin Gothic Book" w:eastAsia="Calibri" w:hAnsi="Franklin Gothic Book" w:cstheme="minorHAnsi"/>
          <w:sz w:val="22"/>
        </w:rPr>
        <w:t>Reflex testing was not standard of care in the management of other patients with hepatitis e.g. Hepatitis C.</w:t>
      </w:r>
    </w:p>
    <w:p w14:paraId="36265648"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ESCs also considered it was unclear whether making HDV RNA PCR testing pathologist-determinable would be implementable given the very high rates of false positivity for HDV antigen/antibody testing (only 54.4% of anti-HDV positive cases have detectable HDV RNA). In addition, pathologists were unlikely to be aware of a patient’s other clinical history and features to help them determine whether the patient is suspected of having chronic hepatitis D as per part (a) of the proposed item descriptor (e.g., elevated ALT levels, liver stiffness). </w:t>
      </w:r>
    </w:p>
    <w:p w14:paraId="77C8DD92" w14:textId="2A997328"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ESCs noted Hepatitis Queensland proposed requestors should be restricted to specialists only as this patient population are managed by them, and agreed that requestors would generally be consultant physicians practising as specialist gastroenterologists.  </w:t>
      </w:r>
      <w:r w:rsidR="008B2353" w:rsidRPr="00B11FE2">
        <w:rPr>
          <w:rFonts w:ascii="Franklin Gothic Book" w:eastAsia="Calibri" w:hAnsi="Franklin Gothic Book" w:cstheme="minorHAnsi"/>
          <w:sz w:val="22"/>
        </w:rPr>
        <w:t>However,</w:t>
      </w:r>
      <w:r w:rsidRPr="00B11FE2">
        <w:rPr>
          <w:rFonts w:ascii="Franklin Gothic Book" w:eastAsia="Calibri" w:hAnsi="Franklin Gothic Book" w:cstheme="minorHAnsi"/>
          <w:sz w:val="22"/>
        </w:rPr>
        <w:t xml:space="preserve"> the ESCs queried whether there may also be a role for general practitioners (GPs) in requesting HDV RNA PCR testing for the purpose of monitoring treatment response, given that some rural and regional patients may face barriers to accessing specialists. In particular, the ESCs considered that for such patients it may be faster to respond to a testing requirement via the patient’s GP than their specialist, even if the patient has access to a specialist. The ESCs considered further input from consumers would allow MSAC to get a better understanding of whether and how such access issues (including requestor types) affect timely testing, including where there are intersecting barriers to access. </w:t>
      </w:r>
    </w:p>
    <w:p w14:paraId="6FE92CF0"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ESCs considered that while the proposed item allows for HDV RNA PCR testing up to two times in 12 months and this appears reasonable for monitoring treatment response, this may not be appropriate for determining eligibility for treatment, because patients who test negative at different points in the proposed testing pathway could be considered for re-testing at a future point in time. </w:t>
      </w:r>
    </w:p>
    <w:p w14:paraId="5F6DD99D"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lastRenderedPageBreak/>
        <w:t xml:space="preserve">The ESCs noted the pre-ESC response’s argument that the proposed use for monitoring of treatment effectiveness (i.e. objective (b)) was not intended as the basis of a formal continuation/stopping rule for bulevirtide, but to provide prognostic information to support ongoing clinical care. The ESCs considered this reasonable as bulevirtide is not curative as its main mechanism of action is through viral suppression, and noted the applicant’s advice about late response: the onset of response can take months or years (for hepatocytes previously infected with HDV to be cleared by the immune system) of no apparent treatment response before the patient starts responding. The ESCs also considered it reasonable that there should not be a requirement for ongoing detectable HDV RNA to continue therapy, and that this should be explicitly accounted for in the economic modelling. </w:t>
      </w:r>
    </w:p>
    <w:p w14:paraId="14424191"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 considered the possibility of having a qualitative HDV RNA PCR testing item similar to MBS item 69499 as a triage test prior to the proposed HDV RNA quantitation. Under this approach, testing would be initially with a qualitative HDV RNA PCR test (after the patient is found to be positive for HDV antibodies) and a quantitative HDV RNA PCR test is then undertaken if patient is a candidate for treatment. The ESCs considered that exploration of this alternative triage approach would require additional modelling to include the lower cost of qualitative testing, and quantitative testing of only the relevant population of patients in the F2 (significant fibrosis) to F4 (cirrhosis) liver fibrosis states. </w:t>
      </w:r>
    </w:p>
    <w:p w14:paraId="4CDA0FDF"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also considered whether quantitative HDV RNA PCR testing was necessary to inform treatment with bulevirtide or whether qualitative testing would suffice, particularly given that there was no evidence to support a correlation between a 2 log</w:t>
      </w:r>
      <w:r w:rsidRPr="00B11FE2">
        <w:rPr>
          <w:rFonts w:ascii="Franklin Gothic Book" w:eastAsia="Calibri" w:hAnsi="Franklin Gothic Book" w:cstheme="minorHAnsi"/>
          <w:sz w:val="22"/>
          <w:vertAlign w:val="subscript"/>
        </w:rPr>
        <w:t>10</w:t>
      </w:r>
      <w:r w:rsidRPr="00B11FE2">
        <w:rPr>
          <w:rFonts w:ascii="Franklin Gothic Book" w:eastAsia="Calibri" w:hAnsi="Franklin Gothic Book" w:cstheme="minorHAnsi"/>
          <w:sz w:val="22"/>
        </w:rPr>
        <w:t xml:space="preserve"> drop in HDV viraemia and clinical outcomes, and because qualitative testing is simpler and costs less than quantitative testing. </w:t>
      </w:r>
    </w:p>
    <w:p w14:paraId="649FC0B1"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considered that there may be a role for qualitative rather than quantitative HDV RNA PCR testing, for multiple reasons:</w:t>
      </w:r>
    </w:p>
    <w:p w14:paraId="5FB0289B" w14:textId="77777777" w:rsidR="00793341" w:rsidRPr="00B11FE2" w:rsidRDefault="00793341" w:rsidP="00793341">
      <w:pPr>
        <w:numPr>
          <w:ilvl w:val="0"/>
          <w:numId w:val="41"/>
        </w:numPr>
        <w:spacing w:before="0" w:after="240" w:line="259"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t>As noted above, there was a significant lack of data for correlation of viral load with clinical outcomes thus some clinicians may use qualitative testing instead of quantitative testing during monitoring.</w:t>
      </w:r>
    </w:p>
    <w:p w14:paraId="0412A824" w14:textId="77777777" w:rsidR="00793341" w:rsidRPr="00B11FE2" w:rsidRDefault="00793341" w:rsidP="00793341">
      <w:pPr>
        <w:numPr>
          <w:ilvl w:val="0"/>
          <w:numId w:val="41"/>
        </w:numPr>
        <w:spacing w:before="0" w:after="240" w:line="259"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t>If treatment is indefinite, use of an ongoing qualitative test may suffice.</w:t>
      </w:r>
    </w:p>
    <w:p w14:paraId="5AC91AC8" w14:textId="77777777" w:rsidR="00793341" w:rsidRPr="00B11FE2" w:rsidRDefault="00793341" w:rsidP="00793341">
      <w:pPr>
        <w:numPr>
          <w:ilvl w:val="0"/>
          <w:numId w:val="41"/>
        </w:numPr>
        <w:spacing w:before="0" w:after="240" w:line="259"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t>Following treatment cessation, the patient may continue to be tested, and a qualitative test would be reasonable and cheaper than a quantitative test.</w:t>
      </w:r>
    </w:p>
    <w:p w14:paraId="70156337" w14:textId="77777777" w:rsidR="00793341" w:rsidRPr="00B11FE2" w:rsidRDefault="00793341" w:rsidP="00793341">
      <w:pPr>
        <w:numPr>
          <w:ilvl w:val="0"/>
          <w:numId w:val="41"/>
        </w:numPr>
        <w:spacing w:before="0" w:after="240" w:line="259"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There is good clinician experience with the roles of both qualitative and quantitative testing in viral hepatitis due to experience with Hepatitis C.</w:t>
      </w:r>
    </w:p>
    <w:p w14:paraId="7F8C18C8" w14:textId="77777777" w:rsidR="00793341" w:rsidRPr="00B11FE2" w:rsidRDefault="00793341" w:rsidP="00B64F42">
      <w:pPr>
        <w:numPr>
          <w:ilvl w:val="0"/>
          <w:numId w:val="41"/>
        </w:numPr>
        <w:spacing w:after="240" w:line="259" w:lineRule="auto"/>
        <w:ind w:left="714" w:hanging="357"/>
        <w:jc w:val="left"/>
        <w:rPr>
          <w:rFonts w:ascii="Franklin Gothic Book" w:eastAsia="Calibri" w:hAnsi="Franklin Gothic Book" w:cstheme="minorHAnsi"/>
          <w:sz w:val="22"/>
        </w:rPr>
      </w:pPr>
      <w:r w:rsidRPr="00B11FE2">
        <w:rPr>
          <w:rFonts w:ascii="Franklin Gothic Book" w:eastAsia="Calibri" w:hAnsi="Franklin Gothic Book" w:cstheme="minorHAnsi"/>
          <w:sz w:val="22"/>
        </w:rPr>
        <w:t>A qualitative PCR test would be valuable to inform patient prognosis, even if these patients are not eligible for treatment.</w:t>
      </w:r>
    </w:p>
    <w:p w14:paraId="3C9FAEC3" w14:textId="77777777" w:rsidR="00793341" w:rsidRPr="00B11FE2" w:rsidRDefault="00793341" w:rsidP="00B64F42">
      <w:pPr>
        <w:spacing w:after="240" w:line="257"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noted that a linked evidence approach was used by the submission and that evidence was provided for the following steps:</w:t>
      </w:r>
    </w:p>
    <w:p w14:paraId="55003D4A" w14:textId="755079FD" w:rsidR="00793341" w:rsidRPr="00B11FE2" w:rsidRDefault="00793341" w:rsidP="00793341">
      <w:pPr>
        <w:numPr>
          <w:ilvl w:val="0"/>
          <w:numId w:val="40"/>
        </w:numPr>
        <w:spacing w:before="0" w:after="240" w:line="256" w:lineRule="auto"/>
        <w:contextualSpacing/>
        <w:jc w:val="left"/>
        <w:rPr>
          <w:rFonts w:ascii="Franklin Gothic Book" w:eastAsia="Calibri" w:hAnsi="Franklin Gothic Book"/>
          <w:sz w:val="22"/>
        </w:rPr>
      </w:pPr>
      <w:r w:rsidRPr="4398B72C">
        <w:rPr>
          <w:rFonts w:ascii="Franklin Gothic Book" w:eastAsia="Calibri" w:hAnsi="Franklin Gothic Book"/>
          <w:sz w:val="22"/>
        </w:rPr>
        <w:t xml:space="preserve">The concordance of the proposed HDV RNA PCR test compared to the clinical utility standard, from one study with 35 participants. </w:t>
      </w:r>
    </w:p>
    <w:p w14:paraId="053C208B" w14:textId="77777777" w:rsidR="00793341" w:rsidRPr="00B11FE2" w:rsidRDefault="00793341" w:rsidP="00793341">
      <w:pPr>
        <w:numPr>
          <w:ilvl w:val="0"/>
          <w:numId w:val="40"/>
        </w:numPr>
        <w:spacing w:before="0" w:after="240" w:line="256"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t>Prognostic evidence that a decrease in HDV RNA levels and ALT levels leads to better health outcomes, comprising 7 studies with a total of 1687 participants (although only 5 of these studies were used in the economic modelling).</w:t>
      </w:r>
    </w:p>
    <w:p w14:paraId="6EB9341C" w14:textId="77777777" w:rsidR="00793341" w:rsidRPr="00B11FE2" w:rsidRDefault="00793341" w:rsidP="00B64F42">
      <w:pPr>
        <w:numPr>
          <w:ilvl w:val="0"/>
          <w:numId w:val="40"/>
        </w:numPr>
        <w:spacing w:before="0" w:after="240" w:line="257" w:lineRule="auto"/>
        <w:ind w:left="714" w:hanging="357"/>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Evidence that a HDV RNA PCR test result leads to a change in clinical decisions, comprising 2 studies with a total of 129 participants. </w:t>
      </w:r>
    </w:p>
    <w:p w14:paraId="5210F82D" w14:textId="77777777" w:rsidR="00793341" w:rsidRPr="00B11FE2" w:rsidRDefault="00793341" w:rsidP="00B64F42">
      <w:pPr>
        <w:spacing w:after="240" w:line="256"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However, the ESCs noted the following areas of testing safety and efficacy that were not informed by evidence:</w:t>
      </w:r>
    </w:p>
    <w:p w14:paraId="700DC6AA" w14:textId="77777777" w:rsidR="00793341" w:rsidRPr="00B11FE2" w:rsidRDefault="00793341" w:rsidP="00793341">
      <w:pPr>
        <w:numPr>
          <w:ilvl w:val="0"/>
          <w:numId w:val="39"/>
        </w:numPr>
        <w:spacing w:before="0" w:after="240" w:line="256"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lastRenderedPageBreak/>
        <w:t>The accuracy of HDV RNA PCR testing for predicting response to bulevirtide treatment in those diagnosed with hepatitis D</w:t>
      </w:r>
    </w:p>
    <w:p w14:paraId="5B8B4C4F" w14:textId="77777777" w:rsidR="00793341" w:rsidRPr="00B11FE2" w:rsidRDefault="00793341" w:rsidP="00793341">
      <w:pPr>
        <w:numPr>
          <w:ilvl w:val="0"/>
          <w:numId w:val="39"/>
        </w:numPr>
        <w:spacing w:before="0" w:after="240" w:line="256" w:lineRule="auto"/>
        <w:contextualSpacing/>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safety of HDV RNA PCR testing</w:t>
      </w:r>
    </w:p>
    <w:p w14:paraId="09FB69EA" w14:textId="77777777" w:rsidR="00793341" w:rsidRPr="00B11FE2" w:rsidRDefault="00793341" w:rsidP="00B64F42">
      <w:pPr>
        <w:numPr>
          <w:ilvl w:val="0"/>
          <w:numId w:val="39"/>
        </w:numPr>
        <w:spacing w:before="0" w:after="0" w:line="257" w:lineRule="auto"/>
        <w:ind w:left="714" w:hanging="357"/>
        <w:jc w:val="left"/>
        <w:rPr>
          <w:rFonts w:ascii="Franklin Gothic Book" w:eastAsia="Calibri" w:hAnsi="Franklin Gothic Book" w:cstheme="minorHAnsi"/>
          <w:sz w:val="22"/>
        </w:rPr>
      </w:pPr>
      <w:r w:rsidRPr="00B11FE2">
        <w:rPr>
          <w:rFonts w:ascii="Franklin Gothic Book" w:eastAsia="Calibri" w:hAnsi="Franklin Gothic Book" w:cstheme="minorHAnsi"/>
          <w:sz w:val="22"/>
        </w:rPr>
        <w:t>How well HDV RNA PCR distinguishes response to treatment compared to background variation.</w:t>
      </w:r>
    </w:p>
    <w:p w14:paraId="0D1AE91D" w14:textId="3A7AB341" w:rsidR="00793341" w:rsidRPr="00B11FE2" w:rsidRDefault="00793341" w:rsidP="00B64F42">
      <w:pPr>
        <w:spacing w:after="240" w:line="256" w:lineRule="auto"/>
        <w:jc w:val="left"/>
        <w:rPr>
          <w:rFonts w:ascii="Franklin Gothic Book" w:eastAsia="Calibri" w:hAnsi="Franklin Gothic Book"/>
          <w:sz w:val="22"/>
        </w:rPr>
      </w:pPr>
      <w:r w:rsidRPr="4398B72C">
        <w:rPr>
          <w:rFonts w:ascii="Franklin Gothic Book" w:eastAsia="Calibri" w:hAnsi="Franklin Gothic Book"/>
          <w:sz w:val="22"/>
        </w:rPr>
        <w:t>The ESCs noted that the submission did not raise any comparative safety concerns. However, the ESCs considered that the risks associated with false positive and false negative results were not addressed by the submission. Specifically, the Commentary raised the potential for false negative results given that</w:t>
      </w:r>
      <w:r w:rsidR="00B87701" w:rsidRPr="4398B72C">
        <w:rPr>
          <w:rFonts w:ascii="Franklin Gothic Book" w:eastAsia="Calibri" w:hAnsi="Franklin Gothic Book"/>
          <w:sz w:val="22"/>
        </w:rPr>
        <w:t xml:space="preserve"> </w:t>
      </w:r>
      <w:r w:rsidR="00D87BAB" w:rsidRPr="00D87BAB">
        <w:rPr>
          <w:rFonts w:ascii="Franklin Gothic Book" w:eastAsia="Calibri" w:hAnsi="Franklin Gothic Book"/>
          <w:b/>
          <w:bCs/>
          <w:sz w:val="22"/>
        </w:rPr>
        <w:t>redacted</w:t>
      </w:r>
      <w:r w:rsidRPr="4398B72C">
        <w:rPr>
          <w:rFonts w:ascii="Franklin Gothic Book" w:eastAsia="Calibri" w:hAnsi="Franklin Gothic Book"/>
          <w:sz w:val="22"/>
        </w:rPr>
        <w:t xml:space="preserve">. It is unknown whether this would lead to a clinically important difference and missed treatment for patients with a false negative result. </w:t>
      </w:r>
      <w:r w:rsidR="00D87BAB" w:rsidRPr="00D87BAB">
        <w:rPr>
          <w:rFonts w:ascii="Franklin Gothic Book" w:eastAsia="Calibri" w:hAnsi="Franklin Gothic Book"/>
          <w:b/>
          <w:bCs/>
          <w:sz w:val="22"/>
        </w:rPr>
        <w:t>redacted</w:t>
      </w:r>
      <w:r w:rsidRPr="4398B72C">
        <w:rPr>
          <w:rFonts w:ascii="Franklin Gothic Book" w:eastAsia="Calibri" w:hAnsi="Franklin Gothic Book"/>
          <w:sz w:val="22"/>
        </w:rPr>
        <w:t>. The ESCs considered there would be the need for an external quality assurance program for the proposed test given the characteristics of HDV RNA assays such as multiple manual steps in extraction, and high genetic variability among genotypes which may lead to an underestimation of viral load.</w:t>
      </w:r>
    </w:p>
    <w:p w14:paraId="5C6DAC5D" w14:textId="2C44EEF1" w:rsidR="00793341" w:rsidRPr="00B11FE2" w:rsidRDefault="00793341" w:rsidP="00793341">
      <w:pPr>
        <w:spacing w:before="0" w:after="240" w:line="256"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noted that concordance of the proposed HDV RNA PCR test (developed by VIDRL) compared to the clinical utility standard (Robogene</w:t>
      </w:r>
      <w:r w:rsidRPr="00B11FE2">
        <w:rPr>
          <w:rFonts w:ascii="Franklin Gothic Book" w:eastAsia="Calibri" w:hAnsi="Franklin Gothic Book" w:cstheme="minorHAnsi"/>
          <w:sz w:val="22"/>
          <w:vertAlign w:val="superscript"/>
        </w:rPr>
        <w:t>®</w:t>
      </w:r>
      <w:r w:rsidRPr="00B11FE2">
        <w:rPr>
          <w:rFonts w:ascii="Franklin Gothic Book" w:eastAsia="Calibri" w:hAnsi="Franklin Gothic Book" w:cstheme="minorHAnsi"/>
          <w:sz w:val="22"/>
        </w:rPr>
        <w:t xml:space="preserve"> RNA quantification kit) was informed by one study, which found that </w:t>
      </w:r>
      <w:r w:rsidR="0029779C" w:rsidRPr="0029779C">
        <w:rPr>
          <w:rFonts w:ascii="Franklin Gothic Book" w:eastAsia="Calibri" w:hAnsi="Franklin Gothic Book" w:cstheme="minorHAnsi"/>
          <w:b/>
          <w:bCs/>
          <w:sz w:val="22"/>
        </w:rPr>
        <w:t>redacted</w:t>
      </w:r>
      <w:r w:rsidRPr="00B11FE2">
        <w:rPr>
          <w:rFonts w:ascii="Franklin Gothic Book" w:eastAsia="Calibri" w:hAnsi="Franklin Gothic Book" w:cstheme="minorHAnsi"/>
          <w:sz w:val="22"/>
        </w:rPr>
        <w:t>. The ESCs noted that a separate systematic review and meta-analysis of diagnostic studies</w:t>
      </w:r>
      <w:r w:rsidRPr="00B11FE2">
        <w:rPr>
          <w:rFonts w:ascii="Franklin Gothic Book" w:eastAsia="Calibri" w:hAnsi="Franklin Gothic Book" w:cstheme="minorHAnsi"/>
          <w:sz w:val="22"/>
          <w:vertAlign w:val="superscript"/>
        </w:rPr>
        <w:footnoteReference w:id="17"/>
      </w:r>
      <w:r w:rsidRPr="00B11FE2">
        <w:rPr>
          <w:rFonts w:ascii="Franklin Gothic Book" w:eastAsia="Calibri" w:hAnsi="Franklin Gothic Book" w:cstheme="minorHAnsi"/>
          <w:sz w:val="22"/>
        </w:rPr>
        <w:t xml:space="preserve"> showed an AUC (Area Under the Curve) of 0.95 indicating that different assays have similar test performance.</w:t>
      </w:r>
    </w:p>
    <w:p w14:paraId="767A59C7" w14:textId="77777777" w:rsidR="00793341" w:rsidRPr="00B11FE2" w:rsidRDefault="00793341" w:rsidP="00793341">
      <w:pPr>
        <w:spacing w:before="0" w:after="240" w:line="256"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prognostic value of a baseline positive HDV RNA PCR test was supported by seven studies, however all studies were low quality with retrospective cohort design, were subject to a high risk of bias (particularly selection bias and multiple confounders) and only examined the relationship between baseline HDV RNA levels and clinical outcomes. No studies provided evidence to support the prognostic value of a reduction in HDV viraemia by 2 log</w:t>
      </w:r>
      <w:r w:rsidRPr="00B11FE2">
        <w:rPr>
          <w:rFonts w:ascii="Franklin Gothic Book" w:eastAsia="Calibri" w:hAnsi="Franklin Gothic Book" w:cstheme="minorHAnsi"/>
          <w:sz w:val="22"/>
          <w:vertAlign w:val="subscript"/>
        </w:rPr>
        <w:t>10</w:t>
      </w:r>
      <w:r w:rsidRPr="00B11FE2">
        <w:rPr>
          <w:rFonts w:ascii="Franklin Gothic Book" w:eastAsia="Calibri" w:hAnsi="Franklin Gothic Book" w:cstheme="minorHAnsi"/>
          <w:sz w:val="22"/>
        </w:rPr>
        <w:t xml:space="preserve">. The generalisability of the evidence was also uncertain as no Australian studies were included. </w:t>
      </w:r>
    </w:p>
    <w:p w14:paraId="4ED31A02" w14:textId="77777777" w:rsidR="00793341" w:rsidRPr="00B11FE2" w:rsidRDefault="00793341" w:rsidP="00793341">
      <w:pPr>
        <w:spacing w:before="0" w:after="240" w:line="256"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While two studies were identified as relevant to evidence for changes in clinical decision making only one of these studies was directly relevant to providing evidence that HDV RNA PCR test results lead to changes in clinical decision making and this study</w:t>
      </w:r>
      <w:r w:rsidRPr="00B11FE2">
        <w:rPr>
          <w:rFonts w:ascii="Franklin Gothic Book" w:eastAsia="Calibri" w:hAnsi="Franklin Gothic Book" w:cstheme="minorHAnsi"/>
          <w:sz w:val="22"/>
          <w:vertAlign w:val="superscript"/>
        </w:rPr>
        <w:footnoteReference w:id="18"/>
      </w:r>
      <w:r w:rsidRPr="00B11FE2">
        <w:rPr>
          <w:rFonts w:ascii="Franklin Gothic Book" w:eastAsia="Calibri" w:hAnsi="Franklin Gothic Book" w:cstheme="minorHAnsi"/>
          <w:sz w:val="22"/>
        </w:rPr>
        <w:t xml:space="preserve"> had 15 patients. The other study</w:t>
      </w:r>
      <w:r w:rsidRPr="00B11FE2">
        <w:rPr>
          <w:rFonts w:ascii="Franklin Gothic Book" w:eastAsia="Calibri" w:hAnsi="Franklin Gothic Book" w:cstheme="minorHAnsi"/>
          <w:sz w:val="22"/>
          <w:vertAlign w:val="superscript"/>
        </w:rPr>
        <w:footnoteReference w:id="19"/>
      </w:r>
      <w:r w:rsidRPr="00B11FE2">
        <w:rPr>
          <w:rFonts w:ascii="Franklin Gothic Book" w:eastAsia="Calibri" w:hAnsi="Franklin Gothic Book" w:cstheme="minorHAnsi"/>
          <w:sz w:val="22"/>
        </w:rPr>
        <w:t xml:space="preserve"> noted that 1 out of 114 patients treated with bulevirtide stopped therapy but did not state if this related to the results of HDV RNA PCR testing. However, despite this lack of evidence the pre-ESC response noted that regular monitoring of viral load levels on treatment is consistent with the recent European Association for the Study of the Liver (EASL) (2023) international treatment Hepatitis D virus guidelines.</w:t>
      </w:r>
    </w:p>
    <w:p w14:paraId="13999C2A" w14:textId="15B500A8" w:rsidR="00793341" w:rsidRPr="00B11FE2" w:rsidRDefault="00793341" w:rsidP="00793341">
      <w:pPr>
        <w:spacing w:before="0" w:after="240" w:line="256" w:lineRule="auto"/>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ESCs noted two concerns from the Commentary that suggested that the claim of </w:t>
      </w:r>
      <w:r w:rsidR="00EB2913">
        <w:rPr>
          <w:rFonts w:ascii="Franklin Gothic Book" w:eastAsia="Calibri" w:hAnsi="Franklin Gothic Book" w:cstheme="minorHAnsi"/>
          <w:sz w:val="22"/>
        </w:rPr>
        <w:t>codependency</w:t>
      </w:r>
      <w:r w:rsidRPr="00B11FE2">
        <w:rPr>
          <w:rFonts w:ascii="Franklin Gothic Book" w:eastAsia="Calibri" w:hAnsi="Franklin Gothic Book" w:cstheme="minorHAnsi"/>
          <w:sz w:val="22"/>
        </w:rPr>
        <w:t xml:space="preserve"> between the HDV RNA test and bulevirtide treatment was not properly established. The first concern was that the submission had not addressed how it would establish the chronicity of detectable HDV RNA to determine eligibility for bulevirtide. However, as noted previously, the ESCs agreed with PASC that there would be no need to establish whether a patient had chronic HDV infection as nearly all identified cases would be chronic and the likelihood of detecting an acute HDV infection would be low – therefore the ESCs considered that this was not a reason for concluding that codependency had not been established. The second concern, which the ESCs considered more compelling, was that the submission did not clearly detail how HDV RNA PCR testing would be used to monitor the response to bulevirtide and how </w:t>
      </w:r>
      <w:r w:rsidRPr="00B11FE2">
        <w:rPr>
          <w:rFonts w:ascii="Franklin Gothic Book" w:eastAsia="Calibri" w:hAnsi="Franklin Gothic Book" w:cstheme="minorHAnsi"/>
          <w:sz w:val="22"/>
        </w:rPr>
        <w:lastRenderedPageBreak/>
        <w:t xml:space="preserve">this would affect decision-making about ongoing bulevirtide use. Specifically, the ESCs noted that it was unclear from the clinical criteria how frequently the presence or absence of detectable HDV RNA would impact on management as undetectable HDV RNA was not considered a reason to stop therapy (particularly considering the risk of rebound viraemia). The ESCs considered that alternatively, quantitative HDV RNA PCR testing may be useful in determining which patients are </w:t>
      </w:r>
      <w:r w:rsidRPr="00B11FE2">
        <w:rPr>
          <w:rFonts w:ascii="Franklin Gothic Book" w:eastAsia="Calibri" w:hAnsi="Franklin Gothic Book" w:cstheme="minorHAnsi"/>
          <w:sz w:val="22"/>
          <w:u w:val="single"/>
        </w:rPr>
        <w:t xml:space="preserve">not </w:t>
      </w:r>
      <w:r w:rsidRPr="00B11FE2">
        <w:rPr>
          <w:rFonts w:ascii="Franklin Gothic Book" w:eastAsia="Calibri" w:hAnsi="Franklin Gothic Book" w:cstheme="minorHAnsi"/>
          <w:sz w:val="22"/>
        </w:rPr>
        <w:t xml:space="preserve">responding to treatment (due to insufficient reduction in levels of HDV RNA detected), which may influence decisions on whether bulevirtide should be discontinued. The ESCs noted that MSAC may wish to consider whether codependency could be better justified with qualitative testing, if it is concluded that undetectable viral load is of relevance to eligibility for treatment in the first place. </w:t>
      </w:r>
    </w:p>
    <w:p w14:paraId="0708BE25"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 noted that patients entered the economic model at the point of treatment. The ESCs noted that this meant that the model lacked a decision tree prior to treatment to capture all test results (true positives, false positives, true negatives, false negatives), and considered it introduced an element of structural uncertainty into the model results. </w:t>
      </w:r>
    </w:p>
    <w:p w14:paraId="75733E78" w14:textId="2EB85CD9" w:rsidR="00793341" w:rsidRPr="00B11FE2" w:rsidRDefault="00793341" w:rsidP="00793341">
      <w:pPr>
        <w:spacing w:before="0" w:after="240"/>
        <w:jc w:val="left"/>
        <w:rPr>
          <w:rFonts w:ascii="Franklin Gothic Book" w:eastAsia="Calibri" w:hAnsi="Franklin Gothic Book"/>
          <w:sz w:val="22"/>
        </w:rPr>
      </w:pPr>
      <w:r w:rsidRPr="4398B72C">
        <w:rPr>
          <w:rFonts w:ascii="Franklin Gothic Book" w:eastAsia="Calibri" w:hAnsi="Franklin Gothic Book"/>
          <w:sz w:val="22"/>
        </w:rPr>
        <w:t xml:space="preserve">The ESCs considered that the omission of a decision tree may be reasonable given that it is unlikely that there would be sufficient direct evidence available to populate the missing branches of the decision tree (for false positive and false negative results), but this did not mean accepting the contention of the pre-ESC response that </w:t>
      </w:r>
      <w:r w:rsidR="00D87BAB" w:rsidRPr="00D87BAB">
        <w:rPr>
          <w:rFonts w:ascii="Franklin Gothic Book" w:eastAsia="Calibri" w:hAnsi="Franklin Gothic Book"/>
          <w:b/>
          <w:bCs/>
          <w:sz w:val="22"/>
        </w:rPr>
        <w:t>redacted</w:t>
      </w:r>
      <w:r w:rsidR="00513F28" w:rsidRPr="4398B72C">
        <w:rPr>
          <w:rFonts w:ascii="Franklin Gothic Book" w:eastAsia="Calibri" w:hAnsi="Franklin Gothic Book"/>
          <w:sz w:val="22"/>
        </w:rPr>
        <w:t xml:space="preserve"> </w:t>
      </w:r>
      <w:r w:rsidRPr="4398B72C">
        <w:rPr>
          <w:rFonts w:ascii="Franklin Gothic Book" w:eastAsia="Calibri" w:hAnsi="Franklin Gothic Book"/>
          <w:sz w:val="22"/>
        </w:rPr>
        <w:t xml:space="preserve">. The ESCs considered that accepting this omission as reasonable (given the lack of direct evidence) meant the per patient cost applied for eligibility testing at model entry (of </w:t>
      </w:r>
      <w:r w:rsidR="006758AF" w:rsidRPr="4398B72C">
        <w:rPr>
          <w:rFonts w:ascii="Franklin Gothic Book" w:eastAsia="Calibri" w:hAnsi="Franklin Gothic Book"/>
          <w:sz w:val="22"/>
        </w:rPr>
        <w:t xml:space="preserve"> </w:t>
      </w:r>
      <w:r w:rsidR="00D87BAB" w:rsidRPr="00D87BAB">
        <w:rPr>
          <w:rFonts w:ascii="Franklin Gothic Book" w:eastAsia="Calibri" w:hAnsi="Franklin Gothic Book"/>
          <w:b/>
          <w:bCs/>
          <w:sz w:val="22"/>
        </w:rPr>
        <w:t>redacted</w:t>
      </w:r>
      <w:r w:rsidR="00D87BAB">
        <w:rPr>
          <w:rFonts w:ascii="Franklin Gothic Book" w:eastAsia="Calibri" w:hAnsi="Franklin Gothic Book"/>
          <w:b/>
          <w:bCs/>
          <w:sz w:val="22"/>
        </w:rPr>
        <w:t xml:space="preserve"> </w:t>
      </w:r>
      <w:r w:rsidRPr="4398B72C">
        <w:rPr>
          <w:rFonts w:ascii="Franklin Gothic Book" w:eastAsia="Calibri" w:hAnsi="Franklin Gothic Book"/>
          <w:sz w:val="22"/>
        </w:rPr>
        <w:t xml:space="preserve">RNA tests) needs further scrutiny, and may need to be increased to better reflect testing (and re-testing) pathways in clinical practice. </w:t>
      </w:r>
    </w:p>
    <w:p w14:paraId="6130882A"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noted that the Commentary had applied sensitivity testing to the corrected base case assumption of 54.4% positivity rate for HDV RNA (by applying a lower bound of 46% and an upper bound of 65.9%) and found that this made almost no change to the ICER.</w:t>
      </w:r>
    </w:p>
    <w:p w14:paraId="1DE495CA" w14:textId="77777777"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The ESCs noted the limited evidence linking monitoring tests with clinical utility, but considered that this link was assumed in the economic modelling because the only modelled change in management due to inclusion of HDV RNA monitoring was cessation of treatment in non-responders at week 96, despite six monthly monitoring being included as a cost in the model. However, the ESCs considered that this had been satisfactorily addressed by the pre-ESC response’s argument that the proposed monitoring of treatment effectiveness had value more in terms of prognostic value rather than change in management. </w:t>
      </w:r>
    </w:p>
    <w:p w14:paraId="65533AC0" w14:textId="70839C23"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considered that there may be benefits of testing independent of treatment given the prognostic information about a patient’s HDV that RNA testing may provide, and that these could be explored in alternate scenarios of test and treatment provision. The ESCs considered prognostic value of this testing could be, for example, because patients with chronic Hepatitis B (CHB) have a higher risk of adverse liver related outcomes if they have concomitant HDV rather than HBV mono-infection. The ESCs noted that the pre-ESC response maintained that MSAC consideration should be limited to the use of HDV RNA PCR testing for the purpose of determining eligibility and responsiveness to bulevirtide, and any additional ‘public health’ considerations regarding uses of HDV RNA testing were “out of scope”. The ESCs did not accept this contention as reasonable, because it contradicted the applicant’s own position that HDV RNA PCR testing could provide useful prognostic information regardless of treatment status.</w:t>
      </w:r>
    </w:p>
    <w:p w14:paraId="4501C5D2" w14:textId="2E1B73DD" w:rsidR="00793341" w:rsidRPr="00B11FE2" w:rsidRDefault="00793341" w:rsidP="00793341">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 xml:space="preserve">On the utilisation estimates and financial modelling, the ESCs noted that this relied on an epidemiological approach for estimating the number of HDV RNA PCR tests, which it considered was reasonable. The ESCs noted that the submission had estimated a net cost to the MBS of </w:t>
      </w:r>
      <w:r w:rsidR="0076635F" w:rsidRPr="0076635F">
        <w:rPr>
          <w:rFonts w:ascii="Franklin Gothic Book" w:eastAsia="Calibri" w:hAnsi="Franklin Gothic Book" w:cstheme="minorHAnsi"/>
          <w:sz w:val="22"/>
        </w:rPr>
        <w:t>$0 to &lt; $10 million</w:t>
      </w:r>
      <w:r w:rsidRPr="00B11FE2">
        <w:rPr>
          <w:rFonts w:ascii="Franklin Gothic Book" w:eastAsia="Calibri" w:hAnsi="Franklin Gothic Book" w:cstheme="minorHAnsi"/>
          <w:sz w:val="22"/>
        </w:rPr>
        <w:t xml:space="preserve"> in Year 1 to </w:t>
      </w:r>
      <w:r w:rsidR="0076635F" w:rsidRPr="0076635F">
        <w:rPr>
          <w:rFonts w:ascii="Franklin Gothic Book" w:eastAsia="Calibri" w:hAnsi="Franklin Gothic Book" w:cstheme="minorHAnsi"/>
          <w:sz w:val="22"/>
        </w:rPr>
        <w:t>$0 to &lt; $10 million</w:t>
      </w:r>
      <w:r w:rsidRPr="00B11FE2">
        <w:rPr>
          <w:rFonts w:ascii="Franklin Gothic Book" w:eastAsia="Calibri" w:hAnsi="Franklin Gothic Book" w:cstheme="minorHAnsi"/>
          <w:sz w:val="22"/>
        </w:rPr>
        <w:t xml:space="preserve"> in Year 6 while the Commentary’s revised estimates were a net cost to the MBS of </w:t>
      </w:r>
      <w:r w:rsidR="0076635F" w:rsidRPr="0076635F">
        <w:rPr>
          <w:rFonts w:ascii="Franklin Gothic Book" w:eastAsia="Calibri" w:hAnsi="Franklin Gothic Book" w:cstheme="minorHAnsi"/>
          <w:sz w:val="22"/>
        </w:rPr>
        <w:t>$0 to &lt; $10 million</w:t>
      </w:r>
      <w:r w:rsidRPr="00B11FE2" w:rsidDel="0076635F">
        <w:rPr>
          <w:rFonts w:ascii="Franklin Gothic Book" w:eastAsia="Calibri" w:hAnsi="Franklin Gothic Book" w:cstheme="minorHAnsi"/>
          <w:sz w:val="22"/>
        </w:rPr>
        <w:t xml:space="preserve"> </w:t>
      </w:r>
      <w:r w:rsidRPr="00B11FE2">
        <w:rPr>
          <w:rFonts w:ascii="Franklin Gothic Book" w:eastAsia="Calibri" w:hAnsi="Franklin Gothic Book" w:cstheme="minorHAnsi"/>
          <w:sz w:val="22"/>
        </w:rPr>
        <w:t xml:space="preserve">in Year 1 to </w:t>
      </w:r>
      <w:r w:rsidR="0076635F" w:rsidRPr="0076635F">
        <w:rPr>
          <w:rFonts w:ascii="Franklin Gothic Book" w:eastAsia="Calibri" w:hAnsi="Franklin Gothic Book" w:cstheme="minorHAnsi"/>
          <w:sz w:val="22"/>
        </w:rPr>
        <w:t>$0 to &lt; $10 million</w:t>
      </w:r>
      <w:r w:rsidRPr="00B11FE2" w:rsidDel="0076635F">
        <w:rPr>
          <w:rFonts w:ascii="Franklin Gothic Book" w:eastAsia="Calibri" w:hAnsi="Franklin Gothic Book" w:cstheme="minorHAnsi"/>
          <w:sz w:val="22"/>
        </w:rPr>
        <w:t xml:space="preserve"> </w:t>
      </w:r>
      <w:r w:rsidRPr="00B11FE2">
        <w:rPr>
          <w:rFonts w:ascii="Franklin Gothic Book" w:eastAsia="Calibri" w:hAnsi="Franklin Gothic Book" w:cstheme="minorHAnsi"/>
          <w:sz w:val="22"/>
        </w:rPr>
        <w:t xml:space="preserve">in Year 6. The ESCs noted the Commentary’s conclusion that there were errors in calculations that may have substantially over-estimated the use of HDV RNA PCR testing in the submission, and </w:t>
      </w:r>
      <w:r w:rsidRPr="00B11FE2">
        <w:rPr>
          <w:rFonts w:ascii="Franklin Gothic Book" w:eastAsia="Calibri" w:hAnsi="Franklin Gothic Book" w:cstheme="minorHAnsi"/>
          <w:sz w:val="22"/>
        </w:rPr>
        <w:lastRenderedPageBreak/>
        <w:t xml:space="preserve">that the pre-ESC response had accepted the Commentary’s revisions. On the other hand, if HDV RNA testing were to be made pathologist determinable, the ESCs considered the Commentary revisions would then likely have under-estimated the use of HDV RNA PCR testing. The ESCs considered that if it was decided that HDV RNA PCR testing should not be made pathologist determinable, then the Commentary revisions are likely to be more reasonable although neither the submission nor the Commentary estimates had accounted for the possibility of repeat testing in patients with previous negative test results. In addition, the ESCs considered another area of uncertainty around the financial estimates was the duration of treatment, which would have implications for the total number of monitoring tests per patient. </w:t>
      </w:r>
    </w:p>
    <w:p w14:paraId="69F18FB4" w14:textId="539404A9" w:rsidR="00793341" w:rsidRDefault="00793341" w:rsidP="00B11FE2">
      <w:pPr>
        <w:spacing w:before="0" w:after="240"/>
        <w:jc w:val="left"/>
        <w:rPr>
          <w:rFonts w:ascii="Franklin Gothic Book" w:eastAsia="Calibri" w:hAnsi="Franklin Gothic Book" w:cstheme="minorHAnsi"/>
          <w:sz w:val="22"/>
        </w:rPr>
      </w:pPr>
      <w:r w:rsidRPr="00B11FE2">
        <w:rPr>
          <w:rFonts w:ascii="Franklin Gothic Book" w:eastAsia="Calibri" w:hAnsi="Franklin Gothic Book" w:cstheme="minorHAnsi"/>
          <w:sz w:val="22"/>
        </w:rPr>
        <w:t>The ESCs noted that the financial estimates had only considered the number of chronic Hepatitis</w:t>
      </w:r>
      <w:r w:rsidR="00B64F42">
        <w:rPr>
          <w:rFonts w:ascii="Franklin Gothic Book" w:eastAsia="Calibri" w:hAnsi="Franklin Gothic Book" w:cstheme="minorHAnsi"/>
          <w:sz w:val="22"/>
        </w:rPr>
        <w:t> </w:t>
      </w:r>
      <w:r w:rsidRPr="00B11FE2">
        <w:rPr>
          <w:rFonts w:ascii="Franklin Gothic Book" w:eastAsia="Calibri" w:hAnsi="Franklin Gothic Book" w:cstheme="minorHAnsi"/>
          <w:sz w:val="22"/>
        </w:rPr>
        <w:t>B patients currently engaged in care and did not account for a potential increase in Hepatitis B patients seeking care due to the availability of Hepatitis D treatment if bulevirtide were PBS-listed. The ESCs noted that the pre-ESC response argued that an increase was unlikely because, despite the availability of highly effective treatment for chronic Hepatitis B on the PBS for 10-15 years, the proportion of Hepatitis B patients engaged in care has not increased substantially over time. The ESCs considered this was reasonable.</w:t>
      </w:r>
    </w:p>
    <w:p w14:paraId="22E9724A" w14:textId="7B5495C9" w:rsidR="00B11FE2" w:rsidRPr="00B64F42" w:rsidRDefault="00B11FE2" w:rsidP="00B64F42">
      <w:pPr>
        <w:pStyle w:val="Heading2"/>
        <w:numPr>
          <w:ilvl w:val="0"/>
          <w:numId w:val="45"/>
        </w:numPr>
        <w:spacing w:after="240"/>
        <w:ind w:hanging="720"/>
        <w:rPr>
          <w:i w:val="0"/>
        </w:rPr>
      </w:pPr>
      <w:r w:rsidRPr="00B64F42">
        <w:rPr>
          <w:rFonts w:ascii="Franklin Gothic Medium" w:hAnsi="Franklin Gothic Medium"/>
          <w:b w:val="0"/>
          <w:i w:val="0"/>
          <w:snapToGrid/>
          <w:color w:val="000000" w:themeColor="text1"/>
          <w:sz w:val="32"/>
          <w:szCs w:val="26"/>
        </w:rPr>
        <w:t>Applicant</w:t>
      </w:r>
      <w:r w:rsidRPr="00B64F42">
        <w:rPr>
          <w:i w:val="0"/>
        </w:rPr>
        <w:t xml:space="preserve"> comments on MSAC’s Public Summary Document</w:t>
      </w:r>
    </w:p>
    <w:p w14:paraId="2A6DD7E0" w14:textId="0B23359B" w:rsidR="00D87BAB" w:rsidRPr="00A67F5E" w:rsidRDefault="004A393A" w:rsidP="00A67F5E">
      <w:pPr>
        <w:jc w:val="left"/>
      </w:pPr>
      <w:r w:rsidRPr="00A67F5E">
        <w:rPr>
          <w:rFonts w:ascii="Franklin Gothic Book" w:hAnsi="Franklin Gothic Book"/>
          <w:sz w:val="22"/>
        </w:rPr>
        <w:t>Gilead Sciences thanks the organisations who provided input through the consultation process and will continue to work with the MSAC to provide MBS access to the HDV RNA PCR test in Australia.</w:t>
      </w:r>
    </w:p>
    <w:p w14:paraId="4D9F4308" w14:textId="2070CEA5" w:rsidR="00B11FE2" w:rsidRPr="00B64F42" w:rsidRDefault="00B11FE2" w:rsidP="00B64F42">
      <w:pPr>
        <w:pStyle w:val="Heading2"/>
        <w:numPr>
          <w:ilvl w:val="0"/>
          <w:numId w:val="45"/>
        </w:numPr>
        <w:spacing w:after="240"/>
        <w:ind w:hanging="720"/>
        <w:rPr>
          <w:rFonts w:ascii="Franklin Gothic Medium" w:hAnsi="Franklin Gothic Medium"/>
          <w:b w:val="0"/>
          <w:i w:val="0"/>
          <w:snapToGrid/>
          <w:color w:val="000000" w:themeColor="text1"/>
          <w:sz w:val="32"/>
          <w:szCs w:val="26"/>
        </w:rPr>
      </w:pPr>
      <w:r w:rsidRPr="00B64F42">
        <w:rPr>
          <w:rFonts w:ascii="Franklin Gothic Medium" w:hAnsi="Franklin Gothic Medium"/>
          <w:b w:val="0"/>
          <w:i w:val="0"/>
          <w:snapToGrid/>
          <w:color w:val="000000" w:themeColor="text1"/>
          <w:sz w:val="32"/>
          <w:szCs w:val="26"/>
        </w:rPr>
        <w:t>Further information on MSAC</w:t>
      </w:r>
    </w:p>
    <w:p w14:paraId="2F531F6D" w14:textId="22B44571" w:rsidR="00B11FE2" w:rsidRPr="00B64F42" w:rsidRDefault="00B11FE2" w:rsidP="00B64F42">
      <w:pPr>
        <w:pStyle w:val="BodyText"/>
        <w:rPr>
          <w:rFonts w:ascii="Franklin Gothic Book" w:hAnsi="Franklin Gothic Book"/>
          <w:b/>
          <w:bCs/>
          <w:i/>
          <w:iCs/>
          <w:sz w:val="22"/>
        </w:rPr>
      </w:pPr>
      <w:r w:rsidRPr="00F309FA">
        <w:rPr>
          <w:rFonts w:ascii="Franklin Gothic Book" w:hAnsi="Franklin Gothic Book"/>
          <w:bCs/>
          <w:iCs/>
          <w:sz w:val="22"/>
        </w:rPr>
        <w:t xml:space="preserve">MSAC Terms of Reference and other information are available on the MSAC Website: </w:t>
      </w:r>
      <w:hyperlink r:id="rId9" w:tooltip="Link to the MSAC website" w:history="1">
        <w:r w:rsidRPr="00F309FA">
          <w:rPr>
            <w:rStyle w:val="Hyperlink"/>
            <w:rFonts w:ascii="Franklin Gothic Book" w:hAnsi="Franklin Gothic Book"/>
            <w:bCs/>
            <w:iCs/>
            <w:sz w:val="22"/>
          </w:rPr>
          <w:t>visit the MSAC website</w:t>
        </w:r>
      </w:hyperlink>
    </w:p>
    <w:sectPr w:rsidR="00B11FE2" w:rsidRPr="00B64F42" w:rsidSect="004D6B5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61E6" w14:textId="77777777" w:rsidR="00134714" w:rsidRDefault="00134714" w:rsidP="00BA3306">
      <w:pPr>
        <w:spacing w:before="0" w:after="0"/>
      </w:pPr>
      <w:r>
        <w:separator/>
      </w:r>
    </w:p>
    <w:p w14:paraId="048062CA" w14:textId="77777777" w:rsidR="00134714" w:rsidRDefault="00134714"/>
  </w:endnote>
  <w:endnote w:type="continuationSeparator" w:id="0">
    <w:p w14:paraId="4A2B2ECF" w14:textId="77777777" w:rsidR="00134714" w:rsidRDefault="00134714" w:rsidP="00BA3306">
      <w:pPr>
        <w:spacing w:before="0" w:after="0"/>
      </w:pPr>
      <w:r>
        <w:continuationSeparator/>
      </w:r>
    </w:p>
    <w:p w14:paraId="75AF958F" w14:textId="77777777" w:rsidR="00134714" w:rsidRDefault="00134714"/>
  </w:endnote>
  <w:endnote w:type="continuationNotice" w:id="1">
    <w:p w14:paraId="461BD909" w14:textId="77777777" w:rsidR="00134714" w:rsidRDefault="001347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Body)">
    <w:altName w:val="Calibri"/>
    <w:charset w:val="00"/>
    <w:family w:val="roman"/>
    <w:pitch w:val="default"/>
  </w:font>
  <w:font w:name="MS PGothic">
    <w:panose1 w:val="020B0600070205080204"/>
    <w:charset w:val="80"/>
    <w:family w:val="swiss"/>
    <w:pitch w:val="variable"/>
    <w:sig w:usb0="E00002FF" w:usb1="6AC7FDFB" w:usb2="08000012" w:usb3="00000000" w:csb0="0002009F" w:csb1="00000000"/>
  </w:font>
  <w:font w:name="Shaker 2 Lancet">
    <w:altName w:val="Calibri"/>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4962" w14:textId="77777777" w:rsidR="001865D6" w:rsidRDefault="0018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599905"/>
      <w:docPartObj>
        <w:docPartGallery w:val="Page Numbers (Bottom of Page)"/>
        <w:docPartUnique/>
      </w:docPartObj>
    </w:sdtPr>
    <w:sdtEndPr>
      <w:rPr>
        <w:noProof/>
      </w:rPr>
    </w:sdtEndPr>
    <w:sdtContent>
      <w:p w14:paraId="0623FC40" w14:textId="5CED5228" w:rsidR="00E656A4" w:rsidRDefault="00F84C7C" w:rsidP="00A67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B1DA" w14:textId="77777777" w:rsidR="001865D6" w:rsidRDefault="0018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1810" w14:textId="77777777" w:rsidR="00134714" w:rsidRDefault="00134714" w:rsidP="00BA3306">
      <w:pPr>
        <w:spacing w:before="0" w:after="0"/>
      </w:pPr>
      <w:r>
        <w:separator/>
      </w:r>
    </w:p>
  </w:footnote>
  <w:footnote w:type="continuationSeparator" w:id="0">
    <w:p w14:paraId="264E2DAB" w14:textId="77777777" w:rsidR="00134714" w:rsidRDefault="00134714" w:rsidP="00BA3306">
      <w:pPr>
        <w:spacing w:before="0" w:after="0"/>
      </w:pPr>
      <w:r>
        <w:continuationSeparator/>
      </w:r>
    </w:p>
    <w:p w14:paraId="203ABD4F" w14:textId="77777777" w:rsidR="00134714" w:rsidRDefault="00134714"/>
  </w:footnote>
  <w:footnote w:type="continuationNotice" w:id="1">
    <w:p w14:paraId="47D0439F" w14:textId="77777777" w:rsidR="00134714" w:rsidRDefault="00134714">
      <w:pPr>
        <w:spacing w:before="0" w:after="0"/>
      </w:pPr>
    </w:p>
  </w:footnote>
  <w:footnote w:id="2">
    <w:p w14:paraId="0CB7FD7D" w14:textId="77777777" w:rsidR="00E965EE" w:rsidRPr="008B0739" w:rsidRDefault="00E965EE" w:rsidP="00E965EE">
      <w:pPr>
        <w:pStyle w:val="FootnoteText"/>
        <w:rPr>
          <w:lang w:val="en-US"/>
        </w:rPr>
      </w:pPr>
      <w:r>
        <w:rPr>
          <w:rStyle w:val="FootnoteReference"/>
        </w:rPr>
        <w:footnoteRef/>
      </w:r>
      <w:r>
        <w:t xml:space="preserve"> </w:t>
      </w:r>
      <w:r>
        <w:rPr>
          <w:rFonts w:ascii="Segoe UI" w:hAnsi="Segoe UI" w:cs="Segoe UI"/>
          <w:szCs w:val="18"/>
        </w:rPr>
        <w:t>Therapeutic Goods Administration (2018). Regulatory requirements for in-house IVDs. Version 2.2. Australian Department of Health</w:t>
      </w:r>
    </w:p>
  </w:footnote>
  <w:footnote w:id="3">
    <w:p w14:paraId="098453EB" w14:textId="77777777" w:rsidR="00E965EE" w:rsidRPr="006B0001" w:rsidRDefault="00E965EE" w:rsidP="00E965EE">
      <w:pPr>
        <w:pStyle w:val="FootnoteText"/>
        <w:rPr>
          <w:lang w:val="en-US"/>
        </w:rPr>
      </w:pPr>
      <w:r>
        <w:rPr>
          <w:rStyle w:val="FootnoteReference"/>
        </w:rPr>
        <w:footnoteRef/>
      </w:r>
      <w:r>
        <w:t xml:space="preserve"> </w:t>
      </w:r>
      <w:r>
        <w:rPr>
          <w:rFonts w:ascii="Segoe UI" w:hAnsi="Segoe UI" w:cs="Segoe UI"/>
          <w:szCs w:val="18"/>
        </w:rPr>
        <w:t>National Pathology Accreditation Advisory Council (2018). Requirements for the Development and Use of In-house In Vitro Diagnostic Medical Devices (IVDs). Canberra, Australia, Department of Health, Commonwealth of Australia.</w:t>
      </w:r>
    </w:p>
  </w:footnote>
  <w:footnote w:id="4">
    <w:p w14:paraId="349417FE" w14:textId="77777777" w:rsidR="00E965EE" w:rsidRDefault="00E965EE" w:rsidP="00E965EE">
      <w:pPr>
        <w:pStyle w:val="FootnoteText"/>
      </w:pPr>
      <w:r>
        <w:rPr>
          <w:rStyle w:val="FootnoteReference"/>
        </w:rPr>
        <w:footnoteRef/>
      </w:r>
      <w:r>
        <w:t xml:space="preserve"> </w:t>
      </w:r>
      <w:r>
        <w:rPr>
          <w:rFonts w:ascii="Segoe UI" w:hAnsi="Segoe UI" w:cs="Segoe UI"/>
          <w:szCs w:val="18"/>
        </w:rPr>
        <w:t xml:space="preserve">Communicable diseases network Australia (2004). </w:t>
      </w:r>
      <w:hyperlink r:id="rId1" w:history="1">
        <w:r w:rsidRPr="000F453E">
          <w:rPr>
            <w:rStyle w:val="Hyperlink"/>
            <w:rFonts w:ascii="Segoe UI" w:hAnsi="Segoe UI" w:cs="Segoe UI"/>
            <w:szCs w:val="18"/>
          </w:rPr>
          <w:t>Hepatitis D - Australian national notifiable diseases case definition</w:t>
        </w:r>
      </w:hyperlink>
      <w:r>
        <w:rPr>
          <w:rFonts w:ascii="Segoe UI" w:hAnsi="Segoe UI" w:cs="Segoe UI"/>
          <w:szCs w:val="18"/>
        </w:rPr>
        <w:t>. Australian Department of Health. Accessed 12</w:t>
      </w:r>
      <w:r w:rsidRPr="008E522D">
        <w:rPr>
          <w:rFonts w:ascii="Segoe UI" w:hAnsi="Segoe UI" w:cs="Segoe UI"/>
          <w:szCs w:val="18"/>
          <w:vertAlign w:val="superscript"/>
        </w:rPr>
        <w:t>th</w:t>
      </w:r>
      <w:r>
        <w:rPr>
          <w:rFonts w:ascii="Segoe UI" w:hAnsi="Segoe UI" w:cs="Segoe UI"/>
          <w:szCs w:val="18"/>
        </w:rPr>
        <w:t xml:space="preserve"> December 2023.</w:t>
      </w:r>
    </w:p>
  </w:footnote>
  <w:footnote w:id="5">
    <w:p w14:paraId="306938E7" w14:textId="77777777" w:rsidR="00E965EE" w:rsidRDefault="00E965EE" w:rsidP="00E965EE">
      <w:pPr>
        <w:pStyle w:val="FootnoteText"/>
      </w:pPr>
      <w:r>
        <w:rPr>
          <w:rStyle w:val="FootnoteReference"/>
        </w:rPr>
        <w:footnoteRef/>
      </w:r>
      <w:r>
        <w:t xml:space="preserve"> </w:t>
      </w:r>
      <w:r w:rsidRPr="008E522D">
        <w:rPr>
          <w:rFonts w:ascii="Segoe UI" w:hAnsi="Segoe UI" w:cs="Segoe UI"/>
          <w:szCs w:val="18"/>
        </w:rPr>
        <w:t>Yardeni D, Heller T, Koh C. Chronic hepatitis D-What is changing? J Viral Hepat. 2022 Feb 4.</w:t>
      </w:r>
    </w:p>
  </w:footnote>
  <w:footnote w:id="6">
    <w:p w14:paraId="4FB8B049" w14:textId="77777777" w:rsidR="00E965EE" w:rsidRPr="00177FD2" w:rsidRDefault="00E965EE" w:rsidP="00E965EE">
      <w:pPr>
        <w:pStyle w:val="FootnoteText"/>
      </w:pPr>
      <w:r>
        <w:rPr>
          <w:rStyle w:val="FootnoteReference"/>
        </w:rPr>
        <w:footnoteRef/>
      </w:r>
      <w:r w:rsidRPr="00251855">
        <w:t xml:space="preserve"> Bonanzinga. </w:t>
      </w:r>
      <w:r w:rsidRPr="00177FD2">
        <w:t>HDV RoboGene Verification. 2</w:t>
      </w:r>
      <w:r>
        <w:t>023. Data on file.</w:t>
      </w:r>
    </w:p>
  </w:footnote>
  <w:footnote w:id="7">
    <w:p w14:paraId="7B4FCD76" w14:textId="77777777" w:rsidR="00E965EE" w:rsidRPr="001A5D52" w:rsidRDefault="00E965EE" w:rsidP="00E965EE">
      <w:pPr>
        <w:autoSpaceDE w:val="0"/>
        <w:autoSpaceDN w:val="0"/>
        <w:adjustRightInd w:val="0"/>
        <w:spacing w:after="0"/>
      </w:pPr>
      <w:r w:rsidRPr="001A5D52">
        <w:rPr>
          <w:rStyle w:val="FootnoteReference"/>
          <w:sz w:val="18"/>
          <w:szCs w:val="20"/>
        </w:rPr>
        <w:footnoteRef/>
      </w:r>
      <w:r w:rsidRPr="001A5D52">
        <w:rPr>
          <w:rStyle w:val="FootnoteReference"/>
          <w:sz w:val="18"/>
          <w:szCs w:val="20"/>
        </w:rPr>
        <w:t xml:space="preserve"> </w:t>
      </w:r>
      <w:r w:rsidRPr="001A5D52">
        <w:rPr>
          <w:sz w:val="18"/>
          <w:szCs w:val="20"/>
        </w:rPr>
        <w:t>Chen, S., et al. (2023). "Performance of Hepatitis Delta Virus (HDV) RNA Testing for the Diagnosis of Active HDV Infection: Systematic Review and Meta-analysis." J Clin Transl Hepatol 11(6): 1368-1376.</w:t>
      </w:r>
    </w:p>
  </w:footnote>
  <w:footnote w:id="8">
    <w:p w14:paraId="3F8A2C1E" w14:textId="77777777" w:rsidR="00E965EE" w:rsidRDefault="00E965EE" w:rsidP="00E965EE">
      <w:pPr>
        <w:pStyle w:val="FootnoteText"/>
      </w:pPr>
      <w:r>
        <w:rPr>
          <w:rStyle w:val="FootnoteReference"/>
        </w:rPr>
        <w:footnoteRef/>
      </w:r>
      <w:r>
        <w:t xml:space="preserve"> </w:t>
      </w:r>
      <w:r w:rsidRPr="00CA4084">
        <w:t>Binter T, Jachs M, Hartl L, Aberle S, Zoller H, Aigner E. Efficacy of long-term treatment of chronic hepatitis D patients with bulevirtide - results of a "real world" study. Hepatology. 2021;74:420A-1A.</w:t>
      </w:r>
    </w:p>
  </w:footnote>
  <w:footnote w:id="9">
    <w:p w14:paraId="32CB454E" w14:textId="77777777" w:rsidR="00E965EE" w:rsidRDefault="00E965EE" w:rsidP="00E965EE">
      <w:pPr>
        <w:pStyle w:val="FootnoteText"/>
      </w:pPr>
      <w:r>
        <w:rPr>
          <w:rStyle w:val="FootnoteReference"/>
        </w:rPr>
        <w:footnoteRef/>
      </w:r>
      <w:r w:rsidRPr="00D270D7">
        <w:t xml:space="preserve"> Dietz-Fricke C, Tacke F, Zollner C, Demir M, Schmidt HH, Schramm C, et al. </w:t>
      </w:r>
      <w:r w:rsidRPr="00C41711">
        <w:t>Treating hepatitis D with bulevirtide - Real-world experience from 114 patients. JHEP Rep. 2023 Apr;5(4):100686.</w:t>
      </w:r>
    </w:p>
  </w:footnote>
  <w:footnote w:id="10">
    <w:p w14:paraId="3B2E82F9" w14:textId="77777777" w:rsidR="00E965EE" w:rsidRPr="007B5021" w:rsidRDefault="00E965EE" w:rsidP="00E965EE">
      <w:pPr>
        <w:pStyle w:val="FootnoteText"/>
        <w:rPr>
          <w:lang w:val="en-US"/>
        </w:rPr>
      </w:pPr>
      <w:r>
        <w:rPr>
          <w:rStyle w:val="FootnoteReference"/>
        </w:rPr>
        <w:footnoteRef/>
      </w:r>
      <w:r>
        <w:t xml:space="preserve"> </w:t>
      </w:r>
      <w:r w:rsidRPr="007B5021">
        <w:t>Coghill S, McNamara J, Woods M, Hajkowicz K. Epidemiology and clinical outcomes of hepatitis delta (D) virus infection in Queensland, Australia. Int J Infect Dis. 2018 Sep;74:123-7.</w:t>
      </w:r>
    </w:p>
  </w:footnote>
  <w:footnote w:id="11">
    <w:p w14:paraId="026368CC" w14:textId="77777777" w:rsidR="00E965EE" w:rsidRPr="007B5021" w:rsidRDefault="00E965EE" w:rsidP="00E965EE">
      <w:pPr>
        <w:pStyle w:val="FootnoteText"/>
        <w:rPr>
          <w:lang w:val="en-US"/>
        </w:rPr>
      </w:pPr>
      <w:r>
        <w:rPr>
          <w:rStyle w:val="FootnoteReference"/>
        </w:rPr>
        <w:footnoteRef/>
      </w:r>
      <w:r>
        <w:t xml:space="preserve"> </w:t>
      </w:r>
      <w:r w:rsidRPr="007B5021">
        <w:t>Jackson K, MacLachlan J, Cowie B, Locarnini S, Bowden S, Higgins N, et al. Epidemiology and phylogenetic analysis of hepatitis D virus infection in Australia. Intern Med J. 2018 Nov;48(11):1308-17.</w:t>
      </w:r>
    </w:p>
  </w:footnote>
  <w:footnote w:id="12">
    <w:p w14:paraId="3AB80186" w14:textId="77777777" w:rsidR="00E965EE" w:rsidRPr="007B5021" w:rsidRDefault="00E965EE" w:rsidP="00E965EE">
      <w:pPr>
        <w:pStyle w:val="FootnoteText"/>
        <w:rPr>
          <w:lang w:val="en-US"/>
        </w:rPr>
      </w:pPr>
      <w:r>
        <w:rPr>
          <w:rStyle w:val="FootnoteReference"/>
        </w:rPr>
        <w:footnoteRef/>
      </w:r>
      <w:r>
        <w:t xml:space="preserve"> </w:t>
      </w:r>
      <w:r w:rsidRPr="007B5021">
        <w:t>Shadur B, MacLachlan J, Cowie B. Hepatitis D virus in Victoria 2000-2009. Intern Med J. 2013 Oct;43(10):1081-7.</w:t>
      </w:r>
    </w:p>
  </w:footnote>
  <w:footnote w:id="13">
    <w:p w14:paraId="401F39FD" w14:textId="77777777" w:rsidR="00E965EE" w:rsidRPr="002776D3" w:rsidRDefault="00E965EE" w:rsidP="00E965EE">
      <w:pPr>
        <w:pStyle w:val="FootnoteText"/>
        <w:rPr>
          <w:lang w:val="en-US"/>
        </w:rPr>
      </w:pPr>
      <w:r>
        <w:rPr>
          <w:rStyle w:val="FootnoteReference"/>
        </w:rPr>
        <w:footnoteRef/>
      </w:r>
      <w:r>
        <w:t xml:space="preserve"> </w:t>
      </w:r>
      <w:r>
        <w:rPr>
          <w:lang w:val="en-US"/>
        </w:rPr>
        <w:t xml:space="preserve">1 </w:t>
      </w:r>
      <w:r w:rsidRPr="00E965EE">
        <w:rPr>
          <w:rFonts w:cs="Calibri"/>
          <w:lang w:val="en-US"/>
        </w:rPr>
        <w:t>÷</w:t>
      </w:r>
      <w:r>
        <w:rPr>
          <w:lang w:val="en-US"/>
        </w:rPr>
        <w:t xml:space="preserve"> yield [56.2%)</w:t>
      </w:r>
    </w:p>
  </w:footnote>
  <w:footnote w:id="14">
    <w:p w14:paraId="4124F79C" w14:textId="5496385D" w:rsidR="00C44E1B" w:rsidRDefault="00C44E1B">
      <w:pPr>
        <w:pStyle w:val="FootnoteText"/>
      </w:pPr>
      <w:r>
        <w:rPr>
          <w:rStyle w:val="FootnoteReference"/>
        </w:rPr>
        <w:footnoteRef/>
      </w:r>
      <w:r>
        <w:t xml:space="preserve"> </w:t>
      </w:r>
      <w:r w:rsidRPr="00407109">
        <w:t>Cosentino C, Clayton-Chubb D, Lubel JS. Management of hepatitis D in general practice. Aust J Gen Pract. 2023;52(8):536-9</w:t>
      </w:r>
    </w:p>
  </w:footnote>
  <w:footnote w:id="15">
    <w:p w14:paraId="053225EA" w14:textId="77777777" w:rsidR="00793341" w:rsidRDefault="00793341" w:rsidP="00793341">
      <w:pPr>
        <w:pStyle w:val="FootnoteText"/>
      </w:pPr>
      <w:r>
        <w:rPr>
          <w:rStyle w:val="FootnoteReference"/>
        </w:rPr>
        <w:footnoteRef/>
      </w:r>
      <w:r>
        <w:t xml:space="preserve"> Australian Department of Health and Aged Care, ‘National Communicable Disease Surveillance Dashboard’, in </w:t>
      </w:r>
      <w:r w:rsidRPr="00FD0EA4">
        <w:rPr>
          <w:i/>
          <w:iCs/>
        </w:rPr>
        <w:t>National Notifiable Disease Surveillance System</w:t>
      </w:r>
      <w:r>
        <w:t xml:space="preserve">. February 2024, viewed on 16 February 2024, </w:t>
      </w:r>
      <w:r w:rsidRPr="00737C6B">
        <w:t>https://nindss.health.gov.au/pbi-dashboard/</w:t>
      </w:r>
    </w:p>
  </w:footnote>
  <w:footnote w:id="16">
    <w:p w14:paraId="6FE5425E" w14:textId="77777777" w:rsidR="00793341" w:rsidRDefault="00793341" w:rsidP="00793341">
      <w:pPr>
        <w:pStyle w:val="FootnoteText"/>
      </w:pPr>
      <w:r>
        <w:rPr>
          <w:rStyle w:val="FootnoteReference"/>
        </w:rPr>
        <w:footnoteRef/>
      </w:r>
      <w:r>
        <w:t xml:space="preserve"> European Association for the Study of the Liver (EASL) (2023). “EASL Clinical practice guidelines on hepatitis delta virus.” J Hepatol 79(2):433-460. </w:t>
      </w:r>
      <w:r w:rsidRPr="00E965EE">
        <w:rPr>
          <w:rFonts w:cs="Calibri"/>
        </w:rPr>
        <w:t xml:space="preserve">doi: </w:t>
      </w:r>
      <w:r w:rsidRPr="00E965EE">
        <w:rPr>
          <w:rFonts w:cs="Calibri"/>
          <w:shd w:val="clear" w:color="auto" w:fill="FFFFFF"/>
        </w:rPr>
        <w:t>10.1016/j.jhep.2023.05.001</w:t>
      </w:r>
      <w:r w:rsidRPr="00E965EE">
        <w:rPr>
          <w:rFonts w:cs="Calibri"/>
        </w:rPr>
        <w:t xml:space="preserve">  </w:t>
      </w:r>
    </w:p>
  </w:footnote>
  <w:footnote w:id="17">
    <w:p w14:paraId="49301179" w14:textId="77777777" w:rsidR="00793341" w:rsidRDefault="00793341" w:rsidP="00793341">
      <w:pPr>
        <w:pStyle w:val="FootnoteText"/>
      </w:pPr>
      <w:r>
        <w:rPr>
          <w:rStyle w:val="FootnoteReference"/>
        </w:rPr>
        <w:footnoteRef/>
      </w:r>
      <w:r>
        <w:t xml:space="preserve"> </w:t>
      </w:r>
      <w:r w:rsidRPr="001A5D52">
        <w:t>Chen, S., et al. (2023). "Performance of Hepatitis Delta Virus (HDV) RNA Testing for the Diagnosis of Active HDV Infection: Systematic Review and Meta-analysis." J Clin Transl Hepatol 11(6): 1368-1376</w:t>
      </w:r>
      <w:r>
        <w:t xml:space="preserve">. </w:t>
      </w:r>
    </w:p>
  </w:footnote>
  <w:footnote w:id="18">
    <w:p w14:paraId="541B3C94" w14:textId="77777777" w:rsidR="00793341" w:rsidRDefault="00793341" w:rsidP="00793341">
      <w:pPr>
        <w:pStyle w:val="FootnoteText"/>
      </w:pPr>
      <w:r>
        <w:rPr>
          <w:rStyle w:val="FootnoteReference"/>
        </w:rPr>
        <w:footnoteRef/>
      </w:r>
      <w:r>
        <w:t xml:space="preserve"> </w:t>
      </w:r>
      <w:r w:rsidRPr="00375537">
        <w:t>Binter T,</w:t>
      </w:r>
      <w:r>
        <w:t xml:space="preserve"> et al. (2021)</w:t>
      </w:r>
      <w:r w:rsidRPr="00375537">
        <w:t xml:space="preserve">. </w:t>
      </w:r>
      <w:r>
        <w:t>“</w:t>
      </w:r>
      <w:r w:rsidRPr="00375537">
        <w:t>Efficacy of long-term treatment of chronic hepatitis D patients with bulevirtide - results of a "real world" study.</w:t>
      </w:r>
      <w:r>
        <w:t>”</w:t>
      </w:r>
      <w:r w:rsidRPr="00375537">
        <w:t xml:space="preserve"> Hepatology (Baltimore, Md);74:420A-1A</w:t>
      </w:r>
      <w:r>
        <w:t xml:space="preserve">. </w:t>
      </w:r>
    </w:p>
  </w:footnote>
  <w:footnote w:id="19">
    <w:p w14:paraId="33EFC9A4" w14:textId="77777777" w:rsidR="00793341" w:rsidRDefault="00793341" w:rsidP="00793341">
      <w:pPr>
        <w:pStyle w:val="FootnoteText"/>
      </w:pPr>
      <w:r>
        <w:rPr>
          <w:rStyle w:val="FootnoteReference"/>
        </w:rPr>
        <w:footnoteRef/>
      </w:r>
      <w:r>
        <w:t xml:space="preserve"> </w:t>
      </w:r>
      <w:r w:rsidRPr="00851EDC">
        <w:t>Dietz-Fricke C, et al</w:t>
      </w:r>
      <w:r>
        <w:t xml:space="preserve"> (2023)</w:t>
      </w:r>
      <w:r w:rsidRPr="00851EDC">
        <w:t>.</w:t>
      </w:r>
      <w:r>
        <w:t>”</w:t>
      </w:r>
      <w:r w:rsidRPr="00851EDC">
        <w:t xml:space="preserve"> Treating hepatitis D with bulevirtide - Real-world experience from 114 patients.</w:t>
      </w:r>
      <w:r>
        <w:t>”</w:t>
      </w:r>
      <w:r w:rsidRPr="00851EDC">
        <w:t xml:space="preserve"> JHEP Rep. Apr;5(4):100686</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3909" w14:textId="77777777" w:rsidR="001865D6" w:rsidRDefault="0018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DCEA" w14:textId="77777777" w:rsidR="001865D6" w:rsidRDefault="00186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E746" w14:textId="77777777" w:rsidR="001865D6" w:rsidRDefault="0018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17C2A"/>
    <w:multiLevelType w:val="hybridMultilevel"/>
    <w:tmpl w:val="8B56C2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4C6841"/>
    <w:multiLevelType w:val="hybridMultilevel"/>
    <w:tmpl w:val="35DCC1E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4908DBE">
      <w:numFmt w:val="bullet"/>
      <w:lvlText w:val="-"/>
      <w:lvlJc w:val="left"/>
      <w:pPr>
        <w:ind w:left="2160" w:hanging="360"/>
      </w:pPr>
      <w:rPr>
        <w:rFonts w:ascii="Franklin Gothic Book" w:eastAsiaTheme="minorHAnsi" w:hAnsi="Franklin Gothic Book"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141A3"/>
    <w:multiLevelType w:val="hybridMultilevel"/>
    <w:tmpl w:val="DD08307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DE5C9D"/>
    <w:multiLevelType w:val="hybridMultilevel"/>
    <w:tmpl w:val="C6A89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1AD21DA4"/>
    <w:multiLevelType w:val="multilevel"/>
    <w:tmpl w:val="CC26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37282E"/>
    <w:multiLevelType w:val="hybridMultilevel"/>
    <w:tmpl w:val="6586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F56ED"/>
    <w:multiLevelType w:val="hybridMultilevel"/>
    <w:tmpl w:val="2B7ED5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4627CE8"/>
    <w:multiLevelType w:val="hybridMultilevel"/>
    <w:tmpl w:val="56B0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F5195D"/>
    <w:multiLevelType w:val="hybridMultilevel"/>
    <w:tmpl w:val="6B90D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76ACA"/>
    <w:multiLevelType w:val="hybridMultilevel"/>
    <w:tmpl w:val="4A2C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513521"/>
    <w:multiLevelType w:val="hybridMultilevel"/>
    <w:tmpl w:val="C4B60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B2F4F"/>
    <w:multiLevelType w:val="hybridMultilevel"/>
    <w:tmpl w:val="43EC05AE"/>
    <w:lvl w:ilvl="0" w:tplc="3364D86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9F0260"/>
    <w:multiLevelType w:val="hybridMultilevel"/>
    <w:tmpl w:val="94B450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C9A1F77"/>
    <w:multiLevelType w:val="multilevel"/>
    <w:tmpl w:val="870AF1A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63693F"/>
    <w:multiLevelType w:val="multilevel"/>
    <w:tmpl w:val="A5D6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376C72"/>
    <w:multiLevelType w:val="hybridMultilevel"/>
    <w:tmpl w:val="37FC50F2"/>
    <w:lvl w:ilvl="0" w:tplc="0C090001">
      <w:start w:val="1"/>
      <w:numFmt w:val="bullet"/>
      <w:lvlText w:val=""/>
      <w:lvlJc w:val="left"/>
      <w:pPr>
        <w:ind w:left="720" w:hanging="360"/>
      </w:pPr>
      <w:rPr>
        <w:rFonts w:ascii="Symbol" w:hAnsi="Symbol" w:hint="default"/>
      </w:rPr>
    </w:lvl>
    <w:lvl w:ilvl="1" w:tplc="EA6A9A00">
      <w:numFmt w:val="bullet"/>
      <w:lvlText w:val="-"/>
      <w:lvlJc w:val="left"/>
      <w:pPr>
        <w:ind w:left="1440" w:hanging="360"/>
      </w:pPr>
      <w:rPr>
        <w:rFonts w:ascii="Arial Narrow" w:eastAsiaTheme="minorHAnsi" w:hAnsi="Arial Narrow"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834596"/>
    <w:multiLevelType w:val="hybridMultilevel"/>
    <w:tmpl w:val="2100458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CC3786"/>
    <w:multiLevelType w:val="hybridMultilevel"/>
    <w:tmpl w:val="AACE29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8354D9B"/>
    <w:multiLevelType w:val="multilevel"/>
    <w:tmpl w:val="FB5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507532"/>
    <w:multiLevelType w:val="multilevel"/>
    <w:tmpl w:val="8AB6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492A1767"/>
    <w:multiLevelType w:val="hybridMultilevel"/>
    <w:tmpl w:val="E77E5DC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FF41F2"/>
    <w:multiLevelType w:val="hybridMultilevel"/>
    <w:tmpl w:val="EDB28A6A"/>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C64B2B"/>
    <w:multiLevelType w:val="hybridMultilevel"/>
    <w:tmpl w:val="152CA538"/>
    <w:lvl w:ilvl="0" w:tplc="7FAAFE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4F54C9"/>
    <w:multiLevelType w:val="hybridMultilevel"/>
    <w:tmpl w:val="1A802600"/>
    <w:lvl w:ilvl="0" w:tplc="D0920340">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022A22"/>
    <w:multiLevelType w:val="hybridMultilevel"/>
    <w:tmpl w:val="3B1E672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211F9E"/>
    <w:multiLevelType w:val="hybridMultilevel"/>
    <w:tmpl w:val="BAEC70C4"/>
    <w:lvl w:ilvl="0" w:tplc="395E5AA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0324F4"/>
    <w:multiLevelType w:val="hybridMultilevel"/>
    <w:tmpl w:val="77A8F606"/>
    <w:lvl w:ilvl="0" w:tplc="6F8E2D0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0D0977"/>
    <w:multiLevelType w:val="hybridMultilevel"/>
    <w:tmpl w:val="04465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847601"/>
    <w:multiLevelType w:val="hybridMultilevel"/>
    <w:tmpl w:val="AB2ADA3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5" w15:restartNumberingAfterBreak="0">
    <w:nsid w:val="784D033C"/>
    <w:multiLevelType w:val="multilevel"/>
    <w:tmpl w:val="0194CA88"/>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93884092">
    <w:abstractNumId w:val="45"/>
  </w:num>
  <w:num w:numId="2" w16cid:durableId="152109460">
    <w:abstractNumId w:val="16"/>
  </w:num>
  <w:num w:numId="3" w16cid:durableId="265163959">
    <w:abstractNumId w:val="21"/>
  </w:num>
  <w:num w:numId="4" w16cid:durableId="1781877282">
    <w:abstractNumId w:val="8"/>
  </w:num>
  <w:num w:numId="5" w16cid:durableId="1434204990">
    <w:abstractNumId w:val="45"/>
  </w:num>
  <w:num w:numId="6" w16cid:durableId="36779850">
    <w:abstractNumId w:val="33"/>
  </w:num>
  <w:num w:numId="7" w16cid:durableId="2067145046">
    <w:abstractNumId w:val="3"/>
  </w:num>
  <w:num w:numId="8" w16cid:durableId="1687562898">
    <w:abstractNumId w:val="15"/>
  </w:num>
  <w:num w:numId="9" w16cid:durableId="1984919832">
    <w:abstractNumId w:val="39"/>
  </w:num>
  <w:num w:numId="10" w16cid:durableId="387924399">
    <w:abstractNumId w:val="0"/>
  </w:num>
  <w:num w:numId="11" w16cid:durableId="5583953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4929721">
    <w:abstractNumId w:val="46"/>
  </w:num>
  <w:num w:numId="13" w16cid:durableId="1811511650">
    <w:abstractNumId w:val="19"/>
  </w:num>
  <w:num w:numId="14" w16cid:durableId="1136876798">
    <w:abstractNumId w:val="30"/>
  </w:num>
  <w:num w:numId="15" w16cid:durableId="941107691">
    <w:abstractNumId w:val="12"/>
  </w:num>
  <w:num w:numId="16" w16cid:durableId="324281365">
    <w:abstractNumId w:val="26"/>
  </w:num>
  <w:num w:numId="17" w16cid:durableId="532571319">
    <w:abstractNumId w:val="5"/>
  </w:num>
  <w:num w:numId="18" w16cid:durableId="103156800">
    <w:abstractNumId w:val="29"/>
  </w:num>
  <w:num w:numId="19" w16cid:durableId="743920651">
    <w:abstractNumId w:val="9"/>
  </w:num>
  <w:num w:numId="20" w16cid:durableId="29456755">
    <w:abstractNumId w:val="6"/>
  </w:num>
  <w:num w:numId="21" w16cid:durableId="1481732919">
    <w:abstractNumId w:val="1"/>
  </w:num>
  <w:num w:numId="22" w16cid:durableId="1577665023">
    <w:abstractNumId w:val="43"/>
  </w:num>
  <w:num w:numId="23" w16cid:durableId="1365054718">
    <w:abstractNumId w:val="44"/>
  </w:num>
  <w:num w:numId="24" w16cid:durableId="726342972">
    <w:abstractNumId w:val="23"/>
  </w:num>
  <w:num w:numId="25" w16cid:durableId="147748926">
    <w:abstractNumId w:val="2"/>
  </w:num>
  <w:num w:numId="26" w16cid:durableId="96020583">
    <w:abstractNumId w:val="4"/>
  </w:num>
  <w:num w:numId="27" w16cid:durableId="561988106">
    <w:abstractNumId w:val="11"/>
  </w:num>
  <w:num w:numId="28" w16cid:durableId="191919066">
    <w:abstractNumId w:val="28"/>
  </w:num>
  <w:num w:numId="29" w16cid:durableId="966009019">
    <w:abstractNumId w:val="13"/>
  </w:num>
  <w:num w:numId="30" w16cid:durableId="1484590348">
    <w:abstractNumId w:val="17"/>
  </w:num>
  <w:num w:numId="31" w16cid:durableId="1085616126">
    <w:abstractNumId w:val="24"/>
  </w:num>
  <w:num w:numId="32" w16cid:durableId="1201749904">
    <w:abstractNumId w:val="35"/>
  </w:num>
  <w:num w:numId="33" w16cid:durableId="691885024">
    <w:abstractNumId w:val="48"/>
  </w:num>
  <w:num w:numId="34" w16cid:durableId="87821427">
    <w:abstractNumId w:val="22"/>
  </w:num>
  <w:num w:numId="35" w16cid:durableId="332881925">
    <w:abstractNumId w:val="41"/>
  </w:num>
  <w:num w:numId="36" w16cid:durableId="1597517590">
    <w:abstractNumId w:val="27"/>
  </w:num>
  <w:num w:numId="37" w16cid:durableId="387218558">
    <w:abstractNumId w:val="14"/>
  </w:num>
  <w:num w:numId="38" w16cid:durableId="840051588">
    <w:abstractNumId w:val="20"/>
  </w:num>
  <w:num w:numId="39" w16cid:durableId="269894515">
    <w:abstractNumId w:val="37"/>
  </w:num>
  <w:num w:numId="40" w16cid:durableId="1712607589">
    <w:abstractNumId w:val="42"/>
  </w:num>
  <w:num w:numId="41" w16cid:durableId="1236475728">
    <w:abstractNumId w:val="40"/>
  </w:num>
  <w:num w:numId="42" w16cid:durableId="175774435">
    <w:abstractNumId w:val="36"/>
  </w:num>
  <w:num w:numId="43" w16cid:durableId="8503406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1036497">
    <w:abstractNumId w:val="45"/>
  </w:num>
  <w:num w:numId="45" w16cid:durableId="648369371">
    <w:abstractNumId w:val="7"/>
  </w:num>
  <w:num w:numId="46" w16cid:durableId="219561093">
    <w:abstractNumId w:val="25"/>
  </w:num>
  <w:num w:numId="47" w16cid:durableId="1871456593">
    <w:abstractNumId w:val="10"/>
  </w:num>
  <w:num w:numId="48" w16cid:durableId="897325821">
    <w:abstractNumId w:val="31"/>
  </w:num>
  <w:num w:numId="49" w16cid:durableId="420882262">
    <w:abstractNumId w:val="32"/>
  </w:num>
  <w:num w:numId="50" w16cid:durableId="1387800159">
    <w:abstractNumId w:val="47"/>
  </w:num>
  <w:num w:numId="51" w16cid:durableId="1217398668">
    <w:abstractNumId w:val="34"/>
  </w:num>
  <w:num w:numId="52" w16cid:durableId="1838302961">
    <w:abstractNumId w:val="38"/>
  </w:num>
  <w:num w:numId="53" w16cid:durableId="1519154481">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vwed2aatew98exf9lvz9xgzddatzze050x&quot;&gt;HDV RNA bulevirtide COM&lt;record-ids&gt;&lt;item&gt;1&lt;/item&gt;&lt;item&gt;2&lt;/item&gt;&lt;item&gt;3&lt;/item&gt;&lt;item&gt;4&lt;/item&gt;&lt;item&gt;7&lt;/item&gt;&lt;item&gt;9&lt;/item&gt;&lt;item&gt;10&lt;/item&gt;&lt;item&gt;12&lt;/item&gt;&lt;item&gt;13&lt;/item&gt;&lt;item&gt;14&lt;/item&gt;&lt;item&gt;17&lt;/item&gt;&lt;item&gt;18&lt;/item&gt;&lt;item&gt;19&lt;/item&gt;&lt;item&gt;20&lt;/item&gt;&lt;item&gt;21&lt;/item&gt;&lt;item&gt;22&lt;/item&gt;&lt;item&gt;24&lt;/item&gt;&lt;item&gt;25&lt;/item&gt;&lt;item&gt;26&lt;/item&gt;&lt;item&gt;28&lt;/item&gt;&lt;item&gt;29&lt;/item&gt;&lt;item&gt;31&lt;/item&gt;&lt;item&gt;32&lt;/item&gt;&lt;item&gt;33&lt;/item&gt;&lt;item&gt;35&lt;/item&gt;&lt;item&gt;36&lt;/item&gt;&lt;item&gt;37&lt;/item&gt;&lt;item&gt;38&lt;/item&gt;&lt;item&gt;39&lt;/item&gt;&lt;item&gt;40&lt;/item&gt;&lt;item&gt;41&lt;/item&gt;&lt;item&gt;42&lt;/item&gt;&lt;item&gt;43&lt;/item&gt;&lt;item&gt;44&lt;/item&gt;&lt;item&gt;45&lt;/item&gt;&lt;item&gt;48&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4&lt;/item&gt;&lt;item&gt;75&lt;/item&gt;&lt;item&gt;76&lt;/item&gt;&lt;item&gt;77&lt;/item&gt;&lt;item&gt;78&lt;/item&gt;&lt;item&gt;79&lt;/item&gt;&lt;item&gt;80&lt;/item&gt;&lt;item&gt;82&lt;/item&gt;&lt;item&gt;83&lt;/item&gt;&lt;item&gt;84&lt;/item&gt;&lt;item&gt;85&lt;/item&gt;&lt;item&gt;86&lt;/item&gt;&lt;item&gt;87&lt;/item&gt;&lt;item&gt;88&lt;/item&gt;&lt;item&gt;90&lt;/item&gt;&lt;item&gt;91&lt;/item&gt;&lt;item&gt;92&lt;/item&gt;&lt;item&gt;93&lt;/item&gt;&lt;item&gt;94&lt;/item&gt;&lt;item&gt;95&lt;/item&gt;&lt;item&gt;96&lt;/item&gt;&lt;item&gt;98&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3&lt;/item&gt;&lt;item&gt;134&lt;/item&gt;&lt;item&gt;135&lt;/item&gt;&lt;item&gt;136&lt;/item&gt;&lt;item&gt;137&lt;/item&gt;&lt;item&gt;140&lt;/item&gt;&lt;item&gt;141&lt;/item&gt;&lt;item&gt;143&lt;/item&gt;&lt;item&gt;144&lt;/item&gt;&lt;item&gt;145&lt;/item&gt;&lt;item&gt;146&lt;/item&gt;&lt;item&gt;147&lt;/item&gt;&lt;item&gt;148&lt;/item&gt;&lt;item&gt;149&lt;/item&gt;&lt;item&gt;150&lt;/item&gt;&lt;item&gt;151&lt;/item&gt;&lt;/record-ids&gt;&lt;/item&gt;&lt;/Libraries&gt;"/>
  </w:docVars>
  <w:rsids>
    <w:rsidRoot w:val="00FA49D5"/>
    <w:rsid w:val="00000342"/>
    <w:rsid w:val="000009E9"/>
    <w:rsid w:val="00000D68"/>
    <w:rsid w:val="00000EAE"/>
    <w:rsid w:val="000012FA"/>
    <w:rsid w:val="00001410"/>
    <w:rsid w:val="0000143F"/>
    <w:rsid w:val="0000185A"/>
    <w:rsid w:val="00001972"/>
    <w:rsid w:val="00001AB4"/>
    <w:rsid w:val="00001CDB"/>
    <w:rsid w:val="00002A5A"/>
    <w:rsid w:val="00003778"/>
    <w:rsid w:val="00003CBE"/>
    <w:rsid w:val="00003DDD"/>
    <w:rsid w:val="00004655"/>
    <w:rsid w:val="00004B0A"/>
    <w:rsid w:val="00004FE4"/>
    <w:rsid w:val="000050BB"/>
    <w:rsid w:val="00005E43"/>
    <w:rsid w:val="000062E0"/>
    <w:rsid w:val="00007670"/>
    <w:rsid w:val="00010120"/>
    <w:rsid w:val="000102A9"/>
    <w:rsid w:val="000104EC"/>
    <w:rsid w:val="0001066F"/>
    <w:rsid w:val="0001070A"/>
    <w:rsid w:val="000110A6"/>
    <w:rsid w:val="00011169"/>
    <w:rsid w:val="00011205"/>
    <w:rsid w:val="00011447"/>
    <w:rsid w:val="0001281E"/>
    <w:rsid w:val="00012E3E"/>
    <w:rsid w:val="000131C9"/>
    <w:rsid w:val="000131F1"/>
    <w:rsid w:val="00013222"/>
    <w:rsid w:val="00013512"/>
    <w:rsid w:val="000135FA"/>
    <w:rsid w:val="00013E19"/>
    <w:rsid w:val="00013F2D"/>
    <w:rsid w:val="000142C1"/>
    <w:rsid w:val="000147C9"/>
    <w:rsid w:val="00014CD6"/>
    <w:rsid w:val="00014FD9"/>
    <w:rsid w:val="00015290"/>
    <w:rsid w:val="0001548D"/>
    <w:rsid w:val="00015E3D"/>
    <w:rsid w:val="00015E8F"/>
    <w:rsid w:val="00016408"/>
    <w:rsid w:val="00016A39"/>
    <w:rsid w:val="00016B0B"/>
    <w:rsid w:val="000170E1"/>
    <w:rsid w:val="00017399"/>
    <w:rsid w:val="0002095B"/>
    <w:rsid w:val="00020A6F"/>
    <w:rsid w:val="00021D7E"/>
    <w:rsid w:val="00022372"/>
    <w:rsid w:val="00022824"/>
    <w:rsid w:val="000229C1"/>
    <w:rsid w:val="00022D6C"/>
    <w:rsid w:val="00023139"/>
    <w:rsid w:val="00023633"/>
    <w:rsid w:val="000239BE"/>
    <w:rsid w:val="00024224"/>
    <w:rsid w:val="000243BC"/>
    <w:rsid w:val="0002474F"/>
    <w:rsid w:val="00024ABF"/>
    <w:rsid w:val="00024B55"/>
    <w:rsid w:val="00024C4F"/>
    <w:rsid w:val="0002501A"/>
    <w:rsid w:val="00025B1B"/>
    <w:rsid w:val="00025C0F"/>
    <w:rsid w:val="00025E0F"/>
    <w:rsid w:val="0002647C"/>
    <w:rsid w:val="00026C73"/>
    <w:rsid w:val="00026EEE"/>
    <w:rsid w:val="000271B7"/>
    <w:rsid w:val="000305B1"/>
    <w:rsid w:val="00030D9F"/>
    <w:rsid w:val="00031BAF"/>
    <w:rsid w:val="0003230B"/>
    <w:rsid w:val="00033708"/>
    <w:rsid w:val="000339AA"/>
    <w:rsid w:val="00033CE1"/>
    <w:rsid w:val="00033F30"/>
    <w:rsid w:val="00033F80"/>
    <w:rsid w:val="00034404"/>
    <w:rsid w:val="0003483C"/>
    <w:rsid w:val="00034949"/>
    <w:rsid w:val="0003497C"/>
    <w:rsid w:val="00034A37"/>
    <w:rsid w:val="00035774"/>
    <w:rsid w:val="00035800"/>
    <w:rsid w:val="000359BA"/>
    <w:rsid w:val="00035DA0"/>
    <w:rsid w:val="00036123"/>
    <w:rsid w:val="00036563"/>
    <w:rsid w:val="000373A9"/>
    <w:rsid w:val="000401E5"/>
    <w:rsid w:val="00040457"/>
    <w:rsid w:val="00040603"/>
    <w:rsid w:val="00040948"/>
    <w:rsid w:val="00040CA0"/>
    <w:rsid w:val="00041019"/>
    <w:rsid w:val="00041524"/>
    <w:rsid w:val="00041583"/>
    <w:rsid w:val="00042215"/>
    <w:rsid w:val="000430DA"/>
    <w:rsid w:val="00043742"/>
    <w:rsid w:val="000438A5"/>
    <w:rsid w:val="00043D01"/>
    <w:rsid w:val="0004441D"/>
    <w:rsid w:val="00044C5A"/>
    <w:rsid w:val="00045AB1"/>
    <w:rsid w:val="00045E02"/>
    <w:rsid w:val="00045FCA"/>
    <w:rsid w:val="000461CF"/>
    <w:rsid w:val="0004642A"/>
    <w:rsid w:val="000465D6"/>
    <w:rsid w:val="0004758A"/>
    <w:rsid w:val="0004758F"/>
    <w:rsid w:val="00047867"/>
    <w:rsid w:val="0004788F"/>
    <w:rsid w:val="00047B21"/>
    <w:rsid w:val="00047B80"/>
    <w:rsid w:val="000505CC"/>
    <w:rsid w:val="000508EA"/>
    <w:rsid w:val="00050C40"/>
    <w:rsid w:val="00050E6B"/>
    <w:rsid w:val="00050EA2"/>
    <w:rsid w:val="0005188F"/>
    <w:rsid w:val="000522EE"/>
    <w:rsid w:val="00052BCD"/>
    <w:rsid w:val="000533DB"/>
    <w:rsid w:val="00053911"/>
    <w:rsid w:val="00053DB6"/>
    <w:rsid w:val="00054171"/>
    <w:rsid w:val="0005426A"/>
    <w:rsid w:val="00054A09"/>
    <w:rsid w:val="0005509E"/>
    <w:rsid w:val="00055711"/>
    <w:rsid w:val="000558B5"/>
    <w:rsid w:val="00055DCD"/>
    <w:rsid w:val="00055E41"/>
    <w:rsid w:val="0005603C"/>
    <w:rsid w:val="00056F4B"/>
    <w:rsid w:val="00057535"/>
    <w:rsid w:val="00057666"/>
    <w:rsid w:val="000578D9"/>
    <w:rsid w:val="00057C2E"/>
    <w:rsid w:val="00057F71"/>
    <w:rsid w:val="000605B2"/>
    <w:rsid w:val="0006168B"/>
    <w:rsid w:val="00061E18"/>
    <w:rsid w:val="00062018"/>
    <w:rsid w:val="00062067"/>
    <w:rsid w:val="000625DF"/>
    <w:rsid w:val="0006287B"/>
    <w:rsid w:val="00062928"/>
    <w:rsid w:val="0006356D"/>
    <w:rsid w:val="00063DC4"/>
    <w:rsid w:val="00063FDB"/>
    <w:rsid w:val="000643FA"/>
    <w:rsid w:val="0006442F"/>
    <w:rsid w:val="0006488E"/>
    <w:rsid w:val="00064BC7"/>
    <w:rsid w:val="00064C28"/>
    <w:rsid w:val="00064CDF"/>
    <w:rsid w:val="00064D04"/>
    <w:rsid w:val="0006545B"/>
    <w:rsid w:val="00065523"/>
    <w:rsid w:val="00065C62"/>
    <w:rsid w:val="00065C96"/>
    <w:rsid w:val="00065CDE"/>
    <w:rsid w:val="00065D9C"/>
    <w:rsid w:val="00065F4A"/>
    <w:rsid w:val="0006618B"/>
    <w:rsid w:val="00066301"/>
    <w:rsid w:val="0006655F"/>
    <w:rsid w:val="00067058"/>
    <w:rsid w:val="000670AE"/>
    <w:rsid w:val="000676E5"/>
    <w:rsid w:val="000676FA"/>
    <w:rsid w:val="00067764"/>
    <w:rsid w:val="000677DE"/>
    <w:rsid w:val="00067C1E"/>
    <w:rsid w:val="00067D90"/>
    <w:rsid w:val="0007063B"/>
    <w:rsid w:val="000708AA"/>
    <w:rsid w:val="00070D75"/>
    <w:rsid w:val="00070F2E"/>
    <w:rsid w:val="000721FB"/>
    <w:rsid w:val="000729EE"/>
    <w:rsid w:val="00073A56"/>
    <w:rsid w:val="00073BF9"/>
    <w:rsid w:val="000748A4"/>
    <w:rsid w:val="00074996"/>
    <w:rsid w:val="00074DDC"/>
    <w:rsid w:val="000750AE"/>
    <w:rsid w:val="00075836"/>
    <w:rsid w:val="00075D5A"/>
    <w:rsid w:val="00075FE7"/>
    <w:rsid w:val="000762D8"/>
    <w:rsid w:val="0007694D"/>
    <w:rsid w:val="0007695E"/>
    <w:rsid w:val="00077C00"/>
    <w:rsid w:val="00077CEB"/>
    <w:rsid w:val="00077F1E"/>
    <w:rsid w:val="000804F2"/>
    <w:rsid w:val="00080813"/>
    <w:rsid w:val="00080C4F"/>
    <w:rsid w:val="00080E65"/>
    <w:rsid w:val="00080EAD"/>
    <w:rsid w:val="00080FF3"/>
    <w:rsid w:val="00081264"/>
    <w:rsid w:val="0008150D"/>
    <w:rsid w:val="000816DF"/>
    <w:rsid w:val="00081CA5"/>
    <w:rsid w:val="0008216D"/>
    <w:rsid w:val="00082422"/>
    <w:rsid w:val="000824D7"/>
    <w:rsid w:val="000825EF"/>
    <w:rsid w:val="00082868"/>
    <w:rsid w:val="000829F7"/>
    <w:rsid w:val="00083C55"/>
    <w:rsid w:val="000841BF"/>
    <w:rsid w:val="000847FE"/>
    <w:rsid w:val="000849DA"/>
    <w:rsid w:val="00084B18"/>
    <w:rsid w:val="00084D72"/>
    <w:rsid w:val="00084FD0"/>
    <w:rsid w:val="00085B70"/>
    <w:rsid w:val="00085FC7"/>
    <w:rsid w:val="00086133"/>
    <w:rsid w:val="00086C31"/>
    <w:rsid w:val="000871B4"/>
    <w:rsid w:val="00090060"/>
    <w:rsid w:val="00090D5C"/>
    <w:rsid w:val="00090DB3"/>
    <w:rsid w:val="00091A9B"/>
    <w:rsid w:val="00091B0B"/>
    <w:rsid w:val="00091FB8"/>
    <w:rsid w:val="0009251E"/>
    <w:rsid w:val="00092727"/>
    <w:rsid w:val="00092945"/>
    <w:rsid w:val="00092DD7"/>
    <w:rsid w:val="00093C67"/>
    <w:rsid w:val="00094CDE"/>
    <w:rsid w:val="000955EA"/>
    <w:rsid w:val="0009609A"/>
    <w:rsid w:val="0009688E"/>
    <w:rsid w:val="00096BCD"/>
    <w:rsid w:val="000A027E"/>
    <w:rsid w:val="000A0A45"/>
    <w:rsid w:val="000A0C9C"/>
    <w:rsid w:val="000A13D1"/>
    <w:rsid w:val="000A15A8"/>
    <w:rsid w:val="000A1C27"/>
    <w:rsid w:val="000A1F7B"/>
    <w:rsid w:val="000A2514"/>
    <w:rsid w:val="000A2694"/>
    <w:rsid w:val="000A27E5"/>
    <w:rsid w:val="000A282E"/>
    <w:rsid w:val="000A2EF1"/>
    <w:rsid w:val="000A3523"/>
    <w:rsid w:val="000A3995"/>
    <w:rsid w:val="000A3997"/>
    <w:rsid w:val="000A3D99"/>
    <w:rsid w:val="000A3F4C"/>
    <w:rsid w:val="000A51E5"/>
    <w:rsid w:val="000A5D44"/>
    <w:rsid w:val="000A67BB"/>
    <w:rsid w:val="000A6FBD"/>
    <w:rsid w:val="000A7333"/>
    <w:rsid w:val="000A7EA5"/>
    <w:rsid w:val="000A7EAC"/>
    <w:rsid w:val="000B019B"/>
    <w:rsid w:val="000B1041"/>
    <w:rsid w:val="000B1223"/>
    <w:rsid w:val="000B1920"/>
    <w:rsid w:val="000B1D18"/>
    <w:rsid w:val="000B1F84"/>
    <w:rsid w:val="000B228E"/>
    <w:rsid w:val="000B24C0"/>
    <w:rsid w:val="000B2BE3"/>
    <w:rsid w:val="000B2F61"/>
    <w:rsid w:val="000B35EA"/>
    <w:rsid w:val="000B3D75"/>
    <w:rsid w:val="000B4481"/>
    <w:rsid w:val="000B4783"/>
    <w:rsid w:val="000B56CD"/>
    <w:rsid w:val="000B5C54"/>
    <w:rsid w:val="000B5D24"/>
    <w:rsid w:val="000B6430"/>
    <w:rsid w:val="000B650A"/>
    <w:rsid w:val="000B6B69"/>
    <w:rsid w:val="000B73D1"/>
    <w:rsid w:val="000B7454"/>
    <w:rsid w:val="000B7855"/>
    <w:rsid w:val="000B7AD5"/>
    <w:rsid w:val="000B7AED"/>
    <w:rsid w:val="000B7EFB"/>
    <w:rsid w:val="000C00BE"/>
    <w:rsid w:val="000C0142"/>
    <w:rsid w:val="000C11CC"/>
    <w:rsid w:val="000C11D1"/>
    <w:rsid w:val="000C17C3"/>
    <w:rsid w:val="000C1FA2"/>
    <w:rsid w:val="000C31D3"/>
    <w:rsid w:val="000C3E8E"/>
    <w:rsid w:val="000C4E25"/>
    <w:rsid w:val="000C583C"/>
    <w:rsid w:val="000C5BB6"/>
    <w:rsid w:val="000C5EE4"/>
    <w:rsid w:val="000C61E2"/>
    <w:rsid w:val="000C668E"/>
    <w:rsid w:val="000C6A40"/>
    <w:rsid w:val="000C7000"/>
    <w:rsid w:val="000C7883"/>
    <w:rsid w:val="000C793A"/>
    <w:rsid w:val="000C7B1E"/>
    <w:rsid w:val="000D0023"/>
    <w:rsid w:val="000D060C"/>
    <w:rsid w:val="000D0A09"/>
    <w:rsid w:val="000D0A81"/>
    <w:rsid w:val="000D10CF"/>
    <w:rsid w:val="000D12CB"/>
    <w:rsid w:val="000D169F"/>
    <w:rsid w:val="000D1AB4"/>
    <w:rsid w:val="000D2B43"/>
    <w:rsid w:val="000D32F3"/>
    <w:rsid w:val="000D37C0"/>
    <w:rsid w:val="000D39EF"/>
    <w:rsid w:val="000D3B5B"/>
    <w:rsid w:val="000D4043"/>
    <w:rsid w:val="000D4389"/>
    <w:rsid w:val="000D43DD"/>
    <w:rsid w:val="000D4684"/>
    <w:rsid w:val="000D4793"/>
    <w:rsid w:val="000D4D48"/>
    <w:rsid w:val="000D5375"/>
    <w:rsid w:val="000D7479"/>
    <w:rsid w:val="000D7682"/>
    <w:rsid w:val="000D7865"/>
    <w:rsid w:val="000D7A9C"/>
    <w:rsid w:val="000D7DEF"/>
    <w:rsid w:val="000D7EBC"/>
    <w:rsid w:val="000D7F7B"/>
    <w:rsid w:val="000E0135"/>
    <w:rsid w:val="000E01C8"/>
    <w:rsid w:val="000E0737"/>
    <w:rsid w:val="000E07CD"/>
    <w:rsid w:val="000E0CEA"/>
    <w:rsid w:val="000E0DB6"/>
    <w:rsid w:val="000E0E6C"/>
    <w:rsid w:val="000E1F80"/>
    <w:rsid w:val="000E340F"/>
    <w:rsid w:val="000E38EB"/>
    <w:rsid w:val="000E3B46"/>
    <w:rsid w:val="000E3E49"/>
    <w:rsid w:val="000E4163"/>
    <w:rsid w:val="000E462A"/>
    <w:rsid w:val="000E46D0"/>
    <w:rsid w:val="000E4A3D"/>
    <w:rsid w:val="000E4BB9"/>
    <w:rsid w:val="000E4D3E"/>
    <w:rsid w:val="000E509F"/>
    <w:rsid w:val="000E6925"/>
    <w:rsid w:val="000E6B48"/>
    <w:rsid w:val="000E7019"/>
    <w:rsid w:val="000E7E15"/>
    <w:rsid w:val="000E7FB6"/>
    <w:rsid w:val="000F08AD"/>
    <w:rsid w:val="000F0B60"/>
    <w:rsid w:val="000F0ED8"/>
    <w:rsid w:val="000F1D79"/>
    <w:rsid w:val="000F243A"/>
    <w:rsid w:val="000F243E"/>
    <w:rsid w:val="000F2534"/>
    <w:rsid w:val="000F2C73"/>
    <w:rsid w:val="000F2CE9"/>
    <w:rsid w:val="000F2D3B"/>
    <w:rsid w:val="000F2DD3"/>
    <w:rsid w:val="000F313A"/>
    <w:rsid w:val="000F3652"/>
    <w:rsid w:val="000F369D"/>
    <w:rsid w:val="000F3A7F"/>
    <w:rsid w:val="000F3E32"/>
    <w:rsid w:val="000F453E"/>
    <w:rsid w:val="000F466D"/>
    <w:rsid w:val="000F4B93"/>
    <w:rsid w:val="000F5715"/>
    <w:rsid w:val="000F5A1E"/>
    <w:rsid w:val="000F5C81"/>
    <w:rsid w:val="000F713A"/>
    <w:rsid w:val="000F77D5"/>
    <w:rsid w:val="000F7B6A"/>
    <w:rsid w:val="0010002A"/>
    <w:rsid w:val="0010086D"/>
    <w:rsid w:val="00100FFF"/>
    <w:rsid w:val="00101143"/>
    <w:rsid w:val="001017EC"/>
    <w:rsid w:val="001018A8"/>
    <w:rsid w:val="00102468"/>
    <w:rsid w:val="00102DA4"/>
    <w:rsid w:val="00103068"/>
    <w:rsid w:val="0010323D"/>
    <w:rsid w:val="00103B9C"/>
    <w:rsid w:val="00104136"/>
    <w:rsid w:val="00104A1D"/>
    <w:rsid w:val="001054F7"/>
    <w:rsid w:val="00105885"/>
    <w:rsid w:val="001059D6"/>
    <w:rsid w:val="0010640D"/>
    <w:rsid w:val="001065FB"/>
    <w:rsid w:val="001069A7"/>
    <w:rsid w:val="001072D1"/>
    <w:rsid w:val="001078F6"/>
    <w:rsid w:val="00110119"/>
    <w:rsid w:val="00111667"/>
    <w:rsid w:val="00111951"/>
    <w:rsid w:val="00111A5F"/>
    <w:rsid w:val="0011213C"/>
    <w:rsid w:val="00112358"/>
    <w:rsid w:val="00112F1A"/>
    <w:rsid w:val="001136A7"/>
    <w:rsid w:val="001138E3"/>
    <w:rsid w:val="00113F89"/>
    <w:rsid w:val="00114A5C"/>
    <w:rsid w:val="00114BDD"/>
    <w:rsid w:val="0011516F"/>
    <w:rsid w:val="001152AE"/>
    <w:rsid w:val="00115D20"/>
    <w:rsid w:val="00116419"/>
    <w:rsid w:val="001166E5"/>
    <w:rsid w:val="0011675B"/>
    <w:rsid w:val="00116FEE"/>
    <w:rsid w:val="0011712D"/>
    <w:rsid w:val="00120345"/>
    <w:rsid w:val="0012038C"/>
    <w:rsid w:val="00120E75"/>
    <w:rsid w:val="00121791"/>
    <w:rsid w:val="0012186C"/>
    <w:rsid w:val="0012216E"/>
    <w:rsid w:val="0012236F"/>
    <w:rsid w:val="00122C04"/>
    <w:rsid w:val="00122C12"/>
    <w:rsid w:val="00122DF4"/>
    <w:rsid w:val="001234C2"/>
    <w:rsid w:val="00123EDB"/>
    <w:rsid w:val="00124361"/>
    <w:rsid w:val="001243BC"/>
    <w:rsid w:val="0012508B"/>
    <w:rsid w:val="0012523C"/>
    <w:rsid w:val="00125372"/>
    <w:rsid w:val="001254CB"/>
    <w:rsid w:val="00125673"/>
    <w:rsid w:val="00125A6C"/>
    <w:rsid w:val="00125EB2"/>
    <w:rsid w:val="00126360"/>
    <w:rsid w:val="00126821"/>
    <w:rsid w:val="00126A78"/>
    <w:rsid w:val="00126D90"/>
    <w:rsid w:val="0012701F"/>
    <w:rsid w:val="00127132"/>
    <w:rsid w:val="001279AE"/>
    <w:rsid w:val="0013007F"/>
    <w:rsid w:val="001307A0"/>
    <w:rsid w:val="00131C5E"/>
    <w:rsid w:val="00131E56"/>
    <w:rsid w:val="001323D6"/>
    <w:rsid w:val="00132402"/>
    <w:rsid w:val="00133B1C"/>
    <w:rsid w:val="00134714"/>
    <w:rsid w:val="00135050"/>
    <w:rsid w:val="0013626E"/>
    <w:rsid w:val="00136399"/>
    <w:rsid w:val="00136E56"/>
    <w:rsid w:val="00136E74"/>
    <w:rsid w:val="00136E76"/>
    <w:rsid w:val="00136F0F"/>
    <w:rsid w:val="001375DF"/>
    <w:rsid w:val="00137C27"/>
    <w:rsid w:val="0014012E"/>
    <w:rsid w:val="001404A0"/>
    <w:rsid w:val="0014052B"/>
    <w:rsid w:val="00140622"/>
    <w:rsid w:val="00140A20"/>
    <w:rsid w:val="00140A47"/>
    <w:rsid w:val="00140E2E"/>
    <w:rsid w:val="001412F5"/>
    <w:rsid w:val="00141B59"/>
    <w:rsid w:val="00141B8C"/>
    <w:rsid w:val="00141EFB"/>
    <w:rsid w:val="001425A7"/>
    <w:rsid w:val="00142606"/>
    <w:rsid w:val="00142EB0"/>
    <w:rsid w:val="00143007"/>
    <w:rsid w:val="00143887"/>
    <w:rsid w:val="00144BBB"/>
    <w:rsid w:val="00145455"/>
    <w:rsid w:val="00146180"/>
    <w:rsid w:val="00146349"/>
    <w:rsid w:val="001468C6"/>
    <w:rsid w:val="001469F5"/>
    <w:rsid w:val="00146C47"/>
    <w:rsid w:val="00146DF9"/>
    <w:rsid w:val="00147183"/>
    <w:rsid w:val="00147AB8"/>
    <w:rsid w:val="00150352"/>
    <w:rsid w:val="0015150F"/>
    <w:rsid w:val="00152441"/>
    <w:rsid w:val="0015247C"/>
    <w:rsid w:val="001525EB"/>
    <w:rsid w:val="00152635"/>
    <w:rsid w:val="00152B1F"/>
    <w:rsid w:val="00153288"/>
    <w:rsid w:val="0015329C"/>
    <w:rsid w:val="00153778"/>
    <w:rsid w:val="00153A3C"/>
    <w:rsid w:val="00153D92"/>
    <w:rsid w:val="00153E0E"/>
    <w:rsid w:val="00153E68"/>
    <w:rsid w:val="001542F1"/>
    <w:rsid w:val="00154735"/>
    <w:rsid w:val="00154E6F"/>
    <w:rsid w:val="001559D9"/>
    <w:rsid w:val="00156013"/>
    <w:rsid w:val="00156066"/>
    <w:rsid w:val="001560BC"/>
    <w:rsid w:val="001563C1"/>
    <w:rsid w:val="00156AAB"/>
    <w:rsid w:val="0015770F"/>
    <w:rsid w:val="00160214"/>
    <w:rsid w:val="001605F4"/>
    <w:rsid w:val="001606BC"/>
    <w:rsid w:val="001609A4"/>
    <w:rsid w:val="001613A0"/>
    <w:rsid w:val="001613EF"/>
    <w:rsid w:val="001614B7"/>
    <w:rsid w:val="0016201C"/>
    <w:rsid w:val="001630D1"/>
    <w:rsid w:val="00163598"/>
    <w:rsid w:val="00163ED4"/>
    <w:rsid w:val="00164742"/>
    <w:rsid w:val="00164793"/>
    <w:rsid w:val="001647FC"/>
    <w:rsid w:val="00165A49"/>
    <w:rsid w:val="00165C7E"/>
    <w:rsid w:val="00165CAE"/>
    <w:rsid w:val="00165E8F"/>
    <w:rsid w:val="001667A9"/>
    <w:rsid w:val="00166823"/>
    <w:rsid w:val="00167F34"/>
    <w:rsid w:val="001709D4"/>
    <w:rsid w:val="001718FC"/>
    <w:rsid w:val="0017282F"/>
    <w:rsid w:val="00172EF7"/>
    <w:rsid w:val="0017329D"/>
    <w:rsid w:val="00173577"/>
    <w:rsid w:val="0017384B"/>
    <w:rsid w:val="00173C1C"/>
    <w:rsid w:val="00173E55"/>
    <w:rsid w:val="00173EAF"/>
    <w:rsid w:val="00173F54"/>
    <w:rsid w:val="00174058"/>
    <w:rsid w:val="00174454"/>
    <w:rsid w:val="00174CCB"/>
    <w:rsid w:val="00174D92"/>
    <w:rsid w:val="001752D0"/>
    <w:rsid w:val="00175DE4"/>
    <w:rsid w:val="001760C0"/>
    <w:rsid w:val="0017661E"/>
    <w:rsid w:val="00176658"/>
    <w:rsid w:val="00176AA5"/>
    <w:rsid w:val="00176ACE"/>
    <w:rsid w:val="00176BB1"/>
    <w:rsid w:val="001770A7"/>
    <w:rsid w:val="001770E4"/>
    <w:rsid w:val="0017720E"/>
    <w:rsid w:val="001772CC"/>
    <w:rsid w:val="00177893"/>
    <w:rsid w:val="00177D1C"/>
    <w:rsid w:val="00177FD2"/>
    <w:rsid w:val="001801B8"/>
    <w:rsid w:val="00180217"/>
    <w:rsid w:val="00180636"/>
    <w:rsid w:val="00180846"/>
    <w:rsid w:val="00180B14"/>
    <w:rsid w:val="00180FB9"/>
    <w:rsid w:val="0018141A"/>
    <w:rsid w:val="00181FC3"/>
    <w:rsid w:val="001825FD"/>
    <w:rsid w:val="001835EC"/>
    <w:rsid w:val="0018373E"/>
    <w:rsid w:val="001839C0"/>
    <w:rsid w:val="001839F7"/>
    <w:rsid w:val="00183A87"/>
    <w:rsid w:val="00184221"/>
    <w:rsid w:val="0018443E"/>
    <w:rsid w:val="001848F7"/>
    <w:rsid w:val="00185217"/>
    <w:rsid w:val="00185258"/>
    <w:rsid w:val="0018529E"/>
    <w:rsid w:val="001857E4"/>
    <w:rsid w:val="00185C35"/>
    <w:rsid w:val="00186307"/>
    <w:rsid w:val="001863F7"/>
    <w:rsid w:val="001865D6"/>
    <w:rsid w:val="001867B4"/>
    <w:rsid w:val="00186EBC"/>
    <w:rsid w:val="00187727"/>
    <w:rsid w:val="00187C9F"/>
    <w:rsid w:val="00187D9E"/>
    <w:rsid w:val="00190999"/>
    <w:rsid w:val="001916C0"/>
    <w:rsid w:val="0019195A"/>
    <w:rsid w:val="00191AD3"/>
    <w:rsid w:val="00191B1A"/>
    <w:rsid w:val="001920F9"/>
    <w:rsid w:val="001921EE"/>
    <w:rsid w:val="00192227"/>
    <w:rsid w:val="0019242C"/>
    <w:rsid w:val="00192C79"/>
    <w:rsid w:val="0019366D"/>
    <w:rsid w:val="001941E3"/>
    <w:rsid w:val="00194261"/>
    <w:rsid w:val="00194758"/>
    <w:rsid w:val="00194CB7"/>
    <w:rsid w:val="00194CFB"/>
    <w:rsid w:val="001952BB"/>
    <w:rsid w:val="00195DA4"/>
    <w:rsid w:val="00196231"/>
    <w:rsid w:val="00197074"/>
    <w:rsid w:val="00197A07"/>
    <w:rsid w:val="00197D31"/>
    <w:rsid w:val="00197E76"/>
    <w:rsid w:val="00197FD2"/>
    <w:rsid w:val="001A0142"/>
    <w:rsid w:val="001A0B56"/>
    <w:rsid w:val="001A0D46"/>
    <w:rsid w:val="001A1980"/>
    <w:rsid w:val="001A1B23"/>
    <w:rsid w:val="001A1D9A"/>
    <w:rsid w:val="001A1F9A"/>
    <w:rsid w:val="001A20DC"/>
    <w:rsid w:val="001A245F"/>
    <w:rsid w:val="001A3DC9"/>
    <w:rsid w:val="001A4BA0"/>
    <w:rsid w:val="001A4C0C"/>
    <w:rsid w:val="001A5038"/>
    <w:rsid w:val="001A5D52"/>
    <w:rsid w:val="001A6CA2"/>
    <w:rsid w:val="001A73A8"/>
    <w:rsid w:val="001A74C3"/>
    <w:rsid w:val="001B00CE"/>
    <w:rsid w:val="001B01CD"/>
    <w:rsid w:val="001B0291"/>
    <w:rsid w:val="001B039D"/>
    <w:rsid w:val="001B0470"/>
    <w:rsid w:val="001B0E20"/>
    <w:rsid w:val="001B12A9"/>
    <w:rsid w:val="001B1FD6"/>
    <w:rsid w:val="001B2299"/>
    <w:rsid w:val="001B2429"/>
    <w:rsid w:val="001B2D68"/>
    <w:rsid w:val="001B33CB"/>
    <w:rsid w:val="001B3D28"/>
    <w:rsid w:val="001B4382"/>
    <w:rsid w:val="001B4FC5"/>
    <w:rsid w:val="001B4FC6"/>
    <w:rsid w:val="001B5823"/>
    <w:rsid w:val="001B59D5"/>
    <w:rsid w:val="001B5B6B"/>
    <w:rsid w:val="001B5D05"/>
    <w:rsid w:val="001B60EC"/>
    <w:rsid w:val="001B6389"/>
    <w:rsid w:val="001B6A71"/>
    <w:rsid w:val="001B6BD0"/>
    <w:rsid w:val="001B7294"/>
    <w:rsid w:val="001B72B0"/>
    <w:rsid w:val="001C04CC"/>
    <w:rsid w:val="001C051E"/>
    <w:rsid w:val="001C06AA"/>
    <w:rsid w:val="001C090D"/>
    <w:rsid w:val="001C174B"/>
    <w:rsid w:val="001C20B6"/>
    <w:rsid w:val="001C2D8B"/>
    <w:rsid w:val="001C3AD4"/>
    <w:rsid w:val="001C40A1"/>
    <w:rsid w:val="001C41CB"/>
    <w:rsid w:val="001C4D4E"/>
    <w:rsid w:val="001C5836"/>
    <w:rsid w:val="001C5C8D"/>
    <w:rsid w:val="001C64EA"/>
    <w:rsid w:val="001C678D"/>
    <w:rsid w:val="001C6823"/>
    <w:rsid w:val="001C68C3"/>
    <w:rsid w:val="001C69D7"/>
    <w:rsid w:val="001C6EDF"/>
    <w:rsid w:val="001C732C"/>
    <w:rsid w:val="001C7497"/>
    <w:rsid w:val="001C7528"/>
    <w:rsid w:val="001C796E"/>
    <w:rsid w:val="001C7B80"/>
    <w:rsid w:val="001C7B9F"/>
    <w:rsid w:val="001C7C6F"/>
    <w:rsid w:val="001C7D17"/>
    <w:rsid w:val="001C7D1B"/>
    <w:rsid w:val="001C7E3C"/>
    <w:rsid w:val="001D05D0"/>
    <w:rsid w:val="001D0E29"/>
    <w:rsid w:val="001D1D86"/>
    <w:rsid w:val="001D22CF"/>
    <w:rsid w:val="001D2345"/>
    <w:rsid w:val="001D2AB4"/>
    <w:rsid w:val="001D3284"/>
    <w:rsid w:val="001D33E5"/>
    <w:rsid w:val="001D35EB"/>
    <w:rsid w:val="001D3CD0"/>
    <w:rsid w:val="001D44C7"/>
    <w:rsid w:val="001D5337"/>
    <w:rsid w:val="001D5677"/>
    <w:rsid w:val="001D5C8A"/>
    <w:rsid w:val="001D5D47"/>
    <w:rsid w:val="001D5DE3"/>
    <w:rsid w:val="001D61D3"/>
    <w:rsid w:val="001D61F6"/>
    <w:rsid w:val="001D6D7B"/>
    <w:rsid w:val="001D6F1D"/>
    <w:rsid w:val="001D7233"/>
    <w:rsid w:val="001D75A0"/>
    <w:rsid w:val="001D7A84"/>
    <w:rsid w:val="001D7CF1"/>
    <w:rsid w:val="001D7DA2"/>
    <w:rsid w:val="001E0514"/>
    <w:rsid w:val="001E0525"/>
    <w:rsid w:val="001E0994"/>
    <w:rsid w:val="001E0B0D"/>
    <w:rsid w:val="001E102E"/>
    <w:rsid w:val="001E117C"/>
    <w:rsid w:val="001E1268"/>
    <w:rsid w:val="001E1827"/>
    <w:rsid w:val="001E1A32"/>
    <w:rsid w:val="001E1A6D"/>
    <w:rsid w:val="001E2020"/>
    <w:rsid w:val="001E25EC"/>
    <w:rsid w:val="001E2853"/>
    <w:rsid w:val="001E2E18"/>
    <w:rsid w:val="001E38C7"/>
    <w:rsid w:val="001E3B73"/>
    <w:rsid w:val="001E4A37"/>
    <w:rsid w:val="001E4E98"/>
    <w:rsid w:val="001E53F8"/>
    <w:rsid w:val="001E5896"/>
    <w:rsid w:val="001E5918"/>
    <w:rsid w:val="001E632A"/>
    <w:rsid w:val="001E634E"/>
    <w:rsid w:val="001E6585"/>
    <w:rsid w:val="001E6D62"/>
    <w:rsid w:val="001E6EB5"/>
    <w:rsid w:val="001E6FE6"/>
    <w:rsid w:val="001E74FF"/>
    <w:rsid w:val="001F008B"/>
    <w:rsid w:val="001F073C"/>
    <w:rsid w:val="001F0D0A"/>
    <w:rsid w:val="001F15F0"/>
    <w:rsid w:val="001F167C"/>
    <w:rsid w:val="001F2912"/>
    <w:rsid w:val="001F298B"/>
    <w:rsid w:val="001F2B29"/>
    <w:rsid w:val="001F2F47"/>
    <w:rsid w:val="001F2FBD"/>
    <w:rsid w:val="001F3233"/>
    <w:rsid w:val="001F3847"/>
    <w:rsid w:val="001F3B3C"/>
    <w:rsid w:val="001F3BD8"/>
    <w:rsid w:val="001F3F97"/>
    <w:rsid w:val="001F4365"/>
    <w:rsid w:val="001F47A4"/>
    <w:rsid w:val="001F5016"/>
    <w:rsid w:val="001F5AE3"/>
    <w:rsid w:val="001F5DB1"/>
    <w:rsid w:val="001F6896"/>
    <w:rsid w:val="001F68C1"/>
    <w:rsid w:val="001F68D2"/>
    <w:rsid w:val="001F6B06"/>
    <w:rsid w:val="001F6F94"/>
    <w:rsid w:val="001F701C"/>
    <w:rsid w:val="001F7BED"/>
    <w:rsid w:val="00200296"/>
    <w:rsid w:val="00200450"/>
    <w:rsid w:val="00200FC7"/>
    <w:rsid w:val="00201ADB"/>
    <w:rsid w:val="00201CA4"/>
    <w:rsid w:val="0020232D"/>
    <w:rsid w:val="002025E7"/>
    <w:rsid w:val="00203312"/>
    <w:rsid w:val="00203ABD"/>
    <w:rsid w:val="00203BB4"/>
    <w:rsid w:val="00203D8B"/>
    <w:rsid w:val="00204220"/>
    <w:rsid w:val="00204838"/>
    <w:rsid w:val="00204B6C"/>
    <w:rsid w:val="00204BE7"/>
    <w:rsid w:val="00204C64"/>
    <w:rsid w:val="00204D5B"/>
    <w:rsid w:val="002058E5"/>
    <w:rsid w:val="00206F0C"/>
    <w:rsid w:val="002070BF"/>
    <w:rsid w:val="00207670"/>
    <w:rsid w:val="00207957"/>
    <w:rsid w:val="0021002B"/>
    <w:rsid w:val="00210C9F"/>
    <w:rsid w:val="00210F64"/>
    <w:rsid w:val="00210FAA"/>
    <w:rsid w:val="00211340"/>
    <w:rsid w:val="0021187B"/>
    <w:rsid w:val="00211AFB"/>
    <w:rsid w:val="00211F51"/>
    <w:rsid w:val="00212181"/>
    <w:rsid w:val="00212F1A"/>
    <w:rsid w:val="00213BEA"/>
    <w:rsid w:val="00213C04"/>
    <w:rsid w:val="00213EE1"/>
    <w:rsid w:val="00214438"/>
    <w:rsid w:val="002147B9"/>
    <w:rsid w:val="002147ED"/>
    <w:rsid w:val="00214CFF"/>
    <w:rsid w:val="00214D82"/>
    <w:rsid w:val="00215787"/>
    <w:rsid w:val="002160E9"/>
    <w:rsid w:val="00216816"/>
    <w:rsid w:val="0021716C"/>
    <w:rsid w:val="00217889"/>
    <w:rsid w:val="00217AEA"/>
    <w:rsid w:val="00217C07"/>
    <w:rsid w:val="00217E14"/>
    <w:rsid w:val="002200DF"/>
    <w:rsid w:val="002205EB"/>
    <w:rsid w:val="00220EE4"/>
    <w:rsid w:val="00220FE5"/>
    <w:rsid w:val="0022112C"/>
    <w:rsid w:val="0022222A"/>
    <w:rsid w:val="002224D4"/>
    <w:rsid w:val="0022254D"/>
    <w:rsid w:val="002226CC"/>
    <w:rsid w:val="00222C06"/>
    <w:rsid w:val="002233F0"/>
    <w:rsid w:val="002234A6"/>
    <w:rsid w:val="002249D3"/>
    <w:rsid w:val="00224EA8"/>
    <w:rsid w:val="00224F81"/>
    <w:rsid w:val="002250C2"/>
    <w:rsid w:val="00225271"/>
    <w:rsid w:val="002254ED"/>
    <w:rsid w:val="00225FCB"/>
    <w:rsid w:val="00226B80"/>
    <w:rsid w:val="00226E92"/>
    <w:rsid w:val="002273E4"/>
    <w:rsid w:val="002275D3"/>
    <w:rsid w:val="00227857"/>
    <w:rsid w:val="00227D10"/>
    <w:rsid w:val="00227FCA"/>
    <w:rsid w:val="002302C3"/>
    <w:rsid w:val="00230533"/>
    <w:rsid w:val="00230A37"/>
    <w:rsid w:val="00230B62"/>
    <w:rsid w:val="00232567"/>
    <w:rsid w:val="002327EE"/>
    <w:rsid w:val="00232864"/>
    <w:rsid w:val="002329E9"/>
    <w:rsid w:val="00233296"/>
    <w:rsid w:val="002333F3"/>
    <w:rsid w:val="00233644"/>
    <w:rsid w:val="00233714"/>
    <w:rsid w:val="00233933"/>
    <w:rsid w:val="00233B8E"/>
    <w:rsid w:val="00234259"/>
    <w:rsid w:val="00234274"/>
    <w:rsid w:val="00234ED3"/>
    <w:rsid w:val="002352BE"/>
    <w:rsid w:val="00235775"/>
    <w:rsid w:val="00235E2B"/>
    <w:rsid w:val="00235EDC"/>
    <w:rsid w:val="00236156"/>
    <w:rsid w:val="00236741"/>
    <w:rsid w:val="0023720C"/>
    <w:rsid w:val="00237499"/>
    <w:rsid w:val="002374DA"/>
    <w:rsid w:val="002379BE"/>
    <w:rsid w:val="0024027A"/>
    <w:rsid w:val="0024057B"/>
    <w:rsid w:val="00240E5D"/>
    <w:rsid w:val="00240F22"/>
    <w:rsid w:val="00241347"/>
    <w:rsid w:val="00241394"/>
    <w:rsid w:val="00241C3E"/>
    <w:rsid w:val="002423B3"/>
    <w:rsid w:val="002425EA"/>
    <w:rsid w:val="002428FA"/>
    <w:rsid w:val="00242EA0"/>
    <w:rsid w:val="002435D2"/>
    <w:rsid w:val="00243685"/>
    <w:rsid w:val="00243E2D"/>
    <w:rsid w:val="00243F24"/>
    <w:rsid w:val="00244155"/>
    <w:rsid w:val="0024459C"/>
    <w:rsid w:val="002448FA"/>
    <w:rsid w:val="00244BAB"/>
    <w:rsid w:val="00244D93"/>
    <w:rsid w:val="00244FE5"/>
    <w:rsid w:val="002456A1"/>
    <w:rsid w:val="00245AD1"/>
    <w:rsid w:val="00245AD9"/>
    <w:rsid w:val="00245B86"/>
    <w:rsid w:val="0024610E"/>
    <w:rsid w:val="002468D6"/>
    <w:rsid w:val="00246BDF"/>
    <w:rsid w:val="00246E04"/>
    <w:rsid w:val="002470BB"/>
    <w:rsid w:val="002470F9"/>
    <w:rsid w:val="00247685"/>
    <w:rsid w:val="002508FA"/>
    <w:rsid w:val="00250EEC"/>
    <w:rsid w:val="0025164E"/>
    <w:rsid w:val="002517FE"/>
    <w:rsid w:val="00251855"/>
    <w:rsid w:val="00251B50"/>
    <w:rsid w:val="0025209F"/>
    <w:rsid w:val="0025237B"/>
    <w:rsid w:val="002523EB"/>
    <w:rsid w:val="0025243D"/>
    <w:rsid w:val="00252704"/>
    <w:rsid w:val="002527DD"/>
    <w:rsid w:val="00252D61"/>
    <w:rsid w:val="002530E7"/>
    <w:rsid w:val="002532B4"/>
    <w:rsid w:val="002533D1"/>
    <w:rsid w:val="00254637"/>
    <w:rsid w:val="0025487C"/>
    <w:rsid w:val="00254AE2"/>
    <w:rsid w:val="00254EEB"/>
    <w:rsid w:val="00254FAD"/>
    <w:rsid w:val="0025613F"/>
    <w:rsid w:val="00256147"/>
    <w:rsid w:val="002569F9"/>
    <w:rsid w:val="002570AF"/>
    <w:rsid w:val="00257226"/>
    <w:rsid w:val="00257870"/>
    <w:rsid w:val="00257887"/>
    <w:rsid w:val="00257C43"/>
    <w:rsid w:val="00257F91"/>
    <w:rsid w:val="002601BF"/>
    <w:rsid w:val="00261C47"/>
    <w:rsid w:val="00261DC6"/>
    <w:rsid w:val="00261DF4"/>
    <w:rsid w:val="0026213B"/>
    <w:rsid w:val="00262C13"/>
    <w:rsid w:val="00263238"/>
    <w:rsid w:val="002633D5"/>
    <w:rsid w:val="00263774"/>
    <w:rsid w:val="00263A45"/>
    <w:rsid w:val="00263F2C"/>
    <w:rsid w:val="00264270"/>
    <w:rsid w:val="00264623"/>
    <w:rsid w:val="00264773"/>
    <w:rsid w:val="00264D67"/>
    <w:rsid w:val="00264E52"/>
    <w:rsid w:val="00265248"/>
    <w:rsid w:val="00265599"/>
    <w:rsid w:val="00265BA8"/>
    <w:rsid w:val="00266490"/>
    <w:rsid w:val="002669D8"/>
    <w:rsid w:val="00266BF5"/>
    <w:rsid w:val="00267112"/>
    <w:rsid w:val="002674ED"/>
    <w:rsid w:val="00267BE8"/>
    <w:rsid w:val="002703D9"/>
    <w:rsid w:val="00270976"/>
    <w:rsid w:val="00270B1F"/>
    <w:rsid w:val="00270BBC"/>
    <w:rsid w:val="0027127F"/>
    <w:rsid w:val="002717FF"/>
    <w:rsid w:val="0027187F"/>
    <w:rsid w:val="00271CF3"/>
    <w:rsid w:val="00271D68"/>
    <w:rsid w:val="00271DC5"/>
    <w:rsid w:val="00271E53"/>
    <w:rsid w:val="00271F62"/>
    <w:rsid w:val="002720BE"/>
    <w:rsid w:val="00272127"/>
    <w:rsid w:val="0027225A"/>
    <w:rsid w:val="00272891"/>
    <w:rsid w:val="00272AA3"/>
    <w:rsid w:val="0027331C"/>
    <w:rsid w:val="00274625"/>
    <w:rsid w:val="002746ED"/>
    <w:rsid w:val="0027497D"/>
    <w:rsid w:val="00274B97"/>
    <w:rsid w:val="00274F5C"/>
    <w:rsid w:val="0027549E"/>
    <w:rsid w:val="0027559C"/>
    <w:rsid w:val="0027575E"/>
    <w:rsid w:val="00275A53"/>
    <w:rsid w:val="002764C8"/>
    <w:rsid w:val="00276C8A"/>
    <w:rsid w:val="00276C8F"/>
    <w:rsid w:val="00276E9F"/>
    <w:rsid w:val="002773FC"/>
    <w:rsid w:val="00277ADE"/>
    <w:rsid w:val="00277B4A"/>
    <w:rsid w:val="00277D40"/>
    <w:rsid w:val="00277F90"/>
    <w:rsid w:val="00280037"/>
    <w:rsid w:val="002801F4"/>
    <w:rsid w:val="00280638"/>
    <w:rsid w:val="0028082C"/>
    <w:rsid w:val="00280B5B"/>
    <w:rsid w:val="00280BC1"/>
    <w:rsid w:val="00280D8D"/>
    <w:rsid w:val="0028118D"/>
    <w:rsid w:val="00281553"/>
    <w:rsid w:val="00281708"/>
    <w:rsid w:val="00281DCF"/>
    <w:rsid w:val="00281FB9"/>
    <w:rsid w:val="002836DF"/>
    <w:rsid w:val="002838AE"/>
    <w:rsid w:val="00284528"/>
    <w:rsid w:val="00284575"/>
    <w:rsid w:val="00285434"/>
    <w:rsid w:val="00285ACB"/>
    <w:rsid w:val="002861AB"/>
    <w:rsid w:val="00286528"/>
    <w:rsid w:val="00286CBA"/>
    <w:rsid w:val="00287596"/>
    <w:rsid w:val="0028777E"/>
    <w:rsid w:val="00287CF7"/>
    <w:rsid w:val="00287E1E"/>
    <w:rsid w:val="00290C7B"/>
    <w:rsid w:val="00291928"/>
    <w:rsid w:val="002923DF"/>
    <w:rsid w:val="0029260E"/>
    <w:rsid w:val="0029289C"/>
    <w:rsid w:val="002928F4"/>
    <w:rsid w:val="00293A1D"/>
    <w:rsid w:val="00293E62"/>
    <w:rsid w:val="00293F6F"/>
    <w:rsid w:val="00294D25"/>
    <w:rsid w:val="00294DE2"/>
    <w:rsid w:val="00295D55"/>
    <w:rsid w:val="002963A3"/>
    <w:rsid w:val="00297510"/>
    <w:rsid w:val="0029779C"/>
    <w:rsid w:val="002A0A10"/>
    <w:rsid w:val="002A11C1"/>
    <w:rsid w:val="002A1579"/>
    <w:rsid w:val="002A1A92"/>
    <w:rsid w:val="002A2468"/>
    <w:rsid w:val="002A2AFF"/>
    <w:rsid w:val="002A2C1C"/>
    <w:rsid w:val="002A2C50"/>
    <w:rsid w:val="002A2CE1"/>
    <w:rsid w:val="002A2F9B"/>
    <w:rsid w:val="002A3330"/>
    <w:rsid w:val="002A3742"/>
    <w:rsid w:val="002A391F"/>
    <w:rsid w:val="002A4054"/>
    <w:rsid w:val="002A40E6"/>
    <w:rsid w:val="002A44DF"/>
    <w:rsid w:val="002A4503"/>
    <w:rsid w:val="002A5A12"/>
    <w:rsid w:val="002A5E2C"/>
    <w:rsid w:val="002A6017"/>
    <w:rsid w:val="002A6738"/>
    <w:rsid w:val="002A675D"/>
    <w:rsid w:val="002A6F0F"/>
    <w:rsid w:val="002A72C1"/>
    <w:rsid w:val="002A7506"/>
    <w:rsid w:val="002A78B9"/>
    <w:rsid w:val="002A7EAB"/>
    <w:rsid w:val="002A7F19"/>
    <w:rsid w:val="002B05B8"/>
    <w:rsid w:val="002B288C"/>
    <w:rsid w:val="002B3128"/>
    <w:rsid w:val="002B339F"/>
    <w:rsid w:val="002B37E5"/>
    <w:rsid w:val="002B456B"/>
    <w:rsid w:val="002B4941"/>
    <w:rsid w:val="002B4B00"/>
    <w:rsid w:val="002B4E1C"/>
    <w:rsid w:val="002B4FDB"/>
    <w:rsid w:val="002B50E4"/>
    <w:rsid w:val="002B53B6"/>
    <w:rsid w:val="002B5709"/>
    <w:rsid w:val="002B5D74"/>
    <w:rsid w:val="002B60AC"/>
    <w:rsid w:val="002B627F"/>
    <w:rsid w:val="002B6659"/>
    <w:rsid w:val="002B67CA"/>
    <w:rsid w:val="002B6817"/>
    <w:rsid w:val="002B7712"/>
    <w:rsid w:val="002B7ADB"/>
    <w:rsid w:val="002B7FAF"/>
    <w:rsid w:val="002C0086"/>
    <w:rsid w:val="002C00F5"/>
    <w:rsid w:val="002C0110"/>
    <w:rsid w:val="002C0198"/>
    <w:rsid w:val="002C0522"/>
    <w:rsid w:val="002C071E"/>
    <w:rsid w:val="002C091C"/>
    <w:rsid w:val="002C0B57"/>
    <w:rsid w:val="002C1478"/>
    <w:rsid w:val="002C1543"/>
    <w:rsid w:val="002C17C7"/>
    <w:rsid w:val="002C1D2F"/>
    <w:rsid w:val="002C2247"/>
    <w:rsid w:val="002C258E"/>
    <w:rsid w:val="002C31D5"/>
    <w:rsid w:val="002C349E"/>
    <w:rsid w:val="002C481D"/>
    <w:rsid w:val="002C4F7C"/>
    <w:rsid w:val="002C5B4F"/>
    <w:rsid w:val="002C6108"/>
    <w:rsid w:val="002C64EF"/>
    <w:rsid w:val="002C719E"/>
    <w:rsid w:val="002C7278"/>
    <w:rsid w:val="002C763A"/>
    <w:rsid w:val="002C77A7"/>
    <w:rsid w:val="002C7C13"/>
    <w:rsid w:val="002D0EF2"/>
    <w:rsid w:val="002D1242"/>
    <w:rsid w:val="002D1E5D"/>
    <w:rsid w:val="002D1FED"/>
    <w:rsid w:val="002D23E6"/>
    <w:rsid w:val="002D24AC"/>
    <w:rsid w:val="002D2FCA"/>
    <w:rsid w:val="002D37CF"/>
    <w:rsid w:val="002D403D"/>
    <w:rsid w:val="002D537F"/>
    <w:rsid w:val="002D5600"/>
    <w:rsid w:val="002D5B5A"/>
    <w:rsid w:val="002D60B1"/>
    <w:rsid w:val="002D6B4A"/>
    <w:rsid w:val="002D6F81"/>
    <w:rsid w:val="002D76C2"/>
    <w:rsid w:val="002D7823"/>
    <w:rsid w:val="002D78AB"/>
    <w:rsid w:val="002E0DF6"/>
    <w:rsid w:val="002E18F9"/>
    <w:rsid w:val="002E1B01"/>
    <w:rsid w:val="002E252F"/>
    <w:rsid w:val="002E29D3"/>
    <w:rsid w:val="002E29D6"/>
    <w:rsid w:val="002E2D28"/>
    <w:rsid w:val="002E345E"/>
    <w:rsid w:val="002E389F"/>
    <w:rsid w:val="002E4293"/>
    <w:rsid w:val="002E44A7"/>
    <w:rsid w:val="002E46ED"/>
    <w:rsid w:val="002E4BD8"/>
    <w:rsid w:val="002E4C2D"/>
    <w:rsid w:val="002E5285"/>
    <w:rsid w:val="002E5703"/>
    <w:rsid w:val="002E5774"/>
    <w:rsid w:val="002E5DEA"/>
    <w:rsid w:val="002E5FCD"/>
    <w:rsid w:val="002E724A"/>
    <w:rsid w:val="002E756E"/>
    <w:rsid w:val="002E7957"/>
    <w:rsid w:val="002F04F9"/>
    <w:rsid w:val="002F078A"/>
    <w:rsid w:val="002F11B6"/>
    <w:rsid w:val="002F11CC"/>
    <w:rsid w:val="002F1390"/>
    <w:rsid w:val="002F1C8F"/>
    <w:rsid w:val="002F1F18"/>
    <w:rsid w:val="002F26E6"/>
    <w:rsid w:val="002F27EB"/>
    <w:rsid w:val="002F2CD1"/>
    <w:rsid w:val="002F2F24"/>
    <w:rsid w:val="002F2F7A"/>
    <w:rsid w:val="002F311E"/>
    <w:rsid w:val="002F313A"/>
    <w:rsid w:val="002F345B"/>
    <w:rsid w:val="002F3E3E"/>
    <w:rsid w:val="002F4204"/>
    <w:rsid w:val="002F42C3"/>
    <w:rsid w:val="002F44BC"/>
    <w:rsid w:val="002F4515"/>
    <w:rsid w:val="002F47FA"/>
    <w:rsid w:val="002F4831"/>
    <w:rsid w:val="002F5F83"/>
    <w:rsid w:val="002F5FEC"/>
    <w:rsid w:val="002F6BBD"/>
    <w:rsid w:val="002F71B8"/>
    <w:rsid w:val="002F71F4"/>
    <w:rsid w:val="002F7C8B"/>
    <w:rsid w:val="003001A2"/>
    <w:rsid w:val="00300687"/>
    <w:rsid w:val="00300718"/>
    <w:rsid w:val="00300989"/>
    <w:rsid w:val="00301519"/>
    <w:rsid w:val="003018C8"/>
    <w:rsid w:val="00301EA1"/>
    <w:rsid w:val="00301F26"/>
    <w:rsid w:val="003020EF"/>
    <w:rsid w:val="00302157"/>
    <w:rsid w:val="003027FF"/>
    <w:rsid w:val="00302CC1"/>
    <w:rsid w:val="00302FCC"/>
    <w:rsid w:val="003030E3"/>
    <w:rsid w:val="0030359A"/>
    <w:rsid w:val="00303DB4"/>
    <w:rsid w:val="00303F0E"/>
    <w:rsid w:val="00303F4C"/>
    <w:rsid w:val="003061D9"/>
    <w:rsid w:val="003062AE"/>
    <w:rsid w:val="00306E02"/>
    <w:rsid w:val="003070E2"/>
    <w:rsid w:val="00307E4B"/>
    <w:rsid w:val="0031033B"/>
    <w:rsid w:val="00310894"/>
    <w:rsid w:val="00310C9B"/>
    <w:rsid w:val="00310E37"/>
    <w:rsid w:val="0031179F"/>
    <w:rsid w:val="003128BF"/>
    <w:rsid w:val="00312FE2"/>
    <w:rsid w:val="00313490"/>
    <w:rsid w:val="00313D2C"/>
    <w:rsid w:val="00313E3A"/>
    <w:rsid w:val="0031480D"/>
    <w:rsid w:val="00314BFC"/>
    <w:rsid w:val="00315101"/>
    <w:rsid w:val="003151E8"/>
    <w:rsid w:val="0031546C"/>
    <w:rsid w:val="00315514"/>
    <w:rsid w:val="00315910"/>
    <w:rsid w:val="003162EB"/>
    <w:rsid w:val="00316FEA"/>
    <w:rsid w:val="00317325"/>
    <w:rsid w:val="00317E18"/>
    <w:rsid w:val="003202C7"/>
    <w:rsid w:val="003205FE"/>
    <w:rsid w:val="003208AE"/>
    <w:rsid w:val="00320BFC"/>
    <w:rsid w:val="00320CB2"/>
    <w:rsid w:val="00320E0A"/>
    <w:rsid w:val="00321172"/>
    <w:rsid w:val="00321184"/>
    <w:rsid w:val="00321224"/>
    <w:rsid w:val="003219DB"/>
    <w:rsid w:val="00321A20"/>
    <w:rsid w:val="00322451"/>
    <w:rsid w:val="00322797"/>
    <w:rsid w:val="003234F0"/>
    <w:rsid w:val="00323532"/>
    <w:rsid w:val="00323CDD"/>
    <w:rsid w:val="00324141"/>
    <w:rsid w:val="00324B79"/>
    <w:rsid w:val="00324E9F"/>
    <w:rsid w:val="0032518C"/>
    <w:rsid w:val="00325C5C"/>
    <w:rsid w:val="00325C7D"/>
    <w:rsid w:val="00326F31"/>
    <w:rsid w:val="0032754A"/>
    <w:rsid w:val="003277C3"/>
    <w:rsid w:val="003300F5"/>
    <w:rsid w:val="0033064A"/>
    <w:rsid w:val="00330D8B"/>
    <w:rsid w:val="0033137E"/>
    <w:rsid w:val="00331A16"/>
    <w:rsid w:val="0033246D"/>
    <w:rsid w:val="00332846"/>
    <w:rsid w:val="0033289D"/>
    <w:rsid w:val="00332C34"/>
    <w:rsid w:val="0033300A"/>
    <w:rsid w:val="003332CE"/>
    <w:rsid w:val="00333C84"/>
    <w:rsid w:val="00333D60"/>
    <w:rsid w:val="003347A2"/>
    <w:rsid w:val="00334853"/>
    <w:rsid w:val="0033491A"/>
    <w:rsid w:val="00334ACF"/>
    <w:rsid w:val="00334BAD"/>
    <w:rsid w:val="00334D6A"/>
    <w:rsid w:val="00334E85"/>
    <w:rsid w:val="003356A6"/>
    <w:rsid w:val="00335BDE"/>
    <w:rsid w:val="00335E68"/>
    <w:rsid w:val="003361BA"/>
    <w:rsid w:val="0033648A"/>
    <w:rsid w:val="003364D9"/>
    <w:rsid w:val="00336E9E"/>
    <w:rsid w:val="0033756B"/>
    <w:rsid w:val="0033787D"/>
    <w:rsid w:val="00340EFE"/>
    <w:rsid w:val="00341178"/>
    <w:rsid w:val="003413C6"/>
    <w:rsid w:val="003415D4"/>
    <w:rsid w:val="00341994"/>
    <w:rsid w:val="00341A14"/>
    <w:rsid w:val="00341FB7"/>
    <w:rsid w:val="00342116"/>
    <w:rsid w:val="00342737"/>
    <w:rsid w:val="003428FA"/>
    <w:rsid w:val="003429D1"/>
    <w:rsid w:val="00342A29"/>
    <w:rsid w:val="00342C1F"/>
    <w:rsid w:val="0034321C"/>
    <w:rsid w:val="00343248"/>
    <w:rsid w:val="00343C2D"/>
    <w:rsid w:val="00344279"/>
    <w:rsid w:val="00344875"/>
    <w:rsid w:val="00344B08"/>
    <w:rsid w:val="003458E3"/>
    <w:rsid w:val="00345A52"/>
    <w:rsid w:val="00345D42"/>
    <w:rsid w:val="00345E01"/>
    <w:rsid w:val="003462B8"/>
    <w:rsid w:val="0034790D"/>
    <w:rsid w:val="00347C00"/>
    <w:rsid w:val="0035045D"/>
    <w:rsid w:val="00351381"/>
    <w:rsid w:val="003514C9"/>
    <w:rsid w:val="00351C5B"/>
    <w:rsid w:val="003524A8"/>
    <w:rsid w:val="00352C61"/>
    <w:rsid w:val="00352FB5"/>
    <w:rsid w:val="00352FC2"/>
    <w:rsid w:val="003530A6"/>
    <w:rsid w:val="003530BA"/>
    <w:rsid w:val="00353627"/>
    <w:rsid w:val="003539BF"/>
    <w:rsid w:val="0035424F"/>
    <w:rsid w:val="00355773"/>
    <w:rsid w:val="0035584A"/>
    <w:rsid w:val="00355E1F"/>
    <w:rsid w:val="00355F72"/>
    <w:rsid w:val="003560A6"/>
    <w:rsid w:val="00356263"/>
    <w:rsid w:val="00356314"/>
    <w:rsid w:val="00356462"/>
    <w:rsid w:val="0035660A"/>
    <w:rsid w:val="003567AD"/>
    <w:rsid w:val="00356B14"/>
    <w:rsid w:val="00356E1D"/>
    <w:rsid w:val="003571BB"/>
    <w:rsid w:val="00357657"/>
    <w:rsid w:val="00357A34"/>
    <w:rsid w:val="00357E32"/>
    <w:rsid w:val="00360293"/>
    <w:rsid w:val="003608DB"/>
    <w:rsid w:val="0036142A"/>
    <w:rsid w:val="00361D54"/>
    <w:rsid w:val="00361E4F"/>
    <w:rsid w:val="00361EA8"/>
    <w:rsid w:val="003620EB"/>
    <w:rsid w:val="0036300D"/>
    <w:rsid w:val="00363487"/>
    <w:rsid w:val="00363727"/>
    <w:rsid w:val="003639A6"/>
    <w:rsid w:val="00364072"/>
    <w:rsid w:val="0036425A"/>
    <w:rsid w:val="003645D5"/>
    <w:rsid w:val="00364639"/>
    <w:rsid w:val="00364744"/>
    <w:rsid w:val="00364A22"/>
    <w:rsid w:val="00365400"/>
    <w:rsid w:val="0036548F"/>
    <w:rsid w:val="00365520"/>
    <w:rsid w:val="00366755"/>
    <w:rsid w:val="003674A0"/>
    <w:rsid w:val="003677E8"/>
    <w:rsid w:val="003679AE"/>
    <w:rsid w:val="00367B3C"/>
    <w:rsid w:val="00367F4C"/>
    <w:rsid w:val="00370688"/>
    <w:rsid w:val="00370B35"/>
    <w:rsid w:val="00371287"/>
    <w:rsid w:val="003714BA"/>
    <w:rsid w:val="003721D6"/>
    <w:rsid w:val="00372803"/>
    <w:rsid w:val="00372AD2"/>
    <w:rsid w:val="00372C2D"/>
    <w:rsid w:val="00372E72"/>
    <w:rsid w:val="00373028"/>
    <w:rsid w:val="0037425F"/>
    <w:rsid w:val="003747ED"/>
    <w:rsid w:val="00374870"/>
    <w:rsid w:val="00376372"/>
    <w:rsid w:val="00377355"/>
    <w:rsid w:val="003774E7"/>
    <w:rsid w:val="0037753D"/>
    <w:rsid w:val="003779A4"/>
    <w:rsid w:val="00377BB1"/>
    <w:rsid w:val="00377F14"/>
    <w:rsid w:val="00380226"/>
    <w:rsid w:val="003802AE"/>
    <w:rsid w:val="00380474"/>
    <w:rsid w:val="003807C7"/>
    <w:rsid w:val="00380C57"/>
    <w:rsid w:val="00380F0E"/>
    <w:rsid w:val="00381130"/>
    <w:rsid w:val="00381C37"/>
    <w:rsid w:val="00381EFE"/>
    <w:rsid w:val="0038281C"/>
    <w:rsid w:val="003833EC"/>
    <w:rsid w:val="003838D0"/>
    <w:rsid w:val="00383A2F"/>
    <w:rsid w:val="00383E9A"/>
    <w:rsid w:val="003847EC"/>
    <w:rsid w:val="0038516B"/>
    <w:rsid w:val="003857B3"/>
    <w:rsid w:val="00385A64"/>
    <w:rsid w:val="003862B9"/>
    <w:rsid w:val="00386D1A"/>
    <w:rsid w:val="00386E2E"/>
    <w:rsid w:val="00387103"/>
    <w:rsid w:val="0038719A"/>
    <w:rsid w:val="0038735E"/>
    <w:rsid w:val="00387D74"/>
    <w:rsid w:val="003901BE"/>
    <w:rsid w:val="0039045D"/>
    <w:rsid w:val="003907FC"/>
    <w:rsid w:val="00390915"/>
    <w:rsid w:val="00390C7F"/>
    <w:rsid w:val="00391479"/>
    <w:rsid w:val="00391509"/>
    <w:rsid w:val="0039157B"/>
    <w:rsid w:val="00391744"/>
    <w:rsid w:val="0039182E"/>
    <w:rsid w:val="00392915"/>
    <w:rsid w:val="003929FE"/>
    <w:rsid w:val="00392D53"/>
    <w:rsid w:val="0039337B"/>
    <w:rsid w:val="003933A0"/>
    <w:rsid w:val="0039342B"/>
    <w:rsid w:val="00393683"/>
    <w:rsid w:val="00393AB7"/>
    <w:rsid w:val="00394227"/>
    <w:rsid w:val="00394C83"/>
    <w:rsid w:val="00394EAD"/>
    <w:rsid w:val="003952F1"/>
    <w:rsid w:val="00395913"/>
    <w:rsid w:val="00395E9C"/>
    <w:rsid w:val="00396339"/>
    <w:rsid w:val="00396E8E"/>
    <w:rsid w:val="00396F09"/>
    <w:rsid w:val="00397170"/>
    <w:rsid w:val="00397CB6"/>
    <w:rsid w:val="00397EC5"/>
    <w:rsid w:val="003A0168"/>
    <w:rsid w:val="003A04B8"/>
    <w:rsid w:val="003A096A"/>
    <w:rsid w:val="003A110A"/>
    <w:rsid w:val="003A1783"/>
    <w:rsid w:val="003A1E2B"/>
    <w:rsid w:val="003A285F"/>
    <w:rsid w:val="003A2F41"/>
    <w:rsid w:val="003A3391"/>
    <w:rsid w:val="003A3433"/>
    <w:rsid w:val="003A343A"/>
    <w:rsid w:val="003A3B9B"/>
    <w:rsid w:val="003A42FF"/>
    <w:rsid w:val="003A445F"/>
    <w:rsid w:val="003A4A2B"/>
    <w:rsid w:val="003A4F28"/>
    <w:rsid w:val="003A537E"/>
    <w:rsid w:val="003A53BA"/>
    <w:rsid w:val="003A660F"/>
    <w:rsid w:val="003A6841"/>
    <w:rsid w:val="003A693E"/>
    <w:rsid w:val="003A6BF0"/>
    <w:rsid w:val="003A6C94"/>
    <w:rsid w:val="003A6EC7"/>
    <w:rsid w:val="003A73A4"/>
    <w:rsid w:val="003A7508"/>
    <w:rsid w:val="003A7595"/>
    <w:rsid w:val="003A79A4"/>
    <w:rsid w:val="003B08FD"/>
    <w:rsid w:val="003B095E"/>
    <w:rsid w:val="003B115C"/>
    <w:rsid w:val="003B1D16"/>
    <w:rsid w:val="003B1DC0"/>
    <w:rsid w:val="003B247C"/>
    <w:rsid w:val="003B27B7"/>
    <w:rsid w:val="003B3C35"/>
    <w:rsid w:val="003B41AF"/>
    <w:rsid w:val="003B42F4"/>
    <w:rsid w:val="003B4BFD"/>
    <w:rsid w:val="003B5B85"/>
    <w:rsid w:val="003B5F3C"/>
    <w:rsid w:val="003B6069"/>
    <w:rsid w:val="003B66F3"/>
    <w:rsid w:val="003B6906"/>
    <w:rsid w:val="003B7303"/>
    <w:rsid w:val="003B7656"/>
    <w:rsid w:val="003B772F"/>
    <w:rsid w:val="003B7D76"/>
    <w:rsid w:val="003C0127"/>
    <w:rsid w:val="003C055D"/>
    <w:rsid w:val="003C05D3"/>
    <w:rsid w:val="003C0EAF"/>
    <w:rsid w:val="003C1945"/>
    <w:rsid w:val="003C1A9F"/>
    <w:rsid w:val="003C1B69"/>
    <w:rsid w:val="003C2796"/>
    <w:rsid w:val="003C2818"/>
    <w:rsid w:val="003C2902"/>
    <w:rsid w:val="003C2E33"/>
    <w:rsid w:val="003C3803"/>
    <w:rsid w:val="003C3EED"/>
    <w:rsid w:val="003C44EE"/>
    <w:rsid w:val="003C45D9"/>
    <w:rsid w:val="003C549A"/>
    <w:rsid w:val="003C54D2"/>
    <w:rsid w:val="003C5792"/>
    <w:rsid w:val="003C5CE8"/>
    <w:rsid w:val="003C5D46"/>
    <w:rsid w:val="003C6A73"/>
    <w:rsid w:val="003C6DBE"/>
    <w:rsid w:val="003C777E"/>
    <w:rsid w:val="003C7E8B"/>
    <w:rsid w:val="003D11A9"/>
    <w:rsid w:val="003D1451"/>
    <w:rsid w:val="003D1796"/>
    <w:rsid w:val="003D1B0F"/>
    <w:rsid w:val="003D1C58"/>
    <w:rsid w:val="003D1DCA"/>
    <w:rsid w:val="003D1FB3"/>
    <w:rsid w:val="003D211B"/>
    <w:rsid w:val="003D2212"/>
    <w:rsid w:val="003D25B3"/>
    <w:rsid w:val="003D2635"/>
    <w:rsid w:val="003D29EB"/>
    <w:rsid w:val="003D2A37"/>
    <w:rsid w:val="003D2BF6"/>
    <w:rsid w:val="003D3334"/>
    <w:rsid w:val="003D3C3E"/>
    <w:rsid w:val="003D3E21"/>
    <w:rsid w:val="003D3E6A"/>
    <w:rsid w:val="003D3EFE"/>
    <w:rsid w:val="003D3F4C"/>
    <w:rsid w:val="003D422A"/>
    <w:rsid w:val="003D453B"/>
    <w:rsid w:val="003D5658"/>
    <w:rsid w:val="003D57E4"/>
    <w:rsid w:val="003D5C14"/>
    <w:rsid w:val="003D6133"/>
    <w:rsid w:val="003D6235"/>
    <w:rsid w:val="003D6538"/>
    <w:rsid w:val="003D66BE"/>
    <w:rsid w:val="003D69EF"/>
    <w:rsid w:val="003D6B07"/>
    <w:rsid w:val="003D6C84"/>
    <w:rsid w:val="003D71B1"/>
    <w:rsid w:val="003D7A32"/>
    <w:rsid w:val="003D7CD0"/>
    <w:rsid w:val="003E0522"/>
    <w:rsid w:val="003E0934"/>
    <w:rsid w:val="003E0E4D"/>
    <w:rsid w:val="003E0EDB"/>
    <w:rsid w:val="003E1AA6"/>
    <w:rsid w:val="003E1DB4"/>
    <w:rsid w:val="003E2166"/>
    <w:rsid w:val="003E24C6"/>
    <w:rsid w:val="003E3291"/>
    <w:rsid w:val="003E3B7D"/>
    <w:rsid w:val="003E5455"/>
    <w:rsid w:val="003E561B"/>
    <w:rsid w:val="003E58CE"/>
    <w:rsid w:val="003E5C8D"/>
    <w:rsid w:val="003E5F7E"/>
    <w:rsid w:val="003E6196"/>
    <w:rsid w:val="003E6475"/>
    <w:rsid w:val="003E6F63"/>
    <w:rsid w:val="003E7020"/>
    <w:rsid w:val="003E718B"/>
    <w:rsid w:val="003E749D"/>
    <w:rsid w:val="003E7689"/>
    <w:rsid w:val="003F0423"/>
    <w:rsid w:val="003F08F3"/>
    <w:rsid w:val="003F105A"/>
    <w:rsid w:val="003F1CA0"/>
    <w:rsid w:val="003F1F11"/>
    <w:rsid w:val="003F2000"/>
    <w:rsid w:val="003F288C"/>
    <w:rsid w:val="003F2CC6"/>
    <w:rsid w:val="003F2F6D"/>
    <w:rsid w:val="003F4959"/>
    <w:rsid w:val="003F4FBA"/>
    <w:rsid w:val="003F53CE"/>
    <w:rsid w:val="003F57E6"/>
    <w:rsid w:val="003F6132"/>
    <w:rsid w:val="003F6199"/>
    <w:rsid w:val="003F63D9"/>
    <w:rsid w:val="003F6620"/>
    <w:rsid w:val="003F6B5D"/>
    <w:rsid w:val="003F7010"/>
    <w:rsid w:val="003F7845"/>
    <w:rsid w:val="004001AF"/>
    <w:rsid w:val="0040093F"/>
    <w:rsid w:val="00401209"/>
    <w:rsid w:val="00401482"/>
    <w:rsid w:val="00401BBB"/>
    <w:rsid w:val="00401E77"/>
    <w:rsid w:val="00401F14"/>
    <w:rsid w:val="00402368"/>
    <w:rsid w:val="00402559"/>
    <w:rsid w:val="00402CFB"/>
    <w:rsid w:val="004033BF"/>
    <w:rsid w:val="004036B5"/>
    <w:rsid w:val="00403C05"/>
    <w:rsid w:val="00403F0A"/>
    <w:rsid w:val="00404428"/>
    <w:rsid w:val="004044F2"/>
    <w:rsid w:val="00404978"/>
    <w:rsid w:val="00404B7C"/>
    <w:rsid w:val="00404C3E"/>
    <w:rsid w:val="00405688"/>
    <w:rsid w:val="00405813"/>
    <w:rsid w:val="0040607B"/>
    <w:rsid w:val="004067E0"/>
    <w:rsid w:val="00406C6B"/>
    <w:rsid w:val="004073DC"/>
    <w:rsid w:val="00407FAB"/>
    <w:rsid w:val="00410C3B"/>
    <w:rsid w:val="004112C2"/>
    <w:rsid w:val="00411D0E"/>
    <w:rsid w:val="00411F2D"/>
    <w:rsid w:val="00412E1C"/>
    <w:rsid w:val="00413412"/>
    <w:rsid w:val="00413B25"/>
    <w:rsid w:val="00413FE6"/>
    <w:rsid w:val="00414123"/>
    <w:rsid w:val="00414445"/>
    <w:rsid w:val="00414755"/>
    <w:rsid w:val="0041498A"/>
    <w:rsid w:val="00414BCC"/>
    <w:rsid w:val="00414FDC"/>
    <w:rsid w:val="0041510C"/>
    <w:rsid w:val="004160E0"/>
    <w:rsid w:val="004162E5"/>
    <w:rsid w:val="00416479"/>
    <w:rsid w:val="0041685C"/>
    <w:rsid w:val="00416AC6"/>
    <w:rsid w:val="00417B0D"/>
    <w:rsid w:val="00417D5B"/>
    <w:rsid w:val="0042003D"/>
    <w:rsid w:val="00420540"/>
    <w:rsid w:val="0042059E"/>
    <w:rsid w:val="00420DBD"/>
    <w:rsid w:val="00421450"/>
    <w:rsid w:val="00421E6B"/>
    <w:rsid w:val="00421FBB"/>
    <w:rsid w:val="00422E9E"/>
    <w:rsid w:val="00422F23"/>
    <w:rsid w:val="00423263"/>
    <w:rsid w:val="00423BB5"/>
    <w:rsid w:val="00423F3A"/>
    <w:rsid w:val="0042482D"/>
    <w:rsid w:val="0042486F"/>
    <w:rsid w:val="00425029"/>
    <w:rsid w:val="00425080"/>
    <w:rsid w:val="004257FF"/>
    <w:rsid w:val="00425BD4"/>
    <w:rsid w:val="00425C01"/>
    <w:rsid w:val="00426090"/>
    <w:rsid w:val="0042630A"/>
    <w:rsid w:val="00426C29"/>
    <w:rsid w:val="00426CD0"/>
    <w:rsid w:val="00426CF2"/>
    <w:rsid w:val="004273AD"/>
    <w:rsid w:val="00427E55"/>
    <w:rsid w:val="0043056A"/>
    <w:rsid w:val="0043095B"/>
    <w:rsid w:val="004309D3"/>
    <w:rsid w:val="0043110E"/>
    <w:rsid w:val="004316E9"/>
    <w:rsid w:val="00431D19"/>
    <w:rsid w:val="00431E70"/>
    <w:rsid w:val="00432288"/>
    <w:rsid w:val="00432CD2"/>
    <w:rsid w:val="00433228"/>
    <w:rsid w:val="004339B0"/>
    <w:rsid w:val="004351E1"/>
    <w:rsid w:val="00435C76"/>
    <w:rsid w:val="004360C1"/>
    <w:rsid w:val="00436BF0"/>
    <w:rsid w:val="00436C41"/>
    <w:rsid w:val="00436C44"/>
    <w:rsid w:val="004370EC"/>
    <w:rsid w:val="00437380"/>
    <w:rsid w:val="00437BB5"/>
    <w:rsid w:val="00440F39"/>
    <w:rsid w:val="00441342"/>
    <w:rsid w:val="00441354"/>
    <w:rsid w:val="00441578"/>
    <w:rsid w:val="00441962"/>
    <w:rsid w:val="00441F28"/>
    <w:rsid w:val="00442E57"/>
    <w:rsid w:val="00443050"/>
    <w:rsid w:val="00444232"/>
    <w:rsid w:val="004442E9"/>
    <w:rsid w:val="00444883"/>
    <w:rsid w:val="00444A4A"/>
    <w:rsid w:val="004457F4"/>
    <w:rsid w:val="00445910"/>
    <w:rsid w:val="00446449"/>
    <w:rsid w:val="00446551"/>
    <w:rsid w:val="00446D79"/>
    <w:rsid w:val="00446F7C"/>
    <w:rsid w:val="00447197"/>
    <w:rsid w:val="00447E24"/>
    <w:rsid w:val="0045007A"/>
    <w:rsid w:val="004504BA"/>
    <w:rsid w:val="004506C1"/>
    <w:rsid w:val="004507EA"/>
    <w:rsid w:val="00452644"/>
    <w:rsid w:val="00452690"/>
    <w:rsid w:val="00452901"/>
    <w:rsid w:val="00452AAF"/>
    <w:rsid w:val="00452B79"/>
    <w:rsid w:val="0045389C"/>
    <w:rsid w:val="00453BAE"/>
    <w:rsid w:val="00453D59"/>
    <w:rsid w:val="004540BC"/>
    <w:rsid w:val="004540C9"/>
    <w:rsid w:val="0045424D"/>
    <w:rsid w:val="004544BC"/>
    <w:rsid w:val="004548E9"/>
    <w:rsid w:val="00454945"/>
    <w:rsid w:val="00454F56"/>
    <w:rsid w:val="00455E12"/>
    <w:rsid w:val="00455FCC"/>
    <w:rsid w:val="00456128"/>
    <w:rsid w:val="0045618A"/>
    <w:rsid w:val="00456242"/>
    <w:rsid w:val="004563F7"/>
    <w:rsid w:val="00456513"/>
    <w:rsid w:val="0045682C"/>
    <w:rsid w:val="00456BBE"/>
    <w:rsid w:val="004578DC"/>
    <w:rsid w:val="00457D46"/>
    <w:rsid w:val="0046009B"/>
    <w:rsid w:val="0046047C"/>
    <w:rsid w:val="00460B6A"/>
    <w:rsid w:val="00460DDB"/>
    <w:rsid w:val="00460F5C"/>
    <w:rsid w:val="004619BB"/>
    <w:rsid w:val="00461E57"/>
    <w:rsid w:val="004622ED"/>
    <w:rsid w:val="00462709"/>
    <w:rsid w:val="004629C3"/>
    <w:rsid w:val="00464452"/>
    <w:rsid w:val="004647AB"/>
    <w:rsid w:val="00464E63"/>
    <w:rsid w:val="004654A0"/>
    <w:rsid w:val="00465AB7"/>
    <w:rsid w:val="00465D3F"/>
    <w:rsid w:val="0046600B"/>
    <w:rsid w:val="0046621E"/>
    <w:rsid w:val="00467206"/>
    <w:rsid w:val="00470AB3"/>
    <w:rsid w:val="00470B49"/>
    <w:rsid w:val="004718B4"/>
    <w:rsid w:val="0047194A"/>
    <w:rsid w:val="00471CD5"/>
    <w:rsid w:val="0047204B"/>
    <w:rsid w:val="0047265A"/>
    <w:rsid w:val="00472B34"/>
    <w:rsid w:val="00472D4D"/>
    <w:rsid w:val="00473128"/>
    <w:rsid w:val="00473A41"/>
    <w:rsid w:val="00473E32"/>
    <w:rsid w:val="00474D77"/>
    <w:rsid w:val="00475C72"/>
    <w:rsid w:val="004761AE"/>
    <w:rsid w:val="004763DE"/>
    <w:rsid w:val="004766FD"/>
    <w:rsid w:val="004773BC"/>
    <w:rsid w:val="004773D7"/>
    <w:rsid w:val="004775DF"/>
    <w:rsid w:val="004777EE"/>
    <w:rsid w:val="0048067E"/>
    <w:rsid w:val="00480B31"/>
    <w:rsid w:val="00480DC9"/>
    <w:rsid w:val="00481067"/>
    <w:rsid w:val="004814DD"/>
    <w:rsid w:val="00481549"/>
    <w:rsid w:val="004817E4"/>
    <w:rsid w:val="0048211F"/>
    <w:rsid w:val="004821B6"/>
    <w:rsid w:val="00482716"/>
    <w:rsid w:val="0048386D"/>
    <w:rsid w:val="00483F83"/>
    <w:rsid w:val="00483F93"/>
    <w:rsid w:val="004844FF"/>
    <w:rsid w:val="00484664"/>
    <w:rsid w:val="0048478C"/>
    <w:rsid w:val="00484B32"/>
    <w:rsid w:val="00485262"/>
    <w:rsid w:val="00485413"/>
    <w:rsid w:val="00485890"/>
    <w:rsid w:val="00485A2E"/>
    <w:rsid w:val="00485A41"/>
    <w:rsid w:val="00486308"/>
    <w:rsid w:val="0048696F"/>
    <w:rsid w:val="0048761C"/>
    <w:rsid w:val="00487661"/>
    <w:rsid w:val="00487728"/>
    <w:rsid w:val="004904EF"/>
    <w:rsid w:val="0049077C"/>
    <w:rsid w:val="004907D9"/>
    <w:rsid w:val="004908B7"/>
    <w:rsid w:val="004909E6"/>
    <w:rsid w:val="00490A71"/>
    <w:rsid w:val="00491393"/>
    <w:rsid w:val="004915E9"/>
    <w:rsid w:val="00491893"/>
    <w:rsid w:val="004919DD"/>
    <w:rsid w:val="00492DB3"/>
    <w:rsid w:val="004935EF"/>
    <w:rsid w:val="0049382E"/>
    <w:rsid w:val="004939BA"/>
    <w:rsid w:val="004942FA"/>
    <w:rsid w:val="004943A5"/>
    <w:rsid w:val="0049467A"/>
    <w:rsid w:val="004948F6"/>
    <w:rsid w:val="00494CD1"/>
    <w:rsid w:val="00494F7C"/>
    <w:rsid w:val="0049543A"/>
    <w:rsid w:val="00495E9D"/>
    <w:rsid w:val="004960B4"/>
    <w:rsid w:val="00496124"/>
    <w:rsid w:val="004964A5"/>
    <w:rsid w:val="00496965"/>
    <w:rsid w:val="00496985"/>
    <w:rsid w:val="00496F7D"/>
    <w:rsid w:val="004A0C6D"/>
    <w:rsid w:val="004A0F76"/>
    <w:rsid w:val="004A1A60"/>
    <w:rsid w:val="004A1EB8"/>
    <w:rsid w:val="004A1ED4"/>
    <w:rsid w:val="004A235D"/>
    <w:rsid w:val="004A25D6"/>
    <w:rsid w:val="004A25EF"/>
    <w:rsid w:val="004A28D8"/>
    <w:rsid w:val="004A2934"/>
    <w:rsid w:val="004A2CE3"/>
    <w:rsid w:val="004A2DF5"/>
    <w:rsid w:val="004A3446"/>
    <w:rsid w:val="004A37E4"/>
    <w:rsid w:val="004A393A"/>
    <w:rsid w:val="004A3B92"/>
    <w:rsid w:val="004A49CC"/>
    <w:rsid w:val="004A4EAC"/>
    <w:rsid w:val="004A4EF3"/>
    <w:rsid w:val="004A5746"/>
    <w:rsid w:val="004A5FBC"/>
    <w:rsid w:val="004A6291"/>
    <w:rsid w:val="004A650B"/>
    <w:rsid w:val="004A65C9"/>
    <w:rsid w:val="004A71AE"/>
    <w:rsid w:val="004B010F"/>
    <w:rsid w:val="004B0E6B"/>
    <w:rsid w:val="004B0F74"/>
    <w:rsid w:val="004B0FD3"/>
    <w:rsid w:val="004B1509"/>
    <w:rsid w:val="004B1787"/>
    <w:rsid w:val="004B19DA"/>
    <w:rsid w:val="004B1B41"/>
    <w:rsid w:val="004B26B1"/>
    <w:rsid w:val="004B284D"/>
    <w:rsid w:val="004B2F2C"/>
    <w:rsid w:val="004B3676"/>
    <w:rsid w:val="004B3A9D"/>
    <w:rsid w:val="004B3C00"/>
    <w:rsid w:val="004B407C"/>
    <w:rsid w:val="004B4112"/>
    <w:rsid w:val="004B42F0"/>
    <w:rsid w:val="004B46FB"/>
    <w:rsid w:val="004B4EBE"/>
    <w:rsid w:val="004B5150"/>
    <w:rsid w:val="004B545E"/>
    <w:rsid w:val="004B54C5"/>
    <w:rsid w:val="004B57B9"/>
    <w:rsid w:val="004B5AFF"/>
    <w:rsid w:val="004B5C3E"/>
    <w:rsid w:val="004B5EF7"/>
    <w:rsid w:val="004B6601"/>
    <w:rsid w:val="004B6D07"/>
    <w:rsid w:val="004B6D19"/>
    <w:rsid w:val="004B7D80"/>
    <w:rsid w:val="004B7D89"/>
    <w:rsid w:val="004C000E"/>
    <w:rsid w:val="004C0585"/>
    <w:rsid w:val="004C0777"/>
    <w:rsid w:val="004C0AB2"/>
    <w:rsid w:val="004C0BBE"/>
    <w:rsid w:val="004C0CC1"/>
    <w:rsid w:val="004C0DF5"/>
    <w:rsid w:val="004C1310"/>
    <w:rsid w:val="004C180E"/>
    <w:rsid w:val="004C184D"/>
    <w:rsid w:val="004C1C97"/>
    <w:rsid w:val="004C1D0C"/>
    <w:rsid w:val="004C2012"/>
    <w:rsid w:val="004C2FF3"/>
    <w:rsid w:val="004C37B3"/>
    <w:rsid w:val="004C3AF1"/>
    <w:rsid w:val="004C3B63"/>
    <w:rsid w:val="004C3D64"/>
    <w:rsid w:val="004C445C"/>
    <w:rsid w:val="004C49CA"/>
    <w:rsid w:val="004C559B"/>
    <w:rsid w:val="004C56E4"/>
    <w:rsid w:val="004C5DE9"/>
    <w:rsid w:val="004C5F62"/>
    <w:rsid w:val="004C5F8F"/>
    <w:rsid w:val="004C6990"/>
    <w:rsid w:val="004C79D1"/>
    <w:rsid w:val="004C7AEC"/>
    <w:rsid w:val="004C7E4B"/>
    <w:rsid w:val="004D0814"/>
    <w:rsid w:val="004D0ADA"/>
    <w:rsid w:val="004D0B7F"/>
    <w:rsid w:val="004D1006"/>
    <w:rsid w:val="004D13ED"/>
    <w:rsid w:val="004D21C1"/>
    <w:rsid w:val="004D2882"/>
    <w:rsid w:val="004D3959"/>
    <w:rsid w:val="004D45DF"/>
    <w:rsid w:val="004D535F"/>
    <w:rsid w:val="004D5466"/>
    <w:rsid w:val="004D634C"/>
    <w:rsid w:val="004D6A6F"/>
    <w:rsid w:val="004D6B59"/>
    <w:rsid w:val="004D7194"/>
    <w:rsid w:val="004D71CD"/>
    <w:rsid w:val="004D7D8D"/>
    <w:rsid w:val="004D7F30"/>
    <w:rsid w:val="004E0C0B"/>
    <w:rsid w:val="004E1707"/>
    <w:rsid w:val="004E2125"/>
    <w:rsid w:val="004E2828"/>
    <w:rsid w:val="004E296E"/>
    <w:rsid w:val="004E3399"/>
    <w:rsid w:val="004E346E"/>
    <w:rsid w:val="004E475E"/>
    <w:rsid w:val="004E4800"/>
    <w:rsid w:val="004E488B"/>
    <w:rsid w:val="004E5DAC"/>
    <w:rsid w:val="004E5E87"/>
    <w:rsid w:val="004E5F8F"/>
    <w:rsid w:val="004E6126"/>
    <w:rsid w:val="004E64F8"/>
    <w:rsid w:val="004E6CFF"/>
    <w:rsid w:val="004E6D75"/>
    <w:rsid w:val="004E7838"/>
    <w:rsid w:val="004E7AD4"/>
    <w:rsid w:val="004E7C94"/>
    <w:rsid w:val="004E7E2D"/>
    <w:rsid w:val="004F0684"/>
    <w:rsid w:val="004F1802"/>
    <w:rsid w:val="004F21B3"/>
    <w:rsid w:val="004F2248"/>
    <w:rsid w:val="004F2553"/>
    <w:rsid w:val="004F25DB"/>
    <w:rsid w:val="004F2608"/>
    <w:rsid w:val="004F2BF6"/>
    <w:rsid w:val="004F31EE"/>
    <w:rsid w:val="004F3688"/>
    <w:rsid w:val="004F3AAE"/>
    <w:rsid w:val="004F4253"/>
    <w:rsid w:val="004F43FF"/>
    <w:rsid w:val="004F4BDE"/>
    <w:rsid w:val="004F4C51"/>
    <w:rsid w:val="004F4D66"/>
    <w:rsid w:val="004F5673"/>
    <w:rsid w:val="004F5BCE"/>
    <w:rsid w:val="004F5C5C"/>
    <w:rsid w:val="004F658C"/>
    <w:rsid w:val="004F67E7"/>
    <w:rsid w:val="004F7C05"/>
    <w:rsid w:val="004F7CAC"/>
    <w:rsid w:val="00500405"/>
    <w:rsid w:val="00500C6A"/>
    <w:rsid w:val="00500CF2"/>
    <w:rsid w:val="00500F8E"/>
    <w:rsid w:val="00501299"/>
    <w:rsid w:val="005013C2"/>
    <w:rsid w:val="005015EE"/>
    <w:rsid w:val="0050175A"/>
    <w:rsid w:val="005018D7"/>
    <w:rsid w:val="00501FDD"/>
    <w:rsid w:val="00502229"/>
    <w:rsid w:val="00502757"/>
    <w:rsid w:val="005032C0"/>
    <w:rsid w:val="00503E77"/>
    <w:rsid w:val="005040D5"/>
    <w:rsid w:val="00504269"/>
    <w:rsid w:val="00504DA3"/>
    <w:rsid w:val="00504FCB"/>
    <w:rsid w:val="005058CC"/>
    <w:rsid w:val="005066EA"/>
    <w:rsid w:val="00507301"/>
    <w:rsid w:val="0050730B"/>
    <w:rsid w:val="0050764E"/>
    <w:rsid w:val="00507896"/>
    <w:rsid w:val="00507DB4"/>
    <w:rsid w:val="00510439"/>
    <w:rsid w:val="005104B0"/>
    <w:rsid w:val="00510F13"/>
    <w:rsid w:val="005112FE"/>
    <w:rsid w:val="00511320"/>
    <w:rsid w:val="005119C9"/>
    <w:rsid w:val="00511A21"/>
    <w:rsid w:val="00511A75"/>
    <w:rsid w:val="005125C7"/>
    <w:rsid w:val="0051310E"/>
    <w:rsid w:val="00513692"/>
    <w:rsid w:val="00513879"/>
    <w:rsid w:val="00513EA2"/>
    <w:rsid w:val="00513F28"/>
    <w:rsid w:val="005143F9"/>
    <w:rsid w:val="00514DA5"/>
    <w:rsid w:val="00514E56"/>
    <w:rsid w:val="00514EFF"/>
    <w:rsid w:val="00514FCA"/>
    <w:rsid w:val="00515C28"/>
    <w:rsid w:val="00515E62"/>
    <w:rsid w:val="0051603B"/>
    <w:rsid w:val="0051616D"/>
    <w:rsid w:val="005162B7"/>
    <w:rsid w:val="005164BC"/>
    <w:rsid w:val="00516566"/>
    <w:rsid w:val="00517078"/>
    <w:rsid w:val="00517B35"/>
    <w:rsid w:val="00520843"/>
    <w:rsid w:val="00520FB1"/>
    <w:rsid w:val="005214FF"/>
    <w:rsid w:val="005215E9"/>
    <w:rsid w:val="005218C3"/>
    <w:rsid w:val="005225CB"/>
    <w:rsid w:val="0052278B"/>
    <w:rsid w:val="00522975"/>
    <w:rsid w:val="005229C3"/>
    <w:rsid w:val="00523095"/>
    <w:rsid w:val="00523670"/>
    <w:rsid w:val="00523DD1"/>
    <w:rsid w:val="00524338"/>
    <w:rsid w:val="005243B7"/>
    <w:rsid w:val="00524C4A"/>
    <w:rsid w:val="00524D1B"/>
    <w:rsid w:val="00525318"/>
    <w:rsid w:val="005258BE"/>
    <w:rsid w:val="00526059"/>
    <w:rsid w:val="00526424"/>
    <w:rsid w:val="00526587"/>
    <w:rsid w:val="0052663C"/>
    <w:rsid w:val="00527456"/>
    <w:rsid w:val="0052758B"/>
    <w:rsid w:val="005305FA"/>
    <w:rsid w:val="00530C30"/>
    <w:rsid w:val="005318C9"/>
    <w:rsid w:val="0053193D"/>
    <w:rsid w:val="00531943"/>
    <w:rsid w:val="00531A8C"/>
    <w:rsid w:val="00531C11"/>
    <w:rsid w:val="0053211C"/>
    <w:rsid w:val="00532443"/>
    <w:rsid w:val="005329B6"/>
    <w:rsid w:val="00532B42"/>
    <w:rsid w:val="0053350B"/>
    <w:rsid w:val="00533832"/>
    <w:rsid w:val="00534158"/>
    <w:rsid w:val="005343D1"/>
    <w:rsid w:val="00534B13"/>
    <w:rsid w:val="00535331"/>
    <w:rsid w:val="005359DF"/>
    <w:rsid w:val="00535C74"/>
    <w:rsid w:val="005361AB"/>
    <w:rsid w:val="00536991"/>
    <w:rsid w:val="00536E7B"/>
    <w:rsid w:val="0053748A"/>
    <w:rsid w:val="00537CBC"/>
    <w:rsid w:val="00540141"/>
    <w:rsid w:val="005404B6"/>
    <w:rsid w:val="00540E33"/>
    <w:rsid w:val="0054131B"/>
    <w:rsid w:val="00541614"/>
    <w:rsid w:val="005416CF"/>
    <w:rsid w:val="00541883"/>
    <w:rsid w:val="00541D2B"/>
    <w:rsid w:val="00541D43"/>
    <w:rsid w:val="00542068"/>
    <w:rsid w:val="00542349"/>
    <w:rsid w:val="0054330B"/>
    <w:rsid w:val="005439E5"/>
    <w:rsid w:val="00543AF9"/>
    <w:rsid w:val="00543C8C"/>
    <w:rsid w:val="0054406F"/>
    <w:rsid w:val="00544AC8"/>
    <w:rsid w:val="00544C74"/>
    <w:rsid w:val="00544DE1"/>
    <w:rsid w:val="00545004"/>
    <w:rsid w:val="00545978"/>
    <w:rsid w:val="005459E1"/>
    <w:rsid w:val="00545BE6"/>
    <w:rsid w:val="00545C39"/>
    <w:rsid w:val="00546701"/>
    <w:rsid w:val="00546CE7"/>
    <w:rsid w:val="00547C38"/>
    <w:rsid w:val="00547CD2"/>
    <w:rsid w:val="00547D70"/>
    <w:rsid w:val="00547F1B"/>
    <w:rsid w:val="00547F20"/>
    <w:rsid w:val="00547FC0"/>
    <w:rsid w:val="00547FE2"/>
    <w:rsid w:val="005502C8"/>
    <w:rsid w:val="0055072B"/>
    <w:rsid w:val="0055160A"/>
    <w:rsid w:val="00551DCF"/>
    <w:rsid w:val="00552033"/>
    <w:rsid w:val="00552C72"/>
    <w:rsid w:val="00552CDE"/>
    <w:rsid w:val="0055323C"/>
    <w:rsid w:val="005532FE"/>
    <w:rsid w:val="005535A0"/>
    <w:rsid w:val="005543E7"/>
    <w:rsid w:val="00554405"/>
    <w:rsid w:val="00554B48"/>
    <w:rsid w:val="0055532F"/>
    <w:rsid w:val="005558A9"/>
    <w:rsid w:val="005564C6"/>
    <w:rsid w:val="005565B2"/>
    <w:rsid w:val="00556905"/>
    <w:rsid w:val="00557628"/>
    <w:rsid w:val="0055780A"/>
    <w:rsid w:val="00560033"/>
    <w:rsid w:val="00560B4A"/>
    <w:rsid w:val="00560BC3"/>
    <w:rsid w:val="00560D73"/>
    <w:rsid w:val="0056100F"/>
    <w:rsid w:val="0056125B"/>
    <w:rsid w:val="00561282"/>
    <w:rsid w:val="005617DF"/>
    <w:rsid w:val="00561D24"/>
    <w:rsid w:val="00561E9B"/>
    <w:rsid w:val="00562189"/>
    <w:rsid w:val="0056341C"/>
    <w:rsid w:val="0056429D"/>
    <w:rsid w:val="00564718"/>
    <w:rsid w:val="005650C5"/>
    <w:rsid w:val="00565415"/>
    <w:rsid w:val="00565894"/>
    <w:rsid w:val="00565A06"/>
    <w:rsid w:val="00565D0E"/>
    <w:rsid w:val="005664A8"/>
    <w:rsid w:val="00566893"/>
    <w:rsid w:val="00566926"/>
    <w:rsid w:val="00566B19"/>
    <w:rsid w:val="00566BB4"/>
    <w:rsid w:val="00566FB0"/>
    <w:rsid w:val="00567969"/>
    <w:rsid w:val="00567B59"/>
    <w:rsid w:val="00567C1F"/>
    <w:rsid w:val="00571593"/>
    <w:rsid w:val="00571677"/>
    <w:rsid w:val="00571949"/>
    <w:rsid w:val="00571D72"/>
    <w:rsid w:val="0057324A"/>
    <w:rsid w:val="005733D4"/>
    <w:rsid w:val="005738A6"/>
    <w:rsid w:val="00573DDC"/>
    <w:rsid w:val="0057460C"/>
    <w:rsid w:val="00574FB2"/>
    <w:rsid w:val="0057500D"/>
    <w:rsid w:val="005753C0"/>
    <w:rsid w:val="00575488"/>
    <w:rsid w:val="00575498"/>
    <w:rsid w:val="00575ED1"/>
    <w:rsid w:val="00576078"/>
    <w:rsid w:val="00576ADE"/>
    <w:rsid w:val="005770BA"/>
    <w:rsid w:val="005770E6"/>
    <w:rsid w:val="00577587"/>
    <w:rsid w:val="00577726"/>
    <w:rsid w:val="00577C78"/>
    <w:rsid w:val="00577CFD"/>
    <w:rsid w:val="00577DEF"/>
    <w:rsid w:val="00580097"/>
    <w:rsid w:val="00580514"/>
    <w:rsid w:val="005806A4"/>
    <w:rsid w:val="005815FB"/>
    <w:rsid w:val="005816FD"/>
    <w:rsid w:val="00581BF4"/>
    <w:rsid w:val="0058334E"/>
    <w:rsid w:val="00583428"/>
    <w:rsid w:val="005858EB"/>
    <w:rsid w:val="00585D97"/>
    <w:rsid w:val="00586009"/>
    <w:rsid w:val="00586BBC"/>
    <w:rsid w:val="0058700C"/>
    <w:rsid w:val="00587230"/>
    <w:rsid w:val="00587291"/>
    <w:rsid w:val="0058729A"/>
    <w:rsid w:val="005878C6"/>
    <w:rsid w:val="00587B77"/>
    <w:rsid w:val="00590202"/>
    <w:rsid w:val="005902D1"/>
    <w:rsid w:val="00590DC9"/>
    <w:rsid w:val="00590F23"/>
    <w:rsid w:val="00591008"/>
    <w:rsid w:val="0059122C"/>
    <w:rsid w:val="005917A8"/>
    <w:rsid w:val="0059209F"/>
    <w:rsid w:val="00592283"/>
    <w:rsid w:val="00592368"/>
    <w:rsid w:val="00592813"/>
    <w:rsid w:val="00592BA3"/>
    <w:rsid w:val="00592C7F"/>
    <w:rsid w:val="00592FC3"/>
    <w:rsid w:val="00593374"/>
    <w:rsid w:val="005936EC"/>
    <w:rsid w:val="00594168"/>
    <w:rsid w:val="00594719"/>
    <w:rsid w:val="00595C3A"/>
    <w:rsid w:val="005967FE"/>
    <w:rsid w:val="00596BB4"/>
    <w:rsid w:val="00597600"/>
    <w:rsid w:val="00597972"/>
    <w:rsid w:val="00597FAB"/>
    <w:rsid w:val="005A1552"/>
    <w:rsid w:val="005A1EB8"/>
    <w:rsid w:val="005A2531"/>
    <w:rsid w:val="005A2761"/>
    <w:rsid w:val="005A30C2"/>
    <w:rsid w:val="005A3281"/>
    <w:rsid w:val="005A3EA9"/>
    <w:rsid w:val="005A4C43"/>
    <w:rsid w:val="005A59F0"/>
    <w:rsid w:val="005A62C5"/>
    <w:rsid w:val="005A7D26"/>
    <w:rsid w:val="005B104C"/>
    <w:rsid w:val="005B1F8E"/>
    <w:rsid w:val="005B1FB5"/>
    <w:rsid w:val="005B2399"/>
    <w:rsid w:val="005B2478"/>
    <w:rsid w:val="005B2B56"/>
    <w:rsid w:val="005B2C13"/>
    <w:rsid w:val="005B3BE7"/>
    <w:rsid w:val="005B3F7A"/>
    <w:rsid w:val="005B4382"/>
    <w:rsid w:val="005B4741"/>
    <w:rsid w:val="005B5109"/>
    <w:rsid w:val="005B589F"/>
    <w:rsid w:val="005B5DED"/>
    <w:rsid w:val="005B5ECC"/>
    <w:rsid w:val="005B5F5F"/>
    <w:rsid w:val="005B61EA"/>
    <w:rsid w:val="005B6698"/>
    <w:rsid w:val="005B6C55"/>
    <w:rsid w:val="005B76CA"/>
    <w:rsid w:val="005C06E5"/>
    <w:rsid w:val="005C08BD"/>
    <w:rsid w:val="005C0ACE"/>
    <w:rsid w:val="005C1A4A"/>
    <w:rsid w:val="005C1D2B"/>
    <w:rsid w:val="005C1E04"/>
    <w:rsid w:val="005C2085"/>
    <w:rsid w:val="005C3643"/>
    <w:rsid w:val="005C3757"/>
    <w:rsid w:val="005C3A10"/>
    <w:rsid w:val="005C3D23"/>
    <w:rsid w:val="005C3E76"/>
    <w:rsid w:val="005C3EFE"/>
    <w:rsid w:val="005C407E"/>
    <w:rsid w:val="005C4817"/>
    <w:rsid w:val="005C4947"/>
    <w:rsid w:val="005C4E43"/>
    <w:rsid w:val="005C63EE"/>
    <w:rsid w:val="005C6814"/>
    <w:rsid w:val="005C6A66"/>
    <w:rsid w:val="005C793C"/>
    <w:rsid w:val="005C7FA5"/>
    <w:rsid w:val="005D04BE"/>
    <w:rsid w:val="005D0BC0"/>
    <w:rsid w:val="005D181D"/>
    <w:rsid w:val="005D2849"/>
    <w:rsid w:val="005D2D21"/>
    <w:rsid w:val="005D3525"/>
    <w:rsid w:val="005D3BD9"/>
    <w:rsid w:val="005D3FFD"/>
    <w:rsid w:val="005D42AD"/>
    <w:rsid w:val="005D43E5"/>
    <w:rsid w:val="005D49C7"/>
    <w:rsid w:val="005D4EE3"/>
    <w:rsid w:val="005D5162"/>
    <w:rsid w:val="005D516F"/>
    <w:rsid w:val="005D5B10"/>
    <w:rsid w:val="005D5BA1"/>
    <w:rsid w:val="005D6208"/>
    <w:rsid w:val="005D697E"/>
    <w:rsid w:val="005D69C2"/>
    <w:rsid w:val="005D7083"/>
    <w:rsid w:val="005D7519"/>
    <w:rsid w:val="005D762A"/>
    <w:rsid w:val="005E0A3C"/>
    <w:rsid w:val="005E0B1F"/>
    <w:rsid w:val="005E0CCC"/>
    <w:rsid w:val="005E0D9E"/>
    <w:rsid w:val="005E104C"/>
    <w:rsid w:val="005E1F2C"/>
    <w:rsid w:val="005E2805"/>
    <w:rsid w:val="005E2FC7"/>
    <w:rsid w:val="005E3023"/>
    <w:rsid w:val="005E3262"/>
    <w:rsid w:val="005E373C"/>
    <w:rsid w:val="005E3825"/>
    <w:rsid w:val="005E4999"/>
    <w:rsid w:val="005E49B2"/>
    <w:rsid w:val="005E4B7E"/>
    <w:rsid w:val="005E4DB2"/>
    <w:rsid w:val="005E5BC7"/>
    <w:rsid w:val="005E6065"/>
    <w:rsid w:val="005E62A4"/>
    <w:rsid w:val="005E6358"/>
    <w:rsid w:val="005E6497"/>
    <w:rsid w:val="005E6A47"/>
    <w:rsid w:val="005F06B2"/>
    <w:rsid w:val="005F0AE8"/>
    <w:rsid w:val="005F13C1"/>
    <w:rsid w:val="005F16BA"/>
    <w:rsid w:val="005F1AD7"/>
    <w:rsid w:val="005F1EE2"/>
    <w:rsid w:val="005F1FD6"/>
    <w:rsid w:val="005F2515"/>
    <w:rsid w:val="005F2A6B"/>
    <w:rsid w:val="005F2D29"/>
    <w:rsid w:val="005F2EB4"/>
    <w:rsid w:val="005F2F17"/>
    <w:rsid w:val="005F327F"/>
    <w:rsid w:val="005F3366"/>
    <w:rsid w:val="005F37E6"/>
    <w:rsid w:val="005F40C1"/>
    <w:rsid w:val="005F4586"/>
    <w:rsid w:val="005F532D"/>
    <w:rsid w:val="005F59B5"/>
    <w:rsid w:val="005F61D7"/>
    <w:rsid w:val="005F632D"/>
    <w:rsid w:val="005F6409"/>
    <w:rsid w:val="005F74F1"/>
    <w:rsid w:val="00600773"/>
    <w:rsid w:val="006008E0"/>
    <w:rsid w:val="00600A39"/>
    <w:rsid w:val="006019FF"/>
    <w:rsid w:val="006024D3"/>
    <w:rsid w:val="00602A04"/>
    <w:rsid w:val="00602EC7"/>
    <w:rsid w:val="0060381A"/>
    <w:rsid w:val="00603A9C"/>
    <w:rsid w:val="00603B6F"/>
    <w:rsid w:val="00604CA8"/>
    <w:rsid w:val="006052B4"/>
    <w:rsid w:val="00605446"/>
    <w:rsid w:val="00605517"/>
    <w:rsid w:val="006055CF"/>
    <w:rsid w:val="00605BB9"/>
    <w:rsid w:val="00606EF9"/>
    <w:rsid w:val="00606F4E"/>
    <w:rsid w:val="0060706A"/>
    <w:rsid w:val="006072B3"/>
    <w:rsid w:val="00607758"/>
    <w:rsid w:val="00607ABD"/>
    <w:rsid w:val="00607FEF"/>
    <w:rsid w:val="0061037B"/>
    <w:rsid w:val="00610582"/>
    <w:rsid w:val="00610674"/>
    <w:rsid w:val="00610980"/>
    <w:rsid w:val="00610B4D"/>
    <w:rsid w:val="00610D5E"/>
    <w:rsid w:val="006110E8"/>
    <w:rsid w:val="006112E3"/>
    <w:rsid w:val="0061198C"/>
    <w:rsid w:val="00611D1B"/>
    <w:rsid w:val="006120AB"/>
    <w:rsid w:val="00613467"/>
    <w:rsid w:val="00613512"/>
    <w:rsid w:val="00613B1B"/>
    <w:rsid w:val="00613D33"/>
    <w:rsid w:val="0061458E"/>
    <w:rsid w:val="0061484F"/>
    <w:rsid w:val="00614BAE"/>
    <w:rsid w:val="006153BB"/>
    <w:rsid w:val="0061543F"/>
    <w:rsid w:val="00616B8F"/>
    <w:rsid w:val="00616C56"/>
    <w:rsid w:val="006170C4"/>
    <w:rsid w:val="006176F1"/>
    <w:rsid w:val="00617A57"/>
    <w:rsid w:val="00617EE3"/>
    <w:rsid w:val="0062027A"/>
    <w:rsid w:val="0062028A"/>
    <w:rsid w:val="00620495"/>
    <w:rsid w:val="00620783"/>
    <w:rsid w:val="00620B9C"/>
    <w:rsid w:val="00623092"/>
    <w:rsid w:val="00623454"/>
    <w:rsid w:val="0062398E"/>
    <w:rsid w:val="00623D46"/>
    <w:rsid w:val="00624209"/>
    <w:rsid w:val="00624315"/>
    <w:rsid w:val="006245AB"/>
    <w:rsid w:val="00624778"/>
    <w:rsid w:val="00625296"/>
    <w:rsid w:val="0062545B"/>
    <w:rsid w:val="0062552A"/>
    <w:rsid w:val="00626A54"/>
    <w:rsid w:val="00626D9F"/>
    <w:rsid w:val="0062726F"/>
    <w:rsid w:val="00627CBD"/>
    <w:rsid w:val="00630496"/>
    <w:rsid w:val="00630917"/>
    <w:rsid w:val="006319C7"/>
    <w:rsid w:val="0063225E"/>
    <w:rsid w:val="006332BE"/>
    <w:rsid w:val="006333C5"/>
    <w:rsid w:val="00633455"/>
    <w:rsid w:val="006338AB"/>
    <w:rsid w:val="00633E9F"/>
    <w:rsid w:val="00634041"/>
    <w:rsid w:val="00634104"/>
    <w:rsid w:val="0063460A"/>
    <w:rsid w:val="00634BC5"/>
    <w:rsid w:val="00634FBD"/>
    <w:rsid w:val="00635269"/>
    <w:rsid w:val="0063554C"/>
    <w:rsid w:val="00635758"/>
    <w:rsid w:val="006359B2"/>
    <w:rsid w:val="00636190"/>
    <w:rsid w:val="00636D93"/>
    <w:rsid w:val="0063712A"/>
    <w:rsid w:val="00637278"/>
    <w:rsid w:val="006372B8"/>
    <w:rsid w:val="00637890"/>
    <w:rsid w:val="00637C5B"/>
    <w:rsid w:val="006407DE"/>
    <w:rsid w:val="006408C3"/>
    <w:rsid w:val="00640AE4"/>
    <w:rsid w:val="00640BD8"/>
    <w:rsid w:val="00640E65"/>
    <w:rsid w:val="00641486"/>
    <w:rsid w:val="00641F9D"/>
    <w:rsid w:val="0064217E"/>
    <w:rsid w:val="006426A9"/>
    <w:rsid w:val="006428AF"/>
    <w:rsid w:val="0064290C"/>
    <w:rsid w:val="00642E80"/>
    <w:rsid w:val="006433A3"/>
    <w:rsid w:val="0064344A"/>
    <w:rsid w:val="006436B7"/>
    <w:rsid w:val="00643A8D"/>
    <w:rsid w:val="0064430B"/>
    <w:rsid w:val="006443B1"/>
    <w:rsid w:val="0064486B"/>
    <w:rsid w:val="006448C0"/>
    <w:rsid w:val="00644B1E"/>
    <w:rsid w:val="00644CED"/>
    <w:rsid w:val="006451CF"/>
    <w:rsid w:val="006454BB"/>
    <w:rsid w:val="00645905"/>
    <w:rsid w:val="00645AB3"/>
    <w:rsid w:val="00645FC0"/>
    <w:rsid w:val="00646168"/>
    <w:rsid w:val="0064620D"/>
    <w:rsid w:val="0064719A"/>
    <w:rsid w:val="006473DB"/>
    <w:rsid w:val="0064773F"/>
    <w:rsid w:val="0065028B"/>
    <w:rsid w:val="00650D9A"/>
    <w:rsid w:val="0065113F"/>
    <w:rsid w:val="00651336"/>
    <w:rsid w:val="006519DF"/>
    <w:rsid w:val="00651A1B"/>
    <w:rsid w:val="0065226B"/>
    <w:rsid w:val="0065236E"/>
    <w:rsid w:val="00653DB5"/>
    <w:rsid w:val="006541DD"/>
    <w:rsid w:val="00654574"/>
    <w:rsid w:val="006545E6"/>
    <w:rsid w:val="006547A0"/>
    <w:rsid w:val="006548F7"/>
    <w:rsid w:val="00654D31"/>
    <w:rsid w:val="00655158"/>
    <w:rsid w:val="006552E9"/>
    <w:rsid w:val="00655ADD"/>
    <w:rsid w:val="006560A2"/>
    <w:rsid w:val="006567A6"/>
    <w:rsid w:val="006567C2"/>
    <w:rsid w:val="006568AF"/>
    <w:rsid w:val="00656A27"/>
    <w:rsid w:val="00656DDD"/>
    <w:rsid w:val="00656EED"/>
    <w:rsid w:val="00657754"/>
    <w:rsid w:val="00657DAB"/>
    <w:rsid w:val="00657E70"/>
    <w:rsid w:val="006617B1"/>
    <w:rsid w:val="00661809"/>
    <w:rsid w:val="006618AA"/>
    <w:rsid w:val="00662234"/>
    <w:rsid w:val="006626AA"/>
    <w:rsid w:val="00662994"/>
    <w:rsid w:val="00662DFF"/>
    <w:rsid w:val="0066322E"/>
    <w:rsid w:val="006633D4"/>
    <w:rsid w:val="006639CB"/>
    <w:rsid w:val="00663C0F"/>
    <w:rsid w:val="00664356"/>
    <w:rsid w:val="00664499"/>
    <w:rsid w:val="00664F13"/>
    <w:rsid w:val="006653D5"/>
    <w:rsid w:val="00665465"/>
    <w:rsid w:val="00665E45"/>
    <w:rsid w:val="00665FC6"/>
    <w:rsid w:val="00667104"/>
    <w:rsid w:val="006679FE"/>
    <w:rsid w:val="00667B00"/>
    <w:rsid w:val="00667CBF"/>
    <w:rsid w:val="006701F5"/>
    <w:rsid w:val="00670986"/>
    <w:rsid w:val="00670A1A"/>
    <w:rsid w:val="006718A3"/>
    <w:rsid w:val="00672120"/>
    <w:rsid w:val="00672285"/>
    <w:rsid w:val="0067327D"/>
    <w:rsid w:val="00673352"/>
    <w:rsid w:val="00673843"/>
    <w:rsid w:val="00674207"/>
    <w:rsid w:val="0067429B"/>
    <w:rsid w:val="006746F4"/>
    <w:rsid w:val="00674A18"/>
    <w:rsid w:val="006758AF"/>
    <w:rsid w:val="00675D9C"/>
    <w:rsid w:val="00676E15"/>
    <w:rsid w:val="00676FF3"/>
    <w:rsid w:val="0067701D"/>
    <w:rsid w:val="006770D5"/>
    <w:rsid w:val="00677C9D"/>
    <w:rsid w:val="006807B8"/>
    <w:rsid w:val="00680876"/>
    <w:rsid w:val="0068131F"/>
    <w:rsid w:val="006813DE"/>
    <w:rsid w:val="00681B36"/>
    <w:rsid w:val="00681BE9"/>
    <w:rsid w:val="00681C5B"/>
    <w:rsid w:val="00682205"/>
    <w:rsid w:val="006824AD"/>
    <w:rsid w:val="00682DFE"/>
    <w:rsid w:val="00682FBB"/>
    <w:rsid w:val="0068368C"/>
    <w:rsid w:val="00683DDD"/>
    <w:rsid w:val="0068407A"/>
    <w:rsid w:val="00684114"/>
    <w:rsid w:val="0068429D"/>
    <w:rsid w:val="0068446B"/>
    <w:rsid w:val="0068616F"/>
    <w:rsid w:val="0068650C"/>
    <w:rsid w:val="00686653"/>
    <w:rsid w:val="006866D7"/>
    <w:rsid w:val="00686A71"/>
    <w:rsid w:val="006871A1"/>
    <w:rsid w:val="006875CD"/>
    <w:rsid w:val="00687A78"/>
    <w:rsid w:val="00687C7E"/>
    <w:rsid w:val="00690362"/>
    <w:rsid w:val="0069123E"/>
    <w:rsid w:val="0069153D"/>
    <w:rsid w:val="00691913"/>
    <w:rsid w:val="0069222A"/>
    <w:rsid w:val="00693399"/>
    <w:rsid w:val="00693414"/>
    <w:rsid w:val="006942B1"/>
    <w:rsid w:val="00694434"/>
    <w:rsid w:val="0069459C"/>
    <w:rsid w:val="0069521F"/>
    <w:rsid w:val="00695608"/>
    <w:rsid w:val="0069721C"/>
    <w:rsid w:val="006977F6"/>
    <w:rsid w:val="00697B8E"/>
    <w:rsid w:val="00697DC4"/>
    <w:rsid w:val="00697E56"/>
    <w:rsid w:val="006A0363"/>
    <w:rsid w:val="006A07CA"/>
    <w:rsid w:val="006A0978"/>
    <w:rsid w:val="006A0DD1"/>
    <w:rsid w:val="006A0DE4"/>
    <w:rsid w:val="006A11EB"/>
    <w:rsid w:val="006A138B"/>
    <w:rsid w:val="006A1569"/>
    <w:rsid w:val="006A15B9"/>
    <w:rsid w:val="006A1E33"/>
    <w:rsid w:val="006A239A"/>
    <w:rsid w:val="006A23E5"/>
    <w:rsid w:val="006A2406"/>
    <w:rsid w:val="006A4396"/>
    <w:rsid w:val="006A4433"/>
    <w:rsid w:val="006A4CCE"/>
    <w:rsid w:val="006A4D82"/>
    <w:rsid w:val="006A583B"/>
    <w:rsid w:val="006A5BA8"/>
    <w:rsid w:val="006A5FE7"/>
    <w:rsid w:val="006A65F6"/>
    <w:rsid w:val="006A69FB"/>
    <w:rsid w:val="006A76D6"/>
    <w:rsid w:val="006A781A"/>
    <w:rsid w:val="006A7D4C"/>
    <w:rsid w:val="006A7DAA"/>
    <w:rsid w:val="006B0001"/>
    <w:rsid w:val="006B00DD"/>
    <w:rsid w:val="006B0480"/>
    <w:rsid w:val="006B0697"/>
    <w:rsid w:val="006B0D04"/>
    <w:rsid w:val="006B13C2"/>
    <w:rsid w:val="006B140A"/>
    <w:rsid w:val="006B1DEB"/>
    <w:rsid w:val="006B1FF4"/>
    <w:rsid w:val="006B32AD"/>
    <w:rsid w:val="006B3532"/>
    <w:rsid w:val="006B363B"/>
    <w:rsid w:val="006B3A7C"/>
    <w:rsid w:val="006B3BE0"/>
    <w:rsid w:val="006B3CAA"/>
    <w:rsid w:val="006B3F8E"/>
    <w:rsid w:val="006B3FE0"/>
    <w:rsid w:val="006B413C"/>
    <w:rsid w:val="006B4471"/>
    <w:rsid w:val="006B48E4"/>
    <w:rsid w:val="006B49F0"/>
    <w:rsid w:val="006B53A7"/>
    <w:rsid w:val="006B5737"/>
    <w:rsid w:val="006B5D29"/>
    <w:rsid w:val="006B6044"/>
    <w:rsid w:val="006B631F"/>
    <w:rsid w:val="006B64FC"/>
    <w:rsid w:val="006B6DE4"/>
    <w:rsid w:val="006B7FCF"/>
    <w:rsid w:val="006C014A"/>
    <w:rsid w:val="006C05CD"/>
    <w:rsid w:val="006C0974"/>
    <w:rsid w:val="006C277B"/>
    <w:rsid w:val="006C2A84"/>
    <w:rsid w:val="006C2CB7"/>
    <w:rsid w:val="006C30D6"/>
    <w:rsid w:val="006C352A"/>
    <w:rsid w:val="006C39A5"/>
    <w:rsid w:val="006C3E08"/>
    <w:rsid w:val="006C4906"/>
    <w:rsid w:val="006C4BE2"/>
    <w:rsid w:val="006C504B"/>
    <w:rsid w:val="006C56C9"/>
    <w:rsid w:val="006C58E9"/>
    <w:rsid w:val="006C5B51"/>
    <w:rsid w:val="006C5EC3"/>
    <w:rsid w:val="006C5FB5"/>
    <w:rsid w:val="006C6797"/>
    <w:rsid w:val="006C6AA6"/>
    <w:rsid w:val="006C6EB5"/>
    <w:rsid w:val="006C794C"/>
    <w:rsid w:val="006D02F5"/>
    <w:rsid w:val="006D1140"/>
    <w:rsid w:val="006D1234"/>
    <w:rsid w:val="006D1793"/>
    <w:rsid w:val="006D18A1"/>
    <w:rsid w:val="006D1F54"/>
    <w:rsid w:val="006D2AF4"/>
    <w:rsid w:val="006D3143"/>
    <w:rsid w:val="006D3271"/>
    <w:rsid w:val="006D332A"/>
    <w:rsid w:val="006D335D"/>
    <w:rsid w:val="006D33C5"/>
    <w:rsid w:val="006D35D0"/>
    <w:rsid w:val="006D3A7C"/>
    <w:rsid w:val="006D3FF9"/>
    <w:rsid w:val="006D4296"/>
    <w:rsid w:val="006D4E1F"/>
    <w:rsid w:val="006D536B"/>
    <w:rsid w:val="006D5A92"/>
    <w:rsid w:val="006D5D03"/>
    <w:rsid w:val="006D5DF9"/>
    <w:rsid w:val="006D5F43"/>
    <w:rsid w:val="006D5FA1"/>
    <w:rsid w:val="006D66CF"/>
    <w:rsid w:val="006D674D"/>
    <w:rsid w:val="006D6A19"/>
    <w:rsid w:val="006D6A22"/>
    <w:rsid w:val="006D78B9"/>
    <w:rsid w:val="006D7D25"/>
    <w:rsid w:val="006E0373"/>
    <w:rsid w:val="006E0662"/>
    <w:rsid w:val="006E0F19"/>
    <w:rsid w:val="006E1E35"/>
    <w:rsid w:val="006E394F"/>
    <w:rsid w:val="006E3BB6"/>
    <w:rsid w:val="006E3EFD"/>
    <w:rsid w:val="006E400E"/>
    <w:rsid w:val="006E5B13"/>
    <w:rsid w:val="006E6814"/>
    <w:rsid w:val="006E707F"/>
    <w:rsid w:val="006E7175"/>
    <w:rsid w:val="006E7302"/>
    <w:rsid w:val="006E7525"/>
    <w:rsid w:val="006E7D75"/>
    <w:rsid w:val="006F0548"/>
    <w:rsid w:val="006F1067"/>
    <w:rsid w:val="006F161E"/>
    <w:rsid w:val="006F1BB3"/>
    <w:rsid w:val="006F1E52"/>
    <w:rsid w:val="006F21CC"/>
    <w:rsid w:val="006F3046"/>
    <w:rsid w:val="006F32BF"/>
    <w:rsid w:val="006F350A"/>
    <w:rsid w:val="006F4176"/>
    <w:rsid w:val="006F480B"/>
    <w:rsid w:val="006F4856"/>
    <w:rsid w:val="006F5671"/>
    <w:rsid w:val="006F6255"/>
    <w:rsid w:val="006F79FB"/>
    <w:rsid w:val="006F7DCC"/>
    <w:rsid w:val="00700629"/>
    <w:rsid w:val="00700E72"/>
    <w:rsid w:val="00700FE7"/>
    <w:rsid w:val="00701170"/>
    <w:rsid w:val="00701CB5"/>
    <w:rsid w:val="0070203B"/>
    <w:rsid w:val="00702A86"/>
    <w:rsid w:val="00702DC4"/>
    <w:rsid w:val="00703418"/>
    <w:rsid w:val="00703822"/>
    <w:rsid w:val="00704E9B"/>
    <w:rsid w:val="00705DDE"/>
    <w:rsid w:val="00705FE5"/>
    <w:rsid w:val="00706066"/>
    <w:rsid w:val="007061AA"/>
    <w:rsid w:val="007063D3"/>
    <w:rsid w:val="0070646A"/>
    <w:rsid w:val="007079F7"/>
    <w:rsid w:val="00707EE7"/>
    <w:rsid w:val="00710485"/>
    <w:rsid w:val="007109D8"/>
    <w:rsid w:val="0071112C"/>
    <w:rsid w:val="007115C9"/>
    <w:rsid w:val="007115E8"/>
    <w:rsid w:val="007123E8"/>
    <w:rsid w:val="007125EC"/>
    <w:rsid w:val="00712A5F"/>
    <w:rsid w:val="00712C73"/>
    <w:rsid w:val="00712CD1"/>
    <w:rsid w:val="00712FAA"/>
    <w:rsid w:val="0071362E"/>
    <w:rsid w:val="00713760"/>
    <w:rsid w:val="0071385B"/>
    <w:rsid w:val="00713AA4"/>
    <w:rsid w:val="00713AC0"/>
    <w:rsid w:val="00714C44"/>
    <w:rsid w:val="00714D41"/>
    <w:rsid w:val="00714E0D"/>
    <w:rsid w:val="00715033"/>
    <w:rsid w:val="0071517B"/>
    <w:rsid w:val="00715880"/>
    <w:rsid w:val="00715ABB"/>
    <w:rsid w:val="007169A9"/>
    <w:rsid w:val="00716EBC"/>
    <w:rsid w:val="00717376"/>
    <w:rsid w:val="00717389"/>
    <w:rsid w:val="007177B0"/>
    <w:rsid w:val="00717C8E"/>
    <w:rsid w:val="00720E59"/>
    <w:rsid w:val="007214ED"/>
    <w:rsid w:val="007214FC"/>
    <w:rsid w:val="00721551"/>
    <w:rsid w:val="0072172A"/>
    <w:rsid w:val="00721761"/>
    <w:rsid w:val="00721802"/>
    <w:rsid w:val="00722107"/>
    <w:rsid w:val="00722446"/>
    <w:rsid w:val="00722861"/>
    <w:rsid w:val="00723421"/>
    <w:rsid w:val="00723B27"/>
    <w:rsid w:val="00723E1E"/>
    <w:rsid w:val="0072419A"/>
    <w:rsid w:val="00724E71"/>
    <w:rsid w:val="00724F7E"/>
    <w:rsid w:val="007251B6"/>
    <w:rsid w:val="00725534"/>
    <w:rsid w:val="00725B65"/>
    <w:rsid w:val="0072685C"/>
    <w:rsid w:val="007268C3"/>
    <w:rsid w:val="00726F7A"/>
    <w:rsid w:val="00727501"/>
    <w:rsid w:val="00730335"/>
    <w:rsid w:val="00730D7F"/>
    <w:rsid w:val="00730F49"/>
    <w:rsid w:val="0073153D"/>
    <w:rsid w:val="00732869"/>
    <w:rsid w:val="00732AB9"/>
    <w:rsid w:val="007334BE"/>
    <w:rsid w:val="00734D48"/>
    <w:rsid w:val="00734EE7"/>
    <w:rsid w:val="0073577E"/>
    <w:rsid w:val="00735846"/>
    <w:rsid w:val="00735AF8"/>
    <w:rsid w:val="0073649A"/>
    <w:rsid w:val="00736A99"/>
    <w:rsid w:val="00736AF2"/>
    <w:rsid w:val="00736C8C"/>
    <w:rsid w:val="0073729C"/>
    <w:rsid w:val="00737AD3"/>
    <w:rsid w:val="00740099"/>
    <w:rsid w:val="0074029C"/>
    <w:rsid w:val="007408F2"/>
    <w:rsid w:val="00741497"/>
    <w:rsid w:val="007422EE"/>
    <w:rsid w:val="00742917"/>
    <w:rsid w:val="00742D20"/>
    <w:rsid w:val="007431E2"/>
    <w:rsid w:val="007434A3"/>
    <w:rsid w:val="00743504"/>
    <w:rsid w:val="0074354E"/>
    <w:rsid w:val="00743B80"/>
    <w:rsid w:val="00744331"/>
    <w:rsid w:val="00744627"/>
    <w:rsid w:val="007447F0"/>
    <w:rsid w:val="00746419"/>
    <w:rsid w:val="0074671F"/>
    <w:rsid w:val="00746B8E"/>
    <w:rsid w:val="00747380"/>
    <w:rsid w:val="00747830"/>
    <w:rsid w:val="007478FD"/>
    <w:rsid w:val="00747C80"/>
    <w:rsid w:val="00750052"/>
    <w:rsid w:val="007503C5"/>
    <w:rsid w:val="00750420"/>
    <w:rsid w:val="0075082C"/>
    <w:rsid w:val="0075093C"/>
    <w:rsid w:val="007509A6"/>
    <w:rsid w:val="00750B5A"/>
    <w:rsid w:val="00750EA8"/>
    <w:rsid w:val="00751801"/>
    <w:rsid w:val="00751C6B"/>
    <w:rsid w:val="00751F15"/>
    <w:rsid w:val="00752351"/>
    <w:rsid w:val="007530E6"/>
    <w:rsid w:val="0075327D"/>
    <w:rsid w:val="0075342B"/>
    <w:rsid w:val="00754E85"/>
    <w:rsid w:val="007550E6"/>
    <w:rsid w:val="0075519D"/>
    <w:rsid w:val="007554A3"/>
    <w:rsid w:val="0075580B"/>
    <w:rsid w:val="007558FA"/>
    <w:rsid w:val="00756415"/>
    <w:rsid w:val="0075662A"/>
    <w:rsid w:val="007567D0"/>
    <w:rsid w:val="00756AD4"/>
    <w:rsid w:val="00756F8B"/>
    <w:rsid w:val="00757AC0"/>
    <w:rsid w:val="00760A36"/>
    <w:rsid w:val="00760B2E"/>
    <w:rsid w:val="00760D4A"/>
    <w:rsid w:val="00761289"/>
    <w:rsid w:val="00761595"/>
    <w:rsid w:val="0076168A"/>
    <w:rsid w:val="00761818"/>
    <w:rsid w:val="00761D3E"/>
    <w:rsid w:val="00761EC0"/>
    <w:rsid w:val="00762063"/>
    <w:rsid w:val="00762373"/>
    <w:rsid w:val="0076240D"/>
    <w:rsid w:val="0076374A"/>
    <w:rsid w:val="00763E58"/>
    <w:rsid w:val="00763EDA"/>
    <w:rsid w:val="0076446C"/>
    <w:rsid w:val="00764823"/>
    <w:rsid w:val="00764D17"/>
    <w:rsid w:val="00766069"/>
    <w:rsid w:val="00766265"/>
    <w:rsid w:val="0076635F"/>
    <w:rsid w:val="00766A3F"/>
    <w:rsid w:val="00766DB5"/>
    <w:rsid w:val="00767CBE"/>
    <w:rsid w:val="007703E1"/>
    <w:rsid w:val="0077095E"/>
    <w:rsid w:val="00770966"/>
    <w:rsid w:val="007709A5"/>
    <w:rsid w:val="00771339"/>
    <w:rsid w:val="007713D4"/>
    <w:rsid w:val="00771B46"/>
    <w:rsid w:val="00772891"/>
    <w:rsid w:val="00772C70"/>
    <w:rsid w:val="00772D43"/>
    <w:rsid w:val="00772D45"/>
    <w:rsid w:val="00773379"/>
    <w:rsid w:val="00773CD3"/>
    <w:rsid w:val="00774A89"/>
    <w:rsid w:val="0077501A"/>
    <w:rsid w:val="0077547C"/>
    <w:rsid w:val="0077548D"/>
    <w:rsid w:val="00775998"/>
    <w:rsid w:val="007759A3"/>
    <w:rsid w:val="007763DA"/>
    <w:rsid w:val="007775B2"/>
    <w:rsid w:val="00777DED"/>
    <w:rsid w:val="00780536"/>
    <w:rsid w:val="0078065C"/>
    <w:rsid w:val="00780A9E"/>
    <w:rsid w:val="00781374"/>
    <w:rsid w:val="00781777"/>
    <w:rsid w:val="00781EC7"/>
    <w:rsid w:val="00781F4B"/>
    <w:rsid w:val="0078218C"/>
    <w:rsid w:val="007822C6"/>
    <w:rsid w:val="007827A1"/>
    <w:rsid w:val="007829AA"/>
    <w:rsid w:val="00782AA9"/>
    <w:rsid w:val="007840D1"/>
    <w:rsid w:val="007847FA"/>
    <w:rsid w:val="00785120"/>
    <w:rsid w:val="007853C3"/>
    <w:rsid w:val="00786243"/>
    <w:rsid w:val="0078638E"/>
    <w:rsid w:val="00786C2C"/>
    <w:rsid w:val="00786E25"/>
    <w:rsid w:val="00787267"/>
    <w:rsid w:val="00787332"/>
    <w:rsid w:val="0078778A"/>
    <w:rsid w:val="007879AE"/>
    <w:rsid w:val="00790910"/>
    <w:rsid w:val="00790A47"/>
    <w:rsid w:val="00790C20"/>
    <w:rsid w:val="00790D22"/>
    <w:rsid w:val="00791895"/>
    <w:rsid w:val="00791DE1"/>
    <w:rsid w:val="00793341"/>
    <w:rsid w:val="007934EC"/>
    <w:rsid w:val="0079375E"/>
    <w:rsid w:val="00793824"/>
    <w:rsid w:val="00794614"/>
    <w:rsid w:val="00794625"/>
    <w:rsid w:val="00794B72"/>
    <w:rsid w:val="00794BB4"/>
    <w:rsid w:val="00794BF1"/>
    <w:rsid w:val="00794C0F"/>
    <w:rsid w:val="00794E00"/>
    <w:rsid w:val="00794E30"/>
    <w:rsid w:val="0079515C"/>
    <w:rsid w:val="0079515E"/>
    <w:rsid w:val="00796A53"/>
    <w:rsid w:val="00797BB2"/>
    <w:rsid w:val="00797D36"/>
    <w:rsid w:val="007A0667"/>
    <w:rsid w:val="007A0877"/>
    <w:rsid w:val="007A0B78"/>
    <w:rsid w:val="007A0C94"/>
    <w:rsid w:val="007A0E17"/>
    <w:rsid w:val="007A15AB"/>
    <w:rsid w:val="007A15B8"/>
    <w:rsid w:val="007A1961"/>
    <w:rsid w:val="007A1AEB"/>
    <w:rsid w:val="007A2560"/>
    <w:rsid w:val="007A2961"/>
    <w:rsid w:val="007A2AF2"/>
    <w:rsid w:val="007A321D"/>
    <w:rsid w:val="007A37EA"/>
    <w:rsid w:val="007A3A8C"/>
    <w:rsid w:val="007A3B64"/>
    <w:rsid w:val="007A4321"/>
    <w:rsid w:val="007A4386"/>
    <w:rsid w:val="007A4500"/>
    <w:rsid w:val="007A4EC3"/>
    <w:rsid w:val="007A4EDF"/>
    <w:rsid w:val="007A50EC"/>
    <w:rsid w:val="007A58D2"/>
    <w:rsid w:val="007A5FB6"/>
    <w:rsid w:val="007A6254"/>
    <w:rsid w:val="007A679C"/>
    <w:rsid w:val="007A7148"/>
    <w:rsid w:val="007B099E"/>
    <w:rsid w:val="007B0E0C"/>
    <w:rsid w:val="007B0EF4"/>
    <w:rsid w:val="007B11F6"/>
    <w:rsid w:val="007B1720"/>
    <w:rsid w:val="007B1931"/>
    <w:rsid w:val="007B1C63"/>
    <w:rsid w:val="007B20D7"/>
    <w:rsid w:val="007B2363"/>
    <w:rsid w:val="007B23AF"/>
    <w:rsid w:val="007B2AF8"/>
    <w:rsid w:val="007B3627"/>
    <w:rsid w:val="007B37B9"/>
    <w:rsid w:val="007B395A"/>
    <w:rsid w:val="007B39A7"/>
    <w:rsid w:val="007B417F"/>
    <w:rsid w:val="007B41C9"/>
    <w:rsid w:val="007B4CA1"/>
    <w:rsid w:val="007C030E"/>
    <w:rsid w:val="007C0D0E"/>
    <w:rsid w:val="007C1BC1"/>
    <w:rsid w:val="007C233A"/>
    <w:rsid w:val="007C264D"/>
    <w:rsid w:val="007C26E5"/>
    <w:rsid w:val="007C2885"/>
    <w:rsid w:val="007C39DA"/>
    <w:rsid w:val="007C3FED"/>
    <w:rsid w:val="007C4CD5"/>
    <w:rsid w:val="007C4D1E"/>
    <w:rsid w:val="007C5140"/>
    <w:rsid w:val="007C5623"/>
    <w:rsid w:val="007C62EA"/>
    <w:rsid w:val="007C67C6"/>
    <w:rsid w:val="007C6B1D"/>
    <w:rsid w:val="007C6CF5"/>
    <w:rsid w:val="007C720A"/>
    <w:rsid w:val="007C7235"/>
    <w:rsid w:val="007C7499"/>
    <w:rsid w:val="007C77D5"/>
    <w:rsid w:val="007C78E1"/>
    <w:rsid w:val="007C78E6"/>
    <w:rsid w:val="007C7F25"/>
    <w:rsid w:val="007D0001"/>
    <w:rsid w:val="007D0FAD"/>
    <w:rsid w:val="007D1092"/>
    <w:rsid w:val="007D1113"/>
    <w:rsid w:val="007D116F"/>
    <w:rsid w:val="007D118C"/>
    <w:rsid w:val="007D1924"/>
    <w:rsid w:val="007D2621"/>
    <w:rsid w:val="007D2909"/>
    <w:rsid w:val="007D343B"/>
    <w:rsid w:val="007D3606"/>
    <w:rsid w:val="007D376A"/>
    <w:rsid w:val="007D3BFB"/>
    <w:rsid w:val="007D47E5"/>
    <w:rsid w:val="007D496C"/>
    <w:rsid w:val="007D49C3"/>
    <w:rsid w:val="007D4F75"/>
    <w:rsid w:val="007D5CA8"/>
    <w:rsid w:val="007D6B9E"/>
    <w:rsid w:val="007D6DBA"/>
    <w:rsid w:val="007D6F31"/>
    <w:rsid w:val="007D7A23"/>
    <w:rsid w:val="007D7CA7"/>
    <w:rsid w:val="007E02F4"/>
    <w:rsid w:val="007E0CAF"/>
    <w:rsid w:val="007E1461"/>
    <w:rsid w:val="007E1806"/>
    <w:rsid w:val="007E2BC5"/>
    <w:rsid w:val="007E2EA0"/>
    <w:rsid w:val="007E2F09"/>
    <w:rsid w:val="007E36F5"/>
    <w:rsid w:val="007E3E36"/>
    <w:rsid w:val="007E40BF"/>
    <w:rsid w:val="007E4529"/>
    <w:rsid w:val="007E4B8B"/>
    <w:rsid w:val="007E4DD9"/>
    <w:rsid w:val="007E5708"/>
    <w:rsid w:val="007E58EB"/>
    <w:rsid w:val="007E5BC3"/>
    <w:rsid w:val="007E5E7D"/>
    <w:rsid w:val="007E5E83"/>
    <w:rsid w:val="007E61D5"/>
    <w:rsid w:val="007E72D6"/>
    <w:rsid w:val="007E775E"/>
    <w:rsid w:val="007F08CA"/>
    <w:rsid w:val="007F0B5A"/>
    <w:rsid w:val="007F0CE5"/>
    <w:rsid w:val="007F17C5"/>
    <w:rsid w:val="007F1A74"/>
    <w:rsid w:val="007F1F8F"/>
    <w:rsid w:val="007F22EA"/>
    <w:rsid w:val="007F24B6"/>
    <w:rsid w:val="007F3016"/>
    <w:rsid w:val="007F32BB"/>
    <w:rsid w:val="007F3345"/>
    <w:rsid w:val="007F364B"/>
    <w:rsid w:val="007F38D7"/>
    <w:rsid w:val="007F3945"/>
    <w:rsid w:val="007F3B6E"/>
    <w:rsid w:val="007F3D9C"/>
    <w:rsid w:val="007F4564"/>
    <w:rsid w:val="007F49D9"/>
    <w:rsid w:val="007F4BD8"/>
    <w:rsid w:val="007F4FBC"/>
    <w:rsid w:val="007F54AF"/>
    <w:rsid w:val="007F5A9A"/>
    <w:rsid w:val="007F603E"/>
    <w:rsid w:val="007F6295"/>
    <w:rsid w:val="007F6CF5"/>
    <w:rsid w:val="007F6F08"/>
    <w:rsid w:val="007F7158"/>
    <w:rsid w:val="007F78FE"/>
    <w:rsid w:val="007F7AC2"/>
    <w:rsid w:val="0080069F"/>
    <w:rsid w:val="00800B0E"/>
    <w:rsid w:val="00800CAB"/>
    <w:rsid w:val="00800D54"/>
    <w:rsid w:val="00801821"/>
    <w:rsid w:val="008023F2"/>
    <w:rsid w:val="00802B63"/>
    <w:rsid w:val="0080382E"/>
    <w:rsid w:val="00803E8B"/>
    <w:rsid w:val="008043E8"/>
    <w:rsid w:val="00805979"/>
    <w:rsid w:val="00805F08"/>
    <w:rsid w:val="00806434"/>
    <w:rsid w:val="00806531"/>
    <w:rsid w:val="0080681D"/>
    <w:rsid w:val="00807559"/>
    <w:rsid w:val="00807F58"/>
    <w:rsid w:val="00810419"/>
    <w:rsid w:val="00810927"/>
    <w:rsid w:val="0081119A"/>
    <w:rsid w:val="00811401"/>
    <w:rsid w:val="008115C2"/>
    <w:rsid w:val="008117BF"/>
    <w:rsid w:val="008127AA"/>
    <w:rsid w:val="0081281F"/>
    <w:rsid w:val="00812C24"/>
    <w:rsid w:val="00812C62"/>
    <w:rsid w:val="00813288"/>
    <w:rsid w:val="008137CA"/>
    <w:rsid w:val="0081404D"/>
    <w:rsid w:val="0081414E"/>
    <w:rsid w:val="00814A49"/>
    <w:rsid w:val="00814E01"/>
    <w:rsid w:val="008151A9"/>
    <w:rsid w:val="00815F7B"/>
    <w:rsid w:val="00816618"/>
    <w:rsid w:val="0081683E"/>
    <w:rsid w:val="00816A15"/>
    <w:rsid w:val="00816D87"/>
    <w:rsid w:val="00817447"/>
    <w:rsid w:val="00817FB7"/>
    <w:rsid w:val="00820047"/>
    <w:rsid w:val="008202CF"/>
    <w:rsid w:val="008204EF"/>
    <w:rsid w:val="0082132C"/>
    <w:rsid w:val="00821A29"/>
    <w:rsid w:val="008222C0"/>
    <w:rsid w:val="00822AE8"/>
    <w:rsid w:val="00822E1B"/>
    <w:rsid w:val="00823233"/>
    <w:rsid w:val="0082339E"/>
    <w:rsid w:val="00823483"/>
    <w:rsid w:val="00823A91"/>
    <w:rsid w:val="00823CC1"/>
    <w:rsid w:val="00823D10"/>
    <w:rsid w:val="00824426"/>
    <w:rsid w:val="0082492C"/>
    <w:rsid w:val="00824A30"/>
    <w:rsid w:val="00824B0E"/>
    <w:rsid w:val="00824B7A"/>
    <w:rsid w:val="00824C9D"/>
    <w:rsid w:val="00824F99"/>
    <w:rsid w:val="0082603E"/>
    <w:rsid w:val="008260B8"/>
    <w:rsid w:val="0082630A"/>
    <w:rsid w:val="008266AF"/>
    <w:rsid w:val="008268AE"/>
    <w:rsid w:val="00827126"/>
    <w:rsid w:val="008272A4"/>
    <w:rsid w:val="00830094"/>
    <w:rsid w:val="0083050A"/>
    <w:rsid w:val="00830597"/>
    <w:rsid w:val="00830E52"/>
    <w:rsid w:val="00830F51"/>
    <w:rsid w:val="00830FAA"/>
    <w:rsid w:val="008315B4"/>
    <w:rsid w:val="008316D1"/>
    <w:rsid w:val="00831723"/>
    <w:rsid w:val="00831A54"/>
    <w:rsid w:val="00831E6C"/>
    <w:rsid w:val="00831E82"/>
    <w:rsid w:val="00831FCC"/>
    <w:rsid w:val="0083233F"/>
    <w:rsid w:val="008324E3"/>
    <w:rsid w:val="00832B04"/>
    <w:rsid w:val="00833076"/>
    <w:rsid w:val="00833B9F"/>
    <w:rsid w:val="00833DF8"/>
    <w:rsid w:val="00833E59"/>
    <w:rsid w:val="00833E7F"/>
    <w:rsid w:val="00834009"/>
    <w:rsid w:val="00834220"/>
    <w:rsid w:val="0083450B"/>
    <w:rsid w:val="00834E25"/>
    <w:rsid w:val="008353A6"/>
    <w:rsid w:val="00835716"/>
    <w:rsid w:val="0083589A"/>
    <w:rsid w:val="00835CA3"/>
    <w:rsid w:val="00835E37"/>
    <w:rsid w:val="00835F43"/>
    <w:rsid w:val="00835F63"/>
    <w:rsid w:val="00836442"/>
    <w:rsid w:val="00836E8D"/>
    <w:rsid w:val="008373C6"/>
    <w:rsid w:val="008378BD"/>
    <w:rsid w:val="008378F0"/>
    <w:rsid w:val="008379F5"/>
    <w:rsid w:val="00837FBD"/>
    <w:rsid w:val="00840128"/>
    <w:rsid w:val="00840C8E"/>
    <w:rsid w:val="00840E5E"/>
    <w:rsid w:val="00840FC2"/>
    <w:rsid w:val="0084184A"/>
    <w:rsid w:val="0084194F"/>
    <w:rsid w:val="00841D63"/>
    <w:rsid w:val="00842710"/>
    <w:rsid w:val="00842ED8"/>
    <w:rsid w:val="00843418"/>
    <w:rsid w:val="008435B7"/>
    <w:rsid w:val="00843A71"/>
    <w:rsid w:val="00843AAD"/>
    <w:rsid w:val="00843B69"/>
    <w:rsid w:val="00844347"/>
    <w:rsid w:val="0084437F"/>
    <w:rsid w:val="008450F3"/>
    <w:rsid w:val="0084553F"/>
    <w:rsid w:val="0084567D"/>
    <w:rsid w:val="00845946"/>
    <w:rsid w:val="00845BD8"/>
    <w:rsid w:val="0084636C"/>
    <w:rsid w:val="00847619"/>
    <w:rsid w:val="008476A0"/>
    <w:rsid w:val="00847845"/>
    <w:rsid w:val="00847A4D"/>
    <w:rsid w:val="00850163"/>
    <w:rsid w:val="0085031A"/>
    <w:rsid w:val="0085041B"/>
    <w:rsid w:val="00850727"/>
    <w:rsid w:val="008509E0"/>
    <w:rsid w:val="00850AAE"/>
    <w:rsid w:val="00850F34"/>
    <w:rsid w:val="008510EE"/>
    <w:rsid w:val="00851C5E"/>
    <w:rsid w:val="0085220A"/>
    <w:rsid w:val="0085296D"/>
    <w:rsid w:val="00852F38"/>
    <w:rsid w:val="0085391A"/>
    <w:rsid w:val="00853E77"/>
    <w:rsid w:val="008545CF"/>
    <w:rsid w:val="00854EF0"/>
    <w:rsid w:val="0085508D"/>
    <w:rsid w:val="0085521C"/>
    <w:rsid w:val="00855D91"/>
    <w:rsid w:val="00856549"/>
    <w:rsid w:val="00856733"/>
    <w:rsid w:val="00856776"/>
    <w:rsid w:val="008569EB"/>
    <w:rsid w:val="00856C34"/>
    <w:rsid w:val="0085745C"/>
    <w:rsid w:val="008601E9"/>
    <w:rsid w:val="00860530"/>
    <w:rsid w:val="0086061A"/>
    <w:rsid w:val="0086103B"/>
    <w:rsid w:val="00861887"/>
    <w:rsid w:val="008621C6"/>
    <w:rsid w:val="00862B69"/>
    <w:rsid w:val="008631B5"/>
    <w:rsid w:val="00863E95"/>
    <w:rsid w:val="00864268"/>
    <w:rsid w:val="00865546"/>
    <w:rsid w:val="0086573C"/>
    <w:rsid w:val="00865B5F"/>
    <w:rsid w:val="00865DC1"/>
    <w:rsid w:val="0086748E"/>
    <w:rsid w:val="0086754C"/>
    <w:rsid w:val="00867E67"/>
    <w:rsid w:val="00870112"/>
    <w:rsid w:val="00870C8E"/>
    <w:rsid w:val="00871A75"/>
    <w:rsid w:val="00873358"/>
    <w:rsid w:val="0087365A"/>
    <w:rsid w:val="00873BD2"/>
    <w:rsid w:val="00873D72"/>
    <w:rsid w:val="008743C7"/>
    <w:rsid w:val="00874C64"/>
    <w:rsid w:val="00874EEE"/>
    <w:rsid w:val="00875010"/>
    <w:rsid w:val="008750F9"/>
    <w:rsid w:val="00875133"/>
    <w:rsid w:val="00875139"/>
    <w:rsid w:val="00875341"/>
    <w:rsid w:val="0087536F"/>
    <w:rsid w:val="008754AF"/>
    <w:rsid w:val="008765B1"/>
    <w:rsid w:val="008773CC"/>
    <w:rsid w:val="008774DC"/>
    <w:rsid w:val="00877B90"/>
    <w:rsid w:val="00880704"/>
    <w:rsid w:val="00880A40"/>
    <w:rsid w:val="00880A48"/>
    <w:rsid w:val="00880E08"/>
    <w:rsid w:val="008810DB"/>
    <w:rsid w:val="0088132D"/>
    <w:rsid w:val="00881C81"/>
    <w:rsid w:val="00881EE9"/>
    <w:rsid w:val="008828BC"/>
    <w:rsid w:val="00882B15"/>
    <w:rsid w:val="00882C06"/>
    <w:rsid w:val="00882CC7"/>
    <w:rsid w:val="00883CC3"/>
    <w:rsid w:val="00884670"/>
    <w:rsid w:val="0088489D"/>
    <w:rsid w:val="00884D5D"/>
    <w:rsid w:val="00885059"/>
    <w:rsid w:val="0088539A"/>
    <w:rsid w:val="00885FD7"/>
    <w:rsid w:val="00886131"/>
    <w:rsid w:val="0088617C"/>
    <w:rsid w:val="008869F4"/>
    <w:rsid w:val="00886BA0"/>
    <w:rsid w:val="00886F03"/>
    <w:rsid w:val="00887C24"/>
    <w:rsid w:val="008904F4"/>
    <w:rsid w:val="008908DC"/>
    <w:rsid w:val="00890A5C"/>
    <w:rsid w:val="00890A64"/>
    <w:rsid w:val="00890AE7"/>
    <w:rsid w:val="00890C53"/>
    <w:rsid w:val="00890D2F"/>
    <w:rsid w:val="008911A2"/>
    <w:rsid w:val="008911CB"/>
    <w:rsid w:val="00891570"/>
    <w:rsid w:val="00891808"/>
    <w:rsid w:val="00891DA5"/>
    <w:rsid w:val="00891F08"/>
    <w:rsid w:val="00892533"/>
    <w:rsid w:val="00892B5A"/>
    <w:rsid w:val="0089304B"/>
    <w:rsid w:val="008936B2"/>
    <w:rsid w:val="00893EEF"/>
    <w:rsid w:val="008944E4"/>
    <w:rsid w:val="0089572E"/>
    <w:rsid w:val="00895A9B"/>
    <w:rsid w:val="00896360"/>
    <w:rsid w:val="00896DDA"/>
    <w:rsid w:val="008975A2"/>
    <w:rsid w:val="00897B51"/>
    <w:rsid w:val="008A0638"/>
    <w:rsid w:val="008A0CE0"/>
    <w:rsid w:val="008A10E7"/>
    <w:rsid w:val="008A12B3"/>
    <w:rsid w:val="008A14CB"/>
    <w:rsid w:val="008A171D"/>
    <w:rsid w:val="008A184F"/>
    <w:rsid w:val="008A1D8E"/>
    <w:rsid w:val="008A23A3"/>
    <w:rsid w:val="008A25B0"/>
    <w:rsid w:val="008A2842"/>
    <w:rsid w:val="008A2C72"/>
    <w:rsid w:val="008A2EE1"/>
    <w:rsid w:val="008A33A5"/>
    <w:rsid w:val="008A3425"/>
    <w:rsid w:val="008A35CD"/>
    <w:rsid w:val="008A3ADD"/>
    <w:rsid w:val="008A40BC"/>
    <w:rsid w:val="008A40DD"/>
    <w:rsid w:val="008A41CD"/>
    <w:rsid w:val="008A4880"/>
    <w:rsid w:val="008A4BC9"/>
    <w:rsid w:val="008A5130"/>
    <w:rsid w:val="008A52B1"/>
    <w:rsid w:val="008A5754"/>
    <w:rsid w:val="008A5E0E"/>
    <w:rsid w:val="008A65E9"/>
    <w:rsid w:val="008A673D"/>
    <w:rsid w:val="008A6CD7"/>
    <w:rsid w:val="008A71E0"/>
    <w:rsid w:val="008A7328"/>
    <w:rsid w:val="008A7341"/>
    <w:rsid w:val="008A7E4B"/>
    <w:rsid w:val="008B06F1"/>
    <w:rsid w:val="008B0739"/>
    <w:rsid w:val="008B0B87"/>
    <w:rsid w:val="008B0C53"/>
    <w:rsid w:val="008B12AF"/>
    <w:rsid w:val="008B1413"/>
    <w:rsid w:val="008B1DC6"/>
    <w:rsid w:val="008B1FFD"/>
    <w:rsid w:val="008B2287"/>
    <w:rsid w:val="008B2353"/>
    <w:rsid w:val="008B2C31"/>
    <w:rsid w:val="008B2D42"/>
    <w:rsid w:val="008B2E71"/>
    <w:rsid w:val="008B3F07"/>
    <w:rsid w:val="008B3FC5"/>
    <w:rsid w:val="008B411B"/>
    <w:rsid w:val="008B469E"/>
    <w:rsid w:val="008B4B8E"/>
    <w:rsid w:val="008B4EA4"/>
    <w:rsid w:val="008B5193"/>
    <w:rsid w:val="008B5691"/>
    <w:rsid w:val="008B585A"/>
    <w:rsid w:val="008B5B32"/>
    <w:rsid w:val="008B5B9B"/>
    <w:rsid w:val="008B5DD4"/>
    <w:rsid w:val="008B6A73"/>
    <w:rsid w:val="008B6AA7"/>
    <w:rsid w:val="008B7019"/>
    <w:rsid w:val="008B7216"/>
    <w:rsid w:val="008B7B13"/>
    <w:rsid w:val="008C01AD"/>
    <w:rsid w:val="008C036C"/>
    <w:rsid w:val="008C0580"/>
    <w:rsid w:val="008C0645"/>
    <w:rsid w:val="008C069A"/>
    <w:rsid w:val="008C0D18"/>
    <w:rsid w:val="008C0F8A"/>
    <w:rsid w:val="008C104A"/>
    <w:rsid w:val="008C1189"/>
    <w:rsid w:val="008C1A8F"/>
    <w:rsid w:val="008C1C6B"/>
    <w:rsid w:val="008C1EE5"/>
    <w:rsid w:val="008C26C4"/>
    <w:rsid w:val="008C2989"/>
    <w:rsid w:val="008C334E"/>
    <w:rsid w:val="008C3447"/>
    <w:rsid w:val="008C34E0"/>
    <w:rsid w:val="008C3552"/>
    <w:rsid w:val="008C3D0F"/>
    <w:rsid w:val="008C3D9E"/>
    <w:rsid w:val="008C460D"/>
    <w:rsid w:val="008C4765"/>
    <w:rsid w:val="008C4BA8"/>
    <w:rsid w:val="008C4D2C"/>
    <w:rsid w:val="008C5627"/>
    <w:rsid w:val="008C5730"/>
    <w:rsid w:val="008C5777"/>
    <w:rsid w:val="008C6339"/>
    <w:rsid w:val="008C6495"/>
    <w:rsid w:val="008C65C8"/>
    <w:rsid w:val="008C67E8"/>
    <w:rsid w:val="008C69C5"/>
    <w:rsid w:val="008C6A02"/>
    <w:rsid w:val="008C6C22"/>
    <w:rsid w:val="008C6DD7"/>
    <w:rsid w:val="008C7A9A"/>
    <w:rsid w:val="008C7BD4"/>
    <w:rsid w:val="008D012F"/>
    <w:rsid w:val="008D09DD"/>
    <w:rsid w:val="008D0AD5"/>
    <w:rsid w:val="008D11FE"/>
    <w:rsid w:val="008D1531"/>
    <w:rsid w:val="008D1784"/>
    <w:rsid w:val="008D1933"/>
    <w:rsid w:val="008D22AC"/>
    <w:rsid w:val="008D269A"/>
    <w:rsid w:val="008D2C5A"/>
    <w:rsid w:val="008D3168"/>
    <w:rsid w:val="008D32D7"/>
    <w:rsid w:val="008D32E3"/>
    <w:rsid w:val="008D475B"/>
    <w:rsid w:val="008D480A"/>
    <w:rsid w:val="008D4912"/>
    <w:rsid w:val="008D4B00"/>
    <w:rsid w:val="008D4B88"/>
    <w:rsid w:val="008D4DE6"/>
    <w:rsid w:val="008D4E88"/>
    <w:rsid w:val="008D58D7"/>
    <w:rsid w:val="008D5BAD"/>
    <w:rsid w:val="008D5C21"/>
    <w:rsid w:val="008D61A1"/>
    <w:rsid w:val="008D6612"/>
    <w:rsid w:val="008D69F5"/>
    <w:rsid w:val="008D7813"/>
    <w:rsid w:val="008D78A8"/>
    <w:rsid w:val="008D78FF"/>
    <w:rsid w:val="008D7BF5"/>
    <w:rsid w:val="008D7C17"/>
    <w:rsid w:val="008E12B2"/>
    <w:rsid w:val="008E1405"/>
    <w:rsid w:val="008E159A"/>
    <w:rsid w:val="008E1D7F"/>
    <w:rsid w:val="008E1E0C"/>
    <w:rsid w:val="008E1FB4"/>
    <w:rsid w:val="008E2363"/>
    <w:rsid w:val="008E2777"/>
    <w:rsid w:val="008E29BF"/>
    <w:rsid w:val="008E317E"/>
    <w:rsid w:val="008E31ED"/>
    <w:rsid w:val="008E35FE"/>
    <w:rsid w:val="008E45BE"/>
    <w:rsid w:val="008E4982"/>
    <w:rsid w:val="008E4B1A"/>
    <w:rsid w:val="008E4DBA"/>
    <w:rsid w:val="008E4EFA"/>
    <w:rsid w:val="008E522D"/>
    <w:rsid w:val="008E54CE"/>
    <w:rsid w:val="008E606F"/>
    <w:rsid w:val="008E6FF2"/>
    <w:rsid w:val="008E7763"/>
    <w:rsid w:val="008F02CA"/>
    <w:rsid w:val="008F07FC"/>
    <w:rsid w:val="008F0C3A"/>
    <w:rsid w:val="008F0D42"/>
    <w:rsid w:val="008F1BCE"/>
    <w:rsid w:val="008F1E49"/>
    <w:rsid w:val="008F21C9"/>
    <w:rsid w:val="008F242B"/>
    <w:rsid w:val="008F276B"/>
    <w:rsid w:val="008F2866"/>
    <w:rsid w:val="008F2D4D"/>
    <w:rsid w:val="008F3164"/>
    <w:rsid w:val="008F33C7"/>
    <w:rsid w:val="008F3519"/>
    <w:rsid w:val="008F35BD"/>
    <w:rsid w:val="008F39BE"/>
    <w:rsid w:val="008F3D5C"/>
    <w:rsid w:val="008F4478"/>
    <w:rsid w:val="008F4A7E"/>
    <w:rsid w:val="008F5299"/>
    <w:rsid w:val="008F55C7"/>
    <w:rsid w:val="008F56A0"/>
    <w:rsid w:val="008F5DB8"/>
    <w:rsid w:val="008F5E79"/>
    <w:rsid w:val="008F5FF7"/>
    <w:rsid w:val="008F626C"/>
    <w:rsid w:val="008F6564"/>
    <w:rsid w:val="008F6B38"/>
    <w:rsid w:val="008F6E78"/>
    <w:rsid w:val="008F703E"/>
    <w:rsid w:val="008F79B3"/>
    <w:rsid w:val="008F7CE7"/>
    <w:rsid w:val="008F7E54"/>
    <w:rsid w:val="00900174"/>
    <w:rsid w:val="009003BE"/>
    <w:rsid w:val="009004D6"/>
    <w:rsid w:val="00900CE6"/>
    <w:rsid w:val="00901981"/>
    <w:rsid w:val="00901C26"/>
    <w:rsid w:val="0090239A"/>
    <w:rsid w:val="009023B3"/>
    <w:rsid w:val="009029E9"/>
    <w:rsid w:val="00902BD9"/>
    <w:rsid w:val="00902D73"/>
    <w:rsid w:val="00902E86"/>
    <w:rsid w:val="009034E3"/>
    <w:rsid w:val="00903694"/>
    <w:rsid w:val="00903C27"/>
    <w:rsid w:val="00903F33"/>
    <w:rsid w:val="00903FCE"/>
    <w:rsid w:val="009044AB"/>
    <w:rsid w:val="0090456B"/>
    <w:rsid w:val="00904E8B"/>
    <w:rsid w:val="0090524F"/>
    <w:rsid w:val="00906746"/>
    <w:rsid w:val="00906C2F"/>
    <w:rsid w:val="0090734D"/>
    <w:rsid w:val="00907899"/>
    <w:rsid w:val="00910899"/>
    <w:rsid w:val="00911341"/>
    <w:rsid w:val="00911436"/>
    <w:rsid w:val="00911656"/>
    <w:rsid w:val="0091238F"/>
    <w:rsid w:val="009124ED"/>
    <w:rsid w:val="00912868"/>
    <w:rsid w:val="00912A4F"/>
    <w:rsid w:val="00912ACE"/>
    <w:rsid w:val="00913137"/>
    <w:rsid w:val="009131F2"/>
    <w:rsid w:val="009136A2"/>
    <w:rsid w:val="00914098"/>
    <w:rsid w:val="0091409B"/>
    <w:rsid w:val="00914338"/>
    <w:rsid w:val="00914445"/>
    <w:rsid w:val="00914DA7"/>
    <w:rsid w:val="00914EB0"/>
    <w:rsid w:val="00914F3E"/>
    <w:rsid w:val="00915928"/>
    <w:rsid w:val="00915CC7"/>
    <w:rsid w:val="00915F63"/>
    <w:rsid w:val="00915F95"/>
    <w:rsid w:val="00916615"/>
    <w:rsid w:val="00916705"/>
    <w:rsid w:val="00916AFA"/>
    <w:rsid w:val="009170D4"/>
    <w:rsid w:val="009177E9"/>
    <w:rsid w:val="00920767"/>
    <w:rsid w:val="009209FB"/>
    <w:rsid w:val="0092188B"/>
    <w:rsid w:val="009218A1"/>
    <w:rsid w:val="009221AD"/>
    <w:rsid w:val="00922A85"/>
    <w:rsid w:val="00922B06"/>
    <w:rsid w:val="00922D3E"/>
    <w:rsid w:val="009230CE"/>
    <w:rsid w:val="009231AD"/>
    <w:rsid w:val="00923366"/>
    <w:rsid w:val="009235DC"/>
    <w:rsid w:val="009238C2"/>
    <w:rsid w:val="00923CAB"/>
    <w:rsid w:val="009240B7"/>
    <w:rsid w:val="009243FB"/>
    <w:rsid w:val="009245E3"/>
    <w:rsid w:val="009246F5"/>
    <w:rsid w:val="009252E3"/>
    <w:rsid w:val="00925515"/>
    <w:rsid w:val="00925F8E"/>
    <w:rsid w:val="0092600B"/>
    <w:rsid w:val="00926400"/>
    <w:rsid w:val="009265C7"/>
    <w:rsid w:val="00926CF8"/>
    <w:rsid w:val="00926D59"/>
    <w:rsid w:val="0092794A"/>
    <w:rsid w:val="009300CC"/>
    <w:rsid w:val="00930173"/>
    <w:rsid w:val="009304CD"/>
    <w:rsid w:val="009305C0"/>
    <w:rsid w:val="0093070D"/>
    <w:rsid w:val="009309ED"/>
    <w:rsid w:val="00930D09"/>
    <w:rsid w:val="00930FA7"/>
    <w:rsid w:val="00931079"/>
    <w:rsid w:val="009312B2"/>
    <w:rsid w:val="00931AFB"/>
    <w:rsid w:val="00931D90"/>
    <w:rsid w:val="00932589"/>
    <w:rsid w:val="009328C9"/>
    <w:rsid w:val="00932B41"/>
    <w:rsid w:val="00932D73"/>
    <w:rsid w:val="00932DFA"/>
    <w:rsid w:val="009331CF"/>
    <w:rsid w:val="0093340E"/>
    <w:rsid w:val="009334AC"/>
    <w:rsid w:val="0093371F"/>
    <w:rsid w:val="00934060"/>
    <w:rsid w:val="0093449E"/>
    <w:rsid w:val="00934511"/>
    <w:rsid w:val="00934564"/>
    <w:rsid w:val="00934C8B"/>
    <w:rsid w:val="009353BC"/>
    <w:rsid w:val="00935E03"/>
    <w:rsid w:val="009361A8"/>
    <w:rsid w:val="0093636D"/>
    <w:rsid w:val="00936C08"/>
    <w:rsid w:val="009374D4"/>
    <w:rsid w:val="00937CF5"/>
    <w:rsid w:val="00937E53"/>
    <w:rsid w:val="00940149"/>
    <w:rsid w:val="00940425"/>
    <w:rsid w:val="0094146D"/>
    <w:rsid w:val="009418AD"/>
    <w:rsid w:val="00941A22"/>
    <w:rsid w:val="00941E32"/>
    <w:rsid w:val="00941ED9"/>
    <w:rsid w:val="00942010"/>
    <w:rsid w:val="0094227C"/>
    <w:rsid w:val="009424BE"/>
    <w:rsid w:val="00942700"/>
    <w:rsid w:val="009428B5"/>
    <w:rsid w:val="00942922"/>
    <w:rsid w:val="0094320A"/>
    <w:rsid w:val="00943B25"/>
    <w:rsid w:val="00943CED"/>
    <w:rsid w:val="00943EDE"/>
    <w:rsid w:val="0094417F"/>
    <w:rsid w:val="00944196"/>
    <w:rsid w:val="00944769"/>
    <w:rsid w:val="009458E0"/>
    <w:rsid w:val="00945A89"/>
    <w:rsid w:val="00945B2A"/>
    <w:rsid w:val="00946132"/>
    <w:rsid w:val="009471AD"/>
    <w:rsid w:val="00950251"/>
    <w:rsid w:val="00950C3F"/>
    <w:rsid w:val="00950ECA"/>
    <w:rsid w:val="009514BA"/>
    <w:rsid w:val="0095170D"/>
    <w:rsid w:val="00952025"/>
    <w:rsid w:val="00952632"/>
    <w:rsid w:val="009527B4"/>
    <w:rsid w:val="0095307F"/>
    <w:rsid w:val="00953700"/>
    <w:rsid w:val="009546EE"/>
    <w:rsid w:val="00954779"/>
    <w:rsid w:val="009548FF"/>
    <w:rsid w:val="00954D17"/>
    <w:rsid w:val="00954D35"/>
    <w:rsid w:val="00954E3D"/>
    <w:rsid w:val="00955526"/>
    <w:rsid w:val="00956392"/>
    <w:rsid w:val="00957228"/>
    <w:rsid w:val="0095723A"/>
    <w:rsid w:val="00957FD5"/>
    <w:rsid w:val="009602B3"/>
    <w:rsid w:val="00960512"/>
    <w:rsid w:val="00960913"/>
    <w:rsid w:val="00961229"/>
    <w:rsid w:val="00961BE3"/>
    <w:rsid w:val="00961C1F"/>
    <w:rsid w:val="00962276"/>
    <w:rsid w:val="009624F6"/>
    <w:rsid w:val="00962538"/>
    <w:rsid w:val="00963511"/>
    <w:rsid w:val="00965089"/>
    <w:rsid w:val="00965269"/>
    <w:rsid w:val="009652DC"/>
    <w:rsid w:val="009654CB"/>
    <w:rsid w:val="009661F2"/>
    <w:rsid w:val="009665A8"/>
    <w:rsid w:val="00966806"/>
    <w:rsid w:val="0096693E"/>
    <w:rsid w:val="00966C09"/>
    <w:rsid w:val="00966C98"/>
    <w:rsid w:val="00966DD8"/>
    <w:rsid w:val="00966F78"/>
    <w:rsid w:val="0096754D"/>
    <w:rsid w:val="00967568"/>
    <w:rsid w:val="00967571"/>
    <w:rsid w:val="0096797A"/>
    <w:rsid w:val="00967CE3"/>
    <w:rsid w:val="00967F3D"/>
    <w:rsid w:val="00970223"/>
    <w:rsid w:val="009703E3"/>
    <w:rsid w:val="00970D2E"/>
    <w:rsid w:val="00970E24"/>
    <w:rsid w:val="00971209"/>
    <w:rsid w:val="009712D1"/>
    <w:rsid w:val="00971512"/>
    <w:rsid w:val="009717E3"/>
    <w:rsid w:val="0097185D"/>
    <w:rsid w:val="009732E6"/>
    <w:rsid w:val="00973391"/>
    <w:rsid w:val="00973423"/>
    <w:rsid w:val="00973CAA"/>
    <w:rsid w:val="00973E9B"/>
    <w:rsid w:val="00974104"/>
    <w:rsid w:val="009745AD"/>
    <w:rsid w:val="009750D1"/>
    <w:rsid w:val="00975A35"/>
    <w:rsid w:val="00975A73"/>
    <w:rsid w:val="00975AE3"/>
    <w:rsid w:val="00975B0B"/>
    <w:rsid w:val="00975B0F"/>
    <w:rsid w:val="00975D5D"/>
    <w:rsid w:val="00975EF7"/>
    <w:rsid w:val="00975F9C"/>
    <w:rsid w:val="0097600F"/>
    <w:rsid w:val="009761D9"/>
    <w:rsid w:val="009763C6"/>
    <w:rsid w:val="0097670E"/>
    <w:rsid w:val="00976A5B"/>
    <w:rsid w:val="00976C7A"/>
    <w:rsid w:val="00976CDA"/>
    <w:rsid w:val="00977053"/>
    <w:rsid w:val="009775C1"/>
    <w:rsid w:val="00977B05"/>
    <w:rsid w:val="00977C05"/>
    <w:rsid w:val="00977E1A"/>
    <w:rsid w:val="00977F0F"/>
    <w:rsid w:val="009802BA"/>
    <w:rsid w:val="009807EB"/>
    <w:rsid w:val="00980A30"/>
    <w:rsid w:val="00980CAC"/>
    <w:rsid w:val="00980E55"/>
    <w:rsid w:val="00980F87"/>
    <w:rsid w:val="009810BB"/>
    <w:rsid w:val="00981427"/>
    <w:rsid w:val="00981467"/>
    <w:rsid w:val="00982155"/>
    <w:rsid w:val="00982188"/>
    <w:rsid w:val="00982203"/>
    <w:rsid w:val="00982994"/>
    <w:rsid w:val="00982ACF"/>
    <w:rsid w:val="0098356D"/>
    <w:rsid w:val="00983648"/>
    <w:rsid w:val="00983692"/>
    <w:rsid w:val="00983869"/>
    <w:rsid w:val="00984441"/>
    <w:rsid w:val="009844AC"/>
    <w:rsid w:val="009844CF"/>
    <w:rsid w:val="009845D9"/>
    <w:rsid w:val="0098486B"/>
    <w:rsid w:val="00984DD8"/>
    <w:rsid w:val="009850A1"/>
    <w:rsid w:val="00985273"/>
    <w:rsid w:val="00986FC3"/>
    <w:rsid w:val="00987A76"/>
    <w:rsid w:val="0099085F"/>
    <w:rsid w:val="00990E9C"/>
    <w:rsid w:val="00991695"/>
    <w:rsid w:val="0099182A"/>
    <w:rsid w:val="00992426"/>
    <w:rsid w:val="009925DB"/>
    <w:rsid w:val="00992BA9"/>
    <w:rsid w:val="00993114"/>
    <w:rsid w:val="00993B72"/>
    <w:rsid w:val="00993CC9"/>
    <w:rsid w:val="009940A4"/>
    <w:rsid w:val="00994533"/>
    <w:rsid w:val="00994773"/>
    <w:rsid w:val="00994866"/>
    <w:rsid w:val="00994E1D"/>
    <w:rsid w:val="009951EA"/>
    <w:rsid w:val="0099543E"/>
    <w:rsid w:val="00995AD7"/>
    <w:rsid w:val="00995BB2"/>
    <w:rsid w:val="00995E8B"/>
    <w:rsid w:val="00996431"/>
    <w:rsid w:val="00997AC5"/>
    <w:rsid w:val="009A03C5"/>
    <w:rsid w:val="009A0BFC"/>
    <w:rsid w:val="009A0D27"/>
    <w:rsid w:val="009A0F7D"/>
    <w:rsid w:val="009A10CC"/>
    <w:rsid w:val="009A1166"/>
    <w:rsid w:val="009A136A"/>
    <w:rsid w:val="009A143D"/>
    <w:rsid w:val="009A1740"/>
    <w:rsid w:val="009A178E"/>
    <w:rsid w:val="009A2132"/>
    <w:rsid w:val="009A33BA"/>
    <w:rsid w:val="009A349D"/>
    <w:rsid w:val="009A3CB9"/>
    <w:rsid w:val="009A3E7C"/>
    <w:rsid w:val="009A4305"/>
    <w:rsid w:val="009A580E"/>
    <w:rsid w:val="009A5979"/>
    <w:rsid w:val="009A6430"/>
    <w:rsid w:val="009A688C"/>
    <w:rsid w:val="009A6A4D"/>
    <w:rsid w:val="009A6D5F"/>
    <w:rsid w:val="009A6F74"/>
    <w:rsid w:val="009A718D"/>
    <w:rsid w:val="009A7683"/>
    <w:rsid w:val="009A7B66"/>
    <w:rsid w:val="009B007A"/>
    <w:rsid w:val="009B0768"/>
    <w:rsid w:val="009B08C4"/>
    <w:rsid w:val="009B115D"/>
    <w:rsid w:val="009B19E4"/>
    <w:rsid w:val="009B2138"/>
    <w:rsid w:val="009B2AEF"/>
    <w:rsid w:val="009B33D7"/>
    <w:rsid w:val="009B3DA0"/>
    <w:rsid w:val="009B3DC9"/>
    <w:rsid w:val="009B4729"/>
    <w:rsid w:val="009B4ADC"/>
    <w:rsid w:val="009B4F83"/>
    <w:rsid w:val="009B518F"/>
    <w:rsid w:val="009B5591"/>
    <w:rsid w:val="009B56F6"/>
    <w:rsid w:val="009B59B9"/>
    <w:rsid w:val="009B5AC4"/>
    <w:rsid w:val="009B5B26"/>
    <w:rsid w:val="009B611E"/>
    <w:rsid w:val="009B641D"/>
    <w:rsid w:val="009B6634"/>
    <w:rsid w:val="009B72E8"/>
    <w:rsid w:val="009B7FA4"/>
    <w:rsid w:val="009C0500"/>
    <w:rsid w:val="009C0897"/>
    <w:rsid w:val="009C0A6D"/>
    <w:rsid w:val="009C0CC4"/>
    <w:rsid w:val="009C0F03"/>
    <w:rsid w:val="009C0FC2"/>
    <w:rsid w:val="009C19FF"/>
    <w:rsid w:val="009C20D1"/>
    <w:rsid w:val="009C2442"/>
    <w:rsid w:val="009C260C"/>
    <w:rsid w:val="009C278B"/>
    <w:rsid w:val="009C293A"/>
    <w:rsid w:val="009C2B9B"/>
    <w:rsid w:val="009C4202"/>
    <w:rsid w:val="009C442E"/>
    <w:rsid w:val="009C4CFB"/>
    <w:rsid w:val="009C4D08"/>
    <w:rsid w:val="009C4F22"/>
    <w:rsid w:val="009C54F5"/>
    <w:rsid w:val="009C6630"/>
    <w:rsid w:val="009C6BFD"/>
    <w:rsid w:val="009C7F62"/>
    <w:rsid w:val="009D0799"/>
    <w:rsid w:val="009D0A54"/>
    <w:rsid w:val="009D15C4"/>
    <w:rsid w:val="009D166F"/>
    <w:rsid w:val="009D1D13"/>
    <w:rsid w:val="009D1FBC"/>
    <w:rsid w:val="009D2770"/>
    <w:rsid w:val="009D28C2"/>
    <w:rsid w:val="009D3237"/>
    <w:rsid w:val="009D360C"/>
    <w:rsid w:val="009D3628"/>
    <w:rsid w:val="009D3DC7"/>
    <w:rsid w:val="009D4C2A"/>
    <w:rsid w:val="009D4D71"/>
    <w:rsid w:val="009D5E2D"/>
    <w:rsid w:val="009D6019"/>
    <w:rsid w:val="009D6914"/>
    <w:rsid w:val="009D6F8D"/>
    <w:rsid w:val="009D7DFB"/>
    <w:rsid w:val="009E0691"/>
    <w:rsid w:val="009E0FB4"/>
    <w:rsid w:val="009E13D8"/>
    <w:rsid w:val="009E1467"/>
    <w:rsid w:val="009E1A3C"/>
    <w:rsid w:val="009E1C22"/>
    <w:rsid w:val="009E2033"/>
    <w:rsid w:val="009E2481"/>
    <w:rsid w:val="009E2636"/>
    <w:rsid w:val="009E2E19"/>
    <w:rsid w:val="009E37E4"/>
    <w:rsid w:val="009E3C7E"/>
    <w:rsid w:val="009E3DB6"/>
    <w:rsid w:val="009E3DC4"/>
    <w:rsid w:val="009E3EC3"/>
    <w:rsid w:val="009E3FAC"/>
    <w:rsid w:val="009E4389"/>
    <w:rsid w:val="009E43E8"/>
    <w:rsid w:val="009E4637"/>
    <w:rsid w:val="009E4C70"/>
    <w:rsid w:val="009E50CA"/>
    <w:rsid w:val="009E6E04"/>
    <w:rsid w:val="009E704A"/>
    <w:rsid w:val="009E72FA"/>
    <w:rsid w:val="009E7522"/>
    <w:rsid w:val="009E7696"/>
    <w:rsid w:val="009E77B6"/>
    <w:rsid w:val="009E7A04"/>
    <w:rsid w:val="009F00DE"/>
    <w:rsid w:val="009F02F8"/>
    <w:rsid w:val="009F034C"/>
    <w:rsid w:val="009F0381"/>
    <w:rsid w:val="009F193A"/>
    <w:rsid w:val="009F2893"/>
    <w:rsid w:val="009F2D99"/>
    <w:rsid w:val="009F3387"/>
    <w:rsid w:val="009F3631"/>
    <w:rsid w:val="009F363C"/>
    <w:rsid w:val="009F3679"/>
    <w:rsid w:val="009F3790"/>
    <w:rsid w:val="009F4729"/>
    <w:rsid w:val="009F476C"/>
    <w:rsid w:val="009F5779"/>
    <w:rsid w:val="009F586C"/>
    <w:rsid w:val="009F5D30"/>
    <w:rsid w:val="009F682E"/>
    <w:rsid w:val="009F69DF"/>
    <w:rsid w:val="009F6BAE"/>
    <w:rsid w:val="009F6CB7"/>
    <w:rsid w:val="009F732D"/>
    <w:rsid w:val="009F782D"/>
    <w:rsid w:val="009F7A90"/>
    <w:rsid w:val="009F7B88"/>
    <w:rsid w:val="009F7CEB"/>
    <w:rsid w:val="009F7D8A"/>
    <w:rsid w:val="00A00520"/>
    <w:rsid w:val="00A006EE"/>
    <w:rsid w:val="00A0094C"/>
    <w:rsid w:val="00A01C48"/>
    <w:rsid w:val="00A01E12"/>
    <w:rsid w:val="00A0273E"/>
    <w:rsid w:val="00A02878"/>
    <w:rsid w:val="00A02C79"/>
    <w:rsid w:val="00A03256"/>
    <w:rsid w:val="00A03258"/>
    <w:rsid w:val="00A03A7A"/>
    <w:rsid w:val="00A03D63"/>
    <w:rsid w:val="00A040FD"/>
    <w:rsid w:val="00A041E9"/>
    <w:rsid w:val="00A0426A"/>
    <w:rsid w:val="00A04C0D"/>
    <w:rsid w:val="00A058C2"/>
    <w:rsid w:val="00A06062"/>
    <w:rsid w:val="00A06683"/>
    <w:rsid w:val="00A068D5"/>
    <w:rsid w:val="00A06C71"/>
    <w:rsid w:val="00A06F25"/>
    <w:rsid w:val="00A06F2C"/>
    <w:rsid w:val="00A070A5"/>
    <w:rsid w:val="00A07327"/>
    <w:rsid w:val="00A0735F"/>
    <w:rsid w:val="00A07D60"/>
    <w:rsid w:val="00A10C5A"/>
    <w:rsid w:val="00A10FBF"/>
    <w:rsid w:val="00A116BB"/>
    <w:rsid w:val="00A11ADE"/>
    <w:rsid w:val="00A11B04"/>
    <w:rsid w:val="00A11E76"/>
    <w:rsid w:val="00A12799"/>
    <w:rsid w:val="00A12A44"/>
    <w:rsid w:val="00A12E67"/>
    <w:rsid w:val="00A13A08"/>
    <w:rsid w:val="00A13A6D"/>
    <w:rsid w:val="00A13E6F"/>
    <w:rsid w:val="00A13EF8"/>
    <w:rsid w:val="00A15628"/>
    <w:rsid w:val="00A16638"/>
    <w:rsid w:val="00A16B7B"/>
    <w:rsid w:val="00A16D8C"/>
    <w:rsid w:val="00A17490"/>
    <w:rsid w:val="00A179C8"/>
    <w:rsid w:val="00A17A16"/>
    <w:rsid w:val="00A17AB3"/>
    <w:rsid w:val="00A17EB5"/>
    <w:rsid w:val="00A200D6"/>
    <w:rsid w:val="00A20A3D"/>
    <w:rsid w:val="00A20B1A"/>
    <w:rsid w:val="00A20CEE"/>
    <w:rsid w:val="00A21247"/>
    <w:rsid w:val="00A216F9"/>
    <w:rsid w:val="00A21AEC"/>
    <w:rsid w:val="00A22558"/>
    <w:rsid w:val="00A22A39"/>
    <w:rsid w:val="00A22C5C"/>
    <w:rsid w:val="00A22EC5"/>
    <w:rsid w:val="00A2315A"/>
    <w:rsid w:val="00A23567"/>
    <w:rsid w:val="00A24C7F"/>
    <w:rsid w:val="00A25372"/>
    <w:rsid w:val="00A25818"/>
    <w:rsid w:val="00A25A26"/>
    <w:rsid w:val="00A25E8D"/>
    <w:rsid w:val="00A25EAC"/>
    <w:rsid w:val="00A264FB"/>
    <w:rsid w:val="00A26699"/>
    <w:rsid w:val="00A266FC"/>
    <w:rsid w:val="00A2672F"/>
    <w:rsid w:val="00A26E4A"/>
    <w:rsid w:val="00A27690"/>
    <w:rsid w:val="00A279F9"/>
    <w:rsid w:val="00A27A9B"/>
    <w:rsid w:val="00A308C0"/>
    <w:rsid w:val="00A30AF3"/>
    <w:rsid w:val="00A30C72"/>
    <w:rsid w:val="00A312FE"/>
    <w:rsid w:val="00A32A75"/>
    <w:rsid w:val="00A32BB8"/>
    <w:rsid w:val="00A338DB"/>
    <w:rsid w:val="00A33EE4"/>
    <w:rsid w:val="00A33F9B"/>
    <w:rsid w:val="00A34222"/>
    <w:rsid w:val="00A3439F"/>
    <w:rsid w:val="00A34436"/>
    <w:rsid w:val="00A35835"/>
    <w:rsid w:val="00A3620A"/>
    <w:rsid w:val="00A368C8"/>
    <w:rsid w:val="00A36C8C"/>
    <w:rsid w:val="00A3702E"/>
    <w:rsid w:val="00A370F3"/>
    <w:rsid w:val="00A40599"/>
    <w:rsid w:val="00A4071C"/>
    <w:rsid w:val="00A4176F"/>
    <w:rsid w:val="00A41851"/>
    <w:rsid w:val="00A41E5D"/>
    <w:rsid w:val="00A41F60"/>
    <w:rsid w:val="00A42B2D"/>
    <w:rsid w:val="00A42D1A"/>
    <w:rsid w:val="00A434E0"/>
    <w:rsid w:val="00A4353E"/>
    <w:rsid w:val="00A43FAC"/>
    <w:rsid w:val="00A44019"/>
    <w:rsid w:val="00A449DF"/>
    <w:rsid w:val="00A44A61"/>
    <w:rsid w:val="00A44B50"/>
    <w:rsid w:val="00A44E4B"/>
    <w:rsid w:val="00A45200"/>
    <w:rsid w:val="00A45378"/>
    <w:rsid w:val="00A459F9"/>
    <w:rsid w:val="00A45B01"/>
    <w:rsid w:val="00A4693D"/>
    <w:rsid w:val="00A46E38"/>
    <w:rsid w:val="00A477E3"/>
    <w:rsid w:val="00A5043A"/>
    <w:rsid w:val="00A51A25"/>
    <w:rsid w:val="00A51F31"/>
    <w:rsid w:val="00A52507"/>
    <w:rsid w:val="00A52A01"/>
    <w:rsid w:val="00A530F2"/>
    <w:rsid w:val="00A535A6"/>
    <w:rsid w:val="00A535FB"/>
    <w:rsid w:val="00A53FA8"/>
    <w:rsid w:val="00A5453C"/>
    <w:rsid w:val="00A549AA"/>
    <w:rsid w:val="00A54CAB"/>
    <w:rsid w:val="00A550AE"/>
    <w:rsid w:val="00A55405"/>
    <w:rsid w:val="00A55585"/>
    <w:rsid w:val="00A55660"/>
    <w:rsid w:val="00A55B6E"/>
    <w:rsid w:val="00A55DC5"/>
    <w:rsid w:val="00A576B4"/>
    <w:rsid w:val="00A57905"/>
    <w:rsid w:val="00A60999"/>
    <w:rsid w:val="00A6123C"/>
    <w:rsid w:val="00A612E7"/>
    <w:rsid w:val="00A61A40"/>
    <w:rsid w:val="00A61B06"/>
    <w:rsid w:val="00A61C56"/>
    <w:rsid w:val="00A61EAF"/>
    <w:rsid w:val="00A62875"/>
    <w:rsid w:val="00A62942"/>
    <w:rsid w:val="00A62E60"/>
    <w:rsid w:val="00A63630"/>
    <w:rsid w:val="00A6374D"/>
    <w:rsid w:val="00A63AC4"/>
    <w:rsid w:val="00A63BED"/>
    <w:rsid w:val="00A63E57"/>
    <w:rsid w:val="00A645B5"/>
    <w:rsid w:val="00A64B5F"/>
    <w:rsid w:val="00A6517D"/>
    <w:rsid w:val="00A65211"/>
    <w:rsid w:val="00A6525E"/>
    <w:rsid w:val="00A65C1F"/>
    <w:rsid w:val="00A65C5B"/>
    <w:rsid w:val="00A6618B"/>
    <w:rsid w:val="00A668E7"/>
    <w:rsid w:val="00A672B4"/>
    <w:rsid w:val="00A67670"/>
    <w:rsid w:val="00A677E9"/>
    <w:rsid w:val="00A67C0E"/>
    <w:rsid w:val="00A67F5E"/>
    <w:rsid w:val="00A67F81"/>
    <w:rsid w:val="00A70057"/>
    <w:rsid w:val="00A70471"/>
    <w:rsid w:val="00A70A61"/>
    <w:rsid w:val="00A70C36"/>
    <w:rsid w:val="00A71E4E"/>
    <w:rsid w:val="00A727BB"/>
    <w:rsid w:val="00A7288D"/>
    <w:rsid w:val="00A7343D"/>
    <w:rsid w:val="00A7354B"/>
    <w:rsid w:val="00A73A9C"/>
    <w:rsid w:val="00A73DE8"/>
    <w:rsid w:val="00A73FC6"/>
    <w:rsid w:val="00A7424C"/>
    <w:rsid w:val="00A7468E"/>
    <w:rsid w:val="00A75112"/>
    <w:rsid w:val="00A75752"/>
    <w:rsid w:val="00A75CA9"/>
    <w:rsid w:val="00A75DA1"/>
    <w:rsid w:val="00A75DD6"/>
    <w:rsid w:val="00A76569"/>
    <w:rsid w:val="00A767BE"/>
    <w:rsid w:val="00A76EA4"/>
    <w:rsid w:val="00A77B4F"/>
    <w:rsid w:val="00A77BDE"/>
    <w:rsid w:val="00A77CBB"/>
    <w:rsid w:val="00A77F64"/>
    <w:rsid w:val="00A77FA5"/>
    <w:rsid w:val="00A81F82"/>
    <w:rsid w:val="00A82437"/>
    <w:rsid w:val="00A83944"/>
    <w:rsid w:val="00A841B0"/>
    <w:rsid w:val="00A84706"/>
    <w:rsid w:val="00A849AE"/>
    <w:rsid w:val="00A84EAA"/>
    <w:rsid w:val="00A85138"/>
    <w:rsid w:val="00A85A2B"/>
    <w:rsid w:val="00A86148"/>
    <w:rsid w:val="00A86357"/>
    <w:rsid w:val="00A863A3"/>
    <w:rsid w:val="00A863F7"/>
    <w:rsid w:val="00A86C32"/>
    <w:rsid w:val="00A875F9"/>
    <w:rsid w:val="00A87B99"/>
    <w:rsid w:val="00A87F47"/>
    <w:rsid w:val="00A903E5"/>
    <w:rsid w:val="00A903F3"/>
    <w:rsid w:val="00A904CB"/>
    <w:rsid w:val="00A918BB"/>
    <w:rsid w:val="00A91EF2"/>
    <w:rsid w:val="00A92EBE"/>
    <w:rsid w:val="00A92F42"/>
    <w:rsid w:val="00A93543"/>
    <w:rsid w:val="00A938A9"/>
    <w:rsid w:val="00A93D96"/>
    <w:rsid w:val="00A93F16"/>
    <w:rsid w:val="00A93F6B"/>
    <w:rsid w:val="00A942F9"/>
    <w:rsid w:val="00A94A13"/>
    <w:rsid w:val="00A94EC9"/>
    <w:rsid w:val="00A94EFC"/>
    <w:rsid w:val="00A9542F"/>
    <w:rsid w:val="00A95CC8"/>
    <w:rsid w:val="00A95D71"/>
    <w:rsid w:val="00A9636D"/>
    <w:rsid w:val="00A963DD"/>
    <w:rsid w:val="00A9644D"/>
    <w:rsid w:val="00A96BDA"/>
    <w:rsid w:val="00A97584"/>
    <w:rsid w:val="00AA05E1"/>
    <w:rsid w:val="00AA0705"/>
    <w:rsid w:val="00AA07C1"/>
    <w:rsid w:val="00AA0D7E"/>
    <w:rsid w:val="00AA1044"/>
    <w:rsid w:val="00AA1681"/>
    <w:rsid w:val="00AA1CEE"/>
    <w:rsid w:val="00AA1E9F"/>
    <w:rsid w:val="00AA1FE1"/>
    <w:rsid w:val="00AA2AEE"/>
    <w:rsid w:val="00AA2BF9"/>
    <w:rsid w:val="00AA2E6C"/>
    <w:rsid w:val="00AA2FA1"/>
    <w:rsid w:val="00AA30F2"/>
    <w:rsid w:val="00AA3496"/>
    <w:rsid w:val="00AA4967"/>
    <w:rsid w:val="00AA4F28"/>
    <w:rsid w:val="00AA4FC2"/>
    <w:rsid w:val="00AA51C1"/>
    <w:rsid w:val="00AA51C2"/>
    <w:rsid w:val="00AA529A"/>
    <w:rsid w:val="00AA58F1"/>
    <w:rsid w:val="00AA60E5"/>
    <w:rsid w:val="00AA6156"/>
    <w:rsid w:val="00AA6C18"/>
    <w:rsid w:val="00AA738D"/>
    <w:rsid w:val="00AA73AC"/>
    <w:rsid w:val="00AA797D"/>
    <w:rsid w:val="00AA7B77"/>
    <w:rsid w:val="00AB01E1"/>
    <w:rsid w:val="00AB1837"/>
    <w:rsid w:val="00AB187A"/>
    <w:rsid w:val="00AB1C9D"/>
    <w:rsid w:val="00AB2AB7"/>
    <w:rsid w:val="00AB2C39"/>
    <w:rsid w:val="00AB2CB8"/>
    <w:rsid w:val="00AB33F7"/>
    <w:rsid w:val="00AB344E"/>
    <w:rsid w:val="00AB36DE"/>
    <w:rsid w:val="00AB3CE7"/>
    <w:rsid w:val="00AB46D5"/>
    <w:rsid w:val="00AB47DE"/>
    <w:rsid w:val="00AB514A"/>
    <w:rsid w:val="00AB5E49"/>
    <w:rsid w:val="00AB6A84"/>
    <w:rsid w:val="00AB6EEF"/>
    <w:rsid w:val="00AB71BF"/>
    <w:rsid w:val="00AB731C"/>
    <w:rsid w:val="00AB780D"/>
    <w:rsid w:val="00AB7F16"/>
    <w:rsid w:val="00AC0D83"/>
    <w:rsid w:val="00AC1421"/>
    <w:rsid w:val="00AC1E12"/>
    <w:rsid w:val="00AC1FA4"/>
    <w:rsid w:val="00AC28F7"/>
    <w:rsid w:val="00AC2D2E"/>
    <w:rsid w:val="00AC2FFC"/>
    <w:rsid w:val="00AC4287"/>
    <w:rsid w:val="00AC50E3"/>
    <w:rsid w:val="00AC512D"/>
    <w:rsid w:val="00AC514E"/>
    <w:rsid w:val="00AC5434"/>
    <w:rsid w:val="00AC561C"/>
    <w:rsid w:val="00AC58D3"/>
    <w:rsid w:val="00AC59CF"/>
    <w:rsid w:val="00AC5DB0"/>
    <w:rsid w:val="00AC5DD8"/>
    <w:rsid w:val="00AC6941"/>
    <w:rsid w:val="00AC6E3B"/>
    <w:rsid w:val="00AD01D0"/>
    <w:rsid w:val="00AD0784"/>
    <w:rsid w:val="00AD0B09"/>
    <w:rsid w:val="00AD0BCA"/>
    <w:rsid w:val="00AD1297"/>
    <w:rsid w:val="00AD1977"/>
    <w:rsid w:val="00AD19F2"/>
    <w:rsid w:val="00AD1A64"/>
    <w:rsid w:val="00AD21F0"/>
    <w:rsid w:val="00AD2A79"/>
    <w:rsid w:val="00AD2C65"/>
    <w:rsid w:val="00AD3058"/>
    <w:rsid w:val="00AD3546"/>
    <w:rsid w:val="00AD35BC"/>
    <w:rsid w:val="00AD39CA"/>
    <w:rsid w:val="00AD4467"/>
    <w:rsid w:val="00AD4613"/>
    <w:rsid w:val="00AD4B35"/>
    <w:rsid w:val="00AD518F"/>
    <w:rsid w:val="00AD51C9"/>
    <w:rsid w:val="00AD542F"/>
    <w:rsid w:val="00AD56AC"/>
    <w:rsid w:val="00AD57BE"/>
    <w:rsid w:val="00AD5AE5"/>
    <w:rsid w:val="00AD5B88"/>
    <w:rsid w:val="00AD5D28"/>
    <w:rsid w:val="00AD5E83"/>
    <w:rsid w:val="00AD64CD"/>
    <w:rsid w:val="00AD6CDA"/>
    <w:rsid w:val="00AD6EEA"/>
    <w:rsid w:val="00AD7421"/>
    <w:rsid w:val="00AD7593"/>
    <w:rsid w:val="00AD78E1"/>
    <w:rsid w:val="00AD7FFD"/>
    <w:rsid w:val="00AE123F"/>
    <w:rsid w:val="00AE1727"/>
    <w:rsid w:val="00AE1B29"/>
    <w:rsid w:val="00AE1E6A"/>
    <w:rsid w:val="00AE2A68"/>
    <w:rsid w:val="00AE2B5B"/>
    <w:rsid w:val="00AE2DE5"/>
    <w:rsid w:val="00AE3052"/>
    <w:rsid w:val="00AE36AC"/>
    <w:rsid w:val="00AE3A5A"/>
    <w:rsid w:val="00AE3BFE"/>
    <w:rsid w:val="00AE4068"/>
    <w:rsid w:val="00AE46FF"/>
    <w:rsid w:val="00AE486B"/>
    <w:rsid w:val="00AE4B0F"/>
    <w:rsid w:val="00AE56AB"/>
    <w:rsid w:val="00AE57EE"/>
    <w:rsid w:val="00AE5D5F"/>
    <w:rsid w:val="00AE76AD"/>
    <w:rsid w:val="00AE772D"/>
    <w:rsid w:val="00AE7E14"/>
    <w:rsid w:val="00AE7E3F"/>
    <w:rsid w:val="00AE7E99"/>
    <w:rsid w:val="00AF0059"/>
    <w:rsid w:val="00AF04E2"/>
    <w:rsid w:val="00AF0C88"/>
    <w:rsid w:val="00AF0DF9"/>
    <w:rsid w:val="00AF18FF"/>
    <w:rsid w:val="00AF1A88"/>
    <w:rsid w:val="00AF1A90"/>
    <w:rsid w:val="00AF1F79"/>
    <w:rsid w:val="00AF1FDB"/>
    <w:rsid w:val="00AF2292"/>
    <w:rsid w:val="00AF22A8"/>
    <w:rsid w:val="00AF24DD"/>
    <w:rsid w:val="00AF2AA8"/>
    <w:rsid w:val="00AF2D95"/>
    <w:rsid w:val="00AF34F0"/>
    <w:rsid w:val="00AF4B34"/>
    <w:rsid w:val="00AF4BE4"/>
    <w:rsid w:val="00AF4C16"/>
    <w:rsid w:val="00AF4CF0"/>
    <w:rsid w:val="00AF4D68"/>
    <w:rsid w:val="00AF4DD9"/>
    <w:rsid w:val="00AF62DC"/>
    <w:rsid w:val="00AF637F"/>
    <w:rsid w:val="00AF6BB6"/>
    <w:rsid w:val="00AF7178"/>
    <w:rsid w:val="00AF7B9A"/>
    <w:rsid w:val="00B00A52"/>
    <w:rsid w:val="00B00DC9"/>
    <w:rsid w:val="00B01002"/>
    <w:rsid w:val="00B01175"/>
    <w:rsid w:val="00B014A4"/>
    <w:rsid w:val="00B017CB"/>
    <w:rsid w:val="00B01BE1"/>
    <w:rsid w:val="00B0230D"/>
    <w:rsid w:val="00B02A35"/>
    <w:rsid w:val="00B02BFE"/>
    <w:rsid w:val="00B03516"/>
    <w:rsid w:val="00B03574"/>
    <w:rsid w:val="00B03622"/>
    <w:rsid w:val="00B03AD8"/>
    <w:rsid w:val="00B03B22"/>
    <w:rsid w:val="00B03BBF"/>
    <w:rsid w:val="00B0488D"/>
    <w:rsid w:val="00B04A80"/>
    <w:rsid w:val="00B0529B"/>
    <w:rsid w:val="00B05A6C"/>
    <w:rsid w:val="00B05CD6"/>
    <w:rsid w:val="00B05CED"/>
    <w:rsid w:val="00B05E21"/>
    <w:rsid w:val="00B05E75"/>
    <w:rsid w:val="00B05FD4"/>
    <w:rsid w:val="00B06284"/>
    <w:rsid w:val="00B0648D"/>
    <w:rsid w:val="00B069BA"/>
    <w:rsid w:val="00B06BB7"/>
    <w:rsid w:val="00B07553"/>
    <w:rsid w:val="00B0763E"/>
    <w:rsid w:val="00B0785B"/>
    <w:rsid w:val="00B07B99"/>
    <w:rsid w:val="00B10316"/>
    <w:rsid w:val="00B11284"/>
    <w:rsid w:val="00B11B7F"/>
    <w:rsid w:val="00B11C66"/>
    <w:rsid w:val="00B11EA0"/>
    <w:rsid w:val="00B11FE2"/>
    <w:rsid w:val="00B12144"/>
    <w:rsid w:val="00B12BB3"/>
    <w:rsid w:val="00B13271"/>
    <w:rsid w:val="00B13338"/>
    <w:rsid w:val="00B13545"/>
    <w:rsid w:val="00B13A01"/>
    <w:rsid w:val="00B13C09"/>
    <w:rsid w:val="00B1465E"/>
    <w:rsid w:val="00B14C80"/>
    <w:rsid w:val="00B14F1B"/>
    <w:rsid w:val="00B14FC2"/>
    <w:rsid w:val="00B1542E"/>
    <w:rsid w:val="00B158D8"/>
    <w:rsid w:val="00B1667D"/>
    <w:rsid w:val="00B167C2"/>
    <w:rsid w:val="00B1684A"/>
    <w:rsid w:val="00B16902"/>
    <w:rsid w:val="00B16AC9"/>
    <w:rsid w:val="00B1707A"/>
    <w:rsid w:val="00B170C3"/>
    <w:rsid w:val="00B17D2F"/>
    <w:rsid w:val="00B17FDB"/>
    <w:rsid w:val="00B20BAE"/>
    <w:rsid w:val="00B211F8"/>
    <w:rsid w:val="00B2138A"/>
    <w:rsid w:val="00B217CC"/>
    <w:rsid w:val="00B21BB1"/>
    <w:rsid w:val="00B21BCE"/>
    <w:rsid w:val="00B225D0"/>
    <w:rsid w:val="00B225EB"/>
    <w:rsid w:val="00B22634"/>
    <w:rsid w:val="00B22BB3"/>
    <w:rsid w:val="00B235C9"/>
    <w:rsid w:val="00B23AF6"/>
    <w:rsid w:val="00B24151"/>
    <w:rsid w:val="00B24EDE"/>
    <w:rsid w:val="00B2549C"/>
    <w:rsid w:val="00B259DF"/>
    <w:rsid w:val="00B25D68"/>
    <w:rsid w:val="00B2777B"/>
    <w:rsid w:val="00B30024"/>
    <w:rsid w:val="00B30120"/>
    <w:rsid w:val="00B30D73"/>
    <w:rsid w:val="00B31B14"/>
    <w:rsid w:val="00B31CED"/>
    <w:rsid w:val="00B32B0F"/>
    <w:rsid w:val="00B32B90"/>
    <w:rsid w:val="00B33914"/>
    <w:rsid w:val="00B34485"/>
    <w:rsid w:val="00B349EE"/>
    <w:rsid w:val="00B364E2"/>
    <w:rsid w:val="00B367E2"/>
    <w:rsid w:val="00B36AAA"/>
    <w:rsid w:val="00B36FC2"/>
    <w:rsid w:val="00B40419"/>
    <w:rsid w:val="00B40B50"/>
    <w:rsid w:val="00B41AC9"/>
    <w:rsid w:val="00B41BAE"/>
    <w:rsid w:val="00B4220C"/>
    <w:rsid w:val="00B42A71"/>
    <w:rsid w:val="00B4305B"/>
    <w:rsid w:val="00B4335E"/>
    <w:rsid w:val="00B436F7"/>
    <w:rsid w:val="00B446C2"/>
    <w:rsid w:val="00B446FB"/>
    <w:rsid w:val="00B453CB"/>
    <w:rsid w:val="00B454EA"/>
    <w:rsid w:val="00B45737"/>
    <w:rsid w:val="00B4656A"/>
    <w:rsid w:val="00B470ED"/>
    <w:rsid w:val="00B504D4"/>
    <w:rsid w:val="00B50AB6"/>
    <w:rsid w:val="00B51022"/>
    <w:rsid w:val="00B511D3"/>
    <w:rsid w:val="00B51252"/>
    <w:rsid w:val="00B523EC"/>
    <w:rsid w:val="00B52808"/>
    <w:rsid w:val="00B54552"/>
    <w:rsid w:val="00B55CAC"/>
    <w:rsid w:val="00B56195"/>
    <w:rsid w:val="00B5666A"/>
    <w:rsid w:val="00B56B3D"/>
    <w:rsid w:val="00B56D6A"/>
    <w:rsid w:val="00B575B8"/>
    <w:rsid w:val="00B576C0"/>
    <w:rsid w:val="00B578BC"/>
    <w:rsid w:val="00B60815"/>
    <w:rsid w:val="00B6100D"/>
    <w:rsid w:val="00B61728"/>
    <w:rsid w:val="00B6291B"/>
    <w:rsid w:val="00B62B18"/>
    <w:rsid w:val="00B6345A"/>
    <w:rsid w:val="00B63460"/>
    <w:rsid w:val="00B6398D"/>
    <w:rsid w:val="00B63B37"/>
    <w:rsid w:val="00B641D8"/>
    <w:rsid w:val="00B64496"/>
    <w:rsid w:val="00B647D6"/>
    <w:rsid w:val="00B64995"/>
    <w:rsid w:val="00B64F42"/>
    <w:rsid w:val="00B6504B"/>
    <w:rsid w:val="00B65B1D"/>
    <w:rsid w:val="00B65DC6"/>
    <w:rsid w:val="00B66A9A"/>
    <w:rsid w:val="00B66C04"/>
    <w:rsid w:val="00B66C37"/>
    <w:rsid w:val="00B67119"/>
    <w:rsid w:val="00B67B8F"/>
    <w:rsid w:val="00B70522"/>
    <w:rsid w:val="00B70A3E"/>
    <w:rsid w:val="00B70F1B"/>
    <w:rsid w:val="00B71675"/>
    <w:rsid w:val="00B71AC2"/>
    <w:rsid w:val="00B71B0D"/>
    <w:rsid w:val="00B71B62"/>
    <w:rsid w:val="00B721CA"/>
    <w:rsid w:val="00B722EB"/>
    <w:rsid w:val="00B7286C"/>
    <w:rsid w:val="00B72941"/>
    <w:rsid w:val="00B729B6"/>
    <w:rsid w:val="00B73ADC"/>
    <w:rsid w:val="00B741B0"/>
    <w:rsid w:val="00B742A0"/>
    <w:rsid w:val="00B745F2"/>
    <w:rsid w:val="00B74BE3"/>
    <w:rsid w:val="00B74FAB"/>
    <w:rsid w:val="00B753D6"/>
    <w:rsid w:val="00B75630"/>
    <w:rsid w:val="00B75BC0"/>
    <w:rsid w:val="00B7636B"/>
    <w:rsid w:val="00B76492"/>
    <w:rsid w:val="00B767F1"/>
    <w:rsid w:val="00B769A2"/>
    <w:rsid w:val="00B77159"/>
    <w:rsid w:val="00B7796D"/>
    <w:rsid w:val="00B80482"/>
    <w:rsid w:val="00B80AF5"/>
    <w:rsid w:val="00B80B83"/>
    <w:rsid w:val="00B80C00"/>
    <w:rsid w:val="00B817D8"/>
    <w:rsid w:val="00B81E5A"/>
    <w:rsid w:val="00B82171"/>
    <w:rsid w:val="00B8254D"/>
    <w:rsid w:val="00B827DB"/>
    <w:rsid w:val="00B828F3"/>
    <w:rsid w:val="00B82FEB"/>
    <w:rsid w:val="00B83300"/>
    <w:rsid w:val="00B84C0B"/>
    <w:rsid w:val="00B84F29"/>
    <w:rsid w:val="00B8560C"/>
    <w:rsid w:val="00B85DD3"/>
    <w:rsid w:val="00B862AB"/>
    <w:rsid w:val="00B863A0"/>
    <w:rsid w:val="00B86608"/>
    <w:rsid w:val="00B86A38"/>
    <w:rsid w:val="00B87701"/>
    <w:rsid w:val="00B87C61"/>
    <w:rsid w:val="00B87EAA"/>
    <w:rsid w:val="00B90797"/>
    <w:rsid w:val="00B90E24"/>
    <w:rsid w:val="00B91214"/>
    <w:rsid w:val="00B919DF"/>
    <w:rsid w:val="00B919FB"/>
    <w:rsid w:val="00B92618"/>
    <w:rsid w:val="00B92F86"/>
    <w:rsid w:val="00B92FF6"/>
    <w:rsid w:val="00B932EE"/>
    <w:rsid w:val="00B9374F"/>
    <w:rsid w:val="00B939F3"/>
    <w:rsid w:val="00B93CCD"/>
    <w:rsid w:val="00B93F9C"/>
    <w:rsid w:val="00B94C45"/>
    <w:rsid w:val="00B95B75"/>
    <w:rsid w:val="00B95B90"/>
    <w:rsid w:val="00BA010C"/>
    <w:rsid w:val="00BA01AB"/>
    <w:rsid w:val="00BA1178"/>
    <w:rsid w:val="00BA1541"/>
    <w:rsid w:val="00BA1BA5"/>
    <w:rsid w:val="00BA1C88"/>
    <w:rsid w:val="00BA1D7A"/>
    <w:rsid w:val="00BA2340"/>
    <w:rsid w:val="00BA2A0D"/>
    <w:rsid w:val="00BA2FAC"/>
    <w:rsid w:val="00BA2FC7"/>
    <w:rsid w:val="00BA3306"/>
    <w:rsid w:val="00BA3A91"/>
    <w:rsid w:val="00BA3D70"/>
    <w:rsid w:val="00BA3F13"/>
    <w:rsid w:val="00BA4696"/>
    <w:rsid w:val="00BA4A6E"/>
    <w:rsid w:val="00BA52EC"/>
    <w:rsid w:val="00BA53D3"/>
    <w:rsid w:val="00BA5724"/>
    <w:rsid w:val="00BA5B57"/>
    <w:rsid w:val="00BA5F28"/>
    <w:rsid w:val="00BA73EE"/>
    <w:rsid w:val="00BA789E"/>
    <w:rsid w:val="00BB0E85"/>
    <w:rsid w:val="00BB15B2"/>
    <w:rsid w:val="00BB1DEC"/>
    <w:rsid w:val="00BB2329"/>
    <w:rsid w:val="00BB2D0F"/>
    <w:rsid w:val="00BB3110"/>
    <w:rsid w:val="00BB31A3"/>
    <w:rsid w:val="00BB31BD"/>
    <w:rsid w:val="00BB335D"/>
    <w:rsid w:val="00BB3CB9"/>
    <w:rsid w:val="00BB4C2B"/>
    <w:rsid w:val="00BB510C"/>
    <w:rsid w:val="00BB54A6"/>
    <w:rsid w:val="00BB5B11"/>
    <w:rsid w:val="00BB5FF9"/>
    <w:rsid w:val="00BB6176"/>
    <w:rsid w:val="00BB6875"/>
    <w:rsid w:val="00BC0336"/>
    <w:rsid w:val="00BC07A4"/>
    <w:rsid w:val="00BC07EC"/>
    <w:rsid w:val="00BC0A51"/>
    <w:rsid w:val="00BC0D3B"/>
    <w:rsid w:val="00BC112F"/>
    <w:rsid w:val="00BC13BB"/>
    <w:rsid w:val="00BC16A7"/>
    <w:rsid w:val="00BC19B1"/>
    <w:rsid w:val="00BC1CAF"/>
    <w:rsid w:val="00BC1EB1"/>
    <w:rsid w:val="00BC1ECD"/>
    <w:rsid w:val="00BC3791"/>
    <w:rsid w:val="00BC39E4"/>
    <w:rsid w:val="00BC3D48"/>
    <w:rsid w:val="00BC3DE3"/>
    <w:rsid w:val="00BC3FF4"/>
    <w:rsid w:val="00BC49FC"/>
    <w:rsid w:val="00BC4DDF"/>
    <w:rsid w:val="00BC53DA"/>
    <w:rsid w:val="00BC5965"/>
    <w:rsid w:val="00BC5D54"/>
    <w:rsid w:val="00BC7C6F"/>
    <w:rsid w:val="00BD0099"/>
    <w:rsid w:val="00BD03EC"/>
    <w:rsid w:val="00BD0501"/>
    <w:rsid w:val="00BD0717"/>
    <w:rsid w:val="00BD0803"/>
    <w:rsid w:val="00BD1067"/>
    <w:rsid w:val="00BD1323"/>
    <w:rsid w:val="00BD14AA"/>
    <w:rsid w:val="00BD1540"/>
    <w:rsid w:val="00BD3095"/>
    <w:rsid w:val="00BD3710"/>
    <w:rsid w:val="00BD3B9E"/>
    <w:rsid w:val="00BD3D9E"/>
    <w:rsid w:val="00BD4A7E"/>
    <w:rsid w:val="00BD4D8C"/>
    <w:rsid w:val="00BD590A"/>
    <w:rsid w:val="00BD5EE0"/>
    <w:rsid w:val="00BD623B"/>
    <w:rsid w:val="00BD673D"/>
    <w:rsid w:val="00BD686D"/>
    <w:rsid w:val="00BD7774"/>
    <w:rsid w:val="00BD79AD"/>
    <w:rsid w:val="00BE07C5"/>
    <w:rsid w:val="00BE0B27"/>
    <w:rsid w:val="00BE0D6D"/>
    <w:rsid w:val="00BE1BA3"/>
    <w:rsid w:val="00BE1C9F"/>
    <w:rsid w:val="00BE1CAC"/>
    <w:rsid w:val="00BE20CC"/>
    <w:rsid w:val="00BE214B"/>
    <w:rsid w:val="00BE2645"/>
    <w:rsid w:val="00BE26EB"/>
    <w:rsid w:val="00BE35A3"/>
    <w:rsid w:val="00BE37E9"/>
    <w:rsid w:val="00BE38BA"/>
    <w:rsid w:val="00BE3B30"/>
    <w:rsid w:val="00BE3CAA"/>
    <w:rsid w:val="00BE3D49"/>
    <w:rsid w:val="00BE3E5F"/>
    <w:rsid w:val="00BE42F7"/>
    <w:rsid w:val="00BE4540"/>
    <w:rsid w:val="00BE522C"/>
    <w:rsid w:val="00BE57AB"/>
    <w:rsid w:val="00BE583A"/>
    <w:rsid w:val="00BE592E"/>
    <w:rsid w:val="00BE5B7B"/>
    <w:rsid w:val="00BE60EB"/>
    <w:rsid w:val="00BE6E3D"/>
    <w:rsid w:val="00BE71A9"/>
    <w:rsid w:val="00BE7A0B"/>
    <w:rsid w:val="00BE7BA9"/>
    <w:rsid w:val="00BE7CBE"/>
    <w:rsid w:val="00BF0973"/>
    <w:rsid w:val="00BF0D9E"/>
    <w:rsid w:val="00BF1008"/>
    <w:rsid w:val="00BF10F5"/>
    <w:rsid w:val="00BF1255"/>
    <w:rsid w:val="00BF130D"/>
    <w:rsid w:val="00BF2334"/>
    <w:rsid w:val="00BF2FF5"/>
    <w:rsid w:val="00BF44DD"/>
    <w:rsid w:val="00BF4BA0"/>
    <w:rsid w:val="00BF5BA9"/>
    <w:rsid w:val="00BF63BD"/>
    <w:rsid w:val="00BF6708"/>
    <w:rsid w:val="00BF7064"/>
    <w:rsid w:val="00BF797C"/>
    <w:rsid w:val="00BF7A17"/>
    <w:rsid w:val="00BF7E30"/>
    <w:rsid w:val="00C00001"/>
    <w:rsid w:val="00C01148"/>
    <w:rsid w:val="00C011D0"/>
    <w:rsid w:val="00C012AC"/>
    <w:rsid w:val="00C016C6"/>
    <w:rsid w:val="00C025B2"/>
    <w:rsid w:val="00C02813"/>
    <w:rsid w:val="00C0291A"/>
    <w:rsid w:val="00C031CA"/>
    <w:rsid w:val="00C031FA"/>
    <w:rsid w:val="00C03706"/>
    <w:rsid w:val="00C0408D"/>
    <w:rsid w:val="00C040A8"/>
    <w:rsid w:val="00C04464"/>
    <w:rsid w:val="00C04549"/>
    <w:rsid w:val="00C04EB5"/>
    <w:rsid w:val="00C0517F"/>
    <w:rsid w:val="00C053BC"/>
    <w:rsid w:val="00C05475"/>
    <w:rsid w:val="00C05562"/>
    <w:rsid w:val="00C05A8F"/>
    <w:rsid w:val="00C05BC4"/>
    <w:rsid w:val="00C05EB4"/>
    <w:rsid w:val="00C05FAA"/>
    <w:rsid w:val="00C05FCC"/>
    <w:rsid w:val="00C0603B"/>
    <w:rsid w:val="00C06459"/>
    <w:rsid w:val="00C07417"/>
    <w:rsid w:val="00C0742E"/>
    <w:rsid w:val="00C07BBA"/>
    <w:rsid w:val="00C10144"/>
    <w:rsid w:val="00C10407"/>
    <w:rsid w:val="00C10B20"/>
    <w:rsid w:val="00C10B79"/>
    <w:rsid w:val="00C11425"/>
    <w:rsid w:val="00C11511"/>
    <w:rsid w:val="00C115F0"/>
    <w:rsid w:val="00C11A01"/>
    <w:rsid w:val="00C11C3E"/>
    <w:rsid w:val="00C12510"/>
    <w:rsid w:val="00C12B87"/>
    <w:rsid w:val="00C12FB6"/>
    <w:rsid w:val="00C145AA"/>
    <w:rsid w:val="00C1537B"/>
    <w:rsid w:val="00C156C4"/>
    <w:rsid w:val="00C15D38"/>
    <w:rsid w:val="00C15E20"/>
    <w:rsid w:val="00C15ECF"/>
    <w:rsid w:val="00C15EDC"/>
    <w:rsid w:val="00C164A4"/>
    <w:rsid w:val="00C1679E"/>
    <w:rsid w:val="00C16ACC"/>
    <w:rsid w:val="00C16FFA"/>
    <w:rsid w:val="00C1705F"/>
    <w:rsid w:val="00C17105"/>
    <w:rsid w:val="00C1780B"/>
    <w:rsid w:val="00C179F2"/>
    <w:rsid w:val="00C17C8A"/>
    <w:rsid w:val="00C2014F"/>
    <w:rsid w:val="00C206D8"/>
    <w:rsid w:val="00C20733"/>
    <w:rsid w:val="00C20AE1"/>
    <w:rsid w:val="00C21169"/>
    <w:rsid w:val="00C2162A"/>
    <w:rsid w:val="00C2171F"/>
    <w:rsid w:val="00C2183C"/>
    <w:rsid w:val="00C221BF"/>
    <w:rsid w:val="00C22770"/>
    <w:rsid w:val="00C2317D"/>
    <w:rsid w:val="00C239B5"/>
    <w:rsid w:val="00C23A3E"/>
    <w:rsid w:val="00C23C3B"/>
    <w:rsid w:val="00C23F5D"/>
    <w:rsid w:val="00C23FEA"/>
    <w:rsid w:val="00C240A4"/>
    <w:rsid w:val="00C24CE2"/>
    <w:rsid w:val="00C257EE"/>
    <w:rsid w:val="00C2587F"/>
    <w:rsid w:val="00C25A37"/>
    <w:rsid w:val="00C25EB6"/>
    <w:rsid w:val="00C262DC"/>
    <w:rsid w:val="00C2655B"/>
    <w:rsid w:val="00C268CF"/>
    <w:rsid w:val="00C269E5"/>
    <w:rsid w:val="00C27455"/>
    <w:rsid w:val="00C2787E"/>
    <w:rsid w:val="00C27C24"/>
    <w:rsid w:val="00C30D55"/>
    <w:rsid w:val="00C317F3"/>
    <w:rsid w:val="00C3211E"/>
    <w:rsid w:val="00C32157"/>
    <w:rsid w:val="00C326A9"/>
    <w:rsid w:val="00C32D63"/>
    <w:rsid w:val="00C33762"/>
    <w:rsid w:val="00C339CC"/>
    <w:rsid w:val="00C33C14"/>
    <w:rsid w:val="00C33DBC"/>
    <w:rsid w:val="00C33F30"/>
    <w:rsid w:val="00C341E1"/>
    <w:rsid w:val="00C3441A"/>
    <w:rsid w:val="00C34976"/>
    <w:rsid w:val="00C349C2"/>
    <w:rsid w:val="00C361F4"/>
    <w:rsid w:val="00C36B66"/>
    <w:rsid w:val="00C375DE"/>
    <w:rsid w:val="00C37D58"/>
    <w:rsid w:val="00C4001B"/>
    <w:rsid w:val="00C400B9"/>
    <w:rsid w:val="00C40A42"/>
    <w:rsid w:val="00C40FFB"/>
    <w:rsid w:val="00C4179F"/>
    <w:rsid w:val="00C4183B"/>
    <w:rsid w:val="00C41E04"/>
    <w:rsid w:val="00C42422"/>
    <w:rsid w:val="00C4353E"/>
    <w:rsid w:val="00C436AC"/>
    <w:rsid w:val="00C436FE"/>
    <w:rsid w:val="00C44C37"/>
    <w:rsid w:val="00C44E1B"/>
    <w:rsid w:val="00C450AB"/>
    <w:rsid w:val="00C4552E"/>
    <w:rsid w:val="00C45DD1"/>
    <w:rsid w:val="00C462A4"/>
    <w:rsid w:val="00C46AE5"/>
    <w:rsid w:val="00C471DB"/>
    <w:rsid w:val="00C472C9"/>
    <w:rsid w:val="00C47567"/>
    <w:rsid w:val="00C47654"/>
    <w:rsid w:val="00C47BD1"/>
    <w:rsid w:val="00C47D9D"/>
    <w:rsid w:val="00C47E70"/>
    <w:rsid w:val="00C50729"/>
    <w:rsid w:val="00C5144E"/>
    <w:rsid w:val="00C51A1A"/>
    <w:rsid w:val="00C51B6F"/>
    <w:rsid w:val="00C51EB3"/>
    <w:rsid w:val="00C52AAF"/>
    <w:rsid w:val="00C52BE0"/>
    <w:rsid w:val="00C52E81"/>
    <w:rsid w:val="00C52EA0"/>
    <w:rsid w:val="00C53A32"/>
    <w:rsid w:val="00C53E81"/>
    <w:rsid w:val="00C54792"/>
    <w:rsid w:val="00C5496D"/>
    <w:rsid w:val="00C54B6B"/>
    <w:rsid w:val="00C551E0"/>
    <w:rsid w:val="00C5581C"/>
    <w:rsid w:val="00C55A7C"/>
    <w:rsid w:val="00C55D3E"/>
    <w:rsid w:val="00C56093"/>
    <w:rsid w:val="00C563F3"/>
    <w:rsid w:val="00C564C9"/>
    <w:rsid w:val="00C56776"/>
    <w:rsid w:val="00C56AC8"/>
    <w:rsid w:val="00C57E0E"/>
    <w:rsid w:val="00C57E4D"/>
    <w:rsid w:val="00C60622"/>
    <w:rsid w:val="00C60B02"/>
    <w:rsid w:val="00C60D47"/>
    <w:rsid w:val="00C61507"/>
    <w:rsid w:val="00C6199E"/>
    <w:rsid w:val="00C619AC"/>
    <w:rsid w:val="00C622A3"/>
    <w:rsid w:val="00C623AB"/>
    <w:rsid w:val="00C62639"/>
    <w:rsid w:val="00C626E2"/>
    <w:rsid w:val="00C628C8"/>
    <w:rsid w:val="00C62C40"/>
    <w:rsid w:val="00C62CBF"/>
    <w:rsid w:val="00C62F58"/>
    <w:rsid w:val="00C633A9"/>
    <w:rsid w:val="00C6410D"/>
    <w:rsid w:val="00C645E7"/>
    <w:rsid w:val="00C645F3"/>
    <w:rsid w:val="00C6499E"/>
    <w:rsid w:val="00C65538"/>
    <w:rsid w:val="00C65C19"/>
    <w:rsid w:val="00C65C91"/>
    <w:rsid w:val="00C65D2B"/>
    <w:rsid w:val="00C6609F"/>
    <w:rsid w:val="00C665B2"/>
    <w:rsid w:val="00C66F11"/>
    <w:rsid w:val="00C67368"/>
    <w:rsid w:val="00C673F8"/>
    <w:rsid w:val="00C709BA"/>
    <w:rsid w:val="00C71A5D"/>
    <w:rsid w:val="00C721CC"/>
    <w:rsid w:val="00C725CE"/>
    <w:rsid w:val="00C72662"/>
    <w:rsid w:val="00C727EE"/>
    <w:rsid w:val="00C72E4E"/>
    <w:rsid w:val="00C72EDC"/>
    <w:rsid w:val="00C73340"/>
    <w:rsid w:val="00C736E7"/>
    <w:rsid w:val="00C73D5E"/>
    <w:rsid w:val="00C73F42"/>
    <w:rsid w:val="00C740C0"/>
    <w:rsid w:val="00C750D2"/>
    <w:rsid w:val="00C7518D"/>
    <w:rsid w:val="00C7519E"/>
    <w:rsid w:val="00C751D1"/>
    <w:rsid w:val="00C75326"/>
    <w:rsid w:val="00C75E48"/>
    <w:rsid w:val="00C76A4C"/>
    <w:rsid w:val="00C76B4F"/>
    <w:rsid w:val="00C76B5A"/>
    <w:rsid w:val="00C77357"/>
    <w:rsid w:val="00C77BF4"/>
    <w:rsid w:val="00C77D38"/>
    <w:rsid w:val="00C80399"/>
    <w:rsid w:val="00C80579"/>
    <w:rsid w:val="00C80BD9"/>
    <w:rsid w:val="00C80EF9"/>
    <w:rsid w:val="00C81202"/>
    <w:rsid w:val="00C8140C"/>
    <w:rsid w:val="00C81A12"/>
    <w:rsid w:val="00C81E2E"/>
    <w:rsid w:val="00C82261"/>
    <w:rsid w:val="00C8234A"/>
    <w:rsid w:val="00C824E4"/>
    <w:rsid w:val="00C82508"/>
    <w:rsid w:val="00C82965"/>
    <w:rsid w:val="00C8296F"/>
    <w:rsid w:val="00C82D8C"/>
    <w:rsid w:val="00C8331B"/>
    <w:rsid w:val="00C834CE"/>
    <w:rsid w:val="00C83653"/>
    <w:rsid w:val="00C8369D"/>
    <w:rsid w:val="00C8401D"/>
    <w:rsid w:val="00C840B3"/>
    <w:rsid w:val="00C844AB"/>
    <w:rsid w:val="00C846BE"/>
    <w:rsid w:val="00C8482C"/>
    <w:rsid w:val="00C84C02"/>
    <w:rsid w:val="00C84E32"/>
    <w:rsid w:val="00C86A68"/>
    <w:rsid w:val="00C86AB6"/>
    <w:rsid w:val="00C87120"/>
    <w:rsid w:val="00C872A3"/>
    <w:rsid w:val="00C8779D"/>
    <w:rsid w:val="00C87933"/>
    <w:rsid w:val="00C87B70"/>
    <w:rsid w:val="00C87EEB"/>
    <w:rsid w:val="00C87F5E"/>
    <w:rsid w:val="00C90CD0"/>
    <w:rsid w:val="00C9102F"/>
    <w:rsid w:val="00C91472"/>
    <w:rsid w:val="00C9161F"/>
    <w:rsid w:val="00C91663"/>
    <w:rsid w:val="00C918A6"/>
    <w:rsid w:val="00C9207C"/>
    <w:rsid w:val="00C920A1"/>
    <w:rsid w:val="00C921E3"/>
    <w:rsid w:val="00C927F3"/>
    <w:rsid w:val="00C92FCB"/>
    <w:rsid w:val="00C931DE"/>
    <w:rsid w:val="00C934DC"/>
    <w:rsid w:val="00C93787"/>
    <w:rsid w:val="00C9398F"/>
    <w:rsid w:val="00C93C7F"/>
    <w:rsid w:val="00C944FD"/>
    <w:rsid w:val="00C94649"/>
    <w:rsid w:val="00C950F2"/>
    <w:rsid w:val="00C954BF"/>
    <w:rsid w:val="00C95FAD"/>
    <w:rsid w:val="00C963DE"/>
    <w:rsid w:val="00C96B3D"/>
    <w:rsid w:val="00C972D0"/>
    <w:rsid w:val="00C97429"/>
    <w:rsid w:val="00C979B5"/>
    <w:rsid w:val="00CA00B9"/>
    <w:rsid w:val="00CA0622"/>
    <w:rsid w:val="00CA06E7"/>
    <w:rsid w:val="00CA08FF"/>
    <w:rsid w:val="00CA0C26"/>
    <w:rsid w:val="00CA0ECA"/>
    <w:rsid w:val="00CA0ED5"/>
    <w:rsid w:val="00CA0F23"/>
    <w:rsid w:val="00CA135B"/>
    <w:rsid w:val="00CA18DB"/>
    <w:rsid w:val="00CA1F90"/>
    <w:rsid w:val="00CA2587"/>
    <w:rsid w:val="00CA2CFF"/>
    <w:rsid w:val="00CA2DC2"/>
    <w:rsid w:val="00CA310B"/>
    <w:rsid w:val="00CA32D6"/>
    <w:rsid w:val="00CA3888"/>
    <w:rsid w:val="00CA49DF"/>
    <w:rsid w:val="00CA512D"/>
    <w:rsid w:val="00CA5805"/>
    <w:rsid w:val="00CA5881"/>
    <w:rsid w:val="00CA5A28"/>
    <w:rsid w:val="00CA5B94"/>
    <w:rsid w:val="00CA5CDC"/>
    <w:rsid w:val="00CA63CB"/>
    <w:rsid w:val="00CA6777"/>
    <w:rsid w:val="00CA699D"/>
    <w:rsid w:val="00CA69AC"/>
    <w:rsid w:val="00CA71AB"/>
    <w:rsid w:val="00CA75B3"/>
    <w:rsid w:val="00CA7643"/>
    <w:rsid w:val="00CA7884"/>
    <w:rsid w:val="00CA7E3E"/>
    <w:rsid w:val="00CB04A5"/>
    <w:rsid w:val="00CB07A8"/>
    <w:rsid w:val="00CB09FB"/>
    <w:rsid w:val="00CB12BD"/>
    <w:rsid w:val="00CB1368"/>
    <w:rsid w:val="00CB1F2D"/>
    <w:rsid w:val="00CB2072"/>
    <w:rsid w:val="00CB2398"/>
    <w:rsid w:val="00CB28C4"/>
    <w:rsid w:val="00CB2921"/>
    <w:rsid w:val="00CB29D1"/>
    <w:rsid w:val="00CB2BB8"/>
    <w:rsid w:val="00CB3057"/>
    <w:rsid w:val="00CB341A"/>
    <w:rsid w:val="00CB3B0D"/>
    <w:rsid w:val="00CB3E74"/>
    <w:rsid w:val="00CB3EBC"/>
    <w:rsid w:val="00CB3F5D"/>
    <w:rsid w:val="00CB4DCF"/>
    <w:rsid w:val="00CB50FD"/>
    <w:rsid w:val="00CB5389"/>
    <w:rsid w:val="00CB59D5"/>
    <w:rsid w:val="00CB646D"/>
    <w:rsid w:val="00CB6523"/>
    <w:rsid w:val="00CB6AAB"/>
    <w:rsid w:val="00CB6B19"/>
    <w:rsid w:val="00CB7F6A"/>
    <w:rsid w:val="00CC00E4"/>
    <w:rsid w:val="00CC0AFD"/>
    <w:rsid w:val="00CC0B3B"/>
    <w:rsid w:val="00CC10E1"/>
    <w:rsid w:val="00CC30C2"/>
    <w:rsid w:val="00CC3543"/>
    <w:rsid w:val="00CC3AB7"/>
    <w:rsid w:val="00CC407F"/>
    <w:rsid w:val="00CC40A3"/>
    <w:rsid w:val="00CC42C1"/>
    <w:rsid w:val="00CC4F72"/>
    <w:rsid w:val="00CC53C8"/>
    <w:rsid w:val="00CC5891"/>
    <w:rsid w:val="00CC5ED3"/>
    <w:rsid w:val="00CC5FF0"/>
    <w:rsid w:val="00CC622B"/>
    <w:rsid w:val="00CC68A5"/>
    <w:rsid w:val="00CC6A1B"/>
    <w:rsid w:val="00CC722F"/>
    <w:rsid w:val="00CC73A5"/>
    <w:rsid w:val="00CC79A7"/>
    <w:rsid w:val="00CD057C"/>
    <w:rsid w:val="00CD12E3"/>
    <w:rsid w:val="00CD20E8"/>
    <w:rsid w:val="00CD2100"/>
    <w:rsid w:val="00CD2111"/>
    <w:rsid w:val="00CD2165"/>
    <w:rsid w:val="00CD2514"/>
    <w:rsid w:val="00CD27B2"/>
    <w:rsid w:val="00CD2D52"/>
    <w:rsid w:val="00CD31D1"/>
    <w:rsid w:val="00CD3934"/>
    <w:rsid w:val="00CD4BA3"/>
    <w:rsid w:val="00CD4E44"/>
    <w:rsid w:val="00CD59DB"/>
    <w:rsid w:val="00CD5BEE"/>
    <w:rsid w:val="00CD5DD9"/>
    <w:rsid w:val="00CD5E76"/>
    <w:rsid w:val="00CD6327"/>
    <w:rsid w:val="00CD66A4"/>
    <w:rsid w:val="00CD681B"/>
    <w:rsid w:val="00CD7445"/>
    <w:rsid w:val="00CD78EA"/>
    <w:rsid w:val="00CD7A48"/>
    <w:rsid w:val="00CE02D1"/>
    <w:rsid w:val="00CE03B7"/>
    <w:rsid w:val="00CE0A91"/>
    <w:rsid w:val="00CE0F6C"/>
    <w:rsid w:val="00CE119E"/>
    <w:rsid w:val="00CE175F"/>
    <w:rsid w:val="00CE1F2C"/>
    <w:rsid w:val="00CE255C"/>
    <w:rsid w:val="00CE2977"/>
    <w:rsid w:val="00CE2A3A"/>
    <w:rsid w:val="00CE2B78"/>
    <w:rsid w:val="00CE34F4"/>
    <w:rsid w:val="00CE3501"/>
    <w:rsid w:val="00CE353B"/>
    <w:rsid w:val="00CE37F1"/>
    <w:rsid w:val="00CE3B08"/>
    <w:rsid w:val="00CE4842"/>
    <w:rsid w:val="00CE4885"/>
    <w:rsid w:val="00CE5504"/>
    <w:rsid w:val="00CE5590"/>
    <w:rsid w:val="00CE582E"/>
    <w:rsid w:val="00CE5848"/>
    <w:rsid w:val="00CE702F"/>
    <w:rsid w:val="00CE73F9"/>
    <w:rsid w:val="00CE74A3"/>
    <w:rsid w:val="00CE75BD"/>
    <w:rsid w:val="00CE75E1"/>
    <w:rsid w:val="00CE7A3F"/>
    <w:rsid w:val="00CE8FE7"/>
    <w:rsid w:val="00CF0133"/>
    <w:rsid w:val="00CF1156"/>
    <w:rsid w:val="00CF19CD"/>
    <w:rsid w:val="00CF2516"/>
    <w:rsid w:val="00CF2B76"/>
    <w:rsid w:val="00CF2D13"/>
    <w:rsid w:val="00CF38C6"/>
    <w:rsid w:val="00CF3E6E"/>
    <w:rsid w:val="00CF3ECC"/>
    <w:rsid w:val="00CF4240"/>
    <w:rsid w:val="00CF42AC"/>
    <w:rsid w:val="00CF437B"/>
    <w:rsid w:val="00CF43C1"/>
    <w:rsid w:val="00CF4C08"/>
    <w:rsid w:val="00CF56DC"/>
    <w:rsid w:val="00CF69B9"/>
    <w:rsid w:val="00D000B4"/>
    <w:rsid w:val="00D004D2"/>
    <w:rsid w:val="00D00898"/>
    <w:rsid w:val="00D00D3D"/>
    <w:rsid w:val="00D0102A"/>
    <w:rsid w:val="00D01C2D"/>
    <w:rsid w:val="00D02362"/>
    <w:rsid w:val="00D026F7"/>
    <w:rsid w:val="00D0289A"/>
    <w:rsid w:val="00D02965"/>
    <w:rsid w:val="00D02F9E"/>
    <w:rsid w:val="00D034DD"/>
    <w:rsid w:val="00D04128"/>
    <w:rsid w:val="00D04952"/>
    <w:rsid w:val="00D0503F"/>
    <w:rsid w:val="00D054CE"/>
    <w:rsid w:val="00D05BB9"/>
    <w:rsid w:val="00D05CFD"/>
    <w:rsid w:val="00D06939"/>
    <w:rsid w:val="00D06A16"/>
    <w:rsid w:val="00D07706"/>
    <w:rsid w:val="00D1037C"/>
    <w:rsid w:val="00D1078F"/>
    <w:rsid w:val="00D10E60"/>
    <w:rsid w:val="00D11693"/>
    <w:rsid w:val="00D117D3"/>
    <w:rsid w:val="00D11B4A"/>
    <w:rsid w:val="00D11B66"/>
    <w:rsid w:val="00D11C4B"/>
    <w:rsid w:val="00D11F77"/>
    <w:rsid w:val="00D12343"/>
    <w:rsid w:val="00D12550"/>
    <w:rsid w:val="00D12924"/>
    <w:rsid w:val="00D12CD2"/>
    <w:rsid w:val="00D1344A"/>
    <w:rsid w:val="00D13678"/>
    <w:rsid w:val="00D136A4"/>
    <w:rsid w:val="00D13959"/>
    <w:rsid w:val="00D13D0D"/>
    <w:rsid w:val="00D1415B"/>
    <w:rsid w:val="00D14577"/>
    <w:rsid w:val="00D146CA"/>
    <w:rsid w:val="00D14D23"/>
    <w:rsid w:val="00D15755"/>
    <w:rsid w:val="00D15D8B"/>
    <w:rsid w:val="00D16163"/>
    <w:rsid w:val="00D1617A"/>
    <w:rsid w:val="00D1709E"/>
    <w:rsid w:val="00D178ED"/>
    <w:rsid w:val="00D17984"/>
    <w:rsid w:val="00D17A66"/>
    <w:rsid w:val="00D17D63"/>
    <w:rsid w:val="00D17F3D"/>
    <w:rsid w:val="00D207E1"/>
    <w:rsid w:val="00D20CA8"/>
    <w:rsid w:val="00D20FC8"/>
    <w:rsid w:val="00D21CD0"/>
    <w:rsid w:val="00D2272E"/>
    <w:rsid w:val="00D22819"/>
    <w:rsid w:val="00D22F94"/>
    <w:rsid w:val="00D23163"/>
    <w:rsid w:val="00D23207"/>
    <w:rsid w:val="00D232A4"/>
    <w:rsid w:val="00D23ADA"/>
    <w:rsid w:val="00D23B83"/>
    <w:rsid w:val="00D23C70"/>
    <w:rsid w:val="00D240B6"/>
    <w:rsid w:val="00D242F1"/>
    <w:rsid w:val="00D244C2"/>
    <w:rsid w:val="00D24BE3"/>
    <w:rsid w:val="00D24D4B"/>
    <w:rsid w:val="00D24DAD"/>
    <w:rsid w:val="00D256D6"/>
    <w:rsid w:val="00D25916"/>
    <w:rsid w:val="00D25B40"/>
    <w:rsid w:val="00D25BC7"/>
    <w:rsid w:val="00D26D97"/>
    <w:rsid w:val="00D26E5D"/>
    <w:rsid w:val="00D270D7"/>
    <w:rsid w:val="00D27246"/>
    <w:rsid w:val="00D27A76"/>
    <w:rsid w:val="00D27A8C"/>
    <w:rsid w:val="00D30AA5"/>
    <w:rsid w:val="00D31210"/>
    <w:rsid w:val="00D3167B"/>
    <w:rsid w:val="00D31A53"/>
    <w:rsid w:val="00D329E6"/>
    <w:rsid w:val="00D32D7D"/>
    <w:rsid w:val="00D32ECD"/>
    <w:rsid w:val="00D33360"/>
    <w:rsid w:val="00D336ED"/>
    <w:rsid w:val="00D3394C"/>
    <w:rsid w:val="00D33A80"/>
    <w:rsid w:val="00D33F01"/>
    <w:rsid w:val="00D340C0"/>
    <w:rsid w:val="00D35A47"/>
    <w:rsid w:val="00D35A7E"/>
    <w:rsid w:val="00D35DA2"/>
    <w:rsid w:val="00D36573"/>
    <w:rsid w:val="00D3696A"/>
    <w:rsid w:val="00D36DE6"/>
    <w:rsid w:val="00D37070"/>
    <w:rsid w:val="00D37972"/>
    <w:rsid w:val="00D37E29"/>
    <w:rsid w:val="00D40691"/>
    <w:rsid w:val="00D406E4"/>
    <w:rsid w:val="00D40896"/>
    <w:rsid w:val="00D408FA"/>
    <w:rsid w:val="00D41534"/>
    <w:rsid w:val="00D4155F"/>
    <w:rsid w:val="00D41584"/>
    <w:rsid w:val="00D415BA"/>
    <w:rsid w:val="00D41689"/>
    <w:rsid w:val="00D4177A"/>
    <w:rsid w:val="00D4237A"/>
    <w:rsid w:val="00D42426"/>
    <w:rsid w:val="00D42CE3"/>
    <w:rsid w:val="00D42E35"/>
    <w:rsid w:val="00D438D5"/>
    <w:rsid w:val="00D43954"/>
    <w:rsid w:val="00D43C0F"/>
    <w:rsid w:val="00D440AC"/>
    <w:rsid w:val="00D44293"/>
    <w:rsid w:val="00D444EE"/>
    <w:rsid w:val="00D449D7"/>
    <w:rsid w:val="00D44F9D"/>
    <w:rsid w:val="00D451FC"/>
    <w:rsid w:val="00D455B2"/>
    <w:rsid w:val="00D45F02"/>
    <w:rsid w:val="00D46164"/>
    <w:rsid w:val="00D46B50"/>
    <w:rsid w:val="00D4746B"/>
    <w:rsid w:val="00D47CCC"/>
    <w:rsid w:val="00D47F68"/>
    <w:rsid w:val="00D5047A"/>
    <w:rsid w:val="00D50BED"/>
    <w:rsid w:val="00D50F47"/>
    <w:rsid w:val="00D50F74"/>
    <w:rsid w:val="00D5113D"/>
    <w:rsid w:val="00D51341"/>
    <w:rsid w:val="00D51BED"/>
    <w:rsid w:val="00D5238F"/>
    <w:rsid w:val="00D52502"/>
    <w:rsid w:val="00D5252E"/>
    <w:rsid w:val="00D52847"/>
    <w:rsid w:val="00D52D52"/>
    <w:rsid w:val="00D52E71"/>
    <w:rsid w:val="00D536EF"/>
    <w:rsid w:val="00D53C07"/>
    <w:rsid w:val="00D53F67"/>
    <w:rsid w:val="00D53F99"/>
    <w:rsid w:val="00D54FBB"/>
    <w:rsid w:val="00D55A64"/>
    <w:rsid w:val="00D55D79"/>
    <w:rsid w:val="00D55E0F"/>
    <w:rsid w:val="00D55EDD"/>
    <w:rsid w:val="00D564C6"/>
    <w:rsid w:val="00D56BE1"/>
    <w:rsid w:val="00D56C3A"/>
    <w:rsid w:val="00D576BE"/>
    <w:rsid w:val="00D579FE"/>
    <w:rsid w:val="00D60399"/>
    <w:rsid w:val="00D6060D"/>
    <w:rsid w:val="00D608EE"/>
    <w:rsid w:val="00D610FC"/>
    <w:rsid w:val="00D61A22"/>
    <w:rsid w:val="00D61F15"/>
    <w:rsid w:val="00D62474"/>
    <w:rsid w:val="00D62545"/>
    <w:rsid w:val="00D62998"/>
    <w:rsid w:val="00D62B68"/>
    <w:rsid w:val="00D63154"/>
    <w:rsid w:val="00D63237"/>
    <w:rsid w:val="00D639DE"/>
    <w:rsid w:val="00D63C48"/>
    <w:rsid w:val="00D63C5D"/>
    <w:rsid w:val="00D640E4"/>
    <w:rsid w:val="00D64289"/>
    <w:rsid w:val="00D64370"/>
    <w:rsid w:val="00D65158"/>
    <w:rsid w:val="00D65178"/>
    <w:rsid w:val="00D6578A"/>
    <w:rsid w:val="00D6582B"/>
    <w:rsid w:val="00D65C62"/>
    <w:rsid w:val="00D6620F"/>
    <w:rsid w:val="00D6667B"/>
    <w:rsid w:val="00D66B02"/>
    <w:rsid w:val="00D66FCD"/>
    <w:rsid w:val="00D66FE1"/>
    <w:rsid w:val="00D67701"/>
    <w:rsid w:val="00D6772E"/>
    <w:rsid w:val="00D67FAF"/>
    <w:rsid w:val="00D70272"/>
    <w:rsid w:val="00D70497"/>
    <w:rsid w:val="00D70DD2"/>
    <w:rsid w:val="00D71194"/>
    <w:rsid w:val="00D71400"/>
    <w:rsid w:val="00D71583"/>
    <w:rsid w:val="00D7174E"/>
    <w:rsid w:val="00D72151"/>
    <w:rsid w:val="00D72463"/>
    <w:rsid w:val="00D727DC"/>
    <w:rsid w:val="00D7296B"/>
    <w:rsid w:val="00D7423D"/>
    <w:rsid w:val="00D74754"/>
    <w:rsid w:val="00D74A49"/>
    <w:rsid w:val="00D74B3F"/>
    <w:rsid w:val="00D74D5E"/>
    <w:rsid w:val="00D7539A"/>
    <w:rsid w:val="00D75801"/>
    <w:rsid w:val="00D75DB4"/>
    <w:rsid w:val="00D75DCC"/>
    <w:rsid w:val="00D75E87"/>
    <w:rsid w:val="00D764DA"/>
    <w:rsid w:val="00D766C1"/>
    <w:rsid w:val="00D76A2B"/>
    <w:rsid w:val="00D776A7"/>
    <w:rsid w:val="00D7777A"/>
    <w:rsid w:val="00D77B52"/>
    <w:rsid w:val="00D77D75"/>
    <w:rsid w:val="00D8003E"/>
    <w:rsid w:val="00D80A91"/>
    <w:rsid w:val="00D818F3"/>
    <w:rsid w:val="00D82BCC"/>
    <w:rsid w:val="00D82D12"/>
    <w:rsid w:val="00D82D81"/>
    <w:rsid w:val="00D8339E"/>
    <w:rsid w:val="00D835DA"/>
    <w:rsid w:val="00D83633"/>
    <w:rsid w:val="00D8366C"/>
    <w:rsid w:val="00D83A31"/>
    <w:rsid w:val="00D83CE3"/>
    <w:rsid w:val="00D8441F"/>
    <w:rsid w:val="00D8449B"/>
    <w:rsid w:val="00D84755"/>
    <w:rsid w:val="00D84B6C"/>
    <w:rsid w:val="00D84BC3"/>
    <w:rsid w:val="00D84C1D"/>
    <w:rsid w:val="00D84E54"/>
    <w:rsid w:val="00D84EA2"/>
    <w:rsid w:val="00D85858"/>
    <w:rsid w:val="00D85C1C"/>
    <w:rsid w:val="00D869F7"/>
    <w:rsid w:val="00D86BCA"/>
    <w:rsid w:val="00D873C7"/>
    <w:rsid w:val="00D87BAB"/>
    <w:rsid w:val="00D87C85"/>
    <w:rsid w:val="00D87E7C"/>
    <w:rsid w:val="00D90D1F"/>
    <w:rsid w:val="00D90E10"/>
    <w:rsid w:val="00D9110B"/>
    <w:rsid w:val="00D914AC"/>
    <w:rsid w:val="00D9151A"/>
    <w:rsid w:val="00D91848"/>
    <w:rsid w:val="00D91C77"/>
    <w:rsid w:val="00D92DCF"/>
    <w:rsid w:val="00D92F47"/>
    <w:rsid w:val="00D93937"/>
    <w:rsid w:val="00D93D75"/>
    <w:rsid w:val="00D93F53"/>
    <w:rsid w:val="00D943C4"/>
    <w:rsid w:val="00D94D4C"/>
    <w:rsid w:val="00D9534B"/>
    <w:rsid w:val="00D95394"/>
    <w:rsid w:val="00D95BA4"/>
    <w:rsid w:val="00D96093"/>
    <w:rsid w:val="00D962C7"/>
    <w:rsid w:val="00D96559"/>
    <w:rsid w:val="00D96563"/>
    <w:rsid w:val="00D970E7"/>
    <w:rsid w:val="00D970E8"/>
    <w:rsid w:val="00DA01E5"/>
    <w:rsid w:val="00DA032B"/>
    <w:rsid w:val="00DA0456"/>
    <w:rsid w:val="00DA058D"/>
    <w:rsid w:val="00DA05A4"/>
    <w:rsid w:val="00DA0703"/>
    <w:rsid w:val="00DA096E"/>
    <w:rsid w:val="00DA0F3B"/>
    <w:rsid w:val="00DA0FBD"/>
    <w:rsid w:val="00DA167B"/>
    <w:rsid w:val="00DA1B4A"/>
    <w:rsid w:val="00DA1B5B"/>
    <w:rsid w:val="00DA1DE8"/>
    <w:rsid w:val="00DA33BB"/>
    <w:rsid w:val="00DA3A51"/>
    <w:rsid w:val="00DA41CA"/>
    <w:rsid w:val="00DA53DD"/>
    <w:rsid w:val="00DA55BB"/>
    <w:rsid w:val="00DA586B"/>
    <w:rsid w:val="00DA59E8"/>
    <w:rsid w:val="00DA5C10"/>
    <w:rsid w:val="00DA7175"/>
    <w:rsid w:val="00DA73EE"/>
    <w:rsid w:val="00DA7D76"/>
    <w:rsid w:val="00DB023A"/>
    <w:rsid w:val="00DB06F2"/>
    <w:rsid w:val="00DB0760"/>
    <w:rsid w:val="00DB1649"/>
    <w:rsid w:val="00DB19B0"/>
    <w:rsid w:val="00DB1ACB"/>
    <w:rsid w:val="00DB1FD9"/>
    <w:rsid w:val="00DB24EA"/>
    <w:rsid w:val="00DB25E6"/>
    <w:rsid w:val="00DB267F"/>
    <w:rsid w:val="00DB2F77"/>
    <w:rsid w:val="00DB4EFE"/>
    <w:rsid w:val="00DB533C"/>
    <w:rsid w:val="00DB5F57"/>
    <w:rsid w:val="00DB64BA"/>
    <w:rsid w:val="00DB66CF"/>
    <w:rsid w:val="00DB6EAC"/>
    <w:rsid w:val="00DB6FE3"/>
    <w:rsid w:val="00DB730A"/>
    <w:rsid w:val="00DB738E"/>
    <w:rsid w:val="00DB79E0"/>
    <w:rsid w:val="00DB7F14"/>
    <w:rsid w:val="00DB7F65"/>
    <w:rsid w:val="00DC0803"/>
    <w:rsid w:val="00DC09BB"/>
    <w:rsid w:val="00DC0A72"/>
    <w:rsid w:val="00DC16D3"/>
    <w:rsid w:val="00DC1743"/>
    <w:rsid w:val="00DC1816"/>
    <w:rsid w:val="00DC1866"/>
    <w:rsid w:val="00DC1929"/>
    <w:rsid w:val="00DC1AAB"/>
    <w:rsid w:val="00DC212A"/>
    <w:rsid w:val="00DC273B"/>
    <w:rsid w:val="00DC2B48"/>
    <w:rsid w:val="00DC2E11"/>
    <w:rsid w:val="00DC2FD5"/>
    <w:rsid w:val="00DC41D4"/>
    <w:rsid w:val="00DC42FF"/>
    <w:rsid w:val="00DC4CC9"/>
    <w:rsid w:val="00DC4E39"/>
    <w:rsid w:val="00DC50DB"/>
    <w:rsid w:val="00DC5486"/>
    <w:rsid w:val="00DC6F32"/>
    <w:rsid w:val="00DC7746"/>
    <w:rsid w:val="00DC7B80"/>
    <w:rsid w:val="00DD0444"/>
    <w:rsid w:val="00DD0735"/>
    <w:rsid w:val="00DD0A2E"/>
    <w:rsid w:val="00DD0C07"/>
    <w:rsid w:val="00DD0E29"/>
    <w:rsid w:val="00DD111A"/>
    <w:rsid w:val="00DD15E1"/>
    <w:rsid w:val="00DD161F"/>
    <w:rsid w:val="00DD2365"/>
    <w:rsid w:val="00DD239D"/>
    <w:rsid w:val="00DD2409"/>
    <w:rsid w:val="00DD3049"/>
    <w:rsid w:val="00DD30CC"/>
    <w:rsid w:val="00DD30CD"/>
    <w:rsid w:val="00DD35C7"/>
    <w:rsid w:val="00DD373C"/>
    <w:rsid w:val="00DD3B44"/>
    <w:rsid w:val="00DD3BF0"/>
    <w:rsid w:val="00DD4194"/>
    <w:rsid w:val="00DD449A"/>
    <w:rsid w:val="00DD47A1"/>
    <w:rsid w:val="00DD4874"/>
    <w:rsid w:val="00DD4AB8"/>
    <w:rsid w:val="00DD4B0B"/>
    <w:rsid w:val="00DD5079"/>
    <w:rsid w:val="00DD5480"/>
    <w:rsid w:val="00DD56BF"/>
    <w:rsid w:val="00DD5714"/>
    <w:rsid w:val="00DD5B8A"/>
    <w:rsid w:val="00DD5DB0"/>
    <w:rsid w:val="00DD5FDE"/>
    <w:rsid w:val="00DD624A"/>
    <w:rsid w:val="00DD713A"/>
    <w:rsid w:val="00DD7812"/>
    <w:rsid w:val="00DE00CA"/>
    <w:rsid w:val="00DE05B6"/>
    <w:rsid w:val="00DE09D6"/>
    <w:rsid w:val="00DE0C0E"/>
    <w:rsid w:val="00DE0FBC"/>
    <w:rsid w:val="00DE1034"/>
    <w:rsid w:val="00DE14AA"/>
    <w:rsid w:val="00DE1F14"/>
    <w:rsid w:val="00DE1F52"/>
    <w:rsid w:val="00DE24AB"/>
    <w:rsid w:val="00DE2805"/>
    <w:rsid w:val="00DE2BE3"/>
    <w:rsid w:val="00DE30E2"/>
    <w:rsid w:val="00DE3158"/>
    <w:rsid w:val="00DE3A9A"/>
    <w:rsid w:val="00DE3DDD"/>
    <w:rsid w:val="00DE423D"/>
    <w:rsid w:val="00DE4316"/>
    <w:rsid w:val="00DE4494"/>
    <w:rsid w:val="00DE5496"/>
    <w:rsid w:val="00DE6421"/>
    <w:rsid w:val="00DE706B"/>
    <w:rsid w:val="00DE74A7"/>
    <w:rsid w:val="00DE7530"/>
    <w:rsid w:val="00DE76E4"/>
    <w:rsid w:val="00DE788B"/>
    <w:rsid w:val="00DE7950"/>
    <w:rsid w:val="00DE7AE4"/>
    <w:rsid w:val="00DE7CD1"/>
    <w:rsid w:val="00DF01F2"/>
    <w:rsid w:val="00DF0689"/>
    <w:rsid w:val="00DF08A1"/>
    <w:rsid w:val="00DF0D8C"/>
    <w:rsid w:val="00DF0F10"/>
    <w:rsid w:val="00DF0FA0"/>
    <w:rsid w:val="00DF16C0"/>
    <w:rsid w:val="00DF1A90"/>
    <w:rsid w:val="00DF1DCE"/>
    <w:rsid w:val="00DF238C"/>
    <w:rsid w:val="00DF2D1A"/>
    <w:rsid w:val="00DF2D46"/>
    <w:rsid w:val="00DF2FA0"/>
    <w:rsid w:val="00DF31C3"/>
    <w:rsid w:val="00DF387A"/>
    <w:rsid w:val="00DF3A02"/>
    <w:rsid w:val="00DF3A42"/>
    <w:rsid w:val="00DF3B71"/>
    <w:rsid w:val="00DF4159"/>
    <w:rsid w:val="00DF4309"/>
    <w:rsid w:val="00DF4841"/>
    <w:rsid w:val="00DF5262"/>
    <w:rsid w:val="00DF532D"/>
    <w:rsid w:val="00DF548B"/>
    <w:rsid w:val="00DF5658"/>
    <w:rsid w:val="00DF5C4F"/>
    <w:rsid w:val="00DF6049"/>
    <w:rsid w:val="00DF667F"/>
    <w:rsid w:val="00DF70CC"/>
    <w:rsid w:val="00E00318"/>
    <w:rsid w:val="00E00411"/>
    <w:rsid w:val="00E008B7"/>
    <w:rsid w:val="00E008D1"/>
    <w:rsid w:val="00E013A2"/>
    <w:rsid w:val="00E01465"/>
    <w:rsid w:val="00E017FD"/>
    <w:rsid w:val="00E01D22"/>
    <w:rsid w:val="00E01F71"/>
    <w:rsid w:val="00E02974"/>
    <w:rsid w:val="00E03643"/>
    <w:rsid w:val="00E03995"/>
    <w:rsid w:val="00E039D6"/>
    <w:rsid w:val="00E03B1D"/>
    <w:rsid w:val="00E041E4"/>
    <w:rsid w:val="00E0435A"/>
    <w:rsid w:val="00E046D2"/>
    <w:rsid w:val="00E04F34"/>
    <w:rsid w:val="00E051C6"/>
    <w:rsid w:val="00E05795"/>
    <w:rsid w:val="00E05855"/>
    <w:rsid w:val="00E05909"/>
    <w:rsid w:val="00E05FBC"/>
    <w:rsid w:val="00E06981"/>
    <w:rsid w:val="00E06BEF"/>
    <w:rsid w:val="00E073FA"/>
    <w:rsid w:val="00E07782"/>
    <w:rsid w:val="00E10B7D"/>
    <w:rsid w:val="00E10D45"/>
    <w:rsid w:val="00E11CE0"/>
    <w:rsid w:val="00E11E96"/>
    <w:rsid w:val="00E12214"/>
    <w:rsid w:val="00E1265C"/>
    <w:rsid w:val="00E12E60"/>
    <w:rsid w:val="00E13078"/>
    <w:rsid w:val="00E130A8"/>
    <w:rsid w:val="00E133EE"/>
    <w:rsid w:val="00E13793"/>
    <w:rsid w:val="00E13A3E"/>
    <w:rsid w:val="00E13BB9"/>
    <w:rsid w:val="00E144D1"/>
    <w:rsid w:val="00E147EC"/>
    <w:rsid w:val="00E15B5A"/>
    <w:rsid w:val="00E15E11"/>
    <w:rsid w:val="00E16178"/>
    <w:rsid w:val="00E1639A"/>
    <w:rsid w:val="00E164D4"/>
    <w:rsid w:val="00E17A3E"/>
    <w:rsid w:val="00E17A73"/>
    <w:rsid w:val="00E20705"/>
    <w:rsid w:val="00E2196A"/>
    <w:rsid w:val="00E222FD"/>
    <w:rsid w:val="00E2267B"/>
    <w:rsid w:val="00E227D6"/>
    <w:rsid w:val="00E227EA"/>
    <w:rsid w:val="00E22A65"/>
    <w:rsid w:val="00E22AD9"/>
    <w:rsid w:val="00E23426"/>
    <w:rsid w:val="00E23660"/>
    <w:rsid w:val="00E236E3"/>
    <w:rsid w:val="00E23A16"/>
    <w:rsid w:val="00E23DAF"/>
    <w:rsid w:val="00E248F2"/>
    <w:rsid w:val="00E24FED"/>
    <w:rsid w:val="00E25C14"/>
    <w:rsid w:val="00E264A6"/>
    <w:rsid w:val="00E26FD2"/>
    <w:rsid w:val="00E27017"/>
    <w:rsid w:val="00E273B1"/>
    <w:rsid w:val="00E274ED"/>
    <w:rsid w:val="00E2761D"/>
    <w:rsid w:val="00E278B3"/>
    <w:rsid w:val="00E27940"/>
    <w:rsid w:val="00E27B10"/>
    <w:rsid w:val="00E27C0E"/>
    <w:rsid w:val="00E27D3D"/>
    <w:rsid w:val="00E30072"/>
    <w:rsid w:val="00E3008A"/>
    <w:rsid w:val="00E31326"/>
    <w:rsid w:val="00E31348"/>
    <w:rsid w:val="00E31557"/>
    <w:rsid w:val="00E319F8"/>
    <w:rsid w:val="00E31A1E"/>
    <w:rsid w:val="00E31B9C"/>
    <w:rsid w:val="00E32406"/>
    <w:rsid w:val="00E32AF0"/>
    <w:rsid w:val="00E32C18"/>
    <w:rsid w:val="00E32D6D"/>
    <w:rsid w:val="00E32FAA"/>
    <w:rsid w:val="00E32FBE"/>
    <w:rsid w:val="00E33348"/>
    <w:rsid w:val="00E3338E"/>
    <w:rsid w:val="00E3362B"/>
    <w:rsid w:val="00E3370E"/>
    <w:rsid w:val="00E33BBF"/>
    <w:rsid w:val="00E34484"/>
    <w:rsid w:val="00E35767"/>
    <w:rsid w:val="00E36373"/>
    <w:rsid w:val="00E37144"/>
    <w:rsid w:val="00E37424"/>
    <w:rsid w:val="00E37EBA"/>
    <w:rsid w:val="00E40541"/>
    <w:rsid w:val="00E40680"/>
    <w:rsid w:val="00E406F1"/>
    <w:rsid w:val="00E40A57"/>
    <w:rsid w:val="00E41456"/>
    <w:rsid w:val="00E41731"/>
    <w:rsid w:val="00E4176C"/>
    <w:rsid w:val="00E41C65"/>
    <w:rsid w:val="00E42051"/>
    <w:rsid w:val="00E425D1"/>
    <w:rsid w:val="00E42647"/>
    <w:rsid w:val="00E42C6A"/>
    <w:rsid w:val="00E42E0A"/>
    <w:rsid w:val="00E430E2"/>
    <w:rsid w:val="00E4378F"/>
    <w:rsid w:val="00E437EF"/>
    <w:rsid w:val="00E43B9F"/>
    <w:rsid w:val="00E44466"/>
    <w:rsid w:val="00E44C0B"/>
    <w:rsid w:val="00E45180"/>
    <w:rsid w:val="00E45305"/>
    <w:rsid w:val="00E45E7E"/>
    <w:rsid w:val="00E46AC9"/>
    <w:rsid w:val="00E46DB2"/>
    <w:rsid w:val="00E47757"/>
    <w:rsid w:val="00E50215"/>
    <w:rsid w:val="00E5039B"/>
    <w:rsid w:val="00E5120C"/>
    <w:rsid w:val="00E51D42"/>
    <w:rsid w:val="00E51DB7"/>
    <w:rsid w:val="00E529F2"/>
    <w:rsid w:val="00E53216"/>
    <w:rsid w:val="00E53407"/>
    <w:rsid w:val="00E535E7"/>
    <w:rsid w:val="00E53DB6"/>
    <w:rsid w:val="00E53E47"/>
    <w:rsid w:val="00E53F4A"/>
    <w:rsid w:val="00E54ACA"/>
    <w:rsid w:val="00E54FB3"/>
    <w:rsid w:val="00E550BE"/>
    <w:rsid w:val="00E5535E"/>
    <w:rsid w:val="00E55904"/>
    <w:rsid w:val="00E55A2E"/>
    <w:rsid w:val="00E55C9D"/>
    <w:rsid w:val="00E55E72"/>
    <w:rsid w:val="00E560D3"/>
    <w:rsid w:val="00E56299"/>
    <w:rsid w:val="00E5685C"/>
    <w:rsid w:val="00E5685F"/>
    <w:rsid w:val="00E569BD"/>
    <w:rsid w:val="00E56FD8"/>
    <w:rsid w:val="00E57118"/>
    <w:rsid w:val="00E5745E"/>
    <w:rsid w:val="00E57521"/>
    <w:rsid w:val="00E57E9C"/>
    <w:rsid w:val="00E57FE4"/>
    <w:rsid w:val="00E57FED"/>
    <w:rsid w:val="00E60005"/>
    <w:rsid w:val="00E6034E"/>
    <w:rsid w:val="00E60616"/>
    <w:rsid w:val="00E611AA"/>
    <w:rsid w:val="00E6157A"/>
    <w:rsid w:val="00E61C65"/>
    <w:rsid w:val="00E62335"/>
    <w:rsid w:val="00E628DC"/>
    <w:rsid w:val="00E62B07"/>
    <w:rsid w:val="00E62CF4"/>
    <w:rsid w:val="00E6346D"/>
    <w:rsid w:val="00E635AB"/>
    <w:rsid w:val="00E6377B"/>
    <w:rsid w:val="00E63BA5"/>
    <w:rsid w:val="00E64002"/>
    <w:rsid w:val="00E64A44"/>
    <w:rsid w:val="00E64C58"/>
    <w:rsid w:val="00E64E60"/>
    <w:rsid w:val="00E656A4"/>
    <w:rsid w:val="00E656E8"/>
    <w:rsid w:val="00E6645E"/>
    <w:rsid w:val="00E6653D"/>
    <w:rsid w:val="00E665EA"/>
    <w:rsid w:val="00E66614"/>
    <w:rsid w:val="00E6671B"/>
    <w:rsid w:val="00E66924"/>
    <w:rsid w:val="00E6702E"/>
    <w:rsid w:val="00E6746A"/>
    <w:rsid w:val="00E7176C"/>
    <w:rsid w:val="00E71CEB"/>
    <w:rsid w:val="00E71DB3"/>
    <w:rsid w:val="00E73014"/>
    <w:rsid w:val="00E734AB"/>
    <w:rsid w:val="00E7398B"/>
    <w:rsid w:val="00E74154"/>
    <w:rsid w:val="00E74319"/>
    <w:rsid w:val="00E74373"/>
    <w:rsid w:val="00E744FF"/>
    <w:rsid w:val="00E75E6F"/>
    <w:rsid w:val="00E76052"/>
    <w:rsid w:val="00E76152"/>
    <w:rsid w:val="00E76637"/>
    <w:rsid w:val="00E76A74"/>
    <w:rsid w:val="00E76EA9"/>
    <w:rsid w:val="00E77622"/>
    <w:rsid w:val="00E77A80"/>
    <w:rsid w:val="00E77DBA"/>
    <w:rsid w:val="00E80035"/>
    <w:rsid w:val="00E80341"/>
    <w:rsid w:val="00E80945"/>
    <w:rsid w:val="00E809D1"/>
    <w:rsid w:val="00E80DF5"/>
    <w:rsid w:val="00E8110E"/>
    <w:rsid w:val="00E8269B"/>
    <w:rsid w:val="00E828E0"/>
    <w:rsid w:val="00E8310B"/>
    <w:rsid w:val="00E835ED"/>
    <w:rsid w:val="00E83E09"/>
    <w:rsid w:val="00E843DD"/>
    <w:rsid w:val="00E84AB9"/>
    <w:rsid w:val="00E85350"/>
    <w:rsid w:val="00E85860"/>
    <w:rsid w:val="00E85CA5"/>
    <w:rsid w:val="00E86199"/>
    <w:rsid w:val="00E867AB"/>
    <w:rsid w:val="00E86DFD"/>
    <w:rsid w:val="00E872DB"/>
    <w:rsid w:val="00E87D22"/>
    <w:rsid w:val="00E909E2"/>
    <w:rsid w:val="00E90D5E"/>
    <w:rsid w:val="00E90EA7"/>
    <w:rsid w:val="00E915E0"/>
    <w:rsid w:val="00E9160E"/>
    <w:rsid w:val="00E927AD"/>
    <w:rsid w:val="00E92B30"/>
    <w:rsid w:val="00E930FA"/>
    <w:rsid w:val="00E9317D"/>
    <w:rsid w:val="00E93202"/>
    <w:rsid w:val="00E935AC"/>
    <w:rsid w:val="00E93796"/>
    <w:rsid w:val="00E93CF1"/>
    <w:rsid w:val="00E93D0B"/>
    <w:rsid w:val="00E9422A"/>
    <w:rsid w:val="00E946AD"/>
    <w:rsid w:val="00E94768"/>
    <w:rsid w:val="00E94C8F"/>
    <w:rsid w:val="00E950FA"/>
    <w:rsid w:val="00E9564F"/>
    <w:rsid w:val="00E95F51"/>
    <w:rsid w:val="00E9623C"/>
    <w:rsid w:val="00E96528"/>
    <w:rsid w:val="00E965EE"/>
    <w:rsid w:val="00E96983"/>
    <w:rsid w:val="00E969FD"/>
    <w:rsid w:val="00E97204"/>
    <w:rsid w:val="00E972F9"/>
    <w:rsid w:val="00E976DF"/>
    <w:rsid w:val="00E97E0D"/>
    <w:rsid w:val="00E97E67"/>
    <w:rsid w:val="00E97E9E"/>
    <w:rsid w:val="00EA0B2C"/>
    <w:rsid w:val="00EA0D94"/>
    <w:rsid w:val="00EA12A1"/>
    <w:rsid w:val="00EA1417"/>
    <w:rsid w:val="00EA1B29"/>
    <w:rsid w:val="00EA2350"/>
    <w:rsid w:val="00EA2B07"/>
    <w:rsid w:val="00EA3098"/>
    <w:rsid w:val="00EA344A"/>
    <w:rsid w:val="00EA3D66"/>
    <w:rsid w:val="00EA4B46"/>
    <w:rsid w:val="00EA4CAB"/>
    <w:rsid w:val="00EA4EA4"/>
    <w:rsid w:val="00EA516F"/>
    <w:rsid w:val="00EA5552"/>
    <w:rsid w:val="00EA5778"/>
    <w:rsid w:val="00EA5C39"/>
    <w:rsid w:val="00EA655D"/>
    <w:rsid w:val="00EA66E6"/>
    <w:rsid w:val="00EA68CE"/>
    <w:rsid w:val="00EA6C4A"/>
    <w:rsid w:val="00EA6DDA"/>
    <w:rsid w:val="00EA701D"/>
    <w:rsid w:val="00EA776A"/>
    <w:rsid w:val="00EA792B"/>
    <w:rsid w:val="00EA7DBD"/>
    <w:rsid w:val="00EB059F"/>
    <w:rsid w:val="00EB09A3"/>
    <w:rsid w:val="00EB229F"/>
    <w:rsid w:val="00EB24E8"/>
    <w:rsid w:val="00EB2552"/>
    <w:rsid w:val="00EB2913"/>
    <w:rsid w:val="00EB295A"/>
    <w:rsid w:val="00EB2DD6"/>
    <w:rsid w:val="00EB3375"/>
    <w:rsid w:val="00EB360C"/>
    <w:rsid w:val="00EB3753"/>
    <w:rsid w:val="00EB426B"/>
    <w:rsid w:val="00EB47B0"/>
    <w:rsid w:val="00EB4B12"/>
    <w:rsid w:val="00EB4E02"/>
    <w:rsid w:val="00EB4F9F"/>
    <w:rsid w:val="00EB5232"/>
    <w:rsid w:val="00EB5242"/>
    <w:rsid w:val="00EB5319"/>
    <w:rsid w:val="00EB536E"/>
    <w:rsid w:val="00EB5B91"/>
    <w:rsid w:val="00EB5D4B"/>
    <w:rsid w:val="00EB5E6D"/>
    <w:rsid w:val="00EB667C"/>
    <w:rsid w:val="00EB6B42"/>
    <w:rsid w:val="00EB6C91"/>
    <w:rsid w:val="00EB6CC0"/>
    <w:rsid w:val="00EB6ED7"/>
    <w:rsid w:val="00EC09AE"/>
    <w:rsid w:val="00EC0B93"/>
    <w:rsid w:val="00EC14AF"/>
    <w:rsid w:val="00EC1C27"/>
    <w:rsid w:val="00EC243D"/>
    <w:rsid w:val="00EC29BC"/>
    <w:rsid w:val="00EC2AB0"/>
    <w:rsid w:val="00EC2FB6"/>
    <w:rsid w:val="00EC300D"/>
    <w:rsid w:val="00EC32A5"/>
    <w:rsid w:val="00EC348A"/>
    <w:rsid w:val="00EC353D"/>
    <w:rsid w:val="00EC402C"/>
    <w:rsid w:val="00EC41FE"/>
    <w:rsid w:val="00EC4758"/>
    <w:rsid w:val="00EC4D1B"/>
    <w:rsid w:val="00EC57D3"/>
    <w:rsid w:val="00EC5EB6"/>
    <w:rsid w:val="00EC6347"/>
    <w:rsid w:val="00EC6741"/>
    <w:rsid w:val="00EC6F47"/>
    <w:rsid w:val="00EC757D"/>
    <w:rsid w:val="00EC7E7E"/>
    <w:rsid w:val="00ED00CA"/>
    <w:rsid w:val="00ED03EC"/>
    <w:rsid w:val="00ED0EF9"/>
    <w:rsid w:val="00ED12A2"/>
    <w:rsid w:val="00ED13F4"/>
    <w:rsid w:val="00ED16BC"/>
    <w:rsid w:val="00ED17F8"/>
    <w:rsid w:val="00ED20CB"/>
    <w:rsid w:val="00ED29A2"/>
    <w:rsid w:val="00ED2C44"/>
    <w:rsid w:val="00ED2C49"/>
    <w:rsid w:val="00ED3E08"/>
    <w:rsid w:val="00ED4917"/>
    <w:rsid w:val="00ED5042"/>
    <w:rsid w:val="00ED50F3"/>
    <w:rsid w:val="00ED554D"/>
    <w:rsid w:val="00ED56A1"/>
    <w:rsid w:val="00ED5B7F"/>
    <w:rsid w:val="00ED5B9E"/>
    <w:rsid w:val="00ED5BB3"/>
    <w:rsid w:val="00ED62AD"/>
    <w:rsid w:val="00ED630B"/>
    <w:rsid w:val="00ED6A6E"/>
    <w:rsid w:val="00ED7027"/>
    <w:rsid w:val="00ED7509"/>
    <w:rsid w:val="00ED7972"/>
    <w:rsid w:val="00ED7997"/>
    <w:rsid w:val="00ED7DA0"/>
    <w:rsid w:val="00EE060D"/>
    <w:rsid w:val="00EE0EA0"/>
    <w:rsid w:val="00EE1BEE"/>
    <w:rsid w:val="00EE1E0A"/>
    <w:rsid w:val="00EE2852"/>
    <w:rsid w:val="00EE299A"/>
    <w:rsid w:val="00EE3264"/>
    <w:rsid w:val="00EE422A"/>
    <w:rsid w:val="00EE5014"/>
    <w:rsid w:val="00EE5333"/>
    <w:rsid w:val="00EE5B03"/>
    <w:rsid w:val="00EE5B82"/>
    <w:rsid w:val="00EE5C5D"/>
    <w:rsid w:val="00EE6467"/>
    <w:rsid w:val="00EE6569"/>
    <w:rsid w:val="00EE657E"/>
    <w:rsid w:val="00EE65F2"/>
    <w:rsid w:val="00EE6A59"/>
    <w:rsid w:val="00EE6E67"/>
    <w:rsid w:val="00EE7208"/>
    <w:rsid w:val="00EE777F"/>
    <w:rsid w:val="00EE7DB3"/>
    <w:rsid w:val="00EF05F2"/>
    <w:rsid w:val="00EF0790"/>
    <w:rsid w:val="00EF0AD0"/>
    <w:rsid w:val="00EF0CBB"/>
    <w:rsid w:val="00EF140A"/>
    <w:rsid w:val="00EF268C"/>
    <w:rsid w:val="00EF31DB"/>
    <w:rsid w:val="00EF31F8"/>
    <w:rsid w:val="00EF3278"/>
    <w:rsid w:val="00EF3E8B"/>
    <w:rsid w:val="00EF4178"/>
    <w:rsid w:val="00EF5138"/>
    <w:rsid w:val="00EF5350"/>
    <w:rsid w:val="00EF5539"/>
    <w:rsid w:val="00EF58F5"/>
    <w:rsid w:val="00EF5E7D"/>
    <w:rsid w:val="00EF60EB"/>
    <w:rsid w:val="00EF6360"/>
    <w:rsid w:val="00EF6B91"/>
    <w:rsid w:val="00EF70BF"/>
    <w:rsid w:val="00EF70C8"/>
    <w:rsid w:val="00EF7482"/>
    <w:rsid w:val="00EF761E"/>
    <w:rsid w:val="00EF7793"/>
    <w:rsid w:val="00EF7874"/>
    <w:rsid w:val="00EF7BB3"/>
    <w:rsid w:val="00EF7FED"/>
    <w:rsid w:val="00F00094"/>
    <w:rsid w:val="00F00678"/>
    <w:rsid w:val="00F00EDE"/>
    <w:rsid w:val="00F0152D"/>
    <w:rsid w:val="00F01579"/>
    <w:rsid w:val="00F01723"/>
    <w:rsid w:val="00F0248A"/>
    <w:rsid w:val="00F029A6"/>
    <w:rsid w:val="00F02A40"/>
    <w:rsid w:val="00F0312A"/>
    <w:rsid w:val="00F031B9"/>
    <w:rsid w:val="00F03301"/>
    <w:rsid w:val="00F04030"/>
    <w:rsid w:val="00F048FD"/>
    <w:rsid w:val="00F049EC"/>
    <w:rsid w:val="00F04D49"/>
    <w:rsid w:val="00F04F1F"/>
    <w:rsid w:val="00F050D0"/>
    <w:rsid w:val="00F052DC"/>
    <w:rsid w:val="00F052DF"/>
    <w:rsid w:val="00F0542E"/>
    <w:rsid w:val="00F0548C"/>
    <w:rsid w:val="00F05F11"/>
    <w:rsid w:val="00F0645B"/>
    <w:rsid w:val="00F06613"/>
    <w:rsid w:val="00F06EBF"/>
    <w:rsid w:val="00F06FBE"/>
    <w:rsid w:val="00F07361"/>
    <w:rsid w:val="00F07609"/>
    <w:rsid w:val="00F1045B"/>
    <w:rsid w:val="00F105A8"/>
    <w:rsid w:val="00F10BE3"/>
    <w:rsid w:val="00F10FC3"/>
    <w:rsid w:val="00F11112"/>
    <w:rsid w:val="00F1131A"/>
    <w:rsid w:val="00F12247"/>
    <w:rsid w:val="00F126AD"/>
    <w:rsid w:val="00F12985"/>
    <w:rsid w:val="00F12BB7"/>
    <w:rsid w:val="00F12ED0"/>
    <w:rsid w:val="00F136C6"/>
    <w:rsid w:val="00F13C3B"/>
    <w:rsid w:val="00F13CFE"/>
    <w:rsid w:val="00F14365"/>
    <w:rsid w:val="00F145A6"/>
    <w:rsid w:val="00F14B1B"/>
    <w:rsid w:val="00F15197"/>
    <w:rsid w:val="00F1546C"/>
    <w:rsid w:val="00F15735"/>
    <w:rsid w:val="00F15A89"/>
    <w:rsid w:val="00F16853"/>
    <w:rsid w:val="00F168BE"/>
    <w:rsid w:val="00F16FBC"/>
    <w:rsid w:val="00F1759B"/>
    <w:rsid w:val="00F17711"/>
    <w:rsid w:val="00F17A3F"/>
    <w:rsid w:val="00F17EEA"/>
    <w:rsid w:val="00F202FC"/>
    <w:rsid w:val="00F20753"/>
    <w:rsid w:val="00F21FA3"/>
    <w:rsid w:val="00F2216C"/>
    <w:rsid w:val="00F2268D"/>
    <w:rsid w:val="00F226A1"/>
    <w:rsid w:val="00F22C87"/>
    <w:rsid w:val="00F22E41"/>
    <w:rsid w:val="00F22FAB"/>
    <w:rsid w:val="00F23982"/>
    <w:rsid w:val="00F23B17"/>
    <w:rsid w:val="00F23D42"/>
    <w:rsid w:val="00F23F73"/>
    <w:rsid w:val="00F24925"/>
    <w:rsid w:val="00F24AC7"/>
    <w:rsid w:val="00F252FF"/>
    <w:rsid w:val="00F25364"/>
    <w:rsid w:val="00F26024"/>
    <w:rsid w:val="00F26B4B"/>
    <w:rsid w:val="00F26DFE"/>
    <w:rsid w:val="00F26EBE"/>
    <w:rsid w:val="00F2706C"/>
    <w:rsid w:val="00F2732D"/>
    <w:rsid w:val="00F2759A"/>
    <w:rsid w:val="00F27A47"/>
    <w:rsid w:val="00F30020"/>
    <w:rsid w:val="00F30034"/>
    <w:rsid w:val="00F30372"/>
    <w:rsid w:val="00F3094A"/>
    <w:rsid w:val="00F309A8"/>
    <w:rsid w:val="00F309DC"/>
    <w:rsid w:val="00F319F9"/>
    <w:rsid w:val="00F31F5F"/>
    <w:rsid w:val="00F31FEB"/>
    <w:rsid w:val="00F3234D"/>
    <w:rsid w:val="00F324CB"/>
    <w:rsid w:val="00F3376E"/>
    <w:rsid w:val="00F33AAE"/>
    <w:rsid w:val="00F34290"/>
    <w:rsid w:val="00F34DF3"/>
    <w:rsid w:val="00F35DCC"/>
    <w:rsid w:val="00F35DE7"/>
    <w:rsid w:val="00F36331"/>
    <w:rsid w:val="00F36EC5"/>
    <w:rsid w:val="00F373B6"/>
    <w:rsid w:val="00F3747A"/>
    <w:rsid w:val="00F3769F"/>
    <w:rsid w:val="00F37864"/>
    <w:rsid w:val="00F37935"/>
    <w:rsid w:val="00F37A01"/>
    <w:rsid w:val="00F37F7D"/>
    <w:rsid w:val="00F405B4"/>
    <w:rsid w:val="00F40947"/>
    <w:rsid w:val="00F40B74"/>
    <w:rsid w:val="00F42095"/>
    <w:rsid w:val="00F421B5"/>
    <w:rsid w:val="00F42FCD"/>
    <w:rsid w:val="00F430F3"/>
    <w:rsid w:val="00F432FC"/>
    <w:rsid w:val="00F43692"/>
    <w:rsid w:val="00F43C87"/>
    <w:rsid w:val="00F44205"/>
    <w:rsid w:val="00F4422D"/>
    <w:rsid w:val="00F4445A"/>
    <w:rsid w:val="00F44C9F"/>
    <w:rsid w:val="00F44DA3"/>
    <w:rsid w:val="00F45D5E"/>
    <w:rsid w:val="00F45F9F"/>
    <w:rsid w:val="00F46127"/>
    <w:rsid w:val="00F461A0"/>
    <w:rsid w:val="00F4691D"/>
    <w:rsid w:val="00F46961"/>
    <w:rsid w:val="00F4699F"/>
    <w:rsid w:val="00F46FCD"/>
    <w:rsid w:val="00F475BC"/>
    <w:rsid w:val="00F4787A"/>
    <w:rsid w:val="00F50032"/>
    <w:rsid w:val="00F504AE"/>
    <w:rsid w:val="00F50814"/>
    <w:rsid w:val="00F512F7"/>
    <w:rsid w:val="00F516EF"/>
    <w:rsid w:val="00F51C0E"/>
    <w:rsid w:val="00F52975"/>
    <w:rsid w:val="00F52FAD"/>
    <w:rsid w:val="00F530A6"/>
    <w:rsid w:val="00F531A7"/>
    <w:rsid w:val="00F5396A"/>
    <w:rsid w:val="00F53C49"/>
    <w:rsid w:val="00F543EB"/>
    <w:rsid w:val="00F5502B"/>
    <w:rsid w:val="00F55188"/>
    <w:rsid w:val="00F555C5"/>
    <w:rsid w:val="00F5576D"/>
    <w:rsid w:val="00F557CA"/>
    <w:rsid w:val="00F561CB"/>
    <w:rsid w:val="00F56314"/>
    <w:rsid w:val="00F57051"/>
    <w:rsid w:val="00F573E3"/>
    <w:rsid w:val="00F57AA3"/>
    <w:rsid w:val="00F605BA"/>
    <w:rsid w:val="00F609A6"/>
    <w:rsid w:val="00F60D62"/>
    <w:rsid w:val="00F615A1"/>
    <w:rsid w:val="00F6165C"/>
    <w:rsid w:val="00F6177B"/>
    <w:rsid w:val="00F61E38"/>
    <w:rsid w:val="00F62171"/>
    <w:rsid w:val="00F625F2"/>
    <w:rsid w:val="00F62EA1"/>
    <w:rsid w:val="00F630C9"/>
    <w:rsid w:val="00F64141"/>
    <w:rsid w:val="00F6414B"/>
    <w:rsid w:val="00F64177"/>
    <w:rsid w:val="00F6572A"/>
    <w:rsid w:val="00F65AD7"/>
    <w:rsid w:val="00F6611E"/>
    <w:rsid w:val="00F663F9"/>
    <w:rsid w:val="00F6647A"/>
    <w:rsid w:val="00F6686C"/>
    <w:rsid w:val="00F66992"/>
    <w:rsid w:val="00F66F0E"/>
    <w:rsid w:val="00F67505"/>
    <w:rsid w:val="00F67739"/>
    <w:rsid w:val="00F67EEE"/>
    <w:rsid w:val="00F7016B"/>
    <w:rsid w:val="00F70D5E"/>
    <w:rsid w:val="00F70E11"/>
    <w:rsid w:val="00F71243"/>
    <w:rsid w:val="00F713DB"/>
    <w:rsid w:val="00F71DFC"/>
    <w:rsid w:val="00F721A0"/>
    <w:rsid w:val="00F721FC"/>
    <w:rsid w:val="00F72808"/>
    <w:rsid w:val="00F729CD"/>
    <w:rsid w:val="00F72B42"/>
    <w:rsid w:val="00F72BB2"/>
    <w:rsid w:val="00F72BF2"/>
    <w:rsid w:val="00F730C9"/>
    <w:rsid w:val="00F73218"/>
    <w:rsid w:val="00F733F3"/>
    <w:rsid w:val="00F73617"/>
    <w:rsid w:val="00F73A39"/>
    <w:rsid w:val="00F73E47"/>
    <w:rsid w:val="00F75678"/>
    <w:rsid w:val="00F758FF"/>
    <w:rsid w:val="00F75D3A"/>
    <w:rsid w:val="00F76174"/>
    <w:rsid w:val="00F76476"/>
    <w:rsid w:val="00F77337"/>
    <w:rsid w:val="00F77528"/>
    <w:rsid w:val="00F77A41"/>
    <w:rsid w:val="00F80139"/>
    <w:rsid w:val="00F8038D"/>
    <w:rsid w:val="00F805A5"/>
    <w:rsid w:val="00F80A54"/>
    <w:rsid w:val="00F8162A"/>
    <w:rsid w:val="00F818FE"/>
    <w:rsid w:val="00F8246E"/>
    <w:rsid w:val="00F825B5"/>
    <w:rsid w:val="00F82805"/>
    <w:rsid w:val="00F82EA5"/>
    <w:rsid w:val="00F8343F"/>
    <w:rsid w:val="00F83665"/>
    <w:rsid w:val="00F8398F"/>
    <w:rsid w:val="00F841CA"/>
    <w:rsid w:val="00F849FE"/>
    <w:rsid w:val="00F84C7C"/>
    <w:rsid w:val="00F85588"/>
    <w:rsid w:val="00F86F6C"/>
    <w:rsid w:val="00F87322"/>
    <w:rsid w:val="00F8763B"/>
    <w:rsid w:val="00F876AB"/>
    <w:rsid w:val="00F87C31"/>
    <w:rsid w:val="00F902B7"/>
    <w:rsid w:val="00F905EB"/>
    <w:rsid w:val="00F908AC"/>
    <w:rsid w:val="00F91349"/>
    <w:rsid w:val="00F91565"/>
    <w:rsid w:val="00F916EE"/>
    <w:rsid w:val="00F91DAB"/>
    <w:rsid w:val="00F920F5"/>
    <w:rsid w:val="00F9212E"/>
    <w:rsid w:val="00F92670"/>
    <w:rsid w:val="00F9274F"/>
    <w:rsid w:val="00F928D8"/>
    <w:rsid w:val="00F935BB"/>
    <w:rsid w:val="00F939E0"/>
    <w:rsid w:val="00F940F4"/>
    <w:rsid w:val="00F941DB"/>
    <w:rsid w:val="00F9445F"/>
    <w:rsid w:val="00F94FCA"/>
    <w:rsid w:val="00F9519E"/>
    <w:rsid w:val="00F95558"/>
    <w:rsid w:val="00F95809"/>
    <w:rsid w:val="00F959E7"/>
    <w:rsid w:val="00F95F0A"/>
    <w:rsid w:val="00F96E21"/>
    <w:rsid w:val="00F970BA"/>
    <w:rsid w:val="00F9786F"/>
    <w:rsid w:val="00FA0329"/>
    <w:rsid w:val="00FA1A77"/>
    <w:rsid w:val="00FA2C5A"/>
    <w:rsid w:val="00FA2E1B"/>
    <w:rsid w:val="00FA3738"/>
    <w:rsid w:val="00FA3868"/>
    <w:rsid w:val="00FA39F2"/>
    <w:rsid w:val="00FA49D5"/>
    <w:rsid w:val="00FA4E42"/>
    <w:rsid w:val="00FA4F28"/>
    <w:rsid w:val="00FA4FDF"/>
    <w:rsid w:val="00FA5498"/>
    <w:rsid w:val="00FA5504"/>
    <w:rsid w:val="00FA5868"/>
    <w:rsid w:val="00FA6B7E"/>
    <w:rsid w:val="00FA6BEF"/>
    <w:rsid w:val="00FA73DF"/>
    <w:rsid w:val="00FA74B5"/>
    <w:rsid w:val="00FA7560"/>
    <w:rsid w:val="00FA7A5F"/>
    <w:rsid w:val="00FB0E94"/>
    <w:rsid w:val="00FB3164"/>
    <w:rsid w:val="00FB31EA"/>
    <w:rsid w:val="00FB3389"/>
    <w:rsid w:val="00FB3A70"/>
    <w:rsid w:val="00FB495B"/>
    <w:rsid w:val="00FB50A9"/>
    <w:rsid w:val="00FB549C"/>
    <w:rsid w:val="00FB5621"/>
    <w:rsid w:val="00FB57DB"/>
    <w:rsid w:val="00FB6052"/>
    <w:rsid w:val="00FB6669"/>
    <w:rsid w:val="00FB71C9"/>
    <w:rsid w:val="00FB72F7"/>
    <w:rsid w:val="00FB7864"/>
    <w:rsid w:val="00FB79FA"/>
    <w:rsid w:val="00FC06E3"/>
    <w:rsid w:val="00FC0D8B"/>
    <w:rsid w:val="00FC0F71"/>
    <w:rsid w:val="00FC160C"/>
    <w:rsid w:val="00FC1630"/>
    <w:rsid w:val="00FC1F29"/>
    <w:rsid w:val="00FC22AB"/>
    <w:rsid w:val="00FC23E8"/>
    <w:rsid w:val="00FC270C"/>
    <w:rsid w:val="00FC272E"/>
    <w:rsid w:val="00FC294A"/>
    <w:rsid w:val="00FC2965"/>
    <w:rsid w:val="00FC30F3"/>
    <w:rsid w:val="00FC329C"/>
    <w:rsid w:val="00FC3EF5"/>
    <w:rsid w:val="00FC41EB"/>
    <w:rsid w:val="00FC42E6"/>
    <w:rsid w:val="00FC4AA5"/>
    <w:rsid w:val="00FC4DBD"/>
    <w:rsid w:val="00FC594B"/>
    <w:rsid w:val="00FC5DC5"/>
    <w:rsid w:val="00FC6084"/>
    <w:rsid w:val="00FC62BC"/>
    <w:rsid w:val="00FC66DF"/>
    <w:rsid w:val="00FC6AED"/>
    <w:rsid w:val="00FC6FFC"/>
    <w:rsid w:val="00FC7CD8"/>
    <w:rsid w:val="00FC7D2E"/>
    <w:rsid w:val="00FC7DDB"/>
    <w:rsid w:val="00FC7EF4"/>
    <w:rsid w:val="00FD0269"/>
    <w:rsid w:val="00FD07C6"/>
    <w:rsid w:val="00FD07CD"/>
    <w:rsid w:val="00FD0B41"/>
    <w:rsid w:val="00FD0DA5"/>
    <w:rsid w:val="00FD0EC5"/>
    <w:rsid w:val="00FD1088"/>
    <w:rsid w:val="00FD1C26"/>
    <w:rsid w:val="00FD2072"/>
    <w:rsid w:val="00FD2394"/>
    <w:rsid w:val="00FD2647"/>
    <w:rsid w:val="00FD26F7"/>
    <w:rsid w:val="00FD2754"/>
    <w:rsid w:val="00FD2A9E"/>
    <w:rsid w:val="00FD2E5F"/>
    <w:rsid w:val="00FD2E62"/>
    <w:rsid w:val="00FD2FAE"/>
    <w:rsid w:val="00FD3C46"/>
    <w:rsid w:val="00FD4211"/>
    <w:rsid w:val="00FD4337"/>
    <w:rsid w:val="00FD45E5"/>
    <w:rsid w:val="00FD45FD"/>
    <w:rsid w:val="00FD4BE7"/>
    <w:rsid w:val="00FD4FF0"/>
    <w:rsid w:val="00FD5726"/>
    <w:rsid w:val="00FD5BD3"/>
    <w:rsid w:val="00FD5FAA"/>
    <w:rsid w:val="00FD7452"/>
    <w:rsid w:val="00FD7841"/>
    <w:rsid w:val="00FD7B89"/>
    <w:rsid w:val="00FE08B5"/>
    <w:rsid w:val="00FE0AE0"/>
    <w:rsid w:val="00FE0E69"/>
    <w:rsid w:val="00FE104B"/>
    <w:rsid w:val="00FE1B08"/>
    <w:rsid w:val="00FE1ECB"/>
    <w:rsid w:val="00FE2431"/>
    <w:rsid w:val="00FE294D"/>
    <w:rsid w:val="00FE2CD5"/>
    <w:rsid w:val="00FE2CFC"/>
    <w:rsid w:val="00FE2E4B"/>
    <w:rsid w:val="00FE2E8A"/>
    <w:rsid w:val="00FE3067"/>
    <w:rsid w:val="00FE3611"/>
    <w:rsid w:val="00FE3840"/>
    <w:rsid w:val="00FE47AC"/>
    <w:rsid w:val="00FE4C58"/>
    <w:rsid w:val="00FE4D59"/>
    <w:rsid w:val="00FE5D6D"/>
    <w:rsid w:val="00FE634F"/>
    <w:rsid w:val="00FE6709"/>
    <w:rsid w:val="00FE6746"/>
    <w:rsid w:val="00FE6DB8"/>
    <w:rsid w:val="00FE751E"/>
    <w:rsid w:val="00FE7DCF"/>
    <w:rsid w:val="00FE7EE9"/>
    <w:rsid w:val="00FF025C"/>
    <w:rsid w:val="00FF0B31"/>
    <w:rsid w:val="00FF0E52"/>
    <w:rsid w:val="00FF2293"/>
    <w:rsid w:val="00FF2549"/>
    <w:rsid w:val="00FF2550"/>
    <w:rsid w:val="00FF2D71"/>
    <w:rsid w:val="00FF321A"/>
    <w:rsid w:val="00FF33E2"/>
    <w:rsid w:val="00FF3592"/>
    <w:rsid w:val="00FF384C"/>
    <w:rsid w:val="00FF4CE7"/>
    <w:rsid w:val="00FF4D2F"/>
    <w:rsid w:val="00FF5299"/>
    <w:rsid w:val="00FF52D2"/>
    <w:rsid w:val="00FF5AA7"/>
    <w:rsid w:val="00FF5C16"/>
    <w:rsid w:val="00FF60E7"/>
    <w:rsid w:val="00FF610D"/>
    <w:rsid w:val="00FF673B"/>
    <w:rsid w:val="00FF67BB"/>
    <w:rsid w:val="00FF68EF"/>
    <w:rsid w:val="00FF6D53"/>
    <w:rsid w:val="00FF6F8B"/>
    <w:rsid w:val="00FF7362"/>
    <w:rsid w:val="00FF73AA"/>
    <w:rsid w:val="00FF76FF"/>
    <w:rsid w:val="01D1CE4B"/>
    <w:rsid w:val="0289C080"/>
    <w:rsid w:val="03D97BAF"/>
    <w:rsid w:val="04A2068D"/>
    <w:rsid w:val="04D58BD5"/>
    <w:rsid w:val="05183B64"/>
    <w:rsid w:val="06C39E99"/>
    <w:rsid w:val="074BF6CC"/>
    <w:rsid w:val="07928556"/>
    <w:rsid w:val="07EB1E99"/>
    <w:rsid w:val="0953A4A4"/>
    <w:rsid w:val="0B30E6E5"/>
    <w:rsid w:val="0B9E39A0"/>
    <w:rsid w:val="0BE681D3"/>
    <w:rsid w:val="0C6FAA73"/>
    <w:rsid w:val="0C93F015"/>
    <w:rsid w:val="0D472C57"/>
    <w:rsid w:val="0F3DE054"/>
    <w:rsid w:val="11F7D6DC"/>
    <w:rsid w:val="1230503C"/>
    <w:rsid w:val="1296FB07"/>
    <w:rsid w:val="13D6EDD1"/>
    <w:rsid w:val="146CEEF3"/>
    <w:rsid w:val="146FD969"/>
    <w:rsid w:val="15575E0E"/>
    <w:rsid w:val="15C2CB56"/>
    <w:rsid w:val="15CC1A8E"/>
    <w:rsid w:val="175E1A51"/>
    <w:rsid w:val="18251BED"/>
    <w:rsid w:val="1855DD89"/>
    <w:rsid w:val="18DAA4E9"/>
    <w:rsid w:val="18EE8429"/>
    <w:rsid w:val="19120466"/>
    <w:rsid w:val="1935FAF2"/>
    <w:rsid w:val="1937688B"/>
    <w:rsid w:val="197A60A3"/>
    <w:rsid w:val="1A99BB58"/>
    <w:rsid w:val="1AF111C8"/>
    <w:rsid w:val="1B9EB922"/>
    <w:rsid w:val="1BF1B626"/>
    <w:rsid w:val="1C45CA58"/>
    <w:rsid w:val="1DB47209"/>
    <w:rsid w:val="1DF8E9A5"/>
    <w:rsid w:val="1E81570E"/>
    <w:rsid w:val="1F54041E"/>
    <w:rsid w:val="218A4038"/>
    <w:rsid w:val="21987A60"/>
    <w:rsid w:val="21CB26BD"/>
    <w:rsid w:val="22939266"/>
    <w:rsid w:val="23650AE8"/>
    <w:rsid w:val="2385BB29"/>
    <w:rsid w:val="2535066A"/>
    <w:rsid w:val="257BCA9C"/>
    <w:rsid w:val="25E6B123"/>
    <w:rsid w:val="264F0FF5"/>
    <w:rsid w:val="267C64E5"/>
    <w:rsid w:val="26855C1B"/>
    <w:rsid w:val="27ECCD1F"/>
    <w:rsid w:val="27F001CA"/>
    <w:rsid w:val="282B5E44"/>
    <w:rsid w:val="294B2DB7"/>
    <w:rsid w:val="2A6F3EF4"/>
    <w:rsid w:val="2B9F8942"/>
    <w:rsid w:val="2C2017C1"/>
    <w:rsid w:val="2C76E2E8"/>
    <w:rsid w:val="2CF3ECD6"/>
    <w:rsid w:val="2D080CCF"/>
    <w:rsid w:val="2D9BE90C"/>
    <w:rsid w:val="2E2318E0"/>
    <w:rsid w:val="2F2E4D6F"/>
    <w:rsid w:val="2FAFFF2D"/>
    <w:rsid w:val="3044DF33"/>
    <w:rsid w:val="3061419E"/>
    <w:rsid w:val="311F20A6"/>
    <w:rsid w:val="3179A8D2"/>
    <w:rsid w:val="32A1C8AA"/>
    <w:rsid w:val="32D455D2"/>
    <w:rsid w:val="32F66BD3"/>
    <w:rsid w:val="3414E708"/>
    <w:rsid w:val="3425F920"/>
    <w:rsid w:val="34F36025"/>
    <w:rsid w:val="35208925"/>
    <w:rsid w:val="361E046F"/>
    <w:rsid w:val="3651E5ED"/>
    <w:rsid w:val="37750EEA"/>
    <w:rsid w:val="37EB953A"/>
    <w:rsid w:val="381D4C35"/>
    <w:rsid w:val="39A769B1"/>
    <w:rsid w:val="3A8616BF"/>
    <w:rsid w:val="3A86D511"/>
    <w:rsid w:val="3A886554"/>
    <w:rsid w:val="3ADF67B7"/>
    <w:rsid w:val="3BA88B08"/>
    <w:rsid w:val="3BB2AFB2"/>
    <w:rsid w:val="3C26E235"/>
    <w:rsid w:val="3C509876"/>
    <w:rsid w:val="3DD1EBED"/>
    <w:rsid w:val="3DFCA874"/>
    <w:rsid w:val="3E170879"/>
    <w:rsid w:val="3E4DDCF4"/>
    <w:rsid w:val="3E9D8050"/>
    <w:rsid w:val="3EBED2E0"/>
    <w:rsid w:val="3F0DB18F"/>
    <w:rsid w:val="3FCC0137"/>
    <w:rsid w:val="4052FA1F"/>
    <w:rsid w:val="40E6B56A"/>
    <w:rsid w:val="41BD5C47"/>
    <w:rsid w:val="41D6CCFC"/>
    <w:rsid w:val="4398B72C"/>
    <w:rsid w:val="44EE9C75"/>
    <w:rsid w:val="45D7B21E"/>
    <w:rsid w:val="45DAD662"/>
    <w:rsid w:val="4737BE3D"/>
    <w:rsid w:val="476F0778"/>
    <w:rsid w:val="477D6580"/>
    <w:rsid w:val="486D2A06"/>
    <w:rsid w:val="49175B95"/>
    <w:rsid w:val="4942C216"/>
    <w:rsid w:val="496A1E1E"/>
    <w:rsid w:val="4AC09F86"/>
    <w:rsid w:val="4ACAEBDF"/>
    <w:rsid w:val="4AFEFE13"/>
    <w:rsid w:val="4B3391EB"/>
    <w:rsid w:val="4B4CB33A"/>
    <w:rsid w:val="4B5169DC"/>
    <w:rsid w:val="4B5E32AA"/>
    <w:rsid w:val="4C7DD425"/>
    <w:rsid w:val="4CF78BF8"/>
    <w:rsid w:val="4D88C63C"/>
    <w:rsid w:val="4D8F86E6"/>
    <w:rsid w:val="4E0E4251"/>
    <w:rsid w:val="4F322A0D"/>
    <w:rsid w:val="4FD976EE"/>
    <w:rsid w:val="514F12C7"/>
    <w:rsid w:val="521881DD"/>
    <w:rsid w:val="52D24CBF"/>
    <w:rsid w:val="5346A221"/>
    <w:rsid w:val="535F8ECD"/>
    <w:rsid w:val="536BA474"/>
    <w:rsid w:val="540D88B6"/>
    <w:rsid w:val="542D0E06"/>
    <w:rsid w:val="543097CA"/>
    <w:rsid w:val="5483BAF4"/>
    <w:rsid w:val="5518E373"/>
    <w:rsid w:val="55B0F190"/>
    <w:rsid w:val="55DC2C21"/>
    <w:rsid w:val="56E8EB70"/>
    <w:rsid w:val="59BF2D92"/>
    <w:rsid w:val="59E8F2E3"/>
    <w:rsid w:val="5A39023B"/>
    <w:rsid w:val="5D94C5E8"/>
    <w:rsid w:val="5DC36298"/>
    <w:rsid w:val="5DCDCFC7"/>
    <w:rsid w:val="5E2B33C5"/>
    <w:rsid w:val="5E99793A"/>
    <w:rsid w:val="5F569438"/>
    <w:rsid w:val="6169B5F8"/>
    <w:rsid w:val="622AEBC3"/>
    <w:rsid w:val="628634E3"/>
    <w:rsid w:val="62D62036"/>
    <w:rsid w:val="630221AB"/>
    <w:rsid w:val="6479DBA5"/>
    <w:rsid w:val="647F3F1A"/>
    <w:rsid w:val="64CB55CB"/>
    <w:rsid w:val="64CFDF23"/>
    <w:rsid w:val="65AF6870"/>
    <w:rsid w:val="65CEE7ED"/>
    <w:rsid w:val="65D01611"/>
    <w:rsid w:val="661750D5"/>
    <w:rsid w:val="66D2C524"/>
    <w:rsid w:val="66FD7CBC"/>
    <w:rsid w:val="67A66F4E"/>
    <w:rsid w:val="6810F87F"/>
    <w:rsid w:val="68337DFE"/>
    <w:rsid w:val="691ED8E1"/>
    <w:rsid w:val="69828DDE"/>
    <w:rsid w:val="69A85568"/>
    <w:rsid w:val="69DF4981"/>
    <w:rsid w:val="6A19907C"/>
    <w:rsid w:val="6BD317D5"/>
    <w:rsid w:val="6C23F10B"/>
    <w:rsid w:val="6C3D5FFE"/>
    <w:rsid w:val="6CA7A71E"/>
    <w:rsid w:val="6CED201C"/>
    <w:rsid w:val="6E9FFDA8"/>
    <w:rsid w:val="6ED7B684"/>
    <w:rsid w:val="6EDC3AC2"/>
    <w:rsid w:val="6F2D7A9F"/>
    <w:rsid w:val="6FFE6382"/>
    <w:rsid w:val="70026006"/>
    <w:rsid w:val="70158514"/>
    <w:rsid w:val="707386E5"/>
    <w:rsid w:val="71CA9671"/>
    <w:rsid w:val="722528ED"/>
    <w:rsid w:val="72739CB5"/>
    <w:rsid w:val="73A9F8B7"/>
    <w:rsid w:val="74479ED7"/>
    <w:rsid w:val="750E9642"/>
    <w:rsid w:val="754D5A21"/>
    <w:rsid w:val="758CC100"/>
    <w:rsid w:val="758FD568"/>
    <w:rsid w:val="7680E9E1"/>
    <w:rsid w:val="768A1D8D"/>
    <w:rsid w:val="76944768"/>
    <w:rsid w:val="77DDE06F"/>
    <w:rsid w:val="77EF1B46"/>
    <w:rsid w:val="77F708CC"/>
    <w:rsid w:val="7847FB4A"/>
    <w:rsid w:val="7890CFC0"/>
    <w:rsid w:val="792E93BE"/>
    <w:rsid w:val="79BA4E4A"/>
    <w:rsid w:val="7A2CA021"/>
    <w:rsid w:val="7A3AE69B"/>
    <w:rsid w:val="7CFE6FF7"/>
    <w:rsid w:val="7D17FF60"/>
    <w:rsid w:val="7FB0CD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59"/>
    <w:pPr>
      <w:spacing w:before="120" w:line="240" w:lineRule="auto"/>
      <w:jc w:val="both"/>
    </w:pPr>
    <w:rPr>
      <w:sz w:val="24"/>
    </w:rPr>
  </w:style>
  <w:style w:type="paragraph" w:styleId="Heading1">
    <w:name w:val="heading 1"/>
    <w:next w:val="MSACESParagraph"/>
    <w:link w:val="Heading1Char"/>
    <w:uiPriority w:val="2"/>
    <w:qFormat/>
    <w:rsid w:val="005C2085"/>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Styl moj,Akapit z listą11,ES Paragraph,PBAC normal points,Bullet List,Figure_name"/>
    <w:basedOn w:val="Normal"/>
    <w:link w:val="ListParagraphChar"/>
    <w:uiPriority w:val="34"/>
    <w:qFormat/>
    <w:rsid w:val="004908B7"/>
    <w:pPr>
      <w:numPr>
        <w:ilvl w:val="4"/>
        <w:numId w:val="5"/>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rPr>
      <w:rFonts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PBAC table,Legemiddelverket 3,HealthConsult,YHEC table,HTAtableplain,Dossier table,Section 3- footnotes,Lash Style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c"/>
    <w:next w:val="Normal"/>
    <w:link w:val="CaptionChar"/>
    <w:autoRedefine/>
    <w:qFormat/>
    <w:rsid w:val="00BA1BA5"/>
    <w:pPr>
      <w:keepNext/>
      <w:widowControl w:val="0"/>
      <w:tabs>
        <w:tab w:val="left" w:pos="1560"/>
      </w:tabs>
      <w:spacing w:before="240" w:after="0" w:line="240" w:lineRule="auto"/>
      <w:ind w:left="1276" w:right="57" w:hanging="1276"/>
      <w:contextualSpacing/>
      <w:jc w:val="both"/>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aliases w:val="Footnote Text Char Char,Footnote Text Char2,Footnote Text Char Char1"/>
    <w:basedOn w:val="Normal"/>
    <w:link w:val="FootnoteTextChar"/>
    <w:uiPriority w:val="99"/>
    <w:semiHidden/>
    <w:qFormat/>
    <w:rsid w:val="00BA3306"/>
    <w:pPr>
      <w:spacing w:before="0" w:after="0"/>
    </w:pPr>
    <w:rPr>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rsid w:val="00BA1BA5"/>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AG Header"/>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AG Header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Styl moj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erlin Sans FB" w:hAnsi="Berlin Sans FB"/>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erlin Sans FB" w:hAnsi="Berlin Sans FB"/>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erlin Sans FB" w:hAnsi="Berlin Sans FB"/>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F82805"/>
    <w:pPr>
      <w:numPr>
        <w:numId w:val="8"/>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5"/>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Id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Id w:val="1"/>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9"/>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rsid w:val="001E1827"/>
    <w:pPr>
      <w:numPr>
        <w:ilvl w:val="5"/>
        <w:numId w:val="5"/>
      </w:numPr>
      <w:spacing w:before="160" w:after="240"/>
    </w:pPr>
    <w:rPr>
      <w:rFonts w:ascii="Arial" w:hAnsi="Arial"/>
      <w:sz w:val="24"/>
    </w:rPr>
  </w:style>
  <w:style w:type="paragraph" w:customStyle="1" w:styleId="MSACESParagraph">
    <w:name w:val="MSAC ES Paragraph"/>
    <w:link w:val="MSACESParagraphChar"/>
    <w:uiPriority w:val="1"/>
    <w:qFormat/>
    <w:rsid w:val="001F298B"/>
    <w:pPr>
      <w:spacing w:after="240" w:line="240" w:lineRule="auto"/>
      <w:jc w:val="both"/>
    </w:pPr>
    <w:rPr>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rsid w:val="001E1827"/>
    <w:pPr>
      <w:numPr>
        <w:ilvl w:val="6"/>
        <w:numId w:val="5"/>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4"/>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1F298B"/>
    <w:rPr>
      <w:sz w:val="24"/>
    </w:rPr>
  </w:style>
  <w:style w:type="character" w:customStyle="1" w:styleId="MSACESBulletPointChar">
    <w:name w:val="MSAC ES Bullet Point Char"/>
    <w:basedOn w:val="MSACESParagraphChar"/>
    <w:link w:val="MSACESBulletPoint"/>
    <w:uiPriority w:val="1"/>
    <w:rsid w:val="00394C83"/>
    <w:rPr>
      <w:sz w:val="24"/>
    </w:rPr>
  </w:style>
  <w:style w:type="paragraph" w:customStyle="1" w:styleId="ESHeading1">
    <w:name w:val="ES Heading 1"/>
    <w:basedOn w:val="Heading1"/>
    <w:next w:val="Heading1"/>
    <w:uiPriority w:val="8"/>
    <w:semiHidden/>
    <w:rsid w:val="00703418"/>
    <w:p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6"/>
      </w:numPr>
    </w:pPr>
  </w:style>
  <w:style w:type="paragraph" w:customStyle="1" w:styleId="MainBodyBulletPoint">
    <w:name w:val="MainBody Bullet Point"/>
    <w:basedOn w:val="InstructionBulletpoint"/>
    <w:link w:val="MainBodyBulletPointChar"/>
    <w:uiPriority w:val="1"/>
    <w:qFormat/>
    <w:rsid w:val="002532B4"/>
    <w:pPr>
      <w:numPr>
        <w:numId w:val="7"/>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0"/>
      </w:numPr>
    </w:pPr>
  </w:style>
  <w:style w:type="numbering" w:customStyle="1" w:styleId="Style2">
    <w:name w:val="Style2"/>
    <w:uiPriority w:val="99"/>
    <w:rsid w:val="002A391F"/>
    <w:pPr>
      <w:numPr>
        <w:numId w:val="12"/>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rsid w:val="003D1FB3"/>
    <w:rPr>
      <w:i/>
      <w:iCs/>
    </w:rPr>
  </w:style>
  <w:style w:type="numbering" w:customStyle="1" w:styleId="Style3">
    <w:name w:val="Style3"/>
    <w:uiPriority w:val="99"/>
    <w:rsid w:val="0076446C"/>
    <w:pPr>
      <w:numPr>
        <w:numId w:val="13"/>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Comment Text Char Char Char,Comment Text Char Char,- H19"/>
    <w:basedOn w:val="Normal"/>
    <w:link w:val="CommentTextChar"/>
    <w:unhideWhenUsed/>
    <w:qFormat/>
    <w:rsid w:val="001952BB"/>
    <w:rPr>
      <w:sz w:val="20"/>
      <w:szCs w:val="20"/>
    </w:rPr>
  </w:style>
  <w:style w:type="character" w:customStyle="1" w:styleId="CommentTextChar">
    <w:name w:val="Comment Text Char"/>
    <w:aliases w:val="Comment Text Char Char Char Char,Comment Text Char Char Char1,- H19 Char"/>
    <w:basedOn w:val="DefaultParagraphFont"/>
    <w:link w:val="CommentText"/>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qFormat/>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qFormat/>
    <w:rsid w:val="00FD07C6"/>
    <w:pPr>
      <w:numPr>
        <w:numId w:val="14"/>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7"/>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ilvl w:val="0"/>
        <w:numId w:val="18"/>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unhideWhenUsed/>
    <w:rsid w:val="009E2636"/>
    <w:pPr>
      <w:spacing w:after="120"/>
    </w:pPr>
  </w:style>
  <w:style w:type="character" w:customStyle="1" w:styleId="BodyTextChar">
    <w:name w:val="Body Text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paragraph" w:customStyle="1" w:styleId="DashEndList">
    <w:name w:val="Dash End List"/>
    <w:basedOn w:val="Normal"/>
    <w:qFormat/>
    <w:rsid w:val="0075662A"/>
    <w:pPr>
      <w:numPr>
        <w:numId w:val="19"/>
      </w:numPr>
      <w:spacing w:before="0" w:after="240" w:line="276" w:lineRule="auto"/>
      <w:contextualSpacing/>
      <w:jc w:val="left"/>
    </w:pPr>
    <w:rPr>
      <w:rFonts w:cs="Calibri (Body)"/>
      <w:sz w:val="22"/>
      <w:lang w:val="en-US"/>
    </w:rPr>
  </w:style>
  <w:style w:type="paragraph" w:customStyle="1" w:styleId="Tablenotes">
    <w:name w:val="Tablenotes"/>
    <w:basedOn w:val="Normal"/>
    <w:link w:val="TablenotesChar"/>
    <w:qFormat/>
    <w:rsid w:val="00A672B4"/>
    <w:pPr>
      <w:widowControl w:val="0"/>
      <w:spacing w:before="0" w:after="120"/>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A672B4"/>
    <w:rPr>
      <w:rFonts w:ascii="Arial Narrow" w:eastAsia="Times New Roman" w:hAnsi="Arial Narrow" w:cs="Arial"/>
      <w:snapToGrid w:val="0"/>
      <w:sz w:val="18"/>
      <w:szCs w:val="20"/>
    </w:rPr>
  </w:style>
  <w:style w:type="character" w:styleId="Strong">
    <w:name w:val="Strong"/>
    <w:basedOn w:val="DefaultParagraphFont"/>
    <w:uiPriority w:val="22"/>
    <w:qFormat/>
    <w:rsid w:val="005502C8"/>
    <w:rPr>
      <w:b/>
      <w:bCs/>
    </w:rPr>
  </w:style>
  <w:style w:type="paragraph" w:customStyle="1" w:styleId="NormalBeforeBullet">
    <w:name w:val="Normal Before Bullet"/>
    <w:basedOn w:val="Normal"/>
    <w:qFormat/>
    <w:rsid w:val="00040457"/>
    <w:pPr>
      <w:keepNext/>
      <w:spacing w:before="0" w:after="120"/>
      <w:jc w:val="left"/>
    </w:pPr>
    <w:rPr>
      <w:sz w:val="22"/>
    </w:rPr>
  </w:style>
  <w:style w:type="paragraph" w:customStyle="1" w:styleId="TableNumbered">
    <w:name w:val="Table Numbered"/>
    <w:basedOn w:val="Normal"/>
    <w:qFormat/>
    <w:rsid w:val="00040457"/>
    <w:pPr>
      <w:numPr>
        <w:numId w:val="20"/>
      </w:numPr>
      <w:spacing w:before="40" w:after="40"/>
      <w:ind w:left="357" w:hanging="357"/>
      <w:jc w:val="left"/>
    </w:pPr>
    <w:rPr>
      <w:rFonts w:ascii="Calibri" w:hAnsi="Calibri"/>
      <w:sz w:val="20"/>
    </w:rPr>
  </w:style>
  <w:style w:type="character" w:customStyle="1" w:styleId="ui-provider">
    <w:name w:val="ui-provider"/>
    <w:basedOn w:val="DefaultParagraphFont"/>
    <w:rsid w:val="00CB3F5D"/>
  </w:style>
  <w:style w:type="table" w:customStyle="1" w:styleId="Evideratable">
    <w:name w:val="Evidera table"/>
    <w:basedOn w:val="TableNormal"/>
    <w:rsid w:val="00A24C7F"/>
    <w:pPr>
      <w:spacing w:before="40" w:after="40" w:line="240" w:lineRule="auto"/>
    </w:pPr>
    <w:rPr>
      <w:rFonts w:eastAsia="Times New Roman" w:cs="Times New Roman"/>
      <w:sz w:val="20"/>
      <w:szCs w:val="20"/>
      <w:lang w:val="en-GB" w:eastAsia="en-GB"/>
    </w:rPr>
    <w:tblPr>
      <w:tblStyleRowBandSize w:val="1"/>
      <w:tblInd w:w="0" w:type="nil"/>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8" w:space="0" w:color="E7E6E6" w:themeColor="background2"/>
        <w:insideV w:val="dotted" w:sz="8" w:space="0" w:color="E7E6E6" w:themeColor="background2"/>
      </w:tblBorders>
    </w:tblPr>
    <w:tblStylePr w:type="firstRow">
      <w:rPr>
        <w:rFonts w:asciiTheme="majorHAnsi" w:hAnsiTheme="majorHAnsi" w:hint="default"/>
        <w:b/>
        <w:sz w:val="18"/>
        <w:szCs w:val="18"/>
      </w:rPr>
      <w:tblPr/>
      <w:tcPr>
        <w:tcBorders>
          <w:top w:val="single" w:sz="4" w:space="0" w:color="E7E6E6" w:themeColor="background2"/>
          <w:left w:val="single" w:sz="4" w:space="0" w:color="E7E6E6" w:themeColor="background2"/>
          <w:bottom w:val="single" w:sz="18" w:space="0" w:color="4472C4" w:themeColor="accent5"/>
          <w:right w:val="single" w:sz="4" w:space="0" w:color="E7E6E6" w:themeColor="background2"/>
          <w:insideH w:val="single" w:sz="18" w:space="0" w:color="4472C4" w:themeColor="accent5"/>
          <w:insideV w:val="dotted" w:sz="4" w:space="0" w:color="E7E6E6" w:themeColor="background2"/>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8" w:space="0" w:color="C00000"/>
          <w:right w:val="nil"/>
          <w:insideH w:val="nil"/>
          <w:insideV w:val="nil"/>
          <w:tl2br w:val="nil"/>
          <w:tr2bl w:val="nil"/>
        </w:tcBorders>
      </w:tcPr>
    </w:tblStylePr>
    <w:tblStylePr w:type="firstCol">
      <w:tblPr/>
      <w:tcPr>
        <w:tcBorders>
          <w:left w:val="single" w:sz="4" w:space="0" w:color="E7E6E6" w:themeColor="background2"/>
        </w:tcBorders>
      </w:tcPr>
    </w:tblStylePr>
    <w:tblStylePr w:type="lastCol">
      <w:tblPr/>
      <w:tcPr>
        <w:tcBorders>
          <w:left w:val="nil"/>
          <w:right w:val="single" w:sz="4" w:space="0" w:color="E7E6E6" w:themeColor="background2"/>
        </w:tcBorders>
      </w:tcPr>
    </w:tblStylePr>
    <w:tblStylePr w:type="band1Horz">
      <w:tblPr/>
      <w:tcPr>
        <w:tcBorders>
          <w:insideV w:val="dotted" w:sz="4" w:space="0" w:color="E7E6E6" w:themeColor="background2"/>
        </w:tcBorders>
      </w:tcPr>
    </w:tblStylePr>
    <w:tblStylePr w:type="seCell">
      <w:tblPr/>
      <w:tcPr>
        <w:tcBorders>
          <w:right w:val="single" w:sz="4" w:space="0" w:color="E7E6E6" w:themeColor="background2"/>
        </w:tcBorders>
      </w:tcPr>
    </w:tblStylePr>
    <w:tblStylePr w:type="swCell">
      <w:tblPr/>
      <w:tcPr>
        <w:tcBorders>
          <w:left w:val="single" w:sz="4" w:space="0" w:color="E7E6E6" w:themeColor="background2"/>
        </w:tcBorders>
      </w:tcPr>
    </w:tblStylePr>
  </w:style>
  <w:style w:type="character" w:styleId="UnresolvedMention">
    <w:name w:val="Unresolved Mention"/>
    <w:basedOn w:val="DefaultParagraphFont"/>
    <w:uiPriority w:val="99"/>
    <w:semiHidden/>
    <w:unhideWhenUsed/>
    <w:rsid w:val="00247685"/>
    <w:rPr>
      <w:color w:val="605E5C"/>
      <w:shd w:val="clear" w:color="auto" w:fill="E1DFDD"/>
    </w:rPr>
  </w:style>
  <w:style w:type="character" w:customStyle="1" w:styleId="cf01">
    <w:name w:val="cf01"/>
    <w:basedOn w:val="DefaultParagraphFont"/>
    <w:rsid w:val="00284528"/>
    <w:rPr>
      <w:rFonts w:ascii="Segoe UI" w:hAnsi="Segoe UI" w:cs="Segoe UI" w:hint="default"/>
      <w:sz w:val="18"/>
      <w:szCs w:val="18"/>
    </w:rPr>
  </w:style>
  <w:style w:type="paragraph" w:customStyle="1" w:styleId="Tablefootnote">
    <w:name w:val="Table footnote"/>
    <w:basedOn w:val="Normal"/>
    <w:link w:val="TablefootnoteChar"/>
    <w:qFormat/>
    <w:rsid w:val="000F77D5"/>
    <w:pPr>
      <w:keepNext/>
      <w:keepLines/>
      <w:spacing w:before="0" w:after="360"/>
      <w:contextualSpacing/>
      <w:jc w:val="left"/>
    </w:pPr>
    <w:rPr>
      <w:rFonts w:ascii="Arial Narrow" w:hAnsi="Arial Narrow" w:cs="Calibri (Body)"/>
      <w:sz w:val="18"/>
      <w:lang w:val="en-US"/>
    </w:rPr>
  </w:style>
  <w:style w:type="character" w:customStyle="1" w:styleId="TablefootnoteChar">
    <w:name w:val="Table footnote Char"/>
    <w:basedOn w:val="DefaultParagraphFont"/>
    <w:link w:val="Tablefootnote"/>
    <w:rsid w:val="000F77D5"/>
    <w:rPr>
      <w:rFonts w:ascii="Arial Narrow" w:hAnsi="Arial Narrow" w:cs="Calibri (Body)"/>
      <w:sz w:val="18"/>
      <w:lang w:val="en-US"/>
    </w:rPr>
  </w:style>
  <w:style w:type="table" w:customStyle="1" w:styleId="RTIAMCPTable1">
    <w:name w:val="RTI AMCP Table1"/>
    <w:basedOn w:val="TableNormal"/>
    <w:next w:val="TableGrid"/>
    <w:uiPriority w:val="39"/>
    <w:rsid w:val="00EC6347"/>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RTIAMCPTable2">
    <w:name w:val="RTI AMCP Table2"/>
    <w:basedOn w:val="TableNormal"/>
    <w:next w:val="TableGrid"/>
    <w:uiPriority w:val="39"/>
    <w:rsid w:val="00EC6347"/>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RTIAMCPTable3">
    <w:name w:val="RTI AMCP Table3"/>
    <w:basedOn w:val="TableNormal"/>
    <w:next w:val="TableGrid"/>
    <w:uiPriority w:val="39"/>
    <w:rsid w:val="00EC6347"/>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newstyle1">
    <w:name w:val="new style1"/>
    <w:basedOn w:val="TableNormal"/>
    <w:next w:val="TableGrid"/>
    <w:uiPriority w:val="39"/>
    <w:rsid w:val="00EC6347"/>
    <w:pPr>
      <w:spacing w:after="0" w:line="240" w:lineRule="auto"/>
      <w:jc w:val="both"/>
    </w:pPr>
    <w:rPr>
      <w:rFonts w:ascii="Arial" w:eastAsia="MS PGothic" w:hAnsi="Arial" w:cs="Times New Roman"/>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EC6347"/>
    <w:rPr>
      <w:rFonts w:eastAsia="Times New Roman" w:cstheme="minorHAnsi"/>
      <w:color w:val="000000" w:themeColor="text1"/>
      <w:lang w:val="da-DK"/>
    </w:rPr>
  </w:style>
  <w:style w:type="paragraph" w:customStyle="1" w:styleId="BodyText1">
    <w:name w:val="Body Text1"/>
    <w:basedOn w:val="Normal"/>
    <w:link w:val="BodyText1Char"/>
    <w:autoRedefine/>
    <w:qFormat/>
    <w:rsid w:val="00EC6347"/>
    <w:pPr>
      <w:spacing w:before="0" w:after="120" w:line="276" w:lineRule="auto"/>
      <w:ind w:left="709"/>
    </w:pPr>
    <w:rPr>
      <w:rFonts w:eastAsia="Times New Roman" w:cstheme="minorHAnsi"/>
      <w:color w:val="000000" w:themeColor="text1"/>
      <w:sz w:val="22"/>
      <w:lang w:val="da-DK"/>
    </w:rPr>
  </w:style>
  <w:style w:type="paragraph" w:customStyle="1" w:styleId="Default">
    <w:name w:val="Default"/>
    <w:rsid w:val="00C33762"/>
    <w:pPr>
      <w:autoSpaceDE w:val="0"/>
      <w:autoSpaceDN w:val="0"/>
      <w:adjustRightInd w:val="0"/>
      <w:spacing w:after="0" w:line="240" w:lineRule="auto"/>
    </w:pPr>
    <w:rPr>
      <w:rFonts w:ascii="Shaker 2 Lancet" w:hAnsi="Shaker 2 Lancet" w:cs="Shaker 2 Lancet"/>
      <w:color w:val="000000"/>
      <w:sz w:val="24"/>
      <w:szCs w:val="24"/>
    </w:rPr>
  </w:style>
  <w:style w:type="paragraph" w:customStyle="1" w:styleId="EndNoteBibliographyTitle">
    <w:name w:val="EndNote Bibliography Title"/>
    <w:basedOn w:val="Normal"/>
    <w:link w:val="EndNoteBibliographyTitleChar"/>
    <w:rsid w:val="00240E5D"/>
    <w:pPr>
      <w:spacing w:after="0"/>
      <w:jc w:val="center"/>
    </w:pPr>
    <w:rPr>
      <w:rFonts w:ascii="Arial Narrow" w:hAnsi="Arial Narrow"/>
      <w:noProof/>
      <w:sz w:val="18"/>
      <w:lang w:val="en-US"/>
    </w:rPr>
  </w:style>
  <w:style w:type="character" w:customStyle="1" w:styleId="EndNoteBibliographyTitleChar">
    <w:name w:val="EndNote Bibliography Title Char"/>
    <w:basedOn w:val="InstructionalTextChar"/>
    <w:link w:val="EndNoteBibliographyTitle"/>
    <w:rsid w:val="00240E5D"/>
    <w:rPr>
      <w:rFonts w:ascii="Arial Narrow" w:hAnsi="Arial Narrow" w:cstheme="minorHAnsi"/>
      <w:noProof/>
      <w:color w:val="3366FF"/>
      <w:sz w:val="18"/>
      <w:lang w:val="en-US"/>
    </w:rPr>
  </w:style>
  <w:style w:type="paragraph" w:customStyle="1" w:styleId="EndNoteBibliography">
    <w:name w:val="EndNote Bibliography"/>
    <w:basedOn w:val="Normal"/>
    <w:link w:val="EndNoteBibliographyChar"/>
    <w:rsid w:val="00240E5D"/>
    <w:rPr>
      <w:rFonts w:ascii="Arial Narrow" w:hAnsi="Arial Narrow"/>
      <w:noProof/>
      <w:sz w:val="18"/>
      <w:lang w:val="en-US"/>
    </w:rPr>
  </w:style>
  <w:style w:type="character" w:customStyle="1" w:styleId="EndNoteBibliographyChar">
    <w:name w:val="EndNote Bibliography Char"/>
    <w:basedOn w:val="InstructionalTextChar"/>
    <w:link w:val="EndNoteBibliography"/>
    <w:rsid w:val="00240E5D"/>
    <w:rPr>
      <w:rFonts w:ascii="Arial Narrow" w:hAnsi="Arial Narrow" w:cstheme="minorHAnsi"/>
      <w:noProof/>
      <w:color w:val="3366FF"/>
      <w:sz w:val="18"/>
      <w:lang w:val="en-US"/>
    </w:rPr>
  </w:style>
  <w:style w:type="character" w:styleId="Mention">
    <w:name w:val="Mention"/>
    <w:basedOn w:val="DefaultParagraphFont"/>
    <w:uiPriority w:val="99"/>
    <w:unhideWhenUsed/>
    <w:rsid w:val="00665465"/>
    <w:rPr>
      <w:color w:val="2B579A"/>
      <w:shd w:val="clear" w:color="auto" w:fill="E1DFDD"/>
    </w:rPr>
  </w:style>
  <w:style w:type="paragraph" w:customStyle="1" w:styleId="1-MainHeading">
    <w:name w:val="1-Main Heading"/>
    <w:link w:val="1-MainHeadingChar"/>
    <w:qFormat/>
    <w:rsid w:val="00980E55"/>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980E55"/>
    <w:rPr>
      <w:rFonts w:eastAsiaTheme="majorEastAsia" w:cstheme="majorBidi"/>
      <w:b/>
      <w:spacing w:val="5"/>
      <w:kern w:val="28"/>
      <w:sz w:val="36"/>
      <w:szCs w:val="36"/>
      <w:lang w:eastAsia="en-AU"/>
    </w:rPr>
  </w:style>
  <w:style w:type="paragraph" w:customStyle="1" w:styleId="PBACHeading1">
    <w:name w:val="PBAC Heading 1"/>
    <w:qFormat/>
    <w:rsid w:val="00217C07"/>
    <w:pPr>
      <w:spacing w:after="0" w:line="240" w:lineRule="auto"/>
      <w:ind w:left="720" w:hanging="720"/>
      <w:outlineLvl w:val="0"/>
    </w:pPr>
    <w:rPr>
      <w:rFonts w:ascii="Calibri" w:eastAsia="Times New Roman" w:hAnsi="Calibri" w:cs="Calibri"/>
      <w:b/>
      <w:snapToGrid w:val="0"/>
      <w:sz w:val="32"/>
      <w:szCs w:val="32"/>
    </w:rPr>
  </w:style>
  <w:style w:type="numbering" w:customStyle="1" w:styleId="NoList1">
    <w:name w:val="No List1"/>
    <w:next w:val="NoList"/>
    <w:uiPriority w:val="99"/>
    <w:semiHidden/>
    <w:unhideWhenUsed/>
    <w:rsid w:val="00E965EE"/>
  </w:style>
  <w:style w:type="table" w:customStyle="1" w:styleId="Legemiddelverket31">
    <w:name w:val="Legemiddelverket 31"/>
    <w:basedOn w:val="TableNormal"/>
    <w:next w:val="TableGrid"/>
    <w:uiPriority w:val="59"/>
    <w:rsid w:val="00E9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965EE"/>
    <w:rPr>
      <w:sz w:val="20"/>
      <w:szCs w:val="20"/>
    </w:rPr>
  </w:style>
  <w:style w:type="table" w:customStyle="1" w:styleId="PBACtable1">
    <w:name w:val="PBAC table1"/>
    <w:basedOn w:val="TableNormal"/>
    <w:uiPriority w:val="59"/>
    <w:rsid w:val="00E965EE"/>
    <w:pPr>
      <w:spacing w:after="0" w:line="240" w:lineRule="auto"/>
    </w:pPr>
    <w:rPr>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numbering" w:customStyle="1" w:styleId="Headings1">
    <w:name w:val="Headings1"/>
    <w:uiPriority w:val="99"/>
    <w:rsid w:val="00E965EE"/>
  </w:style>
  <w:style w:type="table" w:customStyle="1" w:styleId="PBACTableStyle1">
    <w:name w:val="PBAC Table Style1"/>
    <w:basedOn w:val="TableGrid1"/>
    <w:uiPriority w:val="99"/>
    <w:rsid w:val="00E965EE"/>
    <w:pPr>
      <w:widowControl w:val="0"/>
      <w:spacing w:after="0"/>
      <w:contextualSpacing/>
      <w:jc w:val="center"/>
    </w:pPr>
    <w:rPr>
      <w:rFonts w:ascii="Arial Narrow" w:hAnsi="Arial Narrow"/>
      <w:color w:val="000000"/>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rush Script MT" w:hAnsi="Brush Script M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rush Script MT" w:hAnsi="Brush Script M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rush Script MT" w:hAnsi="Brush Script M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MSACESBulletpoints1">
    <w:name w:val="MSAC ES Bullet points1"/>
    <w:uiPriority w:val="99"/>
    <w:rsid w:val="00E965EE"/>
  </w:style>
  <w:style w:type="numbering" w:customStyle="1" w:styleId="Style11">
    <w:name w:val="Style11"/>
    <w:uiPriority w:val="99"/>
    <w:rsid w:val="00E965EE"/>
  </w:style>
  <w:style w:type="numbering" w:customStyle="1" w:styleId="Style21">
    <w:name w:val="Style21"/>
    <w:uiPriority w:val="99"/>
    <w:rsid w:val="00E965EE"/>
  </w:style>
  <w:style w:type="numbering" w:customStyle="1" w:styleId="Style31">
    <w:name w:val="Style31"/>
    <w:uiPriority w:val="99"/>
    <w:rsid w:val="00E965EE"/>
  </w:style>
  <w:style w:type="paragraph" w:customStyle="1" w:styleId="paragraph">
    <w:name w:val="paragraph"/>
    <w:basedOn w:val="Normal"/>
    <w:rsid w:val="003347A2"/>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3347A2"/>
  </w:style>
  <w:style w:type="character" w:customStyle="1" w:styleId="eop">
    <w:name w:val="eop"/>
    <w:basedOn w:val="DefaultParagraphFont"/>
    <w:rsid w:val="003347A2"/>
  </w:style>
  <w:style w:type="paragraph" w:customStyle="1" w:styleId="BulletBeforeDash">
    <w:name w:val="BulletBeforeDash"/>
    <w:basedOn w:val="Normal"/>
    <w:rsid w:val="00C76B4F"/>
    <w:pPr>
      <w:numPr>
        <w:numId w:val="50"/>
      </w:numPr>
      <w:spacing w:before="0" w:after="0"/>
      <w:ind w:left="720"/>
      <w:jc w:val="left"/>
    </w:pPr>
    <w:rPr>
      <w:rFonts w:ascii="Times New Roman" w:eastAsia="Times New Roman" w:hAnsi="Times New Roman"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5658777">
      <w:bodyDiv w:val="1"/>
      <w:marLeft w:val="0"/>
      <w:marRight w:val="0"/>
      <w:marTop w:val="0"/>
      <w:marBottom w:val="0"/>
      <w:divBdr>
        <w:top w:val="none" w:sz="0" w:space="0" w:color="auto"/>
        <w:left w:val="none" w:sz="0" w:space="0" w:color="auto"/>
        <w:bottom w:val="none" w:sz="0" w:space="0" w:color="auto"/>
        <w:right w:val="none" w:sz="0" w:space="0" w:color="auto"/>
      </w:divBdr>
      <w:divsChild>
        <w:div w:id="991911971">
          <w:marLeft w:val="0"/>
          <w:marRight w:val="0"/>
          <w:marTop w:val="0"/>
          <w:marBottom w:val="0"/>
          <w:divBdr>
            <w:top w:val="none" w:sz="0" w:space="0" w:color="auto"/>
            <w:left w:val="none" w:sz="0" w:space="0" w:color="auto"/>
            <w:bottom w:val="none" w:sz="0" w:space="0" w:color="auto"/>
            <w:right w:val="none" w:sz="0" w:space="0" w:color="auto"/>
          </w:divBdr>
          <w:divsChild>
            <w:div w:id="31392828">
              <w:marLeft w:val="0"/>
              <w:marRight w:val="0"/>
              <w:marTop w:val="0"/>
              <w:marBottom w:val="0"/>
              <w:divBdr>
                <w:top w:val="none" w:sz="0" w:space="0" w:color="auto"/>
                <w:left w:val="none" w:sz="0" w:space="0" w:color="auto"/>
                <w:bottom w:val="none" w:sz="0" w:space="0" w:color="auto"/>
                <w:right w:val="none" w:sz="0" w:space="0" w:color="auto"/>
              </w:divBdr>
            </w:div>
            <w:div w:id="93941305">
              <w:marLeft w:val="0"/>
              <w:marRight w:val="0"/>
              <w:marTop w:val="0"/>
              <w:marBottom w:val="0"/>
              <w:divBdr>
                <w:top w:val="none" w:sz="0" w:space="0" w:color="auto"/>
                <w:left w:val="none" w:sz="0" w:space="0" w:color="auto"/>
                <w:bottom w:val="none" w:sz="0" w:space="0" w:color="auto"/>
                <w:right w:val="none" w:sz="0" w:space="0" w:color="auto"/>
              </w:divBdr>
            </w:div>
            <w:div w:id="98768035">
              <w:marLeft w:val="0"/>
              <w:marRight w:val="0"/>
              <w:marTop w:val="0"/>
              <w:marBottom w:val="0"/>
              <w:divBdr>
                <w:top w:val="none" w:sz="0" w:space="0" w:color="auto"/>
                <w:left w:val="none" w:sz="0" w:space="0" w:color="auto"/>
                <w:bottom w:val="none" w:sz="0" w:space="0" w:color="auto"/>
                <w:right w:val="none" w:sz="0" w:space="0" w:color="auto"/>
              </w:divBdr>
            </w:div>
            <w:div w:id="247815489">
              <w:marLeft w:val="0"/>
              <w:marRight w:val="0"/>
              <w:marTop w:val="0"/>
              <w:marBottom w:val="0"/>
              <w:divBdr>
                <w:top w:val="none" w:sz="0" w:space="0" w:color="auto"/>
                <w:left w:val="none" w:sz="0" w:space="0" w:color="auto"/>
                <w:bottom w:val="none" w:sz="0" w:space="0" w:color="auto"/>
                <w:right w:val="none" w:sz="0" w:space="0" w:color="auto"/>
              </w:divBdr>
            </w:div>
            <w:div w:id="294484615">
              <w:marLeft w:val="0"/>
              <w:marRight w:val="0"/>
              <w:marTop w:val="0"/>
              <w:marBottom w:val="0"/>
              <w:divBdr>
                <w:top w:val="none" w:sz="0" w:space="0" w:color="auto"/>
                <w:left w:val="none" w:sz="0" w:space="0" w:color="auto"/>
                <w:bottom w:val="none" w:sz="0" w:space="0" w:color="auto"/>
                <w:right w:val="none" w:sz="0" w:space="0" w:color="auto"/>
              </w:divBdr>
            </w:div>
            <w:div w:id="576475782">
              <w:marLeft w:val="0"/>
              <w:marRight w:val="0"/>
              <w:marTop w:val="0"/>
              <w:marBottom w:val="0"/>
              <w:divBdr>
                <w:top w:val="none" w:sz="0" w:space="0" w:color="auto"/>
                <w:left w:val="none" w:sz="0" w:space="0" w:color="auto"/>
                <w:bottom w:val="none" w:sz="0" w:space="0" w:color="auto"/>
                <w:right w:val="none" w:sz="0" w:space="0" w:color="auto"/>
              </w:divBdr>
            </w:div>
            <w:div w:id="628322527">
              <w:marLeft w:val="0"/>
              <w:marRight w:val="0"/>
              <w:marTop w:val="0"/>
              <w:marBottom w:val="0"/>
              <w:divBdr>
                <w:top w:val="none" w:sz="0" w:space="0" w:color="auto"/>
                <w:left w:val="none" w:sz="0" w:space="0" w:color="auto"/>
                <w:bottom w:val="none" w:sz="0" w:space="0" w:color="auto"/>
                <w:right w:val="none" w:sz="0" w:space="0" w:color="auto"/>
              </w:divBdr>
            </w:div>
            <w:div w:id="802965799">
              <w:marLeft w:val="0"/>
              <w:marRight w:val="0"/>
              <w:marTop w:val="0"/>
              <w:marBottom w:val="0"/>
              <w:divBdr>
                <w:top w:val="none" w:sz="0" w:space="0" w:color="auto"/>
                <w:left w:val="none" w:sz="0" w:space="0" w:color="auto"/>
                <w:bottom w:val="none" w:sz="0" w:space="0" w:color="auto"/>
                <w:right w:val="none" w:sz="0" w:space="0" w:color="auto"/>
              </w:divBdr>
            </w:div>
            <w:div w:id="850948054">
              <w:marLeft w:val="0"/>
              <w:marRight w:val="0"/>
              <w:marTop w:val="0"/>
              <w:marBottom w:val="0"/>
              <w:divBdr>
                <w:top w:val="none" w:sz="0" w:space="0" w:color="auto"/>
                <w:left w:val="none" w:sz="0" w:space="0" w:color="auto"/>
                <w:bottom w:val="none" w:sz="0" w:space="0" w:color="auto"/>
                <w:right w:val="none" w:sz="0" w:space="0" w:color="auto"/>
              </w:divBdr>
            </w:div>
            <w:div w:id="1042554097">
              <w:marLeft w:val="0"/>
              <w:marRight w:val="0"/>
              <w:marTop w:val="0"/>
              <w:marBottom w:val="0"/>
              <w:divBdr>
                <w:top w:val="none" w:sz="0" w:space="0" w:color="auto"/>
                <w:left w:val="none" w:sz="0" w:space="0" w:color="auto"/>
                <w:bottom w:val="none" w:sz="0" w:space="0" w:color="auto"/>
                <w:right w:val="none" w:sz="0" w:space="0" w:color="auto"/>
              </w:divBdr>
            </w:div>
            <w:div w:id="1378896442">
              <w:marLeft w:val="0"/>
              <w:marRight w:val="0"/>
              <w:marTop w:val="0"/>
              <w:marBottom w:val="0"/>
              <w:divBdr>
                <w:top w:val="none" w:sz="0" w:space="0" w:color="auto"/>
                <w:left w:val="none" w:sz="0" w:space="0" w:color="auto"/>
                <w:bottom w:val="none" w:sz="0" w:space="0" w:color="auto"/>
                <w:right w:val="none" w:sz="0" w:space="0" w:color="auto"/>
              </w:divBdr>
            </w:div>
            <w:div w:id="1388915082">
              <w:marLeft w:val="0"/>
              <w:marRight w:val="0"/>
              <w:marTop w:val="0"/>
              <w:marBottom w:val="0"/>
              <w:divBdr>
                <w:top w:val="none" w:sz="0" w:space="0" w:color="auto"/>
                <w:left w:val="none" w:sz="0" w:space="0" w:color="auto"/>
                <w:bottom w:val="none" w:sz="0" w:space="0" w:color="auto"/>
                <w:right w:val="none" w:sz="0" w:space="0" w:color="auto"/>
              </w:divBdr>
            </w:div>
            <w:div w:id="1500534349">
              <w:marLeft w:val="0"/>
              <w:marRight w:val="0"/>
              <w:marTop w:val="0"/>
              <w:marBottom w:val="0"/>
              <w:divBdr>
                <w:top w:val="none" w:sz="0" w:space="0" w:color="auto"/>
                <w:left w:val="none" w:sz="0" w:space="0" w:color="auto"/>
                <w:bottom w:val="none" w:sz="0" w:space="0" w:color="auto"/>
                <w:right w:val="none" w:sz="0" w:space="0" w:color="auto"/>
              </w:divBdr>
            </w:div>
            <w:div w:id="1964068193">
              <w:marLeft w:val="0"/>
              <w:marRight w:val="0"/>
              <w:marTop w:val="0"/>
              <w:marBottom w:val="0"/>
              <w:divBdr>
                <w:top w:val="none" w:sz="0" w:space="0" w:color="auto"/>
                <w:left w:val="none" w:sz="0" w:space="0" w:color="auto"/>
                <w:bottom w:val="none" w:sz="0" w:space="0" w:color="auto"/>
                <w:right w:val="none" w:sz="0" w:space="0" w:color="auto"/>
              </w:divBdr>
            </w:div>
            <w:div w:id="2120441683">
              <w:marLeft w:val="0"/>
              <w:marRight w:val="0"/>
              <w:marTop w:val="0"/>
              <w:marBottom w:val="0"/>
              <w:divBdr>
                <w:top w:val="none" w:sz="0" w:space="0" w:color="auto"/>
                <w:left w:val="none" w:sz="0" w:space="0" w:color="auto"/>
                <w:bottom w:val="none" w:sz="0" w:space="0" w:color="auto"/>
                <w:right w:val="none" w:sz="0" w:space="0" w:color="auto"/>
              </w:divBdr>
            </w:div>
          </w:divsChild>
        </w:div>
        <w:div w:id="1990788392">
          <w:marLeft w:val="0"/>
          <w:marRight w:val="0"/>
          <w:marTop w:val="0"/>
          <w:marBottom w:val="0"/>
          <w:divBdr>
            <w:top w:val="none" w:sz="0" w:space="0" w:color="auto"/>
            <w:left w:val="none" w:sz="0" w:space="0" w:color="auto"/>
            <w:bottom w:val="none" w:sz="0" w:space="0" w:color="auto"/>
            <w:right w:val="none" w:sz="0" w:space="0" w:color="auto"/>
          </w:divBdr>
          <w:divsChild>
            <w:div w:id="22639100">
              <w:marLeft w:val="0"/>
              <w:marRight w:val="0"/>
              <w:marTop w:val="0"/>
              <w:marBottom w:val="0"/>
              <w:divBdr>
                <w:top w:val="none" w:sz="0" w:space="0" w:color="auto"/>
                <w:left w:val="none" w:sz="0" w:space="0" w:color="auto"/>
                <w:bottom w:val="none" w:sz="0" w:space="0" w:color="auto"/>
                <w:right w:val="none" w:sz="0" w:space="0" w:color="auto"/>
              </w:divBdr>
            </w:div>
            <w:div w:id="1154299551">
              <w:marLeft w:val="0"/>
              <w:marRight w:val="0"/>
              <w:marTop w:val="0"/>
              <w:marBottom w:val="0"/>
              <w:divBdr>
                <w:top w:val="none" w:sz="0" w:space="0" w:color="auto"/>
                <w:left w:val="none" w:sz="0" w:space="0" w:color="auto"/>
                <w:bottom w:val="none" w:sz="0" w:space="0" w:color="auto"/>
                <w:right w:val="none" w:sz="0" w:space="0" w:color="auto"/>
              </w:divBdr>
            </w:div>
            <w:div w:id="1207763579">
              <w:marLeft w:val="0"/>
              <w:marRight w:val="0"/>
              <w:marTop w:val="0"/>
              <w:marBottom w:val="0"/>
              <w:divBdr>
                <w:top w:val="none" w:sz="0" w:space="0" w:color="auto"/>
                <w:left w:val="none" w:sz="0" w:space="0" w:color="auto"/>
                <w:bottom w:val="none" w:sz="0" w:space="0" w:color="auto"/>
                <w:right w:val="none" w:sz="0" w:space="0" w:color="auto"/>
              </w:divBdr>
            </w:div>
            <w:div w:id="1524435815">
              <w:marLeft w:val="0"/>
              <w:marRight w:val="0"/>
              <w:marTop w:val="0"/>
              <w:marBottom w:val="0"/>
              <w:divBdr>
                <w:top w:val="none" w:sz="0" w:space="0" w:color="auto"/>
                <w:left w:val="none" w:sz="0" w:space="0" w:color="auto"/>
                <w:bottom w:val="none" w:sz="0" w:space="0" w:color="auto"/>
                <w:right w:val="none" w:sz="0" w:space="0" w:color="auto"/>
              </w:divBdr>
            </w:div>
            <w:div w:id="1696232098">
              <w:marLeft w:val="0"/>
              <w:marRight w:val="0"/>
              <w:marTop w:val="0"/>
              <w:marBottom w:val="0"/>
              <w:divBdr>
                <w:top w:val="none" w:sz="0" w:space="0" w:color="auto"/>
                <w:left w:val="none" w:sz="0" w:space="0" w:color="auto"/>
                <w:bottom w:val="none" w:sz="0" w:space="0" w:color="auto"/>
                <w:right w:val="none" w:sz="0" w:space="0" w:color="auto"/>
              </w:divBdr>
            </w:div>
            <w:div w:id="18420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736">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717">
      <w:bodyDiv w:val="1"/>
      <w:marLeft w:val="0"/>
      <w:marRight w:val="0"/>
      <w:marTop w:val="0"/>
      <w:marBottom w:val="0"/>
      <w:divBdr>
        <w:top w:val="none" w:sz="0" w:space="0" w:color="auto"/>
        <w:left w:val="none" w:sz="0" w:space="0" w:color="auto"/>
        <w:bottom w:val="none" w:sz="0" w:space="0" w:color="auto"/>
        <w:right w:val="none" w:sz="0" w:space="0" w:color="auto"/>
      </w:divBdr>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2922188">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8252">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publications/hepatitis-d-surveillance-cas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CF70-3034-4535-A809-E2A645EB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19074</Words>
  <Characters>101856</Characters>
  <Application>Microsoft Office Word</Application>
  <DocSecurity>0</DocSecurity>
  <Lines>2611</Lines>
  <Paragraphs>1511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2024-07-15T06:30:00Z</dcterms:created>
  <dcterms:modified xsi:type="dcterms:W3CDTF">2024-07-15T06:30:00Z</dcterms:modified>
</cp:coreProperties>
</file>