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E6B6C" w14:textId="70CE5ED8" w:rsidR="006478E7" w:rsidRPr="00490FBB" w:rsidRDefault="006478E7" w:rsidP="006478E7">
      <w:pPr>
        <w:spacing w:before="120" w:after="120" w:line="312" w:lineRule="auto"/>
        <w:jc w:val="center"/>
      </w:pPr>
      <w:r w:rsidRPr="00490FBB">
        <w:rPr>
          <w:b/>
          <w:noProof/>
          <w:lang w:eastAsia="en-AU"/>
        </w:rPr>
        <w:drawing>
          <wp:inline distT="0" distB="0" distL="0" distR="0" wp14:anchorId="42587FCD" wp14:editId="582BB802">
            <wp:extent cx="1891665" cy="1229995"/>
            <wp:effectExtent l="0" t="0" r="0" b="0"/>
            <wp:docPr id="1" name="Picture 1" title="Department of Health Logo"/>
            <wp:cNvGraphicFramePr/>
            <a:graphic xmlns:a="http://schemas.openxmlformats.org/drawingml/2006/main">
              <a:graphicData uri="http://schemas.openxmlformats.org/drawingml/2006/picture">
                <pic:pic xmlns:pic="http://schemas.openxmlformats.org/drawingml/2006/picture">
                  <pic:nvPicPr>
                    <pic:cNvPr id="1" name="Picture 2" title="Department of Health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50B6D781" w14:textId="34CC1697" w:rsidR="006478E7" w:rsidRPr="00490FBB" w:rsidRDefault="00825B42" w:rsidP="008C4B3C">
      <w:pPr>
        <w:pStyle w:val="Heading10"/>
        <w:spacing w:before="1800"/>
        <w:jc w:val="center"/>
        <w:rPr>
          <w:sz w:val="48"/>
          <w:szCs w:val="48"/>
        </w:rPr>
      </w:pPr>
      <w:r>
        <w:rPr>
          <w:sz w:val="48"/>
          <w:szCs w:val="48"/>
        </w:rPr>
        <w:t xml:space="preserve">MSAC </w:t>
      </w:r>
      <w:r w:rsidR="006478E7" w:rsidRPr="00490FBB">
        <w:rPr>
          <w:sz w:val="48"/>
          <w:szCs w:val="48"/>
        </w:rPr>
        <w:t xml:space="preserve">Application </w:t>
      </w:r>
      <w:r w:rsidR="00627FF3">
        <w:rPr>
          <w:sz w:val="48"/>
          <w:szCs w:val="48"/>
        </w:rPr>
        <w:t>1708</w:t>
      </w:r>
    </w:p>
    <w:p w14:paraId="11765312" w14:textId="0E885B57" w:rsidR="006478E7" w:rsidRPr="00490FBB" w:rsidRDefault="00627FF3" w:rsidP="006478E7">
      <w:pPr>
        <w:pStyle w:val="Heading10"/>
        <w:jc w:val="center"/>
        <w:rPr>
          <w:sz w:val="48"/>
          <w:szCs w:val="48"/>
        </w:rPr>
      </w:pPr>
      <w:r w:rsidRPr="00627FF3">
        <w:rPr>
          <w:color w:val="548DD4"/>
          <w:sz w:val="48"/>
          <w:szCs w:val="48"/>
        </w:rPr>
        <w:t xml:space="preserve">Hepatitis Delta Virus (HDV) </w:t>
      </w:r>
      <w:r>
        <w:rPr>
          <w:color w:val="548DD4"/>
          <w:sz w:val="48"/>
          <w:szCs w:val="48"/>
        </w:rPr>
        <w:t xml:space="preserve">RNA PCR testing to determine eligibility for PBS-subsidised bulevirtide (HEPCLUDEX) for treatment of </w:t>
      </w:r>
      <w:r w:rsidR="00817C96">
        <w:rPr>
          <w:color w:val="548DD4"/>
          <w:sz w:val="48"/>
          <w:szCs w:val="48"/>
        </w:rPr>
        <w:t>HDV</w:t>
      </w:r>
    </w:p>
    <w:p w14:paraId="21BC2E96" w14:textId="0AF9D66E" w:rsidR="00AD4D44" w:rsidRDefault="00AA162E" w:rsidP="00701FBE">
      <w:pPr>
        <w:pStyle w:val="Heading10"/>
        <w:spacing w:before="1200" w:after="0"/>
        <w:jc w:val="center"/>
        <w:rPr>
          <w:sz w:val="72"/>
          <w:szCs w:val="72"/>
        </w:rPr>
      </w:pPr>
      <w:r>
        <w:rPr>
          <w:sz w:val="72"/>
          <w:szCs w:val="72"/>
        </w:rPr>
        <w:t>R</w:t>
      </w:r>
      <w:r w:rsidR="00FF3E8F">
        <w:rPr>
          <w:sz w:val="72"/>
          <w:szCs w:val="72"/>
        </w:rPr>
        <w:t>atified</w:t>
      </w:r>
    </w:p>
    <w:p w14:paraId="39CC0389" w14:textId="636B2D78" w:rsidR="006478E7" w:rsidRPr="00AD4D44" w:rsidRDefault="006478E7" w:rsidP="00AD4D44">
      <w:pPr>
        <w:pStyle w:val="Heading10"/>
        <w:jc w:val="center"/>
        <w:rPr>
          <w:sz w:val="72"/>
          <w:szCs w:val="72"/>
        </w:rPr>
      </w:pPr>
      <w:r w:rsidRPr="00AD4D44">
        <w:rPr>
          <w:sz w:val="72"/>
          <w:szCs w:val="72"/>
        </w:rPr>
        <w:t>PICO Confirmation</w:t>
      </w:r>
    </w:p>
    <w:p w14:paraId="1B9715D6" w14:textId="77777777" w:rsidR="00F1715B" w:rsidRDefault="00F1715B">
      <w:pPr>
        <w:spacing w:after="160" w:line="259" w:lineRule="auto"/>
        <w:rPr>
          <w:sz w:val="20"/>
          <w:szCs w:val="20"/>
        </w:rPr>
      </w:pPr>
      <w:r>
        <w:rPr>
          <w:sz w:val="20"/>
          <w:szCs w:val="20"/>
        </w:rPr>
        <w:br w:type="page"/>
      </w:r>
    </w:p>
    <w:p w14:paraId="219312C8" w14:textId="3D8C0833" w:rsidR="006478E7" w:rsidRPr="00D52956" w:rsidRDefault="00AD0E3B" w:rsidP="00D24729">
      <w:pPr>
        <w:keepNext/>
        <w:spacing w:after="160" w:line="259" w:lineRule="auto"/>
      </w:pPr>
      <w:r>
        <w:lastRenderedPageBreak/>
        <w:t>A s</w:t>
      </w:r>
      <w:r w:rsidR="006478E7" w:rsidRPr="00D52956">
        <w:t>ummary of PI</w:t>
      </w:r>
      <w:r w:rsidR="00235B21">
        <w:t xml:space="preserve">CO criteria to define </w:t>
      </w:r>
      <w:r w:rsidR="006478E7" w:rsidRPr="00D52956">
        <w:t>question(s) to be addressed in an Assessment Report to the Medical Services Advisory Committee (MSAC)</w:t>
      </w:r>
      <w:r>
        <w:t xml:space="preserve"> is shown below in</w:t>
      </w:r>
      <w:r w:rsidR="00825B42">
        <w:t xml:space="preserve"> Table 1</w:t>
      </w:r>
    </w:p>
    <w:p w14:paraId="224459F3" w14:textId="11728772" w:rsidR="00D52956" w:rsidRDefault="00D52956" w:rsidP="00D52956">
      <w:pPr>
        <w:pStyle w:val="Caption"/>
      </w:pPr>
      <w:bookmarkStart w:id="0" w:name="_Ref69732160"/>
      <w:bookmarkStart w:id="1" w:name="_Ref69732155"/>
      <w:r>
        <w:t>Table</w:t>
      </w:r>
      <w:r w:rsidR="00FD4C65">
        <w:t> </w:t>
      </w:r>
      <w:r>
        <w:fldChar w:fldCharType="begin"/>
      </w:r>
      <w:r>
        <w:instrText xml:space="preserve"> SEQ Table \* ARABIC </w:instrText>
      </w:r>
      <w:r>
        <w:fldChar w:fldCharType="separate"/>
      </w:r>
      <w:r w:rsidR="00391E3C">
        <w:rPr>
          <w:noProof/>
        </w:rPr>
        <w:t>1</w:t>
      </w:r>
      <w:r>
        <w:fldChar w:fldCharType="end"/>
      </w:r>
      <w:bookmarkEnd w:id="0"/>
      <w:r>
        <w:tab/>
        <w:t xml:space="preserve">PICO for </w:t>
      </w:r>
      <w:r w:rsidR="003E4E58">
        <w:t>hepatitis delta virus RNA PCR testing</w:t>
      </w:r>
      <w:r>
        <w:t xml:space="preserve"> </w:t>
      </w:r>
      <w:r w:rsidR="003E4E58">
        <w:t xml:space="preserve">to determine eligibility for treatment </w:t>
      </w:r>
      <w:r>
        <w:t>in</w:t>
      </w:r>
      <w:r w:rsidR="003E4E58">
        <w:t xml:space="preserve"> patients infected with hepatitis delta virus</w:t>
      </w:r>
      <w:bookmarkEnd w:id="1"/>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11"/>
        <w:gridCol w:w="7200"/>
      </w:tblGrid>
      <w:tr w:rsidR="006478E7" w:rsidRPr="00490FBB" w14:paraId="2A509B30" w14:textId="77777777" w:rsidTr="00C54349">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vAlign w:val="center"/>
            <w:hideMark/>
          </w:tcPr>
          <w:p w14:paraId="333B8A35" w14:textId="77777777" w:rsidR="006478E7" w:rsidRPr="00490FBB" w:rsidRDefault="006478E7" w:rsidP="00C54349">
            <w:pPr>
              <w:spacing w:before="20" w:after="20" w:line="240" w:lineRule="auto"/>
              <w:rPr>
                <w:b/>
              </w:rPr>
            </w:pPr>
            <w:bookmarkStart w:id="2" w:name="Title_Table1" w:colFirst="0" w:colLast="0"/>
            <w:r w:rsidRPr="00490FBB">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31DF4F" w14:textId="77777777" w:rsidR="006478E7" w:rsidRPr="00490FBB" w:rsidRDefault="006478E7" w:rsidP="00C54349">
            <w:pPr>
              <w:spacing w:before="20" w:after="20" w:line="240" w:lineRule="auto"/>
              <w:rPr>
                <w:b/>
              </w:rPr>
            </w:pPr>
            <w:r w:rsidRPr="00490FBB">
              <w:rPr>
                <w:b/>
              </w:rPr>
              <w:t>Description</w:t>
            </w:r>
          </w:p>
        </w:tc>
      </w:tr>
      <w:bookmarkEnd w:id="2"/>
      <w:tr w:rsidR="00D530C3" w:rsidRPr="00490FBB" w14:paraId="78E0BB65" w14:textId="77777777" w:rsidTr="006478E7">
        <w:tc>
          <w:tcPr>
            <w:tcW w:w="1005" w:type="pct"/>
            <w:tcBorders>
              <w:top w:val="single" w:sz="8" w:space="0" w:color="auto"/>
              <w:left w:val="single" w:sz="8" w:space="0" w:color="auto"/>
              <w:bottom w:val="single" w:sz="4" w:space="0" w:color="auto"/>
              <w:right w:val="single" w:sz="4" w:space="0" w:color="auto"/>
            </w:tcBorders>
            <w:hideMark/>
          </w:tcPr>
          <w:p w14:paraId="715E50D5" w14:textId="1E4BE29D" w:rsidR="00D530C3" w:rsidRPr="00490FBB" w:rsidRDefault="00D530C3" w:rsidP="00D530C3">
            <w:pPr>
              <w:spacing w:before="120" w:after="120" w:line="240" w:lineRule="auto"/>
              <w:rPr>
                <w:rFonts w:cs="Arial"/>
              </w:rPr>
            </w:pPr>
            <w:r>
              <w:rPr>
                <w:rFonts w:cs="Arial"/>
              </w:rPr>
              <w:t>Population</w:t>
            </w:r>
          </w:p>
        </w:tc>
        <w:tc>
          <w:tcPr>
            <w:tcW w:w="3995" w:type="pct"/>
            <w:tcBorders>
              <w:top w:val="single" w:sz="4" w:space="0" w:color="auto"/>
              <w:left w:val="single" w:sz="4" w:space="0" w:color="auto"/>
              <w:bottom w:val="single" w:sz="4" w:space="0" w:color="auto"/>
              <w:right w:val="single" w:sz="4" w:space="0" w:color="auto"/>
            </w:tcBorders>
            <w:hideMark/>
          </w:tcPr>
          <w:p w14:paraId="49D78346" w14:textId="7269067B" w:rsidR="00D530C3" w:rsidRDefault="00D530C3" w:rsidP="00D530C3">
            <w:pPr>
              <w:spacing w:before="120" w:after="120" w:line="240" w:lineRule="auto"/>
              <w:rPr>
                <w:rFonts w:cs="Arial"/>
              </w:rPr>
            </w:pPr>
            <w:r w:rsidRPr="00C309E6">
              <w:rPr>
                <w:rFonts w:cs="Arial"/>
              </w:rPr>
              <w:t xml:space="preserve">Test: </w:t>
            </w:r>
            <w:r>
              <w:rPr>
                <w:rFonts w:cs="Arial"/>
              </w:rPr>
              <w:t>People diagnosed with</w:t>
            </w:r>
            <w:r w:rsidR="00113824">
              <w:rPr>
                <w:rFonts w:cs="Arial"/>
              </w:rPr>
              <w:t xml:space="preserve"> chronic</w:t>
            </w:r>
            <w:r>
              <w:rPr>
                <w:rFonts w:cs="Arial"/>
              </w:rPr>
              <w:t xml:space="preserve"> hepatitis B who have tested </w:t>
            </w:r>
            <w:r w:rsidRPr="00C309E6">
              <w:rPr>
                <w:rFonts w:cs="Arial"/>
              </w:rPr>
              <w:t>positive</w:t>
            </w:r>
            <w:r>
              <w:rPr>
                <w:rFonts w:cs="Arial"/>
              </w:rPr>
              <w:t xml:space="preserve"> for</w:t>
            </w:r>
            <w:r w:rsidRPr="00C309E6">
              <w:rPr>
                <w:rFonts w:cs="Arial"/>
              </w:rPr>
              <w:t xml:space="preserve"> serum anti-</w:t>
            </w:r>
            <w:r w:rsidR="005F2178">
              <w:rPr>
                <w:rFonts w:cs="Arial"/>
              </w:rPr>
              <w:t>hepatitis D virus (anti-HDV)</w:t>
            </w:r>
            <w:r w:rsidRPr="00C309E6">
              <w:rPr>
                <w:rFonts w:cs="Arial"/>
              </w:rPr>
              <w:t xml:space="preserve"> antibodies </w:t>
            </w:r>
            <w:r w:rsidR="000C5606">
              <w:rPr>
                <w:rFonts w:cs="Arial"/>
              </w:rPr>
              <w:t xml:space="preserve">and are suspected of having chronic </w:t>
            </w:r>
            <w:r w:rsidR="00113824">
              <w:rPr>
                <w:rFonts w:cs="Arial"/>
              </w:rPr>
              <w:t>hepatitis D virus (</w:t>
            </w:r>
            <w:r w:rsidR="000C5606">
              <w:rPr>
                <w:rFonts w:cs="Arial"/>
              </w:rPr>
              <w:t>HDV</w:t>
            </w:r>
            <w:r w:rsidR="00113824">
              <w:rPr>
                <w:rFonts w:cs="Arial"/>
              </w:rPr>
              <w:t>) infection</w:t>
            </w:r>
            <w:r w:rsidR="000C5606">
              <w:rPr>
                <w:rFonts w:cs="Arial"/>
              </w:rPr>
              <w:t>.</w:t>
            </w:r>
          </w:p>
          <w:p w14:paraId="4A4FF7C2" w14:textId="5355C49E" w:rsidR="00D530C3" w:rsidRPr="00D52956" w:rsidRDefault="00D530C3" w:rsidP="00601560">
            <w:pPr>
              <w:spacing w:before="120" w:after="120" w:line="240" w:lineRule="auto"/>
            </w:pPr>
            <w:r w:rsidRPr="00C309E6">
              <w:rPr>
                <w:rFonts w:cs="Arial"/>
              </w:rPr>
              <w:t>Drug:</w:t>
            </w:r>
            <w:r w:rsidR="00732696" w:rsidRPr="000C5606">
              <w:rPr>
                <w:rFonts w:cs="Arial"/>
              </w:rPr>
              <w:t xml:space="preserve"> Patients with</w:t>
            </w:r>
            <w:r w:rsidR="00732696">
              <w:rPr>
                <w:rFonts w:cs="Arial"/>
              </w:rPr>
              <w:t xml:space="preserve"> chronic</w:t>
            </w:r>
            <w:r w:rsidR="00732696" w:rsidRPr="000C5606">
              <w:rPr>
                <w:rFonts w:cs="Arial"/>
              </w:rPr>
              <w:t xml:space="preserve"> HDV with positive polymerase chain reaction (PCR) results for serum/plasma HDV ribonucleic acid (RNA)</w:t>
            </w:r>
            <w:r w:rsidR="00732696">
              <w:rPr>
                <w:rFonts w:cs="Arial"/>
              </w:rPr>
              <w:t>,</w:t>
            </w:r>
            <w:r w:rsidR="00732696" w:rsidRPr="000C5606">
              <w:rPr>
                <w:rFonts w:cs="Arial"/>
              </w:rPr>
              <w:t xml:space="preserve"> </w:t>
            </w:r>
            <w:r w:rsidR="00222507" w:rsidRPr="00222507">
              <w:rPr>
                <w:rFonts w:cs="Arial"/>
                <w:b/>
                <w:bCs/>
              </w:rPr>
              <w:t>REDACTED</w:t>
            </w:r>
            <w:r w:rsidRPr="000C5606">
              <w:rPr>
                <w:rFonts w:cs="Arial"/>
              </w:rPr>
              <w:t>.</w:t>
            </w:r>
          </w:p>
        </w:tc>
      </w:tr>
      <w:tr w:rsidR="00D530C3" w:rsidRPr="00490FBB" w14:paraId="2A9CC9A6" w14:textId="77777777" w:rsidTr="006478E7">
        <w:tc>
          <w:tcPr>
            <w:tcW w:w="1005" w:type="pct"/>
            <w:tcBorders>
              <w:top w:val="single" w:sz="8" w:space="0" w:color="auto"/>
              <w:left w:val="single" w:sz="8" w:space="0" w:color="auto"/>
              <w:bottom w:val="single" w:sz="4" w:space="0" w:color="auto"/>
              <w:right w:val="single" w:sz="4" w:space="0" w:color="auto"/>
            </w:tcBorders>
            <w:hideMark/>
          </w:tcPr>
          <w:p w14:paraId="75E49351" w14:textId="34C8E29A" w:rsidR="00D530C3" w:rsidRPr="00490FBB" w:rsidRDefault="00D530C3" w:rsidP="00D530C3">
            <w:pPr>
              <w:spacing w:before="120" w:after="120" w:line="240" w:lineRule="auto"/>
              <w:rPr>
                <w:rFonts w:cs="Arial"/>
              </w:rPr>
            </w:pPr>
            <w:r w:rsidRPr="00490FBB">
              <w:rPr>
                <w:rFonts w:cs="Arial"/>
              </w:rPr>
              <w:t>Prior tests</w:t>
            </w:r>
          </w:p>
        </w:tc>
        <w:tc>
          <w:tcPr>
            <w:tcW w:w="3995" w:type="pct"/>
            <w:tcBorders>
              <w:top w:val="single" w:sz="4" w:space="0" w:color="auto"/>
              <w:left w:val="single" w:sz="4" w:space="0" w:color="auto"/>
              <w:bottom w:val="single" w:sz="4" w:space="0" w:color="auto"/>
              <w:right w:val="single" w:sz="4" w:space="0" w:color="auto"/>
            </w:tcBorders>
            <w:hideMark/>
          </w:tcPr>
          <w:p w14:paraId="622698A6" w14:textId="36911665" w:rsidR="002052B2" w:rsidRDefault="005D26AE" w:rsidP="00D530C3">
            <w:pPr>
              <w:spacing w:before="120" w:after="120" w:line="240" w:lineRule="auto"/>
              <w:rPr>
                <w:rFonts w:cs="Arial"/>
              </w:rPr>
            </w:pPr>
            <w:r>
              <w:rPr>
                <w:rFonts w:cs="Arial"/>
              </w:rPr>
              <w:t>Diagnosis of HBV by hepatitis B surface antigen (HBsAg)</w:t>
            </w:r>
            <w:r w:rsidR="00CC2FEB">
              <w:rPr>
                <w:rFonts w:cs="Arial"/>
              </w:rPr>
              <w:t>,</w:t>
            </w:r>
          </w:p>
          <w:p w14:paraId="5CF47E43" w14:textId="25D23FA6" w:rsidR="002052B2" w:rsidRPr="00246E1A" w:rsidRDefault="00D530C3">
            <w:pPr>
              <w:spacing w:before="120" w:after="120" w:line="240" w:lineRule="auto"/>
              <w:rPr>
                <w:i/>
              </w:rPr>
            </w:pPr>
            <w:r>
              <w:rPr>
                <w:rFonts w:cs="Arial"/>
              </w:rPr>
              <w:t>A</w:t>
            </w:r>
            <w:r w:rsidRPr="00373145">
              <w:rPr>
                <w:rFonts w:cs="Arial"/>
              </w:rPr>
              <w:t>nti-HDV antibody testing</w:t>
            </w:r>
          </w:p>
        </w:tc>
      </w:tr>
      <w:tr w:rsidR="00D530C3" w:rsidRPr="00490FBB" w14:paraId="654E13A9" w14:textId="77777777" w:rsidTr="006478E7">
        <w:tc>
          <w:tcPr>
            <w:tcW w:w="1005" w:type="pct"/>
            <w:tcBorders>
              <w:top w:val="single" w:sz="4" w:space="0" w:color="auto"/>
              <w:left w:val="single" w:sz="8" w:space="0" w:color="auto"/>
              <w:bottom w:val="single" w:sz="4" w:space="0" w:color="auto"/>
              <w:right w:val="single" w:sz="4" w:space="0" w:color="auto"/>
            </w:tcBorders>
            <w:hideMark/>
          </w:tcPr>
          <w:p w14:paraId="5BF0C211" w14:textId="2AD6815F" w:rsidR="00D530C3" w:rsidRPr="00490FBB" w:rsidRDefault="00D530C3" w:rsidP="00F1715B">
            <w:pPr>
              <w:spacing w:before="120" w:after="120" w:line="240" w:lineRule="auto"/>
              <w:rPr>
                <w:rFonts w:cs="Arial"/>
              </w:rPr>
            </w:pPr>
            <w:r w:rsidRPr="00490FBB">
              <w:rPr>
                <w:rFonts w:cs="Arial"/>
              </w:rPr>
              <w:t>Intervention</w:t>
            </w:r>
          </w:p>
        </w:tc>
        <w:tc>
          <w:tcPr>
            <w:tcW w:w="3995" w:type="pct"/>
            <w:tcBorders>
              <w:top w:val="single" w:sz="4" w:space="0" w:color="auto"/>
              <w:left w:val="single" w:sz="4" w:space="0" w:color="auto"/>
              <w:bottom w:val="single" w:sz="4" w:space="0" w:color="auto"/>
              <w:right w:val="single" w:sz="4" w:space="0" w:color="auto"/>
            </w:tcBorders>
            <w:hideMark/>
          </w:tcPr>
          <w:p w14:paraId="3382478C" w14:textId="6D392B6C" w:rsidR="00D530C3" w:rsidRDefault="00D530C3" w:rsidP="00F1715B">
            <w:pPr>
              <w:pStyle w:val="Instructionaltext"/>
              <w:spacing w:after="200"/>
              <w:rPr>
                <w:color w:val="auto"/>
              </w:rPr>
            </w:pPr>
            <w:r>
              <w:rPr>
                <w:color w:val="auto"/>
              </w:rPr>
              <w:t xml:space="preserve">Test: HDV </w:t>
            </w:r>
            <w:r w:rsidRPr="0038478C">
              <w:rPr>
                <w:color w:val="auto"/>
              </w:rPr>
              <w:t>RNA PCR</w:t>
            </w:r>
            <w:r>
              <w:rPr>
                <w:color w:val="auto"/>
              </w:rPr>
              <w:t xml:space="preserve"> on serum or blood</w:t>
            </w:r>
          </w:p>
          <w:p w14:paraId="3E51DB12" w14:textId="52795148" w:rsidR="00D530C3" w:rsidRPr="00C309E6" w:rsidRDefault="00D530C3" w:rsidP="00F1715B">
            <w:pPr>
              <w:pStyle w:val="Instructionaltext"/>
              <w:spacing w:before="0" w:after="200"/>
              <w:rPr>
                <w:color w:val="auto"/>
              </w:rPr>
            </w:pPr>
            <w:r>
              <w:rPr>
                <w:color w:val="auto"/>
              </w:rPr>
              <w:t xml:space="preserve">Drug: </w:t>
            </w:r>
            <w:r w:rsidR="00157728">
              <w:rPr>
                <w:color w:val="auto"/>
              </w:rPr>
              <w:t>b</w:t>
            </w:r>
            <w:r>
              <w:rPr>
                <w:color w:val="auto"/>
              </w:rPr>
              <w:t>ulevirtide</w:t>
            </w:r>
          </w:p>
        </w:tc>
      </w:tr>
      <w:tr w:rsidR="00D530C3" w:rsidRPr="00490FBB" w14:paraId="1F5647C3" w14:textId="77777777" w:rsidTr="006478E7">
        <w:tc>
          <w:tcPr>
            <w:tcW w:w="1005" w:type="pct"/>
            <w:tcBorders>
              <w:top w:val="single" w:sz="4" w:space="0" w:color="auto"/>
              <w:left w:val="single" w:sz="8" w:space="0" w:color="auto"/>
              <w:bottom w:val="single" w:sz="4" w:space="0" w:color="auto"/>
              <w:right w:val="single" w:sz="4" w:space="0" w:color="auto"/>
            </w:tcBorders>
            <w:hideMark/>
          </w:tcPr>
          <w:p w14:paraId="7F55173A" w14:textId="64AD3E4D" w:rsidR="00D530C3" w:rsidRPr="00490FBB" w:rsidRDefault="00D530C3" w:rsidP="00D530C3">
            <w:pPr>
              <w:spacing w:before="120" w:after="120" w:line="240" w:lineRule="auto"/>
              <w:rPr>
                <w:rFonts w:cs="Arial"/>
              </w:rPr>
            </w:pPr>
            <w:r w:rsidRPr="00490FBB">
              <w:rPr>
                <w:rFonts w:cs="Arial"/>
              </w:rPr>
              <w:t>Comparator</w:t>
            </w:r>
            <w:r>
              <w:rPr>
                <w:rFonts w:cs="Arial"/>
              </w:rPr>
              <w:t>/s</w:t>
            </w:r>
          </w:p>
        </w:tc>
        <w:tc>
          <w:tcPr>
            <w:tcW w:w="3995" w:type="pct"/>
            <w:tcBorders>
              <w:top w:val="single" w:sz="4" w:space="0" w:color="auto"/>
              <w:left w:val="single" w:sz="4" w:space="0" w:color="auto"/>
              <w:bottom w:val="single" w:sz="4" w:space="0" w:color="auto"/>
              <w:right w:val="single" w:sz="4" w:space="0" w:color="auto"/>
            </w:tcBorders>
            <w:hideMark/>
          </w:tcPr>
          <w:p w14:paraId="46DBDE5B" w14:textId="627F4F34" w:rsidR="00D530C3" w:rsidRPr="00157728" w:rsidRDefault="00D530C3" w:rsidP="00F1715B">
            <w:pPr>
              <w:pStyle w:val="Instructionaltext"/>
              <w:spacing w:after="200"/>
              <w:rPr>
                <w:color w:val="auto"/>
              </w:rPr>
            </w:pPr>
            <w:r w:rsidRPr="00157728">
              <w:rPr>
                <w:color w:val="auto"/>
              </w:rPr>
              <w:t xml:space="preserve">Test: </w:t>
            </w:r>
            <w:r w:rsidR="00D24729">
              <w:rPr>
                <w:color w:val="auto"/>
              </w:rPr>
              <w:t>n</w:t>
            </w:r>
            <w:r w:rsidRPr="00157728">
              <w:rPr>
                <w:color w:val="auto"/>
              </w:rPr>
              <w:t>o HDV RNA testing</w:t>
            </w:r>
          </w:p>
          <w:p w14:paraId="7E690E4B" w14:textId="46960F1D" w:rsidR="00D530C3" w:rsidRPr="00157728" w:rsidRDefault="00D530C3" w:rsidP="00F1715B">
            <w:pPr>
              <w:pStyle w:val="Instructionaltext"/>
              <w:spacing w:before="0" w:after="200"/>
              <w:rPr>
                <w:color w:val="auto"/>
              </w:rPr>
            </w:pPr>
            <w:r w:rsidRPr="00157728">
              <w:rPr>
                <w:color w:val="auto"/>
              </w:rPr>
              <w:t xml:space="preserve">Drug: </w:t>
            </w:r>
            <w:r w:rsidR="00D24729">
              <w:rPr>
                <w:color w:val="auto"/>
              </w:rPr>
              <w:t>s</w:t>
            </w:r>
            <w:r w:rsidRPr="00157728">
              <w:rPr>
                <w:color w:val="auto"/>
              </w:rPr>
              <w:t xml:space="preserve">ymptomatic </w:t>
            </w:r>
            <w:r w:rsidRPr="00157728">
              <w:rPr>
                <w:rFonts w:cs="Arial"/>
                <w:color w:val="auto"/>
              </w:rPr>
              <w:t>chronic HDV</w:t>
            </w:r>
            <w:r w:rsidRPr="00157728">
              <w:rPr>
                <w:color w:val="auto"/>
              </w:rPr>
              <w:t xml:space="preserve"> management</w:t>
            </w:r>
          </w:p>
        </w:tc>
      </w:tr>
      <w:tr w:rsidR="00D530C3" w:rsidRPr="00490FBB" w14:paraId="7B9D3F1A" w14:textId="77777777" w:rsidTr="006478E7">
        <w:tc>
          <w:tcPr>
            <w:tcW w:w="1005" w:type="pct"/>
            <w:tcBorders>
              <w:top w:val="single" w:sz="4" w:space="0" w:color="auto"/>
              <w:left w:val="single" w:sz="8" w:space="0" w:color="auto"/>
              <w:bottom w:val="single" w:sz="4" w:space="0" w:color="auto"/>
              <w:right w:val="single" w:sz="4" w:space="0" w:color="auto"/>
            </w:tcBorders>
          </w:tcPr>
          <w:p w14:paraId="4C0BC8B3" w14:textId="4A2A1EBB" w:rsidR="00D530C3" w:rsidRPr="00490FBB" w:rsidRDefault="00D530C3" w:rsidP="00D530C3">
            <w:pPr>
              <w:spacing w:before="120" w:after="120" w:line="240" w:lineRule="auto"/>
              <w:rPr>
                <w:rFonts w:cs="Arial"/>
              </w:rPr>
            </w:pPr>
            <w:r w:rsidRPr="00490FBB">
              <w:rPr>
                <w:rFonts w:cs="Arial"/>
              </w:rPr>
              <w:t xml:space="preserve">Clinical utility standard </w:t>
            </w:r>
          </w:p>
        </w:tc>
        <w:tc>
          <w:tcPr>
            <w:tcW w:w="3995" w:type="pct"/>
            <w:tcBorders>
              <w:top w:val="single" w:sz="4" w:space="0" w:color="auto"/>
              <w:left w:val="single" w:sz="4" w:space="0" w:color="auto"/>
              <w:bottom w:val="single" w:sz="4" w:space="0" w:color="auto"/>
              <w:right w:val="single" w:sz="4" w:space="0" w:color="auto"/>
            </w:tcBorders>
          </w:tcPr>
          <w:p w14:paraId="7B1F5217" w14:textId="4F354F7F" w:rsidR="00D530C3" w:rsidRPr="00157728" w:rsidRDefault="008E1F1F" w:rsidP="00F1715B">
            <w:pPr>
              <w:pStyle w:val="Instructionaltext"/>
              <w:spacing w:before="0" w:after="200"/>
              <w:rPr>
                <w:color w:val="auto"/>
              </w:rPr>
            </w:pPr>
            <w:r w:rsidRPr="00157728">
              <w:rPr>
                <w:color w:val="auto"/>
              </w:rPr>
              <w:t xml:space="preserve">Robogene® HDV RNA Quantification Kit 2.0 with a lower </w:t>
            </w:r>
            <w:r w:rsidR="00D24729">
              <w:rPr>
                <w:color w:val="auto"/>
              </w:rPr>
              <w:t xml:space="preserve">limit of </w:t>
            </w:r>
            <w:r w:rsidRPr="00157728">
              <w:rPr>
                <w:color w:val="auto"/>
              </w:rPr>
              <w:t>detection (LLoD) of 6</w:t>
            </w:r>
            <w:r w:rsidR="00D24729">
              <w:rPr>
                <w:color w:val="auto"/>
              </w:rPr>
              <w:t> </w:t>
            </w:r>
            <w:r w:rsidRPr="00157728">
              <w:rPr>
                <w:color w:val="auto"/>
              </w:rPr>
              <w:t>IU/mL</w:t>
            </w:r>
          </w:p>
        </w:tc>
      </w:tr>
      <w:tr w:rsidR="00D530C3" w:rsidRPr="00490FBB" w14:paraId="13D8130D" w14:textId="77777777" w:rsidTr="006478E7">
        <w:tc>
          <w:tcPr>
            <w:tcW w:w="1005" w:type="pct"/>
            <w:tcBorders>
              <w:top w:val="single" w:sz="4" w:space="0" w:color="auto"/>
              <w:left w:val="single" w:sz="8" w:space="0" w:color="auto"/>
              <w:bottom w:val="single" w:sz="4" w:space="0" w:color="auto"/>
              <w:right w:val="single" w:sz="4" w:space="0" w:color="auto"/>
            </w:tcBorders>
          </w:tcPr>
          <w:p w14:paraId="5A8AC74C" w14:textId="0AC13D1E" w:rsidR="00D530C3" w:rsidRPr="00490FBB" w:rsidRDefault="00D530C3" w:rsidP="00D530C3">
            <w:pPr>
              <w:spacing w:before="120" w:after="120" w:line="240" w:lineRule="auto"/>
              <w:rPr>
                <w:rFonts w:cs="Arial"/>
              </w:rPr>
            </w:pPr>
            <w:r w:rsidRPr="00490FBB">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1B3AD28D" w14:textId="77777777" w:rsidR="00D530C3" w:rsidRPr="0028162B" w:rsidRDefault="00D530C3" w:rsidP="00F1715B">
            <w:pPr>
              <w:pStyle w:val="Instructionaltext"/>
              <w:spacing w:after="200"/>
              <w:rPr>
                <w:color w:val="auto"/>
              </w:rPr>
            </w:pPr>
            <w:r w:rsidRPr="0028162B">
              <w:rPr>
                <w:color w:val="auto"/>
              </w:rPr>
              <w:t>Test:</w:t>
            </w:r>
          </w:p>
          <w:p w14:paraId="3AAC2FEF" w14:textId="77777777" w:rsidR="00D530C3" w:rsidRDefault="00D530C3" w:rsidP="00F1715B">
            <w:pPr>
              <w:pStyle w:val="Instructionaltext"/>
              <w:numPr>
                <w:ilvl w:val="0"/>
                <w:numId w:val="31"/>
              </w:numPr>
              <w:spacing w:before="0" w:afterLines="40" w:after="96" w:line="252" w:lineRule="auto"/>
              <w:ind w:hanging="357"/>
              <w:rPr>
                <w:color w:val="auto"/>
              </w:rPr>
            </w:pPr>
            <w:r w:rsidRPr="0028162B">
              <w:rPr>
                <w:color w:val="auto"/>
              </w:rPr>
              <w:t>Safety</w:t>
            </w:r>
          </w:p>
          <w:p w14:paraId="7AB7ACF3" w14:textId="77777777" w:rsidR="00D530C3" w:rsidRDefault="00D530C3" w:rsidP="00F1715B">
            <w:pPr>
              <w:pStyle w:val="Instructionaltext"/>
              <w:numPr>
                <w:ilvl w:val="0"/>
                <w:numId w:val="31"/>
              </w:numPr>
              <w:spacing w:before="0" w:afterLines="40" w:after="96" w:line="252" w:lineRule="auto"/>
              <w:ind w:hanging="357"/>
              <w:rPr>
                <w:color w:val="auto"/>
              </w:rPr>
            </w:pPr>
            <w:r>
              <w:rPr>
                <w:color w:val="auto"/>
              </w:rPr>
              <w:t>Test turnaround time</w:t>
            </w:r>
          </w:p>
          <w:p w14:paraId="1B9EBBCF" w14:textId="77777777" w:rsidR="00D530C3" w:rsidRPr="0028162B" w:rsidRDefault="00D530C3" w:rsidP="00F1715B">
            <w:pPr>
              <w:pStyle w:val="Instructionaltext"/>
              <w:numPr>
                <w:ilvl w:val="0"/>
                <w:numId w:val="31"/>
              </w:numPr>
              <w:spacing w:before="0" w:afterLines="40" w:after="96" w:line="252" w:lineRule="auto"/>
              <w:ind w:hanging="357"/>
              <w:rPr>
                <w:color w:val="auto"/>
              </w:rPr>
            </w:pPr>
            <w:r>
              <w:rPr>
                <w:color w:val="auto"/>
              </w:rPr>
              <w:t>Concordance of the test with the clinical utility standard</w:t>
            </w:r>
          </w:p>
          <w:p w14:paraId="3397C2A6" w14:textId="77777777" w:rsidR="00D530C3" w:rsidRDefault="00D530C3" w:rsidP="00F1715B">
            <w:pPr>
              <w:pStyle w:val="Instructionaltext"/>
              <w:numPr>
                <w:ilvl w:val="1"/>
                <w:numId w:val="31"/>
              </w:numPr>
              <w:spacing w:before="0" w:afterLines="40" w:after="96" w:line="252" w:lineRule="auto"/>
              <w:ind w:hanging="357"/>
              <w:rPr>
                <w:color w:val="auto"/>
              </w:rPr>
            </w:pPr>
            <w:r>
              <w:rPr>
                <w:color w:val="auto"/>
              </w:rPr>
              <w:t>Positive percentage agreement</w:t>
            </w:r>
          </w:p>
          <w:p w14:paraId="60133AF6" w14:textId="77777777" w:rsidR="00D530C3" w:rsidRDefault="00D530C3" w:rsidP="00F1715B">
            <w:pPr>
              <w:pStyle w:val="Instructionaltext"/>
              <w:numPr>
                <w:ilvl w:val="1"/>
                <w:numId w:val="31"/>
              </w:numPr>
              <w:spacing w:before="0" w:afterLines="40" w:after="96" w:line="252" w:lineRule="auto"/>
              <w:ind w:hanging="357"/>
              <w:rPr>
                <w:color w:val="auto"/>
              </w:rPr>
            </w:pPr>
            <w:r>
              <w:rPr>
                <w:color w:val="auto"/>
              </w:rPr>
              <w:t>Negative percentage agreement</w:t>
            </w:r>
          </w:p>
          <w:p w14:paraId="5CC9D558" w14:textId="1BBC602A" w:rsidR="00D530C3" w:rsidRDefault="00D530C3" w:rsidP="00F1715B">
            <w:pPr>
              <w:pStyle w:val="Instructionaltext"/>
              <w:numPr>
                <w:ilvl w:val="0"/>
                <w:numId w:val="31"/>
              </w:numPr>
              <w:spacing w:before="0" w:afterLines="40" w:after="96" w:line="252" w:lineRule="auto"/>
              <w:ind w:hanging="357"/>
              <w:rPr>
                <w:color w:val="auto"/>
              </w:rPr>
            </w:pPr>
            <w:r>
              <w:rPr>
                <w:color w:val="auto"/>
              </w:rPr>
              <w:t>Predictive validity of the test (distinguished from HDV as a prognostic marker)</w:t>
            </w:r>
          </w:p>
          <w:p w14:paraId="460A72FA" w14:textId="77777777" w:rsidR="00D530C3" w:rsidRDefault="00D530C3" w:rsidP="00F1715B">
            <w:pPr>
              <w:pStyle w:val="Instructionaltext"/>
              <w:numPr>
                <w:ilvl w:val="0"/>
                <w:numId w:val="31"/>
              </w:numPr>
              <w:spacing w:before="0" w:afterLines="40" w:after="96" w:line="252" w:lineRule="auto"/>
              <w:rPr>
                <w:color w:val="auto"/>
              </w:rPr>
            </w:pPr>
            <w:r>
              <w:rPr>
                <w:color w:val="auto"/>
              </w:rPr>
              <w:t>Suitability of the test for monitoring (ability to distinguish response to treatment from background random variation, i.e. signal to noise ratio).</w:t>
            </w:r>
          </w:p>
          <w:p w14:paraId="19E9AAC7" w14:textId="3662E78F" w:rsidR="00D530C3" w:rsidRPr="0028162B" w:rsidRDefault="00D530C3" w:rsidP="00F1715B">
            <w:pPr>
              <w:pStyle w:val="Instructionaltext"/>
              <w:numPr>
                <w:ilvl w:val="0"/>
                <w:numId w:val="31"/>
              </w:numPr>
              <w:spacing w:before="0" w:afterLines="40" w:after="96" w:line="252" w:lineRule="auto"/>
              <w:rPr>
                <w:color w:val="auto"/>
              </w:rPr>
            </w:pPr>
            <w:r>
              <w:rPr>
                <w:color w:val="auto"/>
              </w:rPr>
              <w:t xml:space="preserve">Change in </w:t>
            </w:r>
            <w:r w:rsidR="00113824">
              <w:rPr>
                <w:color w:val="auto"/>
              </w:rPr>
              <w:t xml:space="preserve">clinical </w:t>
            </w:r>
            <w:r>
              <w:rPr>
                <w:color w:val="auto"/>
              </w:rPr>
              <w:t>management</w:t>
            </w:r>
            <w:r w:rsidR="00113824">
              <w:rPr>
                <w:color w:val="auto"/>
              </w:rPr>
              <w:t xml:space="preserve"> from initial and ongoing testing</w:t>
            </w:r>
          </w:p>
          <w:p w14:paraId="3449527C" w14:textId="77777777" w:rsidR="00D530C3" w:rsidRDefault="00D530C3" w:rsidP="00F1715B">
            <w:pPr>
              <w:pStyle w:val="Instructionaltext"/>
              <w:spacing w:before="0" w:after="40"/>
              <w:rPr>
                <w:color w:val="auto"/>
              </w:rPr>
            </w:pPr>
            <w:r w:rsidRPr="0028162B">
              <w:rPr>
                <w:color w:val="auto"/>
              </w:rPr>
              <w:t>Drug:</w:t>
            </w:r>
          </w:p>
          <w:p w14:paraId="7BEE2FBE" w14:textId="27EDBDB6" w:rsidR="00D530C3" w:rsidRDefault="00D530C3" w:rsidP="00F1715B">
            <w:pPr>
              <w:pStyle w:val="Instructionaltext"/>
              <w:numPr>
                <w:ilvl w:val="0"/>
                <w:numId w:val="31"/>
              </w:numPr>
              <w:spacing w:before="0" w:after="40"/>
              <w:rPr>
                <w:color w:val="auto"/>
              </w:rPr>
            </w:pPr>
            <w:r w:rsidRPr="00BF629F">
              <w:rPr>
                <w:color w:val="auto"/>
              </w:rPr>
              <w:t>Safety (</w:t>
            </w:r>
            <w:r w:rsidR="001E59C7" w:rsidRPr="00BF629F">
              <w:rPr>
                <w:color w:val="auto"/>
              </w:rPr>
              <w:t>a</w:t>
            </w:r>
            <w:r w:rsidRPr="00BF629F">
              <w:rPr>
                <w:color w:val="auto"/>
              </w:rPr>
              <w:t>dverse events, physical examinations, laboratory findings)</w:t>
            </w:r>
          </w:p>
          <w:p w14:paraId="7BAA7DE9" w14:textId="77777777" w:rsidR="00D530C3" w:rsidRPr="00BF629F" w:rsidRDefault="00D530C3" w:rsidP="00F1715B">
            <w:pPr>
              <w:pStyle w:val="Instructionaltext"/>
              <w:numPr>
                <w:ilvl w:val="0"/>
                <w:numId w:val="31"/>
              </w:numPr>
              <w:spacing w:before="0" w:after="40"/>
              <w:rPr>
                <w:color w:val="auto"/>
              </w:rPr>
            </w:pPr>
            <w:r>
              <w:rPr>
                <w:color w:val="auto"/>
              </w:rPr>
              <w:t>Effectiveness:</w:t>
            </w:r>
          </w:p>
          <w:p w14:paraId="56AD5771" w14:textId="77777777" w:rsidR="00D530C3" w:rsidRPr="00BF629F" w:rsidRDefault="00D530C3" w:rsidP="00F1715B">
            <w:pPr>
              <w:pStyle w:val="Instructionaltext"/>
              <w:numPr>
                <w:ilvl w:val="1"/>
                <w:numId w:val="31"/>
              </w:numPr>
              <w:spacing w:before="0" w:after="40"/>
              <w:rPr>
                <w:color w:val="auto"/>
              </w:rPr>
            </w:pPr>
            <w:r w:rsidRPr="00BF629F">
              <w:rPr>
                <w:color w:val="auto"/>
              </w:rPr>
              <w:t>Health-related quality of life (HRQOL)</w:t>
            </w:r>
          </w:p>
          <w:p w14:paraId="5300775F" w14:textId="77777777" w:rsidR="00D530C3" w:rsidRPr="00714817" w:rsidRDefault="00D530C3" w:rsidP="00F1715B">
            <w:pPr>
              <w:pStyle w:val="Instructionaltext"/>
              <w:numPr>
                <w:ilvl w:val="1"/>
                <w:numId w:val="31"/>
              </w:numPr>
              <w:spacing w:before="0" w:after="40"/>
              <w:rPr>
                <w:color w:val="auto"/>
              </w:rPr>
            </w:pPr>
            <w:r w:rsidRPr="00BF629F">
              <w:rPr>
                <w:color w:val="auto"/>
              </w:rPr>
              <w:lastRenderedPageBreak/>
              <w:t>Survival</w:t>
            </w:r>
          </w:p>
          <w:p w14:paraId="53F051E0" w14:textId="77777777" w:rsidR="00D530C3" w:rsidRPr="00BF629F" w:rsidRDefault="00D530C3" w:rsidP="00F1715B">
            <w:pPr>
              <w:pStyle w:val="Instructionaltext"/>
              <w:numPr>
                <w:ilvl w:val="1"/>
                <w:numId w:val="31"/>
              </w:numPr>
              <w:spacing w:before="0" w:after="40"/>
              <w:rPr>
                <w:color w:val="auto"/>
              </w:rPr>
            </w:pPr>
            <w:r w:rsidRPr="00BF629F">
              <w:rPr>
                <w:color w:val="auto"/>
              </w:rPr>
              <w:t>Quality adjusted life years (QALYs)</w:t>
            </w:r>
          </w:p>
          <w:p w14:paraId="4581DA76" w14:textId="77777777" w:rsidR="00D530C3" w:rsidRPr="00157728" w:rsidRDefault="00D530C3" w:rsidP="00F1715B">
            <w:pPr>
              <w:pStyle w:val="Instructionaltext"/>
              <w:numPr>
                <w:ilvl w:val="1"/>
                <w:numId w:val="31"/>
              </w:numPr>
              <w:spacing w:before="0" w:after="40"/>
              <w:rPr>
                <w:color w:val="auto"/>
              </w:rPr>
            </w:pPr>
            <w:r w:rsidRPr="00BF629F">
              <w:rPr>
                <w:color w:val="auto"/>
              </w:rPr>
              <w:t>Liver cirrhosis</w:t>
            </w:r>
          </w:p>
          <w:p w14:paraId="21A6C3C6" w14:textId="77777777" w:rsidR="00D530C3" w:rsidRPr="00157728" w:rsidRDefault="00D530C3" w:rsidP="00F1715B">
            <w:pPr>
              <w:pStyle w:val="Instructionaltext"/>
              <w:numPr>
                <w:ilvl w:val="1"/>
                <w:numId w:val="31"/>
              </w:numPr>
              <w:spacing w:before="0" w:after="40"/>
              <w:rPr>
                <w:color w:val="auto"/>
              </w:rPr>
            </w:pPr>
            <w:r w:rsidRPr="00157728">
              <w:rPr>
                <w:color w:val="auto"/>
              </w:rPr>
              <w:t>Liver transplants</w:t>
            </w:r>
          </w:p>
          <w:p w14:paraId="27C80A88" w14:textId="77777777" w:rsidR="00057E95" w:rsidRDefault="00D530C3" w:rsidP="00F1715B">
            <w:pPr>
              <w:pStyle w:val="Instructionaltext"/>
              <w:numPr>
                <w:ilvl w:val="1"/>
                <w:numId w:val="31"/>
              </w:numPr>
              <w:spacing w:before="0" w:after="40"/>
              <w:rPr>
                <w:color w:val="auto"/>
              </w:rPr>
            </w:pPr>
            <w:r w:rsidRPr="002B106A">
              <w:rPr>
                <w:color w:val="auto"/>
              </w:rPr>
              <w:t xml:space="preserve">Response to treatment </w:t>
            </w:r>
          </w:p>
          <w:p w14:paraId="4EE7D2C2" w14:textId="77777777" w:rsidR="00D530C3" w:rsidRPr="002B106A" w:rsidRDefault="00D530C3" w:rsidP="00F1715B">
            <w:pPr>
              <w:pStyle w:val="Instructionaltext"/>
              <w:spacing w:before="0" w:after="40"/>
              <w:rPr>
                <w:color w:val="auto"/>
              </w:rPr>
            </w:pPr>
            <w:r w:rsidRPr="002B106A">
              <w:rPr>
                <w:color w:val="auto"/>
              </w:rPr>
              <w:t>Healthcare system:</w:t>
            </w:r>
          </w:p>
          <w:p w14:paraId="2E8D31AC" w14:textId="77777777" w:rsidR="00D530C3" w:rsidRPr="008B0FAB" w:rsidRDefault="00D530C3" w:rsidP="00F1715B">
            <w:pPr>
              <w:pStyle w:val="Instructionaltext"/>
              <w:numPr>
                <w:ilvl w:val="0"/>
                <w:numId w:val="31"/>
              </w:numPr>
              <w:spacing w:before="0" w:after="40"/>
              <w:rPr>
                <w:color w:val="auto"/>
              </w:rPr>
            </w:pPr>
            <w:r w:rsidRPr="008B0FAB">
              <w:rPr>
                <w:color w:val="auto"/>
              </w:rPr>
              <w:t>Cost of testing and retesting</w:t>
            </w:r>
          </w:p>
          <w:p w14:paraId="79B75B1D" w14:textId="77777777" w:rsidR="00D530C3" w:rsidRPr="008B0FAB" w:rsidRDefault="00D530C3" w:rsidP="00F1715B">
            <w:pPr>
              <w:pStyle w:val="Instructionaltext"/>
              <w:numPr>
                <w:ilvl w:val="0"/>
                <w:numId w:val="31"/>
              </w:numPr>
              <w:spacing w:before="0" w:after="40"/>
              <w:rPr>
                <w:color w:val="auto"/>
              </w:rPr>
            </w:pPr>
            <w:r w:rsidRPr="008B0FAB">
              <w:rPr>
                <w:color w:val="auto"/>
              </w:rPr>
              <w:t>Cost of treatment</w:t>
            </w:r>
          </w:p>
          <w:p w14:paraId="0A2F5A41" w14:textId="77777777" w:rsidR="00D530C3" w:rsidRPr="008B0FAB" w:rsidRDefault="00D530C3" w:rsidP="00F1715B">
            <w:pPr>
              <w:pStyle w:val="Instructionaltext"/>
              <w:numPr>
                <w:ilvl w:val="0"/>
                <w:numId w:val="31"/>
              </w:numPr>
              <w:spacing w:before="0" w:after="40"/>
              <w:rPr>
                <w:color w:val="auto"/>
              </w:rPr>
            </w:pPr>
            <w:r w:rsidRPr="008B0FAB">
              <w:rPr>
                <w:color w:val="auto"/>
              </w:rPr>
              <w:t>Cost-effectiveness of testing and treatment</w:t>
            </w:r>
          </w:p>
          <w:p w14:paraId="190C9C62" w14:textId="6EC1C3AD" w:rsidR="00057E95" w:rsidRPr="00057E95" w:rsidRDefault="00D530C3" w:rsidP="00F1715B">
            <w:pPr>
              <w:pStyle w:val="Instructionaltext"/>
              <w:numPr>
                <w:ilvl w:val="0"/>
                <w:numId w:val="31"/>
              </w:numPr>
              <w:spacing w:before="0" w:after="40"/>
              <w:rPr>
                <w:color w:val="auto"/>
              </w:rPr>
            </w:pPr>
            <w:r w:rsidRPr="008B0FAB">
              <w:rPr>
                <w:color w:val="auto"/>
              </w:rPr>
              <w:t>Financial implications</w:t>
            </w:r>
          </w:p>
        </w:tc>
      </w:tr>
      <w:tr w:rsidR="00CA2776" w:rsidRPr="00490FBB" w14:paraId="591B1D2D" w14:textId="77777777" w:rsidTr="00BB1698">
        <w:tc>
          <w:tcPr>
            <w:tcW w:w="1005" w:type="pct"/>
            <w:tcBorders>
              <w:top w:val="single" w:sz="4" w:space="0" w:color="auto"/>
              <w:left w:val="single" w:sz="8" w:space="0" w:color="auto"/>
              <w:bottom w:val="single" w:sz="4" w:space="0" w:color="auto"/>
              <w:right w:val="single" w:sz="4" w:space="0" w:color="auto"/>
            </w:tcBorders>
            <w:hideMark/>
          </w:tcPr>
          <w:p w14:paraId="635F9D15" w14:textId="0D8899F4" w:rsidR="00CA2776" w:rsidRPr="00490FBB" w:rsidRDefault="00CA2776" w:rsidP="00CA2776">
            <w:pPr>
              <w:spacing w:before="120" w:after="120" w:line="240" w:lineRule="auto"/>
              <w:rPr>
                <w:rFonts w:cs="Arial"/>
              </w:rPr>
            </w:pPr>
            <w:r w:rsidRPr="00490FBB">
              <w:rPr>
                <w:rFonts w:cs="Arial"/>
              </w:rPr>
              <w:lastRenderedPageBreak/>
              <w:t>Assessment questions</w:t>
            </w:r>
          </w:p>
        </w:tc>
        <w:tc>
          <w:tcPr>
            <w:tcW w:w="3995" w:type="pct"/>
            <w:tcBorders>
              <w:top w:val="single" w:sz="4" w:space="0" w:color="auto"/>
              <w:left w:val="single" w:sz="4" w:space="0" w:color="auto"/>
              <w:bottom w:val="single" w:sz="4" w:space="0" w:color="auto"/>
              <w:right w:val="single" w:sz="4" w:space="0" w:color="auto"/>
            </w:tcBorders>
            <w:hideMark/>
          </w:tcPr>
          <w:p w14:paraId="58BE42D6" w14:textId="7E459CBB" w:rsidR="002B2F84" w:rsidRPr="00D24729" w:rsidRDefault="002B2F84" w:rsidP="002B2F84">
            <w:pPr>
              <w:spacing w:before="120" w:after="120" w:line="240" w:lineRule="auto"/>
              <w:rPr>
                <w:color w:val="000000" w:themeColor="text1"/>
              </w:rPr>
            </w:pPr>
            <w:r w:rsidRPr="002B2F84">
              <w:rPr>
                <w:color w:val="000000" w:themeColor="text1"/>
                <w:u w:val="single"/>
              </w:rPr>
              <w:t>Direct evidence</w:t>
            </w:r>
            <w:r w:rsidRPr="00D24729">
              <w:rPr>
                <w:color w:val="000000" w:themeColor="text1"/>
              </w:rPr>
              <w:t>:</w:t>
            </w:r>
          </w:p>
          <w:p w14:paraId="0E217477" w14:textId="58E3770D" w:rsidR="00667F94" w:rsidRDefault="00A7662D" w:rsidP="002B2F84">
            <w:pPr>
              <w:spacing w:before="120" w:after="120" w:line="240" w:lineRule="auto"/>
              <w:rPr>
                <w:color w:val="000000" w:themeColor="text1"/>
              </w:rPr>
            </w:pPr>
            <w:r w:rsidRPr="002B2F84">
              <w:rPr>
                <w:color w:val="000000" w:themeColor="text1"/>
              </w:rPr>
              <w:t xml:space="preserve">What is the safety, effectiveness and cost-effectiveness of HDV RNA PCR testing to determine eligibility for PBS subsidised bulevirtide (HEPCLUDEX) for the treatment of </w:t>
            </w:r>
            <w:r w:rsidRPr="002B2F84">
              <w:rPr>
                <w:rFonts w:cs="Arial"/>
              </w:rPr>
              <w:t xml:space="preserve">HDV </w:t>
            </w:r>
            <w:r w:rsidRPr="002B2F84">
              <w:rPr>
                <w:color w:val="000000" w:themeColor="text1"/>
              </w:rPr>
              <w:t xml:space="preserve">(along with </w:t>
            </w:r>
            <w:r w:rsidR="00040610">
              <w:rPr>
                <w:color w:val="000000" w:themeColor="text1"/>
              </w:rPr>
              <w:t>standard</w:t>
            </w:r>
            <w:r w:rsidRPr="002B2F84">
              <w:rPr>
                <w:color w:val="000000" w:themeColor="text1"/>
              </w:rPr>
              <w:t xml:space="preserve"> </w:t>
            </w:r>
            <w:r w:rsidR="006558F2" w:rsidRPr="002B2F84">
              <w:rPr>
                <w:color w:val="000000" w:themeColor="text1"/>
              </w:rPr>
              <w:t>HBV</w:t>
            </w:r>
            <w:r w:rsidR="002B2F84">
              <w:rPr>
                <w:color w:val="000000" w:themeColor="text1"/>
              </w:rPr>
              <w:t xml:space="preserve"> treatment</w:t>
            </w:r>
            <w:r w:rsidRPr="002B2F84">
              <w:rPr>
                <w:color w:val="000000" w:themeColor="text1"/>
              </w:rPr>
              <w:t xml:space="preserve">) versus </w:t>
            </w:r>
            <w:r w:rsidR="00040610">
              <w:rPr>
                <w:color w:val="000000" w:themeColor="text1"/>
              </w:rPr>
              <w:t>standard</w:t>
            </w:r>
            <w:r w:rsidRPr="002B2F84">
              <w:rPr>
                <w:color w:val="000000" w:themeColor="text1"/>
              </w:rPr>
              <w:t xml:space="preserve"> </w:t>
            </w:r>
            <w:r w:rsidR="006558F2" w:rsidRPr="002B2F84">
              <w:rPr>
                <w:color w:val="000000" w:themeColor="text1"/>
              </w:rPr>
              <w:t>HBV treatment</w:t>
            </w:r>
            <w:r w:rsidRPr="002B2F84">
              <w:rPr>
                <w:color w:val="000000" w:themeColor="text1"/>
              </w:rPr>
              <w:t xml:space="preserve"> alone (no HDV treatment) in those </w:t>
            </w:r>
            <w:r w:rsidRPr="002B2F84">
              <w:rPr>
                <w:rFonts w:cs="Arial"/>
              </w:rPr>
              <w:t xml:space="preserve">diagnosed with </w:t>
            </w:r>
            <w:r w:rsidR="006558F2" w:rsidRPr="002B2F84">
              <w:rPr>
                <w:rFonts w:cs="Arial"/>
              </w:rPr>
              <w:t>HBV</w:t>
            </w:r>
            <w:r w:rsidR="0001085E">
              <w:rPr>
                <w:rFonts w:cs="Arial"/>
              </w:rPr>
              <w:t xml:space="preserve"> </w:t>
            </w:r>
            <w:r w:rsidR="00CE202D">
              <w:rPr>
                <w:rFonts w:cs="Arial"/>
              </w:rPr>
              <w:t xml:space="preserve">and </w:t>
            </w:r>
            <w:r w:rsidR="0001085E">
              <w:rPr>
                <w:rFonts w:cs="Arial"/>
              </w:rPr>
              <w:t xml:space="preserve">test </w:t>
            </w:r>
            <w:r w:rsidRPr="002B2F84">
              <w:rPr>
                <w:rFonts w:cs="Arial"/>
              </w:rPr>
              <w:t>positive for serum anti-HDV antibodies</w:t>
            </w:r>
            <w:r w:rsidRPr="002B2F84">
              <w:rPr>
                <w:color w:val="000000" w:themeColor="text1"/>
              </w:rPr>
              <w:t>?</w:t>
            </w:r>
          </w:p>
          <w:p w14:paraId="5037E326" w14:textId="3767B35B" w:rsidR="002B2F84" w:rsidRPr="00D24729" w:rsidRDefault="002B2F84" w:rsidP="002B2F84">
            <w:pPr>
              <w:spacing w:before="120" w:after="120" w:line="240" w:lineRule="auto"/>
              <w:rPr>
                <w:color w:val="000000" w:themeColor="text1"/>
              </w:rPr>
            </w:pPr>
            <w:r w:rsidRPr="002B2F84">
              <w:rPr>
                <w:color w:val="000000" w:themeColor="text1"/>
                <w:u w:val="single"/>
              </w:rPr>
              <w:t>Linked evidence</w:t>
            </w:r>
            <w:r w:rsidR="00302306">
              <w:rPr>
                <w:color w:val="000000" w:themeColor="text1"/>
                <w:u w:val="single"/>
              </w:rPr>
              <w:t xml:space="preserve"> (see Figure 2)</w:t>
            </w:r>
            <w:r w:rsidRPr="00D24729">
              <w:rPr>
                <w:color w:val="000000" w:themeColor="text1"/>
              </w:rPr>
              <w:t>:</w:t>
            </w:r>
          </w:p>
          <w:p w14:paraId="1A254229" w14:textId="77777777" w:rsidR="007C6464" w:rsidRPr="00F27651" w:rsidRDefault="007C6464" w:rsidP="007C6464">
            <w:pPr>
              <w:pStyle w:val="ListParagraph"/>
              <w:numPr>
                <w:ilvl w:val="0"/>
                <w:numId w:val="28"/>
              </w:numPr>
            </w:pPr>
            <w:r>
              <w:t>What is the concordance of the PCR test proposed for use in Australia, compared to the clinical utility standard?</w:t>
            </w:r>
            <w:r w:rsidRPr="00F27651">
              <w:rPr>
                <w:szCs w:val="18"/>
              </w:rPr>
              <w:t xml:space="preserve"> </w:t>
            </w:r>
          </w:p>
          <w:p w14:paraId="2267EB2C" w14:textId="77777777" w:rsidR="007C6464" w:rsidRPr="00F27651" w:rsidRDefault="007C6464" w:rsidP="007C6464">
            <w:pPr>
              <w:pStyle w:val="ListParagraph"/>
              <w:numPr>
                <w:ilvl w:val="0"/>
                <w:numId w:val="28"/>
              </w:numPr>
            </w:pPr>
            <w:r w:rsidRPr="00F27651">
              <w:rPr>
                <w:color w:val="000000" w:themeColor="text1"/>
              </w:rPr>
              <w:t xml:space="preserve">What is the accuracy of HDV RNA PCR testing for predicting response to bulevirtide treatment in those </w:t>
            </w:r>
            <w:r>
              <w:t xml:space="preserve">diagnosed with hepatitis D? </w:t>
            </w:r>
          </w:p>
          <w:p w14:paraId="07B5CD61" w14:textId="77777777" w:rsidR="007C6464" w:rsidRPr="00F27651" w:rsidRDefault="007C6464" w:rsidP="007C6464">
            <w:pPr>
              <w:pStyle w:val="ListParagraph"/>
              <w:numPr>
                <w:ilvl w:val="0"/>
                <w:numId w:val="28"/>
              </w:numPr>
            </w:pPr>
            <w:r>
              <w:rPr>
                <w:szCs w:val="18"/>
              </w:rPr>
              <w:t>D</w:t>
            </w:r>
            <w:r w:rsidRPr="00F27651">
              <w:rPr>
                <w:szCs w:val="18"/>
              </w:rPr>
              <w:t xml:space="preserve">oes the HDV RNA PCR test result lead to a change in clinical decisions? </w:t>
            </w:r>
          </w:p>
          <w:p w14:paraId="6494C645" w14:textId="77777777" w:rsidR="007C6464" w:rsidRPr="00F27651" w:rsidRDefault="007C6464" w:rsidP="007C6464">
            <w:pPr>
              <w:pStyle w:val="ListParagraph"/>
              <w:numPr>
                <w:ilvl w:val="0"/>
                <w:numId w:val="28"/>
              </w:numPr>
            </w:pPr>
            <w:r w:rsidRPr="00F27651">
              <w:rPr>
                <w:szCs w:val="18"/>
              </w:rPr>
              <w:t xml:space="preserve">How does bulevirtide treatment impact HDV RNA levels and ALT levels? </w:t>
            </w:r>
          </w:p>
          <w:p w14:paraId="3A874292" w14:textId="77777777" w:rsidR="007C6464" w:rsidRPr="00F27651" w:rsidRDefault="007C6464" w:rsidP="007C6464">
            <w:pPr>
              <w:pStyle w:val="ListParagraph"/>
              <w:numPr>
                <w:ilvl w:val="0"/>
                <w:numId w:val="28"/>
              </w:numPr>
            </w:pPr>
            <w:r w:rsidRPr="00F27651">
              <w:rPr>
                <w:szCs w:val="18"/>
              </w:rPr>
              <w:t>How does a decrease in HDV RNA levels and ALT levels lead to better health outcomes?</w:t>
            </w:r>
          </w:p>
          <w:p w14:paraId="7211BE64" w14:textId="77777777" w:rsidR="007C6464" w:rsidRPr="00F27651" w:rsidRDefault="007C6464" w:rsidP="007C6464">
            <w:pPr>
              <w:pStyle w:val="ListParagraph"/>
              <w:numPr>
                <w:ilvl w:val="0"/>
                <w:numId w:val="28"/>
              </w:numPr>
            </w:pPr>
            <w:r w:rsidRPr="00F27651">
              <w:rPr>
                <w:szCs w:val="18"/>
              </w:rPr>
              <w:t xml:space="preserve">What is the safety of HDV RNA PCR testing? </w:t>
            </w:r>
          </w:p>
          <w:p w14:paraId="2DC1FCFD" w14:textId="77777777" w:rsidR="007C6464" w:rsidRPr="00F27651" w:rsidRDefault="007C6464" w:rsidP="007C6464">
            <w:pPr>
              <w:pStyle w:val="ListParagraph"/>
              <w:numPr>
                <w:ilvl w:val="0"/>
                <w:numId w:val="28"/>
              </w:numPr>
            </w:pPr>
            <w:r w:rsidRPr="00F27651">
              <w:rPr>
                <w:szCs w:val="18"/>
              </w:rPr>
              <w:t xml:space="preserve">What is the safety of bulevirtide treatment? </w:t>
            </w:r>
          </w:p>
          <w:p w14:paraId="061336BA" w14:textId="7F887E31" w:rsidR="007C6464" w:rsidRDefault="007C6464" w:rsidP="007C6464">
            <w:pPr>
              <w:pStyle w:val="ListParagraph"/>
              <w:numPr>
                <w:ilvl w:val="0"/>
                <w:numId w:val="28"/>
              </w:numPr>
            </w:pPr>
            <w:r w:rsidRPr="00FD4C65">
              <w:t>What</w:t>
            </w:r>
            <w:r w:rsidRPr="00490FBB">
              <w:t xml:space="preserve"> is the safety, effectiveness and cost-effectiveness of </w:t>
            </w:r>
            <w:r>
              <w:t xml:space="preserve">HDV RNA PCR testing to determine eligibility for bulevirtide for the treatment of HDV </w:t>
            </w:r>
            <w:r w:rsidR="0001085E" w:rsidRPr="0093289D">
              <w:t>vs</w:t>
            </w:r>
            <w:r w:rsidR="0001085E">
              <w:t xml:space="preserve"> </w:t>
            </w:r>
            <w:r>
              <w:t>no HDV treatment in those diagnosed with HBV</w:t>
            </w:r>
            <w:r w:rsidR="00372B52" w:rsidRPr="0001085E">
              <w:rPr>
                <w:strike/>
              </w:rPr>
              <w:t>,</w:t>
            </w:r>
            <w:r w:rsidRPr="0001085E">
              <w:rPr>
                <w:strike/>
              </w:rPr>
              <w:t xml:space="preserve"> </w:t>
            </w:r>
            <w:r w:rsidR="0001085E">
              <w:t xml:space="preserve">who test </w:t>
            </w:r>
            <w:r w:rsidRPr="00C309E6">
              <w:t>positive</w:t>
            </w:r>
            <w:r>
              <w:t xml:space="preserve"> for</w:t>
            </w:r>
            <w:r w:rsidRPr="00C309E6">
              <w:t xml:space="preserve"> serum anti-HDV antibodies</w:t>
            </w:r>
            <w:r w:rsidRPr="00FD4C65">
              <w:t>?</w:t>
            </w:r>
            <w:r>
              <w:t xml:space="preserve"> </w:t>
            </w:r>
          </w:p>
          <w:p w14:paraId="2A27359E" w14:textId="77777777" w:rsidR="007C6464" w:rsidRDefault="007C6464" w:rsidP="007C6464">
            <w:pPr>
              <w:pStyle w:val="ListParagraph"/>
              <w:numPr>
                <w:ilvl w:val="0"/>
                <w:numId w:val="28"/>
              </w:numPr>
            </w:pPr>
            <w:r>
              <w:t xml:space="preserve">How does bulevirtide treatment impact health outcomes? </w:t>
            </w:r>
          </w:p>
          <w:p w14:paraId="6F9242D7" w14:textId="1CED2CE4" w:rsidR="006573B6" w:rsidRPr="00A7662D" w:rsidRDefault="007C6464" w:rsidP="00246E1A">
            <w:pPr>
              <w:pStyle w:val="ListParagraph"/>
              <w:numPr>
                <w:ilvl w:val="0"/>
                <w:numId w:val="28"/>
              </w:numPr>
            </w:pPr>
            <w:r w:rsidRPr="0064085E">
              <w:rPr>
                <w:color w:val="000000" w:themeColor="text1"/>
              </w:rPr>
              <w:t>How well does HDV RNA PCR distinguish response to treatment compared to background variation?</w:t>
            </w:r>
          </w:p>
        </w:tc>
      </w:tr>
    </w:tbl>
    <w:p w14:paraId="39F28D29" w14:textId="77777777" w:rsidR="00CC2FEB" w:rsidRDefault="00CC2FEB">
      <w:pPr>
        <w:spacing w:after="160" w:line="259" w:lineRule="auto"/>
        <w:rPr>
          <w:rFonts w:ascii="Franklin Gothic Medium" w:eastAsiaTheme="majorEastAsia" w:hAnsi="Franklin Gothic Medium" w:cstheme="majorBidi"/>
          <w:color w:val="000000" w:themeColor="text1"/>
          <w:sz w:val="32"/>
          <w:szCs w:val="26"/>
        </w:rPr>
      </w:pPr>
      <w:r>
        <w:br w:type="page"/>
      </w:r>
    </w:p>
    <w:p w14:paraId="53297713" w14:textId="6F9B755E" w:rsidR="00912660" w:rsidRDefault="00912660" w:rsidP="00713728">
      <w:pPr>
        <w:pStyle w:val="Heading2"/>
      </w:pPr>
      <w:r>
        <w:lastRenderedPageBreak/>
        <w:t>Purpose of application</w:t>
      </w:r>
    </w:p>
    <w:p w14:paraId="5D7BE914" w14:textId="5EC4D3A4" w:rsidR="004C2C5E" w:rsidRPr="009A3778" w:rsidRDefault="004C2C5E" w:rsidP="00DE762F">
      <w:pPr>
        <w:spacing w:after="0" w:line="259" w:lineRule="auto"/>
        <w:rPr>
          <w:iCs/>
          <w:szCs w:val="24"/>
        </w:rPr>
      </w:pPr>
      <w:r w:rsidRPr="009A3778">
        <w:rPr>
          <w:iCs/>
          <w:szCs w:val="24"/>
        </w:rPr>
        <w:t xml:space="preserve">The </w:t>
      </w:r>
      <w:r w:rsidR="005F2178">
        <w:rPr>
          <w:iCs/>
          <w:szCs w:val="24"/>
        </w:rPr>
        <w:t>codependent application</w:t>
      </w:r>
      <w:r w:rsidRPr="009A3778">
        <w:rPr>
          <w:iCs/>
          <w:szCs w:val="24"/>
        </w:rPr>
        <w:t xml:space="preserve"> requested:</w:t>
      </w:r>
    </w:p>
    <w:p w14:paraId="454810F6" w14:textId="56EBE800" w:rsidR="00D713F8" w:rsidRDefault="004C2C5E" w:rsidP="00CC2FEB">
      <w:pPr>
        <w:pStyle w:val="ListParagraph"/>
        <w:numPr>
          <w:ilvl w:val="0"/>
          <w:numId w:val="4"/>
        </w:numPr>
        <w:spacing w:before="200" w:after="0"/>
        <w:ind w:left="714" w:hanging="357"/>
        <w:contextualSpacing w:val="0"/>
        <w:rPr>
          <w:iCs/>
          <w:szCs w:val="24"/>
        </w:rPr>
      </w:pPr>
      <w:r w:rsidRPr="009A3778">
        <w:rPr>
          <w:iCs/>
          <w:szCs w:val="24"/>
        </w:rPr>
        <w:t>Medicare Benefits Schedule (MBS) listing of</w:t>
      </w:r>
      <w:r w:rsidR="005F2178">
        <w:rPr>
          <w:iCs/>
          <w:szCs w:val="24"/>
        </w:rPr>
        <w:t xml:space="preserve"> hepatitis D virus</w:t>
      </w:r>
      <w:r w:rsidRPr="009A3778">
        <w:rPr>
          <w:iCs/>
          <w:szCs w:val="24"/>
        </w:rPr>
        <w:t xml:space="preserve"> </w:t>
      </w:r>
      <w:r w:rsidR="005F2178">
        <w:rPr>
          <w:iCs/>
          <w:szCs w:val="24"/>
        </w:rPr>
        <w:t>(</w:t>
      </w:r>
      <w:r w:rsidR="00104B69">
        <w:rPr>
          <w:iCs/>
          <w:szCs w:val="24"/>
        </w:rPr>
        <w:t>HDV</w:t>
      </w:r>
      <w:r w:rsidR="005F2178">
        <w:rPr>
          <w:iCs/>
          <w:szCs w:val="24"/>
        </w:rPr>
        <w:t>) ribonucleic acid</w:t>
      </w:r>
      <w:r w:rsidR="00104B69">
        <w:rPr>
          <w:iCs/>
          <w:szCs w:val="24"/>
        </w:rPr>
        <w:t xml:space="preserve"> </w:t>
      </w:r>
      <w:r w:rsidR="005F2178">
        <w:rPr>
          <w:iCs/>
          <w:szCs w:val="24"/>
        </w:rPr>
        <w:t>(</w:t>
      </w:r>
      <w:r w:rsidR="00104B69">
        <w:rPr>
          <w:iCs/>
          <w:szCs w:val="24"/>
        </w:rPr>
        <w:t>RNA</w:t>
      </w:r>
      <w:r w:rsidR="005F2178">
        <w:rPr>
          <w:iCs/>
          <w:szCs w:val="24"/>
        </w:rPr>
        <w:t>)</w:t>
      </w:r>
      <w:r w:rsidR="00104B69">
        <w:rPr>
          <w:iCs/>
          <w:szCs w:val="24"/>
        </w:rPr>
        <w:t xml:space="preserve"> </w:t>
      </w:r>
      <w:r w:rsidR="005F2178">
        <w:rPr>
          <w:iCs/>
          <w:szCs w:val="24"/>
        </w:rPr>
        <w:t>polymerase chain reaction (</w:t>
      </w:r>
      <w:r w:rsidR="00104B69">
        <w:rPr>
          <w:iCs/>
          <w:szCs w:val="24"/>
        </w:rPr>
        <w:t>PCR</w:t>
      </w:r>
      <w:r w:rsidR="005F2178">
        <w:rPr>
          <w:iCs/>
          <w:szCs w:val="24"/>
        </w:rPr>
        <w:t>)</w:t>
      </w:r>
      <w:r w:rsidR="00104B69">
        <w:rPr>
          <w:iCs/>
          <w:szCs w:val="24"/>
        </w:rPr>
        <w:t xml:space="preserve"> testing</w:t>
      </w:r>
      <w:r w:rsidRPr="009A3778">
        <w:rPr>
          <w:iCs/>
          <w:szCs w:val="24"/>
        </w:rPr>
        <w:t xml:space="preserve"> for the determination of patient eligibility </w:t>
      </w:r>
      <w:r w:rsidR="00D713F8">
        <w:rPr>
          <w:iCs/>
          <w:szCs w:val="24"/>
        </w:rPr>
        <w:t>for</w:t>
      </w:r>
      <w:r w:rsidRPr="009A3778">
        <w:rPr>
          <w:iCs/>
          <w:szCs w:val="24"/>
        </w:rPr>
        <w:t xml:space="preserve"> treatment with </w:t>
      </w:r>
      <w:r w:rsidR="00104B69">
        <w:rPr>
          <w:iCs/>
          <w:szCs w:val="24"/>
        </w:rPr>
        <w:t>bulevirtide (HEPCLUDEX</w:t>
      </w:r>
      <w:r w:rsidR="00DE038F">
        <w:rPr>
          <w:iCs/>
          <w:szCs w:val="24"/>
        </w:rPr>
        <w:t>®)</w:t>
      </w:r>
      <w:r w:rsidRPr="009A3778">
        <w:rPr>
          <w:iCs/>
          <w:szCs w:val="24"/>
        </w:rPr>
        <w:t>;</w:t>
      </w:r>
    </w:p>
    <w:p w14:paraId="0E4EA943" w14:textId="77777777" w:rsidR="00D713F8" w:rsidRDefault="00D713F8" w:rsidP="00CC2FEB">
      <w:pPr>
        <w:pStyle w:val="ListParagraph"/>
        <w:numPr>
          <w:ilvl w:val="0"/>
          <w:numId w:val="4"/>
        </w:numPr>
        <w:spacing w:before="200" w:after="0"/>
        <w:ind w:left="714" w:hanging="357"/>
        <w:contextualSpacing w:val="0"/>
        <w:rPr>
          <w:iCs/>
          <w:szCs w:val="24"/>
        </w:rPr>
      </w:pPr>
      <w:r>
        <w:rPr>
          <w:iCs/>
          <w:szCs w:val="24"/>
        </w:rPr>
        <w:t>MBS listing of HDV RNA PCR testing for efficacy assessment of bulevirtide treatment; and</w:t>
      </w:r>
    </w:p>
    <w:p w14:paraId="4936579C" w14:textId="779B03BF" w:rsidR="00DE762F" w:rsidRPr="00D713F8" w:rsidRDefault="00F25C05" w:rsidP="00CC2FEB">
      <w:pPr>
        <w:pStyle w:val="ListParagraph"/>
        <w:numPr>
          <w:ilvl w:val="0"/>
          <w:numId w:val="4"/>
        </w:numPr>
        <w:spacing w:before="200" w:after="0"/>
        <w:ind w:left="714" w:hanging="357"/>
        <w:contextualSpacing w:val="0"/>
        <w:rPr>
          <w:iCs/>
          <w:szCs w:val="24"/>
        </w:rPr>
      </w:pPr>
      <w:r w:rsidRPr="00D713F8">
        <w:rPr>
          <w:iCs/>
          <w:szCs w:val="24"/>
        </w:rPr>
        <w:t>P</w:t>
      </w:r>
      <w:r w:rsidR="004C2C5E" w:rsidRPr="00D713F8">
        <w:rPr>
          <w:iCs/>
          <w:szCs w:val="24"/>
        </w:rPr>
        <w:t xml:space="preserve">harmaceutical Benefits Scheme (PBS) Authority Required listing of </w:t>
      </w:r>
      <w:r w:rsidR="00104B69" w:rsidRPr="00D713F8">
        <w:rPr>
          <w:iCs/>
          <w:szCs w:val="24"/>
        </w:rPr>
        <w:t>bulevirtide (HEPCLUDEX®)</w:t>
      </w:r>
      <w:r w:rsidR="004C2C5E" w:rsidRPr="00D713F8">
        <w:rPr>
          <w:iCs/>
          <w:szCs w:val="24"/>
        </w:rPr>
        <w:t xml:space="preserve"> for the treatment of </w:t>
      </w:r>
      <w:r w:rsidR="00104B69" w:rsidRPr="00D713F8">
        <w:rPr>
          <w:iCs/>
          <w:szCs w:val="24"/>
        </w:rPr>
        <w:t>chronic HDV.</w:t>
      </w:r>
    </w:p>
    <w:p w14:paraId="4AA1BB35" w14:textId="565BC7E3" w:rsidR="00BA6CE3" w:rsidRDefault="00BA6CE3" w:rsidP="00CC2FEB">
      <w:pPr>
        <w:spacing w:before="200" w:after="240"/>
        <w:rPr>
          <w:iCs/>
          <w:szCs w:val="24"/>
        </w:rPr>
      </w:pPr>
      <w:r>
        <w:rPr>
          <w:iCs/>
          <w:szCs w:val="24"/>
        </w:rPr>
        <w:t xml:space="preserve">The clinical claim is that the use of HDV RNA PCR testing and access to bulevirtide for the treatment of chronic HDV will result in superior health outcomes compared to </w:t>
      </w:r>
      <w:r w:rsidR="00DB6010">
        <w:rPr>
          <w:iCs/>
          <w:szCs w:val="24"/>
        </w:rPr>
        <w:t xml:space="preserve">no testing and </w:t>
      </w:r>
      <w:r w:rsidR="004214B6">
        <w:rPr>
          <w:iCs/>
          <w:szCs w:val="24"/>
        </w:rPr>
        <w:t>no</w:t>
      </w:r>
      <w:r w:rsidR="005F2178">
        <w:rPr>
          <w:iCs/>
          <w:szCs w:val="24"/>
        </w:rPr>
        <w:t xml:space="preserve"> </w:t>
      </w:r>
      <w:r w:rsidR="00FC6682">
        <w:rPr>
          <w:iCs/>
          <w:szCs w:val="24"/>
        </w:rPr>
        <w:t>access to bulevirtide (only symptomatic management of chronic HDV)</w:t>
      </w:r>
      <w:r w:rsidR="004214B6">
        <w:rPr>
          <w:iCs/>
          <w:szCs w:val="24"/>
        </w:rPr>
        <w:t>.</w:t>
      </w:r>
    </w:p>
    <w:p w14:paraId="18E66948" w14:textId="7034B1E4" w:rsidR="00D73332" w:rsidRPr="00FD4C65" w:rsidRDefault="00D73332" w:rsidP="00F1715B">
      <w:pPr>
        <w:pStyle w:val="Heading2"/>
        <w:spacing w:line="22" w:lineRule="atLeast"/>
      </w:pPr>
      <w:r w:rsidRPr="00FD4C65">
        <w:t xml:space="preserve">PICO </w:t>
      </w:r>
      <w:r w:rsidR="00FD4E33" w:rsidRPr="00FD4C65">
        <w:t>criteria</w:t>
      </w:r>
    </w:p>
    <w:p w14:paraId="4B3C04C5" w14:textId="70C0DBE5" w:rsidR="00F76F36" w:rsidRDefault="007D6B83" w:rsidP="00F1715B">
      <w:pPr>
        <w:pStyle w:val="Heading3"/>
        <w:spacing w:line="22" w:lineRule="atLeast"/>
      </w:pPr>
      <w:r w:rsidRPr="00713728">
        <w:t>Population</w:t>
      </w:r>
    </w:p>
    <w:p w14:paraId="3DCACEA9" w14:textId="286B19BB" w:rsidR="0021039E" w:rsidRPr="00CC2FEB" w:rsidRDefault="00B352D5" w:rsidP="00CC2FEB">
      <w:pPr>
        <w:spacing w:before="200" w:after="240"/>
        <w:rPr>
          <w:iCs/>
          <w:szCs w:val="24"/>
        </w:rPr>
      </w:pPr>
      <w:r w:rsidRPr="00CC2FEB">
        <w:rPr>
          <w:iCs/>
          <w:szCs w:val="24"/>
        </w:rPr>
        <w:t xml:space="preserve">Hepatitis D virus (HDV) is a virus-like particle consisting of a coat of hepatitis B virus (HBV) surface antigen and a unique internal antigen, the delta antigen. HDV is unique in that it can only replicate in the presence of HBV. Therefore, it only occurs among people who have HBV infection. HDV is transmitted percutaneously and through sexual contact via exposure to infected blood or blood products. In high and upper-middle income countries, </w:t>
      </w:r>
      <w:r w:rsidR="000B0A1A" w:rsidRPr="00CC2FEB">
        <w:rPr>
          <w:iCs/>
          <w:szCs w:val="24"/>
        </w:rPr>
        <w:t xml:space="preserve">intravenous </w:t>
      </w:r>
      <w:r w:rsidRPr="00CC2FEB">
        <w:rPr>
          <w:iCs/>
          <w:szCs w:val="24"/>
        </w:rPr>
        <w:t xml:space="preserve">drug use (IDU) is a recognised risk factor for HDV co-infection and is thought to represent a significant mode of transmission </w:t>
      </w:r>
      <w:r w:rsidR="008334DB" w:rsidRPr="00CC2FEB">
        <w:rPr>
          <w:iCs/>
          <w:szCs w:val="24"/>
        </w:rPr>
        <w:fldChar w:fldCharType="begin">
          <w:fldData xml:space="preserve">PEVuZE5vdGU+PENpdGU+PEF1dGhvcj5Db2doaWxsPC9BdXRob3I+PFllYXI+MjAxODwvWWVhcj48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</w:fldData>
        </w:fldChar>
      </w:r>
      <w:r w:rsidR="008334DB" w:rsidRPr="00CC2FEB">
        <w:rPr>
          <w:iCs/>
          <w:szCs w:val="24"/>
        </w:rPr>
        <w:instrText xml:space="preserve"> ADDIN EN.CITE </w:instrText>
      </w:r>
      <w:r w:rsidR="008334DB" w:rsidRPr="00CC2FEB">
        <w:rPr>
          <w:iCs/>
          <w:szCs w:val="24"/>
        </w:rPr>
        <w:fldChar w:fldCharType="begin">
          <w:fldData xml:space="preserve">PEVuZE5vdGU+PENpdGU+PEF1dGhvcj5Db2doaWxsPC9BdXRob3I+PFllYXI+MjAxODwvWWVhcj48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</w:fldData>
        </w:fldChar>
      </w:r>
      <w:r w:rsidR="008334DB" w:rsidRPr="00CC2FEB">
        <w:rPr>
          <w:iCs/>
          <w:szCs w:val="24"/>
        </w:rPr>
        <w:instrText xml:space="preserve"> ADDIN EN.CITE.DATA </w:instrText>
      </w:r>
      <w:r w:rsidR="008334DB" w:rsidRPr="00CC2FEB">
        <w:rPr>
          <w:iCs/>
          <w:szCs w:val="24"/>
        </w:rPr>
      </w:r>
      <w:r w:rsidR="008334DB" w:rsidRPr="00CC2FEB">
        <w:rPr>
          <w:iCs/>
          <w:szCs w:val="24"/>
        </w:rPr>
        <w:fldChar w:fldCharType="end"/>
      </w:r>
      <w:r w:rsidR="008334DB" w:rsidRPr="00CC2FEB">
        <w:rPr>
          <w:iCs/>
          <w:szCs w:val="24"/>
        </w:rPr>
      </w:r>
      <w:r w:rsidR="008334DB" w:rsidRPr="00CC2FEB">
        <w:rPr>
          <w:iCs/>
          <w:szCs w:val="24"/>
        </w:rPr>
        <w:fldChar w:fldCharType="separate"/>
      </w:r>
      <w:r w:rsidR="008334DB" w:rsidRPr="00CC2FEB">
        <w:rPr>
          <w:iCs/>
          <w:szCs w:val="24"/>
        </w:rPr>
        <w:t>(Coghill et al. 2018)</w:t>
      </w:r>
      <w:r w:rsidR="008334DB" w:rsidRPr="00CC2FEB">
        <w:rPr>
          <w:iCs/>
          <w:szCs w:val="24"/>
        </w:rPr>
        <w:fldChar w:fldCharType="end"/>
      </w:r>
      <w:r w:rsidRPr="00CC2FEB">
        <w:rPr>
          <w:iCs/>
          <w:szCs w:val="24"/>
        </w:rPr>
        <w:t>.</w:t>
      </w:r>
    </w:p>
    <w:p w14:paraId="6D774544" w14:textId="4F11A182" w:rsidR="00C760FA" w:rsidRPr="00CC2FEB" w:rsidRDefault="0021039E" w:rsidP="00CC2FEB">
      <w:pPr>
        <w:spacing w:before="200" w:after="240"/>
        <w:rPr>
          <w:iCs/>
          <w:szCs w:val="24"/>
        </w:rPr>
      </w:pPr>
      <w:r w:rsidRPr="00CC2FEB">
        <w:rPr>
          <w:iCs/>
          <w:szCs w:val="24"/>
        </w:rPr>
        <w:t xml:space="preserve">HDV infection can be acute </w:t>
      </w:r>
      <w:r w:rsidR="00255E23" w:rsidRPr="00CC2FEB">
        <w:rPr>
          <w:iCs/>
          <w:szCs w:val="24"/>
        </w:rPr>
        <w:t>(&lt;6 months</w:t>
      </w:r>
      <w:r w:rsidR="00840C2C" w:rsidRPr="00CC2FEB">
        <w:rPr>
          <w:iCs/>
          <w:szCs w:val="24"/>
        </w:rPr>
        <w:t xml:space="preserve"> of duration</w:t>
      </w:r>
      <w:r w:rsidR="00255E23" w:rsidRPr="00CC2FEB">
        <w:rPr>
          <w:iCs/>
          <w:szCs w:val="24"/>
        </w:rPr>
        <w:t xml:space="preserve">) </w:t>
      </w:r>
      <w:r w:rsidRPr="00CC2FEB">
        <w:rPr>
          <w:iCs/>
          <w:szCs w:val="24"/>
        </w:rPr>
        <w:t>or a chronic, long-term infection</w:t>
      </w:r>
      <w:r w:rsidR="00255E23" w:rsidRPr="00CC2FEB">
        <w:rPr>
          <w:iCs/>
          <w:szCs w:val="24"/>
        </w:rPr>
        <w:t xml:space="preserve"> (&gt;6 months</w:t>
      </w:r>
      <w:r w:rsidR="00840C2C" w:rsidRPr="00CC2FEB">
        <w:rPr>
          <w:iCs/>
          <w:szCs w:val="24"/>
        </w:rPr>
        <w:t xml:space="preserve"> duration</w:t>
      </w:r>
      <w:r w:rsidR="00255E23" w:rsidRPr="00CC2FEB">
        <w:rPr>
          <w:iCs/>
          <w:szCs w:val="24"/>
        </w:rPr>
        <w:t xml:space="preserve">) </w:t>
      </w:r>
      <w:r w:rsidR="002B0BBC" w:rsidRPr="00CC2FEB">
        <w:rPr>
          <w:iCs/>
          <w:szCs w:val="24"/>
        </w:rPr>
        <w:fldChar w:fldCharType="begin"/>
      </w:r>
      <w:r w:rsidR="002B0BBC" w:rsidRPr="00CC2FEB">
        <w:rPr>
          <w:iCs/>
          <w:szCs w:val="24"/>
        </w:rPr>
        <w:instrText xml:space="preserve"> ADDIN EN.CITE &lt;EndNote&gt;&lt;Cite&gt;&lt;Author&gt;Schaefer&lt;/Author&gt;&lt;Year&gt;2022&lt;/Year&gt;&lt;RecNum&gt;18&lt;/RecNum&gt;&lt;DisplayText&gt;(Schaefer &amp;amp; John 2022)&lt;/DisplayText&gt;&lt;record&gt;&lt;rec-number&gt;18&lt;/rec-number&gt;&lt;foreign-keys&gt;&lt;key app="EN" db-id="9r2v5a9alpsw54edwfqp9pte925d5pfszed2" timestamp="1648016796"&gt;18&lt;/key&gt;&lt;/foreign-keys&gt;&lt;ref-type name="Book Section"&gt;5&lt;/ref-type&gt;&lt;contributors&gt;&lt;authors&gt;&lt;author&gt;Schaefer, T. J.&lt;/author&gt;&lt;author&gt;John, S.&lt;/author&gt;&lt;/authors&gt;&lt;/contributors&gt;&lt;titles&gt;&lt;title&gt;Acute Hepatitis&lt;/title&gt;&lt;secondary-title&gt;StatPearls&lt;/secondary-title&gt;&lt;/titles&gt;&lt;dates&gt;&lt;year&gt;2022&lt;/year&gt;&lt;/dates&gt;&lt;pub-location&gt;Treasure Island (FL)&lt;/pub-location&gt;&lt;accession-num&gt;31855397&lt;/accession-num&gt;&lt;urls&gt;&lt;related-urls&gt;&lt;url&gt;https://www.ncbi.nlm.nih.gov/pubmed/31855397&lt;/url&gt;&lt;/related-urls&gt;&lt;/urls&gt;&lt;language&gt;eng&lt;/language&gt;&lt;/record&gt;&lt;/Cite&gt;&lt;/EndNote&gt;</w:instrText>
      </w:r>
      <w:r w:rsidR="002B0BBC" w:rsidRPr="00CC2FEB">
        <w:rPr>
          <w:iCs/>
          <w:szCs w:val="24"/>
        </w:rPr>
        <w:fldChar w:fldCharType="separate"/>
      </w:r>
      <w:r w:rsidR="002B0BBC" w:rsidRPr="00CC2FEB">
        <w:rPr>
          <w:iCs/>
          <w:szCs w:val="24"/>
        </w:rPr>
        <w:t>(Schaefer &amp; John 2022)</w:t>
      </w:r>
      <w:r w:rsidR="002B0BBC" w:rsidRPr="00CC2FEB">
        <w:rPr>
          <w:iCs/>
          <w:szCs w:val="24"/>
        </w:rPr>
        <w:fldChar w:fldCharType="end"/>
      </w:r>
      <w:r w:rsidRPr="00CC2FEB">
        <w:rPr>
          <w:iCs/>
          <w:szCs w:val="24"/>
        </w:rPr>
        <w:t xml:space="preserve">. </w:t>
      </w:r>
      <w:r w:rsidR="009261B1" w:rsidRPr="00CC2FEB">
        <w:rPr>
          <w:iCs/>
          <w:szCs w:val="24"/>
        </w:rPr>
        <w:t>HDV-HBV coinfection occurs when a person becomes infected with HDV and HBV at the same time. Acute H</w:t>
      </w:r>
      <w:r w:rsidR="00157728" w:rsidRPr="00CC2FEB">
        <w:rPr>
          <w:iCs/>
          <w:szCs w:val="24"/>
        </w:rPr>
        <w:t>D</w:t>
      </w:r>
      <w:r w:rsidR="009261B1" w:rsidRPr="00CC2FEB">
        <w:rPr>
          <w:iCs/>
          <w:szCs w:val="24"/>
        </w:rPr>
        <w:t>V</w:t>
      </w:r>
      <w:r w:rsidR="00157728" w:rsidRPr="00CC2FEB">
        <w:rPr>
          <w:iCs/>
          <w:szCs w:val="24"/>
        </w:rPr>
        <w:t>-</w:t>
      </w:r>
      <w:r w:rsidR="009261B1" w:rsidRPr="00CC2FEB">
        <w:rPr>
          <w:iCs/>
          <w:szCs w:val="24"/>
        </w:rPr>
        <w:t>H</w:t>
      </w:r>
      <w:r w:rsidR="00157728" w:rsidRPr="00CC2FEB">
        <w:rPr>
          <w:iCs/>
          <w:szCs w:val="24"/>
        </w:rPr>
        <w:t>B</w:t>
      </w:r>
      <w:r w:rsidR="009261B1" w:rsidRPr="00CC2FEB">
        <w:rPr>
          <w:iCs/>
          <w:szCs w:val="24"/>
        </w:rPr>
        <w:t>V coinfections can resolve. HDV-HBV superinfection occurs when a person with chronic HBV acquires HDV</w:t>
      </w:r>
      <w:r w:rsidR="00601560" w:rsidRPr="00CC2FEB">
        <w:rPr>
          <w:iCs/>
          <w:szCs w:val="24"/>
        </w:rPr>
        <w:t xml:space="preserve">, and results in chronic HDV </w:t>
      </w:r>
      <w:r w:rsidR="00651691" w:rsidRPr="00CC2FEB">
        <w:rPr>
          <w:iCs/>
          <w:szCs w:val="24"/>
        </w:rPr>
        <w:t>the majority</w:t>
      </w:r>
      <w:r w:rsidR="00601560" w:rsidRPr="00CC2FEB">
        <w:rPr>
          <w:iCs/>
          <w:szCs w:val="24"/>
        </w:rPr>
        <w:t xml:space="preserve"> </w:t>
      </w:r>
      <w:r w:rsidR="0073770A" w:rsidRPr="00CC2FEB">
        <w:rPr>
          <w:iCs/>
          <w:szCs w:val="24"/>
        </w:rPr>
        <w:t xml:space="preserve">of </w:t>
      </w:r>
      <w:r w:rsidR="00601560" w:rsidRPr="00CC2FEB">
        <w:rPr>
          <w:iCs/>
          <w:szCs w:val="24"/>
        </w:rPr>
        <w:t>cases</w:t>
      </w:r>
      <w:r w:rsidR="00840C2C" w:rsidRPr="00CC2FEB">
        <w:rPr>
          <w:iCs/>
          <w:szCs w:val="24"/>
        </w:rPr>
        <w:t xml:space="preserve"> </w:t>
      </w:r>
      <w:r w:rsidR="002B0BBC" w:rsidRPr="00CC2FEB">
        <w:rPr>
          <w:iCs/>
          <w:szCs w:val="24"/>
        </w:rPr>
        <w:fldChar w:fldCharType="begin"/>
      </w:r>
      <w:r w:rsidR="002B0BBC" w:rsidRPr="00CC2FEB">
        <w:rPr>
          <w:iCs/>
          <w:szCs w:val="24"/>
        </w:rPr>
        <w:instrText xml:space="preserve"> ADDIN EN.CITE &lt;EndNote&gt;&lt;Cite&gt;&lt;Author&gt;CDC&lt;/Author&gt;&lt;Year&gt;2020&lt;/Year&gt;&lt;RecNum&gt;19&lt;/RecNum&gt;&lt;DisplayText&gt;(CDC 2020)&lt;/DisplayText&gt;&lt;record&gt;&lt;rec-number&gt;19&lt;/rec-number&gt;&lt;foreign-keys&gt;&lt;key app="EN" db-id="9r2v5a9alpsw54edwfqp9pte925d5pfszed2" timestamp="1648026854"&gt;19&lt;/key&gt;&lt;/foreign-keys&gt;&lt;ref-type name="Web Page"&gt;12&lt;/ref-type&gt;&lt;contributors&gt;&lt;authors&gt;&lt;author&gt;CDC&lt;/author&gt;&lt;/authors&gt;&lt;secondary-authors&gt;&lt;author&gt;Centers for Disease Control and Prevention&lt;/author&gt;&lt;/secondary-authors&gt;&lt;/contributors&gt;&lt;titles&gt;&lt;title&gt;Viral Hepatitis&lt;/title&gt;&lt;/titles&gt;&lt;volume&gt;2022&lt;/volume&gt;&lt;number&gt;23rd March&lt;/number&gt;&lt;dates&gt;&lt;year&gt;2020&lt;/year&gt;&lt;/dates&gt;&lt;publisher&gt;U.S. Department of Health &amp;amp; Human Services&lt;/publisher&gt;&lt;urls&gt;&lt;related-urls&gt;&lt;url&gt;https://www.cdc.gov/hepatitis/hdv/hdvfaq.htm&lt;/url&gt;&lt;/related-urls&gt;&lt;/urls&gt;&lt;/record&gt;&lt;/Cite&gt;&lt;/EndNote&gt;</w:instrText>
      </w:r>
      <w:r w:rsidR="002B0BBC" w:rsidRPr="00CC2FEB">
        <w:rPr>
          <w:iCs/>
          <w:szCs w:val="24"/>
        </w:rPr>
        <w:fldChar w:fldCharType="separate"/>
      </w:r>
      <w:r w:rsidR="002B0BBC" w:rsidRPr="00CC2FEB">
        <w:rPr>
          <w:iCs/>
          <w:szCs w:val="24"/>
        </w:rPr>
        <w:t>(CDC 2020)</w:t>
      </w:r>
      <w:r w:rsidR="002B0BBC" w:rsidRPr="00CC2FEB">
        <w:rPr>
          <w:iCs/>
          <w:szCs w:val="24"/>
        </w:rPr>
        <w:fldChar w:fldCharType="end"/>
      </w:r>
      <w:r w:rsidR="009261B1" w:rsidRPr="00CC2FEB">
        <w:rPr>
          <w:iCs/>
          <w:szCs w:val="24"/>
        </w:rPr>
        <w:t>. HDV-HBV superinfection is associated with poorer outcomes compared to those with chronic HBV mono-infection</w:t>
      </w:r>
      <w:r w:rsidR="00840C2C" w:rsidRPr="00CC2FEB">
        <w:rPr>
          <w:iCs/>
          <w:szCs w:val="24"/>
        </w:rPr>
        <w:t xml:space="preserve"> </w:t>
      </w:r>
      <w:r w:rsidR="002B0BBC" w:rsidRPr="00CC2FEB">
        <w:rPr>
          <w:iCs/>
          <w:szCs w:val="24"/>
        </w:rPr>
        <w:fldChar w:fldCharType="begin"/>
      </w:r>
      <w:r w:rsidR="002B0BBC" w:rsidRPr="00CC2FEB">
        <w:rPr>
          <w:iCs/>
          <w:szCs w:val="24"/>
        </w:rPr>
        <w:instrText xml:space="preserve"> ADDIN EN.CITE &lt;EndNote&gt;&lt;Cite&gt;&lt;Author&gt;CDC&lt;/Author&gt;&lt;Year&gt;2020&lt;/Year&gt;&lt;RecNum&gt;19&lt;/RecNum&gt;&lt;DisplayText&gt;(CDC 2020)&lt;/DisplayText&gt;&lt;record&gt;&lt;rec-number&gt;19&lt;/rec-number&gt;&lt;foreign-keys&gt;&lt;key app="EN" db-id="9r2v5a9alpsw54edwfqp9pte925d5pfszed2" timestamp="1648026854"&gt;19&lt;/key&gt;&lt;/foreign-keys&gt;&lt;ref-type name="Web Page"&gt;12&lt;/ref-type&gt;&lt;contributors&gt;&lt;authors&gt;&lt;author&gt;CDC&lt;/author&gt;&lt;/authors&gt;&lt;secondary-authors&gt;&lt;author&gt;Centers for Disease Control and Prevention&lt;/author&gt;&lt;/secondary-authors&gt;&lt;/contributors&gt;&lt;titles&gt;&lt;title&gt;Viral Hepatitis&lt;/title&gt;&lt;/titles&gt;&lt;volume&gt;2022&lt;/volume&gt;&lt;number&gt;23rd March&lt;/number&gt;&lt;dates&gt;&lt;year&gt;2020&lt;/year&gt;&lt;/dates&gt;&lt;publisher&gt;U.S. Department of Health &amp;amp; Human Services&lt;/publisher&gt;&lt;urls&gt;&lt;related-urls&gt;&lt;url&gt;https://www.cdc.gov/hepatitis/hdv/hdvfaq.htm&lt;/url&gt;&lt;/related-urls&gt;&lt;/urls&gt;&lt;/record&gt;&lt;/Cite&gt;&lt;/EndNote&gt;</w:instrText>
      </w:r>
      <w:r w:rsidR="002B0BBC" w:rsidRPr="00CC2FEB">
        <w:rPr>
          <w:iCs/>
          <w:szCs w:val="24"/>
        </w:rPr>
        <w:fldChar w:fldCharType="separate"/>
      </w:r>
      <w:r w:rsidR="002B0BBC" w:rsidRPr="00CC2FEB">
        <w:rPr>
          <w:iCs/>
          <w:szCs w:val="24"/>
        </w:rPr>
        <w:t>(CDC 2020)</w:t>
      </w:r>
      <w:r w:rsidR="002B0BBC" w:rsidRPr="00CC2FEB">
        <w:rPr>
          <w:iCs/>
          <w:szCs w:val="24"/>
        </w:rPr>
        <w:fldChar w:fldCharType="end"/>
      </w:r>
      <w:r w:rsidR="009261B1" w:rsidRPr="00CC2FEB">
        <w:rPr>
          <w:iCs/>
          <w:szCs w:val="24"/>
        </w:rPr>
        <w:t>.</w:t>
      </w:r>
      <w:r w:rsidR="00C760FA" w:rsidRPr="00CC2FEB">
        <w:rPr>
          <w:iCs/>
          <w:szCs w:val="24"/>
        </w:rPr>
        <w:t xml:space="preserve"> </w:t>
      </w:r>
    </w:p>
    <w:p w14:paraId="484CA120" w14:textId="726DE28C" w:rsidR="009261B1" w:rsidRPr="00CC2FEB" w:rsidRDefault="009261B1" w:rsidP="00CC2FEB">
      <w:pPr>
        <w:spacing w:before="200" w:after="240"/>
        <w:rPr>
          <w:iCs/>
          <w:szCs w:val="24"/>
        </w:rPr>
      </w:pPr>
      <w:r w:rsidRPr="00CC2FEB">
        <w:rPr>
          <w:iCs/>
          <w:szCs w:val="24"/>
        </w:rPr>
        <w:t>Chronic HDV is the focus of the codependent application.</w:t>
      </w:r>
    </w:p>
    <w:p w14:paraId="5497D466" w14:textId="16570952" w:rsidR="009261B1" w:rsidRPr="00CC2FEB" w:rsidRDefault="009261B1" w:rsidP="00CC2FEB">
      <w:pPr>
        <w:spacing w:before="200" w:after="240"/>
        <w:rPr>
          <w:iCs/>
          <w:szCs w:val="24"/>
        </w:rPr>
      </w:pPr>
      <w:r w:rsidRPr="00CC2FEB">
        <w:rPr>
          <w:iCs/>
          <w:szCs w:val="24"/>
        </w:rPr>
        <w:t>C</w:t>
      </w:r>
      <w:r w:rsidR="00F25C05" w:rsidRPr="00CC2FEB">
        <w:rPr>
          <w:iCs/>
          <w:szCs w:val="24"/>
        </w:rPr>
        <w:t xml:space="preserve">ompared with chronic HBV mono-infection, </w:t>
      </w:r>
      <w:r w:rsidRPr="00CC2FEB">
        <w:rPr>
          <w:iCs/>
          <w:szCs w:val="24"/>
        </w:rPr>
        <w:t xml:space="preserve">HDV is associated with increased rates of fulminant hepatitis and faster progression to cirrhosis and end-stage liver disease, resulting in high rates of liver-related morbidity and mortality </w:t>
      </w:r>
      <w:r w:rsidRPr="00CC2FEB">
        <w:rPr>
          <w:iCs/>
          <w:szCs w:val="24"/>
        </w:rPr>
        <w:fldChar w:fldCharType="begin"/>
      </w:r>
      <w:r w:rsidRPr="00CC2FEB">
        <w:rPr>
          <w:iCs/>
          <w:szCs w:val="24"/>
        </w:rPr>
        <w:instrText xml:space="preserve"> ADDIN EN.CITE &lt;EndNote&gt;&lt;Cite&gt;&lt;Author&gt;Chang&lt;/Author&gt;&lt;Year&gt;2022&lt;/Year&gt;&lt;RecNum&gt;6&lt;/RecNum&gt;&lt;IDText&gt;30-41&lt;/IDText&gt;&lt;DisplayText&gt;(Chang et al. 2022)&lt;/DisplayText&gt;&lt;record&gt;&lt;rec-number&gt;6&lt;/rec-number&gt;&lt;foreign-keys&gt;&lt;key app="EN" db-id="9r2v5a9alpsw54edwfqp9pte925d5pfszed2" timestamp="1645419730"&gt;6&lt;/key&gt;&lt;/foreign-keys&gt;&lt;ref-type name="Journal Article"&gt;17&lt;/ref-type&gt;&lt;contributors&gt;&lt;authors&gt;&lt;author&gt;Chang, Tien-En&lt;/author&gt;&lt;author&gt;Su, Chien-Wei&lt;/author&gt;&lt;author&gt;Huang, Yi-Shin&lt;/author&gt;&lt;author&gt;Huang, Yi-Hsiang&lt;/author&gt;&lt;author&gt;Hou, Ming-Chih&lt;/author&gt;&lt;author&gt;Wu, Jaw-Ching&lt;/author&gt;&lt;/authors&gt;&lt;/contributors&gt;&lt;titles&gt;&lt;title&gt;Hepatitis D virus dual infection increased the risk of hepatocellular carcinoma compared with hepatitis B virus mono infection: A meta-analysis&lt;/title&gt;&lt;secondary-title&gt;Journal of the Chinese Medical Association&lt;/secondary-title&gt;&lt;/titles&gt;&lt;periodical&gt;&lt;full-title&gt;Journal of the Chinese Medical Association&lt;/full-title&gt;&lt;/periodical&gt;&lt;pages&gt;30-41&lt;/pages&gt;&lt;volume&gt;85&lt;/volume&gt;&lt;number&gt;1&lt;/number&gt;&lt;keywords&gt;&lt;keyword&gt;Dual infection&lt;/keyword&gt;&lt;keyword&gt;Hepatitis B&lt;/keyword&gt;&lt;keyword&gt;Hepatitis delta&lt;/keyword&gt;&lt;keyword&gt;Hepatocellular carcinoma&lt;/keyword&gt;&lt;keyword&gt;Superinfection&lt;/keyword&gt;&lt;/keywords&gt;&lt;dates&gt;&lt;year&gt;2022&lt;/year&gt;&lt;/dates&gt;&lt;isbn&gt;1726-4901&lt;/isbn&gt;&lt;accession-num&gt;02118582-202201000-00006&lt;/accession-num&gt;&lt;urls&gt;&lt;related-urls&gt;&lt;url&gt;https://journals.lww.com/jcma/Fulltext/2022/01000/Hepatitis_D_virus_dual_infection_increased_the.6.aspx&lt;/url&gt;&lt;/related-urls&gt;&lt;/urls&gt;&lt;electronic-resource-num&gt;10.1097/jcma.0000000000000606&lt;/electronic-resource-num&gt;&lt;/record&gt;&lt;/Cite&gt;&lt;/EndNote&gt;</w:instrText>
      </w:r>
      <w:r w:rsidRPr="00CC2FEB">
        <w:rPr>
          <w:iCs/>
          <w:szCs w:val="24"/>
        </w:rPr>
        <w:fldChar w:fldCharType="separate"/>
      </w:r>
      <w:r w:rsidRPr="00CC2FEB">
        <w:rPr>
          <w:iCs/>
          <w:szCs w:val="24"/>
        </w:rPr>
        <w:t>(Chang et al. 2022)</w:t>
      </w:r>
      <w:r w:rsidRPr="00CC2FEB">
        <w:rPr>
          <w:iCs/>
          <w:szCs w:val="24"/>
        </w:rPr>
        <w:fldChar w:fldCharType="end"/>
      </w:r>
      <w:r w:rsidRPr="00CC2FEB">
        <w:rPr>
          <w:iCs/>
          <w:szCs w:val="24"/>
        </w:rPr>
        <w:t xml:space="preserve">. Studies found that HDV co-infection increased the risk of hepatocellular carcinoma (HCC) threefold and mortality twofold compared to HBV mono-infection </w:t>
      </w:r>
      <w:r w:rsidRPr="00CC2FEB">
        <w:rPr>
          <w:iCs/>
          <w:szCs w:val="24"/>
        </w:rPr>
        <w:fldChar w:fldCharType="begin"/>
      </w:r>
      <w:r w:rsidRPr="00CC2FEB">
        <w:rPr>
          <w:iCs/>
          <w:szCs w:val="24"/>
        </w:rPr>
        <w:instrText xml:space="preserve"> ADDIN EN.CITE &lt;EndNote&gt;&lt;Cite&gt;&lt;Author&gt;Chang&lt;/Author&gt;&lt;Year&gt;2022&lt;/Year&gt;&lt;RecNum&gt;6&lt;/RecNum&gt;&lt;IDText&gt;30-41&lt;/IDText&gt;&lt;DisplayText&gt;(Chang et al. 2022)&lt;/DisplayText&gt;&lt;record&gt;&lt;rec-number&gt;6&lt;/rec-number&gt;&lt;foreign-keys&gt;&lt;key app="EN" db-id="9r2v5a9alpsw54edwfqp9pte925d5pfszed2" timestamp="1645419730"&gt;6&lt;/key&gt;&lt;/foreign-keys&gt;&lt;ref-type name="Journal Article"&gt;17&lt;/ref-type&gt;&lt;contributors&gt;&lt;authors&gt;&lt;author&gt;Chang, Tien-En&lt;/author&gt;&lt;author&gt;Su, Chien-Wei&lt;/author&gt;&lt;author&gt;Huang, Yi-Shin&lt;/author&gt;&lt;author&gt;Huang, Yi-Hsiang&lt;/author&gt;&lt;author&gt;Hou, Ming-Chih&lt;/author&gt;&lt;author&gt;Wu, Jaw-Ching&lt;/author&gt;&lt;/authors&gt;&lt;/contributors&gt;&lt;titles&gt;&lt;title&gt;Hepatitis D virus dual infection increased the risk of hepatocellular carcinoma compared with hepatitis B virus mono infection: A meta-analysis&lt;/title&gt;&lt;secondary-title&gt;Journal of the Chinese Medical Association&lt;/secondary-title&gt;&lt;/titles&gt;&lt;periodical&gt;&lt;full-title&gt;Journal of the Chinese Medical Association&lt;/full-title&gt;&lt;/periodical&gt;&lt;pages&gt;30-41&lt;/pages&gt;&lt;volume&gt;85&lt;/volume&gt;&lt;number&gt;1&lt;/number&gt;&lt;keywords&gt;&lt;keyword&gt;Dual infection&lt;/keyword&gt;&lt;keyword&gt;Hepatitis B&lt;/keyword&gt;&lt;keyword&gt;Hepatitis delta&lt;/keyword&gt;&lt;keyword&gt;Hepatocellular carcinoma&lt;/keyword&gt;&lt;keyword&gt;Superinfection&lt;/keyword&gt;&lt;/keywords&gt;&lt;dates&gt;&lt;year&gt;2022&lt;/year&gt;&lt;/dates&gt;&lt;isbn&gt;1726-4901&lt;/isbn&gt;&lt;accession-num&gt;02118582-202201000-00006&lt;/accession-num&gt;&lt;urls&gt;&lt;related-urls&gt;&lt;url&gt;https://journals.lww.com/jcma/Fulltext/2022/01000/Hepatitis_D_virus_dual_infection_increased_the.6.aspx&lt;/url&gt;&lt;/related-urls&gt;&lt;/urls&gt;&lt;electronic-resource-num&gt;10.1097/jcma.0000000000000606&lt;/electronic-resource-num&gt;&lt;/record&gt;&lt;/Cite&gt;&lt;/EndNote&gt;</w:instrText>
      </w:r>
      <w:r w:rsidRPr="00CC2FEB">
        <w:rPr>
          <w:iCs/>
          <w:szCs w:val="24"/>
        </w:rPr>
        <w:fldChar w:fldCharType="separate"/>
      </w:r>
      <w:r w:rsidRPr="00CC2FEB">
        <w:rPr>
          <w:iCs/>
          <w:szCs w:val="24"/>
        </w:rPr>
        <w:t>(Chang et al. 2022)</w:t>
      </w:r>
      <w:r w:rsidRPr="00CC2FEB">
        <w:rPr>
          <w:iCs/>
          <w:szCs w:val="24"/>
        </w:rPr>
        <w:fldChar w:fldCharType="end"/>
      </w:r>
      <w:r w:rsidRPr="00CC2FEB">
        <w:rPr>
          <w:iCs/>
          <w:szCs w:val="24"/>
        </w:rPr>
        <w:t xml:space="preserve">. HDV infection was significantly associated with an increased risk of cirrhosis and HDV positive individuals were more likely to have undergone liver transplantation </w:t>
      </w:r>
      <w:r w:rsidRPr="00CC2FEB">
        <w:rPr>
          <w:iCs/>
          <w:szCs w:val="24"/>
        </w:rPr>
        <w:fldChar w:fldCharType="begin">
          <w:fldData xml:space="preserve">PEVuZE5vdGU+PENpdGU+PEF1dGhvcj5Db2doaWxsPC9BdXRob3I+PFllYXI+MjAxODwvWWVhcj48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</w:fldData>
        </w:fldChar>
      </w:r>
      <w:r w:rsidRPr="00CC2FEB">
        <w:rPr>
          <w:iCs/>
          <w:szCs w:val="24"/>
        </w:rPr>
        <w:instrText xml:space="preserve"> ADDIN EN.CITE </w:instrText>
      </w:r>
      <w:r w:rsidRPr="00CC2FEB">
        <w:rPr>
          <w:iCs/>
          <w:szCs w:val="24"/>
        </w:rPr>
        <w:fldChar w:fldCharType="begin">
          <w:fldData xml:space="preserve">PEVuZE5vdGU+PENpdGU+PEF1dGhvcj5Db2doaWxsPC9BdXRob3I+PFllYXI+MjAxODwvWWVhcj48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</w:fldData>
        </w:fldChar>
      </w:r>
      <w:r w:rsidRPr="00CC2FEB">
        <w:rPr>
          <w:iCs/>
          <w:szCs w:val="24"/>
        </w:rPr>
        <w:instrText xml:space="preserve"> ADDIN EN.CITE.DATA </w:instrText>
      </w:r>
      <w:r w:rsidRPr="00CC2FEB">
        <w:rPr>
          <w:iCs/>
          <w:szCs w:val="24"/>
        </w:rPr>
      </w:r>
      <w:r w:rsidRPr="00CC2FEB">
        <w:rPr>
          <w:iCs/>
          <w:szCs w:val="24"/>
        </w:rPr>
        <w:fldChar w:fldCharType="end"/>
      </w:r>
      <w:r w:rsidRPr="00CC2FEB">
        <w:rPr>
          <w:iCs/>
          <w:szCs w:val="24"/>
        </w:rPr>
      </w:r>
      <w:r w:rsidRPr="00CC2FEB">
        <w:rPr>
          <w:iCs/>
          <w:szCs w:val="24"/>
        </w:rPr>
        <w:fldChar w:fldCharType="separate"/>
      </w:r>
      <w:r w:rsidRPr="00CC2FEB">
        <w:rPr>
          <w:iCs/>
          <w:szCs w:val="24"/>
        </w:rPr>
        <w:t>(Coghill et al. 2018)</w:t>
      </w:r>
      <w:r w:rsidRPr="00CC2FEB">
        <w:rPr>
          <w:iCs/>
          <w:szCs w:val="24"/>
        </w:rPr>
        <w:fldChar w:fldCharType="end"/>
      </w:r>
      <w:r w:rsidRPr="00CC2FEB">
        <w:rPr>
          <w:iCs/>
          <w:szCs w:val="24"/>
        </w:rPr>
        <w:t>.</w:t>
      </w:r>
    </w:p>
    <w:p w14:paraId="078E54E0" w14:textId="06277D65" w:rsidR="0048710D" w:rsidRPr="00CC2FEB" w:rsidRDefault="00B352D5" w:rsidP="00CC2FEB">
      <w:pPr>
        <w:spacing w:before="200" w:after="240"/>
        <w:rPr>
          <w:iCs/>
          <w:szCs w:val="24"/>
        </w:rPr>
      </w:pPr>
      <w:r w:rsidRPr="00CC2FEB">
        <w:rPr>
          <w:iCs/>
          <w:szCs w:val="24"/>
        </w:rPr>
        <w:lastRenderedPageBreak/>
        <w:t>HDV</w:t>
      </w:r>
      <w:r w:rsidR="0048710D" w:rsidRPr="00CC2FEB">
        <w:rPr>
          <w:iCs/>
          <w:szCs w:val="24"/>
        </w:rPr>
        <w:t xml:space="preserve"> is estimated to infect 10-</w:t>
      </w:r>
      <w:r w:rsidRPr="00CC2FEB">
        <w:rPr>
          <w:iCs/>
          <w:szCs w:val="24"/>
        </w:rPr>
        <w:t xml:space="preserve">20 million people worldwide, which is 5% of those positive for </w:t>
      </w:r>
      <w:r w:rsidR="0048710D" w:rsidRPr="00CC2FEB">
        <w:rPr>
          <w:iCs/>
          <w:szCs w:val="24"/>
        </w:rPr>
        <w:t>hepatitis B</w:t>
      </w:r>
      <w:r w:rsidRPr="00CC2FEB">
        <w:rPr>
          <w:iCs/>
          <w:szCs w:val="24"/>
        </w:rPr>
        <w:t xml:space="preserve"> surface antigen (HBsAg) </w:t>
      </w:r>
      <w:r w:rsidR="008334DB" w:rsidRPr="00CC2FEB">
        <w:rPr>
          <w:iCs/>
          <w:szCs w:val="24"/>
        </w:rPr>
        <w:fldChar w:fldCharType="begin">
          <w:fldData xml:space="preserve">PEVuZE5vdGU+PENpdGU+PEF1dGhvcj5KYWNrc29uPC9BdXRob3I+PFllYXI+MjAxODwvWWVhcj48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</w:fldData>
        </w:fldChar>
      </w:r>
      <w:r w:rsidR="008334DB" w:rsidRPr="00CC2FEB">
        <w:rPr>
          <w:iCs/>
          <w:szCs w:val="24"/>
        </w:rPr>
        <w:instrText xml:space="preserve"> ADDIN EN.CITE </w:instrText>
      </w:r>
      <w:r w:rsidR="008334DB" w:rsidRPr="00CC2FEB">
        <w:rPr>
          <w:iCs/>
          <w:szCs w:val="24"/>
        </w:rPr>
        <w:fldChar w:fldCharType="begin">
          <w:fldData xml:space="preserve">PEVuZE5vdGU+PENpdGU+PEF1dGhvcj5KYWNrc29uPC9BdXRob3I+PFllYXI+MjAxODwvWWVhcj48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</w:fldData>
        </w:fldChar>
      </w:r>
      <w:r w:rsidR="008334DB" w:rsidRPr="00CC2FEB">
        <w:rPr>
          <w:iCs/>
          <w:szCs w:val="24"/>
        </w:rPr>
        <w:instrText xml:space="preserve"> ADDIN EN.CITE.DATA </w:instrText>
      </w:r>
      <w:r w:rsidR="008334DB" w:rsidRPr="00CC2FEB">
        <w:rPr>
          <w:iCs/>
          <w:szCs w:val="24"/>
        </w:rPr>
      </w:r>
      <w:r w:rsidR="008334DB" w:rsidRPr="00CC2FEB">
        <w:rPr>
          <w:iCs/>
          <w:szCs w:val="24"/>
        </w:rPr>
        <w:fldChar w:fldCharType="end"/>
      </w:r>
      <w:r w:rsidR="008334DB" w:rsidRPr="00CC2FEB">
        <w:rPr>
          <w:iCs/>
          <w:szCs w:val="24"/>
        </w:rPr>
      </w:r>
      <w:r w:rsidR="008334DB" w:rsidRPr="00CC2FEB">
        <w:rPr>
          <w:iCs/>
          <w:szCs w:val="24"/>
        </w:rPr>
        <w:fldChar w:fldCharType="separate"/>
      </w:r>
      <w:r w:rsidR="008334DB" w:rsidRPr="00CC2FEB">
        <w:rPr>
          <w:iCs/>
          <w:szCs w:val="24"/>
        </w:rPr>
        <w:t>(Coghill et al. 2018; Jackson et al. 2018)</w:t>
      </w:r>
      <w:r w:rsidR="008334DB" w:rsidRPr="00CC2FEB">
        <w:rPr>
          <w:iCs/>
          <w:szCs w:val="24"/>
        </w:rPr>
        <w:fldChar w:fldCharType="end"/>
      </w:r>
      <w:r w:rsidRPr="00CC2FEB">
        <w:rPr>
          <w:iCs/>
          <w:szCs w:val="24"/>
        </w:rPr>
        <w:t>.</w:t>
      </w:r>
      <w:r w:rsidR="0048710D" w:rsidRPr="00CC2FEB">
        <w:rPr>
          <w:iCs/>
          <w:szCs w:val="24"/>
        </w:rPr>
        <w:t xml:space="preserve"> Prevalence is higher in the Mediterranean, the Amazon Basin, Sub Saharan Africa, and some parts of Asia, compared with the rest of the world.</w:t>
      </w:r>
    </w:p>
    <w:p w14:paraId="72884DB9" w14:textId="3CC8982B" w:rsidR="008A2E41" w:rsidRPr="00CC2FEB" w:rsidRDefault="0006278D" w:rsidP="00CC2FEB">
      <w:pPr>
        <w:spacing w:before="200" w:after="240"/>
        <w:rPr>
          <w:iCs/>
          <w:szCs w:val="24"/>
        </w:rPr>
      </w:pPr>
      <w:r w:rsidRPr="00CC2FEB">
        <w:rPr>
          <w:iCs/>
          <w:szCs w:val="24"/>
        </w:rPr>
        <w:t xml:space="preserve">HDV is a notifiable disease in Australia. </w:t>
      </w:r>
      <w:r w:rsidR="008A2E41" w:rsidRPr="00CC2FEB">
        <w:rPr>
          <w:iCs/>
          <w:szCs w:val="24"/>
        </w:rPr>
        <w:t>The notification criteria for a confirmed case of HDV requires</w:t>
      </w:r>
      <w:r w:rsidR="00BD6FA4" w:rsidRPr="00CC2FEB">
        <w:rPr>
          <w:iCs/>
          <w:szCs w:val="24"/>
        </w:rPr>
        <w:t xml:space="preserve"> </w:t>
      </w:r>
      <w:r w:rsidR="008A2E41" w:rsidRPr="00CC2FEB">
        <w:rPr>
          <w:iCs/>
          <w:szCs w:val="24"/>
        </w:rPr>
        <w:t>the detection of anti-HDV serology (immunoglobulin M [IgM] or immunoglobulin G [IgG]) to HDV or HDV detection on liver biopsy, in a person known to be hepatitis B surface antigen (</w:t>
      </w:r>
      <w:proofErr w:type="spellStart"/>
      <w:r w:rsidR="008A2E41" w:rsidRPr="00CC2FEB">
        <w:rPr>
          <w:iCs/>
          <w:szCs w:val="24"/>
        </w:rPr>
        <w:t>HbsAg</w:t>
      </w:r>
      <w:proofErr w:type="spellEnd"/>
      <w:r w:rsidR="008A2E41" w:rsidRPr="00CC2FEB">
        <w:rPr>
          <w:iCs/>
          <w:szCs w:val="24"/>
        </w:rPr>
        <w:t>) positive</w:t>
      </w:r>
      <w:r w:rsidR="00840C2C" w:rsidRPr="00CC2FEB">
        <w:rPr>
          <w:iCs/>
          <w:szCs w:val="24"/>
        </w:rPr>
        <w:t xml:space="preserve"> </w:t>
      </w:r>
      <w:r w:rsidR="002B0BBC" w:rsidRPr="00CC2FEB">
        <w:rPr>
          <w:iCs/>
          <w:szCs w:val="24"/>
        </w:rPr>
        <w:fldChar w:fldCharType="begin"/>
      </w:r>
      <w:r w:rsidR="002B0BBC" w:rsidRPr="00CC2FEB">
        <w:rPr>
          <w:iCs/>
          <w:szCs w:val="24"/>
        </w:rPr>
        <w:instrText xml:space="preserve"> ADDIN EN.CITE &lt;EndNote&gt;&lt;Cite&gt;&lt;Author&gt;Australian Government Department of Health&lt;/Author&gt;&lt;Year&gt;2013&lt;/Year&gt;&lt;RecNum&gt;20&lt;/RecNum&gt;&lt;DisplayText&gt;(Australian Government Department of Health 2013)&lt;/DisplayText&gt;&lt;record&gt;&lt;rec-number&gt;20&lt;/rec-number&gt;&lt;foreign-keys&gt;&lt;key app="EN" db-id="9r2v5a9alpsw54edwfqp9pte925d5pfszed2" timestamp="1648027054"&gt;20&lt;/key&gt;&lt;/foreign-keys&gt;&lt;ref-type name="Government Document"&gt;46&lt;/ref-type&gt;&lt;contributors&gt;&lt;authors&gt;&lt;author&gt;Australian Government Department of Health,&lt;/author&gt;&lt;/authors&gt;&lt;secondary-authors&gt;&lt;author&gt;Department of Health&lt;/author&gt;&lt;/secondary-authors&gt;&lt;/contributors&gt;&lt;titles&gt;&lt;title&gt;Hepatitis D case definition&lt;/title&gt;&lt;/titles&gt;&lt;dates&gt;&lt;year&gt;2013&lt;/year&gt;&lt;/dates&gt;&lt;pub-location&gt;Canberra&lt;/pub-location&gt;&lt;publisher&gt;Commonwealth of Australia&lt;/publisher&gt;&lt;urls&gt;&lt;related-urls&gt;&lt;url&gt;https://www1.health.gov.au/internet/main/publishing.nsf/Content/cda-surveil-nndss-casedefs-cd_hepd.htm&lt;/url&gt;&lt;/related-urls&gt;&lt;/urls&gt;&lt;access-date&gt;March 23rd, 2022&lt;/access-date&gt;&lt;/record&gt;&lt;/Cite&gt;&lt;/EndNote&gt;</w:instrText>
      </w:r>
      <w:r w:rsidR="002B0BBC" w:rsidRPr="00CC2FEB">
        <w:rPr>
          <w:iCs/>
          <w:szCs w:val="24"/>
        </w:rPr>
        <w:fldChar w:fldCharType="separate"/>
      </w:r>
      <w:r w:rsidR="002B0BBC" w:rsidRPr="00CC2FEB">
        <w:rPr>
          <w:iCs/>
          <w:szCs w:val="24"/>
        </w:rPr>
        <w:t>(Australian Government Department of Health 2013)</w:t>
      </w:r>
      <w:r w:rsidR="002B0BBC" w:rsidRPr="00CC2FEB">
        <w:rPr>
          <w:iCs/>
          <w:szCs w:val="24"/>
        </w:rPr>
        <w:fldChar w:fldCharType="end"/>
      </w:r>
      <w:r w:rsidR="008A2E41" w:rsidRPr="00CC2FEB">
        <w:rPr>
          <w:iCs/>
          <w:szCs w:val="24"/>
        </w:rPr>
        <w:t>.</w:t>
      </w:r>
    </w:p>
    <w:p w14:paraId="3CB9E567" w14:textId="1FAABC21" w:rsidR="00B352D5" w:rsidRPr="00CC2FEB" w:rsidRDefault="00B352D5" w:rsidP="00CC2FEB">
      <w:pPr>
        <w:spacing w:before="200" w:after="240"/>
        <w:rPr>
          <w:iCs/>
          <w:szCs w:val="24"/>
        </w:rPr>
      </w:pPr>
      <w:r w:rsidRPr="00CC2FEB">
        <w:rPr>
          <w:iCs/>
          <w:szCs w:val="24"/>
        </w:rPr>
        <w:t>Based on the notification rates in Australia</w:t>
      </w:r>
      <w:r w:rsidR="00070104" w:rsidRPr="00CC2FEB">
        <w:rPr>
          <w:iCs/>
          <w:szCs w:val="24"/>
        </w:rPr>
        <w:t xml:space="preserve"> over the last decade (2010 to 2021)</w:t>
      </w:r>
      <w:r w:rsidRPr="00CC2FEB">
        <w:rPr>
          <w:iCs/>
          <w:szCs w:val="24"/>
        </w:rPr>
        <w:t xml:space="preserve">, </w:t>
      </w:r>
      <w:r w:rsidR="00070104" w:rsidRPr="00CC2FEB">
        <w:rPr>
          <w:iCs/>
          <w:szCs w:val="24"/>
        </w:rPr>
        <w:t xml:space="preserve">the </w:t>
      </w:r>
      <w:r w:rsidRPr="00CC2FEB">
        <w:rPr>
          <w:iCs/>
          <w:szCs w:val="24"/>
        </w:rPr>
        <w:t xml:space="preserve">incidence of HDV ranged from 30 to 88 per year </w:t>
      </w:r>
      <w:r w:rsidR="008334DB" w:rsidRPr="00CC2FEB">
        <w:rPr>
          <w:iCs/>
          <w:szCs w:val="24"/>
        </w:rPr>
        <w:fldChar w:fldCharType="begin"/>
      </w:r>
      <w:r w:rsidR="00AE7F54" w:rsidRPr="00CC2FEB">
        <w:rPr>
          <w:iCs/>
          <w:szCs w:val="24"/>
        </w:rPr>
        <w:instrText xml:space="preserve"> ADDIN EN.CITE &lt;EndNote&gt;&lt;Cite ExcludeAuth="1"&gt;&lt;Year&gt;2021&lt;/Year&gt;&lt;RecNum&gt;9&lt;/RecNum&gt;&lt;DisplayText&gt;(&lt;style face="italic"&gt;NNDSS Fortnightly summary notes - 2021&lt;/style&gt;  2021; NNDSS Annual Report Working Group 2021)&lt;/DisplayText&gt;&lt;record&gt;&lt;rec-number&gt;9&lt;/rec-number&gt;&lt;foreign-keys&gt;&lt;key app="EN" db-id="9r2v5a9alpsw54edwfqp9pte925d5pfszed2" timestamp="1646193615"&gt;9&lt;/key&gt;&lt;/foreign-keys&gt;&lt;ref-type name="Web Page"&gt;12&lt;/ref-type&gt;&lt;contributors&gt;&lt;/contributors&gt;&lt;titles&gt;&lt;title&gt;NNDSS Fortnightly summary notes - 2021&lt;/title&gt;&lt;/titles&gt;&lt;number&gt;2/2/2022&lt;/number&gt;&lt;dates&gt;&lt;year&gt;2021&lt;/year&gt;&lt;/dates&gt;&lt;publisher&gt;Australian Government Department of Health &lt;/publisher&gt;&lt;urls&gt;&lt;related-urls&gt;&lt;url&gt;https://www1.health.gov.au/internet/main/publishing.nsf/Content/nndss-fortnightly-summary-notes-2021&lt;/url&gt;&lt;/related-urls&gt;&lt;/urls&gt;&lt;/record&gt;&lt;/Cite&gt;&lt;Cite&gt;&lt;Author&gt;NNDSS Annual Report Working Group&lt;/Author&gt;&lt;Year&gt;2021&lt;/Year&gt;&lt;RecNum&gt;8&lt;/RecNum&gt;&lt;record&gt;&lt;rec-number&gt;8&lt;/rec-number&gt;&lt;foreign-keys&gt;&lt;key app="EN" db-id="9r2v5a9alpsw54edwfqp9pte925d5pfszed2" timestamp="1646193491"&gt;8&lt;/key&gt;&lt;/foreign-keys&gt;&lt;ref-type name="Report"&gt;27&lt;/ref-type&gt;&lt;contributors&gt;&lt;authors&gt;&lt;author&gt;NNDSS Annual Report Working Group,.&lt;/author&gt;&lt;/authors&gt;&lt;/contributors&gt;&lt;titles&gt;&lt;title&gt;Australia’s notifiable disease status, 2016: Annual report of the National Notifiable Diseases Surveillance System&lt;/title&gt;&lt;secondary-title&gt;Communicable Diseases Intelligence&lt;/secondary-title&gt;&lt;/titles&gt;&lt;volume&gt;45&lt;/volume&gt;&lt;dates&gt;&lt;year&gt;2021&lt;/year&gt;&lt;pub-dates&gt;&lt;date&gt;27/5/2021&lt;/date&gt;&lt;/pub-dates&gt;&lt;/dates&gt;&lt;pub-location&gt;Commonwealth of Australia&lt;/pub-location&gt;&lt;publisher&gt;Australian Government Department of Health &lt;/publisher&gt;&lt;urls&gt;&lt;related-urls&gt;&lt;url&gt;https://www1.health.gov.au/internet/main/publishing.nsf/Content/8FA6078276359430CA257BF0001A4C42/$File/australia_s_notifiable_disease_status_2016_annual_report_of_the_national_notifiable_diseases_surveillance_system.pdf&lt;/url&gt;&lt;/related-urls&gt;&lt;/urls&gt;&lt;access-date&gt;2/3/2022&lt;/access-date&gt;&lt;/record&gt;&lt;/Cite&gt;&lt;/EndNote&gt;</w:instrText>
      </w:r>
      <w:r w:rsidR="008334DB" w:rsidRPr="00CC2FEB">
        <w:rPr>
          <w:iCs/>
          <w:szCs w:val="24"/>
        </w:rPr>
        <w:fldChar w:fldCharType="separate"/>
      </w:r>
      <w:r w:rsidR="00AE7F54" w:rsidRPr="00CC2FEB">
        <w:rPr>
          <w:iCs/>
          <w:szCs w:val="24"/>
        </w:rPr>
        <w:t>(NNDSS Fortnightly summary notes - 2021</w:t>
      </w:r>
      <w:r w:rsidR="00AA162E">
        <w:rPr>
          <w:iCs/>
          <w:szCs w:val="24"/>
        </w:rPr>
        <w:t xml:space="preserve"> </w:t>
      </w:r>
      <w:r w:rsidR="00AE7F54" w:rsidRPr="00CC2FEB">
        <w:rPr>
          <w:iCs/>
          <w:szCs w:val="24"/>
        </w:rPr>
        <w:t>2021; NNDSS Annual Report Working Group 2021)</w:t>
      </w:r>
      <w:r w:rsidR="008334DB" w:rsidRPr="00CC2FEB">
        <w:rPr>
          <w:iCs/>
          <w:szCs w:val="24"/>
        </w:rPr>
        <w:fldChar w:fldCharType="end"/>
      </w:r>
      <w:r w:rsidRPr="00CC2FEB">
        <w:rPr>
          <w:iCs/>
          <w:szCs w:val="24"/>
        </w:rPr>
        <w:t>.</w:t>
      </w:r>
      <w:r w:rsidR="009B48A6" w:rsidRPr="00CC2FEB">
        <w:rPr>
          <w:iCs/>
          <w:szCs w:val="24"/>
        </w:rPr>
        <w:t xml:space="preserve"> A study on the epidemiology of HDV infection in Australia found that</w:t>
      </w:r>
      <w:r w:rsidR="00840C2C" w:rsidRPr="00CC2FEB">
        <w:rPr>
          <w:iCs/>
          <w:szCs w:val="24"/>
        </w:rPr>
        <w:t xml:space="preserve"> </w:t>
      </w:r>
      <w:r w:rsidR="009B48A6" w:rsidRPr="00CC2FEB">
        <w:rPr>
          <w:iCs/>
          <w:szCs w:val="24"/>
        </w:rPr>
        <w:t>the majority of those diagnosed were born overseas (</w:t>
      </w:r>
      <w:r w:rsidR="00201BF5" w:rsidRPr="00CC2FEB">
        <w:rPr>
          <w:iCs/>
          <w:szCs w:val="24"/>
        </w:rPr>
        <w:t xml:space="preserve">at least </w:t>
      </w:r>
      <w:r w:rsidR="009B48A6" w:rsidRPr="00CC2FEB">
        <w:rPr>
          <w:iCs/>
          <w:szCs w:val="24"/>
        </w:rPr>
        <w:t>64.6%; n =</w:t>
      </w:r>
      <w:r w:rsidR="00201BF5" w:rsidRPr="00CC2FEB">
        <w:rPr>
          <w:iCs/>
          <w:szCs w:val="24"/>
        </w:rPr>
        <w:t xml:space="preserve"> 58/90</w:t>
      </w:r>
      <w:r w:rsidR="00BA21F4" w:rsidRPr="00CC2FEB">
        <w:rPr>
          <w:iCs/>
          <w:szCs w:val="24"/>
        </w:rPr>
        <w:t>, with 15 (16.7%) not stated/unknown</w:t>
      </w:r>
      <w:r w:rsidR="009B48A6" w:rsidRPr="00CC2FEB">
        <w:rPr>
          <w:iCs/>
          <w:szCs w:val="24"/>
        </w:rPr>
        <w:t xml:space="preserve">), </w:t>
      </w:r>
      <w:r w:rsidR="00BA21F4" w:rsidRPr="00CC2FEB">
        <w:rPr>
          <w:iCs/>
          <w:szCs w:val="24"/>
        </w:rPr>
        <w:t xml:space="preserve">the most common countries </w:t>
      </w:r>
      <w:r w:rsidR="005D1323" w:rsidRPr="00CC2FEB">
        <w:rPr>
          <w:iCs/>
          <w:szCs w:val="24"/>
        </w:rPr>
        <w:t xml:space="preserve">of birth </w:t>
      </w:r>
      <w:r w:rsidR="00BA21F4" w:rsidRPr="00CC2FEB">
        <w:rPr>
          <w:iCs/>
          <w:szCs w:val="24"/>
        </w:rPr>
        <w:t xml:space="preserve">being Sudan, Vietnam and Pakistan </w:t>
      </w:r>
      <w:r w:rsidR="008334DB" w:rsidRPr="00CC2FEB">
        <w:rPr>
          <w:iCs/>
          <w:szCs w:val="24"/>
        </w:rPr>
        <w:fldChar w:fldCharType="begin"/>
      </w:r>
      <w:r w:rsidR="008334DB" w:rsidRPr="00CC2FEB">
        <w:rPr>
          <w:iCs/>
          <w:szCs w:val="24"/>
        </w:rPr>
        <w:instrText xml:space="preserve"> ADDIN EN.CITE &lt;EndNote&gt;&lt;Cite&gt;&lt;Author&gt;Jackson&lt;/Author&gt;&lt;Year&gt;2018&lt;/Year&gt;&lt;RecNum&gt;2&lt;/RecNum&gt;&lt;IDText&gt;1308-1317&lt;/IDText&gt;&lt;DisplayText&gt;(Jackson et al. 2018)&lt;/DisplayText&gt;&lt;record&gt;&lt;rec-number&gt;2&lt;/rec-number&gt;&lt;foreign-keys&gt;&lt;key app="EN" db-id="9r2v5a9alpsw54edwfqp9pte925d5pfszed2" timestamp="1644985257"&gt;2&lt;/key&gt;&lt;/foreign-keys&gt;&lt;ref-type name="Journal Article"&gt;17&lt;/ref-type&gt;&lt;contributors&gt;&lt;authors&gt;&lt;author&gt;Jackson, Kathy&lt;/author&gt;&lt;author&gt;MacLachlan, Jennifer&lt;/author&gt;&lt;author&gt;Cowie, Benjamin&lt;/author&gt;&lt;author&gt;Locarnini, Stephen&lt;/author&gt;&lt;author&gt;Bowden, Scott&lt;/author&gt;&lt;author&gt;Higgins, Nasra&lt;/author&gt;&lt;author&gt;Karapanagiotidis, Theo&lt;/author&gt;&lt;author&gt;Nicholson, Suellen&lt;/author&gt;&lt;author&gt;Littlejohn, Margaret&lt;/author&gt;&lt;/authors&gt;&lt;/contributors&gt;&lt;titles&gt;&lt;title&gt;Epidemiology and phylogenetic analysis of hepatitis D virus infection in Australia&lt;/title&gt;&lt;secondary-title&gt;Internal Medicine Journal&lt;/secondary-title&gt;&lt;/titles&gt;&lt;periodical&gt;&lt;full-title&gt;Internal Medicine Journal&lt;/full-title&gt;&lt;/periodical&gt;&lt;pages&gt;1308-1317&lt;/pages&gt;&lt;volume&gt;48&lt;/volume&gt;&lt;number&gt;11&lt;/number&gt;&lt;dates&gt;&lt;year&gt;2018&lt;/year&gt;&lt;/dates&gt;&lt;isbn&gt;1444-0903&lt;/isbn&gt;&lt;urls&gt;&lt;related-urls&gt;&lt;url&gt;https://onlinelibrary.wiley.com/doi/abs/10.1111/imj.13967&lt;/url&gt;&lt;url&gt;https://onlinelibrary.wiley.com/doi/10.1111/imj.13967&lt;/url&gt;&lt;/related-urls&gt;&lt;/urls&gt;&lt;electronic-resource-num&gt;https://doi.org/10.1111/imj.13967&lt;/electronic-resource-num&gt;&lt;/record&gt;&lt;/Cite&gt;&lt;/EndNote&gt;</w:instrText>
      </w:r>
      <w:r w:rsidR="008334DB" w:rsidRPr="00CC2FEB">
        <w:rPr>
          <w:iCs/>
          <w:szCs w:val="24"/>
        </w:rPr>
        <w:fldChar w:fldCharType="separate"/>
      </w:r>
      <w:r w:rsidR="008334DB" w:rsidRPr="00CC2FEB">
        <w:rPr>
          <w:iCs/>
          <w:szCs w:val="24"/>
        </w:rPr>
        <w:t>(Jackson et al. 2018)</w:t>
      </w:r>
      <w:r w:rsidR="008334DB" w:rsidRPr="00CC2FEB">
        <w:rPr>
          <w:iCs/>
          <w:szCs w:val="24"/>
        </w:rPr>
        <w:fldChar w:fldCharType="end"/>
      </w:r>
      <w:r w:rsidR="00BA21F4" w:rsidRPr="00CC2FEB">
        <w:rPr>
          <w:iCs/>
          <w:szCs w:val="24"/>
        </w:rPr>
        <w:t xml:space="preserve">. Around </w:t>
      </w:r>
      <w:r w:rsidR="0054376B" w:rsidRPr="00CC2FEB">
        <w:rPr>
          <w:iCs/>
          <w:szCs w:val="24"/>
        </w:rPr>
        <w:t>two-thirds</w:t>
      </w:r>
      <w:r w:rsidR="00BA21F4" w:rsidRPr="00CC2FEB">
        <w:rPr>
          <w:iCs/>
          <w:szCs w:val="24"/>
        </w:rPr>
        <w:t xml:space="preserve"> of the HDV patients were male (65.5%), and the median age at diagnosis was 40 years (IQR 31-50). None of the cases were reported as Aboriginal or Torres Strait Islander. Around a quarter of pa</w:t>
      </w:r>
      <w:r w:rsidR="004C09CF" w:rsidRPr="00CC2FEB">
        <w:rPr>
          <w:iCs/>
          <w:szCs w:val="24"/>
        </w:rPr>
        <w:t xml:space="preserve">tients reported a history of </w:t>
      </w:r>
      <w:r w:rsidR="000B0A1A" w:rsidRPr="00CC2FEB">
        <w:rPr>
          <w:iCs/>
          <w:szCs w:val="24"/>
        </w:rPr>
        <w:t>IDU</w:t>
      </w:r>
      <w:r w:rsidR="00BA21F4" w:rsidRPr="00CC2FEB">
        <w:rPr>
          <w:iCs/>
          <w:szCs w:val="24"/>
        </w:rPr>
        <w:t xml:space="preserve"> (24.4%), whereas another quarter of patients had an unknown </w:t>
      </w:r>
      <w:r w:rsidR="000B0A1A" w:rsidRPr="00CC2FEB">
        <w:rPr>
          <w:iCs/>
          <w:szCs w:val="24"/>
        </w:rPr>
        <w:t>history of IDU</w:t>
      </w:r>
      <w:r w:rsidR="00BA21F4" w:rsidRPr="00CC2FEB">
        <w:rPr>
          <w:iCs/>
          <w:szCs w:val="24"/>
        </w:rPr>
        <w:t xml:space="preserve"> (26.7%).</w:t>
      </w:r>
    </w:p>
    <w:p w14:paraId="66702B26" w14:textId="0033B17D" w:rsidR="00F644A7" w:rsidRPr="00CC2FEB" w:rsidRDefault="00F644A7" w:rsidP="00CC2FEB">
      <w:pPr>
        <w:spacing w:before="200" w:after="240"/>
        <w:rPr>
          <w:i/>
          <w:szCs w:val="24"/>
        </w:rPr>
      </w:pPr>
      <w:r w:rsidRPr="00AA162E">
        <w:rPr>
          <w:i/>
          <w:szCs w:val="24"/>
        </w:rPr>
        <w:t>Consultation feedback received by PASC estimated that 222,559 Australians are living with chronic HBV and said that it is estimated that 5% of these patients will also have HDV</w:t>
      </w:r>
      <w:r w:rsidR="00CC2FEB" w:rsidRPr="00AA162E">
        <w:rPr>
          <w:i/>
          <w:szCs w:val="24"/>
        </w:rPr>
        <w:t xml:space="preserve"> </w:t>
      </w:r>
      <w:r w:rsidR="00AE7F54" w:rsidRPr="00AA162E">
        <w:rPr>
          <w:i/>
          <w:szCs w:val="24"/>
        </w:rPr>
        <w:fldChar w:fldCharType="begin"/>
      </w:r>
      <w:r w:rsidR="00AE7F54" w:rsidRPr="00AA162E">
        <w:rPr>
          <w:i/>
          <w:szCs w:val="24"/>
        </w:rPr>
        <w:instrText xml:space="preserve"> ADDIN EN.CITE &lt;EndNote&gt;&lt;Cite&gt;&lt;Author&gt;Allard&lt;/Author&gt;&lt;Year&gt;2018&lt;/Year&gt;&lt;RecNum&gt;25&lt;/RecNum&gt;&lt;DisplayText&gt;(Allard &amp;amp; Cowie 2018; MacLachlan, Stewart &amp;amp; Cowie 2020)&lt;/DisplayText&gt;&lt;record&gt;&lt;rec-number&gt;25&lt;/rec-number&gt;&lt;foreign-keys&gt;&lt;key app="EN" db-id="9r2v5a9alpsw54edwfqp9pte925d5pfszed2" timestamp="1651540980"&gt;25&lt;/key&gt;&lt;/foreign-keys&gt;&lt;ref-type name="Web Page"&gt;12&lt;/ref-type&gt;&lt;contributors&gt;&lt;authors&gt;&lt;author&gt;Allard, N.&lt;/author&gt;&lt;author&gt;Cowie, B.&lt;/author&gt;&lt;/authors&gt;&lt;/contributors&gt;&lt;titles&gt;&lt;title&gt;Complex situations Co-infection and Immunosuppression&lt;/title&gt;&lt;/titles&gt;&lt;number&gt;3/5/2022&lt;/number&gt;&lt;dates&gt;&lt;year&gt;2018&lt;/year&gt;&lt;/dates&gt;&lt;publisher&gt;Australasian Society for HIV, Viral Hepatitis and Sexual Health Medicine (ASHM)&lt;/publisher&gt;&lt;urls&gt;&lt;related-urls&gt;&lt;url&gt;https://hepatitisb.org.au/complex-situations-co-infection-and-immunosuppression/&lt;/url&gt;&lt;/related-urls&gt;&lt;/urls&gt;&lt;/record&gt;&lt;/Cite&gt;&lt;Cite&gt;&lt;Author&gt;MacLachlan&lt;/Author&gt;&lt;Year&gt;2020&lt;/Year&gt;&lt;RecNum&gt;24&lt;/RecNum&gt;&lt;record&gt;&lt;rec-number&gt;24&lt;/rec-number&gt;&lt;foreign-keys&gt;&lt;key app="EN" db-id="9r2v5a9alpsw54edwfqp9pte925d5pfszed2" timestamp="1651540598"&gt;24&lt;/key&gt;&lt;/foreign-keys&gt;&lt;ref-type name="Report"&gt;27&lt;/ref-type&gt;&lt;contributors&gt;&lt;authors&gt;&lt;author&gt;MacLachlan, JH.&lt;/author&gt;&lt;author&gt;Stewart, S.&lt;/author&gt;&lt;author&gt;Cowie, B.&lt;/author&gt;&lt;/authors&gt;&lt;tertiary-authors&gt;&lt;author&gt;Australasian Society for HIV, Viral Hepatitis, and Sexual Health Medicine (ASHM).&lt;/author&gt;&lt;/tertiary-authors&gt;&lt;/contributors&gt;&lt;titles&gt;&lt;title&gt;Viral Hepatitis Mapping Project: National Report 2020. &lt;/title&gt;&lt;/titles&gt;&lt;dates&gt;&lt;year&gt;2020&lt;/year&gt;&lt;/dates&gt;&lt;pub-location&gt;Darlinghurst, NSW, Australia.&lt;/pub-location&gt;&lt;urls&gt;&lt;related-urls&gt;&lt;url&gt;https://www.ashm.org.au/programs/Viral-Hepatitis-Mapping-Project/&lt;/url&gt;&lt;/related-urls&gt;&lt;/urls&gt;&lt;/record&gt;&lt;/Cite&gt;&lt;/EndNote&gt;</w:instrText>
      </w:r>
      <w:r w:rsidR="00AE7F54" w:rsidRPr="00AA162E">
        <w:rPr>
          <w:i/>
          <w:szCs w:val="24"/>
        </w:rPr>
        <w:fldChar w:fldCharType="separate"/>
      </w:r>
      <w:r w:rsidR="00AE7F54" w:rsidRPr="00AA162E">
        <w:rPr>
          <w:i/>
          <w:szCs w:val="24"/>
        </w:rPr>
        <w:t>(Allard &amp; Cowie 2018; MacLachlan, Stewart &amp; Cowie 2020)</w:t>
      </w:r>
      <w:r w:rsidR="00AE7F54" w:rsidRPr="00AA162E">
        <w:rPr>
          <w:i/>
          <w:szCs w:val="24"/>
        </w:rPr>
        <w:fldChar w:fldCharType="end"/>
      </w:r>
      <w:r w:rsidRPr="00AA162E">
        <w:rPr>
          <w:i/>
          <w:szCs w:val="24"/>
        </w:rPr>
        <w:t>. This suggests that HDV is currently underdiagnosed. It disproportionately affects populations who have barriers to healthcare.</w:t>
      </w:r>
    </w:p>
    <w:p w14:paraId="43A3C6A5" w14:textId="5F5191EC" w:rsidR="007F7A81" w:rsidRDefault="005F2178" w:rsidP="00F1715B">
      <w:pPr>
        <w:spacing w:before="200" w:after="0" w:line="23" w:lineRule="atLeast"/>
      </w:pPr>
      <w:r w:rsidRPr="005F2178">
        <w:rPr>
          <w:u w:val="single"/>
        </w:rPr>
        <w:t>The population proposed for testing</w:t>
      </w:r>
      <w:r w:rsidR="00CB40DD">
        <w:rPr>
          <w:u w:val="single"/>
        </w:rPr>
        <w:t xml:space="preserve"> for the purposes of access to bulevirtide</w:t>
      </w:r>
    </w:p>
    <w:p w14:paraId="793FC869" w14:textId="46041F96" w:rsidR="00943772" w:rsidRDefault="00943772" w:rsidP="00F1715B">
      <w:pPr>
        <w:spacing w:before="200" w:after="0" w:line="23" w:lineRule="atLeast"/>
        <w:rPr>
          <w:rFonts w:cs="Arial"/>
        </w:rPr>
      </w:pPr>
      <w:r>
        <w:rPr>
          <w:rFonts w:cs="Arial"/>
        </w:rPr>
        <w:t xml:space="preserve">The proposed populations for </w:t>
      </w:r>
      <w:r w:rsidRPr="00943772">
        <w:rPr>
          <w:rFonts w:cs="Arial"/>
        </w:rPr>
        <w:t>HDV RNA PCR testing</w:t>
      </w:r>
      <w:r w:rsidR="007D3A96">
        <w:rPr>
          <w:rFonts w:cs="Arial"/>
        </w:rPr>
        <w:t xml:space="preserve"> as per the original application</w:t>
      </w:r>
      <w:r>
        <w:rPr>
          <w:rFonts w:cs="Arial"/>
        </w:rPr>
        <w:t xml:space="preserve"> are:</w:t>
      </w:r>
    </w:p>
    <w:p w14:paraId="5F1BCA95" w14:textId="13D78609" w:rsidR="00943772" w:rsidRPr="00214426" w:rsidRDefault="00D96B2E" w:rsidP="00F1715B">
      <w:pPr>
        <w:pStyle w:val="ListParagraph"/>
        <w:numPr>
          <w:ilvl w:val="0"/>
          <w:numId w:val="19"/>
        </w:numPr>
        <w:spacing w:before="200" w:after="0" w:line="23" w:lineRule="atLeast"/>
        <w:rPr>
          <w:rFonts w:cs="Arial"/>
        </w:rPr>
      </w:pPr>
      <w:r w:rsidRPr="00BB374C">
        <w:rPr>
          <w:rFonts w:cs="Arial"/>
        </w:rPr>
        <w:t xml:space="preserve">people who are anti-HDV positive </w:t>
      </w:r>
      <w:r w:rsidRPr="00214426">
        <w:rPr>
          <w:rFonts w:cs="Arial"/>
        </w:rPr>
        <w:t>(</w:t>
      </w:r>
      <w:r w:rsidR="00214426">
        <w:rPr>
          <w:rFonts w:cs="Arial"/>
        </w:rPr>
        <w:t>revised from</w:t>
      </w:r>
      <w:r w:rsidR="00BB374C" w:rsidRPr="00214426">
        <w:rPr>
          <w:rFonts w:cs="Arial"/>
        </w:rPr>
        <w:t xml:space="preserve"> </w:t>
      </w:r>
      <w:r w:rsidR="00712151">
        <w:rPr>
          <w:rFonts w:cs="Arial"/>
        </w:rPr>
        <w:t>h</w:t>
      </w:r>
      <w:r w:rsidR="00BB374C" w:rsidRPr="00712151">
        <w:rPr>
          <w:rFonts w:cs="Arial"/>
        </w:rPr>
        <w:t>epatitis D surface antigen positive</w:t>
      </w:r>
      <w:r w:rsidRPr="00214426">
        <w:rPr>
          <w:rFonts w:cs="Arial"/>
        </w:rPr>
        <w:t xml:space="preserve">), and </w:t>
      </w:r>
    </w:p>
    <w:p w14:paraId="173D5509" w14:textId="5A690145" w:rsidR="00D96B2E" w:rsidRDefault="00D96B2E" w:rsidP="00F1715B">
      <w:pPr>
        <w:pStyle w:val="ListParagraph"/>
        <w:numPr>
          <w:ilvl w:val="0"/>
          <w:numId w:val="19"/>
        </w:numPr>
        <w:spacing w:before="200" w:after="0" w:line="23" w:lineRule="atLeast"/>
        <w:rPr>
          <w:rFonts w:cs="Arial"/>
        </w:rPr>
      </w:pPr>
      <w:r>
        <w:rPr>
          <w:rFonts w:cs="Arial"/>
        </w:rPr>
        <w:t xml:space="preserve">people </w:t>
      </w:r>
      <w:r w:rsidRPr="00D96B2E">
        <w:rPr>
          <w:rFonts w:cs="Arial"/>
        </w:rPr>
        <w:t>undertaking antiviral therapy for chronic HDV hepatitis with bulevirtide.</w:t>
      </w:r>
    </w:p>
    <w:p w14:paraId="39D311A0" w14:textId="365F1BF5" w:rsidR="0094032E" w:rsidRPr="00CC2FEB" w:rsidRDefault="004876B4" w:rsidP="00CC2FEB">
      <w:pPr>
        <w:spacing w:before="200" w:after="240"/>
        <w:rPr>
          <w:iCs/>
          <w:szCs w:val="24"/>
        </w:rPr>
      </w:pPr>
      <w:r w:rsidRPr="00CC2FEB">
        <w:rPr>
          <w:iCs/>
          <w:szCs w:val="24"/>
        </w:rPr>
        <w:t>During the PICO process, the applicant clarified that it is proposed that patients who test negative on HDV RNA PCR and are being managed for HBV but are suspected of having chronic HDV (based on clinical judgement) are monitored for HDV RNA via a PCR test up to a maximum of two times per year.</w:t>
      </w:r>
      <w:r w:rsidR="007D3A96" w:rsidRPr="00CC2FEB">
        <w:rPr>
          <w:iCs/>
          <w:szCs w:val="24"/>
        </w:rPr>
        <w:t xml:space="preserve"> They also indicated that patients suspected of having chronic HDV (but have not necessarily been anti-HDV positive for at least 6 months) would also usually be referred for a HDV RNA PCR test in clinical practice. </w:t>
      </w:r>
      <w:r w:rsidR="0094032E" w:rsidRPr="00CC2FEB">
        <w:rPr>
          <w:iCs/>
          <w:szCs w:val="24"/>
        </w:rPr>
        <w:t>Therefore it is questioned whether ‘for at least 6 months’ should be removed as an eligibility criterion.</w:t>
      </w:r>
    </w:p>
    <w:p w14:paraId="0138A95E" w14:textId="14AEE5B0" w:rsidR="00F644A7" w:rsidRPr="00AA162E" w:rsidRDefault="00F644A7" w:rsidP="00AA162E">
      <w:pPr>
        <w:spacing w:before="200" w:after="240"/>
        <w:rPr>
          <w:i/>
          <w:szCs w:val="24"/>
        </w:rPr>
      </w:pPr>
      <w:r w:rsidRPr="00AA162E">
        <w:rPr>
          <w:i/>
          <w:szCs w:val="24"/>
        </w:rPr>
        <w:t xml:space="preserve">PASC advised that a single positive HDV RNA PCR would be sufficient to confirm chronic active HDV as it is very rare to identify acute HDV infection in clinical practice. PASC advised that the eligible population should be people who are HDV antibody positive and ‘are suspected of having chronic HDV’. PASC considered that </w:t>
      </w:r>
      <w:r w:rsidR="00423526">
        <w:rPr>
          <w:rFonts w:cs="Arial"/>
          <w:i/>
        </w:rPr>
        <w:t>the population suspected of having chronic HDV</w:t>
      </w:r>
      <w:r w:rsidRPr="00AA162E">
        <w:rPr>
          <w:i/>
          <w:szCs w:val="24"/>
        </w:rPr>
        <w:t xml:space="preserve"> did not need to be strictly defined as patients will be required to have a positive antibody test.</w:t>
      </w:r>
    </w:p>
    <w:p w14:paraId="037B09DE" w14:textId="0A6EA445" w:rsidR="00F644A7" w:rsidRPr="00AA162E" w:rsidRDefault="00F644A7" w:rsidP="00AA162E">
      <w:pPr>
        <w:spacing w:before="200" w:after="0"/>
        <w:rPr>
          <w:i/>
          <w:szCs w:val="24"/>
        </w:rPr>
      </w:pPr>
      <w:r w:rsidRPr="00AA162E">
        <w:rPr>
          <w:i/>
          <w:szCs w:val="24"/>
        </w:rPr>
        <w:lastRenderedPageBreak/>
        <w:t>PASC noted that HDV RNA PCR testing would be used to confirm active HDV infection to help determine eligibility for bulevirtide and for monitoring patients on bulevirtide. PASC confirmed that these two purposes were consistent with the intended codependent application, and that any other purposes and a broader population (as per Australian guidelines and public consultation feedback) need not be included in this current MSAC application.</w:t>
      </w:r>
    </w:p>
    <w:p w14:paraId="5A75C0FF" w14:textId="380488D5" w:rsidR="00C9299B" w:rsidRPr="00076BE0" w:rsidRDefault="00C9299B" w:rsidP="009C6D2B">
      <w:pPr>
        <w:pStyle w:val="ListParagraph"/>
        <w:numPr>
          <w:ilvl w:val="0"/>
          <w:numId w:val="22"/>
        </w:numPr>
        <w:spacing w:before="200" w:after="0" w:line="22" w:lineRule="atLeast"/>
        <w:ind w:left="714" w:hanging="357"/>
        <w:rPr>
          <w:rFonts w:cs="Arial"/>
        </w:rPr>
      </w:pPr>
      <w:r>
        <w:rPr>
          <w:rFonts w:cs="Arial"/>
        </w:rPr>
        <w:t xml:space="preserve">The population includes </w:t>
      </w:r>
      <w:r w:rsidR="009E7523" w:rsidRPr="00CB40DD">
        <w:rPr>
          <w:rFonts w:cs="Arial"/>
        </w:rPr>
        <w:t>people are who are</w:t>
      </w:r>
      <w:r w:rsidR="009E7523" w:rsidRPr="00CB40DD">
        <w:t xml:space="preserve"> </w:t>
      </w:r>
      <w:r w:rsidR="009E7523" w:rsidRPr="00CB40DD">
        <w:rPr>
          <w:rFonts w:cs="Arial"/>
        </w:rPr>
        <w:t xml:space="preserve">anti-HDV positive (and </w:t>
      </w:r>
      <w:proofErr w:type="spellStart"/>
      <w:r w:rsidR="009E7523" w:rsidRPr="00CB40DD">
        <w:rPr>
          <w:rFonts w:cs="Arial"/>
        </w:rPr>
        <w:t>H</w:t>
      </w:r>
      <w:r w:rsidR="00CA7DED" w:rsidRPr="00CB40DD">
        <w:rPr>
          <w:rFonts w:cs="Arial"/>
        </w:rPr>
        <w:t>b</w:t>
      </w:r>
      <w:r w:rsidR="009E7523" w:rsidRPr="00CB40DD">
        <w:rPr>
          <w:rFonts w:cs="Arial"/>
        </w:rPr>
        <w:t>sAg</w:t>
      </w:r>
      <w:proofErr w:type="spellEnd"/>
      <w:r w:rsidR="009E7523" w:rsidRPr="00CB40DD">
        <w:rPr>
          <w:rFonts w:cs="Arial"/>
        </w:rPr>
        <w:t xml:space="preserve"> positive) and</w:t>
      </w:r>
      <w:r w:rsidR="00D43D01">
        <w:rPr>
          <w:rFonts w:cs="Arial"/>
        </w:rPr>
        <w:t xml:space="preserve"> are suspected to have chronic HDV.</w:t>
      </w:r>
    </w:p>
    <w:p w14:paraId="3C698B54" w14:textId="77777777" w:rsidR="00423526" w:rsidRDefault="00423526" w:rsidP="00AA162E">
      <w:pPr>
        <w:spacing w:before="200" w:after="0"/>
        <w:rPr>
          <w:i/>
          <w:szCs w:val="24"/>
        </w:rPr>
      </w:pPr>
      <w:r w:rsidRPr="00423526">
        <w:rPr>
          <w:i/>
          <w:szCs w:val="24"/>
        </w:rPr>
        <w:t>PASC noted that a practice note may need to be included to define chronic HDV infection that clarifies a positive antibody test followed by a positive PCR test is sufficient for a diagnosis of chronic active HDV. This may need to be further considered as part of the MSAC process.</w:t>
      </w:r>
    </w:p>
    <w:p w14:paraId="214AEB19" w14:textId="5190D5DE" w:rsidR="005E5AA1" w:rsidRPr="00AA162E" w:rsidRDefault="00F644A7" w:rsidP="00AA162E">
      <w:pPr>
        <w:spacing w:before="200" w:after="0"/>
        <w:rPr>
          <w:i/>
          <w:szCs w:val="24"/>
        </w:rPr>
      </w:pPr>
      <w:r w:rsidRPr="00AA162E">
        <w:rPr>
          <w:i/>
          <w:szCs w:val="24"/>
        </w:rPr>
        <w:t>PASC agreed that specific ALT and albumin test results should not be prerequisite tests for the use of the proposed HDV RNA PCR test as ALT concentrations and albumin concentrations are expected to be measured alongside the proposed test. PASC noted that, with increasing use of anti-HDV antibody testing as a screening test in patients with hepatitis B, the consequence of this proposed approach may result in a broader eligible population detected at an earlier and less symptomatic stage of their hepatitis D and in an increase in numbers of patients receiving the proposed test, both of which will need to be considered in the assessment report.</w:t>
      </w:r>
    </w:p>
    <w:p w14:paraId="0431E482" w14:textId="29FAAE7F" w:rsidR="007F7A81" w:rsidRPr="00AA162E" w:rsidRDefault="00D46D36" w:rsidP="00F45E38">
      <w:pPr>
        <w:tabs>
          <w:tab w:val="left" w:pos="7916"/>
        </w:tabs>
        <w:spacing w:before="200" w:after="0"/>
        <w:rPr>
          <w:u w:val="single"/>
        </w:rPr>
      </w:pPr>
      <w:r w:rsidRPr="00AA162E">
        <w:rPr>
          <w:u w:val="single"/>
        </w:rPr>
        <w:t>The population pro</w:t>
      </w:r>
      <w:r w:rsidR="007F7A81" w:rsidRPr="00AA162E">
        <w:rPr>
          <w:u w:val="single"/>
        </w:rPr>
        <w:t>posed for bulevirtide treatment</w:t>
      </w:r>
    </w:p>
    <w:p w14:paraId="0E38780D" w14:textId="110DDB90" w:rsidR="007A66C8" w:rsidRPr="00F1715B" w:rsidRDefault="00732696" w:rsidP="00F1715B">
      <w:pPr>
        <w:spacing w:before="200" w:after="0" w:line="23" w:lineRule="atLeast"/>
        <w:rPr>
          <w:rFonts w:cs="Arial"/>
        </w:rPr>
      </w:pPr>
      <w:r w:rsidRPr="004C09CF">
        <w:rPr>
          <w:rFonts w:cs="Arial"/>
        </w:rPr>
        <w:t>Patients with</w:t>
      </w:r>
      <w:r>
        <w:rPr>
          <w:rFonts w:cs="Arial"/>
        </w:rPr>
        <w:t xml:space="preserve"> chronic</w:t>
      </w:r>
      <w:r w:rsidRPr="004C09CF">
        <w:rPr>
          <w:rFonts w:cs="Arial"/>
        </w:rPr>
        <w:t xml:space="preserve"> HDV with positive PCR results for serum/plasma HDV RNA with </w:t>
      </w:r>
      <w:r w:rsidR="00222507" w:rsidRPr="00222507">
        <w:rPr>
          <w:rFonts w:cs="Arial"/>
          <w:b/>
          <w:bCs/>
        </w:rPr>
        <w:t>REDACTED</w:t>
      </w:r>
      <w:r w:rsidR="004C09CF" w:rsidRPr="00F1715B">
        <w:rPr>
          <w:rFonts w:cs="Arial"/>
        </w:rPr>
        <w:t>.</w:t>
      </w:r>
      <w:r w:rsidR="007B13B9" w:rsidRPr="00F1715B">
        <w:rPr>
          <w:rFonts w:cs="Arial"/>
        </w:rPr>
        <w:t xml:space="preserve"> The key trial recruited patients who met the following criteria:</w:t>
      </w:r>
    </w:p>
    <w:p w14:paraId="1584CCB1" w14:textId="11A92C0E" w:rsidR="007B13B9" w:rsidRDefault="007B13B9" w:rsidP="00F1715B">
      <w:pPr>
        <w:pStyle w:val="ListParagraph"/>
        <w:numPr>
          <w:ilvl w:val="0"/>
          <w:numId w:val="22"/>
        </w:numPr>
        <w:spacing w:before="120" w:after="120" w:line="23" w:lineRule="atLeast"/>
        <w:rPr>
          <w:rFonts w:cs="Arial"/>
        </w:rPr>
      </w:pPr>
      <w:r w:rsidRPr="008077F6">
        <w:rPr>
          <w:rFonts w:cs="Arial"/>
        </w:rPr>
        <w:t xml:space="preserve">anti-HDV positive </w:t>
      </w:r>
      <w:r>
        <w:rPr>
          <w:rFonts w:cs="Arial"/>
        </w:rPr>
        <w:t xml:space="preserve">or HDV RNA PCR positive </w:t>
      </w:r>
      <w:r w:rsidRPr="008077F6">
        <w:rPr>
          <w:rFonts w:cs="Arial"/>
        </w:rPr>
        <w:t>for at least 6 months</w:t>
      </w:r>
      <w:r>
        <w:rPr>
          <w:rFonts w:cs="Arial"/>
        </w:rPr>
        <w:t xml:space="preserve"> before screening</w:t>
      </w:r>
      <w:r w:rsidR="00A43385">
        <w:rPr>
          <w:rFonts w:cs="Arial"/>
        </w:rPr>
        <w:t xml:space="preserve"> for trial entry</w:t>
      </w:r>
    </w:p>
    <w:p w14:paraId="00374040" w14:textId="61B2DC49" w:rsidR="007B13B9" w:rsidRDefault="007B13B9" w:rsidP="00F1715B">
      <w:pPr>
        <w:pStyle w:val="ListParagraph"/>
        <w:numPr>
          <w:ilvl w:val="0"/>
          <w:numId w:val="22"/>
        </w:numPr>
        <w:spacing w:before="120" w:after="120" w:line="23" w:lineRule="atLeast"/>
        <w:rPr>
          <w:rFonts w:cs="Arial"/>
        </w:rPr>
      </w:pPr>
      <w:r>
        <w:rPr>
          <w:rFonts w:cs="Arial"/>
        </w:rPr>
        <w:t>p</w:t>
      </w:r>
      <w:r w:rsidRPr="007B13B9">
        <w:rPr>
          <w:rFonts w:cs="Arial"/>
        </w:rPr>
        <w:t>ositive PCR results for serum/plasma HDV RNA at screening</w:t>
      </w:r>
      <w:r w:rsidR="00A43385">
        <w:rPr>
          <w:rFonts w:cs="Arial"/>
        </w:rPr>
        <w:t xml:space="preserve"> for trial entry</w:t>
      </w:r>
    </w:p>
    <w:p w14:paraId="22AD6729" w14:textId="2B098EC1" w:rsidR="007B13B9" w:rsidRDefault="00844226" w:rsidP="00F1715B">
      <w:pPr>
        <w:pStyle w:val="ListParagraph"/>
        <w:numPr>
          <w:ilvl w:val="0"/>
          <w:numId w:val="22"/>
        </w:numPr>
        <w:spacing w:before="120" w:after="120" w:line="23" w:lineRule="atLeast"/>
        <w:rPr>
          <w:rFonts w:cs="Arial"/>
        </w:rPr>
      </w:pPr>
      <w:r>
        <w:rPr>
          <w:rFonts w:cs="Arial"/>
        </w:rPr>
        <w:t>ALT</w:t>
      </w:r>
      <w:r w:rsidR="00DF1340" w:rsidRPr="008077F6">
        <w:rPr>
          <w:rFonts w:cs="Arial"/>
        </w:rPr>
        <w:t xml:space="preserve"> </w:t>
      </w:r>
      <w:r w:rsidR="007B13B9" w:rsidRPr="008077F6">
        <w:rPr>
          <w:rFonts w:cs="Arial"/>
        </w:rPr>
        <w:t xml:space="preserve">level &gt; 1 x upper limit of normal (ULN), but </w:t>
      </w:r>
      <w:r w:rsidR="00A43385">
        <w:rPr>
          <w:rFonts w:cs="Arial"/>
        </w:rPr>
        <w:t>&lt;</w:t>
      </w:r>
      <w:r w:rsidR="007B13B9" w:rsidRPr="008077F6">
        <w:rPr>
          <w:rFonts w:cs="Arial"/>
        </w:rPr>
        <w:t xml:space="preserve"> 10 x ULN</w:t>
      </w:r>
    </w:p>
    <w:p w14:paraId="715B66F5" w14:textId="32411A8F" w:rsidR="007B13B9" w:rsidRDefault="007B13B9" w:rsidP="00F1715B">
      <w:pPr>
        <w:pStyle w:val="ListParagraph"/>
        <w:numPr>
          <w:ilvl w:val="0"/>
          <w:numId w:val="22"/>
        </w:numPr>
        <w:spacing w:before="120" w:after="120" w:line="23" w:lineRule="atLeast"/>
        <w:rPr>
          <w:rFonts w:cs="Arial"/>
        </w:rPr>
      </w:pPr>
      <w:r>
        <w:rPr>
          <w:rFonts w:cs="Arial"/>
        </w:rPr>
        <w:t>s</w:t>
      </w:r>
      <w:r w:rsidRPr="008077F6">
        <w:rPr>
          <w:rFonts w:cs="Arial"/>
        </w:rPr>
        <w:t>erum albumin &gt; 28 g/L</w:t>
      </w:r>
    </w:p>
    <w:p w14:paraId="29EAE6E6" w14:textId="1C71C465" w:rsidR="007B13B9" w:rsidRPr="00157728" w:rsidRDefault="007B13B9" w:rsidP="00F1715B">
      <w:pPr>
        <w:pStyle w:val="ListParagraph"/>
        <w:numPr>
          <w:ilvl w:val="0"/>
          <w:numId w:val="22"/>
        </w:numPr>
        <w:spacing w:before="120" w:after="120" w:line="23" w:lineRule="atLeast"/>
        <w:rPr>
          <w:rFonts w:cs="Arial"/>
        </w:rPr>
      </w:pPr>
      <w:r>
        <w:rPr>
          <w:rFonts w:cs="Arial"/>
        </w:rPr>
        <w:t xml:space="preserve">do not have current or previous history of </w:t>
      </w:r>
      <w:r w:rsidRPr="008077F6">
        <w:rPr>
          <w:rFonts w:cs="Arial"/>
        </w:rPr>
        <w:t>decompensated liver disease</w:t>
      </w:r>
      <w:r>
        <w:rPr>
          <w:rFonts w:cs="Arial"/>
        </w:rPr>
        <w:t>.</w:t>
      </w:r>
    </w:p>
    <w:p w14:paraId="752B7433" w14:textId="5A47667D" w:rsidR="00F065B8" w:rsidRPr="00A94084" w:rsidRDefault="00F644A7" w:rsidP="00F1715B">
      <w:pPr>
        <w:spacing w:line="22" w:lineRule="atLeast"/>
      </w:pPr>
      <w:r w:rsidRPr="00A94084">
        <w:t>T</w:t>
      </w:r>
      <w:r w:rsidR="00CA7DED" w:rsidRPr="00A94084">
        <w:t>he</w:t>
      </w:r>
      <w:r w:rsidR="00F065B8" w:rsidRPr="00A94084">
        <w:t xml:space="preserve"> indication for bulevirtide </w:t>
      </w:r>
      <w:r w:rsidR="00415F51" w:rsidRPr="00A94084">
        <w:t xml:space="preserve">requested of </w:t>
      </w:r>
      <w:r w:rsidR="00F065B8" w:rsidRPr="00A94084">
        <w:t>the TGA is adult patients with chronic HDV and compensated liver disease</w:t>
      </w:r>
      <w:r w:rsidR="00F065B8" w:rsidRPr="00A94084">
        <w:rPr>
          <w:rStyle w:val="FootnoteReference"/>
        </w:rPr>
        <w:footnoteReference w:id="2"/>
      </w:r>
      <w:r w:rsidR="00F065B8" w:rsidRPr="00A94084">
        <w:t>.</w:t>
      </w:r>
    </w:p>
    <w:p w14:paraId="698FD330" w14:textId="77777777" w:rsidR="00AA162E" w:rsidRDefault="00AA162E">
      <w:pPr>
        <w:spacing w:after="160" w:line="259" w:lineRule="auto"/>
        <w:rPr>
          <w:rFonts w:eastAsia="MS Gothic"/>
          <w:b/>
          <w:bCs/>
          <w:i/>
          <w:sz w:val="24"/>
          <w:szCs w:val="24"/>
        </w:rPr>
      </w:pPr>
      <w:r>
        <w:br w:type="page"/>
      </w:r>
    </w:p>
    <w:p w14:paraId="0495725B" w14:textId="6D0EBDAF" w:rsidR="006F7E61" w:rsidRDefault="006F7E61" w:rsidP="00F1715B">
      <w:pPr>
        <w:pStyle w:val="Heading3"/>
        <w:spacing w:line="22" w:lineRule="atLeast"/>
      </w:pPr>
      <w:r>
        <w:lastRenderedPageBreak/>
        <w:t>Prior tests</w:t>
      </w:r>
    </w:p>
    <w:p w14:paraId="3A742A3F" w14:textId="77777777" w:rsidR="006F7E61" w:rsidRPr="009C6D2B" w:rsidRDefault="006F7E61" w:rsidP="009C6D2B">
      <w:pPr>
        <w:pStyle w:val="Instructionaltext"/>
        <w:rPr>
          <w:color w:val="auto"/>
        </w:rPr>
      </w:pPr>
      <w:r w:rsidRPr="009C6D2B">
        <w:rPr>
          <w:color w:val="auto"/>
        </w:rPr>
        <w:t xml:space="preserve">The application proposed HDV RNA PCR testing for people who have tested positive for plasma/serum anti-HDV antibodies (IgM or </w:t>
      </w:r>
      <w:proofErr w:type="spellStart"/>
      <w:r w:rsidRPr="009C6D2B">
        <w:rPr>
          <w:color w:val="auto"/>
        </w:rPr>
        <w:t>IgE</w:t>
      </w:r>
      <w:proofErr w:type="spellEnd"/>
      <w:r w:rsidRPr="009C6D2B">
        <w:rPr>
          <w:color w:val="auto"/>
        </w:rPr>
        <w:t>, incorrectly referred to as hepatitis D surface antigen in the application). Testing for anti-HDV antibodies can be performed under MBS item 69481.</w:t>
      </w:r>
    </w:p>
    <w:p w14:paraId="158574AE" w14:textId="3CC68D7A" w:rsidR="006F7E61" w:rsidRPr="009C6D2B" w:rsidRDefault="006F7E61" w:rsidP="009C6D2B">
      <w:pPr>
        <w:pStyle w:val="Instructionaltext"/>
        <w:rPr>
          <w:color w:val="auto"/>
        </w:rPr>
      </w:pPr>
      <w:r w:rsidRPr="009C6D2B">
        <w:rPr>
          <w:color w:val="auto"/>
        </w:rPr>
        <w:t>Australian Guidelines recommend anti-HDV testing in people with hepatitis B</w:t>
      </w:r>
      <w:r w:rsidR="00CA7DED" w:rsidRPr="009C6D2B">
        <w:rPr>
          <w:color w:val="auto"/>
        </w:rPr>
        <w:t xml:space="preserve"> </w:t>
      </w:r>
      <w:r w:rsidRPr="009C6D2B">
        <w:rPr>
          <w:color w:val="auto"/>
        </w:rPr>
        <w:t>(HBsAg positive). Therefor</w:t>
      </w:r>
      <w:r w:rsidR="00CA7DED" w:rsidRPr="009C6D2B">
        <w:rPr>
          <w:color w:val="auto"/>
        </w:rPr>
        <w:t>e</w:t>
      </w:r>
      <w:r w:rsidRPr="009C6D2B">
        <w:rPr>
          <w:color w:val="auto"/>
        </w:rPr>
        <w:t xml:space="preserve"> HBsAg could also be considered a prior test. The 2020 Gastroenterological Society of Australia (GESA) consensus recommendations for the management of hepatitis B infection recommend anti-HDV testing for anyone who is positive fo</w:t>
      </w:r>
      <w:r w:rsidR="00CA7DED" w:rsidRPr="009C6D2B">
        <w:rPr>
          <w:color w:val="auto"/>
        </w:rPr>
        <w:t>r</w:t>
      </w:r>
      <w:r w:rsidRPr="009C6D2B">
        <w:rPr>
          <w:color w:val="auto"/>
        </w:rPr>
        <w:t xml:space="preserve"> HBsAg </w:t>
      </w:r>
      <w:r w:rsidR="002B0BBC" w:rsidRPr="009C6D2B">
        <w:rPr>
          <w:color w:val="auto"/>
        </w:rPr>
        <w:fldChar w:fldCharType="begin"/>
      </w:r>
      <w:r w:rsidR="002B0BBC" w:rsidRPr="009C6D2B">
        <w:rPr>
          <w:color w:val="auto"/>
        </w:rPr>
        <w:instrText xml:space="preserve"> ADDIN EN.CITE &lt;EndNote&gt;&lt;Cite&gt;&lt;Author&gt;Hepatitis B Consensus Statement Working Group&lt;/Author&gt;&lt;Year&gt;2022&lt;/Year&gt;&lt;RecNum&gt;15&lt;/RecNum&gt;&lt;DisplayText&gt;(Hepatitis B Consensus Statement Working Group 2022)&lt;/DisplayText&gt;&lt;record&gt;&lt;rec-number&gt;15&lt;/rec-number&gt;&lt;foreign-keys&gt;&lt;key app="EN" db-id="9r2v5a9alpsw54edwfqp9pte925d5pfszed2" timestamp="1647991722"&gt;15&lt;/key&gt;&lt;/foreign-keys&gt;&lt;ref-type name="Report"&gt;27&lt;/ref-type&gt;&lt;contributors&gt;&lt;authors&gt;&lt;author&gt;Hepatitis B Consensus Statement Working Group,.&lt;/author&gt;&lt;/authors&gt;&lt;/contributors&gt;&lt;titles&gt;&lt;title&gt;Australian consensus recommendations for the management of hepatitis B infection.&lt;/title&gt;&lt;/titles&gt;&lt;dates&gt;&lt;year&gt;2022&lt;/year&gt;&lt;/dates&gt;&lt;pub-location&gt;Melbourne&lt;/pub-location&gt;&lt;publisher&gt;Gastroenterological Society of Australia&lt;/publisher&gt;&lt;urls&gt;&lt;/urls&gt;&lt;/record&gt;&lt;/Cite&gt;&lt;/EndNote&gt;</w:instrText>
      </w:r>
      <w:r w:rsidR="002B0BBC" w:rsidRPr="009C6D2B">
        <w:rPr>
          <w:color w:val="auto"/>
        </w:rPr>
        <w:fldChar w:fldCharType="separate"/>
      </w:r>
      <w:r w:rsidR="002B0BBC" w:rsidRPr="009C6D2B">
        <w:rPr>
          <w:color w:val="auto"/>
        </w:rPr>
        <w:t>(Hepatitis B Consensus Statement Working Group 2022)</w:t>
      </w:r>
      <w:r w:rsidR="002B0BBC" w:rsidRPr="009C6D2B">
        <w:rPr>
          <w:color w:val="auto"/>
        </w:rPr>
        <w:fldChar w:fldCharType="end"/>
      </w:r>
      <w:r w:rsidRPr="009C6D2B">
        <w:rPr>
          <w:color w:val="auto"/>
        </w:rPr>
        <w:t>. The Australasian Society for HIV, Viral Hepatitis and Sexual Health Medicine (ASHM) National Testing Policy also considers it important to consider testing for HDV in all patients with HBV due to potential under</w:t>
      </w:r>
      <w:r w:rsidR="00893FE1" w:rsidRPr="009C6D2B">
        <w:rPr>
          <w:color w:val="auto"/>
        </w:rPr>
        <w:t xml:space="preserve"> </w:t>
      </w:r>
      <w:r w:rsidRPr="009C6D2B">
        <w:rPr>
          <w:color w:val="auto"/>
        </w:rPr>
        <w:t xml:space="preserve">diagnosis </w:t>
      </w:r>
      <w:r w:rsidR="002B0BBC" w:rsidRPr="009C6D2B">
        <w:rPr>
          <w:color w:val="auto"/>
        </w:rPr>
        <w:fldChar w:fldCharType="begin"/>
      </w:r>
      <w:r w:rsidR="002B0BBC" w:rsidRPr="009C6D2B">
        <w:rPr>
          <w:color w:val="auto"/>
        </w:rPr>
        <w:instrText xml:space="preserve"> ADDIN EN.CITE &lt;EndNote&gt;&lt;Cite&gt;&lt;Author&gt;ASHM&lt;/Author&gt;&lt;Year&gt;2020&lt;/Year&gt;&lt;RecNum&gt;16&lt;/RecNum&gt;&lt;DisplayText&gt;(ASHM 2020)&lt;/DisplayText&gt;&lt;record&gt;&lt;rec-number&gt;16&lt;/rec-number&gt;&lt;foreign-keys&gt;&lt;key app="EN" db-id="9r2v5a9alpsw54edwfqp9pte925d5pfszed2" timestamp="1647992008"&gt;16&lt;/key&gt;&lt;/foreign-keys&gt;&lt;ref-type name="Report"&gt;27&lt;/ref-type&gt;&lt;contributors&gt;&lt;authors&gt;&lt;author&gt;ASHM,.&lt;/author&gt;&lt;/authors&gt;&lt;/contributors&gt;&lt;titles&gt;&lt;title&gt;National Hepatitis B Testing Policy&lt;/title&gt;&lt;/titles&gt;&lt;dates&gt;&lt;year&gt;2020&lt;/year&gt;&lt;/dates&gt;&lt;publisher&gt;Australasian Society for HIV, Viral Hepatitis and Sexual Health Medicine (ASHM) &lt;/publisher&gt;&lt;urls&gt;&lt;/urls&gt;&lt;/record&gt;&lt;/Cite&gt;&lt;/EndNote&gt;</w:instrText>
      </w:r>
      <w:r w:rsidR="002B0BBC" w:rsidRPr="009C6D2B">
        <w:rPr>
          <w:color w:val="auto"/>
        </w:rPr>
        <w:fldChar w:fldCharType="separate"/>
      </w:r>
      <w:r w:rsidR="002B0BBC" w:rsidRPr="009C6D2B">
        <w:rPr>
          <w:color w:val="auto"/>
        </w:rPr>
        <w:t>(ASHM 2020)</w:t>
      </w:r>
      <w:r w:rsidR="002B0BBC" w:rsidRPr="009C6D2B">
        <w:rPr>
          <w:color w:val="auto"/>
        </w:rPr>
        <w:fldChar w:fldCharType="end"/>
      </w:r>
      <w:r w:rsidRPr="009C6D2B">
        <w:rPr>
          <w:color w:val="auto"/>
        </w:rPr>
        <w:t>. The ASHM consider the following situations should prompt testing for HDV: people presenting with a severe illness (suggesting superinfection), those with a flare of more stable chronic HBV or those from a region where HDV infection has a high prevalence.</w:t>
      </w:r>
    </w:p>
    <w:p w14:paraId="74229421" w14:textId="77777777" w:rsidR="005E5AA1" w:rsidRPr="009C6D2B" w:rsidRDefault="006F7E61" w:rsidP="009C6D2B">
      <w:pPr>
        <w:pStyle w:val="Instructionaltext"/>
        <w:rPr>
          <w:color w:val="auto"/>
        </w:rPr>
      </w:pPr>
      <w:r w:rsidRPr="009C6D2B">
        <w:rPr>
          <w:color w:val="auto"/>
        </w:rPr>
        <w:t xml:space="preserve">Anti-HDV functions as a screening test for HDV infection (Chen 2021). This is illustrated in </w:t>
      </w:r>
      <w:r w:rsidRPr="009C6D2B">
        <w:rPr>
          <w:color w:val="auto"/>
        </w:rPr>
        <w:fldChar w:fldCharType="begin"/>
      </w:r>
      <w:r w:rsidRPr="009C6D2B">
        <w:rPr>
          <w:color w:val="auto"/>
        </w:rPr>
        <w:instrText xml:space="preserve"> REF _Ref98410215 \h </w:instrText>
      </w:r>
      <w:r w:rsidR="00F1715B" w:rsidRPr="009C6D2B">
        <w:rPr>
          <w:color w:val="auto"/>
        </w:rPr>
        <w:instrText xml:space="preserve"> \* MERGEFORMAT </w:instrText>
      </w:r>
      <w:r w:rsidRPr="009C6D2B">
        <w:rPr>
          <w:color w:val="auto"/>
        </w:rPr>
      </w:r>
      <w:r w:rsidRPr="009C6D2B">
        <w:rPr>
          <w:color w:val="auto"/>
        </w:rPr>
        <w:fldChar w:fldCharType="separate"/>
      </w:r>
      <w:r w:rsidRPr="009C6D2B">
        <w:rPr>
          <w:color w:val="auto"/>
        </w:rPr>
        <w:t>Figure 1</w:t>
      </w:r>
      <w:r w:rsidRPr="009C6D2B">
        <w:rPr>
          <w:color w:val="auto"/>
        </w:rPr>
        <w:fldChar w:fldCharType="end"/>
      </w:r>
      <w:r w:rsidRPr="009C6D2B">
        <w:rPr>
          <w:color w:val="auto"/>
        </w:rPr>
        <w:t xml:space="preserve"> which presents the serological patterns of HDV infection. Anti-HDV IgM cannot definitively distinguish between acute and chronic HDV infections</w:t>
      </w:r>
      <w:r w:rsidR="00893FE1" w:rsidRPr="009C6D2B">
        <w:rPr>
          <w:color w:val="auto"/>
        </w:rPr>
        <w:t xml:space="preserve">. </w:t>
      </w:r>
      <w:r w:rsidRPr="009C6D2B">
        <w:rPr>
          <w:color w:val="auto"/>
        </w:rPr>
        <w:t xml:space="preserve">Anti-HDV IgM is detectable within 2–3 weeks of symptom onset and disappears two months after acute infection. However, anti-HDV IgM is also elevated in patients with chronic HDV experiencing disease flares. Anti-HDV IgG is positive in patients with acute remission of HDV infection and chronic HDV infection, and persists for a long time after virus clearance, making it difficult to distinguish between present and previous HDV infections </w:t>
      </w:r>
      <w:r w:rsidR="002B0BBC" w:rsidRPr="009C6D2B">
        <w:rPr>
          <w:color w:val="auto"/>
        </w:rPr>
        <w:fldChar w:fldCharType="begin"/>
      </w:r>
      <w:r w:rsidR="002B0BBC" w:rsidRPr="009C6D2B">
        <w:rPr>
          <w:color w:val="auto"/>
        </w:rPr>
        <w:instrText xml:space="preserve"> ADDIN EN.CITE &lt;EndNote&gt;&lt;Cite&gt;&lt;Author&gt;Chen&lt;/Author&gt;&lt;Year&gt;2021&lt;/Year&gt;&lt;RecNum&gt;17&lt;/RecNum&gt;&lt;IDText&gt;66&lt;/IDText&gt;&lt;DisplayText&gt;(Chen et al. 2021)&lt;/DisplayText&gt;&lt;record&gt;&lt;rec-number&gt;17&lt;/rec-number&gt;&lt;foreign-keys&gt;&lt;key app="EN" db-id="9r2v5a9alpsw54edwfqp9pte925d5pfszed2" timestamp="1647993621"&gt;17&lt;/key&gt;&lt;/foreign-keys&gt;&lt;ref-type name="Journal Article"&gt;17&lt;/ref-type&gt;&lt;contributors&gt;&lt;authors&gt;&lt;author&gt;Chen, L. Y.&lt;/author&gt;&lt;author&gt;Pang, X. Y.&lt;/author&gt;&lt;author&gt;Goyal, H.&lt;/author&gt;&lt;author&gt;Yang, R. X.&lt;/author&gt;&lt;author&gt;Xu, H. G.&lt;/author&gt;&lt;/authors&gt;&lt;/contributors&gt;&lt;auth-address&gt;Department of Laboratory Medicine, the First Affiliated Hospital of Nanjing Medical University, Nanjing, China.&amp;#xD;Department of Internal Medicine Macon, Mercer University School of Medicine, Georgia, USA.&amp;#xD;Department of Laboratory Medicine, the First Affiliated Hospital of Nanjing Medical University, Nanjing, China. yangruixia@jsph.org.cn.&amp;#xD;Department of Laboratory Medicine, the First Affiliated Hospital of Nanjing Medical University, Nanjing, China. huaguoxu@njmu.edu.cn.&lt;/auth-address&gt;&lt;titles&gt;&lt;title&gt;Hepatitis D: challenges in the estimation of true prevalence and laboratory diagnosis&lt;/title&gt;&lt;secondary-title&gt;Gut Pathog&lt;/secondary-title&gt;&lt;/titles&gt;&lt;periodical&gt;&lt;full-title&gt;Gut Pathog&lt;/full-title&gt;&lt;/periodical&gt;&lt;pages&gt;66&lt;/pages&gt;&lt;volume&gt;13&lt;/volume&gt;&lt;number&gt;1&lt;/number&gt;&lt;edition&gt;2021/11/01&lt;/edition&gt;&lt;keywords&gt;&lt;keyword&gt;Diagnostics&lt;/keyword&gt;&lt;keyword&gt;Hepatitis B&lt;/keyword&gt;&lt;keyword&gt;Hepatitis D&lt;/keyword&gt;&lt;keyword&gt;Hepatitis delta virus&lt;/keyword&gt;&lt;keyword&gt;Prevalence&lt;/keyword&gt;&lt;/keywords&gt;&lt;dates&gt;&lt;year&gt;2021&lt;/year&gt;&lt;pub-dates&gt;&lt;date&gt;Oct 30&lt;/date&gt;&lt;/pub-dates&gt;&lt;/dates&gt;&lt;isbn&gt;1757-4749 (Print)&amp;#xD;1757-4749 (Linking)&lt;/isbn&gt;&lt;accession-num&gt;34717740&lt;/accession-num&gt;&lt;urls&gt;&lt;related-urls&gt;&lt;url&gt;https://www.ncbi.nlm.nih.gov/pubmed/34717740&lt;/url&gt;&lt;url&gt;https://www.ncbi.nlm.nih.gov/pmc/articles/PMC8557527/pdf/13099_2021_Article_462.pdf&lt;/url&gt;&lt;/related-urls&gt;&lt;/urls&gt;&lt;custom2&gt;PMC8557527&lt;/custom2&gt;&lt;electronic-resource-num&gt;10.1186/s13099-021-00462-0&lt;/electronic-resource-num&gt;&lt;/record&gt;&lt;/Cite&gt;&lt;/EndNote&gt;</w:instrText>
      </w:r>
      <w:r w:rsidR="002B0BBC" w:rsidRPr="009C6D2B">
        <w:rPr>
          <w:color w:val="auto"/>
        </w:rPr>
        <w:fldChar w:fldCharType="separate"/>
      </w:r>
      <w:r w:rsidR="002B0BBC" w:rsidRPr="009C6D2B">
        <w:rPr>
          <w:color w:val="auto"/>
        </w:rPr>
        <w:t>(Chen et al. 2021)</w:t>
      </w:r>
      <w:r w:rsidR="002B0BBC" w:rsidRPr="009C6D2B">
        <w:rPr>
          <w:color w:val="auto"/>
        </w:rPr>
        <w:fldChar w:fldCharType="end"/>
      </w:r>
      <w:r w:rsidRPr="009C6D2B">
        <w:rPr>
          <w:color w:val="auto"/>
        </w:rPr>
        <w:t>. The RCPA state the diagnosis can be confirmed by detecting HDV RNA (the proposed test) as well as detecting HDV antigen or liver biopsy.</w:t>
      </w:r>
    </w:p>
    <w:p w14:paraId="2EE68836" w14:textId="77777777" w:rsidR="005E5AA1" w:rsidRPr="00AA162E" w:rsidRDefault="00F644A7" w:rsidP="00AA162E">
      <w:pPr>
        <w:spacing w:before="200" w:after="0"/>
        <w:rPr>
          <w:i/>
          <w:szCs w:val="24"/>
        </w:rPr>
      </w:pPr>
      <w:r w:rsidRPr="00AA162E">
        <w:rPr>
          <w:i/>
          <w:szCs w:val="24"/>
        </w:rPr>
        <w:t>PASC confirmed the requirement of a positive hepatitis D viral antibody test to be eligible for the proposed service.</w:t>
      </w:r>
    </w:p>
    <w:p w14:paraId="64BFBE8F" w14:textId="77777777" w:rsidR="005E5AA1" w:rsidRPr="00AA162E" w:rsidRDefault="00CA0DBB" w:rsidP="00AA162E">
      <w:pPr>
        <w:spacing w:before="200" w:after="0"/>
        <w:rPr>
          <w:i/>
          <w:szCs w:val="24"/>
        </w:rPr>
      </w:pPr>
      <w:r w:rsidRPr="00AA162E">
        <w:rPr>
          <w:i/>
          <w:szCs w:val="24"/>
        </w:rPr>
        <w:t>PASC advised that the detection of HDV on incidental liver biopsy does not need to be specified as an alternative prior test to positive hepatitis D viral antibody test because it is highly unlikely that a diagnosis of chronic hepatitis D would be made on the basis of a liver biopsy without confirmatory serology.</w:t>
      </w:r>
    </w:p>
    <w:p w14:paraId="2D9AD34C" w14:textId="09142442" w:rsidR="00F1715B" w:rsidRPr="00AA162E" w:rsidRDefault="00F644A7" w:rsidP="00AA162E">
      <w:pPr>
        <w:spacing w:before="200" w:after="0"/>
        <w:rPr>
          <w:i/>
          <w:szCs w:val="24"/>
        </w:rPr>
      </w:pPr>
      <w:r w:rsidRPr="00AA162E">
        <w:rPr>
          <w:i/>
          <w:szCs w:val="24"/>
        </w:rPr>
        <w:t xml:space="preserve">PASC advised HBsAg does not need to be a formal prior test as patients are required to have a positive hepatitis D viral antibody test. </w:t>
      </w:r>
      <w:r w:rsidR="00F1715B" w:rsidRPr="00AA162E">
        <w:rPr>
          <w:i/>
          <w:szCs w:val="24"/>
        </w:rPr>
        <w:br w:type="page"/>
      </w:r>
    </w:p>
    <w:p w14:paraId="54292A44" w14:textId="77777777" w:rsidR="006F7E61" w:rsidRDefault="006F7E61" w:rsidP="00F1715B">
      <w:pPr>
        <w:spacing w:before="120" w:after="120" w:line="23" w:lineRule="atLeast"/>
        <w:rPr>
          <w:rFonts w:cs="Arial"/>
        </w:rPr>
      </w:pPr>
    </w:p>
    <w:p w14:paraId="32830E4F" w14:textId="03E07136" w:rsidR="006F7E61" w:rsidRDefault="006F7E61" w:rsidP="006F7E61">
      <w:pPr>
        <w:keepNext/>
        <w:spacing w:before="120" w:after="120" w:line="240" w:lineRule="auto"/>
      </w:pPr>
      <w:r>
        <w:rPr>
          <w:rFonts w:cs="Arial"/>
          <w:noProof/>
          <w:lang w:eastAsia="en-AU"/>
        </w:rPr>
        <w:drawing>
          <wp:inline distT="0" distB="0" distL="0" distR="0" wp14:anchorId="768CB9C3" wp14:editId="4FCEC899">
            <wp:extent cx="5876925" cy="2138680"/>
            <wp:effectExtent l="0" t="0" r="9525" b="0"/>
            <wp:docPr id="3" name="Picture 3" descr="Figure 1 Serological patterns of HDV inf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Serological patterns of HDV infec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5143" cy="2152588"/>
                    </a:xfrm>
                    <a:prstGeom prst="rect">
                      <a:avLst/>
                    </a:prstGeom>
                    <a:noFill/>
                  </pic:spPr>
                </pic:pic>
              </a:graphicData>
            </a:graphic>
          </wp:inline>
        </w:drawing>
      </w:r>
    </w:p>
    <w:p w14:paraId="68C8B694" w14:textId="77777777" w:rsidR="006F7E61" w:rsidRDefault="006F7E61" w:rsidP="006F7E61">
      <w:pPr>
        <w:pStyle w:val="Caption"/>
        <w:ind w:left="0" w:firstLine="0"/>
      </w:pPr>
      <w:r>
        <w:t xml:space="preserve">Figure </w:t>
      </w:r>
      <w:r>
        <w:fldChar w:fldCharType="begin"/>
      </w:r>
      <w:r>
        <w:instrText xml:space="preserve"> SEQ Figure \* ARABIC </w:instrText>
      </w:r>
      <w:r>
        <w:fldChar w:fldCharType="separate"/>
      </w:r>
      <w:r>
        <w:rPr>
          <w:noProof/>
        </w:rPr>
        <w:t>1</w:t>
      </w:r>
      <w:r>
        <w:fldChar w:fldCharType="end"/>
      </w:r>
      <w:r>
        <w:t xml:space="preserve"> </w:t>
      </w:r>
      <w:r w:rsidRPr="00B03C1C">
        <w:t>Serological patterns of HDV infection</w:t>
      </w:r>
    </w:p>
    <w:p w14:paraId="77112959" w14:textId="22845335" w:rsidR="006F7E61" w:rsidRDefault="006F7E61" w:rsidP="006F7E61">
      <w:pPr>
        <w:pStyle w:val="Tablenotes"/>
        <w:jc w:val="left"/>
      </w:pPr>
      <w:r w:rsidRPr="001C2794">
        <w:t xml:space="preserve">Source: </w:t>
      </w:r>
      <w:r w:rsidR="002B0BBC">
        <w:fldChar w:fldCharType="begin"/>
      </w:r>
      <w:r w:rsidR="002B0BBC">
        <w:instrText xml:space="preserve"> ADDIN EN.CITE &lt;EndNote&gt;&lt;Cite&gt;&lt;Author&gt;Chen&lt;/Author&gt;&lt;Year&gt;2021&lt;/Year&gt;&lt;RecNum&gt;17&lt;/RecNum&gt;&lt;IDText&gt;66&lt;/IDText&gt;&lt;DisplayText&gt;(Chen et al. 2021)&lt;/DisplayText&gt;&lt;record&gt;&lt;rec-number&gt;17&lt;/rec-number&gt;&lt;foreign-keys&gt;&lt;key app="EN" db-id="9r2v5a9alpsw54edwfqp9pte925d5pfszed2" timestamp="1647993621"&gt;17&lt;/key&gt;&lt;/foreign-keys&gt;&lt;ref-type name="Journal Article"&gt;17&lt;/ref-type&gt;&lt;contributors&gt;&lt;authors&gt;&lt;author&gt;Chen, L. Y.&lt;/author&gt;&lt;author&gt;Pang, X. Y.&lt;/author&gt;&lt;author&gt;Goyal, H.&lt;/author&gt;&lt;author&gt;Yang, R. X.&lt;/author&gt;&lt;author&gt;Xu, H. G.&lt;/author&gt;&lt;/authors&gt;&lt;/contributors&gt;&lt;auth-address&gt;Department of Laboratory Medicine, the First Affiliated Hospital of Nanjing Medical University, Nanjing, China.&amp;#xD;Department of Internal Medicine Macon, Mercer University School of Medicine, Georgia, USA.&amp;#xD;Department of Laboratory Medicine, the First Affiliated Hospital of Nanjing Medical University, Nanjing, China. yangruixia@jsph.org.cn.&amp;#xD;Department of Laboratory Medicine, the First Affiliated Hospital of Nanjing Medical University, Nanjing, China. huaguoxu@njmu.edu.cn.&lt;/auth-address&gt;&lt;titles&gt;&lt;title&gt;Hepatitis D: challenges in the estimation of true prevalence and laboratory diagnosis&lt;/title&gt;&lt;secondary-title&gt;Gut Pathog&lt;/secondary-title&gt;&lt;/titles&gt;&lt;periodical&gt;&lt;full-title&gt;Gut Pathog&lt;/full-title&gt;&lt;/periodical&gt;&lt;pages&gt;66&lt;/pages&gt;&lt;volume&gt;13&lt;/volume&gt;&lt;number&gt;1&lt;/number&gt;&lt;edition&gt;2021/11/01&lt;/edition&gt;&lt;keywords&gt;&lt;keyword&gt;Diagnostics&lt;/keyword&gt;&lt;keyword&gt;Hepatitis B&lt;/keyword&gt;&lt;keyword&gt;Hepatitis D&lt;/keyword&gt;&lt;keyword&gt;Hepatitis delta virus&lt;/keyword&gt;&lt;keyword&gt;Prevalence&lt;/keyword&gt;&lt;/keywords&gt;&lt;dates&gt;&lt;year&gt;2021&lt;/year&gt;&lt;pub-dates&gt;&lt;date&gt;Oct 30&lt;/date&gt;&lt;/pub-dates&gt;&lt;/dates&gt;&lt;isbn&gt;1757-4749 (Print)&amp;#xD;1757-4749 (Linking)&lt;/isbn&gt;&lt;accession-num&gt;34717740&lt;/accession-num&gt;&lt;urls&gt;&lt;related-urls&gt;&lt;url&gt;https://www.ncbi.nlm.nih.gov/pubmed/34717740&lt;/url&gt;&lt;url&gt;https://www.ncbi.nlm.nih.gov/pmc/articles/PMC8557527/pdf/13099_2021_Article_462.pdf&lt;/url&gt;&lt;/related-urls&gt;&lt;/urls&gt;&lt;custom2&gt;PMC8557527&lt;/custom2&gt;&lt;electronic-resource-num&gt;10.1186/s13099-021-00462-0&lt;/electronic-resource-num&gt;&lt;/record&gt;&lt;/Cite&gt;&lt;/EndNote&gt;</w:instrText>
      </w:r>
      <w:r w:rsidR="002B0BBC">
        <w:fldChar w:fldCharType="separate"/>
      </w:r>
      <w:r w:rsidR="002B0BBC">
        <w:rPr>
          <w:noProof/>
        </w:rPr>
        <w:t>(Chen et al. 2021)</w:t>
      </w:r>
      <w:r w:rsidR="002B0BBC">
        <w:fldChar w:fldCharType="end"/>
      </w:r>
      <w:r w:rsidR="00893FE1">
        <w:t>, permission provided to use image</w:t>
      </w:r>
    </w:p>
    <w:p w14:paraId="686C3683" w14:textId="1CB45F9B" w:rsidR="006F7E61" w:rsidRPr="00157728" w:rsidRDefault="006F7E61" w:rsidP="00060C41">
      <w:pPr>
        <w:pStyle w:val="Tablenotes"/>
        <w:spacing w:after="200"/>
        <w:jc w:val="left"/>
      </w:pPr>
      <w:r w:rsidRPr="001C2794">
        <w:t>Note: Coinfection is the simultaneous acute infection of HBV and HDV in a susceptible individual.</w:t>
      </w:r>
      <w:r w:rsidRPr="00157728">
        <w:t xml:space="preserve"> S</w:t>
      </w:r>
      <w:r w:rsidRPr="001C2794">
        <w:t xml:space="preserve">erum </w:t>
      </w:r>
      <w:proofErr w:type="spellStart"/>
      <w:r w:rsidRPr="001C2794">
        <w:t>HDAg</w:t>
      </w:r>
      <w:proofErr w:type="spellEnd"/>
      <w:r w:rsidRPr="001C2794">
        <w:t xml:space="preserve"> is detectable only transiently in blood specimens collected early at the onset of HDV, before the rising of antibodies. Anti-HDV IgM response is rapid and weak suggesting a resolution of infection. Anti-HDV IgG levels increased rapidly and persisted. B Superinfection is an HDV infection in an individual chronically infected with HBV. This pattern of infection has two components, the acute stage and the chronic stage. The acute phase is characterized by very high levels of HDV viremia and </w:t>
      </w:r>
      <w:proofErr w:type="spellStart"/>
      <w:r w:rsidRPr="001C2794">
        <w:t>HDAg</w:t>
      </w:r>
      <w:proofErr w:type="spellEnd"/>
      <w:r w:rsidRPr="001C2794">
        <w:t xml:space="preserve"> antigen in serum/liver. In the chronic period, HDV RNA, anti-HDV IgM and anti-HDV IgG persist.</w:t>
      </w:r>
      <w:r w:rsidRPr="001C2794">
        <w:br/>
        <w:t xml:space="preserve">Abbreviations: HDV hepatitis D virus; HBV hepatitis B virus; </w:t>
      </w:r>
      <w:proofErr w:type="spellStart"/>
      <w:r w:rsidRPr="001C2794">
        <w:t>HDAg</w:t>
      </w:r>
      <w:proofErr w:type="spellEnd"/>
      <w:r w:rsidRPr="001C2794">
        <w:t xml:space="preserve"> hepatitis D antigen</w:t>
      </w:r>
      <w:r w:rsidR="00CA7DED" w:rsidRPr="001C2794">
        <w:t>;</w:t>
      </w:r>
      <w:r w:rsidRPr="001C2794">
        <w:t xml:space="preserve"> HBsAg hepatitis B surface antigen; Anti-HDV IgM immunoglobulin M antibody to the </w:t>
      </w:r>
      <w:proofErr w:type="spellStart"/>
      <w:r w:rsidRPr="001C2794">
        <w:t>HDAg</w:t>
      </w:r>
      <w:proofErr w:type="spellEnd"/>
      <w:r w:rsidRPr="001C2794">
        <w:t xml:space="preserve">; Anti-HDV IgG immunoglobulin G antibody to the </w:t>
      </w:r>
      <w:proofErr w:type="spellStart"/>
      <w:r w:rsidRPr="001C2794">
        <w:t>HDAg</w:t>
      </w:r>
      <w:proofErr w:type="spellEnd"/>
    </w:p>
    <w:p w14:paraId="3FD6D4F8" w14:textId="630FB604" w:rsidR="00F644A7" w:rsidRPr="00AA162E" w:rsidRDefault="00F644A7" w:rsidP="00AA162E">
      <w:pPr>
        <w:spacing w:before="200" w:after="0"/>
        <w:rPr>
          <w:i/>
          <w:szCs w:val="24"/>
        </w:rPr>
      </w:pPr>
      <w:r w:rsidRPr="00AA162E">
        <w:rPr>
          <w:i/>
          <w:szCs w:val="24"/>
        </w:rPr>
        <w:t xml:space="preserve">PASC noted that ALT testing and albumin testing are not necessarily done prior to PCR testing, however these tests will be done (either before, after or alongside PCR testing) as part of standard care. </w:t>
      </w:r>
    </w:p>
    <w:p w14:paraId="2637D0FC" w14:textId="6B4B39CE" w:rsidR="00F95519" w:rsidRPr="009C6D2B" w:rsidRDefault="00844226" w:rsidP="009C6D2B">
      <w:pPr>
        <w:pStyle w:val="Instructionaltext"/>
        <w:rPr>
          <w:color w:val="auto"/>
        </w:rPr>
      </w:pPr>
      <w:r w:rsidRPr="009C6D2B">
        <w:rPr>
          <w:color w:val="auto"/>
        </w:rPr>
        <w:t xml:space="preserve">ALT is an enzyme mostly found in the liver, and serum ALT levels are elevated in cases of liver inflammation. The presence of elevated ALT has been associated with increased liver-related mortality </w:t>
      </w:r>
      <w:r w:rsidR="002B0BBC" w:rsidRPr="009C6D2B">
        <w:rPr>
          <w:color w:val="auto"/>
        </w:rPr>
        <w:fldChar w:fldCharType="begin">
          <w:fldData xml:space="preserve">PEVuZE5vdGU+PENpdGU+PEF1dGhvcj5Ld288L0F1dGhvcj48WWVhcj4yMDE3PC9ZZWFyPjxSZWNO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==
</w:fldData>
        </w:fldChar>
      </w:r>
      <w:r w:rsidR="002B0BBC" w:rsidRPr="009C6D2B">
        <w:rPr>
          <w:color w:val="auto"/>
        </w:rPr>
        <w:instrText xml:space="preserve"> ADDIN EN.CITE </w:instrText>
      </w:r>
      <w:r w:rsidR="002B0BBC" w:rsidRPr="009C6D2B">
        <w:rPr>
          <w:color w:val="auto"/>
        </w:rPr>
        <w:fldChar w:fldCharType="begin">
          <w:fldData xml:space="preserve">PEVuZE5vdGU+PENpdGU+PEF1dGhvcj5Ld288L0F1dGhvcj48WWVhcj4yMDE3PC9ZZWFyPjxSZWNO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==
</w:fldData>
        </w:fldChar>
      </w:r>
      <w:r w:rsidR="002B0BBC" w:rsidRPr="009C6D2B">
        <w:rPr>
          <w:color w:val="auto"/>
        </w:rPr>
        <w:instrText xml:space="preserve"> ADDIN EN.CITE.DATA </w:instrText>
      </w:r>
      <w:r w:rsidR="002B0BBC" w:rsidRPr="009C6D2B">
        <w:rPr>
          <w:color w:val="auto"/>
        </w:rPr>
      </w:r>
      <w:r w:rsidR="002B0BBC" w:rsidRPr="009C6D2B">
        <w:rPr>
          <w:color w:val="auto"/>
        </w:rPr>
        <w:fldChar w:fldCharType="end"/>
      </w:r>
      <w:r w:rsidR="002B0BBC" w:rsidRPr="009C6D2B">
        <w:rPr>
          <w:color w:val="auto"/>
        </w:rPr>
      </w:r>
      <w:r w:rsidR="002B0BBC" w:rsidRPr="009C6D2B">
        <w:rPr>
          <w:color w:val="auto"/>
        </w:rPr>
        <w:fldChar w:fldCharType="separate"/>
      </w:r>
      <w:r w:rsidR="002B0BBC" w:rsidRPr="009C6D2B">
        <w:rPr>
          <w:color w:val="auto"/>
        </w:rPr>
        <w:t>(Kwo, Cohen &amp; Lim 2017)</w:t>
      </w:r>
      <w:r w:rsidR="002B0BBC" w:rsidRPr="009C6D2B">
        <w:rPr>
          <w:color w:val="auto"/>
        </w:rPr>
        <w:fldChar w:fldCharType="end"/>
      </w:r>
      <w:r w:rsidR="00F95519" w:rsidRPr="009C6D2B">
        <w:rPr>
          <w:color w:val="auto"/>
        </w:rPr>
        <w:t xml:space="preserve">. ACG guidelines state that normal ALT levels range from 29 to 33 IU/l for males and 19 to 25 IU/l for females. Elevated ALT levels </w:t>
      </w:r>
      <w:r w:rsidR="00076BE0" w:rsidRPr="009C6D2B">
        <w:rPr>
          <w:color w:val="auto"/>
        </w:rPr>
        <w:t>were</w:t>
      </w:r>
      <w:r w:rsidR="00F95519" w:rsidRPr="009C6D2B">
        <w:rPr>
          <w:color w:val="auto"/>
        </w:rPr>
        <w:t xml:space="preserve"> a requirement for </w:t>
      </w:r>
      <w:r w:rsidR="00076BE0" w:rsidRPr="009C6D2B">
        <w:rPr>
          <w:color w:val="auto"/>
        </w:rPr>
        <w:t xml:space="preserve">eligibility in the key trial of </w:t>
      </w:r>
      <w:r w:rsidR="00F95519" w:rsidRPr="009C6D2B">
        <w:rPr>
          <w:color w:val="auto"/>
        </w:rPr>
        <w:t>bulevirtide.</w:t>
      </w:r>
    </w:p>
    <w:p w14:paraId="48D149ED" w14:textId="3B15EA83" w:rsidR="00DF1BD6" w:rsidRPr="009C6D2B" w:rsidRDefault="00F95519" w:rsidP="009C6D2B">
      <w:pPr>
        <w:pStyle w:val="Instructionaltext"/>
        <w:rPr>
          <w:color w:val="auto"/>
        </w:rPr>
      </w:pPr>
      <w:r w:rsidRPr="009C6D2B">
        <w:rPr>
          <w:color w:val="auto"/>
        </w:rPr>
        <w:t>A serum albumin test is a blood test that measures albumin levels. Albumin is responsible for protein synthesis</w:t>
      </w:r>
      <w:r w:rsidR="00DF1BD6" w:rsidRPr="009C6D2B">
        <w:rPr>
          <w:color w:val="auto"/>
        </w:rPr>
        <w:t xml:space="preserve">, which is an important function of the liver. Daily, around 10 grams of albumin is synthesised and secreted by the liver. When a person has progressive liver disease serum albumin levels decrease, which reflects decreased synthesis. Albumin concentration correlates with the prognosis in chronic liver disease. Normal albumin levels range between 40-60 g/l </w:t>
      </w:r>
      <w:r w:rsidR="002B0BBC" w:rsidRPr="009C6D2B">
        <w:rPr>
          <w:color w:val="auto"/>
        </w:rPr>
        <w:fldChar w:fldCharType="begin"/>
      </w:r>
      <w:r w:rsidR="002B0BBC" w:rsidRPr="009C6D2B">
        <w:rPr>
          <w:color w:val="auto"/>
        </w:rPr>
        <w:instrText xml:space="preserve"> ADDIN EN.CITE &lt;EndNote&gt;&lt;Cite&gt;&lt;Author&gt;Limdi&lt;/Author&gt;&lt;Year&gt;2003&lt;/Year&gt;&lt;RecNum&gt;22&lt;/RecNum&gt;&lt;IDText&gt;307-12&lt;/IDText&gt;&lt;DisplayText&gt;(Limdi &amp;amp; Hyde 2003)&lt;/DisplayText&gt;&lt;record&gt;&lt;rec-number&gt;22&lt;/rec-number&gt;&lt;foreign-keys&gt;&lt;key app="EN" db-id="9r2v5a9alpsw54edwfqp9pte925d5pfszed2" timestamp="1648079157"&gt;22&lt;/key&gt;&lt;/foreign-keys&gt;&lt;ref-type name="Journal Article"&gt;17&lt;/ref-type&gt;&lt;contributors&gt;&lt;authors&gt;&lt;author&gt;Limdi, J. K.&lt;/author&gt;&lt;author&gt;Hyde, G. M.&lt;/author&gt;&lt;/authors&gt;&lt;/contributors&gt;&lt;auth-address&gt;Tameside General Hospital, Ashton-under-Lyne, Manchester, UK. limdi@aol.com&lt;/auth-address&gt;&lt;titles&gt;&lt;title&gt;Evaluation of abnormal liver function tests&lt;/title&gt;&lt;secondary-title&gt;Postgrad Med J&lt;/secondary-title&gt;&lt;/titles&gt;&lt;periodical&gt;&lt;full-title&gt;Postgrad Med J&lt;/full-title&gt;&lt;/periodical&gt;&lt;pages&gt;307-12&lt;/pages&gt;&lt;volume&gt;79&lt;/volume&gt;&lt;number&gt;932&lt;/number&gt;&lt;edition&gt;2003/07/04&lt;/edition&gt;&lt;keywords&gt;&lt;keyword&gt;Alkaline Phosphatase/metabolism&lt;/keyword&gt;&lt;keyword&gt;Bilirubin/blood&lt;/keyword&gt;&lt;keyword&gt;Blood Coagulation Tests&lt;/keyword&gt;&lt;keyword&gt;Hemochromatosis/diagnosis&lt;/keyword&gt;&lt;keyword&gt;Hepatitis, Autoimmune/diagnosis&lt;/keyword&gt;&lt;keyword&gt;Hepatolenticular Degeneration/diagnosis&lt;/keyword&gt;&lt;keyword&gt;Humans&lt;/keyword&gt;&lt;keyword&gt;Liver Diseases/*diagnosis&lt;/keyword&gt;&lt;keyword&gt;Liver Function Tests&lt;/keyword&gt;&lt;keyword&gt;Medical History Taking&lt;/keyword&gt;&lt;keyword&gt;Physical Examination&lt;/keyword&gt;&lt;keyword&gt;Steatitis/diagnosis&lt;/keyword&gt;&lt;keyword&gt;Transaminases/metabolism&lt;/keyword&gt;&lt;keyword&gt;gamma-Glutamyltransferase/metabolism&lt;/keyword&gt;&lt;/keywords&gt;&lt;dates&gt;&lt;year&gt;2003&lt;/year&gt;&lt;pub-dates&gt;&lt;date&gt;Jun&lt;/date&gt;&lt;/pub-dates&gt;&lt;/dates&gt;&lt;isbn&gt;0032-5473 (Print)&amp;#xD;0032-5473 (Linking)&lt;/isbn&gt;&lt;accession-num&gt;12840117&lt;/accession-num&gt;&lt;urls&gt;&lt;related-urls&gt;&lt;url&gt;https://www.ncbi.nlm.nih.gov/pubmed/12840117&lt;/url&gt;&lt;/related-urls&gt;&lt;/urls&gt;&lt;custom2&gt;PMC1742736&lt;/custom2&gt;&lt;electronic-resource-num&gt;10.1136/pmj.79.932.307&lt;/electronic-resource-num&gt;&lt;/record&gt;&lt;/Cite&gt;&lt;/EndNote&gt;</w:instrText>
      </w:r>
      <w:r w:rsidR="002B0BBC" w:rsidRPr="009C6D2B">
        <w:rPr>
          <w:color w:val="auto"/>
        </w:rPr>
        <w:fldChar w:fldCharType="separate"/>
      </w:r>
      <w:r w:rsidR="002B0BBC" w:rsidRPr="009C6D2B">
        <w:rPr>
          <w:color w:val="auto"/>
        </w:rPr>
        <w:t>(Limdi &amp; Hyde 2003)</w:t>
      </w:r>
      <w:r w:rsidR="002B0BBC" w:rsidRPr="009C6D2B">
        <w:rPr>
          <w:color w:val="auto"/>
        </w:rPr>
        <w:fldChar w:fldCharType="end"/>
      </w:r>
      <w:r w:rsidR="00DF1BD6" w:rsidRPr="009C6D2B">
        <w:rPr>
          <w:color w:val="auto"/>
        </w:rPr>
        <w:t>. The main bulevirtide trial required patients to have an albumin level of at least 28 g/l.</w:t>
      </w:r>
    </w:p>
    <w:p w14:paraId="55A62B7D" w14:textId="5147927C" w:rsidR="00DF1340" w:rsidRPr="009C6D2B" w:rsidRDefault="00DF1BD6" w:rsidP="009C6D2B">
      <w:pPr>
        <w:pStyle w:val="Instructionaltext"/>
        <w:rPr>
          <w:color w:val="auto"/>
        </w:rPr>
      </w:pPr>
      <w:r w:rsidRPr="009C6D2B">
        <w:rPr>
          <w:color w:val="auto"/>
        </w:rPr>
        <w:t>ALT and albumin testing are listed on the MBS under item number 6</w:t>
      </w:r>
      <w:r w:rsidR="00966DAA" w:rsidRPr="009C6D2B">
        <w:rPr>
          <w:color w:val="auto"/>
        </w:rPr>
        <w:t>6</w:t>
      </w:r>
      <w:r w:rsidRPr="009C6D2B">
        <w:rPr>
          <w:color w:val="auto"/>
        </w:rPr>
        <w:t>500.</w:t>
      </w:r>
      <w:r w:rsidR="00F95519" w:rsidRPr="009C6D2B">
        <w:rPr>
          <w:color w:val="auto"/>
        </w:rPr>
        <w:t xml:space="preserve"> </w:t>
      </w:r>
    </w:p>
    <w:p w14:paraId="2309A116" w14:textId="77777777" w:rsidR="00141FEC" w:rsidRDefault="00141FEC" w:rsidP="00F1715B">
      <w:pPr>
        <w:spacing w:after="160" w:line="22" w:lineRule="atLeast"/>
        <w:rPr>
          <w:rFonts w:eastAsia="MS Gothic"/>
          <w:b/>
          <w:bCs/>
          <w:i/>
          <w:sz w:val="24"/>
          <w:szCs w:val="24"/>
        </w:rPr>
      </w:pPr>
      <w:r>
        <w:br w:type="page"/>
      </w:r>
    </w:p>
    <w:p w14:paraId="75111A86" w14:textId="108333C4" w:rsidR="004C09CF" w:rsidRDefault="004C09CF" w:rsidP="004C09CF">
      <w:pPr>
        <w:pStyle w:val="Heading3"/>
      </w:pPr>
      <w:r>
        <w:lastRenderedPageBreak/>
        <w:t>Intervention</w:t>
      </w:r>
    </w:p>
    <w:p w14:paraId="3856A125" w14:textId="001D948E" w:rsidR="00AA27AC" w:rsidRPr="00AA27AC" w:rsidRDefault="00AA27AC" w:rsidP="00F1715B">
      <w:pPr>
        <w:pStyle w:val="Instructionaltext"/>
        <w:spacing w:line="22" w:lineRule="atLeast"/>
        <w:rPr>
          <w:color w:val="auto"/>
          <w:u w:val="single"/>
        </w:rPr>
      </w:pPr>
      <w:r w:rsidRPr="00AA27AC">
        <w:rPr>
          <w:color w:val="auto"/>
          <w:u w:val="single"/>
        </w:rPr>
        <w:t>The proposed test</w:t>
      </w:r>
    </w:p>
    <w:p w14:paraId="7961DCB3" w14:textId="257C0BB8" w:rsidR="00253A76" w:rsidRPr="009C6D2B" w:rsidRDefault="00F86A88" w:rsidP="009C6D2B">
      <w:pPr>
        <w:pStyle w:val="Instructionaltext"/>
        <w:rPr>
          <w:color w:val="auto"/>
        </w:rPr>
      </w:pPr>
      <w:r w:rsidRPr="009C6D2B">
        <w:rPr>
          <w:color w:val="auto"/>
        </w:rPr>
        <w:t>The proposed test is HDV RNA PCR testing</w:t>
      </w:r>
      <w:r w:rsidR="00182853" w:rsidRPr="009C6D2B">
        <w:rPr>
          <w:color w:val="auto"/>
        </w:rPr>
        <w:t xml:space="preserve">, which is </w:t>
      </w:r>
      <w:r w:rsidR="0030452D" w:rsidRPr="009C6D2B">
        <w:rPr>
          <w:color w:val="auto"/>
        </w:rPr>
        <w:t>an in vitro diagnostic test. In Australia, only the Victorian Infectious Diseases Reference Laboratory (VIDRL) is currently providing the proposed medical service</w:t>
      </w:r>
      <w:r w:rsidR="0065098C" w:rsidRPr="009C6D2B">
        <w:rPr>
          <w:color w:val="auto"/>
        </w:rPr>
        <w:t xml:space="preserve"> (at a private cost to patients)</w:t>
      </w:r>
      <w:r w:rsidR="0030452D" w:rsidRPr="009C6D2B">
        <w:rPr>
          <w:color w:val="auto"/>
        </w:rPr>
        <w:t>, thus all samples collected nationally will need to be forwarded to VIDRL, Victoria for processing.</w:t>
      </w:r>
      <w:r w:rsidR="00253A76" w:rsidRPr="009C6D2B">
        <w:rPr>
          <w:color w:val="auto"/>
        </w:rPr>
        <w:t xml:space="preserve"> </w:t>
      </w:r>
      <w:r w:rsidR="00DE2E1A" w:rsidRPr="009C6D2B">
        <w:rPr>
          <w:color w:val="auto"/>
        </w:rPr>
        <w:t xml:space="preserve">The </w:t>
      </w:r>
      <w:r w:rsidR="007F7A81" w:rsidRPr="009C6D2B">
        <w:rPr>
          <w:color w:val="auto"/>
        </w:rPr>
        <w:t xml:space="preserve">HDV RNA PCR </w:t>
      </w:r>
      <w:r w:rsidR="00DE2E1A" w:rsidRPr="009C6D2B">
        <w:rPr>
          <w:color w:val="auto"/>
        </w:rPr>
        <w:t>test is National Association of Testing Authorities (NATA) accredited.</w:t>
      </w:r>
    </w:p>
    <w:p w14:paraId="2F596F02" w14:textId="73A3ACD2" w:rsidR="001D6BDC" w:rsidRPr="009C6D2B" w:rsidRDefault="004C09CF" w:rsidP="009C6D2B">
      <w:pPr>
        <w:pStyle w:val="Instructionaltext"/>
        <w:rPr>
          <w:color w:val="auto"/>
        </w:rPr>
      </w:pPr>
      <w:r w:rsidRPr="009C6D2B">
        <w:rPr>
          <w:color w:val="auto"/>
        </w:rPr>
        <w:t xml:space="preserve">The applicant states that </w:t>
      </w:r>
      <w:r w:rsidR="001D6BDC" w:rsidRPr="009C6D2B">
        <w:rPr>
          <w:color w:val="auto"/>
        </w:rPr>
        <w:t xml:space="preserve">the HDV RNA PCR test </w:t>
      </w:r>
      <w:r w:rsidRPr="009C6D2B">
        <w:rPr>
          <w:color w:val="auto"/>
        </w:rPr>
        <w:t xml:space="preserve">that will be </w:t>
      </w:r>
      <w:r w:rsidR="001D6BDC" w:rsidRPr="009C6D2B">
        <w:rPr>
          <w:color w:val="auto"/>
        </w:rPr>
        <w:t>used in Australia by VIDRL is expected to have a lower limit of detection (</w:t>
      </w:r>
      <w:proofErr w:type="spellStart"/>
      <w:r w:rsidR="001D6BDC" w:rsidRPr="009C6D2B">
        <w:rPr>
          <w:color w:val="auto"/>
        </w:rPr>
        <w:t>LLoD</w:t>
      </w:r>
      <w:proofErr w:type="spellEnd"/>
      <w:r w:rsidR="001D6BDC" w:rsidRPr="009C6D2B">
        <w:rPr>
          <w:color w:val="auto"/>
        </w:rPr>
        <w:t>) of 10</w:t>
      </w:r>
      <w:r w:rsidR="00E5352B" w:rsidRPr="009C6D2B">
        <w:rPr>
          <w:color w:val="auto"/>
        </w:rPr>
        <w:t> </w:t>
      </w:r>
      <w:r w:rsidR="001D6BDC" w:rsidRPr="009C6D2B">
        <w:rPr>
          <w:color w:val="auto"/>
        </w:rPr>
        <w:t>IU/</w:t>
      </w:r>
      <w:proofErr w:type="spellStart"/>
      <w:r w:rsidR="001D6BDC" w:rsidRPr="009C6D2B">
        <w:rPr>
          <w:color w:val="auto"/>
        </w:rPr>
        <w:t>mL.</w:t>
      </w:r>
      <w:proofErr w:type="spellEnd"/>
      <w:r w:rsidRPr="009C6D2B">
        <w:rPr>
          <w:color w:val="auto"/>
        </w:rPr>
        <w:t xml:space="preserve"> The</w:t>
      </w:r>
      <w:r w:rsidR="001D6BDC" w:rsidRPr="009C6D2B">
        <w:rPr>
          <w:color w:val="auto"/>
        </w:rPr>
        <w:t xml:space="preserve"> </w:t>
      </w:r>
      <w:r w:rsidRPr="009C6D2B">
        <w:rPr>
          <w:color w:val="auto"/>
        </w:rPr>
        <w:t xml:space="preserve">testing device in use at VIDRL </w:t>
      </w:r>
      <w:r w:rsidR="00E5352B" w:rsidRPr="009C6D2B">
        <w:rPr>
          <w:color w:val="auto"/>
        </w:rPr>
        <w:t>wa</w:t>
      </w:r>
      <w:r w:rsidRPr="009C6D2B">
        <w:rPr>
          <w:color w:val="auto"/>
        </w:rPr>
        <w:t xml:space="preserve">s developed based on the Abbott m2000 HDV PCR RNA test with a </w:t>
      </w:r>
      <w:proofErr w:type="spellStart"/>
      <w:r w:rsidRPr="009C6D2B">
        <w:rPr>
          <w:color w:val="auto"/>
        </w:rPr>
        <w:t>LLoD</w:t>
      </w:r>
      <w:proofErr w:type="spellEnd"/>
      <w:r w:rsidRPr="009C6D2B">
        <w:rPr>
          <w:color w:val="auto"/>
        </w:rPr>
        <w:t xml:space="preserve"> of 10</w:t>
      </w:r>
      <w:r w:rsidR="00E5352B" w:rsidRPr="009C6D2B">
        <w:rPr>
          <w:color w:val="auto"/>
        </w:rPr>
        <w:t> </w:t>
      </w:r>
      <w:r w:rsidRPr="009C6D2B">
        <w:rPr>
          <w:color w:val="auto"/>
        </w:rPr>
        <w:t>IU/</w:t>
      </w:r>
      <w:proofErr w:type="spellStart"/>
      <w:r w:rsidRPr="009C6D2B">
        <w:rPr>
          <w:color w:val="auto"/>
        </w:rPr>
        <w:t>mL.</w:t>
      </w:r>
      <w:proofErr w:type="spellEnd"/>
    </w:p>
    <w:p w14:paraId="46B9046A" w14:textId="3B245DE3" w:rsidR="00253A76" w:rsidRPr="009C6D2B" w:rsidRDefault="00253A76" w:rsidP="009C6D2B">
      <w:pPr>
        <w:pStyle w:val="Instructionaltext"/>
        <w:rPr>
          <w:color w:val="auto"/>
        </w:rPr>
      </w:pPr>
      <w:r w:rsidRPr="009C6D2B">
        <w:rPr>
          <w:color w:val="auto"/>
        </w:rPr>
        <w:t>The proposed test would be used in addition to already existing tests (e.g. antibody tests and ALT), not a</w:t>
      </w:r>
      <w:r w:rsidR="007F7A81" w:rsidRPr="009C6D2B">
        <w:rPr>
          <w:color w:val="auto"/>
        </w:rPr>
        <w:t>s a</w:t>
      </w:r>
      <w:r w:rsidRPr="009C6D2B">
        <w:rPr>
          <w:color w:val="auto"/>
        </w:rPr>
        <w:t xml:space="preserve"> replacement. Prior to the proposed HDV RNA PCR testing, all HBsAg positive cases are required to undergo HDV antibody testing. A serological diagnosis is made by detection of total antibody to HDV (anti-HDV) by enzyme-linked immunosorbent assay (ELISA); a positive HDV IgM result indicates ongoing replication.</w:t>
      </w:r>
    </w:p>
    <w:p w14:paraId="7D32971E" w14:textId="50C4605F" w:rsidR="00182853" w:rsidRPr="00246E1A" w:rsidRDefault="00182853" w:rsidP="00F1715B">
      <w:pPr>
        <w:spacing w:before="120" w:after="120" w:line="22" w:lineRule="atLeast"/>
        <w:rPr>
          <w:u w:val="single"/>
        </w:rPr>
      </w:pPr>
      <w:r w:rsidRPr="00246E1A">
        <w:rPr>
          <w:u w:val="single"/>
        </w:rPr>
        <w:t>Purpose of the proposed test for the codependent application</w:t>
      </w:r>
    </w:p>
    <w:p w14:paraId="6C51F6AB" w14:textId="77777777" w:rsidR="00182853" w:rsidRDefault="00182853" w:rsidP="00F1715B">
      <w:pPr>
        <w:pStyle w:val="Instructionaltext"/>
        <w:spacing w:line="22" w:lineRule="atLeast"/>
        <w:rPr>
          <w:color w:val="auto"/>
        </w:rPr>
      </w:pPr>
      <w:r>
        <w:rPr>
          <w:color w:val="auto"/>
        </w:rPr>
        <w:t xml:space="preserve">The applicant proposed two new MBS items: </w:t>
      </w:r>
    </w:p>
    <w:p w14:paraId="39F09AD3" w14:textId="730646E3" w:rsidR="00182853" w:rsidRDefault="00182853" w:rsidP="00F1715B">
      <w:pPr>
        <w:pStyle w:val="Instructionaltext"/>
        <w:numPr>
          <w:ilvl w:val="0"/>
          <w:numId w:val="29"/>
        </w:numPr>
        <w:spacing w:line="22" w:lineRule="atLeast"/>
        <w:rPr>
          <w:color w:val="auto"/>
        </w:rPr>
      </w:pPr>
      <w:r>
        <w:rPr>
          <w:color w:val="auto"/>
        </w:rPr>
        <w:t xml:space="preserve">one to detect the presence of HDV RNA (to be used for the purpose of diagnosing active HDV infection and thus assisting in determining eligibility to bulevirtide), and </w:t>
      </w:r>
    </w:p>
    <w:p w14:paraId="1EA78E8D" w14:textId="0E7BDCA7" w:rsidR="00957601" w:rsidRDefault="00182853" w:rsidP="00957601">
      <w:pPr>
        <w:pStyle w:val="Instructionaltext"/>
        <w:numPr>
          <w:ilvl w:val="0"/>
          <w:numId w:val="29"/>
        </w:numPr>
        <w:spacing w:line="22" w:lineRule="atLeast"/>
        <w:rPr>
          <w:color w:val="auto"/>
        </w:rPr>
      </w:pPr>
      <w:r>
        <w:rPr>
          <w:color w:val="auto"/>
        </w:rPr>
        <w:t>one to quantify levels of HDV RNA, to monitor the effectiveness of this treatment.</w:t>
      </w:r>
    </w:p>
    <w:p w14:paraId="4A86A6E4" w14:textId="77777777" w:rsidR="00F644A7" w:rsidRPr="00AA162E" w:rsidRDefault="00F644A7" w:rsidP="00AA162E">
      <w:pPr>
        <w:spacing w:before="200" w:after="0"/>
        <w:rPr>
          <w:i/>
          <w:szCs w:val="24"/>
        </w:rPr>
      </w:pPr>
      <w:r w:rsidRPr="00AA162E">
        <w:rPr>
          <w:i/>
          <w:szCs w:val="24"/>
        </w:rPr>
        <w:t>PASC noted that HDV RNA PCR is proposed to be a quantitative test (for quantitation of HDV RNA load) to help determine eligibility for and monitor treatment with bulevirtide. PASC accepted that there was no role for a qualitative test for these purposes. For future-proofing purposes, PASC advised that the item descriptor should be re-drafted to allow MSAC the option of supporting use of the proposed test for these purposes with any relevant PBS-listed medication.</w:t>
      </w:r>
    </w:p>
    <w:p w14:paraId="4E61CCF1" w14:textId="78411535" w:rsidR="00182853" w:rsidRPr="00A94084" w:rsidRDefault="00E01A8E" w:rsidP="00F1715B">
      <w:pPr>
        <w:spacing w:before="200" w:after="0" w:line="23" w:lineRule="atLeast"/>
        <w:rPr>
          <w:rFonts w:cs="Arial"/>
          <w:i/>
          <w:iCs/>
          <w:color w:val="2E74B5" w:themeColor="accent1" w:themeShade="BF"/>
        </w:rPr>
      </w:pPr>
      <w:r w:rsidRPr="00A94084">
        <w:rPr>
          <w:rFonts w:cs="Arial"/>
          <w:i/>
          <w:iCs/>
          <w:color w:val="2E74B5" w:themeColor="accent1" w:themeShade="BF"/>
        </w:rPr>
        <w:t>Diagnosis of chronic HDV</w:t>
      </w:r>
    </w:p>
    <w:p w14:paraId="2E7CF0D2" w14:textId="2D587562" w:rsidR="00E54670" w:rsidRPr="009C6D2B" w:rsidRDefault="00182853" w:rsidP="009C6D2B">
      <w:pPr>
        <w:pStyle w:val="Instructionaltext"/>
        <w:rPr>
          <w:color w:val="auto"/>
        </w:rPr>
      </w:pPr>
      <w:r w:rsidRPr="009C6D2B">
        <w:rPr>
          <w:color w:val="auto"/>
        </w:rPr>
        <w:t xml:space="preserve">In the key trial, HDV RNA PCR testing was also used for the purpose of determining </w:t>
      </w:r>
      <w:r w:rsidR="00E01A8E" w:rsidRPr="009C6D2B">
        <w:rPr>
          <w:color w:val="auto"/>
        </w:rPr>
        <w:t xml:space="preserve">the length of time a patient had an active infection, to determine if it could be classified as chronic HDV. </w:t>
      </w:r>
      <w:r w:rsidR="00E54670" w:rsidRPr="009C6D2B">
        <w:rPr>
          <w:color w:val="auto"/>
        </w:rPr>
        <w:t xml:space="preserve">The key </w:t>
      </w:r>
      <w:r w:rsidR="005466A0" w:rsidRPr="009C6D2B">
        <w:rPr>
          <w:color w:val="auto"/>
        </w:rPr>
        <w:t>bulevirtide</w:t>
      </w:r>
      <w:r w:rsidR="00E54670" w:rsidRPr="009C6D2B">
        <w:rPr>
          <w:color w:val="auto"/>
        </w:rPr>
        <w:t xml:space="preserve"> trial (NCT03852719) recruited participants with chronic HDV who were:</w:t>
      </w:r>
    </w:p>
    <w:p w14:paraId="0A2F86DA" w14:textId="7C095787" w:rsidR="00E54670" w:rsidRPr="00E54670" w:rsidRDefault="00E54670" w:rsidP="00F1715B">
      <w:pPr>
        <w:numPr>
          <w:ilvl w:val="0"/>
          <w:numId w:val="21"/>
        </w:numPr>
        <w:spacing w:before="120" w:after="0" w:line="22" w:lineRule="atLeast"/>
        <w:ind w:left="714" w:hanging="357"/>
      </w:pPr>
      <w:r w:rsidRPr="00E54670">
        <w:t>anti-HDV antibody positive OR HDV RNA PCR positive for at least 6 months before screening</w:t>
      </w:r>
      <w:r w:rsidR="009C6D2B">
        <w:t xml:space="preserve"> </w:t>
      </w:r>
      <w:r w:rsidRPr="00E54670">
        <w:t>AND</w:t>
      </w:r>
    </w:p>
    <w:p w14:paraId="5C551583" w14:textId="59D72FE2" w:rsidR="00E54670" w:rsidRPr="00E54670" w:rsidRDefault="00E54670" w:rsidP="00F1715B">
      <w:pPr>
        <w:numPr>
          <w:ilvl w:val="0"/>
          <w:numId w:val="21"/>
        </w:numPr>
        <w:spacing w:after="120" w:line="22" w:lineRule="atLeast"/>
        <w:ind w:left="714" w:hanging="357"/>
      </w:pPr>
      <w:r w:rsidRPr="00E54670">
        <w:t>positive HDV RNA PCR at screening.</w:t>
      </w:r>
    </w:p>
    <w:p w14:paraId="5CECDEC3" w14:textId="02935179" w:rsidR="00E54670" w:rsidRPr="009C6D2B" w:rsidRDefault="00E54670" w:rsidP="009C6D2B">
      <w:pPr>
        <w:pStyle w:val="Instructionaltext"/>
        <w:rPr>
          <w:color w:val="auto"/>
        </w:rPr>
      </w:pPr>
      <w:r w:rsidRPr="009C6D2B">
        <w:rPr>
          <w:color w:val="auto"/>
        </w:rPr>
        <w:t>During the PICO process, the applicant clarified that it is proposed that patients who test negative on HDV RNA PCR and are being managed for HBV but are suspected of having chronic HDV (based on clinical judgement) are monitored for HDV RNA via a PCR test up to a maximum of two times per year.</w:t>
      </w:r>
    </w:p>
    <w:p w14:paraId="4307952A" w14:textId="5EABFCD7" w:rsidR="00E54670" w:rsidRPr="00AA162E" w:rsidRDefault="00F644A7" w:rsidP="00AA162E">
      <w:pPr>
        <w:spacing w:before="200" w:after="0"/>
        <w:rPr>
          <w:i/>
          <w:szCs w:val="24"/>
        </w:rPr>
      </w:pPr>
      <w:r w:rsidRPr="00AA162E">
        <w:rPr>
          <w:i/>
          <w:szCs w:val="24"/>
        </w:rPr>
        <w:lastRenderedPageBreak/>
        <w:t>PASC confirmed that a restriction of two tests per year (consistent with a frequency of a test every 6 months) is appropriate both for establishing a diagnosis of chronic active HDV infection before bulevirtide and for monitoring treatment with bulevirtide.</w:t>
      </w:r>
    </w:p>
    <w:p w14:paraId="6B80F283" w14:textId="4375A12F" w:rsidR="00E01A8E" w:rsidRPr="00A94084" w:rsidRDefault="00E01A8E" w:rsidP="00F1715B">
      <w:pPr>
        <w:spacing w:before="120" w:after="120" w:line="22" w:lineRule="atLeast"/>
        <w:rPr>
          <w:i/>
          <w:color w:val="2E74B5" w:themeColor="accent1" w:themeShade="BF"/>
        </w:rPr>
      </w:pPr>
      <w:r w:rsidRPr="00A94084">
        <w:rPr>
          <w:i/>
          <w:color w:val="2E74B5" w:themeColor="accent1" w:themeShade="BF"/>
        </w:rPr>
        <w:t>Monitoring of effectiveness of bulevirtide treatment</w:t>
      </w:r>
    </w:p>
    <w:p w14:paraId="4EF49847" w14:textId="1B214810" w:rsidR="00893FE1" w:rsidRPr="009C6D2B" w:rsidRDefault="00893FE1" w:rsidP="009C6D2B">
      <w:pPr>
        <w:pStyle w:val="Instructionaltext"/>
        <w:rPr>
          <w:color w:val="auto"/>
        </w:rPr>
      </w:pPr>
      <w:r w:rsidRPr="009C6D2B">
        <w:rPr>
          <w:color w:val="auto"/>
        </w:rPr>
        <w:t xml:space="preserve">The application requested ongoing HDV RNA PCR testing </w:t>
      </w:r>
      <w:r w:rsidR="00E01A8E" w:rsidRPr="009C6D2B">
        <w:rPr>
          <w:color w:val="auto"/>
        </w:rPr>
        <w:t xml:space="preserve">(maximum two tests per year) </w:t>
      </w:r>
      <w:r w:rsidRPr="009C6D2B">
        <w:rPr>
          <w:color w:val="auto"/>
        </w:rPr>
        <w:t xml:space="preserve">for patients taking bulevirtide for the purpose of assessing treatment effectiveness. </w:t>
      </w:r>
      <w:r w:rsidR="00222507" w:rsidRPr="00CC3EC1">
        <w:rPr>
          <w:rFonts w:cs="Arial"/>
          <w:b/>
          <w:bCs/>
          <w:color w:val="auto"/>
        </w:rPr>
        <w:t>REDACTED</w:t>
      </w:r>
      <w:r w:rsidR="00CC3EC1">
        <w:rPr>
          <w:color w:val="auto"/>
        </w:rPr>
        <w:t>.</w:t>
      </w:r>
      <w:r w:rsidR="002C172A" w:rsidRPr="002C172A">
        <w:rPr>
          <w:color w:val="auto"/>
        </w:rPr>
        <w:t xml:space="preserve"> </w:t>
      </w:r>
    </w:p>
    <w:p w14:paraId="547230CB" w14:textId="10106B68" w:rsidR="00AA27AC" w:rsidRDefault="00AA27AC" w:rsidP="00F1715B">
      <w:pPr>
        <w:spacing w:before="120" w:after="120" w:line="22" w:lineRule="atLeast"/>
        <w:rPr>
          <w:u w:val="single"/>
        </w:rPr>
      </w:pPr>
      <w:r>
        <w:rPr>
          <w:u w:val="single"/>
        </w:rPr>
        <w:t>The proposed treatment</w:t>
      </w:r>
    </w:p>
    <w:p w14:paraId="03F3B87E" w14:textId="47623034" w:rsidR="00BB4E22" w:rsidRPr="009C6D2B" w:rsidRDefault="006A5407" w:rsidP="009C6D2B">
      <w:pPr>
        <w:pStyle w:val="Instructionaltext"/>
        <w:rPr>
          <w:color w:val="auto"/>
        </w:rPr>
      </w:pPr>
      <w:r w:rsidRPr="009C6D2B">
        <w:rPr>
          <w:color w:val="auto"/>
        </w:rPr>
        <w:t>The proposed treatment is</w:t>
      </w:r>
      <w:r w:rsidR="004C09CF" w:rsidRPr="009C6D2B">
        <w:rPr>
          <w:color w:val="auto"/>
        </w:rPr>
        <w:t xml:space="preserve"> bulevirtide</w:t>
      </w:r>
      <w:r w:rsidR="00256BA4" w:rsidRPr="009C6D2B">
        <w:rPr>
          <w:color w:val="auto"/>
        </w:rPr>
        <w:t xml:space="preserve">, which is </w:t>
      </w:r>
      <w:r w:rsidR="00BB4E22" w:rsidRPr="009C6D2B">
        <w:rPr>
          <w:color w:val="auto"/>
        </w:rPr>
        <w:t>a</w:t>
      </w:r>
      <w:r w:rsidR="00EF0111" w:rsidRPr="009C6D2B">
        <w:rPr>
          <w:color w:val="auto"/>
        </w:rPr>
        <w:t>n</w:t>
      </w:r>
      <w:r w:rsidR="00BB4E22" w:rsidRPr="009C6D2B">
        <w:rPr>
          <w:color w:val="auto"/>
        </w:rPr>
        <w:t xml:space="preserve"> HBV/HDV entry inhibitor. The bile acid transporter</w:t>
      </w:r>
      <w:r w:rsidR="00C123B0" w:rsidRPr="009C6D2B">
        <w:rPr>
          <w:color w:val="auto"/>
        </w:rPr>
        <w:t xml:space="preserve"> </w:t>
      </w:r>
      <w:r w:rsidR="00BB4E22" w:rsidRPr="009C6D2B">
        <w:rPr>
          <w:color w:val="auto"/>
        </w:rPr>
        <w:t>NTCP</w:t>
      </w:r>
      <w:r w:rsidR="007F7A81" w:rsidRPr="009C6D2B">
        <w:rPr>
          <w:color w:val="auto"/>
        </w:rPr>
        <w:t xml:space="preserve"> (sodium taurocholate </w:t>
      </w:r>
      <w:proofErr w:type="spellStart"/>
      <w:r w:rsidR="007F7A81" w:rsidRPr="009C6D2B">
        <w:rPr>
          <w:color w:val="auto"/>
        </w:rPr>
        <w:t>cotransporting</w:t>
      </w:r>
      <w:proofErr w:type="spellEnd"/>
      <w:r w:rsidR="007F7A81" w:rsidRPr="009C6D2B">
        <w:rPr>
          <w:color w:val="auto"/>
        </w:rPr>
        <w:t xml:space="preserve"> polypeptide)</w:t>
      </w:r>
      <w:r w:rsidR="00BB4E22" w:rsidRPr="009C6D2B">
        <w:rPr>
          <w:color w:val="auto"/>
        </w:rPr>
        <w:t xml:space="preserve"> is targeted by the drug, which leads to an increase in bile acids during treatment.</w:t>
      </w:r>
      <w:r w:rsidR="00C123B0" w:rsidRPr="009C6D2B">
        <w:rPr>
          <w:color w:val="auto"/>
        </w:rPr>
        <w:t xml:space="preserve"> When NTCP is blocked, HBV and HDV </w:t>
      </w:r>
      <w:proofErr w:type="spellStart"/>
      <w:r w:rsidR="00C123B0" w:rsidRPr="009C6D2B">
        <w:rPr>
          <w:color w:val="auto"/>
        </w:rPr>
        <w:t>virons</w:t>
      </w:r>
      <w:proofErr w:type="spellEnd"/>
      <w:r w:rsidR="00C123B0" w:rsidRPr="009C6D2B">
        <w:rPr>
          <w:color w:val="auto"/>
        </w:rPr>
        <w:t xml:space="preserve"> are blocked from entering the cell </w:t>
      </w:r>
      <w:r w:rsidR="008334DB" w:rsidRPr="009C6D2B">
        <w:rPr>
          <w:color w:val="auto"/>
        </w:rPr>
        <w:fldChar w:fldCharType="begin"/>
      </w:r>
      <w:r w:rsidR="008334DB" w:rsidRPr="009C6D2B">
        <w:rPr>
          <w:color w:val="auto"/>
        </w:rPr>
        <w:instrText xml:space="preserve"> ADDIN EN.CITE &lt;EndNote&gt;&lt;Cite&gt;&lt;Author&gt;Yardeni&lt;/Author&gt;&lt;Year&gt;2022&lt;/Year&gt;&lt;RecNum&gt;13&lt;/RecNum&gt;&lt;DisplayText&gt;(Yardeni, Heller &amp;amp; Koh 2022)&lt;/DisplayText&gt;&lt;record&gt;&lt;rec-number&gt;13&lt;/rec-number&gt;&lt;foreign-keys&gt;&lt;key app="EN" db-id="9r2v5a9alpsw54edwfqp9pte925d5pfszed2" timestamp="1646696116"&gt;13&lt;/key&gt;&lt;/foreign-keys&gt;&lt;ref-type name="Journal Article"&gt;17&lt;/ref-type&gt;&lt;contributors&gt;&lt;authors&gt;&lt;author&gt;Yardeni, D.&lt;/author&gt;&lt;author&gt;Heller, T.&lt;/author&gt;&lt;author&gt;Koh, C.&lt;/author&gt;&lt;/authors&gt;&lt;/contributors&gt;&lt;auth-address&gt;Liver Diseases Branch, National Institute of Diabetes &amp;amp; Digestive &amp;amp; Kidney Diseases, National Institutes of Health, Bethesda, Maryland, USA.&lt;/auth-address&gt;&lt;titles&gt;&lt;title&gt;Chronic hepatitis D-What is changing?&lt;/title&gt;&lt;secondary-title&gt;J Viral Hepat&lt;/secondary-title&gt;&lt;/titles&gt;&lt;periodical&gt;&lt;full-title&gt;J Viral Hepat&lt;/full-title&gt;&lt;/periodical&gt;&lt;edition&gt;2022/02/06&lt;/edition&gt;&lt;keywords&gt;&lt;keyword&gt;chronic liver disease&lt;/keyword&gt;&lt;keyword&gt;hepatitis D&lt;/keyword&gt;&lt;keyword&gt;treatment&lt;/keyword&gt;&lt;/keywords&gt;&lt;dates&gt;&lt;year&gt;2022&lt;/year&gt;&lt;pub-dates&gt;&lt;date&gt;Feb 4&lt;/date&gt;&lt;/pub-dates&gt;&lt;/dates&gt;&lt;isbn&gt;1365-2893 (Electronic)&amp;#xD;1352-0504 (Linking)&lt;/isbn&gt;&lt;accession-num&gt;35122369&lt;/accession-num&gt;&lt;urls&gt;&lt;related-urls&gt;&lt;url&gt;https://www.ncbi.nlm.nih.gov/pubmed/35122369&lt;/url&gt;&lt;url&gt;https://onlinelibrary.wiley.com/doi/pdfdirect/10.1111/jvh.13651?download=true&lt;/url&gt;&lt;/related-urls&gt;&lt;/urls&gt;&lt;electronic-resource-num&gt;10.1111/jvh.13651&lt;/electronic-resource-num&gt;&lt;/record&gt;&lt;/Cite&gt;&lt;/EndNote&gt;</w:instrText>
      </w:r>
      <w:r w:rsidR="008334DB" w:rsidRPr="009C6D2B">
        <w:rPr>
          <w:color w:val="auto"/>
        </w:rPr>
        <w:fldChar w:fldCharType="separate"/>
      </w:r>
      <w:r w:rsidR="008334DB" w:rsidRPr="009C6D2B">
        <w:rPr>
          <w:color w:val="auto"/>
        </w:rPr>
        <w:t>(Yardeni, Heller &amp; Koh 2022)</w:t>
      </w:r>
      <w:r w:rsidR="008334DB" w:rsidRPr="009C6D2B">
        <w:rPr>
          <w:color w:val="auto"/>
        </w:rPr>
        <w:fldChar w:fldCharType="end"/>
      </w:r>
      <w:r w:rsidR="004C09CF" w:rsidRPr="009C6D2B">
        <w:rPr>
          <w:color w:val="auto"/>
        </w:rPr>
        <w:t xml:space="preserve">. </w:t>
      </w:r>
      <w:r w:rsidR="00BB4E22" w:rsidRPr="009C6D2B">
        <w:rPr>
          <w:color w:val="auto"/>
        </w:rPr>
        <w:t xml:space="preserve">In trials, bulevirtide has been administered as a subcutaneous injection daily (2-10 mg) </w:t>
      </w:r>
      <w:r w:rsidR="008334DB" w:rsidRPr="009C6D2B">
        <w:rPr>
          <w:color w:val="auto"/>
        </w:rPr>
        <w:fldChar w:fldCharType="begin">
          <w:fldData xml:space="preserve">PEVuZE5vdGU+PENpdGU+PEF1dGhvcj5TYW5kbWFubjwvQXV0aG9yPjxZZWFyPjIwMjE8L1llYXI+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</w:fldData>
        </w:fldChar>
      </w:r>
      <w:r w:rsidR="008334DB" w:rsidRPr="009C6D2B">
        <w:rPr>
          <w:color w:val="auto"/>
        </w:rPr>
        <w:instrText xml:space="preserve"> ADDIN EN.CITE </w:instrText>
      </w:r>
      <w:r w:rsidR="008334DB" w:rsidRPr="009C6D2B">
        <w:rPr>
          <w:color w:val="auto"/>
        </w:rPr>
        <w:fldChar w:fldCharType="begin">
          <w:fldData xml:space="preserve">PEVuZE5vdGU+PENpdGU+PEF1dGhvcj5TYW5kbWFubjwvQXV0aG9yPjxZZWFyPjIwMjE8L1llYXI+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</w:fldData>
        </w:fldChar>
      </w:r>
      <w:r w:rsidR="008334DB" w:rsidRPr="009C6D2B">
        <w:rPr>
          <w:color w:val="auto"/>
        </w:rPr>
        <w:instrText xml:space="preserve"> ADDIN EN.CITE.DATA </w:instrText>
      </w:r>
      <w:r w:rsidR="008334DB" w:rsidRPr="009C6D2B">
        <w:rPr>
          <w:color w:val="auto"/>
        </w:rPr>
      </w:r>
      <w:r w:rsidR="008334DB" w:rsidRPr="009C6D2B">
        <w:rPr>
          <w:color w:val="auto"/>
        </w:rPr>
        <w:fldChar w:fldCharType="end"/>
      </w:r>
      <w:r w:rsidR="008334DB" w:rsidRPr="009C6D2B">
        <w:rPr>
          <w:color w:val="auto"/>
        </w:rPr>
      </w:r>
      <w:r w:rsidR="008334DB" w:rsidRPr="009C6D2B">
        <w:rPr>
          <w:color w:val="auto"/>
        </w:rPr>
        <w:fldChar w:fldCharType="separate"/>
      </w:r>
      <w:r w:rsidR="008334DB" w:rsidRPr="009C6D2B">
        <w:rPr>
          <w:color w:val="auto"/>
        </w:rPr>
        <w:t>(Sandmann &amp; Wedemeyer 2021)</w:t>
      </w:r>
      <w:r w:rsidR="008334DB" w:rsidRPr="009C6D2B">
        <w:rPr>
          <w:color w:val="auto"/>
        </w:rPr>
        <w:fldChar w:fldCharType="end"/>
      </w:r>
      <w:r w:rsidR="00BB4E22" w:rsidRPr="009C6D2B">
        <w:rPr>
          <w:color w:val="auto"/>
        </w:rPr>
        <w:t xml:space="preserve">. </w:t>
      </w:r>
      <w:r w:rsidR="00421AD0" w:rsidRPr="009C6D2B">
        <w:rPr>
          <w:color w:val="auto"/>
        </w:rPr>
        <w:t xml:space="preserve">Bulevirtide therapy is not curative, and ongoing treatment is required (i.e. chronic treatment). </w:t>
      </w:r>
      <w:r w:rsidR="00BD27B9" w:rsidRPr="009C6D2B">
        <w:rPr>
          <w:color w:val="auto"/>
        </w:rPr>
        <w:t>The applicant states that c</w:t>
      </w:r>
      <w:r w:rsidR="00421AD0" w:rsidRPr="009C6D2B">
        <w:rPr>
          <w:color w:val="auto"/>
        </w:rPr>
        <w:t xml:space="preserve">hronic treatment would be necessary as viral rebound occurs </w:t>
      </w:r>
      <w:r w:rsidR="00BD27B9" w:rsidRPr="009C6D2B">
        <w:rPr>
          <w:color w:val="auto"/>
        </w:rPr>
        <w:t>and the treatment response is lost if treatment is stopped</w:t>
      </w:r>
      <w:r w:rsidR="00BB6EEE" w:rsidRPr="009C6D2B">
        <w:rPr>
          <w:color w:val="auto"/>
        </w:rPr>
        <w:t>.</w:t>
      </w:r>
    </w:p>
    <w:p w14:paraId="76619912" w14:textId="315D7C39" w:rsidR="004B6755" w:rsidRPr="009C6D2B" w:rsidRDefault="00514E76" w:rsidP="009C6D2B">
      <w:pPr>
        <w:pStyle w:val="Instructionaltext"/>
        <w:rPr>
          <w:color w:val="auto"/>
        </w:rPr>
      </w:pPr>
      <w:r w:rsidRPr="009C6D2B">
        <w:rPr>
          <w:color w:val="auto"/>
        </w:rPr>
        <w:t xml:space="preserve">Currently, there is no </w:t>
      </w:r>
      <w:r w:rsidR="00EC17F7" w:rsidRPr="009C6D2B">
        <w:rPr>
          <w:color w:val="auto"/>
        </w:rPr>
        <w:t>TGA-</w:t>
      </w:r>
      <w:r w:rsidRPr="009C6D2B">
        <w:rPr>
          <w:color w:val="auto"/>
        </w:rPr>
        <w:t xml:space="preserve">approved therapy for chronic HDV </w:t>
      </w:r>
      <w:r w:rsidR="008334DB" w:rsidRPr="009C6D2B">
        <w:rPr>
          <w:color w:val="auto"/>
        </w:rPr>
        <w:fldChar w:fldCharType="begin"/>
      </w:r>
      <w:r w:rsidR="008334DB" w:rsidRPr="009C6D2B">
        <w:rPr>
          <w:color w:val="auto"/>
        </w:rPr>
        <w:instrText xml:space="preserve"> ADDIN EN.CITE &lt;EndNote&gt;&lt;Cite&gt;&lt;Author&gt;Shah&lt;/Author&gt;&lt;Year&gt;2019&lt;/Year&gt;&lt;RecNum&gt;1&lt;/RecNum&gt;&lt;IDText&gt;396-402&lt;/IDText&gt;&lt;DisplayText&gt;(Shah et al. 2019)&lt;/DisplayText&gt;&lt;record&gt;&lt;rec-number&gt;1&lt;/rec-number&gt;&lt;foreign-keys&gt;&lt;key app="EN" db-id="9r2v5a9alpsw54edwfqp9pte925d5pfszed2" timestamp="1644892046"&gt;1&lt;/key&gt;&lt;/foreign-keys&gt;&lt;ref-type name="Journal Article"&gt;17&lt;/ref-type&gt;&lt;contributors&gt;&lt;authors&gt;&lt;author&gt;Shah, P. A.&lt;/author&gt;&lt;author&gt;Choudhry, S.&lt;/author&gt;&lt;author&gt;Reyes, K. J. C.&lt;/author&gt;&lt;author&gt;Lau, D. T. Y.&lt;/author&gt;&lt;/authors&gt;&lt;/contributors&gt;&lt;auth-address&gt;Division of Gastroenterology, Beth Israel Deaconess Medical Center, Harvard Medical School, Boston, MA, USA.&amp;#xD;Neuroendocrine Unit, Massachusetts General Hospital, Harvard Medical School, Boston, MA, USA.&lt;/auth-address&gt;&lt;titles&gt;&lt;title&gt;An update on the management of chronic hepatitis D&lt;/title&gt;&lt;secondary-title&gt;Gastroenterol Rep (Oxf)&lt;/secondary-title&gt;&lt;/titles&gt;&lt;periodical&gt;&lt;full-title&gt;Gastroenterol Rep (Oxf)&lt;/full-title&gt;&lt;/periodical&gt;&lt;pages&gt;396-402&lt;/pages&gt;&lt;volume&gt;7&lt;/volume&gt;&lt;number&gt;6&lt;/number&gt;&lt;edition&gt;2020/06/05&lt;/edition&gt;&lt;keywords&gt;&lt;keyword&gt;HDV diagnostics&lt;/keyword&gt;&lt;keyword&gt;HDV therapy&lt;/keyword&gt;&lt;keyword&gt;chronic hepatitis D&lt;/keyword&gt;&lt;keyword&gt;interferon&lt;/keyword&gt;&lt;keyword&gt;lonafarnib&lt;/keyword&gt;&lt;keyword&gt;myrcludex B&lt;/keyword&gt;&lt;/keywords&gt;&lt;dates&gt;&lt;year&gt;2019&lt;/year&gt;&lt;pub-dates&gt;&lt;date&gt;Dec&lt;/date&gt;&lt;/pub-dates&gt;&lt;/dates&gt;&lt;isbn&gt;2052-0034 (Print)&lt;/isbn&gt;&lt;accession-num&gt;32494363&lt;/accession-num&gt;&lt;urls&gt;&lt;related-urls&gt;&lt;url&gt;https://www.ncbi.nlm.nih.gov/pubmed/32494363&lt;/url&gt;&lt;url&gt;https://www.ncbi.nlm.nih.gov/pmc/articles/PMC7249531/pdf/goz052.pdf&lt;/url&gt;&lt;/related-urls&gt;&lt;/urls&gt;&lt;custom2&gt;PMC7249531&lt;/custom2&gt;&lt;electronic-resource-num&gt;10.1093/gastro/goz052&lt;/electronic-resource-num&gt;&lt;/record&gt;&lt;/Cite&gt;&lt;/EndNote&gt;</w:instrText>
      </w:r>
      <w:r w:rsidR="008334DB" w:rsidRPr="009C6D2B">
        <w:rPr>
          <w:color w:val="auto"/>
        </w:rPr>
        <w:fldChar w:fldCharType="separate"/>
      </w:r>
      <w:r w:rsidR="008334DB" w:rsidRPr="009C6D2B">
        <w:rPr>
          <w:color w:val="auto"/>
        </w:rPr>
        <w:t>(Shah et al. 2019)</w:t>
      </w:r>
      <w:r w:rsidR="008334DB" w:rsidRPr="009C6D2B">
        <w:rPr>
          <w:color w:val="auto"/>
        </w:rPr>
        <w:fldChar w:fldCharType="end"/>
      </w:r>
      <w:r w:rsidR="00C123B0" w:rsidRPr="009C6D2B">
        <w:rPr>
          <w:color w:val="auto"/>
        </w:rPr>
        <w:t xml:space="preserve"> (see the Comparators section below).</w:t>
      </w:r>
      <w:r w:rsidR="000A6154" w:rsidRPr="009C6D2B">
        <w:rPr>
          <w:color w:val="auto"/>
        </w:rPr>
        <w:t xml:space="preserve"> </w:t>
      </w:r>
      <w:bookmarkStart w:id="3" w:name="_Hlk106798071"/>
      <w:r w:rsidR="000A6154" w:rsidRPr="009C6D2B">
        <w:rPr>
          <w:color w:val="auto"/>
        </w:rPr>
        <w:t xml:space="preserve">Bulevirtide has </w:t>
      </w:r>
      <w:r w:rsidR="00066AB6">
        <w:rPr>
          <w:color w:val="auto"/>
        </w:rPr>
        <w:t xml:space="preserve"> been granted a</w:t>
      </w:r>
      <w:r w:rsidR="000A6154" w:rsidRPr="009C6D2B">
        <w:rPr>
          <w:color w:val="auto"/>
        </w:rPr>
        <w:t xml:space="preserve"> designation (orphan drug) and determination (priority review) by the </w:t>
      </w:r>
      <w:r w:rsidR="00EC17F7" w:rsidRPr="009C6D2B">
        <w:rPr>
          <w:color w:val="auto"/>
        </w:rPr>
        <w:t>TGA</w:t>
      </w:r>
      <w:r w:rsidR="000A6154" w:rsidRPr="009C6D2B">
        <w:rPr>
          <w:color w:val="auto"/>
        </w:rPr>
        <w:t xml:space="preserve"> with a lapse date of 19/07/2022, </w:t>
      </w:r>
      <w:r w:rsidR="00066AB6">
        <w:rPr>
          <w:color w:val="auto"/>
        </w:rPr>
        <w:t xml:space="preserve">for the requested indication </w:t>
      </w:r>
      <w:r w:rsidR="000A6154" w:rsidRPr="009C6D2B">
        <w:rPr>
          <w:color w:val="auto"/>
        </w:rPr>
        <w:t>for the treatment of chronic HDV infection in adult patients with compensated liver disease</w:t>
      </w:r>
      <w:r w:rsidR="005844D3" w:rsidRPr="00D62A0D">
        <w:rPr>
          <w:color w:val="auto"/>
          <w:vertAlign w:val="superscript"/>
        </w:rPr>
        <w:footnoteReference w:id="3"/>
      </w:r>
      <w:r w:rsidR="000A6154" w:rsidRPr="009C6D2B">
        <w:rPr>
          <w:color w:val="auto"/>
        </w:rPr>
        <w:t xml:space="preserve">. At the time of </w:t>
      </w:r>
      <w:r w:rsidR="0045365F" w:rsidRPr="009C6D2B">
        <w:rPr>
          <w:color w:val="auto"/>
        </w:rPr>
        <w:t xml:space="preserve">finalising </w:t>
      </w:r>
      <w:r w:rsidR="000A6154" w:rsidRPr="009C6D2B">
        <w:rPr>
          <w:color w:val="auto"/>
        </w:rPr>
        <w:t xml:space="preserve">this PICO </w:t>
      </w:r>
      <w:r w:rsidR="007B6A6D" w:rsidRPr="009C6D2B">
        <w:rPr>
          <w:color w:val="auto"/>
        </w:rPr>
        <w:t xml:space="preserve">Confirmation </w:t>
      </w:r>
      <w:r w:rsidR="000A6154" w:rsidRPr="009C6D2B">
        <w:rPr>
          <w:color w:val="auto"/>
        </w:rPr>
        <w:t>(M</w:t>
      </w:r>
      <w:r w:rsidR="0045365F" w:rsidRPr="009C6D2B">
        <w:rPr>
          <w:color w:val="auto"/>
        </w:rPr>
        <w:t>ay</w:t>
      </w:r>
      <w:r w:rsidR="000A6154" w:rsidRPr="009C6D2B">
        <w:rPr>
          <w:color w:val="auto"/>
        </w:rPr>
        <w:t xml:space="preserve"> 2022)</w:t>
      </w:r>
      <w:r w:rsidR="00EC17F7" w:rsidRPr="009C6D2B">
        <w:rPr>
          <w:color w:val="auto"/>
        </w:rPr>
        <w:t>,</w:t>
      </w:r>
      <w:r w:rsidR="000A6154" w:rsidRPr="009C6D2B">
        <w:rPr>
          <w:color w:val="auto"/>
        </w:rPr>
        <w:t xml:space="preserve"> bulevirtide has not been </w:t>
      </w:r>
      <w:r w:rsidR="00EC17F7" w:rsidRPr="009C6D2B">
        <w:rPr>
          <w:color w:val="auto"/>
        </w:rPr>
        <w:t>registered</w:t>
      </w:r>
      <w:r w:rsidR="000A6154" w:rsidRPr="009C6D2B">
        <w:rPr>
          <w:color w:val="auto"/>
        </w:rPr>
        <w:t xml:space="preserve"> on the ARTG.</w:t>
      </w:r>
      <w:bookmarkEnd w:id="3"/>
    </w:p>
    <w:p w14:paraId="1DE1E058" w14:textId="77777777" w:rsidR="005E5AA1" w:rsidRDefault="00C123B0" w:rsidP="009C6D2B">
      <w:pPr>
        <w:pStyle w:val="Instructionaltext"/>
        <w:rPr>
          <w:color w:val="auto"/>
        </w:rPr>
      </w:pPr>
      <w:r>
        <w:rPr>
          <w:color w:val="auto"/>
        </w:rPr>
        <w:t xml:space="preserve">The use of HDV RNA PCR testing and subsequent treatment with </w:t>
      </w:r>
      <w:bookmarkStart w:id="4" w:name="_Hlk98489750"/>
      <w:r>
        <w:rPr>
          <w:color w:val="auto"/>
        </w:rPr>
        <w:t xml:space="preserve">bulevirtide </w:t>
      </w:r>
      <w:bookmarkEnd w:id="4"/>
      <w:r>
        <w:rPr>
          <w:color w:val="auto"/>
        </w:rPr>
        <w:t xml:space="preserve">will not alter the treatment of </w:t>
      </w:r>
      <w:r w:rsidR="00EC17F7">
        <w:rPr>
          <w:color w:val="auto"/>
        </w:rPr>
        <w:t xml:space="preserve">the underlying </w:t>
      </w:r>
      <w:r>
        <w:rPr>
          <w:color w:val="auto"/>
        </w:rPr>
        <w:t>HBV.</w:t>
      </w:r>
    </w:p>
    <w:p w14:paraId="665B0675" w14:textId="57241260" w:rsidR="007A66C8" w:rsidRPr="00467199" w:rsidRDefault="007A66C8" w:rsidP="00467199">
      <w:pPr>
        <w:pStyle w:val="Heading3"/>
      </w:pPr>
      <w:r w:rsidRPr="00467199">
        <w:t>Comparator</w:t>
      </w:r>
      <w:r w:rsidR="007D6B83" w:rsidRPr="00467199">
        <w:t>(</w:t>
      </w:r>
      <w:r w:rsidR="008F1532" w:rsidRPr="00467199">
        <w:t>s</w:t>
      </w:r>
      <w:r w:rsidR="007D6B83" w:rsidRPr="00467199">
        <w:t>)</w:t>
      </w:r>
    </w:p>
    <w:p w14:paraId="5155AC8F" w14:textId="7FA769F0" w:rsidR="00C44A83" w:rsidRPr="00AA27AC" w:rsidRDefault="00C44A83" w:rsidP="00C44A83">
      <w:pPr>
        <w:pStyle w:val="Instructionaltext"/>
        <w:rPr>
          <w:color w:val="auto"/>
          <w:u w:val="single"/>
        </w:rPr>
      </w:pPr>
      <w:r w:rsidRPr="00AA27AC">
        <w:rPr>
          <w:color w:val="auto"/>
          <w:u w:val="single"/>
        </w:rPr>
        <w:t xml:space="preserve">The </w:t>
      </w:r>
      <w:r w:rsidR="007F7A81">
        <w:rPr>
          <w:color w:val="auto"/>
          <w:u w:val="single"/>
        </w:rPr>
        <w:t>t</w:t>
      </w:r>
      <w:r w:rsidRPr="00AA27AC">
        <w:rPr>
          <w:color w:val="auto"/>
          <w:u w:val="single"/>
        </w:rPr>
        <w:t>est</w:t>
      </w:r>
    </w:p>
    <w:p w14:paraId="08943133" w14:textId="03C0187A" w:rsidR="00C44A83" w:rsidRDefault="0093404F" w:rsidP="009C6D2B">
      <w:pPr>
        <w:pStyle w:val="Instructionaltext"/>
        <w:rPr>
          <w:color w:val="auto"/>
        </w:rPr>
      </w:pPr>
      <w:r>
        <w:rPr>
          <w:color w:val="auto"/>
        </w:rPr>
        <w:t xml:space="preserve">In the current treatment pathway for patients with chronic HDV, there is no HDV RNA PCR testing. The comparator therefore is ‘no HDV RNA PCR testing’. The proposed medical testing is expected to </w:t>
      </w:r>
      <w:r w:rsidR="00C44A83">
        <w:rPr>
          <w:color w:val="auto"/>
        </w:rPr>
        <w:t>be used in addition to current tests.</w:t>
      </w:r>
    </w:p>
    <w:p w14:paraId="7B77AFC9" w14:textId="6B2811C4" w:rsidR="00484125" w:rsidRPr="00AA162E" w:rsidRDefault="00484125" w:rsidP="00AA162E">
      <w:pPr>
        <w:spacing w:before="200" w:after="0"/>
        <w:rPr>
          <w:i/>
          <w:szCs w:val="24"/>
        </w:rPr>
      </w:pPr>
      <w:r w:rsidRPr="00AA162E">
        <w:rPr>
          <w:i/>
          <w:szCs w:val="24"/>
        </w:rPr>
        <w:t>PASC confirmed the comparator for the test to be no HDV RNA PCR testing.</w:t>
      </w:r>
    </w:p>
    <w:p w14:paraId="5BA9E7DE" w14:textId="72BB4F4E" w:rsidR="00C44A83" w:rsidRDefault="00C44A83" w:rsidP="003E47E6">
      <w:pPr>
        <w:keepNext/>
        <w:spacing w:before="120" w:after="120" w:line="22" w:lineRule="atLeast"/>
        <w:rPr>
          <w:u w:val="single"/>
        </w:rPr>
      </w:pPr>
      <w:r>
        <w:rPr>
          <w:u w:val="single"/>
        </w:rPr>
        <w:t>The treatment</w:t>
      </w:r>
    </w:p>
    <w:p w14:paraId="4FF56307" w14:textId="349095B4" w:rsidR="00C44A83" w:rsidRPr="009C6D2B" w:rsidRDefault="00BB6EEE" w:rsidP="009C6D2B">
      <w:pPr>
        <w:pStyle w:val="Instructionaltext"/>
        <w:rPr>
          <w:color w:val="auto"/>
        </w:rPr>
      </w:pPr>
      <w:r w:rsidRPr="009C6D2B">
        <w:rPr>
          <w:color w:val="auto"/>
        </w:rPr>
        <w:t>N</w:t>
      </w:r>
      <w:r w:rsidR="00421AD0" w:rsidRPr="009C6D2B">
        <w:rPr>
          <w:color w:val="auto"/>
        </w:rPr>
        <w:t xml:space="preserve">o medicine </w:t>
      </w:r>
      <w:r w:rsidRPr="009C6D2B">
        <w:rPr>
          <w:color w:val="auto"/>
        </w:rPr>
        <w:t>is currently</w:t>
      </w:r>
      <w:r w:rsidR="00421AD0" w:rsidRPr="009C6D2B">
        <w:rPr>
          <w:color w:val="auto"/>
        </w:rPr>
        <w:t xml:space="preserve"> </w:t>
      </w:r>
      <w:r w:rsidR="00EC17F7" w:rsidRPr="009C6D2B">
        <w:rPr>
          <w:color w:val="auto"/>
        </w:rPr>
        <w:t>TGA-approved</w:t>
      </w:r>
      <w:r w:rsidR="00F01486" w:rsidRPr="009C6D2B">
        <w:rPr>
          <w:color w:val="auto"/>
        </w:rPr>
        <w:t xml:space="preserve"> for</w:t>
      </w:r>
      <w:r w:rsidR="00421AD0" w:rsidRPr="009C6D2B">
        <w:rPr>
          <w:color w:val="auto"/>
        </w:rPr>
        <w:t xml:space="preserve"> the treatment of</w:t>
      </w:r>
      <w:r w:rsidR="00F01486" w:rsidRPr="009C6D2B">
        <w:rPr>
          <w:color w:val="auto"/>
        </w:rPr>
        <w:t xml:space="preserve"> </w:t>
      </w:r>
      <w:r w:rsidR="002B6642" w:rsidRPr="009C6D2B">
        <w:rPr>
          <w:color w:val="auto"/>
        </w:rPr>
        <w:t>HDV</w:t>
      </w:r>
      <w:r w:rsidR="00F01486" w:rsidRPr="009C6D2B">
        <w:rPr>
          <w:color w:val="auto"/>
        </w:rPr>
        <w:t xml:space="preserve"> </w:t>
      </w:r>
      <w:r w:rsidR="00421AD0" w:rsidRPr="009C6D2B">
        <w:rPr>
          <w:color w:val="auto"/>
        </w:rPr>
        <w:t>in Australia</w:t>
      </w:r>
      <w:r w:rsidR="00F01486" w:rsidRPr="009C6D2B">
        <w:rPr>
          <w:color w:val="auto"/>
        </w:rPr>
        <w:t xml:space="preserve">. Antivirals </w:t>
      </w:r>
      <w:r w:rsidR="00C44A83" w:rsidRPr="009C6D2B">
        <w:rPr>
          <w:color w:val="auto"/>
        </w:rPr>
        <w:t xml:space="preserve">(e.g. ribavirin or famciclovir) </w:t>
      </w:r>
      <w:r w:rsidR="00F01486" w:rsidRPr="009C6D2B">
        <w:rPr>
          <w:color w:val="auto"/>
        </w:rPr>
        <w:t xml:space="preserve">have little effect on </w:t>
      </w:r>
      <w:r w:rsidR="002B6642" w:rsidRPr="009C6D2B">
        <w:rPr>
          <w:color w:val="auto"/>
        </w:rPr>
        <w:t>HDV</w:t>
      </w:r>
      <w:r w:rsidR="00F01486" w:rsidRPr="009C6D2B">
        <w:rPr>
          <w:color w:val="auto"/>
        </w:rPr>
        <w:t>.</w:t>
      </w:r>
    </w:p>
    <w:p w14:paraId="23BEB625" w14:textId="1737801C" w:rsidR="00C44A83" w:rsidRPr="009C6D2B" w:rsidRDefault="00090CE7" w:rsidP="009C6D2B">
      <w:pPr>
        <w:pStyle w:val="Instructionaltext"/>
        <w:rPr>
          <w:color w:val="auto"/>
        </w:rPr>
      </w:pPr>
      <w:r w:rsidRPr="009C6D2B">
        <w:rPr>
          <w:color w:val="auto"/>
        </w:rPr>
        <w:t>Symptomatic management of HDV infection</w:t>
      </w:r>
      <w:r w:rsidR="00F01486" w:rsidRPr="009C6D2B">
        <w:rPr>
          <w:color w:val="auto"/>
        </w:rPr>
        <w:t xml:space="preserve"> and long-term follow up by a liver specialist is </w:t>
      </w:r>
      <w:r w:rsidRPr="009C6D2B">
        <w:rPr>
          <w:color w:val="auto"/>
        </w:rPr>
        <w:t>currently clinical practice in Australia</w:t>
      </w:r>
      <w:r w:rsidR="00F01486" w:rsidRPr="009C6D2B">
        <w:rPr>
          <w:color w:val="auto"/>
        </w:rPr>
        <w:t>.</w:t>
      </w:r>
      <w:r w:rsidR="002B6642" w:rsidRPr="009C6D2B">
        <w:rPr>
          <w:color w:val="auto"/>
        </w:rPr>
        <w:t xml:space="preserve"> If the disease has</w:t>
      </w:r>
      <w:r w:rsidR="00F01486" w:rsidRPr="009C6D2B">
        <w:rPr>
          <w:color w:val="auto"/>
        </w:rPr>
        <w:t xml:space="preserve"> progressed, </w:t>
      </w:r>
      <w:r w:rsidRPr="009C6D2B">
        <w:rPr>
          <w:color w:val="auto"/>
        </w:rPr>
        <w:t xml:space="preserve">a </w:t>
      </w:r>
      <w:r w:rsidR="00F01486" w:rsidRPr="009C6D2B">
        <w:rPr>
          <w:color w:val="auto"/>
        </w:rPr>
        <w:t xml:space="preserve">liver transplant </w:t>
      </w:r>
      <w:r w:rsidRPr="009C6D2B">
        <w:rPr>
          <w:color w:val="auto"/>
        </w:rPr>
        <w:t>may be recommended, dependent on the stage of liver fibrosis</w:t>
      </w:r>
      <w:r w:rsidR="00F01486" w:rsidRPr="009C6D2B">
        <w:rPr>
          <w:color w:val="auto"/>
        </w:rPr>
        <w:t>.</w:t>
      </w:r>
    </w:p>
    <w:p w14:paraId="7F374A33" w14:textId="70EC5EA4" w:rsidR="00F01486" w:rsidRPr="009C6D2B" w:rsidRDefault="00C44A83" w:rsidP="009C6D2B">
      <w:pPr>
        <w:pStyle w:val="Instructionaltext"/>
        <w:rPr>
          <w:color w:val="auto"/>
        </w:rPr>
      </w:pPr>
      <w:r w:rsidRPr="009C6D2B">
        <w:rPr>
          <w:color w:val="auto"/>
        </w:rPr>
        <w:lastRenderedPageBreak/>
        <w:t>As there currently is no approved</w:t>
      </w:r>
      <w:r w:rsidR="00090CE7" w:rsidRPr="009C6D2B">
        <w:rPr>
          <w:color w:val="auto"/>
        </w:rPr>
        <w:t xml:space="preserve"> pharmacological</w:t>
      </w:r>
      <w:r w:rsidRPr="009C6D2B">
        <w:rPr>
          <w:color w:val="auto"/>
        </w:rPr>
        <w:t xml:space="preserve"> treatment for HDV infection, ‘</w:t>
      </w:r>
      <w:r w:rsidR="0093404F" w:rsidRPr="009C6D2B">
        <w:rPr>
          <w:color w:val="auto"/>
        </w:rPr>
        <w:t>no pharmacological intervention</w:t>
      </w:r>
      <w:r w:rsidRPr="009C6D2B">
        <w:rPr>
          <w:color w:val="auto"/>
        </w:rPr>
        <w:t>’</w:t>
      </w:r>
      <w:r w:rsidR="0093404F" w:rsidRPr="009C6D2B">
        <w:rPr>
          <w:color w:val="auto"/>
        </w:rPr>
        <w:t xml:space="preserve"> </w:t>
      </w:r>
      <w:r w:rsidR="001E59C7" w:rsidRPr="009C6D2B">
        <w:rPr>
          <w:color w:val="auto"/>
        </w:rPr>
        <w:t>may be an appropriate</w:t>
      </w:r>
      <w:r w:rsidR="0093404F" w:rsidRPr="009C6D2B">
        <w:rPr>
          <w:color w:val="auto"/>
        </w:rPr>
        <w:t xml:space="preserve"> comparator.</w:t>
      </w:r>
    </w:p>
    <w:p w14:paraId="55EDBC0B" w14:textId="77777777" w:rsidR="005E5AA1" w:rsidRPr="009C6D2B" w:rsidRDefault="00AC3652" w:rsidP="009C6D2B">
      <w:pPr>
        <w:pStyle w:val="Instructionaltext"/>
        <w:rPr>
          <w:color w:val="auto"/>
        </w:rPr>
      </w:pPr>
      <w:r w:rsidRPr="009C6D2B">
        <w:rPr>
          <w:color w:val="auto"/>
        </w:rPr>
        <w:t xml:space="preserve">A weekly subcutaneous dose of pegylated IFN alfa (PEG- IFN- α)- 2a is recommended by professional guidelines to treat HDV, however the drug has not been authorised for use by the regulatory authorities </w:t>
      </w:r>
      <w:r w:rsidRPr="009C6D2B">
        <w:rPr>
          <w:color w:val="auto"/>
        </w:rPr>
        <w:fldChar w:fldCharType="begin"/>
      </w:r>
      <w:r w:rsidRPr="009C6D2B">
        <w:rPr>
          <w:color w:val="auto"/>
        </w:rPr>
        <w:instrText xml:space="preserve"> ADDIN EN.CITE &lt;EndNote&gt;&lt;Cite&gt;&lt;Author&gt;Yardeni&lt;/Author&gt;&lt;Year&gt;2022&lt;/Year&gt;&lt;RecNum&gt;13&lt;/RecNum&gt;&lt;DisplayText&gt;(Yardeni, Heller &amp;amp; Koh 2022)&lt;/DisplayText&gt;&lt;record&gt;&lt;rec-number&gt;13&lt;/rec-number&gt;&lt;foreign-keys&gt;&lt;key app="EN" db-id="9r2v5a9alpsw54edwfqp9pte925d5pfszed2" timestamp="1646696116"&gt;13&lt;/key&gt;&lt;/foreign-keys&gt;&lt;ref-type name="Journal Article"&gt;17&lt;/ref-type&gt;&lt;contributors&gt;&lt;authors&gt;&lt;author&gt;Yardeni, D.&lt;/author&gt;&lt;author&gt;Heller, T.&lt;/author&gt;&lt;author&gt;Koh, C.&lt;/author&gt;&lt;/authors&gt;&lt;/contributors&gt;&lt;auth-address&gt;Liver Diseases Branch, National Institute of Diabetes &amp;amp; Digestive &amp;amp; Kidney Diseases, National Institutes of Health, Bethesda, Maryland, USA.&lt;/auth-address&gt;&lt;titles&gt;&lt;title&gt;Chronic hepatitis D-What is changing?&lt;/title&gt;&lt;secondary-title&gt;J Viral Hepat&lt;/secondary-title&gt;&lt;/titles&gt;&lt;periodical&gt;&lt;full-title&gt;J Viral Hepat&lt;/full-title&gt;&lt;/periodical&gt;&lt;edition&gt;2022/02/06&lt;/edition&gt;&lt;keywords&gt;&lt;keyword&gt;chronic liver disease&lt;/keyword&gt;&lt;keyword&gt;hepatitis D&lt;/keyword&gt;&lt;keyword&gt;treatment&lt;/keyword&gt;&lt;/keywords&gt;&lt;dates&gt;&lt;year&gt;2022&lt;/year&gt;&lt;pub-dates&gt;&lt;date&gt;Feb 4&lt;/date&gt;&lt;/pub-dates&gt;&lt;/dates&gt;&lt;isbn&gt;1365-2893 (Electronic)&amp;#xD;1352-0504 (Linking)&lt;/isbn&gt;&lt;accession-num&gt;35122369&lt;/accession-num&gt;&lt;urls&gt;&lt;related-urls&gt;&lt;url&gt;https://www.ncbi.nlm.nih.gov/pubmed/35122369&lt;/url&gt;&lt;url&gt;https://onlinelibrary.wiley.com/doi/pdfdirect/10.1111/jvh.13651?download=true&lt;/url&gt;&lt;/related-urls&gt;&lt;/urls&gt;&lt;electronic-resource-num&gt;10.1111/jvh.13651&lt;/electronic-resource-num&gt;&lt;/record&gt;&lt;/Cite&gt;&lt;/EndNote&gt;</w:instrText>
      </w:r>
      <w:r w:rsidRPr="009C6D2B">
        <w:rPr>
          <w:color w:val="auto"/>
        </w:rPr>
        <w:fldChar w:fldCharType="separate"/>
      </w:r>
      <w:r w:rsidRPr="009C6D2B">
        <w:rPr>
          <w:color w:val="auto"/>
        </w:rPr>
        <w:t>(Yardeni, Heller &amp; Koh 2022)</w:t>
      </w:r>
      <w:r w:rsidRPr="009C6D2B">
        <w:rPr>
          <w:color w:val="auto"/>
        </w:rPr>
        <w:fldChar w:fldCharType="end"/>
      </w:r>
      <w:r w:rsidRPr="009C6D2B">
        <w:rPr>
          <w:color w:val="auto"/>
        </w:rPr>
        <w:t xml:space="preserve">. PEG-IFN-α may be used </w:t>
      </w:r>
      <w:r w:rsidR="001E59C7" w:rsidRPr="009C6D2B">
        <w:rPr>
          <w:color w:val="auto"/>
        </w:rPr>
        <w:t xml:space="preserve">for HDV </w:t>
      </w:r>
      <w:r w:rsidRPr="009C6D2B">
        <w:rPr>
          <w:color w:val="auto"/>
        </w:rPr>
        <w:t xml:space="preserve">off-label </w:t>
      </w:r>
      <w:r w:rsidR="001E59C7" w:rsidRPr="009C6D2B">
        <w:rPr>
          <w:color w:val="auto"/>
        </w:rPr>
        <w:t>in Australia as an unrestricted PBS item.</w:t>
      </w:r>
    </w:p>
    <w:p w14:paraId="171E5392" w14:textId="295FA946" w:rsidR="00F644A7" w:rsidRPr="00AA162E" w:rsidRDefault="00CA0DBB" w:rsidP="00AA162E">
      <w:pPr>
        <w:spacing w:before="200" w:after="0"/>
        <w:rPr>
          <w:i/>
          <w:szCs w:val="24"/>
        </w:rPr>
      </w:pPr>
      <w:r w:rsidRPr="00AA162E">
        <w:rPr>
          <w:i/>
          <w:szCs w:val="24"/>
        </w:rPr>
        <w:t>PASC noted advice that PEG-IFN-α is used by in some patients with chronic hepatitis D although careful clinical consideration is required due to side effects/toxicity.</w:t>
      </w:r>
      <w:r w:rsidR="00F644A7" w:rsidRPr="00AA162E">
        <w:rPr>
          <w:i/>
          <w:szCs w:val="24"/>
        </w:rPr>
        <w:t xml:space="preserve"> PASC considered that PEG-IFN-α may be a potential comparator for bulevirtide, but that the comparator for bulevirtide was a matter for the PBAC to consider.</w:t>
      </w:r>
    </w:p>
    <w:p w14:paraId="3BC68763" w14:textId="41862440" w:rsidR="00CE1B13" w:rsidRDefault="00193DFE" w:rsidP="00713728">
      <w:pPr>
        <w:pStyle w:val="Heading3"/>
      </w:pPr>
      <w:r>
        <w:t>Clinical utility standard</w:t>
      </w:r>
    </w:p>
    <w:p w14:paraId="6860483D" w14:textId="274024EB" w:rsidR="00951D15" w:rsidRPr="009C6D2B" w:rsidRDefault="00AC3652" w:rsidP="009C6D2B">
      <w:pPr>
        <w:pStyle w:val="Instructionaltext"/>
        <w:rPr>
          <w:color w:val="auto"/>
        </w:rPr>
      </w:pPr>
      <w:r w:rsidRPr="009C6D2B">
        <w:rPr>
          <w:color w:val="auto"/>
        </w:rPr>
        <w:t>T</w:t>
      </w:r>
      <w:r w:rsidR="004A12F1" w:rsidRPr="009C6D2B">
        <w:rPr>
          <w:color w:val="auto"/>
        </w:rPr>
        <w:t xml:space="preserve">he key trial demonstrating the clinical utility of HDV RNA quantification and treatment with </w:t>
      </w:r>
      <w:r w:rsidR="00097630" w:rsidRPr="009C6D2B">
        <w:rPr>
          <w:color w:val="auto"/>
        </w:rPr>
        <w:t>bulevirtide</w:t>
      </w:r>
      <w:r w:rsidRPr="009C6D2B">
        <w:rPr>
          <w:color w:val="auto"/>
        </w:rPr>
        <w:t xml:space="preserve"> used the Robogene® HDV RNA Quantification Kit 2.0 with a </w:t>
      </w:r>
      <w:proofErr w:type="spellStart"/>
      <w:r w:rsidRPr="009C6D2B">
        <w:rPr>
          <w:color w:val="auto"/>
        </w:rPr>
        <w:t>LLoD</w:t>
      </w:r>
      <w:proofErr w:type="spellEnd"/>
      <w:r w:rsidRPr="009C6D2B">
        <w:rPr>
          <w:color w:val="auto"/>
        </w:rPr>
        <w:t xml:space="preserve"> of 6</w:t>
      </w:r>
      <w:r w:rsidR="001E59C7" w:rsidRPr="009C6D2B">
        <w:rPr>
          <w:color w:val="auto"/>
        </w:rPr>
        <w:t> </w:t>
      </w:r>
      <w:r w:rsidRPr="009C6D2B">
        <w:rPr>
          <w:color w:val="auto"/>
        </w:rPr>
        <w:t>IU/</w:t>
      </w:r>
      <w:proofErr w:type="spellStart"/>
      <w:r w:rsidRPr="009C6D2B">
        <w:rPr>
          <w:color w:val="auto"/>
        </w:rPr>
        <w:t>mL</w:t>
      </w:r>
      <w:r w:rsidR="00097630" w:rsidRPr="009C6D2B">
        <w:rPr>
          <w:color w:val="auto"/>
        </w:rPr>
        <w:t>.</w:t>
      </w:r>
      <w:proofErr w:type="spellEnd"/>
      <w:r w:rsidR="005B4238" w:rsidRPr="009C6D2B">
        <w:rPr>
          <w:color w:val="auto"/>
        </w:rPr>
        <w:t xml:space="preserve"> During the </w:t>
      </w:r>
      <w:r w:rsidR="00B5797F" w:rsidRPr="009C6D2B">
        <w:rPr>
          <w:color w:val="auto"/>
        </w:rPr>
        <w:t xml:space="preserve">pre-PASC meeting, </w:t>
      </w:r>
      <w:r w:rsidRPr="009C6D2B">
        <w:rPr>
          <w:color w:val="auto"/>
        </w:rPr>
        <w:t xml:space="preserve">the </w:t>
      </w:r>
      <w:r w:rsidR="00B5797F" w:rsidRPr="009C6D2B">
        <w:rPr>
          <w:color w:val="auto"/>
        </w:rPr>
        <w:t xml:space="preserve">applicant </w:t>
      </w:r>
      <w:r w:rsidR="003B0B2C" w:rsidRPr="009C6D2B">
        <w:rPr>
          <w:color w:val="auto"/>
        </w:rPr>
        <w:t>stated that</w:t>
      </w:r>
      <w:r w:rsidR="00B5797F" w:rsidRPr="009C6D2B">
        <w:rPr>
          <w:color w:val="auto"/>
        </w:rPr>
        <w:t xml:space="preserve"> that</w:t>
      </w:r>
      <w:r w:rsidR="003B0B2C" w:rsidRPr="009C6D2B">
        <w:rPr>
          <w:color w:val="auto"/>
        </w:rPr>
        <w:t xml:space="preserve"> the</w:t>
      </w:r>
      <w:r w:rsidR="00B5797F" w:rsidRPr="009C6D2B">
        <w:rPr>
          <w:color w:val="auto"/>
        </w:rPr>
        <w:t xml:space="preserve"> Robogene® HDV RNA Quantification Kit 2.0 is </w:t>
      </w:r>
      <w:r w:rsidR="003B0B2C" w:rsidRPr="009C6D2B">
        <w:rPr>
          <w:color w:val="auto"/>
        </w:rPr>
        <w:t xml:space="preserve">expected to </w:t>
      </w:r>
      <w:r w:rsidR="001E59C7" w:rsidRPr="009C6D2B">
        <w:rPr>
          <w:color w:val="auto"/>
        </w:rPr>
        <w:t>have similar performance</w:t>
      </w:r>
      <w:r w:rsidR="00BD6FA4" w:rsidRPr="009C6D2B">
        <w:rPr>
          <w:color w:val="auto"/>
        </w:rPr>
        <w:t xml:space="preserve"> </w:t>
      </w:r>
      <w:r w:rsidR="00B5797F" w:rsidRPr="009C6D2B">
        <w:rPr>
          <w:color w:val="auto"/>
        </w:rPr>
        <w:t xml:space="preserve">to the </w:t>
      </w:r>
      <w:r w:rsidR="009E74EE" w:rsidRPr="009C6D2B">
        <w:rPr>
          <w:color w:val="auto"/>
        </w:rPr>
        <w:t xml:space="preserve">testing device currently in use at </w:t>
      </w:r>
      <w:r w:rsidR="001141E7" w:rsidRPr="009C6D2B">
        <w:rPr>
          <w:color w:val="auto"/>
        </w:rPr>
        <w:t>VIDRL, which</w:t>
      </w:r>
      <w:r w:rsidR="009E74EE" w:rsidRPr="009C6D2B">
        <w:rPr>
          <w:color w:val="auto"/>
        </w:rPr>
        <w:t xml:space="preserve"> is developed based on Abbott m2000 HDV PCR RNA test with a </w:t>
      </w:r>
      <w:proofErr w:type="spellStart"/>
      <w:r w:rsidR="00246D28" w:rsidRPr="009C6D2B">
        <w:rPr>
          <w:color w:val="auto"/>
        </w:rPr>
        <w:t>LLoD</w:t>
      </w:r>
      <w:proofErr w:type="spellEnd"/>
      <w:r w:rsidR="009E74EE" w:rsidRPr="009C6D2B">
        <w:rPr>
          <w:color w:val="auto"/>
        </w:rPr>
        <w:t xml:space="preserve"> of 10</w:t>
      </w:r>
      <w:r w:rsidR="001E59C7" w:rsidRPr="009C6D2B">
        <w:rPr>
          <w:color w:val="auto"/>
        </w:rPr>
        <w:t> </w:t>
      </w:r>
      <w:r w:rsidR="009E74EE" w:rsidRPr="009C6D2B">
        <w:rPr>
          <w:color w:val="auto"/>
        </w:rPr>
        <w:t>IU/</w:t>
      </w:r>
      <w:proofErr w:type="spellStart"/>
      <w:r w:rsidR="009E74EE" w:rsidRPr="009C6D2B">
        <w:rPr>
          <w:color w:val="auto"/>
        </w:rPr>
        <w:t>mL.</w:t>
      </w:r>
      <w:proofErr w:type="spellEnd"/>
    </w:p>
    <w:p w14:paraId="0932B469" w14:textId="03D14DAC" w:rsidR="009F0AE4" w:rsidRPr="009C6D2B" w:rsidRDefault="009F0AE4" w:rsidP="009C6D2B">
      <w:pPr>
        <w:pStyle w:val="Instructionaltext"/>
        <w:rPr>
          <w:color w:val="auto"/>
        </w:rPr>
      </w:pPr>
      <w:r w:rsidRPr="009C6D2B">
        <w:rPr>
          <w:color w:val="auto"/>
        </w:rPr>
        <w:t xml:space="preserve">The ADAR should include an assessment of </w:t>
      </w:r>
      <w:r w:rsidR="003B0B2C" w:rsidRPr="009C6D2B">
        <w:rPr>
          <w:color w:val="auto"/>
        </w:rPr>
        <w:t xml:space="preserve">the </w:t>
      </w:r>
      <w:r w:rsidR="001903F3" w:rsidRPr="009C6D2B">
        <w:rPr>
          <w:color w:val="auto"/>
        </w:rPr>
        <w:t xml:space="preserve">difference in LLoD </w:t>
      </w:r>
      <w:r w:rsidR="00246D28" w:rsidRPr="009C6D2B">
        <w:rPr>
          <w:color w:val="auto"/>
        </w:rPr>
        <w:t xml:space="preserve">(6IU/mL vs 10IU/mL) </w:t>
      </w:r>
      <w:r w:rsidR="003B0B2C" w:rsidRPr="009C6D2B">
        <w:rPr>
          <w:color w:val="auto"/>
        </w:rPr>
        <w:t>and its impact on</w:t>
      </w:r>
      <w:r w:rsidR="00246D28" w:rsidRPr="009C6D2B">
        <w:rPr>
          <w:color w:val="auto"/>
        </w:rPr>
        <w:t xml:space="preserve"> the accuracy of the </w:t>
      </w:r>
      <w:r w:rsidR="001E59C7" w:rsidRPr="009C6D2B">
        <w:rPr>
          <w:color w:val="auto"/>
        </w:rPr>
        <w:t xml:space="preserve">different </w:t>
      </w:r>
      <w:r w:rsidR="00246D28" w:rsidRPr="009C6D2B">
        <w:rPr>
          <w:color w:val="auto"/>
        </w:rPr>
        <w:t>test</w:t>
      </w:r>
      <w:r w:rsidR="001E59C7" w:rsidRPr="009C6D2B">
        <w:rPr>
          <w:color w:val="auto"/>
        </w:rPr>
        <w:t xml:space="preserve"> options</w:t>
      </w:r>
      <w:r w:rsidR="00246D28" w:rsidRPr="009C6D2B">
        <w:rPr>
          <w:color w:val="auto"/>
        </w:rPr>
        <w:t>.</w:t>
      </w:r>
    </w:p>
    <w:p w14:paraId="0F9D7EA7" w14:textId="4E9842D9" w:rsidR="007C087D" w:rsidRPr="009C6D2B" w:rsidRDefault="007C087D" w:rsidP="009C6D2B">
      <w:pPr>
        <w:pStyle w:val="Instructionaltext"/>
        <w:rPr>
          <w:i/>
          <w:iCs/>
          <w:color w:val="auto"/>
        </w:rPr>
      </w:pPr>
      <w:r w:rsidRPr="009C6D2B">
        <w:rPr>
          <w:i/>
          <w:iCs/>
          <w:color w:val="auto"/>
        </w:rPr>
        <w:t>PASC accepted the identified clinical utility standard.</w:t>
      </w:r>
    </w:p>
    <w:p w14:paraId="42010509" w14:textId="77777777" w:rsidR="00F1715B" w:rsidRDefault="00F1715B">
      <w:pPr>
        <w:spacing w:after="160" w:line="259" w:lineRule="auto"/>
        <w:rPr>
          <w:rFonts w:eastAsia="MS Gothic"/>
          <w:b/>
          <w:bCs/>
          <w:i/>
          <w:sz w:val="24"/>
          <w:szCs w:val="24"/>
        </w:rPr>
      </w:pPr>
      <w:r>
        <w:br w:type="page"/>
      </w:r>
    </w:p>
    <w:p w14:paraId="29C1EA87" w14:textId="089472B3" w:rsidR="007A66C8" w:rsidRDefault="007A66C8" w:rsidP="00713728">
      <w:pPr>
        <w:pStyle w:val="Heading3"/>
      </w:pPr>
      <w:r w:rsidRPr="008F1532">
        <w:lastRenderedPageBreak/>
        <w:t>Outcome</w:t>
      </w:r>
      <w:r w:rsidR="001E59C7">
        <w:t>s</w:t>
      </w:r>
    </w:p>
    <w:p w14:paraId="0452403B" w14:textId="139D3A99" w:rsidR="00D530C3" w:rsidRPr="00D530C3" w:rsidRDefault="00D530C3" w:rsidP="00D530C3">
      <w:pPr>
        <w:pStyle w:val="Instructionaltext"/>
        <w:rPr>
          <w:color w:val="auto"/>
        </w:rPr>
      </w:pPr>
      <w:r w:rsidRPr="0028162B">
        <w:rPr>
          <w:color w:val="auto"/>
        </w:rPr>
        <w:t>Test</w:t>
      </w:r>
      <w:r>
        <w:rPr>
          <w:color w:val="auto"/>
        </w:rPr>
        <w:t xml:space="preserve"> related outcomes</w:t>
      </w:r>
      <w:r w:rsidRPr="0028162B">
        <w:rPr>
          <w:color w:val="auto"/>
        </w:rPr>
        <w:t>:</w:t>
      </w:r>
    </w:p>
    <w:p w14:paraId="093742DF" w14:textId="77777777" w:rsidR="00D530C3" w:rsidRDefault="00D530C3" w:rsidP="00D530C3">
      <w:pPr>
        <w:pStyle w:val="Instructionaltext"/>
        <w:numPr>
          <w:ilvl w:val="0"/>
          <w:numId w:val="7"/>
        </w:numPr>
        <w:rPr>
          <w:color w:val="auto"/>
        </w:rPr>
      </w:pPr>
      <w:r w:rsidRPr="0028162B">
        <w:rPr>
          <w:color w:val="auto"/>
        </w:rPr>
        <w:t>Safety</w:t>
      </w:r>
    </w:p>
    <w:p w14:paraId="280D1784" w14:textId="77777777" w:rsidR="00D530C3" w:rsidRDefault="00D530C3" w:rsidP="00D530C3">
      <w:pPr>
        <w:pStyle w:val="Instructionaltext"/>
        <w:numPr>
          <w:ilvl w:val="0"/>
          <w:numId w:val="7"/>
        </w:numPr>
        <w:rPr>
          <w:color w:val="auto"/>
        </w:rPr>
      </w:pPr>
      <w:r>
        <w:rPr>
          <w:color w:val="auto"/>
        </w:rPr>
        <w:t>Test turnaround time</w:t>
      </w:r>
    </w:p>
    <w:p w14:paraId="0FE0AF71" w14:textId="0CCE7807" w:rsidR="00D530C3" w:rsidRPr="00D530C3" w:rsidRDefault="00D530C3" w:rsidP="00D530C3">
      <w:pPr>
        <w:pStyle w:val="Instructionaltext"/>
        <w:numPr>
          <w:ilvl w:val="0"/>
          <w:numId w:val="7"/>
        </w:numPr>
        <w:rPr>
          <w:color w:val="auto"/>
        </w:rPr>
      </w:pPr>
      <w:r>
        <w:rPr>
          <w:color w:val="auto"/>
        </w:rPr>
        <w:t>Concordance of the test with the clinical utility standard – Performance of test used in Australia compared to clinical utility standard.</w:t>
      </w:r>
    </w:p>
    <w:p w14:paraId="39B74B68" w14:textId="77777777" w:rsidR="00D530C3" w:rsidRDefault="00D530C3" w:rsidP="00D530C3">
      <w:pPr>
        <w:pStyle w:val="Instructionaltext"/>
        <w:numPr>
          <w:ilvl w:val="1"/>
          <w:numId w:val="7"/>
        </w:numPr>
        <w:rPr>
          <w:color w:val="auto"/>
        </w:rPr>
      </w:pPr>
      <w:r>
        <w:rPr>
          <w:color w:val="auto"/>
        </w:rPr>
        <w:t>Positive percentage agreement</w:t>
      </w:r>
    </w:p>
    <w:p w14:paraId="47D4A7F4" w14:textId="77777777" w:rsidR="00D530C3" w:rsidRDefault="00D530C3" w:rsidP="00D530C3">
      <w:pPr>
        <w:pStyle w:val="Instructionaltext"/>
        <w:numPr>
          <w:ilvl w:val="1"/>
          <w:numId w:val="7"/>
        </w:numPr>
        <w:rPr>
          <w:color w:val="auto"/>
        </w:rPr>
      </w:pPr>
      <w:r>
        <w:rPr>
          <w:color w:val="auto"/>
        </w:rPr>
        <w:t>Negative percentage agreement</w:t>
      </w:r>
    </w:p>
    <w:p w14:paraId="443C06F2" w14:textId="2DA1DAA6" w:rsidR="00D530C3" w:rsidRDefault="00D530C3" w:rsidP="00D530C3">
      <w:pPr>
        <w:pStyle w:val="Instructionaltext"/>
        <w:numPr>
          <w:ilvl w:val="0"/>
          <w:numId w:val="8"/>
        </w:numPr>
        <w:rPr>
          <w:color w:val="auto"/>
        </w:rPr>
      </w:pPr>
      <w:r>
        <w:rPr>
          <w:color w:val="auto"/>
        </w:rPr>
        <w:t xml:space="preserve">Predictive validity of the test (distinguished from </w:t>
      </w:r>
      <w:r w:rsidR="004122DD">
        <w:rPr>
          <w:color w:val="auto"/>
        </w:rPr>
        <w:t xml:space="preserve">presence of, or quantification of, </w:t>
      </w:r>
      <w:r>
        <w:rPr>
          <w:color w:val="auto"/>
        </w:rPr>
        <w:t xml:space="preserve">HDV </w:t>
      </w:r>
      <w:r w:rsidR="004122DD">
        <w:rPr>
          <w:color w:val="auto"/>
        </w:rPr>
        <w:t xml:space="preserve">RNA </w:t>
      </w:r>
      <w:r>
        <w:rPr>
          <w:color w:val="auto"/>
        </w:rPr>
        <w:t>as a prognostic marker)</w:t>
      </w:r>
    </w:p>
    <w:p w14:paraId="4DE33A72" w14:textId="6634A4C4" w:rsidR="00D530C3" w:rsidRDefault="00D530C3" w:rsidP="00D530C3">
      <w:pPr>
        <w:pStyle w:val="Instructionaltext"/>
        <w:numPr>
          <w:ilvl w:val="0"/>
          <w:numId w:val="8"/>
        </w:numPr>
        <w:rPr>
          <w:color w:val="auto"/>
        </w:rPr>
      </w:pPr>
      <w:r>
        <w:rPr>
          <w:color w:val="auto"/>
        </w:rPr>
        <w:t>Suitability of the test for monitoring (ability to distinguish response to treatment from background random variation, i.e. signal to noise ratio).</w:t>
      </w:r>
    </w:p>
    <w:p w14:paraId="2145FAA9" w14:textId="7CC70F9C" w:rsidR="00D530C3" w:rsidRPr="0028162B" w:rsidRDefault="00D530C3" w:rsidP="00D530C3">
      <w:pPr>
        <w:pStyle w:val="Instructionaltext"/>
        <w:numPr>
          <w:ilvl w:val="0"/>
          <w:numId w:val="8"/>
        </w:numPr>
        <w:rPr>
          <w:color w:val="auto"/>
        </w:rPr>
      </w:pPr>
      <w:r>
        <w:rPr>
          <w:color w:val="auto"/>
        </w:rPr>
        <w:t>Change in management</w:t>
      </w:r>
      <w:r w:rsidR="006E4F5C">
        <w:rPr>
          <w:color w:val="auto"/>
        </w:rPr>
        <w:t xml:space="preserve"> (including broader changes in</w:t>
      </w:r>
      <w:r w:rsidR="003D3B04">
        <w:rPr>
          <w:color w:val="auto"/>
        </w:rPr>
        <w:t xml:space="preserve"> clinical</w:t>
      </w:r>
      <w:r w:rsidR="006E4F5C">
        <w:rPr>
          <w:color w:val="auto"/>
        </w:rPr>
        <w:t xml:space="preserve"> management from testing)</w:t>
      </w:r>
    </w:p>
    <w:p w14:paraId="14ADF7AB" w14:textId="77777777" w:rsidR="00D530C3" w:rsidRDefault="00D530C3" w:rsidP="00D530C3">
      <w:pPr>
        <w:pStyle w:val="Instructionaltext"/>
        <w:rPr>
          <w:color w:val="auto"/>
        </w:rPr>
      </w:pPr>
      <w:r w:rsidRPr="0028162B">
        <w:rPr>
          <w:color w:val="auto"/>
        </w:rPr>
        <w:t>Drug:</w:t>
      </w:r>
    </w:p>
    <w:p w14:paraId="71031F87" w14:textId="0A20DAAC" w:rsidR="00D530C3" w:rsidRDefault="00D530C3" w:rsidP="00D530C3">
      <w:pPr>
        <w:pStyle w:val="Instructionaltext"/>
        <w:numPr>
          <w:ilvl w:val="0"/>
          <w:numId w:val="8"/>
        </w:numPr>
        <w:rPr>
          <w:color w:val="auto"/>
        </w:rPr>
      </w:pPr>
      <w:r w:rsidRPr="00BF629F">
        <w:rPr>
          <w:color w:val="auto"/>
        </w:rPr>
        <w:t>Safety (</w:t>
      </w:r>
      <w:r w:rsidR="001E59C7" w:rsidRPr="00BF629F">
        <w:rPr>
          <w:color w:val="auto"/>
        </w:rPr>
        <w:t>a</w:t>
      </w:r>
      <w:r w:rsidRPr="00BF629F">
        <w:rPr>
          <w:color w:val="auto"/>
        </w:rPr>
        <w:t>dverse events, physical examinations, laboratory findings)</w:t>
      </w:r>
    </w:p>
    <w:p w14:paraId="1FDD7807" w14:textId="77777777" w:rsidR="00D530C3" w:rsidRPr="00BF629F" w:rsidRDefault="00D530C3" w:rsidP="00D530C3">
      <w:pPr>
        <w:pStyle w:val="Instructionaltext"/>
        <w:numPr>
          <w:ilvl w:val="0"/>
          <w:numId w:val="8"/>
        </w:numPr>
        <w:rPr>
          <w:color w:val="auto"/>
        </w:rPr>
      </w:pPr>
      <w:r>
        <w:rPr>
          <w:color w:val="auto"/>
        </w:rPr>
        <w:t>Effectiveness:</w:t>
      </w:r>
    </w:p>
    <w:p w14:paraId="0E52734C" w14:textId="77777777" w:rsidR="00D530C3" w:rsidRPr="00BF629F" w:rsidRDefault="00D530C3" w:rsidP="00825B42">
      <w:pPr>
        <w:pStyle w:val="Instructionaltext"/>
        <w:numPr>
          <w:ilvl w:val="1"/>
          <w:numId w:val="8"/>
        </w:numPr>
        <w:spacing w:after="120" w:line="240" w:lineRule="auto"/>
        <w:ind w:left="1491" w:hanging="357"/>
        <w:rPr>
          <w:color w:val="auto"/>
        </w:rPr>
      </w:pPr>
      <w:r w:rsidRPr="00BF629F">
        <w:rPr>
          <w:color w:val="auto"/>
        </w:rPr>
        <w:t>Health-related quality of life (HRQOL)</w:t>
      </w:r>
    </w:p>
    <w:p w14:paraId="0C1DDA6B" w14:textId="77777777" w:rsidR="00D530C3" w:rsidRPr="00714817" w:rsidRDefault="00D530C3" w:rsidP="00825B42">
      <w:pPr>
        <w:pStyle w:val="Instructionaltext"/>
        <w:numPr>
          <w:ilvl w:val="1"/>
          <w:numId w:val="8"/>
        </w:numPr>
        <w:spacing w:after="120" w:line="240" w:lineRule="auto"/>
        <w:ind w:left="1491" w:hanging="357"/>
        <w:rPr>
          <w:color w:val="auto"/>
        </w:rPr>
      </w:pPr>
      <w:r w:rsidRPr="00BF629F">
        <w:rPr>
          <w:color w:val="auto"/>
        </w:rPr>
        <w:t>Survival</w:t>
      </w:r>
    </w:p>
    <w:p w14:paraId="7050EA00" w14:textId="77777777" w:rsidR="00D530C3" w:rsidRPr="00BF629F" w:rsidRDefault="00D530C3" w:rsidP="00825B42">
      <w:pPr>
        <w:pStyle w:val="Instructionaltext"/>
        <w:numPr>
          <w:ilvl w:val="1"/>
          <w:numId w:val="8"/>
        </w:numPr>
        <w:spacing w:after="120" w:line="240" w:lineRule="auto"/>
        <w:ind w:left="1491" w:hanging="357"/>
        <w:rPr>
          <w:color w:val="auto"/>
        </w:rPr>
      </w:pPr>
      <w:r w:rsidRPr="00BF629F">
        <w:rPr>
          <w:color w:val="auto"/>
        </w:rPr>
        <w:t>Quality adjusted life years (QALYs)</w:t>
      </w:r>
    </w:p>
    <w:p w14:paraId="6B2DE581" w14:textId="249E37EA" w:rsidR="00D530C3" w:rsidRPr="00302306" w:rsidRDefault="00D530C3" w:rsidP="00825B42">
      <w:pPr>
        <w:pStyle w:val="Instructionaltext"/>
        <w:numPr>
          <w:ilvl w:val="1"/>
          <w:numId w:val="8"/>
        </w:numPr>
        <w:spacing w:after="120" w:line="240" w:lineRule="auto"/>
        <w:ind w:left="1491" w:hanging="357"/>
        <w:rPr>
          <w:color w:val="auto"/>
        </w:rPr>
      </w:pPr>
      <w:r w:rsidRPr="00302306">
        <w:rPr>
          <w:color w:val="auto"/>
        </w:rPr>
        <w:t xml:space="preserve">Liver </w:t>
      </w:r>
      <w:r w:rsidR="00C9191C">
        <w:rPr>
          <w:color w:val="auto"/>
        </w:rPr>
        <w:t>fibrosis outcomes</w:t>
      </w:r>
    </w:p>
    <w:p w14:paraId="27BC8893" w14:textId="77777777" w:rsidR="00FC2ECD" w:rsidRPr="00302306" w:rsidRDefault="00D530C3" w:rsidP="00825B42">
      <w:pPr>
        <w:pStyle w:val="Instructionaltext"/>
        <w:numPr>
          <w:ilvl w:val="1"/>
          <w:numId w:val="8"/>
        </w:numPr>
        <w:spacing w:after="120" w:line="240" w:lineRule="auto"/>
        <w:ind w:left="1491" w:hanging="357"/>
        <w:rPr>
          <w:color w:val="auto"/>
        </w:rPr>
      </w:pPr>
      <w:r w:rsidRPr="00302306">
        <w:rPr>
          <w:color w:val="auto"/>
        </w:rPr>
        <w:t>Liver transplants</w:t>
      </w:r>
    </w:p>
    <w:p w14:paraId="29E98914" w14:textId="34F45C22" w:rsidR="00D530C3" w:rsidRPr="00302306" w:rsidRDefault="00D530C3" w:rsidP="00825B42">
      <w:pPr>
        <w:pStyle w:val="Instructionaltext"/>
        <w:numPr>
          <w:ilvl w:val="1"/>
          <w:numId w:val="8"/>
        </w:numPr>
        <w:spacing w:after="120" w:line="240" w:lineRule="auto"/>
        <w:ind w:left="1491" w:hanging="357"/>
        <w:rPr>
          <w:color w:val="auto"/>
        </w:rPr>
      </w:pPr>
      <w:r>
        <w:rPr>
          <w:color w:val="auto"/>
        </w:rPr>
        <w:t>Response to treatment</w:t>
      </w:r>
      <w:r w:rsidR="00AA162E">
        <w:rPr>
          <w:color w:val="auto"/>
        </w:rPr>
        <w:t xml:space="preserve"> </w:t>
      </w:r>
    </w:p>
    <w:p w14:paraId="4447E9F8" w14:textId="09E8A9B3" w:rsidR="00F644A7" w:rsidRPr="00AA162E" w:rsidRDefault="006E41D8" w:rsidP="00AA162E">
      <w:pPr>
        <w:spacing w:before="200" w:after="0"/>
        <w:rPr>
          <w:i/>
          <w:szCs w:val="24"/>
        </w:rPr>
      </w:pPr>
      <w:r w:rsidRPr="006E41D8">
        <w:rPr>
          <w:i/>
          <w:szCs w:val="24"/>
        </w:rPr>
        <w:t xml:space="preserve">PASC noted that the applicant is still working on defining what ‘response to treatment’ entails </w:t>
      </w:r>
      <w:r w:rsidRPr="00CC3EC1">
        <w:rPr>
          <w:iCs/>
          <w:szCs w:val="24"/>
        </w:rPr>
        <w:t>(</w:t>
      </w:r>
      <w:r w:rsidR="00CC3EC1" w:rsidRPr="00CC3EC1">
        <w:rPr>
          <w:b/>
          <w:bCs/>
          <w:iCs/>
          <w:szCs w:val="24"/>
        </w:rPr>
        <w:t>REDACTED</w:t>
      </w:r>
      <w:r w:rsidRPr="00CC3EC1">
        <w:rPr>
          <w:iCs/>
          <w:szCs w:val="24"/>
        </w:rPr>
        <w:t>)</w:t>
      </w:r>
      <w:r w:rsidRPr="006E41D8">
        <w:rPr>
          <w:i/>
          <w:szCs w:val="24"/>
        </w:rPr>
        <w:t xml:space="preserve"> and will be included in the assessment report</w:t>
      </w:r>
      <w:r w:rsidR="00F644A7" w:rsidRPr="00AA162E">
        <w:rPr>
          <w:i/>
          <w:szCs w:val="24"/>
        </w:rPr>
        <w:t>.</w:t>
      </w:r>
    </w:p>
    <w:p w14:paraId="3A4DC2BF" w14:textId="5F045544" w:rsidR="00E04107" w:rsidRPr="008B0FAB" w:rsidRDefault="00E04107" w:rsidP="00E04107">
      <w:pPr>
        <w:pStyle w:val="Instructionaltext"/>
        <w:rPr>
          <w:color w:val="auto"/>
        </w:rPr>
      </w:pPr>
      <w:r w:rsidRPr="008B0FAB">
        <w:rPr>
          <w:color w:val="auto"/>
        </w:rPr>
        <w:t>Healthcare system:</w:t>
      </w:r>
    </w:p>
    <w:p w14:paraId="5434DFE5" w14:textId="77777777" w:rsidR="00E04107" w:rsidRPr="008B0FAB" w:rsidRDefault="00E04107" w:rsidP="00E04107">
      <w:pPr>
        <w:pStyle w:val="Instructionaltext"/>
        <w:numPr>
          <w:ilvl w:val="0"/>
          <w:numId w:val="10"/>
        </w:numPr>
        <w:rPr>
          <w:color w:val="auto"/>
        </w:rPr>
      </w:pPr>
      <w:r w:rsidRPr="008B0FAB">
        <w:rPr>
          <w:color w:val="auto"/>
        </w:rPr>
        <w:t>Cost of testing and retesting</w:t>
      </w:r>
    </w:p>
    <w:p w14:paraId="0B7E2B1D" w14:textId="77777777" w:rsidR="00E04107" w:rsidRPr="008B0FAB" w:rsidRDefault="00E04107" w:rsidP="00E04107">
      <w:pPr>
        <w:pStyle w:val="Instructionaltext"/>
        <w:numPr>
          <w:ilvl w:val="0"/>
          <w:numId w:val="10"/>
        </w:numPr>
        <w:rPr>
          <w:color w:val="auto"/>
        </w:rPr>
      </w:pPr>
      <w:r w:rsidRPr="008B0FAB">
        <w:rPr>
          <w:color w:val="auto"/>
        </w:rPr>
        <w:t>Cost of treatment</w:t>
      </w:r>
    </w:p>
    <w:p w14:paraId="72DA004E" w14:textId="77777777" w:rsidR="00423761" w:rsidRDefault="00E04107" w:rsidP="00E04107">
      <w:pPr>
        <w:pStyle w:val="Instructionaltext"/>
        <w:numPr>
          <w:ilvl w:val="0"/>
          <w:numId w:val="10"/>
        </w:numPr>
        <w:rPr>
          <w:color w:val="auto"/>
        </w:rPr>
      </w:pPr>
      <w:r w:rsidRPr="008B0FAB">
        <w:rPr>
          <w:color w:val="auto"/>
        </w:rPr>
        <w:t>Cost-effectiveness of testing and treatment</w:t>
      </w:r>
    </w:p>
    <w:p w14:paraId="52729AED" w14:textId="014C1892" w:rsidR="00E04107" w:rsidRDefault="00E04107" w:rsidP="00E04107">
      <w:pPr>
        <w:pStyle w:val="Instructionaltext"/>
        <w:numPr>
          <w:ilvl w:val="0"/>
          <w:numId w:val="10"/>
        </w:numPr>
        <w:rPr>
          <w:color w:val="auto"/>
        </w:rPr>
      </w:pPr>
      <w:r w:rsidRPr="00423761">
        <w:rPr>
          <w:color w:val="auto"/>
        </w:rPr>
        <w:t>Financial implications</w:t>
      </w:r>
    </w:p>
    <w:p w14:paraId="2FFE6381" w14:textId="77777777" w:rsidR="006F598B" w:rsidRPr="004E3ABF" w:rsidRDefault="009B31CC" w:rsidP="00713728">
      <w:pPr>
        <w:pStyle w:val="Heading2"/>
      </w:pPr>
      <w:r w:rsidRPr="00490FBB">
        <w:lastRenderedPageBreak/>
        <w:t>Assessment framework (for investigative technologies)</w:t>
      </w:r>
    </w:p>
    <w:p w14:paraId="15F39C4F" w14:textId="73FF5B54" w:rsidR="00372BF8" w:rsidRPr="005E5AA1" w:rsidRDefault="00372BF8" w:rsidP="005E5AA1">
      <w:pPr>
        <w:pStyle w:val="Instructionaltext"/>
        <w:rPr>
          <w:color w:val="auto"/>
        </w:rPr>
      </w:pPr>
      <w:r w:rsidRPr="005E5AA1">
        <w:rPr>
          <w:color w:val="auto"/>
        </w:rPr>
        <w:t xml:space="preserve">As there has been a claim of superiority, the assessment would need to show an improvement in health outcomes. </w:t>
      </w:r>
      <w:r w:rsidR="00C33D33" w:rsidRPr="005E5AA1">
        <w:rPr>
          <w:color w:val="auto"/>
        </w:rPr>
        <w:t>The information from the</w:t>
      </w:r>
      <w:r w:rsidR="006558F2" w:rsidRPr="005E5AA1">
        <w:rPr>
          <w:color w:val="auto"/>
        </w:rPr>
        <w:t xml:space="preserve"> </w:t>
      </w:r>
      <w:r w:rsidR="00684823" w:rsidRPr="005E5AA1">
        <w:rPr>
          <w:color w:val="auto"/>
        </w:rPr>
        <w:t xml:space="preserve">HDV RNA </w:t>
      </w:r>
      <w:r w:rsidR="006558F2" w:rsidRPr="005E5AA1">
        <w:rPr>
          <w:color w:val="auto"/>
        </w:rPr>
        <w:t>PCR</w:t>
      </w:r>
      <w:r w:rsidR="00C33D33" w:rsidRPr="005E5AA1">
        <w:rPr>
          <w:color w:val="auto"/>
        </w:rPr>
        <w:t xml:space="preserve"> test would inform treatment decisions</w:t>
      </w:r>
      <w:r w:rsidR="006558F2" w:rsidRPr="005E5AA1">
        <w:rPr>
          <w:color w:val="auto"/>
        </w:rPr>
        <w:t xml:space="preserve"> (access to bulevirtide)</w:t>
      </w:r>
      <w:r w:rsidR="00C33D33" w:rsidRPr="005E5AA1">
        <w:rPr>
          <w:color w:val="auto"/>
        </w:rPr>
        <w:t>, and the change in treatment would ultimately impact the health of the patient.</w:t>
      </w:r>
    </w:p>
    <w:p w14:paraId="4DDA45B3" w14:textId="14D635E2" w:rsidR="00C33D33" w:rsidRPr="009C6D2B" w:rsidRDefault="00C33D33" w:rsidP="009C6D2B">
      <w:pPr>
        <w:pStyle w:val="Instructionaltext"/>
        <w:rPr>
          <w:color w:val="auto"/>
        </w:rPr>
      </w:pPr>
      <w:r w:rsidRPr="009C6D2B">
        <w:rPr>
          <w:color w:val="auto"/>
        </w:rPr>
        <w:t xml:space="preserve">If direct evidence is not available (a study directly showing that </w:t>
      </w:r>
      <w:r w:rsidR="00DF665C" w:rsidRPr="009C6D2B">
        <w:rPr>
          <w:color w:val="auto"/>
        </w:rPr>
        <w:t xml:space="preserve">PCR </w:t>
      </w:r>
      <w:r w:rsidRPr="009C6D2B">
        <w:rPr>
          <w:color w:val="auto"/>
        </w:rPr>
        <w:t>testing has a positive impact on patient health), evidence should be presented for each separate step. An assessment framework is a graphical representation of each step (</w:t>
      </w:r>
      <w:r w:rsidR="006558F2" w:rsidRPr="009C6D2B">
        <w:rPr>
          <w:color w:val="auto"/>
        </w:rPr>
        <w:fldChar w:fldCharType="begin"/>
      </w:r>
      <w:r w:rsidR="006558F2" w:rsidRPr="009C6D2B">
        <w:rPr>
          <w:color w:val="auto"/>
        </w:rPr>
        <w:instrText xml:space="preserve"> REF _Ref97723587 \h </w:instrText>
      </w:r>
      <w:r w:rsidR="009C6D2B">
        <w:rPr>
          <w:color w:val="auto"/>
        </w:rPr>
        <w:instrText xml:space="preserve"> \* MERGEFORMAT </w:instrText>
      </w:r>
      <w:r w:rsidR="006558F2" w:rsidRPr="009C6D2B">
        <w:rPr>
          <w:color w:val="auto"/>
        </w:rPr>
      </w:r>
      <w:r w:rsidR="006558F2" w:rsidRPr="009C6D2B">
        <w:rPr>
          <w:color w:val="auto"/>
        </w:rPr>
        <w:fldChar w:fldCharType="separate"/>
      </w:r>
      <w:r w:rsidR="006237F5" w:rsidRPr="009C6D2B">
        <w:rPr>
          <w:color w:val="auto"/>
        </w:rPr>
        <w:t>Figure 2</w:t>
      </w:r>
      <w:r w:rsidR="006558F2" w:rsidRPr="009C6D2B">
        <w:rPr>
          <w:color w:val="auto"/>
        </w:rPr>
        <w:fldChar w:fldCharType="end"/>
      </w:r>
      <w:r w:rsidRPr="009C6D2B">
        <w:rPr>
          <w:color w:val="auto"/>
        </w:rPr>
        <w:t>). Applicable and transitive evidence for each step is required to ensure information or action from the previous step is translated to the next. Each number corresponds to one or more research questions</w:t>
      </w:r>
      <w:r w:rsidR="002B2F84" w:rsidRPr="009C6D2B">
        <w:rPr>
          <w:color w:val="auto"/>
        </w:rPr>
        <w:t xml:space="preserve"> (See ‘assessment questions’ in </w:t>
      </w:r>
      <w:r w:rsidR="002B2F84" w:rsidRPr="009C6D2B">
        <w:rPr>
          <w:color w:val="auto"/>
        </w:rPr>
        <w:fldChar w:fldCharType="begin"/>
      </w:r>
      <w:r w:rsidR="002B2F84" w:rsidRPr="009C6D2B">
        <w:rPr>
          <w:color w:val="auto"/>
        </w:rPr>
        <w:instrText xml:space="preserve"> REF _Ref69732160 \h </w:instrText>
      </w:r>
      <w:r w:rsidR="009C6D2B">
        <w:rPr>
          <w:color w:val="auto"/>
        </w:rPr>
        <w:instrText xml:space="preserve"> \* MERGEFORMAT </w:instrText>
      </w:r>
      <w:r w:rsidR="002B2F84" w:rsidRPr="009C6D2B">
        <w:rPr>
          <w:color w:val="auto"/>
        </w:rPr>
      </w:r>
      <w:r w:rsidR="002B2F84" w:rsidRPr="009C6D2B">
        <w:rPr>
          <w:color w:val="auto"/>
        </w:rPr>
        <w:fldChar w:fldCharType="separate"/>
      </w:r>
      <w:r w:rsidR="00024F72" w:rsidRPr="009C6D2B">
        <w:rPr>
          <w:color w:val="auto"/>
        </w:rPr>
        <w:t>Table 1</w:t>
      </w:r>
      <w:r w:rsidR="002B2F84" w:rsidRPr="009C6D2B">
        <w:rPr>
          <w:color w:val="auto"/>
        </w:rPr>
        <w:fldChar w:fldCharType="end"/>
      </w:r>
      <w:r w:rsidR="002B2F84" w:rsidRPr="009C6D2B">
        <w:rPr>
          <w:color w:val="auto"/>
        </w:rPr>
        <w:t xml:space="preserve"> </w:t>
      </w:r>
      <w:r w:rsidR="00F27651" w:rsidRPr="009C6D2B">
        <w:rPr>
          <w:color w:val="auto"/>
        </w:rPr>
        <w:t>the questions under</w:t>
      </w:r>
      <w:r w:rsidR="00B552AF" w:rsidRPr="009C6D2B">
        <w:rPr>
          <w:color w:val="auto"/>
        </w:rPr>
        <w:t xml:space="preserve"> </w:t>
      </w:r>
      <w:r w:rsidR="002B2F84" w:rsidRPr="009C6D2B">
        <w:rPr>
          <w:color w:val="auto"/>
        </w:rPr>
        <w:fldChar w:fldCharType="begin"/>
      </w:r>
      <w:r w:rsidR="002B2F84" w:rsidRPr="009C6D2B">
        <w:rPr>
          <w:color w:val="auto"/>
        </w:rPr>
        <w:instrText xml:space="preserve"> REF _Ref97723587 \h </w:instrText>
      </w:r>
      <w:r w:rsidR="009C6D2B">
        <w:rPr>
          <w:color w:val="auto"/>
        </w:rPr>
        <w:instrText xml:space="preserve"> \* MERGEFORMAT </w:instrText>
      </w:r>
      <w:r w:rsidR="002B2F84" w:rsidRPr="009C6D2B">
        <w:rPr>
          <w:color w:val="auto"/>
        </w:rPr>
      </w:r>
      <w:r w:rsidR="002B2F84" w:rsidRPr="009C6D2B">
        <w:rPr>
          <w:color w:val="auto"/>
        </w:rPr>
        <w:fldChar w:fldCharType="separate"/>
      </w:r>
      <w:r w:rsidR="00024F72" w:rsidRPr="009C6D2B">
        <w:rPr>
          <w:color w:val="auto"/>
        </w:rPr>
        <w:t>Figure 2</w:t>
      </w:r>
      <w:r w:rsidR="002B2F84" w:rsidRPr="009C6D2B">
        <w:rPr>
          <w:color w:val="auto"/>
        </w:rPr>
        <w:fldChar w:fldCharType="end"/>
      </w:r>
      <w:r w:rsidR="002B2F84" w:rsidRPr="009C6D2B">
        <w:rPr>
          <w:color w:val="auto"/>
        </w:rPr>
        <w:t>).</w:t>
      </w:r>
    </w:p>
    <w:p w14:paraId="383EBC9C" w14:textId="537D0B6B" w:rsidR="002948B0" w:rsidRDefault="00B567F1" w:rsidP="00E607F3">
      <w:pPr>
        <w:pStyle w:val="Instructionaltext-afterfiguretable"/>
      </w:pPr>
      <w:r>
        <w:rPr>
          <w:rFonts w:eastAsia="Calibri" w:cs="Times New Roman"/>
          <w:noProof/>
          <w:color w:val="auto"/>
          <w:sz w:val="16"/>
          <w:szCs w:val="16"/>
          <w:lang w:eastAsia="en-AU"/>
        </w:rPr>
        <w:drawing>
          <wp:inline distT="0" distB="0" distL="0" distR="0" wp14:anchorId="2489D2BC" wp14:editId="43A4DC38">
            <wp:extent cx="5731510" cy="2499360"/>
            <wp:effectExtent l="0" t="0" r="2540" b="0"/>
            <wp:docPr id="42" name="Picture 42" descr="Figure 2 Generic assessment framework showing the links from the test population to health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Figure 2 Generic assessment framework showing the links from the test population to health outcome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499360"/>
                    </a:xfrm>
                    <a:prstGeom prst="rect">
                      <a:avLst/>
                    </a:prstGeom>
                  </pic:spPr>
                </pic:pic>
              </a:graphicData>
            </a:graphic>
          </wp:inline>
        </w:drawing>
      </w:r>
    </w:p>
    <w:p w14:paraId="739CA98C" w14:textId="3D296025" w:rsidR="00F63ED3" w:rsidRDefault="00F63ED3" w:rsidP="00F63ED3">
      <w:pPr>
        <w:pStyle w:val="Caption"/>
      </w:pPr>
      <w:bookmarkStart w:id="5" w:name="_Ref97723587"/>
      <w:r>
        <w:t>Figure </w:t>
      </w:r>
      <w:r>
        <w:fldChar w:fldCharType="begin"/>
      </w:r>
      <w:r>
        <w:instrText xml:space="preserve"> SEQ Figure \* ARABIC </w:instrText>
      </w:r>
      <w:r>
        <w:fldChar w:fldCharType="separate"/>
      </w:r>
      <w:r w:rsidR="00B03C1C">
        <w:rPr>
          <w:noProof/>
        </w:rPr>
        <w:t>2</w:t>
      </w:r>
      <w:r>
        <w:fldChar w:fldCharType="end"/>
      </w:r>
      <w:bookmarkEnd w:id="5"/>
      <w:r w:rsidRPr="00490FBB">
        <w:tab/>
        <w:t>Generic assessment framework showing the links from the test population to health outcomes</w:t>
      </w:r>
    </w:p>
    <w:p w14:paraId="738FD8A6" w14:textId="5B083776" w:rsidR="00C9191C" w:rsidRPr="00467199" w:rsidRDefault="00A50CF8" w:rsidP="00737E9B">
      <w:pPr>
        <w:pStyle w:val="Tablenotes"/>
        <w:rPr>
          <w:lang w:eastAsia="ja-JP"/>
        </w:rPr>
      </w:pPr>
      <w:r>
        <w:rPr>
          <w:lang w:eastAsia="ja-JP"/>
        </w:rPr>
        <w:t>HDV = hepatitis D virus; PCR = polymerase chain reaction; RNA = ribonucleic acid</w:t>
      </w:r>
    </w:p>
    <w:p w14:paraId="14BD74A1" w14:textId="5C3FB992" w:rsidR="00F27651" w:rsidRPr="00F27651" w:rsidRDefault="006573B6" w:rsidP="00246E1A">
      <w:pPr>
        <w:pStyle w:val="ListParagraph"/>
        <w:numPr>
          <w:ilvl w:val="0"/>
          <w:numId w:val="30"/>
        </w:numPr>
      </w:pPr>
      <w:r>
        <w:t>What is the concordance of the PCR test proposed for use in Australia, compared to the clinical utility</w:t>
      </w:r>
      <w:r w:rsidR="00B20C0C">
        <w:t xml:space="preserve"> standard</w:t>
      </w:r>
      <w:r>
        <w:t>?</w:t>
      </w:r>
    </w:p>
    <w:p w14:paraId="364E7798" w14:textId="7331E589" w:rsidR="00F27651" w:rsidRPr="00F27651" w:rsidRDefault="00DA2687" w:rsidP="00246E1A">
      <w:pPr>
        <w:pStyle w:val="ListParagraph"/>
        <w:numPr>
          <w:ilvl w:val="0"/>
          <w:numId w:val="30"/>
        </w:numPr>
      </w:pPr>
      <w:r w:rsidRPr="00F27651">
        <w:rPr>
          <w:color w:val="000000" w:themeColor="text1"/>
        </w:rPr>
        <w:t xml:space="preserve">What is the accuracy of HDV RNA PCR testing for predicting response to bulevirtide treatment in those </w:t>
      </w:r>
      <w:r>
        <w:t xml:space="preserve">diagnosed with hepatitis </w:t>
      </w:r>
      <w:r w:rsidR="00302306">
        <w:t>D</w:t>
      </w:r>
      <w:r>
        <w:t>?</w:t>
      </w:r>
    </w:p>
    <w:p w14:paraId="7C27303E" w14:textId="3A0BD688" w:rsidR="00F27651" w:rsidRPr="00F27651" w:rsidRDefault="00F27651" w:rsidP="00246E1A">
      <w:pPr>
        <w:pStyle w:val="ListParagraph"/>
        <w:numPr>
          <w:ilvl w:val="0"/>
          <w:numId w:val="30"/>
        </w:numPr>
      </w:pPr>
      <w:r>
        <w:rPr>
          <w:szCs w:val="18"/>
        </w:rPr>
        <w:t>D</w:t>
      </w:r>
      <w:r w:rsidR="006573B6" w:rsidRPr="00F27651">
        <w:rPr>
          <w:szCs w:val="18"/>
        </w:rPr>
        <w:t>oes the</w:t>
      </w:r>
      <w:r w:rsidR="00B567F1" w:rsidRPr="00F27651">
        <w:rPr>
          <w:szCs w:val="18"/>
        </w:rPr>
        <w:t xml:space="preserve"> HDV RNA PCR</w:t>
      </w:r>
      <w:r w:rsidR="006573B6" w:rsidRPr="00F27651">
        <w:rPr>
          <w:szCs w:val="18"/>
        </w:rPr>
        <w:t xml:space="preserve"> test result lead to a change in clinical decisions?</w:t>
      </w:r>
    </w:p>
    <w:p w14:paraId="5A68EACE" w14:textId="1D82B2A3" w:rsidR="00F27651" w:rsidRPr="00F27651" w:rsidRDefault="006573B6" w:rsidP="00246E1A">
      <w:pPr>
        <w:pStyle w:val="ListParagraph"/>
        <w:numPr>
          <w:ilvl w:val="0"/>
          <w:numId w:val="30"/>
        </w:numPr>
      </w:pPr>
      <w:r w:rsidRPr="00F27651">
        <w:rPr>
          <w:szCs w:val="18"/>
        </w:rPr>
        <w:t>How does bulevirtide treatment impact HDV RNA levels and ALT levels?</w:t>
      </w:r>
    </w:p>
    <w:p w14:paraId="6F5B243A" w14:textId="6AB665D0" w:rsidR="00F27651" w:rsidRPr="00F27651" w:rsidRDefault="006573B6" w:rsidP="00246E1A">
      <w:pPr>
        <w:pStyle w:val="ListParagraph"/>
        <w:numPr>
          <w:ilvl w:val="0"/>
          <w:numId w:val="30"/>
        </w:numPr>
      </w:pPr>
      <w:r w:rsidRPr="00F27651">
        <w:rPr>
          <w:szCs w:val="18"/>
        </w:rPr>
        <w:t xml:space="preserve">How does a decrease in HDV RNA levels and ALT levels lead to </w:t>
      </w:r>
      <w:r w:rsidR="002B2F84" w:rsidRPr="00F27651">
        <w:rPr>
          <w:szCs w:val="18"/>
        </w:rPr>
        <w:t>better health outcomes</w:t>
      </w:r>
      <w:r w:rsidRPr="00F27651">
        <w:rPr>
          <w:szCs w:val="18"/>
        </w:rPr>
        <w:t>?</w:t>
      </w:r>
    </w:p>
    <w:p w14:paraId="70DF4C5B" w14:textId="7BEF1196" w:rsidR="00F27651" w:rsidRPr="00F27651" w:rsidRDefault="006573B6" w:rsidP="00246E1A">
      <w:pPr>
        <w:pStyle w:val="ListParagraph"/>
        <w:numPr>
          <w:ilvl w:val="0"/>
          <w:numId w:val="30"/>
        </w:numPr>
      </w:pPr>
      <w:r w:rsidRPr="00F27651">
        <w:rPr>
          <w:szCs w:val="18"/>
        </w:rPr>
        <w:t xml:space="preserve">What is the safety of </w:t>
      </w:r>
      <w:r w:rsidR="002B2F84" w:rsidRPr="00F27651">
        <w:rPr>
          <w:szCs w:val="18"/>
        </w:rPr>
        <w:t>HDV RNA PCR testing</w:t>
      </w:r>
      <w:r w:rsidRPr="00F27651">
        <w:rPr>
          <w:szCs w:val="18"/>
        </w:rPr>
        <w:t>?</w:t>
      </w:r>
    </w:p>
    <w:p w14:paraId="45E9A3B2" w14:textId="492718CB" w:rsidR="00F27651" w:rsidRPr="00F27651" w:rsidRDefault="002B2F84" w:rsidP="00246E1A">
      <w:pPr>
        <w:pStyle w:val="ListParagraph"/>
        <w:numPr>
          <w:ilvl w:val="0"/>
          <w:numId w:val="30"/>
        </w:numPr>
      </w:pPr>
      <w:r w:rsidRPr="00F27651">
        <w:rPr>
          <w:szCs w:val="18"/>
        </w:rPr>
        <w:t>What is the sa</w:t>
      </w:r>
      <w:r w:rsidR="00B567F1" w:rsidRPr="00F27651">
        <w:rPr>
          <w:szCs w:val="18"/>
        </w:rPr>
        <w:t>fety of bulevirtide treatment?</w:t>
      </w:r>
    </w:p>
    <w:p w14:paraId="56C309C6" w14:textId="2069CC60" w:rsidR="00F27651" w:rsidRDefault="006558F2" w:rsidP="00246E1A">
      <w:pPr>
        <w:pStyle w:val="ListParagraph"/>
        <w:numPr>
          <w:ilvl w:val="0"/>
          <w:numId w:val="30"/>
        </w:numPr>
      </w:pPr>
      <w:r w:rsidRPr="00FD4C65">
        <w:t>What</w:t>
      </w:r>
      <w:r w:rsidRPr="00490FBB">
        <w:t xml:space="preserve"> is the safety, effectiveness and cost-effectiveness of </w:t>
      </w:r>
      <w:r>
        <w:t xml:space="preserve">HDV RNA PCR testing to determine eligibility for bulevirtide for the treatment of HDV </w:t>
      </w:r>
      <w:r w:rsidR="00737E9B">
        <w:t>no HDV treatment</w:t>
      </w:r>
      <w:r>
        <w:t xml:space="preserve"> in those diagnosed with HBV</w:t>
      </w:r>
      <w:r w:rsidR="008E7063">
        <w:t xml:space="preserve">, </w:t>
      </w:r>
      <w:r>
        <w:t xml:space="preserve">and testing </w:t>
      </w:r>
      <w:r w:rsidRPr="00C309E6">
        <w:t>positive</w:t>
      </w:r>
      <w:r>
        <w:t xml:space="preserve"> for</w:t>
      </w:r>
      <w:r w:rsidRPr="00C309E6">
        <w:t xml:space="preserve"> serum anti-HDV antibodies</w:t>
      </w:r>
      <w:r w:rsidRPr="00FD4C65">
        <w:t>?</w:t>
      </w:r>
    </w:p>
    <w:p w14:paraId="3103312D" w14:textId="13BEF92C" w:rsidR="00F27651" w:rsidRDefault="00737E9B" w:rsidP="00246E1A">
      <w:pPr>
        <w:pStyle w:val="ListParagraph"/>
        <w:numPr>
          <w:ilvl w:val="0"/>
          <w:numId w:val="30"/>
        </w:numPr>
      </w:pPr>
      <w:r>
        <w:t>How does bulevirtide treatment impact health outcomes?</w:t>
      </w:r>
    </w:p>
    <w:p w14:paraId="2DCEA080" w14:textId="279761B4" w:rsidR="006558F2" w:rsidRPr="00246E1A" w:rsidRDefault="00B567F1" w:rsidP="00246E1A">
      <w:pPr>
        <w:pStyle w:val="ListParagraph"/>
        <w:numPr>
          <w:ilvl w:val="0"/>
          <w:numId w:val="30"/>
        </w:numPr>
      </w:pPr>
      <w:r w:rsidRPr="00F27651">
        <w:rPr>
          <w:color w:val="000000" w:themeColor="text1"/>
        </w:rPr>
        <w:t>How well does HDV RNA PCR distinguish response to treatment compared to background variation?</w:t>
      </w:r>
    </w:p>
    <w:p w14:paraId="68003A86" w14:textId="63D4D5D9" w:rsidR="00030909" w:rsidRPr="00AA162E" w:rsidRDefault="00030909" w:rsidP="00AA162E">
      <w:pPr>
        <w:spacing w:before="200" w:after="0"/>
        <w:rPr>
          <w:i/>
          <w:szCs w:val="24"/>
        </w:rPr>
      </w:pPr>
      <w:r w:rsidRPr="00AA162E">
        <w:rPr>
          <w:i/>
          <w:szCs w:val="24"/>
        </w:rPr>
        <w:lastRenderedPageBreak/>
        <w:t>PASC noted the research questions relating to the broader population should be deleted from the PICO Confirmation as it would be very difficult to collect supporting data (with only 80 cases notified per annum in Australia).</w:t>
      </w:r>
    </w:p>
    <w:p w14:paraId="6BBC4952" w14:textId="77777777" w:rsidR="006F598B" w:rsidRPr="00302306" w:rsidRDefault="00D73332" w:rsidP="00713728">
      <w:pPr>
        <w:pStyle w:val="Heading2"/>
        <w:rPr>
          <w:b/>
          <w:bCs/>
          <w:iCs/>
        </w:rPr>
      </w:pPr>
      <w:r w:rsidRPr="00490FBB">
        <w:t>Clinical management algorithms</w:t>
      </w:r>
    </w:p>
    <w:p w14:paraId="2C7E8BF3" w14:textId="3761DD1D" w:rsidR="00617434" w:rsidRPr="00D01222" w:rsidRDefault="000D4348" w:rsidP="00617434">
      <w:pPr>
        <w:pStyle w:val="Instructionaltext"/>
        <w:rPr>
          <w:color w:val="auto"/>
          <w:u w:val="single"/>
        </w:rPr>
      </w:pPr>
      <w:r w:rsidRPr="00D01222">
        <w:rPr>
          <w:color w:val="auto"/>
          <w:u w:val="single"/>
        </w:rPr>
        <w:t>Current clinical management</w:t>
      </w:r>
    </w:p>
    <w:p w14:paraId="732FDE90" w14:textId="55A8269A" w:rsidR="00113278" w:rsidRPr="009C6D2B" w:rsidRDefault="00972D22" w:rsidP="009C6D2B">
      <w:pPr>
        <w:pStyle w:val="Instructionaltext"/>
        <w:rPr>
          <w:color w:val="auto"/>
        </w:rPr>
      </w:pPr>
      <w:r w:rsidRPr="009C6D2B">
        <w:rPr>
          <w:color w:val="auto"/>
        </w:rPr>
        <w:t>In the current clinical management</w:t>
      </w:r>
      <w:r w:rsidR="00D01222" w:rsidRPr="009C6D2B">
        <w:rPr>
          <w:color w:val="auto"/>
        </w:rPr>
        <w:t xml:space="preserve"> algorithm</w:t>
      </w:r>
      <w:r w:rsidR="000D4348" w:rsidRPr="009C6D2B">
        <w:rPr>
          <w:color w:val="auto"/>
        </w:rPr>
        <w:t xml:space="preserve"> (</w:t>
      </w:r>
      <w:r w:rsidR="000D4348" w:rsidRPr="009C6D2B">
        <w:rPr>
          <w:color w:val="auto"/>
        </w:rPr>
        <w:fldChar w:fldCharType="begin"/>
      </w:r>
      <w:r w:rsidR="000D4348" w:rsidRPr="009C6D2B">
        <w:rPr>
          <w:color w:val="auto"/>
        </w:rPr>
        <w:instrText xml:space="preserve"> REF _Ref96850411 \h </w:instrText>
      </w:r>
      <w:r w:rsidR="00F1715B" w:rsidRPr="009C6D2B">
        <w:rPr>
          <w:color w:val="auto"/>
        </w:rPr>
        <w:instrText xml:space="preserve"> \* MERGEFORMAT </w:instrText>
      </w:r>
      <w:r w:rsidR="000D4348" w:rsidRPr="009C6D2B">
        <w:rPr>
          <w:color w:val="auto"/>
        </w:rPr>
      </w:r>
      <w:r w:rsidR="000D4348" w:rsidRPr="009C6D2B">
        <w:rPr>
          <w:color w:val="auto"/>
        </w:rPr>
        <w:fldChar w:fldCharType="separate"/>
      </w:r>
      <w:r w:rsidR="008817AE" w:rsidRPr="009C6D2B">
        <w:rPr>
          <w:color w:val="auto"/>
        </w:rPr>
        <w:t>Figure 3</w:t>
      </w:r>
      <w:r w:rsidR="000D4348" w:rsidRPr="009C6D2B">
        <w:rPr>
          <w:color w:val="auto"/>
        </w:rPr>
        <w:fldChar w:fldCharType="end"/>
      </w:r>
      <w:r w:rsidR="000D4348" w:rsidRPr="009C6D2B">
        <w:rPr>
          <w:color w:val="auto"/>
        </w:rPr>
        <w:t>)</w:t>
      </w:r>
      <w:r w:rsidRPr="009C6D2B">
        <w:rPr>
          <w:color w:val="auto"/>
        </w:rPr>
        <w:t xml:space="preserve">, </w:t>
      </w:r>
      <w:r w:rsidR="00DA069B" w:rsidRPr="009C6D2B">
        <w:rPr>
          <w:color w:val="auto"/>
        </w:rPr>
        <w:t xml:space="preserve">patients testing positive for HBsAg </w:t>
      </w:r>
      <w:r w:rsidRPr="009C6D2B">
        <w:rPr>
          <w:color w:val="auto"/>
        </w:rPr>
        <w:t>are tested for anti-HDV antibodies. Based on the presence of anti-HDV anti</w:t>
      </w:r>
      <w:r w:rsidR="00B25751" w:rsidRPr="009C6D2B">
        <w:rPr>
          <w:color w:val="auto"/>
        </w:rPr>
        <w:t>bodies, they are classified as</w:t>
      </w:r>
      <w:r w:rsidRPr="009C6D2B">
        <w:rPr>
          <w:color w:val="auto"/>
        </w:rPr>
        <w:t xml:space="preserve"> ant</w:t>
      </w:r>
      <w:r w:rsidR="00D01222" w:rsidRPr="009C6D2B">
        <w:rPr>
          <w:color w:val="auto"/>
        </w:rPr>
        <w:t>i-HDV positive and negati</w:t>
      </w:r>
      <w:r w:rsidRPr="009C6D2B">
        <w:rPr>
          <w:color w:val="auto"/>
        </w:rPr>
        <w:t xml:space="preserve">ve. </w:t>
      </w:r>
      <w:r w:rsidR="00DA069B" w:rsidRPr="009C6D2B">
        <w:rPr>
          <w:color w:val="auto"/>
        </w:rPr>
        <w:t>During the acute phase of HDV infection, IgM anti-HDV is detectable in serum. IgG anti-HDV antibodies would be present in chronic HDV</w:t>
      </w:r>
      <w:r w:rsidR="00113278" w:rsidRPr="009C6D2B">
        <w:rPr>
          <w:color w:val="auto"/>
        </w:rPr>
        <w:t xml:space="preserve"> infections or would show a past </w:t>
      </w:r>
      <w:r w:rsidR="00DA069B" w:rsidRPr="009C6D2B">
        <w:rPr>
          <w:color w:val="auto"/>
        </w:rPr>
        <w:t xml:space="preserve">infection with recovery </w:t>
      </w:r>
      <w:r w:rsidR="008334DB" w:rsidRPr="009C6D2B">
        <w:rPr>
          <w:color w:val="auto"/>
        </w:rPr>
        <w:fldChar w:fldCharType="begin"/>
      </w:r>
      <w:r w:rsidR="008334DB" w:rsidRPr="009C6D2B">
        <w:rPr>
          <w:color w:val="auto"/>
        </w:rPr>
        <w:instrText xml:space="preserve"> ADDIN EN.CITE &lt;EndNote&gt;&lt;Cite&gt;&lt;Author&gt;Shah&lt;/Author&gt;&lt;Year&gt;2019&lt;/Year&gt;&lt;RecNum&gt;1&lt;/RecNum&gt;&lt;IDText&gt;396-402&lt;/IDText&gt;&lt;DisplayText&gt;(Shah et al. 2019)&lt;/DisplayText&gt;&lt;record&gt;&lt;rec-number&gt;1&lt;/rec-number&gt;&lt;foreign-keys&gt;&lt;key app="EN" db-id="9r2v5a9alpsw54edwfqp9pte925d5pfszed2" timestamp="1644892046"&gt;1&lt;/key&gt;&lt;/foreign-keys&gt;&lt;ref-type name="Journal Article"&gt;17&lt;/ref-type&gt;&lt;contributors&gt;&lt;authors&gt;&lt;author&gt;Shah, P. A.&lt;/author&gt;&lt;author&gt;Choudhry, S.&lt;/author&gt;&lt;author&gt;Reyes, K. J. C.&lt;/author&gt;&lt;author&gt;Lau, D. T. Y.&lt;/author&gt;&lt;/authors&gt;&lt;/contributors&gt;&lt;auth-address&gt;Division of Gastroenterology, Beth Israel Deaconess Medical Center, Harvard Medical School, Boston, MA, USA.&amp;#xD;Neuroendocrine Unit, Massachusetts General Hospital, Harvard Medical School, Boston, MA, USA.&lt;/auth-address&gt;&lt;titles&gt;&lt;title&gt;An update on the management of chronic hepatitis D&lt;/title&gt;&lt;secondary-title&gt;Gastroenterol Rep (Oxf)&lt;/secondary-title&gt;&lt;/titles&gt;&lt;periodical&gt;&lt;full-title&gt;Gastroenterol Rep (Oxf)&lt;/full-title&gt;&lt;/periodical&gt;&lt;pages&gt;396-402&lt;/pages&gt;&lt;volume&gt;7&lt;/volume&gt;&lt;number&gt;6&lt;/number&gt;&lt;edition&gt;2020/06/05&lt;/edition&gt;&lt;keywords&gt;&lt;keyword&gt;HDV diagnostics&lt;/keyword&gt;&lt;keyword&gt;HDV therapy&lt;/keyword&gt;&lt;keyword&gt;chronic hepatitis D&lt;/keyword&gt;&lt;keyword&gt;interferon&lt;/keyword&gt;&lt;keyword&gt;lonafarnib&lt;/keyword&gt;&lt;keyword&gt;myrcludex B&lt;/keyword&gt;&lt;/keywords&gt;&lt;dates&gt;&lt;year&gt;2019&lt;/year&gt;&lt;pub-dates&gt;&lt;date&gt;Dec&lt;/date&gt;&lt;/pub-dates&gt;&lt;/dates&gt;&lt;isbn&gt;2052-0034 (Print)&lt;/isbn&gt;&lt;accession-num&gt;32494363&lt;/accession-num&gt;&lt;urls&gt;&lt;related-urls&gt;&lt;url&gt;https://www.ncbi.nlm.nih.gov/pubmed/32494363&lt;/url&gt;&lt;url&gt;https://www.ncbi.nlm.nih.gov/pmc/articles/PMC7249531/pdf/goz052.pdf&lt;/url&gt;&lt;/related-urls&gt;&lt;/urls&gt;&lt;custom2&gt;PMC7249531&lt;/custom2&gt;&lt;electronic-resource-num&gt;10.1093/gastro/goz052&lt;/electronic-resource-num&gt;&lt;/record&gt;&lt;/Cite&gt;&lt;/EndNote&gt;</w:instrText>
      </w:r>
      <w:r w:rsidR="008334DB" w:rsidRPr="009C6D2B">
        <w:rPr>
          <w:color w:val="auto"/>
        </w:rPr>
        <w:fldChar w:fldCharType="separate"/>
      </w:r>
      <w:r w:rsidR="008334DB" w:rsidRPr="009C6D2B">
        <w:rPr>
          <w:color w:val="auto"/>
        </w:rPr>
        <w:t>(Shah et al. 2019)</w:t>
      </w:r>
      <w:r w:rsidR="008334DB" w:rsidRPr="009C6D2B">
        <w:rPr>
          <w:color w:val="auto"/>
        </w:rPr>
        <w:fldChar w:fldCharType="end"/>
      </w:r>
      <w:r w:rsidR="00DA069B" w:rsidRPr="009C6D2B">
        <w:rPr>
          <w:color w:val="auto"/>
        </w:rPr>
        <w:t>.</w:t>
      </w:r>
    </w:p>
    <w:p w14:paraId="6F499E53" w14:textId="79584683" w:rsidR="0065098C" w:rsidRPr="009C6D2B" w:rsidRDefault="00113278" w:rsidP="009C6D2B">
      <w:pPr>
        <w:pStyle w:val="Instructionaltext"/>
        <w:rPr>
          <w:color w:val="auto"/>
        </w:rPr>
      </w:pPr>
      <w:r w:rsidRPr="009C6D2B">
        <w:rPr>
          <w:color w:val="auto"/>
        </w:rPr>
        <w:t xml:space="preserve">In the absence of </w:t>
      </w:r>
      <w:r w:rsidR="0065098C" w:rsidRPr="009C6D2B">
        <w:rPr>
          <w:color w:val="auto"/>
        </w:rPr>
        <w:t>HDV RNA PCR testing, testing for anti-HDV antibodies and ALT testing would still be done to determine the presence of HDV and to assess liver damage. While continuing the standard HBV treatment, patients with HDV will be assessed for liver fibrosis using non-invasive techniques preferably irrespective of the ALT levels and continuous monitoring of liver function is required. Currently there is no approved treatment for hepatitis D infection. Long-term follow up by a liver specialist is recommended. If the disease is progressed, liver transplant is recommend based on the liver condition.</w:t>
      </w:r>
    </w:p>
    <w:p w14:paraId="5AA0233B" w14:textId="17A353A9" w:rsidR="00001ABA" w:rsidRPr="00AA162E" w:rsidRDefault="00001ABA" w:rsidP="00825B42">
      <w:pPr>
        <w:spacing w:before="200" w:after="120"/>
        <w:rPr>
          <w:i/>
          <w:szCs w:val="24"/>
        </w:rPr>
      </w:pPr>
      <w:r w:rsidRPr="00AA162E">
        <w:rPr>
          <w:i/>
          <w:szCs w:val="24"/>
        </w:rPr>
        <w:t>The applicant confirmed that ALT is not a direct measure of HDV viraemia and this test alone does not impact patient management. However ALT is a marker for current liver inflammation and forms one part of a liver function test, which is routinely performed in patients with viral hepatitis.</w:t>
      </w:r>
    </w:p>
    <w:p w14:paraId="2BDCE764" w14:textId="04878204" w:rsidR="00254C73" w:rsidRDefault="00F35291" w:rsidP="00254C73">
      <w:pPr>
        <w:rPr>
          <w:lang w:val="en-GB" w:eastAsia="ja-JP"/>
        </w:rPr>
      </w:pPr>
      <w:r>
        <w:rPr>
          <w:noProof/>
          <w:lang w:eastAsia="en-AU"/>
        </w:rPr>
        <w:drawing>
          <wp:inline distT="0" distB="0" distL="0" distR="0" wp14:anchorId="4E87D475" wp14:editId="2DC950C8">
            <wp:extent cx="2777490" cy="2606509"/>
            <wp:effectExtent l="0" t="0" r="3810" b="3810"/>
            <wp:docPr id="4" name="Picture 4" descr="Figure 3 Clinical management of Hepatitis D in the absence of HDV RNA PCR testing and Bulevirt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3 Clinical management of Hepatitis D in the absence of HDV RNA PCR testing and Bulevirtid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1112" cy="2647445"/>
                    </a:xfrm>
                    <a:prstGeom prst="rect">
                      <a:avLst/>
                    </a:prstGeom>
                  </pic:spPr>
                </pic:pic>
              </a:graphicData>
            </a:graphic>
          </wp:inline>
        </w:drawing>
      </w:r>
    </w:p>
    <w:p w14:paraId="54A5B002" w14:textId="76C7FD06" w:rsidR="00254C73" w:rsidRDefault="00254C73" w:rsidP="00254C73">
      <w:pPr>
        <w:pStyle w:val="Caption"/>
      </w:pPr>
      <w:bookmarkStart w:id="6" w:name="_Ref96850411"/>
      <w:r>
        <w:t>Figure </w:t>
      </w:r>
      <w:r>
        <w:fldChar w:fldCharType="begin"/>
      </w:r>
      <w:r>
        <w:instrText xml:space="preserve"> SEQ Figure \* ARABIC </w:instrText>
      </w:r>
      <w:r>
        <w:fldChar w:fldCharType="separate"/>
      </w:r>
      <w:r w:rsidR="00B03C1C">
        <w:rPr>
          <w:noProof/>
        </w:rPr>
        <w:t>3</w:t>
      </w:r>
      <w:r>
        <w:fldChar w:fldCharType="end"/>
      </w:r>
      <w:bookmarkEnd w:id="6"/>
      <w:r>
        <w:t xml:space="preserve"> Clinical management of Hepatitis D in the absence of HDV RNA PCR testing and </w:t>
      </w:r>
      <w:r w:rsidR="00415F51">
        <w:t>b</w:t>
      </w:r>
      <w:r>
        <w:t>ulevirtide</w:t>
      </w:r>
    </w:p>
    <w:p w14:paraId="48EBEBBF" w14:textId="22890C5A" w:rsidR="00254C73" w:rsidRPr="004A54A3" w:rsidRDefault="004A54A3" w:rsidP="004A54A3">
      <w:pPr>
        <w:pStyle w:val="Tablenotes"/>
        <w:rPr>
          <w:lang w:eastAsia="ja-JP"/>
        </w:rPr>
      </w:pPr>
      <w:r w:rsidRPr="004A54A3">
        <w:rPr>
          <w:lang w:eastAsia="ja-JP"/>
        </w:rPr>
        <w:t xml:space="preserve">ALT = </w:t>
      </w:r>
      <w:r w:rsidRPr="000C5606">
        <w:t>alanine aminotransferase</w:t>
      </w:r>
      <w:r>
        <w:t>;</w:t>
      </w:r>
      <w:r w:rsidRPr="000C5606">
        <w:t xml:space="preserve"> </w:t>
      </w:r>
      <w:proofErr w:type="spellStart"/>
      <w:r w:rsidRPr="004A54A3">
        <w:rPr>
          <w:lang w:eastAsia="ja-JP"/>
        </w:rPr>
        <w:t>HBsAG</w:t>
      </w:r>
      <w:proofErr w:type="spellEnd"/>
      <w:r w:rsidRPr="004A54A3">
        <w:rPr>
          <w:lang w:eastAsia="ja-JP"/>
        </w:rPr>
        <w:t xml:space="preserve"> = </w:t>
      </w:r>
      <w:r>
        <w:t>hepatitis B surface antigen;</w:t>
      </w:r>
      <w:r>
        <w:rPr>
          <w:lang w:eastAsia="ja-JP"/>
        </w:rPr>
        <w:t xml:space="preserve"> HBV = hepatitis B virus; HDV = hepatitis D virus; SoC = standard of care</w:t>
      </w:r>
    </w:p>
    <w:p w14:paraId="3882711E" w14:textId="77777777" w:rsidR="00825B42" w:rsidRDefault="00825B42">
      <w:pPr>
        <w:spacing w:after="160" w:line="259" w:lineRule="auto"/>
        <w:rPr>
          <w:rFonts w:eastAsiaTheme="minorHAnsi" w:cstheme="minorBidi"/>
          <w:u w:val="single"/>
        </w:rPr>
      </w:pPr>
      <w:r>
        <w:rPr>
          <w:u w:val="single"/>
        </w:rPr>
        <w:br w:type="page"/>
      </w:r>
    </w:p>
    <w:p w14:paraId="5AC3C726" w14:textId="1BD43F05" w:rsidR="00C6289E" w:rsidRPr="0065098C" w:rsidRDefault="00C6289E" w:rsidP="00C6289E">
      <w:pPr>
        <w:pStyle w:val="Instructionaltext"/>
        <w:rPr>
          <w:color w:val="auto"/>
          <w:u w:val="single"/>
        </w:rPr>
      </w:pPr>
      <w:r w:rsidRPr="0065098C">
        <w:rPr>
          <w:color w:val="auto"/>
          <w:u w:val="single"/>
        </w:rPr>
        <w:lastRenderedPageBreak/>
        <w:t>Proposed clinical management</w:t>
      </w:r>
    </w:p>
    <w:p w14:paraId="16618E05" w14:textId="77777777" w:rsidR="00030909" w:rsidRPr="00AA162E" w:rsidRDefault="00030909" w:rsidP="00AA162E">
      <w:pPr>
        <w:spacing w:before="200" w:after="0"/>
        <w:rPr>
          <w:i/>
          <w:szCs w:val="24"/>
        </w:rPr>
      </w:pPr>
      <w:r w:rsidRPr="00AA162E">
        <w:rPr>
          <w:i/>
          <w:szCs w:val="24"/>
        </w:rPr>
        <w:t>PASC noted that the timing of ALT testing is not important in this context and should not be considered a requirement for HDV RNA PCR testing. Therefore ALT quantification has been removed from the proposed clinical management algorithm in the Post-PASC PICO.</w:t>
      </w:r>
    </w:p>
    <w:p w14:paraId="5742080A" w14:textId="6BDD7607" w:rsidR="007E1D98" w:rsidRPr="00AA162E" w:rsidRDefault="00C6289E" w:rsidP="00AA162E">
      <w:pPr>
        <w:spacing w:before="200" w:after="0"/>
      </w:pPr>
      <w:r>
        <w:t xml:space="preserve">The most recent proposed clinical management algorithm </w:t>
      </w:r>
      <w:r w:rsidRPr="00DD5871">
        <w:t>(</w:t>
      </w:r>
      <w:r w:rsidRPr="00533096">
        <w:fldChar w:fldCharType="begin"/>
      </w:r>
      <w:r w:rsidRPr="00533096">
        <w:instrText xml:space="preserve"> REF _Ref96850437 \h </w:instrText>
      </w:r>
      <w:r w:rsidR="00AA162E">
        <w:instrText xml:space="preserve"> \* MERGEFORMAT </w:instrText>
      </w:r>
      <w:r w:rsidRPr="00533096">
        <w:fldChar w:fldCharType="separate"/>
      </w:r>
      <w:r w:rsidR="00533096" w:rsidRPr="00533096">
        <w:t>Figure 4</w:t>
      </w:r>
      <w:r w:rsidRPr="00533096">
        <w:fldChar w:fldCharType="end"/>
      </w:r>
      <w:r>
        <w:t>,</w:t>
      </w:r>
      <w:r w:rsidRPr="00DD5871">
        <w:t xml:space="preserve">) </w:t>
      </w:r>
      <w:r>
        <w:t xml:space="preserve">introduces HDV RNA PCR testing in the population found to be anti-HDV positive and expected to have chronic HDV. Based on the HDV RNA load patients are </w:t>
      </w:r>
      <w:r w:rsidR="00684823">
        <w:t>classified as HDV RNA positive or</w:t>
      </w:r>
      <w:r>
        <w:t xml:space="preserve"> negative. </w:t>
      </w:r>
      <w:r w:rsidR="007E1D98">
        <w:t>Patients testing positive on HDV RNA PCR and are found to meet the other requirements (</w:t>
      </w:r>
      <w:r w:rsidR="00CC3EC1" w:rsidRPr="00CC3EC1">
        <w:rPr>
          <w:b/>
          <w:bCs/>
        </w:rPr>
        <w:t>REDACTED</w:t>
      </w:r>
      <w:r w:rsidR="007E1D98">
        <w:t>) for bulevirtide treatment are directly considered for treatment with bulevirtide. All other patients who tested positive for anti-HDV antibodies would be offered a HDV RNA PCR test twice a year if chronic HDV is suspected, and will commence bulevirtide treatment once the PCR test is positive and other requirements are met.</w:t>
      </w:r>
    </w:p>
    <w:p w14:paraId="30BEE87F" w14:textId="6C3C73CE" w:rsidR="00030909" w:rsidRPr="00AA162E" w:rsidRDefault="00030909" w:rsidP="00AA162E">
      <w:pPr>
        <w:spacing w:before="200" w:after="0"/>
        <w:rPr>
          <w:i/>
          <w:szCs w:val="24"/>
        </w:rPr>
      </w:pPr>
      <w:r w:rsidRPr="00AA162E">
        <w:rPr>
          <w:i/>
          <w:szCs w:val="24"/>
        </w:rPr>
        <w:t xml:space="preserve">PASC suggested adding an arrow to the proposed clinical management algorithm from ‘eligible for HDV therapy with bulevirtide’ to ‘HDV RNA PCR test’ to show ongoing HDV RNA testing for monitoring treatment response. The latest (Post-PASC) clinical management algorithm reflecting the intention of this suggestion is presented in the revised </w:t>
      </w:r>
      <w:r w:rsidRPr="00AA162E">
        <w:rPr>
          <w:i/>
          <w:szCs w:val="24"/>
        </w:rPr>
        <w:fldChar w:fldCharType="begin"/>
      </w:r>
      <w:r w:rsidRPr="00AA162E">
        <w:rPr>
          <w:i/>
          <w:szCs w:val="24"/>
        </w:rPr>
        <w:instrText xml:space="preserve"> REF _Ref96850437 \h  \* MERGEFORMAT </w:instrText>
      </w:r>
      <w:r w:rsidRPr="00AA162E">
        <w:rPr>
          <w:i/>
          <w:szCs w:val="24"/>
        </w:rPr>
      </w:r>
      <w:r w:rsidRPr="00AA162E">
        <w:rPr>
          <w:i/>
          <w:szCs w:val="24"/>
        </w:rPr>
        <w:fldChar w:fldCharType="separate"/>
      </w:r>
      <w:r w:rsidRPr="00AA162E">
        <w:rPr>
          <w:i/>
          <w:szCs w:val="24"/>
        </w:rPr>
        <w:t>Figure 4</w:t>
      </w:r>
      <w:r w:rsidRPr="00AA162E">
        <w:rPr>
          <w:i/>
          <w:szCs w:val="24"/>
        </w:rPr>
        <w:fldChar w:fldCharType="end"/>
      </w:r>
      <w:r w:rsidRPr="00AA162E">
        <w:rPr>
          <w:i/>
          <w:szCs w:val="24"/>
        </w:rPr>
        <w:t>.</w:t>
      </w:r>
    </w:p>
    <w:p w14:paraId="51646E87" w14:textId="00A555F9" w:rsidR="009F4F53" w:rsidRDefault="004F7D15" w:rsidP="00B42BD1">
      <w:pPr>
        <w:pStyle w:val="Caption"/>
        <w:ind w:left="0" w:firstLine="0"/>
      </w:pPr>
      <w:r>
        <w:rPr>
          <w:noProof/>
          <w:color w:val="1F497D"/>
          <w:lang w:eastAsia="en-AU"/>
        </w:rPr>
        <w:drawing>
          <wp:inline distT="0" distB="0" distL="0" distR="0" wp14:anchorId="63D6910B" wp14:editId="19D7F970">
            <wp:extent cx="5731510" cy="2966085"/>
            <wp:effectExtent l="0" t="0" r="0" b="0"/>
            <wp:docPr id="2" name="Picture 2" descr="Figure 4 Proposed clinical management of Hepatitis D with HDV RNA PCR testing and bulevirt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4 Proposed clinical management of Hepatitis D with HDV RNA PCR testing and bulevirtide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966085"/>
                    </a:xfrm>
                    <a:prstGeom prst="rect">
                      <a:avLst/>
                    </a:prstGeom>
                  </pic:spPr>
                </pic:pic>
              </a:graphicData>
            </a:graphic>
          </wp:inline>
        </w:drawing>
      </w:r>
      <w:bookmarkStart w:id="7" w:name="_Ref96850437"/>
      <w:r w:rsidR="009F4F53" w:rsidRPr="009F4F53">
        <w:t xml:space="preserve"> </w:t>
      </w:r>
      <w:r w:rsidR="009F4F53">
        <w:t>Figure </w:t>
      </w:r>
      <w:r w:rsidR="009F4F53">
        <w:fldChar w:fldCharType="begin"/>
      </w:r>
      <w:r w:rsidR="009F4F53">
        <w:instrText xml:space="preserve"> SEQ Figure \* ARABIC </w:instrText>
      </w:r>
      <w:r w:rsidR="009F4F53">
        <w:fldChar w:fldCharType="separate"/>
      </w:r>
      <w:r w:rsidR="009F4F53">
        <w:rPr>
          <w:noProof/>
        </w:rPr>
        <w:t>4</w:t>
      </w:r>
      <w:r w:rsidR="009F4F53">
        <w:fldChar w:fldCharType="end"/>
      </w:r>
      <w:bookmarkEnd w:id="7"/>
      <w:r w:rsidR="009F4F53">
        <w:t xml:space="preserve"> Proposed clinical management of Hepatitis D with HDV RNA PCR testing and bulevirtide </w:t>
      </w:r>
    </w:p>
    <w:p w14:paraId="5DD14D7A" w14:textId="65C90EDD" w:rsidR="004A54A3" w:rsidRDefault="004A54A3" w:rsidP="009C6D2B">
      <w:pPr>
        <w:pStyle w:val="Tablenotes"/>
        <w:spacing w:after="240"/>
        <w:rPr>
          <w:lang w:eastAsia="ja-JP"/>
        </w:rPr>
      </w:pPr>
      <w:r w:rsidRPr="004A54A3">
        <w:rPr>
          <w:lang w:eastAsia="ja-JP"/>
        </w:rPr>
        <w:t xml:space="preserve">ALT = </w:t>
      </w:r>
      <w:r w:rsidRPr="000C5606">
        <w:t>alanine aminotransferase</w:t>
      </w:r>
      <w:r>
        <w:t>;</w:t>
      </w:r>
      <w:r w:rsidRPr="000C5606">
        <w:t xml:space="preserve"> </w:t>
      </w:r>
      <w:proofErr w:type="spellStart"/>
      <w:r w:rsidRPr="004A54A3">
        <w:rPr>
          <w:lang w:eastAsia="ja-JP"/>
        </w:rPr>
        <w:t>HBsAG</w:t>
      </w:r>
      <w:proofErr w:type="spellEnd"/>
      <w:r w:rsidRPr="004A54A3">
        <w:rPr>
          <w:lang w:eastAsia="ja-JP"/>
        </w:rPr>
        <w:t xml:space="preserve"> = </w:t>
      </w:r>
      <w:r>
        <w:t>hepatitis B surface antigen;</w:t>
      </w:r>
      <w:r>
        <w:rPr>
          <w:lang w:eastAsia="ja-JP"/>
        </w:rPr>
        <w:t xml:space="preserve"> HBV = hepatitis B virus; HDV = hepatitis D virus; </w:t>
      </w:r>
      <w:r w:rsidR="00CD1798">
        <w:rPr>
          <w:lang w:eastAsia="ja-JP"/>
        </w:rPr>
        <w:t xml:space="preserve">PCR = polymerase chain reaction; RNA = ribonucleic acid; </w:t>
      </w:r>
      <w:r>
        <w:rPr>
          <w:lang w:eastAsia="ja-JP"/>
        </w:rPr>
        <w:t>SoC = standard of care</w:t>
      </w:r>
    </w:p>
    <w:p w14:paraId="1A41C522" w14:textId="08349863" w:rsidR="00C33CA1" w:rsidRPr="00302306" w:rsidRDefault="00D73332" w:rsidP="00B42BD1">
      <w:pPr>
        <w:pStyle w:val="Heading2"/>
        <w:spacing w:before="480"/>
        <w:rPr>
          <w:b/>
          <w:bCs/>
          <w:iCs/>
        </w:rPr>
      </w:pPr>
      <w:r w:rsidRPr="00490FBB">
        <w:t>Proposed economic evaluation</w:t>
      </w:r>
    </w:p>
    <w:p w14:paraId="09C3A1BA" w14:textId="4C453A7A" w:rsidR="00D064C2" w:rsidRDefault="00317018" w:rsidP="00E01349">
      <w:pPr>
        <w:pStyle w:val="Instructionaltext"/>
        <w:rPr>
          <w:color w:val="auto"/>
        </w:rPr>
      </w:pPr>
      <w:r>
        <w:rPr>
          <w:color w:val="auto"/>
        </w:rPr>
        <w:t>The a</w:t>
      </w:r>
      <w:r w:rsidR="001B1A4E">
        <w:rPr>
          <w:color w:val="auto"/>
        </w:rPr>
        <w:t>pplicant claims that HDV RNA</w:t>
      </w:r>
      <w:r w:rsidR="00F7113C" w:rsidRPr="00E75ABD">
        <w:rPr>
          <w:color w:val="auto"/>
        </w:rPr>
        <w:t xml:space="preserve"> PCR </w:t>
      </w:r>
      <w:r w:rsidR="00BD76FF" w:rsidRPr="00E75ABD">
        <w:rPr>
          <w:color w:val="auto"/>
        </w:rPr>
        <w:t>testing</w:t>
      </w:r>
      <w:r w:rsidR="00F7113C" w:rsidRPr="00E75ABD">
        <w:rPr>
          <w:color w:val="auto"/>
        </w:rPr>
        <w:t xml:space="preserve"> and treatment with bulevirtide for chronic HDV will result in superior safety and effectiveness compared to no testing and symptomatic treatment</w:t>
      </w:r>
      <w:r w:rsidR="008F27DE">
        <w:rPr>
          <w:color w:val="auto"/>
        </w:rPr>
        <w:t xml:space="preserve"> in patients with chronic HDV</w:t>
      </w:r>
      <w:r w:rsidR="00F7113C" w:rsidRPr="00E75ABD">
        <w:rPr>
          <w:color w:val="auto"/>
        </w:rPr>
        <w:t>.</w:t>
      </w:r>
    </w:p>
    <w:p w14:paraId="3AF6090A" w14:textId="6633988D" w:rsidR="005140A6" w:rsidRDefault="005140A6" w:rsidP="00E01349">
      <w:pPr>
        <w:pStyle w:val="Instructionaltext"/>
        <w:rPr>
          <w:color w:val="auto"/>
        </w:rPr>
      </w:pPr>
      <w:r w:rsidRPr="00A94084">
        <w:rPr>
          <w:color w:val="auto"/>
        </w:rPr>
        <w:lastRenderedPageBreak/>
        <w:t xml:space="preserve">Responses to public consultation suggested that there is an unmet clinical need for </w:t>
      </w:r>
      <w:r w:rsidR="00495D93" w:rsidRPr="00A94084">
        <w:rPr>
          <w:color w:val="auto"/>
        </w:rPr>
        <w:t xml:space="preserve">use of the proposed test for broader purposes than associated with </w:t>
      </w:r>
      <w:r w:rsidRPr="00A94084">
        <w:rPr>
          <w:color w:val="auto"/>
        </w:rPr>
        <w:t>bulevirtide. If the proposed MBS items are not highly specific to the population who would otherwise be eligible for bulevirtide, or who are receiving bulevirtide, the risk of “leakage” (usage outside of the codependent purpose) is high.</w:t>
      </w:r>
    </w:p>
    <w:p w14:paraId="1B04346F" w14:textId="647036A8" w:rsidR="0051202D" w:rsidRPr="00AA162E" w:rsidRDefault="00030909" w:rsidP="00AA162E">
      <w:pPr>
        <w:spacing w:before="200" w:after="0"/>
        <w:rPr>
          <w:i/>
          <w:szCs w:val="24"/>
        </w:rPr>
      </w:pPr>
      <w:r w:rsidRPr="00AA162E">
        <w:rPr>
          <w:i/>
          <w:szCs w:val="24"/>
        </w:rPr>
        <w:t xml:space="preserve">PASC noted that the applicant re-iterated its intention that the economic evaluation in the ADAR will focus solely on the </w:t>
      </w:r>
      <w:proofErr w:type="spellStart"/>
      <w:r w:rsidRPr="00AA162E">
        <w:rPr>
          <w:i/>
          <w:szCs w:val="24"/>
        </w:rPr>
        <w:t>codependency</w:t>
      </w:r>
      <w:proofErr w:type="spellEnd"/>
      <w:r w:rsidRPr="00AA162E">
        <w:rPr>
          <w:i/>
          <w:szCs w:val="24"/>
        </w:rPr>
        <w:t xml:space="preserve"> between HDV RNA testing and bulevirtide.</w:t>
      </w:r>
    </w:p>
    <w:p w14:paraId="0158D38E" w14:textId="457150FB" w:rsidR="00A20CF9" w:rsidRPr="00A94084" w:rsidRDefault="00F7113C" w:rsidP="00AA162E">
      <w:pPr>
        <w:spacing w:before="200" w:after="0"/>
      </w:pPr>
      <w:r w:rsidRPr="00A94084">
        <w:t>B</w:t>
      </w:r>
      <w:r w:rsidR="000939E0" w:rsidRPr="00A94084">
        <w:t>ased on the clinical claim</w:t>
      </w:r>
      <w:r w:rsidRPr="00A94084">
        <w:t xml:space="preserve"> proposed by the applicant</w:t>
      </w:r>
      <w:r w:rsidR="001B490C" w:rsidRPr="00A94084">
        <w:t xml:space="preserve">, </w:t>
      </w:r>
      <w:r w:rsidRPr="00A94084">
        <w:t>a cost-</w:t>
      </w:r>
      <w:r w:rsidR="00BD76FF" w:rsidRPr="00A94084">
        <w:t>effectiveness</w:t>
      </w:r>
      <w:r w:rsidRPr="00A94084">
        <w:t>/cost utility analysis is the most appropriate economic evaluation</w:t>
      </w:r>
      <w:r w:rsidR="001B490C" w:rsidRPr="00A94084">
        <w:t>.</w:t>
      </w:r>
    </w:p>
    <w:p w14:paraId="4B072F37" w14:textId="0D0F93EC" w:rsidR="002F3E40" w:rsidRPr="00815581" w:rsidRDefault="00A20CF9" w:rsidP="009C6D2B">
      <w:pPr>
        <w:pStyle w:val="Instructionaltext"/>
        <w:keepNext/>
        <w:rPr>
          <w:color w:val="auto"/>
        </w:rPr>
      </w:pPr>
      <w:r w:rsidRPr="00815581">
        <w:rPr>
          <w:color w:val="auto"/>
        </w:rPr>
        <w:fldChar w:fldCharType="begin"/>
      </w:r>
      <w:r w:rsidRPr="00815581">
        <w:rPr>
          <w:color w:val="auto"/>
        </w:rPr>
        <w:instrText xml:space="preserve"> REF _Ref54260209 \h </w:instrText>
      </w:r>
      <w:r w:rsidRPr="00815581">
        <w:rPr>
          <w:color w:val="auto"/>
        </w:rPr>
      </w:r>
      <w:r w:rsidRPr="00815581">
        <w:rPr>
          <w:color w:val="auto"/>
        </w:rPr>
        <w:fldChar w:fldCharType="separate"/>
      </w:r>
      <w:r w:rsidR="00815581" w:rsidRPr="00815581">
        <w:rPr>
          <w:color w:val="auto"/>
        </w:rPr>
        <w:t>Table </w:t>
      </w:r>
      <w:r w:rsidR="00815581" w:rsidRPr="00815581">
        <w:rPr>
          <w:noProof/>
          <w:color w:val="auto"/>
        </w:rPr>
        <w:t>2</w:t>
      </w:r>
      <w:r w:rsidRPr="00815581">
        <w:rPr>
          <w:color w:val="auto"/>
        </w:rPr>
        <w:fldChar w:fldCharType="end"/>
      </w:r>
      <w:r w:rsidR="00686EED" w:rsidRPr="00815581">
        <w:rPr>
          <w:color w:val="auto"/>
        </w:rPr>
        <w:t xml:space="preserve"> provides a guide for determining which type of econ</w:t>
      </w:r>
      <w:r w:rsidR="00F7113C" w:rsidRPr="00815581">
        <w:rPr>
          <w:color w:val="auto"/>
        </w:rPr>
        <w:t>omic evaluation is appropriate.</w:t>
      </w:r>
    </w:p>
    <w:p w14:paraId="6DAB2DBD" w14:textId="606F421D" w:rsidR="000939E0" w:rsidRPr="00490FBB" w:rsidRDefault="000939E0" w:rsidP="00C40CC4">
      <w:pPr>
        <w:pStyle w:val="Caption"/>
      </w:pPr>
      <w:bookmarkStart w:id="8" w:name="_Ref54260209"/>
      <w:bookmarkStart w:id="9" w:name="_Toc423450289"/>
      <w:r w:rsidRPr="00490FBB">
        <w:t>Table</w:t>
      </w:r>
      <w:r w:rsidR="00DE762F">
        <w:t> </w:t>
      </w:r>
      <w:r w:rsidRPr="00490FBB">
        <w:fldChar w:fldCharType="begin"/>
      </w:r>
      <w:r w:rsidRPr="00490FBB">
        <w:instrText xml:space="preserve"> SEQ Table \* ARABIC </w:instrText>
      </w:r>
      <w:r w:rsidRPr="00490FBB">
        <w:fldChar w:fldCharType="separate"/>
      </w:r>
      <w:r w:rsidR="00391E3C">
        <w:rPr>
          <w:noProof/>
        </w:rPr>
        <w:t>2</w:t>
      </w:r>
      <w:r w:rsidRPr="00490FBB">
        <w:fldChar w:fldCharType="end"/>
      </w:r>
      <w:bookmarkEnd w:id="8"/>
      <w:r w:rsidR="001A5D2F">
        <w:tab/>
        <w:t>Classification of</w:t>
      </w:r>
      <w:r w:rsidRPr="00490FBB">
        <w:t xml:space="preserve"> comparative effectiveness and safety of the proposed intervention</w:t>
      </w:r>
      <w:r w:rsidR="001A5D2F">
        <w:t>,</w:t>
      </w:r>
      <w:r w:rsidRPr="00490FBB">
        <w:t xml:space="preserve"> compared with its main comparator</w:t>
      </w:r>
      <w:r w:rsidR="001A5D2F">
        <w:t>,</w:t>
      </w:r>
      <w:r w:rsidRPr="00490FBB">
        <w:t xml:space="preserve"> and guide to the suitable type of economic evaluation</w:t>
      </w:r>
      <w:bookmarkEnd w:id="9"/>
    </w:p>
    <w:tbl>
      <w:tblPr>
        <w:tblW w:w="4872" w:type="pct"/>
        <w:tblInd w:w="115" w:type="dxa"/>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1893"/>
        <w:gridCol w:w="1794"/>
        <w:gridCol w:w="2095"/>
        <w:gridCol w:w="1648"/>
        <w:gridCol w:w="1355"/>
      </w:tblGrid>
      <w:tr w:rsidR="00DC3FB7" w:rsidRPr="00490FBB" w14:paraId="5238F44C" w14:textId="77777777" w:rsidTr="00DC3FB7">
        <w:trPr>
          <w:cantSplit/>
          <w:tblHeader/>
        </w:trPr>
        <w:tc>
          <w:tcPr>
            <w:tcW w:w="1893" w:type="dxa"/>
            <w:vMerge w:val="restart"/>
            <w:tcBorders>
              <w:top w:val="single" w:sz="4" w:space="0" w:color="auto"/>
              <w:left w:val="single" w:sz="4" w:space="0" w:color="auto"/>
              <w:right w:val="single" w:sz="4" w:space="0" w:color="auto"/>
            </w:tcBorders>
          </w:tcPr>
          <w:p w14:paraId="5B06A6EA" w14:textId="417F5DFE" w:rsidR="00DC3FB7" w:rsidRPr="00490FBB" w:rsidRDefault="00DC3FB7" w:rsidP="00C40CC4">
            <w:pPr>
              <w:pStyle w:val="TableHeading"/>
            </w:pPr>
            <w:bookmarkStart w:id="10" w:name="Title_Table2" w:colFirst="0" w:colLast="0"/>
            <w:r w:rsidRPr="00490FBB">
              <w:t>Comparative safety</w:t>
            </w:r>
          </w:p>
        </w:tc>
        <w:tc>
          <w:tcPr>
            <w:tcW w:w="6892" w:type="dxa"/>
            <w:gridSpan w:val="4"/>
            <w:tcBorders>
              <w:top w:val="single" w:sz="4" w:space="0" w:color="auto"/>
              <w:left w:val="single" w:sz="4" w:space="0" w:color="auto"/>
              <w:bottom w:val="single" w:sz="4" w:space="0" w:color="auto"/>
              <w:right w:val="single" w:sz="4" w:space="0" w:color="auto"/>
            </w:tcBorders>
          </w:tcPr>
          <w:p w14:paraId="0FE152FA" w14:textId="083A08F3" w:rsidR="00DC3FB7" w:rsidRPr="00490FBB" w:rsidRDefault="00DC3FB7" w:rsidP="00DC3FB7">
            <w:pPr>
              <w:pStyle w:val="TableHeading"/>
              <w:spacing w:after="120"/>
              <w:jc w:val="center"/>
            </w:pPr>
            <w:r w:rsidRPr="00490FBB">
              <w:t>Comparative effectiveness</w:t>
            </w:r>
          </w:p>
        </w:tc>
      </w:tr>
      <w:bookmarkEnd w:id="10"/>
      <w:tr w:rsidR="00686EED" w:rsidRPr="00490FBB" w14:paraId="78A8F3F1" w14:textId="77777777" w:rsidTr="00DC3FB7">
        <w:trPr>
          <w:cantSplit/>
          <w:tblHeader/>
        </w:trPr>
        <w:tc>
          <w:tcPr>
            <w:tcW w:w="1893" w:type="dxa"/>
            <w:vMerge/>
            <w:tcBorders>
              <w:left w:val="single" w:sz="4" w:space="0" w:color="auto"/>
              <w:bottom w:val="single" w:sz="4" w:space="0" w:color="auto"/>
              <w:right w:val="single" w:sz="4" w:space="0" w:color="auto"/>
            </w:tcBorders>
          </w:tcPr>
          <w:p w14:paraId="6E00D947" w14:textId="18E9EA83" w:rsidR="00686EED" w:rsidRPr="00490FBB" w:rsidRDefault="00686EED" w:rsidP="00C40CC4">
            <w:pPr>
              <w:pStyle w:val="TableHeading"/>
            </w:pPr>
          </w:p>
        </w:tc>
        <w:tc>
          <w:tcPr>
            <w:tcW w:w="1794" w:type="dxa"/>
            <w:tcBorders>
              <w:left w:val="single" w:sz="4" w:space="0" w:color="auto"/>
              <w:bottom w:val="single" w:sz="4" w:space="0" w:color="auto"/>
              <w:right w:val="single" w:sz="4" w:space="0" w:color="auto"/>
            </w:tcBorders>
          </w:tcPr>
          <w:p w14:paraId="319C788C" w14:textId="77777777" w:rsidR="00686EED" w:rsidRPr="00490FBB" w:rsidRDefault="00686EED" w:rsidP="00C40CC4">
            <w:pPr>
              <w:pStyle w:val="TableHeading"/>
              <w:jc w:val="center"/>
            </w:pPr>
            <w:r w:rsidRPr="00490FBB">
              <w:t>Inferior</w:t>
            </w:r>
          </w:p>
        </w:tc>
        <w:tc>
          <w:tcPr>
            <w:tcW w:w="2095" w:type="dxa"/>
            <w:tcBorders>
              <w:top w:val="single" w:sz="4" w:space="0" w:color="auto"/>
              <w:left w:val="single" w:sz="4" w:space="0" w:color="auto"/>
              <w:bottom w:val="single" w:sz="4" w:space="0" w:color="auto"/>
              <w:right w:val="single" w:sz="4" w:space="0" w:color="auto"/>
            </w:tcBorders>
          </w:tcPr>
          <w:p w14:paraId="5AC96128" w14:textId="77777777" w:rsidR="00686EED" w:rsidRPr="00490FBB" w:rsidRDefault="00686EED" w:rsidP="00C40CC4">
            <w:pPr>
              <w:pStyle w:val="TableHeading"/>
              <w:jc w:val="center"/>
            </w:pPr>
            <w:proofErr w:type="spellStart"/>
            <w:r w:rsidRPr="00490FBB">
              <w:t>Uncertain</w:t>
            </w:r>
            <w:r w:rsidRPr="00490FBB">
              <w:rPr>
                <w:vertAlign w:val="superscript"/>
              </w:rPr>
              <w:t>a</w:t>
            </w:r>
            <w:proofErr w:type="spellEnd"/>
          </w:p>
        </w:tc>
        <w:tc>
          <w:tcPr>
            <w:tcW w:w="1648" w:type="dxa"/>
            <w:tcBorders>
              <w:top w:val="single" w:sz="4" w:space="0" w:color="auto"/>
              <w:left w:val="single" w:sz="4" w:space="0" w:color="auto"/>
              <w:bottom w:val="single" w:sz="4" w:space="0" w:color="auto"/>
              <w:right w:val="single" w:sz="4" w:space="0" w:color="auto"/>
            </w:tcBorders>
          </w:tcPr>
          <w:p w14:paraId="7AA1349D" w14:textId="4BA1ADFE" w:rsidR="00686EED" w:rsidRPr="00490FBB" w:rsidRDefault="00686EED" w:rsidP="00C40CC4">
            <w:pPr>
              <w:pStyle w:val="TableHeading"/>
              <w:jc w:val="center"/>
            </w:pPr>
            <w:proofErr w:type="spellStart"/>
            <w:r w:rsidRPr="00490FBB">
              <w:t>Noninferior</w:t>
            </w:r>
            <w:r w:rsidRPr="00490FBB">
              <w:rPr>
                <w:vertAlign w:val="superscript"/>
              </w:rPr>
              <w:t>b</w:t>
            </w:r>
            <w:proofErr w:type="spellEnd"/>
          </w:p>
        </w:tc>
        <w:tc>
          <w:tcPr>
            <w:tcW w:w="1355" w:type="dxa"/>
            <w:tcBorders>
              <w:top w:val="single" w:sz="4" w:space="0" w:color="auto"/>
              <w:left w:val="single" w:sz="4" w:space="0" w:color="auto"/>
              <w:bottom w:val="single" w:sz="4" w:space="0" w:color="auto"/>
              <w:right w:val="single" w:sz="4" w:space="0" w:color="auto"/>
            </w:tcBorders>
          </w:tcPr>
          <w:p w14:paraId="156C5942" w14:textId="77777777" w:rsidR="00686EED" w:rsidRPr="00490FBB" w:rsidRDefault="00686EED" w:rsidP="00C40CC4">
            <w:pPr>
              <w:pStyle w:val="TableHeading"/>
              <w:jc w:val="center"/>
            </w:pPr>
            <w:r w:rsidRPr="00490FBB">
              <w:t>Superior</w:t>
            </w:r>
          </w:p>
        </w:tc>
      </w:tr>
      <w:tr w:rsidR="000939E0" w:rsidRPr="00490FBB" w14:paraId="1E111DC3" w14:textId="77777777" w:rsidTr="00DC3FB7">
        <w:tc>
          <w:tcPr>
            <w:tcW w:w="1893" w:type="dxa"/>
            <w:tcBorders>
              <w:top w:val="single" w:sz="4" w:space="0" w:color="auto"/>
              <w:left w:val="single" w:sz="4" w:space="0" w:color="auto"/>
              <w:bottom w:val="single" w:sz="4" w:space="0" w:color="auto"/>
              <w:right w:val="single" w:sz="4" w:space="0" w:color="auto"/>
            </w:tcBorders>
            <w:vAlign w:val="center"/>
          </w:tcPr>
          <w:p w14:paraId="04A362E2" w14:textId="37E23C1D" w:rsidR="000939E0" w:rsidRPr="00490FBB" w:rsidRDefault="000939E0" w:rsidP="00C40CC4">
            <w:pPr>
              <w:pStyle w:val="Tabletext"/>
              <w:keepNext/>
            </w:pPr>
            <w:r w:rsidRPr="00490FBB">
              <w:t>Inferior</w:t>
            </w:r>
          </w:p>
        </w:tc>
        <w:tc>
          <w:tcPr>
            <w:tcW w:w="1794"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490FBB" w:rsidRDefault="000939E0" w:rsidP="00C40CC4">
            <w:pPr>
              <w:pStyle w:val="Tabletext"/>
              <w:keepNext/>
            </w:pPr>
            <w:r w:rsidRPr="00490FBB">
              <w:t>Health forgone: need other supportive factors</w:t>
            </w:r>
          </w:p>
        </w:tc>
        <w:tc>
          <w:tcPr>
            <w:tcW w:w="2095"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490FBB" w:rsidRDefault="000939E0" w:rsidP="00C40CC4">
            <w:pPr>
              <w:pStyle w:val="Tabletext"/>
              <w:keepNext/>
            </w:pPr>
            <w:r w:rsidRPr="00490FBB">
              <w:t>Health forgone possible: need other supportive factors</w:t>
            </w:r>
          </w:p>
        </w:tc>
        <w:tc>
          <w:tcPr>
            <w:tcW w:w="16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490FBB" w:rsidRDefault="000939E0" w:rsidP="00C40CC4">
            <w:pPr>
              <w:pStyle w:val="Tabletext"/>
              <w:keepNext/>
            </w:pPr>
            <w:r w:rsidRPr="00490FBB">
              <w:t>Health forgone: need other supportive factors</w:t>
            </w:r>
          </w:p>
        </w:tc>
        <w:tc>
          <w:tcPr>
            <w:tcW w:w="1355"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490FBB" w:rsidRDefault="000939E0" w:rsidP="00C40CC4">
            <w:pPr>
              <w:pStyle w:val="Tabletext"/>
              <w:keepNext/>
            </w:pPr>
            <w:r w:rsidRPr="00490FBB">
              <w:t>? Likely CUA</w:t>
            </w:r>
          </w:p>
        </w:tc>
      </w:tr>
      <w:tr w:rsidR="000939E0" w:rsidRPr="00490FBB" w14:paraId="463C2753" w14:textId="77777777" w:rsidTr="00DC3FB7">
        <w:tc>
          <w:tcPr>
            <w:tcW w:w="1893"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490FBB" w:rsidRDefault="000939E0" w:rsidP="00C40CC4">
            <w:pPr>
              <w:pStyle w:val="Tabletext"/>
              <w:keepNext/>
            </w:pPr>
            <w:proofErr w:type="spellStart"/>
            <w:r w:rsidRPr="00490FBB">
              <w:t>Uncertain</w:t>
            </w:r>
            <w:r w:rsidRPr="00490FBB">
              <w:rPr>
                <w:vertAlign w:val="superscript"/>
              </w:rPr>
              <w:t>a</w:t>
            </w:r>
            <w:proofErr w:type="spellEnd"/>
          </w:p>
        </w:tc>
        <w:tc>
          <w:tcPr>
            <w:tcW w:w="1794"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490FBB" w:rsidRDefault="000939E0" w:rsidP="00C40CC4">
            <w:pPr>
              <w:pStyle w:val="Tabletext"/>
              <w:keepNext/>
            </w:pPr>
            <w:r w:rsidRPr="00490FBB">
              <w:t>Health forgone possible: need other supportive factors</w:t>
            </w:r>
          </w:p>
        </w:tc>
        <w:tc>
          <w:tcPr>
            <w:tcW w:w="2095"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490FBB" w:rsidRDefault="000939E0" w:rsidP="00C40CC4">
            <w:pPr>
              <w:pStyle w:val="Tabletext"/>
              <w:keepNext/>
            </w:pPr>
            <w:r w:rsidRPr="00490FBB">
              <w:t>?</w:t>
            </w:r>
          </w:p>
        </w:tc>
        <w:tc>
          <w:tcPr>
            <w:tcW w:w="16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490FBB" w:rsidRDefault="000939E0" w:rsidP="00C40CC4">
            <w:pPr>
              <w:pStyle w:val="Tabletext"/>
              <w:keepNext/>
            </w:pPr>
            <w:r w:rsidRPr="00490FBB">
              <w:t>?</w:t>
            </w:r>
          </w:p>
        </w:tc>
        <w:tc>
          <w:tcPr>
            <w:tcW w:w="1355"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490FBB" w:rsidRDefault="000939E0" w:rsidP="00C40CC4">
            <w:pPr>
              <w:pStyle w:val="Tabletext"/>
              <w:keepNext/>
            </w:pPr>
            <w:r w:rsidRPr="00490FBB">
              <w:t>? Likely CEA/CUA</w:t>
            </w:r>
          </w:p>
        </w:tc>
      </w:tr>
      <w:tr w:rsidR="000939E0" w:rsidRPr="00490FBB" w14:paraId="47335FF9" w14:textId="77777777" w:rsidTr="00DC3FB7">
        <w:tc>
          <w:tcPr>
            <w:tcW w:w="1893"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490FBB" w:rsidRDefault="000939E0" w:rsidP="00C40CC4">
            <w:pPr>
              <w:pStyle w:val="Tabletext"/>
              <w:keepNext/>
            </w:pPr>
            <w:proofErr w:type="spellStart"/>
            <w:r w:rsidRPr="00490FBB">
              <w:t>Noninferior</w:t>
            </w:r>
            <w:r w:rsidRPr="00490FBB">
              <w:rPr>
                <w:vertAlign w:val="superscript"/>
              </w:rPr>
              <w:t>b</w:t>
            </w:r>
            <w:proofErr w:type="spellEnd"/>
          </w:p>
        </w:tc>
        <w:tc>
          <w:tcPr>
            <w:tcW w:w="1794"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490FBB" w:rsidRDefault="000939E0" w:rsidP="00C40CC4">
            <w:pPr>
              <w:pStyle w:val="Tabletext"/>
              <w:keepNext/>
            </w:pPr>
            <w:r w:rsidRPr="00490FBB">
              <w:t>Health forgone: need other supportive factors</w:t>
            </w:r>
          </w:p>
        </w:tc>
        <w:tc>
          <w:tcPr>
            <w:tcW w:w="2095"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490FBB" w:rsidRDefault="000939E0" w:rsidP="00C40CC4">
            <w:pPr>
              <w:pStyle w:val="Tabletext"/>
              <w:keepNext/>
            </w:pPr>
            <w:r w:rsidRPr="00490FBB">
              <w:t>?</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490FBB" w:rsidRDefault="000939E0" w:rsidP="00C40CC4">
            <w:pPr>
              <w:pStyle w:val="Tabletext"/>
              <w:keepNext/>
            </w:pPr>
            <w:r w:rsidRPr="00490FBB">
              <w:t>CMA</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490FBB" w:rsidRDefault="000939E0" w:rsidP="00C40CC4">
            <w:pPr>
              <w:pStyle w:val="Tabletext"/>
              <w:keepNext/>
            </w:pPr>
            <w:r w:rsidRPr="00490FBB">
              <w:t>CEA/CUA</w:t>
            </w:r>
          </w:p>
        </w:tc>
      </w:tr>
      <w:tr w:rsidR="000939E0" w:rsidRPr="00490FBB" w14:paraId="41AB5715" w14:textId="77777777" w:rsidTr="00DC3FB7">
        <w:tc>
          <w:tcPr>
            <w:tcW w:w="1893" w:type="dxa"/>
            <w:tcBorders>
              <w:top w:val="single" w:sz="4" w:space="0" w:color="auto"/>
              <w:left w:val="single" w:sz="4" w:space="0" w:color="auto"/>
              <w:bottom w:val="single" w:sz="4" w:space="0" w:color="auto"/>
              <w:right w:val="single" w:sz="4" w:space="0" w:color="auto"/>
            </w:tcBorders>
            <w:vAlign w:val="center"/>
          </w:tcPr>
          <w:p w14:paraId="18F5B4CB" w14:textId="157F5041" w:rsidR="000939E0" w:rsidRPr="00490FBB" w:rsidRDefault="000939E0" w:rsidP="00C40CC4">
            <w:pPr>
              <w:pStyle w:val="Tabletext"/>
              <w:keepNext/>
            </w:pPr>
            <w:r w:rsidRPr="00490FBB">
              <w:t>Superior</w:t>
            </w:r>
          </w:p>
        </w:tc>
        <w:tc>
          <w:tcPr>
            <w:tcW w:w="1794"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490FBB" w:rsidRDefault="000939E0" w:rsidP="00C40CC4">
            <w:pPr>
              <w:pStyle w:val="Tabletext"/>
              <w:keepNext/>
            </w:pPr>
            <w:r w:rsidRPr="00490FBB">
              <w:t>? Likely CUA</w:t>
            </w:r>
          </w:p>
        </w:tc>
        <w:tc>
          <w:tcPr>
            <w:tcW w:w="2095"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490FBB" w:rsidRDefault="000939E0" w:rsidP="00C40CC4">
            <w:pPr>
              <w:pStyle w:val="Tabletext"/>
              <w:keepNext/>
            </w:pPr>
            <w:r w:rsidRPr="00490FBB">
              <w:t>? Likely CEA/CUA</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490FBB" w:rsidRDefault="000939E0" w:rsidP="00C40CC4">
            <w:pPr>
              <w:pStyle w:val="Tabletext"/>
              <w:keepNext/>
            </w:pPr>
            <w:r w:rsidRPr="00490FBB">
              <w:t>CEA/CUA</w:t>
            </w:r>
          </w:p>
        </w:tc>
        <w:tc>
          <w:tcPr>
            <w:tcW w:w="1355" w:type="dxa"/>
            <w:tcBorders>
              <w:top w:val="single" w:sz="4" w:space="0" w:color="auto"/>
              <w:left w:val="single" w:sz="4" w:space="0" w:color="auto"/>
              <w:bottom w:val="single" w:sz="4" w:space="0" w:color="auto"/>
              <w:right w:val="single" w:sz="4" w:space="0" w:color="auto"/>
            </w:tcBorders>
            <w:shd w:val="clear" w:color="auto" w:fill="92D050"/>
            <w:vAlign w:val="center"/>
          </w:tcPr>
          <w:p w14:paraId="5FF47EA5" w14:textId="77777777" w:rsidR="000939E0" w:rsidRPr="00490FBB" w:rsidRDefault="000939E0" w:rsidP="00C40CC4">
            <w:pPr>
              <w:pStyle w:val="Tabletext"/>
              <w:keepNext/>
            </w:pPr>
            <w:r w:rsidRPr="00490FBB">
              <w:t>CEA/CUA</w:t>
            </w:r>
          </w:p>
        </w:tc>
      </w:tr>
    </w:tbl>
    <w:p w14:paraId="6538A3FB" w14:textId="1B1E9170" w:rsidR="000939E0" w:rsidRPr="00490FBB" w:rsidRDefault="000939E0" w:rsidP="00C40CC4">
      <w:pPr>
        <w:pStyle w:val="Tablenotes"/>
        <w:keepNext/>
        <w:spacing w:before="120"/>
        <w:rPr>
          <w:szCs w:val="18"/>
        </w:rPr>
      </w:pPr>
      <w:r w:rsidRPr="00490FBB">
        <w:rPr>
          <w:szCs w:val="18"/>
        </w:rPr>
        <w:t>CEA=cost-effectiveness analysis; CMA=cost-minimisation analysis; CUA=cost-utility analysis</w:t>
      </w:r>
    </w:p>
    <w:p w14:paraId="48F7CED7" w14:textId="6E4ADF90" w:rsidR="000939E0" w:rsidRPr="00490FBB" w:rsidRDefault="000939E0" w:rsidP="00C40CC4">
      <w:pPr>
        <w:pStyle w:val="Tablenotes"/>
        <w:keepNext/>
        <w:rPr>
          <w:b/>
          <w:szCs w:val="18"/>
        </w:rPr>
      </w:pPr>
      <w:r w:rsidRPr="00490FBB">
        <w:rPr>
          <w:szCs w:val="18"/>
        </w:rPr>
        <w:t>? = reflect uncertainties and any identified health trade-offs in the economic evaluation, as a minimum in a cost-consequences analysis</w:t>
      </w:r>
    </w:p>
    <w:p w14:paraId="65C6F534" w14:textId="40A0AC92" w:rsidR="000939E0" w:rsidRPr="00490FBB" w:rsidRDefault="000939E0" w:rsidP="00C40CC4">
      <w:pPr>
        <w:pStyle w:val="Tablenotes"/>
        <w:keepNext/>
        <w:rPr>
          <w:b/>
          <w:szCs w:val="18"/>
        </w:rPr>
      </w:pPr>
      <w:r w:rsidRPr="00490FBB">
        <w:rPr>
          <w:szCs w:val="18"/>
          <w:vertAlign w:val="superscript"/>
        </w:rPr>
        <w:t>a</w:t>
      </w:r>
      <w:r w:rsidRPr="00490FBB">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r w:rsidR="005410B6">
        <w:rPr>
          <w:szCs w:val="18"/>
        </w:rPr>
        <w:t>.</w:t>
      </w:r>
    </w:p>
    <w:p w14:paraId="1CB9C9B3" w14:textId="4BE3727D" w:rsidR="000939E0" w:rsidRPr="00490FBB" w:rsidRDefault="000939E0" w:rsidP="000939E0">
      <w:pPr>
        <w:pStyle w:val="Tablenotes"/>
        <w:rPr>
          <w:szCs w:val="18"/>
        </w:rPr>
      </w:pPr>
      <w:r w:rsidRPr="00490FBB">
        <w:rPr>
          <w:szCs w:val="18"/>
          <w:vertAlign w:val="superscript"/>
        </w:rPr>
        <w:t>b</w:t>
      </w:r>
      <w:r w:rsidRPr="00490FBB">
        <w:rPr>
          <w:szCs w:val="18"/>
        </w:rPr>
        <w:t> An adequate assessment of ‘noninferiority’ is the preferred basis for demonstrating equivalence</w:t>
      </w:r>
      <w:r w:rsidR="005410B6">
        <w:rPr>
          <w:szCs w:val="18"/>
        </w:rPr>
        <w:t>.</w:t>
      </w:r>
    </w:p>
    <w:p w14:paraId="420893BD" w14:textId="6A99197F" w:rsidR="00B97731" w:rsidRPr="00DE762F" w:rsidRDefault="00D73332" w:rsidP="00DE762F">
      <w:pPr>
        <w:pStyle w:val="Heading2"/>
      </w:pPr>
      <w:r w:rsidRPr="00DE762F">
        <w:t>Propos</w:t>
      </w:r>
      <w:r w:rsidR="000D1FCF" w:rsidRPr="00DE762F">
        <w:t>al for public funding</w:t>
      </w:r>
    </w:p>
    <w:p w14:paraId="1571A775" w14:textId="49C03AE9" w:rsidR="00243144" w:rsidRDefault="00243144" w:rsidP="00E01349">
      <w:pPr>
        <w:pStyle w:val="Instructionaltext"/>
        <w:rPr>
          <w:color w:val="auto"/>
        </w:rPr>
      </w:pPr>
      <w:r w:rsidRPr="00243144">
        <w:rPr>
          <w:color w:val="auto"/>
        </w:rPr>
        <w:t>The</w:t>
      </w:r>
      <w:r>
        <w:rPr>
          <w:color w:val="auto"/>
        </w:rPr>
        <w:t xml:space="preserve"> applicant proposed two new MBS items for HDV RNA testing in patients found to be positive for anti-HDV antibodies to determine the access to PBS-subsidised bulevirtide and also to monitor the treatment</w:t>
      </w:r>
      <w:r w:rsidR="001B1A4E">
        <w:rPr>
          <w:color w:val="auto"/>
        </w:rPr>
        <w:t xml:space="preserve"> effect of</w:t>
      </w:r>
      <w:r>
        <w:rPr>
          <w:color w:val="auto"/>
        </w:rPr>
        <w:t xml:space="preserve"> </w:t>
      </w:r>
      <w:r w:rsidR="00483E3A">
        <w:rPr>
          <w:color w:val="auto"/>
        </w:rPr>
        <w:t>bulevirtide</w:t>
      </w:r>
      <w:r>
        <w:rPr>
          <w:color w:val="auto"/>
        </w:rPr>
        <w:t xml:space="preserve"> for chronic HDV.</w:t>
      </w:r>
    </w:p>
    <w:p w14:paraId="08C257E0" w14:textId="2A05D4CB" w:rsidR="00243144" w:rsidRDefault="003F1EAF" w:rsidP="00E01349">
      <w:pPr>
        <w:pStyle w:val="Instructionaltext"/>
        <w:rPr>
          <w:color w:val="auto"/>
        </w:rPr>
      </w:pPr>
      <w:r>
        <w:rPr>
          <w:color w:val="auto"/>
        </w:rPr>
        <w:t>The applicant proposed a fee of $152.10 for each item based on HBV DNA testing (MBS Item 69483). During the pre-PASC meeting, it was noted that the current price of the test at VIDRL is $100</w:t>
      </w:r>
      <w:r w:rsidR="00AC6F15">
        <w:rPr>
          <w:color w:val="auto"/>
        </w:rPr>
        <w:t>.</w:t>
      </w:r>
    </w:p>
    <w:p w14:paraId="1661455B" w14:textId="4EC1C3CB" w:rsidR="00974BB2" w:rsidRDefault="00BB023A" w:rsidP="00E01349">
      <w:pPr>
        <w:pStyle w:val="Instructionaltext"/>
        <w:rPr>
          <w:color w:val="auto"/>
        </w:rPr>
      </w:pPr>
      <w:r>
        <w:rPr>
          <w:color w:val="auto"/>
        </w:rPr>
        <w:t>B</w:t>
      </w:r>
      <w:r w:rsidR="00361984">
        <w:rPr>
          <w:color w:val="auto"/>
        </w:rPr>
        <w:t>ased on the</w:t>
      </w:r>
      <w:r w:rsidR="001B1A4E">
        <w:rPr>
          <w:color w:val="auto"/>
        </w:rPr>
        <w:t xml:space="preserve"> most recently provided</w:t>
      </w:r>
      <w:r w:rsidR="00361984">
        <w:rPr>
          <w:color w:val="auto"/>
        </w:rPr>
        <w:t xml:space="preserve"> clinical algorithm</w:t>
      </w:r>
      <w:r w:rsidR="005410B6">
        <w:rPr>
          <w:color w:val="auto"/>
        </w:rPr>
        <w:t>,</w:t>
      </w:r>
      <w:r w:rsidR="00361984">
        <w:rPr>
          <w:color w:val="auto"/>
        </w:rPr>
        <w:t xml:space="preserve"> it is</w:t>
      </w:r>
      <w:r w:rsidR="001B1A4E">
        <w:rPr>
          <w:color w:val="auto"/>
        </w:rPr>
        <w:t xml:space="preserve"> anticipated that two </w:t>
      </w:r>
      <w:r w:rsidR="00361984">
        <w:rPr>
          <w:color w:val="auto"/>
        </w:rPr>
        <w:t xml:space="preserve">tests </w:t>
      </w:r>
      <w:r>
        <w:rPr>
          <w:color w:val="auto"/>
        </w:rPr>
        <w:t xml:space="preserve">are </w:t>
      </w:r>
      <w:r w:rsidR="00361984">
        <w:rPr>
          <w:color w:val="auto"/>
        </w:rPr>
        <w:t xml:space="preserve">required </w:t>
      </w:r>
      <w:r w:rsidR="001B1A4E">
        <w:rPr>
          <w:color w:val="auto"/>
        </w:rPr>
        <w:t>per year</w:t>
      </w:r>
      <w:r>
        <w:rPr>
          <w:color w:val="auto"/>
        </w:rPr>
        <w:t>, for the purposes of both pre-treatment evaluation and treatment monitoring</w:t>
      </w:r>
      <w:r w:rsidR="00974BB2">
        <w:rPr>
          <w:color w:val="auto"/>
        </w:rPr>
        <w:t>.</w:t>
      </w:r>
    </w:p>
    <w:p w14:paraId="6588EC35" w14:textId="3FEDB847" w:rsidR="00446917" w:rsidRPr="00391E3C" w:rsidRDefault="00BB023A" w:rsidP="00E01349">
      <w:pPr>
        <w:pStyle w:val="Instructionaltext"/>
        <w:rPr>
          <w:color w:val="auto"/>
        </w:rPr>
      </w:pPr>
      <w:r w:rsidRPr="00BB023A">
        <w:rPr>
          <w:color w:val="auto"/>
        </w:rPr>
        <w:t>Initially,</w:t>
      </w:r>
      <w:r w:rsidR="001B1A4E" w:rsidRPr="00BB023A">
        <w:rPr>
          <w:color w:val="auto"/>
        </w:rPr>
        <w:t xml:space="preserve"> </w:t>
      </w:r>
      <w:r w:rsidR="00986E6D" w:rsidRPr="00BB023A">
        <w:rPr>
          <w:color w:val="auto"/>
        </w:rPr>
        <w:t>two</w:t>
      </w:r>
      <w:r w:rsidR="001B1A4E" w:rsidRPr="00BB023A">
        <w:rPr>
          <w:color w:val="auto"/>
        </w:rPr>
        <w:t xml:space="preserve"> different items for testing were</w:t>
      </w:r>
      <w:r w:rsidR="00986E6D" w:rsidRPr="00BB023A">
        <w:rPr>
          <w:color w:val="auto"/>
        </w:rPr>
        <w:t xml:space="preserve"> proposed</w:t>
      </w:r>
      <w:r w:rsidRPr="00BB023A">
        <w:rPr>
          <w:color w:val="auto"/>
        </w:rPr>
        <w:t xml:space="preserve"> </w:t>
      </w:r>
      <w:r w:rsidRPr="00391E3C">
        <w:rPr>
          <w:color w:val="auto"/>
        </w:rPr>
        <w:t>(</w:t>
      </w:r>
      <w:r w:rsidR="00391E3C" w:rsidRPr="00391E3C">
        <w:rPr>
          <w:color w:val="auto"/>
        </w:rPr>
        <w:fldChar w:fldCharType="begin"/>
      </w:r>
      <w:r w:rsidR="00391E3C" w:rsidRPr="00391E3C">
        <w:rPr>
          <w:color w:val="auto"/>
        </w:rPr>
        <w:instrText xml:space="preserve"> REF _Ref99018113 \h </w:instrText>
      </w:r>
      <w:r w:rsidR="00391E3C" w:rsidRPr="00391E3C">
        <w:rPr>
          <w:color w:val="auto"/>
        </w:rPr>
      </w:r>
      <w:r w:rsidR="00391E3C" w:rsidRPr="00391E3C">
        <w:rPr>
          <w:color w:val="auto"/>
        </w:rPr>
        <w:fldChar w:fldCharType="separate"/>
      </w:r>
      <w:r w:rsidR="00391E3C" w:rsidRPr="00391E3C">
        <w:rPr>
          <w:color w:val="auto"/>
        </w:rPr>
        <w:t xml:space="preserve">Table </w:t>
      </w:r>
      <w:r w:rsidR="00391E3C" w:rsidRPr="00391E3C">
        <w:rPr>
          <w:noProof/>
          <w:color w:val="auto"/>
        </w:rPr>
        <w:t>3</w:t>
      </w:r>
      <w:r w:rsidR="00391E3C" w:rsidRPr="00391E3C">
        <w:rPr>
          <w:color w:val="auto"/>
        </w:rPr>
        <w:fldChar w:fldCharType="end"/>
      </w:r>
      <w:r w:rsidR="00391E3C" w:rsidRPr="00391E3C">
        <w:rPr>
          <w:color w:val="auto"/>
        </w:rPr>
        <w:t xml:space="preserve"> and </w:t>
      </w:r>
      <w:r w:rsidR="00391E3C" w:rsidRPr="00391E3C">
        <w:rPr>
          <w:color w:val="auto"/>
        </w:rPr>
        <w:fldChar w:fldCharType="begin"/>
      </w:r>
      <w:r w:rsidR="00391E3C" w:rsidRPr="00391E3C">
        <w:rPr>
          <w:color w:val="auto"/>
        </w:rPr>
        <w:instrText xml:space="preserve"> REF _Ref99018115 \h </w:instrText>
      </w:r>
      <w:r w:rsidR="00391E3C" w:rsidRPr="00391E3C">
        <w:rPr>
          <w:color w:val="auto"/>
        </w:rPr>
      </w:r>
      <w:r w:rsidR="00391E3C" w:rsidRPr="00391E3C">
        <w:rPr>
          <w:color w:val="auto"/>
        </w:rPr>
        <w:fldChar w:fldCharType="separate"/>
      </w:r>
      <w:r w:rsidR="00391E3C" w:rsidRPr="00391E3C">
        <w:rPr>
          <w:color w:val="auto"/>
        </w:rPr>
        <w:t xml:space="preserve">Table </w:t>
      </w:r>
      <w:r w:rsidR="00391E3C" w:rsidRPr="00391E3C">
        <w:rPr>
          <w:noProof/>
          <w:color w:val="auto"/>
        </w:rPr>
        <w:t>4</w:t>
      </w:r>
      <w:r w:rsidR="00391E3C" w:rsidRPr="00391E3C">
        <w:rPr>
          <w:color w:val="auto"/>
        </w:rPr>
        <w:fldChar w:fldCharType="end"/>
      </w:r>
      <w:r w:rsidRPr="00391E3C">
        <w:rPr>
          <w:color w:val="auto"/>
        </w:rPr>
        <w:t>)</w:t>
      </w:r>
      <w:r w:rsidR="00986E6D" w:rsidRPr="00391E3C">
        <w:rPr>
          <w:color w:val="auto"/>
        </w:rPr>
        <w:t>.</w:t>
      </w:r>
      <w:r w:rsidR="004E5237">
        <w:rPr>
          <w:color w:val="auto"/>
        </w:rPr>
        <w:t xml:space="preserve"> These were the basis of </w:t>
      </w:r>
      <w:r w:rsidR="00901A85">
        <w:rPr>
          <w:color w:val="auto"/>
        </w:rPr>
        <w:t xml:space="preserve">the </w:t>
      </w:r>
      <w:r w:rsidR="004E5237">
        <w:rPr>
          <w:color w:val="auto"/>
        </w:rPr>
        <w:t>consultation</w:t>
      </w:r>
      <w:r w:rsidR="00901A85">
        <w:rPr>
          <w:color w:val="auto"/>
        </w:rPr>
        <w:t xml:space="preserve"> feedback</w:t>
      </w:r>
      <w:r w:rsidR="004E5237">
        <w:rPr>
          <w:color w:val="auto"/>
        </w:rPr>
        <w:t>.</w:t>
      </w:r>
    </w:p>
    <w:p w14:paraId="5B28F925" w14:textId="00A941DC" w:rsidR="00391E3C" w:rsidRDefault="00391E3C" w:rsidP="00391E3C">
      <w:pPr>
        <w:pStyle w:val="Caption"/>
      </w:pPr>
      <w:bookmarkStart w:id="11" w:name="_Ref99018113"/>
      <w:r>
        <w:lastRenderedPageBreak/>
        <w:t xml:space="preserve">Table </w:t>
      </w:r>
      <w:r>
        <w:fldChar w:fldCharType="begin"/>
      </w:r>
      <w:r>
        <w:instrText xml:space="preserve"> SEQ Table \* ARABIC </w:instrText>
      </w:r>
      <w:r>
        <w:fldChar w:fldCharType="separate"/>
      </w:r>
      <w:r>
        <w:rPr>
          <w:noProof/>
        </w:rPr>
        <w:t>3</w:t>
      </w:r>
      <w:r>
        <w:fldChar w:fldCharType="end"/>
      </w:r>
      <w:bookmarkEnd w:id="11"/>
      <w:r>
        <w:t xml:space="preserve"> </w:t>
      </w:r>
      <w:r w:rsidRPr="00391E3C">
        <w:t>Proposed MBS item for HDV diagnosis</w:t>
      </w:r>
      <w:r>
        <w:t xml:space="preserve"> (application version)</w:t>
      </w:r>
    </w:p>
    <w:tbl>
      <w:tblPr>
        <w:tblStyle w:val="TableGrid"/>
        <w:tblW w:w="0" w:type="auto"/>
        <w:tblInd w:w="0" w:type="dxa"/>
        <w:tblLook w:val="04A0" w:firstRow="1" w:lastRow="0" w:firstColumn="1" w:lastColumn="0" w:noHBand="0" w:noVBand="1"/>
      </w:tblPr>
      <w:tblGrid>
        <w:gridCol w:w="9016"/>
      </w:tblGrid>
      <w:tr w:rsidR="00391E3C" w14:paraId="5BCE807B" w14:textId="77777777" w:rsidTr="00391E3C">
        <w:trPr>
          <w:trHeight w:val="281"/>
        </w:trPr>
        <w:tc>
          <w:tcPr>
            <w:tcW w:w="9016" w:type="dxa"/>
            <w:tcBorders>
              <w:top w:val="single" w:sz="4" w:space="0" w:color="auto"/>
              <w:left w:val="single" w:sz="4" w:space="0" w:color="auto"/>
              <w:bottom w:val="single" w:sz="4" w:space="0" w:color="auto"/>
              <w:right w:val="single" w:sz="4" w:space="0" w:color="auto"/>
            </w:tcBorders>
            <w:hideMark/>
          </w:tcPr>
          <w:p w14:paraId="46B2FE31" w14:textId="6AD0B019" w:rsidR="00391E3C" w:rsidRDefault="00391E3C" w:rsidP="00391E3C">
            <w:pPr>
              <w:spacing w:after="0"/>
              <w:rPr>
                <w:rFonts w:asciiTheme="minorHAnsi" w:hAnsiTheme="minorHAnsi" w:cstheme="minorHAnsi"/>
                <w:sz w:val="20"/>
                <w:szCs w:val="20"/>
              </w:rPr>
            </w:pPr>
            <w:r w:rsidRPr="00391E3C">
              <w:rPr>
                <w:rFonts w:asciiTheme="minorHAnsi" w:hAnsiTheme="minorHAnsi" w:cstheme="minorHAnsi"/>
                <w:sz w:val="20"/>
                <w:szCs w:val="20"/>
              </w:rPr>
              <w:t>Category PATHOLOGY SERVICES – P3 - Microbiology</w:t>
            </w:r>
          </w:p>
        </w:tc>
      </w:tr>
      <w:tr w:rsidR="00391E3C" w14:paraId="42DA4513" w14:textId="77777777" w:rsidTr="00D02E28">
        <w:tc>
          <w:tcPr>
            <w:tcW w:w="9016" w:type="dxa"/>
            <w:tcBorders>
              <w:top w:val="single" w:sz="4" w:space="0" w:color="auto"/>
              <w:left w:val="single" w:sz="4" w:space="0" w:color="auto"/>
              <w:bottom w:val="single" w:sz="4" w:space="0" w:color="auto"/>
              <w:right w:val="single" w:sz="4" w:space="0" w:color="auto"/>
            </w:tcBorders>
            <w:shd w:val="clear" w:color="auto" w:fill="auto"/>
            <w:hideMark/>
          </w:tcPr>
          <w:p w14:paraId="77E15CBE" w14:textId="6CADF7A8" w:rsidR="00391E3C" w:rsidRPr="00391E3C" w:rsidRDefault="00391E3C" w:rsidP="00391E3C">
            <w:pPr>
              <w:pStyle w:val="NormalWeb"/>
              <w:spacing w:after="0" w:afterAutospacing="0" w:line="300" w:lineRule="atLeast"/>
              <w:rPr>
                <w:rFonts w:asciiTheme="minorHAnsi" w:hAnsiTheme="minorHAnsi" w:cstheme="minorHAnsi"/>
                <w:sz w:val="20"/>
                <w:szCs w:val="20"/>
              </w:rPr>
            </w:pPr>
            <w:r w:rsidRPr="00391E3C">
              <w:rPr>
                <w:rFonts w:asciiTheme="minorHAnsi" w:hAnsiTheme="minorHAnsi" w:cstheme="minorHAnsi"/>
                <w:sz w:val="20"/>
                <w:szCs w:val="20"/>
              </w:rPr>
              <w:t xml:space="preserve">Proposed item descriptor: Quantitation of Hepatitis D viral RNA in patients who are Hepatitis D </w:t>
            </w:r>
            <w:r w:rsidR="003E55C4" w:rsidRPr="003E55C4">
              <w:rPr>
                <w:rFonts w:asciiTheme="minorHAnsi" w:hAnsiTheme="minorHAnsi" w:cstheme="minorHAnsi"/>
                <w:i/>
                <w:iCs/>
                <w:sz w:val="20"/>
                <w:szCs w:val="20"/>
              </w:rPr>
              <w:t>antibody</w:t>
            </w:r>
            <w:r w:rsidR="003E55C4">
              <w:rPr>
                <w:rFonts w:asciiTheme="minorHAnsi" w:hAnsiTheme="minorHAnsi" w:cstheme="minorHAnsi"/>
                <w:sz w:val="20"/>
                <w:szCs w:val="20"/>
              </w:rPr>
              <w:t> </w:t>
            </w:r>
            <w:r w:rsidR="003E55C4">
              <w:rPr>
                <w:rFonts w:asciiTheme="minorHAnsi" w:hAnsiTheme="minorHAnsi" w:cstheme="minorHAnsi"/>
                <w:sz w:val="20"/>
                <w:szCs w:val="20"/>
                <w:vertAlign w:val="superscript"/>
              </w:rPr>
              <w:t xml:space="preserve">a </w:t>
            </w:r>
            <w:r w:rsidRPr="00391E3C">
              <w:rPr>
                <w:rFonts w:asciiTheme="minorHAnsi" w:hAnsiTheme="minorHAnsi" w:cstheme="minorHAnsi"/>
                <w:sz w:val="20"/>
                <w:szCs w:val="20"/>
              </w:rPr>
              <w:t>positive - 1 test</w:t>
            </w:r>
            <w:r>
              <w:rPr>
                <w:rFonts w:asciiTheme="minorHAnsi" w:hAnsiTheme="minorHAnsi" w:cstheme="minorHAnsi"/>
                <w:sz w:val="20"/>
                <w:szCs w:val="20"/>
              </w:rPr>
              <w:br/>
            </w:r>
          </w:p>
          <w:p w14:paraId="4F2E6B61" w14:textId="0AB823D0" w:rsidR="00391E3C" w:rsidRDefault="00CC3EC1" w:rsidP="00391E3C">
            <w:pPr>
              <w:spacing w:after="0"/>
              <w:rPr>
                <w:rFonts w:asciiTheme="minorHAnsi" w:hAnsiTheme="minorHAnsi" w:cstheme="minorHAnsi"/>
                <w:sz w:val="20"/>
                <w:szCs w:val="20"/>
              </w:rPr>
            </w:pPr>
            <w:r w:rsidRPr="00391E3C">
              <w:rPr>
                <w:rFonts w:asciiTheme="minorHAnsi" w:hAnsiTheme="minorHAnsi" w:cstheme="minorHAnsi"/>
                <w:sz w:val="20"/>
                <w:szCs w:val="20"/>
              </w:rPr>
              <w:t>Fee:  $152.10 Benefit: 75% = $114.10 85% = $129.30</w:t>
            </w:r>
          </w:p>
        </w:tc>
      </w:tr>
    </w:tbl>
    <w:p w14:paraId="3599570B" w14:textId="3DD46054" w:rsidR="003E55C4" w:rsidRPr="003E55C4" w:rsidRDefault="003E55C4" w:rsidP="003E55C4">
      <w:pPr>
        <w:pStyle w:val="Caption"/>
        <w:spacing w:before="120"/>
        <w:ind w:left="0" w:firstLine="0"/>
        <w:rPr>
          <w:b w:val="0"/>
          <w:bCs/>
          <w:i/>
          <w:iCs/>
        </w:rPr>
      </w:pPr>
      <w:bookmarkStart w:id="12" w:name="_Ref99018115"/>
      <w:r w:rsidRPr="003E55C4">
        <w:rPr>
          <w:b w:val="0"/>
          <w:bCs/>
          <w:i/>
          <w:iCs/>
          <w:vertAlign w:val="superscript"/>
        </w:rPr>
        <w:t>a</w:t>
      </w:r>
      <w:r w:rsidRPr="003E55C4">
        <w:rPr>
          <w:b w:val="0"/>
          <w:bCs/>
          <w:i/>
          <w:iCs/>
        </w:rPr>
        <w:t xml:space="preserve"> </w:t>
      </w:r>
      <w:r>
        <w:rPr>
          <w:b w:val="0"/>
          <w:bCs/>
          <w:i/>
          <w:iCs/>
        </w:rPr>
        <w:t>Corrected from ‘</w:t>
      </w:r>
      <w:r w:rsidRPr="003E55C4">
        <w:rPr>
          <w:b w:val="0"/>
          <w:bCs/>
          <w:i/>
          <w:iCs/>
        </w:rPr>
        <w:t>surface antigen</w:t>
      </w:r>
      <w:r>
        <w:rPr>
          <w:b w:val="0"/>
          <w:bCs/>
          <w:i/>
          <w:iCs/>
        </w:rPr>
        <w:t>’</w:t>
      </w:r>
      <w:r w:rsidRPr="003E55C4">
        <w:rPr>
          <w:b w:val="0"/>
          <w:bCs/>
          <w:i/>
          <w:iCs/>
        </w:rPr>
        <w:t xml:space="preserve"> in the application</w:t>
      </w:r>
    </w:p>
    <w:p w14:paraId="4658EA23" w14:textId="25868B43" w:rsidR="00391E3C" w:rsidRDefault="00391E3C" w:rsidP="00391E3C">
      <w:pPr>
        <w:pStyle w:val="Caption"/>
      </w:pPr>
      <w:r>
        <w:t xml:space="preserve">Table </w:t>
      </w:r>
      <w:r>
        <w:fldChar w:fldCharType="begin"/>
      </w:r>
      <w:r>
        <w:instrText xml:space="preserve"> SEQ Table \* ARABIC </w:instrText>
      </w:r>
      <w:r>
        <w:fldChar w:fldCharType="separate"/>
      </w:r>
      <w:r>
        <w:rPr>
          <w:noProof/>
        </w:rPr>
        <w:t>4</w:t>
      </w:r>
      <w:r>
        <w:fldChar w:fldCharType="end"/>
      </w:r>
      <w:bookmarkEnd w:id="12"/>
      <w:r>
        <w:tab/>
      </w:r>
      <w:r w:rsidRPr="00391E3C">
        <w:t>MBS item description for continuation of therapy with bulevirtide for HDV treatment</w:t>
      </w:r>
      <w:r w:rsidR="004E5237">
        <w:t xml:space="preserve"> (application version)</w:t>
      </w:r>
    </w:p>
    <w:tbl>
      <w:tblPr>
        <w:tblStyle w:val="TableGrid"/>
        <w:tblW w:w="0" w:type="auto"/>
        <w:tblInd w:w="0" w:type="dxa"/>
        <w:tblLook w:val="04A0" w:firstRow="1" w:lastRow="0" w:firstColumn="1" w:lastColumn="0" w:noHBand="0" w:noVBand="1"/>
      </w:tblPr>
      <w:tblGrid>
        <w:gridCol w:w="9016"/>
      </w:tblGrid>
      <w:tr w:rsidR="00391E3C" w14:paraId="563AF617" w14:textId="77777777" w:rsidTr="00D02E28">
        <w:trPr>
          <w:trHeight w:val="281"/>
        </w:trPr>
        <w:tc>
          <w:tcPr>
            <w:tcW w:w="9016" w:type="dxa"/>
            <w:tcBorders>
              <w:top w:val="single" w:sz="4" w:space="0" w:color="auto"/>
              <w:left w:val="single" w:sz="4" w:space="0" w:color="auto"/>
              <w:bottom w:val="single" w:sz="4" w:space="0" w:color="auto"/>
              <w:right w:val="single" w:sz="4" w:space="0" w:color="auto"/>
            </w:tcBorders>
            <w:hideMark/>
          </w:tcPr>
          <w:p w14:paraId="626BA237" w14:textId="77777777" w:rsidR="00391E3C" w:rsidRDefault="00391E3C" w:rsidP="00D02E28">
            <w:pPr>
              <w:spacing w:after="0"/>
              <w:rPr>
                <w:rFonts w:asciiTheme="minorHAnsi" w:hAnsiTheme="minorHAnsi" w:cstheme="minorHAnsi"/>
                <w:sz w:val="20"/>
                <w:szCs w:val="20"/>
              </w:rPr>
            </w:pPr>
            <w:r w:rsidRPr="00391E3C">
              <w:rPr>
                <w:rFonts w:asciiTheme="minorHAnsi" w:hAnsiTheme="minorHAnsi" w:cstheme="minorHAnsi"/>
                <w:sz w:val="20"/>
                <w:szCs w:val="20"/>
              </w:rPr>
              <w:t>Category PATHOLOGY SERVICES – P3 - Microbiology</w:t>
            </w:r>
          </w:p>
        </w:tc>
      </w:tr>
      <w:tr w:rsidR="00391E3C" w14:paraId="7653E042" w14:textId="77777777" w:rsidTr="00D02E28">
        <w:tc>
          <w:tcPr>
            <w:tcW w:w="9016" w:type="dxa"/>
            <w:tcBorders>
              <w:top w:val="single" w:sz="4" w:space="0" w:color="auto"/>
              <w:left w:val="single" w:sz="4" w:space="0" w:color="auto"/>
              <w:bottom w:val="single" w:sz="4" w:space="0" w:color="auto"/>
              <w:right w:val="single" w:sz="4" w:space="0" w:color="auto"/>
            </w:tcBorders>
            <w:shd w:val="clear" w:color="auto" w:fill="auto"/>
            <w:hideMark/>
          </w:tcPr>
          <w:p w14:paraId="242E97CA" w14:textId="40DE26E2" w:rsidR="00391E3C" w:rsidRPr="00391E3C" w:rsidRDefault="00391E3C" w:rsidP="00391E3C">
            <w:pPr>
              <w:pStyle w:val="NormalWeb"/>
              <w:spacing w:line="300" w:lineRule="atLeast"/>
              <w:rPr>
                <w:rFonts w:asciiTheme="minorHAnsi" w:hAnsiTheme="minorHAnsi" w:cstheme="minorHAnsi"/>
                <w:sz w:val="20"/>
                <w:szCs w:val="20"/>
              </w:rPr>
            </w:pPr>
            <w:r w:rsidRPr="00391E3C">
              <w:rPr>
                <w:rFonts w:asciiTheme="minorHAnsi" w:hAnsiTheme="minorHAnsi" w:cstheme="minorHAnsi"/>
                <w:sz w:val="20"/>
                <w:szCs w:val="20"/>
              </w:rPr>
              <w:t xml:space="preserve">Proposed item descriptor: Quantitation of Hepatitis D viral RNA in patients who are Hepatitis D </w:t>
            </w:r>
            <w:r w:rsidR="003E55C4" w:rsidRPr="003E55C4">
              <w:rPr>
                <w:rFonts w:asciiTheme="minorHAnsi" w:hAnsiTheme="minorHAnsi" w:cstheme="minorHAnsi"/>
                <w:i/>
                <w:iCs/>
                <w:sz w:val="20"/>
                <w:szCs w:val="20"/>
              </w:rPr>
              <w:t>antibody</w:t>
            </w:r>
            <w:r w:rsidR="003E55C4">
              <w:rPr>
                <w:rFonts w:asciiTheme="minorHAnsi" w:hAnsiTheme="minorHAnsi" w:cstheme="minorHAnsi"/>
                <w:sz w:val="20"/>
                <w:szCs w:val="20"/>
              </w:rPr>
              <w:t> </w:t>
            </w:r>
            <w:r w:rsidR="003E55C4">
              <w:rPr>
                <w:rFonts w:asciiTheme="minorHAnsi" w:hAnsiTheme="minorHAnsi" w:cstheme="minorHAnsi"/>
                <w:sz w:val="20"/>
                <w:szCs w:val="20"/>
                <w:vertAlign w:val="superscript"/>
              </w:rPr>
              <w:t xml:space="preserve">a </w:t>
            </w:r>
            <w:r w:rsidRPr="00391E3C">
              <w:rPr>
                <w:rFonts w:asciiTheme="minorHAnsi" w:hAnsiTheme="minorHAnsi" w:cstheme="minorHAnsi"/>
                <w:sz w:val="20"/>
                <w:szCs w:val="20"/>
              </w:rPr>
              <w:t>positive and who have chronic hepatitis D and are receiving bulevirtide therapy.</w:t>
            </w:r>
          </w:p>
          <w:p w14:paraId="2EFFAF97" w14:textId="359B54B0" w:rsidR="00391E3C" w:rsidRPr="00391E3C" w:rsidRDefault="00391E3C" w:rsidP="00391E3C">
            <w:pPr>
              <w:pStyle w:val="NormalWeb"/>
              <w:spacing w:line="300" w:lineRule="atLeast"/>
              <w:rPr>
                <w:rFonts w:asciiTheme="minorHAnsi" w:hAnsiTheme="minorHAnsi" w:cstheme="minorHAnsi"/>
                <w:sz w:val="20"/>
                <w:szCs w:val="20"/>
              </w:rPr>
            </w:pPr>
            <w:r w:rsidRPr="00391E3C">
              <w:rPr>
                <w:rFonts w:asciiTheme="minorHAnsi" w:hAnsiTheme="minorHAnsi" w:cstheme="minorHAnsi"/>
                <w:sz w:val="20"/>
                <w:szCs w:val="20"/>
              </w:rPr>
              <w:t xml:space="preserve">To a maximum of 2 of this </w:t>
            </w:r>
            <w:proofErr w:type="gramStart"/>
            <w:r w:rsidRPr="00391E3C">
              <w:rPr>
                <w:rFonts w:asciiTheme="minorHAnsi" w:hAnsiTheme="minorHAnsi" w:cstheme="minorHAnsi"/>
                <w:sz w:val="20"/>
                <w:szCs w:val="20"/>
              </w:rPr>
              <w:t>item</w:t>
            </w:r>
            <w:proofErr w:type="gramEnd"/>
            <w:r w:rsidRPr="00391E3C">
              <w:rPr>
                <w:rFonts w:asciiTheme="minorHAnsi" w:hAnsiTheme="minorHAnsi" w:cstheme="minorHAnsi"/>
                <w:sz w:val="20"/>
                <w:szCs w:val="20"/>
              </w:rPr>
              <w:t xml:space="preserve"> in a 12 month period.</w:t>
            </w:r>
          </w:p>
          <w:p w14:paraId="22000887" w14:textId="348102D9" w:rsidR="00391E3C" w:rsidRDefault="00CC3EC1" w:rsidP="00D02E28">
            <w:pPr>
              <w:spacing w:after="0"/>
              <w:rPr>
                <w:rFonts w:asciiTheme="minorHAnsi" w:hAnsiTheme="minorHAnsi" w:cstheme="minorHAnsi"/>
                <w:sz w:val="20"/>
                <w:szCs w:val="20"/>
              </w:rPr>
            </w:pPr>
            <w:r w:rsidRPr="00391E3C">
              <w:rPr>
                <w:rFonts w:asciiTheme="minorHAnsi" w:hAnsiTheme="minorHAnsi" w:cstheme="minorHAnsi"/>
                <w:sz w:val="20"/>
                <w:szCs w:val="20"/>
              </w:rPr>
              <w:t>Fee:  $152.10 Benefit: 75% = $114.10 85% = $129.30</w:t>
            </w:r>
          </w:p>
        </w:tc>
      </w:tr>
    </w:tbl>
    <w:p w14:paraId="0169370E" w14:textId="6E1590CC" w:rsidR="003E55C4" w:rsidRPr="003E55C4" w:rsidRDefault="003E55C4" w:rsidP="003E55C4">
      <w:pPr>
        <w:pStyle w:val="Caption"/>
        <w:spacing w:before="120"/>
        <w:ind w:left="0" w:firstLine="0"/>
        <w:rPr>
          <w:b w:val="0"/>
          <w:bCs/>
          <w:i/>
          <w:iCs/>
        </w:rPr>
      </w:pPr>
      <w:bookmarkStart w:id="13" w:name="_Ref96272501"/>
      <w:r w:rsidRPr="003E55C4">
        <w:rPr>
          <w:b w:val="0"/>
          <w:bCs/>
          <w:i/>
          <w:iCs/>
          <w:vertAlign w:val="superscript"/>
        </w:rPr>
        <w:t>a</w:t>
      </w:r>
      <w:r w:rsidRPr="003E55C4">
        <w:rPr>
          <w:b w:val="0"/>
          <w:bCs/>
          <w:i/>
          <w:iCs/>
        </w:rPr>
        <w:t xml:space="preserve"> </w:t>
      </w:r>
      <w:r>
        <w:rPr>
          <w:b w:val="0"/>
          <w:bCs/>
          <w:i/>
          <w:iCs/>
        </w:rPr>
        <w:t>Corrected from ‘</w:t>
      </w:r>
      <w:r w:rsidRPr="003E55C4">
        <w:rPr>
          <w:b w:val="0"/>
          <w:bCs/>
          <w:i/>
          <w:iCs/>
        </w:rPr>
        <w:t>surface antigen</w:t>
      </w:r>
      <w:r>
        <w:rPr>
          <w:b w:val="0"/>
          <w:bCs/>
          <w:i/>
          <w:iCs/>
        </w:rPr>
        <w:t>’</w:t>
      </w:r>
      <w:r w:rsidRPr="003E55C4">
        <w:rPr>
          <w:b w:val="0"/>
          <w:bCs/>
          <w:i/>
          <w:iCs/>
        </w:rPr>
        <w:t xml:space="preserve"> in the application</w:t>
      </w:r>
    </w:p>
    <w:bookmarkEnd w:id="13"/>
    <w:p w14:paraId="1808375E" w14:textId="38AA761B" w:rsidR="004E5237" w:rsidRDefault="004E5237" w:rsidP="009C6D2B">
      <w:pPr>
        <w:spacing w:before="200"/>
      </w:pPr>
      <w:r>
        <w:t xml:space="preserve">The applicant proposed that the HDV RNA PCR test would be ordered by the clinician managing the patient. Jackson (2018) reported that </w:t>
      </w:r>
      <w:r w:rsidRPr="000E01E2">
        <w:t>VIDRL adopted the policy of reflexing all first time anti-HDV-positive samples into the HDV PCR assay</w:t>
      </w:r>
      <w:r>
        <w:t xml:space="preserve"> in 2015</w:t>
      </w:r>
      <w:r w:rsidRPr="000E01E2">
        <w:t>.</w:t>
      </w:r>
      <w:r>
        <w:t xml:space="preserve"> This was because less than half of </w:t>
      </w:r>
      <w:r w:rsidRPr="000E01E2">
        <w:t>positive results in this study had a clinician-initiated request for PCR testing</w:t>
      </w:r>
      <w:r>
        <w:t xml:space="preserve">. However, when PCR was performed without clinician request, </w:t>
      </w:r>
      <w:r w:rsidRPr="00FB2AD7">
        <w:t>half of the samples were positive</w:t>
      </w:r>
      <w:r>
        <w:t>.</w:t>
      </w:r>
    </w:p>
    <w:p w14:paraId="11B8E197" w14:textId="746FA4C1" w:rsidR="00E871A2" w:rsidRPr="00AA162E" w:rsidRDefault="00E871A2" w:rsidP="00423526">
      <w:pPr>
        <w:spacing w:before="200" w:after="0"/>
        <w:rPr>
          <w:i/>
          <w:szCs w:val="24"/>
        </w:rPr>
      </w:pPr>
      <w:r w:rsidRPr="00AA162E">
        <w:rPr>
          <w:i/>
          <w:szCs w:val="24"/>
        </w:rPr>
        <w:t xml:space="preserve">PASC discussed whether the item for the diagnosis of active hepatitis D may need to be restricted to specialists who manage chronic HDV infection, but on balance considered reflex testing (following positive hepatitis D antibody testing) to be preferable to enable diagnosis of chronic HDV. PASC confirmed that HDV RNA PCR testing should be pathologist determinable, and that ‘for at least 6 months’ should be replaced with ‘and are suspected of having chronic HDV’. </w:t>
      </w:r>
      <w:r w:rsidR="00423526">
        <w:rPr>
          <w:i/>
        </w:rPr>
        <w:t xml:space="preserve">The MSAC process should consider whether </w:t>
      </w:r>
      <w:r w:rsidR="00423526" w:rsidRPr="00EB219F">
        <w:rPr>
          <w:i/>
        </w:rPr>
        <w:t xml:space="preserve">the test should be pathologist determinable </w:t>
      </w:r>
      <w:r w:rsidR="00423526">
        <w:rPr>
          <w:i/>
        </w:rPr>
        <w:t xml:space="preserve">and whether it should be </w:t>
      </w:r>
      <w:r w:rsidR="00423526" w:rsidRPr="00EB219F">
        <w:rPr>
          <w:i/>
        </w:rPr>
        <w:t>restricted to specialists</w:t>
      </w:r>
      <w:r w:rsidR="00423526">
        <w:rPr>
          <w:i/>
        </w:rPr>
        <w:t xml:space="preserve"> who manage chronic HDV infection and pathologists.</w:t>
      </w:r>
    </w:p>
    <w:p w14:paraId="7E9E3585" w14:textId="77777777" w:rsidR="00030909" w:rsidRPr="00AA162E" w:rsidRDefault="00030909" w:rsidP="00423526">
      <w:pPr>
        <w:spacing w:before="200" w:after="0"/>
        <w:rPr>
          <w:i/>
          <w:szCs w:val="24"/>
        </w:rPr>
      </w:pPr>
      <w:r w:rsidRPr="00AA162E">
        <w:rPr>
          <w:i/>
          <w:szCs w:val="24"/>
        </w:rPr>
        <w:t xml:space="preserve">PASC also agreed that the two proposed items could be combined into one item (see </w:t>
      </w:r>
      <w:r w:rsidRPr="00AA162E">
        <w:rPr>
          <w:i/>
          <w:szCs w:val="24"/>
        </w:rPr>
        <w:fldChar w:fldCharType="begin"/>
      </w:r>
      <w:r w:rsidRPr="00AA162E">
        <w:rPr>
          <w:i/>
          <w:szCs w:val="24"/>
        </w:rPr>
        <w:instrText xml:space="preserve"> REF _Ref99019682 \h  \* MERGEFORMAT </w:instrText>
      </w:r>
      <w:r w:rsidRPr="00AA162E">
        <w:rPr>
          <w:i/>
          <w:szCs w:val="24"/>
        </w:rPr>
      </w:r>
      <w:r w:rsidRPr="00AA162E">
        <w:rPr>
          <w:i/>
          <w:szCs w:val="24"/>
        </w:rPr>
        <w:fldChar w:fldCharType="separate"/>
      </w:r>
      <w:r w:rsidRPr="00AA162E">
        <w:rPr>
          <w:i/>
          <w:szCs w:val="24"/>
        </w:rPr>
        <w:t>Table 5</w:t>
      </w:r>
      <w:r w:rsidRPr="00AA162E">
        <w:rPr>
          <w:i/>
          <w:szCs w:val="24"/>
        </w:rPr>
        <w:fldChar w:fldCharType="end"/>
      </w:r>
      <w:r w:rsidRPr="00AA162E">
        <w:rPr>
          <w:i/>
          <w:szCs w:val="24"/>
        </w:rPr>
        <w:t xml:space="preserve">). </w:t>
      </w:r>
    </w:p>
    <w:p w14:paraId="468149BE" w14:textId="77777777" w:rsidR="00423526" w:rsidRPr="00423526" w:rsidRDefault="00423526" w:rsidP="00423526">
      <w:pPr>
        <w:spacing w:before="200" w:after="0"/>
        <w:rPr>
          <w:i/>
          <w:szCs w:val="24"/>
        </w:rPr>
      </w:pPr>
      <w:r w:rsidRPr="00423526">
        <w:rPr>
          <w:i/>
          <w:szCs w:val="24"/>
        </w:rPr>
        <w:t>For future-proofing purposes, PASC advised that an alternative item descriptor should be drafted to allow MSAC the option of supporting use of the proposed test to help determine eligibility for or monitoring of patients on any relevant PBS-listed medication.</w:t>
      </w:r>
    </w:p>
    <w:p w14:paraId="69534F8D" w14:textId="324F3B36" w:rsidR="00030909" w:rsidRPr="00AA162E" w:rsidRDefault="003F1EAF" w:rsidP="00423526">
      <w:pPr>
        <w:spacing w:before="200" w:after="0"/>
        <w:rPr>
          <w:i/>
          <w:szCs w:val="24"/>
        </w:rPr>
      </w:pPr>
      <w:r w:rsidRPr="00AA162E">
        <w:rPr>
          <w:i/>
          <w:szCs w:val="24"/>
        </w:rPr>
        <w:t>PASC noted that the current fee for HDV RNA PCR testing in Australia, performed only by the Victorian Infectious Disease Reference Laboratory, is $100. However, it was suggested to PASC that this fee may be below or at cost. PASC agreed that a fee of $152.10 was reasonable considering all the steps required to perform the service</w:t>
      </w:r>
      <w:r w:rsidR="00030909" w:rsidRPr="00AA162E">
        <w:rPr>
          <w:i/>
          <w:szCs w:val="24"/>
        </w:rPr>
        <w:t>.</w:t>
      </w:r>
    </w:p>
    <w:p w14:paraId="49943B24" w14:textId="77777777" w:rsidR="00E871A2" w:rsidRPr="00AA162E" w:rsidRDefault="00030909" w:rsidP="00423526">
      <w:pPr>
        <w:spacing w:before="200" w:after="0"/>
        <w:rPr>
          <w:i/>
          <w:szCs w:val="24"/>
        </w:rPr>
      </w:pPr>
      <w:r w:rsidRPr="00AA162E">
        <w:rPr>
          <w:i/>
          <w:szCs w:val="24"/>
        </w:rPr>
        <w:lastRenderedPageBreak/>
        <w:t>PASC discussed whether re-treatment with bulevirtide should be included in the combined MBS item. PASC concluded that the population described in clause (a) of the combined item descriptor would not necessarily exclude patients who have already been treated with bulevirtide.</w:t>
      </w:r>
    </w:p>
    <w:p w14:paraId="6CB5C217" w14:textId="16D0B1C8" w:rsidR="00BE20A5" w:rsidRPr="00A94084" w:rsidRDefault="00755789" w:rsidP="00AA162E">
      <w:pPr>
        <w:spacing w:before="200" w:after="0"/>
        <w:rPr>
          <w:i/>
        </w:rPr>
      </w:pPr>
      <w:r w:rsidRPr="00A94084">
        <w:t xml:space="preserve">The proposed item (revised after PASC) </w:t>
      </w:r>
      <w:r w:rsidRPr="00506CDD">
        <w:t>is shown in</w:t>
      </w:r>
      <w:r>
        <w:rPr>
          <w:i/>
        </w:rPr>
        <w:t xml:space="preserve"> </w:t>
      </w:r>
      <w:r>
        <w:rPr>
          <w:i/>
        </w:rPr>
        <w:fldChar w:fldCharType="begin"/>
      </w:r>
      <w:r>
        <w:rPr>
          <w:i/>
        </w:rPr>
        <w:instrText xml:space="preserve"> REF _Ref99019682 \h </w:instrText>
      </w:r>
      <w:r>
        <w:rPr>
          <w:i/>
        </w:rPr>
      </w:r>
      <w:r>
        <w:rPr>
          <w:i/>
        </w:rPr>
        <w:fldChar w:fldCharType="separate"/>
      </w:r>
      <w:r w:rsidR="00506CDD">
        <w:t xml:space="preserve">Table </w:t>
      </w:r>
      <w:r w:rsidR="00506CDD">
        <w:rPr>
          <w:noProof/>
        </w:rPr>
        <w:t>5</w:t>
      </w:r>
      <w:r>
        <w:rPr>
          <w:i/>
        </w:rPr>
        <w:fldChar w:fldCharType="end"/>
      </w:r>
      <w:r>
        <w:rPr>
          <w:i/>
        </w:rPr>
        <w:t>.</w:t>
      </w:r>
    </w:p>
    <w:p w14:paraId="0BCE4254" w14:textId="1DA1EAD8" w:rsidR="00381A4B" w:rsidRPr="00381A4B" w:rsidRDefault="00381A4B" w:rsidP="00381A4B">
      <w:pPr>
        <w:pStyle w:val="Caption"/>
        <w:rPr>
          <w:lang w:val="en-AU"/>
        </w:rPr>
      </w:pPr>
      <w:bookmarkStart w:id="14" w:name="_Ref99019682"/>
      <w:r>
        <w:t xml:space="preserve">Table </w:t>
      </w:r>
      <w:r>
        <w:fldChar w:fldCharType="begin"/>
      </w:r>
      <w:r>
        <w:instrText xml:space="preserve"> SEQ Table \* ARABIC </w:instrText>
      </w:r>
      <w:r>
        <w:fldChar w:fldCharType="separate"/>
      </w:r>
      <w:r w:rsidR="00506CDD">
        <w:rPr>
          <w:noProof/>
        </w:rPr>
        <w:t>5</w:t>
      </w:r>
      <w:r>
        <w:fldChar w:fldCharType="end"/>
      </w:r>
      <w:bookmarkEnd w:id="14"/>
      <w:r>
        <w:tab/>
        <w:t xml:space="preserve">Proposed </w:t>
      </w:r>
      <w:r w:rsidR="003E55C4">
        <w:t xml:space="preserve">combined </w:t>
      </w:r>
      <w:r>
        <w:rPr>
          <w:lang w:val="en-AU"/>
        </w:rPr>
        <w:t xml:space="preserve">MBS item for HDV diagnosis and continuation of therapy for HDV </w:t>
      </w:r>
    </w:p>
    <w:tbl>
      <w:tblPr>
        <w:tblStyle w:val="TableGrid"/>
        <w:tblW w:w="0" w:type="auto"/>
        <w:tblInd w:w="0" w:type="dxa"/>
        <w:tblLook w:val="04A0" w:firstRow="1" w:lastRow="0" w:firstColumn="1" w:lastColumn="0" w:noHBand="0" w:noVBand="1"/>
      </w:tblPr>
      <w:tblGrid>
        <w:gridCol w:w="9016"/>
      </w:tblGrid>
      <w:tr w:rsidR="00381A4B" w14:paraId="6D578A41" w14:textId="77777777" w:rsidTr="006558F2">
        <w:tc>
          <w:tcPr>
            <w:tcW w:w="9016" w:type="dxa"/>
            <w:tcBorders>
              <w:top w:val="single" w:sz="4" w:space="0" w:color="auto"/>
              <w:left w:val="single" w:sz="4" w:space="0" w:color="auto"/>
              <w:bottom w:val="single" w:sz="4" w:space="0" w:color="auto"/>
              <w:right w:val="single" w:sz="4" w:space="0" w:color="auto"/>
            </w:tcBorders>
            <w:hideMark/>
          </w:tcPr>
          <w:p w14:paraId="6B8BCD80" w14:textId="77777777" w:rsidR="00381A4B" w:rsidRDefault="00381A4B" w:rsidP="006558F2">
            <w:pPr>
              <w:rPr>
                <w:rFonts w:asciiTheme="minorHAnsi" w:hAnsiTheme="minorHAnsi" w:cstheme="minorHAnsi"/>
                <w:sz w:val="20"/>
                <w:szCs w:val="20"/>
              </w:rPr>
            </w:pPr>
            <w:r>
              <w:rPr>
                <w:rFonts w:asciiTheme="minorHAnsi" w:hAnsiTheme="minorHAnsi" w:cstheme="minorHAnsi"/>
                <w:sz w:val="20"/>
                <w:szCs w:val="20"/>
              </w:rPr>
              <w:t>Category: Pathology service – P3 - Microbiology</w:t>
            </w:r>
          </w:p>
        </w:tc>
      </w:tr>
      <w:tr w:rsidR="00381A4B" w14:paraId="1060C79C" w14:textId="77777777" w:rsidTr="006558F2">
        <w:tc>
          <w:tcPr>
            <w:tcW w:w="9016" w:type="dxa"/>
            <w:tcBorders>
              <w:top w:val="single" w:sz="4" w:space="0" w:color="auto"/>
              <w:left w:val="single" w:sz="4" w:space="0" w:color="auto"/>
              <w:bottom w:val="single" w:sz="4" w:space="0" w:color="auto"/>
              <w:right w:val="single" w:sz="4" w:space="0" w:color="auto"/>
            </w:tcBorders>
            <w:hideMark/>
          </w:tcPr>
          <w:p w14:paraId="525FC909" w14:textId="47DED0FC" w:rsidR="00381A4B" w:rsidRDefault="008817AE" w:rsidP="006558F2">
            <w:pPr>
              <w:rPr>
                <w:rFonts w:asciiTheme="minorHAnsi" w:hAnsiTheme="minorHAnsi" w:cstheme="minorHAnsi"/>
                <w:sz w:val="20"/>
                <w:szCs w:val="20"/>
              </w:rPr>
            </w:pPr>
            <w:r>
              <w:rPr>
                <w:rFonts w:asciiTheme="minorHAnsi" w:hAnsiTheme="minorHAnsi" w:cstheme="minorHAnsi"/>
                <w:sz w:val="20"/>
                <w:szCs w:val="20"/>
              </w:rPr>
              <w:t>AAABB</w:t>
            </w:r>
          </w:p>
          <w:p w14:paraId="3FB04DFD" w14:textId="6227C4C7" w:rsidR="00381A4B" w:rsidRPr="0006183A" w:rsidRDefault="00BD76FF" w:rsidP="006558F2">
            <w:pPr>
              <w:pStyle w:val="NormalWeb"/>
              <w:spacing w:before="0" w:beforeAutospacing="0" w:after="240" w:afterAutospacing="0" w:line="300" w:lineRule="atLeast"/>
              <w:rPr>
                <w:rFonts w:asciiTheme="minorHAnsi" w:hAnsiTheme="minorHAnsi" w:cstheme="minorHAnsi"/>
                <w:sz w:val="20"/>
                <w:szCs w:val="20"/>
              </w:rPr>
            </w:pPr>
            <w:r>
              <w:rPr>
                <w:rFonts w:asciiTheme="minorHAnsi" w:hAnsiTheme="minorHAnsi" w:cstheme="minorHAnsi"/>
                <w:sz w:val="20"/>
                <w:szCs w:val="20"/>
              </w:rPr>
              <w:t>Quantitation</w:t>
            </w:r>
            <w:r w:rsidR="00381A4B">
              <w:rPr>
                <w:rFonts w:asciiTheme="minorHAnsi" w:hAnsiTheme="minorHAnsi" w:cstheme="minorHAnsi"/>
                <w:sz w:val="20"/>
                <w:szCs w:val="20"/>
              </w:rPr>
              <w:t xml:space="preserve"> of Hepatitis D viral RNA </w:t>
            </w:r>
            <w:r w:rsidR="00381A4B" w:rsidRPr="0006183A">
              <w:rPr>
                <w:rFonts w:asciiTheme="minorHAnsi" w:hAnsiTheme="minorHAnsi" w:cstheme="minorHAnsi"/>
                <w:sz w:val="20"/>
                <w:szCs w:val="20"/>
              </w:rPr>
              <w:t>load in plasma or serum in:</w:t>
            </w:r>
          </w:p>
          <w:p w14:paraId="69ACB614" w14:textId="12BED123" w:rsidR="00381A4B" w:rsidRDefault="00381A4B" w:rsidP="00381A4B">
            <w:pPr>
              <w:pStyle w:val="ListParagraph"/>
              <w:numPr>
                <w:ilvl w:val="0"/>
                <w:numId w:val="13"/>
              </w:numPr>
              <w:rPr>
                <w:rFonts w:asciiTheme="minorHAnsi" w:hAnsiTheme="minorHAnsi" w:cstheme="minorHAnsi"/>
                <w:sz w:val="20"/>
                <w:szCs w:val="20"/>
              </w:rPr>
            </w:pPr>
            <w:r>
              <w:rPr>
                <w:rFonts w:asciiTheme="minorHAnsi" w:hAnsiTheme="minorHAnsi" w:cstheme="minorHAnsi"/>
                <w:sz w:val="20"/>
                <w:szCs w:val="20"/>
              </w:rPr>
              <w:t>the pre-treatment evaluation</w:t>
            </w:r>
            <w:r w:rsidR="00004C12">
              <w:rPr>
                <w:rFonts w:asciiTheme="minorHAnsi" w:hAnsiTheme="minorHAnsi" w:cstheme="minorHAnsi"/>
                <w:sz w:val="20"/>
                <w:szCs w:val="20"/>
              </w:rPr>
              <w:t xml:space="preserve"> for </w:t>
            </w:r>
            <w:r w:rsidR="00004C12" w:rsidRPr="00EB219F">
              <w:rPr>
                <w:rFonts w:asciiTheme="minorHAnsi" w:hAnsiTheme="minorHAnsi" w:cstheme="minorHAnsi"/>
                <w:sz w:val="20"/>
                <w:szCs w:val="20"/>
                <w:shd w:val="clear" w:color="auto" w:fill="FFFFFF" w:themeFill="background1"/>
              </w:rPr>
              <w:t xml:space="preserve">access to </w:t>
            </w:r>
            <w:r w:rsidR="009756B1" w:rsidRPr="00EB219F">
              <w:rPr>
                <w:rFonts w:asciiTheme="minorHAnsi" w:hAnsiTheme="minorHAnsi" w:cstheme="minorHAnsi"/>
                <w:sz w:val="20"/>
                <w:szCs w:val="20"/>
                <w:shd w:val="clear" w:color="auto" w:fill="FFFFFF" w:themeFill="background1"/>
              </w:rPr>
              <w:t>therapy</w:t>
            </w:r>
            <w:r w:rsidR="009756B1">
              <w:rPr>
                <w:rFonts w:asciiTheme="minorHAnsi" w:hAnsiTheme="minorHAnsi" w:cstheme="minorHAnsi"/>
                <w:sz w:val="20"/>
                <w:szCs w:val="20"/>
              </w:rPr>
              <w:t xml:space="preserve"> for chronic HDV hepatitis </w:t>
            </w:r>
            <w:r w:rsidR="00004C12">
              <w:rPr>
                <w:rFonts w:asciiTheme="minorHAnsi" w:hAnsiTheme="minorHAnsi" w:cstheme="minorHAnsi"/>
                <w:sz w:val="20"/>
                <w:szCs w:val="20"/>
              </w:rPr>
              <w:t>in</w:t>
            </w:r>
            <w:r>
              <w:rPr>
                <w:rFonts w:asciiTheme="minorHAnsi" w:hAnsiTheme="minorHAnsi" w:cstheme="minorHAnsi"/>
                <w:sz w:val="20"/>
                <w:szCs w:val="20"/>
              </w:rPr>
              <w:t xml:space="preserve"> </w:t>
            </w:r>
            <w:r w:rsidRPr="0006183A">
              <w:rPr>
                <w:rFonts w:asciiTheme="minorHAnsi" w:hAnsiTheme="minorHAnsi" w:cstheme="minorHAnsi"/>
                <w:sz w:val="20"/>
                <w:szCs w:val="20"/>
              </w:rPr>
              <w:t>patients who are Hepatitis D viral antibody</w:t>
            </w:r>
            <w:r w:rsidR="001B1A4E">
              <w:rPr>
                <w:rFonts w:asciiTheme="minorHAnsi" w:hAnsiTheme="minorHAnsi" w:cstheme="minorHAnsi"/>
                <w:sz w:val="20"/>
                <w:szCs w:val="20"/>
              </w:rPr>
              <w:t xml:space="preserve"> positive</w:t>
            </w:r>
            <w:r w:rsidR="00865838">
              <w:rPr>
                <w:rFonts w:asciiTheme="minorHAnsi" w:hAnsiTheme="minorHAnsi" w:cstheme="minorHAnsi"/>
                <w:sz w:val="20"/>
                <w:szCs w:val="20"/>
              </w:rPr>
              <w:t xml:space="preserve"> and suspected of having chronic hepatitis D</w:t>
            </w:r>
            <w:r>
              <w:rPr>
                <w:rFonts w:asciiTheme="minorHAnsi" w:hAnsiTheme="minorHAnsi" w:cstheme="minorHAnsi"/>
                <w:sz w:val="20"/>
                <w:szCs w:val="20"/>
              </w:rPr>
              <w:t>; or</w:t>
            </w:r>
          </w:p>
          <w:p w14:paraId="2BC96FDB" w14:textId="0A0464F7" w:rsidR="00865838" w:rsidRDefault="00865838" w:rsidP="00381A4B">
            <w:pPr>
              <w:pStyle w:val="ListParagraph"/>
              <w:numPr>
                <w:ilvl w:val="0"/>
                <w:numId w:val="13"/>
              </w:numPr>
              <w:rPr>
                <w:rFonts w:asciiTheme="minorHAnsi" w:hAnsiTheme="minorHAnsi" w:cstheme="minorHAnsi"/>
                <w:sz w:val="20"/>
                <w:szCs w:val="20"/>
              </w:rPr>
            </w:pPr>
            <w:r w:rsidRPr="00315E9F">
              <w:rPr>
                <w:rFonts w:asciiTheme="minorHAnsi" w:hAnsiTheme="minorHAnsi" w:cstheme="minorHAnsi"/>
                <w:sz w:val="20"/>
                <w:szCs w:val="20"/>
              </w:rPr>
              <w:t xml:space="preserve">a patient undertaking </w:t>
            </w:r>
            <w:r>
              <w:rPr>
                <w:rFonts w:asciiTheme="minorHAnsi" w:hAnsiTheme="minorHAnsi" w:cstheme="minorHAnsi"/>
                <w:sz w:val="20"/>
                <w:szCs w:val="20"/>
              </w:rPr>
              <w:t>antiviral therapy for chronic hepatitis</w:t>
            </w:r>
            <w:r w:rsidRPr="00315E9F">
              <w:rPr>
                <w:rFonts w:asciiTheme="minorHAnsi" w:hAnsiTheme="minorHAnsi" w:cstheme="minorHAnsi"/>
                <w:sz w:val="20"/>
                <w:szCs w:val="20"/>
              </w:rPr>
              <w:t xml:space="preserve"> </w:t>
            </w:r>
            <w:r>
              <w:rPr>
                <w:rFonts w:asciiTheme="minorHAnsi" w:hAnsiTheme="minorHAnsi" w:cstheme="minorHAnsi"/>
                <w:sz w:val="20"/>
                <w:szCs w:val="20"/>
              </w:rPr>
              <w:t>with bulevirtide for the purpose of assessing treatment effectiveness.</w:t>
            </w:r>
          </w:p>
          <w:p w14:paraId="1293AF5C" w14:textId="27586842" w:rsidR="00381A4B" w:rsidRPr="0006183A" w:rsidRDefault="00023790" w:rsidP="006558F2">
            <w:pPr>
              <w:rPr>
                <w:rFonts w:asciiTheme="minorHAnsi" w:hAnsiTheme="minorHAnsi" w:cstheme="minorHAnsi"/>
                <w:sz w:val="20"/>
                <w:szCs w:val="20"/>
              </w:rPr>
            </w:pPr>
            <w:r w:rsidRPr="00BE77B7">
              <w:rPr>
                <w:rFonts w:asciiTheme="minorHAnsi" w:hAnsiTheme="minorHAnsi" w:cstheme="minorHAnsi"/>
                <w:sz w:val="20"/>
                <w:szCs w:val="20"/>
              </w:rPr>
              <w:t>To a m</w:t>
            </w:r>
            <w:r w:rsidR="00F40C4C" w:rsidRPr="00BE77B7">
              <w:rPr>
                <w:rFonts w:asciiTheme="minorHAnsi" w:hAnsiTheme="minorHAnsi" w:cstheme="minorHAnsi"/>
                <w:sz w:val="20"/>
                <w:szCs w:val="20"/>
              </w:rPr>
              <w:t>aximum of 2</w:t>
            </w:r>
            <w:r w:rsidR="00381A4B" w:rsidRPr="00BE77B7">
              <w:rPr>
                <w:rFonts w:asciiTheme="minorHAnsi" w:hAnsiTheme="minorHAnsi" w:cstheme="minorHAnsi"/>
                <w:sz w:val="20"/>
                <w:szCs w:val="20"/>
              </w:rPr>
              <w:t xml:space="preserve"> tests in a </w:t>
            </w:r>
            <w:proofErr w:type="gramStart"/>
            <w:r w:rsidRPr="00BE77B7">
              <w:rPr>
                <w:rFonts w:asciiTheme="minorHAnsi" w:hAnsiTheme="minorHAnsi" w:cstheme="minorHAnsi"/>
                <w:sz w:val="20"/>
                <w:szCs w:val="20"/>
              </w:rPr>
              <w:t>12 month</w:t>
            </w:r>
            <w:proofErr w:type="gramEnd"/>
            <w:r w:rsidRPr="00BE77B7">
              <w:rPr>
                <w:rFonts w:asciiTheme="minorHAnsi" w:hAnsiTheme="minorHAnsi" w:cstheme="minorHAnsi"/>
                <w:sz w:val="20"/>
                <w:szCs w:val="20"/>
              </w:rPr>
              <w:t xml:space="preserve"> period</w:t>
            </w:r>
            <w:r w:rsidR="00381A4B" w:rsidRPr="00BE77B7">
              <w:rPr>
                <w:rFonts w:asciiTheme="minorHAnsi" w:hAnsiTheme="minorHAnsi" w:cstheme="minorHAnsi"/>
                <w:sz w:val="20"/>
                <w:szCs w:val="20"/>
              </w:rPr>
              <w:t>.</w:t>
            </w:r>
          </w:p>
          <w:p w14:paraId="46BB094E" w14:textId="511CECDC" w:rsidR="00381A4B" w:rsidRDefault="00CC3EC1" w:rsidP="00FE5BB2">
            <w:pPr>
              <w:rPr>
                <w:rFonts w:asciiTheme="minorHAnsi" w:hAnsiTheme="minorHAnsi" w:cstheme="minorHAnsi"/>
                <w:sz w:val="20"/>
                <w:szCs w:val="20"/>
              </w:rPr>
            </w:pPr>
            <w:r w:rsidRPr="00391E3C">
              <w:rPr>
                <w:rFonts w:asciiTheme="minorHAnsi" w:hAnsiTheme="minorHAnsi" w:cstheme="minorHAnsi"/>
                <w:sz w:val="20"/>
                <w:szCs w:val="20"/>
              </w:rPr>
              <w:t>Fee:  $152.10 Benefit: 75% = $114.10 85% = $129.30</w:t>
            </w:r>
          </w:p>
        </w:tc>
      </w:tr>
    </w:tbl>
    <w:p w14:paraId="08B494BC" w14:textId="77777777" w:rsidR="00B97731" w:rsidRPr="00D37A3F" w:rsidRDefault="003F0A39" w:rsidP="00713728">
      <w:pPr>
        <w:pStyle w:val="Heading2"/>
      </w:pPr>
      <w:r>
        <w:t>Summary of public consultation</w:t>
      </w:r>
      <w:r w:rsidRPr="00D37A3F">
        <w:t xml:space="preserve"> </w:t>
      </w:r>
      <w:r w:rsidR="00E470B0">
        <w:t>input</w:t>
      </w:r>
    </w:p>
    <w:p w14:paraId="3D0B2AF7" w14:textId="1DC34F31" w:rsidR="00053835" w:rsidRPr="00505B8B" w:rsidRDefault="00053835" w:rsidP="00053835">
      <w:pPr>
        <w:spacing w:before="120" w:after="120"/>
      </w:pPr>
      <w:r>
        <w:t>C</w:t>
      </w:r>
      <w:r w:rsidRPr="00505B8B">
        <w:t xml:space="preserve">onsultation input </w:t>
      </w:r>
      <w:r>
        <w:t xml:space="preserve">was received </w:t>
      </w:r>
      <w:r w:rsidRPr="00505B8B">
        <w:t xml:space="preserve">from </w:t>
      </w:r>
      <w:r>
        <w:t>three (</w:t>
      </w:r>
      <w:r w:rsidRPr="00505B8B">
        <w:t>3</w:t>
      </w:r>
      <w:r>
        <w:t>)</w:t>
      </w:r>
      <w:r w:rsidRPr="00505B8B">
        <w:t xml:space="preserve"> professional organisations, </w:t>
      </w:r>
      <w:r>
        <w:t>two (</w:t>
      </w:r>
      <w:r w:rsidRPr="00505B8B">
        <w:t>2</w:t>
      </w:r>
      <w:r>
        <w:t>)</w:t>
      </w:r>
      <w:r w:rsidRPr="00505B8B">
        <w:t xml:space="preserve"> consumer organisations and </w:t>
      </w:r>
      <w:r>
        <w:t>one (</w:t>
      </w:r>
      <w:r w:rsidRPr="00505B8B">
        <w:t>1</w:t>
      </w:r>
      <w:r>
        <w:t>)</w:t>
      </w:r>
      <w:r w:rsidRPr="00505B8B">
        <w:t xml:space="preserve"> individual, a medical professional. The </w:t>
      </w:r>
      <w:r>
        <w:t>five (</w:t>
      </w:r>
      <w:r w:rsidRPr="00505B8B">
        <w:t>5</w:t>
      </w:r>
      <w:r>
        <w:t>)</w:t>
      </w:r>
      <w:r w:rsidRPr="00505B8B">
        <w:t xml:space="preserve"> organisations that submitted input were:</w:t>
      </w:r>
    </w:p>
    <w:p w14:paraId="707C29FB" w14:textId="77777777" w:rsidR="00053835" w:rsidRPr="00505B8B" w:rsidRDefault="00053835" w:rsidP="00053835">
      <w:pPr>
        <w:pStyle w:val="ListParagraph"/>
        <w:numPr>
          <w:ilvl w:val="0"/>
          <w:numId w:val="32"/>
        </w:numPr>
        <w:spacing w:after="120" w:line="259" w:lineRule="auto"/>
      </w:pPr>
      <w:r w:rsidRPr="00505B8B">
        <w:t>Australian Pathology (AP)</w:t>
      </w:r>
    </w:p>
    <w:p w14:paraId="666383BC" w14:textId="77777777" w:rsidR="00053835" w:rsidRPr="00505B8B" w:rsidRDefault="00053835" w:rsidP="00053835">
      <w:pPr>
        <w:pStyle w:val="ListParagraph"/>
        <w:numPr>
          <w:ilvl w:val="0"/>
          <w:numId w:val="32"/>
        </w:numPr>
        <w:spacing w:after="120" w:line="259" w:lineRule="auto"/>
      </w:pPr>
      <w:r w:rsidRPr="00505B8B">
        <w:t>Gastroenterological Society of Australia (GESA)</w:t>
      </w:r>
    </w:p>
    <w:p w14:paraId="12C19F63" w14:textId="77777777" w:rsidR="00053835" w:rsidRPr="00505B8B" w:rsidRDefault="00053835" w:rsidP="00053835">
      <w:pPr>
        <w:pStyle w:val="ListParagraph"/>
        <w:numPr>
          <w:ilvl w:val="0"/>
          <w:numId w:val="32"/>
        </w:numPr>
        <w:spacing w:after="120" w:line="259" w:lineRule="auto"/>
      </w:pPr>
      <w:r w:rsidRPr="00505B8B">
        <w:t>Hepatitis SA</w:t>
      </w:r>
    </w:p>
    <w:p w14:paraId="290C5582" w14:textId="77777777" w:rsidR="00053835" w:rsidRPr="00505B8B" w:rsidRDefault="00053835" w:rsidP="00053835">
      <w:pPr>
        <w:pStyle w:val="ListParagraph"/>
        <w:numPr>
          <w:ilvl w:val="0"/>
          <w:numId w:val="32"/>
        </w:numPr>
        <w:spacing w:after="120" w:line="259" w:lineRule="auto"/>
      </w:pPr>
      <w:r w:rsidRPr="00505B8B">
        <w:t>Hepatitis Queensland (HQ)</w:t>
      </w:r>
    </w:p>
    <w:p w14:paraId="59392D13" w14:textId="77777777" w:rsidR="00053835" w:rsidRPr="00505B8B" w:rsidRDefault="00053835" w:rsidP="00053835">
      <w:pPr>
        <w:pStyle w:val="ListParagraph"/>
        <w:numPr>
          <w:ilvl w:val="0"/>
          <w:numId w:val="32"/>
        </w:numPr>
        <w:spacing w:after="120" w:line="259" w:lineRule="auto"/>
      </w:pPr>
      <w:r w:rsidRPr="00505B8B">
        <w:t>Public Pathology Australia (PPA)</w:t>
      </w:r>
    </w:p>
    <w:p w14:paraId="01830B5F" w14:textId="77777777" w:rsidR="00053835" w:rsidRPr="00B76914" w:rsidRDefault="00053835" w:rsidP="00053835">
      <w:r>
        <w:t xml:space="preserve">The consultation feedback received was mostly supportive of public funding for application 1708. The consultation </w:t>
      </w:r>
      <w:r w:rsidRPr="00B76914">
        <w:t xml:space="preserve">feedback raised a number of concerns, predominately in relation to the </w:t>
      </w:r>
      <w:r>
        <w:t>p</w:t>
      </w:r>
      <w:r w:rsidRPr="00B76914">
        <w:t>opulation and item descriptor</w:t>
      </w:r>
      <w:r>
        <w:t>.</w:t>
      </w:r>
    </w:p>
    <w:p w14:paraId="1B57EA58" w14:textId="77777777" w:rsidR="00053835" w:rsidRDefault="00053835" w:rsidP="000E7ED6">
      <w:pPr>
        <w:spacing w:after="0"/>
        <w:rPr>
          <w:b/>
          <w:bCs/>
        </w:rPr>
      </w:pPr>
      <w:r w:rsidRPr="00C50417">
        <w:rPr>
          <w:b/>
          <w:bCs/>
        </w:rPr>
        <w:t>Clinical need and public health significance</w:t>
      </w:r>
    </w:p>
    <w:p w14:paraId="16C5F99B" w14:textId="68C1C4A5" w:rsidR="00053835" w:rsidRDefault="00053835" w:rsidP="00053835">
      <w:r>
        <w:t>The main benefits of public funding received in the consultation feedback included:</w:t>
      </w:r>
    </w:p>
    <w:p w14:paraId="440560CC" w14:textId="1F3C6A0C" w:rsidR="00053835" w:rsidRDefault="00053835" w:rsidP="00053835">
      <w:pPr>
        <w:pStyle w:val="ListParagraph"/>
        <w:numPr>
          <w:ilvl w:val="0"/>
          <w:numId w:val="35"/>
        </w:numPr>
        <w:spacing w:after="160" w:line="259" w:lineRule="auto"/>
      </w:pPr>
      <w:r>
        <w:t>Increased accuracy in diagnosing HDV, including quantification of virus levels, and determining active and past infections</w:t>
      </w:r>
    </w:p>
    <w:p w14:paraId="1D5F5E1F" w14:textId="77777777" w:rsidR="00053835" w:rsidRDefault="00053835" w:rsidP="00053835">
      <w:pPr>
        <w:pStyle w:val="ListParagraph"/>
        <w:numPr>
          <w:ilvl w:val="0"/>
          <w:numId w:val="35"/>
        </w:numPr>
        <w:spacing w:after="160" w:line="259" w:lineRule="auto"/>
      </w:pPr>
      <w:r>
        <w:t>Appropriate treatment, including reduction of treatment delays</w:t>
      </w:r>
      <w:r w:rsidRPr="002824F2">
        <w:t xml:space="preserve"> </w:t>
      </w:r>
      <w:r>
        <w:t>and under-treatment</w:t>
      </w:r>
    </w:p>
    <w:p w14:paraId="6EAA8B8C" w14:textId="77777777" w:rsidR="00053835" w:rsidRDefault="00053835" w:rsidP="00053835">
      <w:pPr>
        <w:pStyle w:val="ListParagraph"/>
        <w:numPr>
          <w:ilvl w:val="0"/>
          <w:numId w:val="35"/>
        </w:numPr>
        <w:spacing w:after="160" w:line="259" w:lineRule="auto"/>
      </w:pPr>
      <w:r>
        <w:t>Monitoring treatment, and prompt response to treatment failure and avoidance of unnecessary investigations or interventions</w:t>
      </w:r>
    </w:p>
    <w:p w14:paraId="1FB87438" w14:textId="3F7FA727" w:rsidR="00053835" w:rsidRPr="0062379F" w:rsidRDefault="00053835" w:rsidP="00053835">
      <w:pPr>
        <w:pStyle w:val="ListParagraph"/>
        <w:numPr>
          <w:ilvl w:val="0"/>
          <w:numId w:val="35"/>
        </w:numPr>
        <w:spacing w:after="160" w:line="259" w:lineRule="auto"/>
      </w:pPr>
      <w:r w:rsidRPr="0062379F">
        <w:t xml:space="preserve">Public funding of the testing would promote standardisation of </w:t>
      </w:r>
      <w:r>
        <w:t xml:space="preserve">HDV </w:t>
      </w:r>
      <w:r w:rsidRPr="0062379F">
        <w:t>testing and monitoring</w:t>
      </w:r>
    </w:p>
    <w:p w14:paraId="024F53A7" w14:textId="3FC9E5BF" w:rsidR="00053835" w:rsidRDefault="00053835" w:rsidP="00053835">
      <w:pPr>
        <w:pStyle w:val="ListParagraph"/>
        <w:numPr>
          <w:ilvl w:val="0"/>
          <w:numId w:val="35"/>
        </w:numPr>
        <w:spacing w:after="160" w:line="259" w:lineRule="auto"/>
      </w:pPr>
      <w:r>
        <w:t>Reduced transmission of HDV due to higher rates of diagnosis and increased awareness</w:t>
      </w:r>
      <w:r w:rsidRPr="00336066">
        <w:t xml:space="preserve"> </w:t>
      </w:r>
    </w:p>
    <w:p w14:paraId="3848CFD6" w14:textId="6BBD10E5" w:rsidR="00053835" w:rsidRDefault="00053835" w:rsidP="00053835">
      <w:pPr>
        <w:pStyle w:val="ListParagraph"/>
        <w:numPr>
          <w:ilvl w:val="0"/>
          <w:numId w:val="35"/>
        </w:numPr>
        <w:spacing w:after="160" w:line="259" w:lineRule="auto"/>
      </w:pPr>
      <w:r>
        <w:lastRenderedPageBreak/>
        <w:t>Increased equity of access, including regarding socioeconomic barriers</w:t>
      </w:r>
    </w:p>
    <w:p w14:paraId="5C5A17FD" w14:textId="77777777" w:rsidR="00053835" w:rsidRDefault="00053835" w:rsidP="00053835">
      <w:pPr>
        <w:pStyle w:val="ListParagraph"/>
        <w:numPr>
          <w:ilvl w:val="0"/>
          <w:numId w:val="35"/>
        </w:numPr>
        <w:spacing w:after="160" w:line="259" w:lineRule="auto"/>
      </w:pPr>
      <w:r>
        <w:t>Accurate monitoring of infectious diseases, promoting public health goals.</w:t>
      </w:r>
    </w:p>
    <w:p w14:paraId="07572E30" w14:textId="6CA1D078" w:rsidR="00053835" w:rsidRDefault="00053835" w:rsidP="00053835">
      <w:r>
        <w:t>Pre-test counselling and consent were identified in the consultation feedback as being needed to be delivered before the intervention.</w:t>
      </w:r>
    </w:p>
    <w:p w14:paraId="3693A2C8" w14:textId="77777777" w:rsidR="00053835" w:rsidRDefault="00053835" w:rsidP="000E7ED6">
      <w:pPr>
        <w:spacing w:after="0"/>
        <w:rPr>
          <w:b/>
          <w:bCs/>
        </w:rPr>
      </w:pPr>
      <w:r w:rsidRPr="00C50417">
        <w:rPr>
          <w:b/>
          <w:bCs/>
        </w:rPr>
        <w:t>Indication(s) for the proposed medical service and clinical claim</w:t>
      </w:r>
    </w:p>
    <w:p w14:paraId="58D8A719" w14:textId="77777777" w:rsidR="00053835" w:rsidRDefault="00053835" w:rsidP="00053835">
      <w:r>
        <w:t>The consultation feedback ranged from ‘disagreeing’ to ‘strongly agreeing’ with the proposed population.</w:t>
      </w:r>
    </w:p>
    <w:p w14:paraId="0A8F5F20" w14:textId="77777777" w:rsidR="00053835" w:rsidRDefault="00053835" w:rsidP="00053835">
      <w:r>
        <w:t>While GESA, HQ and PPA agreed with the proposed population, Hepatitis SA and the AP disagreed with the proposed population, as they considered it should be broadened:</w:t>
      </w:r>
    </w:p>
    <w:p w14:paraId="3940F776" w14:textId="623FAC82" w:rsidR="00053835" w:rsidRDefault="00053835" w:rsidP="00053835">
      <w:pPr>
        <w:pStyle w:val="ListParagraph"/>
        <w:numPr>
          <w:ilvl w:val="0"/>
          <w:numId w:val="40"/>
        </w:numPr>
        <w:spacing w:after="160" w:line="259" w:lineRule="auto"/>
      </w:pPr>
      <w:r>
        <w:t>Hepatitis SA considered that all people living with HBV infection should receive a HDV antibody test and that those who begin bulevirtide treatment should receive twice-yearly monitoring via HDV-PCR testing to aid clinical decision making</w:t>
      </w:r>
      <w:r w:rsidR="00A53B1D">
        <w:t>.</w:t>
      </w:r>
    </w:p>
    <w:p w14:paraId="0C62437C" w14:textId="77777777" w:rsidR="00053835" w:rsidRDefault="00053835" w:rsidP="00053835">
      <w:pPr>
        <w:pStyle w:val="ListParagraph"/>
        <w:numPr>
          <w:ilvl w:val="0"/>
          <w:numId w:val="40"/>
        </w:numPr>
        <w:spacing w:after="160" w:line="259" w:lineRule="auto"/>
      </w:pPr>
      <w:r>
        <w:t>The AP disagreed with the proposed population and considered that the testing should not be restricted to hepatitis-B positive patients due to the possibility of transmission via exposure to bodily fluids. Also, AP considered that the</w:t>
      </w:r>
      <w:r w:rsidRPr="0062379F">
        <w:t xml:space="preserve"> patient’s disease status is clinically relevant across a broader medical context</w:t>
      </w:r>
      <w:r>
        <w:t xml:space="preserve"> and testing need not be restricted to determining appropriateness of particular pharmaceutical treatments.</w:t>
      </w:r>
    </w:p>
    <w:p w14:paraId="2E03164A" w14:textId="6A646EC7" w:rsidR="00870D16" w:rsidRDefault="00870D16" w:rsidP="00F644A7">
      <w:pPr>
        <w:rPr>
          <w:b/>
          <w:bCs/>
        </w:rPr>
      </w:pPr>
      <w:r>
        <w:t>The medical scientist was in support of the public funding for the proposed service</w:t>
      </w:r>
      <w:r w:rsidR="00052AB7">
        <w:t xml:space="preserve"> </w:t>
      </w:r>
      <w:r>
        <w:t>and considered that the severity of disease caused by HDV co-infection warrants the screening of all HBV infected individuals for HDV antibodies and then anti-HD positive individuals for HDV RNA</w:t>
      </w:r>
      <w:r>
        <w:rPr>
          <w:b/>
          <w:bCs/>
        </w:rPr>
        <w:t>.</w:t>
      </w:r>
    </w:p>
    <w:p w14:paraId="30C3A8D1" w14:textId="7E4548E8" w:rsidR="00053835" w:rsidRDefault="00053835" w:rsidP="000E7ED6">
      <w:pPr>
        <w:spacing w:after="0"/>
      </w:pPr>
      <w:r>
        <w:rPr>
          <w:b/>
          <w:bCs/>
        </w:rPr>
        <w:t>Item Descriptor</w:t>
      </w:r>
    </w:p>
    <w:p w14:paraId="5D301950" w14:textId="0BCD1611" w:rsidR="00053835" w:rsidRDefault="00053835" w:rsidP="00053835">
      <w:r>
        <w:t>The consultation feedback ranged from ‘disagreeing’ to ‘agreeing’ with the proposed item descriptor.</w:t>
      </w:r>
    </w:p>
    <w:p w14:paraId="19480588" w14:textId="77777777" w:rsidR="00053835" w:rsidRPr="00853138" w:rsidRDefault="00053835" w:rsidP="00053835">
      <w:r>
        <w:t>The AP stated that there is no need for a separate item descriptor for patients undergoing therapy with bulevirtide, as long as the base item does not have a time restrictor placed on it.</w:t>
      </w:r>
    </w:p>
    <w:p w14:paraId="7B08E25B" w14:textId="4A2E62C3" w:rsidR="00053835" w:rsidRPr="00951EBD" w:rsidRDefault="00053835" w:rsidP="00053835">
      <w:r w:rsidRPr="00812B23">
        <w:t>The PPA considered that a specialist, such as in infectious diseases or a gastroenterologist, should request the initial testing</w:t>
      </w:r>
      <w:r w:rsidR="00A53B1D">
        <w:rPr>
          <w:i/>
          <w:iCs/>
        </w:rPr>
        <w:t>.</w:t>
      </w:r>
    </w:p>
    <w:p w14:paraId="1EE0C6DB" w14:textId="77777777" w:rsidR="00053835" w:rsidRPr="00575BD2" w:rsidRDefault="00053835" w:rsidP="000E7ED6">
      <w:pPr>
        <w:spacing w:after="0"/>
      </w:pPr>
      <w:r w:rsidRPr="00575BD2">
        <w:rPr>
          <w:b/>
          <w:bCs/>
        </w:rPr>
        <w:t xml:space="preserve">Additional comments </w:t>
      </w:r>
    </w:p>
    <w:p w14:paraId="30397489" w14:textId="14B70F30" w:rsidR="00053835" w:rsidRDefault="00053835" w:rsidP="00053835">
      <w:r>
        <w:t xml:space="preserve">The AP considered the </w:t>
      </w:r>
      <w:r w:rsidR="00870D16">
        <w:t xml:space="preserve">existing </w:t>
      </w:r>
      <w:r>
        <w:t xml:space="preserve">MBS items </w:t>
      </w:r>
      <w:r w:rsidR="002D0666">
        <w:t>to be</w:t>
      </w:r>
      <w:r>
        <w:t xml:space="preserve"> too restrictive in the number of tests funded and recommended that these items should be revised to increase limit to 6 tests, to allow pathologists to claim for more than 3 hepatitis antigen tests in a patient episode.</w:t>
      </w:r>
    </w:p>
    <w:p w14:paraId="27386F5B" w14:textId="01CA29C5" w:rsidR="00053835" w:rsidRPr="00F644A7" w:rsidRDefault="00870D16" w:rsidP="000E7ED6">
      <w:pPr>
        <w:spacing w:after="0"/>
      </w:pPr>
      <w:r w:rsidRPr="00F644A7">
        <w:t>The medical scientist considered that:</w:t>
      </w:r>
    </w:p>
    <w:p w14:paraId="5EB4AB6D" w14:textId="77777777" w:rsidR="00053835" w:rsidRDefault="00053835" w:rsidP="00053835">
      <w:pPr>
        <w:pStyle w:val="ListParagraph"/>
        <w:numPr>
          <w:ilvl w:val="0"/>
          <w:numId w:val="37"/>
        </w:numPr>
        <w:spacing w:after="0" w:line="240" w:lineRule="auto"/>
      </w:pPr>
      <w:r>
        <w:t>the proposed treatment has shown specific response as an anti-HDV treatment with visible decline in HDV RNA and minimal side effects;</w:t>
      </w:r>
    </w:p>
    <w:p w14:paraId="54214A77" w14:textId="77777777" w:rsidR="00053835" w:rsidRDefault="00053835" w:rsidP="00053835">
      <w:pPr>
        <w:pStyle w:val="ListParagraph"/>
        <w:numPr>
          <w:ilvl w:val="0"/>
          <w:numId w:val="37"/>
        </w:numPr>
        <w:spacing w:after="0" w:line="240" w:lineRule="auto"/>
      </w:pPr>
      <w:r>
        <w:t>the proposed service will address the finding that currently HDV infection is largely under-diagnosed due to the prohibitive cost of PCR testing, and;</w:t>
      </w:r>
    </w:p>
    <w:p w14:paraId="1C329737" w14:textId="77777777" w:rsidR="00053835" w:rsidRDefault="00053835" w:rsidP="00053835">
      <w:pPr>
        <w:pStyle w:val="ListParagraph"/>
        <w:numPr>
          <w:ilvl w:val="0"/>
          <w:numId w:val="37"/>
        </w:numPr>
        <w:spacing w:after="0" w:line="240" w:lineRule="auto"/>
      </w:pPr>
      <w:r>
        <w:t>liver function testing is essential before and during treatment to assess liver damage and response.</w:t>
      </w:r>
    </w:p>
    <w:p w14:paraId="258383E2" w14:textId="73F0CE01" w:rsidR="00EA4B6E" w:rsidRPr="00FC6E1D" w:rsidRDefault="00053835" w:rsidP="00053835">
      <w:r>
        <w:lastRenderedPageBreak/>
        <w:t xml:space="preserve">The </w:t>
      </w:r>
      <w:r w:rsidR="00AB4B7C">
        <w:t xml:space="preserve">medical </w:t>
      </w:r>
      <w:r w:rsidR="00870D16">
        <w:t>scientist</w:t>
      </w:r>
      <w:r>
        <w:t xml:space="preserve"> agreed with the proposed cost of the service, but considered the wording for the item descriptor (question 51 of the application form) should be “Hepatitis B surface antigen positive”.</w:t>
      </w:r>
    </w:p>
    <w:p w14:paraId="4F093C0B" w14:textId="416746D9" w:rsidR="00FD4759" w:rsidRDefault="00EA4B6E" w:rsidP="00FD4759">
      <w:pPr>
        <w:rPr>
          <w:b/>
          <w:bCs/>
        </w:rPr>
      </w:pPr>
      <w:r>
        <w:rPr>
          <w:b/>
          <w:bCs/>
        </w:rPr>
        <w:t xml:space="preserve">Consumer Feedback </w:t>
      </w:r>
    </w:p>
    <w:p w14:paraId="5BC172E4" w14:textId="36735BD5" w:rsidR="00D604BD" w:rsidRPr="00A94084" w:rsidRDefault="00EA4B6E" w:rsidP="00F644A7">
      <w:pPr>
        <w:pStyle w:val="ListParagraph"/>
        <w:numPr>
          <w:ilvl w:val="0"/>
          <w:numId w:val="41"/>
        </w:numPr>
        <w:rPr>
          <w:rFonts w:asciiTheme="minorHAnsi" w:hAnsiTheme="minorHAnsi" w:cstheme="minorHAnsi"/>
        </w:rPr>
      </w:pPr>
      <w:r w:rsidRPr="00F644A7">
        <w:rPr>
          <w:rFonts w:asciiTheme="minorHAnsi" w:hAnsiTheme="minorHAnsi" w:cstheme="minorHAnsi"/>
        </w:rPr>
        <w:t>Hepatitis SA</w:t>
      </w:r>
      <w:r w:rsidRPr="00D604BD">
        <w:rPr>
          <w:rFonts w:asciiTheme="minorHAnsi" w:hAnsiTheme="minorHAnsi" w:cstheme="minorHAnsi"/>
        </w:rPr>
        <w:t xml:space="preserve"> noted a large proportion of people who are diagnosed with HDV were born overseas (often low-income countries)</w:t>
      </w:r>
      <w:r w:rsidR="00D604BD" w:rsidRPr="00D604BD">
        <w:rPr>
          <w:rFonts w:asciiTheme="minorHAnsi" w:hAnsiTheme="minorHAnsi" w:cstheme="minorHAnsi"/>
        </w:rPr>
        <w:t>. Additionally, people who inject drugs and men who have sex with men are have a higher risk of HDV. Hepatitis SA considered these groups</w:t>
      </w:r>
      <w:r w:rsidR="00AA162E">
        <w:rPr>
          <w:rFonts w:asciiTheme="minorHAnsi" w:hAnsiTheme="minorHAnsi" w:cstheme="minorHAnsi"/>
        </w:rPr>
        <w:t xml:space="preserve"> </w:t>
      </w:r>
      <w:r w:rsidRPr="00D604BD">
        <w:rPr>
          <w:rFonts w:asciiTheme="minorHAnsi" w:hAnsiTheme="minorHAnsi" w:cstheme="minorHAnsi"/>
        </w:rPr>
        <w:t xml:space="preserve">experience multiple barriers to accessing health services, including financial costs. </w:t>
      </w:r>
      <w:r w:rsidR="00D604BD" w:rsidRPr="00F644A7">
        <w:rPr>
          <w:rFonts w:asciiTheme="minorHAnsi" w:hAnsiTheme="minorHAnsi" w:cstheme="minorHAnsi"/>
        </w:rPr>
        <w:t xml:space="preserve">Hepatitis SA </w:t>
      </w:r>
      <w:r w:rsidRPr="00F644A7">
        <w:rPr>
          <w:rFonts w:asciiTheme="minorHAnsi" w:hAnsiTheme="minorHAnsi" w:cstheme="minorHAnsi"/>
        </w:rPr>
        <w:t>considered removal of costs for HDV PCR tests encourage correct testing by clinicians and will encourage treatment access by financially and socially vulnerable community members who are managing two or more chronic conditions.</w:t>
      </w:r>
    </w:p>
    <w:p w14:paraId="1F299BFE" w14:textId="3DE1FEC0" w:rsidR="00F644A7" w:rsidRPr="00AA162E" w:rsidRDefault="00F644A7" w:rsidP="00AA162E">
      <w:pPr>
        <w:spacing w:before="200" w:after="240"/>
        <w:rPr>
          <w:i/>
          <w:szCs w:val="24"/>
        </w:rPr>
      </w:pPr>
      <w:r w:rsidRPr="00AA162E">
        <w:rPr>
          <w:i/>
          <w:szCs w:val="24"/>
        </w:rPr>
        <w:t>PASC noted supportive consultation feedback from clinicians and consumers.</w:t>
      </w:r>
    </w:p>
    <w:p w14:paraId="43801C99" w14:textId="16C78654" w:rsidR="00E871A2" w:rsidRPr="00AA162E" w:rsidRDefault="00F644A7" w:rsidP="00AA162E">
      <w:pPr>
        <w:spacing w:before="200" w:after="240"/>
        <w:rPr>
          <w:i/>
          <w:szCs w:val="24"/>
        </w:rPr>
      </w:pPr>
      <w:r w:rsidRPr="00AA162E">
        <w:rPr>
          <w:i/>
          <w:szCs w:val="24"/>
        </w:rPr>
        <w:t>PASC noted that the consultation feedback proposed broader uses of HDV RNA PCR testing than proposed in the application. PASC noted the applicant was of the view that only testing for its proposed codependent purposes should be considered (narrow population), and the application should not be extended to include testing for other purposes as proposed during the public consultation period.</w:t>
      </w:r>
    </w:p>
    <w:p w14:paraId="3AA4549A" w14:textId="77777777" w:rsidR="00B97731" w:rsidRPr="00D37A3F" w:rsidRDefault="00D37A3F" w:rsidP="00713728">
      <w:pPr>
        <w:pStyle w:val="Heading2"/>
      </w:pPr>
      <w:r w:rsidRPr="00D37A3F">
        <w:t>Next steps</w:t>
      </w:r>
    </w:p>
    <w:p w14:paraId="521871A2" w14:textId="7F790C5E" w:rsidR="00E871A2" w:rsidRPr="00AA162E" w:rsidRDefault="00E871A2" w:rsidP="00AA162E">
      <w:pPr>
        <w:spacing w:before="200" w:after="240"/>
        <w:rPr>
          <w:i/>
          <w:szCs w:val="24"/>
        </w:rPr>
      </w:pPr>
      <w:r w:rsidRPr="00AA162E">
        <w:rPr>
          <w:i/>
          <w:szCs w:val="24"/>
        </w:rPr>
        <w:t>PASC noted the applicant has elected to progress its application as an ADAR (Applicant Developed Assessment Report) in the form of an integrated codependent submission to MSAC and PBAC.</w:t>
      </w:r>
    </w:p>
    <w:p w14:paraId="432A3B60" w14:textId="0F3CA847" w:rsidR="00E871A2" w:rsidRDefault="00E871A2" w:rsidP="00A94084">
      <w:pPr>
        <w:pStyle w:val="Instructionaltext"/>
        <w:rPr>
          <w:rFonts w:ascii="Franklin Gothic Medium" w:eastAsiaTheme="majorEastAsia" w:hAnsi="Franklin Gothic Medium" w:cstheme="majorBidi"/>
          <w:color w:val="000000" w:themeColor="text1"/>
          <w:sz w:val="32"/>
          <w:szCs w:val="26"/>
        </w:rPr>
      </w:pPr>
      <w:r>
        <w:br w:type="page"/>
      </w:r>
    </w:p>
    <w:p w14:paraId="73A2A9C9" w14:textId="20F070F5" w:rsidR="006478E7" w:rsidRDefault="00A33126" w:rsidP="00713728">
      <w:pPr>
        <w:pStyle w:val="Heading2"/>
      </w:pPr>
      <w:r w:rsidRPr="00A33126">
        <w:lastRenderedPageBreak/>
        <w:t>References</w:t>
      </w:r>
    </w:p>
    <w:p w14:paraId="4BA62B27" w14:textId="796A8018" w:rsidR="00AE7F54" w:rsidRPr="00AE7F54" w:rsidRDefault="008334DB" w:rsidP="00AE7F54">
      <w:pPr>
        <w:pStyle w:val="EndNoteBibliography"/>
      </w:pPr>
      <w:r>
        <w:fldChar w:fldCharType="begin"/>
      </w:r>
      <w:r>
        <w:instrText xml:space="preserve"> ADDIN EN.REFLIST </w:instrText>
      </w:r>
      <w:r>
        <w:fldChar w:fldCharType="separate"/>
      </w:r>
      <w:r w:rsidR="00AE7F54" w:rsidRPr="00AE7F54">
        <w:t xml:space="preserve">Allard, N &amp; Cowie, B 2018, </w:t>
      </w:r>
      <w:r w:rsidR="00AE7F54" w:rsidRPr="00AE7F54">
        <w:rPr>
          <w:i/>
        </w:rPr>
        <w:t>Complex situations Co-infection and Immunosuppression</w:t>
      </w:r>
      <w:r w:rsidR="00AE7F54" w:rsidRPr="00AE7F54">
        <w:t>, Australasian Society for HIV, Viral Hepatitis and Sexual Health Medicine (ASHM), viewed 3/5/2022, &lt;</w:t>
      </w:r>
      <w:hyperlink r:id="rId13" w:history="1">
        <w:r w:rsidR="00AE7F54" w:rsidRPr="00AE7F54">
          <w:rPr>
            <w:rStyle w:val="Hyperlink"/>
            <w:rFonts w:ascii="Calibri" w:hAnsi="Calibri" w:cs="Calibri"/>
          </w:rPr>
          <w:t>https://hepatitisb.org.au/complex-situations-co-infection-and-immunosuppression/</w:t>
        </w:r>
      </w:hyperlink>
      <w:r w:rsidR="00AE7F54" w:rsidRPr="00AE7F54">
        <w:t>&gt;.</w:t>
      </w:r>
    </w:p>
    <w:p w14:paraId="57816239" w14:textId="77777777" w:rsidR="00AE7F54" w:rsidRPr="00AE7F54" w:rsidRDefault="00AE7F54" w:rsidP="00AE7F54">
      <w:pPr>
        <w:pStyle w:val="EndNoteBibliography"/>
      </w:pPr>
      <w:r w:rsidRPr="00AE7F54">
        <w:t xml:space="preserve">ASHM 2020, </w:t>
      </w:r>
      <w:r w:rsidRPr="00AE7F54">
        <w:rPr>
          <w:i/>
        </w:rPr>
        <w:t>National Hepatitis B Testing Policy</w:t>
      </w:r>
      <w:r w:rsidRPr="00AE7F54">
        <w:t xml:space="preserve">, Australasian Society for HIV, Viral Hepatitis and Sexual Health Medicine (ASHM) </w:t>
      </w:r>
    </w:p>
    <w:p w14:paraId="47EFA0F4" w14:textId="175DA523" w:rsidR="00AE7F54" w:rsidRPr="00AE7F54" w:rsidRDefault="00AE7F54" w:rsidP="00AE7F54">
      <w:pPr>
        <w:pStyle w:val="EndNoteBibliography"/>
      </w:pPr>
      <w:r w:rsidRPr="00AE7F54">
        <w:t xml:space="preserve">Australian Government Department of Health 2013, </w:t>
      </w:r>
      <w:r w:rsidRPr="00AE7F54">
        <w:rPr>
          <w:i/>
        </w:rPr>
        <w:t>Hepatitis D case definition</w:t>
      </w:r>
      <w:r w:rsidRPr="00AE7F54">
        <w:t>, Commonwealth of Australia, Canberra, &lt;</w:t>
      </w:r>
      <w:hyperlink r:id="rId14" w:history="1">
        <w:r w:rsidRPr="00AE7F54">
          <w:rPr>
            <w:rStyle w:val="Hyperlink"/>
            <w:rFonts w:ascii="Calibri" w:hAnsi="Calibri" w:cs="Calibri"/>
          </w:rPr>
          <w:t>https://www1.health.gov.au/internet/main/publishing.nsf/Content/cda-surveil-nndss-casedefs-cd_hepd.htm</w:t>
        </w:r>
      </w:hyperlink>
      <w:r w:rsidRPr="00AE7F54">
        <w:t>&gt;.</w:t>
      </w:r>
    </w:p>
    <w:p w14:paraId="1825FF1A" w14:textId="2FBCF80E" w:rsidR="00AE7F54" w:rsidRPr="00AE7F54" w:rsidRDefault="00AE7F54" w:rsidP="00AE7F54">
      <w:pPr>
        <w:pStyle w:val="EndNoteBibliography"/>
      </w:pPr>
      <w:r w:rsidRPr="00AE7F54">
        <w:t xml:space="preserve">CDC 2020, </w:t>
      </w:r>
      <w:r w:rsidRPr="00AE7F54">
        <w:rPr>
          <w:i/>
        </w:rPr>
        <w:t>Viral Hepatitis</w:t>
      </w:r>
      <w:r w:rsidRPr="00AE7F54">
        <w:t>, U.S. Department of Health &amp; Human Services, viewed 23rd March 2022, &lt;</w:t>
      </w:r>
      <w:hyperlink r:id="rId15" w:history="1">
        <w:r w:rsidRPr="00AE7F54">
          <w:rPr>
            <w:rStyle w:val="Hyperlink"/>
            <w:rFonts w:ascii="Calibri" w:hAnsi="Calibri" w:cs="Calibri"/>
          </w:rPr>
          <w:t>https://www.cdc.gov/hepatitis/hdv/hdvfaq.htm</w:t>
        </w:r>
      </w:hyperlink>
      <w:r w:rsidRPr="00AE7F54">
        <w:t>&gt;.</w:t>
      </w:r>
    </w:p>
    <w:p w14:paraId="7C39CF3E" w14:textId="77777777" w:rsidR="00AE7F54" w:rsidRPr="00AE7F54" w:rsidRDefault="00AE7F54" w:rsidP="00AE7F54">
      <w:pPr>
        <w:pStyle w:val="EndNoteBibliography"/>
      </w:pPr>
      <w:r w:rsidRPr="00AE7F54">
        <w:t xml:space="preserve">Chang, T-E, Su, C-W, Huang, Y-S, Huang, Y-H, Hou, M-C &amp; Wu, J-C 2022, 'Hepatitis D virus dual infection increased the risk of hepatocellular carcinoma compared with hepatitis B virus mono infection: A meta-analysis', </w:t>
      </w:r>
      <w:r w:rsidRPr="00AE7F54">
        <w:rPr>
          <w:i/>
        </w:rPr>
        <w:t>Journal of the Chinese Medical Association</w:t>
      </w:r>
      <w:r w:rsidRPr="00AE7F54">
        <w:t>, vol. 85, no. 1, pp. 30-41.</w:t>
      </w:r>
    </w:p>
    <w:p w14:paraId="44111DEC" w14:textId="77777777" w:rsidR="00AE7F54" w:rsidRPr="00AE7F54" w:rsidRDefault="00AE7F54" w:rsidP="00AE7F54">
      <w:pPr>
        <w:pStyle w:val="EndNoteBibliography"/>
      </w:pPr>
      <w:r w:rsidRPr="00AE7F54">
        <w:t xml:space="preserve">Chen, LY, Pang, XY, Goyal, H, Yang, RX &amp; Xu, HG 2021, 'Hepatitis D: challenges in the estimation of true prevalence and laboratory diagnosis', </w:t>
      </w:r>
      <w:r w:rsidRPr="00AE7F54">
        <w:rPr>
          <w:i/>
        </w:rPr>
        <w:t>Gut Pathog</w:t>
      </w:r>
      <w:r w:rsidRPr="00AE7F54">
        <w:t>, vol. 13, no. 1, Oct 30, p. 66.</w:t>
      </w:r>
    </w:p>
    <w:p w14:paraId="72DCC378" w14:textId="77777777" w:rsidR="00AE7F54" w:rsidRPr="00AE7F54" w:rsidRDefault="00AE7F54" w:rsidP="00AE7F54">
      <w:pPr>
        <w:pStyle w:val="EndNoteBibliography"/>
      </w:pPr>
      <w:r w:rsidRPr="00AE7F54">
        <w:t xml:space="preserve">Coghill, S, McNamara, J, Woods, M &amp; Hajkowicz, K 2018, 'Epidemiology and clinical outcomes of hepatitis delta (D) virus infection in Queensland, Australia', </w:t>
      </w:r>
      <w:r w:rsidRPr="00AE7F54">
        <w:rPr>
          <w:i/>
        </w:rPr>
        <w:t>Int J Infect Dis</w:t>
      </w:r>
      <w:r w:rsidRPr="00AE7F54">
        <w:t>, vol. 74, Sep, pp. 123-127.</w:t>
      </w:r>
    </w:p>
    <w:p w14:paraId="47CC279E" w14:textId="77777777" w:rsidR="00AE7F54" w:rsidRPr="00AE7F54" w:rsidRDefault="00AE7F54" w:rsidP="00AE7F54">
      <w:pPr>
        <w:pStyle w:val="EndNoteBibliography"/>
      </w:pPr>
      <w:r w:rsidRPr="00AE7F54">
        <w:t xml:space="preserve">Hepatitis B Consensus Statement Working Group 2022, </w:t>
      </w:r>
      <w:r w:rsidRPr="00AE7F54">
        <w:rPr>
          <w:i/>
        </w:rPr>
        <w:t>Australian consensus recommendations for the management of hepatitis B infection.</w:t>
      </w:r>
      <w:r w:rsidRPr="00AE7F54">
        <w:t>, Gastroenterological Society of Australia, Melbourne.</w:t>
      </w:r>
    </w:p>
    <w:p w14:paraId="6B7F7A90" w14:textId="77777777" w:rsidR="00AE7F54" w:rsidRPr="00AE7F54" w:rsidRDefault="00AE7F54" w:rsidP="00AE7F54">
      <w:pPr>
        <w:pStyle w:val="EndNoteBibliography"/>
      </w:pPr>
      <w:r w:rsidRPr="00AE7F54">
        <w:t xml:space="preserve">Jackson, K, MacLachlan, J, Cowie, B, Locarnini, S, Bowden, S, Higgins, N, Karapanagiotidis, T, Nicholson, S &amp; Littlejohn, M 2018, 'Epidemiology and phylogenetic analysis of hepatitis D virus infection in Australia', </w:t>
      </w:r>
      <w:r w:rsidRPr="00AE7F54">
        <w:rPr>
          <w:i/>
        </w:rPr>
        <w:t>Internal Medicine Journal</w:t>
      </w:r>
      <w:r w:rsidRPr="00AE7F54">
        <w:t>, vol. 48, no. 11, pp. 1308-1317.</w:t>
      </w:r>
    </w:p>
    <w:p w14:paraId="7668AF6B" w14:textId="77777777" w:rsidR="00AE7F54" w:rsidRPr="00AE7F54" w:rsidRDefault="00AE7F54" w:rsidP="00AE7F54">
      <w:pPr>
        <w:pStyle w:val="EndNoteBibliography"/>
      </w:pPr>
      <w:r w:rsidRPr="00AE7F54">
        <w:t xml:space="preserve">Kwo, PY, Cohen, SM &amp; Lim, JK 2017, 'ACG Clinical Guideline: Evaluation of Abnormal Liver Chemistries', </w:t>
      </w:r>
      <w:r w:rsidRPr="00AE7F54">
        <w:rPr>
          <w:i/>
        </w:rPr>
        <w:t>Am J Gastroenterol</w:t>
      </w:r>
      <w:r w:rsidRPr="00AE7F54">
        <w:t>, vol. 112, no. 1, Jan, pp. 18-35.</w:t>
      </w:r>
    </w:p>
    <w:p w14:paraId="1E070B7D" w14:textId="77777777" w:rsidR="00AE7F54" w:rsidRPr="00AE7F54" w:rsidRDefault="00AE7F54" w:rsidP="00AE7F54">
      <w:pPr>
        <w:pStyle w:val="EndNoteBibliography"/>
      </w:pPr>
      <w:r w:rsidRPr="00AE7F54">
        <w:t xml:space="preserve">Limdi, JK &amp; Hyde, GM 2003, 'Evaluation of abnormal liver function tests', </w:t>
      </w:r>
      <w:r w:rsidRPr="00AE7F54">
        <w:rPr>
          <w:i/>
        </w:rPr>
        <w:t>Postgrad Med J</w:t>
      </w:r>
      <w:r w:rsidRPr="00AE7F54">
        <w:t>, vol. 79, no. 932, Jun, pp. 307-312.</w:t>
      </w:r>
    </w:p>
    <w:p w14:paraId="422DA70C" w14:textId="7196D988" w:rsidR="00AE7F54" w:rsidRPr="00AE7F54" w:rsidRDefault="00AE7F54" w:rsidP="00AE7F54">
      <w:pPr>
        <w:pStyle w:val="EndNoteBibliography"/>
      </w:pPr>
      <w:r w:rsidRPr="00AE7F54">
        <w:t xml:space="preserve">MacLachlan, J, Stewart, S &amp; Cowie, B 2020, </w:t>
      </w:r>
      <w:r w:rsidRPr="00AE7F54">
        <w:rPr>
          <w:i/>
        </w:rPr>
        <w:t xml:space="preserve">Viral Hepatitis Mapping Project: National Report 2020. </w:t>
      </w:r>
      <w:r w:rsidRPr="00AE7F54">
        <w:t>, VH Australasian Society for HIV, and Sexual Health Medicine (ASHM). Darlinghurst, NSW, Australia., &lt;</w:t>
      </w:r>
      <w:hyperlink r:id="rId16" w:history="1">
        <w:r w:rsidRPr="00AE7F54">
          <w:rPr>
            <w:rStyle w:val="Hyperlink"/>
            <w:rFonts w:ascii="Calibri" w:hAnsi="Calibri" w:cs="Calibri"/>
          </w:rPr>
          <w:t>https://www.ashm.org.au/programs/Viral-Hepatitis-Mapping-Project/</w:t>
        </w:r>
      </w:hyperlink>
      <w:r w:rsidRPr="00AE7F54">
        <w:t>&gt;.</w:t>
      </w:r>
    </w:p>
    <w:p w14:paraId="78C927DC" w14:textId="2ABC968A" w:rsidR="00AE7F54" w:rsidRPr="00AE7F54" w:rsidRDefault="00AE7F54" w:rsidP="00AE7F54">
      <w:pPr>
        <w:pStyle w:val="EndNoteBibliography"/>
      </w:pPr>
      <w:r w:rsidRPr="00AE7F54">
        <w:t xml:space="preserve">NNDSS Annual Report Working Group 2021, </w:t>
      </w:r>
      <w:r w:rsidRPr="00AE7F54">
        <w:rPr>
          <w:i/>
        </w:rPr>
        <w:t>Australia’s notifiable disease status, 2016: Annual report of the National Notifiable Diseases Surveillance System</w:t>
      </w:r>
      <w:r w:rsidRPr="00AE7F54">
        <w:t>,</w:t>
      </w:r>
      <w:r w:rsidR="00AA162E">
        <w:t xml:space="preserve"> </w:t>
      </w:r>
      <w:r w:rsidRPr="00AE7F54">
        <w:t>Communicable Diseases Intelligence, Australian Government Department of Health Commonwealth of Australia, &lt;</w:t>
      </w:r>
      <w:hyperlink r:id="rId17" w:history="1">
        <w:r w:rsidRPr="00AE7F54">
          <w:rPr>
            <w:rStyle w:val="Hyperlink"/>
            <w:rFonts w:ascii="Calibri" w:hAnsi="Calibri" w:cs="Calibri"/>
          </w:rPr>
          <w:t>https://www1.health.gov.au/internet/main/publishing.nsf/Content/8FA6078276359430CA257BF0001A4C42/$File/australia_s_notifiable_disease_status_2016_annual_report_of_the_national_notifiable_diseases_surveillance_system.pdf</w:t>
        </w:r>
      </w:hyperlink>
      <w:r w:rsidRPr="00AE7F54">
        <w:t>&gt;.</w:t>
      </w:r>
    </w:p>
    <w:p w14:paraId="6E67C1EA" w14:textId="332D046E" w:rsidR="00AE7F54" w:rsidRPr="00AE7F54" w:rsidRDefault="00AE7F54" w:rsidP="00AE7F54">
      <w:pPr>
        <w:pStyle w:val="EndNoteBibliography"/>
      </w:pPr>
      <w:r w:rsidRPr="00AE7F54">
        <w:rPr>
          <w:i/>
        </w:rPr>
        <w:t>NNDSS Fortnightly summary notes - 2021</w:t>
      </w:r>
      <w:r w:rsidRPr="00AE7F54">
        <w:t xml:space="preserve"> 2021, Australian Government Department of Health viewed 2/2/2022, &lt;</w:t>
      </w:r>
      <w:hyperlink r:id="rId18" w:history="1">
        <w:r w:rsidRPr="00AE7F54">
          <w:rPr>
            <w:rStyle w:val="Hyperlink"/>
            <w:rFonts w:ascii="Calibri" w:hAnsi="Calibri" w:cs="Calibri"/>
          </w:rPr>
          <w:t>https://www1.health.gov.au/internet/main/publishing.nsf/Content/nndss-fortnightly-summary-notes-2021</w:t>
        </w:r>
      </w:hyperlink>
      <w:r w:rsidRPr="00AE7F54">
        <w:t>&gt;.</w:t>
      </w:r>
    </w:p>
    <w:p w14:paraId="29254B57" w14:textId="77777777" w:rsidR="00AE7F54" w:rsidRPr="00AE7F54" w:rsidRDefault="00AE7F54" w:rsidP="00AE7F54">
      <w:pPr>
        <w:pStyle w:val="EndNoteBibliography"/>
      </w:pPr>
      <w:r w:rsidRPr="00AE7F54">
        <w:lastRenderedPageBreak/>
        <w:t xml:space="preserve">Sandmann, L &amp; Wedemeyer, H 2021, 'New Treatments for Chronic Hepatitis B Virus/Hepatitis D Virus Infection', </w:t>
      </w:r>
      <w:r w:rsidRPr="00AE7F54">
        <w:rPr>
          <w:i/>
        </w:rPr>
        <w:t>Clin Liver Dis</w:t>
      </w:r>
      <w:r w:rsidRPr="00AE7F54">
        <w:t>, vol. 25, no. 4, Nov, pp. 831-839.</w:t>
      </w:r>
    </w:p>
    <w:p w14:paraId="063EF3AF" w14:textId="77777777" w:rsidR="00AE7F54" w:rsidRPr="00AE7F54" w:rsidRDefault="00AE7F54" w:rsidP="00AE7F54">
      <w:pPr>
        <w:pStyle w:val="EndNoteBibliography"/>
      </w:pPr>
      <w:r w:rsidRPr="00AE7F54">
        <w:t xml:space="preserve">Schaefer, TJ &amp; John, S 2022, 'Acute Hepatitis', in </w:t>
      </w:r>
      <w:r w:rsidRPr="00AE7F54">
        <w:rPr>
          <w:i/>
        </w:rPr>
        <w:t>StatPearls</w:t>
      </w:r>
      <w:r w:rsidRPr="00AE7F54">
        <w:t>, Treasure Island (FL).</w:t>
      </w:r>
    </w:p>
    <w:p w14:paraId="4792DBD2" w14:textId="77777777" w:rsidR="00AE7F54" w:rsidRPr="00AE7F54" w:rsidRDefault="00AE7F54" w:rsidP="00AE7F54">
      <w:pPr>
        <w:pStyle w:val="EndNoteBibliography"/>
      </w:pPr>
      <w:r w:rsidRPr="00AE7F54">
        <w:t xml:space="preserve">Shah, PA, Choudhry, S, Reyes, KJC &amp; Lau, DTY 2019, 'An update on the management of chronic hepatitis D', </w:t>
      </w:r>
      <w:r w:rsidRPr="00AE7F54">
        <w:rPr>
          <w:i/>
        </w:rPr>
        <w:t>Gastroenterol Rep (Oxf)</w:t>
      </w:r>
      <w:r w:rsidRPr="00AE7F54">
        <w:t>, vol. 7, no. 6, Dec, pp. 396-402.</w:t>
      </w:r>
    </w:p>
    <w:p w14:paraId="479460BD" w14:textId="3E606ADD" w:rsidR="005140A6" w:rsidRPr="00E01349" w:rsidRDefault="00AE7F54" w:rsidP="00EA62E4">
      <w:pPr>
        <w:pStyle w:val="EndNoteBibliography"/>
      </w:pPr>
      <w:r w:rsidRPr="00AE7F54">
        <w:t xml:space="preserve">Yardeni, D, Heller, T &amp; Koh, C 2022, 'Chronic hepatitis D-What is changing?', </w:t>
      </w:r>
      <w:r w:rsidRPr="00AE7F54">
        <w:rPr>
          <w:i/>
        </w:rPr>
        <w:t>J Viral Hepat</w:t>
      </w:r>
      <w:r w:rsidRPr="00AE7F54">
        <w:t>, Feb 4.</w:t>
      </w:r>
      <w:r w:rsidR="008334DB">
        <w:fldChar w:fldCharType="end"/>
      </w:r>
    </w:p>
    <w:sectPr w:rsidR="005140A6" w:rsidRPr="00E01349" w:rsidSect="00533679">
      <w:footerReference w:type="even" r:id="rId19"/>
      <w:footerReference w:type="defaul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DE21A" w14:textId="77777777" w:rsidR="00070699" w:rsidRDefault="00070699" w:rsidP="0016315C">
      <w:pPr>
        <w:spacing w:after="0" w:line="240" w:lineRule="auto"/>
      </w:pPr>
      <w:r>
        <w:separator/>
      </w:r>
    </w:p>
  </w:endnote>
  <w:endnote w:type="continuationSeparator" w:id="0">
    <w:p w14:paraId="2AFD5D16" w14:textId="77777777" w:rsidR="00070699" w:rsidRDefault="00070699" w:rsidP="0016315C">
      <w:pPr>
        <w:spacing w:after="0" w:line="240" w:lineRule="auto"/>
      </w:pPr>
      <w:r>
        <w:continuationSeparator/>
      </w:r>
    </w:p>
  </w:endnote>
  <w:endnote w:type="continuationNotice" w:id="1">
    <w:p w14:paraId="0408B69F" w14:textId="77777777" w:rsidR="00070699" w:rsidRDefault="000706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2114567"/>
      <w:docPartObj>
        <w:docPartGallery w:val="Page Numbers (Bottom of Page)"/>
        <w:docPartUnique/>
      </w:docPartObj>
    </w:sdtPr>
    <w:sdtEndPr>
      <w:rPr>
        <w:rStyle w:val="PageNumber"/>
      </w:rPr>
    </w:sdtEndPr>
    <w:sdtContent>
      <w:p w14:paraId="2F61D3D2" w14:textId="66E4C48E" w:rsidR="00070699" w:rsidRDefault="00070699" w:rsidP="006558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E72C2D" w14:textId="77777777" w:rsidR="00070699" w:rsidRDefault="00070699"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23630" w14:textId="5C11D9B4" w:rsidR="00825B42" w:rsidRPr="00685355" w:rsidRDefault="00825B42" w:rsidP="00825B42">
    <w:pPr>
      <w:pStyle w:val="Footer"/>
      <w:jc w:val="right"/>
    </w:pPr>
    <w:r>
      <w:tab/>
    </w:r>
    <w:r w:rsidRPr="00825B42">
      <w:t xml:space="preserve"> </w:t>
    </w:r>
    <w:sdt>
      <w:sdtPr>
        <w:id w:val="-17943522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2A7BACB6" w14:textId="43BE2CC9" w:rsidR="00234718" w:rsidRDefault="00825B42" w:rsidP="00825B42">
    <w:pPr>
      <w:tabs>
        <w:tab w:val="left" w:pos="5387"/>
      </w:tabs>
      <w:spacing w:before="120" w:after="0" w:line="240" w:lineRule="auto"/>
      <w:jc w:val="center"/>
    </w:pPr>
    <w:r>
      <w:t>Ratified PICO confirmation – April 2022 PASC meeting</w:t>
    </w:r>
  </w:p>
  <w:p w14:paraId="1EDC0414" w14:textId="173E47CF" w:rsidR="00825B42" w:rsidRDefault="00070699" w:rsidP="00825B42">
    <w:pPr>
      <w:tabs>
        <w:tab w:val="left" w:pos="5387"/>
      </w:tabs>
      <w:spacing w:after="0" w:line="240" w:lineRule="auto"/>
      <w:jc w:val="center"/>
    </w:pPr>
    <w:r>
      <w:t>Application 1708</w:t>
    </w:r>
    <w:r w:rsidR="001429A3">
      <w:t xml:space="preserve"> </w:t>
    </w:r>
    <w:r w:rsidR="00825B42">
      <w:t>–</w:t>
    </w:r>
    <w:r>
      <w:t xml:space="preserve"> Hepatitis Delta Virus (HDV) RNA PCR testing to determine eligibility for </w:t>
    </w:r>
    <w:r w:rsidR="00825B42">
      <w:br/>
    </w:r>
    <w:r>
      <w:t xml:space="preserve">PBS-subsidised </w:t>
    </w:r>
    <w:proofErr w:type="spellStart"/>
    <w:r>
      <w:t>bulevirtide</w:t>
    </w:r>
    <w:proofErr w:type="spellEnd"/>
    <w:r>
      <w:t xml:space="preserve"> (HEPCLUDEX) for treatment of HD</w:t>
    </w:r>
    <w:r w:rsidR="00825B42">
      <w:t>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00F4D" w14:textId="77777777" w:rsidR="00070699" w:rsidRDefault="00070699" w:rsidP="0016315C">
      <w:pPr>
        <w:spacing w:after="0" w:line="240" w:lineRule="auto"/>
      </w:pPr>
      <w:r>
        <w:separator/>
      </w:r>
    </w:p>
  </w:footnote>
  <w:footnote w:type="continuationSeparator" w:id="0">
    <w:p w14:paraId="26271A97" w14:textId="77777777" w:rsidR="00070699" w:rsidRDefault="00070699" w:rsidP="0016315C">
      <w:pPr>
        <w:spacing w:after="0" w:line="240" w:lineRule="auto"/>
      </w:pPr>
      <w:r>
        <w:continuationSeparator/>
      </w:r>
    </w:p>
  </w:footnote>
  <w:footnote w:type="continuationNotice" w:id="1">
    <w:p w14:paraId="70E47EAC" w14:textId="77777777" w:rsidR="00070699" w:rsidRDefault="00070699">
      <w:pPr>
        <w:spacing w:after="0" w:line="240" w:lineRule="auto"/>
      </w:pPr>
    </w:p>
  </w:footnote>
  <w:footnote w:id="2">
    <w:p w14:paraId="536F21D2" w14:textId="49BFB016" w:rsidR="00070699" w:rsidRDefault="00070699">
      <w:pPr>
        <w:pStyle w:val="FootnoteText"/>
      </w:pPr>
      <w:r>
        <w:rPr>
          <w:rStyle w:val="FootnoteReference"/>
        </w:rPr>
        <w:footnoteRef/>
      </w:r>
      <w:r>
        <w:t xml:space="preserve"> </w:t>
      </w:r>
      <w:r w:rsidRPr="005844D3">
        <w:t>https://www.tga.gov.au/ws-designation-notices-index</w:t>
      </w:r>
    </w:p>
  </w:footnote>
  <w:footnote w:id="3">
    <w:p w14:paraId="5D091AC7" w14:textId="1C1A3C98" w:rsidR="00070699" w:rsidRDefault="00070699">
      <w:pPr>
        <w:pStyle w:val="FootnoteText"/>
      </w:pPr>
      <w:r>
        <w:rPr>
          <w:rStyle w:val="FootnoteReference"/>
        </w:rPr>
        <w:footnoteRef/>
      </w:r>
      <w:r>
        <w:t xml:space="preserve"> </w:t>
      </w:r>
      <w:hyperlink r:id="rId1" w:history="1">
        <w:r w:rsidRPr="00E53C00">
          <w:rPr>
            <w:rStyle w:val="Hyperlink"/>
            <w:rFonts w:ascii="Calibri" w:hAnsi="Calibri"/>
          </w:rPr>
          <w:t>https://www.tga.gov.au/ws-designation-notices-index</w:t>
        </w:r>
      </w:hyperlink>
      <w:r>
        <w:t>, accessed 9/3/2022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418F4"/>
    <w:multiLevelType w:val="hybridMultilevel"/>
    <w:tmpl w:val="2940F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4055A2D"/>
    <w:multiLevelType w:val="hybridMultilevel"/>
    <w:tmpl w:val="97E00B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6779ED"/>
    <w:multiLevelType w:val="hybridMultilevel"/>
    <w:tmpl w:val="7F68262C"/>
    <w:lvl w:ilvl="0" w:tplc="F342D39E">
      <w:start w:val="1"/>
      <w:numFmt w:val="bullet"/>
      <w:lvlText w:val=""/>
      <w:lvlJc w:val="left"/>
      <w:pPr>
        <w:ind w:left="774" w:hanging="360"/>
      </w:pPr>
      <w:rPr>
        <w:rFonts w:ascii="Symbol" w:hAnsi="Symbol" w:hint="default"/>
        <w:color w:val="auto"/>
      </w:rPr>
    </w:lvl>
    <w:lvl w:ilvl="1" w:tplc="0BA06BF2">
      <w:start w:val="1"/>
      <w:numFmt w:val="bullet"/>
      <w:lvlText w:val="o"/>
      <w:lvlJc w:val="left"/>
      <w:pPr>
        <w:ind w:left="1494" w:hanging="360"/>
      </w:pPr>
      <w:rPr>
        <w:rFonts w:ascii="Courier New" w:hAnsi="Courier New" w:cs="Courier New" w:hint="default"/>
        <w:color w:val="000000" w:themeColor="text1"/>
      </w:rPr>
    </w:lvl>
    <w:lvl w:ilvl="2" w:tplc="AA9C958C">
      <w:numFmt w:val="bullet"/>
      <w:lvlText w:val=""/>
      <w:lvlJc w:val="left"/>
      <w:pPr>
        <w:ind w:left="2214" w:hanging="360"/>
      </w:pPr>
      <w:rPr>
        <w:rFonts w:ascii="Wingdings" w:eastAsia="Calibri" w:hAnsi="Wingdings" w:cs="Times New Roman"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CC054AF"/>
    <w:multiLevelType w:val="hybridMultilevel"/>
    <w:tmpl w:val="EE027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6209A5"/>
    <w:multiLevelType w:val="hybridMultilevel"/>
    <w:tmpl w:val="74CE63E2"/>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6" w15:restartNumberingAfterBreak="0">
    <w:nsid w:val="0ECC5C9B"/>
    <w:multiLevelType w:val="hybridMultilevel"/>
    <w:tmpl w:val="F5D80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D06475"/>
    <w:multiLevelType w:val="multilevel"/>
    <w:tmpl w:val="2D1CF1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CD25C0E"/>
    <w:multiLevelType w:val="hybridMultilevel"/>
    <w:tmpl w:val="68CAAD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DB01F49"/>
    <w:multiLevelType w:val="hybridMultilevel"/>
    <w:tmpl w:val="CB3EB81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0"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112D66"/>
    <w:multiLevelType w:val="hybridMultilevel"/>
    <w:tmpl w:val="C07CC9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E55392"/>
    <w:multiLevelType w:val="hybridMultilevel"/>
    <w:tmpl w:val="C18EF9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7D34FA"/>
    <w:multiLevelType w:val="hybridMultilevel"/>
    <w:tmpl w:val="167601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F01641"/>
    <w:multiLevelType w:val="hybridMultilevel"/>
    <w:tmpl w:val="ED8A4A84"/>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E63554"/>
    <w:multiLevelType w:val="hybridMultilevel"/>
    <w:tmpl w:val="22846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B053CB"/>
    <w:multiLevelType w:val="hybridMultilevel"/>
    <w:tmpl w:val="D5F6B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A86D0D"/>
    <w:multiLevelType w:val="hybridMultilevel"/>
    <w:tmpl w:val="A3C43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FE602F"/>
    <w:multiLevelType w:val="hybridMultilevel"/>
    <w:tmpl w:val="82E61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7213777"/>
    <w:multiLevelType w:val="hybridMultilevel"/>
    <w:tmpl w:val="366AFB18"/>
    <w:lvl w:ilvl="0" w:tplc="4DA651E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3937E5"/>
    <w:multiLevelType w:val="hybridMultilevel"/>
    <w:tmpl w:val="18CA3C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A22270"/>
    <w:multiLevelType w:val="hybridMultilevel"/>
    <w:tmpl w:val="91E47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0D497A"/>
    <w:multiLevelType w:val="hybridMultilevel"/>
    <w:tmpl w:val="CF349FA0"/>
    <w:lvl w:ilvl="0" w:tplc="7E28480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197ADD"/>
    <w:multiLevelType w:val="multilevel"/>
    <w:tmpl w:val="7152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1A6695"/>
    <w:multiLevelType w:val="hybridMultilevel"/>
    <w:tmpl w:val="79867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C311EA"/>
    <w:multiLevelType w:val="hybridMultilevel"/>
    <w:tmpl w:val="F906E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27" w15:restartNumberingAfterBreak="0">
    <w:nsid w:val="559912AB"/>
    <w:multiLevelType w:val="hybridMultilevel"/>
    <w:tmpl w:val="605C3D30"/>
    <w:lvl w:ilvl="0" w:tplc="97029E1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AE4C4C"/>
    <w:multiLevelType w:val="hybridMultilevel"/>
    <w:tmpl w:val="50064FC6"/>
    <w:lvl w:ilvl="0" w:tplc="2ADA6990">
      <w:numFmt w:val="bullet"/>
      <w:lvlText w:val=""/>
      <w:lvlJc w:val="left"/>
      <w:pPr>
        <w:ind w:left="720" w:hanging="360"/>
      </w:pPr>
      <w:rPr>
        <w:rFonts w:ascii="Wingdings" w:eastAsia="Calibr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C160C4"/>
    <w:multiLevelType w:val="hybridMultilevel"/>
    <w:tmpl w:val="2750B6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0426D5"/>
    <w:multiLevelType w:val="hybridMultilevel"/>
    <w:tmpl w:val="FC48FC8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2" w15:restartNumberingAfterBreak="0">
    <w:nsid w:val="59724580"/>
    <w:multiLevelType w:val="hybridMultilevel"/>
    <w:tmpl w:val="AA8EA7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D65D55"/>
    <w:multiLevelType w:val="hybridMultilevel"/>
    <w:tmpl w:val="AAE811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EB74E11"/>
    <w:multiLevelType w:val="hybridMultilevel"/>
    <w:tmpl w:val="724EA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9BD3846"/>
    <w:multiLevelType w:val="hybridMultilevel"/>
    <w:tmpl w:val="3AE49C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BD51C96"/>
    <w:multiLevelType w:val="hybridMultilevel"/>
    <w:tmpl w:val="8E3E661C"/>
    <w:lvl w:ilvl="0" w:tplc="7BE47D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0A537B1"/>
    <w:multiLevelType w:val="hybridMultilevel"/>
    <w:tmpl w:val="572CA3C0"/>
    <w:lvl w:ilvl="0" w:tplc="CBF6393E">
      <w:numFmt w:val="bullet"/>
      <w:lvlText w:val=""/>
      <w:lvlJc w:val="left"/>
      <w:pPr>
        <w:ind w:left="720" w:hanging="360"/>
      </w:pPr>
      <w:rPr>
        <w:rFonts w:ascii="Wingdings" w:eastAsia="Calibr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2734B3"/>
    <w:multiLevelType w:val="hybridMultilevel"/>
    <w:tmpl w:val="D91A41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2847601"/>
    <w:multiLevelType w:val="hybridMultilevel"/>
    <w:tmpl w:val="AB2ADA3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41" w15:restartNumberingAfterBreak="0">
    <w:nsid w:val="74133AEA"/>
    <w:multiLevelType w:val="hybridMultilevel"/>
    <w:tmpl w:val="36189A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4DD14B9"/>
    <w:multiLevelType w:val="hybridMultilevel"/>
    <w:tmpl w:val="3EF0D20E"/>
    <w:lvl w:ilvl="0" w:tplc="69288C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A0901D6"/>
    <w:multiLevelType w:val="hybridMultilevel"/>
    <w:tmpl w:val="8E3E661C"/>
    <w:lvl w:ilvl="0" w:tplc="7BE47D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A1A0295"/>
    <w:multiLevelType w:val="hybridMultilevel"/>
    <w:tmpl w:val="95E4B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26"/>
  </w:num>
  <w:num w:numId="4">
    <w:abstractNumId w:val="10"/>
  </w:num>
  <w:num w:numId="5">
    <w:abstractNumId w:val="35"/>
  </w:num>
  <w:num w:numId="6">
    <w:abstractNumId w:val="4"/>
  </w:num>
  <w:num w:numId="7">
    <w:abstractNumId w:val="12"/>
  </w:num>
  <w:num w:numId="8">
    <w:abstractNumId w:val="2"/>
  </w:num>
  <w:num w:numId="9">
    <w:abstractNumId w:val="1"/>
  </w:num>
  <w:num w:numId="10">
    <w:abstractNumId w:val="19"/>
  </w:num>
  <w:num w:numId="11">
    <w:abstractNumId w:val="23"/>
  </w:num>
  <w:num w:numId="12">
    <w:abstractNumId w:val="43"/>
  </w:num>
  <w:num w:numId="13">
    <w:abstractNumId w:val="37"/>
  </w:num>
  <w:num w:numId="14">
    <w:abstractNumId w:val="36"/>
  </w:num>
  <w:num w:numId="15">
    <w:abstractNumId w:val="14"/>
  </w:num>
  <w:num w:numId="16">
    <w:abstractNumId w:val="41"/>
  </w:num>
  <w:num w:numId="17">
    <w:abstractNumId w:val="27"/>
  </w:num>
  <w:num w:numId="18">
    <w:abstractNumId w:val="38"/>
  </w:num>
  <w:num w:numId="19">
    <w:abstractNumId w:val="31"/>
  </w:num>
  <w:num w:numId="20">
    <w:abstractNumId w:val="25"/>
  </w:num>
  <w:num w:numId="21">
    <w:abstractNumId w:val="24"/>
  </w:num>
  <w:num w:numId="22">
    <w:abstractNumId w:val="16"/>
  </w:num>
  <w:num w:numId="23">
    <w:abstractNumId w:val="44"/>
  </w:num>
  <w:num w:numId="24">
    <w:abstractNumId w:val="17"/>
  </w:num>
  <w:num w:numId="25">
    <w:abstractNumId w:val="9"/>
  </w:num>
  <w:num w:numId="26">
    <w:abstractNumId w:val="5"/>
  </w:num>
  <w:num w:numId="27">
    <w:abstractNumId w:val="34"/>
  </w:num>
  <w:num w:numId="28">
    <w:abstractNumId w:val="32"/>
  </w:num>
  <w:num w:numId="29">
    <w:abstractNumId w:val="15"/>
  </w:num>
  <w:num w:numId="30">
    <w:abstractNumId w:val="42"/>
  </w:num>
  <w:num w:numId="31">
    <w:abstractNumId w:val="13"/>
  </w:num>
  <w:num w:numId="32">
    <w:abstractNumId w:val="18"/>
  </w:num>
  <w:num w:numId="33">
    <w:abstractNumId w:val="21"/>
  </w:num>
  <w:num w:numId="34">
    <w:abstractNumId w:val="29"/>
  </w:num>
  <w:num w:numId="35">
    <w:abstractNumId w:val="0"/>
  </w:num>
  <w:num w:numId="36">
    <w:abstractNumId w:val="8"/>
  </w:num>
  <w:num w:numId="37">
    <w:abstractNumId w:val="40"/>
  </w:num>
  <w:num w:numId="38">
    <w:abstractNumId w:val="28"/>
  </w:num>
  <w:num w:numId="39">
    <w:abstractNumId w:val="7"/>
  </w:num>
  <w:num w:numId="40">
    <w:abstractNumId w:val="20"/>
  </w:num>
  <w:num w:numId="41">
    <w:abstractNumId w:val="6"/>
  </w:num>
  <w:num w:numId="42">
    <w:abstractNumId w:val="22"/>
  </w:num>
  <w:num w:numId="43">
    <w:abstractNumId w:val="11"/>
  </w:num>
  <w:num w:numId="44">
    <w:abstractNumId w:val="33"/>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r2v5a9alpsw54edwfqp9pte925d5pfszed2&quot;&gt;1708 PICO&lt;record-ids&gt;&lt;item&gt;1&lt;/item&gt;&lt;item&gt;2&lt;/item&gt;&lt;item&gt;3&lt;/item&gt;&lt;item&gt;6&lt;/item&gt;&lt;item&gt;8&lt;/item&gt;&lt;item&gt;9&lt;/item&gt;&lt;item&gt;12&lt;/item&gt;&lt;item&gt;13&lt;/item&gt;&lt;item&gt;15&lt;/item&gt;&lt;item&gt;16&lt;/item&gt;&lt;item&gt;17&lt;/item&gt;&lt;item&gt;18&lt;/item&gt;&lt;item&gt;19&lt;/item&gt;&lt;item&gt;20&lt;/item&gt;&lt;item&gt;21&lt;/item&gt;&lt;item&gt;22&lt;/item&gt;&lt;item&gt;24&lt;/item&gt;&lt;item&gt;25&lt;/item&gt;&lt;/record-ids&gt;&lt;/item&gt;&lt;/Libraries&gt;"/>
  </w:docVars>
  <w:rsids>
    <w:rsidRoot w:val="001E5F9C"/>
    <w:rsid w:val="00001ABA"/>
    <w:rsid w:val="00004C12"/>
    <w:rsid w:val="000073AA"/>
    <w:rsid w:val="0001084A"/>
    <w:rsid w:val="0001085E"/>
    <w:rsid w:val="0001331D"/>
    <w:rsid w:val="00014623"/>
    <w:rsid w:val="00015F76"/>
    <w:rsid w:val="00016D8C"/>
    <w:rsid w:val="00017EF1"/>
    <w:rsid w:val="00023790"/>
    <w:rsid w:val="00024F72"/>
    <w:rsid w:val="00027778"/>
    <w:rsid w:val="00030909"/>
    <w:rsid w:val="00034874"/>
    <w:rsid w:val="00036356"/>
    <w:rsid w:val="0003636A"/>
    <w:rsid w:val="000365DD"/>
    <w:rsid w:val="00036DE5"/>
    <w:rsid w:val="00036EB0"/>
    <w:rsid w:val="00040610"/>
    <w:rsid w:val="000435DC"/>
    <w:rsid w:val="00052AB7"/>
    <w:rsid w:val="00052DA8"/>
    <w:rsid w:val="00053835"/>
    <w:rsid w:val="00053BCD"/>
    <w:rsid w:val="00054A13"/>
    <w:rsid w:val="00055272"/>
    <w:rsid w:val="0005658A"/>
    <w:rsid w:val="00057E95"/>
    <w:rsid w:val="00060046"/>
    <w:rsid w:val="00060C41"/>
    <w:rsid w:val="0006183A"/>
    <w:rsid w:val="0006278D"/>
    <w:rsid w:val="00066AB6"/>
    <w:rsid w:val="00066CB6"/>
    <w:rsid w:val="00070104"/>
    <w:rsid w:val="00070699"/>
    <w:rsid w:val="00071315"/>
    <w:rsid w:val="0007687A"/>
    <w:rsid w:val="00076BE0"/>
    <w:rsid w:val="0008129C"/>
    <w:rsid w:val="00083F40"/>
    <w:rsid w:val="00090CE7"/>
    <w:rsid w:val="000939E0"/>
    <w:rsid w:val="000973A9"/>
    <w:rsid w:val="00097630"/>
    <w:rsid w:val="000A3242"/>
    <w:rsid w:val="000A3A29"/>
    <w:rsid w:val="000A5076"/>
    <w:rsid w:val="000A6154"/>
    <w:rsid w:val="000A6849"/>
    <w:rsid w:val="000A75A1"/>
    <w:rsid w:val="000B0A1A"/>
    <w:rsid w:val="000B14F4"/>
    <w:rsid w:val="000B43CF"/>
    <w:rsid w:val="000B7D1E"/>
    <w:rsid w:val="000C3AC1"/>
    <w:rsid w:val="000C508E"/>
    <w:rsid w:val="000C53E4"/>
    <w:rsid w:val="000C5606"/>
    <w:rsid w:val="000C5C1E"/>
    <w:rsid w:val="000D13DD"/>
    <w:rsid w:val="000D1FCF"/>
    <w:rsid w:val="000D282F"/>
    <w:rsid w:val="000D34BE"/>
    <w:rsid w:val="000D3B70"/>
    <w:rsid w:val="000D4348"/>
    <w:rsid w:val="000D4E99"/>
    <w:rsid w:val="000D5CAB"/>
    <w:rsid w:val="000E01E2"/>
    <w:rsid w:val="000E30C7"/>
    <w:rsid w:val="000E623D"/>
    <w:rsid w:val="000E7ED6"/>
    <w:rsid w:val="000F0547"/>
    <w:rsid w:val="000F438B"/>
    <w:rsid w:val="000F574E"/>
    <w:rsid w:val="000F591D"/>
    <w:rsid w:val="000F7C35"/>
    <w:rsid w:val="00103F41"/>
    <w:rsid w:val="00104B69"/>
    <w:rsid w:val="00113278"/>
    <w:rsid w:val="00113824"/>
    <w:rsid w:val="001141E7"/>
    <w:rsid w:val="00115682"/>
    <w:rsid w:val="00120F8A"/>
    <w:rsid w:val="00140D67"/>
    <w:rsid w:val="00141882"/>
    <w:rsid w:val="00141FEC"/>
    <w:rsid w:val="00142141"/>
    <w:rsid w:val="001429A3"/>
    <w:rsid w:val="00143391"/>
    <w:rsid w:val="001455D5"/>
    <w:rsid w:val="00157728"/>
    <w:rsid w:val="001610C2"/>
    <w:rsid w:val="00161727"/>
    <w:rsid w:val="00162E01"/>
    <w:rsid w:val="0016315C"/>
    <w:rsid w:val="00173763"/>
    <w:rsid w:val="00173850"/>
    <w:rsid w:val="00173912"/>
    <w:rsid w:val="00173B69"/>
    <w:rsid w:val="00174174"/>
    <w:rsid w:val="00176949"/>
    <w:rsid w:val="00182853"/>
    <w:rsid w:val="00184BB7"/>
    <w:rsid w:val="00185005"/>
    <w:rsid w:val="00185B5B"/>
    <w:rsid w:val="00186210"/>
    <w:rsid w:val="001903F3"/>
    <w:rsid w:val="00191128"/>
    <w:rsid w:val="00191EAC"/>
    <w:rsid w:val="00193DFE"/>
    <w:rsid w:val="00195645"/>
    <w:rsid w:val="001966FC"/>
    <w:rsid w:val="00196D38"/>
    <w:rsid w:val="001A019D"/>
    <w:rsid w:val="001A471E"/>
    <w:rsid w:val="001A5D2F"/>
    <w:rsid w:val="001A7303"/>
    <w:rsid w:val="001B0C4A"/>
    <w:rsid w:val="001B1A4E"/>
    <w:rsid w:val="001B24B9"/>
    <w:rsid w:val="001B2949"/>
    <w:rsid w:val="001B490C"/>
    <w:rsid w:val="001B4DF5"/>
    <w:rsid w:val="001C1B89"/>
    <w:rsid w:val="001C2794"/>
    <w:rsid w:val="001C2833"/>
    <w:rsid w:val="001C35C7"/>
    <w:rsid w:val="001C5327"/>
    <w:rsid w:val="001D088C"/>
    <w:rsid w:val="001D0CFC"/>
    <w:rsid w:val="001D0EAF"/>
    <w:rsid w:val="001D1D00"/>
    <w:rsid w:val="001D247E"/>
    <w:rsid w:val="001D24C0"/>
    <w:rsid w:val="001D6BDC"/>
    <w:rsid w:val="001E4F32"/>
    <w:rsid w:val="001E59C7"/>
    <w:rsid w:val="001E5F9C"/>
    <w:rsid w:val="001E7C07"/>
    <w:rsid w:val="001F28C8"/>
    <w:rsid w:val="001F6628"/>
    <w:rsid w:val="00201BF5"/>
    <w:rsid w:val="002052B2"/>
    <w:rsid w:val="00206790"/>
    <w:rsid w:val="0021039E"/>
    <w:rsid w:val="00211542"/>
    <w:rsid w:val="00213632"/>
    <w:rsid w:val="00214426"/>
    <w:rsid w:val="00215DB5"/>
    <w:rsid w:val="0022148D"/>
    <w:rsid w:val="00222507"/>
    <w:rsid w:val="00222FAD"/>
    <w:rsid w:val="00223A0E"/>
    <w:rsid w:val="002270CE"/>
    <w:rsid w:val="00234718"/>
    <w:rsid w:val="00235B21"/>
    <w:rsid w:val="00237897"/>
    <w:rsid w:val="00243144"/>
    <w:rsid w:val="00246712"/>
    <w:rsid w:val="00246D28"/>
    <w:rsid w:val="00246E1A"/>
    <w:rsid w:val="0025016C"/>
    <w:rsid w:val="00253129"/>
    <w:rsid w:val="002534F6"/>
    <w:rsid w:val="0025351D"/>
    <w:rsid w:val="00253A76"/>
    <w:rsid w:val="0025402C"/>
    <w:rsid w:val="00254C73"/>
    <w:rsid w:val="00254F81"/>
    <w:rsid w:val="00255E23"/>
    <w:rsid w:val="00256BA4"/>
    <w:rsid w:val="0026488B"/>
    <w:rsid w:val="002663D4"/>
    <w:rsid w:val="00270745"/>
    <w:rsid w:val="0027170F"/>
    <w:rsid w:val="002744B4"/>
    <w:rsid w:val="002750F1"/>
    <w:rsid w:val="00280EDD"/>
    <w:rsid w:val="0028162B"/>
    <w:rsid w:val="002835DA"/>
    <w:rsid w:val="00283E74"/>
    <w:rsid w:val="002860AA"/>
    <w:rsid w:val="0028618E"/>
    <w:rsid w:val="00291E97"/>
    <w:rsid w:val="00293869"/>
    <w:rsid w:val="002948B0"/>
    <w:rsid w:val="002977E8"/>
    <w:rsid w:val="002A00CA"/>
    <w:rsid w:val="002A070B"/>
    <w:rsid w:val="002A0BAF"/>
    <w:rsid w:val="002A61BD"/>
    <w:rsid w:val="002A6E68"/>
    <w:rsid w:val="002A77DC"/>
    <w:rsid w:val="002B0BBC"/>
    <w:rsid w:val="002B103E"/>
    <w:rsid w:val="002B106A"/>
    <w:rsid w:val="002B2F84"/>
    <w:rsid w:val="002B3EFA"/>
    <w:rsid w:val="002B4A65"/>
    <w:rsid w:val="002B6642"/>
    <w:rsid w:val="002B7D1D"/>
    <w:rsid w:val="002C172A"/>
    <w:rsid w:val="002D0666"/>
    <w:rsid w:val="002D56E0"/>
    <w:rsid w:val="002D5D59"/>
    <w:rsid w:val="002E4087"/>
    <w:rsid w:val="002F2698"/>
    <w:rsid w:val="002F2D00"/>
    <w:rsid w:val="002F31EE"/>
    <w:rsid w:val="002F321E"/>
    <w:rsid w:val="002F3E40"/>
    <w:rsid w:val="002F79D9"/>
    <w:rsid w:val="002F7C24"/>
    <w:rsid w:val="0030092E"/>
    <w:rsid w:val="00302306"/>
    <w:rsid w:val="003029AC"/>
    <w:rsid w:val="00303F36"/>
    <w:rsid w:val="0030452D"/>
    <w:rsid w:val="00310C0B"/>
    <w:rsid w:val="00315E9F"/>
    <w:rsid w:val="00317018"/>
    <w:rsid w:val="003230DA"/>
    <w:rsid w:val="00324EF8"/>
    <w:rsid w:val="00326874"/>
    <w:rsid w:val="00330FB0"/>
    <w:rsid w:val="00334864"/>
    <w:rsid w:val="00335958"/>
    <w:rsid w:val="00345FA7"/>
    <w:rsid w:val="0034704A"/>
    <w:rsid w:val="00352DB3"/>
    <w:rsid w:val="00354FD9"/>
    <w:rsid w:val="003607EF"/>
    <w:rsid w:val="00361984"/>
    <w:rsid w:val="00362FC9"/>
    <w:rsid w:val="003657B5"/>
    <w:rsid w:val="00365810"/>
    <w:rsid w:val="00371576"/>
    <w:rsid w:val="00372B52"/>
    <w:rsid w:val="00372BF8"/>
    <w:rsid w:val="003730DB"/>
    <w:rsid w:val="00373145"/>
    <w:rsid w:val="00373545"/>
    <w:rsid w:val="00377724"/>
    <w:rsid w:val="00380DAD"/>
    <w:rsid w:val="00381A4B"/>
    <w:rsid w:val="0038478C"/>
    <w:rsid w:val="00391E3C"/>
    <w:rsid w:val="003A1905"/>
    <w:rsid w:val="003A4C0F"/>
    <w:rsid w:val="003B0B2C"/>
    <w:rsid w:val="003B7A71"/>
    <w:rsid w:val="003B7EA6"/>
    <w:rsid w:val="003C1FD5"/>
    <w:rsid w:val="003C30CC"/>
    <w:rsid w:val="003C63DE"/>
    <w:rsid w:val="003C6551"/>
    <w:rsid w:val="003C76FC"/>
    <w:rsid w:val="003D0DC4"/>
    <w:rsid w:val="003D14EF"/>
    <w:rsid w:val="003D2289"/>
    <w:rsid w:val="003D3B04"/>
    <w:rsid w:val="003D4413"/>
    <w:rsid w:val="003D4FB6"/>
    <w:rsid w:val="003E1917"/>
    <w:rsid w:val="003E27D9"/>
    <w:rsid w:val="003E44B3"/>
    <w:rsid w:val="003E47E6"/>
    <w:rsid w:val="003E4A38"/>
    <w:rsid w:val="003E4E58"/>
    <w:rsid w:val="003E55C4"/>
    <w:rsid w:val="003E6406"/>
    <w:rsid w:val="003F0A39"/>
    <w:rsid w:val="003F1EAF"/>
    <w:rsid w:val="003F1F14"/>
    <w:rsid w:val="003F363F"/>
    <w:rsid w:val="003F4A5D"/>
    <w:rsid w:val="004122DD"/>
    <w:rsid w:val="00413D41"/>
    <w:rsid w:val="00414D01"/>
    <w:rsid w:val="004159A7"/>
    <w:rsid w:val="00415F51"/>
    <w:rsid w:val="004214B6"/>
    <w:rsid w:val="00421AD0"/>
    <w:rsid w:val="00423526"/>
    <w:rsid w:val="00423761"/>
    <w:rsid w:val="004250B5"/>
    <w:rsid w:val="004318E7"/>
    <w:rsid w:val="00433557"/>
    <w:rsid w:val="00434DD2"/>
    <w:rsid w:val="004351E4"/>
    <w:rsid w:val="00436219"/>
    <w:rsid w:val="00446917"/>
    <w:rsid w:val="00450DE5"/>
    <w:rsid w:val="00452E06"/>
    <w:rsid w:val="0045365F"/>
    <w:rsid w:val="00453C44"/>
    <w:rsid w:val="0045491A"/>
    <w:rsid w:val="0045581E"/>
    <w:rsid w:val="00462413"/>
    <w:rsid w:val="00462B1F"/>
    <w:rsid w:val="004657CF"/>
    <w:rsid w:val="00467199"/>
    <w:rsid w:val="00470454"/>
    <w:rsid w:val="00470638"/>
    <w:rsid w:val="00481273"/>
    <w:rsid w:val="00483E3A"/>
    <w:rsid w:val="00484125"/>
    <w:rsid w:val="0048710D"/>
    <w:rsid w:val="004876B4"/>
    <w:rsid w:val="00490CB8"/>
    <w:rsid w:val="00490FBB"/>
    <w:rsid w:val="00495D93"/>
    <w:rsid w:val="004A12F1"/>
    <w:rsid w:val="004A54A3"/>
    <w:rsid w:val="004B214C"/>
    <w:rsid w:val="004B3028"/>
    <w:rsid w:val="004B6755"/>
    <w:rsid w:val="004C09CF"/>
    <w:rsid w:val="004C2C5E"/>
    <w:rsid w:val="004C453F"/>
    <w:rsid w:val="004C6DDD"/>
    <w:rsid w:val="004C7458"/>
    <w:rsid w:val="004D34A5"/>
    <w:rsid w:val="004E04AE"/>
    <w:rsid w:val="004E1646"/>
    <w:rsid w:val="004E3ABF"/>
    <w:rsid w:val="004E45EC"/>
    <w:rsid w:val="004E5237"/>
    <w:rsid w:val="004F058E"/>
    <w:rsid w:val="004F3000"/>
    <w:rsid w:val="004F7D15"/>
    <w:rsid w:val="00500B78"/>
    <w:rsid w:val="00504457"/>
    <w:rsid w:val="00506CDD"/>
    <w:rsid w:val="0051202D"/>
    <w:rsid w:val="005140A6"/>
    <w:rsid w:val="00514E76"/>
    <w:rsid w:val="00516D1C"/>
    <w:rsid w:val="00516F68"/>
    <w:rsid w:val="00517E90"/>
    <w:rsid w:val="005225CE"/>
    <w:rsid w:val="00524F33"/>
    <w:rsid w:val="005254E1"/>
    <w:rsid w:val="00527F18"/>
    <w:rsid w:val="005304C7"/>
    <w:rsid w:val="00531D42"/>
    <w:rsid w:val="00533096"/>
    <w:rsid w:val="00533679"/>
    <w:rsid w:val="005410B6"/>
    <w:rsid w:val="00542C84"/>
    <w:rsid w:val="0054376B"/>
    <w:rsid w:val="00544242"/>
    <w:rsid w:val="005466A0"/>
    <w:rsid w:val="00557AA1"/>
    <w:rsid w:val="0056248C"/>
    <w:rsid w:val="00563A09"/>
    <w:rsid w:val="00563C6F"/>
    <w:rsid w:val="0056473D"/>
    <w:rsid w:val="00572CB4"/>
    <w:rsid w:val="005754F3"/>
    <w:rsid w:val="005764BF"/>
    <w:rsid w:val="00576686"/>
    <w:rsid w:val="005771DC"/>
    <w:rsid w:val="00582F89"/>
    <w:rsid w:val="005844D3"/>
    <w:rsid w:val="00585072"/>
    <w:rsid w:val="00592719"/>
    <w:rsid w:val="00594AFA"/>
    <w:rsid w:val="005A140C"/>
    <w:rsid w:val="005A71E5"/>
    <w:rsid w:val="005B1F28"/>
    <w:rsid w:val="005B4238"/>
    <w:rsid w:val="005B4426"/>
    <w:rsid w:val="005C0807"/>
    <w:rsid w:val="005C1E1F"/>
    <w:rsid w:val="005C7466"/>
    <w:rsid w:val="005D1323"/>
    <w:rsid w:val="005D2696"/>
    <w:rsid w:val="005D26AE"/>
    <w:rsid w:val="005D4A5C"/>
    <w:rsid w:val="005D53F0"/>
    <w:rsid w:val="005D7442"/>
    <w:rsid w:val="005E0AE1"/>
    <w:rsid w:val="005E0B59"/>
    <w:rsid w:val="005E11DE"/>
    <w:rsid w:val="005E1AC4"/>
    <w:rsid w:val="005E2625"/>
    <w:rsid w:val="005E5AA1"/>
    <w:rsid w:val="005F0A9F"/>
    <w:rsid w:val="005F2178"/>
    <w:rsid w:val="005F63FB"/>
    <w:rsid w:val="005F70BB"/>
    <w:rsid w:val="00601560"/>
    <w:rsid w:val="0060422F"/>
    <w:rsid w:val="006061A0"/>
    <w:rsid w:val="00607E54"/>
    <w:rsid w:val="00607FA7"/>
    <w:rsid w:val="0061400A"/>
    <w:rsid w:val="006140CA"/>
    <w:rsid w:val="00617434"/>
    <w:rsid w:val="00620F64"/>
    <w:rsid w:val="0062247C"/>
    <w:rsid w:val="006224B0"/>
    <w:rsid w:val="006237F5"/>
    <w:rsid w:val="006242F1"/>
    <w:rsid w:val="00626546"/>
    <w:rsid w:val="00627FF3"/>
    <w:rsid w:val="00632B45"/>
    <w:rsid w:val="006338D6"/>
    <w:rsid w:val="00635983"/>
    <w:rsid w:val="0064085E"/>
    <w:rsid w:val="006428B8"/>
    <w:rsid w:val="006478E7"/>
    <w:rsid w:val="0065098C"/>
    <w:rsid w:val="00651691"/>
    <w:rsid w:val="0065205D"/>
    <w:rsid w:val="0065558D"/>
    <w:rsid w:val="006558F2"/>
    <w:rsid w:val="006573B6"/>
    <w:rsid w:val="006573FF"/>
    <w:rsid w:val="00661079"/>
    <w:rsid w:val="006610C2"/>
    <w:rsid w:val="00661EB8"/>
    <w:rsid w:val="00662D87"/>
    <w:rsid w:val="00666572"/>
    <w:rsid w:val="00667F94"/>
    <w:rsid w:val="006754F9"/>
    <w:rsid w:val="00675E14"/>
    <w:rsid w:val="00676FF3"/>
    <w:rsid w:val="00677AE3"/>
    <w:rsid w:val="006825D8"/>
    <w:rsid w:val="00683B4E"/>
    <w:rsid w:val="00683D3E"/>
    <w:rsid w:val="00684823"/>
    <w:rsid w:val="00685104"/>
    <w:rsid w:val="00685355"/>
    <w:rsid w:val="00686EED"/>
    <w:rsid w:val="00694600"/>
    <w:rsid w:val="006962B9"/>
    <w:rsid w:val="006A467F"/>
    <w:rsid w:val="006A52AB"/>
    <w:rsid w:val="006A5407"/>
    <w:rsid w:val="006B18F3"/>
    <w:rsid w:val="006B4E86"/>
    <w:rsid w:val="006C1DBC"/>
    <w:rsid w:val="006C2AAF"/>
    <w:rsid w:val="006C2C2A"/>
    <w:rsid w:val="006C68A4"/>
    <w:rsid w:val="006C76CD"/>
    <w:rsid w:val="006D420E"/>
    <w:rsid w:val="006D6AA9"/>
    <w:rsid w:val="006E29C7"/>
    <w:rsid w:val="006E41D8"/>
    <w:rsid w:val="006E45C4"/>
    <w:rsid w:val="006E4F5C"/>
    <w:rsid w:val="006E61E1"/>
    <w:rsid w:val="006E6A61"/>
    <w:rsid w:val="006F01C4"/>
    <w:rsid w:val="006F4805"/>
    <w:rsid w:val="006F598B"/>
    <w:rsid w:val="006F6E1B"/>
    <w:rsid w:val="006F7E61"/>
    <w:rsid w:val="00701FBE"/>
    <w:rsid w:val="007057E9"/>
    <w:rsid w:val="00707A32"/>
    <w:rsid w:val="00710747"/>
    <w:rsid w:val="00712151"/>
    <w:rsid w:val="00713728"/>
    <w:rsid w:val="00716640"/>
    <w:rsid w:val="00717443"/>
    <w:rsid w:val="00721E1F"/>
    <w:rsid w:val="00723E90"/>
    <w:rsid w:val="007264F2"/>
    <w:rsid w:val="00732696"/>
    <w:rsid w:val="00732B57"/>
    <w:rsid w:val="00733258"/>
    <w:rsid w:val="00733902"/>
    <w:rsid w:val="00736C3F"/>
    <w:rsid w:val="0073770A"/>
    <w:rsid w:val="00737E9B"/>
    <w:rsid w:val="00740FA7"/>
    <w:rsid w:val="00751428"/>
    <w:rsid w:val="007537CA"/>
    <w:rsid w:val="00755789"/>
    <w:rsid w:val="0075767A"/>
    <w:rsid w:val="00763C89"/>
    <w:rsid w:val="0076740E"/>
    <w:rsid w:val="00773C4D"/>
    <w:rsid w:val="00782381"/>
    <w:rsid w:val="0078546D"/>
    <w:rsid w:val="00785DEE"/>
    <w:rsid w:val="00786E1B"/>
    <w:rsid w:val="0079464E"/>
    <w:rsid w:val="007966F5"/>
    <w:rsid w:val="007A1181"/>
    <w:rsid w:val="007A1E2D"/>
    <w:rsid w:val="007A625E"/>
    <w:rsid w:val="007A66C8"/>
    <w:rsid w:val="007B13B9"/>
    <w:rsid w:val="007B207D"/>
    <w:rsid w:val="007B2D20"/>
    <w:rsid w:val="007B6847"/>
    <w:rsid w:val="007B6A6D"/>
    <w:rsid w:val="007C087D"/>
    <w:rsid w:val="007C3727"/>
    <w:rsid w:val="007C6464"/>
    <w:rsid w:val="007C7D4A"/>
    <w:rsid w:val="007D387E"/>
    <w:rsid w:val="007D3A96"/>
    <w:rsid w:val="007D6B83"/>
    <w:rsid w:val="007E1D98"/>
    <w:rsid w:val="007E1DF1"/>
    <w:rsid w:val="007E31EA"/>
    <w:rsid w:val="007E4120"/>
    <w:rsid w:val="007F35AD"/>
    <w:rsid w:val="007F6AF9"/>
    <w:rsid w:val="007F75AE"/>
    <w:rsid w:val="007F7A81"/>
    <w:rsid w:val="00801563"/>
    <w:rsid w:val="008077F6"/>
    <w:rsid w:val="0081025B"/>
    <w:rsid w:val="00812BDB"/>
    <w:rsid w:val="00815581"/>
    <w:rsid w:val="00817C96"/>
    <w:rsid w:val="008222E1"/>
    <w:rsid w:val="00825B42"/>
    <w:rsid w:val="00827097"/>
    <w:rsid w:val="00830E36"/>
    <w:rsid w:val="00830EC6"/>
    <w:rsid w:val="00831603"/>
    <w:rsid w:val="0083279D"/>
    <w:rsid w:val="00832D48"/>
    <w:rsid w:val="008334DB"/>
    <w:rsid w:val="00837475"/>
    <w:rsid w:val="008403B4"/>
    <w:rsid w:val="00840C2C"/>
    <w:rsid w:val="00843F59"/>
    <w:rsid w:val="00844226"/>
    <w:rsid w:val="00844A7F"/>
    <w:rsid w:val="0085133F"/>
    <w:rsid w:val="00852913"/>
    <w:rsid w:val="008529C1"/>
    <w:rsid w:val="0085655B"/>
    <w:rsid w:val="00857D4B"/>
    <w:rsid w:val="00863D30"/>
    <w:rsid w:val="00865838"/>
    <w:rsid w:val="00865906"/>
    <w:rsid w:val="00870D16"/>
    <w:rsid w:val="00873BA4"/>
    <w:rsid w:val="00873CDE"/>
    <w:rsid w:val="008749FB"/>
    <w:rsid w:val="008750B4"/>
    <w:rsid w:val="008805DB"/>
    <w:rsid w:val="008807E1"/>
    <w:rsid w:val="008817AE"/>
    <w:rsid w:val="008824DC"/>
    <w:rsid w:val="00883BE1"/>
    <w:rsid w:val="00883F49"/>
    <w:rsid w:val="00891488"/>
    <w:rsid w:val="00893FE1"/>
    <w:rsid w:val="008954D5"/>
    <w:rsid w:val="00895D84"/>
    <w:rsid w:val="00895F78"/>
    <w:rsid w:val="008A2E41"/>
    <w:rsid w:val="008A574F"/>
    <w:rsid w:val="008A73FC"/>
    <w:rsid w:val="008B1E2F"/>
    <w:rsid w:val="008B1F73"/>
    <w:rsid w:val="008B5108"/>
    <w:rsid w:val="008B56B3"/>
    <w:rsid w:val="008C4B3C"/>
    <w:rsid w:val="008D46BF"/>
    <w:rsid w:val="008D598B"/>
    <w:rsid w:val="008D690A"/>
    <w:rsid w:val="008E0DEA"/>
    <w:rsid w:val="008E1F1F"/>
    <w:rsid w:val="008E6919"/>
    <w:rsid w:val="008E6C84"/>
    <w:rsid w:val="008E7063"/>
    <w:rsid w:val="008F0E62"/>
    <w:rsid w:val="008F1532"/>
    <w:rsid w:val="008F27DE"/>
    <w:rsid w:val="0090126C"/>
    <w:rsid w:val="00901756"/>
    <w:rsid w:val="00901A85"/>
    <w:rsid w:val="00906F20"/>
    <w:rsid w:val="00912660"/>
    <w:rsid w:val="0091798D"/>
    <w:rsid w:val="00917BFD"/>
    <w:rsid w:val="009261B1"/>
    <w:rsid w:val="00926BB9"/>
    <w:rsid w:val="00926CCE"/>
    <w:rsid w:val="0092776B"/>
    <w:rsid w:val="0093289D"/>
    <w:rsid w:val="00933860"/>
    <w:rsid w:val="0093404F"/>
    <w:rsid w:val="00936098"/>
    <w:rsid w:val="0093628D"/>
    <w:rsid w:val="009369C9"/>
    <w:rsid w:val="00937358"/>
    <w:rsid w:val="00937A50"/>
    <w:rsid w:val="0094003E"/>
    <w:rsid w:val="0094032E"/>
    <w:rsid w:val="00943772"/>
    <w:rsid w:val="00944CE2"/>
    <w:rsid w:val="00951D15"/>
    <w:rsid w:val="00951EBD"/>
    <w:rsid w:val="00955866"/>
    <w:rsid w:val="009559CF"/>
    <w:rsid w:val="00956F10"/>
    <w:rsid w:val="00957601"/>
    <w:rsid w:val="009640E9"/>
    <w:rsid w:val="0096418B"/>
    <w:rsid w:val="00966328"/>
    <w:rsid w:val="00966DAA"/>
    <w:rsid w:val="00971331"/>
    <w:rsid w:val="00972D22"/>
    <w:rsid w:val="0097430D"/>
    <w:rsid w:val="00974BB2"/>
    <w:rsid w:val="009756B1"/>
    <w:rsid w:val="00986E6D"/>
    <w:rsid w:val="009871B1"/>
    <w:rsid w:val="009910CD"/>
    <w:rsid w:val="00993538"/>
    <w:rsid w:val="00993D80"/>
    <w:rsid w:val="009A1868"/>
    <w:rsid w:val="009A19BC"/>
    <w:rsid w:val="009B099F"/>
    <w:rsid w:val="009B1250"/>
    <w:rsid w:val="009B31CC"/>
    <w:rsid w:val="009B48A6"/>
    <w:rsid w:val="009C1800"/>
    <w:rsid w:val="009C4593"/>
    <w:rsid w:val="009C4AF2"/>
    <w:rsid w:val="009C55D0"/>
    <w:rsid w:val="009C5874"/>
    <w:rsid w:val="009C5CD5"/>
    <w:rsid w:val="009C6D2B"/>
    <w:rsid w:val="009D2799"/>
    <w:rsid w:val="009D344B"/>
    <w:rsid w:val="009E44D7"/>
    <w:rsid w:val="009E6141"/>
    <w:rsid w:val="009E6C40"/>
    <w:rsid w:val="009E74EE"/>
    <w:rsid w:val="009E7523"/>
    <w:rsid w:val="009E7BBC"/>
    <w:rsid w:val="009F0AE4"/>
    <w:rsid w:val="009F395E"/>
    <w:rsid w:val="009F47C6"/>
    <w:rsid w:val="009F4F53"/>
    <w:rsid w:val="009F614D"/>
    <w:rsid w:val="00A15B5D"/>
    <w:rsid w:val="00A20CF9"/>
    <w:rsid w:val="00A21BC0"/>
    <w:rsid w:val="00A235B0"/>
    <w:rsid w:val="00A33126"/>
    <w:rsid w:val="00A358F6"/>
    <w:rsid w:val="00A40B8D"/>
    <w:rsid w:val="00A43062"/>
    <w:rsid w:val="00A43075"/>
    <w:rsid w:val="00A43385"/>
    <w:rsid w:val="00A4495D"/>
    <w:rsid w:val="00A477F1"/>
    <w:rsid w:val="00A50CF8"/>
    <w:rsid w:val="00A53B1D"/>
    <w:rsid w:val="00A62163"/>
    <w:rsid w:val="00A6358E"/>
    <w:rsid w:val="00A6510A"/>
    <w:rsid w:val="00A65B04"/>
    <w:rsid w:val="00A66119"/>
    <w:rsid w:val="00A67A9D"/>
    <w:rsid w:val="00A71C1A"/>
    <w:rsid w:val="00A73691"/>
    <w:rsid w:val="00A73C68"/>
    <w:rsid w:val="00A7662D"/>
    <w:rsid w:val="00A76F28"/>
    <w:rsid w:val="00A81857"/>
    <w:rsid w:val="00A82238"/>
    <w:rsid w:val="00A82776"/>
    <w:rsid w:val="00A83032"/>
    <w:rsid w:val="00A94084"/>
    <w:rsid w:val="00A9443F"/>
    <w:rsid w:val="00A947D9"/>
    <w:rsid w:val="00AA084A"/>
    <w:rsid w:val="00AA162E"/>
    <w:rsid w:val="00AA1F22"/>
    <w:rsid w:val="00AA27AC"/>
    <w:rsid w:val="00AA6456"/>
    <w:rsid w:val="00AB2031"/>
    <w:rsid w:val="00AB4B7C"/>
    <w:rsid w:val="00AC3652"/>
    <w:rsid w:val="00AC3BDD"/>
    <w:rsid w:val="00AC4C7D"/>
    <w:rsid w:val="00AC530D"/>
    <w:rsid w:val="00AC6F15"/>
    <w:rsid w:val="00AC7719"/>
    <w:rsid w:val="00AD0A65"/>
    <w:rsid w:val="00AD0E3B"/>
    <w:rsid w:val="00AD3955"/>
    <w:rsid w:val="00AD4279"/>
    <w:rsid w:val="00AD4D44"/>
    <w:rsid w:val="00AD5F4F"/>
    <w:rsid w:val="00AE15F3"/>
    <w:rsid w:val="00AE1EF5"/>
    <w:rsid w:val="00AE2363"/>
    <w:rsid w:val="00AE6832"/>
    <w:rsid w:val="00AE6FE0"/>
    <w:rsid w:val="00AE7F54"/>
    <w:rsid w:val="00AF183C"/>
    <w:rsid w:val="00AF244A"/>
    <w:rsid w:val="00AF5CC4"/>
    <w:rsid w:val="00AF6211"/>
    <w:rsid w:val="00B03C1C"/>
    <w:rsid w:val="00B10A5C"/>
    <w:rsid w:val="00B17840"/>
    <w:rsid w:val="00B17B75"/>
    <w:rsid w:val="00B20C0C"/>
    <w:rsid w:val="00B21F00"/>
    <w:rsid w:val="00B22B6D"/>
    <w:rsid w:val="00B25751"/>
    <w:rsid w:val="00B26058"/>
    <w:rsid w:val="00B3093F"/>
    <w:rsid w:val="00B30A38"/>
    <w:rsid w:val="00B31AE3"/>
    <w:rsid w:val="00B336DF"/>
    <w:rsid w:val="00B352D5"/>
    <w:rsid w:val="00B37BEC"/>
    <w:rsid w:val="00B416ED"/>
    <w:rsid w:val="00B42BD1"/>
    <w:rsid w:val="00B51088"/>
    <w:rsid w:val="00B52929"/>
    <w:rsid w:val="00B5397E"/>
    <w:rsid w:val="00B552AF"/>
    <w:rsid w:val="00B567F1"/>
    <w:rsid w:val="00B5797F"/>
    <w:rsid w:val="00B63A41"/>
    <w:rsid w:val="00B63DFA"/>
    <w:rsid w:val="00B65972"/>
    <w:rsid w:val="00B70364"/>
    <w:rsid w:val="00B75CAB"/>
    <w:rsid w:val="00B77D27"/>
    <w:rsid w:val="00B82A03"/>
    <w:rsid w:val="00B82E56"/>
    <w:rsid w:val="00B943B4"/>
    <w:rsid w:val="00B97731"/>
    <w:rsid w:val="00BA0771"/>
    <w:rsid w:val="00BA1F1E"/>
    <w:rsid w:val="00BA21F4"/>
    <w:rsid w:val="00BA6CE3"/>
    <w:rsid w:val="00BB023A"/>
    <w:rsid w:val="00BB1698"/>
    <w:rsid w:val="00BB22DD"/>
    <w:rsid w:val="00BB3207"/>
    <w:rsid w:val="00BB374C"/>
    <w:rsid w:val="00BB3773"/>
    <w:rsid w:val="00BB40E1"/>
    <w:rsid w:val="00BB43A1"/>
    <w:rsid w:val="00BB4B74"/>
    <w:rsid w:val="00BB4DB1"/>
    <w:rsid w:val="00BB4E22"/>
    <w:rsid w:val="00BB5B75"/>
    <w:rsid w:val="00BB63CC"/>
    <w:rsid w:val="00BB6832"/>
    <w:rsid w:val="00BB6EEE"/>
    <w:rsid w:val="00BC2C17"/>
    <w:rsid w:val="00BC5EA0"/>
    <w:rsid w:val="00BD149C"/>
    <w:rsid w:val="00BD27B9"/>
    <w:rsid w:val="00BD6FA4"/>
    <w:rsid w:val="00BD76FF"/>
    <w:rsid w:val="00BE20A5"/>
    <w:rsid w:val="00BE237F"/>
    <w:rsid w:val="00BE34F1"/>
    <w:rsid w:val="00BE362C"/>
    <w:rsid w:val="00BE77B7"/>
    <w:rsid w:val="00BF50F0"/>
    <w:rsid w:val="00BF5CBA"/>
    <w:rsid w:val="00C01AF8"/>
    <w:rsid w:val="00C045B3"/>
    <w:rsid w:val="00C04F5C"/>
    <w:rsid w:val="00C06C7A"/>
    <w:rsid w:val="00C123B0"/>
    <w:rsid w:val="00C128C0"/>
    <w:rsid w:val="00C13156"/>
    <w:rsid w:val="00C17D72"/>
    <w:rsid w:val="00C20D53"/>
    <w:rsid w:val="00C23B6F"/>
    <w:rsid w:val="00C23C90"/>
    <w:rsid w:val="00C277F7"/>
    <w:rsid w:val="00C309E6"/>
    <w:rsid w:val="00C31D1D"/>
    <w:rsid w:val="00C32029"/>
    <w:rsid w:val="00C33CA1"/>
    <w:rsid w:val="00C33D33"/>
    <w:rsid w:val="00C3469C"/>
    <w:rsid w:val="00C40CC4"/>
    <w:rsid w:val="00C44A83"/>
    <w:rsid w:val="00C4734F"/>
    <w:rsid w:val="00C477E4"/>
    <w:rsid w:val="00C50FE9"/>
    <w:rsid w:val="00C53FD1"/>
    <w:rsid w:val="00C54349"/>
    <w:rsid w:val="00C6289E"/>
    <w:rsid w:val="00C64764"/>
    <w:rsid w:val="00C674E0"/>
    <w:rsid w:val="00C75037"/>
    <w:rsid w:val="00C760FA"/>
    <w:rsid w:val="00C77895"/>
    <w:rsid w:val="00C8000A"/>
    <w:rsid w:val="00C80B88"/>
    <w:rsid w:val="00C816E9"/>
    <w:rsid w:val="00C84E1A"/>
    <w:rsid w:val="00C85D84"/>
    <w:rsid w:val="00C9191C"/>
    <w:rsid w:val="00C9299B"/>
    <w:rsid w:val="00C96788"/>
    <w:rsid w:val="00C97A88"/>
    <w:rsid w:val="00CA0DBB"/>
    <w:rsid w:val="00CA18A3"/>
    <w:rsid w:val="00CA1D4B"/>
    <w:rsid w:val="00CA1D94"/>
    <w:rsid w:val="00CA2776"/>
    <w:rsid w:val="00CA4ECE"/>
    <w:rsid w:val="00CA4F61"/>
    <w:rsid w:val="00CA6766"/>
    <w:rsid w:val="00CA768A"/>
    <w:rsid w:val="00CA7DED"/>
    <w:rsid w:val="00CB0122"/>
    <w:rsid w:val="00CB1DB1"/>
    <w:rsid w:val="00CB2B1D"/>
    <w:rsid w:val="00CB3F1E"/>
    <w:rsid w:val="00CB40DD"/>
    <w:rsid w:val="00CB4BB6"/>
    <w:rsid w:val="00CB681C"/>
    <w:rsid w:val="00CC2FEB"/>
    <w:rsid w:val="00CC3874"/>
    <w:rsid w:val="00CC3EC1"/>
    <w:rsid w:val="00CD1798"/>
    <w:rsid w:val="00CD3475"/>
    <w:rsid w:val="00CD38C2"/>
    <w:rsid w:val="00CD75DA"/>
    <w:rsid w:val="00CE1B13"/>
    <w:rsid w:val="00CE202D"/>
    <w:rsid w:val="00CE227A"/>
    <w:rsid w:val="00CE399E"/>
    <w:rsid w:val="00CE7399"/>
    <w:rsid w:val="00CE759D"/>
    <w:rsid w:val="00CF02DA"/>
    <w:rsid w:val="00CF2ADA"/>
    <w:rsid w:val="00CF3C79"/>
    <w:rsid w:val="00CF4B60"/>
    <w:rsid w:val="00D01222"/>
    <w:rsid w:val="00D012EC"/>
    <w:rsid w:val="00D02E28"/>
    <w:rsid w:val="00D057B2"/>
    <w:rsid w:val="00D05E2B"/>
    <w:rsid w:val="00D05FE9"/>
    <w:rsid w:val="00D064C2"/>
    <w:rsid w:val="00D06C11"/>
    <w:rsid w:val="00D06E57"/>
    <w:rsid w:val="00D06E8A"/>
    <w:rsid w:val="00D10691"/>
    <w:rsid w:val="00D220AB"/>
    <w:rsid w:val="00D220F8"/>
    <w:rsid w:val="00D24729"/>
    <w:rsid w:val="00D2670B"/>
    <w:rsid w:val="00D31ACB"/>
    <w:rsid w:val="00D37A3F"/>
    <w:rsid w:val="00D43419"/>
    <w:rsid w:val="00D43D01"/>
    <w:rsid w:val="00D441CC"/>
    <w:rsid w:val="00D445A3"/>
    <w:rsid w:val="00D4574E"/>
    <w:rsid w:val="00D45A76"/>
    <w:rsid w:val="00D46D36"/>
    <w:rsid w:val="00D51C77"/>
    <w:rsid w:val="00D52956"/>
    <w:rsid w:val="00D530C3"/>
    <w:rsid w:val="00D5418F"/>
    <w:rsid w:val="00D5579B"/>
    <w:rsid w:val="00D5580D"/>
    <w:rsid w:val="00D604BD"/>
    <w:rsid w:val="00D62A0D"/>
    <w:rsid w:val="00D62AEF"/>
    <w:rsid w:val="00D64558"/>
    <w:rsid w:val="00D713F8"/>
    <w:rsid w:val="00D73332"/>
    <w:rsid w:val="00D7353F"/>
    <w:rsid w:val="00D74DE3"/>
    <w:rsid w:val="00D75E63"/>
    <w:rsid w:val="00D76E07"/>
    <w:rsid w:val="00D77BA4"/>
    <w:rsid w:val="00D8185F"/>
    <w:rsid w:val="00D82A0A"/>
    <w:rsid w:val="00D83062"/>
    <w:rsid w:val="00D84E12"/>
    <w:rsid w:val="00D85150"/>
    <w:rsid w:val="00D867D5"/>
    <w:rsid w:val="00D90CC1"/>
    <w:rsid w:val="00D914D0"/>
    <w:rsid w:val="00D91A40"/>
    <w:rsid w:val="00D94AD2"/>
    <w:rsid w:val="00D96B2E"/>
    <w:rsid w:val="00D97548"/>
    <w:rsid w:val="00D97EE6"/>
    <w:rsid w:val="00DA020C"/>
    <w:rsid w:val="00DA069B"/>
    <w:rsid w:val="00DA10BB"/>
    <w:rsid w:val="00DA2687"/>
    <w:rsid w:val="00DA3DDC"/>
    <w:rsid w:val="00DA7205"/>
    <w:rsid w:val="00DB166A"/>
    <w:rsid w:val="00DB19C4"/>
    <w:rsid w:val="00DB3451"/>
    <w:rsid w:val="00DB6010"/>
    <w:rsid w:val="00DB7D55"/>
    <w:rsid w:val="00DC1B00"/>
    <w:rsid w:val="00DC1BEC"/>
    <w:rsid w:val="00DC2858"/>
    <w:rsid w:val="00DC3FB7"/>
    <w:rsid w:val="00DC616A"/>
    <w:rsid w:val="00DD5871"/>
    <w:rsid w:val="00DD5F13"/>
    <w:rsid w:val="00DD6F3A"/>
    <w:rsid w:val="00DE038F"/>
    <w:rsid w:val="00DE2E1A"/>
    <w:rsid w:val="00DE762F"/>
    <w:rsid w:val="00DF1340"/>
    <w:rsid w:val="00DF1BD6"/>
    <w:rsid w:val="00DF38E0"/>
    <w:rsid w:val="00DF665C"/>
    <w:rsid w:val="00E01349"/>
    <w:rsid w:val="00E01A0A"/>
    <w:rsid w:val="00E01A8E"/>
    <w:rsid w:val="00E03982"/>
    <w:rsid w:val="00E03D56"/>
    <w:rsid w:val="00E04107"/>
    <w:rsid w:val="00E04C43"/>
    <w:rsid w:val="00E07A39"/>
    <w:rsid w:val="00E12B78"/>
    <w:rsid w:val="00E13E02"/>
    <w:rsid w:val="00E157F9"/>
    <w:rsid w:val="00E2031A"/>
    <w:rsid w:val="00E2296E"/>
    <w:rsid w:val="00E25793"/>
    <w:rsid w:val="00E32596"/>
    <w:rsid w:val="00E3460B"/>
    <w:rsid w:val="00E359B6"/>
    <w:rsid w:val="00E369F8"/>
    <w:rsid w:val="00E37415"/>
    <w:rsid w:val="00E41F68"/>
    <w:rsid w:val="00E44FCA"/>
    <w:rsid w:val="00E4703E"/>
    <w:rsid w:val="00E470B0"/>
    <w:rsid w:val="00E51301"/>
    <w:rsid w:val="00E52A64"/>
    <w:rsid w:val="00E52E49"/>
    <w:rsid w:val="00E5352B"/>
    <w:rsid w:val="00E5455E"/>
    <w:rsid w:val="00E54670"/>
    <w:rsid w:val="00E54DD0"/>
    <w:rsid w:val="00E60057"/>
    <w:rsid w:val="00E607F3"/>
    <w:rsid w:val="00E65236"/>
    <w:rsid w:val="00E655CE"/>
    <w:rsid w:val="00E65ED5"/>
    <w:rsid w:val="00E75ABD"/>
    <w:rsid w:val="00E75ACC"/>
    <w:rsid w:val="00E76DFD"/>
    <w:rsid w:val="00E81945"/>
    <w:rsid w:val="00E84094"/>
    <w:rsid w:val="00E85205"/>
    <w:rsid w:val="00E85771"/>
    <w:rsid w:val="00E871A2"/>
    <w:rsid w:val="00E94EFA"/>
    <w:rsid w:val="00E96BF7"/>
    <w:rsid w:val="00EA4B6E"/>
    <w:rsid w:val="00EA62E4"/>
    <w:rsid w:val="00EB00DD"/>
    <w:rsid w:val="00EB0D32"/>
    <w:rsid w:val="00EB1F50"/>
    <w:rsid w:val="00EB219F"/>
    <w:rsid w:val="00EB31E2"/>
    <w:rsid w:val="00EB61CE"/>
    <w:rsid w:val="00EC17F7"/>
    <w:rsid w:val="00EC1A6A"/>
    <w:rsid w:val="00EC2FD9"/>
    <w:rsid w:val="00ED0C24"/>
    <w:rsid w:val="00ED0D46"/>
    <w:rsid w:val="00ED4A39"/>
    <w:rsid w:val="00ED600C"/>
    <w:rsid w:val="00EE0D7A"/>
    <w:rsid w:val="00EE50D0"/>
    <w:rsid w:val="00EE53BE"/>
    <w:rsid w:val="00EF0111"/>
    <w:rsid w:val="00EF6F92"/>
    <w:rsid w:val="00EF700F"/>
    <w:rsid w:val="00EF77B9"/>
    <w:rsid w:val="00F01486"/>
    <w:rsid w:val="00F065B8"/>
    <w:rsid w:val="00F0678F"/>
    <w:rsid w:val="00F070CD"/>
    <w:rsid w:val="00F07CC5"/>
    <w:rsid w:val="00F10A3F"/>
    <w:rsid w:val="00F11F7E"/>
    <w:rsid w:val="00F1216D"/>
    <w:rsid w:val="00F1715B"/>
    <w:rsid w:val="00F2073A"/>
    <w:rsid w:val="00F25C05"/>
    <w:rsid w:val="00F27651"/>
    <w:rsid w:val="00F35291"/>
    <w:rsid w:val="00F40C4C"/>
    <w:rsid w:val="00F42E89"/>
    <w:rsid w:val="00F44656"/>
    <w:rsid w:val="00F45C81"/>
    <w:rsid w:val="00F45E38"/>
    <w:rsid w:val="00F50531"/>
    <w:rsid w:val="00F54577"/>
    <w:rsid w:val="00F54899"/>
    <w:rsid w:val="00F6052A"/>
    <w:rsid w:val="00F623B2"/>
    <w:rsid w:val="00F638B8"/>
    <w:rsid w:val="00F63ED3"/>
    <w:rsid w:val="00F644A7"/>
    <w:rsid w:val="00F6504E"/>
    <w:rsid w:val="00F660E8"/>
    <w:rsid w:val="00F70808"/>
    <w:rsid w:val="00F7113C"/>
    <w:rsid w:val="00F73538"/>
    <w:rsid w:val="00F76F36"/>
    <w:rsid w:val="00F81505"/>
    <w:rsid w:val="00F82FA1"/>
    <w:rsid w:val="00F8333F"/>
    <w:rsid w:val="00F858F5"/>
    <w:rsid w:val="00F86A88"/>
    <w:rsid w:val="00F9168E"/>
    <w:rsid w:val="00F95519"/>
    <w:rsid w:val="00FA132B"/>
    <w:rsid w:val="00FA62F3"/>
    <w:rsid w:val="00FA66D0"/>
    <w:rsid w:val="00FB24C4"/>
    <w:rsid w:val="00FB2AD7"/>
    <w:rsid w:val="00FB2DEE"/>
    <w:rsid w:val="00FB6771"/>
    <w:rsid w:val="00FB7030"/>
    <w:rsid w:val="00FB71A6"/>
    <w:rsid w:val="00FC0E8B"/>
    <w:rsid w:val="00FC2990"/>
    <w:rsid w:val="00FC2ECD"/>
    <w:rsid w:val="00FC324B"/>
    <w:rsid w:val="00FC4BD6"/>
    <w:rsid w:val="00FC5750"/>
    <w:rsid w:val="00FC6682"/>
    <w:rsid w:val="00FD4759"/>
    <w:rsid w:val="00FD4C65"/>
    <w:rsid w:val="00FD4E33"/>
    <w:rsid w:val="00FD7E9A"/>
    <w:rsid w:val="00FE2409"/>
    <w:rsid w:val="00FE5BB2"/>
    <w:rsid w:val="00FF1D60"/>
    <w:rsid w:val="00FF3E8F"/>
    <w:rsid w:val="00FF3EE3"/>
    <w:rsid w:val="00FF48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B3C"/>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BulletPoints,Styl moj,Akapit z listą11,ES Paragraph,PBAC ES Paragraph"/>
    <w:basedOn w:val="Normal"/>
    <w:link w:val="ListParagraphChar"/>
    <w:uiPriority w:val="34"/>
    <w:qFormat/>
    <w:rsid w:val="006478E7"/>
    <w:pPr>
      <w:ind w:left="720"/>
      <w:contextualSpacing/>
    </w:pPr>
  </w:style>
  <w:style w:type="table" w:styleId="TableGrid">
    <w:name w:val="Table Grid"/>
    <w:aliases w:val="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aliases w:val="Numbered para Char,BulletPoints Char,Styl moj Char,Akapit z listą11 Char,ES Paragraph Char,PBAC ES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3"/>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paragraph" w:styleId="NormalWeb">
    <w:name w:val="Normal (Web)"/>
    <w:basedOn w:val="Normal"/>
    <w:uiPriority w:val="99"/>
    <w:unhideWhenUsed/>
    <w:rsid w:val="00E81945"/>
    <w:pPr>
      <w:spacing w:before="100" w:beforeAutospacing="1" w:after="100" w:afterAutospacing="1" w:line="240" w:lineRule="auto"/>
    </w:pPr>
    <w:rPr>
      <w:rFonts w:ascii="Times New Roman" w:eastAsia="Times New Roman" w:hAnsi="Times New Roman"/>
      <w:sz w:val="24"/>
      <w:szCs w:val="24"/>
      <w:lang w:eastAsia="en-AU"/>
    </w:rPr>
  </w:style>
  <w:style w:type="paragraph" w:styleId="FootnoteText">
    <w:name w:val="footnote text"/>
    <w:basedOn w:val="Normal"/>
    <w:link w:val="FootnoteTextChar"/>
    <w:uiPriority w:val="99"/>
    <w:semiHidden/>
    <w:unhideWhenUsed/>
    <w:rsid w:val="005844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44D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844D3"/>
    <w:rPr>
      <w:vertAlign w:val="superscript"/>
    </w:rPr>
  </w:style>
  <w:style w:type="paragraph" w:customStyle="1" w:styleId="EndNoteBibliographyTitle">
    <w:name w:val="EndNote Bibliography Title"/>
    <w:basedOn w:val="Normal"/>
    <w:link w:val="EndNoteBibliographyTitleChar"/>
    <w:rsid w:val="008334DB"/>
    <w:pPr>
      <w:spacing w:after="0"/>
      <w:jc w:val="center"/>
    </w:pPr>
    <w:rPr>
      <w:rFonts w:cs="Calibri"/>
      <w:noProof/>
      <w:lang w:val="en-US"/>
    </w:rPr>
  </w:style>
  <w:style w:type="character" w:customStyle="1" w:styleId="EndNoteBibliographyTitleChar">
    <w:name w:val="EndNote Bibliography Title Char"/>
    <w:basedOn w:val="CommentTextChar"/>
    <w:link w:val="EndNoteBibliographyTitle"/>
    <w:rsid w:val="008334DB"/>
    <w:rPr>
      <w:rFonts w:ascii="Calibri" w:eastAsia="Calibri" w:hAnsi="Calibri" w:cs="Calibri"/>
      <w:noProof/>
      <w:sz w:val="20"/>
      <w:szCs w:val="20"/>
      <w:lang w:val="en-US"/>
    </w:rPr>
  </w:style>
  <w:style w:type="paragraph" w:customStyle="1" w:styleId="EndNoteBibliography">
    <w:name w:val="EndNote Bibliography"/>
    <w:basedOn w:val="Normal"/>
    <w:link w:val="EndNoteBibliographyChar"/>
    <w:rsid w:val="008334DB"/>
    <w:pPr>
      <w:spacing w:line="240" w:lineRule="auto"/>
    </w:pPr>
    <w:rPr>
      <w:rFonts w:cs="Calibri"/>
      <w:noProof/>
      <w:lang w:val="en-US"/>
    </w:rPr>
  </w:style>
  <w:style w:type="character" w:customStyle="1" w:styleId="EndNoteBibliographyChar">
    <w:name w:val="EndNote Bibliography Char"/>
    <w:basedOn w:val="CommentTextChar"/>
    <w:link w:val="EndNoteBibliography"/>
    <w:rsid w:val="008334DB"/>
    <w:rPr>
      <w:rFonts w:ascii="Calibri" w:eastAsia="Calibri" w:hAnsi="Calibri" w:cs="Calibri"/>
      <w:noProof/>
      <w:sz w:val="20"/>
      <w:szCs w:val="20"/>
      <w:lang w:val="en-US"/>
    </w:rPr>
  </w:style>
  <w:style w:type="character" w:customStyle="1" w:styleId="UnresolvedMention1">
    <w:name w:val="Unresolved Mention1"/>
    <w:basedOn w:val="DefaultParagraphFont"/>
    <w:uiPriority w:val="99"/>
    <w:semiHidden/>
    <w:unhideWhenUsed/>
    <w:rsid w:val="00BB63CC"/>
    <w:rPr>
      <w:color w:val="605E5C"/>
      <w:shd w:val="clear" w:color="auto" w:fill="E1DFDD"/>
    </w:rPr>
  </w:style>
  <w:style w:type="paragraph" w:customStyle="1" w:styleId="paragraph">
    <w:name w:val="paragraph"/>
    <w:basedOn w:val="Normal"/>
    <w:rsid w:val="003E1917"/>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3E1917"/>
  </w:style>
  <w:style w:type="character" w:customStyle="1" w:styleId="eop">
    <w:name w:val="eop"/>
    <w:basedOn w:val="DefaultParagraphFont"/>
    <w:rsid w:val="003E1917"/>
  </w:style>
  <w:style w:type="character" w:customStyle="1" w:styleId="spellingerror">
    <w:name w:val="spellingerror"/>
    <w:basedOn w:val="DefaultParagraphFont"/>
    <w:rsid w:val="003E1917"/>
  </w:style>
  <w:style w:type="character" w:customStyle="1" w:styleId="UnresolvedMention2">
    <w:name w:val="Unresolved Mention2"/>
    <w:basedOn w:val="DefaultParagraphFont"/>
    <w:uiPriority w:val="99"/>
    <w:semiHidden/>
    <w:unhideWhenUsed/>
    <w:rsid w:val="00895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3141628">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198785842">
      <w:bodyDiv w:val="1"/>
      <w:marLeft w:val="0"/>
      <w:marRight w:val="0"/>
      <w:marTop w:val="0"/>
      <w:marBottom w:val="0"/>
      <w:divBdr>
        <w:top w:val="none" w:sz="0" w:space="0" w:color="auto"/>
        <w:left w:val="none" w:sz="0" w:space="0" w:color="auto"/>
        <w:bottom w:val="none" w:sz="0" w:space="0" w:color="auto"/>
        <w:right w:val="none" w:sz="0" w:space="0" w:color="auto"/>
      </w:divBdr>
    </w:div>
    <w:div w:id="238827148">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1296321">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414396403">
      <w:bodyDiv w:val="1"/>
      <w:marLeft w:val="0"/>
      <w:marRight w:val="0"/>
      <w:marTop w:val="0"/>
      <w:marBottom w:val="0"/>
      <w:divBdr>
        <w:top w:val="none" w:sz="0" w:space="0" w:color="auto"/>
        <w:left w:val="none" w:sz="0" w:space="0" w:color="auto"/>
        <w:bottom w:val="none" w:sz="0" w:space="0" w:color="auto"/>
        <w:right w:val="none" w:sz="0" w:space="0" w:color="auto"/>
      </w:divBdr>
    </w:div>
    <w:div w:id="456029681">
      <w:bodyDiv w:val="1"/>
      <w:marLeft w:val="0"/>
      <w:marRight w:val="0"/>
      <w:marTop w:val="0"/>
      <w:marBottom w:val="0"/>
      <w:divBdr>
        <w:top w:val="none" w:sz="0" w:space="0" w:color="auto"/>
        <w:left w:val="none" w:sz="0" w:space="0" w:color="auto"/>
        <w:bottom w:val="none" w:sz="0" w:space="0" w:color="auto"/>
        <w:right w:val="none" w:sz="0" w:space="0" w:color="auto"/>
      </w:divBdr>
    </w:div>
    <w:div w:id="500583079">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12185437">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811097180">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030685612">
      <w:bodyDiv w:val="1"/>
      <w:marLeft w:val="0"/>
      <w:marRight w:val="0"/>
      <w:marTop w:val="0"/>
      <w:marBottom w:val="0"/>
      <w:divBdr>
        <w:top w:val="none" w:sz="0" w:space="0" w:color="auto"/>
        <w:left w:val="none" w:sz="0" w:space="0" w:color="auto"/>
        <w:bottom w:val="none" w:sz="0" w:space="0" w:color="auto"/>
        <w:right w:val="none" w:sz="0" w:space="0" w:color="auto"/>
      </w:divBdr>
    </w:div>
    <w:div w:id="1074736888">
      <w:bodyDiv w:val="1"/>
      <w:marLeft w:val="0"/>
      <w:marRight w:val="0"/>
      <w:marTop w:val="0"/>
      <w:marBottom w:val="0"/>
      <w:divBdr>
        <w:top w:val="none" w:sz="0" w:space="0" w:color="auto"/>
        <w:left w:val="none" w:sz="0" w:space="0" w:color="auto"/>
        <w:bottom w:val="none" w:sz="0" w:space="0" w:color="auto"/>
        <w:right w:val="none" w:sz="0" w:space="0" w:color="auto"/>
      </w:divBdr>
    </w:div>
    <w:div w:id="1140224077">
      <w:bodyDiv w:val="1"/>
      <w:marLeft w:val="0"/>
      <w:marRight w:val="0"/>
      <w:marTop w:val="0"/>
      <w:marBottom w:val="0"/>
      <w:divBdr>
        <w:top w:val="none" w:sz="0" w:space="0" w:color="auto"/>
        <w:left w:val="none" w:sz="0" w:space="0" w:color="auto"/>
        <w:bottom w:val="none" w:sz="0" w:space="0" w:color="auto"/>
        <w:right w:val="none" w:sz="0" w:space="0" w:color="auto"/>
      </w:divBdr>
    </w:div>
    <w:div w:id="1150246235">
      <w:bodyDiv w:val="1"/>
      <w:marLeft w:val="0"/>
      <w:marRight w:val="0"/>
      <w:marTop w:val="0"/>
      <w:marBottom w:val="0"/>
      <w:divBdr>
        <w:top w:val="none" w:sz="0" w:space="0" w:color="auto"/>
        <w:left w:val="none" w:sz="0" w:space="0" w:color="auto"/>
        <w:bottom w:val="none" w:sz="0" w:space="0" w:color="auto"/>
        <w:right w:val="none" w:sz="0" w:space="0" w:color="auto"/>
      </w:divBdr>
    </w:div>
    <w:div w:id="1192722187">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292519461">
      <w:bodyDiv w:val="1"/>
      <w:marLeft w:val="0"/>
      <w:marRight w:val="0"/>
      <w:marTop w:val="0"/>
      <w:marBottom w:val="0"/>
      <w:divBdr>
        <w:top w:val="none" w:sz="0" w:space="0" w:color="auto"/>
        <w:left w:val="none" w:sz="0" w:space="0" w:color="auto"/>
        <w:bottom w:val="none" w:sz="0" w:space="0" w:color="auto"/>
        <w:right w:val="none" w:sz="0" w:space="0" w:color="auto"/>
      </w:divBdr>
    </w:div>
    <w:div w:id="1372535271">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34922416">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577327315">
      <w:bodyDiv w:val="1"/>
      <w:marLeft w:val="0"/>
      <w:marRight w:val="0"/>
      <w:marTop w:val="0"/>
      <w:marBottom w:val="0"/>
      <w:divBdr>
        <w:top w:val="none" w:sz="0" w:space="0" w:color="auto"/>
        <w:left w:val="none" w:sz="0" w:space="0" w:color="auto"/>
        <w:bottom w:val="none" w:sz="0" w:space="0" w:color="auto"/>
        <w:right w:val="none" w:sz="0" w:space="0" w:color="auto"/>
      </w:divBdr>
    </w:div>
    <w:div w:id="1622954931">
      <w:bodyDiv w:val="1"/>
      <w:marLeft w:val="0"/>
      <w:marRight w:val="0"/>
      <w:marTop w:val="0"/>
      <w:marBottom w:val="0"/>
      <w:divBdr>
        <w:top w:val="none" w:sz="0" w:space="0" w:color="auto"/>
        <w:left w:val="none" w:sz="0" w:space="0" w:color="auto"/>
        <w:bottom w:val="none" w:sz="0" w:space="0" w:color="auto"/>
        <w:right w:val="none" w:sz="0" w:space="0" w:color="auto"/>
      </w:divBdr>
    </w:div>
    <w:div w:id="1641808341">
      <w:bodyDiv w:val="1"/>
      <w:marLeft w:val="0"/>
      <w:marRight w:val="0"/>
      <w:marTop w:val="0"/>
      <w:marBottom w:val="0"/>
      <w:divBdr>
        <w:top w:val="none" w:sz="0" w:space="0" w:color="auto"/>
        <w:left w:val="none" w:sz="0" w:space="0" w:color="auto"/>
        <w:bottom w:val="none" w:sz="0" w:space="0" w:color="auto"/>
        <w:right w:val="none" w:sz="0" w:space="0" w:color="auto"/>
      </w:divBdr>
    </w:div>
    <w:div w:id="1674726902">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epatitisb.org.au/complex-situations-co-infection-and-immunosuppression/" TargetMode="External"/><Relationship Id="rId18" Type="http://schemas.openxmlformats.org/officeDocument/2006/relationships/hyperlink" Target="https://www1.health.gov.au/internet/main/publishing.nsf/Content/nndss-fortnightly-summary-notes-202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1.health.gov.au/internet/main/publishing.nsf/Content/8FA6078276359430CA257BF0001A4C42/$File/australia_s_notifiable_disease_status_2016_annual_report_of_the_national_notifiable_diseases_surveillance_system.pdf" TargetMode="External"/><Relationship Id="rId2" Type="http://schemas.openxmlformats.org/officeDocument/2006/relationships/numbering" Target="numbering.xml"/><Relationship Id="rId16" Type="http://schemas.openxmlformats.org/officeDocument/2006/relationships/hyperlink" Target="https://www.ashm.org.au/programs/Viral-Hepatitis-Mapping-Projec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cdc.gov/hepatitis/hdv/hdvfaq.htm"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1.health.gov.au/internet/main/publishing.nsf/Content/cda-surveil-nndss-casedefs-cd_hepd.ht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ga.gov.au/ws-designation-notices-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A87C-F1D0-4A29-BFDA-D02057289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10800</Words>
  <Characters>61563</Characters>
  <Application>Microsoft Office Word</Application>
  <DocSecurity>4</DocSecurity>
  <Lines>513</Lines>
  <Paragraphs>144</Paragraphs>
  <ScaleCrop>false</ScaleCrop>
  <Company/>
  <LinksUpToDate>false</LinksUpToDate>
  <CharactersWithSpaces>72219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2022-07-12T23:41:00Z</dcterms:created>
  <dcterms:modified xsi:type="dcterms:W3CDTF">2022-07-12T23:41:00Z</dcterms:modified>
</cp:coreProperties>
</file>