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8A979"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5FCB99C" wp14:editId="5B69880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19A7ED7"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F00EFEC" w14:textId="77777777" w:rsidR="00BC1364" w:rsidRPr="00F715D1" w:rsidRDefault="00BC1364" w:rsidP="002B77DF">
      <w:pPr>
        <w:pStyle w:val="Subtitle"/>
      </w:pPr>
      <w:r w:rsidRPr="00F715D1">
        <w:t xml:space="preserve">Application No. </w:t>
      </w:r>
      <w:r w:rsidR="001B06D1">
        <w:t>1531</w:t>
      </w:r>
      <w:r w:rsidRPr="00F715D1">
        <w:t xml:space="preserve"> </w:t>
      </w:r>
      <w:r w:rsidRPr="003533B8">
        <w:t xml:space="preserve">– </w:t>
      </w:r>
      <w:r w:rsidR="001B06D1">
        <w:t>Alpha Thalassaemia genetic testing</w:t>
      </w:r>
    </w:p>
    <w:p w14:paraId="52010733" w14:textId="42996363" w:rsidR="00BC1364" w:rsidRPr="00F715D1" w:rsidRDefault="00B35595" w:rsidP="00C639A7">
      <w:pPr>
        <w:tabs>
          <w:tab w:val="left" w:pos="3686"/>
        </w:tabs>
        <w:spacing w:after="240"/>
        <w:ind w:left="1440" w:hanging="1440"/>
        <w:rPr>
          <w:rFonts w:ascii="Arial" w:hAnsi="Arial" w:cs="Arial"/>
          <w:b/>
          <w:szCs w:val="24"/>
        </w:rPr>
      </w:pPr>
      <w:r w:rsidRPr="00F715D1">
        <w:rPr>
          <w:rFonts w:ascii="Arial" w:hAnsi="Arial" w:cs="Arial"/>
          <w:b/>
          <w:szCs w:val="24"/>
        </w:rPr>
        <w:t>Applicant</w:t>
      </w:r>
      <w:r w:rsidR="00C639A7">
        <w:rPr>
          <w:rFonts w:ascii="Arial" w:hAnsi="Arial" w:cs="Arial"/>
          <w:b/>
          <w:szCs w:val="24"/>
        </w:rPr>
        <w:t>:</w:t>
      </w:r>
      <w:r w:rsidR="00C639A7">
        <w:rPr>
          <w:rFonts w:ascii="Arial" w:hAnsi="Arial" w:cs="Arial"/>
          <w:b/>
          <w:szCs w:val="24"/>
        </w:rPr>
        <w:tab/>
      </w:r>
      <w:r w:rsidR="002B77DF" w:rsidRPr="002B77DF">
        <w:rPr>
          <w:rFonts w:ascii="Arial" w:hAnsi="Arial" w:cs="Arial"/>
          <w:b/>
          <w:szCs w:val="24"/>
        </w:rPr>
        <w:t>The Royal College of Pathologists of Australasia (RCPA)</w:t>
      </w:r>
    </w:p>
    <w:p w14:paraId="0C7E20E6"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5DC0C436"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47342F59" w14:textId="77777777" w:rsidR="003D7F29" w:rsidRPr="00F715D1" w:rsidRDefault="003D7F29" w:rsidP="002B09EF">
      <w:pPr>
        <w:pStyle w:val="Heading1"/>
        <w:ind w:left="567" w:hanging="567"/>
      </w:pPr>
      <w:r w:rsidRPr="00F715D1">
        <w:t>Purpose of application</w:t>
      </w:r>
      <w:r w:rsidR="00822C7E" w:rsidRPr="00F715D1">
        <w:t xml:space="preserve"> </w:t>
      </w:r>
    </w:p>
    <w:p w14:paraId="38093A1B" w14:textId="3EB66BA0" w:rsidR="00055F87" w:rsidRDefault="00E35489" w:rsidP="00E35489">
      <w:r>
        <w:t>An application for</w:t>
      </w:r>
      <w:r w:rsidRPr="00D57F95">
        <w:t xml:space="preserve"> genetic deletion testing for the diagnosis of </w:t>
      </w:r>
      <w:r w:rsidRPr="00436A1E">
        <w:t>alpha (α)</w:t>
      </w:r>
      <w:r>
        <w:t xml:space="preserve"> </w:t>
      </w:r>
      <w:r w:rsidRPr="00D57F95">
        <w:t>thalassaemia in females of reproductive age</w:t>
      </w:r>
      <w:r w:rsidR="00C67E29">
        <w:t xml:space="preserve"> with abnormal red cell indices</w:t>
      </w:r>
      <w:r w:rsidRPr="00D57F95">
        <w:t xml:space="preserve"> and</w:t>
      </w:r>
      <w:r w:rsidR="00C67E29">
        <w:t>, in certain circumstances, their</w:t>
      </w:r>
      <w:r w:rsidR="002B09EF">
        <w:t xml:space="preserve"> </w:t>
      </w:r>
      <w:r w:rsidRPr="00D57F95">
        <w:t xml:space="preserve">reproductive partners of </w:t>
      </w:r>
      <w:r>
        <w:t>was referred to the MSAC Executive from the Genetics Working Group of the Pathology Clinical Committee of the MBS Review</w:t>
      </w:r>
      <w:r w:rsidRPr="00F12C67">
        <w:t>.</w:t>
      </w:r>
      <w:r>
        <w:t xml:space="preserve"> The Royal College of Pathologists in Australasia has agreed to act as applicant.</w:t>
      </w:r>
    </w:p>
    <w:p w14:paraId="063DB9A8" w14:textId="6C75AE84" w:rsidR="00055F87" w:rsidRDefault="00055F87" w:rsidP="00C639A7">
      <w:pPr>
        <w:spacing w:before="240"/>
      </w:pPr>
      <w:r w:rsidRPr="00436A1E">
        <w:t>T</w:t>
      </w:r>
      <w:r w:rsidR="00C639A7">
        <w:t xml:space="preserve">he proposed medical service is </w:t>
      </w:r>
      <w:r w:rsidRPr="00436A1E">
        <w:t xml:space="preserve">testing for </w:t>
      </w:r>
      <w:r w:rsidR="002B09EF">
        <w:t xml:space="preserve">common gene deletions that cause </w:t>
      </w:r>
      <w:r w:rsidRPr="00436A1E">
        <w:t>α thalassaemia</w:t>
      </w:r>
      <w:r w:rsidR="002B09EF">
        <w:t>.</w:t>
      </w:r>
    </w:p>
    <w:p w14:paraId="090802EE" w14:textId="77777777" w:rsidR="00E977EE" w:rsidRPr="00F715D1" w:rsidRDefault="00E977EE" w:rsidP="00C67E29">
      <w:pPr>
        <w:pStyle w:val="Heading1"/>
        <w:ind w:left="567" w:hanging="567"/>
      </w:pPr>
      <w:r w:rsidRPr="00F715D1">
        <w:t>MSAC’s advice to the Minister</w:t>
      </w:r>
    </w:p>
    <w:p w14:paraId="13650DF9" w14:textId="77777777" w:rsidR="00854AA3" w:rsidRPr="00762E35" w:rsidRDefault="00854AA3" w:rsidP="00854AA3">
      <w:pPr>
        <w:spacing w:after="120"/>
        <w:rPr>
          <w:bCs/>
        </w:rPr>
      </w:pPr>
      <w:r w:rsidRPr="00CA5587">
        <w:t xml:space="preserve">After considering the strength of the available evidence in relation to comparative safety, clinical effectiveness </w:t>
      </w:r>
      <w:r w:rsidRPr="009B1A8E">
        <w:t>and</w:t>
      </w:r>
      <w:r>
        <w:t xml:space="preserve"> cost-</w:t>
      </w:r>
      <w:r w:rsidRPr="00CA5587">
        <w:t xml:space="preserve">effectiveness, MSAC </w:t>
      </w:r>
      <w:r>
        <w:t xml:space="preserve">deferred </w:t>
      </w:r>
      <w:r w:rsidRPr="00762E35">
        <w:t xml:space="preserve">its advice regarding public funding of </w:t>
      </w:r>
      <w:r w:rsidRPr="00762E35">
        <w:rPr>
          <w:bCs/>
        </w:rPr>
        <w:t xml:space="preserve">alpha thalassaemia genetic testing to seek further information, particularly from the Haematology Society of Australia </w:t>
      </w:r>
      <w:r>
        <w:rPr>
          <w:bCs/>
        </w:rPr>
        <w:t>and</w:t>
      </w:r>
      <w:r w:rsidRPr="00762E35">
        <w:rPr>
          <w:bCs/>
        </w:rPr>
        <w:t xml:space="preserve"> New Zealand (HSANZ), on:</w:t>
      </w:r>
    </w:p>
    <w:p w14:paraId="26D5D510" w14:textId="669B7152" w:rsidR="00854AA3" w:rsidRPr="00762E35" w:rsidRDefault="00854AA3" w:rsidP="00854AA3">
      <w:pPr>
        <w:pStyle w:val="ListParagraph"/>
        <w:numPr>
          <w:ilvl w:val="0"/>
          <w:numId w:val="43"/>
        </w:numPr>
        <w:spacing w:after="240"/>
      </w:pPr>
      <w:r w:rsidRPr="00762E35">
        <w:t>the proposed clinical algorithms for testing in two separate contexts if there are abnormal red cell indices – for couples who are planning to get pregnant and for couples who are already pregnant, with an emphasis on identifying any time</w:t>
      </w:r>
      <w:r>
        <w:t>-sensitive elements</w:t>
      </w:r>
      <w:r w:rsidR="00B67497">
        <w:t>;</w:t>
      </w:r>
    </w:p>
    <w:p w14:paraId="348C4BE4" w14:textId="5B619338" w:rsidR="00B67497" w:rsidRDefault="00854AA3" w:rsidP="00854AA3">
      <w:pPr>
        <w:pStyle w:val="ListParagraph"/>
        <w:numPr>
          <w:ilvl w:val="0"/>
          <w:numId w:val="43"/>
        </w:numPr>
        <w:spacing w:after="240"/>
      </w:pPr>
      <w:r w:rsidRPr="00D43819">
        <w:t>the appropriate test(s) to use (</w:t>
      </w:r>
      <w:r w:rsidR="004D0079">
        <w:t>g</w:t>
      </w:r>
      <w:r w:rsidRPr="00D43819">
        <w:t xml:space="preserve">ap-PCR </w:t>
      </w:r>
      <w:r w:rsidR="00D73E0F" w:rsidRPr="00D43819">
        <w:t xml:space="preserve">and/or MLPA </w:t>
      </w:r>
      <w:r w:rsidRPr="00D43819">
        <w:t xml:space="preserve">deletion testing </w:t>
      </w:r>
      <w:r w:rsidR="00D73E0F" w:rsidRPr="00D43819">
        <w:t>or other</w:t>
      </w:r>
      <w:r w:rsidRPr="00D43819">
        <w:t xml:space="preserve"> diagnostic testing</w:t>
      </w:r>
      <w:r w:rsidR="00D73E0F" w:rsidRPr="00D43819">
        <w:t xml:space="preserve"> including sequencing</w:t>
      </w:r>
      <w:r w:rsidRPr="00D43819">
        <w:t xml:space="preserve">) in these two proposed clinical algorithms, </w:t>
      </w:r>
      <w:r w:rsidR="00B67497" w:rsidRPr="00D43819">
        <w:t xml:space="preserve"> </w:t>
      </w:r>
      <w:r w:rsidRPr="00D43819">
        <w:t>the order</w:t>
      </w:r>
      <w:r w:rsidR="00B67497" w:rsidRPr="00D43819">
        <w:t xml:space="preserve"> of testing in each</w:t>
      </w:r>
      <w:r w:rsidR="00B67497">
        <w:t xml:space="preserve"> algorithm if sequential testing is</w:t>
      </w:r>
      <w:r w:rsidRPr="00762E35">
        <w:t xml:space="preserve"> appropriate, and the costs per test</w:t>
      </w:r>
      <w:r w:rsidR="00B67497">
        <w:t xml:space="preserve"> or sequence of tests, and per patient; </w:t>
      </w:r>
    </w:p>
    <w:p w14:paraId="745B84DA" w14:textId="17B27588" w:rsidR="00854AA3" w:rsidRPr="00762E35" w:rsidRDefault="00B67497" w:rsidP="00854AA3">
      <w:pPr>
        <w:pStyle w:val="ListParagraph"/>
        <w:numPr>
          <w:ilvl w:val="0"/>
          <w:numId w:val="43"/>
        </w:numPr>
        <w:spacing w:after="240"/>
      </w:pPr>
      <w:r>
        <w:t>the cost effectiveness of using different testing approaches; and</w:t>
      </w:r>
    </w:p>
    <w:p w14:paraId="76048851" w14:textId="07E713E4" w:rsidR="00854AA3" w:rsidRPr="00762E35" w:rsidRDefault="00854AA3" w:rsidP="00854AA3">
      <w:pPr>
        <w:pStyle w:val="ListParagraph"/>
        <w:numPr>
          <w:ilvl w:val="0"/>
          <w:numId w:val="43"/>
        </w:numPr>
        <w:spacing w:after="240"/>
      </w:pPr>
      <w:r w:rsidRPr="00762E35">
        <w:t>total overall healthcare cost</w:t>
      </w:r>
      <w:r w:rsidR="004D4FA5">
        <w:t>s</w:t>
      </w:r>
      <w:r w:rsidRPr="00762E35">
        <w:t>.</w:t>
      </w:r>
    </w:p>
    <w:p w14:paraId="26EE85A3" w14:textId="77777777" w:rsidR="00854AA3" w:rsidRDefault="00854AA3" w:rsidP="00854AA3">
      <w:r w:rsidRPr="00762E35">
        <w:t>MSAC also requested further information on the potential for setting up a national registry along the lines already established in Victoria.</w:t>
      </w:r>
    </w:p>
    <w:p w14:paraId="6056D3E6" w14:textId="7DD0B994" w:rsidR="00854AA3" w:rsidRDefault="00854AA3" w:rsidP="00C639A7">
      <w:pPr>
        <w:spacing w:before="240"/>
      </w:pPr>
      <w:r w:rsidRPr="00762E35">
        <w:t xml:space="preserve">MSAC advised that this further information would need to be considered </w:t>
      </w:r>
      <w:r w:rsidR="00B67497">
        <w:t xml:space="preserve">by the </w:t>
      </w:r>
      <w:r w:rsidRPr="00762E35">
        <w:t>ESC.</w:t>
      </w:r>
    </w:p>
    <w:p w14:paraId="7E0C1769" w14:textId="61FC35BD" w:rsidR="00854AA3" w:rsidRDefault="00854AA3" w:rsidP="00C639A7">
      <w:pPr>
        <w:spacing w:before="240"/>
      </w:pPr>
      <w:r w:rsidRPr="00D43819">
        <w:rPr>
          <w:bCs/>
        </w:rPr>
        <w:t xml:space="preserve">MSAC </w:t>
      </w:r>
      <w:r w:rsidRPr="00D43819">
        <w:t xml:space="preserve">accepted the safety and clinical effectiveness of </w:t>
      </w:r>
      <w:r w:rsidRPr="00D43819">
        <w:rPr>
          <w:bCs/>
        </w:rPr>
        <w:t>alpha thalassaemia genetic testing using deletion test</w:t>
      </w:r>
      <w:r w:rsidR="00D73E0F" w:rsidRPr="00D43819">
        <w:rPr>
          <w:bCs/>
        </w:rPr>
        <w:t xml:space="preserve">ing via either </w:t>
      </w:r>
      <w:r w:rsidR="004D0079">
        <w:rPr>
          <w:bCs/>
        </w:rPr>
        <w:t>gap</w:t>
      </w:r>
      <w:r w:rsidR="00D73E0F" w:rsidRPr="00D43819">
        <w:rPr>
          <w:bCs/>
        </w:rPr>
        <w:t>-PCR or MLPA</w:t>
      </w:r>
      <w:r w:rsidRPr="00D43819">
        <w:rPr>
          <w:bCs/>
        </w:rPr>
        <w:t>,</w:t>
      </w:r>
      <w:r w:rsidR="00D73E0F" w:rsidRPr="00D43819">
        <w:rPr>
          <w:bCs/>
        </w:rPr>
        <w:t xml:space="preserve"> however noting that </w:t>
      </w:r>
      <w:r w:rsidR="004D0079">
        <w:rPr>
          <w:bCs/>
        </w:rPr>
        <w:t>gap</w:t>
      </w:r>
      <w:r w:rsidR="00D73E0F" w:rsidRPr="00D43819">
        <w:rPr>
          <w:bCs/>
        </w:rPr>
        <w:t xml:space="preserve">-PCR testing is </w:t>
      </w:r>
      <w:r w:rsidR="00D73E0F" w:rsidRPr="00D43819">
        <w:rPr>
          <w:bCs/>
        </w:rPr>
        <w:lastRenderedPageBreak/>
        <w:t>less effective than MLPA testing. MSAC</w:t>
      </w:r>
      <w:r w:rsidRPr="00D43819">
        <w:rPr>
          <w:bCs/>
        </w:rPr>
        <w:t xml:space="preserve"> a</w:t>
      </w:r>
      <w:r w:rsidRPr="00D43819">
        <w:t xml:space="preserve">cknowledged the current inequity of access to genetic </w:t>
      </w:r>
      <w:r w:rsidRPr="00D43819">
        <w:rPr>
          <w:bCs/>
        </w:rPr>
        <w:t>testing across</w:t>
      </w:r>
      <w:r w:rsidRPr="00D43819">
        <w:t xml:space="preserve"> Australia.</w:t>
      </w:r>
    </w:p>
    <w:p w14:paraId="30EB16D3" w14:textId="77777777" w:rsidR="00550354" w:rsidRPr="00F715D1" w:rsidRDefault="00550354" w:rsidP="00C67E29">
      <w:pPr>
        <w:pStyle w:val="Heading1"/>
        <w:ind w:left="567" w:hanging="567"/>
      </w:pPr>
      <w:r w:rsidRPr="00F715D1">
        <w:t xml:space="preserve">Summary of consideration and rationale for MSAC’s advice </w:t>
      </w:r>
    </w:p>
    <w:p w14:paraId="45D763E9" w14:textId="23CA7687" w:rsidR="00092A7D" w:rsidRDefault="00092A7D" w:rsidP="00EC5C6F">
      <w:pPr>
        <w:rPr>
          <w:rFonts w:eastAsia="Calibri"/>
          <w:szCs w:val="24"/>
          <w:lang w:eastAsia="en-US"/>
        </w:rPr>
      </w:pPr>
      <w:r w:rsidRPr="00EC5C6F">
        <w:t>MSAC noted that the purpose of the application is to seek Medicare Benefits Schedule (MBS) listing of alpha (</w:t>
      </w:r>
      <w:r w:rsidRPr="00EC5C6F">
        <w:sym w:font="Symbol" w:char="F061"/>
      </w:r>
      <w:r w:rsidRPr="00EC5C6F">
        <w:t xml:space="preserve">) thalassaemia genetic testing – a new item for genetic </w:t>
      </w:r>
      <w:r w:rsidR="00C67E29">
        <w:t xml:space="preserve">deletion </w:t>
      </w:r>
      <w:r w:rsidRPr="00EC5C6F">
        <w:t xml:space="preserve">testing of the </w:t>
      </w:r>
      <w:r w:rsidRPr="00EC5C6F">
        <w:sym w:font="Symbol" w:char="F061"/>
      </w:r>
      <w:r w:rsidRPr="00EC5C6F">
        <w:t>-globin genes – where haematological studies cannot provide a definitive diagnosis.</w:t>
      </w:r>
      <w:r w:rsidRPr="00092A7D">
        <w:rPr>
          <w:rFonts w:eastAsia="Calibri"/>
          <w:szCs w:val="24"/>
          <w:lang w:eastAsia="en-US"/>
        </w:rPr>
        <w:t xml:space="preserve"> </w:t>
      </w:r>
    </w:p>
    <w:p w14:paraId="484706EB" w14:textId="54775028" w:rsidR="00092A7D" w:rsidRPr="00092A7D" w:rsidRDefault="00092A7D" w:rsidP="00C639A7">
      <w:pPr>
        <w:spacing w:before="240" w:after="240"/>
        <w:rPr>
          <w:rFonts w:eastAsia="Calibri"/>
          <w:szCs w:val="24"/>
          <w:lang w:eastAsia="en-US"/>
        </w:rPr>
      </w:pPr>
      <w:r w:rsidRPr="00092A7D">
        <w:rPr>
          <w:rFonts w:eastAsia="Calibri"/>
          <w:szCs w:val="24"/>
          <w:lang w:eastAsia="en-US"/>
        </w:rPr>
        <w:t>Alpha thalassaemia is a disease with a complex genotype. Mutations in the two HBA genes (four alleles) result in varying disease severity, from silent carriers (one mutated allele) to haemoglobin Bart</w:t>
      </w:r>
      <w:r w:rsidR="00271F1F">
        <w:rPr>
          <w:rFonts w:eastAsia="Calibri"/>
          <w:szCs w:val="24"/>
          <w:lang w:eastAsia="en-US"/>
        </w:rPr>
        <w:t>’s</w:t>
      </w:r>
      <w:r w:rsidRPr="00092A7D">
        <w:rPr>
          <w:rFonts w:eastAsia="Calibri"/>
          <w:szCs w:val="24"/>
          <w:lang w:eastAsia="en-US"/>
        </w:rPr>
        <w:t xml:space="preserve"> hydrops fetalis syndrome (Hb Bart</w:t>
      </w:r>
      <w:r w:rsidR="00271F1F">
        <w:rPr>
          <w:rFonts w:eastAsia="Calibri"/>
          <w:szCs w:val="24"/>
          <w:lang w:eastAsia="en-US"/>
        </w:rPr>
        <w:t>’s</w:t>
      </w:r>
      <w:r w:rsidRPr="00092A7D">
        <w:rPr>
          <w:rFonts w:eastAsia="Calibri"/>
          <w:szCs w:val="24"/>
          <w:lang w:eastAsia="en-US"/>
        </w:rPr>
        <w:t>; four mutated alleles), which is</w:t>
      </w:r>
      <w:r w:rsidR="00C67E29">
        <w:rPr>
          <w:rFonts w:eastAsia="Calibri"/>
          <w:szCs w:val="24"/>
          <w:lang w:eastAsia="en-US"/>
        </w:rPr>
        <w:t xml:space="preserve"> </w:t>
      </w:r>
      <w:r w:rsidR="00916653">
        <w:rPr>
          <w:rFonts w:eastAsia="Calibri"/>
          <w:szCs w:val="24"/>
          <w:lang w:eastAsia="en-US"/>
        </w:rPr>
        <w:t>almost uniformly</w:t>
      </w:r>
      <w:r w:rsidRPr="00092A7D">
        <w:rPr>
          <w:rFonts w:eastAsia="Calibri"/>
          <w:szCs w:val="24"/>
          <w:lang w:eastAsia="en-US"/>
        </w:rPr>
        <w:t xml:space="preserve"> fatal in newborns. Women carrying an Hb Bart</w:t>
      </w:r>
      <w:r w:rsidR="00271F1F">
        <w:rPr>
          <w:rFonts w:eastAsia="Calibri"/>
          <w:szCs w:val="24"/>
          <w:lang w:eastAsia="en-US"/>
        </w:rPr>
        <w:t>’s</w:t>
      </w:r>
      <w:r w:rsidRPr="00092A7D">
        <w:rPr>
          <w:rFonts w:eastAsia="Calibri"/>
          <w:szCs w:val="24"/>
          <w:lang w:eastAsia="en-US"/>
        </w:rPr>
        <w:t xml:space="preserve"> fetus also have increased morbidity associated with the pregnancy. MSAC noted that the proposal is designed to provide reproductive options for at-risk parents, not to diagnose disease.</w:t>
      </w:r>
    </w:p>
    <w:p w14:paraId="67E149D9" w14:textId="65B4AE30" w:rsidR="00092A7D" w:rsidRDefault="00092A7D" w:rsidP="00092A7D">
      <w:pPr>
        <w:spacing w:after="240"/>
        <w:rPr>
          <w:rFonts w:eastAsia="Calibri"/>
          <w:szCs w:val="24"/>
          <w:lang w:eastAsia="en-US"/>
        </w:rPr>
      </w:pPr>
      <w:r w:rsidRPr="00755750">
        <w:rPr>
          <w:rFonts w:eastAsia="Calibri"/>
          <w:szCs w:val="24"/>
          <w:lang w:eastAsia="en-US"/>
        </w:rPr>
        <w:t>MSAC noted that t</w:t>
      </w:r>
      <w:r w:rsidRPr="00755750">
        <w:rPr>
          <w:rFonts w:eastAsia="Calibri"/>
          <w:color w:val="000000"/>
          <w:szCs w:val="24"/>
          <w:lang w:eastAsia="en-US"/>
        </w:rPr>
        <w:t xml:space="preserve">he incidence and mutation spectra of </w:t>
      </w:r>
      <w:r w:rsidRPr="00755750">
        <w:rPr>
          <w:rFonts w:eastAsia="Calibri"/>
          <w:color w:val="000000"/>
          <w:szCs w:val="24"/>
          <w:lang w:eastAsia="en-US"/>
        </w:rPr>
        <w:sym w:font="Symbol" w:char="F061"/>
      </w:r>
      <w:r w:rsidRPr="00755750">
        <w:rPr>
          <w:rFonts w:eastAsia="Calibri"/>
          <w:color w:val="000000"/>
          <w:szCs w:val="24"/>
          <w:lang w:eastAsia="en-US"/>
        </w:rPr>
        <w:t xml:space="preserve"> thalassaemia vary with ethnic background, with some ethnic groups (e.g. those from Asia and Africa) having a carrier rate as high as 60%. MSAC noted the increasing clinical need for </w:t>
      </w:r>
      <w:r w:rsidRPr="00755750">
        <w:rPr>
          <w:rFonts w:eastAsia="Calibri"/>
          <w:szCs w:val="24"/>
          <w:lang w:eastAsia="en-US"/>
        </w:rPr>
        <w:sym w:font="Symbol" w:char="F061"/>
      </w:r>
      <w:r w:rsidRPr="00755750">
        <w:rPr>
          <w:rFonts w:eastAsia="Calibri"/>
          <w:szCs w:val="24"/>
          <w:lang w:eastAsia="en-US"/>
        </w:rPr>
        <w:t xml:space="preserve"> thalassaemia testing, as the incidence of </w:t>
      </w:r>
      <w:r w:rsidRPr="00755750">
        <w:rPr>
          <w:rFonts w:eastAsia="Calibri"/>
          <w:szCs w:val="24"/>
          <w:lang w:eastAsia="en-US"/>
        </w:rPr>
        <w:sym w:font="Symbol" w:char="F061"/>
      </w:r>
      <w:r w:rsidRPr="00755750">
        <w:rPr>
          <w:rFonts w:eastAsia="Calibri"/>
          <w:szCs w:val="24"/>
          <w:lang w:eastAsia="en-US"/>
        </w:rPr>
        <w:t xml:space="preserve"> thalassaemia </w:t>
      </w:r>
      <w:r w:rsidR="007564FB" w:rsidRPr="00755750">
        <w:rPr>
          <w:rFonts w:eastAsia="Calibri"/>
          <w:szCs w:val="24"/>
          <w:lang w:eastAsia="en-US"/>
        </w:rPr>
        <w:t>has risen</w:t>
      </w:r>
      <w:r w:rsidRPr="00755750">
        <w:rPr>
          <w:rFonts w:eastAsia="Calibri"/>
          <w:szCs w:val="24"/>
          <w:lang w:eastAsia="en-US"/>
        </w:rPr>
        <w:t xml:space="preserve"> in Australia with increased migration from South-East Asia, Middle Asia and Africa.</w:t>
      </w:r>
    </w:p>
    <w:p w14:paraId="2F2FE85A" w14:textId="154FECAE" w:rsidR="002A3F60" w:rsidRPr="002A3F60" w:rsidRDefault="002A3F60" w:rsidP="002A3F60">
      <w:pPr>
        <w:autoSpaceDE w:val="0"/>
        <w:autoSpaceDN w:val="0"/>
        <w:adjustRightInd w:val="0"/>
        <w:rPr>
          <w:rFonts w:eastAsia="Calibri"/>
          <w:szCs w:val="24"/>
          <w:lang w:eastAsia="en-US"/>
        </w:rPr>
      </w:pPr>
      <w:r w:rsidRPr="00755750">
        <w:rPr>
          <w:rFonts w:eastAsia="Calibri"/>
          <w:szCs w:val="24"/>
          <w:lang w:eastAsia="en-US"/>
        </w:rPr>
        <w:t>α-Thalassemia is caused by deletion in approximately 95% of cases</w:t>
      </w:r>
      <w:r w:rsidRPr="00755750">
        <w:rPr>
          <w:rFonts w:eastAsia="Calibri"/>
          <w:szCs w:val="24"/>
          <w:vertAlign w:val="superscript"/>
          <w:lang w:eastAsia="en-US"/>
        </w:rPr>
        <w:footnoteReference w:id="1"/>
      </w:r>
      <w:r w:rsidRPr="00755750">
        <w:rPr>
          <w:rFonts w:eastAsia="Calibri"/>
          <w:szCs w:val="24"/>
          <w:lang w:eastAsia="en-US"/>
        </w:rPr>
        <w:t>.</w:t>
      </w:r>
      <w:r w:rsidR="00C930EB" w:rsidRPr="00755750">
        <w:rPr>
          <w:rFonts w:eastAsia="Calibri"/>
          <w:szCs w:val="24"/>
          <w:lang w:eastAsia="en-US"/>
        </w:rPr>
        <w:t xml:space="preserve"> In the remaining </w:t>
      </w:r>
      <w:r w:rsidR="005C65A3" w:rsidRPr="00755750">
        <w:rPr>
          <w:rFonts w:eastAsia="Calibri"/>
          <w:szCs w:val="24"/>
          <w:lang w:eastAsia="en-US"/>
        </w:rPr>
        <w:t>5% of cases</w:t>
      </w:r>
      <w:r w:rsidR="00C930EB" w:rsidRPr="00755750">
        <w:rPr>
          <w:rFonts w:eastAsia="Calibri"/>
          <w:szCs w:val="24"/>
          <w:lang w:eastAsia="en-US"/>
        </w:rPr>
        <w:t xml:space="preserve"> point mutations</w:t>
      </w:r>
      <w:r w:rsidR="005C65A3" w:rsidRPr="00755750">
        <w:rPr>
          <w:rFonts w:eastAsia="Calibri"/>
          <w:szCs w:val="24"/>
          <w:lang w:eastAsia="en-US"/>
        </w:rPr>
        <w:t>,</w:t>
      </w:r>
      <w:r w:rsidR="00C930EB" w:rsidRPr="00755750">
        <w:rPr>
          <w:rFonts w:eastAsia="Calibri"/>
          <w:szCs w:val="24"/>
          <w:lang w:eastAsia="en-US"/>
        </w:rPr>
        <w:t xml:space="preserve"> rather than deletions</w:t>
      </w:r>
      <w:r w:rsidR="005C65A3" w:rsidRPr="00755750">
        <w:rPr>
          <w:rFonts w:eastAsia="Calibri"/>
          <w:szCs w:val="24"/>
          <w:lang w:eastAsia="en-US"/>
        </w:rPr>
        <w:t>,</w:t>
      </w:r>
      <w:r w:rsidR="00C930EB" w:rsidRPr="00755750">
        <w:rPr>
          <w:rFonts w:eastAsia="Calibri"/>
          <w:szCs w:val="24"/>
          <w:lang w:eastAsia="en-US"/>
        </w:rPr>
        <w:t xml:space="preserve"> are found</w:t>
      </w:r>
      <w:r w:rsidR="006503A8" w:rsidRPr="00755750">
        <w:rPr>
          <w:rFonts w:eastAsia="Calibri"/>
          <w:szCs w:val="24"/>
          <w:lang w:eastAsia="en-US"/>
        </w:rPr>
        <w:t>, and</w:t>
      </w:r>
      <w:r w:rsidR="00755750" w:rsidRPr="00755750">
        <w:rPr>
          <w:rFonts w:eastAsia="Calibri"/>
          <w:szCs w:val="24"/>
          <w:lang w:eastAsia="en-US"/>
        </w:rPr>
        <w:t xml:space="preserve"> </w:t>
      </w:r>
      <w:r w:rsidR="006503A8" w:rsidRPr="00755750">
        <w:rPr>
          <w:rFonts w:eastAsia="Calibri"/>
          <w:szCs w:val="24"/>
          <w:lang w:eastAsia="en-US"/>
        </w:rPr>
        <w:t>t</w:t>
      </w:r>
      <w:r w:rsidR="007564FB" w:rsidRPr="00755750">
        <w:rPr>
          <w:rFonts w:eastAsia="Calibri"/>
          <w:szCs w:val="24"/>
          <w:lang w:eastAsia="en-US"/>
        </w:rPr>
        <w:t xml:space="preserve">hese </w:t>
      </w:r>
      <w:r w:rsidR="00C930EB" w:rsidRPr="00755750">
        <w:rPr>
          <w:rFonts w:eastAsia="Calibri"/>
          <w:szCs w:val="24"/>
          <w:lang w:eastAsia="en-US"/>
        </w:rPr>
        <w:t>are diagnosed by sequencing</w:t>
      </w:r>
      <w:r w:rsidR="007564FB" w:rsidRPr="00755750">
        <w:rPr>
          <w:rFonts w:eastAsia="Calibri"/>
          <w:szCs w:val="24"/>
          <w:lang w:eastAsia="en-US"/>
        </w:rPr>
        <w:t xml:space="preserve"> (Sanger or next generation).</w:t>
      </w:r>
    </w:p>
    <w:p w14:paraId="48DAF9ED" w14:textId="4F7F8D16" w:rsidR="00092A7D" w:rsidRDefault="00092A7D" w:rsidP="00C639A7">
      <w:pPr>
        <w:spacing w:before="240" w:after="240"/>
        <w:rPr>
          <w:rFonts w:eastAsia="Calibri"/>
          <w:color w:val="000000"/>
          <w:szCs w:val="24"/>
          <w:lang w:eastAsia="en-US"/>
        </w:rPr>
      </w:pPr>
      <w:r w:rsidRPr="00092A7D">
        <w:rPr>
          <w:rFonts w:eastAsia="Calibri"/>
          <w:szCs w:val="24"/>
          <w:lang w:eastAsia="en-US"/>
        </w:rPr>
        <w:t xml:space="preserve">MSAC </w:t>
      </w:r>
      <w:r w:rsidR="00EC5C6F">
        <w:rPr>
          <w:rFonts w:eastAsia="Calibri"/>
          <w:szCs w:val="24"/>
          <w:lang w:eastAsia="en-US"/>
        </w:rPr>
        <w:t xml:space="preserve">acknowledged </w:t>
      </w:r>
      <w:r w:rsidRPr="00092A7D">
        <w:rPr>
          <w:rFonts w:eastAsia="Calibri"/>
          <w:szCs w:val="24"/>
          <w:lang w:eastAsia="en-US"/>
        </w:rPr>
        <w:t xml:space="preserve">the </w:t>
      </w:r>
      <w:r w:rsidR="00EC5C6F">
        <w:rPr>
          <w:rFonts w:eastAsia="Calibri"/>
          <w:szCs w:val="24"/>
          <w:lang w:eastAsia="en-US"/>
        </w:rPr>
        <w:t xml:space="preserve">current </w:t>
      </w:r>
      <w:r w:rsidRPr="00092A7D">
        <w:rPr>
          <w:rFonts w:eastAsia="Calibri"/>
          <w:szCs w:val="24"/>
          <w:lang w:eastAsia="en-US"/>
        </w:rPr>
        <w:t>inequity of access to this genetic testing</w:t>
      </w:r>
      <w:r w:rsidR="00EC5C6F">
        <w:rPr>
          <w:rFonts w:eastAsia="Calibri"/>
          <w:szCs w:val="24"/>
          <w:lang w:eastAsia="en-US"/>
        </w:rPr>
        <w:t xml:space="preserve"> </w:t>
      </w:r>
      <w:r w:rsidRPr="00092A7D">
        <w:rPr>
          <w:rFonts w:eastAsia="Calibri"/>
          <w:szCs w:val="24"/>
          <w:lang w:eastAsia="en-US"/>
        </w:rPr>
        <w:t xml:space="preserve">across Australia. Currently, state governments and private out-of-pocket payments fund </w:t>
      </w:r>
      <w:r w:rsidRPr="00092A7D">
        <w:rPr>
          <w:rFonts w:eastAsia="Calibri"/>
          <w:color w:val="000000"/>
          <w:szCs w:val="24"/>
          <w:lang w:eastAsia="en-US"/>
        </w:rPr>
        <w:sym w:font="Symbol" w:char="F061"/>
      </w:r>
      <w:r w:rsidRPr="00092A7D">
        <w:rPr>
          <w:rFonts w:eastAsia="Calibri"/>
          <w:color w:val="000000"/>
          <w:szCs w:val="24"/>
          <w:lang w:eastAsia="en-US"/>
        </w:rPr>
        <w:t xml:space="preserve"> thalassaemia genetic testing to different degrees. </w:t>
      </w:r>
    </w:p>
    <w:p w14:paraId="2F6B01B4" w14:textId="0A0BFBAC" w:rsidR="002A3F60" w:rsidRDefault="002A3F60" w:rsidP="002A3F60">
      <w:pPr>
        <w:spacing w:after="240"/>
        <w:rPr>
          <w:rFonts w:eastAsia="Calibri"/>
          <w:szCs w:val="24"/>
          <w:lang w:eastAsia="en-US"/>
        </w:rPr>
      </w:pPr>
      <w:r w:rsidRPr="00092A7D">
        <w:rPr>
          <w:rFonts w:eastAsia="Calibri"/>
          <w:szCs w:val="24"/>
          <w:lang w:eastAsia="en-US"/>
        </w:rPr>
        <w:t xml:space="preserve">MSAC noted </w:t>
      </w:r>
      <w:r>
        <w:rPr>
          <w:rFonts w:eastAsia="Calibri"/>
          <w:szCs w:val="24"/>
          <w:lang w:eastAsia="en-US"/>
        </w:rPr>
        <w:t xml:space="preserve">the advice </w:t>
      </w:r>
      <w:r w:rsidRPr="00092A7D">
        <w:rPr>
          <w:rFonts w:eastAsia="Calibri"/>
          <w:szCs w:val="24"/>
          <w:lang w:eastAsia="en-US"/>
        </w:rPr>
        <w:t>that couples carrying an Hb Bart</w:t>
      </w:r>
      <w:r w:rsidR="00271F1F">
        <w:rPr>
          <w:rFonts w:eastAsia="Calibri"/>
          <w:szCs w:val="24"/>
          <w:lang w:eastAsia="en-US"/>
        </w:rPr>
        <w:t>’s</w:t>
      </w:r>
      <w:r w:rsidRPr="00092A7D">
        <w:rPr>
          <w:rFonts w:eastAsia="Calibri"/>
          <w:szCs w:val="24"/>
          <w:lang w:eastAsia="en-US"/>
        </w:rPr>
        <w:t xml:space="preserve"> fetus </w:t>
      </w:r>
      <w:r>
        <w:rPr>
          <w:rFonts w:eastAsia="Calibri"/>
          <w:szCs w:val="24"/>
          <w:lang w:eastAsia="en-US"/>
        </w:rPr>
        <w:t xml:space="preserve">frequently </w:t>
      </w:r>
      <w:r w:rsidRPr="00092A7D">
        <w:rPr>
          <w:rFonts w:eastAsia="Calibri"/>
          <w:szCs w:val="24"/>
          <w:lang w:eastAsia="en-US"/>
        </w:rPr>
        <w:t>choose termination of pregnancy (TOP) once diagnosed, and the major benefits of testing are avoiding the birth of a child with a</w:t>
      </w:r>
      <w:r w:rsidR="004D0079">
        <w:rPr>
          <w:rFonts w:eastAsia="Calibri"/>
          <w:szCs w:val="24"/>
          <w:lang w:eastAsia="en-US"/>
        </w:rPr>
        <w:t>n</w:t>
      </w:r>
      <w:r w:rsidRPr="00092A7D">
        <w:rPr>
          <w:rFonts w:eastAsia="Calibri"/>
          <w:szCs w:val="24"/>
          <w:lang w:eastAsia="en-US"/>
        </w:rPr>
        <w:t xml:space="preserve"> </w:t>
      </w:r>
      <w:r w:rsidR="004D0079">
        <w:rPr>
          <w:rFonts w:eastAsia="Calibri"/>
          <w:szCs w:val="24"/>
          <w:lang w:eastAsia="en-US"/>
        </w:rPr>
        <w:t xml:space="preserve">almost uniformly </w:t>
      </w:r>
      <w:r w:rsidRPr="00092A7D">
        <w:rPr>
          <w:rFonts w:eastAsia="Calibri"/>
          <w:szCs w:val="24"/>
          <w:lang w:eastAsia="en-US"/>
        </w:rPr>
        <w:t xml:space="preserve">lethal condition and maternal morbidity. MSAC </w:t>
      </w:r>
      <w:r w:rsidR="005E0D94">
        <w:rPr>
          <w:rFonts w:eastAsia="Calibri"/>
          <w:szCs w:val="24"/>
          <w:lang w:eastAsia="en-US"/>
        </w:rPr>
        <w:t>acknowledged</w:t>
      </w:r>
      <w:r w:rsidR="005E0D94" w:rsidRPr="00092A7D">
        <w:rPr>
          <w:rFonts w:eastAsia="Calibri"/>
          <w:szCs w:val="24"/>
          <w:lang w:eastAsia="en-US"/>
        </w:rPr>
        <w:t xml:space="preserve"> </w:t>
      </w:r>
      <w:r w:rsidRPr="00092A7D">
        <w:rPr>
          <w:rFonts w:eastAsia="Calibri"/>
          <w:szCs w:val="24"/>
          <w:lang w:eastAsia="en-US"/>
        </w:rPr>
        <w:t xml:space="preserve">that these benefits are difficult to quantify. </w:t>
      </w:r>
    </w:p>
    <w:p w14:paraId="653101E2" w14:textId="31B00887" w:rsidR="002A3F60" w:rsidRPr="00092A7D" w:rsidRDefault="002A3F60" w:rsidP="002A3F60">
      <w:pPr>
        <w:spacing w:after="240"/>
        <w:rPr>
          <w:rFonts w:eastAsia="Calibri"/>
          <w:szCs w:val="24"/>
          <w:lang w:eastAsia="en-US"/>
        </w:rPr>
      </w:pPr>
      <w:r w:rsidRPr="002A3F60">
        <w:rPr>
          <w:rFonts w:eastAsia="Calibri"/>
          <w:szCs w:val="24"/>
          <w:lang w:eastAsia="en-US"/>
        </w:rPr>
        <w:t>MSAC agreed that deletion testing offers superior effectiveness and non-inferior safety compared with no testing, even though the evidence is limited and of poor quality.</w:t>
      </w:r>
      <w:r w:rsidRPr="00092A7D">
        <w:rPr>
          <w:rFonts w:eastAsia="Calibri"/>
          <w:szCs w:val="24"/>
          <w:lang w:eastAsia="en-US"/>
        </w:rPr>
        <w:t xml:space="preserve"> </w:t>
      </w:r>
    </w:p>
    <w:p w14:paraId="4CDF0053" w14:textId="5080774E" w:rsidR="00D43819" w:rsidRDefault="002A3F60" w:rsidP="002A3F60">
      <w:pPr>
        <w:autoSpaceDE w:val="0"/>
        <w:autoSpaceDN w:val="0"/>
        <w:adjustRightInd w:val="0"/>
        <w:rPr>
          <w:rFonts w:eastAsia="Calibri"/>
          <w:color w:val="000000"/>
          <w:szCs w:val="24"/>
          <w:lang w:eastAsia="en-US"/>
        </w:rPr>
      </w:pPr>
      <w:r>
        <w:rPr>
          <w:rFonts w:eastAsia="Calibri"/>
          <w:color w:val="000000"/>
          <w:szCs w:val="24"/>
          <w:lang w:eastAsia="en-US"/>
        </w:rPr>
        <w:t xml:space="preserve">However, </w:t>
      </w:r>
      <w:r w:rsidR="00D43819">
        <w:rPr>
          <w:rFonts w:eastAsia="Calibri"/>
          <w:color w:val="000000"/>
          <w:szCs w:val="24"/>
          <w:lang w:eastAsia="en-US"/>
        </w:rPr>
        <w:t xml:space="preserve">MSAC noted that the initial proposal did not propose a test methodology for deletion testing. </w:t>
      </w:r>
      <w:r w:rsidR="00D43819" w:rsidRPr="00D43819">
        <w:rPr>
          <w:rFonts w:eastAsia="Calibri"/>
          <w:color w:val="000000"/>
          <w:szCs w:val="24"/>
          <w:lang w:eastAsia="en-US"/>
        </w:rPr>
        <w:t xml:space="preserve">MSAC </w:t>
      </w:r>
      <w:r w:rsidR="00D43819">
        <w:rPr>
          <w:rFonts w:eastAsia="Calibri"/>
          <w:color w:val="000000"/>
          <w:szCs w:val="24"/>
          <w:lang w:eastAsia="en-US"/>
        </w:rPr>
        <w:t xml:space="preserve">considered </w:t>
      </w:r>
      <w:r w:rsidR="00D43819" w:rsidRPr="00D43819">
        <w:rPr>
          <w:rFonts w:eastAsia="Calibri"/>
          <w:color w:val="000000"/>
          <w:szCs w:val="24"/>
          <w:lang w:eastAsia="en-US"/>
        </w:rPr>
        <w:t xml:space="preserve">a key area of uncertainty </w:t>
      </w:r>
      <w:r w:rsidR="00F67EBC">
        <w:rPr>
          <w:rFonts w:eastAsia="Calibri"/>
          <w:color w:val="000000"/>
          <w:szCs w:val="24"/>
          <w:lang w:eastAsia="en-US"/>
        </w:rPr>
        <w:t>is</w:t>
      </w:r>
      <w:r w:rsidR="00D43819" w:rsidRPr="00D43819">
        <w:rPr>
          <w:rFonts w:eastAsia="Calibri"/>
          <w:color w:val="000000"/>
          <w:szCs w:val="24"/>
          <w:lang w:eastAsia="en-US"/>
        </w:rPr>
        <w:t xml:space="preserve"> the type of genetic testing. Deletion testing by </w:t>
      </w:r>
      <w:r w:rsidR="004D0079">
        <w:rPr>
          <w:rFonts w:eastAsia="Calibri"/>
          <w:color w:val="000000"/>
          <w:szCs w:val="24"/>
          <w:lang w:eastAsia="en-US"/>
        </w:rPr>
        <w:t>g</w:t>
      </w:r>
      <w:r w:rsidR="00D43819" w:rsidRPr="00D43819">
        <w:rPr>
          <w:rFonts w:eastAsia="Calibri"/>
          <w:color w:val="000000"/>
          <w:szCs w:val="24"/>
          <w:lang w:eastAsia="en-US"/>
        </w:rPr>
        <w:t>ap-PCR is of inferior effectiveness to deletion testing by Multiplex ligation-dependent probe amplification (MLPA)</w:t>
      </w:r>
      <w:r w:rsidR="00D43819" w:rsidRPr="002A3F60">
        <w:rPr>
          <w:rFonts w:eastAsia="Calibri"/>
          <w:color w:val="000000"/>
          <w:szCs w:val="24"/>
          <w:lang w:eastAsia="en-US"/>
        </w:rPr>
        <w:t>.</w:t>
      </w:r>
      <w:r w:rsidR="00D43819" w:rsidRPr="00D43819">
        <w:rPr>
          <w:rFonts w:eastAsia="Calibri"/>
          <w:color w:val="000000"/>
          <w:szCs w:val="24"/>
          <w:lang w:eastAsia="en-US"/>
        </w:rPr>
        <w:t xml:space="preserve"> Gap-PCR deletion testing only captures about 84% of </w:t>
      </w:r>
      <w:r>
        <w:rPr>
          <w:rFonts w:eastAsia="Calibri"/>
          <w:color w:val="000000"/>
          <w:szCs w:val="24"/>
          <w:lang w:eastAsia="en-US"/>
        </w:rPr>
        <w:t>deletions</w:t>
      </w:r>
      <w:r w:rsidR="00D43819" w:rsidRPr="00D43819">
        <w:rPr>
          <w:rFonts w:eastAsia="Calibri"/>
          <w:color w:val="000000"/>
          <w:szCs w:val="24"/>
          <w:lang w:eastAsia="en-US"/>
        </w:rPr>
        <w:t xml:space="preserve">. MLPA </w:t>
      </w:r>
      <w:r>
        <w:rPr>
          <w:rFonts w:eastAsia="Calibri"/>
          <w:color w:val="000000"/>
          <w:szCs w:val="24"/>
          <w:lang w:eastAsia="en-US"/>
        </w:rPr>
        <w:t xml:space="preserve">testing </w:t>
      </w:r>
      <w:r w:rsidRPr="006237E5">
        <w:rPr>
          <w:rFonts w:eastAsia="Calibri"/>
          <w:color w:val="000000"/>
          <w:szCs w:val="24"/>
          <w:lang w:eastAsia="en-US"/>
        </w:rPr>
        <w:t>is required</w:t>
      </w:r>
      <w:r w:rsidR="00EE7C14">
        <w:rPr>
          <w:rFonts w:eastAsia="Calibri"/>
          <w:color w:val="000000"/>
          <w:szCs w:val="24"/>
          <w:lang w:eastAsia="en-US"/>
        </w:rPr>
        <w:t xml:space="preserve"> to</w:t>
      </w:r>
      <w:r w:rsidRPr="006237E5">
        <w:rPr>
          <w:rFonts w:eastAsia="Calibri"/>
          <w:color w:val="000000"/>
          <w:szCs w:val="24"/>
          <w:lang w:eastAsia="en-US"/>
        </w:rPr>
        <w:t xml:space="preserve"> c</w:t>
      </w:r>
      <w:r w:rsidR="00D43819" w:rsidRPr="006237E5">
        <w:rPr>
          <w:rFonts w:eastAsia="Calibri"/>
          <w:color w:val="000000"/>
          <w:szCs w:val="24"/>
          <w:lang w:eastAsia="en-US"/>
        </w:rPr>
        <w:t xml:space="preserve">apture the remaining 16% of </w:t>
      </w:r>
      <w:r w:rsidRPr="006237E5">
        <w:rPr>
          <w:rFonts w:eastAsia="Calibri"/>
          <w:color w:val="000000"/>
          <w:szCs w:val="24"/>
          <w:lang w:eastAsia="en-US"/>
        </w:rPr>
        <w:t>deletions</w:t>
      </w:r>
      <w:r w:rsidR="00EE7C14">
        <w:rPr>
          <w:rFonts w:eastAsia="Calibri"/>
          <w:color w:val="000000"/>
          <w:szCs w:val="24"/>
          <w:lang w:eastAsia="en-US"/>
        </w:rPr>
        <w:t xml:space="preserve">. </w:t>
      </w:r>
      <w:r w:rsidRPr="006237E5">
        <w:rPr>
          <w:rFonts w:eastAsia="Calibri"/>
          <w:color w:val="000000"/>
          <w:szCs w:val="24"/>
          <w:lang w:eastAsia="en-US"/>
        </w:rPr>
        <w:t xml:space="preserve">Sanger sequencing is the </w:t>
      </w:r>
      <w:r w:rsidR="006237E5" w:rsidRPr="006237E5">
        <w:rPr>
          <w:rFonts w:eastAsia="Calibri"/>
          <w:color w:val="000000"/>
          <w:szCs w:val="24"/>
          <w:lang w:eastAsia="en-US"/>
        </w:rPr>
        <w:t>b</w:t>
      </w:r>
      <w:r w:rsidRPr="006237E5">
        <w:rPr>
          <w:rFonts w:eastAsia="Calibri"/>
          <w:szCs w:val="24"/>
        </w:rPr>
        <w:t>est current method for characterizing</w:t>
      </w:r>
      <w:r w:rsidR="006237E5">
        <w:rPr>
          <w:rFonts w:eastAsia="Calibri"/>
          <w:szCs w:val="24"/>
        </w:rPr>
        <w:t xml:space="preserve"> </w:t>
      </w:r>
      <w:r w:rsidRPr="006237E5">
        <w:rPr>
          <w:rFonts w:eastAsia="Calibri"/>
          <w:szCs w:val="24"/>
        </w:rPr>
        <w:t>globin variants and point mutations causing thalassemia</w:t>
      </w:r>
      <w:r w:rsidR="00D43819" w:rsidRPr="006237E5">
        <w:rPr>
          <w:rFonts w:eastAsia="Calibri"/>
          <w:color w:val="000000"/>
          <w:szCs w:val="24"/>
          <w:lang w:eastAsia="en-US"/>
        </w:rPr>
        <w:t>.</w:t>
      </w:r>
    </w:p>
    <w:p w14:paraId="4E89D30A" w14:textId="287CA196" w:rsidR="006237E5" w:rsidRPr="00092A7D" w:rsidRDefault="006237E5" w:rsidP="00C639A7">
      <w:pPr>
        <w:spacing w:before="240" w:after="120"/>
        <w:rPr>
          <w:rFonts w:eastAsia="Calibri"/>
          <w:szCs w:val="24"/>
          <w:lang w:eastAsia="en-US"/>
        </w:rPr>
      </w:pPr>
      <w:r>
        <w:rPr>
          <w:rFonts w:eastAsia="Calibri"/>
          <w:szCs w:val="24"/>
          <w:lang w:eastAsia="en-US"/>
        </w:rPr>
        <w:t xml:space="preserve">The </w:t>
      </w:r>
      <w:r w:rsidRPr="00092A7D">
        <w:rPr>
          <w:rFonts w:eastAsia="Calibri"/>
          <w:szCs w:val="24"/>
          <w:lang w:eastAsia="en-US"/>
        </w:rPr>
        <w:t xml:space="preserve">MSAC </w:t>
      </w:r>
      <w:r>
        <w:rPr>
          <w:rFonts w:eastAsia="Calibri"/>
          <w:szCs w:val="24"/>
          <w:lang w:eastAsia="en-US"/>
        </w:rPr>
        <w:t>noted</w:t>
      </w:r>
      <w:r w:rsidRPr="00092A7D">
        <w:rPr>
          <w:rFonts w:eastAsia="Calibri"/>
          <w:szCs w:val="24"/>
          <w:lang w:eastAsia="en-US"/>
        </w:rPr>
        <w:t xml:space="preserve"> that</w:t>
      </w:r>
      <w:r>
        <w:rPr>
          <w:rFonts w:eastAsia="Calibri"/>
          <w:szCs w:val="24"/>
          <w:lang w:eastAsia="en-US"/>
        </w:rPr>
        <w:t xml:space="preserve"> </w:t>
      </w:r>
      <w:r w:rsidR="000C6C3E">
        <w:rPr>
          <w:rFonts w:eastAsia="Calibri"/>
          <w:szCs w:val="24"/>
          <w:lang w:eastAsia="en-US"/>
        </w:rPr>
        <w:t xml:space="preserve">the </w:t>
      </w:r>
      <w:r>
        <w:rPr>
          <w:rFonts w:eastAsia="Calibri"/>
          <w:szCs w:val="24"/>
          <w:lang w:eastAsia="en-US"/>
        </w:rPr>
        <w:t xml:space="preserve">application </w:t>
      </w:r>
      <w:r w:rsidR="00EE7C14">
        <w:rPr>
          <w:rFonts w:eastAsia="Calibri"/>
          <w:szCs w:val="24"/>
          <w:lang w:eastAsia="en-US"/>
        </w:rPr>
        <w:t>p</w:t>
      </w:r>
      <w:r w:rsidR="002F60E6">
        <w:rPr>
          <w:rFonts w:eastAsia="Calibri"/>
          <w:szCs w:val="24"/>
          <w:lang w:eastAsia="en-US"/>
        </w:rPr>
        <w:t>r</w:t>
      </w:r>
      <w:r w:rsidR="00EE7C14">
        <w:rPr>
          <w:rFonts w:eastAsia="Calibri"/>
          <w:szCs w:val="24"/>
          <w:lang w:eastAsia="en-US"/>
        </w:rPr>
        <w:t>oposed</w:t>
      </w:r>
      <w:r w:rsidRPr="00092A7D">
        <w:rPr>
          <w:rFonts w:eastAsia="Calibri"/>
          <w:szCs w:val="24"/>
          <w:lang w:eastAsia="en-US"/>
        </w:rPr>
        <w:t xml:space="preserve"> there are two </w:t>
      </w:r>
      <w:r w:rsidR="00807518">
        <w:rPr>
          <w:rFonts w:eastAsia="Calibri"/>
          <w:szCs w:val="24"/>
          <w:lang w:eastAsia="en-US"/>
        </w:rPr>
        <w:t xml:space="preserve">clinical </w:t>
      </w:r>
      <w:r w:rsidRPr="00092A7D">
        <w:rPr>
          <w:rFonts w:eastAsia="Calibri"/>
          <w:szCs w:val="24"/>
          <w:lang w:eastAsia="en-US"/>
        </w:rPr>
        <w:t xml:space="preserve">scenarios where genetic testing is </w:t>
      </w:r>
      <w:r>
        <w:rPr>
          <w:rFonts w:eastAsia="Calibri"/>
          <w:szCs w:val="24"/>
          <w:lang w:eastAsia="en-US"/>
        </w:rPr>
        <w:t>appropriate</w:t>
      </w:r>
      <w:r w:rsidRPr="00092A7D">
        <w:rPr>
          <w:rFonts w:eastAsia="Calibri"/>
          <w:szCs w:val="24"/>
          <w:lang w:eastAsia="en-US"/>
        </w:rPr>
        <w:t xml:space="preserve">: </w:t>
      </w:r>
    </w:p>
    <w:p w14:paraId="187208A4" w14:textId="75739DA1" w:rsidR="006237E5" w:rsidRPr="00092A7D" w:rsidRDefault="006237E5" w:rsidP="006237E5">
      <w:pPr>
        <w:numPr>
          <w:ilvl w:val="0"/>
          <w:numId w:val="42"/>
        </w:numPr>
        <w:spacing w:after="240"/>
        <w:contextualSpacing/>
        <w:rPr>
          <w:rFonts w:eastAsia="Calibri"/>
          <w:szCs w:val="24"/>
          <w:lang w:eastAsia="en-US"/>
        </w:rPr>
      </w:pPr>
      <w:r w:rsidRPr="00092A7D">
        <w:rPr>
          <w:rFonts w:eastAsia="Calibri"/>
          <w:szCs w:val="24"/>
          <w:lang w:eastAsia="en-US"/>
        </w:rPr>
        <w:t>pre-pregnancy planning: couples at risk of having an Hb Bart</w:t>
      </w:r>
      <w:r w:rsidR="00271F1F">
        <w:rPr>
          <w:rFonts w:eastAsia="Calibri"/>
          <w:szCs w:val="24"/>
          <w:lang w:eastAsia="en-US"/>
        </w:rPr>
        <w:t>’s</w:t>
      </w:r>
      <w:r w:rsidRPr="00092A7D">
        <w:rPr>
          <w:rFonts w:eastAsia="Calibri"/>
          <w:szCs w:val="24"/>
          <w:lang w:eastAsia="en-US"/>
        </w:rPr>
        <w:t xml:space="preserve"> fetus should undergo testing before pregnancy</w:t>
      </w:r>
      <w:r>
        <w:rPr>
          <w:rFonts w:eastAsia="Calibri"/>
          <w:szCs w:val="24"/>
          <w:lang w:eastAsia="en-US"/>
        </w:rPr>
        <w:t>; and</w:t>
      </w:r>
    </w:p>
    <w:p w14:paraId="69C24588" w14:textId="03772099" w:rsidR="006237E5" w:rsidRDefault="006237E5" w:rsidP="006237E5">
      <w:pPr>
        <w:numPr>
          <w:ilvl w:val="0"/>
          <w:numId w:val="42"/>
        </w:numPr>
        <w:spacing w:after="240"/>
        <w:contextualSpacing/>
        <w:rPr>
          <w:rFonts w:eastAsia="Calibri"/>
          <w:szCs w:val="24"/>
          <w:lang w:eastAsia="en-US"/>
        </w:rPr>
      </w:pPr>
      <w:r w:rsidRPr="00BA1C38">
        <w:rPr>
          <w:rFonts w:eastAsia="Calibri"/>
          <w:szCs w:val="24"/>
          <w:lang w:eastAsia="en-US"/>
        </w:rPr>
        <w:t xml:space="preserve">at-risk pregnant couples: the application </w:t>
      </w:r>
      <w:r>
        <w:rPr>
          <w:rFonts w:eastAsia="Calibri"/>
          <w:szCs w:val="24"/>
          <w:lang w:eastAsia="en-US"/>
        </w:rPr>
        <w:t>proposed</w:t>
      </w:r>
      <w:r w:rsidRPr="00BA1C38">
        <w:rPr>
          <w:rFonts w:eastAsia="Calibri"/>
          <w:szCs w:val="24"/>
          <w:lang w:eastAsia="en-US"/>
        </w:rPr>
        <w:t xml:space="preserve"> woman could undergo testing first; a positive result would initiate subsequent testing of the male partner. </w:t>
      </w:r>
    </w:p>
    <w:p w14:paraId="57FEEC10" w14:textId="0F080553" w:rsidR="006237E5" w:rsidRPr="00092A7D" w:rsidRDefault="006237E5" w:rsidP="006237E5">
      <w:pPr>
        <w:spacing w:after="240"/>
        <w:rPr>
          <w:rFonts w:eastAsia="Calibri"/>
          <w:szCs w:val="24"/>
          <w:lang w:eastAsia="en-US"/>
        </w:rPr>
      </w:pPr>
      <w:r w:rsidRPr="00092A7D">
        <w:rPr>
          <w:rFonts w:eastAsia="Calibri"/>
          <w:szCs w:val="24"/>
          <w:lang w:eastAsia="en-US"/>
        </w:rPr>
        <w:lastRenderedPageBreak/>
        <w:t xml:space="preserve">MSAC considered that clinical input from haematologists is required to address the first scenario. If </w:t>
      </w:r>
      <w:r>
        <w:rPr>
          <w:rFonts w:eastAsia="Calibri"/>
          <w:szCs w:val="24"/>
          <w:lang w:eastAsia="en-US"/>
        </w:rPr>
        <w:t xml:space="preserve">either parent </w:t>
      </w:r>
      <w:r w:rsidRPr="00092A7D">
        <w:rPr>
          <w:rFonts w:eastAsia="Calibri"/>
          <w:szCs w:val="24"/>
          <w:lang w:eastAsia="en-US"/>
        </w:rPr>
        <w:t>ha</w:t>
      </w:r>
      <w:r>
        <w:rPr>
          <w:rFonts w:eastAsia="Calibri"/>
          <w:szCs w:val="24"/>
          <w:lang w:eastAsia="en-US"/>
        </w:rPr>
        <w:t>s</w:t>
      </w:r>
      <w:r w:rsidRPr="00092A7D">
        <w:rPr>
          <w:rFonts w:eastAsia="Calibri"/>
          <w:szCs w:val="24"/>
          <w:lang w:eastAsia="en-US"/>
        </w:rPr>
        <w:t xml:space="preserve"> suggestive </w:t>
      </w:r>
      <w:r w:rsidR="00D576B7">
        <w:rPr>
          <w:rFonts w:eastAsia="Calibri"/>
          <w:szCs w:val="24"/>
          <w:lang w:eastAsia="en-US"/>
        </w:rPr>
        <w:t>haematological</w:t>
      </w:r>
      <w:r w:rsidR="005C65A3">
        <w:rPr>
          <w:rFonts w:eastAsia="Calibri"/>
          <w:szCs w:val="24"/>
          <w:lang w:eastAsia="en-US"/>
        </w:rPr>
        <w:t xml:space="preserve"> </w:t>
      </w:r>
      <w:r w:rsidRPr="00092A7D">
        <w:rPr>
          <w:rFonts w:eastAsia="Calibri"/>
          <w:szCs w:val="24"/>
          <w:lang w:eastAsia="en-US"/>
        </w:rPr>
        <w:t xml:space="preserve">indices, </w:t>
      </w:r>
      <w:r>
        <w:rPr>
          <w:rFonts w:eastAsia="Calibri"/>
          <w:szCs w:val="24"/>
          <w:lang w:eastAsia="en-US"/>
        </w:rPr>
        <w:t>gap-PCR deletion testing may be</w:t>
      </w:r>
      <w:r w:rsidRPr="00092A7D">
        <w:rPr>
          <w:rFonts w:eastAsia="Calibri"/>
          <w:szCs w:val="24"/>
          <w:lang w:eastAsia="en-US"/>
        </w:rPr>
        <w:t xml:space="preserve"> appropriate. If </w:t>
      </w:r>
      <w:r>
        <w:rPr>
          <w:rFonts w:eastAsia="Calibri"/>
          <w:szCs w:val="24"/>
          <w:lang w:eastAsia="en-US"/>
        </w:rPr>
        <w:t xml:space="preserve">gap-PCR </w:t>
      </w:r>
      <w:r w:rsidR="005C65A3">
        <w:rPr>
          <w:rFonts w:eastAsia="Calibri"/>
          <w:szCs w:val="24"/>
          <w:lang w:eastAsia="en-US"/>
        </w:rPr>
        <w:t xml:space="preserve">deletion </w:t>
      </w:r>
      <w:r w:rsidRPr="00092A7D">
        <w:rPr>
          <w:rFonts w:eastAsia="Calibri"/>
          <w:szCs w:val="24"/>
          <w:lang w:eastAsia="en-US"/>
        </w:rPr>
        <w:t xml:space="preserve">testing is negative, then </w:t>
      </w:r>
      <w:r>
        <w:rPr>
          <w:rFonts w:eastAsia="Calibri"/>
          <w:szCs w:val="24"/>
          <w:lang w:eastAsia="en-US"/>
        </w:rPr>
        <w:t xml:space="preserve">MLPA </w:t>
      </w:r>
      <w:r w:rsidR="005C65A3">
        <w:rPr>
          <w:rFonts w:eastAsia="Calibri"/>
          <w:szCs w:val="24"/>
          <w:lang w:eastAsia="en-US"/>
        </w:rPr>
        <w:t xml:space="preserve">deletion </w:t>
      </w:r>
      <w:r>
        <w:rPr>
          <w:rFonts w:eastAsia="Calibri"/>
          <w:szCs w:val="24"/>
          <w:lang w:eastAsia="en-US"/>
        </w:rPr>
        <w:t>testing</w:t>
      </w:r>
      <w:r w:rsidRPr="00092A7D">
        <w:rPr>
          <w:rFonts w:eastAsia="Calibri"/>
          <w:szCs w:val="24"/>
          <w:lang w:eastAsia="en-US"/>
        </w:rPr>
        <w:t xml:space="preserve"> </w:t>
      </w:r>
      <w:r w:rsidR="005C65A3">
        <w:rPr>
          <w:rFonts w:eastAsia="Calibri"/>
          <w:szCs w:val="24"/>
          <w:lang w:eastAsia="en-US"/>
        </w:rPr>
        <w:t>w</w:t>
      </w:r>
      <w:r w:rsidRPr="00092A7D">
        <w:rPr>
          <w:rFonts w:eastAsia="Calibri"/>
          <w:szCs w:val="24"/>
          <w:lang w:eastAsia="en-US"/>
        </w:rPr>
        <w:t xml:space="preserve">ould be warranted. </w:t>
      </w:r>
      <w:r w:rsidR="00C930EB">
        <w:rPr>
          <w:rFonts w:eastAsia="Calibri"/>
          <w:szCs w:val="24"/>
          <w:lang w:eastAsia="en-US"/>
        </w:rPr>
        <w:t xml:space="preserve">Alternatively, MLPA </w:t>
      </w:r>
      <w:r w:rsidR="005C65A3">
        <w:rPr>
          <w:rFonts w:eastAsia="Calibri"/>
          <w:szCs w:val="24"/>
          <w:lang w:eastAsia="en-US"/>
        </w:rPr>
        <w:t xml:space="preserve">deletion testing </w:t>
      </w:r>
      <w:r w:rsidR="00C930EB">
        <w:rPr>
          <w:rFonts w:eastAsia="Calibri"/>
          <w:szCs w:val="24"/>
          <w:lang w:eastAsia="en-US"/>
        </w:rPr>
        <w:t xml:space="preserve">alone could be used in these individuals, but the </w:t>
      </w:r>
      <w:r w:rsidR="005C65A3">
        <w:rPr>
          <w:rFonts w:eastAsia="Calibri"/>
          <w:szCs w:val="24"/>
          <w:lang w:eastAsia="en-US"/>
        </w:rPr>
        <w:t xml:space="preserve">comparative </w:t>
      </w:r>
      <w:r w:rsidR="00C930EB">
        <w:rPr>
          <w:rFonts w:eastAsia="Calibri"/>
          <w:szCs w:val="24"/>
          <w:lang w:eastAsia="en-US"/>
        </w:rPr>
        <w:t>cost-effectiveness of this method</w:t>
      </w:r>
      <w:r w:rsidR="005C65A3">
        <w:rPr>
          <w:rFonts w:eastAsia="Calibri"/>
          <w:szCs w:val="24"/>
          <w:lang w:eastAsia="en-US"/>
        </w:rPr>
        <w:t xml:space="preserve"> to </w:t>
      </w:r>
      <w:r w:rsidR="004D0079">
        <w:rPr>
          <w:rFonts w:eastAsia="Calibri"/>
          <w:szCs w:val="24"/>
          <w:lang w:eastAsia="en-US"/>
        </w:rPr>
        <w:t xml:space="preserve">sequential </w:t>
      </w:r>
      <w:r w:rsidR="005C65A3">
        <w:rPr>
          <w:rFonts w:eastAsia="Calibri"/>
          <w:szCs w:val="24"/>
          <w:lang w:eastAsia="en-US"/>
        </w:rPr>
        <w:t>gap-PCR plus MLPA</w:t>
      </w:r>
      <w:r w:rsidR="004D0079">
        <w:rPr>
          <w:rFonts w:eastAsia="Calibri"/>
          <w:szCs w:val="24"/>
          <w:lang w:eastAsia="en-US"/>
        </w:rPr>
        <w:t xml:space="preserve"> in a sub-set of individuals</w:t>
      </w:r>
      <w:r w:rsidR="00C930EB">
        <w:rPr>
          <w:rFonts w:eastAsia="Calibri"/>
          <w:szCs w:val="24"/>
          <w:lang w:eastAsia="en-US"/>
        </w:rPr>
        <w:t xml:space="preserve"> is to be established. </w:t>
      </w:r>
      <w:r w:rsidRPr="00092A7D">
        <w:rPr>
          <w:rFonts w:eastAsia="Calibri"/>
          <w:szCs w:val="24"/>
          <w:lang w:eastAsia="en-US"/>
        </w:rPr>
        <w:t xml:space="preserve">Victoria, which currently funds </w:t>
      </w:r>
      <w:r w:rsidRPr="00092A7D">
        <w:rPr>
          <w:rFonts w:eastAsia="Calibri"/>
          <w:szCs w:val="24"/>
          <w:lang w:eastAsia="en-US"/>
        </w:rPr>
        <w:sym w:font="Symbol" w:char="F061"/>
      </w:r>
      <w:r w:rsidRPr="00092A7D">
        <w:rPr>
          <w:rFonts w:eastAsia="Calibri"/>
          <w:szCs w:val="24"/>
          <w:lang w:eastAsia="en-US"/>
        </w:rPr>
        <w:t> thalassaemia testing, should be able to provide data regarding numbers of couples requiring MLPA testing.</w:t>
      </w:r>
    </w:p>
    <w:p w14:paraId="02EEFEFD" w14:textId="072E3771" w:rsidR="006237E5" w:rsidRDefault="006237E5" w:rsidP="006237E5">
      <w:pPr>
        <w:spacing w:after="240"/>
        <w:contextualSpacing/>
        <w:rPr>
          <w:rFonts w:eastAsia="Calibri"/>
          <w:szCs w:val="24"/>
          <w:lang w:eastAsia="en-US"/>
        </w:rPr>
      </w:pPr>
      <w:r w:rsidRPr="00092A7D">
        <w:rPr>
          <w:rFonts w:eastAsia="Calibri"/>
          <w:szCs w:val="24"/>
          <w:lang w:eastAsia="en-US"/>
        </w:rPr>
        <w:t xml:space="preserve">For the second scenario, MSAC considered these cases more urgent and </w:t>
      </w:r>
      <w:r>
        <w:rPr>
          <w:rFonts w:eastAsia="Calibri"/>
          <w:szCs w:val="24"/>
          <w:lang w:eastAsia="en-US"/>
        </w:rPr>
        <w:t xml:space="preserve">may </w:t>
      </w:r>
      <w:r w:rsidRPr="00092A7D">
        <w:rPr>
          <w:rFonts w:eastAsia="Calibri"/>
          <w:szCs w:val="24"/>
          <w:lang w:eastAsia="en-US"/>
        </w:rPr>
        <w:t xml:space="preserve">require both partners to undergo immediate </w:t>
      </w:r>
      <w:r>
        <w:rPr>
          <w:rFonts w:eastAsia="Calibri"/>
          <w:szCs w:val="24"/>
          <w:lang w:eastAsia="en-US"/>
        </w:rPr>
        <w:t xml:space="preserve">comprehensive </w:t>
      </w:r>
      <w:r w:rsidRPr="00092A7D">
        <w:rPr>
          <w:rFonts w:eastAsia="Calibri"/>
          <w:szCs w:val="24"/>
          <w:lang w:eastAsia="en-US"/>
        </w:rPr>
        <w:t>deletion testing</w:t>
      </w:r>
      <w:r w:rsidR="005C65A3">
        <w:rPr>
          <w:rFonts w:eastAsia="Calibri"/>
          <w:szCs w:val="24"/>
          <w:lang w:eastAsia="en-US"/>
        </w:rPr>
        <w:t xml:space="preserve"> concurrently</w:t>
      </w:r>
      <w:r w:rsidR="002347FB">
        <w:rPr>
          <w:rFonts w:eastAsia="Calibri"/>
          <w:szCs w:val="24"/>
          <w:lang w:eastAsia="en-US"/>
        </w:rPr>
        <w:t>,</w:t>
      </w:r>
      <w:r>
        <w:rPr>
          <w:rFonts w:eastAsia="Calibri"/>
          <w:szCs w:val="24"/>
          <w:lang w:eastAsia="en-US"/>
        </w:rPr>
        <w:t xml:space="preserve"> as</w:t>
      </w:r>
      <w:r w:rsidRPr="00092A7D">
        <w:rPr>
          <w:rFonts w:eastAsia="Calibri"/>
          <w:szCs w:val="24"/>
          <w:lang w:eastAsia="en-US"/>
        </w:rPr>
        <w:t xml:space="preserve"> the tim</w:t>
      </w:r>
      <w:r>
        <w:rPr>
          <w:rFonts w:eastAsia="Calibri"/>
          <w:szCs w:val="24"/>
          <w:lang w:eastAsia="en-US"/>
        </w:rPr>
        <w:t xml:space="preserve">e taken to follow the </w:t>
      </w:r>
      <w:r w:rsidRPr="00092A7D">
        <w:rPr>
          <w:rFonts w:eastAsia="Calibri"/>
          <w:szCs w:val="24"/>
          <w:lang w:eastAsia="en-US"/>
        </w:rPr>
        <w:t xml:space="preserve">pathway </w:t>
      </w:r>
      <w:r>
        <w:rPr>
          <w:rFonts w:eastAsia="Calibri"/>
          <w:szCs w:val="24"/>
          <w:lang w:eastAsia="en-US"/>
        </w:rPr>
        <w:t xml:space="preserve">proposed by the applicant </w:t>
      </w:r>
      <w:r w:rsidR="005C65A3">
        <w:rPr>
          <w:rFonts w:eastAsia="Calibri"/>
          <w:szCs w:val="24"/>
          <w:lang w:eastAsia="en-US"/>
        </w:rPr>
        <w:t>(i.e. sequential deletion testing</w:t>
      </w:r>
      <w:r w:rsidR="004D0079">
        <w:rPr>
          <w:rFonts w:eastAsia="Calibri"/>
          <w:szCs w:val="24"/>
          <w:lang w:eastAsia="en-US"/>
        </w:rPr>
        <w:t xml:space="preserve"> of the woman, then the man</w:t>
      </w:r>
      <w:r w:rsidR="005C65A3">
        <w:rPr>
          <w:rFonts w:eastAsia="Calibri"/>
          <w:szCs w:val="24"/>
          <w:lang w:eastAsia="en-US"/>
        </w:rPr>
        <w:t xml:space="preserve">) </w:t>
      </w:r>
      <w:r w:rsidRPr="00092A7D">
        <w:rPr>
          <w:rFonts w:eastAsia="Calibri"/>
          <w:szCs w:val="24"/>
          <w:lang w:eastAsia="en-US"/>
        </w:rPr>
        <w:t xml:space="preserve">can be lengthy and not </w:t>
      </w:r>
      <w:r>
        <w:rPr>
          <w:rFonts w:eastAsia="Calibri"/>
          <w:szCs w:val="24"/>
          <w:lang w:eastAsia="en-US"/>
        </w:rPr>
        <w:t xml:space="preserve">optimal if </w:t>
      </w:r>
      <w:r w:rsidRPr="00092A7D">
        <w:rPr>
          <w:rFonts w:eastAsia="Calibri"/>
          <w:szCs w:val="24"/>
          <w:lang w:eastAsia="en-US"/>
        </w:rPr>
        <w:t>Bart</w:t>
      </w:r>
      <w:r w:rsidR="00271F1F">
        <w:rPr>
          <w:rFonts w:eastAsia="Calibri"/>
          <w:szCs w:val="24"/>
          <w:lang w:eastAsia="en-US"/>
        </w:rPr>
        <w:t>’s</w:t>
      </w:r>
      <w:r w:rsidRPr="00092A7D">
        <w:rPr>
          <w:rFonts w:eastAsia="Calibri"/>
          <w:szCs w:val="24"/>
          <w:lang w:eastAsia="en-US"/>
        </w:rPr>
        <w:t xml:space="preserve"> hydrops fetalis syndrome</w:t>
      </w:r>
      <w:r>
        <w:rPr>
          <w:rFonts w:eastAsia="Calibri"/>
          <w:szCs w:val="24"/>
          <w:lang w:eastAsia="en-US"/>
        </w:rPr>
        <w:t xml:space="preserve"> is a potential diagnosis</w:t>
      </w:r>
      <w:r w:rsidR="002F60E6">
        <w:rPr>
          <w:rFonts w:eastAsia="Calibri"/>
          <w:szCs w:val="24"/>
          <w:lang w:eastAsia="en-US"/>
        </w:rPr>
        <w:t>.</w:t>
      </w:r>
    </w:p>
    <w:p w14:paraId="420A34E6" w14:textId="1F4434A3" w:rsidR="006237E5" w:rsidRPr="00092A7D" w:rsidRDefault="006237E5" w:rsidP="00C639A7">
      <w:pPr>
        <w:spacing w:before="240" w:after="240"/>
        <w:contextualSpacing/>
        <w:rPr>
          <w:rFonts w:eastAsia="Calibri"/>
          <w:szCs w:val="24"/>
          <w:lang w:eastAsia="en-US"/>
        </w:rPr>
      </w:pPr>
      <w:r w:rsidRPr="00092A7D">
        <w:rPr>
          <w:rFonts w:eastAsia="Calibri"/>
          <w:szCs w:val="24"/>
          <w:lang w:eastAsia="en-US"/>
        </w:rPr>
        <w:t>MSAC recommended that the two different scenarios be assessed, to ensure the order of testing is clinically relevant, and then costed appropriately.</w:t>
      </w:r>
    </w:p>
    <w:p w14:paraId="4E9F1A2E" w14:textId="77777777" w:rsidR="00092A7D" w:rsidRPr="00092A7D" w:rsidRDefault="00092A7D" w:rsidP="00092A7D">
      <w:pPr>
        <w:spacing w:after="120"/>
        <w:rPr>
          <w:rFonts w:eastAsia="Calibri"/>
          <w:szCs w:val="24"/>
          <w:lang w:eastAsia="en-US"/>
        </w:rPr>
      </w:pPr>
      <w:r w:rsidRPr="00092A7D">
        <w:rPr>
          <w:rFonts w:eastAsia="Calibri"/>
          <w:szCs w:val="24"/>
          <w:lang w:eastAsia="en-US"/>
        </w:rPr>
        <w:t>MSAC noted the three main drivers of the economic evaluation are:</w:t>
      </w:r>
    </w:p>
    <w:p w14:paraId="48BC3EB6" w14:textId="112B483C" w:rsidR="00092A7D" w:rsidRPr="00092A7D" w:rsidRDefault="00092A7D" w:rsidP="00092A7D">
      <w:pPr>
        <w:numPr>
          <w:ilvl w:val="0"/>
          <w:numId w:val="41"/>
        </w:numPr>
        <w:spacing w:after="240"/>
        <w:contextualSpacing/>
        <w:rPr>
          <w:rFonts w:eastAsia="Calibri"/>
          <w:szCs w:val="24"/>
          <w:lang w:eastAsia="en-US"/>
        </w:rPr>
      </w:pPr>
      <w:r w:rsidRPr="00092A7D">
        <w:rPr>
          <w:rFonts w:eastAsia="Calibri"/>
          <w:szCs w:val="24"/>
          <w:lang w:eastAsia="en-US"/>
        </w:rPr>
        <w:t xml:space="preserve">changes in the prevalence of </w:t>
      </w:r>
      <w:r w:rsidRPr="00092A7D">
        <w:rPr>
          <w:rFonts w:eastAsia="Calibri"/>
          <w:color w:val="000000"/>
          <w:szCs w:val="24"/>
          <w:lang w:eastAsia="en-US"/>
        </w:rPr>
        <w:sym w:font="Symbol" w:char="F061"/>
      </w:r>
      <w:r w:rsidRPr="00092A7D">
        <w:rPr>
          <w:rFonts w:eastAsia="Calibri"/>
          <w:color w:val="000000"/>
          <w:szCs w:val="24"/>
          <w:lang w:eastAsia="en-US"/>
        </w:rPr>
        <w:t> thalassaemia</w:t>
      </w:r>
      <w:r w:rsidRPr="00092A7D">
        <w:rPr>
          <w:rFonts w:eastAsia="Calibri"/>
          <w:szCs w:val="24"/>
          <w:lang w:eastAsia="en-US"/>
        </w:rPr>
        <w:t xml:space="preserve"> and haemoglobin H disease genotypes in the population eligible for testing</w:t>
      </w:r>
      <w:r w:rsidR="00180A90">
        <w:rPr>
          <w:rFonts w:eastAsia="Calibri"/>
          <w:szCs w:val="24"/>
          <w:lang w:eastAsia="en-US"/>
        </w:rPr>
        <w:t>;</w:t>
      </w:r>
    </w:p>
    <w:p w14:paraId="78BEAA73" w14:textId="70D9CC99" w:rsidR="00092A7D" w:rsidRPr="00092A7D" w:rsidRDefault="00092A7D" w:rsidP="00092A7D">
      <w:pPr>
        <w:numPr>
          <w:ilvl w:val="0"/>
          <w:numId w:val="41"/>
        </w:numPr>
        <w:spacing w:after="240"/>
        <w:contextualSpacing/>
        <w:rPr>
          <w:rFonts w:eastAsia="Calibri"/>
          <w:szCs w:val="24"/>
          <w:lang w:eastAsia="en-US"/>
        </w:rPr>
      </w:pPr>
      <w:r w:rsidRPr="00092A7D">
        <w:rPr>
          <w:rFonts w:eastAsia="Calibri"/>
          <w:szCs w:val="24"/>
          <w:lang w:eastAsia="en-US"/>
        </w:rPr>
        <w:t>number of partners screened who are eligible for testing</w:t>
      </w:r>
      <w:r w:rsidR="00180A90">
        <w:rPr>
          <w:rFonts w:eastAsia="Calibri"/>
          <w:szCs w:val="24"/>
          <w:lang w:eastAsia="en-US"/>
        </w:rPr>
        <w:t>; and</w:t>
      </w:r>
    </w:p>
    <w:p w14:paraId="062957F7" w14:textId="4EC9DA60" w:rsidR="00C639A7" w:rsidRPr="00C639A7" w:rsidRDefault="00092A7D" w:rsidP="00C639A7">
      <w:pPr>
        <w:numPr>
          <w:ilvl w:val="0"/>
          <w:numId w:val="41"/>
        </w:numPr>
        <w:spacing w:after="240"/>
        <w:ind w:left="714" w:hanging="357"/>
        <w:rPr>
          <w:rFonts w:eastAsia="Calibri"/>
          <w:szCs w:val="24"/>
          <w:lang w:eastAsia="en-US"/>
        </w:rPr>
      </w:pPr>
      <w:r w:rsidRPr="00092A7D">
        <w:rPr>
          <w:rFonts w:eastAsia="Calibri"/>
          <w:szCs w:val="24"/>
          <w:lang w:eastAsia="en-US"/>
        </w:rPr>
        <w:t>test cost, and how many tests should be standard for each case (e.g. deletion testing, +/– sequencing).</w:t>
      </w:r>
    </w:p>
    <w:p w14:paraId="041EACA4" w14:textId="6518DED4" w:rsidR="00092A7D" w:rsidRPr="00092A7D" w:rsidRDefault="003B6057" w:rsidP="00C639A7">
      <w:pPr>
        <w:spacing w:before="240" w:after="240"/>
        <w:rPr>
          <w:rFonts w:eastAsia="Calibri"/>
          <w:szCs w:val="24"/>
          <w:lang w:eastAsia="en-US"/>
        </w:rPr>
      </w:pPr>
      <w:r>
        <w:rPr>
          <w:rFonts w:eastAsia="Calibri"/>
          <w:szCs w:val="24"/>
          <w:lang w:eastAsia="en-US"/>
        </w:rPr>
        <w:t xml:space="preserve">The MSAC considered that </w:t>
      </w:r>
      <w:r w:rsidR="00092A7D" w:rsidRPr="00092A7D">
        <w:rPr>
          <w:rFonts w:eastAsia="Calibri"/>
          <w:szCs w:val="24"/>
          <w:lang w:eastAsia="en-US"/>
        </w:rPr>
        <w:t xml:space="preserve">the number of </w:t>
      </w:r>
      <w:r w:rsidR="005F6E5C">
        <w:rPr>
          <w:rFonts w:eastAsia="Calibri"/>
          <w:szCs w:val="24"/>
          <w:lang w:eastAsia="en-US"/>
        </w:rPr>
        <w:t>individuals or couples</w:t>
      </w:r>
      <w:r w:rsidR="00092A7D" w:rsidRPr="00092A7D">
        <w:rPr>
          <w:rFonts w:eastAsia="Calibri"/>
          <w:szCs w:val="24"/>
          <w:lang w:eastAsia="en-US"/>
        </w:rPr>
        <w:t xml:space="preserve"> that would require testing</w:t>
      </w:r>
      <w:r>
        <w:rPr>
          <w:rFonts w:eastAsia="Calibri"/>
          <w:szCs w:val="24"/>
          <w:lang w:eastAsia="en-US"/>
        </w:rPr>
        <w:t xml:space="preserve"> is uncertain and potentially underestimated</w:t>
      </w:r>
      <w:r w:rsidR="00092A7D" w:rsidRPr="00092A7D">
        <w:rPr>
          <w:rFonts w:eastAsia="Calibri"/>
          <w:szCs w:val="24"/>
          <w:lang w:eastAsia="en-US"/>
        </w:rPr>
        <w:t xml:space="preserve">. </w:t>
      </w:r>
      <w:r>
        <w:rPr>
          <w:rFonts w:eastAsia="Calibri"/>
          <w:szCs w:val="24"/>
          <w:lang w:eastAsia="en-US"/>
        </w:rPr>
        <w:t xml:space="preserve">The epidemiological approach using </w:t>
      </w:r>
      <w:r w:rsidRPr="003B6057">
        <w:rPr>
          <w:rFonts w:eastAsia="Calibri"/>
          <w:szCs w:val="24"/>
          <w:lang w:eastAsia="en-US"/>
        </w:rPr>
        <w:t>ABS Census of Population and Housing, 2016 (ABS 2018)</w:t>
      </w:r>
      <w:r>
        <w:rPr>
          <w:rFonts w:eastAsia="Calibri"/>
          <w:szCs w:val="24"/>
          <w:lang w:eastAsia="en-US"/>
        </w:rPr>
        <w:t xml:space="preserve">, and </w:t>
      </w:r>
      <w:r w:rsidRPr="003B6057">
        <w:rPr>
          <w:rFonts w:eastAsia="Calibri"/>
          <w:szCs w:val="24"/>
          <w:lang w:eastAsia="en-US"/>
        </w:rPr>
        <w:t>AIHW Perinatal data, 2016 (AIHW 2018)</w:t>
      </w:r>
      <w:r>
        <w:rPr>
          <w:rFonts w:eastAsia="Calibri"/>
          <w:szCs w:val="24"/>
          <w:lang w:eastAsia="en-US"/>
        </w:rPr>
        <w:t xml:space="preserve"> may not </w:t>
      </w:r>
      <w:r w:rsidR="00D408FD">
        <w:rPr>
          <w:rFonts w:eastAsia="Calibri"/>
          <w:szCs w:val="24"/>
          <w:lang w:eastAsia="en-US"/>
        </w:rPr>
        <w:t xml:space="preserve">adequately </w:t>
      </w:r>
      <w:r>
        <w:rPr>
          <w:rFonts w:eastAsia="Calibri"/>
          <w:szCs w:val="24"/>
          <w:lang w:eastAsia="en-US"/>
        </w:rPr>
        <w:t xml:space="preserve">capture </w:t>
      </w:r>
      <w:r w:rsidRPr="003B6057">
        <w:rPr>
          <w:rFonts w:eastAsia="Calibri"/>
          <w:szCs w:val="24"/>
          <w:lang w:eastAsia="en-US"/>
        </w:rPr>
        <w:t>the proportion of women of reproductive age that are pregnant or who</w:t>
      </w:r>
      <w:r>
        <w:rPr>
          <w:rFonts w:eastAsia="Calibri"/>
          <w:szCs w:val="24"/>
          <w:lang w:eastAsia="en-US"/>
        </w:rPr>
        <w:t xml:space="preserve"> plan a pregnancy each year in the ethnic </w:t>
      </w:r>
      <w:r w:rsidR="00D408FD">
        <w:rPr>
          <w:rFonts w:eastAsia="Calibri"/>
          <w:szCs w:val="24"/>
          <w:lang w:eastAsia="en-US"/>
        </w:rPr>
        <w:t>populations</w:t>
      </w:r>
      <w:r>
        <w:rPr>
          <w:rFonts w:eastAsia="Calibri"/>
          <w:szCs w:val="24"/>
          <w:lang w:eastAsia="en-US"/>
        </w:rPr>
        <w:t xml:space="preserve"> known to be at increased risk of </w:t>
      </w:r>
      <w:r w:rsidR="00092A7D" w:rsidRPr="00092A7D">
        <w:rPr>
          <w:rFonts w:eastAsia="Calibri"/>
          <w:szCs w:val="24"/>
          <w:lang w:eastAsia="en-US"/>
        </w:rPr>
        <w:t xml:space="preserve"> </w:t>
      </w:r>
      <w:r w:rsidR="00092A7D" w:rsidRPr="00092A7D">
        <w:rPr>
          <w:rFonts w:eastAsia="Calibri"/>
          <w:color w:val="000000"/>
          <w:szCs w:val="24"/>
          <w:lang w:eastAsia="en-US"/>
        </w:rPr>
        <w:sym w:font="Symbol" w:char="F061"/>
      </w:r>
      <w:r w:rsidR="00092A7D" w:rsidRPr="00092A7D">
        <w:rPr>
          <w:rFonts w:eastAsia="Calibri"/>
          <w:color w:val="000000"/>
          <w:szCs w:val="24"/>
          <w:lang w:eastAsia="en-US"/>
        </w:rPr>
        <w:t xml:space="preserve"> thalassaemia </w:t>
      </w:r>
    </w:p>
    <w:p w14:paraId="063B78EC" w14:textId="013ABE6E" w:rsidR="00092A7D" w:rsidRDefault="00092A7D" w:rsidP="00092A7D">
      <w:pPr>
        <w:spacing w:after="240"/>
        <w:rPr>
          <w:rFonts w:eastAsia="Calibri"/>
          <w:szCs w:val="24"/>
          <w:lang w:eastAsia="en-US"/>
        </w:rPr>
      </w:pPr>
      <w:r w:rsidRPr="00092A7D">
        <w:rPr>
          <w:rFonts w:eastAsia="Calibri"/>
          <w:szCs w:val="24"/>
          <w:lang w:eastAsia="en-US"/>
        </w:rPr>
        <w:t xml:space="preserve">MSAC recommended </w:t>
      </w:r>
      <w:r w:rsidRPr="00092A7D">
        <w:rPr>
          <w:rFonts w:eastAsia="Calibri"/>
          <w:bCs/>
          <w:szCs w:val="24"/>
          <w:lang w:eastAsia="en-US"/>
        </w:rPr>
        <w:t xml:space="preserve">seeking further information, </w:t>
      </w:r>
      <w:r w:rsidR="008B15BB">
        <w:rPr>
          <w:rFonts w:eastAsia="Calibri"/>
          <w:bCs/>
          <w:szCs w:val="24"/>
          <w:lang w:eastAsia="en-US"/>
        </w:rPr>
        <w:t xml:space="preserve">including </w:t>
      </w:r>
      <w:r w:rsidRPr="00092A7D">
        <w:rPr>
          <w:rFonts w:eastAsia="Calibri"/>
          <w:bCs/>
          <w:szCs w:val="24"/>
          <w:lang w:eastAsia="en-US"/>
        </w:rPr>
        <w:t>from the HSANZ</w:t>
      </w:r>
      <w:r w:rsidR="008B15BB">
        <w:rPr>
          <w:rFonts w:eastAsia="Calibri"/>
          <w:bCs/>
          <w:szCs w:val="24"/>
          <w:lang w:eastAsia="en-US"/>
        </w:rPr>
        <w:t xml:space="preserve"> and the applicant</w:t>
      </w:r>
      <w:r w:rsidRPr="00092A7D">
        <w:rPr>
          <w:rFonts w:eastAsia="Calibri"/>
          <w:bCs/>
          <w:szCs w:val="24"/>
          <w:lang w:eastAsia="en-US"/>
        </w:rPr>
        <w:t xml:space="preserve">, about proposed clinical algorithms and appropriate tests (including the order of testing) for each, as well as costs per test and the total health care cost. </w:t>
      </w:r>
      <w:r w:rsidRPr="00092A7D">
        <w:rPr>
          <w:rFonts w:eastAsia="Calibri"/>
          <w:szCs w:val="24"/>
          <w:lang w:eastAsia="en-US"/>
        </w:rPr>
        <w:t>MSAC also requested further information on the potential for setting up a national registry along the lines of the existing registry in Victoria.</w:t>
      </w:r>
    </w:p>
    <w:p w14:paraId="473323A9" w14:textId="0E451A85" w:rsidR="00BA1C38" w:rsidRPr="00092A7D" w:rsidRDefault="00BA1C38" w:rsidP="00BA1C38">
      <w:pPr>
        <w:spacing w:after="240"/>
        <w:rPr>
          <w:rFonts w:eastAsia="Calibri"/>
          <w:szCs w:val="24"/>
          <w:lang w:eastAsia="en-US"/>
        </w:rPr>
      </w:pPr>
      <w:r w:rsidRPr="00092A7D">
        <w:rPr>
          <w:rFonts w:eastAsia="Calibri"/>
          <w:szCs w:val="24"/>
          <w:lang w:eastAsia="en-US"/>
        </w:rPr>
        <w:t xml:space="preserve">MSAC noted </w:t>
      </w:r>
      <w:r>
        <w:rPr>
          <w:rFonts w:eastAsia="Calibri"/>
          <w:szCs w:val="24"/>
          <w:lang w:eastAsia="en-US"/>
        </w:rPr>
        <w:t xml:space="preserve">the need for education and for culturally relevant services in the context of the potential for </w:t>
      </w:r>
      <w:r w:rsidRPr="00092A7D">
        <w:rPr>
          <w:rFonts w:eastAsia="Calibri"/>
          <w:szCs w:val="24"/>
          <w:lang w:eastAsia="en-US"/>
        </w:rPr>
        <w:t xml:space="preserve">consumer confusion around </w:t>
      </w:r>
      <w:r w:rsidRPr="00092A7D">
        <w:rPr>
          <w:rFonts w:eastAsia="Calibri"/>
          <w:szCs w:val="24"/>
          <w:lang w:eastAsia="en-US"/>
        </w:rPr>
        <w:sym w:font="Symbol" w:char="F061"/>
      </w:r>
      <w:r w:rsidRPr="00092A7D">
        <w:rPr>
          <w:rFonts w:eastAsia="Calibri"/>
          <w:szCs w:val="24"/>
          <w:lang w:eastAsia="en-US"/>
        </w:rPr>
        <w:t> </w:t>
      </w:r>
      <w:r>
        <w:rPr>
          <w:rFonts w:eastAsia="Calibri"/>
          <w:szCs w:val="24"/>
          <w:lang w:eastAsia="en-US"/>
        </w:rPr>
        <w:t xml:space="preserve"> and beta </w:t>
      </w:r>
      <w:r w:rsidRPr="00092A7D">
        <w:rPr>
          <w:rFonts w:eastAsia="Calibri"/>
          <w:szCs w:val="24"/>
          <w:lang w:eastAsia="en-US"/>
        </w:rPr>
        <w:t>thalassaemia</w:t>
      </w:r>
      <w:r>
        <w:rPr>
          <w:rFonts w:eastAsia="Calibri"/>
          <w:szCs w:val="24"/>
          <w:lang w:eastAsia="en-US"/>
        </w:rPr>
        <w:t>s and</w:t>
      </w:r>
      <w:r w:rsidRPr="00092A7D">
        <w:rPr>
          <w:rFonts w:eastAsia="Calibri"/>
          <w:szCs w:val="24"/>
          <w:lang w:eastAsia="en-US"/>
        </w:rPr>
        <w:t xml:space="preserve"> </w:t>
      </w:r>
      <w:r>
        <w:rPr>
          <w:rFonts w:eastAsia="Calibri"/>
          <w:szCs w:val="24"/>
          <w:lang w:eastAsia="en-US"/>
        </w:rPr>
        <w:t>the</w:t>
      </w:r>
      <w:r w:rsidRPr="00D408FD">
        <w:rPr>
          <w:rFonts w:eastAsia="Calibri"/>
          <w:szCs w:val="24"/>
          <w:lang w:eastAsia="en-US"/>
        </w:rPr>
        <w:t xml:space="preserve"> </w:t>
      </w:r>
      <w:r>
        <w:rPr>
          <w:rFonts w:eastAsia="Calibri"/>
          <w:szCs w:val="24"/>
          <w:lang w:eastAsia="en-US"/>
        </w:rPr>
        <w:t>high</w:t>
      </w:r>
      <w:r w:rsidRPr="00D408FD">
        <w:rPr>
          <w:rFonts w:eastAsia="Calibri"/>
          <w:szCs w:val="24"/>
          <w:lang w:eastAsia="en-US"/>
        </w:rPr>
        <w:t xml:space="preserve"> carrier rate</w:t>
      </w:r>
      <w:r>
        <w:rPr>
          <w:rFonts w:eastAsia="Calibri"/>
          <w:szCs w:val="24"/>
          <w:lang w:eastAsia="en-US"/>
        </w:rPr>
        <w:t>s</w:t>
      </w:r>
      <w:r w:rsidRPr="00D408FD">
        <w:rPr>
          <w:rFonts w:eastAsia="Calibri"/>
          <w:szCs w:val="24"/>
          <w:lang w:eastAsia="en-US"/>
        </w:rPr>
        <w:t xml:space="preserve"> </w:t>
      </w:r>
      <w:r>
        <w:rPr>
          <w:rFonts w:eastAsia="Calibri"/>
          <w:szCs w:val="24"/>
          <w:lang w:eastAsia="en-US"/>
        </w:rPr>
        <w:t xml:space="preserve">in some ethnic populations. </w:t>
      </w:r>
    </w:p>
    <w:p w14:paraId="329AAA8F" w14:textId="77777777" w:rsidR="00BC1364" w:rsidRPr="00F715D1" w:rsidRDefault="00BC1364" w:rsidP="00807518">
      <w:pPr>
        <w:pStyle w:val="Heading1"/>
        <w:ind w:left="567" w:hanging="567"/>
      </w:pPr>
      <w:r w:rsidRPr="00F715D1">
        <w:t>Background</w:t>
      </w:r>
    </w:p>
    <w:p w14:paraId="728E0BF5" w14:textId="77777777" w:rsidR="00E35489" w:rsidRDefault="00E35489" w:rsidP="00E35489">
      <w:r w:rsidRPr="001A4A18">
        <w:t xml:space="preserve">An application for MBS funding of genetic testing </w:t>
      </w:r>
      <w:r>
        <w:t>o</w:t>
      </w:r>
      <w:r w:rsidRPr="001A4A18">
        <w:t>f</w:t>
      </w:r>
      <w:r>
        <w:t xml:space="preserve"> the alpha-globin </w:t>
      </w:r>
      <w:r w:rsidRPr="001A4A18">
        <w:t>gene</w:t>
      </w:r>
      <w:r>
        <w:t>s</w:t>
      </w:r>
      <w:r w:rsidRPr="001A4A18">
        <w:t xml:space="preserve"> has not previously been made to </w:t>
      </w:r>
      <w:r>
        <w:t>Medical Services Advisory Committee (MSAC)</w:t>
      </w:r>
      <w:r w:rsidRPr="001A4A18">
        <w:t xml:space="preserve">. </w:t>
      </w:r>
    </w:p>
    <w:p w14:paraId="62445D61" w14:textId="097D2666" w:rsidR="00E35489" w:rsidRDefault="00E35489" w:rsidP="00C639A7">
      <w:pPr>
        <w:spacing w:before="240"/>
      </w:pPr>
      <w:r>
        <w:t>This Referral was submitted to the MSAC Executive who recommended assessment via an expedited pathway. This was suggested on the grounds that:</w:t>
      </w:r>
    </w:p>
    <w:p w14:paraId="73BF324B" w14:textId="247484A4" w:rsidR="00E35489" w:rsidRDefault="00E35489" w:rsidP="00E35489">
      <w:pPr>
        <w:pStyle w:val="ListParagraph"/>
        <w:numPr>
          <w:ilvl w:val="0"/>
          <w:numId w:val="26"/>
        </w:numPr>
      </w:pPr>
      <w:r>
        <w:t xml:space="preserve">the States/Territories currently provide funding for </w:t>
      </w:r>
      <w:r w:rsidRPr="0021659F">
        <w:t>α</w:t>
      </w:r>
      <w:r>
        <w:t xml:space="preserve"> thalassaemia </w:t>
      </w:r>
      <w:r w:rsidR="00916653">
        <w:t xml:space="preserve">genetic </w:t>
      </w:r>
      <w:r>
        <w:t>testing;</w:t>
      </w:r>
      <w:r w:rsidRPr="0021659F">
        <w:t xml:space="preserve"> and</w:t>
      </w:r>
    </w:p>
    <w:p w14:paraId="62394193" w14:textId="53E24A37" w:rsidR="00E35489" w:rsidRDefault="00E35489" w:rsidP="00E35489">
      <w:pPr>
        <w:pStyle w:val="ListParagraph"/>
        <w:numPr>
          <w:ilvl w:val="0"/>
          <w:numId w:val="26"/>
        </w:numPr>
      </w:pPr>
      <w:r>
        <w:t>there was an evidence pack submitted with the application.</w:t>
      </w:r>
    </w:p>
    <w:p w14:paraId="499598B1" w14:textId="77777777" w:rsidR="00055F87" w:rsidRDefault="00E35489" w:rsidP="00D576B7">
      <w:pPr>
        <w:spacing w:before="240"/>
      </w:pPr>
      <w:r>
        <w:t>However, the Department noted that there are very few guidelines describing genetic testing for α thalassaemia, (and thalassaemia in general), and that the target population for testing should be clarified during the contracted assessment (CA).</w:t>
      </w:r>
    </w:p>
    <w:p w14:paraId="0B0F948C" w14:textId="77777777" w:rsidR="00E35489" w:rsidRDefault="00E35489" w:rsidP="00E35489">
      <w:pPr>
        <w:pStyle w:val="Heading2"/>
      </w:pPr>
      <w:r>
        <w:lastRenderedPageBreak/>
        <w:t>Current funding arrangements</w:t>
      </w:r>
    </w:p>
    <w:p w14:paraId="6FC274F4" w14:textId="7C81BC2B" w:rsidR="00E35489" w:rsidRDefault="00E35489" w:rsidP="00E35489">
      <w:r w:rsidRPr="00B4790A">
        <w:t>The CA outlines that genetic testing is currently provided by the States and Territories, often being conducted through hospital genetic services. Different arrangements are used for funding across the States and Territories. In Victoria, testing for haemoglobinopathies (HbP) is funded through a state funded grant to Monash University. However, Victoria is the only state in which the cost of testing is completely covered and in others, the patient may be obliged to pay at least a proportion of the cost</w:t>
      </w:r>
      <w:r>
        <w:t>.</w:t>
      </w:r>
    </w:p>
    <w:p w14:paraId="120DBA64" w14:textId="77777777" w:rsidR="00BC1364" w:rsidRPr="00F715D1" w:rsidRDefault="00BC1364" w:rsidP="00916653">
      <w:pPr>
        <w:pStyle w:val="Heading1"/>
        <w:ind w:left="567" w:hanging="567"/>
      </w:pPr>
      <w:r w:rsidRPr="00F715D1">
        <w:t>Prerequisites to implementation of any funding advice</w:t>
      </w:r>
    </w:p>
    <w:p w14:paraId="26A07E40" w14:textId="007F8B80" w:rsidR="00E35489" w:rsidRDefault="00FF67DF" w:rsidP="00E35489">
      <w:r>
        <w:t>No information on the regulatory and/or accreditation requirements associated with the provision of genetic deletion testing</w:t>
      </w:r>
      <w:r w:rsidR="00E049FD">
        <w:t xml:space="preserve"> for </w:t>
      </w:r>
      <w:r w:rsidR="00E049FD" w:rsidRPr="00183141">
        <w:t>α</w:t>
      </w:r>
      <w:r w:rsidR="00E049FD">
        <w:t xml:space="preserve">-thalassaemia </w:t>
      </w:r>
      <w:r w:rsidR="003050B1">
        <w:t>was</w:t>
      </w:r>
      <w:r w:rsidR="00E049FD">
        <w:t xml:space="preserve"> provided in the CA, however the test would be covered </w:t>
      </w:r>
      <w:r w:rsidR="00256B21">
        <w:t>by current</w:t>
      </w:r>
      <w:r w:rsidR="00E049FD">
        <w:t xml:space="preserve"> NATA accreditation</w:t>
      </w:r>
      <w:r w:rsidR="00406E11">
        <w:t xml:space="preserve"> requirements</w:t>
      </w:r>
      <w:r w:rsidR="00E049FD">
        <w:t>.</w:t>
      </w:r>
    </w:p>
    <w:p w14:paraId="16126C8E" w14:textId="77777777" w:rsidR="00055F87" w:rsidRDefault="00BC1364" w:rsidP="00916653">
      <w:pPr>
        <w:pStyle w:val="Heading1"/>
        <w:ind w:left="567" w:hanging="567"/>
      </w:pPr>
      <w:r w:rsidRPr="00F715D1">
        <w:t>Proposal for public funding</w:t>
      </w:r>
    </w:p>
    <w:p w14:paraId="02BCBF6C" w14:textId="7ACFE68F" w:rsidR="00055F87" w:rsidRPr="00C639A7" w:rsidRDefault="00E35489" w:rsidP="00C639A7">
      <w:r w:rsidRPr="00C639A7">
        <w:t xml:space="preserve">The proposed MBS item descriptor (with </w:t>
      </w:r>
      <w:r w:rsidR="005E0D94" w:rsidRPr="00C639A7">
        <w:t xml:space="preserve">ESC recommended </w:t>
      </w:r>
      <w:r w:rsidRPr="00C639A7">
        <w:t>revisions highlighted) is</w:t>
      </w:r>
      <w:r w:rsidR="00F67EBC" w:rsidRPr="00C639A7">
        <w:t xml:space="preserve"> </w:t>
      </w:r>
      <w:r w:rsidRPr="00C639A7">
        <w:t xml:space="preserve">presented in </w:t>
      </w:r>
      <w:r w:rsidR="004C3679" w:rsidRPr="00C639A7">
        <w:t>Table 1.</w:t>
      </w:r>
      <w:r w:rsidRPr="00C639A7">
        <w:t xml:space="preserve"> </w:t>
      </w:r>
    </w:p>
    <w:p w14:paraId="17E8DF42" w14:textId="0F434B1E" w:rsidR="00F67EBC" w:rsidRPr="00C639A7" w:rsidRDefault="00055F87" w:rsidP="00C639A7">
      <w:pPr>
        <w:spacing w:before="240"/>
        <w:rPr>
          <w:b/>
          <w:bCs/>
          <w:iCs/>
        </w:rPr>
      </w:pPr>
      <w:r w:rsidRPr="00C639A7">
        <w:t xml:space="preserve">The </w:t>
      </w:r>
      <w:r w:rsidR="00E66787" w:rsidRPr="00C639A7">
        <w:t xml:space="preserve">proposed </w:t>
      </w:r>
      <w:r w:rsidRPr="00C639A7">
        <w:t>target population for the test is women of reproductive age and their partners if both are at risk of carrying α thalassaemia mutations</w:t>
      </w:r>
      <w:bookmarkStart w:id="1" w:name="_Ref522543765"/>
      <w:bookmarkStart w:id="2" w:name="_Toc527050567"/>
      <w:r w:rsidR="00C639A7">
        <w:t>.</w:t>
      </w:r>
    </w:p>
    <w:p w14:paraId="469E55CC" w14:textId="4F96780E" w:rsidR="00E35489" w:rsidRPr="00492A3A" w:rsidRDefault="00E35489" w:rsidP="00492A3A">
      <w:pPr>
        <w:spacing w:before="240"/>
        <w:rPr>
          <w:rFonts w:ascii="Arial Narrow" w:hAnsi="Arial Narrow"/>
          <w:b/>
          <w:sz w:val="20"/>
        </w:rPr>
      </w:pPr>
      <w:r w:rsidRPr="00492A3A">
        <w:rPr>
          <w:rFonts w:ascii="Arial Narrow" w:hAnsi="Arial Narrow"/>
          <w:b/>
          <w:sz w:val="20"/>
        </w:rPr>
        <w:t xml:space="preserve">Table </w:t>
      </w:r>
      <w:r w:rsidRPr="00492A3A">
        <w:rPr>
          <w:rFonts w:ascii="Arial Narrow" w:hAnsi="Arial Narrow"/>
          <w:b/>
          <w:sz w:val="20"/>
        </w:rPr>
        <w:fldChar w:fldCharType="begin"/>
      </w:r>
      <w:r w:rsidRPr="00492A3A">
        <w:rPr>
          <w:rFonts w:ascii="Arial Narrow" w:hAnsi="Arial Narrow"/>
          <w:b/>
          <w:sz w:val="20"/>
        </w:rPr>
        <w:instrText xml:space="preserve"> SEQ Table \* ARABIC </w:instrText>
      </w:r>
      <w:r w:rsidRPr="00492A3A">
        <w:rPr>
          <w:rFonts w:ascii="Arial Narrow" w:hAnsi="Arial Narrow"/>
          <w:b/>
          <w:sz w:val="20"/>
        </w:rPr>
        <w:fldChar w:fldCharType="separate"/>
      </w:r>
      <w:r w:rsidR="00F37DD4" w:rsidRPr="00492A3A">
        <w:rPr>
          <w:rFonts w:ascii="Arial Narrow" w:hAnsi="Arial Narrow"/>
          <w:b/>
          <w:sz w:val="20"/>
        </w:rPr>
        <w:t>1</w:t>
      </w:r>
      <w:r w:rsidRPr="00492A3A">
        <w:rPr>
          <w:rFonts w:ascii="Arial Narrow" w:hAnsi="Arial Narrow"/>
          <w:b/>
          <w:sz w:val="20"/>
        </w:rPr>
        <w:fldChar w:fldCharType="end"/>
      </w:r>
      <w:bookmarkEnd w:id="1"/>
      <w:r w:rsidRPr="00492A3A">
        <w:rPr>
          <w:rFonts w:ascii="Arial Narrow" w:hAnsi="Arial Narrow"/>
          <w:b/>
          <w:sz w:val="20"/>
        </w:rPr>
        <w:tab/>
        <w:t>Proposed MBS item descriptor</w:t>
      </w:r>
      <w:bookmarkEnd w:id="2"/>
    </w:p>
    <w:tbl>
      <w:tblPr>
        <w:tblStyle w:val="TableGrid1"/>
        <w:tblW w:w="9072" w:type="dxa"/>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72"/>
      </w:tblGrid>
      <w:tr w:rsidR="002E6B5A" w:rsidRPr="002C1DB5" w14:paraId="3EB73224" w14:textId="77777777" w:rsidTr="007A426A">
        <w:trPr>
          <w:cnfStyle w:val="100000000000" w:firstRow="1" w:lastRow="0" w:firstColumn="0" w:lastColumn="0" w:oddVBand="0" w:evenVBand="0" w:oddHBand="0" w:evenHBand="0" w:firstRowFirstColumn="0" w:firstRowLastColumn="0" w:lastRowFirstColumn="0" w:lastRowLastColumn="0"/>
          <w:tblHeader/>
        </w:trPr>
        <w:tc>
          <w:tcPr>
            <w:tcW w:w="9072" w:type="dxa"/>
          </w:tcPr>
          <w:p w14:paraId="34BC8140" w14:textId="77777777" w:rsidR="002E6B5A" w:rsidRPr="002E6B5A" w:rsidRDefault="002E6B5A" w:rsidP="002E6B5A">
            <w:pPr>
              <w:pStyle w:val="TableText"/>
              <w:tabs>
                <w:tab w:val="left" w:pos="5988"/>
              </w:tabs>
            </w:pPr>
            <w:r w:rsidRPr="002E6B5A">
              <w:t>Item 73XXX</w:t>
            </w:r>
            <w:r w:rsidRPr="002E6B5A">
              <w:tab/>
              <w:t>Category 6 – PATHOLOGY SERVICES</w:t>
            </w:r>
          </w:p>
        </w:tc>
      </w:tr>
      <w:tr w:rsidR="002E6B5A" w:rsidRPr="002C1DB5" w14:paraId="780D8810" w14:textId="77777777" w:rsidTr="007A426A">
        <w:tc>
          <w:tcPr>
            <w:tcW w:w="9072" w:type="dxa"/>
          </w:tcPr>
          <w:p w14:paraId="150B6A45" w14:textId="188A638E" w:rsidR="002E6B5A" w:rsidRPr="00BC34BF" w:rsidRDefault="002E6B5A" w:rsidP="002E6B5A">
            <w:pPr>
              <w:pStyle w:val="TableText"/>
              <w:tabs>
                <w:tab w:val="left" w:pos="5988"/>
              </w:tabs>
            </w:pPr>
            <w:r w:rsidRPr="00BC34BF">
              <w:t xml:space="preserve">Deletion testing of HBA1 and HBA2  for: </w:t>
            </w:r>
          </w:p>
          <w:p w14:paraId="71F88EB6" w14:textId="77777777" w:rsidR="002E6B5A" w:rsidRPr="00BC34BF" w:rsidRDefault="002E6B5A" w:rsidP="005D2C3B">
            <w:pPr>
              <w:pStyle w:val="Tabletext0"/>
              <w:keepNext/>
              <w:numPr>
                <w:ilvl w:val="0"/>
                <w:numId w:val="45"/>
              </w:numPr>
              <w:rPr>
                <w:szCs w:val="22"/>
                <w:lang w:eastAsia="en-US"/>
              </w:rPr>
            </w:pPr>
            <w:r w:rsidRPr="00BC34BF">
              <w:rPr>
                <w:szCs w:val="22"/>
                <w:lang w:eastAsia="en-US"/>
              </w:rPr>
              <w:t>the diagnosis of alpha thalassaemia in patients of reproductive age with abnormal red cell indices, with thalassaemia screening for beta-thalassaemia not conclusive, without concurrent iron deficiency or with iron deficiency if pregnant and no historic normal cell indices; or</w:t>
            </w:r>
          </w:p>
          <w:p w14:paraId="6787DE6A" w14:textId="77777777" w:rsidR="002E6B5A" w:rsidRPr="00BC34BF" w:rsidRDefault="002E6B5A" w:rsidP="005D2C3B">
            <w:pPr>
              <w:pStyle w:val="TableText"/>
              <w:keepNext/>
              <w:numPr>
                <w:ilvl w:val="0"/>
                <w:numId w:val="45"/>
              </w:numPr>
            </w:pPr>
            <w:r w:rsidRPr="00BC34BF">
              <w:t>the determination of carrier status in reproductive partners of patients of child bearing potential with diagnosed alpha thalassaemia.</w:t>
            </w:r>
          </w:p>
          <w:p w14:paraId="626C83EA" w14:textId="47689C20" w:rsidR="002E6B5A" w:rsidRPr="002E6B5A" w:rsidRDefault="002E6B5A" w:rsidP="00BC34BF">
            <w:pPr>
              <w:pStyle w:val="TableText"/>
              <w:tabs>
                <w:tab w:val="left" w:pos="5988"/>
              </w:tabs>
            </w:pPr>
            <w:r w:rsidRPr="00BC34BF">
              <w:t xml:space="preserve">Fee: </w:t>
            </w:r>
            <w:r w:rsidR="007B1370" w:rsidRPr="00BC34BF">
              <w:t>TBD</w:t>
            </w:r>
            <w:r w:rsidRPr="00BC34BF">
              <w:tab/>
              <w:t xml:space="preserve">Benefit: 75% = </w:t>
            </w:r>
            <w:r w:rsidR="00BC34BF" w:rsidRPr="00BC34BF">
              <w:t>TBD</w:t>
            </w:r>
            <w:r w:rsidRPr="00BC34BF">
              <w:t>; 85% =</w:t>
            </w:r>
            <w:r w:rsidR="00BC34BF" w:rsidRPr="00BC34BF">
              <w:t xml:space="preserve"> TBD</w:t>
            </w:r>
            <w:r w:rsidRPr="00BC34BF">
              <w:t xml:space="preserve"> </w:t>
            </w:r>
          </w:p>
        </w:tc>
      </w:tr>
      <w:tr w:rsidR="002E6B5A" w:rsidRPr="002C1DB5" w14:paraId="7F7E2D89" w14:textId="77777777" w:rsidTr="007A426A">
        <w:tc>
          <w:tcPr>
            <w:tcW w:w="9072" w:type="dxa"/>
          </w:tcPr>
          <w:p w14:paraId="3A29C8C5" w14:textId="77777777" w:rsidR="002E6B5A" w:rsidRPr="002E6B5A" w:rsidRDefault="002E6B5A" w:rsidP="002E6B5A">
            <w:pPr>
              <w:pStyle w:val="TableText"/>
              <w:tabs>
                <w:tab w:val="left" w:pos="5988"/>
              </w:tabs>
            </w:pPr>
            <w:r w:rsidRPr="002E6B5A">
              <w:t>Explanatory note</w:t>
            </w:r>
          </w:p>
          <w:p w14:paraId="70080A40" w14:textId="77777777" w:rsidR="002E6B5A" w:rsidRPr="002E6B5A" w:rsidRDefault="002E6B5A" w:rsidP="002E6B5A">
            <w:pPr>
              <w:pStyle w:val="TableText"/>
              <w:tabs>
                <w:tab w:val="left" w:pos="5988"/>
              </w:tabs>
            </w:pPr>
            <w:r w:rsidRPr="002E6B5A">
              <w:t>‘Abnormal red cell indices’ refers to a mean corpuscular volume &lt;80 fL and/or mean corpuscular haemoglobin &lt;28 pg and HbA2 &lt;3.4% and haematological studies not conclusively diagnostic of thalassaemia.</w:t>
            </w:r>
          </w:p>
        </w:tc>
      </w:tr>
    </w:tbl>
    <w:p w14:paraId="333466BE" w14:textId="77777777" w:rsidR="00BC1364" w:rsidRPr="00F715D1" w:rsidRDefault="00BC1364" w:rsidP="00916653">
      <w:pPr>
        <w:pStyle w:val="Heading1"/>
        <w:ind w:left="567" w:hanging="567"/>
      </w:pPr>
      <w:r w:rsidRPr="00F715D1">
        <w:t xml:space="preserve">Summary of </w:t>
      </w:r>
      <w:r w:rsidR="003D7F29" w:rsidRPr="00F715D1">
        <w:t>Public Consultation</w:t>
      </w:r>
      <w:r w:rsidRPr="00F715D1">
        <w:t xml:space="preserve"> Feedback</w:t>
      </w:r>
      <w:r w:rsidR="003D7F29" w:rsidRPr="00F715D1">
        <w:t>/Consumer Issues</w:t>
      </w:r>
    </w:p>
    <w:p w14:paraId="19E5A36A" w14:textId="7F2FF3A1" w:rsidR="00E35489" w:rsidRDefault="00E35489" w:rsidP="00E35489">
      <w:r>
        <w:t>There was no consultation period as this application followed an expedited pathway.</w:t>
      </w:r>
    </w:p>
    <w:p w14:paraId="19BAE2DE" w14:textId="0E01A6DA" w:rsidR="00E35489" w:rsidRDefault="00E35489" w:rsidP="00C639A7">
      <w:pPr>
        <w:spacing w:before="240"/>
      </w:pPr>
      <w:r>
        <w:t xml:space="preserve">Feedback from two public state laboratories was received in the course of seeking data on α thalassaemia prevalence and testing. Both sources felt that </w:t>
      </w:r>
      <w:r w:rsidR="00916653">
        <w:t xml:space="preserve">genetic </w:t>
      </w:r>
      <w:r>
        <w:t xml:space="preserve">deletion testing alone </w:t>
      </w:r>
      <w:r w:rsidR="00916653">
        <w:t xml:space="preserve">(GAP-PCR or </w:t>
      </w:r>
      <w:r w:rsidR="001A648D">
        <w:t>M</w:t>
      </w:r>
      <w:r w:rsidR="00916653">
        <w:t xml:space="preserve">LPA) </w:t>
      </w:r>
      <w:r>
        <w:t>was insufficient to identify all couples at risk of pregnancies with a clinically significant form of α thalassaemia. A testing regimen that progresses from α thalassaemia deletion testing to HbA gene sequencing</w:t>
      </w:r>
      <w:r w:rsidR="00BC34BF">
        <w:t xml:space="preserve"> </w:t>
      </w:r>
      <w:r>
        <w:t xml:space="preserve">and beta (β) thalassaemia testing if necessary is recommended by the laboratories. A centralised laboratory and coordinated testing for couples </w:t>
      </w:r>
      <w:r w:rsidR="00E66787">
        <w:t>was</w:t>
      </w:r>
      <w:r>
        <w:t xml:space="preserve"> also the recommended model for funding, to reduce the number of repeat requests received and performed as a result of individual private laboratory participation. Feedback</w:t>
      </w:r>
      <w:r w:rsidR="00E66787">
        <w:t xml:space="preserve"> from the two laboratories</w:t>
      </w:r>
      <w:r>
        <w:t xml:space="preserve"> advised that α thalassaemia genetics is more complex than some other genetic diseases that have tests funded by Medicare, and requires concerted effort and coordination by experts in the field, along with counselling for couples on their reproductive options.</w:t>
      </w:r>
    </w:p>
    <w:p w14:paraId="319E0B75" w14:textId="77777777" w:rsidR="00E35489" w:rsidRPr="00AD404A" w:rsidRDefault="00BC1364" w:rsidP="003C546E">
      <w:pPr>
        <w:pStyle w:val="Heading1"/>
        <w:ind w:left="567" w:hanging="567"/>
      </w:pPr>
      <w:r w:rsidRPr="00F715D1">
        <w:t>Proposed intervention’s place in clinical management</w:t>
      </w:r>
    </w:p>
    <w:p w14:paraId="172A52CF" w14:textId="4FBED5AE" w:rsidR="00AD404A" w:rsidRDefault="00916653" w:rsidP="00AD404A">
      <w:r>
        <w:t xml:space="preserve">Genetic </w:t>
      </w:r>
      <w:r w:rsidR="00D97AD8">
        <w:t>d</w:t>
      </w:r>
      <w:r w:rsidR="00AD404A">
        <w:t xml:space="preserve">eletion testing is proposed as an additional test to those already performed and funded through Medicare. The current testing regimen by which α thalassaemia is diagnosed </w:t>
      </w:r>
      <w:r w:rsidR="00AD404A">
        <w:lastRenderedPageBreak/>
        <w:t xml:space="preserve">in the absence of deletion testing involves a full blood count (FBC), ferritin and thalassaemia studies (Items 65078 and 65081). </w:t>
      </w:r>
      <w:r>
        <w:t>In the current proposal, genetic d</w:t>
      </w:r>
      <w:r w:rsidR="00AD404A">
        <w:t>eletion testing would follow these tests in those who are identified with microcytic hypochromic anaemia, normal ferritin, and are either found positive for haemoglobin H (HbH) inclusions or excluded for β thalassaemia (raised HbA</w:t>
      </w:r>
      <w:r w:rsidR="00AD404A">
        <w:rPr>
          <w:vertAlign w:val="subscript"/>
        </w:rPr>
        <w:t>2</w:t>
      </w:r>
      <w:r w:rsidR="00AD404A">
        <w:t xml:space="preserve">). The proposed algorithm for </w:t>
      </w:r>
      <w:r w:rsidR="00F67EBC">
        <w:t xml:space="preserve">women of </w:t>
      </w:r>
      <w:r w:rsidR="00AD404A">
        <w:t>of reproductive age and their partners is</w:t>
      </w:r>
      <w:r w:rsidR="00570C84">
        <w:t xml:space="preserve"> </w:t>
      </w:r>
      <w:r w:rsidR="00F67EBC">
        <w:t>at</w:t>
      </w:r>
      <w:r w:rsidR="00D97AD8">
        <w:t xml:space="preserve"> </w:t>
      </w:r>
      <w:r w:rsidR="00570C84">
        <w:t xml:space="preserve">Figure </w:t>
      </w:r>
      <w:r w:rsidR="00F67EBC">
        <w:t>1</w:t>
      </w:r>
      <w:r w:rsidR="00AD404A">
        <w:t xml:space="preserve">, and </w:t>
      </w:r>
      <w:r w:rsidR="00F67EBC">
        <w:t xml:space="preserve">for </w:t>
      </w:r>
      <w:r w:rsidR="00AD404A">
        <w:t>pregnant women and their partners is a</w:t>
      </w:r>
      <w:r w:rsidR="00F67EBC">
        <w:t>t</w:t>
      </w:r>
      <w:r w:rsidR="00AD404A">
        <w:t xml:space="preserve"> </w:t>
      </w:r>
      <w:r w:rsidR="00AD404A">
        <w:fldChar w:fldCharType="begin"/>
      </w:r>
      <w:r w:rsidR="00AD404A">
        <w:instrText xml:space="preserve"> REF _Ref522613094 \h </w:instrText>
      </w:r>
      <w:r w:rsidR="00AD404A">
        <w:fldChar w:fldCharType="separate"/>
      </w:r>
      <w:r w:rsidR="00F37DD4">
        <w:t xml:space="preserve">Figure </w:t>
      </w:r>
      <w:r w:rsidR="00F37DD4">
        <w:rPr>
          <w:noProof/>
        </w:rPr>
        <w:t>2</w:t>
      </w:r>
      <w:r w:rsidR="00AD404A">
        <w:fldChar w:fldCharType="end"/>
      </w:r>
      <w:r w:rsidR="008C6996">
        <w:t xml:space="preserve">. </w:t>
      </w:r>
      <w:r w:rsidR="00AD404A">
        <w:t>(Note the additional steps of the proposed pathway are shaded blue).</w:t>
      </w:r>
    </w:p>
    <w:p w14:paraId="1744B42F" w14:textId="3FCCCDFC" w:rsidR="00AD404A" w:rsidRDefault="00AD404A" w:rsidP="00C639A7">
      <w:pPr>
        <w:spacing w:before="240"/>
      </w:pPr>
      <w:r>
        <w:t>Clinical and pathology experts advise that a full clinical picture should be obtained and used, in addition to biochemical criteria, to identify those at high risk of carrying significant deletions</w:t>
      </w:r>
      <w:r w:rsidR="00294622">
        <w:t>.</w:t>
      </w:r>
    </w:p>
    <w:p w14:paraId="6CEBD585" w14:textId="77777777" w:rsidR="00D97AD8" w:rsidRPr="00F715D1" w:rsidRDefault="00D97AD8" w:rsidP="00D97AD8">
      <w:pPr>
        <w:pStyle w:val="Heading1"/>
        <w:ind w:left="567" w:hanging="567"/>
      </w:pPr>
      <w:r w:rsidRPr="00F715D1">
        <w:t xml:space="preserve">Comparator </w:t>
      </w:r>
    </w:p>
    <w:p w14:paraId="2E6B5225" w14:textId="77777777" w:rsidR="00D97AD8" w:rsidRDefault="00D97AD8" w:rsidP="00D97AD8">
      <w:r>
        <w:t>Deletion testing for</w:t>
      </w:r>
      <w:r w:rsidRPr="00D3537C">
        <w:t xml:space="preserve"> α thalassaemia </w:t>
      </w:r>
      <w:r>
        <w:t xml:space="preserve">is not currently available through the MBS. </w:t>
      </w:r>
    </w:p>
    <w:p w14:paraId="02AC6738" w14:textId="3A321E9E" w:rsidR="00D97AD8" w:rsidRDefault="00D97AD8" w:rsidP="00C639A7">
      <w:pPr>
        <w:spacing w:before="240"/>
      </w:pPr>
      <w:r>
        <w:t xml:space="preserve">The comparator for this evaluation is considered to be “no genetic testing”. </w:t>
      </w:r>
    </w:p>
    <w:p w14:paraId="4CA4CF9A" w14:textId="430A8BCB" w:rsidR="00D97AD8" w:rsidRPr="00DE0E3B" w:rsidRDefault="00D97AD8" w:rsidP="00C639A7">
      <w:pPr>
        <w:spacing w:before="240"/>
      </w:pPr>
      <w:r w:rsidRPr="00D3537C">
        <w:t>The “no genetic testing” scenario includes prior tests of full blood count (FBC), for red cell indices, and thalassaemia studies when indic</w:t>
      </w:r>
      <w:r w:rsidRPr="00DE0E3B">
        <w:t>ated. MBS item 65078 for tests for diagnosis of thalassaemia was listed on the MBS in 1 November 1998.</w:t>
      </w:r>
    </w:p>
    <w:p w14:paraId="19181FC1" w14:textId="64DE6651" w:rsidR="00D97AD8" w:rsidRPr="00605660" w:rsidRDefault="00D97AD8" w:rsidP="00C639A7">
      <w:pPr>
        <w:spacing w:before="240"/>
      </w:pPr>
      <w:r w:rsidRPr="00D3537C">
        <w:t>The primary outcome for α thalassaemia diagnosis usin/g thalassaemia studies is to exclude those with β thalassaemia by the presence of raised HbA</w:t>
      </w:r>
      <w:r w:rsidRPr="00D3537C">
        <w:rPr>
          <w:vertAlign w:val="subscript"/>
        </w:rPr>
        <w:t>2</w:t>
      </w:r>
      <w:r w:rsidRPr="00D3537C">
        <w:t xml:space="preserve"> and to identify those carrying two or more gene deletions. Non-genetic testing using HbH inclusions is considered to be of poor sensitivity and specificity</w:t>
      </w:r>
      <w:r>
        <w:t xml:space="preserve"> for diagnosing</w:t>
      </w:r>
      <w:r w:rsidRPr="00D97AD8">
        <w:t xml:space="preserve"> α thalassaemia</w:t>
      </w:r>
      <w:r>
        <w:t xml:space="preserve">. </w:t>
      </w:r>
      <w:r w:rsidRPr="00D3537C">
        <w:t>The cis deletions (α</w:t>
      </w:r>
      <w:r w:rsidRPr="00D3537C">
        <w:rPr>
          <w:vertAlign w:val="superscript"/>
        </w:rPr>
        <w:t>0</w:t>
      </w:r>
      <w:r w:rsidRPr="00D3537C">
        <w:t xml:space="preserve"> phenotype) are those most critical in pregnancy, as they are the most likely to lead to an Hb Bart’s affected fetus, if both parents are carriers.</w:t>
      </w:r>
    </w:p>
    <w:p w14:paraId="4A74020D" w14:textId="77777777" w:rsidR="00D97AD8" w:rsidRDefault="00D97AD8" w:rsidP="00AD404A">
      <w:pPr>
        <w:sectPr w:rsidR="00D97AD8" w:rsidSect="00EC5C6F">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709" w:left="1440" w:header="708" w:footer="130" w:gutter="0"/>
          <w:cols w:space="708"/>
          <w:docGrid w:linePitch="360"/>
        </w:sectPr>
      </w:pPr>
    </w:p>
    <w:p w14:paraId="2834F9F5" w14:textId="77777777" w:rsidR="00AD404A" w:rsidRDefault="00AD404A" w:rsidP="00AD404A">
      <w:r>
        <w:object w:dxaOrig="19290" w:dyaOrig="12256" w14:anchorId="7A93B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6 Proposed diagnostic algorithm for women of reproductive age (15-50 years), and their partners" style="width:442.5pt;height:294.75pt" o:ole="">
            <v:imagedata r:id="rId16" o:title=""/>
          </v:shape>
          <o:OLEObject Type="Embed" ProgID="Visio.Drawing.15" ShapeID="_x0000_i1025" DrawAspect="Content" ObjectID="_1654059440" r:id="rId17"/>
        </w:object>
      </w:r>
    </w:p>
    <w:p w14:paraId="1365FFA0" w14:textId="1029DC75" w:rsidR="00AD404A" w:rsidRPr="00B72600" w:rsidRDefault="00AD404A" w:rsidP="00B72600">
      <w:pPr>
        <w:rPr>
          <w:rFonts w:ascii="Arial Narrow" w:hAnsi="Arial Narrow"/>
          <w:b/>
          <w:sz w:val="20"/>
        </w:rPr>
      </w:pPr>
      <w:bookmarkStart w:id="3" w:name="_Ref522613058"/>
      <w:bookmarkStart w:id="4" w:name="_Toc527050666"/>
      <w:r w:rsidRPr="00B72600">
        <w:rPr>
          <w:rFonts w:ascii="Arial Narrow" w:hAnsi="Arial Narrow"/>
          <w:b/>
          <w:sz w:val="20"/>
        </w:rPr>
        <w:t xml:space="preserve">Figure </w:t>
      </w:r>
      <w:r w:rsidRPr="00B72600">
        <w:rPr>
          <w:rFonts w:ascii="Arial Narrow" w:hAnsi="Arial Narrow"/>
          <w:b/>
          <w:sz w:val="20"/>
        </w:rPr>
        <w:fldChar w:fldCharType="begin"/>
      </w:r>
      <w:r w:rsidRPr="00B72600">
        <w:rPr>
          <w:rFonts w:ascii="Arial Narrow" w:hAnsi="Arial Narrow"/>
          <w:b/>
          <w:sz w:val="20"/>
        </w:rPr>
        <w:instrText xml:space="preserve"> SEQ Figure \* ARABIC </w:instrText>
      </w:r>
      <w:r w:rsidRPr="00B72600">
        <w:rPr>
          <w:rFonts w:ascii="Arial Narrow" w:hAnsi="Arial Narrow"/>
          <w:b/>
          <w:sz w:val="20"/>
        </w:rPr>
        <w:fldChar w:fldCharType="separate"/>
      </w:r>
      <w:r w:rsidR="00F37DD4" w:rsidRPr="00B72600">
        <w:rPr>
          <w:rFonts w:ascii="Arial Narrow" w:hAnsi="Arial Narrow"/>
          <w:b/>
          <w:sz w:val="20"/>
        </w:rPr>
        <w:t>1</w:t>
      </w:r>
      <w:r w:rsidRPr="00B72600">
        <w:rPr>
          <w:rFonts w:ascii="Arial Narrow" w:hAnsi="Arial Narrow"/>
          <w:b/>
          <w:sz w:val="20"/>
        </w:rPr>
        <w:fldChar w:fldCharType="end"/>
      </w:r>
      <w:bookmarkEnd w:id="3"/>
      <w:r w:rsidRPr="00B72600">
        <w:rPr>
          <w:rFonts w:ascii="Arial Narrow" w:hAnsi="Arial Narrow"/>
          <w:b/>
          <w:sz w:val="20"/>
        </w:rPr>
        <w:tab/>
        <w:t>Proposed diagnostic algorithm for women of reproductive age (15-50 years), and their partners</w:t>
      </w:r>
      <w:bookmarkEnd w:id="4"/>
    </w:p>
    <w:p w14:paraId="4B0C6BE0" w14:textId="77777777" w:rsidR="00AD404A" w:rsidRDefault="00AD404A" w:rsidP="00C639A7">
      <w:pPr>
        <w:pStyle w:val="Tablenotes"/>
      </w:pPr>
      <w:r>
        <w:t>α thal = alpha thalassaemia; β thal = beta thalassaemia; FBC = full blood count; HbA</w:t>
      </w:r>
      <w:r w:rsidRPr="000C32A0">
        <w:rPr>
          <w:vertAlign w:val="subscript"/>
        </w:rPr>
        <w:t>2</w:t>
      </w:r>
      <w:r>
        <w:t xml:space="preserve"> = haemoglobin A2; HbH = haemoglobin H; MCH = mean corpuscular haemoglobin; MCV = mean corpuscular volume</w:t>
      </w:r>
    </w:p>
    <w:p w14:paraId="3693468B" w14:textId="77777777" w:rsidR="00AD404A" w:rsidRDefault="00AD404A" w:rsidP="00AD404A">
      <w:r>
        <w:object w:dxaOrig="19320" w:dyaOrig="12300" w14:anchorId="109F13FB">
          <v:shape id="_x0000_i1026" type="#_x0000_t75" alt="Figure 7 Proposed diagnostic algorithm for pregnant women and their partners" style="width:440.25pt;height:315pt" o:ole="">
            <v:imagedata r:id="rId18" o:title=""/>
          </v:shape>
          <o:OLEObject Type="Embed" ProgID="Visio.Drawing.15" ShapeID="_x0000_i1026" DrawAspect="Content" ObjectID="_1654059441" r:id="rId19"/>
        </w:object>
      </w:r>
    </w:p>
    <w:p w14:paraId="4B0617FD" w14:textId="25A6EDC9" w:rsidR="00AD404A" w:rsidRPr="00B72600" w:rsidRDefault="00AD404A" w:rsidP="00B72600">
      <w:pPr>
        <w:rPr>
          <w:rFonts w:ascii="Arial Narrow" w:hAnsi="Arial Narrow"/>
          <w:b/>
          <w:sz w:val="20"/>
        </w:rPr>
      </w:pPr>
      <w:bookmarkStart w:id="5" w:name="_Ref522613094"/>
      <w:bookmarkStart w:id="6" w:name="_Toc527050667"/>
      <w:r w:rsidRPr="00B72600">
        <w:rPr>
          <w:rFonts w:ascii="Arial Narrow" w:hAnsi="Arial Narrow"/>
          <w:b/>
          <w:sz w:val="20"/>
        </w:rPr>
        <w:t xml:space="preserve">Figure </w:t>
      </w:r>
      <w:r w:rsidRPr="00B72600">
        <w:rPr>
          <w:rFonts w:ascii="Arial Narrow" w:hAnsi="Arial Narrow"/>
          <w:b/>
          <w:sz w:val="20"/>
        </w:rPr>
        <w:fldChar w:fldCharType="begin"/>
      </w:r>
      <w:r w:rsidRPr="00B72600">
        <w:rPr>
          <w:rFonts w:ascii="Arial Narrow" w:hAnsi="Arial Narrow"/>
          <w:b/>
          <w:sz w:val="20"/>
        </w:rPr>
        <w:instrText xml:space="preserve"> SEQ Figure \* ARABIC </w:instrText>
      </w:r>
      <w:r w:rsidRPr="00B72600">
        <w:rPr>
          <w:rFonts w:ascii="Arial Narrow" w:hAnsi="Arial Narrow"/>
          <w:b/>
          <w:sz w:val="20"/>
        </w:rPr>
        <w:fldChar w:fldCharType="separate"/>
      </w:r>
      <w:r w:rsidR="00F37DD4" w:rsidRPr="00B72600">
        <w:rPr>
          <w:rFonts w:ascii="Arial Narrow" w:hAnsi="Arial Narrow"/>
          <w:b/>
          <w:sz w:val="20"/>
        </w:rPr>
        <w:t>2</w:t>
      </w:r>
      <w:r w:rsidRPr="00B72600">
        <w:rPr>
          <w:rFonts w:ascii="Arial Narrow" w:hAnsi="Arial Narrow"/>
          <w:b/>
          <w:sz w:val="20"/>
        </w:rPr>
        <w:fldChar w:fldCharType="end"/>
      </w:r>
      <w:bookmarkEnd w:id="5"/>
      <w:r w:rsidRPr="00B72600">
        <w:rPr>
          <w:rFonts w:ascii="Arial Narrow" w:hAnsi="Arial Narrow"/>
          <w:b/>
          <w:sz w:val="20"/>
        </w:rPr>
        <w:tab/>
        <w:t>Proposed diagnostic algorithm for pregnant women and their partners</w:t>
      </w:r>
      <w:bookmarkEnd w:id="6"/>
    </w:p>
    <w:p w14:paraId="43D3286A" w14:textId="77777777" w:rsidR="00AD404A" w:rsidRDefault="00AD404A" w:rsidP="00B72600">
      <w:pPr>
        <w:pStyle w:val="Tablenotes"/>
        <w:spacing w:after="0"/>
      </w:pPr>
      <w:r>
        <w:t>α thal = alpha thalassaemia; β thal = beta thalassaemia; FBC = full blood count; HbA</w:t>
      </w:r>
      <w:r w:rsidRPr="000C32A0">
        <w:rPr>
          <w:vertAlign w:val="subscript"/>
        </w:rPr>
        <w:t>2</w:t>
      </w:r>
      <w:r>
        <w:t xml:space="preserve"> = haemoglobin A2; HbH = haemoglobin H; MCH = mean corpuscular haemoglobin; MCV = mean corpuscular volume</w:t>
      </w:r>
    </w:p>
    <w:p w14:paraId="16C24CBE" w14:textId="77777777" w:rsidR="00AD404A" w:rsidRDefault="00AD404A" w:rsidP="00C639A7">
      <w:pPr>
        <w:pStyle w:val="Tablenotes"/>
      </w:pPr>
      <w:r>
        <w:t>ESC noted that</w:t>
      </w:r>
      <w:r w:rsidRPr="00764867">
        <w:t xml:space="preserve"> “iron deficiency if pregnant and no historic normal cell indicies” were not captured in the clinical pathways above</w:t>
      </w:r>
    </w:p>
    <w:p w14:paraId="717ACE43" w14:textId="77777777" w:rsidR="00BC1364" w:rsidRPr="00F715D1" w:rsidRDefault="00BC1364" w:rsidP="003C546E">
      <w:pPr>
        <w:pStyle w:val="Heading1"/>
        <w:ind w:left="567" w:hanging="567"/>
      </w:pPr>
      <w:r w:rsidRPr="00F715D1">
        <w:lastRenderedPageBreak/>
        <w:t>Comparative safety</w:t>
      </w:r>
    </w:p>
    <w:p w14:paraId="13DAD9DC" w14:textId="3A7D8183" w:rsidR="00B14E4A" w:rsidRPr="00B14E4A" w:rsidRDefault="00B14E4A" w:rsidP="00AD404A">
      <w:r w:rsidRPr="00B14E4A">
        <w:t xml:space="preserve">The </w:t>
      </w:r>
      <w:r w:rsidR="008E17AF">
        <w:t>P</w:t>
      </w:r>
      <w:r w:rsidR="00C3426F">
        <w:t>opulation</w:t>
      </w:r>
      <w:r w:rsidR="008E17AF">
        <w:t xml:space="preserve">, </w:t>
      </w:r>
      <w:r w:rsidRPr="00B14E4A">
        <w:t>P</w:t>
      </w:r>
      <w:r w:rsidR="00C3426F">
        <w:t>riori tests</w:t>
      </w:r>
      <w:r w:rsidRPr="00B14E4A">
        <w:t>, Intervention, Comparator and Outcome (P</w:t>
      </w:r>
      <w:r w:rsidR="008E17AF">
        <w:t>P</w:t>
      </w:r>
      <w:r w:rsidRPr="00B14E4A">
        <w:t>ICO)</w:t>
      </w:r>
      <w:r>
        <w:t xml:space="preserve"> elements were established in the Application Referral that was submitted to the MSAC Executive</w:t>
      </w:r>
      <w:r w:rsidR="00DA7EE8">
        <w:t xml:space="preserve">, providing pre-specified search criteria for the </w:t>
      </w:r>
      <w:r w:rsidR="00D3537C">
        <w:t>contracted assessment (</w:t>
      </w:r>
      <w:r w:rsidR="00DA7EE8">
        <w:t>CA</w:t>
      </w:r>
      <w:r w:rsidR="00D3537C">
        <w:t>)</w:t>
      </w:r>
      <w:r w:rsidR="00DA7EE8">
        <w:t>.</w:t>
      </w:r>
    </w:p>
    <w:p w14:paraId="0F47CCC4" w14:textId="47CF169C" w:rsidR="00AD404A" w:rsidRDefault="00AD404A" w:rsidP="00C639A7">
      <w:pPr>
        <w:spacing w:before="240"/>
      </w:pPr>
      <w:r w:rsidRPr="006966F0">
        <w:t>Two non-comparative (level IV) studies</w:t>
      </w:r>
      <w:r w:rsidR="006A46F4" w:rsidRPr="006966F0">
        <w:t xml:space="preserve"> </w:t>
      </w:r>
      <w:r w:rsidR="002D67F4">
        <w:t>(</w:t>
      </w:r>
      <w:r w:rsidR="00C3219E">
        <w:t>T</w:t>
      </w:r>
      <w:r w:rsidR="00F864C3">
        <w:t>able 2</w:t>
      </w:r>
      <w:r w:rsidR="002D67F4">
        <w:t>)</w:t>
      </w:r>
      <w:r w:rsidR="006A46F4" w:rsidRPr="00B14E4A">
        <w:t xml:space="preserve"> </w:t>
      </w:r>
      <w:r w:rsidR="00830BAF">
        <w:t>met the</w:t>
      </w:r>
      <w:r w:rsidR="005A1C8D">
        <w:t xml:space="preserve"> safety, effectiveness and cost</w:t>
      </w:r>
      <w:r w:rsidR="00830BAF">
        <w:t xml:space="preserve"> criteria </w:t>
      </w:r>
      <w:r w:rsidR="005A1C8D">
        <w:t>established in the PPICO</w:t>
      </w:r>
      <w:r w:rsidR="000E7D7A">
        <w:t xml:space="preserve"> and </w:t>
      </w:r>
      <w:r w:rsidRPr="00B14E4A">
        <w:t>provided direct evidence</w:t>
      </w:r>
      <w:r w:rsidR="006A46F4" w:rsidRPr="00B14E4A">
        <w:t xml:space="preserve"> for the safety of deletion testing using gap-PCR</w:t>
      </w:r>
      <w:r w:rsidRPr="00B14E4A">
        <w:t>. Both reported on large Southeast Asian screening programs for couples who were either pregnant or planning a pregnancy.</w:t>
      </w:r>
    </w:p>
    <w:p w14:paraId="39E170C4" w14:textId="5D8F64C7" w:rsidR="006966F0" w:rsidRPr="00D576B7" w:rsidRDefault="006966F0" w:rsidP="00D576B7">
      <w:pPr>
        <w:spacing w:before="240"/>
        <w:rPr>
          <w:rFonts w:ascii="Arial Narrow" w:hAnsi="Arial Narrow"/>
          <w:b/>
          <w:sz w:val="20"/>
        </w:rPr>
      </w:pPr>
      <w:r w:rsidRPr="00D576B7">
        <w:rPr>
          <w:rFonts w:ascii="Arial Narrow" w:hAnsi="Arial Narrow"/>
          <w:b/>
          <w:sz w:val="20"/>
        </w:rPr>
        <w:t xml:space="preserve">Table </w:t>
      </w:r>
      <w:r w:rsidR="00D576B7" w:rsidRPr="00D576B7">
        <w:rPr>
          <w:rFonts w:ascii="Arial Narrow" w:hAnsi="Arial Narrow"/>
          <w:b/>
          <w:sz w:val="20"/>
        </w:rPr>
        <w:fldChar w:fldCharType="begin"/>
      </w:r>
      <w:r w:rsidR="00D576B7" w:rsidRPr="00D576B7">
        <w:rPr>
          <w:rFonts w:ascii="Arial Narrow" w:hAnsi="Arial Narrow"/>
          <w:b/>
          <w:sz w:val="20"/>
        </w:rPr>
        <w:instrText xml:space="preserve"> SEQ Table \* ARABIC </w:instrText>
      </w:r>
      <w:r w:rsidR="00D576B7" w:rsidRPr="00D576B7">
        <w:rPr>
          <w:rFonts w:ascii="Arial Narrow" w:hAnsi="Arial Narrow"/>
          <w:b/>
          <w:sz w:val="20"/>
        </w:rPr>
        <w:fldChar w:fldCharType="separate"/>
      </w:r>
      <w:r w:rsidR="00F37DD4" w:rsidRPr="00D576B7">
        <w:rPr>
          <w:rFonts w:ascii="Arial Narrow" w:hAnsi="Arial Narrow"/>
          <w:b/>
          <w:sz w:val="20"/>
        </w:rPr>
        <w:t>2</w:t>
      </w:r>
      <w:r w:rsidR="00D576B7" w:rsidRPr="00D576B7">
        <w:rPr>
          <w:rFonts w:ascii="Arial Narrow" w:hAnsi="Arial Narrow"/>
          <w:b/>
          <w:sz w:val="20"/>
        </w:rPr>
        <w:fldChar w:fldCharType="end"/>
      </w:r>
      <w:r w:rsidRPr="00D576B7">
        <w:rPr>
          <w:rFonts w:ascii="Arial Narrow" w:hAnsi="Arial Narrow"/>
          <w:b/>
          <w:sz w:val="20"/>
        </w:rPr>
        <w:t>. Studies providing direct evidence for α-thalassaemia deletion testing in people of child bearing age</w:t>
      </w:r>
      <w:r w:rsidR="00F07539" w:rsidRPr="00D576B7">
        <w:rPr>
          <w:rFonts w:ascii="Arial Narrow" w:hAnsi="Arial Narrow"/>
          <w:b/>
          <w:sz w:val="20"/>
        </w:rPr>
        <w:t xml:space="preserve"> (taken from the CA)</w:t>
      </w:r>
    </w:p>
    <w:tbl>
      <w:tblPr>
        <w:tblStyle w:val="TableGrid1"/>
        <w:tblW w:w="0" w:type="auto"/>
        <w:tblLayout w:type="fixed"/>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751"/>
        <w:gridCol w:w="804"/>
        <w:gridCol w:w="1417"/>
        <w:gridCol w:w="1276"/>
        <w:gridCol w:w="1701"/>
        <w:gridCol w:w="1701"/>
        <w:gridCol w:w="1366"/>
      </w:tblGrid>
      <w:tr w:rsidR="0013770D" w:rsidRPr="00183E4D" w14:paraId="6E9309C3" w14:textId="77777777" w:rsidTr="007A426A">
        <w:trPr>
          <w:cnfStyle w:val="100000000000" w:firstRow="1" w:lastRow="0" w:firstColumn="0" w:lastColumn="0" w:oddVBand="0" w:evenVBand="0" w:oddHBand="0" w:evenHBand="0" w:firstRowFirstColumn="0" w:firstRowLastColumn="0" w:lastRowFirstColumn="0" w:lastRowLastColumn="0"/>
          <w:tblHeader/>
        </w:trPr>
        <w:tc>
          <w:tcPr>
            <w:tcW w:w="751" w:type="dxa"/>
          </w:tcPr>
          <w:p w14:paraId="28E6C837" w14:textId="77777777" w:rsidR="0013770D" w:rsidRDefault="006966F0" w:rsidP="0093776D">
            <w:pPr>
              <w:pStyle w:val="TableHeading"/>
              <w:rPr>
                <w:snapToGrid w:val="0"/>
                <w:lang w:eastAsia="en-US"/>
              </w:rPr>
            </w:pPr>
            <w:r w:rsidRPr="00183E4D">
              <w:rPr>
                <w:snapToGrid w:val="0"/>
                <w:lang w:eastAsia="en-US"/>
              </w:rPr>
              <w:t>Trial/</w:t>
            </w:r>
          </w:p>
          <w:p w14:paraId="1B351A3B" w14:textId="28B7A94D" w:rsidR="006966F0" w:rsidRPr="00183E4D" w:rsidRDefault="006966F0" w:rsidP="0093776D">
            <w:pPr>
              <w:pStyle w:val="TableHeading"/>
              <w:rPr>
                <w:snapToGrid w:val="0"/>
                <w:lang w:eastAsia="en-US"/>
              </w:rPr>
            </w:pPr>
            <w:r w:rsidRPr="00183E4D">
              <w:rPr>
                <w:snapToGrid w:val="0"/>
                <w:lang w:eastAsia="en-US"/>
              </w:rPr>
              <w:t>Study</w:t>
            </w:r>
          </w:p>
        </w:tc>
        <w:tc>
          <w:tcPr>
            <w:tcW w:w="804" w:type="dxa"/>
          </w:tcPr>
          <w:p w14:paraId="5F3BFC4F" w14:textId="77777777" w:rsidR="006966F0" w:rsidRPr="00183E4D" w:rsidRDefault="006966F0" w:rsidP="0093776D">
            <w:pPr>
              <w:pStyle w:val="TableHeading"/>
              <w:jc w:val="center"/>
              <w:rPr>
                <w:snapToGrid w:val="0"/>
                <w:lang w:eastAsia="en-US"/>
              </w:rPr>
            </w:pPr>
            <w:r w:rsidRPr="00183E4D">
              <w:rPr>
                <w:snapToGrid w:val="0"/>
                <w:lang w:eastAsia="en-US"/>
              </w:rPr>
              <w:t>N</w:t>
            </w:r>
          </w:p>
        </w:tc>
        <w:tc>
          <w:tcPr>
            <w:tcW w:w="1417" w:type="dxa"/>
          </w:tcPr>
          <w:p w14:paraId="68557A04" w14:textId="63324168" w:rsidR="007A426A" w:rsidRDefault="007A426A" w:rsidP="0093776D">
            <w:pPr>
              <w:pStyle w:val="TableHeading"/>
              <w:jc w:val="center"/>
              <w:rPr>
                <w:snapToGrid w:val="0"/>
                <w:lang w:eastAsia="en-US"/>
              </w:rPr>
            </w:pPr>
            <w:r>
              <w:rPr>
                <w:snapToGrid w:val="0"/>
                <w:lang w:eastAsia="en-US"/>
              </w:rPr>
              <w:t>Design /</w:t>
            </w:r>
          </w:p>
          <w:p w14:paraId="1B4B495B" w14:textId="5458A8ED" w:rsidR="006966F0" w:rsidRPr="00183E4D" w:rsidRDefault="006966F0" w:rsidP="0093776D">
            <w:pPr>
              <w:pStyle w:val="TableHeading"/>
              <w:jc w:val="center"/>
              <w:rPr>
                <w:snapToGrid w:val="0"/>
                <w:lang w:eastAsia="en-US"/>
              </w:rPr>
            </w:pPr>
            <w:r w:rsidRPr="00183E4D">
              <w:rPr>
                <w:snapToGrid w:val="0"/>
                <w:lang w:eastAsia="en-US"/>
              </w:rPr>
              <w:t>duration</w:t>
            </w:r>
          </w:p>
        </w:tc>
        <w:tc>
          <w:tcPr>
            <w:tcW w:w="1276" w:type="dxa"/>
          </w:tcPr>
          <w:p w14:paraId="3249D5B1" w14:textId="77777777" w:rsidR="006966F0" w:rsidRPr="00183E4D" w:rsidRDefault="006966F0" w:rsidP="0093776D">
            <w:pPr>
              <w:pStyle w:val="TableHeading"/>
              <w:jc w:val="center"/>
              <w:rPr>
                <w:snapToGrid w:val="0"/>
                <w:lang w:eastAsia="en-US"/>
              </w:rPr>
            </w:pPr>
            <w:r w:rsidRPr="00183E4D">
              <w:rPr>
                <w:snapToGrid w:val="0"/>
                <w:lang w:eastAsia="en-US"/>
              </w:rPr>
              <w:t>Risk of bias</w:t>
            </w:r>
          </w:p>
        </w:tc>
        <w:tc>
          <w:tcPr>
            <w:tcW w:w="1701" w:type="dxa"/>
          </w:tcPr>
          <w:p w14:paraId="5597B287" w14:textId="77777777" w:rsidR="006966F0" w:rsidRPr="00183E4D" w:rsidRDefault="006966F0" w:rsidP="0093776D">
            <w:pPr>
              <w:pStyle w:val="TableHeading"/>
              <w:rPr>
                <w:snapToGrid w:val="0"/>
                <w:lang w:eastAsia="en-US"/>
              </w:rPr>
            </w:pPr>
            <w:r w:rsidRPr="00183E4D">
              <w:rPr>
                <w:snapToGrid w:val="0"/>
                <w:lang w:eastAsia="en-US"/>
              </w:rPr>
              <w:t>Patient population</w:t>
            </w:r>
          </w:p>
        </w:tc>
        <w:tc>
          <w:tcPr>
            <w:tcW w:w="1701" w:type="dxa"/>
          </w:tcPr>
          <w:p w14:paraId="37A8CCF8" w14:textId="77777777" w:rsidR="006966F0" w:rsidRPr="00183E4D" w:rsidRDefault="006966F0" w:rsidP="0093776D">
            <w:pPr>
              <w:pStyle w:val="TableHeading"/>
              <w:rPr>
                <w:snapToGrid w:val="0"/>
                <w:lang w:eastAsia="en-US"/>
              </w:rPr>
            </w:pPr>
            <w:r w:rsidRPr="00183E4D">
              <w:rPr>
                <w:snapToGrid w:val="0"/>
                <w:lang w:eastAsia="en-US"/>
              </w:rPr>
              <w:t>Key outcome(s)</w:t>
            </w:r>
          </w:p>
        </w:tc>
        <w:tc>
          <w:tcPr>
            <w:tcW w:w="1366" w:type="dxa"/>
          </w:tcPr>
          <w:p w14:paraId="61CC1D75" w14:textId="18C8A46F" w:rsidR="006966F0" w:rsidRPr="00183E4D" w:rsidRDefault="0013770D" w:rsidP="0013770D">
            <w:pPr>
              <w:pStyle w:val="TableHeading"/>
              <w:ind w:left="0" w:hanging="24"/>
              <w:jc w:val="left"/>
              <w:rPr>
                <w:snapToGrid w:val="0"/>
                <w:lang w:eastAsia="en-US"/>
              </w:rPr>
            </w:pPr>
            <w:r>
              <w:rPr>
                <w:snapToGrid w:val="0"/>
                <w:lang w:eastAsia="en-US"/>
              </w:rPr>
              <w:t xml:space="preserve"> Result used in economic evaluation</w:t>
            </w:r>
          </w:p>
        </w:tc>
      </w:tr>
      <w:tr w:rsidR="0013770D" w:rsidRPr="00F557C9" w14:paraId="510D000D" w14:textId="77777777" w:rsidTr="007A426A">
        <w:tc>
          <w:tcPr>
            <w:tcW w:w="751" w:type="dxa"/>
          </w:tcPr>
          <w:p w14:paraId="19EA6C23" w14:textId="77777777" w:rsidR="006966F0" w:rsidRDefault="006966F0" w:rsidP="0093776D">
            <w:pPr>
              <w:pStyle w:val="TableText"/>
              <w:rPr>
                <w:snapToGrid w:val="0"/>
              </w:rPr>
            </w:pPr>
            <w:r w:rsidRPr="00F557C9">
              <w:rPr>
                <w:snapToGrid w:val="0"/>
              </w:rPr>
              <w:t xml:space="preserve">Jiang </w:t>
            </w:r>
            <w:r>
              <w:rPr>
                <w:snapToGrid w:val="0"/>
              </w:rPr>
              <w:t xml:space="preserve">et al. </w:t>
            </w:r>
          </w:p>
          <w:p w14:paraId="51433C93" w14:textId="77777777" w:rsidR="006966F0" w:rsidRPr="00F557C9" w:rsidRDefault="006966F0" w:rsidP="0093776D">
            <w:pPr>
              <w:pStyle w:val="TableText"/>
              <w:rPr>
                <w:snapToGrid w:val="0"/>
              </w:rPr>
            </w:pPr>
            <w:r w:rsidRPr="00F557C9">
              <w:rPr>
                <w:snapToGrid w:val="0"/>
              </w:rPr>
              <w:t>2017</w:t>
            </w:r>
          </w:p>
        </w:tc>
        <w:tc>
          <w:tcPr>
            <w:tcW w:w="804" w:type="dxa"/>
          </w:tcPr>
          <w:p w14:paraId="1B77C6A5" w14:textId="77777777" w:rsidR="006966F0" w:rsidRPr="00F557C9" w:rsidRDefault="006966F0" w:rsidP="0093776D">
            <w:pPr>
              <w:pStyle w:val="TableText"/>
              <w:jc w:val="center"/>
              <w:rPr>
                <w:snapToGrid w:val="0"/>
              </w:rPr>
            </w:pPr>
            <w:r>
              <w:rPr>
                <w:snapToGrid w:val="0"/>
              </w:rPr>
              <w:t>11,039 couples</w:t>
            </w:r>
          </w:p>
        </w:tc>
        <w:tc>
          <w:tcPr>
            <w:tcW w:w="1417" w:type="dxa"/>
          </w:tcPr>
          <w:p w14:paraId="5D0C695A" w14:textId="77777777" w:rsidR="006966F0" w:rsidRDefault="006966F0" w:rsidP="0093776D">
            <w:pPr>
              <w:pStyle w:val="TableText"/>
              <w:jc w:val="center"/>
              <w:rPr>
                <w:snapToGrid w:val="0"/>
              </w:rPr>
            </w:pPr>
            <w:r>
              <w:rPr>
                <w:snapToGrid w:val="0"/>
              </w:rPr>
              <w:t>Case series</w:t>
            </w:r>
          </w:p>
          <w:p w14:paraId="4032917D" w14:textId="77777777" w:rsidR="006966F0" w:rsidRPr="00F557C9" w:rsidRDefault="006966F0" w:rsidP="0093776D">
            <w:pPr>
              <w:pStyle w:val="TableText"/>
              <w:jc w:val="center"/>
              <w:rPr>
                <w:snapToGrid w:val="0"/>
              </w:rPr>
            </w:pPr>
            <w:r>
              <w:rPr>
                <w:snapToGrid w:val="0"/>
              </w:rPr>
              <w:t>Level IV</w:t>
            </w:r>
          </w:p>
        </w:tc>
        <w:tc>
          <w:tcPr>
            <w:tcW w:w="1276" w:type="dxa"/>
          </w:tcPr>
          <w:p w14:paraId="6F04428C" w14:textId="77777777" w:rsidR="006966F0" w:rsidRPr="00F557C9" w:rsidRDefault="006966F0" w:rsidP="0093776D">
            <w:pPr>
              <w:pStyle w:val="TableText"/>
              <w:jc w:val="center"/>
              <w:rPr>
                <w:snapToGrid w:val="0"/>
              </w:rPr>
            </w:pPr>
            <w:r>
              <w:rPr>
                <w:snapToGrid w:val="0"/>
              </w:rPr>
              <w:t>Low</w:t>
            </w:r>
          </w:p>
        </w:tc>
        <w:tc>
          <w:tcPr>
            <w:tcW w:w="1701" w:type="dxa"/>
          </w:tcPr>
          <w:p w14:paraId="1179E268" w14:textId="77777777" w:rsidR="006966F0" w:rsidRPr="00F557C9" w:rsidRDefault="006966F0" w:rsidP="0093776D">
            <w:pPr>
              <w:pStyle w:val="TableText"/>
              <w:rPr>
                <w:snapToGrid w:val="0"/>
              </w:rPr>
            </w:pPr>
            <w:r>
              <w:rPr>
                <w:snapToGrid w:val="0"/>
              </w:rPr>
              <w:t>Couples of child-bearing age</w:t>
            </w:r>
          </w:p>
        </w:tc>
        <w:tc>
          <w:tcPr>
            <w:tcW w:w="1701" w:type="dxa"/>
          </w:tcPr>
          <w:p w14:paraId="0BEF78D7" w14:textId="77777777" w:rsidR="006966F0" w:rsidRDefault="006966F0" w:rsidP="0093776D">
            <w:pPr>
              <w:pStyle w:val="TableText"/>
              <w:rPr>
                <w:snapToGrid w:val="0"/>
              </w:rPr>
            </w:pPr>
            <w:r>
              <w:rPr>
                <w:snapToGrid w:val="0"/>
              </w:rPr>
              <w:t xml:space="preserve">Prevalence of HbH </w:t>
            </w:r>
          </w:p>
          <w:p w14:paraId="7CFB8766" w14:textId="77777777" w:rsidR="006966F0" w:rsidRDefault="006966F0" w:rsidP="0093776D">
            <w:pPr>
              <w:pStyle w:val="TableText"/>
              <w:rPr>
                <w:snapToGrid w:val="0"/>
              </w:rPr>
            </w:pPr>
            <w:r>
              <w:rPr>
                <w:snapToGrid w:val="0"/>
              </w:rPr>
              <w:t>&amp; Hb Bart’s</w:t>
            </w:r>
          </w:p>
          <w:p w14:paraId="58865634" w14:textId="77777777" w:rsidR="006966F0" w:rsidRDefault="006966F0" w:rsidP="0093776D">
            <w:pPr>
              <w:pStyle w:val="TableText"/>
              <w:rPr>
                <w:snapToGrid w:val="0"/>
              </w:rPr>
            </w:pPr>
            <w:r>
              <w:rPr>
                <w:snapToGrid w:val="0"/>
              </w:rPr>
              <w:t>Uptake of PND</w:t>
            </w:r>
          </w:p>
          <w:p w14:paraId="34A5F65D" w14:textId="77777777" w:rsidR="006966F0" w:rsidRPr="00F557C9" w:rsidRDefault="006966F0" w:rsidP="0093776D">
            <w:pPr>
              <w:pStyle w:val="TableText"/>
              <w:rPr>
                <w:snapToGrid w:val="0"/>
              </w:rPr>
            </w:pPr>
            <w:r>
              <w:rPr>
                <w:snapToGrid w:val="0"/>
              </w:rPr>
              <w:t>Uptake of TOP</w:t>
            </w:r>
          </w:p>
        </w:tc>
        <w:tc>
          <w:tcPr>
            <w:tcW w:w="1366" w:type="dxa"/>
          </w:tcPr>
          <w:p w14:paraId="5DE90FB8" w14:textId="449CB770" w:rsidR="006966F0" w:rsidRPr="00F557C9" w:rsidRDefault="00D97AD8" w:rsidP="0093776D">
            <w:pPr>
              <w:pStyle w:val="TableText"/>
              <w:jc w:val="center"/>
              <w:rPr>
                <w:snapToGrid w:val="0"/>
              </w:rPr>
            </w:pPr>
            <w:r>
              <w:rPr>
                <w:snapToGrid w:val="0"/>
              </w:rPr>
              <w:t>Y</w:t>
            </w:r>
            <w:r w:rsidR="006966F0">
              <w:rPr>
                <w:snapToGrid w:val="0"/>
              </w:rPr>
              <w:t>es</w:t>
            </w:r>
          </w:p>
        </w:tc>
      </w:tr>
      <w:tr w:rsidR="0013770D" w:rsidRPr="00F557C9" w14:paraId="7D745270" w14:textId="77777777" w:rsidTr="007A426A">
        <w:tc>
          <w:tcPr>
            <w:tcW w:w="751" w:type="dxa"/>
          </w:tcPr>
          <w:p w14:paraId="7AC7D660" w14:textId="77777777" w:rsidR="006966F0" w:rsidRDefault="006966F0" w:rsidP="0093776D">
            <w:pPr>
              <w:pStyle w:val="TableText"/>
              <w:rPr>
                <w:snapToGrid w:val="0"/>
              </w:rPr>
            </w:pPr>
            <w:r>
              <w:rPr>
                <w:snapToGrid w:val="0"/>
              </w:rPr>
              <w:t>Yamsri et al</w:t>
            </w:r>
          </w:p>
          <w:p w14:paraId="5F78110B" w14:textId="77777777" w:rsidR="006966F0" w:rsidRPr="00F557C9" w:rsidRDefault="006966F0" w:rsidP="0093776D">
            <w:pPr>
              <w:pStyle w:val="TableText"/>
              <w:rPr>
                <w:snapToGrid w:val="0"/>
              </w:rPr>
            </w:pPr>
            <w:r>
              <w:rPr>
                <w:snapToGrid w:val="0"/>
              </w:rPr>
              <w:t>2010</w:t>
            </w:r>
          </w:p>
        </w:tc>
        <w:tc>
          <w:tcPr>
            <w:tcW w:w="804" w:type="dxa"/>
          </w:tcPr>
          <w:p w14:paraId="1C32A9B1" w14:textId="77777777" w:rsidR="006966F0" w:rsidRPr="00F557C9" w:rsidRDefault="006966F0" w:rsidP="0093776D">
            <w:pPr>
              <w:pStyle w:val="TableText"/>
              <w:jc w:val="center"/>
              <w:rPr>
                <w:snapToGrid w:val="0"/>
              </w:rPr>
            </w:pPr>
            <w:r>
              <w:rPr>
                <w:snapToGrid w:val="0"/>
              </w:rPr>
              <w:t>1,422 couples</w:t>
            </w:r>
          </w:p>
        </w:tc>
        <w:tc>
          <w:tcPr>
            <w:tcW w:w="1417" w:type="dxa"/>
          </w:tcPr>
          <w:p w14:paraId="5EA4A4D8" w14:textId="77777777" w:rsidR="006966F0" w:rsidRDefault="006966F0" w:rsidP="0093776D">
            <w:pPr>
              <w:pStyle w:val="TableText"/>
              <w:jc w:val="center"/>
              <w:rPr>
                <w:snapToGrid w:val="0"/>
              </w:rPr>
            </w:pPr>
            <w:r>
              <w:rPr>
                <w:snapToGrid w:val="0"/>
              </w:rPr>
              <w:t>Case series</w:t>
            </w:r>
          </w:p>
          <w:p w14:paraId="6D54DF7D" w14:textId="77777777" w:rsidR="006966F0" w:rsidRPr="00F557C9" w:rsidRDefault="006966F0" w:rsidP="0093776D">
            <w:pPr>
              <w:pStyle w:val="TableText"/>
              <w:jc w:val="center"/>
              <w:rPr>
                <w:snapToGrid w:val="0"/>
              </w:rPr>
            </w:pPr>
            <w:r>
              <w:rPr>
                <w:snapToGrid w:val="0"/>
              </w:rPr>
              <w:t>Level IV</w:t>
            </w:r>
          </w:p>
        </w:tc>
        <w:tc>
          <w:tcPr>
            <w:tcW w:w="1276" w:type="dxa"/>
          </w:tcPr>
          <w:p w14:paraId="6C0EA343" w14:textId="77777777" w:rsidR="006966F0" w:rsidRPr="00F557C9" w:rsidRDefault="006966F0" w:rsidP="0093776D">
            <w:pPr>
              <w:pStyle w:val="TableText"/>
              <w:jc w:val="center"/>
              <w:rPr>
                <w:snapToGrid w:val="0"/>
              </w:rPr>
            </w:pPr>
            <w:r>
              <w:rPr>
                <w:snapToGrid w:val="0"/>
              </w:rPr>
              <w:t>Moderate</w:t>
            </w:r>
          </w:p>
        </w:tc>
        <w:tc>
          <w:tcPr>
            <w:tcW w:w="1701" w:type="dxa"/>
          </w:tcPr>
          <w:p w14:paraId="089A2E11" w14:textId="77777777" w:rsidR="006966F0" w:rsidRPr="00F557C9" w:rsidRDefault="006966F0" w:rsidP="0093776D">
            <w:pPr>
              <w:pStyle w:val="TableText"/>
              <w:rPr>
                <w:snapToGrid w:val="0"/>
              </w:rPr>
            </w:pPr>
            <w:r>
              <w:rPr>
                <w:snapToGrid w:val="0"/>
              </w:rPr>
              <w:t xml:space="preserve">Couples positive for </w:t>
            </w:r>
            <w:r>
              <w:rPr>
                <w:rFonts w:ascii="Calibri" w:hAnsi="Calibri"/>
                <w:snapToGrid w:val="0"/>
              </w:rPr>
              <w:t>α</w:t>
            </w:r>
            <w:r>
              <w:rPr>
                <w:snapToGrid w:val="0"/>
              </w:rPr>
              <w:t xml:space="preserve"> or </w:t>
            </w:r>
            <w:r>
              <w:rPr>
                <w:rFonts w:ascii="Calibri" w:hAnsi="Calibri"/>
                <w:snapToGrid w:val="0"/>
              </w:rPr>
              <w:t>β</w:t>
            </w:r>
            <w:r>
              <w:rPr>
                <w:snapToGrid w:val="0"/>
              </w:rPr>
              <w:t>-thal</w:t>
            </w:r>
          </w:p>
        </w:tc>
        <w:tc>
          <w:tcPr>
            <w:tcW w:w="1701" w:type="dxa"/>
          </w:tcPr>
          <w:p w14:paraId="1DE5E4DF" w14:textId="77777777" w:rsidR="006966F0" w:rsidRDefault="006966F0" w:rsidP="0093776D">
            <w:pPr>
              <w:pStyle w:val="TableText"/>
              <w:rPr>
                <w:snapToGrid w:val="0"/>
              </w:rPr>
            </w:pPr>
            <w:r>
              <w:rPr>
                <w:snapToGrid w:val="0"/>
              </w:rPr>
              <w:t>Uptake of PND</w:t>
            </w:r>
          </w:p>
          <w:p w14:paraId="1789F650" w14:textId="77777777" w:rsidR="006966F0" w:rsidRPr="00CF2CFB" w:rsidRDefault="006966F0" w:rsidP="0093776D">
            <w:pPr>
              <w:pStyle w:val="TableText"/>
              <w:rPr>
                <w:snapToGrid w:val="0"/>
              </w:rPr>
            </w:pPr>
            <w:r>
              <w:rPr>
                <w:snapToGrid w:val="0"/>
              </w:rPr>
              <w:t xml:space="preserve">Couples at risk of an </w:t>
            </w:r>
            <w:r>
              <w:rPr>
                <w:rFonts w:ascii="Calibri" w:hAnsi="Calibri"/>
                <w:snapToGrid w:val="0"/>
              </w:rPr>
              <w:t>α</w:t>
            </w:r>
            <w:r>
              <w:rPr>
                <w:snapToGrid w:val="0"/>
                <w:vertAlign w:val="superscript"/>
              </w:rPr>
              <w:t>0</w:t>
            </w:r>
            <w:r>
              <w:rPr>
                <w:snapToGrid w:val="0"/>
              </w:rPr>
              <w:t>-thal thalassaemia</w:t>
            </w:r>
          </w:p>
        </w:tc>
        <w:tc>
          <w:tcPr>
            <w:tcW w:w="1366" w:type="dxa"/>
          </w:tcPr>
          <w:p w14:paraId="22BB107D" w14:textId="77777777" w:rsidR="006966F0" w:rsidRPr="00F557C9" w:rsidRDefault="006966F0" w:rsidP="0093776D">
            <w:pPr>
              <w:pStyle w:val="TableText"/>
              <w:jc w:val="center"/>
              <w:rPr>
                <w:snapToGrid w:val="0"/>
              </w:rPr>
            </w:pPr>
            <w:r>
              <w:rPr>
                <w:snapToGrid w:val="0"/>
              </w:rPr>
              <w:t>No</w:t>
            </w:r>
          </w:p>
        </w:tc>
      </w:tr>
    </w:tbl>
    <w:p w14:paraId="6825EAAC" w14:textId="220DA192" w:rsidR="00AD404A" w:rsidRDefault="00AD404A" w:rsidP="00C639A7">
      <w:pPr>
        <w:spacing w:before="240"/>
      </w:pPr>
      <w:r>
        <w:t xml:space="preserve">For linked evidence, the evidence in some cases was broader than that of interest. </w:t>
      </w:r>
      <w:r w:rsidR="00883736">
        <w:t>Twenty-one</w:t>
      </w:r>
      <w:r>
        <w:t xml:space="preserve"> studies </w:t>
      </w:r>
      <w:r w:rsidR="00830BAF">
        <w:t>(n=170,233; level III-1 to IV</w:t>
      </w:r>
      <w:r w:rsidR="00C3219E">
        <w:t>, T</w:t>
      </w:r>
      <w:r w:rsidR="00F864C3">
        <w:t>able 3</w:t>
      </w:r>
      <w:r w:rsidR="00830BAF">
        <w:t xml:space="preserve">) </w:t>
      </w:r>
      <w:r w:rsidR="00E50375">
        <w:t>met the sensitivity, specificity, positive/negative predictive value, diagnostic yield, need for re-resting, reliability and reproducibility</w:t>
      </w:r>
      <w:r w:rsidR="00830BAF">
        <w:t xml:space="preserve"> criteria laid out in the </w:t>
      </w:r>
      <w:r w:rsidR="008E17AF">
        <w:t>P</w:t>
      </w:r>
      <w:r w:rsidR="00830BAF">
        <w:t xml:space="preserve">PICO and the </w:t>
      </w:r>
      <w:r>
        <w:t xml:space="preserve">diagnostic performance </w:t>
      </w:r>
      <w:r w:rsidR="00830BAF">
        <w:t>was assessed</w:t>
      </w:r>
      <w:r w:rsidR="00D97635">
        <w:t>.</w:t>
      </w:r>
      <w:r w:rsidR="00703BB1">
        <w:t xml:space="preserve">  </w:t>
      </w:r>
      <w:r w:rsidR="00D97635">
        <w:t>S</w:t>
      </w:r>
      <w:r>
        <w:t>even studies assessed comparative clinical validity (n=2,112; level III-2)</w:t>
      </w:r>
      <w:r w:rsidR="005759C3">
        <w:t xml:space="preserve"> </w:t>
      </w:r>
      <w:r w:rsidR="00EE4051">
        <w:t>shown in T</w:t>
      </w:r>
      <w:r w:rsidR="00B12C0E">
        <w:t>able 4</w:t>
      </w:r>
      <w:r w:rsidR="00D97AD8">
        <w:t>.</w:t>
      </w:r>
      <w:r w:rsidR="00883736">
        <w:t xml:space="preserve"> </w:t>
      </w:r>
      <w:r w:rsidR="00D3537C">
        <w:t>N</w:t>
      </w:r>
      <w:r>
        <w:t>o studies met the</w:t>
      </w:r>
      <w:r w:rsidR="00C22753">
        <w:t xml:space="preserve"> </w:t>
      </w:r>
      <w:r w:rsidR="00C3426F">
        <w:t>P</w:t>
      </w:r>
      <w:r w:rsidR="00C22753">
        <w:t>PICO</w:t>
      </w:r>
      <w:r w:rsidR="00C05E93">
        <w:t xml:space="preserve"> </w:t>
      </w:r>
      <w:r>
        <w:t>pre-specified criteria</w:t>
      </w:r>
      <w:r w:rsidR="00F6295B">
        <w:t xml:space="preserve"> of</w:t>
      </w:r>
      <w:r>
        <w:t xml:space="preserve"> </w:t>
      </w:r>
      <w:r w:rsidR="00F6295B">
        <w:t xml:space="preserve">change in management outcomes and therapeutic effectiveness </w:t>
      </w:r>
      <w:r>
        <w:t>for clinical utility.</w:t>
      </w:r>
      <w:r w:rsidR="00545038">
        <w:t xml:space="preserve"> </w:t>
      </w:r>
      <w:r>
        <w:t xml:space="preserve">To address this latter </w:t>
      </w:r>
      <w:r w:rsidR="00D3537C">
        <w:t>issue</w:t>
      </w:r>
      <w:r>
        <w:t>, the CA stated that studies</w:t>
      </w:r>
      <w:r w:rsidR="00545038">
        <w:t>, which included people at risk of all HbPs,</w:t>
      </w:r>
      <w:r>
        <w:t xml:space="preserve"> were used to provide information on changes in management associated with HbP testing, as well as the clinical consequences of those changes in management.</w:t>
      </w:r>
    </w:p>
    <w:p w14:paraId="1275A1A1" w14:textId="3890563B" w:rsidR="00D05A1E" w:rsidRDefault="00914927" w:rsidP="00C639A7">
      <w:pPr>
        <w:spacing w:before="240"/>
      </w:pPr>
      <w:r>
        <w:t xml:space="preserve">One </w:t>
      </w:r>
      <w:r w:rsidR="00AD404A">
        <w:t xml:space="preserve">Australian </w:t>
      </w:r>
      <w:r w:rsidR="00F92246">
        <w:t xml:space="preserve">study </w:t>
      </w:r>
      <w:r w:rsidR="00FF38CD">
        <w:t>(Prior, Bittles &amp; Erber 2004</w:t>
      </w:r>
      <w:r w:rsidR="00752446">
        <w:t xml:space="preserve">, </w:t>
      </w:r>
      <w:r w:rsidR="00EE4051">
        <w:t>T</w:t>
      </w:r>
      <w:r w:rsidR="00FF38CD">
        <w:t xml:space="preserve">able 3) </w:t>
      </w:r>
      <w:r w:rsidR="00AD404A">
        <w:t>w</w:t>
      </w:r>
      <w:r>
        <w:t>as</w:t>
      </w:r>
      <w:r w:rsidR="00C639A7">
        <w:t xml:space="preserve"> included in the assessment.</w:t>
      </w:r>
    </w:p>
    <w:p w14:paraId="0763CAE0" w14:textId="77777777" w:rsidR="00D05A1E" w:rsidRDefault="00D05A1E">
      <w:pPr>
        <w:sectPr w:rsidR="00D05A1E" w:rsidSect="00271F18">
          <w:footerReference w:type="default" r:id="rId20"/>
          <w:pgSz w:w="11906" w:h="16838"/>
          <w:pgMar w:top="1134" w:right="1440" w:bottom="426" w:left="1440" w:header="708" w:footer="708" w:gutter="0"/>
          <w:cols w:space="708"/>
          <w:docGrid w:linePitch="360"/>
        </w:sectPr>
      </w:pPr>
    </w:p>
    <w:p w14:paraId="095D5749" w14:textId="23040026" w:rsidR="00D05A1E" w:rsidRPr="00492A3A" w:rsidRDefault="00D05A1E" w:rsidP="00492A3A">
      <w:pPr>
        <w:rPr>
          <w:rFonts w:ascii="Arial Narrow" w:hAnsi="Arial Narrow"/>
          <w:b/>
          <w:sz w:val="20"/>
        </w:rPr>
      </w:pPr>
      <w:r w:rsidRPr="00492A3A">
        <w:rPr>
          <w:rFonts w:ascii="Arial Narrow" w:hAnsi="Arial Narrow"/>
          <w:b/>
          <w:sz w:val="20"/>
        </w:rPr>
        <w:lastRenderedPageBreak/>
        <w:t xml:space="preserve">Table </w:t>
      </w:r>
      <w:r w:rsidR="00D576B7" w:rsidRPr="00492A3A">
        <w:rPr>
          <w:rFonts w:ascii="Arial Narrow" w:hAnsi="Arial Narrow"/>
          <w:b/>
          <w:sz w:val="20"/>
        </w:rPr>
        <w:fldChar w:fldCharType="begin"/>
      </w:r>
      <w:r w:rsidR="00D576B7" w:rsidRPr="00492A3A">
        <w:rPr>
          <w:rFonts w:ascii="Arial Narrow" w:hAnsi="Arial Narrow"/>
          <w:b/>
          <w:sz w:val="20"/>
        </w:rPr>
        <w:instrText xml:space="preserve"> SEQ Table \* ARABIC </w:instrText>
      </w:r>
      <w:r w:rsidR="00D576B7" w:rsidRPr="00492A3A">
        <w:rPr>
          <w:rFonts w:ascii="Arial Narrow" w:hAnsi="Arial Narrow"/>
          <w:b/>
          <w:sz w:val="20"/>
        </w:rPr>
        <w:fldChar w:fldCharType="separate"/>
      </w:r>
      <w:r w:rsidR="00F37DD4" w:rsidRPr="00492A3A">
        <w:rPr>
          <w:rFonts w:ascii="Arial Narrow" w:hAnsi="Arial Narrow"/>
          <w:b/>
          <w:sz w:val="20"/>
        </w:rPr>
        <w:t>3</w:t>
      </w:r>
      <w:r w:rsidR="00D576B7" w:rsidRPr="00492A3A">
        <w:rPr>
          <w:rFonts w:ascii="Arial Narrow" w:hAnsi="Arial Narrow"/>
          <w:b/>
          <w:sz w:val="20"/>
        </w:rPr>
        <w:fldChar w:fldCharType="end"/>
      </w:r>
      <w:r w:rsidRPr="00492A3A">
        <w:rPr>
          <w:rFonts w:ascii="Arial Narrow" w:hAnsi="Arial Narrow"/>
          <w:b/>
          <w:sz w:val="20"/>
        </w:rPr>
        <w:t xml:space="preserve">. Studies </w:t>
      </w:r>
      <w:r w:rsidR="001A648D" w:rsidRPr="00492A3A">
        <w:rPr>
          <w:rFonts w:ascii="Arial Narrow" w:hAnsi="Arial Narrow"/>
          <w:b/>
          <w:sz w:val="20"/>
        </w:rPr>
        <w:t>reporting on analytical validity</w:t>
      </w:r>
      <w:r w:rsidR="00914927" w:rsidRPr="00492A3A">
        <w:rPr>
          <w:rFonts w:ascii="Arial Narrow" w:hAnsi="Arial Narrow"/>
          <w:b/>
          <w:sz w:val="20"/>
        </w:rPr>
        <w:t xml:space="preserve"> </w:t>
      </w:r>
    </w:p>
    <w:tbl>
      <w:tblPr>
        <w:tblStyle w:val="TableGrid3"/>
        <w:tblW w:w="15168" w:type="dxa"/>
        <w:tblInd w:w="-147" w:type="dxa"/>
        <w:tblLayout w:type="fixed"/>
        <w:tblLook w:val="04A0" w:firstRow="1" w:lastRow="0" w:firstColumn="1" w:lastColumn="0" w:noHBand="0" w:noVBand="1"/>
        <w:tblCaption w:val="Table 3 Studies reporting on analytic validity"/>
        <w:tblDescription w:val="Table 3 Studies reporting on analytic validity"/>
      </w:tblPr>
      <w:tblGrid>
        <w:gridCol w:w="1418"/>
        <w:gridCol w:w="1701"/>
        <w:gridCol w:w="1985"/>
        <w:gridCol w:w="2551"/>
        <w:gridCol w:w="1843"/>
        <w:gridCol w:w="1417"/>
        <w:gridCol w:w="1701"/>
        <w:gridCol w:w="2552"/>
      </w:tblGrid>
      <w:tr w:rsidR="00D05A1E" w:rsidRPr="00021B7B" w14:paraId="7DDFF4D4" w14:textId="77777777" w:rsidTr="005D2C3B">
        <w:trPr>
          <w:tblHeader/>
        </w:trPr>
        <w:tc>
          <w:tcPr>
            <w:tcW w:w="1418" w:type="dxa"/>
          </w:tcPr>
          <w:p w14:paraId="7B82597E"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 xml:space="preserve">Study </w:t>
            </w:r>
          </w:p>
          <w:p w14:paraId="52B0412A"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Country</w:t>
            </w:r>
          </w:p>
        </w:tc>
        <w:tc>
          <w:tcPr>
            <w:tcW w:w="1701" w:type="dxa"/>
          </w:tcPr>
          <w:p w14:paraId="4EC0D4FA"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Study design</w:t>
            </w:r>
          </w:p>
          <w:p w14:paraId="56B76A2A" w14:textId="77777777" w:rsidR="00D05A1E" w:rsidRPr="00021B7B" w:rsidRDefault="00D05A1E" w:rsidP="005D2C3B">
            <w:pPr>
              <w:keepNext/>
              <w:keepLines/>
              <w:spacing w:before="40" w:after="40"/>
              <w:rPr>
                <w:rFonts w:ascii="Arial Narrow" w:hAnsi="Arial Narrow"/>
                <w:b/>
                <w:bCs/>
                <w:sz w:val="20"/>
                <w:vertAlign w:val="superscript"/>
              </w:rPr>
            </w:pPr>
            <w:r w:rsidRPr="00021B7B">
              <w:rPr>
                <w:rFonts w:ascii="Arial Narrow" w:hAnsi="Arial Narrow"/>
                <w:b/>
                <w:bCs/>
                <w:sz w:val="20"/>
              </w:rPr>
              <w:t>Level of evidence</w:t>
            </w:r>
            <w:r>
              <w:rPr>
                <w:rFonts w:ascii="Arial Narrow" w:hAnsi="Arial Narrow"/>
                <w:b/>
                <w:bCs/>
                <w:sz w:val="20"/>
                <w:vertAlign w:val="superscript"/>
              </w:rPr>
              <w:t>a</w:t>
            </w:r>
          </w:p>
          <w:p w14:paraId="5570A3F3" w14:textId="77777777" w:rsidR="00D05A1E" w:rsidRPr="00021B7B" w:rsidRDefault="00D05A1E" w:rsidP="005D2C3B">
            <w:pPr>
              <w:keepNext/>
              <w:keepLines/>
              <w:spacing w:before="40" w:after="40"/>
              <w:rPr>
                <w:rFonts w:ascii="Arial Narrow" w:hAnsi="Arial Narrow"/>
                <w:b/>
                <w:bCs/>
                <w:sz w:val="20"/>
                <w:vertAlign w:val="superscript"/>
              </w:rPr>
            </w:pPr>
            <w:r w:rsidRPr="00021B7B">
              <w:rPr>
                <w:rFonts w:ascii="Arial Narrow" w:hAnsi="Arial Narrow"/>
                <w:b/>
                <w:bCs/>
                <w:sz w:val="20"/>
              </w:rPr>
              <w:t>Quality appraisal</w:t>
            </w:r>
            <w:r>
              <w:rPr>
                <w:rFonts w:ascii="Arial Narrow" w:hAnsi="Arial Narrow"/>
                <w:b/>
                <w:bCs/>
                <w:sz w:val="20"/>
                <w:vertAlign w:val="superscript"/>
              </w:rPr>
              <w:t>b</w:t>
            </w:r>
          </w:p>
        </w:tc>
        <w:tc>
          <w:tcPr>
            <w:tcW w:w="1985" w:type="dxa"/>
          </w:tcPr>
          <w:p w14:paraId="5D4E812F"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Study population characteristics</w:t>
            </w:r>
          </w:p>
        </w:tc>
        <w:tc>
          <w:tcPr>
            <w:tcW w:w="2551" w:type="dxa"/>
          </w:tcPr>
          <w:p w14:paraId="27BED519"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Eligibility criteria</w:t>
            </w:r>
          </w:p>
          <w:p w14:paraId="5F01DE92"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Study objective</w:t>
            </w:r>
          </w:p>
        </w:tc>
        <w:tc>
          <w:tcPr>
            <w:tcW w:w="1843" w:type="dxa"/>
          </w:tcPr>
          <w:p w14:paraId="65C4739C"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Intervention</w:t>
            </w:r>
          </w:p>
        </w:tc>
        <w:tc>
          <w:tcPr>
            <w:tcW w:w="1417" w:type="dxa"/>
          </w:tcPr>
          <w:p w14:paraId="3C940914"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Comparator</w:t>
            </w:r>
          </w:p>
        </w:tc>
        <w:tc>
          <w:tcPr>
            <w:tcW w:w="1701" w:type="dxa"/>
          </w:tcPr>
          <w:p w14:paraId="162D2334"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Outcomes assessed</w:t>
            </w:r>
          </w:p>
          <w:p w14:paraId="5CAC3AAF" w14:textId="77777777" w:rsidR="00D05A1E" w:rsidRPr="00021B7B" w:rsidRDefault="00D05A1E" w:rsidP="005D2C3B">
            <w:pPr>
              <w:keepNext/>
              <w:keepLines/>
              <w:spacing w:before="40" w:after="40"/>
              <w:rPr>
                <w:rFonts w:ascii="Arial Narrow" w:hAnsi="Arial Narrow"/>
                <w:b/>
                <w:bCs/>
                <w:strike/>
                <w:sz w:val="20"/>
              </w:rPr>
            </w:pPr>
            <w:r w:rsidRPr="00021B7B">
              <w:rPr>
                <w:rFonts w:ascii="Arial Narrow" w:hAnsi="Arial Narrow"/>
                <w:b/>
                <w:bCs/>
                <w:sz w:val="20"/>
              </w:rPr>
              <w:t>Statistical analysis</w:t>
            </w:r>
          </w:p>
        </w:tc>
        <w:tc>
          <w:tcPr>
            <w:tcW w:w="2552" w:type="dxa"/>
          </w:tcPr>
          <w:p w14:paraId="56543FA3"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Comments</w:t>
            </w:r>
          </w:p>
          <w:p w14:paraId="791A37EA" w14:textId="77777777" w:rsidR="00D05A1E" w:rsidRPr="00021B7B" w:rsidRDefault="00D05A1E" w:rsidP="005D2C3B">
            <w:pPr>
              <w:keepNext/>
              <w:keepLines/>
              <w:spacing w:before="40" w:after="40"/>
              <w:rPr>
                <w:rFonts w:ascii="Arial Narrow" w:hAnsi="Arial Narrow"/>
                <w:b/>
                <w:bCs/>
                <w:sz w:val="20"/>
              </w:rPr>
            </w:pPr>
            <w:r w:rsidRPr="00021B7B">
              <w:rPr>
                <w:rFonts w:ascii="Arial Narrow" w:hAnsi="Arial Narrow"/>
                <w:b/>
                <w:bCs/>
                <w:sz w:val="20"/>
              </w:rPr>
              <w:t>Funding source</w:t>
            </w:r>
          </w:p>
        </w:tc>
      </w:tr>
      <w:tr w:rsidR="00D05A1E" w:rsidRPr="00021B7B" w14:paraId="4AD34A8D" w14:textId="77777777" w:rsidTr="005D2C3B">
        <w:tc>
          <w:tcPr>
            <w:tcW w:w="1418" w:type="dxa"/>
          </w:tcPr>
          <w:p w14:paraId="13C06DB7"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Basha, Mularo &amp; Cook</w:t>
            </w:r>
          </w:p>
          <w:p w14:paraId="583DD354"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2017</w:t>
            </w:r>
          </w:p>
          <w:p w14:paraId="56E13327"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USA</w:t>
            </w:r>
          </w:p>
        </w:tc>
        <w:tc>
          <w:tcPr>
            <w:tcW w:w="1701" w:type="dxa"/>
          </w:tcPr>
          <w:p w14:paraId="18743FC1"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A comparative study without concurrent controls</w:t>
            </w:r>
          </w:p>
          <w:p w14:paraId="3EBE87C2"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Level IV</w:t>
            </w:r>
          </w:p>
          <w:p w14:paraId="2E6B039B"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High risk of bias</w:t>
            </w:r>
          </w:p>
        </w:tc>
        <w:tc>
          <w:tcPr>
            <w:tcW w:w="1985" w:type="dxa"/>
          </w:tcPr>
          <w:p w14:paraId="5A761AE3"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N = 423 clinical samples</w:t>
            </w:r>
          </w:p>
          <w:p w14:paraId="7FF25E89"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Samples from patients submitted for diagnosis at a clinic</w:t>
            </w:r>
          </w:p>
        </w:tc>
        <w:tc>
          <w:tcPr>
            <w:tcW w:w="2551" w:type="dxa"/>
          </w:tcPr>
          <w:p w14:paraId="1021B970" w14:textId="77777777" w:rsidR="00D05A1E" w:rsidRPr="00021B7B" w:rsidRDefault="00D05A1E" w:rsidP="005D2C3B">
            <w:pPr>
              <w:keepNext/>
              <w:keepLines/>
              <w:spacing w:before="40" w:after="40"/>
              <w:rPr>
                <w:rFonts w:ascii="Arial Narrow" w:hAnsi="Arial Narrow"/>
                <w:bCs/>
                <w:i/>
                <w:sz w:val="20"/>
              </w:rPr>
            </w:pPr>
            <w:r w:rsidRPr="00021B7B">
              <w:rPr>
                <w:rFonts w:ascii="Arial Narrow" w:hAnsi="Arial Narrow"/>
                <w:bCs/>
                <w:i/>
                <w:sz w:val="20"/>
              </w:rPr>
              <w:t>Criteria</w:t>
            </w:r>
          </w:p>
          <w:p w14:paraId="78D3C757"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Diagnosis: consecutive cases over 24 months</w:t>
            </w:r>
          </w:p>
          <w:p w14:paraId="6F9343A6" w14:textId="77777777" w:rsidR="00D05A1E" w:rsidRPr="00021B7B" w:rsidRDefault="00D05A1E" w:rsidP="005D2C3B">
            <w:pPr>
              <w:keepNext/>
              <w:keepLines/>
              <w:spacing w:before="40" w:after="40"/>
              <w:rPr>
                <w:rFonts w:ascii="Arial Narrow" w:hAnsi="Arial Narrow"/>
                <w:bCs/>
                <w:i/>
                <w:sz w:val="20"/>
              </w:rPr>
            </w:pPr>
            <w:r w:rsidRPr="00021B7B">
              <w:rPr>
                <w:rFonts w:ascii="Arial Narrow" w:hAnsi="Arial Narrow"/>
                <w:bCs/>
                <w:i/>
                <w:sz w:val="20"/>
              </w:rPr>
              <w:t xml:space="preserve">Objective </w:t>
            </w:r>
          </w:p>
          <w:p w14:paraId="7F9718A2"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 xml:space="preserve">To describe the development , validation and implementation of a 2-tube </w:t>
            </w:r>
            <w:r w:rsidRPr="00021B7B">
              <w:rPr>
                <w:bCs/>
                <w:sz w:val="20"/>
              </w:rPr>
              <w:t>α</w:t>
            </w:r>
            <w:r w:rsidRPr="00021B7B">
              <w:rPr>
                <w:rFonts w:ascii="Arial Narrow" w:hAnsi="Arial Narrow"/>
                <w:bCs/>
                <w:sz w:val="20"/>
              </w:rPr>
              <w:t>-thal test</w:t>
            </w:r>
          </w:p>
        </w:tc>
        <w:tc>
          <w:tcPr>
            <w:tcW w:w="1843" w:type="dxa"/>
          </w:tcPr>
          <w:p w14:paraId="6298FD41"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Deletion testing by gap-PCR using fluorescent labelling and CE for 6 common mutations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 -</w:t>
            </w:r>
            <w:r w:rsidRPr="00021B7B">
              <w:rPr>
                <w:vertAlign w:val="superscript"/>
              </w:rPr>
              <w:t>SEA</w:t>
            </w:r>
            <w:r w:rsidRPr="00021B7B">
              <w:t>, - -</w:t>
            </w:r>
            <w:r w:rsidRPr="00021B7B">
              <w:rPr>
                <w:vertAlign w:val="superscript"/>
              </w:rPr>
              <w:t>MED</w:t>
            </w:r>
            <w:r w:rsidRPr="00021B7B">
              <w:t>, - -</w:t>
            </w:r>
            <w:r w:rsidRPr="00021B7B">
              <w:rPr>
                <w:vertAlign w:val="superscript"/>
              </w:rPr>
              <w:t>FIL</w:t>
            </w:r>
            <w:r w:rsidRPr="00021B7B">
              <w:rPr>
                <w:rFonts w:ascii="Arial Narrow" w:hAnsi="Arial Narrow"/>
                <w:bCs/>
                <w:sz w:val="20"/>
              </w:rPr>
              <w:t>)</w:t>
            </w:r>
          </w:p>
        </w:tc>
        <w:tc>
          <w:tcPr>
            <w:tcW w:w="1417" w:type="dxa"/>
          </w:tcPr>
          <w:p w14:paraId="223890F0"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w:t>
            </w:r>
          </w:p>
        </w:tc>
        <w:tc>
          <w:tcPr>
            <w:tcW w:w="1701" w:type="dxa"/>
          </w:tcPr>
          <w:p w14:paraId="6F1D175C"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sz w:val="20"/>
              </w:rPr>
              <w:t>Diagnostic yield</w:t>
            </w:r>
          </w:p>
        </w:tc>
        <w:tc>
          <w:tcPr>
            <w:tcW w:w="2552" w:type="dxa"/>
          </w:tcPr>
          <w:p w14:paraId="4A160BE6" w14:textId="77777777" w:rsidR="00D05A1E" w:rsidRPr="00021B7B" w:rsidRDefault="00D05A1E" w:rsidP="005D2C3B">
            <w:pPr>
              <w:keepNext/>
              <w:keepLines/>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2BA019A3" w14:textId="77777777" w:rsidTr="005D2C3B">
        <w:tc>
          <w:tcPr>
            <w:tcW w:w="1418" w:type="dxa"/>
          </w:tcPr>
          <w:p w14:paraId="26DFCE7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Bergeron et al</w:t>
            </w:r>
          </w:p>
          <w:p w14:paraId="72FFF9B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2005</w:t>
            </w:r>
          </w:p>
          <w:p w14:paraId="611B45C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Canada</w:t>
            </w:r>
          </w:p>
        </w:tc>
        <w:tc>
          <w:tcPr>
            <w:tcW w:w="1701" w:type="dxa"/>
          </w:tcPr>
          <w:p w14:paraId="6E4FF58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Comparison with reference standard that does not meet criteria for Level II or III-1 evidence.</w:t>
            </w:r>
          </w:p>
          <w:p w14:paraId="0C8AEB8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487B39FE" w14:textId="77777777" w:rsidR="00D05A1E" w:rsidRPr="00021B7B" w:rsidRDefault="00D05A1E" w:rsidP="005D2C3B">
            <w:pPr>
              <w:spacing w:before="40" w:after="40"/>
              <w:rPr>
                <w:rFonts w:ascii="Arial Narrow" w:hAnsi="Arial Narrow"/>
                <w:bCs/>
                <w:sz w:val="20"/>
              </w:rPr>
            </w:pPr>
            <w:r>
              <w:rPr>
                <w:rFonts w:ascii="Arial Narrow" w:hAnsi="Arial Narrow"/>
                <w:bCs/>
                <w:sz w:val="20"/>
              </w:rPr>
              <w:t>moderate</w:t>
            </w:r>
            <w:r w:rsidRPr="00021B7B">
              <w:rPr>
                <w:rFonts w:ascii="Arial Narrow" w:hAnsi="Arial Narrow"/>
                <w:bCs/>
                <w:sz w:val="20"/>
              </w:rPr>
              <w:t xml:space="preserve"> risk of bias</w:t>
            </w:r>
          </w:p>
        </w:tc>
        <w:tc>
          <w:tcPr>
            <w:tcW w:w="1985" w:type="dxa"/>
          </w:tcPr>
          <w:p w14:paraId="3A6CA0D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196</w:t>
            </w:r>
          </w:p>
          <w:p w14:paraId="74630A3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Patients attending a hospital with unexplained microcytosis</w:t>
            </w:r>
          </w:p>
          <w:p w14:paraId="168C672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Age &gt; 18y</w:t>
            </w:r>
          </w:p>
          <w:p w14:paraId="235D33D5" w14:textId="77777777" w:rsidR="00D05A1E" w:rsidRPr="00021B7B" w:rsidRDefault="00D05A1E" w:rsidP="005D2C3B">
            <w:pPr>
              <w:spacing w:before="40" w:after="40"/>
              <w:rPr>
                <w:rFonts w:ascii="Arial Narrow" w:hAnsi="Arial Narrow"/>
                <w:bCs/>
                <w:sz w:val="20"/>
              </w:rPr>
            </w:pPr>
          </w:p>
        </w:tc>
        <w:tc>
          <w:tcPr>
            <w:tcW w:w="2551" w:type="dxa"/>
          </w:tcPr>
          <w:p w14:paraId="499A39DC"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3CAA91B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Blood samples of patients tested with normal ferritin and HbA</w:t>
            </w:r>
            <w:r w:rsidRPr="00021B7B">
              <w:rPr>
                <w:rFonts w:ascii="Arial Narrow" w:hAnsi="Arial Narrow"/>
                <w:bCs/>
                <w:sz w:val="20"/>
                <w:vertAlign w:val="subscript"/>
              </w:rPr>
              <w:t>2</w:t>
            </w:r>
            <w:r w:rsidRPr="00021B7B">
              <w:rPr>
                <w:rFonts w:ascii="Arial Narrow" w:hAnsi="Arial Narrow"/>
                <w:bCs/>
                <w:sz w:val="20"/>
              </w:rPr>
              <w:t>, no abnormal Hb detected by HPLC</w:t>
            </w:r>
          </w:p>
          <w:p w14:paraId="76A465A1"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1BDBB705" w14:textId="77777777" w:rsidR="00D05A1E" w:rsidRPr="00021B7B" w:rsidRDefault="00D05A1E" w:rsidP="005D2C3B">
            <w:pPr>
              <w:spacing w:before="40" w:after="40"/>
              <w:rPr>
                <w:rFonts w:ascii="Arial Narrow" w:hAnsi="Arial Narrow"/>
                <w:bCs/>
                <w:i/>
                <w:sz w:val="20"/>
              </w:rPr>
            </w:pPr>
            <w:r w:rsidRPr="00021B7B">
              <w:rPr>
                <w:rFonts w:ascii="Arial Narrow" w:hAnsi="Arial Narrow"/>
                <w:bCs/>
                <w:sz w:val="20"/>
              </w:rPr>
              <w:t xml:space="preserve">To identify the proportion of patients with unexplained microcytosis who have </w:t>
            </w:r>
            <w:r w:rsidRPr="00021B7B">
              <w:rPr>
                <w:bCs/>
                <w:sz w:val="20"/>
              </w:rPr>
              <w:t>α</w:t>
            </w:r>
            <w:r w:rsidRPr="00021B7B">
              <w:rPr>
                <w:rFonts w:ascii="Arial Narrow" w:hAnsi="Arial Narrow"/>
                <w:bCs/>
                <w:sz w:val="20"/>
              </w:rPr>
              <w:t>-thal</w:t>
            </w:r>
          </w:p>
        </w:tc>
        <w:tc>
          <w:tcPr>
            <w:tcW w:w="1843" w:type="dxa"/>
          </w:tcPr>
          <w:p w14:paraId="5708F31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Multiplex PCR for 7 deletions</w:t>
            </w:r>
            <w:r w:rsidRPr="00021B7B">
              <w:rPr>
                <w:rFonts w:ascii="Arial Narrow" w:hAnsi="Arial Narrow"/>
                <w:bCs/>
                <w:sz w:val="20"/>
                <w:vertAlign w:val="superscript"/>
              </w:rPr>
              <w:t>a</w:t>
            </w:r>
            <w:r w:rsidRPr="00021B7B">
              <w:rPr>
                <w:rFonts w:ascii="Arial Narrow" w:hAnsi="Arial Narrow"/>
                <w:bCs/>
                <w:sz w:val="20"/>
              </w:rPr>
              <w:t xml:space="preserve">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 -</w:t>
            </w:r>
            <w:r w:rsidRPr="00021B7B">
              <w:rPr>
                <w:vertAlign w:val="superscript"/>
              </w:rPr>
              <w:t>SEA</w:t>
            </w:r>
            <w:r w:rsidRPr="00021B7B">
              <w:t>, - -</w:t>
            </w:r>
            <w:r w:rsidRPr="00021B7B">
              <w:rPr>
                <w:vertAlign w:val="superscript"/>
              </w:rPr>
              <w:t>MED</w:t>
            </w:r>
            <w:r w:rsidRPr="00021B7B">
              <w:t>, - -</w:t>
            </w:r>
            <w:r w:rsidRPr="00021B7B">
              <w:rPr>
                <w:vertAlign w:val="superscript"/>
              </w:rPr>
              <w:t>FIL</w:t>
            </w:r>
            <w:r w:rsidRPr="00021B7B">
              <w:t>, --</w:t>
            </w:r>
            <w:r w:rsidRPr="00021B7B">
              <w:rPr>
                <w:vertAlign w:val="superscript"/>
              </w:rPr>
              <w:t>Thai</w:t>
            </w:r>
            <w:r w:rsidRPr="00021B7B">
              <w:rPr>
                <w:rFonts w:ascii="Arial Narrow" w:hAnsi="Arial Narrow"/>
                <w:bCs/>
                <w:sz w:val="20"/>
              </w:rPr>
              <w:t>)</w:t>
            </w:r>
          </w:p>
        </w:tc>
        <w:tc>
          <w:tcPr>
            <w:tcW w:w="1417" w:type="dxa"/>
          </w:tcPr>
          <w:p w14:paraId="0D627CA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t>
            </w:r>
          </w:p>
        </w:tc>
        <w:tc>
          <w:tcPr>
            <w:tcW w:w="1701" w:type="dxa"/>
          </w:tcPr>
          <w:p w14:paraId="16547DC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p w14:paraId="4269880B" w14:textId="77777777" w:rsidR="00D05A1E" w:rsidRPr="00021B7B" w:rsidRDefault="00D05A1E" w:rsidP="005D2C3B">
            <w:pPr>
              <w:spacing w:before="40" w:after="40"/>
              <w:rPr>
                <w:rFonts w:ascii="Arial Narrow" w:hAnsi="Arial Narrow"/>
                <w:bCs/>
                <w:sz w:val="20"/>
              </w:rPr>
            </w:pPr>
          </w:p>
        </w:tc>
        <w:tc>
          <w:tcPr>
            <w:tcW w:w="2552" w:type="dxa"/>
          </w:tcPr>
          <w:p w14:paraId="6594DE8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Group assessed by PCR:</w:t>
            </w:r>
          </w:p>
          <w:p w14:paraId="1B2A5E7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Gp 3 (n = 204): negative HbH &amp; MCV ≤82fL, or diagnosed with other HbP– PCR not performed for 7 case due to poor quality DNA, and PCR failed in one case</w:t>
            </w:r>
          </w:p>
          <w:p w14:paraId="4376477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Funding: NR</w:t>
            </w:r>
          </w:p>
        </w:tc>
      </w:tr>
      <w:tr w:rsidR="00D05A1E" w:rsidRPr="00021B7B" w14:paraId="2F1C47CE" w14:textId="77777777" w:rsidTr="005D2C3B">
        <w:tc>
          <w:tcPr>
            <w:tcW w:w="1418" w:type="dxa"/>
          </w:tcPr>
          <w:p w14:paraId="38045CA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Chaibunruang et al</w:t>
            </w:r>
          </w:p>
          <w:p w14:paraId="1A6355B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2013</w:t>
            </w:r>
          </w:p>
          <w:p w14:paraId="6FDC78F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Thailand</w:t>
            </w:r>
          </w:p>
        </w:tc>
        <w:tc>
          <w:tcPr>
            <w:tcW w:w="1701" w:type="dxa"/>
          </w:tcPr>
          <w:p w14:paraId="781A797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series</w:t>
            </w:r>
          </w:p>
          <w:p w14:paraId="2AB3D31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4FB58D4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02FA46B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12,525</w:t>
            </w:r>
          </w:p>
          <w:p w14:paraId="5677DDD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Samples from a large referral and research centre for HbP</w:t>
            </w:r>
          </w:p>
          <w:p w14:paraId="4F85F7D1" w14:textId="77777777" w:rsidR="00D05A1E" w:rsidRPr="00021B7B" w:rsidRDefault="00D05A1E" w:rsidP="005D2C3B">
            <w:pPr>
              <w:spacing w:before="40" w:after="40"/>
              <w:rPr>
                <w:rFonts w:ascii="Arial Narrow" w:hAnsi="Arial Narrow"/>
                <w:bCs/>
                <w:sz w:val="20"/>
              </w:rPr>
            </w:pPr>
          </w:p>
        </w:tc>
        <w:tc>
          <w:tcPr>
            <w:tcW w:w="2551" w:type="dxa"/>
          </w:tcPr>
          <w:p w14:paraId="6180E9AF"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991D9D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Referral from a hospital to the research centre</w:t>
            </w:r>
          </w:p>
          <w:p w14:paraId="5B5E9280"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5627155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Analysis of molecular, genetic and prevalence data in a large cohort</w:t>
            </w:r>
          </w:p>
        </w:tc>
        <w:tc>
          <w:tcPr>
            <w:tcW w:w="1843" w:type="dxa"/>
          </w:tcPr>
          <w:p w14:paraId="346A601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Deletion testing using gap-PCR  or real-time PCR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multiplex PCR for deletion and non-deletion mutations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xml:space="preserve">, </w:t>
            </w:r>
            <w:r w:rsidRPr="00021B7B">
              <w:rPr>
                <w:bCs/>
                <w:sz w:val="20"/>
              </w:rPr>
              <w:t>α</w:t>
            </w:r>
            <w:r w:rsidRPr="00021B7B">
              <w:rPr>
                <w:rFonts w:ascii="Arial Narrow" w:hAnsi="Arial Narrow"/>
                <w:bCs/>
                <w:sz w:val="20"/>
                <w:vertAlign w:val="superscript"/>
              </w:rPr>
              <w:t>CS</w:t>
            </w:r>
            <w:r w:rsidRPr="00021B7B">
              <w:rPr>
                <w:rFonts w:ascii="Arial Narrow" w:hAnsi="Arial Narrow"/>
                <w:bCs/>
                <w:sz w:val="20"/>
              </w:rPr>
              <w:t xml:space="preserve">, </w:t>
            </w:r>
            <w:r w:rsidRPr="00021B7B">
              <w:rPr>
                <w:bCs/>
                <w:sz w:val="20"/>
              </w:rPr>
              <w:t>α</w:t>
            </w:r>
            <w:r w:rsidRPr="00021B7B">
              <w:rPr>
                <w:rFonts w:ascii="Arial Narrow" w:hAnsi="Arial Narrow"/>
                <w:bCs/>
                <w:sz w:val="20"/>
                <w:vertAlign w:val="superscript"/>
              </w:rPr>
              <w:t>Pakse</w:t>
            </w:r>
            <w:r w:rsidRPr="00021B7B">
              <w:rPr>
                <w:rFonts w:ascii="Arial Narrow" w:hAnsi="Arial Narrow"/>
                <w:bCs/>
                <w:sz w:val="20"/>
              </w:rPr>
              <w:t>)</w:t>
            </w:r>
          </w:p>
        </w:tc>
        <w:tc>
          <w:tcPr>
            <w:tcW w:w="1417" w:type="dxa"/>
          </w:tcPr>
          <w:p w14:paraId="6FF5B9C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t>
            </w:r>
          </w:p>
        </w:tc>
        <w:tc>
          <w:tcPr>
            <w:tcW w:w="1701" w:type="dxa"/>
          </w:tcPr>
          <w:p w14:paraId="40E6176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561CEF7C"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National Research University program grant, Khon Kaen University &amp; Office of the Higher Education Commission, Ministry of Education, Thailand</w:t>
            </w:r>
          </w:p>
        </w:tc>
      </w:tr>
      <w:tr w:rsidR="00D05A1E" w:rsidRPr="00021B7B" w14:paraId="3948D710" w14:textId="77777777" w:rsidTr="005D2C3B">
        <w:tc>
          <w:tcPr>
            <w:tcW w:w="1418" w:type="dxa"/>
          </w:tcPr>
          <w:p w14:paraId="6AFB88E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Chaibunruang et al</w:t>
            </w:r>
          </w:p>
          <w:p w14:paraId="4EC08C7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2010</w:t>
            </w:r>
          </w:p>
          <w:p w14:paraId="4BD99D0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Thailand</w:t>
            </w:r>
          </w:p>
        </w:tc>
        <w:tc>
          <w:tcPr>
            <w:tcW w:w="1701" w:type="dxa"/>
          </w:tcPr>
          <w:p w14:paraId="766AE42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series</w:t>
            </w:r>
          </w:p>
          <w:p w14:paraId="7DC04DC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557433B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65EFDEE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206</w:t>
            </w:r>
          </w:p>
          <w:p w14:paraId="3E46EFF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Left over blood samples of suspected carriers used to test screening protocol</w:t>
            </w:r>
          </w:p>
        </w:tc>
        <w:tc>
          <w:tcPr>
            <w:tcW w:w="2551" w:type="dxa"/>
          </w:tcPr>
          <w:p w14:paraId="42711C2B"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0852690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Hypochromic microcytic anaemia, excluded for </w:t>
            </w:r>
            <w:r w:rsidRPr="00021B7B">
              <w:rPr>
                <w:bCs/>
                <w:sz w:val="20"/>
              </w:rPr>
              <w:t>β</w:t>
            </w:r>
            <w:r w:rsidRPr="00021B7B">
              <w:rPr>
                <w:rFonts w:ascii="Arial Narrow" w:hAnsi="Arial Narrow"/>
                <w:bCs/>
                <w:sz w:val="20"/>
              </w:rPr>
              <w:t>-thal</w:t>
            </w:r>
          </w:p>
          <w:p w14:paraId="5C92F47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Objective</w:t>
            </w:r>
          </w:p>
          <w:p w14:paraId="0CBAA1A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Tot test an improved screening protocol</w:t>
            </w:r>
          </w:p>
        </w:tc>
        <w:tc>
          <w:tcPr>
            <w:tcW w:w="1843" w:type="dxa"/>
          </w:tcPr>
          <w:p w14:paraId="6ED749C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Deletion testing by gap-PCR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w:t>
            </w:r>
            <w:r w:rsidRPr="00021B7B">
              <w:rPr>
                <w:rFonts w:ascii="Arial Narrow" w:hAnsi="Arial Narrow"/>
                <w:bCs/>
                <w:sz w:val="20"/>
              </w:rPr>
              <w:t>I,</w:t>
            </w:r>
            <w:r w:rsidRPr="00021B7B">
              <w:rPr>
                <w:rFonts w:ascii="Arial Narrow" w:hAnsi="Arial Narrow"/>
                <w:bCs/>
                <w:sz w:val="20"/>
                <w:vertAlign w:val="superscript"/>
              </w:rPr>
              <w:t xml:space="preserve"> </w:t>
            </w:r>
            <w:r w:rsidRPr="00021B7B">
              <w:rPr>
                <w:rFonts w:ascii="Arial Narrow" w:hAnsi="Arial Narrow"/>
                <w:bCs/>
                <w:sz w:val="20"/>
              </w:rPr>
              <w:t>-</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and non-deletions (</w:t>
            </w:r>
            <w:r w:rsidRPr="00021B7B">
              <w:rPr>
                <w:bCs/>
                <w:sz w:val="20"/>
              </w:rPr>
              <w:t>α</w:t>
            </w:r>
            <w:r w:rsidRPr="00021B7B">
              <w:rPr>
                <w:rFonts w:ascii="Arial Narrow" w:hAnsi="Arial Narrow"/>
                <w:bCs/>
                <w:sz w:val="20"/>
                <w:vertAlign w:val="superscript"/>
              </w:rPr>
              <w:t>CS</w:t>
            </w:r>
            <w:r w:rsidRPr="00021B7B">
              <w:rPr>
                <w:rFonts w:ascii="Arial Narrow" w:hAnsi="Arial Narrow"/>
                <w:bCs/>
                <w:sz w:val="20"/>
              </w:rPr>
              <w:t xml:space="preserve">, </w:t>
            </w:r>
            <w:r w:rsidRPr="00021B7B">
              <w:rPr>
                <w:bCs/>
                <w:sz w:val="20"/>
              </w:rPr>
              <w:t>α</w:t>
            </w:r>
            <w:r w:rsidRPr="00021B7B">
              <w:rPr>
                <w:rFonts w:ascii="Arial Narrow" w:hAnsi="Arial Narrow"/>
                <w:bCs/>
                <w:sz w:val="20"/>
                <w:vertAlign w:val="superscript"/>
              </w:rPr>
              <w:t>Pakse</w:t>
            </w:r>
            <w:r w:rsidRPr="00021B7B">
              <w:rPr>
                <w:rFonts w:ascii="Arial Narrow" w:hAnsi="Arial Narrow"/>
                <w:bCs/>
                <w:sz w:val="20"/>
              </w:rPr>
              <w:t>)</w:t>
            </w:r>
          </w:p>
        </w:tc>
        <w:tc>
          <w:tcPr>
            <w:tcW w:w="1417" w:type="dxa"/>
          </w:tcPr>
          <w:p w14:paraId="5435F1D1" w14:textId="77777777" w:rsidR="00D05A1E" w:rsidRPr="00021B7B" w:rsidRDefault="00D05A1E" w:rsidP="005D2C3B">
            <w:pPr>
              <w:spacing w:before="40" w:after="40"/>
              <w:rPr>
                <w:rFonts w:ascii="Arial Narrow" w:hAnsi="Arial Narrow"/>
                <w:bCs/>
                <w:sz w:val="20"/>
              </w:rPr>
            </w:pPr>
            <w:r w:rsidRPr="00021B7B">
              <w:rPr>
                <w:bCs/>
                <w:sz w:val="20"/>
              </w:rPr>
              <w:t>α</w:t>
            </w:r>
            <w:r w:rsidRPr="00021B7B">
              <w:rPr>
                <w:rFonts w:ascii="Arial Narrow" w:hAnsi="Arial Narrow"/>
                <w:bCs/>
                <w:sz w:val="20"/>
              </w:rPr>
              <w:t>-thal status by screening test (OF, DCIP, HbH inclusions)</w:t>
            </w:r>
          </w:p>
        </w:tc>
        <w:tc>
          <w:tcPr>
            <w:tcW w:w="1701" w:type="dxa"/>
          </w:tcPr>
          <w:p w14:paraId="348AC47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p w14:paraId="4A9F74B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Concordance</w:t>
            </w:r>
          </w:p>
        </w:tc>
        <w:tc>
          <w:tcPr>
            <w:tcW w:w="2552" w:type="dxa"/>
          </w:tcPr>
          <w:p w14:paraId="776D644E" w14:textId="77777777" w:rsidR="00C639A7"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grants from Khon Kaen University, Office of Higher Education Commission, Ministry of Education, Thailand &amp; the Royal Golden Jubilee</w:t>
            </w:r>
          </w:p>
          <w:p w14:paraId="624CD9B5" w14:textId="4799EEDD" w:rsidR="00D05A1E" w:rsidRPr="00021B7B" w:rsidRDefault="00D05A1E" w:rsidP="005D2C3B">
            <w:pPr>
              <w:spacing w:before="40" w:after="40"/>
              <w:rPr>
                <w:rFonts w:ascii="Arial Narrow" w:hAnsi="Arial Narrow"/>
                <w:bCs/>
                <w:sz w:val="20"/>
                <w:highlight w:val="yellow"/>
              </w:rPr>
            </w:pPr>
            <w:r w:rsidRPr="00021B7B">
              <w:rPr>
                <w:rFonts w:ascii="Arial Narrow" w:hAnsi="Arial Narrow"/>
                <w:bCs/>
                <w:sz w:val="20"/>
              </w:rPr>
              <w:lastRenderedPageBreak/>
              <w:t>PhD program of the Thailand Research Fund</w:t>
            </w:r>
          </w:p>
        </w:tc>
      </w:tr>
      <w:tr w:rsidR="00D05A1E" w:rsidRPr="00021B7B" w14:paraId="1612C26C" w14:textId="77777777" w:rsidTr="005D2C3B">
        <w:tc>
          <w:tcPr>
            <w:tcW w:w="1418" w:type="dxa"/>
          </w:tcPr>
          <w:p w14:paraId="3A6F404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Galanello et al</w:t>
            </w:r>
          </w:p>
          <w:p w14:paraId="5901B7D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1998</w:t>
            </w:r>
          </w:p>
          <w:p w14:paraId="31F76B7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Italy</w:t>
            </w:r>
          </w:p>
        </w:tc>
        <w:tc>
          <w:tcPr>
            <w:tcW w:w="1701" w:type="dxa"/>
          </w:tcPr>
          <w:p w14:paraId="7BE3317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series</w:t>
            </w:r>
          </w:p>
          <w:p w14:paraId="55EE602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34EB869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tcPr>
          <w:p w14:paraId="4A983C0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526</w:t>
            </w:r>
          </w:p>
          <w:p w14:paraId="4D44CB1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Adults of Sardinian descent</w:t>
            </w:r>
          </w:p>
        </w:tc>
        <w:tc>
          <w:tcPr>
            <w:tcW w:w="2551" w:type="dxa"/>
          </w:tcPr>
          <w:p w14:paraId="632F06D1"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1E25703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Individuals screening negative for </w:t>
            </w:r>
            <w:r w:rsidRPr="00021B7B">
              <w:rPr>
                <w:bCs/>
                <w:sz w:val="20"/>
              </w:rPr>
              <w:t>β</w:t>
            </w:r>
            <w:r w:rsidRPr="00021B7B">
              <w:rPr>
                <w:rFonts w:ascii="Arial Narrow" w:hAnsi="Arial Narrow"/>
                <w:bCs/>
                <w:sz w:val="20"/>
              </w:rPr>
              <w:t>-thal, MCV &lt;79fL, MCH &lt;27pg, normal HbA</w:t>
            </w:r>
            <w:r w:rsidRPr="00021B7B">
              <w:rPr>
                <w:rFonts w:ascii="Arial Narrow" w:hAnsi="Arial Narrow"/>
                <w:bCs/>
                <w:sz w:val="20"/>
                <w:vertAlign w:val="subscript"/>
              </w:rPr>
              <w:t>2</w:t>
            </w:r>
            <w:r w:rsidRPr="00021B7B">
              <w:rPr>
                <w:rFonts w:ascii="Arial Narrow" w:hAnsi="Arial Narrow"/>
                <w:bCs/>
                <w:sz w:val="20"/>
              </w:rPr>
              <w:t xml:space="preserve"> and iron status</w:t>
            </w:r>
          </w:p>
          <w:p w14:paraId="1D4FDF14"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1C2DD2F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Identification of </w:t>
            </w:r>
            <w:r w:rsidRPr="00021B7B">
              <w:rPr>
                <w:bCs/>
                <w:sz w:val="20"/>
              </w:rPr>
              <w:t>α</w:t>
            </w:r>
            <w:r w:rsidRPr="00021B7B">
              <w:rPr>
                <w:rFonts w:ascii="Arial Narrow" w:hAnsi="Arial Narrow"/>
                <w:bCs/>
                <w:sz w:val="20"/>
              </w:rPr>
              <w:t>-thal carriers using PCR and a simplified screening approach</w:t>
            </w:r>
          </w:p>
        </w:tc>
        <w:tc>
          <w:tcPr>
            <w:tcW w:w="1843" w:type="dxa"/>
          </w:tcPr>
          <w:p w14:paraId="2503194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Deletion testing by PCR for 4 common mutations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20.5</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and RE</w:t>
            </w:r>
          </w:p>
        </w:tc>
        <w:tc>
          <w:tcPr>
            <w:tcW w:w="1417" w:type="dxa"/>
          </w:tcPr>
          <w:p w14:paraId="02ECD66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Red cell indices</w:t>
            </w:r>
          </w:p>
        </w:tc>
        <w:tc>
          <w:tcPr>
            <w:tcW w:w="1701" w:type="dxa"/>
          </w:tcPr>
          <w:p w14:paraId="52EA676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058D3ABB"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Grants from CNR-Target project (#N.91.00012.pf99), Theleton (#E 502), Fondazione Italiana Leonardo Giambrone, Regione Sardegna (#30.04.1990)</w:t>
            </w:r>
          </w:p>
        </w:tc>
      </w:tr>
      <w:tr w:rsidR="00D05A1E" w:rsidRPr="00021B7B" w14:paraId="6C2265EB" w14:textId="77777777" w:rsidTr="005D2C3B">
        <w:tc>
          <w:tcPr>
            <w:tcW w:w="1418" w:type="dxa"/>
          </w:tcPr>
          <w:p w14:paraId="68B95C5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Gilad et al</w:t>
            </w:r>
          </w:p>
          <w:p w14:paraId="2A18247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2017</w:t>
            </w:r>
          </w:p>
          <w:p w14:paraId="7B3AA45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Israel </w:t>
            </w:r>
          </w:p>
        </w:tc>
        <w:tc>
          <w:tcPr>
            <w:tcW w:w="1701" w:type="dxa"/>
          </w:tcPr>
          <w:p w14:paraId="13BEAA2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 comparative study with concurrent controls</w:t>
            </w:r>
          </w:p>
          <w:p w14:paraId="1492048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III-2</w:t>
            </w:r>
          </w:p>
          <w:p w14:paraId="40C402D6" w14:textId="77777777" w:rsidR="00D05A1E" w:rsidRPr="00021B7B" w:rsidRDefault="00D05A1E" w:rsidP="005D2C3B">
            <w:pPr>
              <w:spacing w:before="40" w:after="40"/>
              <w:rPr>
                <w:rFonts w:ascii="Arial Narrow" w:hAnsi="Arial Narrow"/>
                <w:bCs/>
                <w:sz w:val="20"/>
              </w:rPr>
            </w:pPr>
            <w:r>
              <w:rPr>
                <w:rFonts w:ascii="Arial Narrow" w:hAnsi="Arial Narrow"/>
                <w:bCs/>
                <w:sz w:val="20"/>
              </w:rPr>
              <w:t>High</w:t>
            </w:r>
            <w:r w:rsidRPr="00021B7B">
              <w:rPr>
                <w:rFonts w:ascii="Arial Narrow" w:hAnsi="Arial Narrow"/>
                <w:bCs/>
                <w:sz w:val="20"/>
              </w:rPr>
              <w:t xml:space="preserve"> risk of bias</w:t>
            </w:r>
          </w:p>
        </w:tc>
        <w:tc>
          <w:tcPr>
            <w:tcW w:w="1985" w:type="dxa"/>
          </w:tcPr>
          <w:p w14:paraId="3AAD9F2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N = 975 </w:t>
            </w:r>
          </w:p>
          <w:p w14:paraId="31BEE1E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Samples of patients referred to a single centre in Israel from 1994-2014</w:t>
            </w:r>
          </w:p>
          <w:p w14:paraId="02EDFD4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Age range (y): 0.5-85</w:t>
            </w:r>
          </w:p>
        </w:tc>
        <w:tc>
          <w:tcPr>
            <w:tcW w:w="2551" w:type="dxa"/>
          </w:tcPr>
          <w:p w14:paraId="7F19EE12"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0CF169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Individuals referred for diagnosis due to microcytosis with or without anaemia, excluded for </w:t>
            </w:r>
            <w:r w:rsidRPr="00021B7B">
              <w:rPr>
                <w:bCs/>
                <w:sz w:val="20"/>
              </w:rPr>
              <w:t>β</w:t>
            </w:r>
            <w:r w:rsidRPr="00021B7B">
              <w:rPr>
                <w:rFonts w:ascii="Arial Narrow" w:hAnsi="Arial Narrow"/>
                <w:bCs/>
                <w:sz w:val="20"/>
              </w:rPr>
              <w:t>-thal and iron deficiency</w:t>
            </w:r>
          </w:p>
          <w:p w14:paraId="43A348FF"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6A342EC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Accurate diagnosis of thalassaemia by Gap-PCR, gene sequencing and MLPA</w:t>
            </w:r>
          </w:p>
        </w:tc>
        <w:tc>
          <w:tcPr>
            <w:tcW w:w="1843" w:type="dxa"/>
          </w:tcPr>
          <w:p w14:paraId="6EF4A2A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Deletion testing by gap-PCR for common mutations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p>
        </w:tc>
        <w:tc>
          <w:tcPr>
            <w:tcW w:w="1417" w:type="dxa"/>
          </w:tcPr>
          <w:p w14:paraId="3A119AC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Gene sequencing for point mutations</w:t>
            </w:r>
          </w:p>
          <w:p w14:paraId="506B3BD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MLPA for rare mutations</w:t>
            </w:r>
          </w:p>
        </w:tc>
        <w:tc>
          <w:tcPr>
            <w:tcW w:w="1701" w:type="dxa"/>
          </w:tcPr>
          <w:p w14:paraId="3CE2F9B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Sensitivity</w:t>
            </w:r>
          </w:p>
          <w:p w14:paraId="6A921F0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Specificity</w:t>
            </w:r>
          </w:p>
          <w:p w14:paraId="02BCD83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21C0525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Primers for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xml:space="preserve"> and –</w:t>
            </w:r>
            <w:r w:rsidRPr="00021B7B">
              <w:rPr>
                <w:rFonts w:ascii="Arial Narrow" w:hAnsi="Arial Narrow"/>
                <w:bCs/>
                <w:sz w:val="20"/>
                <w:vertAlign w:val="superscript"/>
              </w:rPr>
              <w:t>Fil</w:t>
            </w:r>
            <w:r w:rsidRPr="00021B7B">
              <w:rPr>
                <w:rFonts w:ascii="Arial Narrow" w:hAnsi="Arial Narrow"/>
                <w:bCs/>
                <w:sz w:val="20"/>
              </w:rPr>
              <w:t xml:space="preserve"> were added to the multiplex Gap-PCR if a patients was of Southeast Asian origin. Up until 2010, point mutation analysis was carried out by restriction enzyme analysis, and afterwards by sequencing of the </w:t>
            </w:r>
            <w:r w:rsidRPr="00021B7B">
              <w:rPr>
                <w:bCs/>
                <w:sz w:val="20"/>
              </w:rPr>
              <w:t xml:space="preserve">HBA </w:t>
            </w:r>
            <w:r w:rsidRPr="00021B7B">
              <w:rPr>
                <w:rFonts w:ascii="Arial Narrow" w:hAnsi="Arial Narrow"/>
                <w:bCs/>
                <w:sz w:val="20"/>
              </w:rPr>
              <w:t>gene.</w:t>
            </w:r>
          </w:p>
          <w:p w14:paraId="6A236D3B"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03C04052" w14:textId="77777777" w:rsidTr="005D2C3B">
        <w:tc>
          <w:tcPr>
            <w:tcW w:w="1418" w:type="dxa"/>
          </w:tcPr>
          <w:p w14:paraId="7EACE16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Giordano </w:t>
            </w:r>
            <w:r>
              <w:rPr>
                <w:rFonts w:ascii="Arial Narrow" w:hAnsi="Arial Narrow"/>
                <w:bCs/>
                <w:sz w:val="20"/>
              </w:rPr>
              <w:t xml:space="preserve">et al. </w:t>
            </w:r>
          </w:p>
          <w:p w14:paraId="494F2D9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2006</w:t>
            </w:r>
          </w:p>
          <w:p w14:paraId="7D93D9B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Netherlands</w:t>
            </w:r>
          </w:p>
        </w:tc>
        <w:tc>
          <w:tcPr>
            <w:tcW w:w="1701" w:type="dxa"/>
          </w:tcPr>
          <w:p w14:paraId="2C14D4C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36334A8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68BF096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03D80DD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139</w:t>
            </w:r>
          </w:p>
          <w:p w14:paraId="1297695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Pregnant women contracted regarding a pilot test for HbP testing</w:t>
            </w:r>
          </w:p>
          <w:p w14:paraId="55B0001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N = 5 </w:t>
            </w:r>
          </w:p>
          <w:p w14:paraId="5C00975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Partners of detected </w:t>
            </w:r>
            <w:r w:rsidRPr="00021B7B">
              <w:rPr>
                <w:bCs/>
                <w:sz w:val="20"/>
              </w:rPr>
              <w:t>α</w:t>
            </w:r>
            <w:r w:rsidRPr="00021B7B">
              <w:rPr>
                <w:rFonts w:ascii="Arial Narrow" w:hAnsi="Arial Narrow"/>
                <w:bCs/>
                <w:sz w:val="20"/>
              </w:rPr>
              <w:t>-thal carriers</w:t>
            </w:r>
          </w:p>
        </w:tc>
        <w:tc>
          <w:tcPr>
            <w:tcW w:w="2551" w:type="dxa"/>
          </w:tcPr>
          <w:p w14:paraId="1DBB0A20"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B802A7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Women in early pregnancy attending a hospital outpatient department</w:t>
            </w:r>
          </w:p>
          <w:p w14:paraId="6EEA03F3"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22A6709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 assess the use of a screening program for first-line health-care providers</w:t>
            </w:r>
          </w:p>
        </w:tc>
        <w:tc>
          <w:tcPr>
            <w:tcW w:w="1843" w:type="dxa"/>
          </w:tcPr>
          <w:p w14:paraId="663B5A9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for common deletions (</w:t>
            </w:r>
            <w: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r w:rsidRPr="00021B7B">
              <w:rPr>
                <w:rFonts w:ascii="Arial Narrow" w:hAnsi="Arial Narrow"/>
                <w:bCs/>
                <w:sz w:val="20"/>
              </w:rPr>
              <w:t xml:space="preserve"> </w:t>
            </w:r>
          </w:p>
        </w:tc>
        <w:tc>
          <w:tcPr>
            <w:tcW w:w="1417" w:type="dxa"/>
          </w:tcPr>
          <w:p w14:paraId="0E0FB3C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No testing (prior tests only)</w:t>
            </w:r>
          </w:p>
        </w:tc>
        <w:tc>
          <w:tcPr>
            <w:tcW w:w="1701" w:type="dxa"/>
          </w:tcPr>
          <w:p w14:paraId="0B71312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1077D78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Diagnosis of </w:t>
            </w:r>
            <w:r w:rsidRPr="00021B7B">
              <w:rPr>
                <w:bCs/>
                <w:sz w:val="20"/>
              </w:rPr>
              <w:t>β</w:t>
            </w:r>
            <w:r w:rsidRPr="00021B7B">
              <w:rPr>
                <w:rFonts w:ascii="Arial Narrow" w:hAnsi="Arial Narrow"/>
                <w:bCs/>
                <w:sz w:val="20"/>
              </w:rPr>
              <w:t>-thal was also performed</w:t>
            </w:r>
          </w:p>
          <w:p w14:paraId="609308AA"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581C6EFF" w14:textId="77777777" w:rsidTr="005D2C3B">
        <w:tc>
          <w:tcPr>
            <w:tcW w:w="1418" w:type="dxa"/>
          </w:tcPr>
          <w:p w14:paraId="0170461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Gohari et al</w:t>
            </w:r>
          </w:p>
          <w:p w14:paraId="4B3E5C1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2003</w:t>
            </w:r>
          </w:p>
          <w:p w14:paraId="3260AA5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Iran</w:t>
            </w:r>
          </w:p>
        </w:tc>
        <w:tc>
          <w:tcPr>
            <w:tcW w:w="1701" w:type="dxa"/>
          </w:tcPr>
          <w:p w14:paraId="4174915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Study of diagnostic yield</w:t>
            </w:r>
          </w:p>
          <w:p w14:paraId="2FF7C0F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4EB2BD3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Moderate risk of bias</w:t>
            </w:r>
          </w:p>
        </w:tc>
        <w:tc>
          <w:tcPr>
            <w:tcW w:w="1985" w:type="dxa"/>
          </w:tcPr>
          <w:p w14:paraId="3A10C52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N = 69</w:t>
            </w:r>
          </w:p>
          <w:p w14:paraId="30679C5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Individuals who underwent pre-marital </w:t>
            </w:r>
            <w:r w:rsidRPr="00021B7B">
              <w:rPr>
                <w:rFonts w:ascii="Arial Narrow" w:hAnsi="Arial Narrow"/>
                <w:bCs/>
                <w:sz w:val="20"/>
              </w:rPr>
              <w:lastRenderedPageBreak/>
              <w:t>carrier screening (initiated in 1992)</w:t>
            </w:r>
          </w:p>
        </w:tc>
        <w:tc>
          <w:tcPr>
            <w:tcW w:w="2551" w:type="dxa"/>
          </w:tcPr>
          <w:p w14:paraId="11E69506"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lastRenderedPageBreak/>
              <w:t>Criteria</w:t>
            </w:r>
          </w:p>
          <w:p w14:paraId="55EFB69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Individuals with abnormal MCV or MCH and normal HbA</w:t>
            </w:r>
            <w:r w:rsidRPr="00021B7B">
              <w:rPr>
                <w:rFonts w:ascii="Arial Narrow" w:hAnsi="Arial Narrow"/>
                <w:bCs/>
                <w:sz w:val="20"/>
                <w:vertAlign w:val="subscript"/>
              </w:rPr>
              <w:t>2</w:t>
            </w:r>
            <w:r w:rsidRPr="00021B7B">
              <w:rPr>
                <w:rFonts w:ascii="Arial Narrow" w:hAnsi="Arial Narrow"/>
                <w:bCs/>
                <w:sz w:val="20"/>
              </w:rPr>
              <w:t xml:space="preserve"> </w:t>
            </w:r>
          </w:p>
          <w:p w14:paraId="683D57AF"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lastRenderedPageBreak/>
              <w:t>Objective</w:t>
            </w:r>
          </w:p>
          <w:p w14:paraId="1459CCB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explore the spectrum of </w:t>
            </w:r>
            <w:r w:rsidRPr="00021B7B">
              <w:rPr>
                <w:bCs/>
                <w:sz w:val="20"/>
              </w:rPr>
              <w:t>α</w:t>
            </w:r>
            <w:r w:rsidRPr="00021B7B">
              <w:rPr>
                <w:rFonts w:ascii="Arial Narrow" w:hAnsi="Arial Narrow"/>
                <w:bCs/>
                <w:sz w:val="20"/>
              </w:rPr>
              <w:t xml:space="preserve">-thal mutations in Iran </w:t>
            </w:r>
          </w:p>
        </w:tc>
        <w:tc>
          <w:tcPr>
            <w:tcW w:w="1843" w:type="dxa"/>
          </w:tcPr>
          <w:p w14:paraId="540E35E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PCR for 7 common mutations (</w:t>
            </w:r>
            <w:r>
              <w:rPr>
                <w:rFonts w:ascii="Arial Narrow" w:hAnsi="Arial Narrow"/>
                <w:bCs/>
                <w:sz w:val="20"/>
              </w:rPr>
              <w:t>-</w:t>
            </w:r>
            <w:r w:rsidRPr="00021B7B">
              <w:t>α</w:t>
            </w:r>
            <w:r w:rsidRPr="00021B7B">
              <w:rPr>
                <w:vertAlign w:val="superscript"/>
              </w:rPr>
              <w:t>3.7</w:t>
            </w:r>
            <w:r w:rsidRPr="00021B7B">
              <w:t>, -</w:t>
            </w:r>
            <w:r w:rsidRPr="00021B7B">
              <w:lastRenderedPageBreak/>
              <w:t>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 xml:space="preserve">), </w:t>
            </w:r>
            <w:r w:rsidRPr="00021B7B">
              <w:rPr>
                <w:rFonts w:ascii="Arial Narrow" w:hAnsi="Arial Narrow"/>
                <w:bCs/>
                <w:sz w:val="20"/>
              </w:rPr>
              <w:t>followed by RE analysis for non-deletion mutations</w:t>
            </w:r>
          </w:p>
        </w:tc>
        <w:tc>
          <w:tcPr>
            <w:tcW w:w="1417" w:type="dxa"/>
          </w:tcPr>
          <w:p w14:paraId="4037DBE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No testing (prior tests only)</w:t>
            </w:r>
          </w:p>
        </w:tc>
        <w:tc>
          <w:tcPr>
            <w:tcW w:w="1701" w:type="dxa"/>
          </w:tcPr>
          <w:p w14:paraId="39FD059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p w14:paraId="3ACC3A50" w14:textId="77777777" w:rsidR="00D05A1E" w:rsidRPr="00021B7B" w:rsidRDefault="00D05A1E" w:rsidP="005D2C3B">
            <w:pPr>
              <w:spacing w:before="40" w:after="40"/>
              <w:rPr>
                <w:rFonts w:ascii="Arial Narrow" w:hAnsi="Arial Narrow"/>
                <w:bCs/>
                <w:sz w:val="20"/>
              </w:rPr>
            </w:pPr>
          </w:p>
        </w:tc>
        <w:tc>
          <w:tcPr>
            <w:tcW w:w="2552" w:type="dxa"/>
          </w:tcPr>
          <w:p w14:paraId="47E5DB57"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xml:space="preserve">: NR </w:t>
            </w:r>
          </w:p>
        </w:tc>
      </w:tr>
      <w:tr w:rsidR="00D05A1E" w:rsidRPr="00021B7B" w14:paraId="274E16B2" w14:textId="77777777" w:rsidTr="005D2C3B">
        <w:tc>
          <w:tcPr>
            <w:tcW w:w="1418" w:type="dxa"/>
          </w:tcPr>
          <w:p w14:paraId="55DB170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Hafezi-Nejad </w:t>
            </w:r>
            <w:r>
              <w:rPr>
                <w:rFonts w:ascii="Arial Narrow" w:hAnsi="Arial Narrow"/>
                <w:bCs/>
                <w:sz w:val="20"/>
              </w:rPr>
              <w:t xml:space="preserve">et al. </w:t>
            </w:r>
          </w:p>
          <w:p w14:paraId="510F8B6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2014</w:t>
            </w:r>
          </w:p>
          <w:p w14:paraId="5C641E7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Iran</w:t>
            </w:r>
          </w:p>
        </w:tc>
        <w:tc>
          <w:tcPr>
            <w:tcW w:w="1701" w:type="dxa"/>
          </w:tcPr>
          <w:p w14:paraId="07F2E8C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series</w:t>
            </w:r>
          </w:p>
          <w:p w14:paraId="0CD99AD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Level IV </w:t>
            </w:r>
          </w:p>
          <w:p w14:paraId="13164E47" w14:textId="77777777" w:rsidR="00D05A1E" w:rsidRPr="00021B7B" w:rsidRDefault="00D05A1E" w:rsidP="005D2C3B">
            <w:pPr>
              <w:spacing w:before="40" w:after="40"/>
              <w:rPr>
                <w:rFonts w:ascii="Arial Narrow" w:hAnsi="Arial Narrow"/>
                <w:bCs/>
                <w:sz w:val="20"/>
                <w:highlight w:val="yellow"/>
              </w:rPr>
            </w:pPr>
            <w:r w:rsidRPr="00021B7B">
              <w:rPr>
                <w:rFonts w:ascii="Arial Narrow" w:hAnsi="Arial Narrow"/>
                <w:bCs/>
                <w:sz w:val="20"/>
              </w:rPr>
              <w:t>Low risk of bias</w:t>
            </w:r>
          </w:p>
        </w:tc>
        <w:tc>
          <w:tcPr>
            <w:tcW w:w="1985" w:type="dxa"/>
          </w:tcPr>
          <w:p w14:paraId="59C5AC4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754 couples</w:t>
            </w:r>
          </w:p>
          <w:p w14:paraId="0F6FA36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Iranian couples wanting children and at risk of HbP </w:t>
            </w:r>
          </w:p>
        </w:tc>
        <w:tc>
          <w:tcPr>
            <w:tcW w:w="2551" w:type="dxa"/>
          </w:tcPr>
          <w:p w14:paraId="48DD2879"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6766734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Couples counselled for HbP screening in Iran</w:t>
            </w:r>
          </w:p>
          <w:p w14:paraId="6062973B"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4150A41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determine the need for inclusion of HbP screening other than that for </w:t>
            </w:r>
            <w:r w:rsidRPr="00021B7B">
              <w:rPr>
                <w:bCs/>
                <w:sz w:val="20"/>
              </w:rPr>
              <w:t>β</w:t>
            </w:r>
            <w:r w:rsidRPr="00021B7B">
              <w:rPr>
                <w:rFonts w:ascii="Arial Narrow" w:hAnsi="Arial Narrow"/>
                <w:bCs/>
                <w:sz w:val="20"/>
              </w:rPr>
              <w:t>-thal in the nationwide program</w:t>
            </w:r>
          </w:p>
        </w:tc>
        <w:tc>
          <w:tcPr>
            <w:tcW w:w="1843" w:type="dxa"/>
          </w:tcPr>
          <w:p w14:paraId="4DB441F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Deletion testing for common 4 mutations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20.5</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followed by reverse strip assay to 4 deletions (</w:t>
            </w:r>
            <w:r w:rsidRPr="00021B7B">
              <w:t>-α</w:t>
            </w:r>
            <w:r w:rsidRPr="00021B7B">
              <w:rPr>
                <w:vertAlign w:val="superscript"/>
              </w:rPr>
              <w:t>20.5</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p>
        </w:tc>
        <w:tc>
          <w:tcPr>
            <w:tcW w:w="1417" w:type="dxa"/>
          </w:tcPr>
          <w:p w14:paraId="1753E71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Gene sequencing and MLPA</w:t>
            </w:r>
          </w:p>
          <w:p w14:paraId="08D44973" w14:textId="77777777" w:rsidR="00D05A1E" w:rsidRPr="00021B7B" w:rsidRDefault="00D05A1E" w:rsidP="005D2C3B">
            <w:pPr>
              <w:spacing w:before="40" w:after="40"/>
              <w:rPr>
                <w:rFonts w:ascii="Arial Narrow" w:hAnsi="Arial Narrow"/>
                <w:bCs/>
                <w:sz w:val="20"/>
              </w:rPr>
            </w:pPr>
          </w:p>
        </w:tc>
        <w:tc>
          <w:tcPr>
            <w:tcW w:w="1701" w:type="dxa"/>
          </w:tcPr>
          <w:p w14:paraId="5312853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088C561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Insufficient detail to extract results for comparator</w:t>
            </w:r>
          </w:p>
          <w:p w14:paraId="0ACE4C34"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03395D18" w14:textId="77777777" w:rsidTr="005D2C3B">
        <w:tc>
          <w:tcPr>
            <w:tcW w:w="1418" w:type="dxa"/>
          </w:tcPr>
          <w:p w14:paraId="79C9802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Henderson et al</w:t>
            </w:r>
          </w:p>
          <w:p w14:paraId="4246620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2009</w:t>
            </w:r>
          </w:p>
          <w:p w14:paraId="212BD58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UK</w:t>
            </w:r>
          </w:p>
        </w:tc>
        <w:tc>
          <w:tcPr>
            <w:tcW w:w="1701" w:type="dxa"/>
          </w:tcPr>
          <w:p w14:paraId="29AA6E5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series</w:t>
            </w:r>
          </w:p>
          <w:p w14:paraId="0A58979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Level IV </w:t>
            </w:r>
          </w:p>
          <w:p w14:paraId="03BD33D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0C7B3FE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2,500</w:t>
            </w:r>
          </w:p>
          <w:p w14:paraId="6F4EAD7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Individuals referred to 2 centres with possible </w:t>
            </w:r>
            <w:r w:rsidRPr="00021B7B">
              <w:rPr>
                <w:bCs/>
                <w:sz w:val="20"/>
              </w:rPr>
              <w:t>α</w:t>
            </w:r>
            <w:r w:rsidRPr="00021B7B">
              <w:rPr>
                <w:rFonts w:ascii="Arial Narrow" w:hAnsi="Arial Narrow"/>
                <w:bCs/>
                <w:sz w:val="20"/>
              </w:rPr>
              <w:t>-thal over a four year period</w:t>
            </w:r>
          </w:p>
        </w:tc>
        <w:tc>
          <w:tcPr>
            <w:tcW w:w="2551" w:type="dxa"/>
          </w:tcPr>
          <w:p w14:paraId="3860E148"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77AF4C2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Diagnosed with possible </w:t>
            </w:r>
            <w:r w:rsidRPr="00021B7B">
              <w:rPr>
                <w:bCs/>
                <w:sz w:val="20"/>
              </w:rPr>
              <w:t>α</w:t>
            </w:r>
            <w:r w:rsidRPr="00021B7B">
              <w:rPr>
                <w:rFonts w:ascii="Arial Narrow" w:hAnsi="Arial Narrow"/>
                <w:bCs/>
                <w:sz w:val="20"/>
              </w:rPr>
              <w:t>-thal with MCH&lt;25pg and haematological studies</w:t>
            </w:r>
          </w:p>
        </w:tc>
        <w:tc>
          <w:tcPr>
            <w:tcW w:w="1843" w:type="dxa"/>
          </w:tcPr>
          <w:p w14:paraId="1B09CC4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for common deletions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MEDI</w:t>
            </w:r>
            <w:r w:rsidRPr="00021B7B">
              <w:t>, --</w:t>
            </w:r>
            <w:r w:rsidRPr="00021B7B">
              <w:rPr>
                <w:vertAlign w:val="superscript"/>
              </w:rPr>
              <w:t>MEDII</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p>
        </w:tc>
        <w:tc>
          <w:tcPr>
            <w:tcW w:w="1417" w:type="dxa"/>
          </w:tcPr>
          <w:p w14:paraId="61EDFA7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direct sequencing for non-deletions, MLPA for those testing negative</w:t>
            </w:r>
          </w:p>
        </w:tc>
        <w:tc>
          <w:tcPr>
            <w:tcW w:w="1701" w:type="dxa"/>
          </w:tcPr>
          <w:p w14:paraId="01AF403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3B3F374D"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European Commission project grant RI-2004-026539, &amp; Oxford Partnership Comprehensive Biomedical Research Centre NIHR fund</w:t>
            </w:r>
          </w:p>
        </w:tc>
      </w:tr>
      <w:tr w:rsidR="00D05A1E" w:rsidRPr="00021B7B" w14:paraId="7751DE47" w14:textId="77777777" w:rsidTr="005D2C3B">
        <w:tc>
          <w:tcPr>
            <w:tcW w:w="1418" w:type="dxa"/>
          </w:tcPr>
          <w:p w14:paraId="4AB51D36" w14:textId="77777777" w:rsidR="00D05A1E" w:rsidRDefault="00D05A1E" w:rsidP="005D2C3B">
            <w:pPr>
              <w:spacing w:before="40" w:after="40"/>
              <w:rPr>
                <w:rFonts w:ascii="Arial Narrow" w:hAnsi="Arial Narrow"/>
                <w:bCs/>
                <w:sz w:val="20"/>
              </w:rPr>
            </w:pPr>
            <w:r>
              <w:rPr>
                <w:rFonts w:ascii="Arial Narrow" w:hAnsi="Arial Narrow"/>
                <w:bCs/>
                <w:sz w:val="20"/>
              </w:rPr>
              <w:t>Hossein et al</w:t>
            </w:r>
          </w:p>
          <w:p w14:paraId="212E8301" w14:textId="77777777" w:rsidR="00D05A1E" w:rsidRDefault="00D05A1E" w:rsidP="005D2C3B">
            <w:pPr>
              <w:spacing w:before="40" w:after="40"/>
              <w:rPr>
                <w:rFonts w:ascii="Arial Narrow" w:hAnsi="Arial Narrow"/>
                <w:bCs/>
                <w:sz w:val="20"/>
              </w:rPr>
            </w:pPr>
            <w:r>
              <w:rPr>
                <w:rFonts w:ascii="Arial Narrow" w:hAnsi="Arial Narrow"/>
                <w:bCs/>
                <w:sz w:val="20"/>
              </w:rPr>
              <w:t>2012</w:t>
            </w:r>
          </w:p>
          <w:p w14:paraId="10647470" w14:textId="77777777" w:rsidR="00D05A1E" w:rsidRPr="00021B7B" w:rsidRDefault="00D05A1E" w:rsidP="005D2C3B">
            <w:pPr>
              <w:spacing w:before="40" w:after="40"/>
              <w:rPr>
                <w:rFonts w:ascii="Arial Narrow" w:hAnsi="Arial Narrow"/>
                <w:bCs/>
                <w:sz w:val="20"/>
              </w:rPr>
            </w:pPr>
            <w:r>
              <w:rPr>
                <w:rFonts w:ascii="Arial Narrow" w:hAnsi="Arial Narrow"/>
                <w:bCs/>
                <w:sz w:val="20"/>
              </w:rPr>
              <w:t>Iran</w:t>
            </w:r>
          </w:p>
        </w:tc>
        <w:tc>
          <w:tcPr>
            <w:tcW w:w="1701" w:type="dxa"/>
          </w:tcPr>
          <w:p w14:paraId="78D3B39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6C9CBB6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53CF719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tcPr>
          <w:p w14:paraId="584630E2" w14:textId="77777777" w:rsidR="00D05A1E" w:rsidRDefault="00D05A1E" w:rsidP="005D2C3B">
            <w:pPr>
              <w:spacing w:before="40" w:after="40"/>
              <w:rPr>
                <w:rFonts w:ascii="Arial Narrow" w:hAnsi="Arial Narrow"/>
                <w:bCs/>
                <w:sz w:val="20"/>
              </w:rPr>
            </w:pPr>
            <w:r>
              <w:rPr>
                <w:rFonts w:ascii="Arial Narrow" w:hAnsi="Arial Narrow"/>
                <w:bCs/>
                <w:sz w:val="20"/>
              </w:rPr>
              <w:t>N = 2000</w:t>
            </w:r>
          </w:p>
          <w:p w14:paraId="17CE2552" w14:textId="77777777" w:rsidR="00D05A1E" w:rsidRDefault="00D05A1E" w:rsidP="005D2C3B">
            <w:pPr>
              <w:spacing w:before="40" w:after="40"/>
              <w:rPr>
                <w:rFonts w:ascii="Arial Narrow" w:hAnsi="Arial Narrow"/>
                <w:bCs/>
                <w:sz w:val="20"/>
              </w:rPr>
            </w:pPr>
            <w:r>
              <w:rPr>
                <w:rFonts w:ascii="Arial Narrow" w:hAnsi="Arial Narrow"/>
                <w:bCs/>
                <w:sz w:val="20"/>
              </w:rPr>
              <w:t>Age range: 18-36 y</w:t>
            </w:r>
          </w:p>
          <w:p w14:paraId="5A7A7EBF" w14:textId="77777777" w:rsidR="00D05A1E" w:rsidRPr="00021B7B" w:rsidRDefault="00D05A1E" w:rsidP="005D2C3B">
            <w:pPr>
              <w:spacing w:before="40" w:after="40"/>
              <w:rPr>
                <w:rFonts w:ascii="Arial Narrow" w:hAnsi="Arial Narrow"/>
                <w:bCs/>
                <w:sz w:val="20"/>
              </w:rPr>
            </w:pPr>
            <w:r>
              <w:rPr>
                <w:rFonts w:ascii="Arial Narrow" w:hAnsi="Arial Narrow"/>
                <w:bCs/>
                <w:sz w:val="20"/>
              </w:rPr>
              <w:t>Couples referred to a premarital screening program</w:t>
            </w:r>
          </w:p>
        </w:tc>
        <w:tc>
          <w:tcPr>
            <w:tcW w:w="2551" w:type="dxa"/>
          </w:tcPr>
          <w:p w14:paraId="285D5BED"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09C5436" w14:textId="77777777" w:rsidR="00D05A1E" w:rsidRPr="00021B7B" w:rsidRDefault="00D05A1E" w:rsidP="005D2C3B">
            <w:pPr>
              <w:spacing w:before="40" w:after="40"/>
              <w:rPr>
                <w:rFonts w:ascii="Arial Narrow" w:hAnsi="Arial Narrow"/>
                <w:bCs/>
                <w:sz w:val="20"/>
              </w:rPr>
            </w:pPr>
            <w:r>
              <w:rPr>
                <w:rFonts w:ascii="Arial Narrow" w:hAnsi="Arial Narrow"/>
                <w:bCs/>
                <w:sz w:val="20"/>
              </w:rPr>
              <w:t xml:space="preserve">Microcytic hypochromic anaemia, excluded for </w:t>
            </w:r>
            <w:r>
              <w:rPr>
                <w:bCs/>
                <w:sz w:val="20"/>
              </w:rPr>
              <w:t>β</w:t>
            </w:r>
            <w:r>
              <w:rPr>
                <w:rFonts w:ascii="Arial Narrow" w:hAnsi="Arial Narrow"/>
                <w:bCs/>
                <w:sz w:val="20"/>
              </w:rPr>
              <w:t>-thal, HbS and iron deficiency</w:t>
            </w:r>
          </w:p>
          <w:p w14:paraId="28576F8A"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3D5EC565" w14:textId="77777777" w:rsidR="00D05A1E" w:rsidRPr="00021B7B" w:rsidRDefault="00D05A1E" w:rsidP="005D2C3B">
            <w:pPr>
              <w:spacing w:before="40" w:after="40"/>
              <w:rPr>
                <w:rFonts w:ascii="Arial Narrow" w:hAnsi="Arial Narrow"/>
                <w:bCs/>
                <w:i/>
                <w:sz w:val="20"/>
              </w:rPr>
            </w:pPr>
            <w:r w:rsidRPr="00021B7B">
              <w:rPr>
                <w:rFonts w:ascii="Arial Narrow" w:hAnsi="Arial Narrow"/>
                <w:bCs/>
                <w:sz w:val="20"/>
              </w:rPr>
              <w:t xml:space="preserve">To </w:t>
            </w:r>
            <w:r>
              <w:rPr>
                <w:rFonts w:ascii="Arial Narrow" w:hAnsi="Arial Narrow"/>
                <w:bCs/>
                <w:sz w:val="20"/>
              </w:rPr>
              <w:t>evaluate mutations in two provinces of southern Iran</w:t>
            </w:r>
          </w:p>
        </w:tc>
        <w:tc>
          <w:tcPr>
            <w:tcW w:w="1843" w:type="dxa"/>
          </w:tcPr>
          <w:p w14:paraId="77C7795F" w14:textId="77777777" w:rsidR="00D05A1E" w:rsidRPr="00926444" w:rsidRDefault="00D05A1E" w:rsidP="005D2C3B">
            <w:pPr>
              <w:spacing w:before="40" w:after="40"/>
              <w:rPr>
                <w:rFonts w:ascii="Arial Narrow" w:hAnsi="Arial Narrow"/>
                <w:bCs/>
                <w:sz w:val="20"/>
              </w:rPr>
            </w:pPr>
            <w:r>
              <w:rPr>
                <w:rFonts w:ascii="Arial Narrow" w:hAnsi="Arial Narrow"/>
                <w:bCs/>
                <w:sz w:val="20"/>
              </w:rPr>
              <w:t xml:space="preserve">Gap-PCR followed by multiplex PCR and reverse hybridisation test strips for common </w:t>
            </w:r>
            <w:r w:rsidRPr="00021B7B">
              <w:rPr>
                <w:rFonts w:ascii="Arial Narrow" w:hAnsi="Arial Narrow"/>
                <w:bCs/>
                <w:sz w:val="20"/>
              </w:rPr>
              <w:t>(</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Pr>
                <w:vertAlign w:val="superscript"/>
              </w:rPr>
              <w:t>MED</w:t>
            </w:r>
            <w:r w:rsidRPr="00021B7B">
              <w:t>)</w:t>
            </w:r>
            <w:r>
              <w:t xml:space="preserve"> </w:t>
            </w:r>
            <w:r w:rsidRPr="00926444">
              <w:rPr>
                <w:rFonts w:ascii="Arial Narrow" w:hAnsi="Arial Narrow"/>
                <w:bCs/>
                <w:sz w:val="20"/>
              </w:rPr>
              <w:t>and</w:t>
            </w:r>
            <w:r>
              <w:rPr>
                <w:rFonts w:ascii="Arial Narrow" w:hAnsi="Arial Narrow"/>
                <w:bCs/>
                <w:sz w:val="20"/>
              </w:rPr>
              <w:t xml:space="preserve"> non-deletions</w:t>
            </w:r>
            <w:r w:rsidRPr="00926444">
              <w:rPr>
                <w:rFonts w:ascii="Arial Narrow" w:hAnsi="Arial Narrow"/>
                <w:bCs/>
                <w:sz w:val="20"/>
              </w:rPr>
              <w:t xml:space="preserve"> </w:t>
            </w:r>
            <w:r>
              <w:t>(α</w:t>
            </w:r>
            <w:r>
              <w:rPr>
                <w:vertAlign w:val="superscript"/>
              </w:rPr>
              <w:t>-5nt</w:t>
            </w:r>
            <w:r>
              <w:t>, α</w:t>
            </w:r>
            <w:r>
              <w:rPr>
                <w:vertAlign w:val="superscript"/>
              </w:rPr>
              <w:t>poly A1</w:t>
            </w:r>
            <w:r>
              <w:t>, α</w:t>
            </w:r>
            <w:r>
              <w:rPr>
                <w:vertAlign w:val="superscript"/>
              </w:rPr>
              <w:t>poly A2</w:t>
            </w:r>
            <w:r>
              <w:t>, -α</w:t>
            </w:r>
            <w:r>
              <w:rPr>
                <w:vertAlign w:val="superscript"/>
              </w:rPr>
              <w:t>codon 19</w:t>
            </w:r>
            <w:r>
              <w:t>, ααα</w:t>
            </w:r>
            <w:r>
              <w:rPr>
                <w:vertAlign w:val="superscript"/>
              </w:rPr>
              <w:t>anti 3.7</w:t>
            </w:r>
            <w:r>
              <w:t>)</w:t>
            </w:r>
          </w:p>
        </w:tc>
        <w:tc>
          <w:tcPr>
            <w:tcW w:w="1417" w:type="dxa"/>
          </w:tcPr>
          <w:p w14:paraId="3A882EDE" w14:textId="77777777" w:rsidR="00D05A1E" w:rsidRPr="00021B7B" w:rsidRDefault="00D05A1E" w:rsidP="005D2C3B">
            <w:pPr>
              <w:spacing w:before="40" w:after="40"/>
              <w:rPr>
                <w:rFonts w:ascii="Arial Narrow" w:hAnsi="Arial Narrow"/>
                <w:bCs/>
                <w:sz w:val="20"/>
              </w:rPr>
            </w:pPr>
            <w:r>
              <w:rPr>
                <w:rFonts w:ascii="Arial Narrow" w:hAnsi="Arial Narrow"/>
                <w:bCs/>
                <w:sz w:val="20"/>
              </w:rPr>
              <w:t>-</w:t>
            </w:r>
          </w:p>
        </w:tc>
        <w:tc>
          <w:tcPr>
            <w:tcW w:w="1701" w:type="dxa"/>
          </w:tcPr>
          <w:p w14:paraId="157AD025" w14:textId="77777777" w:rsidR="00D05A1E" w:rsidRPr="00021B7B" w:rsidRDefault="00D05A1E" w:rsidP="005D2C3B">
            <w:pPr>
              <w:spacing w:before="40" w:after="40"/>
              <w:rPr>
                <w:rFonts w:ascii="Arial Narrow" w:hAnsi="Arial Narrow"/>
                <w:bCs/>
                <w:sz w:val="20"/>
              </w:rPr>
            </w:pPr>
            <w:r>
              <w:rPr>
                <w:rFonts w:ascii="Arial Narrow" w:hAnsi="Arial Narrow"/>
                <w:bCs/>
                <w:sz w:val="20"/>
              </w:rPr>
              <w:t>Diagnostic yield</w:t>
            </w:r>
          </w:p>
        </w:tc>
        <w:tc>
          <w:tcPr>
            <w:tcW w:w="2552" w:type="dxa"/>
          </w:tcPr>
          <w:p w14:paraId="238FD896" w14:textId="77777777" w:rsidR="00D05A1E" w:rsidRDefault="00D05A1E" w:rsidP="005D2C3B">
            <w:pPr>
              <w:spacing w:before="40" w:after="40"/>
              <w:rPr>
                <w:rFonts w:ascii="Arial Narrow" w:hAnsi="Arial Narrow"/>
                <w:bCs/>
                <w:sz w:val="20"/>
              </w:rPr>
            </w:pPr>
            <w:r>
              <w:rPr>
                <w:rFonts w:ascii="Arial Narrow" w:hAnsi="Arial Narrow"/>
                <w:bCs/>
                <w:sz w:val="20"/>
              </w:rPr>
              <w:t>The article was not explicit about which mutations were detected with each interventional method.</w:t>
            </w:r>
          </w:p>
          <w:p w14:paraId="6074AE5C" w14:textId="77777777" w:rsidR="00D05A1E" w:rsidRPr="00021B7B" w:rsidRDefault="00D05A1E" w:rsidP="005D2C3B">
            <w:pPr>
              <w:spacing w:before="40" w:after="40"/>
              <w:rPr>
                <w:rFonts w:ascii="Arial Narrow" w:hAnsi="Arial Narrow"/>
                <w:bCs/>
                <w:sz w:val="20"/>
              </w:rPr>
            </w:pPr>
            <w:r w:rsidRPr="00926444">
              <w:rPr>
                <w:rFonts w:ascii="Arial Narrow" w:hAnsi="Arial Narrow"/>
                <w:bCs/>
                <w:i/>
                <w:sz w:val="20"/>
              </w:rPr>
              <w:t>Funding</w:t>
            </w:r>
            <w:r>
              <w:rPr>
                <w:rFonts w:ascii="Arial Narrow" w:hAnsi="Arial Narrow"/>
                <w:bCs/>
                <w:sz w:val="20"/>
              </w:rPr>
              <w:t>: NR</w:t>
            </w:r>
          </w:p>
        </w:tc>
      </w:tr>
      <w:tr w:rsidR="00D05A1E" w:rsidRPr="00021B7B" w14:paraId="176D16D3" w14:textId="77777777" w:rsidTr="005D2C3B">
        <w:tc>
          <w:tcPr>
            <w:tcW w:w="1418" w:type="dxa"/>
          </w:tcPr>
          <w:p w14:paraId="1AC9485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Huang et al</w:t>
            </w:r>
          </w:p>
          <w:p w14:paraId="36E9503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2017</w:t>
            </w:r>
          </w:p>
          <w:p w14:paraId="2FB7AF5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China</w:t>
            </w:r>
          </w:p>
        </w:tc>
        <w:tc>
          <w:tcPr>
            <w:tcW w:w="1701" w:type="dxa"/>
          </w:tcPr>
          <w:p w14:paraId="34CF6B0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control study</w:t>
            </w:r>
          </w:p>
          <w:p w14:paraId="14491EF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III-2</w:t>
            </w:r>
          </w:p>
          <w:p w14:paraId="5435D181" w14:textId="77777777" w:rsidR="00D05A1E" w:rsidRPr="00021B7B" w:rsidRDefault="00D05A1E" w:rsidP="005D2C3B">
            <w:pPr>
              <w:spacing w:before="40" w:after="40"/>
              <w:rPr>
                <w:rFonts w:ascii="Arial Narrow" w:hAnsi="Arial Narrow"/>
                <w:bCs/>
                <w:sz w:val="20"/>
              </w:rPr>
            </w:pPr>
            <w:r>
              <w:rPr>
                <w:rFonts w:ascii="Arial Narrow" w:hAnsi="Arial Narrow"/>
                <w:bCs/>
                <w:sz w:val="20"/>
              </w:rPr>
              <w:t xml:space="preserve">Moderate </w:t>
            </w:r>
            <w:r w:rsidRPr="00021B7B">
              <w:rPr>
                <w:rFonts w:ascii="Arial Narrow" w:hAnsi="Arial Narrow"/>
                <w:bCs/>
                <w:sz w:val="20"/>
              </w:rPr>
              <w:t>risk of bias</w:t>
            </w:r>
          </w:p>
        </w:tc>
        <w:tc>
          <w:tcPr>
            <w:tcW w:w="1985" w:type="dxa"/>
          </w:tcPr>
          <w:p w14:paraId="2FB331A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N = 1,213 </w:t>
            </w:r>
          </w:p>
          <w:p w14:paraId="0884D42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Pre-characterised DNA samples from 3 Chinese hospitals</w:t>
            </w:r>
          </w:p>
        </w:tc>
        <w:tc>
          <w:tcPr>
            <w:tcW w:w="2551" w:type="dxa"/>
          </w:tcPr>
          <w:p w14:paraId="6ACC632A"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3E05318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Clinical samples previously genotyped by multiple Gap-PCR/RBD analysis</w:t>
            </w:r>
          </w:p>
          <w:p w14:paraId="6849D7D7"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73EA3E1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 assess the performance of a real-time PCR technique</w:t>
            </w:r>
          </w:p>
        </w:tc>
        <w:tc>
          <w:tcPr>
            <w:tcW w:w="1843" w:type="dxa"/>
          </w:tcPr>
          <w:p w14:paraId="7C5D53F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and RBD for common mutations:  4 deletions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w:t>
            </w:r>
            <w:r w:rsidRPr="00021B7B">
              <w:rPr>
                <w:vertAlign w:val="superscript"/>
              </w:rPr>
              <w:t>SEA</w:t>
            </w:r>
            <w:r w:rsidRPr="00021B7B">
              <w:t>, --</w:t>
            </w:r>
            <w:r w:rsidRPr="00021B7B">
              <w:rPr>
                <w:vertAlign w:val="superscript"/>
              </w:rPr>
              <w:t>Thai</w:t>
            </w:r>
            <w:r w:rsidRPr="00021B7B">
              <w:t xml:space="preserve">), </w:t>
            </w:r>
            <w:r w:rsidRPr="00021B7B">
              <w:rPr>
                <w:rFonts w:ascii="Arial Narrow" w:hAnsi="Arial Narrow"/>
                <w:bCs/>
                <w:sz w:val="20"/>
              </w:rPr>
              <w:t xml:space="preserve">and 3 common non-deletions </w:t>
            </w:r>
          </w:p>
        </w:tc>
        <w:tc>
          <w:tcPr>
            <w:tcW w:w="1417" w:type="dxa"/>
          </w:tcPr>
          <w:p w14:paraId="236B39E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Real-time PCR melting curve analysis</w:t>
            </w:r>
          </w:p>
        </w:tc>
        <w:tc>
          <w:tcPr>
            <w:tcW w:w="1701" w:type="dxa"/>
          </w:tcPr>
          <w:p w14:paraId="6399CAB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Concordance</w:t>
            </w:r>
          </w:p>
        </w:tc>
        <w:tc>
          <w:tcPr>
            <w:tcW w:w="2552" w:type="dxa"/>
          </w:tcPr>
          <w:p w14:paraId="1E024F8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The clinical samples include 936 samples from whole blood, and 277 samples from amniotic fluid</w:t>
            </w:r>
          </w:p>
          <w:p w14:paraId="59B1DCB6"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National Natural Science Foundation of China (#81101323 &amp; #81360091), Guangxi Key Laboratory Thalassaemia Research Project (#15-140-11), Liuzhou Science and Technology Development Funds (#2014G020404) &amp; 2011 Collaborative Innovation Centre of Guangxi Biological Medicine</w:t>
            </w:r>
          </w:p>
        </w:tc>
      </w:tr>
      <w:tr w:rsidR="00D05A1E" w:rsidRPr="00021B7B" w14:paraId="1C067259" w14:textId="77777777" w:rsidTr="005D2C3B">
        <w:tc>
          <w:tcPr>
            <w:tcW w:w="1418" w:type="dxa"/>
          </w:tcPr>
          <w:p w14:paraId="4F1154E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Jiang et al</w:t>
            </w:r>
          </w:p>
          <w:p w14:paraId="66F3CB6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2017</w:t>
            </w:r>
          </w:p>
          <w:p w14:paraId="31CE4CC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China </w:t>
            </w:r>
          </w:p>
        </w:tc>
        <w:tc>
          <w:tcPr>
            <w:tcW w:w="1701" w:type="dxa"/>
          </w:tcPr>
          <w:p w14:paraId="5264A13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7989D84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383A199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tcPr>
          <w:p w14:paraId="27F3B58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41,531</w:t>
            </w:r>
          </w:p>
          <w:p w14:paraId="4B86E9E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Couples of child bearing age</w:t>
            </w:r>
          </w:p>
        </w:tc>
        <w:tc>
          <w:tcPr>
            <w:tcW w:w="2551" w:type="dxa"/>
          </w:tcPr>
          <w:p w14:paraId="11C94806"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71DCCB9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Pre-gestational couples at risk of children with significant thalassaemia disease</w:t>
            </w:r>
          </w:p>
          <w:p w14:paraId="3E7C6A81"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460EA55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Carrier identification in couples taking up free screening in southern province in China</w:t>
            </w:r>
          </w:p>
        </w:tc>
        <w:tc>
          <w:tcPr>
            <w:tcW w:w="1843" w:type="dxa"/>
          </w:tcPr>
          <w:p w14:paraId="3AE8CEB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for common deletions (</w:t>
            </w:r>
            <w:r>
              <w:rPr>
                <w:rFonts w:ascii="Arial Narrow" w:hAnsi="Arial Narrow"/>
                <w:bCs/>
                <w:sz w:val="20"/>
              </w:rPr>
              <w:t>-</w:t>
            </w:r>
            <w:r w:rsidRPr="00021B7B">
              <w:rPr>
                <w:rFonts w:ascii="Arial Narrow" w:hAnsi="Arial Narrow"/>
                <w:bCs/>
                <w:sz w:val="20"/>
              </w:rPr>
              <w:t>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and RDB for common non-deletions</w:t>
            </w:r>
          </w:p>
        </w:tc>
        <w:tc>
          <w:tcPr>
            <w:tcW w:w="1417" w:type="dxa"/>
          </w:tcPr>
          <w:p w14:paraId="104F4ED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No testing (prior tests only)</w:t>
            </w:r>
          </w:p>
        </w:tc>
        <w:tc>
          <w:tcPr>
            <w:tcW w:w="1701" w:type="dxa"/>
          </w:tcPr>
          <w:p w14:paraId="4D8FB04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Incremental diagnostic information</w:t>
            </w:r>
          </w:p>
          <w:p w14:paraId="1C6B1D91" w14:textId="77777777" w:rsidR="00D05A1E" w:rsidRPr="00021B7B" w:rsidRDefault="00D05A1E" w:rsidP="005D2C3B">
            <w:pPr>
              <w:spacing w:before="40" w:after="40"/>
              <w:rPr>
                <w:rFonts w:ascii="Arial Narrow" w:hAnsi="Arial Narrow"/>
                <w:bCs/>
                <w:sz w:val="20"/>
              </w:rPr>
            </w:pPr>
          </w:p>
        </w:tc>
        <w:tc>
          <w:tcPr>
            <w:tcW w:w="2552" w:type="dxa"/>
          </w:tcPr>
          <w:p w14:paraId="545A01DE"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National Natural Science Foundation of China (#81571448) &amp; Guangdong Provincial Department of Science and Technology agency (#2016A020215218)</w:t>
            </w:r>
          </w:p>
        </w:tc>
      </w:tr>
      <w:tr w:rsidR="00D05A1E" w:rsidRPr="00021B7B" w14:paraId="5B8DA146" w14:textId="77777777" w:rsidTr="005D2C3B">
        <w:tc>
          <w:tcPr>
            <w:tcW w:w="1418" w:type="dxa"/>
            <w:shd w:val="clear" w:color="auto" w:fill="FFFFFF"/>
          </w:tcPr>
          <w:p w14:paraId="3E5D8BD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Kohne &amp; Kleihauer</w:t>
            </w:r>
          </w:p>
          <w:p w14:paraId="25CB545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2010</w:t>
            </w:r>
          </w:p>
          <w:p w14:paraId="0470144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Germany</w:t>
            </w:r>
          </w:p>
        </w:tc>
        <w:tc>
          <w:tcPr>
            <w:tcW w:w="1701" w:type="dxa"/>
            <w:shd w:val="clear" w:color="auto" w:fill="FFFFFF"/>
          </w:tcPr>
          <w:p w14:paraId="5AC7C7B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3D46312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48D8149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shd w:val="clear" w:color="auto" w:fill="FFFFFF"/>
          </w:tcPr>
          <w:p w14:paraId="249B790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100,621</w:t>
            </w:r>
          </w:p>
          <w:p w14:paraId="7B7F62B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Retrospective analysis of samples tested from 1971-2007 at a German university </w:t>
            </w:r>
          </w:p>
        </w:tc>
        <w:tc>
          <w:tcPr>
            <w:tcW w:w="2551" w:type="dxa"/>
            <w:shd w:val="clear" w:color="auto" w:fill="FFFFFF"/>
          </w:tcPr>
          <w:p w14:paraId="60FA66B6"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01432D5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Previous haematological findings</w:t>
            </w:r>
          </w:p>
          <w:p w14:paraId="092FE2B7"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0D19341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 determine the occurrence, spectrum and geographical distribution of Hb defects in Germany</w:t>
            </w:r>
          </w:p>
        </w:tc>
        <w:tc>
          <w:tcPr>
            <w:tcW w:w="1843" w:type="dxa"/>
            <w:shd w:val="clear" w:color="auto" w:fill="FFFFFF"/>
          </w:tcPr>
          <w:p w14:paraId="1AF1134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Multiplex single-tube PCR for 6 common deletions, MLPA, MAPH, Single strand sequencing for non-deletions</w:t>
            </w:r>
          </w:p>
        </w:tc>
        <w:tc>
          <w:tcPr>
            <w:tcW w:w="1417" w:type="dxa"/>
            <w:shd w:val="clear" w:color="auto" w:fill="FFFFFF"/>
          </w:tcPr>
          <w:p w14:paraId="2D7CE7E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No testing (prior tests only)</w:t>
            </w:r>
          </w:p>
        </w:tc>
        <w:tc>
          <w:tcPr>
            <w:tcW w:w="1701" w:type="dxa"/>
            <w:shd w:val="clear" w:color="auto" w:fill="FFFFFF"/>
          </w:tcPr>
          <w:p w14:paraId="2BD9D3C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p w14:paraId="5E9EAB0F" w14:textId="77777777" w:rsidR="00D05A1E" w:rsidRPr="00021B7B" w:rsidRDefault="00D05A1E" w:rsidP="005D2C3B">
            <w:pPr>
              <w:spacing w:before="40" w:after="40"/>
              <w:rPr>
                <w:rFonts w:ascii="Arial Narrow" w:hAnsi="Arial Narrow"/>
                <w:bCs/>
                <w:sz w:val="20"/>
              </w:rPr>
            </w:pPr>
          </w:p>
        </w:tc>
        <w:tc>
          <w:tcPr>
            <w:tcW w:w="2552" w:type="dxa"/>
            <w:shd w:val="clear" w:color="auto" w:fill="FFFFFF"/>
          </w:tcPr>
          <w:p w14:paraId="0815494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Unable to extract data on diagnosis by comparator</w:t>
            </w:r>
          </w:p>
          <w:p w14:paraId="33A8533A"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0BE05B28" w14:textId="77777777" w:rsidTr="005D2C3B">
        <w:tc>
          <w:tcPr>
            <w:tcW w:w="1418" w:type="dxa"/>
          </w:tcPr>
          <w:p w14:paraId="6370E60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Kipp et al</w:t>
            </w:r>
          </w:p>
          <w:p w14:paraId="7D356E1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2011</w:t>
            </w:r>
          </w:p>
          <w:p w14:paraId="05CD302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USA</w:t>
            </w:r>
          </w:p>
        </w:tc>
        <w:tc>
          <w:tcPr>
            <w:tcW w:w="1701" w:type="dxa"/>
          </w:tcPr>
          <w:p w14:paraId="2BBC892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control study</w:t>
            </w:r>
          </w:p>
          <w:p w14:paraId="7AE6803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III-2</w:t>
            </w:r>
          </w:p>
          <w:p w14:paraId="77D1E97D" w14:textId="77777777" w:rsidR="00D05A1E" w:rsidRPr="00021B7B" w:rsidRDefault="00D05A1E" w:rsidP="005D2C3B">
            <w:pPr>
              <w:spacing w:before="40" w:after="40"/>
              <w:rPr>
                <w:rFonts w:ascii="Arial Narrow" w:hAnsi="Arial Narrow"/>
                <w:bCs/>
                <w:sz w:val="20"/>
              </w:rPr>
            </w:pPr>
            <w:r>
              <w:rPr>
                <w:rFonts w:ascii="Arial Narrow" w:hAnsi="Arial Narrow"/>
                <w:bCs/>
                <w:sz w:val="20"/>
              </w:rPr>
              <w:t>Moderate</w:t>
            </w:r>
            <w:r w:rsidRPr="00021B7B">
              <w:rPr>
                <w:rFonts w:ascii="Arial Narrow" w:hAnsi="Arial Narrow"/>
                <w:bCs/>
                <w:sz w:val="20"/>
              </w:rPr>
              <w:t xml:space="preserve"> risk of bias</w:t>
            </w:r>
          </w:p>
        </w:tc>
        <w:tc>
          <w:tcPr>
            <w:tcW w:w="1985" w:type="dxa"/>
          </w:tcPr>
          <w:p w14:paraId="4AF7581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5,386</w:t>
            </w:r>
          </w:p>
          <w:p w14:paraId="0DFA878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Specimens previously clinically tested in a clinic and laboratory</w:t>
            </w:r>
          </w:p>
        </w:tc>
        <w:tc>
          <w:tcPr>
            <w:tcW w:w="2551" w:type="dxa"/>
          </w:tcPr>
          <w:p w14:paraId="5F2E097A"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042E797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Samples from patients tested for </w:t>
            </w:r>
            <w:r w:rsidRPr="00021B7B">
              <w:rPr>
                <w:bCs/>
                <w:sz w:val="20"/>
              </w:rPr>
              <w:t>α</w:t>
            </w:r>
            <w:r w:rsidRPr="00021B7B">
              <w:rPr>
                <w:rFonts w:ascii="Arial Narrow" w:hAnsi="Arial Narrow"/>
                <w:bCs/>
                <w:sz w:val="20"/>
              </w:rPr>
              <w:t>-thal from Jun 2007-Apr 2010</w:t>
            </w:r>
          </w:p>
          <w:p w14:paraId="05F5C204"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4020BE6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assess a combined assay of Multiplex PCR and MLPA for </w:t>
            </w:r>
            <w:r w:rsidRPr="00021B7B">
              <w:rPr>
                <w:bCs/>
                <w:sz w:val="20"/>
              </w:rPr>
              <w:t>α</w:t>
            </w:r>
            <w:r w:rsidRPr="00021B7B">
              <w:rPr>
                <w:rFonts w:ascii="Arial Narrow" w:hAnsi="Arial Narrow"/>
                <w:bCs/>
                <w:sz w:val="20"/>
              </w:rPr>
              <w:t>-thal diagnosis</w:t>
            </w:r>
          </w:p>
        </w:tc>
        <w:tc>
          <w:tcPr>
            <w:tcW w:w="1843" w:type="dxa"/>
          </w:tcPr>
          <w:p w14:paraId="4334B8E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Multiplex PCR for 2 common deletions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and</w:t>
            </w:r>
          </w:p>
          <w:p w14:paraId="58A54C34" w14:textId="77777777" w:rsidR="00D05A1E" w:rsidRPr="00021B7B" w:rsidRDefault="00D05A1E" w:rsidP="005D2C3B">
            <w:pPr>
              <w:spacing w:before="40" w:after="40"/>
              <w:rPr>
                <w:rFonts w:ascii="Arial Narrow" w:hAnsi="Arial Narrow"/>
                <w:bCs/>
                <w:sz w:val="20"/>
                <w:u w:val="single"/>
              </w:rPr>
            </w:pPr>
            <w:r w:rsidRPr="00021B7B">
              <w:rPr>
                <w:rFonts w:ascii="Arial Narrow" w:hAnsi="Arial Narrow"/>
                <w:bCs/>
                <w:sz w:val="20"/>
              </w:rPr>
              <w:t>MLPA for common deletions and duplications</w:t>
            </w:r>
          </w:p>
        </w:tc>
        <w:tc>
          <w:tcPr>
            <w:tcW w:w="1417" w:type="dxa"/>
          </w:tcPr>
          <w:p w14:paraId="5869572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Southern blot</w:t>
            </w:r>
          </w:p>
        </w:tc>
        <w:tc>
          <w:tcPr>
            <w:tcW w:w="1701" w:type="dxa"/>
          </w:tcPr>
          <w:p w14:paraId="5C4090F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Concordance </w:t>
            </w:r>
          </w:p>
          <w:p w14:paraId="34051C0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Test failure rate</w:t>
            </w:r>
          </w:p>
          <w:p w14:paraId="431043E1" w14:textId="77777777" w:rsidR="00D05A1E" w:rsidRPr="00021B7B" w:rsidRDefault="00D05A1E" w:rsidP="005D2C3B">
            <w:pPr>
              <w:spacing w:before="40" w:after="40"/>
              <w:rPr>
                <w:rFonts w:ascii="Arial Narrow" w:hAnsi="Arial Narrow"/>
                <w:bCs/>
                <w:sz w:val="20"/>
              </w:rPr>
            </w:pPr>
          </w:p>
        </w:tc>
        <w:tc>
          <w:tcPr>
            <w:tcW w:w="2552" w:type="dxa"/>
          </w:tcPr>
          <w:p w14:paraId="6208EFB2"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00414252" w14:textId="77777777" w:rsidTr="005D2C3B">
        <w:tc>
          <w:tcPr>
            <w:tcW w:w="1418" w:type="dxa"/>
          </w:tcPr>
          <w:p w14:paraId="3915B8B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Liu et al</w:t>
            </w:r>
          </w:p>
          <w:p w14:paraId="115B29C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2000</w:t>
            </w:r>
          </w:p>
          <w:p w14:paraId="715DA79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UK</w:t>
            </w:r>
          </w:p>
        </w:tc>
        <w:tc>
          <w:tcPr>
            <w:tcW w:w="1701" w:type="dxa"/>
          </w:tcPr>
          <w:p w14:paraId="30F2CA2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Case control study</w:t>
            </w:r>
          </w:p>
          <w:p w14:paraId="6D414D7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III-2</w:t>
            </w:r>
          </w:p>
          <w:p w14:paraId="7D44F91C" w14:textId="77777777" w:rsidR="00D05A1E" w:rsidRPr="00021B7B" w:rsidRDefault="00D05A1E" w:rsidP="005D2C3B">
            <w:pPr>
              <w:spacing w:before="40" w:after="40"/>
              <w:rPr>
                <w:rFonts w:ascii="Arial Narrow" w:hAnsi="Arial Narrow"/>
                <w:bCs/>
                <w:sz w:val="20"/>
              </w:rPr>
            </w:pPr>
            <w:r>
              <w:rPr>
                <w:rFonts w:ascii="Arial Narrow" w:hAnsi="Arial Narrow"/>
                <w:bCs/>
                <w:sz w:val="20"/>
              </w:rPr>
              <w:t>High</w:t>
            </w:r>
            <w:r w:rsidRPr="00021B7B">
              <w:rPr>
                <w:rFonts w:ascii="Arial Narrow" w:hAnsi="Arial Narrow"/>
                <w:bCs/>
                <w:sz w:val="20"/>
              </w:rPr>
              <w:t xml:space="preserve"> risk of bias </w:t>
            </w:r>
          </w:p>
        </w:tc>
        <w:tc>
          <w:tcPr>
            <w:tcW w:w="1985" w:type="dxa"/>
          </w:tcPr>
          <w:p w14:paraId="5A159A2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52</w:t>
            </w:r>
          </w:p>
          <w:p w14:paraId="09C8F66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DNA samples previously genotyped</w:t>
            </w:r>
          </w:p>
        </w:tc>
        <w:tc>
          <w:tcPr>
            <w:tcW w:w="2551" w:type="dxa"/>
          </w:tcPr>
          <w:p w14:paraId="7DA0EA5C"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14BC6A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NR</w:t>
            </w:r>
          </w:p>
          <w:p w14:paraId="7311D368"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0DE8209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 assess a Multiplex PCR method</w:t>
            </w:r>
          </w:p>
        </w:tc>
        <w:tc>
          <w:tcPr>
            <w:tcW w:w="1843" w:type="dxa"/>
          </w:tcPr>
          <w:p w14:paraId="1D36F23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Multiplex PCR for 7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and one triplication (ααα</w:t>
            </w:r>
            <w:r w:rsidRPr="00021B7B">
              <w:rPr>
                <w:rFonts w:ascii="Arial Narrow" w:hAnsi="Arial Narrow"/>
                <w:bCs/>
                <w:sz w:val="20"/>
                <w:vertAlign w:val="superscript"/>
              </w:rPr>
              <w:t>anti3.7</w:t>
            </w:r>
            <w:r w:rsidRPr="00021B7B">
              <w:rPr>
                <w:rFonts w:ascii="Arial Narrow" w:hAnsi="Arial Narrow"/>
                <w:bCs/>
                <w:sz w:val="20"/>
              </w:rPr>
              <w:t>)</w:t>
            </w:r>
          </w:p>
        </w:tc>
        <w:tc>
          <w:tcPr>
            <w:tcW w:w="1417" w:type="dxa"/>
          </w:tcPr>
          <w:p w14:paraId="5FF7B62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Southern blot</w:t>
            </w:r>
          </w:p>
        </w:tc>
        <w:tc>
          <w:tcPr>
            <w:tcW w:w="1701" w:type="dxa"/>
          </w:tcPr>
          <w:p w14:paraId="3D148FA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Concordance</w:t>
            </w:r>
          </w:p>
          <w:p w14:paraId="58D8A395" w14:textId="77777777" w:rsidR="00D05A1E" w:rsidRPr="00021B7B" w:rsidRDefault="00D05A1E" w:rsidP="005D2C3B">
            <w:pPr>
              <w:spacing w:before="40" w:after="40"/>
              <w:rPr>
                <w:rFonts w:ascii="Arial Narrow" w:hAnsi="Arial Narrow"/>
                <w:bCs/>
                <w:sz w:val="20"/>
              </w:rPr>
            </w:pPr>
          </w:p>
        </w:tc>
        <w:tc>
          <w:tcPr>
            <w:tcW w:w="2552" w:type="dxa"/>
          </w:tcPr>
          <w:p w14:paraId="0A086CC4"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support from Wellcome Trust, Medical Research Council and a grant to JMO from the International Atomic Energy Agency (Technical Contract no. 15011/RO).</w:t>
            </w:r>
          </w:p>
        </w:tc>
      </w:tr>
      <w:tr w:rsidR="00D05A1E" w:rsidRPr="00021B7B" w14:paraId="1017B1AB" w14:textId="77777777" w:rsidTr="005D2C3B">
        <w:tc>
          <w:tcPr>
            <w:tcW w:w="1418" w:type="dxa"/>
          </w:tcPr>
          <w:p w14:paraId="6299F03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Prior, Bittles &amp; Erber</w:t>
            </w:r>
          </w:p>
          <w:p w14:paraId="46A1898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2004</w:t>
            </w:r>
          </w:p>
          <w:p w14:paraId="3E2611E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Australia</w:t>
            </w:r>
          </w:p>
        </w:tc>
        <w:tc>
          <w:tcPr>
            <w:tcW w:w="1701" w:type="dxa"/>
          </w:tcPr>
          <w:p w14:paraId="558AA40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42C3DF8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6F6364A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tcPr>
          <w:p w14:paraId="531A663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920</w:t>
            </w:r>
          </w:p>
          <w:p w14:paraId="36D0215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Samples submitted to Western Australia pathology laboratories in a 12 month period </w:t>
            </w:r>
          </w:p>
          <w:p w14:paraId="699B42B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Mean age: 32 y</w:t>
            </w:r>
          </w:p>
          <w:p w14:paraId="045B775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Age range: 5 days -88 y</w:t>
            </w:r>
          </w:p>
        </w:tc>
        <w:tc>
          <w:tcPr>
            <w:tcW w:w="2551" w:type="dxa"/>
          </w:tcPr>
          <w:p w14:paraId="43FD3C89"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6508330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Samples submitted for Hb investigation from 1. The Migrant Health Service with abnormal indices &amp; 2. Molecular analysis requests from private and public laboratories following HbH screening</w:t>
            </w:r>
          </w:p>
          <w:p w14:paraId="06998209"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4A1E507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estimate prevalence of </w:t>
            </w:r>
            <w:r w:rsidRPr="00021B7B">
              <w:rPr>
                <w:bCs/>
                <w:sz w:val="20"/>
              </w:rPr>
              <w:t>α</w:t>
            </w:r>
            <w:r w:rsidRPr="00021B7B">
              <w:rPr>
                <w:rFonts w:ascii="Arial Narrow" w:hAnsi="Arial Narrow"/>
                <w:bCs/>
                <w:sz w:val="20"/>
              </w:rPr>
              <w:t>-thal in WA</w:t>
            </w:r>
          </w:p>
        </w:tc>
        <w:tc>
          <w:tcPr>
            <w:tcW w:w="1843" w:type="dxa"/>
          </w:tcPr>
          <w:p w14:paraId="08028E4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Multiplex PCR for 7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PCR/RE for non-deletions (Nco1, Hph1 (-5nt), Mse1 and CS)</w:t>
            </w:r>
          </w:p>
        </w:tc>
        <w:tc>
          <w:tcPr>
            <w:tcW w:w="1417" w:type="dxa"/>
          </w:tcPr>
          <w:p w14:paraId="6517E19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t>
            </w:r>
          </w:p>
        </w:tc>
        <w:tc>
          <w:tcPr>
            <w:tcW w:w="1701" w:type="dxa"/>
          </w:tcPr>
          <w:p w14:paraId="60378FB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yield</w:t>
            </w:r>
          </w:p>
        </w:tc>
        <w:tc>
          <w:tcPr>
            <w:tcW w:w="2552" w:type="dxa"/>
          </w:tcPr>
          <w:p w14:paraId="4E90479A"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support from the Genomics Directorate of the Western Australia Department of Health</w:t>
            </w:r>
          </w:p>
        </w:tc>
      </w:tr>
      <w:tr w:rsidR="00D05A1E" w:rsidRPr="00021B7B" w14:paraId="26F7BFEF" w14:textId="77777777" w:rsidTr="005D2C3B">
        <w:tc>
          <w:tcPr>
            <w:tcW w:w="1418" w:type="dxa"/>
          </w:tcPr>
          <w:p w14:paraId="7807B4F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Sorour et al</w:t>
            </w:r>
          </w:p>
          <w:p w14:paraId="5AB6BC1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2007</w:t>
            </w:r>
          </w:p>
          <w:p w14:paraId="2F5A1C6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United Kingdom</w:t>
            </w:r>
          </w:p>
        </w:tc>
        <w:tc>
          <w:tcPr>
            <w:tcW w:w="1701" w:type="dxa"/>
          </w:tcPr>
          <w:p w14:paraId="2F00DD7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4F3DA2C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0A99B59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Low risk of bias</w:t>
            </w:r>
          </w:p>
        </w:tc>
        <w:tc>
          <w:tcPr>
            <w:tcW w:w="1985" w:type="dxa"/>
          </w:tcPr>
          <w:p w14:paraId="45D8DFF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425</w:t>
            </w:r>
          </w:p>
          <w:p w14:paraId="2C13D1D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Women screened for thalassaemias at an ante-natal clinic</w:t>
            </w:r>
          </w:p>
        </w:tc>
        <w:tc>
          <w:tcPr>
            <w:tcW w:w="2551" w:type="dxa"/>
          </w:tcPr>
          <w:p w14:paraId="0F6685F8"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6B2E328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Women screening negative for </w:t>
            </w:r>
            <w:r w:rsidRPr="00021B7B">
              <w:rPr>
                <w:bCs/>
                <w:sz w:val="20"/>
              </w:rPr>
              <w:t>β</w:t>
            </w:r>
            <w:r w:rsidRPr="00021B7B">
              <w:rPr>
                <w:rFonts w:ascii="Arial Narrow" w:hAnsi="Arial Narrow"/>
                <w:bCs/>
                <w:sz w:val="20"/>
              </w:rPr>
              <w:t xml:space="preserve">-thal, </w:t>
            </w:r>
          </w:p>
          <w:p w14:paraId="6655C1DB"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02FAD3C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assess Multiplex PCR testing for common </w:t>
            </w:r>
            <w:r w:rsidRPr="00021B7B">
              <w:rPr>
                <w:bCs/>
                <w:sz w:val="20"/>
              </w:rPr>
              <w:t>α</w:t>
            </w:r>
            <w:r w:rsidRPr="00021B7B">
              <w:rPr>
                <w:rFonts w:ascii="Arial Narrow" w:hAnsi="Arial Narrow"/>
                <w:bCs/>
                <w:sz w:val="20"/>
              </w:rPr>
              <w:t xml:space="preserve">-thal </w:t>
            </w:r>
            <w:r w:rsidRPr="00021B7B">
              <w:rPr>
                <w:rFonts w:ascii="Arial Narrow" w:hAnsi="Arial Narrow"/>
                <w:bCs/>
                <w:sz w:val="20"/>
              </w:rPr>
              <w:lastRenderedPageBreak/>
              <w:t>deletions as a routine screening tool, alongside a standard ethnic origin/low MCH approach</w:t>
            </w:r>
          </w:p>
        </w:tc>
        <w:tc>
          <w:tcPr>
            <w:tcW w:w="1843" w:type="dxa"/>
          </w:tcPr>
          <w:p w14:paraId="6B9BAF1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lastRenderedPageBreak/>
              <w:t>Multiplex PCR for six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w:t>
            </w:r>
          </w:p>
        </w:tc>
        <w:tc>
          <w:tcPr>
            <w:tcW w:w="1417" w:type="dxa"/>
          </w:tcPr>
          <w:p w14:paraId="4E98125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Red cell and indices and ethnicity</w:t>
            </w:r>
          </w:p>
        </w:tc>
        <w:tc>
          <w:tcPr>
            <w:tcW w:w="1701" w:type="dxa"/>
          </w:tcPr>
          <w:p w14:paraId="3B048B6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Incremental diagnostic information</w:t>
            </w:r>
          </w:p>
        </w:tc>
        <w:tc>
          <w:tcPr>
            <w:tcW w:w="2552" w:type="dxa"/>
          </w:tcPr>
          <w:p w14:paraId="38654C5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Diagnostic accuracy only</w:t>
            </w:r>
          </w:p>
          <w:p w14:paraId="212F19A6"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3D4ACA1A" w14:textId="77777777" w:rsidTr="005D2C3B">
        <w:tc>
          <w:tcPr>
            <w:tcW w:w="1418" w:type="dxa"/>
          </w:tcPr>
          <w:p w14:paraId="098B0A5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Timmann et al</w:t>
            </w:r>
          </w:p>
          <w:p w14:paraId="36198A1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2005</w:t>
            </w:r>
          </w:p>
          <w:p w14:paraId="0CD4962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Ghana</w:t>
            </w:r>
          </w:p>
        </w:tc>
        <w:tc>
          <w:tcPr>
            <w:tcW w:w="1701" w:type="dxa"/>
          </w:tcPr>
          <w:p w14:paraId="529186F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33F4D84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5318F38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7F42770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122</w:t>
            </w:r>
          </w:p>
          <w:p w14:paraId="33DE09BC"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Individuals of a West African population with moderate prevalence of the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xml:space="preserve"> deletion</w:t>
            </w:r>
          </w:p>
        </w:tc>
        <w:tc>
          <w:tcPr>
            <w:tcW w:w="2551" w:type="dxa"/>
          </w:tcPr>
          <w:p w14:paraId="68284D3B"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6D27CBC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Informed consent</w:t>
            </w:r>
          </w:p>
          <w:p w14:paraId="2AC0F74B"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47DBD10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To validate a melting curve analysis method for </w:t>
            </w:r>
            <w:r w:rsidRPr="00021B7B">
              <w:rPr>
                <w:bCs/>
                <w:sz w:val="20"/>
              </w:rPr>
              <w:t>α</w:t>
            </w:r>
            <w:r w:rsidRPr="00021B7B">
              <w:rPr>
                <w:rFonts w:ascii="Arial Narrow" w:hAnsi="Arial Narrow"/>
                <w:bCs/>
                <w:sz w:val="20"/>
              </w:rPr>
              <w:t>-thal diagnosis</w:t>
            </w:r>
          </w:p>
        </w:tc>
        <w:tc>
          <w:tcPr>
            <w:tcW w:w="1843" w:type="dxa"/>
          </w:tcPr>
          <w:p w14:paraId="56EF297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for six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w:t>
            </w:r>
          </w:p>
        </w:tc>
        <w:tc>
          <w:tcPr>
            <w:tcW w:w="1417" w:type="dxa"/>
          </w:tcPr>
          <w:p w14:paraId="3016F3A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Red cell and Hb indices, HbH inclusions, MCA ratio</w:t>
            </w:r>
          </w:p>
        </w:tc>
        <w:tc>
          <w:tcPr>
            <w:tcW w:w="1701" w:type="dxa"/>
          </w:tcPr>
          <w:p w14:paraId="7B8F233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Incremental diagnostic information</w:t>
            </w:r>
          </w:p>
        </w:tc>
        <w:tc>
          <w:tcPr>
            <w:tcW w:w="2552" w:type="dxa"/>
          </w:tcPr>
          <w:p w14:paraId="3D45E57E"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MCA is not relevant comparator, however diagnosis by Gap-PCR was reported</w:t>
            </w:r>
          </w:p>
          <w:p w14:paraId="3D81F2C2"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National Genome Research Network of the German Ministry of Education and Research, Volkswagen Foundation, &amp; a doctoral grant (FM) at the University of Hamburg</w:t>
            </w:r>
          </w:p>
        </w:tc>
      </w:tr>
      <w:tr w:rsidR="00D05A1E" w:rsidRPr="00021B7B" w14:paraId="453E5297" w14:textId="77777777" w:rsidTr="005D2C3B">
        <w:tc>
          <w:tcPr>
            <w:tcW w:w="1418" w:type="dxa"/>
          </w:tcPr>
          <w:p w14:paraId="7938282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Turner et al</w:t>
            </w:r>
          </w:p>
          <w:p w14:paraId="7A6A334A"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2015</w:t>
            </w:r>
          </w:p>
          <w:p w14:paraId="573EA24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United Arab Emirates</w:t>
            </w:r>
          </w:p>
        </w:tc>
        <w:tc>
          <w:tcPr>
            <w:tcW w:w="1701" w:type="dxa"/>
          </w:tcPr>
          <w:p w14:paraId="18E47C80"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1088F3E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7101774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tcPr>
          <w:p w14:paraId="6049A58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167</w:t>
            </w:r>
          </w:p>
          <w:p w14:paraId="045FF18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Archived samples from a single laboratory </w:t>
            </w:r>
          </w:p>
          <w:p w14:paraId="6FC0A3F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Known genotypes: n=n105</w:t>
            </w:r>
          </w:p>
          <w:p w14:paraId="4C5E830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Unknown genotypes: n= 62</w:t>
            </w:r>
          </w:p>
        </w:tc>
        <w:tc>
          <w:tcPr>
            <w:tcW w:w="2551" w:type="dxa"/>
          </w:tcPr>
          <w:p w14:paraId="60D6B1EF"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277515B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Samples with known genotype to establish a protocol, samples of unknown genotype for validation</w:t>
            </w:r>
          </w:p>
          <w:p w14:paraId="51CEB292"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01A56183"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Development of the GRACE-PCR assay </w:t>
            </w:r>
          </w:p>
        </w:tc>
        <w:tc>
          <w:tcPr>
            <w:tcW w:w="1843" w:type="dxa"/>
          </w:tcPr>
          <w:p w14:paraId="409A833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Gap-PCR for 7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and common non-deletions including (</w:t>
            </w:r>
            <w:r w:rsidRPr="00021B7B">
              <w:rPr>
                <w:bCs/>
                <w:sz w:val="20"/>
              </w:rPr>
              <w:t>αα</w:t>
            </w:r>
            <w:r w:rsidRPr="00021B7B">
              <w:rPr>
                <w:rFonts w:ascii="Arial Narrow" w:hAnsi="Arial Narrow"/>
                <w:bCs/>
                <w:sz w:val="20"/>
                <w:vertAlign w:val="superscript"/>
              </w:rPr>
              <w:t>CS</w:t>
            </w:r>
            <w:r w:rsidRPr="00021B7B">
              <w:rPr>
                <w:rFonts w:ascii="Arial Narrow" w:hAnsi="Arial Narrow"/>
                <w:bCs/>
                <w:sz w:val="20"/>
              </w:rPr>
              <w:t xml:space="preserve">, </w:t>
            </w:r>
            <w:r w:rsidRPr="00021B7B">
              <w:rPr>
                <w:bCs/>
                <w:sz w:val="20"/>
              </w:rPr>
              <w:t>αα</w:t>
            </w:r>
            <w:r w:rsidRPr="00021B7B">
              <w:rPr>
                <w:rFonts w:ascii="Arial Narrow" w:hAnsi="Arial Narrow"/>
                <w:bCs/>
                <w:sz w:val="20"/>
                <w:vertAlign w:val="superscript"/>
              </w:rPr>
              <w:t>Icara</w:t>
            </w:r>
            <w:r w:rsidRPr="00021B7B">
              <w:rPr>
                <w:rFonts w:ascii="Arial Narrow" w:hAnsi="Arial Narrow"/>
                <w:bCs/>
                <w:sz w:val="20"/>
              </w:rPr>
              <w:t xml:space="preserve">, </w:t>
            </w:r>
            <w:r w:rsidRPr="00021B7B">
              <w:rPr>
                <w:bCs/>
                <w:sz w:val="20"/>
              </w:rPr>
              <w:t>αα</w:t>
            </w:r>
            <w:r w:rsidRPr="00021B7B">
              <w:rPr>
                <w:rFonts w:ascii="Arial Narrow" w:hAnsi="Arial Narrow"/>
                <w:bCs/>
                <w:sz w:val="20"/>
                <w:vertAlign w:val="superscript"/>
              </w:rPr>
              <w:t>polyA-1</w:t>
            </w:r>
            <w:r w:rsidRPr="00021B7B">
              <w:rPr>
                <w:rFonts w:ascii="Arial Narrow" w:hAnsi="Arial Narrow"/>
                <w:bCs/>
                <w:sz w:val="20"/>
              </w:rPr>
              <w:t xml:space="preserve">, </w:t>
            </w:r>
            <w:r w:rsidRPr="00021B7B">
              <w:rPr>
                <w:bCs/>
                <w:sz w:val="20"/>
              </w:rPr>
              <w:t>αα</w:t>
            </w:r>
            <w:r w:rsidRPr="00021B7B">
              <w:rPr>
                <w:rFonts w:ascii="Arial Narrow" w:hAnsi="Arial Narrow"/>
                <w:bCs/>
                <w:sz w:val="20"/>
                <w:vertAlign w:val="superscript"/>
              </w:rPr>
              <w:t>polyA-2</w:t>
            </w:r>
            <w:r w:rsidRPr="00021B7B">
              <w:rPr>
                <w:rFonts w:ascii="Arial Narrow" w:hAnsi="Arial Narrow"/>
                <w:bCs/>
                <w:sz w:val="20"/>
              </w:rPr>
              <w:t>)</w:t>
            </w:r>
          </w:p>
        </w:tc>
        <w:tc>
          <w:tcPr>
            <w:tcW w:w="1417" w:type="dxa"/>
          </w:tcPr>
          <w:p w14:paraId="02A9417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GRACE-PCR screen and MCA analysis</w:t>
            </w:r>
          </w:p>
        </w:tc>
        <w:tc>
          <w:tcPr>
            <w:tcW w:w="1701" w:type="dxa"/>
          </w:tcPr>
          <w:p w14:paraId="3240EE5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Incremental diagnostic information</w:t>
            </w:r>
          </w:p>
        </w:tc>
        <w:tc>
          <w:tcPr>
            <w:tcW w:w="2552" w:type="dxa"/>
          </w:tcPr>
          <w:p w14:paraId="00042201"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GRACE-PCR is not a relevant comparator, however diagnosis by Gap-PCR was reported</w:t>
            </w:r>
          </w:p>
          <w:p w14:paraId="399932CA"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D05A1E" w:rsidRPr="00021B7B" w14:paraId="6321DBF6" w14:textId="77777777" w:rsidTr="005D2C3B">
        <w:tc>
          <w:tcPr>
            <w:tcW w:w="1418" w:type="dxa"/>
            <w:shd w:val="clear" w:color="auto" w:fill="auto"/>
          </w:tcPr>
          <w:p w14:paraId="02F33F1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Waye et al</w:t>
            </w:r>
          </w:p>
          <w:p w14:paraId="48C79C0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2001</w:t>
            </w:r>
          </w:p>
          <w:p w14:paraId="2CB9E0D6"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Canada</w:t>
            </w:r>
          </w:p>
        </w:tc>
        <w:tc>
          <w:tcPr>
            <w:tcW w:w="1701" w:type="dxa"/>
            <w:shd w:val="clear" w:color="auto" w:fill="auto"/>
          </w:tcPr>
          <w:p w14:paraId="71F33AD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Study of diagnostic yield</w:t>
            </w:r>
          </w:p>
          <w:p w14:paraId="1B2661A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Level IV</w:t>
            </w:r>
          </w:p>
          <w:p w14:paraId="2A7CA85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Moderate risk of bias</w:t>
            </w:r>
          </w:p>
        </w:tc>
        <w:tc>
          <w:tcPr>
            <w:tcW w:w="1985" w:type="dxa"/>
            <w:shd w:val="clear" w:color="auto" w:fill="auto"/>
          </w:tcPr>
          <w:p w14:paraId="0B52202B"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116</w:t>
            </w:r>
          </w:p>
          <w:p w14:paraId="68A8C4F2"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Patients with HbH disease living in Canada</w:t>
            </w:r>
          </w:p>
          <w:p w14:paraId="2D986204"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Age range: 1-75 y</w:t>
            </w:r>
          </w:p>
          <w:p w14:paraId="49F4EEB9"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N = 28</w:t>
            </w:r>
          </w:p>
          <w:p w14:paraId="5476FCA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 xml:space="preserve">Partners of adults with HbH disease </w:t>
            </w:r>
          </w:p>
        </w:tc>
        <w:tc>
          <w:tcPr>
            <w:tcW w:w="2551" w:type="dxa"/>
            <w:shd w:val="clear" w:color="auto" w:fill="auto"/>
          </w:tcPr>
          <w:p w14:paraId="73C8985E"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Criteria</w:t>
            </w:r>
          </w:p>
          <w:p w14:paraId="718A4355"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HbH disease previously diagnosed</w:t>
            </w:r>
          </w:p>
          <w:p w14:paraId="60461760" w14:textId="77777777" w:rsidR="00D05A1E" w:rsidRPr="00021B7B" w:rsidRDefault="00D05A1E" w:rsidP="005D2C3B">
            <w:pPr>
              <w:spacing w:before="40" w:after="40"/>
              <w:rPr>
                <w:rFonts w:ascii="Arial Narrow" w:hAnsi="Arial Narrow"/>
                <w:bCs/>
                <w:i/>
                <w:sz w:val="20"/>
              </w:rPr>
            </w:pPr>
            <w:r w:rsidRPr="00021B7B">
              <w:rPr>
                <w:rFonts w:ascii="Arial Narrow" w:hAnsi="Arial Narrow"/>
                <w:bCs/>
                <w:i/>
                <w:sz w:val="20"/>
              </w:rPr>
              <w:t>Objective</w:t>
            </w:r>
          </w:p>
          <w:p w14:paraId="7BFBB5A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To determine genotypes associated with HbH disease in Canadian patients</w:t>
            </w:r>
          </w:p>
        </w:tc>
        <w:tc>
          <w:tcPr>
            <w:tcW w:w="1843" w:type="dxa"/>
            <w:shd w:val="clear" w:color="auto" w:fill="auto"/>
          </w:tcPr>
          <w:p w14:paraId="0275E56D"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PCR for 6 common deletions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and non-deletions by sequencing</w:t>
            </w:r>
          </w:p>
        </w:tc>
        <w:tc>
          <w:tcPr>
            <w:tcW w:w="1417" w:type="dxa"/>
            <w:shd w:val="clear" w:color="auto" w:fill="auto"/>
          </w:tcPr>
          <w:p w14:paraId="7FEF3AF8"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Prior diagnosis with HbH disease (tests not specified)</w:t>
            </w:r>
          </w:p>
        </w:tc>
        <w:tc>
          <w:tcPr>
            <w:tcW w:w="1701" w:type="dxa"/>
            <w:shd w:val="clear" w:color="auto" w:fill="auto"/>
          </w:tcPr>
          <w:p w14:paraId="17B63B07"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Incremental diagnostic information</w:t>
            </w:r>
          </w:p>
        </w:tc>
        <w:tc>
          <w:tcPr>
            <w:tcW w:w="2552" w:type="dxa"/>
            <w:shd w:val="clear" w:color="auto" w:fill="auto"/>
          </w:tcPr>
          <w:p w14:paraId="45033A8F" w14:textId="77777777" w:rsidR="00D05A1E" w:rsidRPr="00021B7B" w:rsidRDefault="00D05A1E" w:rsidP="005D2C3B">
            <w:pPr>
              <w:spacing w:before="40" w:after="40"/>
              <w:rPr>
                <w:rFonts w:ascii="Arial Narrow" w:hAnsi="Arial Narrow"/>
                <w:bCs/>
                <w:sz w:val="20"/>
              </w:rPr>
            </w:pPr>
            <w:r w:rsidRPr="00021B7B">
              <w:rPr>
                <w:rFonts w:ascii="Arial Narrow" w:hAnsi="Arial Narrow"/>
                <w:bCs/>
                <w:sz w:val="20"/>
              </w:rPr>
              <w:t>Population is those with HbH disease</w:t>
            </w:r>
          </w:p>
          <w:p w14:paraId="27EA5093" w14:textId="77777777" w:rsidR="00D05A1E" w:rsidRPr="00021B7B" w:rsidRDefault="00D05A1E" w:rsidP="005D2C3B">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bl>
    <w:p w14:paraId="41920A53" w14:textId="77777777" w:rsidR="005759C3" w:rsidRDefault="005759C3" w:rsidP="00AD404A"/>
    <w:p w14:paraId="4187EE27" w14:textId="0B3BA2B6" w:rsidR="005759C3" w:rsidRPr="00492A3A" w:rsidRDefault="005759C3" w:rsidP="00492A3A">
      <w:pPr>
        <w:keepNext/>
        <w:keepLines/>
        <w:rPr>
          <w:rFonts w:ascii="Arial Narrow" w:hAnsi="Arial Narrow"/>
          <w:b/>
          <w:sz w:val="20"/>
        </w:rPr>
      </w:pPr>
      <w:r w:rsidRPr="00492A3A">
        <w:rPr>
          <w:rFonts w:ascii="Arial Narrow" w:hAnsi="Arial Narrow"/>
          <w:b/>
          <w:sz w:val="20"/>
        </w:rPr>
        <w:lastRenderedPageBreak/>
        <w:t xml:space="preserve">Table </w:t>
      </w:r>
      <w:r w:rsidR="00D576B7" w:rsidRPr="00492A3A">
        <w:rPr>
          <w:rFonts w:ascii="Arial Narrow" w:hAnsi="Arial Narrow"/>
          <w:b/>
          <w:sz w:val="20"/>
        </w:rPr>
        <w:fldChar w:fldCharType="begin"/>
      </w:r>
      <w:r w:rsidR="00D576B7" w:rsidRPr="00492A3A">
        <w:rPr>
          <w:rFonts w:ascii="Arial Narrow" w:hAnsi="Arial Narrow"/>
          <w:b/>
          <w:sz w:val="20"/>
        </w:rPr>
        <w:instrText xml:space="preserve"> SEQ Table \* ARABIC </w:instrText>
      </w:r>
      <w:r w:rsidR="00D576B7" w:rsidRPr="00492A3A">
        <w:rPr>
          <w:rFonts w:ascii="Arial Narrow" w:hAnsi="Arial Narrow"/>
          <w:b/>
          <w:sz w:val="20"/>
        </w:rPr>
        <w:fldChar w:fldCharType="separate"/>
      </w:r>
      <w:r w:rsidR="00F37DD4" w:rsidRPr="00492A3A">
        <w:rPr>
          <w:rFonts w:ascii="Arial Narrow" w:hAnsi="Arial Narrow"/>
          <w:b/>
          <w:sz w:val="20"/>
        </w:rPr>
        <w:t>4</w:t>
      </w:r>
      <w:r w:rsidR="00D576B7" w:rsidRPr="00492A3A">
        <w:rPr>
          <w:rFonts w:ascii="Arial Narrow" w:hAnsi="Arial Narrow"/>
          <w:b/>
          <w:sz w:val="20"/>
        </w:rPr>
        <w:fldChar w:fldCharType="end"/>
      </w:r>
      <w:r w:rsidRPr="00492A3A">
        <w:rPr>
          <w:rFonts w:ascii="Arial Narrow" w:hAnsi="Arial Narrow"/>
          <w:b/>
          <w:sz w:val="20"/>
        </w:rPr>
        <w:t>. Studies reporting on clinical validity</w:t>
      </w:r>
    </w:p>
    <w:tbl>
      <w:tblPr>
        <w:tblStyle w:val="TableGrid4"/>
        <w:tblW w:w="15168" w:type="dxa"/>
        <w:tblInd w:w="-147" w:type="dxa"/>
        <w:tblLayout w:type="fixed"/>
        <w:tblLook w:val="04A0" w:firstRow="1" w:lastRow="0" w:firstColumn="1" w:lastColumn="0" w:noHBand="0" w:noVBand="1"/>
        <w:tblCaption w:val="Table 81 Studies reporting on clinical validity"/>
      </w:tblPr>
      <w:tblGrid>
        <w:gridCol w:w="1418"/>
        <w:gridCol w:w="1701"/>
        <w:gridCol w:w="2126"/>
        <w:gridCol w:w="2552"/>
        <w:gridCol w:w="1701"/>
        <w:gridCol w:w="1559"/>
        <w:gridCol w:w="1701"/>
        <w:gridCol w:w="2410"/>
      </w:tblGrid>
      <w:tr w:rsidR="005759C3" w:rsidRPr="00021B7B" w14:paraId="0552EFEC" w14:textId="77777777" w:rsidTr="0093776D">
        <w:trPr>
          <w:tblHeader/>
        </w:trPr>
        <w:tc>
          <w:tcPr>
            <w:tcW w:w="1418" w:type="dxa"/>
          </w:tcPr>
          <w:p w14:paraId="7E298243"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 xml:space="preserve">Study </w:t>
            </w:r>
          </w:p>
          <w:p w14:paraId="1977509C"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Country</w:t>
            </w:r>
          </w:p>
        </w:tc>
        <w:tc>
          <w:tcPr>
            <w:tcW w:w="1701" w:type="dxa"/>
          </w:tcPr>
          <w:p w14:paraId="115C255A"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Study design</w:t>
            </w:r>
          </w:p>
          <w:p w14:paraId="17119569" w14:textId="77777777" w:rsidR="005759C3" w:rsidRPr="00021B7B" w:rsidRDefault="005759C3" w:rsidP="00492A3A">
            <w:pPr>
              <w:keepNext/>
              <w:keepLines/>
              <w:spacing w:before="40" w:after="40"/>
              <w:rPr>
                <w:rFonts w:ascii="Arial Narrow" w:hAnsi="Arial Narrow"/>
                <w:b/>
                <w:bCs/>
                <w:sz w:val="20"/>
                <w:vertAlign w:val="superscript"/>
              </w:rPr>
            </w:pPr>
            <w:r w:rsidRPr="00021B7B">
              <w:rPr>
                <w:rFonts w:ascii="Arial Narrow" w:hAnsi="Arial Narrow"/>
                <w:b/>
                <w:bCs/>
                <w:sz w:val="20"/>
              </w:rPr>
              <w:t>Level of evidence</w:t>
            </w:r>
            <w:r>
              <w:rPr>
                <w:rFonts w:ascii="Arial Narrow" w:hAnsi="Arial Narrow"/>
                <w:b/>
                <w:bCs/>
                <w:sz w:val="20"/>
                <w:vertAlign w:val="superscript"/>
              </w:rPr>
              <w:t>a</w:t>
            </w:r>
          </w:p>
          <w:p w14:paraId="189D9AF7" w14:textId="77777777" w:rsidR="005759C3" w:rsidRPr="00021B7B" w:rsidRDefault="005759C3" w:rsidP="00492A3A">
            <w:pPr>
              <w:keepNext/>
              <w:keepLines/>
              <w:spacing w:before="40" w:after="40"/>
              <w:rPr>
                <w:rFonts w:ascii="Arial Narrow" w:hAnsi="Arial Narrow"/>
                <w:b/>
                <w:bCs/>
                <w:sz w:val="20"/>
                <w:vertAlign w:val="superscript"/>
              </w:rPr>
            </w:pPr>
            <w:r w:rsidRPr="00021B7B">
              <w:rPr>
                <w:rFonts w:ascii="Arial Narrow" w:hAnsi="Arial Narrow"/>
                <w:b/>
                <w:bCs/>
                <w:sz w:val="20"/>
              </w:rPr>
              <w:t>Quality appraisal</w:t>
            </w:r>
            <w:r>
              <w:rPr>
                <w:rFonts w:ascii="Arial Narrow" w:hAnsi="Arial Narrow"/>
                <w:b/>
                <w:bCs/>
                <w:sz w:val="20"/>
                <w:vertAlign w:val="superscript"/>
              </w:rPr>
              <w:t>b</w:t>
            </w:r>
          </w:p>
        </w:tc>
        <w:tc>
          <w:tcPr>
            <w:tcW w:w="2126" w:type="dxa"/>
          </w:tcPr>
          <w:p w14:paraId="714EA395"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Study population characteristics</w:t>
            </w:r>
          </w:p>
        </w:tc>
        <w:tc>
          <w:tcPr>
            <w:tcW w:w="2552" w:type="dxa"/>
          </w:tcPr>
          <w:p w14:paraId="70E6919F"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Eligibility criteria</w:t>
            </w:r>
          </w:p>
          <w:p w14:paraId="586D82C3"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Study objective</w:t>
            </w:r>
          </w:p>
        </w:tc>
        <w:tc>
          <w:tcPr>
            <w:tcW w:w="1701" w:type="dxa"/>
          </w:tcPr>
          <w:p w14:paraId="7C3E525F"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Intervention</w:t>
            </w:r>
          </w:p>
        </w:tc>
        <w:tc>
          <w:tcPr>
            <w:tcW w:w="1559" w:type="dxa"/>
          </w:tcPr>
          <w:p w14:paraId="7DEAF70D"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Comparator</w:t>
            </w:r>
          </w:p>
        </w:tc>
        <w:tc>
          <w:tcPr>
            <w:tcW w:w="1701" w:type="dxa"/>
          </w:tcPr>
          <w:p w14:paraId="3A14A755"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Outcomes assessed</w:t>
            </w:r>
          </w:p>
          <w:p w14:paraId="45643A3A" w14:textId="77777777" w:rsidR="005759C3" w:rsidRPr="00021B7B" w:rsidRDefault="005759C3" w:rsidP="00492A3A">
            <w:pPr>
              <w:keepNext/>
              <w:keepLines/>
              <w:spacing w:before="40" w:after="40"/>
              <w:rPr>
                <w:rFonts w:ascii="Arial Narrow" w:hAnsi="Arial Narrow"/>
                <w:b/>
                <w:bCs/>
                <w:strike/>
                <w:sz w:val="20"/>
              </w:rPr>
            </w:pPr>
            <w:r w:rsidRPr="00021B7B">
              <w:rPr>
                <w:rFonts w:ascii="Arial Narrow" w:hAnsi="Arial Narrow"/>
                <w:b/>
                <w:bCs/>
                <w:sz w:val="20"/>
              </w:rPr>
              <w:t>Statistical analysis</w:t>
            </w:r>
          </w:p>
        </w:tc>
        <w:tc>
          <w:tcPr>
            <w:tcW w:w="2410" w:type="dxa"/>
          </w:tcPr>
          <w:p w14:paraId="311A8E73"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Comments</w:t>
            </w:r>
          </w:p>
          <w:p w14:paraId="62D7A146" w14:textId="77777777" w:rsidR="005759C3" w:rsidRPr="00021B7B" w:rsidRDefault="005759C3" w:rsidP="00492A3A">
            <w:pPr>
              <w:keepNext/>
              <w:keepLines/>
              <w:spacing w:before="40" w:after="40"/>
              <w:rPr>
                <w:rFonts w:ascii="Arial Narrow" w:hAnsi="Arial Narrow"/>
                <w:b/>
                <w:bCs/>
                <w:sz w:val="20"/>
              </w:rPr>
            </w:pPr>
            <w:r w:rsidRPr="00021B7B">
              <w:rPr>
                <w:rFonts w:ascii="Arial Narrow" w:hAnsi="Arial Narrow"/>
                <w:b/>
                <w:bCs/>
                <w:sz w:val="20"/>
              </w:rPr>
              <w:t>Funding source</w:t>
            </w:r>
          </w:p>
        </w:tc>
      </w:tr>
      <w:tr w:rsidR="005759C3" w:rsidRPr="00021B7B" w14:paraId="6DB1AED4" w14:textId="77777777" w:rsidTr="0093776D">
        <w:tc>
          <w:tcPr>
            <w:tcW w:w="1418" w:type="dxa"/>
          </w:tcPr>
          <w:p w14:paraId="59CADD0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Agarwal </w:t>
            </w:r>
            <w:r>
              <w:rPr>
                <w:rFonts w:ascii="Arial Narrow" w:hAnsi="Arial Narrow"/>
                <w:bCs/>
                <w:sz w:val="20"/>
              </w:rPr>
              <w:t xml:space="preserve">et al. </w:t>
            </w:r>
          </w:p>
          <w:p w14:paraId="568DC9B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2013</w:t>
            </w:r>
          </w:p>
          <w:p w14:paraId="187FE3C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USA</w:t>
            </w:r>
          </w:p>
        </w:tc>
        <w:tc>
          <w:tcPr>
            <w:tcW w:w="1701" w:type="dxa"/>
          </w:tcPr>
          <w:p w14:paraId="7D51CD3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Comparison with reference standard that does not meet criteria for Level II or III-1 evidence.</w:t>
            </w:r>
          </w:p>
          <w:p w14:paraId="4639955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2A23CC0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Moderate risk of bias</w:t>
            </w:r>
          </w:p>
        </w:tc>
        <w:tc>
          <w:tcPr>
            <w:tcW w:w="2126" w:type="dxa"/>
          </w:tcPr>
          <w:p w14:paraId="3A58029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67</w:t>
            </w:r>
            <w:r w:rsidRPr="00021B7B">
              <w:rPr>
                <w:rFonts w:ascii="Arial Narrow" w:hAnsi="Arial Narrow"/>
                <w:bCs/>
                <w:sz w:val="20"/>
              </w:rPr>
              <w:br/>
              <w:t xml:space="preserve">Suspected silent carriers or </w:t>
            </w:r>
            <w:r w:rsidRPr="00021B7B">
              <w:rPr>
                <w:bCs/>
                <w:sz w:val="20"/>
              </w:rPr>
              <w:t>α</w:t>
            </w:r>
            <w:r w:rsidRPr="00021B7B">
              <w:rPr>
                <w:rFonts w:ascii="Arial Narrow" w:hAnsi="Arial Narrow"/>
                <w:bCs/>
                <w:sz w:val="20"/>
              </w:rPr>
              <w:t>-thal trait</w:t>
            </w:r>
          </w:p>
          <w:p w14:paraId="5D67211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range: 18-31y</w:t>
            </w:r>
          </w:p>
        </w:tc>
        <w:tc>
          <w:tcPr>
            <w:tcW w:w="2552" w:type="dxa"/>
          </w:tcPr>
          <w:p w14:paraId="586DFDFF"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0EB5FCC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Whole blood samples selected based on HbH concentration, HbH &lt;2%: n = 59, HbH 2-5%: n = 3, HbH 0%: n= 5 </w:t>
            </w:r>
          </w:p>
          <w:p w14:paraId="76AF094C"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3404B2D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Detection of silent carriers by IFE</w:t>
            </w:r>
          </w:p>
        </w:tc>
        <w:tc>
          <w:tcPr>
            <w:tcW w:w="1701" w:type="dxa"/>
          </w:tcPr>
          <w:p w14:paraId="334E33FB" w14:textId="77777777" w:rsidR="005759C3" w:rsidRPr="00021B7B" w:rsidRDefault="005759C3" w:rsidP="0093776D">
            <w:pPr>
              <w:spacing w:before="40" w:after="40"/>
              <w:rPr>
                <w:rFonts w:ascii="Arial Narrow" w:hAnsi="Arial Narrow"/>
                <w:bCs/>
                <w:sz w:val="20"/>
                <w:vertAlign w:val="superscript"/>
              </w:rPr>
            </w:pPr>
            <w:r w:rsidRPr="00021B7B">
              <w:rPr>
                <w:rFonts w:ascii="Arial Narrow" w:hAnsi="Arial Narrow"/>
                <w:bCs/>
                <w:sz w:val="20"/>
              </w:rPr>
              <w:t>Deletion testing by Gap-PCR multiplex assay for 7 common deletions</w:t>
            </w:r>
            <w:r>
              <w:rPr>
                <w:rFonts w:ascii="Arial Narrow" w:hAnsi="Arial Narrow"/>
                <w:bCs/>
                <w:sz w:val="20"/>
                <w:vertAlign w:val="superscript"/>
              </w:rPr>
              <w:t xml:space="preserve"> </w:t>
            </w:r>
            <w:r w:rsidRPr="00021B7B">
              <w:rPr>
                <w:rFonts w:ascii="Arial Narrow" w:hAnsi="Arial Narrow"/>
                <w:bCs/>
                <w:sz w:val="20"/>
              </w:rPr>
              <w:t>(</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p>
        </w:tc>
        <w:tc>
          <w:tcPr>
            <w:tcW w:w="1559" w:type="dxa"/>
          </w:tcPr>
          <w:p w14:paraId="5A2CF56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HbH concentration (HPLC &amp; IFE)</w:t>
            </w:r>
          </w:p>
          <w:p w14:paraId="09CF6CBA" w14:textId="77777777" w:rsidR="005759C3" w:rsidRPr="00021B7B" w:rsidRDefault="005759C3" w:rsidP="0093776D">
            <w:pPr>
              <w:spacing w:before="40" w:after="40"/>
              <w:rPr>
                <w:rFonts w:ascii="Arial Narrow" w:hAnsi="Arial Narrow"/>
                <w:bCs/>
                <w:sz w:val="20"/>
              </w:rPr>
            </w:pPr>
          </w:p>
        </w:tc>
        <w:tc>
          <w:tcPr>
            <w:tcW w:w="1701" w:type="dxa"/>
          </w:tcPr>
          <w:p w14:paraId="758ADC2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Diagnostic accuracy</w:t>
            </w:r>
          </w:p>
        </w:tc>
        <w:tc>
          <w:tcPr>
            <w:tcW w:w="2410" w:type="dxa"/>
          </w:tcPr>
          <w:p w14:paraId="6B2CDA6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Technicians were blinded to phenotype prior to genotype analysis</w:t>
            </w:r>
          </w:p>
          <w:p w14:paraId="32C35C3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Population broad</w:t>
            </w:r>
          </w:p>
          <w:p w14:paraId="0BB65A45"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4F1088A6" w14:textId="77777777" w:rsidTr="0093776D">
        <w:tc>
          <w:tcPr>
            <w:tcW w:w="1418" w:type="dxa"/>
          </w:tcPr>
          <w:p w14:paraId="548CE9D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Bergstrome Jones &amp; Poon</w:t>
            </w:r>
          </w:p>
          <w:p w14:paraId="3CF3831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2002</w:t>
            </w:r>
          </w:p>
          <w:p w14:paraId="64F90D1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Canada</w:t>
            </w:r>
          </w:p>
        </w:tc>
        <w:tc>
          <w:tcPr>
            <w:tcW w:w="1701" w:type="dxa"/>
          </w:tcPr>
          <w:p w14:paraId="41779E8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Comparison with reference standard that does not meet criteria for Level II or III-1 evidence.</w:t>
            </w:r>
          </w:p>
          <w:p w14:paraId="250A120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0E61DCE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Moderate risk of bias</w:t>
            </w:r>
          </w:p>
        </w:tc>
        <w:tc>
          <w:tcPr>
            <w:tcW w:w="2126" w:type="dxa"/>
          </w:tcPr>
          <w:p w14:paraId="5B652FC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452</w:t>
            </w:r>
          </w:p>
          <w:p w14:paraId="53E71AF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Samples from patients referred for HbP analysis</w:t>
            </w:r>
          </w:p>
          <w:p w14:paraId="64036E7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≥4y</w:t>
            </w:r>
          </w:p>
          <w:p w14:paraId="72B1D68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Group 1 </w:t>
            </w:r>
            <w:r>
              <w:rPr>
                <w:rFonts w:ascii="Arial Narrow" w:hAnsi="Arial Narrow"/>
                <w:bCs/>
                <w:sz w:val="20"/>
              </w:rPr>
              <w:t xml:space="preserve">- </w:t>
            </w:r>
            <w:r w:rsidRPr="00021B7B">
              <w:rPr>
                <w:rFonts w:ascii="Arial Narrow" w:hAnsi="Arial Narrow"/>
                <w:bCs/>
                <w:sz w:val="20"/>
              </w:rPr>
              <w:t>patients referred for thal or Hb investigation in 1 week: n = 89</w:t>
            </w:r>
          </w:p>
          <w:p w14:paraId="2B7F9FD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Group 2 – positive results on HbH prep or MCV ≤82fL: n = 65</w:t>
            </w:r>
          </w:p>
          <w:p w14:paraId="5A2471F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Group3 – negative on HbH prep and MCV ≤82fL: n = 297</w:t>
            </w:r>
          </w:p>
          <w:p w14:paraId="43360A8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Post implementation group: n = 298</w:t>
            </w:r>
          </w:p>
        </w:tc>
        <w:tc>
          <w:tcPr>
            <w:tcW w:w="2552" w:type="dxa"/>
          </w:tcPr>
          <w:p w14:paraId="0B3E63B7"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73841D53" w14:textId="77777777" w:rsidR="005759C3" w:rsidRPr="00021B7B" w:rsidRDefault="005759C3" w:rsidP="0093776D">
            <w:pPr>
              <w:spacing w:before="40" w:after="40"/>
              <w:rPr>
                <w:bCs/>
                <w:sz w:val="20"/>
              </w:rPr>
            </w:pPr>
            <w:r w:rsidRPr="00021B7B">
              <w:rPr>
                <w:rFonts w:ascii="Arial Narrow" w:hAnsi="Arial Narrow"/>
                <w:bCs/>
                <w:sz w:val="20"/>
              </w:rPr>
              <w:t>Peripheral blood samples, positive for HbH, or unconfirmed for α-thal</w:t>
            </w:r>
          </w:p>
          <w:p w14:paraId="2E65DBA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Samples from patients &lt;4 years excluded</w:t>
            </w:r>
          </w:p>
          <w:p w14:paraId="14A99D05"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49F9977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To compare multiplex PCR with current screening approach for detection of </w:t>
            </w:r>
            <w:r w:rsidRPr="00021B7B">
              <w:rPr>
                <w:bCs/>
                <w:sz w:val="20"/>
              </w:rPr>
              <w:t>α</w:t>
            </w:r>
            <w:r w:rsidRPr="00021B7B">
              <w:rPr>
                <w:rFonts w:ascii="Arial Narrow" w:hAnsi="Arial Narrow"/>
                <w:bCs/>
                <w:sz w:val="20"/>
              </w:rPr>
              <w:t>-thal</w:t>
            </w:r>
          </w:p>
        </w:tc>
        <w:tc>
          <w:tcPr>
            <w:tcW w:w="1701" w:type="dxa"/>
          </w:tcPr>
          <w:p w14:paraId="07358BF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Deletion testing by Single tube multiplex PCR for 6 common deletions</w:t>
            </w:r>
            <w:r>
              <w:rPr>
                <w:rFonts w:ascii="Arial Narrow" w:hAnsi="Arial Narrow"/>
                <w:bCs/>
                <w:sz w:val="20"/>
              </w:rPr>
              <w:t xml:space="preserve"> </w:t>
            </w:r>
            <w:r w:rsidRPr="00021B7B">
              <w:rPr>
                <w:rFonts w:ascii="Arial Narrow" w:hAnsi="Arial Narrow"/>
                <w:bCs/>
                <w:sz w:val="20"/>
              </w:rPr>
              <w:t>(</w:t>
            </w:r>
            <w: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Fil</w:t>
            </w:r>
            <w:r w:rsidRPr="00021B7B">
              <w:t>)</w:t>
            </w:r>
            <w:r>
              <w:rPr>
                <w:rFonts w:ascii="Arial Narrow" w:hAnsi="Arial Narrow"/>
                <w:bCs/>
                <w:sz w:val="20"/>
              </w:rPr>
              <w:t xml:space="preserve"> </w:t>
            </w:r>
          </w:p>
        </w:tc>
        <w:tc>
          <w:tcPr>
            <w:tcW w:w="1559" w:type="dxa"/>
          </w:tcPr>
          <w:p w14:paraId="2C47A913"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Diagnosis by standard haematological methods (Red cell &amp; Hb indices, HbH bodies)</w:t>
            </w:r>
          </w:p>
        </w:tc>
        <w:tc>
          <w:tcPr>
            <w:tcW w:w="1701" w:type="dxa"/>
          </w:tcPr>
          <w:p w14:paraId="542DFAA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Correlation of genotypes with haematology results</w:t>
            </w:r>
          </w:p>
          <w:p w14:paraId="02F657E1"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Sensitivity </w:t>
            </w:r>
          </w:p>
          <w:p w14:paraId="3F95F97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Specificity</w:t>
            </w:r>
          </w:p>
        </w:tc>
        <w:tc>
          <w:tcPr>
            <w:tcW w:w="2410" w:type="dxa"/>
          </w:tcPr>
          <w:p w14:paraId="779093A3"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group broad</w:t>
            </w:r>
          </w:p>
          <w:p w14:paraId="007CCEA7"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2CB5FDF7" w14:textId="77777777" w:rsidTr="0093776D">
        <w:tc>
          <w:tcPr>
            <w:tcW w:w="1418" w:type="dxa"/>
          </w:tcPr>
          <w:p w14:paraId="48573A0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Chaibunruang et al</w:t>
            </w:r>
          </w:p>
          <w:p w14:paraId="555AB95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2010</w:t>
            </w:r>
          </w:p>
          <w:p w14:paraId="14846C43"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Thailand</w:t>
            </w:r>
          </w:p>
        </w:tc>
        <w:tc>
          <w:tcPr>
            <w:tcW w:w="1701" w:type="dxa"/>
          </w:tcPr>
          <w:p w14:paraId="373A084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Case series</w:t>
            </w:r>
          </w:p>
          <w:p w14:paraId="485C5FA3"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IV</w:t>
            </w:r>
          </w:p>
          <w:p w14:paraId="1ACDD3D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Moderate risk of bias</w:t>
            </w:r>
          </w:p>
        </w:tc>
        <w:tc>
          <w:tcPr>
            <w:tcW w:w="2126" w:type="dxa"/>
          </w:tcPr>
          <w:p w14:paraId="6545DBD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206</w:t>
            </w:r>
          </w:p>
          <w:p w14:paraId="440EB78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Left over blood samples of suspected carriers used to test screening protocol</w:t>
            </w:r>
          </w:p>
        </w:tc>
        <w:tc>
          <w:tcPr>
            <w:tcW w:w="2552" w:type="dxa"/>
          </w:tcPr>
          <w:p w14:paraId="03A42871"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4BB01B7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Hypochromic microcytic anaemia, excluded for </w:t>
            </w:r>
            <w:r w:rsidRPr="00021B7B">
              <w:rPr>
                <w:bCs/>
                <w:sz w:val="20"/>
              </w:rPr>
              <w:t>β</w:t>
            </w:r>
            <w:r w:rsidRPr="00021B7B">
              <w:rPr>
                <w:rFonts w:ascii="Arial Narrow" w:hAnsi="Arial Narrow"/>
                <w:bCs/>
                <w:sz w:val="20"/>
              </w:rPr>
              <w:t>-thal</w:t>
            </w:r>
          </w:p>
          <w:p w14:paraId="3E1A88B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Objective</w:t>
            </w:r>
          </w:p>
          <w:p w14:paraId="1AFB77D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Tot test an improved screening protocol</w:t>
            </w:r>
          </w:p>
        </w:tc>
        <w:tc>
          <w:tcPr>
            <w:tcW w:w="1701" w:type="dxa"/>
          </w:tcPr>
          <w:p w14:paraId="3C318F7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Deletion testing by gap-PCR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w:t>
            </w:r>
            <w:r w:rsidRPr="00021B7B">
              <w:rPr>
                <w:rFonts w:ascii="Arial Narrow" w:hAnsi="Arial Narrow"/>
                <w:bCs/>
                <w:sz w:val="20"/>
              </w:rPr>
              <w:t>I,</w:t>
            </w:r>
            <w:r w:rsidRPr="00021B7B">
              <w:rPr>
                <w:rFonts w:ascii="Arial Narrow" w:hAnsi="Arial Narrow"/>
                <w:bCs/>
                <w:sz w:val="20"/>
                <w:vertAlign w:val="superscript"/>
              </w:rPr>
              <w:t xml:space="preserve"> </w:t>
            </w:r>
            <w:r w:rsidRPr="00021B7B">
              <w:rPr>
                <w:rFonts w:ascii="Arial Narrow" w:hAnsi="Arial Narrow"/>
                <w:bCs/>
                <w:sz w:val="20"/>
              </w:rPr>
              <w:t>-</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and non-deletions (</w:t>
            </w:r>
            <w:r w:rsidRPr="00021B7B">
              <w:rPr>
                <w:bCs/>
                <w:sz w:val="20"/>
              </w:rPr>
              <w:t>α</w:t>
            </w:r>
            <w:r w:rsidRPr="00021B7B">
              <w:rPr>
                <w:rFonts w:ascii="Arial Narrow" w:hAnsi="Arial Narrow"/>
                <w:bCs/>
                <w:sz w:val="20"/>
                <w:vertAlign w:val="superscript"/>
              </w:rPr>
              <w:t>CS</w:t>
            </w:r>
            <w:r w:rsidRPr="00021B7B">
              <w:rPr>
                <w:rFonts w:ascii="Arial Narrow" w:hAnsi="Arial Narrow"/>
                <w:bCs/>
                <w:sz w:val="20"/>
              </w:rPr>
              <w:t xml:space="preserve">, </w:t>
            </w:r>
            <w:r w:rsidRPr="00021B7B">
              <w:rPr>
                <w:bCs/>
                <w:sz w:val="20"/>
              </w:rPr>
              <w:t>α</w:t>
            </w:r>
            <w:r w:rsidRPr="00021B7B">
              <w:rPr>
                <w:rFonts w:ascii="Arial Narrow" w:hAnsi="Arial Narrow"/>
                <w:bCs/>
                <w:sz w:val="20"/>
                <w:vertAlign w:val="superscript"/>
              </w:rPr>
              <w:t>Pakse</w:t>
            </w:r>
            <w:r w:rsidRPr="00021B7B">
              <w:rPr>
                <w:rFonts w:ascii="Arial Narrow" w:hAnsi="Arial Narrow"/>
                <w:bCs/>
                <w:sz w:val="20"/>
              </w:rPr>
              <w:t>)</w:t>
            </w:r>
          </w:p>
        </w:tc>
        <w:tc>
          <w:tcPr>
            <w:tcW w:w="1559" w:type="dxa"/>
          </w:tcPr>
          <w:p w14:paraId="545A3EBE" w14:textId="77777777" w:rsidR="005759C3" w:rsidRPr="00021B7B" w:rsidRDefault="005759C3" w:rsidP="0093776D">
            <w:pPr>
              <w:spacing w:before="40" w:after="40"/>
              <w:rPr>
                <w:rFonts w:ascii="Arial Narrow" w:hAnsi="Arial Narrow"/>
                <w:bCs/>
                <w:sz w:val="20"/>
              </w:rPr>
            </w:pPr>
            <w:r w:rsidRPr="00021B7B">
              <w:rPr>
                <w:bCs/>
                <w:sz w:val="20"/>
              </w:rPr>
              <w:t>α</w:t>
            </w:r>
            <w:r w:rsidRPr="00021B7B">
              <w:rPr>
                <w:rFonts w:ascii="Arial Narrow" w:hAnsi="Arial Narrow"/>
                <w:bCs/>
                <w:sz w:val="20"/>
              </w:rPr>
              <w:t>-thal status by screening test (OF, DCIP, HbH inclusions)</w:t>
            </w:r>
          </w:p>
        </w:tc>
        <w:tc>
          <w:tcPr>
            <w:tcW w:w="1701" w:type="dxa"/>
          </w:tcPr>
          <w:p w14:paraId="2525EFC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Diagnostic yield</w:t>
            </w:r>
          </w:p>
          <w:p w14:paraId="3B6D006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Concordance</w:t>
            </w:r>
          </w:p>
        </w:tc>
        <w:tc>
          <w:tcPr>
            <w:tcW w:w="2410" w:type="dxa"/>
          </w:tcPr>
          <w:p w14:paraId="5FB48DEF" w14:textId="77777777" w:rsidR="005759C3" w:rsidRPr="00021B7B" w:rsidRDefault="005759C3" w:rsidP="0093776D">
            <w:pPr>
              <w:spacing w:before="40" w:after="40"/>
              <w:rPr>
                <w:rFonts w:ascii="Arial Narrow" w:hAnsi="Arial Narrow"/>
                <w:bCs/>
                <w:sz w:val="20"/>
                <w:highlight w:val="yellow"/>
              </w:rPr>
            </w:pPr>
            <w:r w:rsidRPr="00021B7B">
              <w:rPr>
                <w:rFonts w:ascii="Arial Narrow" w:hAnsi="Arial Narrow"/>
                <w:bCs/>
                <w:i/>
                <w:sz w:val="20"/>
              </w:rPr>
              <w:t>Funding</w:t>
            </w:r>
            <w:r w:rsidRPr="00021B7B">
              <w:rPr>
                <w:rFonts w:ascii="Arial Narrow" w:hAnsi="Arial Narrow"/>
                <w:bCs/>
                <w:sz w:val="20"/>
              </w:rPr>
              <w:t xml:space="preserve">: grants from Khon Kaen University, Office of Higher Education Commission, Ministry of Education, Thailand &amp; the Royal Golden Jubilee PhD </w:t>
            </w:r>
            <w:r w:rsidRPr="00021B7B">
              <w:rPr>
                <w:rFonts w:ascii="Arial Narrow" w:hAnsi="Arial Narrow"/>
                <w:bCs/>
                <w:sz w:val="20"/>
              </w:rPr>
              <w:lastRenderedPageBreak/>
              <w:t>program of the Thailand Research Fund</w:t>
            </w:r>
          </w:p>
        </w:tc>
      </w:tr>
      <w:tr w:rsidR="005759C3" w:rsidRPr="00021B7B" w14:paraId="34AB4810" w14:textId="77777777" w:rsidTr="0093776D">
        <w:tc>
          <w:tcPr>
            <w:tcW w:w="1418" w:type="dxa"/>
          </w:tcPr>
          <w:p w14:paraId="5CDCB50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lastRenderedPageBreak/>
              <w:t>Colosimo et al</w:t>
            </w:r>
          </w:p>
          <w:p w14:paraId="1A19FEF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2011</w:t>
            </w:r>
          </w:p>
          <w:p w14:paraId="7257751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Italy</w:t>
            </w:r>
          </w:p>
        </w:tc>
        <w:tc>
          <w:tcPr>
            <w:tcW w:w="1701" w:type="dxa"/>
          </w:tcPr>
          <w:p w14:paraId="2033DD0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Case control study</w:t>
            </w:r>
          </w:p>
          <w:p w14:paraId="00B24DB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535B99C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Moderate risk of bias</w:t>
            </w:r>
          </w:p>
        </w:tc>
        <w:tc>
          <w:tcPr>
            <w:tcW w:w="2126" w:type="dxa"/>
          </w:tcPr>
          <w:p w14:paraId="7C283C2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25</w:t>
            </w:r>
          </w:p>
          <w:p w14:paraId="2E98213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Patients referred to a centre in Rome</w:t>
            </w:r>
          </w:p>
          <w:p w14:paraId="1D40449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range 4-73 y</w:t>
            </w:r>
          </w:p>
        </w:tc>
        <w:tc>
          <w:tcPr>
            <w:tcW w:w="2552" w:type="dxa"/>
          </w:tcPr>
          <w:p w14:paraId="4593C1AC"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5079D081"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Samples from patients found doubtful or negative for common mutations</w:t>
            </w:r>
          </w:p>
          <w:p w14:paraId="6C40C9B7"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0C875E0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To assess the MLPA test for identifying </w:t>
            </w:r>
            <w:r w:rsidRPr="00021B7B">
              <w:rPr>
                <w:bCs/>
                <w:sz w:val="20"/>
              </w:rPr>
              <w:t>α</w:t>
            </w:r>
            <w:r w:rsidRPr="00021B7B">
              <w:rPr>
                <w:rFonts w:ascii="Arial Narrow" w:hAnsi="Arial Narrow"/>
                <w:bCs/>
                <w:sz w:val="20"/>
              </w:rPr>
              <w:t>-thal mutations not identified through usual methods</w:t>
            </w:r>
          </w:p>
        </w:tc>
        <w:tc>
          <w:tcPr>
            <w:tcW w:w="1701" w:type="dxa"/>
          </w:tcPr>
          <w:p w14:paraId="402FFA3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MLPA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w:t>
            </w:r>
            <w:r w:rsidRPr="00021B7B">
              <w:rPr>
                <w:vertAlign w:val="superscript"/>
              </w:rPr>
              <w:t>CAL</w:t>
            </w:r>
            <w:r w:rsidRPr="00021B7B">
              <w:t>, --</w:t>
            </w:r>
            <w:r w:rsidRPr="00021B7B">
              <w:rPr>
                <w:vertAlign w:val="superscript"/>
              </w:rPr>
              <w:t>FIL</w:t>
            </w:r>
            <w:r w:rsidRPr="00021B7B">
              <w:t>, - -</w:t>
            </w:r>
            <w:r w:rsidRPr="00021B7B">
              <w:rPr>
                <w:vertAlign w:val="superscript"/>
              </w:rPr>
              <w:t>SEA</w:t>
            </w:r>
            <w:r w:rsidRPr="00021B7B">
              <w:t>, - -</w:t>
            </w:r>
            <w:r w:rsidRPr="00021B7B">
              <w:rPr>
                <w:rFonts w:ascii="Arial Narrow" w:hAnsi="Arial Narrow"/>
                <w:bCs/>
                <w:sz w:val="20"/>
                <w:vertAlign w:val="superscript"/>
              </w:rPr>
              <w:t>MED</w:t>
            </w:r>
            <w:r w:rsidRPr="00021B7B">
              <w:rPr>
                <w:rFonts w:ascii="Arial Narrow" w:hAnsi="Arial Narrow"/>
                <w:bCs/>
                <w:sz w:val="20"/>
              </w:rPr>
              <w:t>)</w:t>
            </w:r>
          </w:p>
        </w:tc>
        <w:tc>
          <w:tcPr>
            <w:tcW w:w="1559" w:type="dxa"/>
          </w:tcPr>
          <w:p w14:paraId="0B9E82C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Conventional molecular PCR screening for common deletions and variants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 -</w:t>
            </w:r>
            <w:r w:rsidRPr="00021B7B">
              <w:rPr>
                <w:vertAlign w:val="superscript"/>
              </w:rPr>
              <w:t>MED</w:t>
            </w:r>
            <w:r w:rsidRPr="00021B7B">
              <w:t>, α</w:t>
            </w:r>
            <w:r w:rsidRPr="00021B7B">
              <w:rPr>
                <w:vertAlign w:val="superscript"/>
              </w:rPr>
              <w:t>HphI</w:t>
            </w:r>
            <w:r w:rsidRPr="00021B7B">
              <w:t>, α</w:t>
            </w:r>
            <w:r w:rsidRPr="00021B7B">
              <w:rPr>
                <w:vertAlign w:val="superscript"/>
              </w:rPr>
              <w:t>NcoI</w:t>
            </w:r>
            <w:r w:rsidRPr="00021B7B">
              <w:t>, ααα</w:t>
            </w:r>
            <w:r w:rsidRPr="00021B7B">
              <w:rPr>
                <w:vertAlign w:val="superscript"/>
              </w:rPr>
              <w:t>anti3.7I</w:t>
            </w:r>
            <w:r w:rsidRPr="00021B7B">
              <w:rPr>
                <w:rFonts w:ascii="Arial Narrow" w:hAnsi="Arial Narrow"/>
                <w:bCs/>
                <w:sz w:val="20"/>
              </w:rPr>
              <w:t>)</w:t>
            </w:r>
          </w:p>
        </w:tc>
        <w:tc>
          <w:tcPr>
            <w:tcW w:w="1701" w:type="dxa"/>
          </w:tcPr>
          <w:p w14:paraId="5B0C80C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Concordance</w:t>
            </w:r>
          </w:p>
        </w:tc>
        <w:tc>
          <w:tcPr>
            <w:tcW w:w="2410" w:type="dxa"/>
          </w:tcPr>
          <w:p w14:paraId="09B56D1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Comparison of 2 DNA analysis methods</w:t>
            </w:r>
          </w:p>
          <w:p w14:paraId="102715E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21 out of 25 participants were of reproductive age (19-42 years)</w:t>
            </w:r>
          </w:p>
          <w:p w14:paraId="467FECC6"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40875836" w14:textId="77777777" w:rsidTr="0093776D">
        <w:tc>
          <w:tcPr>
            <w:tcW w:w="1418" w:type="dxa"/>
          </w:tcPr>
          <w:p w14:paraId="29F8696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Ebrahimkhani et al</w:t>
            </w:r>
          </w:p>
          <w:p w14:paraId="39EF605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2011</w:t>
            </w:r>
          </w:p>
          <w:p w14:paraId="2F50BD7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Iran</w:t>
            </w:r>
          </w:p>
        </w:tc>
        <w:tc>
          <w:tcPr>
            <w:tcW w:w="1701" w:type="dxa"/>
          </w:tcPr>
          <w:p w14:paraId="4781EE8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Comparison with reference standard that does not meet criteria for Level II or III-1 evidence.</w:t>
            </w:r>
          </w:p>
          <w:p w14:paraId="5EA8788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0024917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Low risk of bias</w:t>
            </w:r>
          </w:p>
        </w:tc>
        <w:tc>
          <w:tcPr>
            <w:tcW w:w="2126" w:type="dxa"/>
          </w:tcPr>
          <w:p w14:paraId="15ED1B1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40</w:t>
            </w:r>
          </w:p>
          <w:p w14:paraId="4435C05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Patients referred to a pathology and  genetics centre in Iran</w:t>
            </w:r>
          </w:p>
          <w:p w14:paraId="5D20902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 SD): 25.7±16y</w:t>
            </w:r>
          </w:p>
        </w:tc>
        <w:tc>
          <w:tcPr>
            <w:tcW w:w="2552" w:type="dxa"/>
          </w:tcPr>
          <w:p w14:paraId="4547A760"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68ECDAF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Patients with known HbH disease and giving consent</w:t>
            </w:r>
          </w:p>
          <w:p w14:paraId="61997F23"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58AF452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To determine the relationship between phenotype and genotype of HbH disease in Iran</w:t>
            </w:r>
          </w:p>
        </w:tc>
        <w:tc>
          <w:tcPr>
            <w:tcW w:w="1701" w:type="dxa"/>
          </w:tcPr>
          <w:p w14:paraId="56FC77B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Deletion testing by gap-PCR (-</w:t>
            </w:r>
            <w:r w:rsidRPr="00021B7B">
              <w:rPr>
                <w:bCs/>
                <w:sz w:val="20"/>
              </w:rPr>
              <w:t>α</w:t>
            </w:r>
            <w:r w:rsidRPr="00021B7B">
              <w:rPr>
                <w:rFonts w:ascii="Arial Narrow" w:hAnsi="Arial Narrow"/>
                <w:bCs/>
                <w:sz w:val="20"/>
                <w:vertAlign w:val="superscript"/>
              </w:rPr>
              <w:t>3.7</w:t>
            </w:r>
            <w:r w:rsidRPr="00021B7B">
              <w:rPr>
                <w:rFonts w:ascii="Arial Narrow" w:hAnsi="Arial Narrow"/>
                <w:bCs/>
                <w:sz w:val="20"/>
              </w:rPr>
              <w:t>, -</w:t>
            </w:r>
            <w:r w:rsidRPr="00021B7B">
              <w:rPr>
                <w:bCs/>
                <w:sz w:val="20"/>
              </w:rPr>
              <w:t>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and multiplex PCR by StripAssay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w:t>
            </w:r>
            <w:r w:rsidRPr="00021B7B">
              <w:rPr>
                <w:rFonts w:ascii="Arial Narrow" w:hAnsi="Arial Narrow"/>
                <w:bCs/>
                <w:sz w:val="20"/>
                <w:vertAlign w:val="superscript"/>
              </w:rPr>
              <w:t>FIL</w:t>
            </w:r>
            <w:r w:rsidRPr="00021B7B">
              <w:rPr>
                <w:rFonts w:ascii="Arial Narrow" w:hAnsi="Arial Narrow"/>
                <w:bCs/>
                <w:sz w:val="20"/>
              </w:rPr>
              <w:t>), and  a further 11 mutations by StripAssay</w:t>
            </w:r>
          </w:p>
        </w:tc>
        <w:tc>
          <w:tcPr>
            <w:tcW w:w="1559" w:type="dxa"/>
          </w:tcPr>
          <w:p w14:paraId="2E89175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HbH disease severity by transfusion and splenectomy status</w:t>
            </w:r>
          </w:p>
        </w:tc>
        <w:tc>
          <w:tcPr>
            <w:tcW w:w="1701" w:type="dxa"/>
          </w:tcPr>
          <w:p w14:paraId="5C526F5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Incremental diagnostic information</w:t>
            </w:r>
          </w:p>
          <w:p w14:paraId="6185BED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Correlation between genotype and HbH disease severity</w:t>
            </w:r>
          </w:p>
          <w:p w14:paraId="62F7D37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Statistical analysis by chi-square testing (95%CI) using SPSS11.5.</w:t>
            </w:r>
          </w:p>
        </w:tc>
        <w:tc>
          <w:tcPr>
            <w:tcW w:w="2410" w:type="dxa"/>
          </w:tcPr>
          <w:p w14:paraId="58794CE2"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3DDAA4A4" w14:textId="77777777" w:rsidTr="0093776D">
        <w:tc>
          <w:tcPr>
            <w:tcW w:w="1418" w:type="dxa"/>
          </w:tcPr>
          <w:p w14:paraId="234FEED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Gilad et al</w:t>
            </w:r>
          </w:p>
          <w:p w14:paraId="4C8AF5D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2017</w:t>
            </w:r>
          </w:p>
          <w:p w14:paraId="0A0702D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Israel </w:t>
            </w:r>
          </w:p>
        </w:tc>
        <w:tc>
          <w:tcPr>
            <w:tcW w:w="1701" w:type="dxa"/>
          </w:tcPr>
          <w:p w14:paraId="4A05C17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 comparative study with concurrent controls</w:t>
            </w:r>
          </w:p>
          <w:p w14:paraId="59DC8CC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7D11D39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Low risk of bias</w:t>
            </w:r>
          </w:p>
        </w:tc>
        <w:tc>
          <w:tcPr>
            <w:tcW w:w="2126" w:type="dxa"/>
          </w:tcPr>
          <w:p w14:paraId="2FEEEFC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N = 975 </w:t>
            </w:r>
          </w:p>
          <w:p w14:paraId="7C72118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Samples of patients referred to a single centre in Israel from 1994-2014</w:t>
            </w:r>
          </w:p>
          <w:p w14:paraId="3F17D05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range (y): 0.5-85</w:t>
            </w:r>
          </w:p>
        </w:tc>
        <w:tc>
          <w:tcPr>
            <w:tcW w:w="2552" w:type="dxa"/>
          </w:tcPr>
          <w:p w14:paraId="0F9FB6EE"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7D39737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Individuals referred for diagnosis due to microcytosis with or without anaemia, excluded for </w:t>
            </w:r>
            <w:r w:rsidRPr="00021B7B">
              <w:rPr>
                <w:bCs/>
                <w:sz w:val="20"/>
              </w:rPr>
              <w:t>β</w:t>
            </w:r>
            <w:r w:rsidRPr="00021B7B">
              <w:rPr>
                <w:rFonts w:ascii="Arial Narrow" w:hAnsi="Arial Narrow"/>
                <w:bCs/>
                <w:sz w:val="20"/>
              </w:rPr>
              <w:t>-thal and iron deficiency</w:t>
            </w:r>
          </w:p>
          <w:p w14:paraId="200FA67A"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13724EB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Accurate diagnosis of thalassaemia by Gap-PCR, gene sequencing and MLPA</w:t>
            </w:r>
          </w:p>
        </w:tc>
        <w:tc>
          <w:tcPr>
            <w:tcW w:w="1701" w:type="dxa"/>
          </w:tcPr>
          <w:p w14:paraId="2343A03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Deletion testing by gap-PCR for common mutations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w:t>
            </w:r>
            <w:r w:rsidRPr="00021B7B">
              <w:rPr>
                <w:vertAlign w:val="superscript"/>
              </w:rPr>
              <w:t>Thai</w:t>
            </w:r>
            <w:r w:rsidRPr="00021B7B">
              <w:t>, --</w:t>
            </w:r>
            <w:r w:rsidRPr="00021B7B">
              <w:rPr>
                <w:vertAlign w:val="superscript"/>
              </w:rPr>
              <w:t>Fil</w:t>
            </w:r>
            <w:r w:rsidRPr="00021B7B">
              <w:t>)</w:t>
            </w:r>
          </w:p>
        </w:tc>
        <w:tc>
          <w:tcPr>
            <w:tcW w:w="1559" w:type="dxa"/>
          </w:tcPr>
          <w:p w14:paraId="746766D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Clinical evaluation (including prior tests)</w:t>
            </w:r>
          </w:p>
          <w:p w14:paraId="3DE0B9F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Disease severity (silent carrier, thal trait or HbH disease)</w:t>
            </w:r>
          </w:p>
        </w:tc>
        <w:tc>
          <w:tcPr>
            <w:tcW w:w="1701" w:type="dxa"/>
          </w:tcPr>
          <w:p w14:paraId="714B28B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Diagnostic accuracy</w:t>
            </w:r>
          </w:p>
          <w:p w14:paraId="6B67166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Correlation between genotype and HbH disease severity</w:t>
            </w:r>
          </w:p>
          <w:p w14:paraId="6CD45B4A" w14:textId="77777777" w:rsidR="005759C3" w:rsidRPr="00021B7B" w:rsidRDefault="005759C3" w:rsidP="0093776D">
            <w:pPr>
              <w:spacing w:before="40" w:after="40"/>
              <w:rPr>
                <w:rFonts w:ascii="Arial Narrow" w:hAnsi="Arial Narrow"/>
                <w:bCs/>
                <w:sz w:val="20"/>
              </w:rPr>
            </w:pPr>
          </w:p>
        </w:tc>
        <w:tc>
          <w:tcPr>
            <w:tcW w:w="2410" w:type="dxa"/>
          </w:tcPr>
          <w:p w14:paraId="29BF244A"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Primers for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xml:space="preserve"> and –</w:t>
            </w:r>
            <w:r w:rsidRPr="00021B7B">
              <w:rPr>
                <w:rFonts w:ascii="Arial Narrow" w:hAnsi="Arial Narrow"/>
                <w:bCs/>
                <w:sz w:val="20"/>
                <w:vertAlign w:val="superscript"/>
              </w:rPr>
              <w:t>Fil</w:t>
            </w:r>
            <w:r w:rsidRPr="00021B7B">
              <w:rPr>
                <w:rFonts w:ascii="Arial Narrow" w:hAnsi="Arial Narrow"/>
                <w:bCs/>
                <w:sz w:val="20"/>
              </w:rPr>
              <w:t xml:space="preserve"> were added to the multiplex Gap-PCR if a patients was of Southeast Asian origin. Up until 2010, point mutation analysis was carried out by restriction enzyme analysis, and afterwards by sequencing of the </w:t>
            </w:r>
            <w:r w:rsidRPr="00021B7B">
              <w:rPr>
                <w:bCs/>
                <w:sz w:val="20"/>
              </w:rPr>
              <w:t>HBA</w:t>
            </w:r>
            <w:r w:rsidRPr="00021B7B">
              <w:rPr>
                <w:rFonts w:ascii="Arial Narrow" w:hAnsi="Arial Narrow"/>
                <w:bCs/>
                <w:sz w:val="20"/>
              </w:rPr>
              <w:t xml:space="preserve"> gene.</w:t>
            </w:r>
          </w:p>
          <w:p w14:paraId="24DFEED8"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07C6D1B5" w14:textId="77777777" w:rsidTr="0093776D">
        <w:tc>
          <w:tcPr>
            <w:tcW w:w="1418" w:type="dxa"/>
          </w:tcPr>
          <w:p w14:paraId="07EB0F0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lastRenderedPageBreak/>
              <w:t>Griswold et al</w:t>
            </w:r>
          </w:p>
          <w:p w14:paraId="5FAD6001"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2002</w:t>
            </w:r>
          </w:p>
          <w:p w14:paraId="1948F0F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Canada</w:t>
            </w:r>
          </w:p>
        </w:tc>
        <w:tc>
          <w:tcPr>
            <w:tcW w:w="1701" w:type="dxa"/>
          </w:tcPr>
          <w:p w14:paraId="1E51DF9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 comparative study with concurrent controls</w:t>
            </w:r>
          </w:p>
          <w:p w14:paraId="45FBA13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Level III-2</w:t>
            </w:r>
          </w:p>
          <w:p w14:paraId="61646A0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Low risk of bias</w:t>
            </w:r>
          </w:p>
        </w:tc>
        <w:tc>
          <w:tcPr>
            <w:tcW w:w="2126" w:type="dxa"/>
          </w:tcPr>
          <w:p w14:paraId="6444B7CE"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347</w:t>
            </w:r>
          </w:p>
          <w:p w14:paraId="3B4C403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Consecutive patients with </w:t>
            </w:r>
            <w:r w:rsidRPr="00021B7B">
              <w:rPr>
                <w:bCs/>
                <w:sz w:val="20"/>
              </w:rPr>
              <w:t>α</w:t>
            </w:r>
            <w:r w:rsidRPr="00021B7B">
              <w:rPr>
                <w:rFonts w:ascii="Arial Narrow" w:hAnsi="Arial Narrow"/>
                <w:bCs/>
                <w:sz w:val="20"/>
              </w:rPr>
              <w:t>-thal deletions</w:t>
            </w:r>
          </w:p>
          <w:p w14:paraId="77474FE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10-17 y: 26 (8%)</w:t>
            </w:r>
          </w:p>
          <w:p w14:paraId="05D1EC73"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18-45 y: 240 (69%)</w:t>
            </w:r>
          </w:p>
          <w:p w14:paraId="6168B7D7"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&gt;45 y: 23 (23%)</w:t>
            </w:r>
          </w:p>
        </w:tc>
        <w:tc>
          <w:tcPr>
            <w:tcW w:w="2552" w:type="dxa"/>
          </w:tcPr>
          <w:p w14:paraId="09619890"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00267D8B"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Individuals with 1 or 2 gene deletions selected from patients referred for Hb investigation</w:t>
            </w:r>
          </w:p>
          <w:p w14:paraId="5FAAFDEF"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3DDC9BC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Clarification of genotypes</w:t>
            </w:r>
          </w:p>
        </w:tc>
        <w:tc>
          <w:tcPr>
            <w:tcW w:w="1701" w:type="dxa"/>
          </w:tcPr>
          <w:p w14:paraId="535032D9"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Deletion testing by Multiplex PCR for 6 common mutations  (</w:t>
            </w:r>
            <w:r>
              <w:rPr>
                <w:rFonts w:ascii="Arial Narrow" w:hAnsi="Arial Narrow"/>
                <w:bCs/>
                <w:sz w:val="20"/>
              </w:rPr>
              <w:t>-</w:t>
            </w:r>
            <w:r w:rsidRPr="00021B7B">
              <w:t>α</w:t>
            </w:r>
            <w:r w:rsidRPr="00021B7B">
              <w:rPr>
                <w:vertAlign w:val="superscript"/>
              </w:rPr>
              <w:t>3.7</w:t>
            </w:r>
            <w:r w:rsidRPr="00021B7B">
              <w:t>, -α</w:t>
            </w:r>
            <w:r w:rsidRPr="00021B7B">
              <w:rPr>
                <w:vertAlign w:val="superscript"/>
              </w:rPr>
              <w:t>4.2</w:t>
            </w:r>
            <w:r w:rsidRPr="00021B7B">
              <w:t>, -α</w:t>
            </w:r>
            <w:r w:rsidRPr="00021B7B">
              <w:rPr>
                <w:vertAlign w:val="superscript"/>
              </w:rPr>
              <w:t>20.5</w:t>
            </w:r>
            <w:r w:rsidRPr="00021B7B">
              <w:t>, --</w:t>
            </w:r>
            <w:r w:rsidRPr="00021B7B">
              <w:rPr>
                <w:vertAlign w:val="superscript"/>
              </w:rPr>
              <w:t>MED</w:t>
            </w:r>
            <w:r w:rsidRPr="00021B7B">
              <w:t>, --</w:t>
            </w:r>
            <w:r w:rsidRPr="00021B7B">
              <w:rPr>
                <w:vertAlign w:val="superscript"/>
              </w:rPr>
              <w:t>SEA</w:t>
            </w:r>
            <w:r w:rsidRPr="00021B7B">
              <w:t>, , --</w:t>
            </w:r>
            <w:r w:rsidRPr="00021B7B">
              <w:rPr>
                <w:vertAlign w:val="superscript"/>
              </w:rPr>
              <w:t>Fil</w:t>
            </w:r>
            <w:r w:rsidRPr="00021B7B">
              <w:t>)</w:t>
            </w:r>
          </w:p>
        </w:tc>
        <w:tc>
          <w:tcPr>
            <w:tcW w:w="1559" w:type="dxa"/>
          </w:tcPr>
          <w:p w14:paraId="46BB92B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Red cell indices, HPLC for HbA</w:t>
            </w:r>
            <w:r w:rsidRPr="00021B7B">
              <w:rPr>
                <w:rFonts w:ascii="Arial Narrow" w:hAnsi="Arial Narrow"/>
                <w:bCs/>
                <w:sz w:val="20"/>
                <w:vertAlign w:val="subscript"/>
              </w:rPr>
              <w:t>2</w:t>
            </w:r>
            <w:r w:rsidRPr="00021B7B">
              <w:rPr>
                <w:rFonts w:ascii="Arial Narrow" w:hAnsi="Arial Narrow"/>
                <w:bCs/>
                <w:sz w:val="20"/>
              </w:rPr>
              <w:t>, HbF and other Hb variants</w:t>
            </w:r>
          </w:p>
          <w:p w14:paraId="24F82ED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HbH bodies</w:t>
            </w:r>
          </w:p>
        </w:tc>
        <w:tc>
          <w:tcPr>
            <w:tcW w:w="1701" w:type="dxa"/>
          </w:tcPr>
          <w:p w14:paraId="6029454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Concordance</w:t>
            </w:r>
          </w:p>
        </w:tc>
        <w:tc>
          <w:tcPr>
            <w:tcW w:w="2410" w:type="dxa"/>
          </w:tcPr>
          <w:p w14:paraId="2A53422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69% of patients were of reproductive age</w:t>
            </w:r>
          </w:p>
          <w:p w14:paraId="571CD290"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NR</w:t>
            </w:r>
          </w:p>
        </w:tc>
      </w:tr>
      <w:tr w:rsidR="005759C3" w:rsidRPr="00021B7B" w14:paraId="54CEDB09" w14:textId="77777777" w:rsidTr="0093776D">
        <w:tc>
          <w:tcPr>
            <w:tcW w:w="1418" w:type="dxa"/>
          </w:tcPr>
          <w:p w14:paraId="7167B5BD"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Prior, Bittles &amp; Erber</w:t>
            </w:r>
          </w:p>
          <w:p w14:paraId="32B3FB3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2004</w:t>
            </w:r>
          </w:p>
          <w:p w14:paraId="3DB921A8"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Australia</w:t>
            </w:r>
          </w:p>
        </w:tc>
        <w:tc>
          <w:tcPr>
            <w:tcW w:w="1701" w:type="dxa"/>
          </w:tcPr>
          <w:p w14:paraId="024CF81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Study of diagnostic yield</w:t>
            </w:r>
          </w:p>
          <w:p w14:paraId="5DD707F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Level </w:t>
            </w:r>
            <w:r>
              <w:rPr>
                <w:rFonts w:ascii="Arial Narrow" w:hAnsi="Arial Narrow"/>
                <w:bCs/>
                <w:sz w:val="20"/>
              </w:rPr>
              <w:t>III-2</w:t>
            </w:r>
          </w:p>
          <w:p w14:paraId="1D5A4922"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Low risk of bias</w:t>
            </w:r>
          </w:p>
        </w:tc>
        <w:tc>
          <w:tcPr>
            <w:tcW w:w="2126" w:type="dxa"/>
          </w:tcPr>
          <w:p w14:paraId="2BB46E20"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N = 920</w:t>
            </w:r>
          </w:p>
          <w:p w14:paraId="43F1941F"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Samples submitted to Western Australia pathology laboratories in a 12 month period </w:t>
            </w:r>
          </w:p>
          <w:p w14:paraId="25CC429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Mean age: 32 y</w:t>
            </w:r>
          </w:p>
          <w:p w14:paraId="2822EF06"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Age range: 5 days -88 y</w:t>
            </w:r>
          </w:p>
        </w:tc>
        <w:tc>
          <w:tcPr>
            <w:tcW w:w="2552" w:type="dxa"/>
          </w:tcPr>
          <w:p w14:paraId="5F38890D"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Criteria</w:t>
            </w:r>
          </w:p>
          <w:p w14:paraId="16EEA9B1"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Samples submitted for Hb investigation from 1. The Migrant Health Service with abnormal indices &amp; 2. Molecular analysis requests from private and public laboratories following HbH screening</w:t>
            </w:r>
          </w:p>
          <w:p w14:paraId="5CF0A957" w14:textId="77777777" w:rsidR="005759C3" w:rsidRPr="00021B7B" w:rsidRDefault="005759C3" w:rsidP="0093776D">
            <w:pPr>
              <w:spacing w:before="40" w:after="40"/>
              <w:rPr>
                <w:rFonts w:ascii="Arial Narrow" w:hAnsi="Arial Narrow"/>
                <w:bCs/>
                <w:i/>
                <w:sz w:val="20"/>
              </w:rPr>
            </w:pPr>
            <w:r w:rsidRPr="00021B7B">
              <w:rPr>
                <w:rFonts w:ascii="Arial Narrow" w:hAnsi="Arial Narrow"/>
                <w:bCs/>
                <w:i/>
                <w:sz w:val="20"/>
              </w:rPr>
              <w:t>Objective</w:t>
            </w:r>
          </w:p>
          <w:p w14:paraId="179D57BC"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 xml:space="preserve">To estimate prevalence of </w:t>
            </w:r>
            <w:r w:rsidRPr="00021B7B">
              <w:rPr>
                <w:bCs/>
                <w:sz w:val="20"/>
              </w:rPr>
              <w:t>α</w:t>
            </w:r>
            <w:r w:rsidRPr="00021B7B">
              <w:rPr>
                <w:rFonts w:ascii="Arial Narrow" w:hAnsi="Arial Narrow"/>
                <w:bCs/>
                <w:sz w:val="20"/>
              </w:rPr>
              <w:t>-thal in WA</w:t>
            </w:r>
          </w:p>
        </w:tc>
        <w:tc>
          <w:tcPr>
            <w:tcW w:w="1701" w:type="dxa"/>
          </w:tcPr>
          <w:p w14:paraId="0A3B74B5"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Multiplex PCR for 7 common deletions (-α</w:t>
            </w:r>
            <w:r w:rsidRPr="00021B7B">
              <w:rPr>
                <w:rFonts w:ascii="Arial Narrow" w:hAnsi="Arial Narrow"/>
                <w:bCs/>
                <w:sz w:val="20"/>
                <w:vertAlign w:val="superscript"/>
              </w:rPr>
              <w:t>20.5</w:t>
            </w:r>
            <w:r w:rsidRPr="00021B7B">
              <w:rPr>
                <w:rFonts w:ascii="Arial Narrow" w:hAnsi="Arial Narrow"/>
                <w:bCs/>
                <w:sz w:val="20"/>
              </w:rPr>
              <w:t>, -α</w:t>
            </w:r>
            <w:r w:rsidRPr="00021B7B">
              <w:rPr>
                <w:rFonts w:ascii="Arial Narrow" w:hAnsi="Arial Narrow"/>
                <w:bCs/>
                <w:sz w:val="20"/>
                <w:vertAlign w:val="superscript"/>
              </w:rPr>
              <w:t>3.7</w:t>
            </w:r>
            <w:r w:rsidRPr="00021B7B">
              <w:rPr>
                <w:rFonts w:ascii="Arial Narrow" w:hAnsi="Arial Narrow"/>
                <w:bCs/>
                <w:sz w:val="20"/>
              </w:rPr>
              <w:t>, -α</w:t>
            </w:r>
            <w:r w:rsidRPr="00021B7B">
              <w:rPr>
                <w:rFonts w:ascii="Arial Narrow" w:hAnsi="Arial Narrow"/>
                <w:bCs/>
                <w:sz w:val="20"/>
                <w:vertAlign w:val="superscript"/>
              </w:rPr>
              <w:t>4.2</w:t>
            </w:r>
            <w:r w:rsidRPr="00021B7B">
              <w:rPr>
                <w:rFonts w:ascii="Arial Narrow" w:hAnsi="Arial Narrow"/>
                <w:bCs/>
                <w:sz w:val="20"/>
              </w:rPr>
              <w:t>, --</w:t>
            </w:r>
            <w:r w:rsidRPr="00021B7B">
              <w:rPr>
                <w:rFonts w:ascii="Arial Narrow" w:hAnsi="Arial Narrow"/>
                <w:bCs/>
                <w:sz w:val="20"/>
                <w:vertAlign w:val="superscript"/>
              </w:rPr>
              <w:t>SEA</w:t>
            </w:r>
            <w:r w:rsidRPr="00021B7B">
              <w:rPr>
                <w:rFonts w:ascii="Arial Narrow" w:hAnsi="Arial Narrow"/>
                <w:bCs/>
                <w:sz w:val="20"/>
              </w:rPr>
              <w:t>, --</w:t>
            </w:r>
            <w:r w:rsidRPr="00021B7B">
              <w:rPr>
                <w:rFonts w:ascii="Arial Narrow" w:hAnsi="Arial Narrow"/>
                <w:bCs/>
                <w:sz w:val="20"/>
                <w:vertAlign w:val="superscript"/>
              </w:rPr>
              <w:t>Thai</w:t>
            </w:r>
            <w:r w:rsidRPr="00021B7B">
              <w:rPr>
                <w:rFonts w:ascii="Arial Narrow" w:hAnsi="Arial Narrow"/>
                <w:bCs/>
                <w:sz w:val="20"/>
              </w:rPr>
              <w:t>, --</w:t>
            </w:r>
            <w:r w:rsidRPr="00021B7B">
              <w:rPr>
                <w:rFonts w:ascii="Arial Narrow" w:hAnsi="Arial Narrow"/>
                <w:bCs/>
                <w:sz w:val="20"/>
                <w:vertAlign w:val="superscript"/>
              </w:rPr>
              <w:t>Fil</w:t>
            </w:r>
            <w:r w:rsidRPr="00021B7B">
              <w:rPr>
                <w:rFonts w:ascii="Arial Narrow" w:hAnsi="Arial Narrow"/>
                <w:bCs/>
                <w:sz w:val="20"/>
              </w:rPr>
              <w:t>, --</w:t>
            </w:r>
            <w:r w:rsidRPr="00021B7B">
              <w:rPr>
                <w:rFonts w:ascii="Arial Narrow" w:hAnsi="Arial Narrow"/>
                <w:bCs/>
                <w:sz w:val="20"/>
                <w:vertAlign w:val="superscript"/>
              </w:rPr>
              <w:t>MED</w:t>
            </w:r>
            <w:r w:rsidRPr="00021B7B">
              <w:rPr>
                <w:rFonts w:ascii="Arial Narrow" w:hAnsi="Arial Narrow"/>
                <w:bCs/>
                <w:sz w:val="20"/>
              </w:rPr>
              <w:t>), PCR/RE for non-deletions (Nco1, Hph1 (-5nt), Mse1 and CS)</w:t>
            </w:r>
          </w:p>
        </w:tc>
        <w:tc>
          <w:tcPr>
            <w:tcW w:w="1559" w:type="dxa"/>
          </w:tcPr>
          <w:p w14:paraId="25F8FA14"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Red cell indices, HPLC for HbA</w:t>
            </w:r>
            <w:r w:rsidRPr="00021B7B">
              <w:rPr>
                <w:rFonts w:ascii="Arial Narrow" w:hAnsi="Arial Narrow"/>
                <w:bCs/>
                <w:sz w:val="20"/>
                <w:vertAlign w:val="subscript"/>
              </w:rPr>
              <w:t>2</w:t>
            </w:r>
            <w:r w:rsidRPr="00021B7B">
              <w:rPr>
                <w:rFonts w:ascii="Arial Narrow" w:hAnsi="Arial Narrow"/>
                <w:bCs/>
                <w:sz w:val="20"/>
              </w:rPr>
              <w:t>, HbF and other Hb variants</w:t>
            </w:r>
          </w:p>
          <w:p w14:paraId="5B9E9F31" w14:textId="77777777" w:rsidR="005759C3" w:rsidRPr="00021B7B" w:rsidRDefault="005759C3" w:rsidP="0093776D">
            <w:pPr>
              <w:spacing w:before="40" w:after="40"/>
              <w:rPr>
                <w:rFonts w:ascii="Arial Narrow" w:hAnsi="Arial Narrow"/>
                <w:bCs/>
                <w:sz w:val="20"/>
              </w:rPr>
            </w:pPr>
            <w:r w:rsidRPr="00021B7B">
              <w:rPr>
                <w:rFonts w:ascii="Arial Narrow" w:hAnsi="Arial Narrow"/>
                <w:bCs/>
                <w:sz w:val="20"/>
              </w:rPr>
              <w:t>HbH bodies</w:t>
            </w:r>
          </w:p>
        </w:tc>
        <w:tc>
          <w:tcPr>
            <w:tcW w:w="1701" w:type="dxa"/>
          </w:tcPr>
          <w:p w14:paraId="6F4DF10A" w14:textId="77777777" w:rsidR="005759C3" w:rsidRPr="00021B7B" w:rsidRDefault="005759C3" w:rsidP="0093776D">
            <w:pPr>
              <w:spacing w:before="40" w:after="40"/>
              <w:rPr>
                <w:rFonts w:ascii="Arial Narrow" w:hAnsi="Arial Narrow"/>
                <w:bCs/>
                <w:sz w:val="20"/>
              </w:rPr>
            </w:pPr>
            <w:r>
              <w:rPr>
                <w:rFonts w:ascii="Arial Narrow" w:hAnsi="Arial Narrow"/>
                <w:bCs/>
                <w:sz w:val="20"/>
              </w:rPr>
              <w:t>Incremental diagnostic benefit</w:t>
            </w:r>
          </w:p>
        </w:tc>
        <w:tc>
          <w:tcPr>
            <w:tcW w:w="2410" w:type="dxa"/>
          </w:tcPr>
          <w:p w14:paraId="1C250F76" w14:textId="77777777" w:rsidR="005759C3" w:rsidRPr="00021B7B" w:rsidRDefault="005759C3" w:rsidP="0093776D">
            <w:pPr>
              <w:spacing w:before="40" w:after="40"/>
              <w:rPr>
                <w:rFonts w:ascii="Arial Narrow" w:hAnsi="Arial Narrow"/>
                <w:bCs/>
                <w:sz w:val="20"/>
              </w:rPr>
            </w:pPr>
            <w:r w:rsidRPr="00021B7B">
              <w:rPr>
                <w:rFonts w:ascii="Arial Narrow" w:hAnsi="Arial Narrow"/>
                <w:bCs/>
                <w:i/>
                <w:sz w:val="20"/>
              </w:rPr>
              <w:t>Funding</w:t>
            </w:r>
            <w:r w:rsidRPr="00021B7B">
              <w:rPr>
                <w:rFonts w:ascii="Arial Narrow" w:hAnsi="Arial Narrow"/>
                <w:bCs/>
                <w:sz w:val="20"/>
              </w:rPr>
              <w:t>: support from the Genomics Directorate of the Western Australia Department of Health</w:t>
            </w:r>
          </w:p>
        </w:tc>
      </w:tr>
    </w:tbl>
    <w:p w14:paraId="6BB0BA64" w14:textId="6B91560E" w:rsidR="00D05A1E" w:rsidRDefault="00D05A1E" w:rsidP="00AD404A">
      <w:pPr>
        <w:pStyle w:val="Heading2"/>
        <w:sectPr w:rsidR="00D05A1E" w:rsidSect="00D05A1E">
          <w:pgSz w:w="16838" w:h="11906" w:orient="landscape"/>
          <w:pgMar w:top="1440" w:right="1134" w:bottom="1440" w:left="426" w:header="708" w:footer="708" w:gutter="0"/>
          <w:cols w:space="708"/>
          <w:docGrid w:linePitch="360"/>
        </w:sectPr>
      </w:pPr>
      <w:r>
        <w:br w:type="page"/>
      </w:r>
    </w:p>
    <w:p w14:paraId="45C669D7" w14:textId="2A53CB73" w:rsidR="00AD404A" w:rsidRDefault="00AD404A" w:rsidP="00AD404A">
      <w:pPr>
        <w:pStyle w:val="Heading2"/>
      </w:pPr>
      <w:r>
        <w:lastRenderedPageBreak/>
        <w:t>Test adverse events</w:t>
      </w:r>
    </w:p>
    <w:p w14:paraId="67D73A77" w14:textId="0610D449" w:rsidR="00AD404A" w:rsidRDefault="003D33CC" w:rsidP="00AD404A">
      <w:r>
        <w:t>Genetic d</w:t>
      </w:r>
      <w:r w:rsidR="00AD404A">
        <w:t xml:space="preserve">eletion testing is performed on DNA extracted from a blood sample. </w:t>
      </w:r>
      <w:r w:rsidR="00914927">
        <w:t>The assessment did not</w:t>
      </w:r>
      <w:r w:rsidR="00AD404A">
        <w:t xml:space="preserve"> expect there would be adverse events directly associated with testing, apart from the transient discomfort caused by obtaining the sample. If a DNA sample is insufficient or of too poor quality to provide a result, a second blood sample may be required.</w:t>
      </w:r>
    </w:p>
    <w:p w14:paraId="38DACBBE" w14:textId="5DC25413" w:rsidR="00AD404A" w:rsidRDefault="00AD404A" w:rsidP="00C639A7">
      <w:pPr>
        <w:spacing w:before="240"/>
      </w:pPr>
      <w:r>
        <w:t xml:space="preserve">One of the main adverse effects associated with the downstream effects of testing is expected to be the psychological impact of </w:t>
      </w:r>
      <w:r w:rsidR="00B07097">
        <w:t xml:space="preserve">possibly needing to </w:t>
      </w:r>
      <w:r>
        <w:t>mak</w:t>
      </w:r>
      <w:r w:rsidR="00B07097">
        <w:t>e</w:t>
      </w:r>
      <w:r>
        <w:t xml:space="preserve"> reproductive choices</w:t>
      </w:r>
      <w:r w:rsidR="00B07097">
        <w:t>,using the info</w:t>
      </w:r>
      <w:r w:rsidR="003D33CC">
        <w:t>rmation obtained</w:t>
      </w:r>
      <w:r w:rsidR="00B07097">
        <w:t xml:space="preserve">. </w:t>
      </w:r>
      <w:r w:rsidR="005674FD">
        <w:t>.</w:t>
      </w:r>
    </w:p>
    <w:p w14:paraId="3CEB129D" w14:textId="77777777" w:rsidR="00AD404A" w:rsidRDefault="00AD404A" w:rsidP="00AD404A">
      <w:pPr>
        <w:pStyle w:val="Heading2"/>
      </w:pPr>
      <w:r>
        <w:t>Adverse events from change in management</w:t>
      </w:r>
    </w:p>
    <w:p w14:paraId="2135D3A6" w14:textId="11402005" w:rsidR="00AD404A" w:rsidRDefault="00E5236B" w:rsidP="00AD404A">
      <w:r>
        <w:t xml:space="preserve">ESC found that there </w:t>
      </w:r>
      <w:r w:rsidR="00AD404A">
        <w:t xml:space="preserve">was no evidence meeting the </w:t>
      </w:r>
      <w:r w:rsidR="0019269D">
        <w:t>P</w:t>
      </w:r>
      <w:r w:rsidR="00AD404A">
        <w:t xml:space="preserve">PICO criteria to determine whether deletion testing changes patient management. Diagnostic accuracy evidence for deletion testing was lacking as there was no independent reference standard in the literature. When deletion testing </w:t>
      </w:r>
      <w:r w:rsidR="00B07097">
        <w:t xml:space="preserve">alone </w:t>
      </w:r>
      <w:r w:rsidR="00AD404A">
        <w:t>was compared with deletion testing followed by direct sequencing (DS), false positive cases could not be verified, because the tests are sequential and the deletion testing result is assumed to</w:t>
      </w:r>
      <w:r w:rsidR="00C05E93">
        <w:t xml:space="preserve"> </w:t>
      </w:r>
      <w:r w:rsidR="00AD404A">
        <w:t xml:space="preserve">be definitive. </w:t>
      </w:r>
      <w:r w:rsidR="003D33CC">
        <w:t>D</w:t>
      </w:r>
      <w:r w:rsidR="00AD404A">
        <w:t xml:space="preserve">eletion testing is not 100% accurate, although the false positive rate may be very low. In the case of a false positive result, a woman and her partner may undergo unnecessary testing, including PND, and this may lead to unnecessary worry and trauma from prenatal sampling. </w:t>
      </w:r>
    </w:p>
    <w:p w14:paraId="4B6D1CA5" w14:textId="2583CF80" w:rsidR="00AD404A" w:rsidRDefault="002D67F4" w:rsidP="00C639A7">
      <w:pPr>
        <w:spacing w:before="240"/>
      </w:pPr>
      <w:r>
        <w:t>ESC noted that</w:t>
      </w:r>
      <w:r w:rsidR="00AD404A">
        <w:t xml:space="preserve"> </w:t>
      </w:r>
      <w:r w:rsidR="003D33CC">
        <w:t xml:space="preserve">for </w:t>
      </w:r>
      <w:r w:rsidR="00AD404A">
        <w:t>those</w:t>
      </w:r>
      <w:r w:rsidR="003D33CC">
        <w:t xml:space="preserve"> people</w:t>
      </w:r>
      <w:r w:rsidR="00AD404A">
        <w:t xml:space="preserve"> found negative by deletion testing but </w:t>
      </w:r>
      <w:r w:rsidR="00C05E93">
        <w:t xml:space="preserve">who </w:t>
      </w:r>
      <w:r w:rsidR="00AD404A">
        <w:t xml:space="preserve">in actuality do carry a clinically significant deletion or other mutation, there could be consequences for the offspring, if the mutation is inherited with a second significant mutation from the other parent. This scenario is likely because deletions and non-deletion mutations occur that are not included in a common deletion test (GAP-PCR) panel. This is the rationale for having samples that are negative on </w:t>
      </w:r>
      <w:r w:rsidR="003D33CC">
        <w:t xml:space="preserve">GAP-PCR </w:t>
      </w:r>
      <w:r w:rsidR="00AD404A">
        <w:t>deletion testing then undergo</w:t>
      </w:r>
      <w:r w:rsidR="00696B26">
        <w:t xml:space="preserve"> MLPA and/or</w:t>
      </w:r>
      <w:r w:rsidR="00AD404A">
        <w:t xml:space="preserve"> direct (Sanger) sequencing</w:t>
      </w:r>
      <w:r w:rsidR="00696B26">
        <w:t xml:space="preserve">. </w:t>
      </w:r>
      <w:r w:rsidR="00AD404A">
        <w:t>.</w:t>
      </w:r>
    </w:p>
    <w:p w14:paraId="33F0B31E" w14:textId="77777777" w:rsidR="00BC1364" w:rsidRPr="00F715D1" w:rsidRDefault="00BC1364" w:rsidP="003D33CC">
      <w:pPr>
        <w:pStyle w:val="Heading1"/>
        <w:ind w:left="567" w:hanging="567"/>
      </w:pPr>
      <w:r w:rsidRPr="00F715D1">
        <w:t>Comparative effectiveness</w:t>
      </w:r>
    </w:p>
    <w:p w14:paraId="3414632F" w14:textId="77777777" w:rsidR="00AD404A" w:rsidRDefault="00AD404A" w:rsidP="00AD404A">
      <w:pPr>
        <w:pStyle w:val="Heading2"/>
      </w:pPr>
      <w:r>
        <w:t>Direct effectiveness</w:t>
      </w:r>
    </w:p>
    <w:p w14:paraId="76E04D04" w14:textId="4598A4BB" w:rsidR="00C639A7" w:rsidRPr="00C639A7" w:rsidRDefault="00AD404A">
      <w:r>
        <w:t xml:space="preserve">Two non-comparative studies </w:t>
      </w:r>
      <w:r w:rsidR="00CD431D">
        <w:t xml:space="preserve">(Jiang et al 2017, Yamsri et al 2010; Table 2) </w:t>
      </w:r>
      <w:r>
        <w:t>provided evidence for the proportion of couples that underwent PND following diagnosis of an Hb Bart’s affected fetus. One of the studies also reported the proportion of couples that underwent TOP (</w:t>
      </w:r>
      <w:r>
        <w:fldChar w:fldCharType="begin"/>
      </w:r>
      <w:r>
        <w:instrText xml:space="preserve"> REF _Ref535336819 \h </w:instrText>
      </w:r>
      <w:r>
        <w:fldChar w:fldCharType="separate"/>
      </w:r>
      <w:r w:rsidR="00F37DD4" w:rsidRPr="001401F3">
        <w:t xml:space="preserve">Table </w:t>
      </w:r>
      <w:r w:rsidR="00F37DD4">
        <w:rPr>
          <w:noProof/>
        </w:rPr>
        <w:t>5</w:t>
      </w:r>
      <w:r>
        <w:fldChar w:fldCharType="end"/>
      </w:r>
      <w:r>
        <w:t xml:space="preserve">). The studies found that </w:t>
      </w:r>
      <w:r w:rsidR="005D1E4F">
        <w:t>c</w:t>
      </w:r>
      <w:r w:rsidR="005D1E4F" w:rsidRPr="00DE6200">
        <w:t>ouples,</w:t>
      </w:r>
      <w:r w:rsidRPr="00DE6200">
        <w:t xml:space="preserve"> in whom both partners tested positive for a clinically significant deletion by gap-PCR or MLPA, were likely to </w:t>
      </w:r>
      <w:r w:rsidRPr="00A65F92">
        <w:t>undergo PND when offered (100% and 73%). The lower uptake of PND was influenced by gestational age. Of those who were at 10-13 weeks gestation, 100% underwent TOP (n = 66). When the fetus tested positive for Hb Bart’s, 10 out of 10 couples chose to terminate the pregnancy. These studies were performed in countries where α thalassaemia has a high prevalence and maternal screening programs are being trialled.</w:t>
      </w:r>
      <w:bookmarkStart w:id="7" w:name="_Ref535336819"/>
      <w:bookmarkStart w:id="8" w:name="_Toc527050569"/>
      <w:r w:rsidR="00C639A7">
        <w:br w:type="page"/>
      </w:r>
    </w:p>
    <w:p w14:paraId="21DC2B9F" w14:textId="5080C3B1" w:rsidR="00AD404A" w:rsidRPr="00D576B7" w:rsidRDefault="00AD404A" w:rsidP="00D576B7">
      <w:pPr>
        <w:rPr>
          <w:rFonts w:ascii="Arial Narrow" w:hAnsi="Arial Narrow"/>
          <w:b/>
          <w:sz w:val="20"/>
        </w:rPr>
      </w:pPr>
      <w:r w:rsidRPr="00D576B7">
        <w:rPr>
          <w:rFonts w:ascii="Arial Narrow" w:hAnsi="Arial Narrow"/>
          <w:b/>
          <w:sz w:val="20"/>
        </w:rPr>
        <w:lastRenderedPageBreak/>
        <w:t xml:space="preserve">Table </w:t>
      </w:r>
      <w:r w:rsidRPr="00D576B7">
        <w:rPr>
          <w:rFonts w:ascii="Arial Narrow" w:hAnsi="Arial Narrow"/>
          <w:b/>
          <w:sz w:val="20"/>
        </w:rPr>
        <w:fldChar w:fldCharType="begin"/>
      </w:r>
      <w:r w:rsidRPr="00D576B7">
        <w:rPr>
          <w:rFonts w:ascii="Arial Narrow" w:hAnsi="Arial Narrow"/>
          <w:b/>
          <w:sz w:val="20"/>
        </w:rPr>
        <w:instrText xml:space="preserve"> SEQ Table \* ARABIC </w:instrText>
      </w:r>
      <w:r w:rsidRPr="00D576B7">
        <w:rPr>
          <w:rFonts w:ascii="Arial Narrow" w:hAnsi="Arial Narrow"/>
          <w:b/>
          <w:sz w:val="20"/>
        </w:rPr>
        <w:fldChar w:fldCharType="separate"/>
      </w:r>
      <w:r w:rsidR="00F37DD4" w:rsidRPr="00D576B7">
        <w:rPr>
          <w:rFonts w:ascii="Arial Narrow" w:hAnsi="Arial Narrow"/>
          <w:b/>
          <w:sz w:val="20"/>
        </w:rPr>
        <w:t>5</w:t>
      </w:r>
      <w:r w:rsidRPr="00D576B7">
        <w:rPr>
          <w:rFonts w:ascii="Arial Narrow" w:hAnsi="Arial Narrow"/>
          <w:b/>
          <w:sz w:val="20"/>
        </w:rPr>
        <w:fldChar w:fldCharType="end"/>
      </w:r>
      <w:bookmarkEnd w:id="7"/>
      <w:r w:rsidRPr="00D576B7">
        <w:rPr>
          <w:rFonts w:ascii="Arial Narrow" w:hAnsi="Arial Narrow"/>
          <w:b/>
          <w:sz w:val="20"/>
        </w:rPr>
        <w:tab/>
        <w:t>Balance of clinical benefits and harms of deletion testing as measured by the critical patient-relevant outcomes in the key studies</w:t>
      </w:r>
      <w:bookmarkEnd w:id="8"/>
      <w:r w:rsidRPr="00D576B7">
        <w:rPr>
          <w:rFonts w:ascii="Arial Narrow" w:hAnsi="Arial Narrow"/>
          <w:b/>
          <w:sz w:val="20"/>
        </w:rPr>
        <w:t xml:space="preserve"> </w:t>
      </w:r>
    </w:p>
    <w:tbl>
      <w:tblPr>
        <w:tblStyle w:val="TableGrid1"/>
        <w:tblW w:w="0" w:type="auto"/>
        <w:tblLayout w:type="fixed"/>
        <w:tblLook w:val="04A0" w:firstRow="1" w:lastRow="0" w:firstColumn="1" w:lastColumn="0" w:noHBand="0" w:noVBand="1"/>
        <w:tblDescription w:val="Summary of findings table"/>
      </w:tblPr>
      <w:tblGrid>
        <w:gridCol w:w="3397"/>
        <w:gridCol w:w="1701"/>
        <w:gridCol w:w="1843"/>
        <w:gridCol w:w="1843"/>
      </w:tblGrid>
      <w:tr w:rsidR="00AD404A" w:rsidRPr="00951B30" w14:paraId="52C5FD43" w14:textId="77777777" w:rsidTr="007A426A">
        <w:trPr>
          <w:cnfStyle w:val="100000000000" w:firstRow="1" w:lastRow="0" w:firstColumn="0" w:lastColumn="0" w:oddVBand="0" w:evenVBand="0" w:oddHBand="0" w:evenHBand="0" w:firstRowFirstColumn="0" w:firstRowLastColumn="0" w:lastRowFirstColumn="0" w:lastRowLastColumn="0"/>
          <w:tblHeader/>
        </w:trPr>
        <w:tc>
          <w:tcPr>
            <w:tcW w:w="3397" w:type="dxa"/>
          </w:tcPr>
          <w:p w14:paraId="168235FA" w14:textId="77777777" w:rsidR="00AD404A" w:rsidRPr="00951B30" w:rsidRDefault="00AD404A" w:rsidP="00EC5C6F">
            <w:pPr>
              <w:pStyle w:val="TableHeading"/>
            </w:pPr>
            <w:r w:rsidRPr="00951B30">
              <w:t>Outcomes (units)</w:t>
            </w:r>
          </w:p>
          <w:p w14:paraId="1C5D68AD" w14:textId="77777777" w:rsidR="00AD404A" w:rsidRPr="00951B30" w:rsidRDefault="00AD404A" w:rsidP="00EC5C6F">
            <w:pPr>
              <w:pStyle w:val="TableHeading"/>
            </w:pPr>
            <w:r w:rsidRPr="00951B30">
              <w:t>Follow-up</w:t>
            </w:r>
          </w:p>
        </w:tc>
        <w:tc>
          <w:tcPr>
            <w:tcW w:w="1701" w:type="dxa"/>
          </w:tcPr>
          <w:p w14:paraId="468578CF" w14:textId="77777777" w:rsidR="00AD404A" w:rsidRDefault="00AD404A" w:rsidP="00EC5C6F">
            <w:pPr>
              <w:pStyle w:val="TableHeading"/>
            </w:pPr>
            <w:r>
              <w:t>Studies (K)</w:t>
            </w:r>
          </w:p>
          <w:p w14:paraId="09786D60" w14:textId="77777777" w:rsidR="00AD404A" w:rsidRPr="00951B30" w:rsidRDefault="00AD404A" w:rsidP="00EC5C6F">
            <w:pPr>
              <w:pStyle w:val="TableHeading"/>
            </w:pPr>
            <w:r>
              <w:t>Couples</w:t>
            </w:r>
            <w:r w:rsidRPr="00951B30">
              <w:t xml:space="preserve"> (</w:t>
            </w:r>
            <w:r>
              <w:t>N</w:t>
            </w:r>
            <w:r w:rsidRPr="00951B30">
              <w:t>)</w:t>
            </w:r>
          </w:p>
        </w:tc>
        <w:tc>
          <w:tcPr>
            <w:tcW w:w="1843" w:type="dxa"/>
          </w:tcPr>
          <w:p w14:paraId="6C08BCFC" w14:textId="77777777" w:rsidR="00AD404A" w:rsidRDefault="00AD404A" w:rsidP="00EC5C6F">
            <w:pPr>
              <w:pStyle w:val="TableHeading"/>
            </w:pPr>
            <w:r w:rsidRPr="00951B30">
              <w:t xml:space="preserve">Quality of evidence </w:t>
            </w:r>
          </w:p>
          <w:p w14:paraId="264709D5" w14:textId="7642296D" w:rsidR="00AD404A" w:rsidRPr="00951B30" w:rsidRDefault="00AD404A" w:rsidP="00EC5C6F">
            <w:pPr>
              <w:pStyle w:val="TableHeading"/>
            </w:pPr>
            <w:r>
              <w:t>(GRADE)</w:t>
            </w:r>
            <w:r w:rsidR="001039F4" w:rsidRPr="00C13DD5">
              <w:rPr>
                <w:vertAlign w:val="superscript"/>
              </w:rPr>
              <w:t>a</w:t>
            </w:r>
          </w:p>
        </w:tc>
        <w:tc>
          <w:tcPr>
            <w:tcW w:w="1843" w:type="dxa"/>
          </w:tcPr>
          <w:p w14:paraId="0E50F4A4" w14:textId="77777777" w:rsidR="00AD404A" w:rsidRPr="00951B30" w:rsidRDefault="00AD404A" w:rsidP="00EC5C6F">
            <w:pPr>
              <w:pStyle w:val="TableHeading"/>
            </w:pPr>
            <w:r>
              <w:t>Result</w:t>
            </w:r>
          </w:p>
        </w:tc>
      </w:tr>
      <w:tr w:rsidR="00AD404A" w:rsidRPr="00951B30" w14:paraId="2B1AC226" w14:textId="77777777" w:rsidTr="007A426A">
        <w:tc>
          <w:tcPr>
            <w:tcW w:w="3397" w:type="dxa"/>
          </w:tcPr>
          <w:p w14:paraId="1091CA56" w14:textId="77777777" w:rsidR="00AD404A" w:rsidRPr="00951B6B" w:rsidRDefault="00AD404A" w:rsidP="00EC5C6F">
            <w:pPr>
              <w:pStyle w:val="TableText"/>
            </w:pPr>
            <w:r>
              <w:t>Uptake of PND (couples at risk of having an Hb Bart’s fetus)</w:t>
            </w:r>
          </w:p>
        </w:tc>
        <w:tc>
          <w:tcPr>
            <w:tcW w:w="1701" w:type="dxa"/>
          </w:tcPr>
          <w:p w14:paraId="440BF44C" w14:textId="77777777" w:rsidR="00AD404A" w:rsidRDefault="00AD404A" w:rsidP="00EC5C6F">
            <w:pPr>
              <w:pStyle w:val="TableText"/>
            </w:pPr>
            <w:r>
              <w:t>K = 2</w:t>
            </w:r>
          </w:p>
          <w:p w14:paraId="19A7E426" w14:textId="77777777" w:rsidR="00AD404A" w:rsidRPr="00951B30" w:rsidRDefault="00AD404A" w:rsidP="00EC5C6F">
            <w:pPr>
              <w:pStyle w:val="TableText"/>
            </w:pPr>
            <w:r>
              <w:t>N = 42,499</w:t>
            </w:r>
          </w:p>
        </w:tc>
        <w:tc>
          <w:tcPr>
            <w:tcW w:w="1843" w:type="dxa"/>
          </w:tcPr>
          <w:p w14:paraId="58E845CB" w14:textId="77777777" w:rsidR="00AD404A" w:rsidRPr="00951B30" w:rsidRDefault="00AD404A" w:rsidP="00EC5C6F">
            <w:pPr>
              <w:pStyle w:val="TableText"/>
            </w:pPr>
            <w:r>
              <w:rPr>
                <w:rFonts w:ascii="Cambria Math" w:hAnsi="Cambria Math"/>
                <w:color w:val="00B050"/>
              </w:rPr>
              <w:t>⨁</w:t>
            </w:r>
            <w:r w:rsidRPr="00D4733A">
              <w:rPr>
                <w:rFonts w:ascii="Cambria Math" w:hAnsi="Cambria Math" w:cs="Cambria Math"/>
                <w:color w:val="C00000"/>
              </w:rPr>
              <w:t>⨀⨀⨀</w:t>
            </w:r>
          </w:p>
        </w:tc>
        <w:tc>
          <w:tcPr>
            <w:tcW w:w="1843" w:type="dxa"/>
          </w:tcPr>
          <w:p w14:paraId="61CA5B3B" w14:textId="77777777" w:rsidR="00AD404A" w:rsidRPr="00951B30" w:rsidRDefault="00AD404A" w:rsidP="00EC5C6F">
            <w:pPr>
              <w:pStyle w:val="TableText"/>
              <w:jc w:val="left"/>
            </w:pPr>
            <w:r>
              <w:t>66/90 (73%) to 304/304 (100%)</w:t>
            </w:r>
          </w:p>
        </w:tc>
      </w:tr>
      <w:tr w:rsidR="00AD404A" w:rsidRPr="00951B30" w14:paraId="4F0D7304" w14:textId="77777777" w:rsidTr="007A426A">
        <w:tc>
          <w:tcPr>
            <w:tcW w:w="3397" w:type="dxa"/>
          </w:tcPr>
          <w:p w14:paraId="3C96EBDE" w14:textId="377B73A0" w:rsidR="00AD404A" w:rsidRPr="00951B6B" w:rsidRDefault="00AD404A" w:rsidP="00EC5C6F">
            <w:pPr>
              <w:pStyle w:val="TableText"/>
            </w:pPr>
            <w:r>
              <w:t>Uptake of TOP (couples diagnosed with an Hb Bart’s fetus)</w:t>
            </w:r>
          </w:p>
        </w:tc>
        <w:tc>
          <w:tcPr>
            <w:tcW w:w="1701" w:type="dxa"/>
          </w:tcPr>
          <w:p w14:paraId="04E3891B" w14:textId="77777777" w:rsidR="00AD404A" w:rsidRDefault="00AD404A" w:rsidP="00EC5C6F">
            <w:pPr>
              <w:pStyle w:val="TableText"/>
            </w:pPr>
            <w:r>
              <w:t>K = 1</w:t>
            </w:r>
          </w:p>
          <w:p w14:paraId="280F820A" w14:textId="77777777" w:rsidR="00AD404A" w:rsidRPr="00951B30" w:rsidRDefault="00AD404A" w:rsidP="00EC5C6F">
            <w:pPr>
              <w:pStyle w:val="TableText"/>
            </w:pPr>
            <w:r>
              <w:t>N = 41,531</w:t>
            </w:r>
          </w:p>
        </w:tc>
        <w:tc>
          <w:tcPr>
            <w:tcW w:w="1843" w:type="dxa"/>
          </w:tcPr>
          <w:p w14:paraId="75FC7A11" w14:textId="77777777" w:rsidR="00AD404A" w:rsidRPr="00951B30" w:rsidRDefault="00AD404A" w:rsidP="00EC5C6F">
            <w:pPr>
              <w:pStyle w:val="TableText"/>
            </w:pPr>
            <w:r>
              <w:rPr>
                <w:rFonts w:ascii="Cambria Math" w:hAnsi="Cambria Math"/>
                <w:color w:val="00B050"/>
              </w:rPr>
              <w:t>⨁</w:t>
            </w:r>
            <w:r w:rsidRPr="00D4733A">
              <w:rPr>
                <w:rFonts w:ascii="Cambria Math" w:hAnsi="Cambria Math" w:cs="Cambria Math"/>
                <w:color w:val="C00000"/>
              </w:rPr>
              <w:t>⨀⨀⨀</w:t>
            </w:r>
          </w:p>
        </w:tc>
        <w:tc>
          <w:tcPr>
            <w:tcW w:w="1843" w:type="dxa"/>
          </w:tcPr>
          <w:p w14:paraId="71E3E678" w14:textId="77777777" w:rsidR="00AD404A" w:rsidRPr="00951B30" w:rsidRDefault="00AD404A" w:rsidP="00EC5C6F">
            <w:pPr>
              <w:pStyle w:val="TableText"/>
            </w:pPr>
            <w:r>
              <w:t>10/10 (100%)</w:t>
            </w:r>
          </w:p>
        </w:tc>
      </w:tr>
    </w:tbl>
    <w:p w14:paraId="5202502C" w14:textId="77777777" w:rsidR="00AD404A" w:rsidRDefault="00AD404A" w:rsidP="00C639A7">
      <w:pPr>
        <w:pStyle w:val="Tablenotes"/>
        <w:spacing w:before="0" w:after="0"/>
      </w:pPr>
      <w:r w:rsidRPr="00E10B76">
        <w:rPr>
          <w:vertAlign w:val="superscript"/>
        </w:rPr>
        <w:t xml:space="preserve">a </w:t>
      </w:r>
      <w:r w:rsidRPr="00E10B76">
        <w:t>GRADE Working Group grades of evidence</w:t>
      </w:r>
      <w:r>
        <w:t xml:space="preserve"> (Guyatt et al., 2013)</w:t>
      </w:r>
    </w:p>
    <w:p w14:paraId="3DCA7B28" w14:textId="77777777" w:rsidR="00AD404A" w:rsidRDefault="00AD404A" w:rsidP="00C639A7">
      <w:pPr>
        <w:pStyle w:val="Tablenotes"/>
        <w:spacing w:before="0" w:after="0"/>
      </w:pP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r w:rsidRPr="00E10B76">
        <w:t xml:space="preserve"> </w:t>
      </w:r>
    </w:p>
    <w:p w14:paraId="1BE378D6" w14:textId="77777777" w:rsidR="00AD404A" w:rsidRDefault="00AD404A" w:rsidP="00C639A7">
      <w:pPr>
        <w:pStyle w:val="Tablenotes"/>
        <w:spacing w:before="0" w:after="0"/>
      </w:pP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 xml:space="preserve">We are moderately confident in the effect estimate: The true effect is likely to be close to the estimate of the effect, but there is a possibility that it is substantially different. </w:t>
      </w:r>
    </w:p>
    <w:p w14:paraId="009F7247" w14:textId="77777777" w:rsidR="00AD404A" w:rsidRDefault="00AD404A" w:rsidP="00C639A7">
      <w:pPr>
        <w:pStyle w:val="Tablenotes"/>
        <w:spacing w:before="0" w:after="0"/>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p>
    <w:p w14:paraId="7FEFBAAC" w14:textId="77777777" w:rsidR="00AD404A" w:rsidRDefault="00AD404A" w:rsidP="00C639A7">
      <w:pPr>
        <w:pStyle w:val="Tablenotes"/>
        <w:spacing w:before="0" w:after="0"/>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2AD9511F" w14:textId="77777777" w:rsidR="00AD404A" w:rsidRDefault="00AD404A" w:rsidP="00C639A7">
      <w:pPr>
        <w:spacing w:before="240"/>
      </w:pPr>
      <w:r>
        <w:t>There was no evidence of what the uptake of PND and TOP would be in the absence of deletion testing. It is possible that PND may be performed based on thalassaemia studies or, later in pregnancy based on ultrasound, but it is likely that the rates of PND and TOP would be lower than if deletion testing was being performed. By inference if couples do not know their α thalassaemia status, they cannot make the same reproductive choices.</w:t>
      </w:r>
    </w:p>
    <w:p w14:paraId="0C380431" w14:textId="77777777" w:rsidR="00AD404A" w:rsidRDefault="00AD404A" w:rsidP="00AD404A">
      <w:pPr>
        <w:pStyle w:val="Heading2"/>
      </w:pPr>
      <w:r>
        <w:t>Linked evidence</w:t>
      </w:r>
    </w:p>
    <w:p w14:paraId="5C0585DE" w14:textId="77777777" w:rsidR="00AD404A" w:rsidRPr="00AD404A" w:rsidRDefault="00AD404A" w:rsidP="00AD404A">
      <w:pPr>
        <w:pStyle w:val="Heading3"/>
        <w:rPr>
          <w:rFonts w:ascii="Times New Roman" w:hAnsi="Times New Roman" w:cs="Times New Roman"/>
          <w:color w:val="auto"/>
          <w:u w:val="single"/>
        </w:rPr>
      </w:pPr>
      <w:r w:rsidRPr="00AD404A">
        <w:rPr>
          <w:rFonts w:ascii="Times New Roman" w:hAnsi="Times New Roman" w:cs="Times New Roman"/>
          <w:color w:val="auto"/>
          <w:u w:val="single"/>
        </w:rPr>
        <w:t>Diagnostic performance</w:t>
      </w:r>
    </w:p>
    <w:p w14:paraId="5AED8D15" w14:textId="0E8EF0DD" w:rsidR="00AD404A" w:rsidRDefault="00C13DD5" w:rsidP="00AD404A">
      <w:r>
        <w:t>The assessment noted</w:t>
      </w:r>
      <w:r w:rsidR="007513D7">
        <w:t xml:space="preserve"> that l</w:t>
      </w:r>
      <w:r w:rsidR="00AD404A" w:rsidRPr="00122F86">
        <w:t>ittle evidence was identified for the populations specified in the PPICO. The inclusion of broader populations (generally a wider age range) was not expected to impact on the applicability of the results for diagnostic performance due to the condition being heritable and not age related.</w:t>
      </w:r>
    </w:p>
    <w:p w14:paraId="4B78C1D4" w14:textId="735DD366" w:rsidR="00AD404A" w:rsidRDefault="00AD404A" w:rsidP="00C639A7">
      <w:pPr>
        <w:spacing w:before="240"/>
      </w:pPr>
      <w:r w:rsidRPr="000C6348">
        <w:t xml:space="preserve">It is difficult to determine the sensitivity and specificity, </w:t>
      </w:r>
      <w:r w:rsidR="00E655A0">
        <w:t>Negative Predictive Value (</w:t>
      </w:r>
      <w:r w:rsidRPr="000C6348">
        <w:t>NPV</w:t>
      </w:r>
      <w:r w:rsidR="00E655A0">
        <w:t>)</w:t>
      </w:r>
      <w:r w:rsidRPr="000C6348">
        <w:t xml:space="preserve"> and </w:t>
      </w:r>
      <w:r w:rsidR="00E655A0">
        <w:t>Positive Predictive Value (</w:t>
      </w:r>
      <w:r w:rsidRPr="000C6348">
        <w:t>PPV</w:t>
      </w:r>
      <w:r w:rsidR="00E655A0">
        <w:t>)</w:t>
      </w:r>
      <w:r w:rsidRPr="000C6348">
        <w:t xml:space="preserve"> for </w:t>
      </w:r>
      <w:r w:rsidR="005861DA">
        <w:t xml:space="preserve">GAP-PCR or MLPA </w:t>
      </w:r>
      <w:r w:rsidRPr="000C6348">
        <w:t xml:space="preserve">deletion testing </w:t>
      </w:r>
      <w:r w:rsidR="005861DA">
        <w:t xml:space="preserve">alone </w:t>
      </w:r>
      <w:r w:rsidRPr="000C6348">
        <w:t xml:space="preserve">compared to </w:t>
      </w:r>
      <w:r w:rsidR="005861DA">
        <w:t xml:space="preserve">GAP-PCR or MLPA </w:t>
      </w:r>
      <w:r w:rsidRPr="000C6348">
        <w:t xml:space="preserve">deletion testing followed by DS, due to the step-wise nature of the testing in the literature. False </w:t>
      </w:r>
      <w:r>
        <w:t>positive</w:t>
      </w:r>
      <w:r w:rsidRPr="000C6348">
        <w:t xml:space="preserve"> results are </w:t>
      </w:r>
      <w:r>
        <w:t xml:space="preserve">unable to be verified properly (partial verification bias, O’Sullivan </w:t>
      </w:r>
      <w:r w:rsidRPr="00E04133">
        <w:rPr>
          <w:i/>
        </w:rPr>
        <w:t>et al</w:t>
      </w:r>
      <w:r>
        <w:rPr>
          <w:i/>
        </w:rPr>
        <w:t>.</w:t>
      </w:r>
      <w:r>
        <w:t xml:space="preserve"> 2018) </w:t>
      </w:r>
      <w:r w:rsidRPr="000C6348">
        <w:t>when testing is performed in this manner</w:t>
      </w:r>
      <w:r>
        <w:t>, as subjects found positive for a deletion do not continue on to DS (subjects that are negative for a deletion will continue on to DS)</w:t>
      </w:r>
      <w:r w:rsidRPr="000C6348">
        <w:t xml:space="preserve">. </w:t>
      </w:r>
    </w:p>
    <w:p w14:paraId="0453ED82" w14:textId="56BAABF8" w:rsidR="00AD404A" w:rsidRDefault="00AD404A" w:rsidP="00C639A7">
      <w:pPr>
        <w:spacing w:before="240"/>
      </w:pPr>
      <w:r w:rsidRPr="000C6348">
        <w:t xml:space="preserve">In two studies of participants of broader age range than specified in the PPICO, deletion testing identified 75% to 88% of all mutations identified </w:t>
      </w:r>
      <w:r>
        <w:t>by step-wise use of both</w:t>
      </w:r>
      <w:r w:rsidRPr="000C6348">
        <w:t xml:space="preserve"> deletion testing and DS.</w:t>
      </w:r>
      <w:r w:rsidRPr="00584875">
        <w:t xml:space="preserve"> </w:t>
      </w:r>
      <w:r>
        <w:t>The study by Henderson et al</w:t>
      </w:r>
      <w:r w:rsidR="00B32CDA">
        <w:t xml:space="preserve"> (T</w:t>
      </w:r>
      <w:r w:rsidR="007D3FB8">
        <w:t>able 2)</w:t>
      </w:r>
      <w:r>
        <w:t>, conducted in the UK in a population of mixed ethnicity, is likely to be more relevant to the Australian setting (sensitivity 88%).</w:t>
      </w:r>
    </w:p>
    <w:p w14:paraId="6893B834" w14:textId="0C2EB1A1" w:rsidR="00AD404A" w:rsidRDefault="00AD404A" w:rsidP="00C639A7">
      <w:pPr>
        <w:spacing w:before="240"/>
      </w:pPr>
      <w:r w:rsidRPr="000C6348">
        <w:t>Gap-PCR and MLPA are highly concordant with other DNA analysis techniques when they are performed on the same sample and in a population which has undergone Hb analysis (99% – 100%)</w:t>
      </w:r>
      <w:r>
        <w:t>, supporting the notion that deletion testing is an accurate and reliable test</w:t>
      </w:r>
      <w:r w:rsidRPr="000C6348">
        <w:t xml:space="preserve">. However gap-PCR is targeted to specific deletions and will not detect </w:t>
      </w:r>
      <w:r>
        <w:t xml:space="preserve">deletions in regions </w:t>
      </w:r>
      <w:r w:rsidRPr="000C6348">
        <w:t xml:space="preserve">not tested for or unknown. MLPA </w:t>
      </w:r>
      <w:r>
        <w:t xml:space="preserve">is </w:t>
      </w:r>
      <w:r w:rsidRPr="000C6348">
        <w:t>a more flexible technique and can be used to detect a wider range of mutation types.</w:t>
      </w:r>
    </w:p>
    <w:p w14:paraId="2CC52B3D" w14:textId="2B46B17C" w:rsidR="00AD404A" w:rsidRDefault="00AD404A" w:rsidP="00C639A7">
      <w:pPr>
        <w:spacing w:before="240"/>
      </w:pPr>
      <w:r>
        <w:t>Diagnostic yield varies according to population prevalence of α thalassaemia, prior screening in the population under investigation, and the number of deletions and non-deletions tested for. The --</w:t>
      </w:r>
      <w:r>
        <w:rPr>
          <w:vertAlign w:val="superscript"/>
        </w:rPr>
        <w:t>MED</w:t>
      </w:r>
      <w:r>
        <w:t xml:space="preserve"> and --</w:t>
      </w:r>
      <w:r>
        <w:rPr>
          <w:vertAlign w:val="superscript"/>
        </w:rPr>
        <w:t>SEA</w:t>
      </w:r>
      <w:r>
        <w:t xml:space="preserve"> are the most common deletions, and occur at high rates within Middle Eastern and Southeast Asian regions respectively. The most commonly occurring </w:t>
      </w:r>
      <w:r>
        <w:lastRenderedPageBreak/>
        <w:t>deletion occurring worldwide is -α</w:t>
      </w:r>
      <w:r w:rsidRPr="00584875">
        <w:rPr>
          <w:vertAlign w:val="superscript"/>
        </w:rPr>
        <w:t>3.7</w:t>
      </w:r>
      <w:r>
        <w:t xml:space="preserve">. The most prevalent non-deletion mutations </w:t>
      </w:r>
      <w:r w:rsidR="00C639A7">
        <w:t>also vary from region to region</w:t>
      </w:r>
    </w:p>
    <w:p w14:paraId="2318876C" w14:textId="77777777" w:rsidR="00AD404A" w:rsidRPr="00AD404A" w:rsidRDefault="00AD404A" w:rsidP="00C639A7">
      <w:pPr>
        <w:pStyle w:val="Heading3"/>
        <w:spacing w:before="240"/>
        <w:rPr>
          <w:rFonts w:ascii="Times New Roman" w:hAnsi="Times New Roman" w:cs="Times New Roman"/>
          <w:color w:val="auto"/>
          <w:u w:val="single"/>
        </w:rPr>
      </w:pPr>
      <w:r w:rsidRPr="00AD404A">
        <w:rPr>
          <w:rFonts w:ascii="Times New Roman" w:hAnsi="Times New Roman" w:cs="Times New Roman"/>
          <w:color w:val="auto"/>
          <w:u w:val="single"/>
        </w:rPr>
        <w:t>Clinical validity</w:t>
      </w:r>
    </w:p>
    <w:p w14:paraId="7F0FFFEA" w14:textId="6C28C4C3" w:rsidR="00AD404A" w:rsidRDefault="00AD404A" w:rsidP="00AD404A">
      <w:r>
        <w:t>Eight studies</w:t>
      </w:r>
      <w:r w:rsidR="00B32CDA">
        <w:t xml:space="preserve"> (T</w:t>
      </w:r>
      <w:r w:rsidR="00E43E18">
        <w:t>able 4)</w:t>
      </w:r>
      <w:r>
        <w:t xml:space="preserve"> compared diagnosis by HbH assay (a component of thalassaemia studies) with diagnosis by </w:t>
      </w:r>
      <w:r w:rsidR="00B95A0E">
        <w:t xml:space="preserve">GAP-PCR and MLPA </w:t>
      </w:r>
      <w:r>
        <w:t>deletion testing</w:t>
      </w:r>
      <w:r w:rsidR="00696B26">
        <w:t xml:space="preserve"> (Note 7 of the 8 studies used GAP-PCR testing)</w:t>
      </w:r>
      <w:r>
        <w:t>.</w:t>
      </w:r>
    </w:p>
    <w:p w14:paraId="71761247" w14:textId="2C958FEA" w:rsidR="00AD404A" w:rsidRDefault="00AD404A" w:rsidP="00C639A7">
      <w:pPr>
        <w:spacing w:before="240"/>
      </w:pPr>
      <w:r>
        <w:t>In those considered to be at high risk of HbH disease and at reproductive age the tests had a high correlation (100%) for diagnosis of HbH disease (defined as three HBA gene deletions), when HbH was diagnosed by HbH assay. Deletion testing did not add incremental value in this small group. However overall, HbH assays could not easily distinguish between HbH disease, α0 and α+ genotypes, the latter two often being categorised α-trait (two deletion genotypes in general).</w:t>
      </w:r>
    </w:p>
    <w:p w14:paraId="6C1FD50D" w14:textId="1CBFB5A7" w:rsidR="007C247F" w:rsidRDefault="00AD404A" w:rsidP="00C639A7">
      <w:pPr>
        <w:spacing w:before="240"/>
      </w:pPr>
      <w:r>
        <w:t>For those of reproductive age, deletion testing</w:t>
      </w:r>
      <w:r w:rsidR="0048393F">
        <w:t xml:space="preserve"> </w:t>
      </w:r>
      <w:r>
        <w:t>provided additional diagnosis in 18% (18 cases per 100 tested) and HbH assays gave false positive results in 4.7% (5 cases per 100 tested). For suspected carriers of any age, deletion testing provided an additional diagnosis in 36% (36 cases per 100 tested) and HbH assays gave a false positive results in 1.1% (1 case per 100 tested).</w:t>
      </w:r>
      <w:r w:rsidR="00696B26" w:rsidRPr="00696B26">
        <w:t xml:space="preserve"> (Note 7 of the 8 studies used GAP-PCR testing).</w:t>
      </w:r>
    </w:p>
    <w:p w14:paraId="35BE80F7" w14:textId="77777777" w:rsidR="00AD404A" w:rsidRPr="00AD404A" w:rsidRDefault="00AD404A" w:rsidP="00C639A7">
      <w:pPr>
        <w:pStyle w:val="Heading3"/>
        <w:spacing w:before="240"/>
        <w:rPr>
          <w:rFonts w:ascii="Times New Roman" w:hAnsi="Times New Roman" w:cs="Times New Roman"/>
          <w:color w:val="auto"/>
          <w:u w:val="single"/>
        </w:rPr>
      </w:pPr>
      <w:r w:rsidRPr="00AD404A">
        <w:rPr>
          <w:rFonts w:ascii="Times New Roman" w:hAnsi="Times New Roman" w:cs="Times New Roman"/>
          <w:color w:val="auto"/>
          <w:u w:val="single"/>
        </w:rPr>
        <w:t>Therapeutic efficacy (change in management)</w:t>
      </w:r>
    </w:p>
    <w:p w14:paraId="68665BEB" w14:textId="1958296C" w:rsidR="00AD404A" w:rsidRDefault="00AD404A" w:rsidP="00AD404A">
      <w:r>
        <w:t xml:space="preserve">Three studies identified in the literature search but </w:t>
      </w:r>
      <w:r w:rsidR="00C324C9">
        <w:t>included broader populations than those specified by the</w:t>
      </w:r>
      <w:r>
        <w:t xml:space="preserve"> </w:t>
      </w:r>
      <w:r w:rsidR="00451B43">
        <w:t xml:space="preserve">PPICO </w:t>
      </w:r>
      <w:r>
        <w:t>inclusion criteria</w:t>
      </w:r>
      <w:r w:rsidR="00C324C9">
        <w:t xml:space="preserve"> </w:t>
      </w:r>
      <w:r w:rsidR="006C30D7">
        <w:t xml:space="preserve">('The first five years of a preventive programme for haemoglobinopathies in Northeastern Iraq’ Al-Allawi et al. (2013); </w:t>
      </w:r>
      <w:r w:rsidR="006C30D7" w:rsidRPr="00C324C9">
        <w:t>'Prenatal diagnosis of haemoglobinopathies: Our experience of 523 cases</w:t>
      </w:r>
      <w:r w:rsidR="006C30D7">
        <w:t>’ Grosso et al. (2013); and ‘</w:t>
      </w:r>
      <w:r w:rsidR="006C30D7" w:rsidRPr="00C324C9">
        <w:t>Carrier screening for α- and β-thalassemia in pregnancy: The results of an 11-year prospective program in Guangzhou Maternal and Neonatal Hospital</w:t>
      </w:r>
      <w:r w:rsidR="006C30D7">
        <w:t>’ Liao et al. (2005))</w:t>
      </w:r>
      <w:r w:rsidRPr="00C324C9">
        <w:t>, reported decisions made by at-risk couples following diagnosis of HbP by DNA analysis. Deci</w:t>
      </w:r>
      <w:r>
        <w:t>sions by way of uptake of PND, TOP or continuation of pregnancy were reported.</w:t>
      </w:r>
    </w:p>
    <w:p w14:paraId="080E3AFF" w14:textId="5E70D3BE" w:rsidR="00AD404A" w:rsidRDefault="00AD404A" w:rsidP="00C639A7">
      <w:pPr>
        <w:spacing w:before="240"/>
      </w:pPr>
      <w:r>
        <w:t xml:space="preserve">Couples for whom both partners tested positive for a clinically significant mutation, were likely to take up PND when offered (74.8%-94.7%). If the pregnant couples were found to carry an Hb Bart’s fetus, they were highly likely to undergo TOP. </w:t>
      </w:r>
      <w:r w:rsidR="00392B87">
        <w:t>The CA found t</w:t>
      </w:r>
      <w:r>
        <w:t>here was no evidence to indicate what couples would do in the absence of mutation analysis, but it could be assumed that without information about their genetic status couples are less likely to take up PND or TOP, or even</w:t>
      </w:r>
      <w:r w:rsidR="00696B26">
        <w:t xml:space="preserve"> be</w:t>
      </w:r>
      <w:r>
        <w:t xml:space="preserve"> given these options. Almost all who carried an Hb Bart’s affected fetus (179/182 affected fetuses) chose to terminate the pregnancy.</w:t>
      </w:r>
    </w:p>
    <w:p w14:paraId="24F9EEC7" w14:textId="77777777" w:rsidR="00AD404A" w:rsidRPr="00AD404A" w:rsidRDefault="00AD404A" w:rsidP="00C639A7">
      <w:pPr>
        <w:pStyle w:val="Heading3"/>
        <w:spacing w:before="240"/>
        <w:rPr>
          <w:color w:val="auto"/>
          <w:u w:val="single"/>
        </w:rPr>
      </w:pPr>
      <w:r w:rsidRPr="00AD404A">
        <w:rPr>
          <w:color w:val="auto"/>
          <w:u w:val="single"/>
        </w:rPr>
        <w:t>Therapeutic effectiveness (health benefit from possible changes in management)</w:t>
      </w:r>
    </w:p>
    <w:p w14:paraId="6AEA481A" w14:textId="0842BB3E" w:rsidR="00AD404A" w:rsidRDefault="00AD404A" w:rsidP="00AD404A">
      <w:r>
        <w:t xml:space="preserve">No studies were identified meeting the </w:t>
      </w:r>
      <w:r w:rsidR="00230B74">
        <w:t xml:space="preserve">PPICO </w:t>
      </w:r>
      <w:r>
        <w:t>inclusion criteria for therapeutic effectiveness</w:t>
      </w:r>
      <w:r w:rsidR="00230B74">
        <w:t xml:space="preserve"> (including but not limited to tangible health benefits, improvement of quality of life, pregnancy outcomes)</w:t>
      </w:r>
      <w:r>
        <w:t>.</w:t>
      </w:r>
    </w:p>
    <w:p w14:paraId="38DD0C13" w14:textId="41892AFD" w:rsidR="00AD404A" w:rsidRDefault="00AD404A" w:rsidP="00C639A7">
      <w:pPr>
        <w:spacing w:before="240"/>
      </w:pPr>
      <w:r w:rsidRPr="00661CE1">
        <w:t xml:space="preserve">The primary benefits (or harms) of management changes from deletion testing are expected to be those associated with reproductive choices made available to couples by the genetic information provided by the test. The same level of certainty about a genetic alteration is not available without deletion testing or another form of genetic testing. </w:t>
      </w:r>
    </w:p>
    <w:p w14:paraId="107132E2" w14:textId="0F97F04F" w:rsidR="00F37B9C" w:rsidRDefault="00F37B9C" w:rsidP="00C639A7">
      <w:pPr>
        <w:keepNext/>
        <w:keepLines/>
        <w:tabs>
          <w:tab w:val="left" w:pos="720"/>
          <w:tab w:val="left" w:pos="1140"/>
        </w:tabs>
        <w:spacing w:before="240" w:after="120"/>
        <w:rPr>
          <w:b/>
          <w:szCs w:val="24"/>
        </w:rPr>
      </w:pPr>
      <w:r w:rsidRPr="00F37B9C">
        <w:rPr>
          <w:b/>
          <w:szCs w:val="24"/>
        </w:rPr>
        <w:lastRenderedPageBreak/>
        <w:t>Clinical Claim</w:t>
      </w:r>
    </w:p>
    <w:p w14:paraId="7228D6F2" w14:textId="745628C9" w:rsidR="00AD404A" w:rsidRPr="00AD404A" w:rsidRDefault="00AD404A" w:rsidP="00C639A7">
      <w:pPr>
        <w:keepNext/>
        <w:keepLines/>
      </w:pPr>
      <w:r w:rsidRPr="00DD2C62">
        <w:t xml:space="preserve">The clinical evaluation suggested that, relative to </w:t>
      </w:r>
      <w:r>
        <w:t>a couple’s risk of carrying Hb Bart’s</w:t>
      </w:r>
      <w:r w:rsidRPr="00DD2C62">
        <w:t xml:space="preserve"> </w:t>
      </w:r>
      <w:r>
        <w:t xml:space="preserve">fetus </w:t>
      </w:r>
      <w:r w:rsidRPr="00DD2C62">
        <w:t>being determined based on screening tests alone, genetic deletion</w:t>
      </w:r>
      <w:r w:rsidR="005C1281">
        <w:t xml:space="preserve"> </w:t>
      </w:r>
      <w:r w:rsidRPr="00DD2C62">
        <w:t>testing for α thalassaemia has non-inferior safety and superior effectiveness.</w:t>
      </w:r>
    </w:p>
    <w:p w14:paraId="23CAE9EB" w14:textId="77777777" w:rsidR="00BC1364" w:rsidRPr="00F715D1" w:rsidRDefault="00BC1364" w:rsidP="00781710">
      <w:pPr>
        <w:pStyle w:val="Heading1"/>
        <w:ind w:left="567" w:hanging="567"/>
      </w:pPr>
      <w:r w:rsidRPr="00F715D1">
        <w:t>Economic evaluation</w:t>
      </w:r>
    </w:p>
    <w:p w14:paraId="5853C1BE" w14:textId="44EED4C1" w:rsidR="00DC3816" w:rsidRDefault="00DC3816" w:rsidP="00DC3816">
      <w:r>
        <w:t>The summary of the CAs economic evaluation is presented in</w:t>
      </w:r>
      <w:bookmarkStart w:id="9" w:name="_Ref535395875"/>
      <w:r w:rsidR="00C639A7">
        <w:t>Table 6</w:t>
      </w:r>
    </w:p>
    <w:p w14:paraId="203C84B2" w14:textId="11085AFE" w:rsidR="00DC3816" w:rsidRPr="00492A3A" w:rsidRDefault="00DC3816" w:rsidP="00492A3A">
      <w:pPr>
        <w:spacing w:before="240"/>
        <w:rPr>
          <w:rFonts w:ascii="Arial Narrow" w:hAnsi="Arial Narrow"/>
          <w:b/>
          <w:sz w:val="20"/>
        </w:rPr>
      </w:pPr>
      <w:r w:rsidRPr="00492A3A">
        <w:rPr>
          <w:rFonts w:ascii="Arial Narrow" w:hAnsi="Arial Narrow"/>
          <w:b/>
          <w:sz w:val="20"/>
        </w:rPr>
        <w:t xml:space="preserve">Table </w:t>
      </w:r>
      <w:r w:rsidRPr="00492A3A">
        <w:rPr>
          <w:rFonts w:ascii="Arial Narrow" w:hAnsi="Arial Narrow"/>
          <w:b/>
          <w:sz w:val="20"/>
        </w:rPr>
        <w:fldChar w:fldCharType="begin"/>
      </w:r>
      <w:r w:rsidRPr="00492A3A">
        <w:rPr>
          <w:rFonts w:ascii="Arial Narrow" w:hAnsi="Arial Narrow"/>
          <w:b/>
          <w:sz w:val="20"/>
        </w:rPr>
        <w:instrText xml:space="preserve"> SEQ Table \* ARABIC </w:instrText>
      </w:r>
      <w:r w:rsidRPr="00492A3A">
        <w:rPr>
          <w:rFonts w:ascii="Arial Narrow" w:hAnsi="Arial Narrow"/>
          <w:b/>
          <w:sz w:val="20"/>
        </w:rPr>
        <w:fldChar w:fldCharType="separate"/>
      </w:r>
      <w:r w:rsidR="00F37DD4" w:rsidRPr="00492A3A">
        <w:rPr>
          <w:rFonts w:ascii="Arial Narrow" w:hAnsi="Arial Narrow"/>
          <w:b/>
          <w:sz w:val="20"/>
        </w:rPr>
        <w:t>6</w:t>
      </w:r>
      <w:r w:rsidRPr="00492A3A">
        <w:rPr>
          <w:rFonts w:ascii="Arial Narrow" w:hAnsi="Arial Narrow"/>
          <w:b/>
          <w:sz w:val="20"/>
        </w:rPr>
        <w:fldChar w:fldCharType="end"/>
      </w:r>
      <w:bookmarkEnd w:id="9"/>
      <w:r w:rsidRPr="00492A3A">
        <w:rPr>
          <w:rFonts w:ascii="Arial Narrow" w:hAnsi="Arial Narrow"/>
          <w:b/>
          <w:sz w:val="20"/>
        </w:rPr>
        <w:tab/>
        <w:t>Summary of the economic evaluation</w:t>
      </w:r>
    </w:p>
    <w:tbl>
      <w:tblPr>
        <w:tblStyle w:val="TableGrid1"/>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829"/>
        <w:gridCol w:w="6187"/>
      </w:tblGrid>
      <w:tr w:rsidR="00DC3816" w:rsidRPr="00183E4D" w14:paraId="52C62B49" w14:textId="77777777" w:rsidTr="007A426A">
        <w:trPr>
          <w:cnfStyle w:val="100000000000" w:firstRow="1" w:lastRow="0" w:firstColumn="0" w:lastColumn="0" w:oddVBand="0" w:evenVBand="0" w:oddHBand="0" w:evenHBand="0" w:firstRowFirstColumn="0" w:firstRowLastColumn="0" w:lastRowFirstColumn="0" w:lastRowLastColumn="0"/>
          <w:trHeight w:val="20"/>
          <w:tblHeader/>
        </w:trPr>
        <w:tc>
          <w:tcPr>
            <w:tcW w:w="1569" w:type="pct"/>
          </w:tcPr>
          <w:p w14:paraId="4CBB5F01" w14:textId="77777777" w:rsidR="00DC3816" w:rsidRPr="00980507" w:rsidRDefault="00DC3816" w:rsidP="00EC5C6F">
            <w:pPr>
              <w:pStyle w:val="TableText"/>
              <w:rPr>
                <w:b/>
              </w:rPr>
            </w:pPr>
            <w:r w:rsidRPr="00980507">
              <w:rPr>
                <w:b/>
              </w:rPr>
              <w:t>Perspective</w:t>
            </w:r>
          </w:p>
        </w:tc>
        <w:tc>
          <w:tcPr>
            <w:tcW w:w="3431" w:type="pct"/>
          </w:tcPr>
          <w:p w14:paraId="4B3887FF" w14:textId="77777777" w:rsidR="00DC3816" w:rsidRPr="009611FA" w:rsidRDefault="00DC3816" w:rsidP="00EC5C6F">
            <w:pPr>
              <w:pStyle w:val="TableText"/>
            </w:pPr>
            <w:r w:rsidRPr="009611FA">
              <w:t>Australian healthcare system (direct health care costs only)</w:t>
            </w:r>
          </w:p>
        </w:tc>
      </w:tr>
      <w:tr w:rsidR="00DC3816" w:rsidRPr="00183E4D" w14:paraId="7BF05627" w14:textId="77777777" w:rsidTr="007A426A">
        <w:trPr>
          <w:trHeight w:val="20"/>
        </w:trPr>
        <w:tc>
          <w:tcPr>
            <w:tcW w:w="1569" w:type="pct"/>
          </w:tcPr>
          <w:p w14:paraId="17776DB5" w14:textId="77777777" w:rsidR="00DC3816" w:rsidRPr="00980507" w:rsidRDefault="00DC3816" w:rsidP="00EC5C6F">
            <w:pPr>
              <w:pStyle w:val="TableText"/>
              <w:rPr>
                <w:b/>
              </w:rPr>
            </w:pPr>
            <w:r w:rsidRPr="00980507">
              <w:rPr>
                <w:b/>
              </w:rPr>
              <w:t>Population</w:t>
            </w:r>
          </w:p>
        </w:tc>
        <w:tc>
          <w:tcPr>
            <w:tcW w:w="3431" w:type="pct"/>
          </w:tcPr>
          <w:p w14:paraId="5BB87897" w14:textId="77777777" w:rsidR="00DC3816" w:rsidRPr="009611FA" w:rsidRDefault="00DC3816" w:rsidP="00DC3816">
            <w:pPr>
              <w:pStyle w:val="TableText"/>
              <w:numPr>
                <w:ilvl w:val="0"/>
                <w:numId w:val="36"/>
              </w:numPr>
              <w:ind w:left="319" w:hanging="284"/>
            </w:pPr>
            <w:r w:rsidRPr="009611FA">
              <w:t>Couples that are planning pregnancy</w:t>
            </w:r>
          </w:p>
          <w:p w14:paraId="4EF72FC4" w14:textId="77777777" w:rsidR="00DC3816" w:rsidRPr="009611FA" w:rsidRDefault="00DC3816" w:rsidP="00DC3816">
            <w:pPr>
              <w:pStyle w:val="TableText"/>
              <w:numPr>
                <w:ilvl w:val="0"/>
                <w:numId w:val="36"/>
              </w:numPr>
              <w:ind w:left="319" w:hanging="284"/>
            </w:pPr>
            <w:r w:rsidRPr="009611FA">
              <w:t>Couples that are pregnant</w:t>
            </w:r>
          </w:p>
        </w:tc>
      </w:tr>
      <w:tr w:rsidR="00DC3816" w:rsidRPr="00183E4D" w14:paraId="6B997B0F" w14:textId="77777777" w:rsidTr="007A426A">
        <w:trPr>
          <w:trHeight w:val="20"/>
        </w:trPr>
        <w:tc>
          <w:tcPr>
            <w:tcW w:w="1569" w:type="pct"/>
          </w:tcPr>
          <w:p w14:paraId="4E262235" w14:textId="77777777" w:rsidR="00DC3816" w:rsidRPr="00980507" w:rsidRDefault="00DC3816" w:rsidP="00EC5C6F">
            <w:pPr>
              <w:pStyle w:val="TableText"/>
              <w:rPr>
                <w:b/>
              </w:rPr>
            </w:pPr>
            <w:r w:rsidRPr="00980507">
              <w:rPr>
                <w:b/>
              </w:rPr>
              <w:t>Prior testing</w:t>
            </w:r>
          </w:p>
        </w:tc>
        <w:tc>
          <w:tcPr>
            <w:tcW w:w="3431" w:type="pct"/>
          </w:tcPr>
          <w:p w14:paraId="27FB37D4" w14:textId="77777777" w:rsidR="00DC3816" w:rsidRPr="009611FA" w:rsidRDefault="00DC3816" w:rsidP="00EC5C6F">
            <w:pPr>
              <w:pStyle w:val="TableText"/>
            </w:pPr>
            <w:r w:rsidRPr="009611FA">
              <w:t>FBC, ferritin and thalassaemia studies</w:t>
            </w:r>
          </w:p>
        </w:tc>
      </w:tr>
      <w:tr w:rsidR="00DC3816" w:rsidRPr="00183E4D" w14:paraId="385F717D" w14:textId="77777777" w:rsidTr="007A426A">
        <w:trPr>
          <w:trHeight w:val="20"/>
        </w:trPr>
        <w:tc>
          <w:tcPr>
            <w:tcW w:w="1569" w:type="pct"/>
          </w:tcPr>
          <w:p w14:paraId="7A12CD61" w14:textId="77777777" w:rsidR="00DC3816" w:rsidRPr="00980507" w:rsidRDefault="00DC3816" w:rsidP="00EC5C6F">
            <w:pPr>
              <w:pStyle w:val="TableText"/>
              <w:rPr>
                <w:b/>
              </w:rPr>
            </w:pPr>
            <w:r w:rsidRPr="00980507">
              <w:rPr>
                <w:b/>
              </w:rPr>
              <w:t>Comparator</w:t>
            </w:r>
          </w:p>
        </w:tc>
        <w:tc>
          <w:tcPr>
            <w:tcW w:w="3431" w:type="pct"/>
          </w:tcPr>
          <w:p w14:paraId="3E5E07D6" w14:textId="77777777" w:rsidR="00DC3816" w:rsidRPr="009611FA" w:rsidRDefault="00DC3816" w:rsidP="00EC5C6F">
            <w:pPr>
              <w:pStyle w:val="TableText"/>
            </w:pPr>
            <w:r w:rsidRPr="009611FA">
              <w:t>No testing</w:t>
            </w:r>
            <w:r w:rsidRPr="003C42A5">
              <w:rPr>
                <w:vertAlign w:val="superscript"/>
              </w:rPr>
              <w:t xml:space="preserve"> a</w:t>
            </w:r>
          </w:p>
        </w:tc>
      </w:tr>
      <w:tr w:rsidR="00DC3816" w:rsidRPr="00183E4D" w14:paraId="5D38A6B9" w14:textId="77777777" w:rsidTr="007A426A">
        <w:trPr>
          <w:trHeight w:val="20"/>
        </w:trPr>
        <w:tc>
          <w:tcPr>
            <w:tcW w:w="1569" w:type="pct"/>
          </w:tcPr>
          <w:p w14:paraId="40918C98" w14:textId="77777777" w:rsidR="00DC3816" w:rsidRPr="00980507" w:rsidRDefault="00DC3816" w:rsidP="00EC5C6F">
            <w:pPr>
              <w:pStyle w:val="TableText"/>
              <w:rPr>
                <w:b/>
              </w:rPr>
            </w:pPr>
            <w:r w:rsidRPr="00980507">
              <w:rPr>
                <w:b/>
              </w:rPr>
              <w:t>Type of economic evaluation</w:t>
            </w:r>
          </w:p>
        </w:tc>
        <w:tc>
          <w:tcPr>
            <w:tcW w:w="3431" w:type="pct"/>
          </w:tcPr>
          <w:p w14:paraId="2ACB884C" w14:textId="77777777" w:rsidR="00DC3816" w:rsidRPr="009611FA" w:rsidRDefault="00DC3816" w:rsidP="00EC5C6F">
            <w:pPr>
              <w:pStyle w:val="TableText"/>
            </w:pPr>
            <w:r w:rsidRPr="009611FA">
              <w:t>Cost-effectiveness analysis.</w:t>
            </w:r>
          </w:p>
        </w:tc>
      </w:tr>
      <w:tr w:rsidR="00DC3816" w:rsidRPr="00183E4D" w14:paraId="03CCF9EA" w14:textId="77777777" w:rsidTr="007A426A">
        <w:trPr>
          <w:trHeight w:val="20"/>
        </w:trPr>
        <w:tc>
          <w:tcPr>
            <w:tcW w:w="1569" w:type="pct"/>
          </w:tcPr>
          <w:p w14:paraId="6160DC40" w14:textId="77777777" w:rsidR="00DC3816" w:rsidRPr="00980507" w:rsidRDefault="00DC3816" w:rsidP="00EC5C6F">
            <w:pPr>
              <w:pStyle w:val="TableText"/>
              <w:rPr>
                <w:b/>
              </w:rPr>
            </w:pPr>
            <w:r w:rsidRPr="00980507">
              <w:rPr>
                <w:b/>
              </w:rPr>
              <w:t>Outcomes</w:t>
            </w:r>
          </w:p>
        </w:tc>
        <w:tc>
          <w:tcPr>
            <w:tcW w:w="3431" w:type="pct"/>
          </w:tcPr>
          <w:p w14:paraId="5BEE634F" w14:textId="77777777" w:rsidR="00DC3816" w:rsidRPr="009611FA" w:rsidRDefault="00DC3816" w:rsidP="00DC3816">
            <w:pPr>
              <w:pStyle w:val="TableText"/>
              <w:numPr>
                <w:ilvl w:val="0"/>
                <w:numId w:val="37"/>
              </w:numPr>
              <w:ind w:left="328" w:hanging="283"/>
            </w:pPr>
            <w:r w:rsidRPr="009611FA">
              <w:t>In couples planning pregnancy</w:t>
            </w:r>
          </w:p>
          <w:p w14:paraId="6364A24B" w14:textId="77777777" w:rsidR="00DC3816" w:rsidRDefault="00DC3816" w:rsidP="00DC3816">
            <w:pPr>
              <w:pStyle w:val="TableText"/>
              <w:numPr>
                <w:ilvl w:val="0"/>
                <w:numId w:val="40"/>
              </w:numPr>
              <w:ind w:left="753" w:hanging="283"/>
            </w:pPr>
            <w:r w:rsidRPr="00105EB3">
              <w:t xml:space="preserve">Cost per couple </w:t>
            </w:r>
            <w:r>
              <w:t xml:space="preserve">that is </w:t>
            </w:r>
            <w:r w:rsidRPr="00135B21">
              <w:t xml:space="preserve">genetically confirmed as being at risk of having a fetus affected by Hb Bart’s </w:t>
            </w:r>
            <w:r w:rsidRPr="00105EB3">
              <w:t>(enabling careful family planning)</w:t>
            </w:r>
          </w:p>
          <w:p w14:paraId="26B2F3DC" w14:textId="77777777" w:rsidR="00DC3816" w:rsidRDefault="00DC3816" w:rsidP="00DC3816">
            <w:pPr>
              <w:pStyle w:val="TableText"/>
              <w:numPr>
                <w:ilvl w:val="0"/>
                <w:numId w:val="40"/>
              </w:numPr>
              <w:ind w:left="753" w:hanging="283"/>
            </w:pPr>
            <w:r>
              <w:t xml:space="preserve">Cost per couple with genetically confirmed status </w:t>
            </w:r>
            <w:r w:rsidRPr="008E4DAE">
              <w:t>(</w:t>
            </w:r>
            <w:r>
              <w:t>i.e</w:t>
            </w:r>
            <w:r w:rsidRPr="008E4DAE">
              <w:t>. correctly identifying couples at risk of Hb Bart’s and correctly identifying those not at risk)</w:t>
            </w:r>
          </w:p>
          <w:p w14:paraId="3A4205E1" w14:textId="77777777" w:rsidR="00DC3816" w:rsidRPr="009611FA" w:rsidRDefault="00DC3816" w:rsidP="00DC3816">
            <w:pPr>
              <w:pStyle w:val="TableText"/>
              <w:numPr>
                <w:ilvl w:val="0"/>
                <w:numId w:val="37"/>
              </w:numPr>
              <w:ind w:left="328" w:hanging="283"/>
            </w:pPr>
            <w:r w:rsidRPr="009611FA">
              <w:t>In couples that are pregnant</w:t>
            </w:r>
          </w:p>
          <w:p w14:paraId="11E8631B" w14:textId="77777777" w:rsidR="00DC3816" w:rsidRDefault="00DC3816" w:rsidP="00DC3816">
            <w:pPr>
              <w:pStyle w:val="TableText"/>
              <w:numPr>
                <w:ilvl w:val="0"/>
                <w:numId w:val="39"/>
              </w:numPr>
              <w:ind w:left="753" w:hanging="283"/>
            </w:pPr>
            <w:r w:rsidRPr="00105EB3">
              <w:t xml:space="preserve">Cost </w:t>
            </w:r>
            <w:r w:rsidRPr="00135B21">
              <w:t xml:space="preserve">per couple that is genetically confirmed as being at risk of having a fetus affected by Hb Bart’s </w:t>
            </w:r>
            <w:r w:rsidRPr="00105EB3">
              <w:t>(enabling careful family planning)</w:t>
            </w:r>
          </w:p>
          <w:p w14:paraId="1B2EB889" w14:textId="77777777" w:rsidR="00DC3816" w:rsidRDefault="00DC3816" w:rsidP="00DC3816">
            <w:pPr>
              <w:pStyle w:val="TableText"/>
              <w:numPr>
                <w:ilvl w:val="0"/>
                <w:numId w:val="39"/>
              </w:numPr>
              <w:ind w:left="753" w:hanging="283"/>
            </w:pPr>
            <w:r w:rsidRPr="00135B21">
              <w:t>Cost per couple with genetically confirmed status (i.e. correctly identifying couples at risk of Hb Bart’s and correctly identifying those not at risk)</w:t>
            </w:r>
          </w:p>
          <w:p w14:paraId="6A6A1C4F" w14:textId="77777777" w:rsidR="00DC3816" w:rsidRPr="009611FA" w:rsidRDefault="00DC3816" w:rsidP="00DC3816">
            <w:pPr>
              <w:pStyle w:val="TableText"/>
              <w:numPr>
                <w:ilvl w:val="0"/>
                <w:numId w:val="39"/>
              </w:numPr>
              <w:ind w:left="753" w:hanging="283"/>
            </w:pPr>
            <w:r w:rsidRPr="00563A9B">
              <w:t xml:space="preserve">Cost per </w:t>
            </w:r>
            <w:r>
              <w:t>avoided case of</w:t>
            </w:r>
            <w:r w:rsidRPr="00563A9B">
              <w:t xml:space="preserve"> Hb </w:t>
            </w:r>
            <w:r>
              <w:t>Bart’s</w:t>
            </w:r>
            <w:r w:rsidRPr="00563A9B">
              <w:t xml:space="preserve"> </w:t>
            </w:r>
            <w:r>
              <w:t xml:space="preserve">that is </w:t>
            </w:r>
            <w:r w:rsidRPr="00563A9B">
              <w:t>terminated late, stillborn or die</w:t>
            </w:r>
            <w:r>
              <w:t>s</w:t>
            </w:r>
            <w:r w:rsidRPr="00563A9B">
              <w:t xml:space="preserve"> shortly after birth</w:t>
            </w:r>
          </w:p>
        </w:tc>
      </w:tr>
      <w:tr w:rsidR="00DC3816" w:rsidRPr="00183E4D" w14:paraId="401229C8" w14:textId="77777777" w:rsidTr="007A426A">
        <w:trPr>
          <w:trHeight w:val="20"/>
        </w:trPr>
        <w:tc>
          <w:tcPr>
            <w:tcW w:w="1569" w:type="pct"/>
          </w:tcPr>
          <w:p w14:paraId="699C391B" w14:textId="77777777" w:rsidR="00DC3816" w:rsidRPr="00980507" w:rsidRDefault="00DC3816" w:rsidP="00EC5C6F">
            <w:pPr>
              <w:pStyle w:val="TableText"/>
              <w:rPr>
                <w:b/>
              </w:rPr>
            </w:pPr>
            <w:r w:rsidRPr="00980507">
              <w:rPr>
                <w:b/>
              </w:rPr>
              <w:t>Sources of evidence</w:t>
            </w:r>
          </w:p>
        </w:tc>
        <w:tc>
          <w:tcPr>
            <w:tcW w:w="3431" w:type="pct"/>
          </w:tcPr>
          <w:p w14:paraId="2947BC5E" w14:textId="77777777" w:rsidR="00DC3816" w:rsidRPr="009611FA" w:rsidRDefault="00DC3816" w:rsidP="00EC5C6F">
            <w:pPr>
              <w:pStyle w:val="TableText"/>
            </w:pPr>
            <w:r w:rsidRPr="009611FA">
              <w:t>Systematic review</w:t>
            </w:r>
          </w:p>
        </w:tc>
      </w:tr>
      <w:tr w:rsidR="00DC3816" w:rsidRPr="00183E4D" w14:paraId="5C2FC7F6" w14:textId="77777777" w:rsidTr="007A426A">
        <w:trPr>
          <w:trHeight w:val="20"/>
        </w:trPr>
        <w:tc>
          <w:tcPr>
            <w:tcW w:w="1569" w:type="pct"/>
            <w:hideMark/>
          </w:tcPr>
          <w:p w14:paraId="13D9AA03" w14:textId="77777777" w:rsidR="00DC3816" w:rsidRPr="00980507" w:rsidRDefault="00DC3816" w:rsidP="00EC5C6F">
            <w:pPr>
              <w:pStyle w:val="TableText"/>
              <w:rPr>
                <w:b/>
              </w:rPr>
            </w:pPr>
            <w:r w:rsidRPr="00980507">
              <w:rPr>
                <w:b/>
              </w:rPr>
              <w:t>Time horizon</w:t>
            </w:r>
          </w:p>
        </w:tc>
        <w:tc>
          <w:tcPr>
            <w:tcW w:w="3431" w:type="pct"/>
            <w:hideMark/>
          </w:tcPr>
          <w:p w14:paraId="205BEC17" w14:textId="77777777" w:rsidR="00DC3816" w:rsidRDefault="00DC3816" w:rsidP="00EC5C6F">
            <w:pPr>
              <w:pStyle w:val="TableText"/>
            </w:pPr>
            <w:r>
              <w:t>Short-term (less than one year).</w:t>
            </w:r>
          </w:p>
          <w:p w14:paraId="017CEE46" w14:textId="77777777" w:rsidR="00DC3816" w:rsidRDefault="00DC3816" w:rsidP="00DC3816">
            <w:pPr>
              <w:pStyle w:val="TableText"/>
              <w:numPr>
                <w:ilvl w:val="0"/>
                <w:numId w:val="38"/>
              </w:numPr>
              <w:ind w:left="319" w:hanging="284"/>
            </w:pPr>
            <w:r w:rsidRPr="009611FA">
              <w:t xml:space="preserve">In couples planning pregnancy: time to identify the couples risk of Hb </w:t>
            </w:r>
            <w:r>
              <w:t>Bart’s</w:t>
            </w:r>
            <w:r w:rsidRPr="009611FA">
              <w:t xml:space="preserve"> </w:t>
            </w:r>
          </w:p>
          <w:p w14:paraId="30CDA495" w14:textId="77777777" w:rsidR="00DC3816" w:rsidRPr="009611FA" w:rsidRDefault="00DC3816" w:rsidP="00DC3816">
            <w:pPr>
              <w:pStyle w:val="TableText"/>
              <w:numPr>
                <w:ilvl w:val="0"/>
                <w:numId w:val="38"/>
              </w:numPr>
              <w:ind w:left="319" w:hanging="284"/>
            </w:pPr>
            <w:r w:rsidRPr="009611FA">
              <w:t>In couples that are pregnant: time to reach a diagnosis in the fetus</w:t>
            </w:r>
          </w:p>
        </w:tc>
      </w:tr>
      <w:tr w:rsidR="00DC3816" w:rsidRPr="00183E4D" w14:paraId="191DE3F3" w14:textId="77777777" w:rsidTr="007A426A">
        <w:trPr>
          <w:trHeight w:val="20"/>
        </w:trPr>
        <w:tc>
          <w:tcPr>
            <w:tcW w:w="1569" w:type="pct"/>
            <w:hideMark/>
          </w:tcPr>
          <w:p w14:paraId="301719EC" w14:textId="77777777" w:rsidR="00DC3816" w:rsidRPr="00980507" w:rsidRDefault="00DC3816" w:rsidP="00EC5C6F">
            <w:pPr>
              <w:pStyle w:val="TableText"/>
              <w:rPr>
                <w:b/>
              </w:rPr>
            </w:pPr>
            <w:r w:rsidRPr="00980507">
              <w:rPr>
                <w:b/>
              </w:rPr>
              <w:t>Methods used to generate results</w:t>
            </w:r>
          </w:p>
        </w:tc>
        <w:tc>
          <w:tcPr>
            <w:tcW w:w="3431" w:type="pct"/>
          </w:tcPr>
          <w:p w14:paraId="014A43F6" w14:textId="77777777" w:rsidR="00DC3816" w:rsidRPr="009611FA" w:rsidRDefault="00DC3816" w:rsidP="00EC5C6F">
            <w:pPr>
              <w:pStyle w:val="TableText"/>
            </w:pPr>
            <w:r w:rsidRPr="009611FA">
              <w:t>Decision tree analysis</w:t>
            </w:r>
          </w:p>
        </w:tc>
      </w:tr>
      <w:tr w:rsidR="00DC3816" w:rsidRPr="00183E4D" w14:paraId="3E24746D" w14:textId="77777777" w:rsidTr="007A426A">
        <w:trPr>
          <w:trHeight w:val="20"/>
        </w:trPr>
        <w:tc>
          <w:tcPr>
            <w:tcW w:w="1569" w:type="pct"/>
            <w:hideMark/>
          </w:tcPr>
          <w:p w14:paraId="2ABEA1DE" w14:textId="77777777" w:rsidR="00DC3816" w:rsidRPr="00980507" w:rsidRDefault="00DC3816" w:rsidP="00EC5C6F">
            <w:pPr>
              <w:pStyle w:val="TableText"/>
              <w:rPr>
                <w:b/>
              </w:rPr>
            </w:pPr>
            <w:r w:rsidRPr="00980507">
              <w:rPr>
                <w:b/>
              </w:rPr>
              <w:t>Software packages used</w:t>
            </w:r>
          </w:p>
        </w:tc>
        <w:tc>
          <w:tcPr>
            <w:tcW w:w="3431" w:type="pct"/>
          </w:tcPr>
          <w:p w14:paraId="6E5496A7" w14:textId="77777777" w:rsidR="00DC3816" w:rsidRPr="00183E4D" w:rsidRDefault="00DC3816" w:rsidP="00EC5C6F">
            <w:pPr>
              <w:pStyle w:val="TableText"/>
            </w:pPr>
            <w:r>
              <w:t>Microsoft Excel and TreeAge Pro</w:t>
            </w:r>
          </w:p>
        </w:tc>
      </w:tr>
    </w:tbl>
    <w:p w14:paraId="17933D1C" w14:textId="77777777" w:rsidR="00DC3816" w:rsidRDefault="00DC3816" w:rsidP="004E5F31">
      <w:pPr>
        <w:pStyle w:val="Tablenotes"/>
        <w:spacing w:after="0"/>
      </w:pPr>
      <w:r>
        <w:t>FBC=full blood count.</w:t>
      </w:r>
    </w:p>
    <w:p w14:paraId="069C27E7" w14:textId="77777777" w:rsidR="00DC3816" w:rsidRDefault="00DC3816" w:rsidP="00C639A7">
      <w:pPr>
        <w:pStyle w:val="Tablenotes"/>
      </w:pPr>
      <w:r w:rsidRPr="003C42A5">
        <w:rPr>
          <w:vertAlign w:val="superscript"/>
        </w:rPr>
        <w:t>a</w:t>
      </w:r>
      <w:r>
        <w:t xml:space="preserve"> this comparison is a hypothetical/historical context for cost-effectiveness assessment purpose. Private and State/Territory funded testing is currently available and utilised in Australian practice</w:t>
      </w:r>
    </w:p>
    <w:p w14:paraId="2C084FB5" w14:textId="403A3410" w:rsidR="00435F1A" w:rsidRDefault="00435F1A" w:rsidP="00435F1A">
      <w:r>
        <w:t xml:space="preserve">In the base case analysis, only couples that are at risk of Hb Bart’s due to common deletions will be identified (i.e. those within the black box denoted in </w:t>
      </w:r>
      <w:r>
        <w:fldChar w:fldCharType="begin"/>
      </w:r>
      <w:r>
        <w:instrText xml:space="preserve"> REF _Ref524951841 \h </w:instrText>
      </w:r>
      <w:r>
        <w:fldChar w:fldCharType="separate"/>
      </w:r>
      <w:r w:rsidR="00F37DD4">
        <w:t>Figure 3</w:t>
      </w:r>
      <w:r>
        <w:fldChar w:fldCharType="end"/>
      </w:r>
      <w:r>
        <w:t xml:space="preserve">). </w:t>
      </w:r>
      <w:r w:rsidRPr="003A3AD2">
        <w:t>Deletion testing is assumed to perfectly identify people with common deletions.</w:t>
      </w:r>
    </w:p>
    <w:p w14:paraId="6F12676B" w14:textId="5EABDDBF" w:rsidR="00435F1A" w:rsidRPr="00492A3A" w:rsidRDefault="00435F1A" w:rsidP="00492A3A">
      <w:pPr>
        <w:keepNext/>
        <w:keepLines/>
        <w:rPr>
          <w:rFonts w:ascii="Arial Narrow" w:hAnsi="Arial Narrow"/>
          <w:b/>
          <w:sz w:val="20"/>
        </w:rPr>
      </w:pPr>
      <w:bookmarkStart w:id="10" w:name="_Ref524951841"/>
      <w:bookmarkStart w:id="11" w:name="_Toc527050675"/>
      <w:r w:rsidRPr="00492A3A">
        <w:rPr>
          <w:rFonts w:ascii="Arial Narrow" w:hAnsi="Arial Narrow"/>
          <w:b/>
          <w:sz w:val="20"/>
        </w:rPr>
        <w:lastRenderedPageBreak/>
        <w:t>Figure 3</w:t>
      </w:r>
      <w:bookmarkEnd w:id="10"/>
      <w:r w:rsidRPr="00492A3A">
        <w:rPr>
          <w:rFonts w:ascii="Arial Narrow" w:hAnsi="Arial Narrow"/>
          <w:b/>
          <w:sz w:val="20"/>
        </w:rPr>
        <w:tab/>
        <w:t>Matrix to determine the couple’s risk of having an affected pregnancy</w:t>
      </w:r>
      <w:bookmarkEnd w:id="11"/>
    </w:p>
    <w:p w14:paraId="301672E0" w14:textId="77777777" w:rsidR="00435F1A" w:rsidRPr="0071244F" w:rsidRDefault="00435F1A" w:rsidP="00492A3A">
      <w:pPr>
        <w:pStyle w:val="Summaryboxtext"/>
        <w:keepNext/>
        <w:keepLines/>
        <w:spacing w:after="0" w:afterAutospacing="0"/>
        <w:rPr>
          <w:rFonts w:ascii="Calibri" w:hAnsi="Calibri"/>
          <w:noProof/>
        </w:rPr>
      </w:pPr>
      <w:r w:rsidRPr="009C1740">
        <w:rPr>
          <w:noProof/>
        </w:rPr>
        <w:drawing>
          <wp:inline distT="0" distB="0" distL="0" distR="0" wp14:anchorId="1A76BE9F" wp14:editId="587B9182">
            <wp:extent cx="6010275" cy="2114532"/>
            <wp:effectExtent l="0" t="0" r="0" b="635"/>
            <wp:docPr id="13" name="Picture 13" descr="Matrix to determine the couple’s risk of having an affected pregnancy" title="Matrix to determine the couple’s risk of having an affected preg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931" cy="2121799"/>
                    </a:xfrm>
                    <a:prstGeom prst="rect">
                      <a:avLst/>
                    </a:prstGeom>
                    <a:noFill/>
                    <a:ln>
                      <a:noFill/>
                    </a:ln>
                  </pic:spPr>
                </pic:pic>
              </a:graphicData>
            </a:graphic>
          </wp:inline>
        </w:drawing>
      </w:r>
    </w:p>
    <w:p w14:paraId="6841D0B7" w14:textId="77777777" w:rsidR="00435F1A" w:rsidRDefault="00435F1A" w:rsidP="004E5F31">
      <w:pPr>
        <w:pStyle w:val="Tablenotes"/>
        <w:spacing w:after="0"/>
      </w:pPr>
      <w:r w:rsidRPr="00BD07BE">
        <w:rPr>
          <w:shd w:val="clear" w:color="auto" w:fill="FF0000"/>
        </w:rPr>
        <w:t>Red cells</w:t>
      </w:r>
      <w:r>
        <w:t xml:space="preserve"> denote risk of Hb Bart’s only; </w:t>
      </w:r>
      <w:r w:rsidRPr="00762D62">
        <w:rPr>
          <w:color w:val="000000" w:themeColor="text1"/>
          <w:shd w:val="clear" w:color="auto" w:fill="C00000"/>
        </w:rPr>
        <w:t xml:space="preserve">Maroon cells </w:t>
      </w:r>
      <w:r w:rsidRPr="00762D62">
        <w:rPr>
          <w:color w:val="000000" w:themeColor="text1"/>
        </w:rPr>
        <w:t xml:space="preserve">denote </w:t>
      </w:r>
      <w:r>
        <w:t xml:space="preserve">risk of Hb Bart’s and non-deletion HbH; and </w:t>
      </w:r>
      <w:r w:rsidRPr="00BD07BE">
        <w:rPr>
          <w:shd w:val="clear" w:color="auto" w:fill="E36C0A" w:themeFill="accent6" w:themeFillShade="BF"/>
        </w:rPr>
        <w:t>Brown cells</w:t>
      </w:r>
      <w:r>
        <w:t xml:space="preserve"> denote risk of non-deletion HbH only. </w:t>
      </w:r>
      <w:r w:rsidRPr="00610DFF">
        <w:rPr>
          <w:bdr w:val="single" w:sz="8" w:space="0" w:color="auto"/>
        </w:rPr>
        <w:t>Black box</w:t>
      </w:r>
      <w:r>
        <w:t xml:space="preserve"> denotes genotypes identified by common deletion testing only.</w:t>
      </w:r>
    </w:p>
    <w:p w14:paraId="6691B70F" w14:textId="37C71ACD" w:rsidR="00435F1A" w:rsidRDefault="004E5F31" w:rsidP="004E5F31">
      <w:pPr>
        <w:pStyle w:val="Tablenotes"/>
      </w:pPr>
      <w:r>
        <w:t xml:space="preserve">NDM = non-deletion mutation. </w:t>
      </w:r>
    </w:p>
    <w:p w14:paraId="13B8005E" w14:textId="25CB19CA" w:rsidR="00DC3816" w:rsidRPr="00183E4D" w:rsidRDefault="00DC3816" w:rsidP="00DC3816">
      <w:r w:rsidRPr="00183E4D">
        <w:t xml:space="preserve">The overall costs and outcomes, and incremental costs and outcomes as calculated </w:t>
      </w:r>
      <w:r>
        <w:t xml:space="preserve">in the presence and absence of genetic deletion testing </w:t>
      </w:r>
      <w:r w:rsidR="005C1281">
        <w:t xml:space="preserve">using GAP-PCR </w:t>
      </w:r>
      <w:r>
        <w:t>for α thalassaemia</w:t>
      </w:r>
      <w:r w:rsidRPr="00183E4D">
        <w:t xml:space="preserve">, are shown in </w:t>
      </w:r>
      <w:r>
        <w:fldChar w:fldCharType="begin"/>
      </w:r>
      <w:r>
        <w:instrText xml:space="preserve"> REF _Ref526505856 \h </w:instrText>
      </w:r>
      <w:r>
        <w:fldChar w:fldCharType="separate"/>
      </w:r>
      <w:r w:rsidR="00F37DD4">
        <w:t xml:space="preserve">Table </w:t>
      </w:r>
      <w:r w:rsidR="00F37DD4">
        <w:rPr>
          <w:noProof/>
        </w:rPr>
        <w:t>7</w:t>
      </w:r>
      <w:r>
        <w:fldChar w:fldCharType="end"/>
      </w:r>
      <w:r>
        <w:t xml:space="preserve"> and </w:t>
      </w:r>
      <w:r>
        <w:fldChar w:fldCharType="begin"/>
      </w:r>
      <w:r>
        <w:instrText xml:space="preserve"> REF _Ref526505861 \h </w:instrText>
      </w:r>
      <w:r>
        <w:fldChar w:fldCharType="separate"/>
      </w:r>
      <w:r w:rsidR="00F37DD4">
        <w:t xml:space="preserve">Table </w:t>
      </w:r>
      <w:r w:rsidR="00F37DD4">
        <w:rPr>
          <w:noProof/>
        </w:rPr>
        <w:t>8</w:t>
      </w:r>
      <w:r>
        <w:fldChar w:fldCharType="end"/>
      </w:r>
      <w:r>
        <w:t xml:space="preserve"> for couples who are planning pregnancy and those that are already pregnant, respectively</w:t>
      </w:r>
      <w:r w:rsidRPr="00183E4D">
        <w:t>.</w:t>
      </w:r>
      <w:r w:rsidR="007670AA">
        <w:t xml:space="preserve"> </w:t>
      </w:r>
      <w:r w:rsidR="007670AA" w:rsidRPr="007670AA">
        <w:t xml:space="preserve">The </w:t>
      </w:r>
      <w:r w:rsidR="007670AA">
        <w:t xml:space="preserve">base case analysis used the </w:t>
      </w:r>
      <w:r w:rsidR="007670AA" w:rsidRPr="007670AA">
        <w:t xml:space="preserve">proposed item fee for α thalassaemia deletion testing </w:t>
      </w:r>
      <w:r w:rsidR="007670AA">
        <w:t xml:space="preserve">using GAP-PCR of </w:t>
      </w:r>
      <w:r w:rsidR="007670AA" w:rsidRPr="007670AA">
        <w:t xml:space="preserve">$100. </w:t>
      </w:r>
    </w:p>
    <w:p w14:paraId="14F2C92D" w14:textId="43519D48" w:rsidR="00DC3816" w:rsidRPr="00492A3A" w:rsidRDefault="00DC3816" w:rsidP="00492A3A">
      <w:pPr>
        <w:spacing w:before="240"/>
        <w:rPr>
          <w:rFonts w:ascii="Arial Narrow" w:hAnsi="Arial Narrow"/>
          <w:b/>
          <w:sz w:val="20"/>
        </w:rPr>
      </w:pPr>
      <w:bookmarkStart w:id="12" w:name="_Ref526505856"/>
      <w:bookmarkStart w:id="13" w:name="_Toc527050572"/>
      <w:r w:rsidRPr="00492A3A">
        <w:rPr>
          <w:rFonts w:ascii="Arial Narrow" w:hAnsi="Arial Narrow"/>
          <w:b/>
          <w:sz w:val="20"/>
        </w:rPr>
        <w:t xml:space="preserve">Table </w:t>
      </w:r>
      <w:r w:rsidRPr="00492A3A">
        <w:rPr>
          <w:rFonts w:ascii="Arial Narrow" w:hAnsi="Arial Narrow"/>
          <w:b/>
          <w:sz w:val="20"/>
        </w:rPr>
        <w:fldChar w:fldCharType="begin"/>
      </w:r>
      <w:r w:rsidRPr="00492A3A">
        <w:rPr>
          <w:rFonts w:ascii="Arial Narrow" w:hAnsi="Arial Narrow"/>
          <w:b/>
          <w:sz w:val="20"/>
        </w:rPr>
        <w:instrText xml:space="preserve"> SEQ Table \* ARABIC </w:instrText>
      </w:r>
      <w:r w:rsidRPr="00492A3A">
        <w:rPr>
          <w:rFonts w:ascii="Arial Narrow" w:hAnsi="Arial Narrow"/>
          <w:b/>
          <w:sz w:val="20"/>
        </w:rPr>
        <w:fldChar w:fldCharType="separate"/>
      </w:r>
      <w:r w:rsidR="00F37DD4" w:rsidRPr="00492A3A">
        <w:rPr>
          <w:rFonts w:ascii="Arial Narrow" w:hAnsi="Arial Narrow"/>
          <w:b/>
          <w:sz w:val="20"/>
        </w:rPr>
        <w:t>7</w:t>
      </w:r>
      <w:r w:rsidRPr="00492A3A">
        <w:rPr>
          <w:rFonts w:ascii="Arial Narrow" w:hAnsi="Arial Narrow"/>
          <w:b/>
          <w:sz w:val="20"/>
        </w:rPr>
        <w:fldChar w:fldCharType="end"/>
      </w:r>
      <w:bookmarkEnd w:id="12"/>
      <w:r w:rsidRPr="00492A3A">
        <w:rPr>
          <w:rFonts w:ascii="Arial Narrow" w:hAnsi="Arial Narrow"/>
          <w:b/>
          <w:sz w:val="20"/>
        </w:rPr>
        <w:tab/>
      </w:r>
      <w:r w:rsidRPr="00492A3A">
        <w:rPr>
          <w:rFonts w:ascii="Arial Narrow" w:hAnsi="Arial Narrow"/>
          <w:b/>
          <w:sz w:val="20"/>
        </w:rPr>
        <w:tab/>
        <w:t>Incremental cost-effectiveness in couples planning a pregnancy</w:t>
      </w:r>
      <w:bookmarkEnd w:id="13"/>
    </w:p>
    <w:tbl>
      <w:tblPr>
        <w:tblStyle w:val="TableGrid1"/>
        <w:tblW w:w="5000" w:type="pct"/>
        <w:tblLayout w:type="fixed"/>
        <w:tblLook w:val="04A0" w:firstRow="1" w:lastRow="0" w:firstColumn="1" w:lastColumn="0" w:noHBand="0" w:noVBand="1"/>
        <w:tblCaption w:val="Incremental cost-effectiveness in couples planning a pregnancy"/>
        <w:tblDescription w:val="Incremental cost-effectiveness in couples planning a pregnancy"/>
      </w:tblPr>
      <w:tblGrid>
        <w:gridCol w:w="5382"/>
        <w:gridCol w:w="1212"/>
        <w:gridCol w:w="1212"/>
        <w:gridCol w:w="1210"/>
      </w:tblGrid>
      <w:tr w:rsidR="00DC3816" w:rsidRPr="00410F7C" w14:paraId="068C9A5A" w14:textId="77777777" w:rsidTr="00EC5C6F">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411C9193" w14:textId="77777777" w:rsidR="00DC3816" w:rsidRPr="00410F7C" w:rsidRDefault="00DC3816" w:rsidP="00EC5C6F">
            <w:pPr>
              <w:pStyle w:val="TableHeading"/>
            </w:pPr>
          </w:p>
        </w:tc>
        <w:tc>
          <w:tcPr>
            <w:tcW w:w="672" w:type="pct"/>
            <w:noWrap/>
            <w:hideMark/>
          </w:tcPr>
          <w:p w14:paraId="00098029" w14:textId="77777777" w:rsidR="00DC3816" w:rsidRPr="00410F7C" w:rsidRDefault="00DC3816" w:rsidP="00EC5C6F">
            <w:pPr>
              <w:pStyle w:val="TableHeading"/>
            </w:pPr>
            <w:r w:rsidRPr="00410F7C">
              <w:t>Intervention</w:t>
            </w:r>
          </w:p>
        </w:tc>
        <w:tc>
          <w:tcPr>
            <w:tcW w:w="672" w:type="pct"/>
            <w:noWrap/>
            <w:hideMark/>
          </w:tcPr>
          <w:p w14:paraId="07864A83" w14:textId="77777777" w:rsidR="00DC3816" w:rsidRPr="00410F7C" w:rsidRDefault="00DC3816" w:rsidP="00EC5C6F">
            <w:pPr>
              <w:pStyle w:val="TableHeading"/>
            </w:pPr>
            <w:r w:rsidRPr="00410F7C">
              <w:t>Comparator</w:t>
            </w:r>
          </w:p>
        </w:tc>
        <w:tc>
          <w:tcPr>
            <w:tcW w:w="671" w:type="pct"/>
            <w:noWrap/>
            <w:hideMark/>
          </w:tcPr>
          <w:p w14:paraId="45E53E1C" w14:textId="77777777" w:rsidR="00DC3816" w:rsidRPr="00410F7C" w:rsidRDefault="00DC3816" w:rsidP="00EC5C6F">
            <w:pPr>
              <w:pStyle w:val="TableHeading"/>
            </w:pPr>
            <w:r w:rsidRPr="00410F7C">
              <w:t>Increment</w:t>
            </w:r>
          </w:p>
        </w:tc>
      </w:tr>
      <w:tr w:rsidR="00DC3816" w:rsidRPr="00410F7C" w14:paraId="1E8BB349" w14:textId="77777777" w:rsidTr="00EC5C6F">
        <w:trPr>
          <w:trHeight w:val="255"/>
        </w:trPr>
        <w:tc>
          <w:tcPr>
            <w:tcW w:w="2985" w:type="pct"/>
            <w:noWrap/>
            <w:hideMark/>
          </w:tcPr>
          <w:p w14:paraId="5B0A185B" w14:textId="77777777" w:rsidR="00DC3816" w:rsidRPr="00410F7C" w:rsidRDefault="00DC3816" w:rsidP="00EC5C6F">
            <w:pPr>
              <w:pStyle w:val="TableText"/>
            </w:pPr>
            <w:r w:rsidRPr="00410F7C">
              <w:t>Total cost</w:t>
            </w:r>
          </w:p>
        </w:tc>
        <w:tc>
          <w:tcPr>
            <w:tcW w:w="672" w:type="pct"/>
            <w:noWrap/>
            <w:hideMark/>
          </w:tcPr>
          <w:p w14:paraId="2D553499" w14:textId="77777777" w:rsidR="00DC3816" w:rsidRPr="00410F7C" w:rsidRDefault="00DC3816" w:rsidP="00EC5C6F">
            <w:pPr>
              <w:pStyle w:val="TableText"/>
              <w:jc w:val="center"/>
            </w:pPr>
            <w:r w:rsidRPr="00FF49D4">
              <w:t>$585</w:t>
            </w:r>
          </w:p>
        </w:tc>
        <w:tc>
          <w:tcPr>
            <w:tcW w:w="672" w:type="pct"/>
            <w:noWrap/>
            <w:hideMark/>
          </w:tcPr>
          <w:p w14:paraId="38CFADBF" w14:textId="77777777" w:rsidR="00DC3816" w:rsidRPr="00410F7C" w:rsidRDefault="00DC3816" w:rsidP="00EC5C6F">
            <w:pPr>
              <w:pStyle w:val="TableText"/>
              <w:jc w:val="center"/>
            </w:pPr>
            <w:r w:rsidRPr="00FF49D4">
              <w:t>$139</w:t>
            </w:r>
          </w:p>
        </w:tc>
        <w:tc>
          <w:tcPr>
            <w:tcW w:w="671" w:type="pct"/>
            <w:noWrap/>
            <w:hideMark/>
          </w:tcPr>
          <w:p w14:paraId="12493BE6" w14:textId="77777777" w:rsidR="00DC3816" w:rsidRPr="00410F7C" w:rsidRDefault="00DC3816" w:rsidP="00EC5C6F">
            <w:pPr>
              <w:pStyle w:val="TableText"/>
              <w:jc w:val="center"/>
            </w:pPr>
            <w:r w:rsidRPr="00FF49D4">
              <w:t>$445</w:t>
            </w:r>
          </w:p>
        </w:tc>
      </w:tr>
      <w:tr w:rsidR="00DC3816" w:rsidRPr="00410F7C" w14:paraId="0E5255AB" w14:textId="77777777" w:rsidTr="00EC5C6F">
        <w:trPr>
          <w:trHeight w:val="255"/>
        </w:trPr>
        <w:tc>
          <w:tcPr>
            <w:tcW w:w="2985" w:type="pct"/>
            <w:tcBorders>
              <w:bottom w:val="single" w:sz="4" w:space="0" w:color="auto"/>
            </w:tcBorders>
            <w:noWrap/>
            <w:hideMark/>
          </w:tcPr>
          <w:p w14:paraId="7069AAFE" w14:textId="77777777" w:rsidR="00DC3816" w:rsidRPr="00410F7C" w:rsidRDefault="00DC3816" w:rsidP="00EC5C6F">
            <w:pPr>
              <w:pStyle w:val="TableText"/>
            </w:pPr>
            <w:r>
              <w:t>C</w:t>
            </w:r>
            <w:r w:rsidRPr="009A69E8">
              <w:t>ouple</w:t>
            </w:r>
            <w:r>
              <w:t>s</w:t>
            </w:r>
            <w:r w:rsidRPr="009A69E8">
              <w:t xml:space="preserve"> genetically confirmed as being at risk of having a fetus affected by Hb Bart’s</w:t>
            </w:r>
          </w:p>
        </w:tc>
        <w:tc>
          <w:tcPr>
            <w:tcW w:w="672" w:type="pct"/>
            <w:tcBorders>
              <w:bottom w:val="single" w:sz="4" w:space="0" w:color="auto"/>
            </w:tcBorders>
            <w:noWrap/>
            <w:hideMark/>
          </w:tcPr>
          <w:p w14:paraId="20D1CA50" w14:textId="77777777" w:rsidR="00DC3816" w:rsidRPr="00410F7C" w:rsidRDefault="00DC3816" w:rsidP="00EC5C6F">
            <w:pPr>
              <w:pStyle w:val="TableText"/>
              <w:jc w:val="center"/>
            </w:pPr>
            <w:r w:rsidRPr="00FF49D4">
              <w:t>0.0040</w:t>
            </w:r>
          </w:p>
        </w:tc>
        <w:tc>
          <w:tcPr>
            <w:tcW w:w="672" w:type="pct"/>
            <w:tcBorders>
              <w:bottom w:val="single" w:sz="4" w:space="0" w:color="auto"/>
            </w:tcBorders>
            <w:noWrap/>
            <w:hideMark/>
          </w:tcPr>
          <w:p w14:paraId="2B4B123D" w14:textId="77777777" w:rsidR="00DC3816" w:rsidRPr="00410F7C" w:rsidRDefault="00DC3816" w:rsidP="00EC5C6F">
            <w:pPr>
              <w:pStyle w:val="TableText"/>
              <w:jc w:val="center"/>
            </w:pPr>
            <w:r w:rsidRPr="00FF49D4">
              <w:t>0.0000</w:t>
            </w:r>
          </w:p>
        </w:tc>
        <w:tc>
          <w:tcPr>
            <w:tcW w:w="671" w:type="pct"/>
            <w:tcBorders>
              <w:bottom w:val="single" w:sz="4" w:space="0" w:color="auto"/>
            </w:tcBorders>
            <w:noWrap/>
            <w:hideMark/>
          </w:tcPr>
          <w:p w14:paraId="7A078A52" w14:textId="77777777" w:rsidR="00DC3816" w:rsidRPr="00410F7C" w:rsidRDefault="00DC3816" w:rsidP="00EC5C6F">
            <w:pPr>
              <w:pStyle w:val="TableText"/>
              <w:jc w:val="center"/>
            </w:pPr>
            <w:r w:rsidRPr="00FF49D4">
              <w:t>0.0040</w:t>
            </w:r>
          </w:p>
        </w:tc>
      </w:tr>
      <w:tr w:rsidR="00DC3816" w:rsidRPr="00410F7C" w14:paraId="4B336C67" w14:textId="77777777" w:rsidTr="00EC5C6F">
        <w:trPr>
          <w:trHeight w:val="255"/>
        </w:trPr>
        <w:tc>
          <w:tcPr>
            <w:tcW w:w="2985" w:type="pct"/>
            <w:tcBorders>
              <w:bottom w:val="double" w:sz="4" w:space="0" w:color="auto"/>
              <w:right w:val="nil"/>
            </w:tcBorders>
            <w:noWrap/>
            <w:hideMark/>
          </w:tcPr>
          <w:p w14:paraId="07AD2790" w14:textId="77777777" w:rsidR="00DC3816" w:rsidRPr="00410F7C" w:rsidRDefault="00DC3816" w:rsidP="00EC5C6F">
            <w:pPr>
              <w:pStyle w:val="TableText"/>
              <w:rPr>
                <w:b/>
              </w:rPr>
            </w:pPr>
            <w:r w:rsidRPr="00410F7C">
              <w:rPr>
                <w:b/>
              </w:rPr>
              <w:t xml:space="preserve">ICER per couple </w:t>
            </w:r>
            <w:r w:rsidRPr="009A69E8">
              <w:rPr>
                <w:b/>
              </w:rPr>
              <w:t>that is genetically confirmed as being at risk of having a fetus affected by Hb Bart’s</w:t>
            </w:r>
          </w:p>
        </w:tc>
        <w:tc>
          <w:tcPr>
            <w:tcW w:w="672" w:type="pct"/>
            <w:tcBorders>
              <w:left w:val="nil"/>
              <w:bottom w:val="double" w:sz="4" w:space="0" w:color="auto"/>
              <w:right w:val="nil"/>
            </w:tcBorders>
            <w:noWrap/>
            <w:hideMark/>
          </w:tcPr>
          <w:p w14:paraId="18D379C2" w14:textId="77777777" w:rsidR="00DC3816" w:rsidRPr="00C913EF" w:rsidRDefault="00DC3816" w:rsidP="00EC5C6F">
            <w:pPr>
              <w:pStyle w:val="TableText"/>
              <w:jc w:val="center"/>
              <w:rPr>
                <w:b/>
              </w:rPr>
            </w:pPr>
            <w:r w:rsidRPr="009A2C91">
              <w:rPr>
                <w:b/>
                <w:color w:val="FFFFFF" w:themeColor="background1"/>
              </w:rPr>
              <w:t>-</w:t>
            </w:r>
          </w:p>
        </w:tc>
        <w:tc>
          <w:tcPr>
            <w:tcW w:w="672" w:type="pct"/>
            <w:tcBorders>
              <w:left w:val="nil"/>
              <w:bottom w:val="double" w:sz="4" w:space="0" w:color="auto"/>
            </w:tcBorders>
            <w:noWrap/>
            <w:hideMark/>
          </w:tcPr>
          <w:p w14:paraId="03F2D508" w14:textId="77777777" w:rsidR="00DC3816" w:rsidRPr="00C913EF" w:rsidRDefault="00DC3816" w:rsidP="00EC5C6F">
            <w:pPr>
              <w:pStyle w:val="TableText"/>
              <w:jc w:val="center"/>
              <w:rPr>
                <w:rFonts w:ascii="Times New Roman" w:hAnsi="Times New Roman" w:cs="Times New Roman"/>
                <w:b/>
              </w:rPr>
            </w:pPr>
            <w:r w:rsidRPr="009A2C91">
              <w:rPr>
                <w:b/>
                <w:color w:val="FFFFFF" w:themeColor="background1"/>
              </w:rPr>
              <w:t>-</w:t>
            </w:r>
          </w:p>
        </w:tc>
        <w:tc>
          <w:tcPr>
            <w:tcW w:w="671" w:type="pct"/>
            <w:tcBorders>
              <w:bottom w:val="double" w:sz="4" w:space="0" w:color="auto"/>
            </w:tcBorders>
            <w:noWrap/>
            <w:hideMark/>
          </w:tcPr>
          <w:p w14:paraId="15E3474F" w14:textId="77777777" w:rsidR="00DC3816" w:rsidRPr="00C913EF" w:rsidRDefault="00DC3816" w:rsidP="00EC5C6F">
            <w:pPr>
              <w:pStyle w:val="TableText"/>
              <w:jc w:val="center"/>
              <w:rPr>
                <w:b/>
              </w:rPr>
            </w:pPr>
            <w:r w:rsidRPr="00C913EF">
              <w:rPr>
                <w:b/>
              </w:rPr>
              <w:t>$110,266</w:t>
            </w:r>
          </w:p>
        </w:tc>
      </w:tr>
      <w:tr w:rsidR="00DC3816" w:rsidRPr="00410F7C" w14:paraId="2BD9E0AA" w14:textId="77777777" w:rsidTr="00EC5C6F">
        <w:trPr>
          <w:trHeight w:val="255"/>
        </w:trPr>
        <w:tc>
          <w:tcPr>
            <w:tcW w:w="2985" w:type="pct"/>
            <w:tcBorders>
              <w:bottom w:val="single" w:sz="4" w:space="0" w:color="auto"/>
            </w:tcBorders>
            <w:noWrap/>
            <w:hideMark/>
          </w:tcPr>
          <w:p w14:paraId="0ED288EF" w14:textId="77777777" w:rsidR="00DC3816" w:rsidRPr="00410F7C" w:rsidRDefault="00DC3816" w:rsidP="00EC5C6F">
            <w:pPr>
              <w:pStyle w:val="TableText"/>
            </w:pPr>
            <w:r>
              <w:t>C</w:t>
            </w:r>
            <w:r w:rsidRPr="009A69E8">
              <w:t>ouple</w:t>
            </w:r>
            <w:r>
              <w:t>s</w:t>
            </w:r>
            <w:r w:rsidRPr="009A69E8">
              <w:t xml:space="preserve"> </w:t>
            </w:r>
            <w:r>
              <w:t>identified</w:t>
            </w:r>
            <w:r w:rsidRPr="009A69E8">
              <w:t xml:space="preserve"> as being at risk of having a fetus affected by Hb Bart’s</w:t>
            </w:r>
          </w:p>
        </w:tc>
        <w:tc>
          <w:tcPr>
            <w:tcW w:w="672" w:type="pct"/>
            <w:tcBorders>
              <w:bottom w:val="single" w:sz="4" w:space="0" w:color="auto"/>
            </w:tcBorders>
            <w:noWrap/>
            <w:hideMark/>
          </w:tcPr>
          <w:p w14:paraId="3DDBE050" w14:textId="77777777" w:rsidR="00DC3816" w:rsidRPr="00410F7C" w:rsidRDefault="00DC3816" w:rsidP="00EC5C6F">
            <w:pPr>
              <w:pStyle w:val="TableText"/>
              <w:jc w:val="center"/>
            </w:pPr>
            <w:r w:rsidRPr="00CD6AB5">
              <w:t>0.0040</w:t>
            </w:r>
          </w:p>
        </w:tc>
        <w:tc>
          <w:tcPr>
            <w:tcW w:w="672" w:type="pct"/>
            <w:tcBorders>
              <w:bottom w:val="single" w:sz="4" w:space="0" w:color="auto"/>
            </w:tcBorders>
            <w:noWrap/>
            <w:hideMark/>
          </w:tcPr>
          <w:p w14:paraId="37392C56" w14:textId="77777777" w:rsidR="00DC3816" w:rsidRPr="00410F7C" w:rsidRDefault="00DC3816" w:rsidP="00EC5C6F">
            <w:pPr>
              <w:pStyle w:val="TableText"/>
              <w:jc w:val="center"/>
            </w:pPr>
            <w:r w:rsidRPr="00CD6AB5">
              <w:t>0.0030</w:t>
            </w:r>
          </w:p>
        </w:tc>
        <w:tc>
          <w:tcPr>
            <w:tcW w:w="671" w:type="pct"/>
            <w:tcBorders>
              <w:bottom w:val="single" w:sz="4" w:space="0" w:color="auto"/>
            </w:tcBorders>
            <w:noWrap/>
            <w:hideMark/>
          </w:tcPr>
          <w:p w14:paraId="2766BFD4" w14:textId="77777777" w:rsidR="00DC3816" w:rsidRPr="00410F7C" w:rsidRDefault="00DC3816" w:rsidP="00EC5C6F">
            <w:pPr>
              <w:pStyle w:val="TableText"/>
              <w:jc w:val="center"/>
            </w:pPr>
            <w:r w:rsidRPr="00CD6AB5">
              <w:t>0.0010</w:t>
            </w:r>
          </w:p>
        </w:tc>
      </w:tr>
      <w:tr w:rsidR="00DC3816" w:rsidRPr="00410F7C" w14:paraId="2470B933" w14:textId="77777777" w:rsidTr="00EC5C6F">
        <w:trPr>
          <w:trHeight w:val="255"/>
        </w:trPr>
        <w:tc>
          <w:tcPr>
            <w:tcW w:w="2985" w:type="pct"/>
            <w:tcBorders>
              <w:bottom w:val="double" w:sz="4" w:space="0" w:color="auto"/>
              <w:right w:val="nil"/>
            </w:tcBorders>
            <w:noWrap/>
            <w:hideMark/>
          </w:tcPr>
          <w:p w14:paraId="608C9985" w14:textId="77777777" w:rsidR="00DC3816" w:rsidRPr="00410F7C" w:rsidRDefault="00DC3816" w:rsidP="00EC5C6F">
            <w:pPr>
              <w:pStyle w:val="TableText"/>
              <w:rPr>
                <w:b/>
              </w:rPr>
            </w:pPr>
            <w:r w:rsidRPr="00410F7C">
              <w:rPr>
                <w:b/>
              </w:rPr>
              <w:t xml:space="preserve">ICER per </w:t>
            </w:r>
            <w:r>
              <w:rPr>
                <w:b/>
              </w:rPr>
              <w:t xml:space="preserve">additional </w:t>
            </w:r>
            <w:r w:rsidRPr="00410F7C">
              <w:rPr>
                <w:b/>
              </w:rPr>
              <w:t xml:space="preserve">couple </w:t>
            </w:r>
            <w:r w:rsidRPr="009A69E8">
              <w:rPr>
                <w:b/>
              </w:rPr>
              <w:t xml:space="preserve">that is </w:t>
            </w:r>
            <w:r>
              <w:rPr>
                <w:b/>
              </w:rPr>
              <w:t>identified</w:t>
            </w:r>
            <w:r w:rsidRPr="009A69E8">
              <w:rPr>
                <w:b/>
              </w:rPr>
              <w:t xml:space="preserve"> as being at risk of having a fetus affected by Hb Bart’s</w:t>
            </w:r>
          </w:p>
        </w:tc>
        <w:tc>
          <w:tcPr>
            <w:tcW w:w="672" w:type="pct"/>
            <w:tcBorders>
              <w:left w:val="nil"/>
              <w:bottom w:val="double" w:sz="4" w:space="0" w:color="auto"/>
              <w:right w:val="nil"/>
            </w:tcBorders>
            <w:noWrap/>
            <w:hideMark/>
          </w:tcPr>
          <w:p w14:paraId="0CEA7343" w14:textId="77777777" w:rsidR="00DC3816" w:rsidRPr="00E83145" w:rsidRDefault="00DC3816" w:rsidP="00EC5C6F">
            <w:pPr>
              <w:pStyle w:val="TableText"/>
              <w:jc w:val="center"/>
              <w:rPr>
                <w:b/>
              </w:rPr>
            </w:pPr>
            <w:r w:rsidRPr="009A2C91">
              <w:rPr>
                <w:b/>
                <w:color w:val="FFFFFF" w:themeColor="background1"/>
              </w:rPr>
              <w:t>-</w:t>
            </w:r>
          </w:p>
        </w:tc>
        <w:tc>
          <w:tcPr>
            <w:tcW w:w="672" w:type="pct"/>
            <w:tcBorders>
              <w:left w:val="nil"/>
              <w:bottom w:val="double" w:sz="4" w:space="0" w:color="auto"/>
            </w:tcBorders>
            <w:noWrap/>
            <w:hideMark/>
          </w:tcPr>
          <w:p w14:paraId="1954930E" w14:textId="77777777" w:rsidR="00DC3816" w:rsidRPr="00E83145" w:rsidRDefault="00DC3816" w:rsidP="00EC5C6F">
            <w:pPr>
              <w:pStyle w:val="TableText"/>
              <w:jc w:val="center"/>
              <w:rPr>
                <w:rFonts w:ascii="Times New Roman" w:hAnsi="Times New Roman" w:cs="Times New Roman"/>
                <w:b/>
              </w:rPr>
            </w:pPr>
            <w:r w:rsidRPr="009A2C91">
              <w:rPr>
                <w:b/>
                <w:color w:val="FFFFFF" w:themeColor="background1"/>
              </w:rPr>
              <w:t>-</w:t>
            </w:r>
          </w:p>
        </w:tc>
        <w:tc>
          <w:tcPr>
            <w:tcW w:w="671" w:type="pct"/>
            <w:tcBorders>
              <w:bottom w:val="double" w:sz="4" w:space="0" w:color="auto"/>
            </w:tcBorders>
            <w:noWrap/>
            <w:hideMark/>
          </w:tcPr>
          <w:p w14:paraId="5C9A3F06" w14:textId="77777777" w:rsidR="00DC3816" w:rsidRPr="00E83145" w:rsidRDefault="00DC3816" w:rsidP="00EC5C6F">
            <w:pPr>
              <w:pStyle w:val="TableText"/>
              <w:jc w:val="center"/>
              <w:rPr>
                <w:b/>
              </w:rPr>
            </w:pPr>
            <w:r w:rsidRPr="009C4757">
              <w:rPr>
                <w:b/>
              </w:rPr>
              <w:t>$426,499</w:t>
            </w:r>
          </w:p>
        </w:tc>
      </w:tr>
      <w:tr w:rsidR="00DC3816" w:rsidRPr="00410F7C" w14:paraId="19FDE904" w14:textId="77777777" w:rsidTr="00EC5C6F">
        <w:trPr>
          <w:trHeight w:val="255"/>
        </w:trPr>
        <w:tc>
          <w:tcPr>
            <w:tcW w:w="2985" w:type="pct"/>
            <w:tcBorders>
              <w:top w:val="double" w:sz="4" w:space="0" w:color="auto"/>
              <w:bottom w:val="single" w:sz="4" w:space="0" w:color="auto"/>
            </w:tcBorders>
            <w:noWrap/>
            <w:hideMark/>
          </w:tcPr>
          <w:p w14:paraId="137DA236" w14:textId="77777777" w:rsidR="00DC3816" w:rsidRPr="00410F7C" w:rsidRDefault="00DC3816" w:rsidP="00EC5C6F">
            <w:pPr>
              <w:pStyle w:val="TableText"/>
            </w:pPr>
            <w:r w:rsidRPr="00047D6B">
              <w:t xml:space="preserve">Couples </w:t>
            </w:r>
            <w:r w:rsidRPr="009A69E8">
              <w:t>wi</w:t>
            </w:r>
            <w:r>
              <w:t>th genetically confirmed status</w:t>
            </w:r>
          </w:p>
        </w:tc>
        <w:tc>
          <w:tcPr>
            <w:tcW w:w="672" w:type="pct"/>
            <w:tcBorders>
              <w:top w:val="double" w:sz="4" w:space="0" w:color="auto"/>
              <w:bottom w:val="single" w:sz="4" w:space="0" w:color="auto"/>
            </w:tcBorders>
            <w:noWrap/>
            <w:hideMark/>
          </w:tcPr>
          <w:p w14:paraId="55C4AC6F" w14:textId="77777777" w:rsidR="00DC3816" w:rsidRPr="00410F7C" w:rsidRDefault="00DC3816" w:rsidP="00EC5C6F">
            <w:pPr>
              <w:pStyle w:val="TableText"/>
              <w:jc w:val="center"/>
            </w:pPr>
            <w:r w:rsidRPr="00E8111A">
              <w:t>0.9998</w:t>
            </w:r>
          </w:p>
        </w:tc>
        <w:tc>
          <w:tcPr>
            <w:tcW w:w="672" w:type="pct"/>
            <w:tcBorders>
              <w:top w:val="double" w:sz="4" w:space="0" w:color="auto"/>
              <w:bottom w:val="single" w:sz="4" w:space="0" w:color="auto"/>
            </w:tcBorders>
            <w:noWrap/>
            <w:hideMark/>
          </w:tcPr>
          <w:p w14:paraId="75180EB7" w14:textId="77777777" w:rsidR="00DC3816" w:rsidRPr="00410F7C" w:rsidRDefault="00DC3816" w:rsidP="00EC5C6F">
            <w:pPr>
              <w:pStyle w:val="TableText"/>
              <w:jc w:val="center"/>
            </w:pPr>
            <w:r w:rsidRPr="00E8111A">
              <w:t>0.0000</w:t>
            </w:r>
          </w:p>
        </w:tc>
        <w:tc>
          <w:tcPr>
            <w:tcW w:w="671" w:type="pct"/>
            <w:tcBorders>
              <w:top w:val="double" w:sz="4" w:space="0" w:color="auto"/>
              <w:bottom w:val="single" w:sz="4" w:space="0" w:color="auto"/>
            </w:tcBorders>
            <w:noWrap/>
            <w:hideMark/>
          </w:tcPr>
          <w:p w14:paraId="36F96E01" w14:textId="77777777" w:rsidR="00DC3816" w:rsidRPr="00410F7C" w:rsidRDefault="00DC3816" w:rsidP="00EC5C6F">
            <w:pPr>
              <w:pStyle w:val="TableText"/>
              <w:jc w:val="center"/>
            </w:pPr>
            <w:r w:rsidRPr="00E8111A">
              <w:t>0.9998</w:t>
            </w:r>
          </w:p>
        </w:tc>
      </w:tr>
      <w:tr w:rsidR="00DC3816" w:rsidRPr="00410F7C" w14:paraId="3351139D" w14:textId="77777777" w:rsidTr="00EC5C6F">
        <w:trPr>
          <w:trHeight w:val="255"/>
        </w:trPr>
        <w:tc>
          <w:tcPr>
            <w:tcW w:w="2985" w:type="pct"/>
            <w:tcBorders>
              <w:bottom w:val="single" w:sz="4" w:space="0" w:color="auto"/>
              <w:right w:val="nil"/>
            </w:tcBorders>
            <w:noWrap/>
            <w:hideMark/>
          </w:tcPr>
          <w:p w14:paraId="3CE11153" w14:textId="77777777" w:rsidR="00DC3816" w:rsidRPr="00410F7C" w:rsidRDefault="00DC3816" w:rsidP="00EC5C6F">
            <w:pPr>
              <w:pStyle w:val="TableText"/>
              <w:rPr>
                <w:b/>
              </w:rPr>
            </w:pPr>
            <w:r w:rsidRPr="00410F7C">
              <w:rPr>
                <w:b/>
              </w:rPr>
              <w:t xml:space="preserve">ICER per couple </w:t>
            </w:r>
            <w:r w:rsidRPr="009A69E8">
              <w:rPr>
                <w:b/>
              </w:rPr>
              <w:t>with g</w:t>
            </w:r>
            <w:r>
              <w:rPr>
                <w:b/>
              </w:rPr>
              <w:t>enetically confirmed status</w:t>
            </w:r>
          </w:p>
        </w:tc>
        <w:tc>
          <w:tcPr>
            <w:tcW w:w="672" w:type="pct"/>
            <w:tcBorders>
              <w:left w:val="nil"/>
              <w:bottom w:val="single" w:sz="4" w:space="0" w:color="auto"/>
              <w:right w:val="nil"/>
            </w:tcBorders>
            <w:noWrap/>
            <w:hideMark/>
          </w:tcPr>
          <w:p w14:paraId="216272F3" w14:textId="77777777" w:rsidR="00DC3816" w:rsidRPr="001D069A" w:rsidRDefault="00DC3816" w:rsidP="00EC5C6F">
            <w:pPr>
              <w:pStyle w:val="TableText"/>
              <w:jc w:val="center"/>
              <w:rPr>
                <w:b/>
              </w:rPr>
            </w:pPr>
            <w:r w:rsidRPr="001D069A">
              <w:rPr>
                <w:b/>
                <w:color w:val="FFFFFF" w:themeColor="background1"/>
              </w:rPr>
              <w:t>-</w:t>
            </w:r>
          </w:p>
        </w:tc>
        <w:tc>
          <w:tcPr>
            <w:tcW w:w="672" w:type="pct"/>
            <w:tcBorders>
              <w:left w:val="nil"/>
              <w:bottom w:val="single" w:sz="4" w:space="0" w:color="auto"/>
            </w:tcBorders>
            <w:noWrap/>
            <w:hideMark/>
          </w:tcPr>
          <w:p w14:paraId="58E086ED" w14:textId="77777777" w:rsidR="00DC3816" w:rsidRPr="001D069A" w:rsidRDefault="00DC3816" w:rsidP="00EC5C6F">
            <w:pPr>
              <w:pStyle w:val="TableText"/>
              <w:jc w:val="center"/>
              <w:rPr>
                <w:rFonts w:ascii="Times New Roman" w:hAnsi="Times New Roman" w:cs="Times New Roman"/>
                <w:b/>
              </w:rPr>
            </w:pPr>
            <w:r w:rsidRPr="001D069A">
              <w:rPr>
                <w:b/>
                <w:color w:val="FFFFFF" w:themeColor="background1"/>
              </w:rPr>
              <w:t>-</w:t>
            </w:r>
          </w:p>
        </w:tc>
        <w:tc>
          <w:tcPr>
            <w:tcW w:w="671" w:type="pct"/>
            <w:tcBorders>
              <w:bottom w:val="single" w:sz="4" w:space="0" w:color="auto"/>
            </w:tcBorders>
            <w:noWrap/>
            <w:hideMark/>
          </w:tcPr>
          <w:p w14:paraId="38A52A35" w14:textId="77777777" w:rsidR="00DC3816" w:rsidRPr="001D069A" w:rsidRDefault="00DC3816" w:rsidP="00EC5C6F">
            <w:pPr>
              <w:pStyle w:val="TableText"/>
              <w:jc w:val="center"/>
              <w:rPr>
                <w:b/>
              </w:rPr>
            </w:pPr>
            <w:r w:rsidRPr="001D069A">
              <w:rPr>
                <w:b/>
              </w:rPr>
              <w:t>$446</w:t>
            </w:r>
          </w:p>
        </w:tc>
      </w:tr>
    </w:tbl>
    <w:p w14:paraId="51FE7801" w14:textId="49146F4A" w:rsidR="004E5F31" w:rsidRPr="004E5F31" w:rsidRDefault="00DC3816" w:rsidP="004E5F31">
      <w:pPr>
        <w:pStyle w:val="Tablenotes"/>
      </w:pPr>
      <w:r w:rsidRPr="00410F7C">
        <w:t>ICER = Incremental Cost Effectiveness Ratio</w:t>
      </w:r>
      <w:bookmarkStart w:id="14" w:name="_Ref526505861"/>
      <w:bookmarkStart w:id="15" w:name="_Toc527050573"/>
      <w:r w:rsidR="004E5F31">
        <w:br w:type="page"/>
      </w:r>
    </w:p>
    <w:p w14:paraId="2DF88935" w14:textId="4B994525" w:rsidR="00DC3816" w:rsidRPr="00492A3A" w:rsidRDefault="00DC3816" w:rsidP="00492A3A">
      <w:pPr>
        <w:rPr>
          <w:rFonts w:ascii="Arial Narrow" w:hAnsi="Arial Narrow"/>
          <w:b/>
          <w:sz w:val="20"/>
        </w:rPr>
      </w:pPr>
      <w:r w:rsidRPr="00492A3A">
        <w:rPr>
          <w:rFonts w:ascii="Arial Narrow" w:hAnsi="Arial Narrow"/>
          <w:b/>
          <w:sz w:val="20"/>
        </w:rPr>
        <w:lastRenderedPageBreak/>
        <w:t xml:space="preserve">Table </w:t>
      </w:r>
      <w:r w:rsidRPr="00492A3A">
        <w:rPr>
          <w:rFonts w:ascii="Arial Narrow" w:hAnsi="Arial Narrow"/>
          <w:b/>
          <w:sz w:val="20"/>
        </w:rPr>
        <w:fldChar w:fldCharType="begin"/>
      </w:r>
      <w:r w:rsidRPr="00492A3A">
        <w:rPr>
          <w:rFonts w:ascii="Arial Narrow" w:hAnsi="Arial Narrow"/>
          <w:b/>
          <w:sz w:val="20"/>
        </w:rPr>
        <w:instrText xml:space="preserve"> SEQ Table \* ARABIC </w:instrText>
      </w:r>
      <w:r w:rsidRPr="00492A3A">
        <w:rPr>
          <w:rFonts w:ascii="Arial Narrow" w:hAnsi="Arial Narrow"/>
          <w:b/>
          <w:sz w:val="20"/>
        </w:rPr>
        <w:fldChar w:fldCharType="separate"/>
      </w:r>
      <w:r w:rsidR="00F37DD4" w:rsidRPr="00492A3A">
        <w:rPr>
          <w:rFonts w:ascii="Arial Narrow" w:hAnsi="Arial Narrow"/>
          <w:b/>
          <w:sz w:val="20"/>
        </w:rPr>
        <w:t>8</w:t>
      </w:r>
      <w:r w:rsidRPr="00492A3A">
        <w:rPr>
          <w:rFonts w:ascii="Arial Narrow" w:hAnsi="Arial Narrow"/>
          <w:b/>
          <w:sz w:val="20"/>
        </w:rPr>
        <w:fldChar w:fldCharType="end"/>
      </w:r>
      <w:bookmarkEnd w:id="14"/>
      <w:r w:rsidRPr="00492A3A">
        <w:rPr>
          <w:rFonts w:ascii="Arial Narrow" w:hAnsi="Arial Narrow"/>
          <w:b/>
          <w:sz w:val="20"/>
        </w:rPr>
        <w:tab/>
      </w:r>
      <w:r w:rsidRPr="00492A3A">
        <w:rPr>
          <w:rFonts w:ascii="Arial Narrow" w:hAnsi="Arial Narrow"/>
          <w:b/>
          <w:sz w:val="20"/>
        </w:rPr>
        <w:tab/>
        <w:t>Incremental cost-effectiveness in pregnant couples</w:t>
      </w:r>
      <w:bookmarkEnd w:id="15"/>
    </w:p>
    <w:tbl>
      <w:tblPr>
        <w:tblStyle w:val="TableGrid1"/>
        <w:tblW w:w="5000" w:type="pct"/>
        <w:tblLayout w:type="fixed"/>
        <w:tblLook w:val="04A0" w:firstRow="1" w:lastRow="0" w:firstColumn="1" w:lastColumn="0" w:noHBand="0" w:noVBand="1"/>
        <w:tblCaption w:val="Incremental cost-effectiveness in pregnant couples"/>
        <w:tblDescription w:val="Incremental cost-effectiveness in pregnant couples"/>
      </w:tblPr>
      <w:tblGrid>
        <w:gridCol w:w="5382"/>
        <w:gridCol w:w="1212"/>
        <w:gridCol w:w="1212"/>
        <w:gridCol w:w="1210"/>
      </w:tblGrid>
      <w:tr w:rsidR="00DC3816" w:rsidRPr="00410F7C" w14:paraId="78F46CAE" w14:textId="77777777" w:rsidTr="00EC5C6F">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32B47EB6" w14:textId="77777777" w:rsidR="00DC3816" w:rsidRPr="00410F7C" w:rsidRDefault="00DC3816" w:rsidP="00EC5C6F">
            <w:pPr>
              <w:pStyle w:val="TableHeading"/>
            </w:pPr>
          </w:p>
        </w:tc>
        <w:tc>
          <w:tcPr>
            <w:tcW w:w="672" w:type="pct"/>
            <w:noWrap/>
            <w:hideMark/>
          </w:tcPr>
          <w:p w14:paraId="516DD865" w14:textId="77777777" w:rsidR="00DC3816" w:rsidRPr="00410F7C" w:rsidRDefault="00DC3816" w:rsidP="00EC5C6F">
            <w:pPr>
              <w:pStyle w:val="TableHeading"/>
            </w:pPr>
            <w:r w:rsidRPr="00410F7C">
              <w:t>Intervention</w:t>
            </w:r>
          </w:p>
        </w:tc>
        <w:tc>
          <w:tcPr>
            <w:tcW w:w="672" w:type="pct"/>
            <w:noWrap/>
            <w:hideMark/>
          </w:tcPr>
          <w:p w14:paraId="7E137115" w14:textId="77777777" w:rsidR="00DC3816" w:rsidRPr="00410F7C" w:rsidRDefault="00DC3816" w:rsidP="00EC5C6F">
            <w:pPr>
              <w:pStyle w:val="TableHeading"/>
            </w:pPr>
            <w:r w:rsidRPr="00410F7C">
              <w:t>Comparator</w:t>
            </w:r>
          </w:p>
        </w:tc>
        <w:tc>
          <w:tcPr>
            <w:tcW w:w="671" w:type="pct"/>
            <w:noWrap/>
            <w:hideMark/>
          </w:tcPr>
          <w:p w14:paraId="4AE61D07" w14:textId="77777777" w:rsidR="00DC3816" w:rsidRPr="00410F7C" w:rsidRDefault="00DC3816" w:rsidP="00EC5C6F">
            <w:pPr>
              <w:pStyle w:val="TableHeading"/>
            </w:pPr>
            <w:r w:rsidRPr="00410F7C">
              <w:t>Increment</w:t>
            </w:r>
          </w:p>
        </w:tc>
      </w:tr>
      <w:tr w:rsidR="00DC3816" w:rsidRPr="009A2C91" w14:paraId="48464281" w14:textId="77777777" w:rsidTr="00EC5C6F">
        <w:trPr>
          <w:trHeight w:val="255"/>
        </w:trPr>
        <w:tc>
          <w:tcPr>
            <w:tcW w:w="2985" w:type="pct"/>
            <w:noWrap/>
            <w:hideMark/>
          </w:tcPr>
          <w:p w14:paraId="53FA58EE" w14:textId="77777777" w:rsidR="00DC3816" w:rsidRPr="00410F7C" w:rsidRDefault="00DC3816" w:rsidP="00EC5C6F">
            <w:pPr>
              <w:pStyle w:val="TableText"/>
            </w:pPr>
            <w:r w:rsidRPr="00410F7C">
              <w:t>Total cost</w:t>
            </w:r>
          </w:p>
        </w:tc>
        <w:tc>
          <w:tcPr>
            <w:tcW w:w="672" w:type="pct"/>
            <w:noWrap/>
            <w:hideMark/>
          </w:tcPr>
          <w:p w14:paraId="463276E8" w14:textId="77777777" w:rsidR="00DC3816" w:rsidRPr="00410F7C" w:rsidRDefault="00DC3816" w:rsidP="00EC5C6F">
            <w:pPr>
              <w:pStyle w:val="TableText"/>
              <w:jc w:val="center"/>
            </w:pPr>
            <w:r w:rsidRPr="00C97C1E">
              <w:t>$8,273</w:t>
            </w:r>
          </w:p>
        </w:tc>
        <w:tc>
          <w:tcPr>
            <w:tcW w:w="672" w:type="pct"/>
            <w:noWrap/>
            <w:hideMark/>
          </w:tcPr>
          <w:p w14:paraId="190870F5" w14:textId="77777777" w:rsidR="00DC3816" w:rsidRPr="00410F7C" w:rsidRDefault="00DC3816" w:rsidP="00EC5C6F">
            <w:pPr>
              <w:pStyle w:val="TableText"/>
              <w:jc w:val="center"/>
            </w:pPr>
            <w:r w:rsidRPr="00C97C1E">
              <w:t>$7,856</w:t>
            </w:r>
          </w:p>
        </w:tc>
        <w:tc>
          <w:tcPr>
            <w:tcW w:w="671" w:type="pct"/>
            <w:noWrap/>
            <w:hideMark/>
          </w:tcPr>
          <w:p w14:paraId="73E23633" w14:textId="77777777" w:rsidR="00DC3816" w:rsidRPr="00410F7C" w:rsidRDefault="00DC3816" w:rsidP="00EC5C6F">
            <w:pPr>
              <w:pStyle w:val="TableText"/>
              <w:jc w:val="center"/>
            </w:pPr>
            <w:r w:rsidRPr="00C97C1E">
              <w:t>$417</w:t>
            </w:r>
          </w:p>
        </w:tc>
      </w:tr>
      <w:tr w:rsidR="00DC3816" w:rsidRPr="00410F7C" w14:paraId="5C504768" w14:textId="77777777" w:rsidTr="00EC5C6F">
        <w:trPr>
          <w:trHeight w:val="255"/>
        </w:trPr>
        <w:tc>
          <w:tcPr>
            <w:tcW w:w="2985" w:type="pct"/>
            <w:tcBorders>
              <w:bottom w:val="single" w:sz="4" w:space="0" w:color="auto"/>
            </w:tcBorders>
            <w:noWrap/>
            <w:hideMark/>
          </w:tcPr>
          <w:p w14:paraId="4A7231FE" w14:textId="77777777" w:rsidR="00DC3816" w:rsidRPr="00410F7C" w:rsidRDefault="00DC3816" w:rsidP="00EC5C6F">
            <w:pPr>
              <w:pStyle w:val="TableText"/>
            </w:pPr>
            <w:r>
              <w:t>C</w:t>
            </w:r>
            <w:r w:rsidRPr="009A69E8">
              <w:t>ouple</w:t>
            </w:r>
            <w:r>
              <w:t>s</w:t>
            </w:r>
            <w:r w:rsidRPr="009A69E8">
              <w:t xml:space="preserve"> genetically confirmed as being at risk of having a fetus affected by Hb Bart’s</w:t>
            </w:r>
          </w:p>
        </w:tc>
        <w:tc>
          <w:tcPr>
            <w:tcW w:w="672" w:type="pct"/>
            <w:tcBorders>
              <w:bottom w:val="single" w:sz="4" w:space="0" w:color="auto"/>
            </w:tcBorders>
            <w:noWrap/>
            <w:hideMark/>
          </w:tcPr>
          <w:p w14:paraId="19F4C307" w14:textId="77777777" w:rsidR="00DC3816" w:rsidRPr="00410F7C" w:rsidRDefault="00DC3816" w:rsidP="00EC5C6F">
            <w:pPr>
              <w:pStyle w:val="TableText"/>
              <w:jc w:val="center"/>
            </w:pPr>
            <w:r w:rsidRPr="00C97C1E">
              <w:t>0.0040</w:t>
            </w:r>
          </w:p>
        </w:tc>
        <w:tc>
          <w:tcPr>
            <w:tcW w:w="672" w:type="pct"/>
            <w:tcBorders>
              <w:bottom w:val="single" w:sz="4" w:space="0" w:color="auto"/>
            </w:tcBorders>
            <w:noWrap/>
            <w:hideMark/>
          </w:tcPr>
          <w:p w14:paraId="5DEAB0A5" w14:textId="77777777" w:rsidR="00DC3816" w:rsidRPr="00410F7C" w:rsidRDefault="00DC3816" w:rsidP="00EC5C6F">
            <w:pPr>
              <w:pStyle w:val="TableText"/>
              <w:jc w:val="center"/>
            </w:pPr>
            <w:r w:rsidRPr="00C97C1E">
              <w:t>0.0000</w:t>
            </w:r>
          </w:p>
        </w:tc>
        <w:tc>
          <w:tcPr>
            <w:tcW w:w="671" w:type="pct"/>
            <w:tcBorders>
              <w:bottom w:val="single" w:sz="4" w:space="0" w:color="auto"/>
            </w:tcBorders>
            <w:noWrap/>
            <w:hideMark/>
          </w:tcPr>
          <w:p w14:paraId="0F878043" w14:textId="77777777" w:rsidR="00DC3816" w:rsidRPr="00410F7C" w:rsidRDefault="00DC3816" w:rsidP="00EC5C6F">
            <w:pPr>
              <w:pStyle w:val="TableText"/>
              <w:jc w:val="center"/>
            </w:pPr>
            <w:r w:rsidRPr="00C97C1E">
              <w:t>0.0040</w:t>
            </w:r>
          </w:p>
        </w:tc>
      </w:tr>
      <w:tr w:rsidR="00DC3816" w:rsidRPr="00410F7C" w14:paraId="093A1F85" w14:textId="77777777" w:rsidTr="00EC5C6F">
        <w:trPr>
          <w:trHeight w:val="255"/>
        </w:trPr>
        <w:tc>
          <w:tcPr>
            <w:tcW w:w="2985" w:type="pct"/>
            <w:tcBorders>
              <w:bottom w:val="double" w:sz="4" w:space="0" w:color="auto"/>
              <w:right w:val="nil"/>
            </w:tcBorders>
            <w:noWrap/>
            <w:hideMark/>
          </w:tcPr>
          <w:p w14:paraId="0ED03C0C" w14:textId="77777777" w:rsidR="00DC3816" w:rsidRPr="00410F7C" w:rsidRDefault="00DC3816" w:rsidP="00EC5C6F">
            <w:pPr>
              <w:pStyle w:val="TableText"/>
              <w:rPr>
                <w:b/>
              </w:rPr>
            </w:pPr>
            <w:r w:rsidRPr="00410F7C">
              <w:rPr>
                <w:b/>
              </w:rPr>
              <w:t xml:space="preserve">ICER per couple </w:t>
            </w:r>
            <w:r w:rsidRPr="009A69E8">
              <w:rPr>
                <w:b/>
              </w:rPr>
              <w:t>that is genetically confirmed as being at risk of having a fetus affected by Hb Bart’s</w:t>
            </w:r>
          </w:p>
        </w:tc>
        <w:tc>
          <w:tcPr>
            <w:tcW w:w="672" w:type="pct"/>
            <w:tcBorders>
              <w:left w:val="nil"/>
              <w:bottom w:val="double" w:sz="4" w:space="0" w:color="auto"/>
              <w:right w:val="nil"/>
            </w:tcBorders>
            <w:noWrap/>
          </w:tcPr>
          <w:p w14:paraId="659C54F9" w14:textId="77777777" w:rsidR="00DC3816" w:rsidRPr="001D069A" w:rsidRDefault="00DC3816" w:rsidP="00EC5C6F">
            <w:pPr>
              <w:pStyle w:val="TableText"/>
              <w:jc w:val="center"/>
              <w:rPr>
                <w:b/>
              </w:rPr>
            </w:pPr>
          </w:p>
        </w:tc>
        <w:tc>
          <w:tcPr>
            <w:tcW w:w="672" w:type="pct"/>
            <w:tcBorders>
              <w:left w:val="nil"/>
              <w:bottom w:val="double" w:sz="4" w:space="0" w:color="auto"/>
            </w:tcBorders>
            <w:noWrap/>
          </w:tcPr>
          <w:p w14:paraId="3974D2A3" w14:textId="77777777" w:rsidR="00DC3816" w:rsidRPr="001D069A" w:rsidRDefault="00DC3816" w:rsidP="00EC5C6F">
            <w:pPr>
              <w:pStyle w:val="TableText"/>
              <w:jc w:val="center"/>
              <w:rPr>
                <w:rFonts w:ascii="Times New Roman" w:hAnsi="Times New Roman" w:cs="Times New Roman"/>
                <w:b/>
              </w:rPr>
            </w:pPr>
          </w:p>
        </w:tc>
        <w:tc>
          <w:tcPr>
            <w:tcW w:w="671" w:type="pct"/>
            <w:tcBorders>
              <w:bottom w:val="double" w:sz="4" w:space="0" w:color="auto"/>
            </w:tcBorders>
            <w:noWrap/>
            <w:hideMark/>
          </w:tcPr>
          <w:p w14:paraId="51C18C8F" w14:textId="77777777" w:rsidR="00DC3816" w:rsidRPr="001D069A" w:rsidRDefault="00DC3816" w:rsidP="00EC5C6F">
            <w:pPr>
              <w:pStyle w:val="TableText"/>
              <w:jc w:val="center"/>
              <w:rPr>
                <w:b/>
              </w:rPr>
            </w:pPr>
            <w:r w:rsidRPr="001D069A">
              <w:rPr>
                <w:b/>
              </w:rPr>
              <w:t>$103,179</w:t>
            </w:r>
          </w:p>
        </w:tc>
      </w:tr>
      <w:tr w:rsidR="00DC3816" w:rsidRPr="00410F7C" w14:paraId="18FE8959" w14:textId="77777777" w:rsidTr="00EC5C6F">
        <w:trPr>
          <w:trHeight w:val="255"/>
        </w:trPr>
        <w:tc>
          <w:tcPr>
            <w:tcW w:w="2985" w:type="pct"/>
            <w:tcBorders>
              <w:bottom w:val="single" w:sz="4" w:space="0" w:color="auto"/>
            </w:tcBorders>
            <w:noWrap/>
            <w:hideMark/>
          </w:tcPr>
          <w:p w14:paraId="15D7F56E" w14:textId="77777777" w:rsidR="00DC3816" w:rsidRPr="00410F7C" w:rsidRDefault="00DC3816" w:rsidP="00EC5C6F">
            <w:pPr>
              <w:pStyle w:val="TableText"/>
            </w:pPr>
            <w:r>
              <w:t>C</w:t>
            </w:r>
            <w:r w:rsidRPr="009A69E8">
              <w:t>ouple</w:t>
            </w:r>
            <w:r>
              <w:t>s</w:t>
            </w:r>
            <w:r w:rsidRPr="009A69E8">
              <w:t xml:space="preserve"> </w:t>
            </w:r>
            <w:r>
              <w:t>identified</w:t>
            </w:r>
            <w:r w:rsidRPr="009A69E8">
              <w:t xml:space="preserve"> as being at risk of having a fetus affected by Hb Bart’s</w:t>
            </w:r>
          </w:p>
        </w:tc>
        <w:tc>
          <w:tcPr>
            <w:tcW w:w="672" w:type="pct"/>
            <w:tcBorders>
              <w:bottom w:val="single" w:sz="4" w:space="0" w:color="auto"/>
            </w:tcBorders>
            <w:noWrap/>
            <w:hideMark/>
          </w:tcPr>
          <w:p w14:paraId="18EF34B6" w14:textId="77777777" w:rsidR="00DC3816" w:rsidRPr="00410F7C" w:rsidRDefault="00DC3816" w:rsidP="00EC5C6F">
            <w:pPr>
              <w:pStyle w:val="TableText"/>
              <w:jc w:val="center"/>
            </w:pPr>
            <w:r w:rsidRPr="00D352AF">
              <w:t>0.0040</w:t>
            </w:r>
          </w:p>
        </w:tc>
        <w:tc>
          <w:tcPr>
            <w:tcW w:w="672" w:type="pct"/>
            <w:tcBorders>
              <w:bottom w:val="single" w:sz="4" w:space="0" w:color="auto"/>
            </w:tcBorders>
            <w:noWrap/>
            <w:hideMark/>
          </w:tcPr>
          <w:p w14:paraId="2BC5E2FD" w14:textId="77777777" w:rsidR="00DC3816" w:rsidRPr="00410F7C" w:rsidRDefault="00DC3816" w:rsidP="00EC5C6F">
            <w:pPr>
              <w:pStyle w:val="TableText"/>
              <w:jc w:val="center"/>
            </w:pPr>
            <w:r w:rsidRPr="00D352AF">
              <w:t>0.0030</w:t>
            </w:r>
          </w:p>
        </w:tc>
        <w:tc>
          <w:tcPr>
            <w:tcW w:w="671" w:type="pct"/>
            <w:tcBorders>
              <w:bottom w:val="single" w:sz="4" w:space="0" w:color="auto"/>
            </w:tcBorders>
            <w:noWrap/>
            <w:hideMark/>
          </w:tcPr>
          <w:p w14:paraId="61A1D894" w14:textId="77777777" w:rsidR="00DC3816" w:rsidRPr="00410F7C" w:rsidRDefault="00DC3816" w:rsidP="00EC5C6F">
            <w:pPr>
              <w:pStyle w:val="TableText"/>
              <w:jc w:val="center"/>
            </w:pPr>
            <w:r w:rsidRPr="00D352AF">
              <w:t>0.0010</w:t>
            </w:r>
          </w:p>
        </w:tc>
      </w:tr>
      <w:tr w:rsidR="00DC3816" w:rsidRPr="00410F7C" w14:paraId="2F3C4F3B" w14:textId="77777777" w:rsidTr="00EC5C6F">
        <w:trPr>
          <w:trHeight w:val="255"/>
        </w:trPr>
        <w:tc>
          <w:tcPr>
            <w:tcW w:w="2985" w:type="pct"/>
            <w:tcBorders>
              <w:bottom w:val="double" w:sz="4" w:space="0" w:color="auto"/>
              <w:right w:val="nil"/>
            </w:tcBorders>
            <w:noWrap/>
            <w:hideMark/>
          </w:tcPr>
          <w:p w14:paraId="77E7DE2A" w14:textId="77777777" w:rsidR="00DC3816" w:rsidRPr="00410F7C" w:rsidRDefault="00DC3816" w:rsidP="00EC5C6F">
            <w:pPr>
              <w:pStyle w:val="TableText"/>
              <w:rPr>
                <w:b/>
              </w:rPr>
            </w:pPr>
            <w:r w:rsidRPr="00410F7C">
              <w:rPr>
                <w:b/>
              </w:rPr>
              <w:t xml:space="preserve">ICER per </w:t>
            </w:r>
            <w:r>
              <w:rPr>
                <w:b/>
              </w:rPr>
              <w:t xml:space="preserve">additional </w:t>
            </w:r>
            <w:r w:rsidRPr="00410F7C">
              <w:rPr>
                <w:b/>
              </w:rPr>
              <w:t xml:space="preserve">couple </w:t>
            </w:r>
            <w:r w:rsidRPr="009A69E8">
              <w:rPr>
                <w:b/>
              </w:rPr>
              <w:t xml:space="preserve">that is </w:t>
            </w:r>
            <w:r>
              <w:rPr>
                <w:b/>
              </w:rPr>
              <w:t>identified</w:t>
            </w:r>
            <w:r w:rsidRPr="009A69E8">
              <w:rPr>
                <w:b/>
              </w:rPr>
              <w:t xml:space="preserve"> as being at risk of having a fetus affected by Hb Bart’s</w:t>
            </w:r>
          </w:p>
        </w:tc>
        <w:tc>
          <w:tcPr>
            <w:tcW w:w="672" w:type="pct"/>
            <w:tcBorders>
              <w:left w:val="nil"/>
              <w:bottom w:val="double" w:sz="4" w:space="0" w:color="auto"/>
              <w:right w:val="nil"/>
            </w:tcBorders>
            <w:noWrap/>
            <w:hideMark/>
          </w:tcPr>
          <w:p w14:paraId="1542F25D" w14:textId="77777777" w:rsidR="00DC3816" w:rsidRPr="009C4757" w:rsidRDefault="00DC3816" w:rsidP="00EC5C6F">
            <w:pPr>
              <w:pStyle w:val="TableText"/>
              <w:jc w:val="center"/>
              <w:rPr>
                <w:b/>
              </w:rPr>
            </w:pPr>
          </w:p>
        </w:tc>
        <w:tc>
          <w:tcPr>
            <w:tcW w:w="672" w:type="pct"/>
            <w:tcBorders>
              <w:left w:val="nil"/>
              <w:bottom w:val="double" w:sz="4" w:space="0" w:color="auto"/>
            </w:tcBorders>
            <w:noWrap/>
            <w:hideMark/>
          </w:tcPr>
          <w:p w14:paraId="44588C10" w14:textId="77777777" w:rsidR="00DC3816" w:rsidRPr="009C4757" w:rsidRDefault="00DC3816" w:rsidP="00EC5C6F">
            <w:pPr>
              <w:pStyle w:val="TableText"/>
              <w:jc w:val="center"/>
              <w:rPr>
                <w:rFonts w:ascii="Times New Roman" w:hAnsi="Times New Roman" w:cs="Times New Roman"/>
                <w:b/>
              </w:rPr>
            </w:pPr>
          </w:p>
        </w:tc>
        <w:tc>
          <w:tcPr>
            <w:tcW w:w="671" w:type="pct"/>
            <w:tcBorders>
              <w:bottom w:val="double" w:sz="4" w:space="0" w:color="auto"/>
            </w:tcBorders>
            <w:noWrap/>
            <w:hideMark/>
          </w:tcPr>
          <w:p w14:paraId="14021715" w14:textId="77777777" w:rsidR="00DC3816" w:rsidRPr="00E83145" w:rsidRDefault="00DC3816" w:rsidP="00EC5C6F">
            <w:pPr>
              <w:pStyle w:val="TableText"/>
              <w:jc w:val="center"/>
              <w:rPr>
                <w:b/>
              </w:rPr>
            </w:pPr>
            <w:r w:rsidRPr="009C4757">
              <w:rPr>
                <w:b/>
              </w:rPr>
              <w:t>$399,086</w:t>
            </w:r>
          </w:p>
        </w:tc>
      </w:tr>
      <w:tr w:rsidR="00DC3816" w:rsidRPr="00410F7C" w14:paraId="7450A221" w14:textId="77777777" w:rsidTr="00EC5C6F">
        <w:trPr>
          <w:trHeight w:val="255"/>
        </w:trPr>
        <w:tc>
          <w:tcPr>
            <w:tcW w:w="2985" w:type="pct"/>
            <w:tcBorders>
              <w:top w:val="double" w:sz="4" w:space="0" w:color="auto"/>
              <w:bottom w:val="single" w:sz="4" w:space="0" w:color="auto"/>
            </w:tcBorders>
            <w:noWrap/>
            <w:hideMark/>
          </w:tcPr>
          <w:p w14:paraId="37B852AA" w14:textId="77777777" w:rsidR="00DC3816" w:rsidRPr="00410F7C" w:rsidRDefault="00DC3816" w:rsidP="00EC5C6F">
            <w:pPr>
              <w:pStyle w:val="TableText"/>
            </w:pPr>
            <w:r w:rsidRPr="00047D6B">
              <w:t xml:space="preserve">Couples </w:t>
            </w:r>
            <w:r w:rsidRPr="009A69E8">
              <w:t>wi</w:t>
            </w:r>
            <w:r>
              <w:t>th genetically confirmed status</w:t>
            </w:r>
          </w:p>
        </w:tc>
        <w:tc>
          <w:tcPr>
            <w:tcW w:w="672" w:type="pct"/>
            <w:tcBorders>
              <w:top w:val="double" w:sz="4" w:space="0" w:color="auto"/>
              <w:bottom w:val="single" w:sz="4" w:space="0" w:color="auto"/>
            </w:tcBorders>
            <w:noWrap/>
            <w:hideMark/>
          </w:tcPr>
          <w:p w14:paraId="3548217E" w14:textId="77777777" w:rsidR="00DC3816" w:rsidRPr="00410F7C" w:rsidRDefault="00DC3816" w:rsidP="00EC5C6F">
            <w:pPr>
              <w:pStyle w:val="TableText"/>
              <w:jc w:val="center"/>
            </w:pPr>
            <w:r w:rsidRPr="00C97C1E">
              <w:t>0.9998</w:t>
            </w:r>
          </w:p>
        </w:tc>
        <w:tc>
          <w:tcPr>
            <w:tcW w:w="672" w:type="pct"/>
            <w:tcBorders>
              <w:top w:val="double" w:sz="4" w:space="0" w:color="auto"/>
              <w:bottom w:val="single" w:sz="4" w:space="0" w:color="auto"/>
            </w:tcBorders>
            <w:noWrap/>
            <w:hideMark/>
          </w:tcPr>
          <w:p w14:paraId="2B39C188" w14:textId="77777777" w:rsidR="00DC3816" w:rsidRPr="00410F7C" w:rsidRDefault="00DC3816" w:rsidP="00EC5C6F">
            <w:pPr>
              <w:pStyle w:val="TableText"/>
              <w:jc w:val="center"/>
            </w:pPr>
            <w:r w:rsidRPr="00C97C1E">
              <w:t>0.0000</w:t>
            </w:r>
          </w:p>
        </w:tc>
        <w:tc>
          <w:tcPr>
            <w:tcW w:w="671" w:type="pct"/>
            <w:tcBorders>
              <w:top w:val="double" w:sz="4" w:space="0" w:color="auto"/>
              <w:bottom w:val="single" w:sz="4" w:space="0" w:color="auto"/>
            </w:tcBorders>
            <w:noWrap/>
            <w:hideMark/>
          </w:tcPr>
          <w:p w14:paraId="61C24151" w14:textId="77777777" w:rsidR="00DC3816" w:rsidRPr="00410F7C" w:rsidRDefault="00DC3816" w:rsidP="00EC5C6F">
            <w:pPr>
              <w:pStyle w:val="TableText"/>
              <w:jc w:val="center"/>
            </w:pPr>
            <w:r w:rsidRPr="00C97C1E">
              <w:t>0.9998</w:t>
            </w:r>
          </w:p>
        </w:tc>
      </w:tr>
      <w:tr w:rsidR="00DC3816" w:rsidRPr="00410F7C" w14:paraId="10BA7757" w14:textId="77777777" w:rsidTr="00EC5C6F">
        <w:trPr>
          <w:trHeight w:val="255"/>
        </w:trPr>
        <w:tc>
          <w:tcPr>
            <w:tcW w:w="2985" w:type="pct"/>
            <w:tcBorders>
              <w:bottom w:val="double" w:sz="4" w:space="0" w:color="auto"/>
              <w:right w:val="nil"/>
            </w:tcBorders>
            <w:noWrap/>
            <w:hideMark/>
          </w:tcPr>
          <w:p w14:paraId="5468C6CB" w14:textId="77777777" w:rsidR="00DC3816" w:rsidRPr="00410F7C" w:rsidRDefault="00DC3816" w:rsidP="00EC5C6F">
            <w:pPr>
              <w:pStyle w:val="TableText"/>
              <w:rPr>
                <w:b/>
              </w:rPr>
            </w:pPr>
            <w:r w:rsidRPr="00410F7C">
              <w:rPr>
                <w:b/>
              </w:rPr>
              <w:t xml:space="preserve">ICER per couple </w:t>
            </w:r>
            <w:r w:rsidRPr="009A69E8">
              <w:rPr>
                <w:b/>
              </w:rPr>
              <w:t>with g</w:t>
            </w:r>
            <w:r>
              <w:rPr>
                <w:b/>
              </w:rPr>
              <w:t>enetically confirmed status</w:t>
            </w:r>
          </w:p>
        </w:tc>
        <w:tc>
          <w:tcPr>
            <w:tcW w:w="672" w:type="pct"/>
            <w:tcBorders>
              <w:left w:val="nil"/>
              <w:bottom w:val="double" w:sz="4" w:space="0" w:color="auto"/>
              <w:right w:val="nil"/>
            </w:tcBorders>
            <w:noWrap/>
          </w:tcPr>
          <w:p w14:paraId="529F4EDC" w14:textId="77777777" w:rsidR="00DC3816" w:rsidRPr="001D069A" w:rsidRDefault="00DC3816" w:rsidP="00EC5C6F">
            <w:pPr>
              <w:pStyle w:val="TableText"/>
              <w:jc w:val="center"/>
              <w:rPr>
                <w:b/>
              </w:rPr>
            </w:pPr>
          </w:p>
        </w:tc>
        <w:tc>
          <w:tcPr>
            <w:tcW w:w="672" w:type="pct"/>
            <w:tcBorders>
              <w:left w:val="nil"/>
              <w:bottom w:val="double" w:sz="4" w:space="0" w:color="auto"/>
            </w:tcBorders>
            <w:noWrap/>
          </w:tcPr>
          <w:p w14:paraId="44A12417" w14:textId="77777777" w:rsidR="00DC3816" w:rsidRPr="001D069A" w:rsidRDefault="00DC3816" w:rsidP="00EC5C6F">
            <w:pPr>
              <w:pStyle w:val="TableText"/>
              <w:jc w:val="center"/>
              <w:rPr>
                <w:rFonts w:ascii="Times New Roman" w:hAnsi="Times New Roman" w:cs="Times New Roman"/>
                <w:b/>
              </w:rPr>
            </w:pPr>
          </w:p>
        </w:tc>
        <w:tc>
          <w:tcPr>
            <w:tcW w:w="671" w:type="pct"/>
            <w:tcBorders>
              <w:bottom w:val="double" w:sz="4" w:space="0" w:color="auto"/>
            </w:tcBorders>
            <w:noWrap/>
            <w:hideMark/>
          </w:tcPr>
          <w:p w14:paraId="74F25BD9" w14:textId="77777777" w:rsidR="00DC3816" w:rsidRPr="001D069A" w:rsidRDefault="00DC3816" w:rsidP="00EC5C6F">
            <w:pPr>
              <w:pStyle w:val="TableText"/>
              <w:jc w:val="center"/>
              <w:rPr>
                <w:b/>
              </w:rPr>
            </w:pPr>
            <w:r w:rsidRPr="001D069A">
              <w:rPr>
                <w:b/>
              </w:rPr>
              <w:t>$417</w:t>
            </w:r>
          </w:p>
        </w:tc>
      </w:tr>
      <w:tr w:rsidR="00DC3816" w:rsidRPr="009A2C91" w14:paraId="74ED842B" w14:textId="77777777" w:rsidTr="00EC5C6F">
        <w:trPr>
          <w:trHeight w:val="255"/>
        </w:trPr>
        <w:tc>
          <w:tcPr>
            <w:tcW w:w="2985" w:type="pct"/>
            <w:tcBorders>
              <w:top w:val="double" w:sz="4" w:space="0" w:color="auto"/>
              <w:bottom w:val="single" w:sz="4" w:space="0" w:color="auto"/>
            </w:tcBorders>
            <w:noWrap/>
            <w:hideMark/>
          </w:tcPr>
          <w:p w14:paraId="5C810079" w14:textId="77777777" w:rsidR="00DC3816" w:rsidRPr="00410F7C" w:rsidRDefault="00DC3816" w:rsidP="00EC5C6F">
            <w:pPr>
              <w:pStyle w:val="TableText"/>
            </w:pPr>
            <w:r w:rsidRPr="001419E9">
              <w:t xml:space="preserve">Cases of Hb </w:t>
            </w:r>
            <w:r>
              <w:t>Bart’s</w:t>
            </w:r>
            <w:r w:rsidRPr="001419E9">
              <w:t xml:space="preserve"> (i.e. late termination, stillbirth or die shortly after birth)</w:t>
            </w:r>
          </w:p>
        </w:tc>
        <w:tc>
          <w:tcPr>
            <w:tcW w:w="672" w:type="pct"/>
            <w:tcBorders>
              <w:top w:val="double" w:sz="4" w:space="0" w:color="auto"/>
              <w:bottom w:val="single" w:sz="4" w:space="0" w:color="auto"/>
            </w:tcBorders>
            <w:noWrap/>
            <w:hideMark/>
          </w:tcPr>
          <w:p w14:paraId="5BFC00D1" w14:textId="77777777" w:rsidR="00DC3816" w:rsidRPr="00410F7C" w:rsidRDefault="00DC3816" w:rsidP="00EC5C6F">
            <w:pPr>
              <w:pStyle w:val="TableText"/>
              <w:jc w:val="center"/>
            </w:pPr>
            <w:r w:rsidRPr="00855101">
              <w:t>0.0001</w:t>
            </w:r>
          </w:p>
        </w:tc>
        <w:tc>
          <w:tcPr>
            <w:tcW w:w="672" w:type="pct"/>
            <w:tcBorders>
              <w:top w:val="double" w:sz="4" w:space="0" w:color="auto"/>
              <w:bottom w:val="single" w:sz="4" w:space="0" w:color="auto"/>
            </w:tcBorders>
            <w:noWrap/>
            <w:hideMark/>
          </w:tcPr>
          <w:p w14:paraId="6DB82A1D" w14:textId="77777777" w:rsidR="00DC3816" w:rsidRPr="00410F7C" w:rsidRDefault="00DC3816" w:rsidP="00EC5C6F">
            <w:pPr>
              <w:pStyle w:val="TableText"/>
              <w:jc w:val="center"/>
            </w:pPr>
            <w:r w:rsidRPr="00855101">
              <w:t>0.0010</w:t>
            </w:r>
          </w:p>
        </w:tc>
        <w:tc>
          <w:tcPr>
            <w:tcW w:w="671" w:type="pct"/>
            <w:tcBorders>
              <w:top w:val="double" w:sz="4" w:space="0" w:color="auto"/>
            </w:tcBorders>
            <w:noWrap/>
            <w:hideMark/>
          </w:tcPr>
          <w:p w14:paraId="4D3492B8" w14:textId="77777777" w:rsidR="00DC3816" w:rsidRPr="00410F7C" w:rsidRDefault="00DC3816" w:rsidP="00EC5C6F">
            <w:pPr>
              <w:pStyle w:val="TableText"/>
              <w:jc w:val="center"/>
            </w:pPr>
            <w:r w:rsidRPr="00855101">
              <w:t>-0.0010</w:t>
            </w:r>
          </w:p>
        </w:tc>
      </w:tr>
      <w:tr w:rsidR="00DC3816" w:rsidRPr="0068423E" w14:paraId="08D2C467" w14:textId="77777777" w:rsidTr="00EC5C6F">
        <w:trPr>
          <w:trHeight w:val="255"/>
        </w:trPr>
        <w:tc>
          <w:tcPr>
            <w:tcW w:w="2985" w:type="pct"/>
            <w:tcBorders>
              <w:right w:val="nil"/>
            </w:tcBorders>
            <w:noWrap/>
            <w:hideMark/>
          </w:tcPr>
          <w:p w14:paraId="56F451F7" w14:textId="77777777" w:rsidR="00DC3816" w:rsidRPr="0068423E" w:rsidRDefault="00DC3816" w:rsidP="00EC5C6F">
            <w:pPr>
              <w:pStyle w:val="TableText"/>
              <w:rPr>
                <w:b/>
              </w:rPr>
            </w:pPr>
            <w:r w:rsidRPr="0068423E">
              <w:rPr>
                <w:b/>
              </w:rPr>
              <w:t xml:space="preserve">ICER per </w:t>
            </w:r>
            <w:r w:rsidRPr="009A69E8">
              <w:rPr>
                <w:b/>
              </w:rPr>
              <w:t>avoided case of Hb Bart’s that is terminated late, stillborn or dies shortly after birth</w:t>
            </w:r>
          </w:p>
        </w:tc>
        <w:tc>
          <w:tcPr>
            <w:tcW w:w="672" w:type="pct"/>
            <w:tcBorders>
              <w:left w:val="nil"/>
              <w:right w:val="nil"/>
            </w:tcBorders>
            <w:noWrap/>
            <w:hideMark/>
          </w:tcPr>
          <w:p w14:paraId="75F963BE" w14:textId="77777777" w:rsidR="00DC3816" w:rsidRPr="0068423E" w:rsidRDefault="00DC3816" w:rsidP="00EC5C6F">
            <w:pPr>
              <w:pStyle w:val="TableText"/>
              <w:jc w:val="center"/>
              <w:rPr>
                <w:b/>
              </w:rPr>
            </w:pPr>
          </w:p>
        </w:tc>
        <w:tc>
          <w:tcPr>
            <w:tcW w:w="672" w:type="pct"/>
            <w:tcBorders>
              <w:left w:val="nil"/>
            </w:tcBorders>
            <w:noWrap/>
            <w:hideMark/>
          </w:tcPr>
          <w:p w14:paraId="7B746941" w14:textId="77777777" w:rsidR="00DC3816" w:rsidRPr="0068423E" w:rsidRDefault="00DC3816" w:rsidP="00EC5C6F">
            <w:pPr>
              <w:pStyle w:val="TableText"/>
              <w:jc w:val="center"/>
              <w:rPr>
                <w:rFonts w:ascii="Times New Roman" w:hAnsi="Times New Roman" w:cs="Times New Roman"/>
                <w:b/>
              </w:rPr>
            </w:pPr>
          </w:p>
        </w:tc>
        <w:tc>
          <w:tcPr>
            <w:tcW w:w="671" w:type="pct"/>
            <w:noWrap/>
            <w:hideMark/>
          </w:tcPr>
          <w:p w14:paraId="3BF6DEEB" w14:textId="77777777" w:rsidR="00DC3816" w:rsidRPr="0068423E" w:rsidRDefault="00DC3816" w:rsidP="00EC5C6F">
            <w:pPr>
              <w:pStyle w:val="TableText"/>
              <w:jc w:val="center"/>
              <w:rPr>
                <w:b/>
              </w:rPr>
            </w:pPr>
            <w:r w:rsidRPr="0068423E">
              <w:rPr>
                <w:b/>
              </w:rPr>
              <w:t>$419,612</w:t>
            </w:r>
          </w:p>
        </w:tc>
      </w:tr>
    </w:tbl>
    <w:p w14:paraId="18C54D88" w14:textId="77777777" w:rsidR="00DC3816" w:rsidRDefault="00DC3816" w:rsidP="00C639A7">
      <w:pPr>
        <w:pStyle w:val="Tablenotes"/>
      </w:pPr>
      <w:r w:rsidRPr="00410F7C">
        <w:t>ICER = Incremental Cost Effectiveness Ratio</w:t>
      </w:r>
    </w:p>
    <w:p w14:paraId="2AB8771D" w14:textId="5EE8FE9C" w:rsidR="00186810" w:rsidRDefault="00DC3816" w:rsidP="00DC3816">
      <w:r>
        <w:t xml:space="preserve">The incremental cost-effectiveness ratio (ICER) was most sensitive to changes that affect the prevalence of </w:t>
      </w:r>
      <w:r w:rsidRPr="00091EFD">
        <w:t>α</w:t>
      </w:r>
      <w:r w:rsidRPr="00091EFD">
        <w:rPr>
          <w:vertAlign w:val="superscript"/>
        </w:rPr>
        <w:t>0</w:t>
      </w:r>
      <w:r>
        <w:t xml:space="preserve"> and HbH genotypes in the population eligible for testing (i.e. sensitivity analyses that affect overall prevalence, changes to the partner’s risk at model entry and the distribution of genotypes within a given total prevalence). Given the d</w:t>
      </w:r>
      <w:r w:rsidRPr="00B624CB">
        <w:t>ifferences and fluidity in ethnic make-up in populations across states and over time</w:t>
      </w:r>
      <w:r>
        <w:t xml:space="preserve">, there is </w:t>
      </w:r>
      <w:r w:rsidRPr="00B624CB">
        <w:t>substantial uncertainty in the</w:t>
      </w:r>
      <w:r w:rsidR="004E5F31">
        <w:t xml:space="preserve"> estimates presented.</w:t>
      </w:r>
    </w:p>
    <w:p w14:paraId="461C9C11" w14:textId="77777777" w:rsidR="00186810" w:rsidRDefault="00186810" w:rsidP="004E5F31">
      <w:pPr>
        <w:spacing w:before="240"/>
      </w:pPr>
      <w:r>
        <w:t>The ICER was also observed to be sensitive to the cost of testing, not only the cost of deletion testing itself, but also the proportion of partners screened in both the intervention and comparator arms of the model.</w:t>
      </w:r>
    </w:p>
    <w:p w14:paraId="4D123B63" w14:textId="1260D602" w:rsidR="00DD7372" w:rsidRDefault="00DD7372" w:rsidP="004E5F31">
      <w:pPr>
        <w:spacing w:before="240"/>
      </w:pPr>
      <w:r>
        <w:t>Two scenario analyses examining different testing pathways were also prepared as part of  the assessment. The first assumes that additional testing will be performed to identify all non-deletion mutations, as was conducted in Lau et al. (2009). In this analysis, it was assumed that all α thalassaemia mutations are identified, and additional outcomes have been presented, including cost per couple at risk of either Hb Bart’s or non-deletion HbH identified. The results of this scenario analysis are presented in</w:t>
      </w:r>
      <w:r w:rsidR="007C140B">
        <w:t xml:space="preserve"> Tables</w:t>
      </w:r>
      <w:r w:rsidR="004E5F31">
        <w:t xml:space="preserve"> 9 and 10.</w:t>
      </w:r>
      <w:r>
        <w:br w:type="page"/>
      </w:r>
    </w:p>
    <w:p w14:paraId="13474B38" w14:textId="70666E02" w:rsidR="00DD7372" w:rsidRPr="00D576B7" w:rsidRDefault="00DD7372" w:rsidP="00D576B7">
      <w:pPr>
        <w:rPr>
          <w:rFonts w:ascii="Arial Narrow" w:hAnsi="Arial Narrow"/>
          <w:b/>
          <w:sz w:val="20"/>
        </w:rPr>
      </w:pPr>
      <w:bookmarkStart w:id="16" w:name="_Ref526076318"/>
      <w:bookmarkStart w:id="17" w:name="_Toc527050635"/>
      <w:r w:rsidRPr="00D576B7">
        <w:rPr>
          <w:rFonts w:ascii="Arial Narrow" w:hAnsi="Arial Narrow"/>
          <w:b/>
          <w:sz w:val="20"/>
        </w:rPr>
        <w:lastRenderedPageBreak/>
        <w:t xml:space="preserve">Table </w:t>
      </w:r>
      <w:bookmarkEnd w:id="16"/>
      <w:r w:rsidRPr="00D576B7">
        <w:rPr>
          <w:rFonts w:ascii="Arial Narrow" w:hAnsi="Arial Narrow"/>
          <w:b/>
          <w:sz w:val="20"/>
        </w:rPr>
        <w:t>9</w:t>
      </w:r>
      <w:r w:rsidRPr="00D576B7">
        <w:rPr>
          <w:rFonts w:ascii="Arial Narrow" w:hAnsi="Arial Narrow"/>
          <w:b/>
          <w:sz w:val="20"/>
        </w:rPr>
        <w:tab/>
        <w:t>Incremental cost-effectiveness in couples planning a pregnancy, scenario where further testing is included</w:t>
      </w:r>
      <w:bookmarkEnd w:id="17"/>
    </w:p>
    <w:tbl>
      <w:tblPr>
        <w:tblStyle w:val="TableGrid1"/>
        <w:tblW w:w="5000" w:type="pct"/>
        <w:tblLayout w:type="fixed"/>
        <w:tblLook w:val="04A0" w:firstRow="1" w:lastRow="0" w:firstColumn="1" w:lastColumn="0" w:noHBand="0" w:noVBand="1"/>
        <w:tblCaption w:val="Incremental cost-effectiveness in couples planning a pregnancy, scenario where further testing is included"/>
        <w:tblDescription w:val="Incremental cost-effectiveness in couples planning a pregnancy, scenario where further testing is included"/>
      </w:tblPr>
      <w:tblGrid>
        <w:gridCol w:w="5382"/>
        <w:gridCol w:w="1212"/>
        <w:gridCol w:w="1212"/>
        <w:gridCol w:w="1210"/>
      </w:tblGrid>
      <w:tr w:rsidR="00DD7372" w:rsidRPr="00410F7C" w14:paraId="6121BDDA"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311D4C68" w14:textId="77777777" w:rsidR="00DD7372" w:rsidRPr="00410F7C" w:rsidRDefault="00DD7372" w:rsidP="003C546E">
            <w:pPr>
              <w:pStyle w:val="TableHeading"/>
            </w:pPr>
          </w:p>
        </w:tc>
        <w:tc>
          <w:tcPr>
            <w:tcW w:w="672" w:type="pct"/>
            <w:noWrap/>
            <w:hideMark/>
          </w:tcPr>
          <w:p w14:paraId="4C08F9F0" w14:textId="77777777" w:rsidR="00DD7372" w:rsidRPr="00410F7C" w:rsidRDefault="00DD7372" w:rsidP="003C546E">
            <w:pPr>
              <w:pStyle w:val="TableHeading"/>
            </w:pPr>
            <w:r w:rsidRPr="00410F7C">
              <w:t>Intervention</w:t>
            </w:r>
          </w:p>
        </w:tc>
        <w:tc>
          <w:tcPr>
            <w:tcW w:w="672" w:type="pct"/>
            <w:noWrap/>
            <w:hideMark/>
          </w:tcPr>
          <w:p w14:paraId="0F6942F5" w14:textId="77777777" w:rsidR="00DD7372" w:rsidRPr="00410F7C" w:rsidRDefault="00DD7372" w:rsidP="003C546E">
            <w:pPr>
              <w:pStyle w:val="TableHeading"/>
            </w:pPr>
            <w:r w:rsidRPr="00410F7C">
              <w:t>Comparator</w:t>
            </w:r>
          </w:p>
        </w:tc>
        <w:tc>
          <w:tcPr>
            <w:tcW w:w="671" w:type="pct"/>
            <w:noWrap/>
            <w:hideMark/>
          </w:tcPr>
          <w:p w14:paraId="543A7184" w14:textId="77777777" w:rsidR="00DD7372" w:rsidRPr="00410F7C" w:rsidRDefault="00DD7372" w:rsidP="003C546E">
            <w:pPr>
              <w:pStyle w:val="TableHeading"/>
            </w:pPr>
            <w:r w:rsidRPr="00410F7C">
              <w:t>Increment</w:t>
            </w:r>
          </w:p>
        </w:tc>
      </w:tr>
      <w:tr w:rsidR="00DD7372" w:rsidRPr="0001206B" w14:paraId="372F4301" w14:textId="77777777" w:rsidTr="003C546E">
        <w:trPr>
          <w:trHeight w:val="255"/>
        </w:trPr>
        <w:tc>
          <w:tcPr>
            <w:tcW w:w="2985" w:type="pct"/>
            <w:noWrap/>
            <w:hideMark/>
          </w:tcPr>
          <w:p w14:paraId="667D396C" w14:textId="77777777" w:rsidR="00DD7372" w:rsidRPr="00410F7C" w:rsidRDefault="00DD7372" w:rsidP="003C546E">
            <w:pPr>
              <w:pStyle w:val="TableText"/>
            </w:pPr>
            <w:r w:rsidRPr="00410F7C">
              <w:t>Total cost</w:t>
            </w:r>
          </w:p>
        </w:tc>
        <w:tc>
          <w:tcPr>
            <w:tcW w:w="672" w:type="pct"/>
            <w:noWrap/>
            <w:hideMark/>
          </w:tcPr>
          <w:p w14:paraId="6D10CD48" w14:textId="77777777" w:rsidR="00DD7372" w:rsidRPr="00410F7C" w:rsidRDefault="00DD7372" w:rsidP="003C546E">
            <w:pPr>
              <w:pStyle w:val="TableText"/>
              <w:jc w:val="center"/>
            </w:pPr>
            <w:r w:rsidRPr="00121DA1">
              <w:t>$909</w:t>
            </w:r>
          </w:p>
        </w:tc>
        <w:tc>
          <w:tcPr>
            <w:tcW w:w="672" w:type="pct"/>
            <w:noWrap/>
            <w:hideMark/>
          </w:tcPr>
          <w:p w14:paraId="38A03652" w14:textId="77777777" w:rsidR="00DD7372" w:rsidRPr="00410F7C" w:rsidRDefault="00DD7372" w:rsidP="003C546E">
            <w:pPr>
              <w:pStyle w:val="TableText"/>
              <w:jc w:val="center"/>
            </w:pPr>
            <w:r w:rsidRPr="00121DA1">
              <w:t>$139</w:t>
            </w:r>
          </w:p>
        </w:tc>
        <w:tc>
          <w:tcPr>
            <w:tcW w:w="671" w:type="pct"/>
            <w:noWrap/>
            <w:hideMark/>
          </w:tcPr>
          <w:p w14:paraId="7550C8AB" w14:textId="77777777" w:rsidR="00DD7372" w:rsidRPr="00410F7C" w:rsidRDefault="00DD7372" w:rsidP="003C546E">
            <w:pPr>
              <w:pStyle w:val="TableText"/>
              <w:jc w:val="center"/>
            </w:pPr>
            <w:r w:rsidRPr="00121DA1">
              <w:t>$770</w:t>
            </w:r>
          </w:p>
        </w:tc>
      </w:tr>
      <w:tr w:rsidR="00DD7372" w:rsidRPr="00410F7C" w14:paraId="544C4F7C" w14:textId="77777777" w:rsidTr="003C546E">
        <w:trPr>
          <w:trHeight w:val="255"/>
        </w:trPr>
        <w:tc>
          <w:tcPr>
            <w:tcW w:w="2985" w:type="pct"/>
            <w:tcBorders>
              <w:bottom w:val="single" w:sz="4" w:space="0" w:color="auto"/>
            </w:tcBorders>
            <w:noWrap/>
            <w:hideMark/>
          </w:tcPr>
          <w:p w14:paraId="2B2A5302" w14:textId="77777777" w:rsidR="00DD7372" w:rsidRPr="00410F7C" w:rsidRDefault="00DD7372" w:rsidP="003C546E">
            <w:pPr>
              <w:pStyle w:val="TableText"/>
            </w:pPr>
            <w:r w:rsidRPr="007127F3">
              <w:t>Couples genetically confirmed as being at risk of having a fetus affected by Hb Bart’s</w:t>
            </w:r>
          </w:p>
        </w:tc>
        <w:tc>
          <w:tcPr>
            <w:tcW w:w="672" w:type="pct"/>
            <w:tcBorders>
              <w:bottom w:val="single" w:sz="4" w:space="0" w:color="auto"/>
            </w:tcBorders>
            <w:noWrap/>
            <w:hideMark/>
          </w:tcPr>
          <w:p w14:paraId="11BF3ECF" w14:textId="77777777" w:rsidR="00DD7372" w:rsidRPr="00410F7C" w:rsidRDefault="00DD7372" w:rsidP="003C546E">
            <w:pPr>
              <w:pStyle w:val="TableText"/>
              <w:jc w:val="center"/>
            </w:pPr>
            <w:r w:rsidRPr="00121DA1">
              <w:t>0.0043</w:t>
            </w:r>
          </w:p>
        </w:tc>
        <w:tc>
          <w:tcPr>
            <w:tcW w:w="672" w:type="pct"/>
            <w:tcBorders>
              <w:bottom w:val="single" w:sz="4" w:space="0" w:color="auto"/>
            </w:tcBorders>
            <w:noWrap/>
            <w:hideMark/>
          </w:tcPr>
          <w:p w14:paraId="70D93ED2" w14:textId="77777777" w:rsidR="00DD7372" w:rsidRPr="00410F7C" w:rsidRDefault="00DD7372" w:rsidP="003C546E">
            <w:pPr>
              <w:pStyle w:val="TableText"/>
              <w:jc w:val="center"/>
            </w:pPr>
            <w:r w:rsidRPr="00121DA1">
              <w:t>0.0000</w:t>
            </w:r>
          </w:p>
        </w:tc>
        <w:tc>
          <w:tcPr>
            <w:tcW w:w="671" w:type="pct"/>
            <w:tcBorders>
              <w:bottom w:val="single" w:sz="4" w:space="0" w:color="auto"/>
            </w:tcBorders>
            <w:noWrap/>
            <w:hideMark/>
          </w:tcPr>
          <w:p w14:paraId="594C0442" w14:textId="77777777" w:rsidR="00DD7372" w:rsidRPr="00410F7C" w:rsidRDefault="00DD7372" w:rsidP="003C546E">
            <w:pPr>
              <w:pStyle w:val="TableText"/>
              <w:jc w:val="center"/>
            </w:pPr>
            <w:r w:rsidRPr="00121DA1">
              <w:t>0.0043</w:t>
            </w:r>
          </w:p>
        </w:tc>
      </w:tr>
      <w:tr w:rsidR="00DD7372" w:rsidRPr="00410F7C" w14:paraId="47B90E85" w14:textId="77777777" w:rsidTr="003C546E">
        <w:trPr>
          <w:trHeight w:val="255"/>
        </w:trPr>
        <w:tc>
          <w:tcPr>
            <w:tcW w:w="2985" w:type="pct"/>
            <w:tcBorders>
              <w:bottom w:val="double" w:sz="4" w:space="0" w:color="auto"/>
              <w:right w:val="nil"/>
            </w:tcBorders>
            <w:noWrap/>
            <w:hideMark/>
          </w:tcPr>
          <w:p w14:paraId="0E923D63" w14:textId="77777777" w:rsidR="00DD7372" w:rsidRPr="00410F7C" w:rsidRDefault="00DD7372" w:rsidP="003C546E">
            <w:pPr>
              <w:pStyle w:val="TableText"/>
              <w:rPr>
                <w:b/>
              </w:rPr>
            </w:pPr>
            <w:r w:rsidRPr="000A0646">
              <w:rPr>
                <w:b/>
              </w:rPr>
              <w:t>ICER per couple that is genetically confirmed as being at risk of having a fetus affected by Hb Bart’s</w:t>
            </w:r>
          </w:p>
        </w:tc>
        <w:tc>
          <w:tcPr>
            <w:tcW w:w="672" w:type="pct"/>
            <w:tcBorders>
              <w:left w:val="nil"/>
              <w:bottom w:val="double" w:sz="4" w:space="0" w:color="auto"/>
              <w:right w:val="nil"/>
            </w:tcBorders>
            <w:noWrap/>
            <w:hideMark/>
          </w:tcPr>
          <w:p w14:paraId="1B49C3AD" w14:textId="77777777" w:rsidR="00DD7372" w:rsidRPr="00A254DA" w:rsidRDefault="00DD7372" w:rsidP="003C546E">
            <w:pPr>
              <w:pStyle w:val="TableText"/>
              <w:jc w:val="center"/>
              <w:rPr>
                <w:b/>
              </w:rPr>
            </w:pPr>
            <w:r w:rsidRPr="009A2C91">
              <w:rPr>
                <w:b/>
                <w:color w:val="FFFFFF" w:themeColor="background1"/>
              </w:rPr>
              <w:t>-</w:t>
            </w:r>
          </w:p>
        </w:tc>
        <w:tc>
          <w:tcPr>
            <w:tcW w:w="672" w:type="pct"/>
            <w:tcBorders>
              <w:left w:val="nil"/>
              <w:bottom w:val="double" w:sz="4" w:space="0" w:color="auto"/>
            </w:tcBorders>
            <w:noWrap/>
            <w:hideMark/>
          </w:tcPr>
          <w:p w14:paraId="77E48CF9" w14:textId="77777777" w:rsidR="00DD7372" w:rsidRPr="00A254DA" w:rsidRDefault="00DD7372" w:rsidP="003C546E">
            <w:pPr>
              <w:pStyle w:val="TableText"/>
              <w:jc w:val="center"/>
              <w:rPr>
                <w:rFonts w:ascii="Times New Roman" w:hAnsi="Times New Roman" w:cs="Times New Roman"/>
                <w:b/>
              </w:rPr>
            </w:pPr>
            <w:r w:rsidRPr="009A2C91">
              <w:rPr>
                <w:b/>
                <w:color w:val="FFFFFF" w:themeColor="background1"/>
              </w:rPr>
              <w:t>-</w:t>
            </w:r>
          </w:p>
        </w:tc>
        <w:tc>
          <w:tcPr>
            <w:tcW w:w="671" w:type="pct"/>
            <w:tcBorders>
              <w:bottom w:val="double" w:sz="4" w:space="0" w:color="auto"/>
            </w:tcBorders>
            <w:noWrap/>
            <w:hideMark/>
          </w:tcPr>
          <w:p w14:paraId="16013774" w14:textId="77777777" w:rsidR="00DD7372" w:rsidRPr="00A254DA" w:rsidRDefault="00DD7372" w:rsidP="003C546E">
            <w:pPr>
              <w:pStyle w:val="TableText"/>
              <w:jc w:val="center"/>
              <w:rPr>
                <w:b/>
              </w:rPr>
            </w:pPr>
            <w:r w:rsidRPr="00A254DA">
              <w:rPr>
                <w:b/>
              </w:rPr>
              <w:t>$180,784</w:t>
            </w:r>
          </w:p>
        </w:tc>
      </w:tr>
      <w:tr w:rsidR="00DD7372" w:rsidRPr="00410F7C" w14:paraId="2A190DE6" w14:textId="77777777" w:rsidTr="003C546E">
        <w:trPr>
          <w:trHeight w:val="255"/>
        </w:trPr>
        <w:tc>
          <w:tcPr>
            <w:tcW w:w="2985" w:type="pct"/>
            <w:tcBorders>
              <w:bottom w:val="single" w:sz="4" w:space="0" w:color="auto"/>
            </w:tcBorders>
            <w:noWrap/>
            <w:hideMark/>
          </w:tcPr>
          <w:p w14:paraId="216ED2B2" w14:textId="77777777" w:rsidR="00DD7372" w:rsidRPr="00410F7C" w:rsidRDefault="00DD7372" w:rsidP="003C546E">
            <w:pPr>
              <w:pStyle w:val="TableText"/>
            </w:pPr>
            <w:r w:rsidRPr="007127F3">
              <w:t>Couples identified as being at risk of having a fetus affected by Hb Bart’s</w:t>
            </w:r>
          </w:p>
        </w:tc>
        <w:tc>
          <w:tcPr>
            <w:tcW w:w="672" w:type="pct"/>
            <w:tcBorders>
              <w:bottom w:val="single" w:sz="4" w:space="0" w:color="auto"/>
            </w:tcBorders>
            <w:noWrap/>
          </w:tcPr>
          <w:p w14:paraId="3395A9FE" w14:textId="77777777" w:rsidR="00DD7372" w:rsidRPr="00410F7C" w:rsidRDefault="00DD7372" w:rsidP="003C546E">
            <w:pPr>
              <w:pStyle w:val="TableText"/>
              <w:jc w:val="center"/>
            </w:pPr>
            <w:r w:rsidRPr="00DC0A81">
              <w:t>0.0043</w:t>
            </w:r>
          </w:p>
        </w:tc>
        <w:tc>
          <w:tcPr>
            <w:tcW w:w="672" w:type="pct"/>
            <w:tcBorders>
              <w:bottom w:val="single" w:sz="4" w:space="0" w:color="auto"/>
            </w:tcBorders>
            <w:noWrap/>
          </w:tcPr>
          <w:p w14:paraId="0FA73903" w14:textId="77777777" w:rsidR="00DD7372" w:rsidRPr="00410F7C" w:rsidRDefault="00DD7372" w:rsidP="003C546E">
            <w:pPr>
              <w:pStyle w:val="TableText"/>
              <w:jc w:val="center"/>
            </w:pPr>
            <w:r w:rsidRPr="00DC0A81">
              <w:t>0.0030</w:t>
            </w:r>
          </w:p>
        </w:tc>
        <w:tc>
          <w:tcPr>
            <w:tcW w:w="671" w:type="pct"/>
            <w:tcBorders>
              <w:bottom w:val="single" w:sz="4" w:space="0" w:color="auto"/>
            </w:tcBorders>
            <w:noWrap/>
          </w:tcPr>
          <w:p w14:paraId="1D42E35C" w14:textId="77777777" w:rsidR="00DD7372" w:rsidRPr="00410F7C" w:rsidRDefault="00DD7372" w:rsidP="003C546E">
            <w:pPr>
              <w:pStyle w:val="TableText"/>
              <w:jc w:val="center"/>
            </w:pPr>
            <w:r w:rsidRPr="00DC0A81">
              <w:t>0.0013</w:t>
            </w:r>
          </w:p>
        </w:tc>
      </w:tr>
      <w:tr w:rsidR="00DD7372" w:rsidRPr="000A0646" w14:paraId="7883599E" w14:textId="77777777" w:rsidTr="003C546E">
        <w:trPr>
          <w:trHeight w:val="255"/>
        </w:trPr>
        <w:tc>
          <w:tcPr>
            <w:tcW w:w="2985" w:type="pct"/>
            <w:tcBorders>
              <w:bottom w:val="double" w:sz="4" w:space="0" w:color="auto"/>
              <w:right w:val="nil"/>
            </w:tcBorders>
            <w:noWrap/>
            <w:hideMark/>
          </w:tcPr>
          <w:p w14:paraId="1E37035A" w14:textId="77777777" w:rsidR="00DD7372" w:rsidRPr="0098067B" w:rsidRDefault="00DD7372" w:rsidP="003C546E">
            <w:pPr>
              <w:pStyle w:val="TableText"/>
              <w:rPr>
                <w:b/>
              </w:rPr>
            </w:pPr>
            <w:r w:rsidRPr="000A0646">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3F886285" w14:textId="77777777" w:rsidR="00DD7372" w:rsidRPr="00250456" w:rsidRDefault="00DD7372" w:rsidP="003C546E">
            <w:pPr>
              <w:pStyle w:val="TableText"/>
              <w:jc w:val="center"/>
              <w:rPr>
                <w:b/>
              </w:rPr>
            </w:pPr>
            <w:r w:rsidRPr="009A2C91">
              <w:rPr>
                <w:b/>
                <w:color w:val="FFFFFF" w:themeColor="background1"/>
              </w:rPr>
              <w:t>-</w:t>
            </w:r>
          </w:p>
        </w:tc>
        <w:tc>
          <w:tcPr>
            <w:tcW w:w="672" w:type="pct"/>
            <w:tcBorders>
              <w:left w:val="nil"/>
              <w:bottom w:val="double" w:sz="4" w:space="0" w:color="auto"/>
            </w:tcBorders>
            <w:noWrap/>
          </w:tcPr>
          <w:p w14:paraId="6E386573" w14:textId="77777777" w:rsidR="00DD7372" w:rsidRPr="00250456" w:rsidRDefault="00DD7372" w:rsidP="003C546E">
            <w:pPr>
              <w:pStyle w:val="TableText"/>
              <w:jc w:val="center"/>
              <w:rPr>
                <w:rFonts w:ascii="Times New Roman" w:hAnsi="Times New Roman" w:cs="Times New Roman"/>
                <w:b/>
              </w:rPr>
            </w:pPr>
            <w:r w:rsidRPr="009A2C91">
              <w:rPr>
                <w:b/>
                <w:color w:val="FFFFFF" w:themeColor="background1"/>
              </w:rPr>
              <w:t>-</w:t>
            </w:r>
          </w:p>
        </w:tc>
        <w:tc>
          <w:tcPr>
            <w:tcW w:w="671" w:type="pct"/>
            <w:tcBorders>
              <w:bottom w:val="double" w:sz="4" w:space="0" w:color="auto"/>
            </w:tcBorders>
            <w:noWrap/>
          </w:tcPr>
          <w:p w14:paraId="0498E484" w14:textId="77777777" w:rsidR="00DD7372" w:rsidRPr="00250456" w:rsidRDefault="00DD7372" w:rsidP="003C546E">
            <w:pPr>
              <w:pStyle w:val="TableText"/>
              <w:jc w:val="center"/>
              <w:rPr>
                <w:b/>
              </w:rPr>
            </w:pPr>
            <w:r w:rsidRPr="000A0646">
              <w:rPr>
                <w:b/>
              </w:rPr>
              <w:t>$609,876</w:t>
            </w:r>
          </w:p>
        </w:tc>
      </w:tr>
      <w:tr w:rsidR="00DD7372" w:rsidRPr="00410F7C" w14:paraId="44F17186" w14:textId="77777777" w:rsidTr="003C546E">
        <w:trPr>
          <w:trHeight w:val="255"/>
        </w:trPr>
        <w:tc>
          <w:tcPr>
            <w:tcW w:w="2985" w:type="pct"/>
            <w:tcBorders>
              <w:bottom w:val="single" w:sz="4" w:space="0" w:color="auto"/>
            </w:tcBorders>
            <w:noWrap/>
            <w:hideMark/>
          </w:tcPr>
          <w:p w14:paraId="6211EF0B" w14:textId="77777777" w:rsidR="00DD7372" w:rsidRPr="00410F7C" w:rsidRDefault="00DD7372" w:rsidP="003C546E">
            <w:pPr>
              <w:pStyle w:val="TableText"/>
            </w:pPr>
            <w:r w:rsidRPr="007127F3">
              <w:t>Couples with genetically confirmed status</w:t>
            </w:r>
          </w:p>
        </w:tc>
        <w:tc>
          <w:tcPr>
            <w:tcW w:w="672" w:type="pct"/>
            <w:tcBorders>
              <w:bottom w:val="single" w:sz="4" w:space="0" w:color="auto"/>
            </w:tcBorders>
            <w:noWrap/>
            <w:hideMark/>
          </w:tcPr>
          <w:p w14:paraId="650C6185" w14:textId="77777777" w:rsidR="00DD7372" w:rsidRPr="00410F7C" w:rsidRDefault="00DD7372" w:rsidP="003C546E">
            <w:pPr>
              <w:pStyle w:val="TableText"/>
              <w:jc w:val="center"/>
            </w:pPr>
            <w:r w:rsidRPr="00D8270F">
              <w:t>0.0097</w:t>
            </w:r>
          </w:p>
        </w:tc>
        <w:tc>
          <w:tcPr>
            <w:tcW w:w="672" w:type="pct"/>
            <w:tcBorders>
              <w:bottom w:val="single" w:sz="4" w:space="0" w:color="auto"/>
            </w:tcBorders>
            <w:noWrap/>
            <w:hideMark/>
          </w:tcPr>
          <w:p w14:paraId="27061411" w14:textId="77777777" w:rsidR="00DD7372" w:rsidRPr="00410F7C" w:rsidRDefault="00DD7372" w:rsidP="003C546E">
            <w:pPr>
              <w:pStyle w:val="TableText"/>
              <w:jc w:val="center"/>
            </w:pPr>
            <w:r w:rsidRPr="00D8270F">
              <w:t>0.0000</w:t>
            </w:r>
          </w:p>
        </w:tc>
        <w:tc>
          <w:tcPr>
            <w:tcW w:w="671" w:type="pct"/>
            <w:tcBorders>
              <w:bottom w:val="single" w:sz="4" w:space="0" w:color="auto"/>
            </w:tcBorders>
            <w:noWrap/>
            <w:hideMark/>
          </w:tcPr>
          <w:p w14:paraId="2F3CA778" w14:textId="77777777" w:rsidR="00DD7372" w:rsidRPr="00410F7C" w:rsidRDefault="00DD7372" w:rsidP="003C546E">
            <w:pPr>
              <w:pStyle w:val="TableText"/>
              <w:jc w:val="center"/>
            </w:pPr>
            <w:r w:rsidRPr="00D8270F">
              <w:t>0.0097</w:t>
            </w:r>
          </w:p>
        </w:tc>
      </w:tr>
      <w:tr w:rsidR="00DD7372" w:rsidRPr="00410F7C" w14:paraId="1AC2312B" w14:textId="77777777" w:rsidTr="003C546E">
        <w:trPr>
          <w:trHeight w:val="255"/>
        </w:trPr>
        <w:tc>
          <w:tcPr>
            <w:tcW w:w="2985" w:type="pct"/>
            <w:tcBorders>
              <w:bottom w:val="double" w:sz="4" w:space="0" w:color="auto"/>
              <w:right w:val="nil"/>
            </w:tcBorders>
            <w:noWrap/>
            <w:hideMark/>
          </w:tcPr>
          <w:p w14:paraId="7D9CEDBA" w14:textId="77777777" w:rsidR="00DD7372" w:rsidRPr="00A254DA" w:rsidRDefault="00DD7372" w:rsidP="003C546E">
            <w:pPr>
              <w:pStyle w:val="TableText"/>
              <w:rPr>
                <w:b/>
              </w:rPr>
            </w:pPr>
            <w:r w:rsidRPr="000A0646">
              <w:rPr>
                <w:b/>
              </w:rPr>
              <w:t>ICER per couple with genetically confirmed status</w:t>
            </w:r>
          </w:p>
        </w:tc>
        <w:tc>
          <w:tcPr>
            <w:tcW w:w="672" w:type="pct"/>
            <w:tcBorders>
              <w:left w:val="nil"/>
              <w:bottom w:val="double" w:sz="4" w:space="0" w:color="auto"/>
              <w:right w:val="nil"/>
            </w:tcBorders>
            <w:noWrap/>
            <w:hideMark/>
          </w:tcPr>
          <w:p w14:paraId="085906CA" w14:textId="77777777" w:rsidR="00DD7372" w:rsidRPr="00A254DA" w:rsidRDefault="00DD7372" w:rsidP="003C546E">
            <w:pPr>
              <w:pStyle w:val="TableText"/>
              <w:jc w:val="center"/>
              <w:rPr>
                <w:b/>
              </w:rPr>
            </w:pPr>
            <w:r w:rsidRPr="00793892">
              <w:rPr>
                <w:b/>
                <w:color w:val="FFFFFF" w:themeColor="background1"/>
              </w:rPr>
              <w:t>-</w:t>
            </w:r>
          </w:p>
        </w:tc>
        <w:tc>
          <w:tcPr>
            <w:tcW w:w="672" w:type="pct"/>
            <w:tcBorders>
              <w:left w:val="nil"/>
              <w:bottom w:val="double" w:sz="4" w:space="0" w:color="auto"/>
            </w:tcBorders>
            <w:noWrap/>
            <w:hideMark/>
          </w:tcPr>
          <w:p w14:paraId="5A661D91" w14:textId="77777777" w:rsidR="00DD7372" w:rsidRPr="00A254DA" w:rsidRDefault="00DD7372" w:rsidP="003C546E">
            <w:pPr>
              <w:pStyle w:val="TableText"/>
              <w:jc w:val="center"/>
              <w:rPr>
                <w:rFonts w:ascii="Times New Roman" w:hAnsi="Times New Roman" w:cs="Times New Roman"/>
                <w:b/>
              </w:rPr>
            </w:pPr>
            <w:r w:rsidRPr="00793892">
              <w:rPr>
                <w:b/>
                <w:color w:val="FFFFFF" w:themeColor="background1"/>
              </w:rPr>
              <w:t>-</w:t>
            </w:r>
          </w:p>
        </w:tc>
        <w:tc>
          <w:tcPr>
            <w:tcW w:w="671" w:type="pct"/>
            <w:tcBorders>
              <w:bottom w:val="double" w:sz="4" w:space="0" w:color="auto"/>
            </w:tcBorders>
            <w:noWrap/>
            <w:hideMark/>
          </w:tcPr>
          <w:p w14:paraId="1A8927A2" w14:textId="77777777" w:rsidR="00DD7372" w:rsidRPr="00A254DA" w:rsidRDefault="00DD7372" w:rsidP="003C546E">
            <w:pPr>
              <w:pStyle w:val="TableText"/>
              <w:jc w:val="center"/>
              <w:rPr>
                <w:b/>
              </w:rPr>
            </w:pPr>
            <w:r w:rsidRPr="00A254DA">
              <w:rPr>
                <w:b/>
              </w:rPr>
              <w:t>$79,041</w:t>
            </w:r>
          </w:p>
        </w:tc>
      </w:tr>
      <w:tr w:rsidR="00DD7372" w:rsidRPr="00410F7C" w14:paraId="18B77EFE" w14:textId="77777777" w:rsidTr="003C546E">
        <w:trPr>
          <w:trHeight w:val="255"/>
        </w:trPr>
        <w:tc>
          <w:tcPr>
            <w:tcW w:w="2985" w:type="pct"/>
            <w:tcBorders>
              <w:top w:val="double" w:sz="4" w:space="0" w:color="auto"/>
              <w:bottom w:val="single" w:sz="4" w:space="0" w:color="auto"/>
            </w:tcBorders>
            <w:noWrap/>
            <w:hideMark/>
          </w:tcPr>
          <w:p w14:paraId="26E504C1" w14:textId="77777777" w:rsidR="00DD7372" w:rsidRPr="00410F7C" w:rsidRDefault="00DD7372" w:rsidP="003C546E">
            <w:pPr>
              <w:pStyle w:val="TableText"/>
            </w:pPr>
            <w:r w:rsidRPr="007127F3">
              <w:t>Couples genetically confirmed as being at risk of having a fetus affected by Hb Bart’s</w:t>
            </w:r>
          </w:p>
        </w:tc>
        <w:tc>
          <w:tcPr>
            <w:tcW w:w="672" w:type="pct"/>
            <w:tcBorders>
              <w:top w:val="double" w:sz="4" w:space="0" w:color="auto"/>
              <w:bottom w:val="single" w:sz="4" w:space="0" w:color="auto"/>
            </w:tcBorders>
            <w:noWrap/>
            <w:hideMark/>
          </w:tcPr>
          <w:p w14:paraId="3AF43A8D" w14:textId="77777777" w:rsidR="00DD7372" w:rsidRPr="00410F7C" w:rsidRDefault="00DD7372" w:rsidP="003C546E">
            <w:pPr>
              <w:pStyle w:val="TableText"/>
              <w:jc w:val="center"/>
            </w:pPr>
            <w:r w:rsidRPr="00121DA1">
              <w:t>1.0000</w:t>
            </w:r>
          </w:p>
        </w:tc>
        <w:tc>
          <w:tcPr>
            <w:tcW w:w="672" w:type="pct"/>
            <w:tcBorders>
              <w:top w:val="double" w:sz="4" w:space="0" w:color="auto"/>
              <w:bottom w:val="single" w:sz="4" w:space="0" w:color="auto"/>
            </w:tcBorders>
            <w:noWrap/>
            <w:hideMark/>
          </w:tcPr>
          <w:p w14:paraId="46771647" w14:textId="77777777" w:rsidR="00DD7372" w:rsidRPr="00410F7C" w:rsidRDefault="00DD7372" w:rsidP="003C546E">
            <w:pPr>
              <w:pStyle w:val="TableText"/>
              <w:jc w:val="center"/>
            </w:pPr>
            <w:r w:rsidRPr="00121DA1">
              <w:t>0.0000</w:t>
            </w:r>
          </w:p>
        </w:tc>
        <w:tc>
          <w:tcPr>
            <w:tcW w:w="671" w:type="pct"/>
            <w:tcBorders>
              <w:top w:val="double" w:sz="4" w:space="0" w:color="auto"/>
            </w:tcBorders>
            <w:noWrap/>
            <w:hideMark/>
          </w:tcPr>
          <w:p w14:paraId="619E8093" w14:textId="77777777" w:rsidR="00DD7372" w:rsidRPr="00410F7C" w:rsidRDefault="00DD7372" w:rsidP="003C546E">
            <w:pPr>
              <w:pStyle w:val="TableText"/>
              <w:jc w:val="center"/>
            </w:pPr>
            <w:r w:rsidRPr="00121DA1">
              <w:t>1.0000</w:t>
            </w:r>
          </w:p>
        </w:tc>
      </w:tr>
      <w:tr w:rsidR="00DD7372" w:rsidRPr="00410F7C" w14:paraId="07444544" w14:textId="77777777" w:rsidTr="003C546E">
        <w:trPr>
          <w:trHeight w:val="255"/>
        </w:trPr>
        <w:tc>
          <w:tcPr>
            <w:tcW w:w="2985" w:type="pct"/>
            <w:tcBorders>
              <w:right w:val="nil"/>
            </w:tcBorders>
            <w:noWrap/>
            <w:hideMark/>
          </w:tcPr>
          <w:p w14:paraId="528F85DA" w14:textId="77777777" w:rsidR="00DD7372" w:rsidRPr="00410F7C" w:rsidRDefault="00DD7372" w:rsidP="003C546E">
            <w:pPr>
              <w:pStyle w:val="TableText"/>
              <w:rPr>
                <w:b/>
              </w:rPr>
            </w:pPr>
            <w:r w:rsidRPr="000A0646">
              <w:rPr>
                <w:b/>
              </w:rPr>
              <w:t>ICER per couple that is genetically confirmed as being at risk of having a fetus affected by Hb Bart’s</w:t>
            </w:r>
          </w:p>
        </w:tc>
        <w:tc>
          <w:tcPr>
            <w:tcW w:w="672" w:type="pct"/>
            <w:tcBorders>
              <w:left w:val="nil"/>
              <w:right w:val="nil"/>
            </w:tcBorders>
            <w:noWrap/>
            <w:hideMark/>
          </w:tcPr>
          <w:p w14:paraId="670EE325" w14:textId="77777777" w:rsidR="00DD7372" w:rsidRPr="00A254DA" w:rsidRDefault="00DD7372" w:rsidP="003C546E">
            <w:pPr>
              <w:pStyle w:val="TableText"/>
              <w:jc w:val="center"/>
              <w:rPr>
                <w:b/>
              </w:rPr>
            </w:pPr>
            <w:r w:rsidRPr="00020CDD">
              <w:rPr>
                <w:b/>
                <w:color w:val="FFFFFF" w:themeColor="background1"/>
              </w:rPr>
              <w:t>-</w:t>
            </w:r>
          </w:p>
        </w:tc>
        <w:tc>
          <w:tcPr>
            <w:tcW w:w="672" w:type="pct"/>
            <w:tcBorders>
              <w:left w:val="nil"/>
            </w:tcBorders>
            <w:noWrap/>
            <w:hideMark/>
          </w:tcPr>
          <w:p w14:paraId="412CF24F" w14:textId="77777777" w:rsidR="00DD7372" w:rsidRPr="00A254DA" w:rsidRDefault="00DD7372" w:rsidP="003C546E">
            <w:pPr>
              <w:pStyle w:val="TableText"/>
              <w:jc w:val="center"/>
              <w:rPr>
                <w:rFonts w:ascii="Times New Roman" w:hAnsi="Times New Roman" w:cs="Times New Roman"/>
                <w:b/>
              </w:rPr>
            </w:pPr>
            <w:r w:rsidRPr="00020CDD">
              <w:rPr>
                <w:b/>
                <w:color w:val="FFFFFF" w:themeColor="background1"/>
              </w:rPr>
              <w:t>-</w:t>
            </w:r>
          </w:p>
        </w:tc>
        <w:tc>
          <w:tcPr>
            <w:tcW w:w="671" w:type="pct"/>
            <w:noWrap/>
            <w:hideMark/>
          </w:tcPr>
          <w:p w14:paraId="7458A1CE" w14:textId="77777777" w:rsidR="00DD7372" w:rsidRPr="00A254DA" w:rsidRDefault="00DD7372" w:rsidP="003C546E">
            <w:pPr>
              <w:pStyle w:val="TableText"/>
              <w:jc w:val="center"/>
              <w:rPr>
                <w:b/>
              </w:rPr>
            </w:pPr>
            <w:r w:rsidRPr="00A254DA">
              <w:rPr>
                <w:b/>
              </w:rPr>
              <w:t>$770</w:t>
            </w:r>
          </w:p>
        </w:tc>
      </w:tr>
    </w:tbl>
    <w:p w14:paraId="6C4F53D5" w14:textId="6474EC8C" w:rsidR="00DD7372" w:rsidRDefault="00DD7372" w:rsidP="00C639A7">
      <w:pPr>
        <w:pStyle w:val="Tablenotes"/>
      </w:pPr>
      <w:r w:rsidRPr="00410F7C">
        <w:t>ICER = Incremental Cost Effectiveness Ratio</w:t>
      </w:r>
    </w:p>
    <w:p w14:paraId="3A50040C" w14:textId="353A2666" w:rsidR="00DD7372" w:rsidRPr="00D576B7" w:rsidRDefault="00DD7372" w:rsidP="00D576B7">
      <w:pPr>
        <w:rPr>
          <w:rFonts w:ascii="Arial Narrow" w:hAnsi="Arial Narrow"/>
          <w:b/>
          <w:sz w:val="20"/>
        </w:rPr>
      </w:pPr>
      <w:bookmarkStart w:id="18" w:name="_Ref525122901"/>
      <w:bookmarkStart w:id="19" w:name="_Toc527050636"/>
      <w:r w:rsidRPr="00D576B7">
        <w:rPr>
          <w:rFonts w:ascii="Arial Narrow" w:hAnsi="Arial Narrow"/>
          <w:b/>
          <w:sz w:val="20"/>
        </w:rPr>
        <w:t>Table 10</w:t>
      </w:r>
      <w:bookmarkEnd w:id="18"/>
      <w:r w:rsidRPr="00D576B7">
        <w:rPr>
          <w:rFonts w:ascii="Arial Narrow" w:hAnsi="Arial Narrow"/>
          <w:b/>
          <w:sz w:val="20"/>
        </w:rPr>
        <w:t xml:space="preserve"> </w:t>
      </w:r>
      <w:r w:rsidRPr="00D576B7">
        <w:rPr>
          <w:rFonts w:ascii="Arial Narrow" w:hAnsi="Arial Narrow"/>
          <w:b/>
          <w:sz w:val="20"/>
        </w:rPr>
        <w:tab/>
        <w:t>Incremental cost-effectiveness in pregnant couples, scenario where further testing is included</w:t>
      </w:r>
      <w:bookmarkEnd w:id="19"/>
    </w:p>
    <w:tbl>
      <w:tblPr>
        <w:tblStyle w:val="TableGrid1"/>
        <w:tblW w:w="5000" w:type="pct"/>
        <w:tblLayout w:type="fixed"/>
        <w:tblLook w:val="04A0" w:firstRow="1" w:lastRow="0" w:firstColumn="1" w:lastColumn="0" w:noHBand="0" w:noVBand="1"/>
        <w:tblCaption w:val="Incremental cost-effectiveness in pregnant couples, scenario where further testing is included"/>
        <w:tblDescription w:val="Incremental cost-effectiveness in pregnant couples, scenario where further testing is included"/>
      </w:tblPr>
      <w:tblGrid>
        <w:gridCol w:w="5353"/>
        <w:gridCol w:w="29"/>
        <w:gridCol w:w="1192"/>
        <w:gridCol w:w="20"/>
        <w:gridCol w:w="1201"/>
        <w:gridCol w:w="11"/>
        <w:gridCol w:w="1210"/>
      </w:tblGrid>
      <w:tr w:rsidR="00DD7372" w:rsidRPr="00410F7C" w14:paraId="468D9856"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69" w:type="pct"/>
            <w:noWrap/>
            <w:hideMark/>
          </w:tcPr>
          <w:p w14:paraId="2AB808F7" w14:textId="77777777" w:rsidR="00DD7372" w:rsidRPr="00410F7C" w:rsidRDefault="00DD7372" w:rsidP="003C546E">
            <w:pPr>
              <w:pStyle w:val="TableHeading"/>
            </w:pPr>
          </w:p>
        </w:tc>
        <w:tc>
          <w:tcPr>
            <w:tcW w:w="677" w:type="pct"/>
            <w:gridSpan w:val="2"/>
            <w:noWrap/>
            <w:hideMark/>
          </w:tcPr>
          <w:p w14:paraId="713CC5F1" w14:textId="77777777" w:rsidR="00DD7372" w:rsidRPr="00410F7C" w:rsidRDefault="00DD7372" w:rsidP="003C546E">
            <w:pPr>
              <w:pStyle w:val="TableHeading"/>
            </w:pPr>
            <w:r w:rsidRPr="00410F7C">
              <w:t>Intervention</w:t>
            </w:r>
          </w:p>
        </w:tc>
        <w:tc>
          <w:tcPr>
            <w:tcW w:w="677" w:type="pct"/>
            <w:gridSpan w:val="2"/>
            <w:noWrap/>
            <w:hideMark/>
          </w:tcPr>
          <w:p w14:paraId="4382A310" w14:textId="77777777" w:rsidR="00DD7372" w:rsidRPr="00410F7C" w:rsidRDefault="00DD7372" w:rsidP="003C546E">
            <w:pPr>
              <w:pStyle w:val="TableHeading"/>
            </w:pPr>
            <w:r w:rsidRPr="00410F7C">
              <w:t>Comparator</w:t>
            </w:r>
          </w:p>
        </w:tc>
        <w:tc>
          <w:tcPr>
            <w:tcW w:w="677" w:type="pct"/>
            <w:gridSpan w:val="2"/>
            <w:noWrap/>
            <w:hideMark/>
          </w:tcPr>
          <w:p w14:paraId="05B6880A" w14:textId="77777777" w:rsidR="00DD7372" w:rsidRPr="00410F7C" w:rsidRDefault="00DD7372" w:rsidP="003C546E">
            <w:pPr>
              <w:pStyle w:val="TableHeading"/>
            </w:pPr>
            <w:r w:rsidRPr="00410F7C">
              <w:t>Increment</w:t>
            </w:r>
          </w:p>
        </w:tc>
      </w:tr>
      <w:tr w:rsidR="00DD7372" w:rsidRPr="00410F7C" w14:paraId="3E9D7263" w14:textId="77777777" w:rsidTr="003C546E">
        <w:trPr>
          <w:trHeight w:val="255"/>
        </w:trPr>
        <w:tc>
          <w:tcPr>
            <w:tcW w:w="2969" w:type="pct"/>
            <w:noWrap/>
            <w:hideMark/>
          </w:tcPr>
          <w:p w14:paraId="4119F7A1" w14:textId="77777777" w:rsidR="00DD7372" w:rsidRPr="00410F7C" w:rsidRDefault="00DD7372" w:rsidP="003C546E">
            <w:pPr>
              <w:pStyle w:val="TableText"/>
            </w:pPr>
            <w:r w:rsidRPr="00410F7C">
              <w:t>Total cost</w:t>
            </w:r>
          </w:p>
        </w:tc>
        <w:tc>
          <w:tcPr>
            <w:tcW w:w="677" w:type="pct"/>
            <w:gridSpan w:val="2"/>
            <w:noWrap/>
            <w:hideMark/>
          </w:tcPr>
          <w:p w14:paraId="1C3DB3E8" w14:textId="77777777" w:rsidR="00DD7372" w:rsidRPr="00410F7C" w:rsidRDefault="00DD7372" w:rsidP="003C546E">
            <w:pPr>
              <w:pStyle w:val="TableText"/>
              <w:jc w:val="center"/>
            </w:pPr>
            <w:r w:rsidRPr="00D6022C">
              <w:t>$8,600</w:t>
            </w:r>
          </w:p>
        </w:tc>
        <w:tc>
          <w:tcPr>
            <w:tcW w:w="677" w:type="pct"/>
            <w:gridSpan w:val="2"/>
            <w:noWrap/>
            <w:hideMark/>
          </w:tcPr>
          <w:p w14:paraId="062B8BA6" w14:textId="77777777" w:rsidR="00DD7372" w:rsidRPr="00410F7C" w:rsidRDefault="00DD7372" w:rsidP="003C546E">
            <w:pPr>
              <w:pStyle w:val="TableText"/>
              <w:jc w:val="center"/>
            </w:pPr>
            <w:r w:rsidRPr="00D6022C">
              <w:t>$7,856</w:t>
            </w:r>
          </w:p>
        </w:tc>
        <w:tc>
          <w:tcPr>
            <w:tcW w:w="677" w:type="pct"/>
            <w:gridSpan w:val="2"/>
            <w:noWrap/>
            <w:hideMark/>
          </w:tcPr>
          <w:p w14:paraId="4F9913E7" w14:textId="77777777" w:rsidR="00DD7372" w:rsidRPr="00410F7C" w:rsidRDefault="00DD7372" w:rsidP="003C546E">
            <w:pPr>
              <w:pStyle w:val="TableText"/>
              <w:jc w:val="center"/>
            </w:pPr>
            <w:r w:rsidRPr="00D6022C">
              <w:t>$744</w:t>
            </w:r>
          </w:p>
        </w:tc>
      </w:tr>
      <w:tr w:rsidR="00DD7372" w:rsidRPr="00485B5A" w14:paraId="2927A018" w14:textId="77777777" w:rsidTr="003C546E">
        <w:trPr>
          <w:trHeight w:val="255"/>
        </w:trPr>
        <w:tc>
          <w:tcPr>
            <w:tcW w:w="2969" w:type="pct"/>
            <w:tcBorders>
              <w:bottom w:val="single" w:sz="4" w:space="0" w:color="auto"/>
            </w:tcBorders>
            <w:noWrap/>
            <w:hideMark/>
          </w:tcPr>
          <w:p w14:paraId="393A2844" w14:textId="77777777" w:rsidR="00DD7372" w:rsidRPr="00410F7C" w:rsidRDefault="00DD7372" w:rsidP="003C546E">
            <w:pPr>
              <w:pStyle w:val="TableText"/>
            </w:pPr>
            <w:r w:rsidRPr="001A22F0">
              <w:t>Couples genetically confirmed as being at risk of having a fetus affected by Hb Bart’s</w:t>
            </w:r>
          </w:p>
        </w:tc>
        <w:tc>
          <w:tcPr>
            <w:tcW w:w="677" w:type="pct"/>
            <w:gridSpan w:val="2"/>
            <w:tcBorders>
              <w:bottom w:val="single" w:sz="4" w:space="0" w:color="auto"/>
            </w:tcBorders>
            <w:noWrap/>
            <w:hideMark/>
          </w:tcPr>
          <w:p w14:paraId="07278C8D" w14:textId="77777777" w:rsidR="00DD7372" w:rsidRPr="00410F7C" w:rsidRDefault="00DD7372" w:rsidP="003C546E">
            <w:pPr>
              <w:pStyle w:val="TableText"/>
              <w:jc w:val="center"/>
            </w:pPr>
            <w:r w:rsidRPr="00D6022C">
              <w:t>0.0043</w:t>
            </w:r>
          </w:p>
        </w:tc>
        <w:tc>
          <w:tcPr>
            <w:tcW w:w="677" w:type="pct"/>
            <w:gridSpan w:val="2"/>
            <w:tcBorders>
              <w:bottom w:val="single" w:sz="4" w:space="0" w:color="auto"/>
            </w:tcBorders>
            <w:noWrap/>
            <w:hideMark/>
          </w:tcPr>
          <w:p w14:paraId="1347BA84" w14:textId="77777777" w:rsidR="00DD7372" w:rsidRPr="00410F7C" w:rsidRDefault="00DD7372" w:rsidP="003C546E">
            <w:pPr>
              <w:pStyle w:val="TableText"/>
              <w:jc w:val="center"/>
            </w:pPr>
            <w:r w:rsidRPr="00D6022C">
              <w:t>0.0000</w:t>
            </w:r>
          </w:p>
        </w:tc>
        <w:tc>
          <w:tcPr>
            <w:tcW w:w="677" w:type="pct"/>
            <w:gridSpan w:val="2"/>
            <w:tcBorders>
              <w:bottom w:val="single" w:sz="4" w:space="0" w:color="auto"/>
            </w:tcBorders>
            <w:noWrap/>
            <w:hideMark/>
          </w:tcPr>
          <w:p w14:paraId="41CB23C2" w14:textId="77777777" w:rsidR="00DD7372" w:rsidRPr="00410F7C" w:rsidRDefault="00DD7372" w:rsidP="003C546E">
            <w:pPr>
              <w:pStyle w:val="TableText"/>
              <w:jc w:val="center"/>
            </w:pPr>
            <w:r w:rsidRPr="00D6022C">
              <w:t>0.0043</w:t>
            </w:r>
          </w:p>
        </w:tc>
      </w:tr>
      <w:tr w:rsidR="00DD7372" w:rsidRPr="00410F7C" w14:paraId="586B39F2" w14:textId="77777777" w:rsidTr="003C546E">
        <w:trPr>
          <w:trHeight w:val="255"/>
        </w:trPr>
        <w:tc>
          <w:tcPr>
            <w:tcW w:w="2969" w:type="pct"/>
            <w:tcBorders>
              <w:bottom w:val="double" w:sz="4" w:space="0" w:color="auto"/>
              <w:right w:val="nil"/>
            </w:tcBorders>
            <w:noWrap/>
            <w:hideMark/>
          </w:tcPr>
          <w:p w14:paraId="703591A8" w14:textId="77777777" w:rsidR="00DD7372" w:rsidRPr="00410F7C" w:rsidRDefault="00DD7372" w:rsidP="003C546E">
            <w:pPr>
              <w:pStyle w:val="TableText"/>
              <w:rPr>
                <w:b/>
              </w:rPr>
            </w:pPr>
            <w:r w:rsidRPr="000A0646">
              <w:rPr>
                <w:b/>
              </w:rPr>
              <w:t>ICER per couple that is genetically confirmed as being at risk of having a fetus affected by Hb Bart’s</w:t>
            </w:r>
          </w:p>
        </w:tc>
        <w:tc>
          <w:tcPr>
            <w:tcW w:w="677" w:type="pct"/>
            <w:gridSpan w:val="2"/>
            <w:tcBorders>
              <w:left w:val="nil"/>
              <w:bottom w:val="double" w:sz="4" w:space="0" w:color="auto"/>
              <w:right w:val="nil"/>
            </w:tcBorders>
            <w:noWrap/>
            <w:hideMark/>
          </w:tcPr>
          <w:p w14:paraId="5221CB2C" w14:textId="77777777" w:rsidR="00DD7372" w:rsidRPr="009A2C91" w:rsidRDefault="00DD7372" w:rsidP="003C546E">
            <w:pPr>
              <w:pStyle w:val="TableText"/>
              <w:jc w:val="center"/>
              <w:rPr>
                <w:b/>
              </w:rPr>
            </w:pPr>
            <w:r w:rsidRPr="00C4642D">
              <w:rPr>
                <w:b/>
                <w:color w:val="FFFFFF" w:themeColor="background1"/>
              </w:rPr>
              <w:t>-</w:t>
            </w:r>
          </w:p>
        </w:tc>
        <w:tc>
          <w:tcPr>
            <w:tcW w:w="677" w:type="pct"/>
            <w:gridSpan w:val="2"/>
            <w:tcBorders>
              <w:left w:val="nil"/>
              <w:bottom w:val="double" w:sz="4" w:space="0" w:color="auto"/>
            </w:tcBorders>
            <w:noWrap/>
            <w:hideMark/>
          </w:tcPr>
          <w:p w14:paraId="757C3B9C" w14:textId="77777777" w:rsidR="00DD7372" w:rsidRPr="009A2C91" w:rsidRDefault="00DD7372" w:rsidP="003C546E">
            <w:pPr>
              <w:pStyle w:val="TableText"/>
              <w:jc w:val="center"/>
              <w:rPr>
                <w:rFonts w:ascii="Times New Roman" w:hAnsi="Times New Roman" w:cs="Times New Roman"/>
                <w:b/>
              </w:rPr>
            </w:pPr>
            <w:r w:rsidRPr="00C4642D">
              <w:rPr>
                <w:b/>
                <w:color w:val="FFFFFF" w:themeColor="background1"/>
              </w:rPr>
              <w:t>-</w:t>
            </w:r>
          </w:p>
        </w:tc>
        <w:tc>
          <w:tcPr>
            <w:tcW w:w="677" w:type="pct"/>
            <w:gridSpan w:val="2"/>
            <w:tcBorders>
              <w:bottom w:val="double" w:sz="4" w:space="0" w:color="auto"/>
            </w:tcBorders>
            <w:noWrap/>
            <w:hideMark/>
          </w:tcPr>
          <w:p w14:paraId="3A07CDB4" w14:textId="77777777" w:rsidR="00DD7372" w:rsidRPr="009A2C91" w:rsidRDefault="00DD7372" w:rsidP="003C546E">
            <w:pPr>
              <w:pStyle w:val="TableText"/>
              <w:jc w:val="center"/>
              <w:rPr>
                <w:b/>
              </w:rPr>
            </w:pPr>
            <w:r w:rsidRPr="009A2C91">
              <w:rPr>
                <w:b/>
              </w:rPr>
              <w:t>$174,850</w:t>
            </w:r>
          </w:p>
        </w:tc>
      </w:tr>
      <w:tr w:rsidR="00DD7372" w:rsidRPr="00410F7C" w14:paraId="4E4F1674" w14:textId="77777777" w:rsidTr="003C546E">
        <w:trPr>
          <w:trHeight w:val="255"/>
        </w:trPr>
        <w:tc>
          <w:tcPr>
            <w:tcW w:w="2985" w:type="pct"/>
            <w:gridSpan w:val="2"/>
            <w:tcBorders>
              <w:bottom w:val="single" w:sz="4" w:space="0" w:color="auto"/>
            </w:tcBorders>
            <w:noWrap/>
            <w:hideMark/>
          </w:tcPr>
          <w:p w14:paraId="249AE4AA" w14:textId="77777777" w:rsidR="00DD7372" w:rsidRPr="00410F7C" w:rsidRDefault="00DD7372" w:rsidP="003C546E">
            <w:pPr>
              <w:pStyle w:val="TableText"/>
            </w:pPr>
            <w:r w:rsidRPr="001A22F0">
              <w:t>Couples identified as being at risk of having a fetus affected by Hb Bart’s</w:t>
            </w:r>
          </w:p>
        </w:tc>
        <w:tc>
          <w:tcPr>
            <w:tcW w:w="672" w:type="pct"/>
            <w:gridSpan w:val="2"/>
            <w:tcBorders>
              <w:bottom w:val="single" w:sz="4" w:space="0" w:color="auto"/>
            </w:tcBorders>
            <w:noWrap/>
          </w:tcPr>
          <w:p w14:paraId="654308E0" w14:textId="77777777" w:rsidR="00DD7372" w:rsidRPr="00410F7C" w:rsidRDefault="00DD7372" w:rsidP="003C546E">
            <w:pPr>
              <w:pStyle w:val="TableText"/>
              <w:jc w:val="center"/>
            </w:pPr>
            <w:r w:rsidRPr="00CF3A4B">
              <w:t>0.0043</w:t>
            </w:r>
          </w:p>
        </w:tc>
        <w:tc>
          <w:tcPr>
            <w:tcW w:w="672" w:type="pct"/>
            <w:gridSpan w:val="2"/>
            <w:tcBorders>
              <w:bottom w:val="single" w:sz="4" w:space="0" w:color="auto"/>
            </w:tcBorders>
            <w:noWrap/>
          </w:tcPr>
          <w:p w14:paraId="57B85F47" w14:textId="77777777" w:rsidR="00DD7372" w:rsidRPr="00410F7C" w:rsidRDefault="00DD7372" w:rsidP="003C546E">
            <w:pPr>
              <w:pStyle w:val="TableText"/>
              <w:jc w:val="center"/>
            </w:pPr>
            <w:r w:rsidRPr="00CF3A4B">
              <w:t>0.0030</w:t>
            </w:r>
          </w:p>
        </w:tc>
        <w:tc>
          <w:tcPr>
            <w:tcW w:w="671" w:type="pct"/>
            <w:tcBorders>
              <w:bottom w:val="single" w:sz="4" w:space="0" w:color="auto"/>
            </w:tcBorders>
            <w:noWrap/>
          </w:tcPr>
          <w:p w14:paraId="572C01D4" w14:textId="77777777" w:rsidR="00DD7372" w:rsidRPr="00410F7C" w:rsidRDefault="00DD7372" w:rsidP="003C546E">
            <w:pPr>
              <w:pStyle w:val="TableText"/>
              <w:jc w:val="center"/>
            </w:pPr>
            <w:r w:rsidRPr="00CF3A4B">
              <w:t>0.0013</w:t>
            </w:r>
          </w:p>
        </w:tc>
      </w:tr>
      <w:tr w:rsidR="00DD7372" w:rsidRPr="000A0646" w14:paraId="0D18BAB1" w14:textId="77777777" w:rsidTr="003C546E">
        <w:trPr>
          <w:trHeight w:val="255"/>
        </w:trPr>
        <w:tc>
          <w:tcPr>
            <w:tcW w:w="2985" w:type="pct"/>
            <w:gridSpan w:val="2"/>
            <w:tcBorders>
              <w:bottom w:val="double" w:sz="4" w:space="0" w:color="auto"/>
              <w:right w:val="nil"/>
            </w:tcBorders>
            <w:noWrap/>
            <w:hideMark/>
          </w:tcPr>
          <w:p w14:paraId="4B1D4452" w14:textId="77777777" w:rsidR="00DD7372" w:rsidRPr="0098067B" w:rsidRDefault="00DD7372" w:rsidP="003C546E">
            <w:pPr>
              <w:pStyle w:val="TableText"/>
              <w:rPr>
                <w:b/>
              </w:rPr>
            </w:pPr>
            <w:r w:rsidRPr="000A0646">
              <w:rPr>
                <w:b/>
              </w:rPr>
              <w:t>ICER per additional couple that is identified as being at risk of having a fetus affected by Hb Bart’s</w:t>
            </w:r>
          </w:p>
        </w:tc>
        <w:tc>
          <w:tcPr>
            <w:tcW w:w="672" w:type="pct"/>
            <w:gridSpan w:val="2"/>
            <w:tcBorders>
              <w:left w:val="nil"/>
              <w:bottom w:val="double" w:sz="4" w:space="0" w:color="auto"/>
              <w:right w:val="nil"/>
            </w:tcBorders>
            <w:noWrap/>
          </w:tcPr>
          <w:p w14:paraId="3CD2D202" w14:textId="77777777" w:rsidR="00DD7372" w:rsidRPr="00250456" w:rsidRDefault="00DD7372" w:rsidP="003C546E">
            <w:pPr>
              <w:pStyle w:val="TableText"/>
              <w:jc w:val="center"/>
              <w:rPr>
                <w:b/>
              </w:rPr>
            </w:pPr>
            <w:r w:rsidRPr="00C4642D">
              <w:rPr>
                <w:b/>
                <w:color w:val="FFFFFF" w:themeColor="background1"/>
              </w:rPr>
              <w:t>-</w:t>
            </w:r>
          </w:p>
        </w:tc>
        <w:tc>
          <w:tcPr>
            <w:tcW w:w="672" w:type="pct"/>
            <w:gridSpan w:val="2"/>
            <w:tcBorders>
              <w:left w:val="nil"/>
              <w:bottom w:val="double" w:sz="4" w:space="0" w:color="auto"/>
            </w:tcBorders>
            <w:noWrap/>
          </w:tcPr>
          <w:p w14:paraId="7ECF76DB" w14:textId="77777777" w:rsidR="00DD7372" w:rsidRPr="00250456" w:rsidRDefault="00DD7372" w:rsidP="003C546E">
            <w:pPr>
              <w:pStyle w:val="TableText"/>
              <w:jc w:val="center"/>
              <w:rPr>
                <w:rFonts w:ascii="Times New Roman" w:hAnsi="Times New Roman" w:cs="Times New Roman"/>
                <w:b/>
              </w:rPr>
            </w:pPr>
            <w:r w:rsidRPr="00C4642D">
              <w:rPr>
                <w:b/>
                <w:color w:val="FFFFFF" w:themeColor="background1"/>
              </w:rPr>
              <w:t>-</w:t>
            </w:r>
          </w:p>
        </w:tc>
        <w:tc>
          <w:tcPr>
            <w:tcW w:w="671" w:type="pct"/>
            <w:tcBorders>
              <w:bottom w:val="double" w:sz="4" w:space="0" w:color="auto"/>
            </w:tcBorders>
            <w:noWrap/>
          </w:tcPr>
          <w:p w14:paraId="780FB17B" w14:textId="77777777" w:rsidR="00DD7372" w:rsidRPr="00250456" w:rsidRDefault="00DD7372" w:rsidP="003C546E">
            <w:pPr>
              <w:pStyle w:val="TableText"/>
              <w:jc w:val="center"/>
              <w:rPr>
                <w:b/>
              </w:rPr>
            </w:pPr>
            <w:r w:rsidRPr="000A0646">
              <w:rPr>
                <w:b/>
              </w:rPr>
              <w:t>$589,856</w:t>
            </w:r>
          </w:p>
        </w:tc>
      </w:tr>
      <w:tr w:rsidR="00DD7372" w:rsidRPr="00410F7C" w14:paraId="7EC34305" w14:textId="77777777" w:rsidTr="003C546E">
        <w:trPr>
          <w:trHeight w:val="255"/>
        </w:trPr>
        <w:tc>
          <w:tcPr>
            <w:tcW w:w="2969" w:type="pct"/>
            <w:tcBorders>
              <w:bottom w:val="single" w:sz="4" w:space="0" w:color="auto"/>
            </w:tcBorders>
            <w:noWrap/>
            <w:hideMark/>
          </w:tcPr>
          <w:p w14:paraId="08BEC749" w14:textId="77777777" w:rsidR="00DD7372" w:rsidRPr="00410F7C" w:rsidRDefault="00DD7372" w:rsidP="003C546E">
            <w:pPr>
              <w:pStyle w:val="TableText"/>
            </w:pPr>
            <w:r w:rsidRPr="00DF3728">
              <w:t xml:space="preserve">Couples who's risk of Hb </w:t>
            </w:r>
            <w:r>
              <w:t>Bart’s</w:t>
            </w:r>
            <w:r w:rsidRPr="00DF3728">
              <w:t xml:space="preserve"> or non-del HbH is </w:t>
            </w:r>
            <w:r w:rsidRPr="001A22F0">
              <w:t>genetically confirmed</w:t>
            </w:r>
          </w:p>
        </w:tc>
        <w:tc>
          <w:tcPr>
            <w:tcW w:w="677" w:type="pct"/>
            <w:gridSpan w:val="2"/>
            <w:tcBorders>
              <w:bottom w:val="single" w:sz="4" w:space="0" w:color="auto"/>
            </w:tcBorders>
            <w:noWrap/>
            <w:hideMark/>
          </w:tcPr>
          <w:p w14:paraId="19EFEABA" w14:textId="77777777" w:rsidR="00DD7372" w:rsidRPr="00410F7C" w:rsidRDefault="00DD7372" w:rsidP="003C546E">
            <w:pPr>
              <w:pStyle w:val="TableText"/>
              <w:jc w:val="center"/>
            </w:pPr>
            <w:r w:rsidRPr="00D6022C">
              <w:t>0.0097</w:t>
            </w:r>
          </w:p>
        </w:tc>
        <w:tc>
          <w:tcPr>
            <w:tcW w:w="677" w:type="pct"/>
            <w:gridSpan w:val="2"/>
            <w:tcBorders>
              <w:bottom w:val="single" w:sz="4" w:space="0" w:color="auto"/>
            </w:tcBorders>
            <w:noWrap/>
            <w:hideMark/>
          </w:tcPr>
          <w:p w14:paraId="240CA5AF" w14:textId="77777777" w:rsidR="00DD7372" w:rsidRPr="00410F7C" w:rsidRDefault="00DD7372" w:rsidP="003C546E">
            <w:pPr>
              <w:pStyle w:val="TableText"/>
              <w:jc w:val="center"/>
            </w:pPr>
            <w:r w:rsidRPr="00D6022C">
              <w:t>0.0000</w:t>
            </w:r>
          </w:p>
        </w:tc>
        <w:tc>
          <w:tcPr>
            <w:tcW w:w="677" w:type="pct"/>
            <w:gridSpan w:val="2"/>
            <w:tcBorders>
              <w:bottom w:val="single" w:sz="4" w:space="0" w:color="auto"/>
            </w:tcBorders>
            <w:noWrap/>
            <w:hideMark/>
          </w:tcPr>
          <w:p w14:paraId="143CE253" w14:textId="77777777" w:rsidR="00DD7372" w:rsidRPr="00410F7C" w:rsidRDefault="00DD7372" w:rsidP="003C546E">
            <w:pPr>
              <w:pStyle w:val="TableText"/>
              <w:jc w:val="center"/>
            </w:pPr>
            <w:r w:rsidRPr="00D6022C">
              <w:t>0.0097</w:t>
            </w:r>
          </w:p>
        </w:tc>
      </w:tr>
      <w:tr w:rsidR="00DD7372" w:rsidRPr="00410F7C" w14:paraId="4127B0BA" w14:textId="77777777" w:rsidTr="003C546E">
        <w:trPr>
          <w:trHeight w:val="255"/>
        </w:trPr>
        <w:tc>
          <w:tcPr>
            <w:tcW w:w="2969" w:type="pct"/>
            <w:tcBorders>
              <w:bottom w:val="double" w:sz="4" w:space="0" w:color="auto"/>
              <w:right w:val="nil"/>
            </w:tcBorders>
            <w:noWrap/>
            <w:hideMark/>
          </w:tcPr>
          <w:p w14:paraId="23EF11DA" w14:textId="77777777" w:rsidR="00DD7372" w:rsidRPr="00A254DA" w:rsidRDefault="00DD7372" w:rsidP="003C546E">
            <w:pPr>
              <w:pStyle w:val="TableText"/>
              <w:rPr>
                <w:b/>
              </w:rPr>
            </w:pPr>
            <w:r w:rsidRPr="005F3BCD">
              <w:rPr>
                <w:b/>
              </w:rPr>
              <w:t xml:space="preserve">ICER per couple at risk of Hb Bart’s or non-del HbH </w:t>
            </w:r>
            <w:r w:rsidRPr="000A0646">
              <w:rPr>
                <w:b/>
              </w:rPr>
              <w:t>genetically confirmed</w:t>
            </w:r>
          </w:p>
        </w:tc>
        <w:tc>
          <w:tcPr>
            <w:tcW w:w="677" w:type="pct"/>
            <w:gridSpan w:val="2"/>
            <w:tcBorders>
              <w:left w:val="nil"/>
              <w:bottom w:val="double" w:sz="4" w:space="0" w:color="auto"/>
              <w:right w:val="nil"/>
            </w:tcBorders>
            <w:noWrap/>
            <w:hideMark/>
          </w:tcPr>
          <w:p w14:paraId="258C9590" w14:textId="77777777" w:rsidR="00DD7372" w:rsidRPr="009A2C91" w:rsidRDefault="00DD7372" w:rsidP="003C546E">
            <w:pPr>
              <w:pStyle w:val="TableText"/>
              <w:jc w:val="center"/>
              <w:rPr>
                <w:b/>
              </w:rPr>
            </w:pPr>
            <w:r w:rsidRPr="00D43122">
              <w:rPr>
                <w:b/>
                <w:color w:val="FFFFFF" w:themeColor="background1"/>
              </w:rPr>
              <w:t>-</w:t>
            </w:r>
          </w:p>
        </w:tc>
        <w:tc>
          <w:tcPr>
            <w:tcW w:w="677" w:type="pct"/>
            <w:gridSpan w:val="2"/>
            <w:tcBorders>
              <w:left w:val="nil"/>
              <w:bottom w:val="double" w:sz="4" w:space="0" w:color="auto"/>
            </w:tcBorders>
            <w:noWrap/>
            <w:hideMark/>
          </w:tcPr>
          <w:p w14:paraId="1D528616" w14:textId="77777777" w:rsidR="00DD7372" w:rsidRPr="009A2C91" w:rsidRDefault="00DD7372" w:rsidP="003C546E">
            <w:pPr>
              <w:pStyle w:val="TableText"/>
              <w:jc w:val="center"/>
              <w:rPr>
                <w:rFonts w:ascii="Times New Roman" w:hAnsi="Times New Roman" w:cs="Times New Roman"/>
                <w:b/>
              </w:rPr>
            </w:pPr>
            <w:r w:rsidRPr="00D43122">
              <w:rPr>
                <w:b/>
                <w:color w:val="FFFFFF" w:themeColor="background1"/>
              </w:rPr>
              <w:t>-</w:t>
            </w:r>
          </w:p>
        </w:tc>
        <w:tc>
          <w:tcPr>
            <w:tcW w:w="677" w:type="pct"/>
            <w:gridSpan w:val="2"/>
            <w:tcBorders>
              <w:bottom w:val="double" w:sz="4" w:space="0" w:color="auto"/>
            </w:tcBorders>
            <w:noWrap/>
            <w:hideMark/>
          </w:tcPr>
          <w:p w14:paraId="01EECC7E" w14:textId="77777777" w:rsidR="00DD7372" w:rsidRPr="009A2C91" w:rsidRDefault="00DD7372" w:rsidP="003C546E">
            <w:pPr>
              <w:pStyle w:val="TableText"/>
              <w:jc w:val="center"/>
              <w:rPr>
                <w:b/>
              </w:rPr>
            </w:pPr>
            <w:r w:rsidRPr="009A2C91">
              <w:rPr>
                <w:b/>
              </w:rPr>
              <w:t>$76,447</w:t>
            </w:r>
          </w:p>
        </w:tc>
      </w:tr>
      <w:tr w:rsidR="00DD7372" w:rsidRPr="00410F7C" w14:paraId="087E672A" w14:textId="77777777" w:rsidTr="003C546E">
        <w:trPr>
          <w:trHeight w:val="255"/>
        </w:trPr>
        <w:tc>
          <w:tcPr>
            <w:tcW w:w="2969" w:type="pct"/>
            <w:tcBorders>
              <w:top w:val="double" w:sz="4" w:space="0" w:color="auto"/>
              <w:bottom w:val="single" w:sz="4" w:space="0" w:color="auto"/>
            </w:tcBorders>
            <w:noWrap/>
            <w:hideMark/>
          </w:tcPr>
          <w:p w14:paraId="2AB396D5" w14:textId="77777777" w:rsidR="00DD7372" w:rsidRPr="00410F7C" w:rsidRDefault="00DD7372" w:rsidP="003C546E">
            <w:pPr>
              <w:pStyle w:val="TableText"/>
            </w:pPr>
            <w:r w:rsidRPr="001A22F0">
              <w:t>Couples with genetically confirmed status</w:t>
            </w:r>
          </w:p>
        </w:tc>
        <w:tc>
          <w:tcPr>
            <w:tcW w:w="677" w:type="pct"/>
            <w:gridSpan w:val="2"/>
            <w:tcBorders>
              <w:top w:val="double" w:sz="4" w:space="0" w:color="auto"/>
              <w:bottom w:val="single" w:sz="4" w:space="0" w:color="auto"/>
            </w:tcBorders>
            <w:noWrap/>
            <w:hideMark/>
          </w:tcPr>
          <w:p w14:paraId="46AE29E4" w14:textId="77777777" w:rsidR="00DD7372" w:rsidRPr="00410F7C" w:rsidRDefault="00DD7372" w:rsidP="003C546E">
            <w:pPr>
              <w:pStyle w:val="TableText"/>
              <w:jc w:val="center"/>
            </w:pPr>
            <w:r w:rsidRPr="00D6022C">
              <w:t>1.0000</w:t>
            </w:r>
          </w:p>
        </w:tc>
        <w:tc>
          <w:tcPr>
            <w:tcW w:w="677" w:type="pct"/>
            <w:gridSpan w:val="2"/>
            <w:tcBorders>
              <w:top w:val="double" w:sz="4" w:space="0" w:color="auto"/>
              <w:bottom w:val="single" w:sz="4" w:space="0" w:color="auto"/>
            </w:tcBorders>
            <w:noWrap/>
            <w:hideMark/>
          </w:tcPr>
          <w:p w14:paraId="2289F8BB" w14:textId="77777777" w:rsidR="00DD7372" w:rsidRPr="00410F7C" w:rsidRDefault="00DD7372" w:rsidP="003C546E">
            <w:pPr>
              <w:pStyle w:val="TableText"/>
              <w:jc w:val="center"/>
            </w:pPr>
            <w:r w:rsidRPr="00D6022C">
              <w:t>0.0000</w:t>
            </w:r>
          </w:p>
        </w:tc>
        <w:tc>
          <w:tcPr>
            <w:tcW w:w="677" w:type="pct"/>
            <w:gridSpan w:val="2"/>
            <w:tcBorders>
              <w:top w:val="double" w:sz="4" w:space="0" w:color="auto"/>
              <w:bottom w:val="single" w:sz="4" w:space="0" w:color="auto"/>
            </w:tcBorders>
            <w:noWrap/>
            <w:hideMark/>
          </w:tcPr>
          <w:p w14:paraId="2217DCCD" w14:textId="77777777" w:rsidR="00DD7372" w:rsidRPr="00410F7C" w:rsidRDefault="00DD7372" w:rsidP="003C546E">
            <w:pPr>
              <w:pStyle w:val="TableText"/>
              <w:jc w:val="center"/>
            </w:pPr>
            <w:r w:rsidRPr="00D6022C">
              <w:t>1.0000</w:t>
            </w:r>
          </w:p>
        </w:tc>
      </w:tr>
      <w:tr w:rsidR="00DD7372" w:rsidRPr="00410F7C" w14:paraId="662AE2FA" w14:textId="77777777" w:rsidTr="003C546E">
        <w:trPr>
          <w:trHeight w:val="255"/>
        </w:trPr>
        <w:tc>
          <w:tcPr>
            <w:tcW w:w="2969" w:type="pct"/>
            <w:tcBorders>
              <w:bottom w:val="double" w:sz="4" w:space="0" w:color="auto"/>
              <w:right w:val="nil"/>
            </w:tcBorders>
            <w:noWrap/>
            <w:hideMark/>
          </w:tcPr>
          <w:p w14:paraId="74485CB1" w14:textId="77777777" w:rsidR="00DD7372" w:rsidRPr="00410F7C" w:rsidRDefault="00DD7372" w:rsidP="003C546E">
            <w:pPr>
              <w:pStyle w:val="TableText"/>
              <w:rPr>
                <w:b/>
              </w:rPr>
            </w:pPr>
            <w:r w:rsidRPr="000A0646">
              <w:rPr>
                <w:b/>
              </w:rPr>
              <w:t>ICER per couple with genetically confirmed status</w:t>
            </w:r>
          </w:p>
        </w:tc>
        <w:tc>
          <w:tcPr>
            <w:tcW w:w="677" w:type="pct"/>
            <w:gridSpan w:val="2"/>
            <w:tcBorders>
              <w:left w:val="nil"/>
              <w:bottom w:val="double" w:sz="4" w:space="0" w:color="auto"/>
              <w:right w:val="nil"/>
            </w:tcBorders>
            <w:noWrap/>
            <w:hideMark/>
          </w:tcPr>
          <w:p w14:paraId="1718F979" w14:textId="77777777" w:rsidR="00DD7372" w:rsidRPr="009A2C91" w:rsidRDefault="00DD7372" w:rsidP="003C546E">
            <w:pPr>
              <w:pStyle w:val="TableText"/>
              <w:jc w:val="center"/>
              <w:rPr>
                <w:b/>
              </w:rPr>
            </w:pPr>
            <w:r w:rsidRPr="007444D1">
              <w:rPr>
                <w:b/>
                <w:color w:val="FFFFFF" w:themeColor="background1"/>
              </w:rPr>
              <w:t>-</w:t>
            </w:r>
          </w:p>
        </w:tc>
        <w:tc>
          <w:tcPr>
            <w:tcW w:w="677" w:type="pct"/>
            <w:gridSpan w:val="2"/>
            <w:tcBorders>
              <w:left w:val="nil"/>
              <w:bottom w:val="double" w:sz="4" w:space="0" w:color="auto"/>
            </w:tcBorders>
            <w:noWrap/>
            <w:hideMark/>
          </w:tcPr>
          <w:p w14:paraId="34276482" w14:textId="77777777" w:rsidR="00DD7372" w:rsidRPr="009A2C91" w:rsidRDefault="00DD7372" w:rsidP="003C546E">
            <w:pPr>
              <w:pStyle w:val="TableText"/>
              <w:jc w:val="center"/>
              <w:rPr>
                <w:rFonts w:ascii="Times New Roman" w:hAnsi="Times New Roman" w:cs="Times New Roman"/>
                <w:b/>
              </w:rPr>
            </w:pPr>
            <w:r w:rsidRPr="007444D1">
              <w:rPr>
                <w:b/>
                <w:color w:val="FFFFFF" w:themeColor="background1"/>
              </w:rPr>
              <w:t>-</w:t>
            </w:r>
          </w:p>
        </w:tc>
        <w:tc>
          <w:tcPr>
            <w:tcW w:w="677" w:type="pct"/>
            <w:gridSpan w:val="2"/>
            <w:tcBorders>
              <w:bottom w:val="double" w:sz="4" w:space="0" w:color="auto"/>
            </w:tcBorders>
            <w:noWrap/>
            <w:hideMark/>
          </w:tcPr>
          <w:p w14:paraId="6647A8FD" w14:textId="77777777" w:rsidR="00DD7372" w:rsidRPr="009A2C91" w:rsidRDefault="00DD7372" w:rsidP="003C546E">
            <w:pPr>
              <w:pStyle w:val="TableText"/>
              <w:jc w:val="center"/>
              <w:rPr>
                <w:b/>
              </w:rPr>
            </w:pPr>
            <w:r w:rsidRPr="009A2C91">
              <w:rPr>
                <w:b/>
              </w:rPr>
              <w:t>$744</w:t>
            </w:r>
          </w:p>
        </w:tc>
      </w:tr>
      <w:tr w:rsidR="00DD7372" w:rsidRPr="00410F7C" w14:paraId="48F65A7E" w14:textId="77777777" w:rsidTr="003C546E">
        <w:trPr>
          <w:trHeight w:val="255"/>
        </w:trPr>
        <w:tc>
          <w:tcPr>
            <w:tcW w:w="2969" w:type="pct"/>
            <w:tcBorders>
              <w:top w:val="double" w:sz="4" w:space="0" w:color="auto"/>
              <w:bottom w:val="single" w:sz="4" w:space="0" w:color="auto"/>
            </w:tcBorders>
            <w:noWrap/>
          </w:tcPr>
          <w:p w14:paraId="16526E55" w14:textId="77777777" w:rsidR="00DD7372" w:rsidRPr="005D5C97" w:rsidRDefault="00DD7372" w:rsidP="003C546E">
            <w:pPr>
              <w:pStyle w:val="TableText"/>
            </w:pPr>
            <w:r w:rsidRPr="001A22F0">
              <w:t>Cases of Hb Bart’s (i.e. late termination, stillbirth or die shortly after birth)</w:t>
            </w:r>
          </w:p>
        </w:tc>
        <w:tc>
          <w:tcPr>
            <w:tcW w:w="677" w:type="pct"/>
            <w:gridSpan w:val="2"/>
            <w:tcBorders>
              <w:top w:val="double" w:sz="4" w:space="0" w:color="auto"/>
              <w:bottom w:val="single" w:sz="4" w:space="0" w:color="auto"/>
            </w:tcBorders>
            <w:noWrap/>
          </w:tcPr>
          <w:p w14:paraId="735F80BA" w14:textId="77777777" w:rsidR="00DD7372" w:rsidRPr="005D5C97" w:rsidRDefault="00DD7372" w:rsidP="003C546E">
            <w:pPr>
              <w:pStyle w:val="TableText"/>
              <w:jc w:val="center"/>
            </w:pPr>
            <w:r w:rsidRPr="00BF3152">
              <w:t>0.0000</w:t>
            </w:r>
          </w:p>
        </w:tc>
        <w:tc>
          <w:tcPr>
            <w:tcW w:w="677" w:type="pct"/>
            <w:gridSpan w:val="2"/>
            <w:tcBorders>
              <w:top w:val="double" w:sz="4" w:space="0" w:color="auto"/>
              <w:bottom w:val="single" w:sz="4" w:space="0" w:color="auto"/>
            </w:tcBorders>
            <w:noWrap/>
          </w:tcPr>
          <w:p w14:paraId="31DA5535" w14:textId="77777777" w:rsidR="00DD7372" w:rsidRPr="005D5C97" w:rsidRDefault="00DD7372" w:rsidP="003C546E">
            <w:pPr>
              <w:pStyle w:val="TableText"/>
              <w:jc w:val="center"/>
            </w:pPr>
            <w:r w:rsidRPr="00BF3152">
              <w:t>0.0010</w:t>
            </w:r>
          </w:p>
        </w:tc>
        <w:tc>
          <w:tcPr>
            <w:tcW w:w="677" w:type="pct"/>
            <w:gridSpan w:val="2"/>
            <w:tcBorders>
              <w:top w:val="double" w:sz="4" w:space="0" w:color="auto"/>
              <w:bottom w:val="single" w:sz="4" w:space="0" w:color="auto"/>
            </w:tcBorders>
            <w:noWrap/>
          </w:tcPr>
          <w:p w14:paraId="2003B2FD" w14:textId="77777777" w:rsidR="00DD7372" w:rsidRPr="005D5C97" w:rsidRDefault="00DD7372" w:rsidP="003C546E">
            <w:pPr>
              <w:pStyle w:val="TableText"/>
              <w:jc w:val="center"/>
            </w:pPr>
            <w:r>
              <w:t>–</w:t>
            </w:r>
            <w:r w:rsidRPr="00BF3152">
              <w:t>0.0010</w:t>
            </w:r>
          </w:p>
        </w:tc>
      </w:tr>
      <w:tr w:rsidR="00DD7372" w:rsidRPr="00410F7C" w14:paraId="0BF244C0" w14:textId="77777777" w:rsidTr="003C546E">
        <w:trPr>
          <w:trHeight w:val="255"/>
        </w:trPr>
        <w:tc>
          <w:tcPr>
            <w:tcW w:w="2969" w:type="pct"/>
            <w:tcBorders>
              <w:bottom w:val="double" w:sz="4" w:space="0" w:color="auto"/>
              <w:right w:val="nil"/>
            </w:tcBorders>
            <w:noWrap/>
          </w:tcPr>
          <w:p w14:paraId="2DFA71A9" w14:textId="77777777" w:rsidR="00DD7372" w:rsidRPr="005D5C97" w:rsidRDefault="00DD7372" w:rsidP="003C546E">
            <w:pPr>
              <w:pStyle w:val="TableText"/>
              <w:rPr>
                <w:b/>
              </w:rPr>
            </w:pPr>
            <w:r w:rsidRPr="000A0646">
              <w:rPr>
                <w:b/>
              </w:rPr>
              <w:t>ICER per avoided case of Hb Bart’s that is terminated late, stillborn or dies shortly after birth</w:t>
            </w:r>
          </w:p>
        </w:tc>
        <w:tc>
          <w:tcPr>
            <w:tcW w:w="677" w:type="pct"/>
            <w:gridSpan w:val="2"/>
            <w:tcBorders>
              <w:left w:val="nil"/>
              <w:bottom w:val="double" w:sz="4" w:space="0" w:color="auto"/>
              <w:right w:val="nil"/>
            </w:tcBorders>
            <w:noWrap/>
          </w:tcPr>
          <w:p w14:paraId="7BE72AB8" w14:textId="77777777" w:rsidR="00DD7372" w:rsidRPr="005D5C97" w:rsidRDefault="00DD7372" w:rsidP="003C546E">
            <w:pPr>
              <w:pStyle w:val="TableText"/>
              <w:jc w:val="center"/>
              <w:rPr>
                <w:b/>
              </w:rPr>
            </w:pPr>
            <w:r w:rsidRPr="005D5C97">
              <w:rPr>
                <w:b/>
                <w:color w:val="FFFFFF" w:themeColor="background1"/>
              </w:rPr>
              <w:t>-</w:t>
            </w:r>
          </w:p>
        </w:tc>
        <w:tc>
          <w:tcPr>
            <w:tcW w:w="677" w:type="pct"/>
            <w:gridSpan w:val="2"/>
            <w:tcBorders>
              <w:left w:val="nil"/>
              <w:bottom w:val="double" w:sz="4" w:space="0" w:color="auto"/>
            </w:tcBorders>
            <w:noWrap/>
          </w:tcPr>
          <w:p w14:paraId="6E5EDC3D" w14:textId="77777777" w:rsidR="00DD7372" w:rsidRPr="005D5C97" w:rsidRDefault="00DD7372" w:rsidP="003C546E">
            <w:pPr>
              <w:pStyle w:val="TableText"/>
              <w:jc w:val="center"/>
              <w:rPr>
                <w:rFonts w:ascii="Times New Roman" w:hAnsi="Times New Roman" w:cs="Times New Roman"/>
                <w:b/>
              </w:rPr>
            </w:pPr>
            <w:r w:rsidRPr="005D5C97">
              <w:rPr>
                <w:b/>
                <w:color w:val="FFFFFF" w:themeColor="background1"/>
              </w:rPr>
              <w:t>-</w:t>
            </w:r>
          </w:p>
        </w:tc>
        <w:tc>
          <w:tcPr>
            <w:tcW w:w="677" w:type="pct"/>
            <w:gridSpan w:val="2"/>
            <w:tcBorders>
              <w:bottom w:val="double" w:sz="4" w:space="0" w:color="auto"/>
            </w:tcBorders>
            <w:noWrap/>
          </w:tcPr>
          <w:p w14:paraId="4833F2B1" w14:textId="77777777" w:rsidR="00DD7372" w:rsidRPr="005D5C97" w:rsidRDefault="00DD7372" w:rsidP="003C546E">
            <w:pPr>
              <w:pStyle w:val="TableText"/>
              <w:jc w:val="center"/>
              <w:rPr>
                <w:b/>
              </w:rPr>
            </w:pPr>
            <w:r w:rsidRPr="005D5C97">
              <w:rPr>
                <w:b/>
              </w:rPr>
              <w:t>$711,088</w:t>
            </w:r>
          </w:p>
        </w:tc>
      </w:tr>
      <w:tr w:rsidR="00DD7372" w:rsidRPr="00410F7C" w14:paraId="06D23713" w14:textId="77777777" w:rsidTr="003C546E">
        <w:trPr>
          <w:trHeight w:val="255"/>
        </w:trPr>
        <w:tc>
          <w:tcPr>
            <w:tcW w:w="2969" w:type="pct"/>
            <w:tcBorders>
              <w:top w:val="double" w:sz="4" w:space="0" w:color="auto"/>
              <w:bottom w:val="single" w:sz="4" w:space="0" w:color="auto"/>
            </w:tcBorders>
            <w:noWrap/>
          </w:tcPr>
          <w:p w14:paraId="6844220F" w14:textId="77777777" w:rsidR="00DD7372" w:rsidRPr="005D5C97" w:rsidRDefault="00DD7372" w:rsidP="003C546E">
            <w:pPr>
              <w:pStyle w:val="TableText"/>
            </w:pPr>
            <w:r w:rsidRPr="005D5C97">
              <w:t>Cases o</w:t>
            </w:r>
            <w:r>
              <w:t>f Hb Bart’s or non-deletion HbH</w:t>
            </w:r>
          </w:p>
        </w:tc>
        <w:tc>
          <w:tcPr>
            <w:tcW w:w="677" w:type="pct"/>
            <w:gridSpan w:val="2"/>
            <w:tcBorders>
              <w:top w:val="double" w:sz="4" w:space="0" w:color="auto"/>
              <w:bottom w:val="single" w:sz="4" w:space="0" w:color="auto"/>
            </w:tcBorders>
            <w:noWrap/>
          </w:tcPr>
          <w:p w14:paraId="18DB8F04" w14:textId="77777777" w:rsidR="00DD7372" w:rsidRPr="005D5C97" w:rsidRDefault="00DD7372" w:rsidP="003C546E">
            <w:pPr>
              <w:pStyle w:val="TableText"/>
              <w:jc w:val="center"/>
            </w:pPr>
            <w:r w:rsidRPr="005D454A">
              <w:t>0.0000</w:t>
            </w:r>
          </w:p>
        </w:tc>
        <w:tc>
          <w:tcPr>
            <w:tcW w:w="677" w:type="pct"/>
            <w:gridSpan w:val="2"/>
            <w:tcBorders>
              <w:top w:val="double" w:sz="4" w:space="0" w:color="auto"/>
              <w:bottom w:val="single" w:sz="4" w:space="0" w:color="auto"/>
            </w:tcBorders>
            <w:noWrap/>
          </w:tcPr>
          <w:p w14:paraId="3A0A3FB4" w14:textId="77777777" w:rsidR="00DD7372" w:rsidRPr="005D5C97" w:rsidRDefault="00DD7372" w:rsidP="003C546E">
            <w:pPr>
              <w:pStyle w:val="TableText"/>
              <w:jc w:val="center"/>
            </w:pPr>
            <w:r w:rsidRPr="005D454A">
              <w:t>0.0024</w:t>
            </w:r>
          </w:p>
        </w:tc>
        <w:tc>
          <w:tcPr>
            <w:tcW w:w="677" w:type="pct"/>
            <w:gridSpan w:val="2"/>
            <w:tcBorders>
              <w:top w:val="double" w:sz="4" w:space="0" w:color="auto"/>
            </w:tcBorders>
            <w:noWrap/>
          </w:tcPr>
          <w:p w14:paraId="363ABF86" w14:textId="77777777" w:rsidR="00DD7372" w:rsidRPr="005D5C97" w:rsidRDefault="00DD7372" w:rsidP="003C546E">
            <w:pPr>
              <w:pStyle w:val="TableText"/>
              <w:jc w:val="center"/>
            </w:pPr>
            <w:r w:rsidRPr="005D454A">
              <w:t>–0.0024</w:t>
            </w:r>
          </w:p>
        </w:tc>
      </w:tr>
      <w:tr w:rsidR="00DD7372" w:rsidRPr="00410F7C" w14:paraId="7A52D728" w14:textId="77777777" w:rsidTr="003C546E">
        <w:trPr>
          <w:trHeight w:val="255"/>
        </w:trPr>
        <w:tc>
          <w:tcPr>
            <w:tcW w:w="2969" w:type="pct"/>
            <w:tcBorders>
              <w:right w:val="nil"/>
            </w:tcBorders>
            <w:noWrap/>
          </w:tcPr>
          <w:p w14:paraId="49977AA4" w14:textId="77777777" w:rsidR="00DD7372" w:rsidRPr="005D5C97" w:rsidRDefault="00DD7372" w:rsidP="003C546E">
            <w:pPr>
              <w:pStyle w:val="TableText"/>
              <w:rPr>
                <w:b/>
              </w:rPr>
            </w:pPr>
            <w:r w:rsidRPr="005D5C97">
              <w:rPr>
                <w:b/>
              </w:rPr>
              <w:t xml:space="preserve">ICER per </w:t>
            </w:r>
            <w:r>
              <w:rPr>
                <w:b/>
              </w:rPr>
              <w:t>avoided cases of</w:t>
            </w:r>
            <w:r w:rsidRPr="005D5C97">
              <w:rPr>
                <w:b/>
              </w:rPr>
              <w:t xml:space="preserve"> Hb </w:t>
            </w:r>
            <w:r>
              <w:rPr>
                <w:b/>
              </w:rPr>
              <w:t>Bart’s and non-deletion HbH</w:t>
            </w:r>
          </w:p>
        </w:tc>
        <w:tc>
          <w:tcPr>
            <w:tcW w:w="677" w:type="pct"/>
            <w:gridSpan w:val="2"/>
            <w:tcBorders>
              <w:left w:val="nil"/>
              <w:right w:val="nil"/>
            </w:tcBorders>
            <w:noWrap/>
          </w:tcPr>
          <w:p w14:paraId="5348BBE5" w14:textId="77777777" w:rsidR="00DD7372" w:rsidRPr="00827BC6" w:rsidRDefault="00DD7372" w:rsidP="003C546E">
            <w:pPr>
              <w:pStyle w:val="TableText"/>
              <w:jc w:val="center"/>
              <w:rPr>
                <w:b/>
              </w:rPr>
            </w:pPr>
            <w:r w:rsidRPr="00827BC6">
              <w:rPr>
                <w:b/>
                <w:color w:val="FFFFFF" w:themeColor="background1"/>
              </w:rPr>
              <w:t>-</w:t>
            </w:r>
          </w:p>
        </w:tc>
        <w:tc>
          <w:tcPr>
            <w:tcW w:w="677" w:type="pct"/>
            <w:gridSpan w:val="2"/>
            <w:tcBorders>
              <w:left w:val="nil"/>
            </w:tcBorders>
            <w:noWrap/>
          </w:tcPr>
          <w:p w14:paraId="285D239F" w14:textId="77777777" w:rsidR="00DD7372" w:rsidRPr="00827BC6" w:rsidRDefault="00DD7372" w:rsidP="003C546E">
            <w:pPr>
              <w:pStyle w:val="TableText"/>
              <w:jc w:val="center"/>
              <w:rPr>
                <w:rFonts w:ascii="Times New Roman" w:hAnsi="Times New Roman" w:cs="Times New Roman"/>
                <w:b/>
              </w:rPr>
            </w:pPr>
            <w:r w:rsidRPr="00827BC6">
              <w:rPr>
                <w:b/>
                <w:color w:val="FFFFFF" w:themeColor="background1"/>
              </w:rPr>
              <w:t>-</w:t>
            </w:r>
          </w:p>
        </w:tc>
        <w:tc>
          <w:tcPr>
            <w:tcW w:w="677" w:type="pct"/>
            <w:gridSpan w:val="2"/>
            <w:noWrap/>
          </w:tcPr>
          <w:p w14:paraId="182C6607" w14:textId="77777777" w:rsidR="00DD7372" w:rsidRPr="00827BC6" w:rsidRDefault="00DD7372" w:rsidP="003C546E">
            <w:pPr>
              <w:pStyle w:val="TableText"/>
              <w:jc w:val="center"/>
              <w:rPr>
                <w:b/>
              </w:rPr>
            </w:pPr>
            <w:r w:rsidRPr="00827BC6">
              <w:rPr>
                <w:b/>
              </w:rPr>
              <w:t>$305,998</w:t>
            </w:r>
          </w:p>
        </w:tc>
      </w:tr>
    </w:tbl>
    <w:p w14:paraId="5F3B7675" w14:textId="6A49EDB6" w:rsidR="00DD7372" w:rsidRDefault="00DD7372" w:rsidP="00C639A7">
      <w:pPr>
        <w:pStyle w:val="Tablenotes"/>
      </w:pPr>
      <w:r w:rsidRPr="00410F7C">
        <w:t>ICER = Incremental Cost Effectiveness Ratio</w:t>
      </w:r>
    </w:p>
    <w:p w14:paraId="6F662357" w14:textId="117E4E15" w:rsidR="00DC3816" w:rsidRDefault="00DD7372" w:rsidP="00DC3816">
      <w:r>
        <w:t>Further testing is less cost-effective than deletion testing only in identifying couples at risk of Hb Bart’s. This is due to the incremental cost of further testing required to identify the additional 4.8% of couples at risk. However, if the outcome of interest is broadened to include identification of couples that are at risk of either Hb Bart’s or non-deletion HbH, then further testing appears to be more cost effec</w:t>
      </w:r>
      <w:r w:rsidR="004E5F31">
        <w:t>tive than deletion testing only</w:t>
      </w:r>
    </w:p>
    <w:p w14:paraId="2F50CA28" w14:textId="434A4571" w:rsidR="007670AA" w:rsidRDefault="007670AA" w:rsidP="004E5F31">
      <w:pPr>
        <w:spacing w:before="240"/>
      </w:pPr>
      <w:r>
        <w:t xml:space="preserve">A cost-effectiveness </w:t>
      </w:r>
      <w:r w:rsidR="00186810">
        <w:t>scenario analysis</w:t>
      </w:r>
      <w:r>
        <w:t xml:space="preserve"> was conducted which assumed </w:t>
      </w:r>
      <w:r w:rsidR="00186810">
        <w:t>both parents require abnormal screening results before either can receive genetic testing</w:t>
      </w:r>
      <w:r>
        <w:t>.</w:t>
      </w:r>
      <w:r w:rsidR="00186810">
        <w:t xml:space="preserve">. Screening results have </w:t>
      </w:r>
      <w:r w:rsidR="00186810">
        <w:lastRenderedPageBreak/>
        <w:t xml:space="preserve">not been included in the comparator arm of the model in this scenario as these are required for both parents in both arms, prior to model entry. The results of the scenario analysis are presented in </w:t>
      </w:r>
      <w:r w:rsidR="00186810">
        <w:fldChar w:fldCharType="begin"/>
      </w:r>
      <w:r w:rsidR="00186810">
        <w:instrText xml:space="preserve"> REF _Ref526076379 \h </w:instrText>
      </w:r>
      <w:r w:rsidR="00186810">
        <w:fldChar w:fldCharType="separate"/>
      </w:r>
      <w:r w:rsidR="00F37DD4">
        <w:t>Table 11</w:t>
      </w:r>
      <w:r w:rsidR="00186810">
        <w:fldChar w:fldCharType="end"/>
      </w:r>
      <w:r w:rsidR="00186810">
        <w:t xml:space="preserve"> and </w:t>
      </w:r>
      <w:r w:rsidR="00186810">
        <w:fldChar w:fldCharType="begin"/>
      </w:r>
      <w:r w:rsidR="00186810">
        <w:instrText xml:space="preserve"> REF _Ref526076385 \h </w:instrText>
      </w:r>
      <w:r w:rsidR="00186810">
        <w:fldChar w:fldCharType="separate"/>
      </w:r>
      <w:r w:rsidR="00F37DD4">
        <w:t xml:space="preserve">Table </w:t>
      </w:r>
      <w:r w:rsidR="00186810">
        <w:fldChar w:fldCharType="end"/>
      </w:r>
      <w:r w:rsidR="006F6129">
        <w:t>12</w:t>
      </w:r>
      <w:r w:rsidR="004E5F31">
        <w:t>.</w:t>
      </w:r>
    </w:p>
    <w:p w14:paraId="2104DDC7" w14:textId="22A87CBF" w:rsidR="00186810" w:rsidRPr="00D576B7" w:rsidRDefault="00186810" w:rsidP="00D576B7">
      <w:pPr>
        <w:spacing w:before="240"/>
        <w:rPr>
          <w:rFonts w:ascii="Arial Narrow" w:hAnsi="Arial Narrow"/>
          <w:b/>
          <w:sz w:val="20"/>
        </w:rPr>
      </w:pPr>
      <w:bookmarkStart w:id="20" w:name="_Ref526076379"/>
      <w:bookmarkStart w:id="21" w:name="_Toc527050637"/>
      <w:r w:rsidRPr="00D576B7">
        <w:rPr>
          <w:rFonts w:ascii="Arial Narrow" w:hAnsi="Arial Narrow"/>
          <w:b/>
          <w:sz w:val="20"/>
        </w:rPr>
        <w:t xml:space="preserve">Table </w:t>
      </w:r>
      <w:r w:rsidR="00DD7372" w:rsidRPr="00D576B7">
        <w:rPr>
          <w:rFonts w:ascii="Arial Narrow" w:hAnsi="Arial Narrow"/>
          <w:b/>
          <w:sz w:val="20"/>
        </w:rPr>
        <w:t>11</w:t>
      </w:r>
      <w:bookmarkEnd w:id="20"/>
      <w:r w:rsidRPr="00D576B7">
        <w:rPr>
          <w:rFonts w:ascii="Arial Narrow" w:hAnsi="Arial Narrow"/>
          <w:b/>
          <w:sz w:val="20"/>
        </w:rPr>
        <w:tab/>
        <w:t>Incremental cost-effectiveness in couples planning a pregnancy, scenario where parental testing is conducted simultaneously</w:t>
      </w:r>
      <w:bookmarkEnd w:id="21"/>
    </w:p>
    <w:tbl>
      <w:tblPr>
        <w:tblStyle w:val="TableGrid1"/>
        <w:tblW w:w="5000" w:type="pct"/>
        <w:tblLayout w:type="fixed"/>
        <w:tblLook w:val="04A0" w:firstRow="1" w:lastRow="0" w:firstColumn="1" w:lastColumn="0" w:noHBand="0" w:noVBand="1"/>
        <w:tblCaption w:val="Incremental cost-effectiveness in couples planning a pregnancy, scenario where parental testing is conducted simultaneously"/>
        <w:tblDescription w:val="Incremental cost-effectiveness in couples planning a pregnancy, scenario where parental testing is conducted simultaneously"/>
      </w:tblPr>
      <w:tblGrid>
        <w:gridCol w:w="5382"/>
        <w:gridCol w:w="1212"/>
        <w:gridCol w:w="1212"/>
        <w:gridCol w:w="1210"/>
      </w:tblGrid>
      <w:tr w:rsidR="00186810" w:rsidRPr="00410F7C" w14:paraId="546D8628"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52BCE300" w14:textId="77777777" w:rsidR="00186810" w:rsidRPr="00410F7C" w:rsidRDefault="00186810" w:rsidP="003C546E">
            <w:pPr>
              <w:pStyle w:val="TableHeading"/>
            </w:pPr>
          </w:p>
        </w:tc>
        <w:tc>
          <w:tcPr>
            <w:tcW w:w="672" w:type="pct"/>
            <w:noWrap/>
            <w:hideMark/>
          </w:tcPr>
          <w:p w14:paraId="335D4A52" w14:textId="77777777" w:rsidR="00186810" w:rsidRPr="00410F7C" w:rsidRDefault="00186810" w:rsidP="003C546E">
            <w:pPr>
              <w:pStyle w:val="TableHeading"/>
            </w:pPr>
            <w:r w:rsidRPr="00410F7C">
              <w:t>Intervention</w:t>
            </w:r>
          </w:p>
        </w:tc>
        <w:tc>
          <w:tcPr>
            <w:tcW w:w="672" w:type="pct"/>
            <w:noWrap/>
            <w:hideMark/>
          </w:tcPr>
          <w:p w14:paraId="1CF90508" w14:textId="77777777" w:rsidR="00186810" w:rsidRPr="00410F7C" w:rsidRDefault="00186810" w:rsidP="003C546E">
            <w:pPr>
              <w:pStyle w:val="TableHeading"/>
            </w:pPr>
            <w:r w:rsidRPr="00410F7C">
              <w:t>Comparator</w:t>
            </w:r>
          </w:p>
        </w:tc>
        <w:tc>
          <w:tcPr>
            <w:tcW w:w="671" w:type="pct"/>
            <w:noWrap/>
            <w:hideMark/>
          </w:tcPr>
          <w:p w14:paraId="1842C433" w14:textId="77777777" w:rsidR="00186810" w:rsidRPr="00410F7C" w:rsidRDefault="00186810" w:rsidP="003C546E">
            <w:pPr>
              <w:pStyle w:val="TableHeading"/>
            </w:pPr>
            <w:r w:rsidRPr="00410F7C">
              <w:t>Increment</w:t>
            </w:r>
          </w:p>
        </w:tc>
      </w:tr>
      <w:tr w:rsidR="00186810" w:rsidRPr="0001206B" w14:paraId="541CEB3A" w14:textId="77777777" w:rsidTr="003C546E">
        <w:trPr>
          <w:trHeight w:val="255"/>
        </w:trPr>
        <w:tc>
          <w:tcPr>
            <w:tcW w:w="2985" w:type="pct"/>
            <w:noWrap/>
            <w:hideMark/>
          </w:tcPr>
          <w:p w14:paraId="08C09E20" w14:textId="77777777" w:rsidR="00186810" w:rsidRPr="00410F7C" w:rsidRDefault="00186810" w:rsidP="003C546E">
            <w:pPr>
              <w:pStyle w:val="TableText"/>
            </w:pPr>
            <w:r w:rsidRPr="00410F7C">
              <w:t>Total cost</w:t>
            </w:r>
          </w:p>
        </w:tc>
        <w:tc>
          <w:tcPr>
            <w:tcW w:w="672" w:type="pct"/>
            <w:noWrap/>
            <w:hideMark/>
          </w:tcPr>
          <w:p w14:paraId="607EF330" w14:textId="77777777" w:rsidR="00186810" w:rsidRPr="00410F7C" w:rsidRDefault="00186810" w:rsidP="003C546E">
            <w:pPr>
              <w:pStyle w:val="TableText"/>
              <w:jc w:val="center"/>
            </w:pPr>
            <w:r w:rsidRPr="00FA0917">
              <w:t>$602</w:t>
            </w:r>
          </w:p>
        </w:tc>
        <w:tc>
          <w:tcPr>
            <w:tcW w:w="672" w:type="pct"/>
            <w:noWrap/>
            <w:hideMark/>
          </w:tcPr>
          <w:p w14:paraId="01444FCF" w14:textId="77777777" w:rsidR="00186810" w:rsidRPr="00410F7C" w:rsidRDefault="00186810" w:rsidP="003C546E">
            <w:pPr>
              <w:pStyle w:val="TableText"/>
              <w:jc w:val="center"/>
            </w:pPr>
            <w:r w:rsidRPr="00FA0917">
              <w:t>$0</w:t>
            </w:r>
          </w:p>
        </w:tc>
        <w:tc>
          <w:tcPr>
            <w:tcW w:w="671" w:type="pct"/>
            <w:noWrap/>
            <w:hideMark/>
          </w:tcPr>
          <w:p w14:paraId="34B663BC" w14:textId="77777777" w:rsidR="00186810" w:rsidRPr="00410F7C" w:rsidRDefault="00186810" w:rsidP="003C546E">
            <w:pPr>
              <w:pStyle w:val="TableText"/>
              <w:jc w:val="center"/>
            </w:pPr>
            <w:r w:rsidRPr="00FA0917">
              <w:t>$602</w:t>
            </w:r>
          </w:p>
        </w:tc>
      </w:tr>
      <w:tr w:rsidR="00186810" w:rsidRPr="00410F7C" w14:paraId="770DAAF0" w14:textId="77777777" w:rsidTr="003C546E">
        <w:trPr>
          <w:trHeight w:val="255"/>
        </w:trPr>
        <w:tc>
          <w:tcPr>
            <w:tcW w:w="2985" w:type="pct"/>
            <w:tcBorders>
              <w:bottom w:val="single" w:sz="4" w:space="0" w:color="auto"/>
            </w:tcBorders>
            <w:noWrap/>
            <w:hideMark/>
          </w:tcPr>
          <w:p w14:paraId="747903CB" w14:textId="77777777" w:rsidR="00186810" w:rsidRPr="00410F7C" w:rsidRDefault="00186810" w:rsidP="003C546E">
            <w:pPr>
              <w:pStyle w:val="TableText"/>
            </w:pPr>
            <w:r w:rsidRPr="007127F3">
              <w:t>Couples genetically confirmed as being at risk of having a fetus affected by Hb Bart’s</w:t>
            </w:r>
          </w:p>
        </w:tc>
        <w:tc>
          <w:tcPr>
            <w:tcW w:w="672" w:type="pct"/>
            <w:tcBorders>
              <w:bottom w:val="single" w:sz="4" w:space="0" w:color="auto"/>
            </w:tcBorders>
            <w:noWrap/>
            <w:hideMark/>
          </w:tcPr>
          <w:p w14:paraId="619384AC" w14:textId="77777777" w:rsidR="00186810" w:rsidRPr="00410F7C" w:rsidRDefault="00186810" w:rsidP="003C546E">
            <w:pPr>
              <w:pStyle w:val="TableText"/>
              <w:jc w:val="center"/>
            </w:pPr>
            <w:r w:rsidRPr="00FA0917">
              <w:t>0.0212</w:t>
            </w:r>
          </w:p>
        </w:tc>
        <w:tc>
          <w:tcPr>
            <w:tcW w:w="672" w:type="pct"/>
            <w:tcBorders>
              <w:bottom w:val="single" w:sz="4" w:space="0" w:color="auto"/>
            </w:tcBorders>
            <w:noWrap/>
            <w:hideMark/>
          </w:tcPr>
          <w:p w14:paraId="7355931F" w14:textId="77777777" w:rsidR="00186810" w:rsidRPr="00410F7C" w:rsidRDefault="00186810" w:rsidP="003C546E">
            <w:pPr>
              <w:pStyle w:val="TableText"/>
              <w:jc w:val="center"/>
            </w:pPr>
            <w:r w:rsidRPr="00FA0917">
              <w:t>0.0000</w:t>
            </w:r>
          </w:p>
        </w:tc>
        <w:tc>
          <w:tcPr>
            <w:tcW w:w="671" w:type="pct"/>
            <w:tcBorders>
              <w:bottom w:val="single" w:sz="4" w:space="0" w:color="auto"/>
            </w:tcBorders>
            <w:noWrap/>
            <w:hideMark/>
          </w:tcPr>
          <w:p w14:paraId="34FA07E5" w14:textId="77777777" w:rsidR="00186810" w:rsidRPr="00410F7C" w:rsidRDefault="00186810" w:rsidP="003C546E">
            <w:pPr>
              <w:pStyle w:val="TableText"/>
              <w:jc w:val="center"/>
            </w:pPr>
            <w:r w:rsidRPr="00FA0917">
              <w:t>0.0212</w:t>
            </w:r>
          </w:p>
        </w:tc>
      </w:tr>
      <w:tr w:rsidR="00186810" w:rsidRPr="00410F7C" w14:paraId="13A54CAB" w14:textId="77777777" w:rsidTr="003C546E">
        <w:trPr>
          <w:trHeight w:val="255"/>
        </w:trPr>
        <w:tc>
          <w:tcPr>
            <w:tcW w:w="2985" w:type="pct"/>
            <w:tcBorders>
              <w:bottom w:val="double" w:sz="4" w:space="0" w:color="auto"/>
              <w:right w:val="nil"/>
            </w:tcBorders>
            <w:noWrap/>
            <w:hideMark/>
          </w:tcPr>
          <w:p w14:paraId="6263B5B7" w14:textId="77777777" w:rsidR="00186810" w:rsidRPr="00410F7C" w:rsidRDefault="00186810" w:rsidP="003C546E">
            <w:pPr>
              <w:pStyle w:val="TableText"/>
              <w:rPr>
                <w:b/>
              </w:rPr>
            </w:pPr>
            <w:r w:rsidRPr="000A0646">
              <w:rPr>
                <w:b/>
              </w:rPr>
              <w:t>ICER per couple that is genetically confirmed as being at risk of having a fetus affected by Hb Bart’s</w:t>
            </w:r>
          </w:p>
        </w:tc>
        <w:tc>
          <w:tcPr>
            <w:tcW w:w="672" w:type="pct"/>
            <w:tcBorders>
              <w:left w:val="nil"/>
              <w:bottom w:val="double" w:sz="4" w:space="0" w:color="auto"/>
              <w:right w:val="nil"/>
            </w:tcBorders>
            <w:noWrap/>
            <w:hideMark/>
          </w:tcPr>
          <w:p w14:paraId="263F297D" w14:textId="77777777" w:rsidR="00186810" w:rsidRPr="00C91D69" w:rsidRDefault="00186810" w:rsidP="003C546E">
            <w:pPr>
              <w:pStyle w:val="TableText"/>
              <w:jc w:val="center"/>
              <w:rPr>
                <w:b/>
              </w:rPr>
            </w:pPr>
            <w:r w:rsidRPr="00457BC3">
              <w:rPr>
                <w:b/>
                <w:color w:val="FFFFFF" w:themeColor="background1"/>
              </w:rPr>
              <w:t>-</w:t>
            </w:r>
          </w:p>
        </w:tc>
        <w:tc>
          <w:tcPr>
            <w:tcW w:w="672" w:type="pct"/>
            <w:tcBorders>
              <w:left w:val="nil"/>
              <w:bottom w:val="double" w:sz="4" w:space="0" w:color="auto"/>
            </w:tcBorders>
            <w:noWrap/>
            <w:hideMark/>
          </w:tcPr>
          <w:p w14:paraId="60276B7D" w14:textId="77777777" w:rsidR="00186810" w:rsidRPr="00C91D69" w:rsidRDefault="00186810" w:rsidP="003C546E">
            <w:pPr>
              <w:pStyle w:val="TableText"/>
              <w:jc w:val="center"/>
              <w:rPr>
                <w:rFonts w:ascii="Times New Roman" w:hAnsi="Times New Roman" w:cs="Times New Roman"/>
                <w:b/>
              </w:rPr>
            </w:pPr>
            <w:r w:rsidRPr="00457BC3">
              <w:rPr>
                <w:b/>
                <w:color w:val="FFFFFF" w:themeColor="background1"/>
              </w:rPr>
              <w:t>-</w:t>
            </w:r>
          </w:p>
        </w:tc>
        <w:tc>
          <w:tcPr>
            <w:tcW w:w="671" w:type="pct"/>
            <w:tcBorders>
              <w:bottom w:val="double" w:sz="4" w:space="0" w:color="auto"/>
            </w:tcBorders>
            <w:noWrap/>
            <w:hideMark/>
          </w:tcPr>
          <w:p w14:paraId="63537466" w14:textId="77777777" w:rsidR="00186810" w:rsidRPr="00C91D69" w:rsidRDefault="00186810" w:rsidP="003C546E">
            <w:pPr>
              <w:pStyle w:val="TableText"/>
              <w:jc w:val="center"/>
              <w:rPr>
                <w:b/>
              </w:rPr>
            </w:pPr>
            <w:r w:rsidRPr="00C91D69">
              <w:rPr>
                <w:b/>
              </w:rPr>
              <w:t>$28,443</w:t>
            </w:r>
          </w:p>
        </w:tc>
      </w:tr>
      <w:tr w:rsidR="00186810" w:rsidRPr="00410F7C" w14:paraId="08D6E2CF" w14:textId="77777777" w:rsidTr="003C546E">
        <w:trPr>
          <w:trHeight w:val="255"/>
        </w:trPr>
        <w:tc>
          <w:tcPr>
            <w:tcW w:w="2985" w:type="pct"/>
            <w:tcBorders>
              <w:bottom w:val="single" w:sz="4" w:space="0" w:color="auto"/>
            </w:tcBorders>
            <w:noWrap/>
            <w:hideMark/>
          </w:tcPr>
          <w:p w14:paraId="477AE6E8" w14:textId="77777777" w:rsidR="00186810" w:rsidRPr="00410F7C" w:rsidRDefault="00186810" w:rsidP="003C546E">
            <w:pPr>
              <w:pStyle w:val="TableText"/>
            </w:pPr>
            <w:r w:rsidRPr="007127F3">
              <w:t>Couples identified as being at risk of having a fetus affected by Hb Bart’s</w:t>
            </w:r>
          </w:p>
        </w:tc>
        <w:tc>
          <w:tcPr>
            <w:tcW w:w="672" w:type="pct"/>
            <w:tcBorders>
              <w:bottom w:val="single" w:sz="4" w:space="0" w:color="auto"/>
            </w:tcBorders>
            <w:noWrap/>
          </w:tcPr>
          <w:p w14:paraId="50F92141" w14:textId="77777777" w:rsidR="00186810" w:rsidRPr="00410F7C" w:rsidRDefault="00186810" w:rsidP="003C546E">
            <w:pPr>
              <w:pStyle w:val="TableText"/>
              <w:jc w:val="center"/>
            </w:pPr>
            <w:r w:rsidRPr="00E55204">
              <w:t>0.0212</w:t>
            </w:r>
          </w:p>
        </w:tc>
        <w:tc>
          <w:tcPr>
            <w:tcW w:w="672" w:type="pct"/>
            <w:tcBorders>
              <w:bottom w:val="single" w:sz="4" w:space="0" w:color="auto"/>
            </w:tcBorders>
            <w:noWrap/>
          </w:tcPr>
          <w:p w14:paraId="007DA5B1" w14:textId="77777777" w:rsidR="00186810" w:rsidRPr="00410F7C" w:rsidRDefault="00186810" w:rsidP="003C546E">
            <w:pPr>
              <w:pStyle w:val="TableText"/>
              <w:jc w:val="center"/>
            </w:pPr>
            <w:r w:rsidRPr="00E55204">
              <w:t>0.0157</w:t>
            </w:r>
          </w:p>
        </w:tc>
        <w:tc>
          <w:tcPr>
            <w:tcW w:w="671" w:type="pct"/>
            <w:tcBorders>
              <w:bottom w:val="single" w:sz="4" w:space="0" w:color="auto"/>
            </w:tcBorders>
            <w:noWrap/>
          </w:tcPr>
          <w:p w14:paraId="6F4A1A11" w14:textId="77777777" w:rsidR="00186810" w:rsidRPr="00410F7C" w:rsidRDefault="00186810" w:rsidP="003C546E">
            <w:pPr>
              <w:pStyle w:val="TableText"/>
              <w:jc w:val="center"/>
            </w:pPr>
            <w:r w:rsidRPr="00E55204">
              <w:t>0.0055</w:t>
            </w:r>
          </w:p>
        </w:tc>
      </w:tr>
      <w:tr w:rsidR="00186810" w:rsidRPr="000A0646" w14:paraId="6684E96D" w14:textId="77777777" w:rsidTr="003C546E">
        <w:trPr>
          <w:trHeight w:val="255"/>
        </w:trPr>
        <w:tc>
          <w:tcPr>
            <w:tcW w:w="2985" w:type="pct"/>
            <w:tcBorders>
              <w:bottom w:val="double" w:sz="4" w:space="0" w:color="auto"/>
              <w:right w:val="nil"/>
            </w:tcBorders>
            <w:noWrap/>
            <w:hideMark/>
          </w:tcPr>
          <w:p w14:paraId="36C7DC1E" w14:textId="77777777" w:rsidR="00186810" w:rsidRPr="0098067B" w:rsidRDefault="00186810" w:rsidP="003C546E">
            <w:pPr>
              <w:pStyle w:val="TableText"/>
              <w:rPr>
                <w:b/>
              </w:rPr>
            </w:pPr>
            <w:r w:rsidRPr="000A0646">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2C54383A" w14:textId="77777777" w:rsidR="00186810" w:rsidRPr="005A1FC4" w:rsidRDefault="00186810" w:rsidP="003C546E">
            <w:pPr>
              <w:pStyle w:val="TableText"/>
              <w:jc w:val="center"/>
              <w:rPr>
                <w:b/>
              </w:rPr>
            </w:pPr>
            <w:r w:rsidRPr="00457BC3">
              <w:rPr>
                <w:b/>
                <w:color w:val="FFFFFF" w:themeColor="background1"/>
              </w:rPr>
              <w:t>-</w:t>
            </w:r>
          </w:p>
        </w:tc>
        <w:tc>
          <w:tcPr>
            <w:tcW w:w="672" w:type="pct"/>
            <w:tcBorders>
              <w:left w:val="nil"/>
              <w:bottom w:val="double" w:sz="4" w:space="0" w:color="auto"/>
            </w:tcBorders>
            <w:noWrap/>
          </w:tcPr>
          <w:p w14:paraId="35FDCDEE" w14:textId="77777777" w:rsidR="00186810" w:rsidRPr="005A1FC4" w:rsidRDefault="00186810" w:rsidP="003C546E">
            <w:pPr>
              <w:pStyle w:val="TableText"/>
              <w:jc w:val="center"/>
              <w:rPr>
                <w:rFonts w:ascii="Times New Roman" w:hAnsi="Times New Roman" w:cs="Times New Roman"/>
                <w:b/>
              </w:rPr>
            </w:pPr>
            <w:r w:rsidRPr="00457BC3">
              <w:rPr>
                <w:b/>
                <w:color w:val="FFFFFF" w:themeColor="background1"/>
              </w:rPr>
              <w:t>-</w:t>
            </w:r>
          </w:p>
        </w:tc>
        <w:tc>
          <w:tcPr>
            <w:tcW w:w="671" w:type="pct"/>
            <w:tcBorders>
              <w:bottom w:val="double" w:sz="4" w:space="0" w:color="auto"/>
            </w:tcBorders>
            <w:noWrap/>
          </w:tcPr>
          <w:p w14:paraId="64D1FA87" w14:textId="77777777" w:rsidR="00186810" w:rsidRPr="005A1FC4" w:rsidRDefault="00186810" w:rsidP="003C546E">
            <w:pPr>
              <w:pStyle w:val="TableText"/>
              <w:jc w:val="center"/>
              <w:rPr>
                <w:b/>
              </w:rPr>
            </w:pPr>
            <w:r w:rsidRPr="000A0646">
              <w:rPr>
                <w:b/>
              </w:rPr>
              <w:t>$110,015</w:t>
            </w:r>
          </w:p>
        </w:tc>
      </w:tr>
      <w:tr w:rsidR="00186810" w:rsidRPr="00410F7C" w14:paraId="4D248F20" w14:textId="77777777" w:rsidTr="003C546E">
        <w:trPr>
          <w:trHeight w:val="255"/>
        </w:trPr>
        <w:tc>
          <w:tcPr>
            <w:tcW w:w="2985" w:type="pct"/>
            <w:tcBorders>
              <w:top w:val="double" w:sz="4" w:space="0" w:color="auto"/>
              <w:bottom w:val="single" w:sz="4" w:space="0" w:color="auto"/>
            </w:tcBorders>
            <w:noWrap/>
            <w:hideMark/>
          </w:tcPr>
          <w:p w14:paraId="13FBF961" w14:textId="77777777" w:rsidR="00186810" w:rsidRPr="00410F7C" w:rsidRDefault="00186810" w:rsidP="003C546E">
            <w:pPr>
              <w:pStyle w:val="TableText"/>
            </w:pPr>
            <w:r w:rsidRPr="007127F3">
              <w:t>Couples with genetically confirmed status</w:t>
            </w:r>
          </w:p>
        </w:tc>
        <w:tc>
          <w:tcPr>
            <w:tcW w:w="672" w:type="pct"/>
            <w:tcBorders>
              <w:top w:val="double" w:sz="4" w:space="0" w:color="auto"/>
              <w:bottom w:val="single" w:sz="4" w:space="0" w:color="auto"/>
            </w:tcBorders>
            <w:noWrap/>
            <w:hideMark/>
          </w:tcPr>
          <w:p w14:paraId="449ABE9A" w14:textId="77777777" w:rsidR="00186810" w:rsidRPr="00410F7C" w:rsidRDefault="00186810" w:rsidP="003C546E">
            <w:pPr>
              <w:pStyle w:val="TableText"/>
              <w:jc w:val="center"/>
            </w:pPr>
            <w:r w:rsidRPr="00D24648">
              <w:t>0.9989</w:t>
            </w:r>
          </w:p>
        </w:tc>
        <w:tc>
          <w:tcPr>
            <w:tcW w:w="672" w:type="pct"/>
            <w:tcBorders>
              <w:top w:val="double" w:sz="4" w:space="0" w:color="auto"/>
              <w:bottom w:val="single" w:sz="4" w:space="0" w:color="auto"/>
            </w:tcBorders>
            <w:noWrap/>
            <w:hideMark/>
          </w:tcPr>
          <w:p w14:paraId="7F8EF4E8" w14:textId="77777777" w:rsidR="00186810" w:rsidRPr="00410F7C" w:rsidRDefault="00186810" w:rsidP="003C546E">
            <w:pPr>
              <w:pStyle w:val="TableText"/>
              <w:jc w:val="center"/>
            </w:pPr>
            <w:r w:rsidRPr="00D24648">
              <w:t>0.0000</w:t>
            </w:r>
          </w:p>
        </w:tc>
        <w:tc>
          <w:tcPr>
            <w:tcW w:w="671" w:type="pct"/>
            <w:tcBorders>
              <w:top w:val="double" w:sz="4" w:space="0" w:color="auto"/>
            </w:tcBorders>
            <w:noWrap/>
            <w:hideMark/>
          </w:tcPr>
          <w:p w14:paraId="2A5655C1" w14:textId="77777777" w:rsidR="00186810" w:rsidRPr="00410F7C" w:rsidRDefault="00186810" w:rsidP="003C546E">
            <w:pPr>
              <w:pStyle w:val="TableText"/>
              <w:jc w:val="center"/>
            </w:pPr>
            <w:r w:rsidRPr="00D24648">
              <w:t>0.9989</w:t>
            </w:r>
          </w:p>
        </w:tc>
      </w:tr>
      <w:tr w:rsidR="00186810" w:rsidRPr="00410F7C" w14:paraId="31B698B9" w14:textId="77777777" w:rsidTr="003C546E">
        <w:trPr>
          <w:trHeight w:val="255"/>
        </w:trPr>
        <w:tc>
          <w:tcPr>
            <w:tcW w:w="2985" w:type="pct"/>
            <w:tcBorders>
              <w:right w:val="nil"/>
            </w:tcBorders>
            <w:noWrap/>
            <w:hideMark/>
          </w:tcPr>
          <w:p w14:paraId="0E939971" w14:textId="77777777" w:rsidR="00186810" w:rsidRPr="00410F7C" w:rsidRDefault="00186810" w:rsidP="003C546E">
            <w:pPr>
              <w:pStyle w:val="TableText"/>
              <w:rPr>
                <w:b/>
              </w:rPr>
            </w:pPr>
            <w:r w:rsidRPr="000A0646">
              <w:rPr>
                <w:b/>
              </w:rPr>
              <w:t>ICER per couple with genetically confirmed status</w:t>
            </w:r>
          </w:p>
        </w:tc>
        <w:tc>
          <w:tcPr>
            <w:tcW w:w="672" w:type="pct"/>
            <w:tcBorders>
              <w:left w:val="nil"/>
              <w:right w:val="nil"/>
            </w:tcBorders>
            <w:noWrap/>
            <w:hideMark/>
          </w:tcPr>
          <w:p w14:paraId="4F723D38" w14:textId="77777777" w:rsidR="00186810" w:rsidRPr="000F4B9F" w:rsidRDefault="00186810" w:rsidP="003C546E">
            <w:pPr>
              <w:pStyle w:val="TableText"/>
              <w:jc w:val="center"/>
              <w:rPr>
                <w:b/>
              </w:rPr>
            </w:pPr>
            <w:r w:rsidRPr="000F4B9F">
              <w:rPr>
                <w:b/>
                <w:color w:val="FFFFFF" w:themeColor="background1"/>
              </w:rPr>
              <w:t>-</w:t>
            </w:r>
          </w:p>
        </w:tc>
        <w:tc>
          <w:tcPr>
            <w:tcW w:w="672" w:type="pct"/>
            <w:tcBorders>
              <w:left w:val="nil"/>
            </w:tcBorders>
            <w:noWrap/>
            <w:hideMark/>
          </w:tcPr>
          <w:p w14:paraId="6CA37DE2" w14:textId="77777777" w:rsidR="00186810" w:rsidRPr="000F4B9F" w:rsidRDefault="00186810" w:rsidP="003C546E">
            <w:pPr>
              <w:pStyle w:val="TableText"/>
              <w:jc w:val="center"/>
              <w:rPr>
                <w:rFonts w:ascii="Times New Roman" w:hAnsi="Times New Roman" w:cs="Times New Roman"/>
                <w:b/>
              </w:rPr>
            </w:pPr>
            <w:r w:rsidRPr="000F4B9F">
              <w:rPr>
                <w:b/>
                <w:color w:val="FFFFFF" w:themeColor="background1"/>
              </w:rPr>
              <w:t>-</w:t>
            </w:r>
          </w:p>
        </w:tc>
        <w:tc>
          <w:tcPr>
            <w:tcW w:w="671" w:type="pct"/>
            <w:noWrap/>
            <w:hideMark/>
          </w:tcPr>
          <w:p w14:paraId="5721408F" w14:textId="77777777" w:rsidR="00186810" w:rsidRPr="000F4B9F" w:rsidRDefault="00186810" w:rsidP="003C546E">
            <w:pPr>
              <w:pStyle w:val="TableText"/>
              <w:jc w:val="center"/>
              <w:rPr>
                <w:b/>
              </w:rPr>
            </w:pPr>
            <w:r w:rsidRPr="000F4B9F">
              <w:rPr>
                <w:b/>
              </w:rPr>
              <w:t>$603</w:t>
            </w:r>
          </w:p>
        </w:tc>
      </w:tr>
    </w:tbl>
    <w:p w14:paraId="3C44C7C4" w14:textId="3439DBEC" w:rsidR="00186810" w:rsidRDefault="00186810" w:rsidP="00C639A7">
      <w:pPr>
        <w:pStyle w:val="Tablenotes"/>
      </w:pPr>
      <w:r w:rsidRPr="00410F7C">
        <w:t>ICER = Incremental Cost Effectiveness Ratio</w:t>
      </w:r>
    </w:p>
    <w:p w14:paraId="35B0805F" w14:textId="6A54E82D" w:rsidR="00186810" w:rsidRPr="00D576B7" w:rsidRDefault="00186810" w:rsidP="00D576B7">
      <w:pPr>
        <w:rPr>
          <w:rFonts w:ascii="Arial Narrow" w:hAnsi="Arial Narrow"/>
          <w:b/>
          <w:sz w:val="20"/>
        </w:rPr>
      </w:pPr>
      <w:bookmarkStart w:id="22" w:name="_Ref526076385"/>
      <w:bookmarkStart w:id="23" w:name="_Toc527050638"/>
      <w:r w:rsidRPr="00D576B7">
        <w:rPr>
          <w:rFonts w:ascii="Arial Narrow" w:hAnsi="Arial Narrow"/>
          <w:b/>
          <w:sz w:val="20"/>
        </w:rPr>
        <w:t xml:space="preserve">Table </w:t>
      </w:r>
      <w:bookmarkEnd w:id="22"/>
      <w:r w:rsidR="007670AA" w:rsidRPr="00D576B7">
        <w:rPr>
          <w:rFonts w:ascii="Arial Narrow" w:hAnsi="Arial Narrow"/>
          <w:b/>
          <w:sz w:val="20"/>
        </w:rPr>
        <w:t>1</w:t>
      </w:r>
      <w:r w:rsidR="00DD7372" w:rsidRPr="00D576B7">
        <w:rPr>
          <w:rFonts w:ascii="Arial Narrow" w:hAnsi="Arial Narrow"/>
          <w:b/>
          <w:sz w:val="20"/>
        </w:rPr>
        <w:t>2</w:t>
      </w:r>
      <w:r w:rsidRPr="00D576B7">
        <w:rPr>
          <w:rFonts w:ascii="Arial Narrow" w:hAnsi="Arial Narrow"/>
          <w:b/>
          <w:sz w:val="20"/>
        </w:rPr>
        <w:tab/>
        <w:t>Incremental cost-effectiveness in pregnant couples, scenario where parental testing is conducted simultaneously</w:t>
      </w:r>
      <w:bookmarkEnd w:id="23"/>
    </w:p>
    <w:tbl>
      <w:tblPr>
        <w:tblStyle w:val="TableGrid1"/>
        <w:tblW w:w="5000" w:type="pct"/>
        <w:tblLayout w:type="fixed"/>
        <w:tblLook w:val="04A0" w:firstRow="1" w:lastRow="0" w:firstColumn="1" w:lastColumn="0" w:noHBand="0" w:noVBand="1"/>
        <w:tblCaption w:val="Incremental cost-effectiveness in pregnant couples, scenario where parental testing is conducted simultaneously"/>
        <w:tblDescription w:val="Incremental cost-effectiveness in pregnant couples, scenario where parental testing is conducted simultaneously"/>
      </w:tblPr>
      <w:tblGrid>
        <w:gridCol w:w="5382"/>
        <w:gridCol w:w="1212"/>
        <w:gridCol w:w="1212"/>
        <w:gridCol w:w="1210"/>
      </w:tblGrid>
      <w:tr w:rsidR="00186810" w:rsidRPr="00410F7C" w14:paraId="61A858A5"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4F399201" w14:textId="77777777" w:rsidR="00186810" w:rsidRPr="00410F7C" w:rsidRDefault="00186810" w:rsidP="003C546E">
            <w:pPr>
              <w:pStyle w:val="TableHeading"/>
            </w:pPr>
          </w:p>
        </w:tc>
        <w:tc>
          <w:tcPr>
            <w:tcW w:w="672" w:type="pct"/>
            <w:noWrap/>
            <w:hideMark/>
          </w:tcPr>
          <w:p w14:paraId="6EA313DE" w14:textId="77777777" w:rsidR="00186810" w:rsidRPr="00410F7C" w:rsidRDefault="00186810" w:rsidP="003C546E">
            <w:pPr>
              <w:pStyle w:val="TableHeading"/>
            </w:pPr>
            <w:r w:rsidRPr="00410F7C">
              <w:t>Intervention</w:t>
            </w:r>
          </w:p>
        </w:tc>
        <w:tc>
          <w:tcPr>
            <w:tcW w:w="672" w:type="pct"/>
            <w:noWrap/>
            <w:hideMark/>
          </w:tcPr>
          <w:p w14:paraId="013E0DE2" w14:textId="77777777" w:rsidR="00186810" w:rsidRPr="00410F7C" w:rsidRDefault="00186810" w:rsidP="003C546E">
            <w:pPr>
              <w:pStyle w:val="TableHeading"/>
            </w:pPr>
            <w:r w:rsidRPr="00410F7C">
              <w:t>Comparator</w:t>
            </w:r>
          </w:p>
        </w:tc>
        <w:tc>
          <w:tcPr>
            <w:tcW w:w="671" w:type="pct"/>
            <w:noWrap/>
            <w:hideMark/>
          </w:tcPr>
          <w:p w14:paraId="44A74FAC" w14:textId="77777777" w:rsidR="00186810" w:rsidRPr="00410F7C" w:rsidRDefault="00186810" w:rsidP="003C546E">
            <w:pPr>
              <w:pStyle w:val="TableHeading"/>
            </w:pPr>
            <w:r w:rsidRPr="00410F7C">
              <w:t>Increment</w:t>
            </w:r>
          </w:p>
        </w:tc>
      </w:tr>
      <w:tr w:rsidR="00186810" w:rsidRPr="00410F7C" w14:paraId="234952A9" w14:textId="77777777" w:rsidTr="003C546E">
        <w:trPr>
          <w:trHeight w:val="255"/>
        </w:trPr>
        <w:tc>
          <w:tcPr>
            <w:tcW w:w="2985" w:type="pct"/>
            <w:noWrap/>
            <w:hideMark/>
          </w:tcPr>
          <w:p w14:paraId="125D8B1C" w14:textId="77777777" w:rsidR="00186810" w:rsidRPr="00410F7C" w:rsidRDefault="00186810" w:rsidP="003C546E">
            <w:pPr>
              <w:pStyle w:val="TableText"/>
            </w:pPr>
            <w:r w:rsidRPr="00410F7C">
              <w:t>Total cost</w:t>
            </w:r>
          </w:p>
        </w:tc>
        <w:tc>
          <w:tcPr>
            <w:tcW w:w="672" w:type="pct"/>
            <w:noWrap/>
            <w:hideMark/>
          </w:tcPr>
          <w:p w14:paraId="29AE6A7E" w14:textId="77777777" w:rsidR="00186810" w:rsidRPr="00410F7C" w:rsidRDefault="00186810" w:rsidP="003C546E">
            <w:pPr>
              <w:pStyle w:val="TableText"/>
              <w:jc w:val="center"/>
            </w:pPr>
            <w:r w:rsidRPr="006F2069">
              <w:t>$8,303</w:t>
            </w:r>
          </w:p>
        </w:tc>
        <w:tc>
          <w:tcPr>
            <w:tcW w:w="672" w:type="pct"/>
            <w:noWrap/>
            <w:hideMark/>
          </w:tcPr>
          <w:p w14:paraId="23383BE4" w14:textId="77777777" w:rsidR="00186810" w:rsidRPr="00410F7C" w:rsidRDefault="00186810" w:rsidP="003C546E">
            <w:pPr>
              <w:pStyle w:val="TableText"/>
              <w:jc w:val="center"/>
            </w:pPr>
            <w:r w:rsidRPr="006F2069">
              <w:t>$7,742</w:t>
            </w:r>
          </w:p>
        </w:tc>
        <w:tc>
          <w:tcPr>
            <w:tcW w:w="671" w:type="pct"/>
            <w:noWrap/>
            <w:hideMark/>
          </w:tcPr>
          <w:p w14:paraId="3F5E64AF" w14:textId="77777777" w:rsidR="00186810" w:rsidRPr="00410F7C" w:rsidRDefault="00186810" w:rsidP="003C546E">
            <w:pPr>
              <w:pStyle w:val="TableText"/>
              <w:jc w:val="center"/>
            </w:pPr>
            <w:r w:rsidRPr="006F2069">
              <w:t>$561</w:t>
            </w:r>
          </w:p>
        </w:tc>
      </w:tr>
      <w:tr w:rsidR="00186810" w:rsidRPr="00410F7C" w14:paraId="4DA8250E" w14:textId="77777777" w:rsidTr="003C546E">
        <w:trPr>
          <w:trHeight w:val="255"/>
        </w:trPr>
        <w:tc>
          <w:tcPr>
            <w:tcW w:w="2985" w:type="pct"/>
            <w:tcBorders>
              <w:bottom w:val="single" w:sz="4" w:space="0" w:color="auto"/>
            </w:tcBorders>
            <w:noWrap/>
            <w:hideMark/>
          </w:tcPr>
          <w:p w14:paraId="4EF4E301" w14:textId="77777777" w:rsidR="00186810" w:rsidRPr="00410F7C" w:rsidRDefault="00186810" w:rsidP="003C546E">
            <w:pPr>
              <w:pStyle w:val="TableText"/>
            </w:pPr>
            <w:r w:rsidRPr="001A22F0">
              <w:t>Couples genetically confirmed as being at risk of having a fetus affected by Hb Bart’s</w:t>
            </w:r>
          </w:p>
        </w:tc>
        <w:tc>
          <w:tcPr>
            <w:tcW w:w="672" w:type="pct"/>
            <w:tcBorders>
              <w:bottom w:val="single" w:sz="4" w:space="0" w:color="auto"/>
            </w:tcBorders>
            <w:noWrap/>
            <w:hideMark/>
          </w:tcPr>
          <w:p w14:paraId="23B56D64" w14:textId="77777777" w:rsidR="00186810" w:rsidRPr="00410F7C" w:rsidRDefault="00186810" w:rsidP="003C546E">
            <w:pPr>
              <w:pStyle w:val="TableText"/>
              <w:jc w:val="center"/>
            </w:pPr>
            <w:r w:rsidRPr="006F2069">
              <w:t>0.0212</w:t>
            </w:r>
          </w:p>
        </w:tc>
        <w:tc>
          <w:tcPr>
            <w:tcW w:w="672" w:type="pct"/>
            <w:tcBorders>
              <w:bottom w:val="single" w:sz="4" w:space="0" w:color="auto"/>
            </w:tcBorders>
            <w:noWrap/>
            <w:hideMark/>
          </w:tcPr>
          <w:p w14:paraId="02324882" w14:textId="77777777" w:rsidR="00186810" w:rsidRPr="00410F7C" w:rsidRDefault="00186810" w:rsidP="003C546E">
            <w:pPr>
              <w:pStyle w:val="TableText"/>
              <w:jc w:val="center"/>
            </w:pPr>
            <w:r w:rsidRPr="006F2069">
              <w:t>0.0000</w:t>
            </w:r>
          </w:p>
        </w:tc>
        <w:tc>
          <w:tcPr>
            <w:tcW w:w="671" w:type="pct"/>
            <w:tcBorders>
              <w:bottom w:val="single" w:sz="4" w:space="0" w:color="auto"/>
            </w:tcBorders>
            <w:noWrap/>
            <w:hideMark/>
          </w:tcPr>
          <w:p w14:paraId="5E145906" w14:textId="77777777" w:rsidR="00186810" w:rsidRPr="00410F7C" w:rsidRDefault="00186810" w:rsidP="003C546E">
            <w:pPr>
              <w:pStyle w:val="TableText"/>
              <w:jc w:val="center"/>
            </w:pPr>
            <w:r w:rsidRPr="006F2069">
              <w:t>0.0212</w:t>
            </w:r>
          </w:p>
        </w:tc>
      </w:tr>
      <w:tr w:rsidR="00186810" w:rsidRPr="00410F7C" w14:paraId="382B4AE5" w14:textId="77777777" w:rsidTr="003C546E">
        <w:trPr>
          <w:trHeight w:val="255"/>
        </w:trPr>
        <w:tc>
          <w:tcPr>
            <w:tcW w:w="2985" w:type="pct"/>
            <w:tcBorders>
              <w:bottom w:val="double" w:sz="4" w:space="0" w:color="auto"/>
              <w:right w:val="nil"/>
            </w:tcBorders>
            <w:noWrap/>
            <w:hideMark/>
          </w:tcPr>
          <w:p w14:paraId="46A26DD1" w14:textId="77777777" w:rsidR="00186810" w:rsidRPr="00410F7C" w:rsidRDefault="00186810" w:rsidP="003C546E">
            <w:pPr>
              <w:pStyle w:val="TableText"/>
              <w:rPr>
                <w:b/>
              </w:rPr>
            </w:pPr>
            <w:r w:rsidRPr="000A0646">
              <w:rPr>
                <w:b/>
              </w:rPr>
              <w:t>ICER per couple that is genetically confirmed as being at risk of having a fetus affected by Hb Bart’s</w:t>
            </w:r>
          </w:p>
        </w:tc>
        <w:tc>
          <w:tcPr>
            <w:tcW w:w="672" w:type="pct"/>
            <w:tcBorders>
              <w:left w:val="nil"/>
              <w:bottom w:val="double" w:sz="4" w:space="0" w:color="auto"/>
              <w:right w:val="nil"/>
            </w:tcBorders>
            <w:noWrap/>
            <w:hideMark/>
          </w:tcPr>
          <w:p w14:paraId="605BBBB2" w14:textId="77777777" w:rsidR="00186810" w:rsidRPr="009E6963" w:rsidRDefault="00186810" w:rsidP="003C546E">
            <w:pPr>
              <w:pStyle w:val="TableText"/>
              <w:jc w:val="center"/>
              <w:rPr>
                <w:b/>
              </w:rPr>
            </w:pPr>
            <w:r w:rsidRPr="0085496C">
              <w:rPr>
                <w:b/>
                <w:color w:val="FFFFFF" w:themeColor="background1"/>
              </w:rPr>
              <w:t>-</w:t>
            </w:r>
          </w:p>
        </w:tc>
        <w:tc>
          <w:tcPr>
            <w:tcW w:w="672" w:type="pct"/>
            <w:tcBorders>
              <w:left w:val="nil"/>
              <w:bottom w:val="double" w:sz="4" w:space="0" w:color="auto"/>
            </w:tcBorders>
            <w:noWrap/>
            <w:hideMark/>
          </w:tcPr>
          <w:p w14:paraId="3A3C9486" w14:textId="77777777" w:rsidR="00186810" w:rsidRPr="009E6963" w:rsidRDefault="00186810" w:rsidP="003C546E">
            <w:pPr>
              <w:pStyle w:val="TableText"/>
              <w:jc w:val="center"/>
              <w:rPr>
                <w:rFonts w:ascii="Times New Roman" w:hAnsi="Times New Roman" w:cs="Times New Roman"/>
                <w:b/>
              </w:rPr>
            </w:pPr>
            <w:r w:rsidRPr="0085496C">
              <w:rPr>
                <w:b/>
                <w:color w:val="FFFFFF" w:themeColor="background1"/>
              </w:rPr>
              <w:t>-</w:t>
            </w:r>
          </w:p>
        </w:tc>
        <w:tc>
          <w:tcPr>
            <w:tcW w:w="671" w:type="pct"/>
            <w:tcBorders>
              <w:bottom w:val="double" w:sz="4" w:space="0" w:color="auto"/>
            </w:tcBorders>
            <w:noWrap/>
            <w:hideMark/>
          </w:tcPr>
          <w:p w14:paraId="411AB1FF" w14:textId="77777777" w:rsidR="00186810" w:rsidRPr="009E6963" w:rsidRDefault="00186810" w:rsidP="003C546E">
            <w:pPr>
              <w:pStyle w:val="TableText"/>
              <w:jc w:val="center"/>
              <w:rPr>
                <w:b/>
              </w:rPr>
            </w:pPr>
            <w:r w:rsidRPr="009E6963">
              <w:rPr>
                <w:b/>
              </w:rPr>
              <w:t>$26,517</w:t>
            </w:r>
          </w:p>
        </w:tc>
      </w:tr>
      <w:tr w:rsidR="00186810" w:rsidRPr="00410F7C" w14:paraId="0448B00C" w14:textId="77777777" w:rsidTr="003C546E">
        <w:trPr>
          <w:trHeight w:val="255"/>
        </w:trPr>
        <w:tc>
          <w:tcPr>
            <w:tcW w:w="2985" w:type="pct"/>
            <w:tcBorders>
              <w:bottom w:val="single" w:sz="4" w:space="0" w:color="auto"/>
            </w:tcBorders>
            <w:noWrap/>
            <w:hideMark/>
          </w:tcPr>
          <w:p w14:paraId="6FE50310" w14:textId="77777777" w:rsidR="00186810" w:rsidRPr="00410F7C" w:rsidRDefault="00186810" w:rsidP="003C546E">
            <w:pPr>
              <w:pStyle w:val="TableText"/>
            </w:pPr>
            <w:r w:rsidRPr="001A22F0">
              <w:t>Couples identified as being at risk of having a fetus affected by Hb Bart’s</w:t>
            </w:r>
          </w:p>
        </w:tc>
        <w:tc>
          <w:tcPr>
            <w:tcW w:w="672" w:type="pct"/>
            <w:tcBorders>
              <w:bottom w:val="single" w:sz="4" w:space="0" w:color="auto"/>
            </w:tcBorders>
            <w:noWrap/>
          </w:tcPr>
          <w:p w14:paraId="3FB36EC7" w14:textId="77777777" w:rsidR="00186810" w:rsidRPr="00410F7C" w:rsidRDefault="00186810" w:rsidP="003C546E">
            <w:pPr>
              <w:pStyle w:val="TableText"/>
              <w:jc w:val="center"/>
            </w:pPr>
            <w:r w:rsidRPr="00DA5749">
              <w:t>0.0212</w:t>
            </w:r>
          </w:p>
        </w:tc>
        <w:tc>
          <w:tcPr>
            <w:tcW w:w="672" w:type="pct"/>
            <w:tcBorders>
              <w:bottom w:val="single" w:sz="4" w:space="0" w:color="auto"/>
            </w:tcBorders>
            <w:noWrap/>
          </w:tcPr>
          <w:p w14:paraId="61ADACC5" w14:textId="77777777" w:rsidR="00186810" w:rsidRPr="00410F7C" w:rsidRDefault="00186810" w:rsidP="003C546E">
            <w:pPr>
              <w:pStyle w:val="TableText"/>
              <w:jc w:val="center"/>
            </w:pPr>
            <w:r w:rsidRPr="00DA5749">
              <w:t>0.0157</w:t>
            </w:r>
          </w:p>
        </w:tc>
        <w:tc>
          <w:tcPr>
            <w:tcW w:w="671" w:type="pct"/>
            <w:tcBorders>
              <w:bottom w:val="single" w:sz="4" w:space="0" w:color="auto"/>
            </w:tcBorders>
            <w:noWrap/>
          </w:tcPr>
          <w:p w14:paraId="5EC9F1A8" w14:textId="77777777" w:rsidR="00186810" w:rsidRPr="00410F7C" w:rsidRDefault="00186810" w:rsidP="003C546E">
            <w:pPr>
              <w:pStyle w:val="TableText"/>
              <w:jc w:val="center"/>
            </w:pPr>
            <w:r w:rsidRPr="00DA5749">
              <w:t>0.0055</w:t>
            </w:r>
          </w:p>
        </w:tc>
      </w:tr>
      <w:tr w:rsidR="00186810" w:rsidRPr="000A0646" w14:paraId="06322D0A" w14:textId="77777777" w:rsidTr="003C546E">
        <w:trPr>
          <w:trHeight w:val="255"/>
        </w:trPr>
        <w:tc>
          <w:tcPr>
            <w:tcW w:w="2985" w:type="pct"/>
            <w:tcBorders>
              <w:bottom w:val="double" w:sz="4" w:space="0" w:color="auto"/>
              <w:right w:val="nil"/>
            </w:tcBorders>
            <w:noWrap/>
            <w:hideMark/>
          </w:tcPr>
          <w:p w14:paraId="7396730E" w14:textId="77777777" w:rsidR="00186810" w:rsidRPr="0098067B" w:rsidRDefault="00186810" w:rsidP="003C546E">
            <w:pPr>
              <w:pStyle w:val="TableText"/>
              <w:rPr>
                <w:b/>
              </w:rPr>
            </w:pPr>
            <w:r w:rsidRPr="000A0646">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6DC8D0DA" w14:textId="77777777" w:rsidR="00186810" w:rsidRPr="005A1FC4" w:rsidRDefault="00186810" w:rsidP="003C546E">
            <w:pPr>
              <w:pStyle w:val="TableText"/>
              <w:jc w:val="center"/>
              <w:rPr>
                <w:b/>
              </w:rPr>
            </w:pPr>
            <w:r w:rsidRPr="0085496C">
              <w:rPr>
                <w:b/>
                <w:color w:val="FFFFFF" w:themeColor="background1"/>
              </w:rPr>
              <w:t>-</w:t>
            </w:r>
          </w:p>
        </w:tc>
        <w:tc>
          <w:tcPr>
            <w:tcW w:w="672" w:type="pct"/>
            <w:tcBorders>
              <w:left w:val="nil"/>
              <w:bottom w:val="double" w:sz="4" w:space="0" w:color="auto"/>
            </w:tcBorders>
            <w:noWrap/>
          </w:tcPr>
          <w:p w14:paraId="4C012345" w14:textId="77777777" w:rsidR="00186810" w:rsidRPr="005A1FC4" w:rsidRDefault="00186810" w:rsidP="003C546E">
            <w:pPr>
              <w:pStyle w:val="TableText"/>
              <w:jc w:val="center"/>
              <w:rPr>
                <w:rFonts w:ascii="Times New Roman" w:hAnsi="Times New Roman" w:cs="Times New Roman"/>
                <w:b/>
              </w:rPr>
            </w:pPr>
            <w:r w:rsidRPr="0085496C">
              <w:rPr>
                <w:b/>
                <w:color w:val="FFFFFF" w:themeColor="background1"/>
              </w:rPr>
              <w:t>-</w:t>
            </w:r>
          </w:p>
        </w:tc>
        <w:tc>
          <w:tcPr>
            <w:tcW w:w="671" w:type="pct"/>
            <w:tcBorders>
              <w:bottom w:val="double" w:sz="4" w:space="0" w:color="auto"/>
            </w:tcBorders>
            <w:noWrap/>
          </w:tcPr>
          <w:p w14:paraId="62B2F371" w14:textId="77777777" w:rsidR="00186810" w:rsidRPr="005A1FC4" w:rsidRDefault="00186810" w:rsidP="003C546E">
            <w:pPr>
              <w:pStyle w:val="TableText"/>
              <w:jc w:val="center"/>
              <w:rPr>
                <w:b/>
              </w:rPr>
            </w:pPr>
            <w:r w:rsidRPr="000A0646">
              <w:rPr>
                <w:b/>
              </w:rPr>
              <w:t>$102,566</w:t>
            </w:r>
          </w:p>
        </w:tc>
      </w:tr>
      <w:tr w:rsidR="00186810" w:rsidRPr="00410F7C" w14:paraId="11BBC5B1" w14:textId="77777777" w:rsidTr="003C546E">
        <w:trPr>
          <w:trHeight w:val="255"/>
        </w:trPr>
        <w:tc>
          <w:tcPr>
            <w:tcW w:w="2985" w:type="pct"/>
            <w:tcBorders>
              <w:top w:val="double" w:sz="4" w:space="0" w:color="auto"/>
              <w:bottom w:val="single" w:sz="4" w:space="0" w:color="auto"/>
            </w:tcBorders>
            <w:noWrap/>
            <w:hideMark/>
          </w:tcPr>
          <w:p w14:paraId="4DF69D31" w14:textId="77777777" w:rsidR="00186810" w:rsidRPr="00410F7C" w:rsidRDefault="00186810" w:rsidP="003C546E">
            <w:pPr>
              <w:pStyle w:val="TableText"/>
            </w:pPr>
            <w:r w:rsidRPr="001A22F0">
              <w:t>Couples with genetically confirmed status</w:t>
            </w:r>
          </w:p>
        </w:tc>
        <w:tc>
          <w:tcPr>
            <w:tcW w:w="672" w:type="pct"/>
            <w:tcBorders>
              <w:top w:val="double" w:sz="4" w:space="0" w:color="auto"/>
              <w:bottom w:val="single" w:sz="4" w:space="0" w:color="auto"/>
            </w:tcBorders>
            <w:noWrap/>
            <w:hideMark/>
          </w:tcPr>
          <w:p w14:paraId="08F9425C" w14:textId="77777777" w:rsidR="00186810" w:rsidRPr="00410F7C" w:rsidRDefault="00186810" w:rsidP="003C546E">
            <w:pPr>
              <w:pStyle w:val="TableText"/>
              <w:jc w:val="center"/>
            </w:pPr>
            <w:r w:rsidRPr="002D316E">
              <w:t>0.9989</w:t>
            </w:r>
          </w:p>
        </w:tc>
        <w:tc>
          <w:tcPr>
            <w:tcW w:w="672" w:type="pct"/>
            <w:tcBorders>
              <w:top w:val="double" w:sz="4" w:space="0" w:color="auto"/>
              <w:bottom w:val="single" w:sz="4" w:space="0" w:color="auto"/>
            </w:tcBorders>
            <w:noWrap/>
            <w:hideMark/>
          </w:tcPr>
          <w:p w14:paraId="5D7389EE" w14:textId="77777777" w:rsidR="00186810" w:rsidRPr="00410F7C" w:rsidRDefault="00186810" w:rsidP="003C546E">
            <w:pPr>
              <w:pStyle w:val="TableText"/>
              <w:jc w:val="center"/>
            </w:pPr>
            <w:r w:rsidRPr="002D316E">
              <w:t>0.0000</w:t>
            </w:r>
          </w:p>
        </w:tc>
        <w:tc>
          <w:tcPr>
            <w:tcW w:w="671" w:type="pct"/>
            <w:tcBorders>
              <w:top w:val="double" w:sz="4" w:space="0" w:color="auto"/>
              <w:bottom w:val="single" w:sz="4" w:space="0" w:color="auto"/>
            </w:tcBorders>
            <w:noWrap/>
            <w:hideMark/>
          </w:tcPr>
          <w:p w14:paraId="347F4661" w14:textId="77777777" w:rsidR="00186810" w:rsidRPr="00410F7C" w:rsidRDefault="00186810" w:rsidP="003C546E">
            <w:pPr>
              <w:pStyle w:val="TableText"/>
              <w:jc w:val="center"/>
            </w:pPr>
            <w:r w:rsidRPr="002D316E">
              <w:t>0.9989</w:t>
            </w:r>
          </w:p>
        </w:tc>
      </w:tr>
      <w:tr w:rsidR="00186810" w:rsidRPr="00410F7C" w14:paraId="56EDE4A1" w14:textId="77777777" w:rsidTr="003C546E">
        <w:trPr>
          <w:trHeight w:val="255"/>
        </w:trPr>
        <w:tc>
          <w:tcPr>
            <w:tcW w:w="2985" w:type="pct"/>
            <w:tcBorders>
              <w:bottom w:val="double" w:sz="4" w:space="0" w:color="auto"/>
              <w:right w:val="nil"/>
            </w:tcBorders>
            <w:noWrap/>
            <w:hideMark/>
          </w:tcPr>
          <w:p w14:paraId="6B9BD198" w14:textId="77777777" w:rsidR="00186810" w:rsidRPr="00410F7C" w:rsidRDefault="00186810" w:rsidP="003C546E">
            <w:pPr>
              <w:pStyle w:val="TableText"/>
              <w:rPr>
                <w:b/>
              </w:rPr>
            </w:pPr>
            <w:r w:rsidRPr="000A0646">
              <w:rPr>
                <w:b/>
              </w:rPr>
              <w:t>ICER per couple with genetically confirmed status</w:t>
            </w:r>
          </w:p>
        </w:tc>
        <w:tc>
          <w:tcPr>
            <w:tcW w:w="672" w:type="pct"/>
            <w:tcBorders>
              <w:left w:val="nil"/>
              <w:bottom w:val="double" w:sz="4" w:space="0" w:color="auto"/>
              <w:right w:val="nil"/>
            </w:tcBorders>
            <w:noWrap/>
            <w:hideMark/>
          </w:tcPr>
          <w:p w14:paraId="53C49A32" w14:textId="77777777" w:rsidR="00186810" w:rsidRPr="000F4B9F" w:rsidRDefault="00186810" w:rsidP="003C546E">
            <w:pPr>
              <w:pStyle w:val="TableText"/>
              <w:jc w:val="center"/>
              <w:rPr>
                <w:b/>
              </w:rPr>
            </w:pPr>
            <w:r w:rsidRPr="000F4B9F">
              <w:rPr>
                <w:b/>
                <w:color w:val="FFFFFF" w:themeColor="background1"/>
              </w:rPr>
              <w:t>-</w:t>
            </w:r>
          </w:p>
        </w:tc>
        <w:tc>
          <w:tcPr>
            <w:tcW w:w="672" w:type="pct"/>
            <w:tcBorders>
              <w:left w:val="nil"/>
              <w:bottom w:val="double" w:sz="4" w:space="0" w:color="auto"/>
            </w:tcBorders>
            <w:noWrap/>
            <w:hideMark/>
          </w:tcPr>
          <w:p w14:paraId="385C523F" w14:textId="77777777" w:rsidR="00186810" w:rsidRPr="000F4B9F" w:rsidRDefault="00186810" w:rsidP="003C546E">
            <w:pPr>
              <w:pStyle w:val="TableText"/>
              <w:jc w:val="center"/>
              <w:rPr>
                <w:rFonts w:ascii="Times New Roman" w:hAnsi="Times New Roman" w:cs="Times New Roman"/>
                <w:b/>
              </w:rPr>
            </w:pPr>
            <w:r w:rsidRPr="000F4B9F">
              <w:rPr>
                <w:b/>
                <w:color w:val="FFFFFF" w:themeColor="background1"/>
              </w:rPr>
              <w:t>-</w:t>
            </w:r>
          </w:p>
        </w:tc>
        <w:tc>
          <w:tcPr>
            <w:tcW w:w="671" w:type="pct"/>
            <w:tcBorders>
              <w:bottom w:val="double" w:sz="4" w:space="0" w:color="auto"/>
            </w:tcBorders>
            <w:noWrap/>
            <w:hideMark/>
          </w:tcPr>
          <w:p w14:paraId="48CC0BCF" w14:textId="77777777" w:rsidR="00186810" w:rsidRPr="000F4B9F" w:rsidRDefault="00186810" w:rsidP="003C546E">
            <w:pPr>
              <w:pStyle w:val="TableText"/>
              <w:jc w:val="center"/>
              <w:rPr>
                <w:b/>
              </w:rPr>
            </w:pPr>
            <w:r w:rsidRPr="000F4B9F">
              <w:rPr>
                <w:b/>
              </w:rPr>
              <w:t>$562</w:t>
            </w:r>
          </w:p>
        </w:tc>
      </w:tr>
      <w:tr w:rsidR="00186810" w:rsidRPr="00410F7C" w14:paraId="4CDE25DD" w14:textId="77777777" w:rsidTr="003C546E">
        <w:trPr>
          <w:trHeight w:val="255"/>
        </w:trPr>
        <w:tc>
          <w:tcPr>
            <w:tcW w:w="2985" w:type="pct"/>
            <w:tcBorders>
              <w:top w:val="double" w:sz="4" w:space="0" w:color="auto"/>
              <w:bottom w:val="single" w:sz="4" w:space="0" w:color="auto"/>
            </w:tcBorders>
            <w:noWrap/>
          </w:tcPr>
          <w:p w14:paraId="7F68EBEC" w14:textId="77777777" w:rsidR="00186810" w:rsidRPr="00057695" w:rsidRDefault="00186810" w:rsidP="003C546E">
            <w:pPr>
              <w:pStyle w:val="TableText"/>
              <w:rPr>
                <w:highlight w:val="green"/>
              </w:rPr>
            </w:pPr>
            <w:r w:rsidRPr="001A22F0">
              <w:t>Cases of Hb Bart’s (i.e. late termination, stillbirth or die shortly after birth)</w:t>
            </w:r>
          </w:p>
        </w:tc>
        <w:tc>
          <w:tcPr>
            <w:tcW w:w="672" w:type="pct"/>
            <w:tcBorders>
              <w:top w:val="double" w:sz="4" w:space="0" w:color="auto"/>
              <w:bottom w:val="single" w:sz="4" w:space="0" w:color="auto"/>
            </w:tcBorders>
            <w:noWrap/>
          </w:tcPr>
          <w:p w14:paraId="772FAB1A" w14:textId="77777777" w:rsidR="00186810" w:rsidRPr="00410F7C" w:rsidRDefault="00186810" w:rsidP="003C546E">
            <w:pPr>
              <w:pStyle w:val="TableText"/>
              <w:jc w:val="center"/>
            </w:pPr>
            <w:r w:rsidRPr="003D0FD0">
              <w:t>0.0003</w:t>
            </w:r>
          </w:p>
        </w:tc>
        <w:tc>
          <w:tcPr>
            <w:tcW w:w="672" w:type="pct"/>
            <w:tcBorders>
              <w:top w:val="double" w:sz="4" w:space="0" w:color="auto"/>
              <w:bottom w:val="single" w:sz="4" w:space="0" w:color="auto"/>
            </w:tcBorders>
            <w:noWrap/>
          </w:tcPr>
          <w:p w14:paraId="7AC3F3B6" w14:textId="77777777" w:rsidR="00186810" w:rsidRPr="00410F7C" w:rsidRDefault="00186810" w:rsidP="003C546E">
            <w:pPr>
              <w:pStyle w:val="TableText"/>
              <w:jc w:val="center"/>
            </w:pPr>
            <w:r w:rsidRPr="003D0FD0">
              <w:t>0.0055</w:t>
            </w:r>
          </w:p>
        </w:tc>
        <w:tc>
          <w:tcPr>
            <w:tcW w:w="671" w:type="pct"/>
            <w:tcBorders>
              <w:top w:val="double" w:sz="4" w:space="0" w:color="auto"/>
              <w:bottom w:val="single" w:sz="4" w:space="0" w:color="auto"/>
            </w:tcBorders>
            <w:noWrap/>
          </w:tcPr>
          <w:p w14:paraId="4A698347" w14:textId="77777777" w:rsidR="00186810" w:rsidRPr="00410F7C" w:rsidRDefault="00186810" w:rsidP="003C546E">
            <w:pPr>
              <w:pStyle w:val="TableText"/>
              <w:jc w:val="center"/>
            </w:pPr>
            <w:r w:rsidRPr="003D0FD0">
              <w:t>-0.0052</w:t>
            </w:r>
          </w:p>
        </w:tc>
      </w:tr>
      <w:tr w:rsidR="00186810" w:rsidRPr="00410F7C" w14:paraId="53CFEFAD" w14:textId="77777777" w:rsidTr="003C546E">
        <w:trPr>
          <w:trHeight w:val="255"/>
        </w:trPr>
        <w:tc>
          <w:tcPr>
            <w:tcW w:w="2985" w:type="pct"/>
            <w:tcBorders>
              <w:bottom w:val="single" w:sz="4" w:space="0" w:color="auto"/>
              <w:right w:val="nil"/>
            </w:tcBorders>
            <w:noWrap/>
          </w:tcPr>
          <w:p w14:paraId="015F7EC8" w14:textId="77777777" w:rsidR="00186810" w:rsidRPr="00057695" w:rsidRDefault="00186810" w:rsidP="003C546E">
            <w:pPr>
              <w:pStyle w:val="TableText"/>
              <w:rPr>
                <w:b/>
                <w:highlight w:val="green"/>
              </w:rPr>
            </w:pPr>
            <w:r w:rsidRPr="000A0646">
              <w:rPr>
                <w:b/>
              </w:rPr>
              <w:t>ICER per avoided case of Hb Bart’s that is terminated late, stillborn or dies shortly after birth</w:t>
            </w:r>
          </w:p>
        </w:tc>
        <w:tc>
          <w:tcPr>
            <w:tcW w:w="672" w:type="pct"/>
            <w:tcBorders>
              <w:left w:val="nil"/>
              <w:bottom w:val="single" w:sz="4" w:space="0" w:color="auto"/>
              <w:right w:val="nil"/>
            </w:tcBorders>
            <w:noWrap/>
          </w:tcPr>
          <w:p w14:paraId="478F7CEC" w14:textId="77777777" w:rsidR="00186810" w:rsidRPr="005D5C97" w:rsidRDefault="00186810" w:rsidP="003C546E">
            <w:pPr>
              <w:pStyle w:val="TableText"/>
              <w:jc w:val="center"/>
              <w:rPr>
                <w:b/>
              </w:rPr>
            </w:pPr>
            <w:r w:rsidRPr="00814E5F">
              <w:rPr>
                <w:b/>
                <w:color w:val="FFFFFF" w:themeColor="background1"/>
              </w:rPr>
              <w:t>-</w:t>
            </w:r>
          </w:p>
        </w:tc>
        <w:tc>
          <w:tcPr>
            <w:tcW w:w="672" w:type="pct"/>
            <w:tcBorders>
              <w:left w:val="nil"/>
              <w:bottom w:val="single" w:sz="4" w:space="0" w:color="auto"/>
            </w:tcBorders>
            <w:noWrap/>
          </w:tcPr>
          <w:p w14:paraId="66B84166" w14:textId="77777777" w:rsidR="00186810" w:rsidRPr="005D5C97" w:rsidRDefault="00186810" w:rsidP="003C546E">
            <w:pPr>
              <w:pStyle w:val="TableText"/>
              <w:jc w:val="center"/>
              <w:rPr>
                <w:rFonts w:ascii="Times New Roman" w:hAnsi="Times New Roman" w:cs="Times New Roman"/>
                <w:b/>
              </w:rPr>
            </w:pPr>
            <w:r w:rsidRPr="00814E5F">
              <w:rPr>
                <w:b/>
                <w:color w:val="FFFFFF" w:themeColor="background1"/>
              </w:rPr>
              <w:t>-</w:t>
            </w:r>
          </w:p>
        </w:tc>
        <w:tc>
          <w:tcPr>
            <w:tcW w:w="671" w:type="pct"/>
            <w:tcBorders>
              <w:bottom w:val="single" w:sz="4" w:space="0" w:color="auto"/>
            </w:tcBorders>
            <w:noWrap/>
          </w:tcPr>
          <w:p w14:paraId="45B1DF4A" w14:textId="77777777" w:rsidR="00186810" w:rsidRPr="005D5C97" w:rsidRDefault="00186810" w:rsidP="003C546E">
            <w:pPr>
              <w:pStyle w:val="TableText"/>
              <w:jc w:val="center"/>
              <w:rPr>
                <w:b/>
              </w:rPr>
            </w:pPr>
            <w:r w:rsidRPr="005D5C97">
              <w:rPr>
                <w:b/>
              </w:rPr>
              <w:t>$107,839</w:t>
            </w:r>
          </w:p>
        </w:tc>
      </w:tr>
    </w:tbl>
    <w:p w14:paraId="5C372808" w14:textId="2D3F87E5" w:rsidR="00186810" w:rsidRDefault="00186810" w:rsidP="00C639A7">
      <w:pPr>
        <w:pStyle w:val="Tablenotes"/>
      </w:pPr>
      <w:r w:rsidRPr="00410F7C">
        <w:t>ICER = Incremental Cost Effectiveness Ratio</w:t>
      </w:r>
    </w:p>
    <w:p w14:paraId="4E0E57DE" w14:textId="4B079B57" w:rsidR="00186810" w:rsidRDefault="00186810" w:rsidP="00186810">
      <w:r>
        <w:t>By enriching the risk of α thalassaemia in the population eligible for testing (i.e. requiring screening in both parents prior to genetic testing), improvements in the cost-effectiveness of deletion testing are observed.</w:t>
      </w:r>
    </w:p>
    <w:p w14:paraId="009D6DE8" w14:textId="1ABF0BE6" w:rsidR="00186810" w:rsidRPr="006F6129" w:rsidRDefault="00470F12" w:rsidP="00F50BB1">
      <w:pPr>
        <w:pStyle w:val="Heading1"/>
        <w:numPr>
          <w:ilvl w:val="0"/>
          <w:numId w:val="0"/>
        </w:numPr>
        <w:rPr>
          <w:rFonts w:ascii="Times New Roman" w:hAnsi="Times New Roman"/>
          <w:i/>
        </w:rPr>
      </w:pPr>
      <w:r w:rsidRPr="006F6129">
        <w:rPr>
          <w:rFonts w:ascii="Times New Roman" w:hAnsi="Times New Roman"/>
          <w:i/>
        </w:rPr>
        <w:t>Revised Economic Evaluation Post-ESC</w:t>
      </w:r>
    </w:p>
    <w:p w14:paraId="45CFDBAB" w14:textId="68EF1C1B" w:rsidR="00C67E29" w:rsidRDefault="00816546" w:rsidP="00470F12">
      <w:r>
        <w:t xml:space="preserve">Additional economic analyses (including sensitivity and scenario analyses) were conducted to reflect an increase in the proposed fee from $100 (for GAP-PCR testing) to $200. This was in response to the comment raised by ESC that </w:t>
      </w:r>
      <w:r>
        <w:rPr>
          <w:color w:val="000000"/>
        </w:rPr>
        <w:t xml:space="preserve">the RCPA QAP 2018 Alpha Thalassemia Program indicated </w:t>
      </w:r>
      <w:r w:rsidRPr="00816546">
        <w:t>indicated that more labs are moving towards using MLPA, which is associated with a higher fee.</w:t>
      </w:r>
    </w:p>
    <w:p w14:paraId="5B563DA7" w14:textId="4F251C62" w:rsidR="00816546" w:rsidRDefault="00C67E29" w:rsidP="004E5F31">
      <w:pPr>
        <w:spacing w:before="240"/>
      </w:pPr>
      <w:r>
        <w:t xml:space="preserve">No changes were made to the assumptions around the </w:t>
      </w:r>
      <w:r w:rsidR="00435F1A">
        <w:t>ability</w:t>
      </w:r>
      <w:r>
        <w:t xml:space="preserve"> of the test</w:t>
      </w:r>
      <w:r w:rsidR="00435F1A">
        <w:t xml:space="preserve"> to detect deletions (see Figure 3</w:t>
      </w:r>
      <w:r w:rsidR="006F6129">
        <w:t xml:space="preserve"> </w:t>
      </w:r>
      <w:r w:rsidR="004E5F31">
        <w:t>above).</w:t>
      </w:r>
    </w:p>
    <w:p w14:paraId="7E08A854" w14:textId="648AECC3" w:rsidR="00D434B4" w:rsidRDefault="00D434B4" w:rsidP="00D434B4">
      <w:r>
        <w:lastRenderedPageBreak/>
        <w:t>The respecified incremental cost-effectiveness ratios for couples that are planning pregnancy are presented in Table 1</w:t>
      </w:r>
      <w:r w:rsidR="00DD7372">
        <w:t>3</w:t>
      </w:r>
    </w:p>
    <w:p w14:paraId="399054CC" w14:textId="72EC8F1F" w:rsidR="00D434B4" w:rsidRPr="00492A3A" w:rsidRDefault="00D434B4" w:rsidP="00492A3A">
      <w:pPr>
        <w:spacing w:before="240"/>
        <w:rPr>
          <w:rFonts w:ascii="Arial Narrow" w:hAnsi="Arial Narrow"/>
          <w:b/>
          <w:sz w:val="20"/>
        </w:rPr>
      </w:pPr>
      <w:bookmarkStart w:id="24" w:name="_Ref3365526"/>
      <w:r w:rsidRPr="00492A3A">
        <w:rPr>
          <w:rFonts w:ascii="Arial Narrow" w:hAnsi="Arial Narrow"/>
          <w:b/>
          <w:sz w:val="20"/>
        </w:rPr>
        <w:t>Table1</w:t>
      </w:r>
      <w:r w:rsidR="00DD7372" w:rsidRPr="00492A3A">
        <w:rPr>
          <w:rFonts w:ascii="Arial Narrow" w:hAnsi="Arial Narrow"/>
          <w:b/>
          <w:sz w:val="20"/>
        </w:rPr>
        <w:t>3</w:t>
      </w:r>
      <w:bookmarkEnd w:id="24"/>
      <w:r w:rsidRPr="00492A3A">
        <w:rPr>
          <w:rFonts w:ascii="Arial Narrow" w:hAnsi="Arial Narrow"/>
          <w:b/>
          <w:sz w:val="20"/>
        </w:rPr>
        <w:tab/>
        <w:t>Incremental cost-effectiveness in couples planning a pregnancy</w:t>
      </w:r>
    </w:p>
    <w:tbl>
      <w:tblPr>
        <w:tblStyle w:val="TableGrid1"/>
        <w:tblW w:w="5000" w:type="pct"/>
        <w:tblLayout w:type="fixed"/>
        <w:tblLook w:val="04A0" w:firstRow="1" w:lastRow="0" w:firstColumn="1" w:lastColumn="0" w:noHBand="0" w:noVBand="1"/>
        <w:tblCaption w:val="Incremental cost-effectiveness in couples planning a pregnancy"/>
        <w:tblDescription w:val="Incremental cost-effectiveness in couples planning a pregnancy"/>
      </w:tblPr>
      <w:tblGrid>
        <w:gridCol w:w="5382"/>
        <w:gridCol w:w="1212"/>
        <w:gridCol w:w="1212"/>
        <w:gridCol w:w="1210"/>
      </w:tblGrid>
      <w:tr w:rsidR="00D434B4" w:rsidRPr="00410F7C" w14:paraId="4997216C"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7111E5AE" w14:textId="77777777" w:rsidR="00D434B4" w:rsidRPr="00410F7C" w:rsidRDefault="00D434B4" w:rsidP="003C546E">
            <w:pPr>
              <w:pStyle w:val="TableHeading"/>
            </w:pPr>
          </w:p>
        </w:tc>
        <w:tc>
          <w:tcPr>
            <w:tcW w:w="672" w:type="pct"/>
            <w:noWrap/>
            <w:hideMark/>
          </w:tcPr>
          <w:p w14:paraId="56A540AA" w14:textId="77777777" w:rsidR="00D434B4" w:rsidRPr="00410F7C" w:rsidRDefault="00D434B4" w:rsidP="003C546E">
            <w:pPr>
              <w:pStyle w:val="TableHeading"/>
            </w:pPr>
            <w:r w:rsidRPr="00410F7C">
              <w:t>Intervention</w:t>
            </w:r>
          </w:p>
        </w:tc>
        <w:tc>
          <w:tcPr>
            <w:tcW w:w="672" w:type="pct"/>
            <w:noWrap/>
            <w:hideMark/>
          </w:tcPr>
          <w:p w14:paraId="1CAEAEB9" w14:textId="77777777" w:rsidR="00D434B4" w:rsidRPr="00410F7C" w:rsidRDefault="00D434B4" w:rsidP="003C546E">
            <w:pPr>
              <w:pStyle w:val="TableHeading"/>
            </w:pPr>
            <w:r w:rsidRPr="00410F7C">
              <w:t>Comparator</w:t>
            </w:r>
          </w:p>
        </w:tc>
        <w:tc>
          <w:tcPr>
            <w:tcW w:w="671" w:type="pct"/>
            <w:noWrap/>
            <w:hideMark/>
          </w:tcPr>
          <w:p w14:paraId="7471B76F" w14:textId="77777777" w:rsidR="00D434B4" w:rsidRPr="00410F7C" w:rsidRDefault="00D434B4" w:rsidP="003C546E">
            <w:pPr>
              <w:pStyle w:val="TableHeading"/>
            </w:pPr>
            <w:r w:rsidRPr="00410F7C">
              <w:t>Increment</w:t>
            </w:r>
          </w:p>
        </w:tc>
      </w:tr>
      <w:tr w:rsidR="00D434B4" w:rsidRPr="00410F7C" w14:paraId="0C19DD7E" w14:textId="77777777" w:rsidTr="003C546E">
        <w:trPr>
          <w:trHeight w:val="255"/>
        </w:trPr>
        <w:tc>
          <w:tcPr>
            <w:tcW w:w="2985" w:type="pct"/>
            <w:noWrap/>
            <w:hideMark/>
          </w:tcPr>
          <w:p w14:paraId="45EA0F11" w14:textId="77777777" w:rsidR="00D434B4" w:rsidRPr="00410F7C" w:rsidRDefault="00D434B4" w:rsidP="003C546E">
            <w:pPr>
              <w:pStyle w:val="TableText"/>
            </w:pPr>
            <w:r w:rsidRPr="00410F7C">
              <w:t>Total cost</w:t>
            </w:r>
          </w:p>
        </w:tc>
        <w:tc>
          <w:tcPr>
            <w:tcW w:w="672" w:type="pct"/>
            <w:noWrap/>
          </w:tcPr>
          <w:p w14:paraId="3F50C90E" w14:textId="77777777" w:rsidR="00D434B4" w:rsidRPr="00410F7C" w:rsidRDefault="00D434B4" w:rsidP="003C546E">
            <w:pPr>
              <w:pStyle w:val="TableText"/>
              <w:jc w:val="right"/>
            </w:pPr>
            <w:r w:rsidRPr="00881BF9">
              <w:t>$695</w:t>
            </w:r>
          </w:p>
        </w:tc>
        <w:tc>
          <w:tcPr>
            <w:tcW w:w="672" w:type="pct"/>
            <w:noWrap/>
          </w:tcPr>
          <w:p w14:paraId="193DFBAD" w14:textId="77777777" w:rsidR="00D434B4" w:rsidRPr="00410F7C" w:rsidRDefault="00D434B4" w:rsidP="003C546E">
            <w:pPr>
              <w:pStyle w:val="TableText"/>
              <w:jc w:val="right"/>
            </w:pPr>
            <w:r w:rsidRPr="00881BF9">
              <w:t>$139</w:t>
            </w:r>
          </w:p>
        </w:tc>
        <w:tc>
          <w:tcPr>
            <w:tcW w:w="671" w:type="pct"/>
            <w:noWrap/>
          </w:tcPr>
          <w:p w14:paraId="79ECCA4D" w14:textId="77777777" w:rsidR="00D434B4" w:rsidRPr="00410F7C" w:rsidRDefault="00D434B4" w:rsidP="003C546E">
            <w:pPr>
              <w:pStyle w:val="TableText"/>
              <w:jc w:val="right"/>
            </w:pPr>
            <w:r w:rsidRPr="00881BF9">
              <w:t>$555</w:t>
            </w:r>
          </w:p>
        </w:tc>
      </w:tr>
      <w:tr w:rsidR="00D434B4" w:rsidRPr="00410F7C" w14:paraId="26B84460" w14:textId="77777777" w:rsidTr="003C546E">
        <w:trPr>
          <w:trHeight w:val="255"/>
        </w:trPr>
        <w:tc>
          <w:tcPr>
            <w:tcW w:w="2985" w:type="pct"/>
            <w:tcBorders>
              <w:bottom w:val="single" w:sz="4" w:space="0" w:color="auto"/>
            </w:tcBorders>
            <w:noWrap/>
            <w:hideMark/>
          </w:tcPr>
          <w:p w14:paraId="5752E571" w14:textId="77777777" w:rsidR="00D434B4" w:rsidRPr="00410F7C" w:rsidRDefault="00D434B4" w:rsidP="003C546E">
            <w:pPr>
              <w:pStyle w:val="TableText"/>
            </w:pPr>
            <w:r w:rsidRPr="007127F3">
              <w:t>Couples genetically confirmed as being at risk of having a fetus affected by Hb Bart’s</w:t>
            </w:r>
          </w:p>
        </w:tc>
        <w:tc>
          <w:tcPr>
            <w:tcW w:w="672" w:type="pct"/>
            <w:tcBorders>
              <w:bottom w:val="single" w:sz="4" w:space="0" w:color="auto"/>
            </w:tcBorders>
            <w:noWrap/>
          </w:tcPr>
          <w:p w14:paraId="22390282" w14:textId="77777777" w:rsidR="00D434B4" w:rsidRPr="00410F7C" w:rsidRDefault="00D434B4" w:rsidP="003C546E">
            <w:pPr>
              <w:pStyle w:val="TableText"/>
              <w:jc w:val="right"/>
            </w:pPr>
            <w:r w:rsidRPr="00881BF9">
              <w:t>0.0040</w:t>
            </w:r>
          </w:p>
        </w:tc>
        <w:tc>
          <w:tcPr>
            <w:tcW w:w="672" w:type="pct"/>
            <w:tcBorders>
              <w:bottom w:val="single" w:sz="4" w:space="0" w:color="auto"/>
            </w:tcBorders>
            <w:noWrap/>
          </w:tcPr>
          <w:p w14:paraId="002202A2" w14:textId="77777777" w:rsidR="00D434B4" w:rsidRPr="00410F7C" w:rsidRDefault="00D434B4" w:rsidP="003C546E">
            <w:pPr>
              <w:pStyle w:val="TableText"/>
              <w:jc w:val="right"/>
            </w:pPr>
            <w:r w:rsidRPr="00881BF9">
              <w:t>0.0000</w:t>
            </w:r>
          </w:p>
        </w:tc>
        <w:tc>
          <w:tcPr>
            <w:tcW w:w="671" w:type="pct"/>
            <w:tcBorders>
              <w:bottom w:val="single" w:sz="4" w:space="0" w:color="auto"/>
            </w:tcBorders>
            <w:noWrap/>
          </w:tcPr>
          <w:p w14:paraId="33CBA651" w14:textId="77777777" w:rsidR="00D434B4" w:rsidRPr="00410F7C" w:rsidRDefault="00D434B4" w:rsidP="003C546E">
            <w:pPr>
              <w:pStyle w:val="TableText"/>
              <w:jc w:val="right"/>
            </w:pPr>
            <w:r w:rsidRPr="00881BF9">
              <w:t>0.0040</w:t>
            </w:r>
          </w:p>
        </w:tc>
      </w:tr>
      <w:tr w:rsidR="00D434B4" w:rsidRPr="003C6769" w14:paraId="6D590E69" w14:textId="77777777" w:rsidTr="003C546E">
        <w:trPr>
          <w:trHeight w:val="255"/>
        </w:trPr>
        <w:tc>
          <w:tcPr>
            <w:tcW w:w="2985" w:type="pct"/>
            <w:tcBorders>
              <w:bottom w:val="double" w:sz="4" w:space="0" w:color="auto"/>
              <w:right w:val="nil"/>
            </w:tcBorders>
            <w:noWrap/>
            <w:hideMark/>
          </w:tcPr>
          <w:p w14:paraId="0623DBAA" w14:textId="77777777" w:rsidR="00D434B4" w:rsidRPr="003C6769" w:rsidRDefault="00D434B4" w:rsidP="003C546E">
            <w:pPr>
              <w:pStyle w:val="TableText"/>
              <w:rPr>
                <w:b/>
              </w:rPr>
            </w:pPr>
            <w:r w:rsidRPr="003C6769">
              <w:rPr>
                <w:b/>
              </w:rPr>
              <w:t>ICER per couple that is genetically confirmed as being at risk of having a fetus affected by Hb Bart’s</w:t>
            </w:r>
          </w:p>
        </w:tc>
        <w:tc>
          <w:tcPr>
            <w:tcW w:w="672" w:type="pct"/>
            <w:tcBorders>
              <w:left w:val="nil"/>
              <w:bottom w:val="double" w:sz="4" w:space="0" w:color="auto"/>
              <w:right w:val="nil"/>
            </w:tcBorders>
            <w:noWrap/>
          </w:tcPr>
          <w:p w14:paraId="28AEB27F"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51026C48" w14:textId="77777777" w:rsidR="00D434B4" w:rsidRPr="003C6769" w:rsidRDefault="00D434B4" w:rsidP="003C546E">
            <w:pPr>
              <w:pStyle w:val="TableText"/>
              <w:jc w:val="right"/>
              <w:rPr>
                <w:b/>
              </w:rPr>
            </w:pPr>
          </w:p>
        </w:tc>
        <w:tc>
          <w:tcPr>
            <w:tcW w:w="671" w:type="pct"/>
            <w:tcBorders>
              <w:bottom w:val="double" w:sz="4" w:space="0" w:color="auto"/>
            </w:tcBorders>
            <w:noWrap/>
          </w:tcPr>
          <w:p w14:paraId="6500DE32" w14:textId="77777777" w:rsidR="00D434B4" w:rsidRPr="003C6769" w:rsidRDefault="00D434B4" w:rsidP="003C546E">
            <w:pPr>
              <w:pStyle w:val="TableText"/>
              <w:jc w:val="right"/>
              <w:rPr>
                <w:b/>
              </w:rPr>
            </w:pPr>
            <w:r w:rsidRPr="003C6769">
              <w:rPr>
                <w:b/>
              </w:rPr>
              <w:t>$137,492</w:t>
            </w:r>
          </w:p>
        </w:tc>
      </w:tr>
      <w:tr w:rsidR="00D434B4" w:rsidRPr="00410F7C" w14:paraId="4BBD64A5" w14:textId="77777777" w:rsidTr="003C546E">
        <w:trPr>
          <w:trHeight w:val="255"/>
        </w:trPr>
        <w:tc>
          <w:tcPr>
            <w:tcW w:w="2985" w:type="pct"/>
            <w:tcBorders>
              <w:bottom w:val="single" w:sz="4" w:space="0" w:color="auto"/>
            </w:tcBorders>
            <w:noWrap/>
            <w:hideMark/>
          </w:tcPr>
          <w:p w14:paraId="0C8AC1B7" w14:textId="77777777" w:rsidR="00D434B4" w:rsidRPr="00410F7C" w:rsidRDefault="00D434B4" w:rsidP="003C546E">
            <w:pPr>
              <w:pStyle w:val="TableText"/>
            </w:pPr>
            <w:r w:rsidRPr="007127F3">
              <w:t>Couples identified as being at risk of having a fetus affected by Hb Bart’s</w:t>
            </w:r>
          </w:p>
        </w:tc>
        <w:tc>
          <w:tcPr>
            <w:tcW w:w="672" w:type="pct"/>
            <w:tcBorders>
              <w:bottom w:val="single" w:sz="4" w:space="0" w:color="auto"/>
            </w:tcBorders>
            <w:noWrap/>
          </w:tcPr>
          <w:p w14:paraId="42364ECA" w14:textId="77777777" w:rsidR="00D434B4" w:rsidRPr="00410F7C" w:rsidRDefault="00D434B4" w:rsidP="003C546E">
            <w:pPr>
              <w:pStyle w:val="TableText"/>
              <w:jc w:val="right"/>
            </w:pPr>
            <w:r w:rsidRPr="00881BF9">
              <w:t>0.0040</w:t>
            </w:r>
          </w:p>
        </w:tc>
        <w:tc>
          <w:tcPr>
            <w:tcW w:w="672" w:type="pct"/>
            <w:tcBorders>
              <w:bottom w:val="single" w:sz="4" w:space="0" w:color="auto"/>
            </w:tcBorders>
            <w:noWrap/>
          </w:tcPr>
          <w:p w14:paraId="387975E6" w14:textId="77777777" w:rsidR="00D434B4" w:rsidRPr="00410F7C" w:rsidRDefault="00D434B4" w:rsidP="003C546E">
            <w:pPr>
              <w:pStyle w:val="TableText"/>
              <w:jc w:val="right"/>
            </w:pPr>
            <w:r w:rsidRPr="00881BF9">
              <w:t>0.0030</w:t>
            </w:r>
          </w:p>
        </w:tc>
        <w:tc>
          <w:tcPr>
            <w:tcW w:w="671" w:type="pct"/>
            <w:tcBorders>
              <w:bottom w:val="single" w:sz="4" w:space="0" w:color="auto"/>
            </w:tcBorders>
            <w:noWrap/>
          </w:tcPr>
          <w:p w14:paraId="26ACBC38" w14:textId="77777777" w:rsidR="00D434B4" w:rsidRPr="00410F7C" w:rsidRDefault="00D434B4" w:rsidP="003C546E">
            <w:pPr>
              <w:pStyle w:val="TableText"/>
              <w:jc w:val="right"/>
            </w:pPr>
            <w:r w:rsidRPr="00881BF9">
              <w:t>0.0010</w:t>
            </w:r>
          </w:p>
        </w:tc>
      </w:tr>
      <w:tr w:rsidR="00D434B4" w:rsidRPr="003C6769" w14:paraId="58235642" w14:textId="77777777" w:rsidTr="003C546E">
        <w:trPr>
          <w:trHeight w:val="255"/>
        </w:trPr>
        <w:tc>
          <w:tcPr>
            <w:tcW w:w="2985" w:type="pct"/>
            <w:tcBorders>
              <w:bottom w:val="double" w:sz="4" w:space="0" w:color="auto"/>
              <w:right w:val="nil"/>
            </w:tcBorders>
            <w:noWrap/>
            <w:hideMark/>
          </w:tcPr>
          <w:p w14:paraId="3BCADF8A" w14:textId="77777777" w:rsidR="00D434B4" w:rsidRPr="003C6769" w:rsidRDefault="00D434B4" w:rsidP="003C546E">
            <w:pPr>
              <w:pStyle w:val="TableText"/>
              <w:rPr>
                <w:b/>
              </w:rPr>
            </w:pPr>
            <w:r w:rsidRPr="003C6769">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70EE838D"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0939B0F0" w14:textId="77777777" w:rsidR="00D434B4" w:rsidRPr="003C6769" w:rsidRDefault="00D434B4" w:rsidP="003C546E">
            <w:pPr>
              <w:pStyle w:val="TableText"/>
              <w:jc w:val="right"/>
              <w:rPr>
                <w:b/>
              </w:rPr>
            </w:pPr>
          </w:p>
        </w:tc>
        <w:tc>
          <w:tcPr>
            <w:tcW w:w="671" w:type="pct"/>
            <w:tcBorders>
              <w:bottom w:val="double" w:sz="4" w:space="0" w:color="auto"/>
            </w:tcBorders>
            <w:noWrap/>
          </w:tcPr>
          <w:p w14:paraId="05458C48" w14:textId="77777777" w:rsidR="00D434B4" w:rsidRPr="003C6769" w:rsidRDefault="00D434B4" w:rsidP="003C546E">
            <w:pPr>
              <w:pStyle w:val="TableText"/>
              <w:jc w:val="right"/>
              <w:rPr>
                <w:b/>
              </w:rPr>
            </w:pPr>
            <w:r w:rsidRPr="003C6769">
              <w:rPr>
                <w:b/>
              </w:rPr>
              <w:t>$531,808</w:t>
            </w:r>
          </w:p>
        </w:tc>
      </w:tr>
      <w:tr w:rsidR="00D434B4" w:rsidRPr="00410F7C" w14:paraId="400B2531" w14:textId="77777777" w:rsidTr="003C546E">
        <w:trPr>
          <w:trHeight w:val="255"/>
        </w:trPr>
        <w:tc>
          <w:tcPr>
            <w:tcW w:w="2985" w:type="pct"/>
            <w:tcBorders>
              <w:top w:val="double" w:sz="4" w:space="0" w:color="auto"/>
              <w:bottom w:val="single" w:sz="4" w:space="0" w:color="auto"/>
            </w:tcBorders>
            <w:noWrap/>
            <w:hideMark/>
          </w:tcPr>
          <w:p w14:paraId="5EB11357" w14:textId="77777777" w:rsidR="00D434B4" w:rsidRPr="00410F7C" w:rsidRDefault="00D434B4" w:rsidP="003C546E">
            <w:pPr>
              <w:pStyle w:val="TableText"/>
            </w:pPr>
            <w:r w:rsidRPr="007127F3">
              <w:t>Couples with genetically confirmed status</w:t>
            </w:r>
            <w:r>
              <w:t xml:space="preserve"> (risk or not at risk of Hb Barts)</w:t>
            </w:r>
          </w:p>
        </w:tc>
        <w:tc>
          <w:tcPr>
            <w:tcW w:w="672" w:type="pct"/>
            <w:tcBorders>
              <w:top w:val="double" w:sz="4" w:space="0" w:color="auto"/>
              <w:bottom w:val="single" w:sz="4" w:space="0" w:color="auto"/>
            </w:tcBorders>
            <w:noWrap/>
          </w:tcPr>
          <w:p w14:paraId="4A3FE9FD" w14:textId="77777777" w:rsidR="00D434B4" w:rsidRPr="00410F7C" w:rsidRDefault="00D434B4" w:rsidP="003C546E">
            <w:pPr>
              <w:pStyle w:val="TableText"/>
              <w:jc w:val="right"/>
            </w:pPr>
            <w:r w:rsidRPr="00881BF9">
              <w:t>0.9998</w:t>
            </w:r>
          </w:p>
        </w:tc>
        <w:tc>
          <w:tcPr>
            <w:tcW w:w="672" w:type="pct"/>
            <w:tcBorders>
              <w:top w:val="double" w:sz="4" w:space="0" w:color="auto"/>
              <w:bottom w:val="single" w:sz="4" w:space="0" w:color="auto"/>
            </w:tcBorders>
            <w:noWrap/>
          </w:tcPr>
          <w:p w14:paraId="110072A5" w14:textId="77777777" w:rsidR="00D434B4" w:rsidRPr="00410F7C" w:rsidRDefault="00D434B4" w:rsidP="003C546E">
            <w:pPr>
              <w:pStyle w:val="TableText"/>
              <w:jc w:val="right"/>
            </w:pPr>
            <w:r w:rsidRPr="00881BF9">
              <w:t>0.0000</w:t>
            </w:r>
          </w:p>
        </w:tc>
        <w:tc>
          <w:tcPr>
            <w:tcW w:w="671" w:type="pct"/>
            <w:tcBorders>
              <w:top w:val="double" w:sz="4" w:space="0" w:color="auto"/>
            </w:tcBorders>
            <w:noWrap/>
          </w:tcPr>
          <w:p w14:paraId="593ACE5A" w14:textId="77777777" w:rsidR="00D434B4" w:rsidRPr="00410F7C" w:rsidRDefault="00D434B4" w:rsidP="003C546E">
            <w:pPr>
              <w:pStyle w:val="TableText"/>
              <w:jc w:val="right"/>
            </w:pPr>
            <w:r w:rsidRPr="00881BF9">
              <w:t>0.9998</w:t>
            </w:r>
          </w:p>
        </w:tc>
      </w:tr>
      <w:tr w:rsidR="00D434B4" w:rsidRPr="003C6769" w14:paraId="33612F02" w14:textId="77777777" w:rsidTr="003C546E">
        <w:trPr>
          <w:trHeight w:val="255"/>
        </w:trPr>
        <w:tc>
          <w:tcPr>
            <w:tcW w:w="2985" w:type="pct"/>
            <w:tcBorders>
              <w:right w:val="nil"/>
            </w:tcBorders>
            <w:noWrap/>
            <w:hideMark/>
          </w:tcPr>
          <w:p w14:paraId="069EA21E" w14:textId="77777777" w:rsidR="00D434B4" w:rsidRPr="003C6769" w:rsidRDefault="00D434B4" w:rsidP="003C546E">
            <w:pPr>
              <w:pStyle w:val="TableText"/>
              <w:rPr>
                <w:b/>
              </w:rPr>
            </w:pPr>
            <w:r w:rsidRPr="003C6769">
              <w:rPr>
                <w:b/>
              </w:rPr>
              <w:t>ICER per couple with genetically confirmed status</w:t>
            </w:r>
          </w:p>
        </w:tc>
        <w:tc>
          <w:tcPr>
            <w:tcW w:w="672" w:type="pct"/>
            <w:tcBorders>
              <w:left w:val="nil"/>
              <w:right w:val="nil"/>
            </w:tcBorders>
            <w:noWrap/>
          </w:tcPr>
          <w:p w14:paraId="0EBE2029" w14:textId="77777777" w:rsidR="00D434B4" w:rsidRPr="003C6769" w:rsidRDefault="00D434B4" w:rsidP="003C546E">
            <w:pPr>
              <w:pStyle w:val="TableText"/>
              <w:jc w:val="right"/>
              <w:rPr>
                <w:b/>
              </w:rPr>
            </w:pPr>
          </w:p>
        </w:tc>
        <w:tc>
          <w:tcPr>
            <w:tcW w:w="672" w:type="pct"/>
            <w:tcBorders>
              <w:left w:val="nil"/>
            </w:tcBorders>
            <w:noWrap/>
          </w:tcPr>
          <w:p w14:paraId="2EE46E68" w14:textId="77777777" w:rsidR="00D434B4" w:rsidRPr="003C6769" w:rsidRDefault="00D434B4" w:rsidP="003C546E">
            <w:pPr>
              <w:pStyle w:val="TableText"/>
              <w:jc w:val="right"/>
              <w:rPr>
                <w:b/>
              </w:rPr>
            </w:pPr>
          </w:p>
        </w:tc>
        <w:tc>
          <w:tcPr>
            <w:tcW w:w="671" w:type="pct"/>
            <w:noWrap/>
          </w:tcPr>
          <w:p w14:paraId="0C6C5763" w14:textId="77777777" w:rsidR="00D434B4" w:rsidRPr="003C6769" w:rsidRDefault="00D434B4" w:rsidP="003C546E">
            <w:pPr>
              <w:pStyle w:val="TableText"/>
              <w:jc w:val="right"/>
              <w:rPr>
                <w:b/>
              </w:rPr>
            </w:pPr>
            <w:r w:rsidRPr="003C6769">
              <w:rPr>
                <w:b/>
              </w:rPr>
              <w:t>$556</w:t>
            </w:r>
          </w:p>
        </w:tc>
      </w:tr>
    </w:tbl>
    <w:p w14:paraId="0718E92F" w14:textId="3799458E" w:rsidR="00D434B4" w:rsidRDefault="00D434B4" w:rsidP="004E5F31">
      <w:pPr>
        <w:pStyle w:val="Tablenotes"/>
      </w:pPr>
      <w:r w:rsidRPr="00410F7C">
        <w:t>ICER = Incremental Cost Effectiveness Ratio</w:t>
      </w:r>
    </w:p>
    <w:p w14:paraId="2C1A18C8" w14:textId="01CECBA7" w:rsidR="00D434B4" w:rsidRDefault="00D434B4" w:rsidP="004E5F31">
      <w:bookmarkStart w:id="25" w:name="_Ref525122897"/>
      <w:bookmarkStart w:id="26" w:name="_Toc527050632"/>
      <w:r w:rsidRPr="003C6769">
        <w:t xml:space="preserve">The </w:t>
      </w:r>
      <w:r>
        <w:t xml:space="preserve">respecified </w:t>
      </w:r>
      <w:r w:rsidRPr="003C6769">
        <w:t xml:space="preserve">incremental cost-effectiveness ratios for </w:t>
      </w:r>
      <w:r>
        <w:t xml:space="preserve">pregnant </w:t>
      </w:r>
      <w:r w:rsidRPr="003C6769">
        <w:t xml:space="preserve">couples are presented in </w:t>
      </w:r>
      <w:r>
        <w:t>Table 1</w:t>
      </w:r>
      <w:r w:rsidR="006F6129">
        <w:t xml:space="preserve">4. </w:t>
      </w:r>
      <w:r w:rsidRPr="003C6769">
        <w:t xml:space="preserve">For this population, an additional outcome, incremental cost per decrease in a case of Hb Bart’s that is terminated late, stillborn or dies shortly after birth, to capture the benefit of allowing for termination before symptoms of hydrops fetalis emerge, is also reported above those presented </w:t>
      </w:r>
      <w:bookmarkStart w:id="27" w:name="_Ref3365562"/>
      <w:r w:rsidR="004E5F31">
        <w:t>for couples planning pregnancy.</w:t>
      </w:r>
    </w:p>
    <w:p w14:paraId="1B2E876E" w14:textId="6F5AE603" w:rsidR="00D434B4" w:rsidRPr="00492A3A" w:rsidRDefault="00D434B4" w:rsidP="00492A3A">
      <w:pPr>
        <w:spacing w:before="240"/>
        <w:rPr>
          <w:rFonts w:ascii="Arial Narrow" w:hAnsi="Arial Narrow"/>
          <w:b/>
          <w:sz w:val="20"/>
        </w:rPr>
      </w:pPr>
      <w:r w:rsidRPr="00492A3A">
        <w:rPr>
          <w:rFonts w:ascii="Arial Narrow" w:hAnsi="Arial Narrow"/>
          <w:b/>
          <w:sz w:val="20"/>
        </w:rPr>
        <w:t>Table1</w:t>
      </w:r>
      <w:r w:rsidR="00DD7372" w:rsidRPr="00492A3A">
        <w:rPr>
          <w:rFonts w:ascii="Arial Narrow" w:hAnsi="Arial Narrow"/>
          <w:b/>
          <w:sz w:val="20"/>
        </w:rPr>
        <w:t>4</w:t>
      </w:r>
      <w:bookmarkEnd w:id="25"/>
      <w:bookmarkEnd w:id="27"/>
      <w:r w:rsidRPr="00492A3A">
        <w:rPr>
          <w:rFonts w:ascii="Arial Narrow" w:hAnsi="Arial Narrow"/>
          <w:b/>
          <w:sz w:val="20"/>
        </w:rPr>
        <w:t xml:space="preserve"> Incremental cost-effectiveness in pregnant couples</w:t>
      </w:r>
      <w:bookmarkEnd w:id="26"/>
    </w:p>
    <w:tbl>
      <w:tblPr>
        <w:tblStyle w:val="TableGrid1"/>
        <w:tblW w:w="5000" w:type="pct"/>
        <w:tblLayout w:type="fixed"/>
        <w:tblLook w:val="04A0" w:firstRow="1" w:lastRow="0" w:firstColumn="1" w:lastColumn="0" w:noHBand="0" w:noVBand="1"/>
        <w:tblCaption w:val="Incremental cost-effectiveness in pregnant couples"/>
        <w:tblDescription w:val="Incremental cost-effectiveness in pregnant couples"/>
      </w:tblPr>
      <w:tblGrid>
        <w:gridCol w:w="5382"/>
        <w:gridCol w:w="1212"/>
        <w:gridCol w:w="1212"/>
        <w:gridCol w:w="1210"/>
      </w:tblGrid>
      <w:tr w:rsidR="00D434B4" w:rsidRPr="00410F7C" w14:paraId="26728621"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630E3D0F" w14:textId="77777777" w:rsidR="00D434B4" w:rsidRPr="00410F7C" w:rsidRDefault="00D434B4" w:rsidP="003C546E">
            <w:pPr>
              <w:pStyle w:val="TableHeading"/>
            </w:pPr>
          </w:p>
        </w:tc>
        <w:tc>
          <w:tcPr>
            <w:tcW w:w="672" w:type="pct"/>
            <w:noWrap/>
            <w:hideMark/>
          </w:tcPr>
          <w:p w14:paraId="344947D5" w14:textId="77777777" w:rsidR="00D434B4" w:rsidRPr="00410F7C" w:rsidRDefault="00D434B4" w:rsidP="003C546E">
            <w:pPr>
              <w:pStyle w:val="TableHeading"/>
            </w:pPr>
            <w:r w:rsidRPr="00410F7C">
              <w:t>Intervention</w:t>
            </w:r>
          </w:p>
        </w:tc>
        <w:tc>
          <w:tcPr>
            <w:tcW w:w="672" w:type="pct"/>
            <w:noWrap/>
            <w:hideMark/>
          </w:tcPr>
          <w:p w14:paraId="7A5598FB" w14:textId="77777777" w:rsidR="00D434B4" w:rsidRPr="00410F7C" w:rsidRDefault="00D434B4" w:rsidP="003C546E">
            <w:pPr>
              <w:pStyle w:val="TableHeading"/>
            </w:pPr>
            <w:r w:rsidRPr="00410F7C">
              <w:t>Comparator</w:t>
            </w:r>
          </w:p>
        </w:tc>
        <w:tc>
          <w:tcPr>
            <w:tcW w:w="671" w:type="pct"/>
            <w:noWrap/>
            <w:hideMark/>
          </w:tcPr>
          <w:p w14:paraId="40DAD6E2" w14:textId="77777777" w:rsidR="00D434B4" w:rsidRPr="00410F7C" w:rsidRDefault="00D434B4" w:rsidP="003C546E">
            <w:pPr>
              <w:pStyle w:val="TableHeading"/>
            </w:pPr>
            <w:r w:rsidRPr="00410F7C">
              <w:t>Increment</w:t>
            </w:r>
          </w:p>
        </w:tc>
      </w:tr>
      <w:tr w:rsidR="00D434B4" w:rsidRPr="009A2C91" w14:paraId="750694E8" w14:textId="77777777" w:rsidTr="003C546E">
        <w:trPr>
          <w:trHeight w:val="255"/>
        </w:trPr>
        <w:tc>
          <w:tcPr>
            <w:tcW w:w="2985" w:type="pct"/>
            <w:noWrap/>
            <w:hideMark/>
          </w:tcPr>
          <w:p w14:paraId="1290544B" w14:textId="77777777" w:rsidR="00D434B4" w:rsidRPr="00410F7C" w:rsidRDefault="00D434B4" w:rsidP="003C546E">
            <w:pPr>
              <w:pStyle w:val="TableText"/>
            </w:pPr>
            <w:r w:rsidRPr="00410F7C">
              <w:t>Total cost</w:t>
            </w:r>
          </w:p>
        </w:tc>
        <w:tc>
          <w:tcPr>
            <w:tcW w:w="672" w:type="pct"/>
            <w:noWrap/>
          </w:tcPr>
          <w:p w14:paraId="45FE6C7B" w14:textId="77777777" w:rsidR="00D434B4" w:rsidRPr="00410F7C" w:rsidRDefault="00D434B4" w:rsidP="003C546E">
            <w:pPr>
              <w:pStyle w:val="TableText"/>
              <w:jc w:val="right"/>
            </w:pPr>
            <w:r w:rsidRPr="00152F9D">
              <w:t>$8,383</w:t>
            </w:r>
          </w:p>
        </w:tc>
        <w:tc>
          <w:tcPr>
            <w:tcW w:w="672" w:type="pct"/>
            <w:noWrap/>
          </w:tcPr>
          <w:p w14:paraId="4C947D1B" w14:textId="77777777" w:rsidR="00D434B4" w:rsidRPr="00410F7C" w:rsidRDefault="00D434B4" w:rsidP="003C546E">
            <w:pPr>
              <w:pStyle w:val="TableText"/>
              <w:jc w:val="right"/>
            </w:pPr>
            <w:r w:rsidRPr="00152F9D">
              <w:t>$7,856</w:t>
            </w:r>
          </w:p>
        </w:tc>
        <w:tc>
          <w:tcPr>
            <w:tcW w:w="671" w:type="pct"/>
            <w:noWrap/>
          </w:tcPr>
          <w:p w14:paraId="77904727" w14:textId="77777777" w:rsidR="00D434B4" w:rsidRPr="00410F7C" w:rsidRDefault="00D434B4" w:rsidP="003C546E">
            <w:pPr>
              <w:pStyle w:val="TableText"/>
              <w:jc w:val="right"/>
            </w:pPr>
            <w:r w:rsidRPr="00152F9D">
              <w:t>$527</w:t>
            </w:r>
          </w:p>
        </w:tc>
      </w:tr>
      <w:tr w:rsidR="00D434B4" w:rsidRPr="00410F7C" w14:paraId="398285F4" w14:textId="77777777" w:rsidTr="003C546E">
        <w:trPr>
          <w:trHeight w:val="255"/>
        </w:trPr>
        <w:tc>
          <w:tcPr>
            <w:tcW w:w="2985" w:type="pct"/>
            <w:tcBorders>
              <w:bottom w:val="single" w:sz="4" w:space="0" w:color="auto"/>
            </w:tcBorders>
            <w:noWrap/>
            <w:hideMark/>
          </w:tcPr>
          <w:p w14:paraId="188B7E4C" w14:textId="77777777" w:rsidR="00D434B4" w:rsidRPr="00410F7C" w:rsidRDefault="00D434B4" w:rsidP="003C546E">
            <w:pPr>
              <w:pStyle w:val="TableText"/>
            </w:pPr>
            <w:r w:rsidRPr="001A22F0">
              <w:t>Couples genetically confirmed as being at risk of having a fetus affected by Hb Bart’s</w:t>
            </w:r>
          </w:p>
        </w:tc>
        <w:tc>
          <w:tcPr>
            <w:tcW w:w="672" w:type="pct"/>
            <w:tcBorders>
              <w:bottom w:val="single" w:sz="4" w:space="0" w:color="auto"/>
            </w:tcBorders>
            <w:noWrap/>
          </w:tcPr>
          <w:p w14:paraId="3A78E062" w14:textId="77777777" w:rsidR="00D434B4" w:rsidRPr="00410F7C" w:rsidRDefault="00D434B4" w:rsidP="003C546E">
            <w:pPr>
              <w:pStyle w:val="TableText"/>
              <w:jc w:val="right"/>
            </w:pPr>
            <w:r w:rsidRPr="00152F9D">
              <w:t>0.0040</w:t>
            </w:r>
          </w:p>
        </w:tc>
        <w:tc>
          <w:tcPr>
            <w:tcW w:w="672" w:type="pct"/>
            <w:tcBorders>
              <w:bottom w:val="single" w:sz="4" w:space="0" w:color="auto"/>
            </w:tcBorders>
            <w:noWrap/>
          </w:tcPr>
          <w:p w14:paraId="4A44E0F9" w14:textId="77777777" w:rsidR="00D434B4" w:rsidRPr="00410F7C" w:rsidRDefault="00D434B4" w:rsidP="003C546E">
            <w:pPr>
              <w:pStyle w:val="TableText"/>
              <w:jc w:val="right"/>
            </w:pPr>
            <w:r w:rsidRPr="00152F9D">
              <w:t>0.0000</w:t>
            </w:r>
          </w:p>
        </w:tc>
        <w:tc>
          <w:tcPr>
            <w:tcW w:w="671" w:type="pct"/>
            <w:tcBorders>
              <w:bottom w:val="single" w:sz="4" w:space="0" w:color="auto"/>
            </w:tcBorders>
            <w:noWrap/>
          </w:tcPr>
          <w:p w14:paraId="4F779456" w14:textId="77777777" w:rsidR="00D434B4" w:rsidRPr="00410F7C" w:rsidRDefault="00D434B4" w:rsidP="003C546E">
            <w:pPr>
              <w:pStyle w:val="TableText"/>
              <w:jc w:val="right"/>
            </w:pPr>
            <w:r w:rsidRPr="00152F9D">
              <w:t>0.0040</w:t>
            </w:r>
          </w:p>
        </w:tc>
      </w:tr>
      <w:tr w:rsidR="00D434B4" w:rsidRPr="003C6769" w14:paraId="6535DE5D" w14:textId="77777777" w:rsidTr="003C546E">
        <w:trPr>
          <w:trHeight w:val="255"/>
        </w:trPr>
        <w:tc>
          <w:tcPr>
            <w:tcW w:w="2985" w:type="pct"/>
            <w:tcBorders>
              <w:bottom w:val="double" w:sz="4" w:space="0" w:color="auto"/>
              <w:right w:val="nil"/>
            </w:tcBorders>
            <w:noWrap/>
            <w:hideMark/>
          </w:tcPr>
          <w:p w14:paraId="5F59ABE5" w14:textId="77777777" w:rsidR="00D434B4" w:rsidRPr="003C6769" w:rsidRDefault="00D434B4" w:rsidP="003C546E">
            <w:pPr>
              <w:pStyle w:val="TableText"/>
              <w:rPr>
                <w:b/>
              </w:rPr>
            </w:pPr>
            <w:r w:rsidRPr="003C6769">
              <w:rPr>
                <w:b/>
              </w:rPr>
              <w:t>ICER per couple that is genetically confirmed as being at risk of having a fetus affected by Hb Bart’s</w:t>
            </w:r>
          </w:p>
        </w:tc>
        <w:tc>
          <w:tcPr>
            <w:tcW w:w="672" w:type="pct"/>
            <w:tcBorders>
              <w:left w:val="nil"/>
              <w:bottom w:val="double" w:sz="4" w:space="0" w:color="auto"/>
              <w:right w:val="nil"/>
            </w:tcBorders>
            <w:noWrap/>
          </w:tcPr>
          <w:p w14:paraId="0E244A42"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21418631" w14:textId="77777777" w:rsidR="00D434B4" w:rsidRPr="003C6769" w:rsidRDefault="00D434B4" w:rsidP="003C546E">
            <w:pPr>
              <w:pStyle w:val="TableText"/>
              <w:jc w:val="right"/>
              <w:rPr>
                <w:b/>
              </w:rPr>
            </w:pPr>
          </w:p>
        </w:tc>
        <w:tc>
          <w:tcPr>
            <w:tcW w:w="671" w:type="pct"/>
            <w:tcBorders>
              <w:bottom w:val="double" w:sz="4" w:space="0" w:color="auto"/>
            </w:tcBorders>
            <w:noWrap/>
          </w:tcPr>
          <w:p w14:paraId="69C5D2D3" w14:textId="77777777" w:rsidR="00D434B4" w:rsidRPr="003C6769" w:rsidRDefault="00D434B4" w:rsidP="003C546E">
            <w:pPr>
              <w:pStyle w:val="TableText"/>
              <w:jc w:val="right"/>
              <w:rPr>
                <w:b/>
              </w:rPr>
            </w:pPr>
            <w:r w:rsidRPr="003C6769">
              <w:rPr>
                <w:b/>
              </w:rPr>
              <w:t>$130,405</w:t>
            </w:r>
          </w:p>
        </w:tc>
      </w:tr>
      <w:tr w:rsidR="00D434B4" w:rsidRPr="00410F7C" w14:paraId="6F32C4D9" w14:textId="77777777" w:rsidTr="003C546E">
        <w:trPr>
          <w:trHeight w:val="255"/>
        </w:trPr>
        <w:tc>
          <w:tcPr>
            <w:tcW w:w="2985" w:type="pct"/>
            <w:tcBorders>
              <w:bottom w:val="single" w:sz="4" w:space="0" w:color="auto"/>
            </w:tcBorders>
            <w:noWrap/>
            <w:hideMark/>
          </w:tcPr>
          <w:p w14:paraId="5EA07D56" w14:textId="77777777" w:rsidR="00D434B4" w:rsidRPr="00410F7C" w:rsidRDefault="00D434B4" w:rsidP="003C546E">
            <w:pPr>
              <w:pStyle w:val="TableText"/>
            </w:pPr>
            <w:r w:rsidRPr="001A22F0">
              <w:t>Couples identified as being at risk of having a fetus affected by Hb Bart’s</w:t>
            </w:r>
          </w:p>
        </w:tc>
        <w:tc>
          <w:tcPr>
            <w:tcW w:w="672" w:type="pct"/>
            <w:tcBorders>
              <w:bottom w:val="single" w:sz="4" w:space="0" w:color="auto"/>
            </w:tcBorders>
            <w:noWrap/>
          </w:tcPr>
          <w:p w14:paraId="4DF52721" w14:textId="77777777" w:rsidR="00D434B4" w:rsidRPr="00410F7C" w:rsidRDefault="00D434B4" w:rsidP="003C546E">
            <w:pPr>
              <w:pStyle w:val="TableText"/>
              <w:jc w:val="right"/>
            </w:pPr>
            <w:r w:rsidRPr="00152F9D">
              <w:t>0.0040</w:t>
            </w:r>
          </w:p>
        </w:tc>
        <w:tc>
          <w:tcPr>
            <w:tcW w:w="672" w:type="pct"/>
            <w:tcBorders>
              <w:bottom w:val="single" w:sz="4" w:space="0" w:color="auto"/>
            </w:tcBorders>
            <w:noWrap/>
          </w:tcPr>
          <w:p w14:paraId="50EB037D" w14:textId="77777777" w:rsidR="00D434B4" w:rsidRPr="00410F7C" w:rsidRDefault="00D434B4" w:rsidP="003C546E">
            <w:pPr>
              <w:pStyle w:val="TableText"/>
              <w:jc w:val="right"/>
            </w:pPr>
            <w:r w:rsidRPr="00152F9D">
              <w:t>0.0030</w:t>
            </w:r>
          </w:p>
        </w:tc>
        <w:tc>
          <w:tcPr>
            <w:tcW w:w="671" w:type="pct"/>
            <w:tcBorders>
              <w:bottom w:val="single" w:sz="4" w:space="0" w:color="auto"/>
            </w:tcBorders>
            <w:noWrap/>
          </w:tcPr>
          <w:p w14:paraId="62F1BED4" w14:textId="77777777" w:rsidR="00D434B4" w:rsidRPr="00410F7C" w:rsidRDefault="00D434B4" w:rsidP="003C546E">
            <w:pPr>
              <w:pStyle w:val="TableText"/>
              <w:jc w:val="right"/>
            </w:pPr>
            <w:r w:rsidRPr="00152F9D">
              <w:t>0.0010</w:t>
            </w:r>
          </w:p>
        </w:tc>
      </w:tr>
      <w:tr w:rsidR="00D434B4" w:rsidRPr="003C6769" w14:paraId="6E075100" w14:textId="77777777" w:rsidTr="003C546E">
        <w:trPr>
          <w:trHeight w:val="255"/>
        </w:trPr>
        <w:tc>
          <w:tcPr>
            <w:tcW w:w="2985" w:type="pct"/>
            <w:tcBorders>
              <w:bottom w:val="double" w:sz="4" w:space="0" w:color="auto"/>
              <w:right w:val="nil"/>
            </w:tcBorders>
            <w:noWrap/>
            <w:hideMark/>
          </w:tcPr>
          <w:p w14:paraId="09B6A003" w14:textId="77777777" w:rsidR="00D434B4" w:rsidRPr="003C6769" w:rsidRDefault="00D434B4" w:rsidP="003C546E">
            <w:pPr>
              <w:pStyle w:val="TableText"/>
              <w:rPr>
                <w:b/>
              </w:rPr>
            </w:pPr>
            <w:r w:rsidRPr="003C6769">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3E254B36"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37C33255" w14:textId="77777777" w:rsidR="00D434B4" w:rsidRPr="003C6769" w:rsidRDefault="00D434B4" w:rsidP="003C546E">
            <w:pPr>
              <w:pStyle w:val="TableText"/>
              <w:jc w:val="right"/>
              <w:rPr>
                <w:b/>
              </w:rPr>
            </w:pPr>
          </w:p>
        </w:tc>
        <w:tc>
          <w:tcPr>
            <w:tcW w:w="671" w:type="pct"/>
            <w:tcBorders>
              <w:bottom w:val="double" w:sz="4" w:space="0" w:color="auto"/>
            </w:tcBorders>
            <w:noWrap/>
          </w:tcPr>
          <w:p w14:paraId="566EA6F1" w14:textId="77777777" w:rsidR="00D434B4" w:rsidRPr="003C6769" w:rsidRDefault="00D434B4" w:rsidP="003C546E">
            <w:pPr>
              <w:pStyle w:val="TableText"/>
              <w:jc w:val="right"/>
              <w:rPr>
                <w:b/>
              </w:rPr>
            </w:pPr>
            <w:r w:rsidRPr="003C6769">
              <w:rPr>
                <w:b/>
              </w:rPr>
              <w:t>$504,395</w:t>
            </w:r>
          </w:p>
        </w:tc>
      </w:tr>
      <w:tr w:rsidR="00D434B4" w:rsidRPr="00410F7C" w14:paraId="783B7548" w14:textId="77777777" w:rsidTr="003C546E">
        <w:trPr>
          <w:trHeight w:val="255"/>
        </w:trPr>
        <w:tc>
          <w:tcPr>
            <w:tcW w:w="2985" w:type="pct"/>
            <w:tcBorders>
              <w:top w:val="double" w:sz="4" w:space="0" w:color="auto"/>
              <w:bottom w:val="single" w:sz="4" w:space="0" w:color="auto"/>
            </w:tcBorders>
            <w:noWrap/>
            <w:hideMark/>
          </w:tcPr>
          <w:p w14:paraId="29BB6AF5" w14:textId="77777777" w:rsidR="00D434B4" w:rsidRPr="00410F7C" w:rsidRDefault="00D434B4" w:rsidP="003C546E">
            <w:pPr>
              <w:pStyle w:val="TableText"/>
            </w:pPr>
            <w:r w:rsidRPr="001A22F0">
              <w:t>Couples with genetically confirmed status</w:t>
            </w:r>
            <w:r>
              <w:t xml:space="preserve"> (risk or not at risk of Hb Barts)</w:t>
            </w:r>
          </w:p>
        </w:tc>
        <w:tc>
          <w:tcPr>
            <w:tcW w:w="672" w:type="pct"/>
            <w:tcBorders>
              <w:top w:val="double" w:sz="4" w:space="0" w:color="auto"/>
              <w:bottom w:val="single" w:sz="4" w:space="0" w:color="auto"/>
            </w:tcBorders>
            <w:noWrap/>
          </w:tcPr>
          <w:p w14:paraId="1602F985" w14:textId="77777777" w:rsidR="00D434B4" w:rsidRPr="00410F7C" w:rsidRDefault="00D434B4" w:rsidP="003C546E">
            <w:pPr>
              <w:pStyle w:val="TableText"/>
              <w:jc w:val="right"/>
            </w:pPr>
            <w:r w:rsidRPr="00152F9D">
              <w:t>0.9998</w:t>
            </w:r>
          </w:p>
        </w:tc>
        <w:tc>
          <w:tcPr>
            <w:tcW w:w="672" w:type="pct"/>
            <w:tcBorders>
              <w:top w:val="double" w:sz="4" w:space="0" w:color="auto"/>
              <w:bottom w:val="single" w:sz="4" w:space="0" w:color="auto"/>
            </w:tcBorders>
            <w:noWrap/>
          </w:tcPr>
          <w:p w14:paraId="0B2B25DB" w14:textId="77777777" w:rsidR="00D434B4" w:rsidRPr="00410F7C" w:rsidRDefault="00D434B4" w:rsidP="003C546E">
            <w:pPr>
              <w:pStyle w:val="TableText"/>
              <w:jc w:val="right"/>
            </w:pPr>
            <w:r w:rsidRPr="00152F9D">
              <w:t>0.0000</w:t>
            </w:r>
          </w:p>
        </w:tc>
        <w:tc>
          <w:tcPr>
            <w:tcW w:w="671" w:type="pct"/>
            <w:tcBorders>
              <w:top w:val="double" w:sz="4" w:space="0" w:color="auto"/>
              <w:bottom w:val="single" w:sz="4" w:space="0" w:color="auto"/>
            </w:tcBorders>
            <w:noWrap/>
          </w:tcPr>
          <w:p w14:paraId="1158016D" w14:textId="77777777" w:rsidR="00D434B4" w:rsidRPr="00410F7C" w:rsidRDefault="00D434B4" w:rsidP="003C546E">
            <w:pPr>
              <w:pStyle w:val="TableText"/>
              <w:jc w:val="right"/>
            </w:pPr>
            <w:r w:rsidRPr="00152F9D">
              <w:t>0.9998</w:t>
            </w:r>
          </w:p>
        </w:tc>
      </w:tr>
      <w:tr w:rsidR="00D434B4" w:rsidRPr="003C6769" w14:paraId="6B9CC6CD" w14:textId="77777777" w:rsidTr="003C546E">
        <w:trPr>
          <w:trHeight w:val="255"/>
        </w:trPr>
        <w:tc>
          <w:tcPr>
            <w:tcW w:w="2985" w:type="pct"/>
            <w:tcBorders>
              <w:bottom w:val="double" w:sz="4" w:space="0" w:color="auto"/>
              <w:right w:val="nil"/>
            </w:tcBorders>
            <w:noWrap/>
            <w:hideMark/>
          </w:tcPr>
          <w:p w14:paraId="1C0F3E53" w14:textId="77777777" w:rsidR="00D434B4" w:rsidRPr="003C6769" w:rsidRDefault="00D434B4" w:rsidP="003C546E">
            <w:pPr>
              <w:pStyle w:val="TableText"/>
              <w:rPr>
                <w:b/>
              </w:rPr>
            </w:pPr>
            <w:r w:rsidRPr="003C6769">
              <w:rPr>
                <w:b/>
              </w:rPr>
              <w:t>ICER per couple with genetically confirmed status</w:t>
            </w:r>
          </w:p>
        </w:tc>
        <w:tc>
          <w:tcPr>
            <w:tcW w:w="672" w:type="pct"/>
            <w:tcBorders>
              <w:left w:val="nil"/>
              <w:bottom w:val="double" w:sz="4" w:space="0" w:color="auto"/>
              <w:right w:val="nil"/>
            </w:tcBorders>
            <w:noWrap/>
          </w:tcPr>
          <w:p w14:paraId="0FD6B0AD"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3A448B01" w14:textId="77777777" w:rsidR="00D434B4" w:rsidRPr="003C6769" w:rsidRDefault="00D434B4" w:rsidP="003C546E">
            <w:pPr>
              <w:pStyle w:val="TableText"/>
              <w:jc w:val="right"/>
              <w:rPr>
                <w:b/>
              </w:rPr>
            </w:pPr>
          </w:p>
        </w:tc>
        <w:tc>
          <w:tcPr>
            <w:tcW w:w="671" w:type="pct"/>
            <w:tcBorders>
              <w:bottom w:val="double" w:sz="4" w:space="0" w:color="auto"/>
            </w:tcBorders>
            <w:noWrap/>
          </w:tcPr>
          <w:p w14:paraId="72957B01" w14:textId="77777777" w:rsidR="00D434B4" w:rsidRPr="003C6769" w:rsidRDefault="00D434B4" w:rsidP="003C546E">
            <w:pPr>
              <w:pStyle w:val="TableText"/>
              <w:jc w:val="right"/>
              <w:rPr>
                <w:b/>
              </w:rPr>
            </w:pPr>
            <w:r w:rsidRPr="003C6769">
              <w:rPr>
                <w:b/>
              </w:rPr>
              <w:t>$527</w:t>
            </w:r>
          </w:p>
        </w:tc>
      </w:tr>
      <w:tr w:rsidR="00D434B4" w:rsidRPr="009A2C91" w14:paraId="6C17F460" w14:textId="77777777" w:rsidTr="003C546E">
        <w:trPr>
          <w:trHeight w:val="255"/>
        </w:trPr>
        <w:tc>
          <w:tcPr>
            <w:tcW w:w="2985" w:type="pct"/>
            <w:tcBorders>
              <w:top w:val="double" w:sz="4" w:space="0" w:color="auto"/>
              <w:bottom w:val="single" w:sz="4" w:space="0" w:color="auto"/>
            </w:tcBorders>
            <w:noWrap/>
            <w:hideMark/>
          </w:tcPr>
          <w:p w14:paraId="7883A6F9" w14:textId="77777777" w:rsidR="00D434B4" w:rsidRPr="00410F7C" w:rsidRDefault="00D434B4" w:rsidP="003C546E">
            <w:pPr>
              <w:pStyle w:val="TableText"/>
              <w:keepNext/>
            </w:pPr>
            <w:r w:rsidRPr="001A22F0">
              <w:t>Cases of Hb Bart’s (i.e. late termination, stillbirth or die shortly after birth)</w:t>
            </w:r>
          </w:p>
        </w:tc>
        <w:tc>
          <w:tcPr>
            <w:tcW w:w="672" w:type="pct"/>
            <w:tcBorders>
              <w:top w:val="double" w:sz="4" w:space="0" w:color="auto"/>
              <w:bottom w:val="single" w:sz="4" w:space="0" w:color="auto"/>
            </w:tcBorders>
            <w:noWrap/>
          </w:tcPr>
          <w:p w14:paraId="6DA98C13" w14:textId="77777777" w:rsidR="00D434B4" w:rsidRPr="00410F7C" w:rsidRDefault="00D434B4" w:rsidP="003C546E">
            <w:pPr>
              <w:pStyle w:val="TableText"/>
              <w:jc w:val="right"/>
            </w:pPr>
            <w:r w:rsidRPr="00152F9D">
              <w:t>0.0001</w:t>
            </w:r>
          </w:p>
        </w:tc>
        <w:tc>
          <w:tcPr>
            <w:tcW w:w="672" w:type="pct"/>
            <w:tcBorders>
              <w:top w:val="double" w:sz="4" w:space="0" w:color="auto"/>
              <w:bottom w:val="single" w:sz="4" w:space="0" w:color="auto"/>
            </w:tcBorders>
            <w:noWrap/>
          </w:tcPr>
          <w:p w14:paraId="1C6FAB37" w14:textId="77777777" w:rsidR="00D434B4" w:rsidRPr="00410F7C" w:rsidRDefault="00D434B4" w:rsidP="003C546E">
            <w:pPr>
              <w:pStyle w:val="TableText"/>
              <w:jc w:val="right"/>
            </w:pPr>
            <w:r w:rsidRPr="00152F9D">
              <w:t>0.0010</w:t>
            </w:r>
          </w:p>
        </w:tc>
        <w:tc>
          <w:tcPr>
            <w:tcW w:w="671" w:type="pct"/>
            <w:tcBorders>
              <w:top w:val="double" w:sz="4" w:space="0" w:color="auto"/>
            </w:tcBorders>
            <w:noWrap/>
          </w:tcPr>
          <w:p w14:paraId="03082FA1" w14:textId="77777777" w:rsidR="00D434B4" w:rsidRPr="00410F7C" w:rsidRDefault="00D434B4" w:rsidP="003C546E">
            <w:pPr>
              <w:pStyle w:val="TableText"/>
              <w:jc w:val="right"/>
            </w:pPr>
            <w:r>
              <w:t>−</w:t>
            </w:r>
            <w:r w:rsidRPr="00152F9D">
              <w:t>0.0010</w:t>
            </w:r>
          </w:p>
        </w:tc>
      </w:tr>
      <w:tr w:rsidR="00D434B4" w:rsidRPr="003C6769" w14:paraId="32478C11" w14:textId="77777777" w:rsidTr="003C546E">
        <w:trPr>
          <w:trHeight w:val="255"/>
        </w:trPr>
        <w:tc>
          <w:tcPr>
            <w:tcW w:w="2985" w:type="pct"/>
            <w:tcBorders>
              <w:right w:val="nil"/>
            </w:tcBorders>
            <w:noWrap/>
            <w:hideMark/>
          </w:tcPr>
          <w:p w14:paraId="6E06EC41" w14:textId="77777777" w:rsidR="00D434B4" w:rsidRPr="003C6769" w:rsidRDefault="00D434B4" w:rsidP="003C546E">
            <w:pPr>
              <w:pStyle w:val="TableText"/>
              <w:rPr>
                <w:b/>
              </w:rPr>
            </w:pPr>
            <w:r w:rsidRPr="003C6769">
              <w:rPr>
                <w:b/>
              </w:rPr>
              <w:t>ICER per avoided case of Hb Bart’s that is terminated late, stillborn or dies shortly after birth</w:t>
            </w:r>
          </w:p>
        </w:tc>
        <w:tc>
          <w:tcPr>
            <w:tcW w:w="672" w:type="pct"/>
            <w:tcBorders>
              <w:left w:val="nil"/>
              <w:right w:val="nil"/>
            </w:tcBorders>
            <w:noWrap/>
          </w:tcPr>
          <w:p w14:paraId="1AA2613E" w14:textId="77777777" w:rsidR="00D434B4" w:rsidRPr="003C6769" w:rsidRDefault="00D434B4" w:rsidP="003C546E">
            <w:pPr>
              <w:pStyle w:val="TableText"/>
              <w:jc w:val="right"/>
              <w:rPr>
                <w:b/>
              </w:rPr>
            </w:pPr>
          </w:p>
        </w:tc>
        <w:tc>
          <w:tcPr>
            <w:tcW w:w="672" w:type="pct"/>
            <w:tcBorders>
              <w:left w:val="nil"/>
            </w:tcBorders>
            <w:noWrap/>
          </w:tcPr>
          <w:p w14:paraId="62794317" w14:textId="77777777" w:rsidR="00D434B4" w:rsidRPr="003C6769" w:rsidRDefault="00D434B4" w:rsidP="003C546E">
            <w:pPr>
              <w:pStyle w:val="TableText"/>
              <w:jc w:val="right"/>
              <w:rPr>
                <w:b/>
              </w:rPr>
            </w:pPr>
          </w:p>
        </w:tc>
        <w:tc>
          <w:tcPr>
            <w:tcW w:w="671" w:type="pct"/>
            <w:noWrap/>
          </w:tcPr>
          <w:p w14:paraId="610FB2B4" w14:textId="77777777" w:rsidR="00D434B4" w:rsidRPr="003C6769" w:rsidRDefault="00D434B4" w:rsidP="003C546E">
            <w:pPr>
              <w:pStyle w:val="TableText"/>
              <w:jc w:val="right"/>
              <w:rPr>
                <w:b/>
              </w:rPr>
            </w:pPr>
            <w:r w:rsidRPr="003C6769">
              <w:rPr>
                <w:b/>
              </w:rPr>
              <w:t>$530,337</w:t>
            </w:r>
          </w:p>
        </w:tc>
      </w:tr>
    </w:tbl>
    <w:p w14:paraId="7DD5387F" w14:textId="77777777" w:rsidR="00D434B4" w:rsidRDefault="00D434B4" w:rsidP="00C639A7">
      <w:pPr>
        <w:pStyle w:val="Tablenotes"/>
      </w:pPr>
      <w:r w:rsidRPr="00410F7C">
        <w:t>ICER = Incremental Cost Effectiveness Ratio</w:t>
      </w:r>
    </w:p>
    <w:p w14:paraId="00BFDE49" w14:textId="62C8F8A8" w:rsidR="004E5F31" w:rsidRPr="004E5F31" w:rsidRDefault="00D434B4">
      <w:r>
        <w:t>The economic scenario analysis in which both parents require abnormal screening results before either can receive genetic testing was also rerun with the higher test fee. The results are presented in Table 1</w:t>
      </w:r>
      <w:r w:rsidR="00DD7372">
        <w:t>5</w:t>
      </w:r>
      <w:r>
        <w:t xml:space="preserve"> and Table 1</w:t>
      </w:r>
      <w:r w:rsidR="00DD7372">
        <w:t>6</w:t>
      </w:r>
      <w:r w:rsidR="004E5F31">
        <w:br w:type="page"/>
      </w:r>
    </w:p>
    <w:p w14:paraId="72DF449D" w14:textId="7B8D8F50" w:rsidR="00D434B4" w:rsidRPr="00D576B7" w:rsidRDefault="00D434B4" w:rsidP="00D576B7">
      <w:pPr>
        <w:rPr>
          <w:rFonts w:ascii="Arial Narrow" w:hAnsi="Arial Narrow"/>
          <w:b/>
          <w:sz w:val="20"/>
        </w:rPr>
      </w:pPr>
      <w:r w:rsidRPr="00D576B7">
        <w:rPr>
          <w:rFonts w:ascii="Arial Narrow" w:hAnsi="Arial Narrow"/>
          <w:b/>
          <w:sz w:val="20"/>
        </w:rPr>
        <w:lastRenderedPageBreak/>
        <w:t>Table 1</w:t>
      </w:r>
      <w:r w:rsidR="00DD7372" w:rsidRPr="00D576B7">
        <w:rPr>
          <w:rFonts w:ascii="Arial Narrow" w:hAnsi="Arial Narrow"/>
          <w:b/>
          <w:sz w:val="20"/>
        </w:rPr>
        <w:t>5</w:t>
      </w:r>
      <w:r w:rsidRPr="00D576B7">
        <w:rPr>
          <w:rFonts w:ascii="Arial Narrow" w:hAnsi="Arial Narrow"/>
          <w:b/>
          <w:sz w:val="20"/>
        </w:rPr>
        <w:tab/>
        <w:t>Incremental cost-effectiveness in couples planning a pregnancy, scenario where parental testing is conducted simultaneously</w:t>
      </w:r>
    </w:p>
    <w:tbl>
      <w:tblPr>
        <w:tblStyle w:val="TableGrid1"/>
        <w:tblW w:w="5000" w:type="pct"/>
        <w:tblLayout w:type="fixed"/>
        <w:tblLook w:val="04A0" w:firstRow="1" w:lastRow="0" w:firstColumn="1" w:lastColumn="0" w:noHBand="0" w:noVBand="1"/>
        <w:tblCaption w:val="Incremental cost-effectiveness in couples planning a pregnancy, scenario where parental testing is conducted simultaneously"/>
        <w:tblDescription w:val="Incremental cost-effectiveness in couples planning a pregnancy, scenario where parental testing is conducted simultaneously"/>
      </w:tblPr>
      <w:tblGrid>
        <w:gridCol w:w="5382"/>
        <w:gridCol w:w="1212"/>
        <w:gridCol w:w="1212"/>
        <w:gridCol w:w="1210"/>
      </w:tblGrid>
      <w:tr w:rsidR="00D434B4" w:rsidRPr="00410F7C" w14:paraId="1168478B"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7A5820C9" w14:textId="77777777" w:rsidR="00D434B4" w:rsidRPr="00410F7C" w:rsidRDefault="00D434B4" w:rsidP="003C546E">
            <w:pPr>
              <w:pStyle w:val="TableHeading"/>
            </w:pPr>
          </w:p>
        </w:tc>
        <w:tc>
          <w:tcPr>
            <w:tcW w:w="672" w:type="pct"/>
            <w:noWrap/>
            <w:hideMark/>
          </w:tcPr>
          <w:p w14:paraId="21EEB2A3" w14:textId="77777777" w:rsidR="00D434B4" w:rsidRPr="00410F7C" w:rsidRDefault="00D434B4" w:rsidP="003C546E">
            <w:pPr>
              <w:pStyle w:val="TableHeading"/>
            </w:pPr>
            <w:r w:rsidRPr="00410F7C">
              <w:t>Intervention</w:t>
            </w:r>
          </w:p>
        </w:tc>
        <w:tc>
          <w:tcPr>
            <w:tcW w:w="672" w:type="pct"/>
            <w:noWrap/>
            <w:hideMark/>
          </w:tcPr>
          <w:p w14:paraId="5D47D52E" w14:textId="77777777" w:rsidR="00D434B4" w:rsidRPr="00410F7C" w:rsidRDefault="00D434B4" w:rsidP="003C546E">
            <w:pPr>
              <w:pStyle w:val="TableHeading"/>
            </w:pPr>
            <w:r w:rsidRPr="00410F7C">
              <w:t>Comparator</w:t>
            </w:r>
          </w:p>
        </w:tc>
        <w:tc>
          <w:tcPr>
            <w:tcW w:w="671" w:type="pct"/>
            <w:noWrap/>
            <w:hideMark/>
          </w:tcPr>
          <w:p w14:paraId="27CA27DE" w14:textId="77777777" w:rsidR="00D434B4" w:rsidRPr="00410F7C" w:rsidRDefault="00D434B4" w:rsidP="003C546E">
            <w:pPr>
              <w:pStyle w:val="TableHeading"/>
            </w:pPr>
            <w:r w:rsidRPr="00410F7C">
              <w:t>Increment</w:t>
            </w:r>
          </w:p>
        </w:tc>
      </w:tr>
      <w:tr w:rsidR="00D434B4" w:rsidRPr="0001206B" w14:paraId="6672FE28" w14:textId="77777777" w:rsidTr="003C546E">
        <w:trPr>
          <w:trHeight w:val="255"/>
        </w:trPr>
        <w:tc>
          <w:tcPr>
            <w:tcW w:w="2985" w:type="pct"/>
            <w:noWrap/>
            <w:hideMark/>
          </w:tcPr>
          <w:p w14:paraId="688D5571" w14:textId="77777777" w:rsidR="00D434B4" w:rsidRPr="00410F7C" w:rsidRDefault="00D434B4" w:rsidP="003C546E">
            <w:pPr>
              <w:pStyle w:val="TableText"/>
            </w:pPr>
            <w:r w:rsidRPr="00410F7C">
              <w:t>Total cost</w:t>
            </w:r>
          </w:p>
        </w:tc>
        <w:tc>
          <w:tcPr>
            <w:tcW w:w="672" w:type="pct"/>
            <w:noWrap/>
          </w:tcPr>
          <w:p w14:paraId="1113C7DD" w14:textId="77777777" w:rsidR="00D434B4" w:rsidRPr="00410F7C" w:rsidRDefault="00D434B4" w:rsidP="003C546E">
            <w:pPr>
              <w:pStyle w:val="TableText"/>
              <w:jc w:val="right"/>
            </w:pPr>
            <w:r w:rsidRPr="002036C0">
              <w:t>$802</w:t>
            </w:r>
          </w:p>
        </w:tc>
        <w:tc>
          <w:tcPr>
            <w:tcW w:w="672" w:type="pct"/>
            <w:noWrap/>
          </w:tcPr>
          <w:p w14:paraId="3EE72DC5" w14:textId="77777777" w:rsidR="00D434B4" w:rsidRPr="00410F7C" w:rsidRDefault="00D434B4" w:rsidP="003C546E">
            <w:pPr>
              <w:pStyle w:val="TableText"/>
              <w:jc w:val="right"/>
            </w:pPr>
            <w:r w:rsidRPr="002036C0">
              <w:t>$0</w:t>
            </w:r>
          </w:p>
        </w:tc>
        <w:tc>
          <w:tcPr>
            <w:tcW w:w="671" w:type="pct"/>
            <w:noWrap/>
          </w:tcPr>
          <w:p w14:paraId="45D3B928" w14:textId="77777777" w:rsidR="00D434B4" w:rsidRPr="00410F7C" w:rsidRDefault="00D434B4" w:rsidP="003C546E">
            <w:pPr>
              <w:pStyle w:val="TableText"/>
              <w:jc w:val="right"/>
            </w:pPr>
            <w:r w:rsidRPr="002036C0">
              <w:t>$802</w:t>
            </w:r>
          </w:p>
        </w:tc>
      </w:tr>
      <w:tr w:rsidR="00D434B4" w:rsidRPr="00410F7C" w14:paraId="002C0BF3" w14:textId="77777777" w:rsidTr="003C546E">
        <w:trPr>
          <w:trHeight w:val="255"/>
        </w:trPr>
        <w:tc>
          <w:tcPr>
            <w:tcW w:w="2985" w:type="pct"/>
            <w:tcBorders>
              <w:bottom w:val="single" w:sz="4" w:space="0" w:color="auto"/>
            </w:tcBorders>
            <w:noWrap/>
            <w:hideMark/>
          </w:tcPr>
          <w:p w14:paraId="648D416F" w14:textId="77777777" w:rsidR="00D434B4" w:rsidRPr="00410F7C" w:rsidRDefault="00D434B4" w:rsidP="003C546E">
            <w:pPr>
              <w:pStyle w:val="TableText"/>
            </w:pPr>
            <w:r w:rsidRPr="007127F3">
              <w:t>Couples genetically confirmed as being at risk of having a fetus affected by Hb Bart’s</w:t>
            </w:r>
          </w:p>
        </w:tc>
        <w:tc>
          <w:tcPr>
            <w:tcW w:w="672" w:type="pct"/>
            <w:tcBorders>
              <w:bottom w:val="single" w:sz="4" w:space="0" w:color="auto"/>
            </w:tcBorders>
            <w:noWrap/>
          </w:tcPr>
          <w:p w14:paraId="1A1437A9" w14:textId="77777777" w:rsidR="00D434B4" w:rsidRPr="00410F7C" w:rsidRDefault="00D434B4" w:rsidP="003C546E">
            <w:pPr>
              <w:pStyle w:val="TableText"/>
              <w:jc w:val="right"/>
            </w:pPr>
            <w:r w:rsidRPr="002036C0">
              <w:t>0.0212</w:t>
            </w:r>
          </w:p>
        </w:tc>
        <w:tc>
          <w:tcPr>
            <w:tcW w:w="672" w:type="pct"/>
            <w:tcBorders>
              <w:bottom w:val="single" w:sz="4" w:space="0" w:color="auto"/>
            </w:tcBorders>
            <w:noWrap/>
          </w:tcPr>
          <w:p w14:paraId="14A81D4C" w14:textId="77777777" w:rsidR="00D434B4" w:rsidRPr="00410F7C" w:rsidRDefault="00D434B4" w:rsidP="003C546E">
            <w:pPr>
              <w:pStyle w:val="TableText"/>
              <w:jc w:val="right"/>
            </w:pPr>
            <w:r w:rsidRPr="002036C0">
              <w:t>0.0000</w:t>
            </w:r>
          </w:p>
        </w:tc>
        <w:tc>
          <w:tcPr>
            <w:tcW w:w="671" w:type="pct"/>
            <w:tcBorders>
              <w:bottom w:val="single" w:sz="4" w:space="0" w:color="auto"/>
            </w:tcBorders>
            <w:noWrap/>
          </w:tcPr>
          <w:p w14:paraId="1078AA5B" w14:textId="77777777" w:rsidR="00D434B4" w:rsidRPr="00410F7C" w:rsidRDefault="00D434B4" w:rsidP="003C546E">
            <w:pPr>
              <w:pStyle w:val="TableText"/>
              <w:jc w:val="right"/>
            </w:pPr>
            <w:r w:rsidRPr="002036C0">
              <w:t>0.0212</w:t>
            </w:r>
          </w:p>
        </w:tc>
      </w:tr>
      <w:tr w:rsidR="00D434B4" w:rsidRPr="003C6769" w14:paraId="1004CA91" w14:textId="77777777" w:rsidTr="003C546E">
        <w:trPr>
          <w:trHeight w:val="255"/>
        </w:trPr>
        <w:tc>
          <w:tcPr>
            <w:tcW w:w="2985" w:type="pct"/>
            <w:tcBorders>
              <w:bottom w:val="double" w:sz="4" w:space="0" w:color="auto"/>
              <w:right w:val="nil"/>
            </w:tcBorders>
            <w:noWrap/>
            <w:hideMark/>
          </w:tcPr>
          <w:p w14:paraId="34D3272B" w14:textId="77777777" w:rsidR="00D434B4" w:rsidRPr="003C6769" w:rsidRDefault="00D434B4" w:rsidP="003C546E">
            <w:pPr>
              <w:pStyle w:val="TableText"/>
              <w:rPr>
                <w:b/>
              </w:rPr>
            </w:pPr>
            <w:r w:rsidRPr="003C6769">
              <w:rPr>
                <w:b/>
              </w:rPr>
              <w:t>ICER per couple that is genetically confirmed as being at risk of having a fetus affected by Hb Bart’s</w:t>
            </w:r>
          </w:p>
        </w:tc>
        <w:tc>
          <w:tcPr>
            <w:tcW w:w="672" w:type="pct"/>
            <w:tcBorders>
              <w:left w:val="nil"/>
              <w:bottom w:val="double" w:sz="4" w:space="0" w:color="auto"/>
              <w:right w:val="nil"/>
            </w:tcBorders>
            <w:noWrap/>
          </w:tcPr>
          <w:p w14:paraId="239277D0"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450B2A99" w14:textId="77777777" w:rsidR="00D434B4" w:rsidRPr="003C6769" w:rsidRDefault="00D434B4" w:rsidP="003C546E">
            <w:pPr>
              <w:pStyle w:val="TableText"/>
              <w:jc w:val="right"/>
              <w:rPr>
                <w:b/>
              </w:rPr>
            </w:pPr>
          </w:p>
        </w:tc>
        <w:tc>
          <w:tcPr>
            <w:tcW w:w="671" w:type="pct"/>
            <w:tcBorders>
              <w:bottom w:val="double" w:sz="4" w:space="0" w:color="auto"/>
            </w:tcBorders>
            <w:noWrap/>
          </w:tcPr>
          <w:p w14:paraId="586E06B9" w14:textId="77777777" w:rsidR="00D434B4" w:rsidRPr="003C6769" w:rsidRDefault="00D434B4" w:rsidP="003C546E">
            <w:pPr>
              <w:pStyle w:val="TableText"/>
              <w:jc w:val="right"/>
              <w:rPr>
                <w:b/>
              </w:rPr>
            </w:pPr>
            <w:r w:rsidRPr="003C6769">
              <w:rPr>
                <w:b/>
              </w:rPr>
              <w:t>$37,893</w:t>
            </w:r>
          </w:p>
        </w:tc>
      </w:tr>
      <w:tr w:rsidR="00D434B4" w:rsidRPr="00410F7C" w14:paraId="5C6AAE3B" w14:textId="77777777" w:rsidTr="003C546E">
        <w:trPr>
          <w:trHeight w:val="255"/>
        </w:trPr>
        <w:tc>
          <w:tcPr>
            <w:tcW w:w="2985" w:type="pct"/>
            <w:tcBorders>
              <w:bottom w:val="single" w:sz="4" w:space="0" w:color="auto"/>
            </w:tcBorders>
            <w:noWrap/>
            <w:hideMark/>
          </w:tcPr>
          <w:p w14:paraId="22DBCA9C" w14:textId="77777777" w:rsidR="00D434B4" w:rsidRPr="00410F7C" w:rsidRDefault="00D434B4" w:rsidP="003C546E">
            <w:pPr>
              <w:pStyle w:val="TableText"/>
            </w:pPr>
            <w:r w:rsidRPr="007127F3">
              <w:t>Couples identified as being at risk of having a fetus affected by Hb Bart’s</w:t>
            </w:r>
          </w:p>
        </w:tc>
        <w:tc>
          <w:tcPr>
            <w:tcW w:w="672" w:type="pct"/>
            <w:tcBorders>
              <w:bottom w:val="single" w:sz="4" w:space="0" w:color="auto"/>
            </w:tcBorders>
            <w:noWrap/>
          </w:tcPr>
          <w:p w14:paraId="64F88368" w14:textId="77777777" w:rsidR="00D434B4" w:rsidRPr="00410F7C" w:rsidRDefault="00D434B4" w:rsidP="003C546E">
            <w:pPr>
              <w:pStyle w:val="TableText"/>
              <w:jc w:val="right"/>
            </w:pPr>
            <w:r w:rsidRPr="002036C0">
              <w:t>0.0212</w:t>
            </w:r>
          </w:p>
        </w:tc>
        <w:tc>
          <w:tcPr>
            <w:tcW w:w="672" w:type="pct"/>
            <w:tcBorders>
              <w:bottom w:val="single" w:sz="4" w:space="0" w:color="auto"/>
            </w:tcBorders>
            <w:noWrap/>
          </w:tcPr>
          <w:p w14:paraId="2CD62A96" w14:textId="77777777" w:rsidR="00D434B4" w:rsidRPr="00410F7C" w:rsidRDefault="00D434B4" w:rsidP="003C546E">
            <w:pPr>
              <w:pStyle w:val="TableText"/>
              <w:jc w:val="right"/>
            </w:pPr>
            <w:r w:rsidRPr="002036C0">
              <w:t>0.0157</w:t>
            </w:r>
          </w:p>
        </w:tc>
        <w:tc>
          <w:tcPr>
            <w:tcW w:w="671" w:type="pct"/>
            <w:tcBorders>
              <w:bottom w:val="single" w:sz="4" w:space="0" w:color="auto"/>
            </w:tcBorders>
            <w:noWrap/>
          </w:tcPr>
          <w:p w14:paraId="2F2C955C" w14:textId="77777777" w:rsidR="00D434B4" w:rsidRPr="00410F7C" w:rsidRDefault="00D434B4" w:rsidP="003C546E">
            <w:pPr>
              <w:pStyle w:val="TableText"/>
              <w:jc w:val="right"/>
            </w:pPr>
            <w:r w:rsidRPr="002036C0">
              <w:t>0.0055</w:t>
            </w:r>
          </w:p>
        </w:tc>
      </w:tr>
      <w:tr w:rsidR="00D434B4" w:rsidRPr="003C6769" w14:paraId="176E048B" w14:textId="77777777" w:rsidTr="003C546E">
        <w:trPr>
          <w:trHeight w:val="255"/>
        </w:trPr>
        <w:tc>
          <w:tcPr>
            <w:tcW w:w="2985" w:type="pct"/>
            <w:tcBorders>
              <w:bottom w:val="double" w:sz="4" w:space="0" w:color="auto"/>
              <w:right w:val="nil"/>
            </w:tcBorders>
            <w:noWrap/>
            <w:hideMark/>
          </w:tcPr>
          <w:p w14:paraId="03AAF60A" w14:textId="77777777" w:rsidR="00D434B4" w:rsidRPr="003C6769" w:rsidRDefault="00D434B4" w:rsidP="003C546E">
            <w:pPr>
              <w:pStyle w:val="TableText"/>
              <w:rPr>
                <w:b/>
              </w:rPr>
            </w:pPr>
            <w:r w:rsidRPr="003C6769">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50AD80A0"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2B2C4D4C" w14:textId="77777777" w:rsidR="00D434B4" w:rsidRPr="003C6769" w:rsidRDefault="00D434B4" w:rsidP="003C546E">
            <w:pPr>
              <w:pStyle w:val="TableText"/>
              <w:jc w:val="right"/>
              <w:rPr>
                <w:b/>
              </w:rPr>
            </w:pPr>
          </w:p>
        </w:tc>
        <w:tc>
          <w:tcPr>
            <w:tcW w:w="671" w:type="pct"/>
            <w:tcBorders>
              <w:bottom w:val="double" w:sz="4" w:space="0" w:color="auto"/>
            </w:tcBorders>
            <w:noWrap/>
          </w:tcPr>
          <w:p w14:paraId="5D9E27E9" w14:textId="77777777" w:rsidR="00D434B4" w:rsidRPr="003C6769" w:rsidRDefault="00D434B4" w:rsidP="003C546E">
            <w:pPr>
              <w:pStyle w:val="TableText"/>
              <w:jc w:val="right"/>
              <w:rPr>
                <w:b/>
              </w:rPr>
            </w:pPr>
            <w:r w:rsidRPr="003C6769">
              <w:rPr>
                <w:b/>
              </w:rPr>
              <w:t>$146,568</w:t>
            </w:r>
          </w:p>
        </w:tc>
      </w:tr>
      <w:tr w:rsidR="00D434B4" w:rsidRPr="00410F7C" w14:paraId="6115FF4B" w14:textId="77777777" w:rsidTr="003C546E">
        <w:trPr>
          <w:trHeight w:val="255"/>
        </w:trPr>
        <w:tc>
          <w:tcPr>
            <w:tcW w:w="2985" w:type="pct"/>
            <w:tcBorders>
              <w:top w:val="double" w:sz="4" w:space="0" w:color="auto"/>
              <w:bottom w:val="single" w:sz="4" w:space="0" w:color="auto"/>
            </w:tcBorders>
            <w:noWrap/>
            <w:hideMark/>
          </w:tcPr>
          <w:p w14:paraId="72B0F560" w14:textId="77777777" w:rsidR="00D434B4" w:rsidRPr="00410F7C" w:rsidRDefault="00D434B4" w:rsidP="003C546E">
            <w:pPr>
              <w:pStyle w:val="TableText"/>
              <w:keepNext/>
            </w:pPr>
            <w:r w:rsidRPr="007127F3">
              <w:t>Couples with genetically confirmed status</w:t>
            </w:r>
            <w:r>
              <w:t xml:space="preserve"> (risk or not at risk of Hb Barts)</w:t>
            </w:r>
          </w:p>
        </w:tc>
        <w:tc>
          <w:tcPr>
            <w:tcW w:w="672" w:type="pct"/>
            <w:tcBorders>
              <w:top w:val="double" w:sz="4" w:space="0" w:color="auto"/>
              <w:bottom w:val="single" w:sz="4" w:space="0" w:color="auto"/>
            </w:tcBorders>
            <w:noWrap/>
          </w:tcPr>
          <w:p w14:paraId="09C25C83" w14:textId="77777777" w:rsidR="00D434B4" w:rsidRPr="00410F7C" w:rsidRDefault="00D434B4" w:rsidP="003C546E">
            <w:pPr>
              <w:pStyle w:val="TableText"/>
              <w:jc w:val="right"/>
            </w:pPr>
            <w:r w:rsidRPr="002036C0">
              <w:t>0.9989</w:t>
            </w:r>
          </w:p>
        </w:tc>
        <w:tc>
          <w:tcPr>
            <w:tcW w:w="672" w:type="pct"/>
            <w:tcBorders>
              <w:top w:val="double" w:sz="4" w:space="0" w:color="auto"/>
              <w:bottom w:val="single" w:sz="4" w:space="0" w:color="auto"/>
            </w:tcBorders>
            <w:noWrap/>
          </w:tcPr>
          <w:p w14:paraId="0063D227" w14:textId="77777777" w:rsidR="00D434B4" w:rsidRPr="00410F7C" w:rsidRDefault="00D434B4" w:rsidP="003C546E">
            <w:pPr>
              <w:pStyle w:val="TableText"/>
              <w:jc w:val="right"/>
            </w:pPr>
            <w:r w:rsidRPr="002036C0">
              <w:t>0.0000</w:t>
            </w:r>
          </w:p>
        </w:tc>
        <w:tc>
          <w:tcPr>
            <w:tcW w:w="671" w:type="pct"/>
            <w:tcBorders>
              <w:top w:val="double" w:sz="4" w:space="0" w:color="auto"/>
            </w:tcBorders>
            <w:noWrap/>
          </w:tcPr>
          <w:p w14:paraId="1081DD5D" w14:textId="77777777" w:rsidR="00D434B4" w:rsidRPr="00410F7C" w:rsidRDefault="00D434B4" w:rsidP="003C546E">
            <w:pPr>
              <w:pStyle w:val="TableText"/>
              <w:jc w:val="right"/>
            </w:pPr>
            <w:r w:rsidRPr="002036C0">
              <w:t>0.9989</w:t>
            </w:r>
          </w:p>
        </w:tc>
      </w:tr>
      <w:tr w:rsidR="00D434B4" w:rsidRPr="003C6769" w14:paraId="1DF5AA53" w14:textId="77777777" w:rsidTr="003C546E">
        <w:trPr>
          <w:trHeight w:val="255"/>
        </w:trPr>
        <w:tc>
          <w:tcPr>
            <w:tcW w:w="2985" w:type="pct"/>
            <w:tcBorders>
              <w:right w:val="nil"/>
            </w:tcBorders>
            <w:noWrap/>
            <w:hideMark/>
          </w:tcPr>
          <w:p w14:paraId="23EFC588" w14:textId="77777777" w:rsidR="00D434B4" w:rsidRPr="003C6769" w:rsidRDefault="00D434B4" w:rsidP="003C546E">
            <w:pPr>
              <w:pStyle w:val="TableText"/>
              <w:rPr>
                <w:b/>
              </w:rPr>
            </w:pPr>
            <w:r w:rsidRPr="003C6769">
              <w:rPr>
                <w:b/>
              </w:rPr>
              <w:t>ICER per couple with genetically confirmed status</w:t>
            </w:r>
          </w:p>
        </w:tc>
        <w:tc>
          <w:tcPr>
            <w:tcW w:w="672" w:type="pct"/>
            <w:tcBorders>
              <w:left w:val="nil"/>
              <w:right w:val="nil"/>
            </w:tcBorders>
            <w:noWrap/>
          </w:tcPr>
          <w:p w14:paraId="4079C3EE" w14:textId="77777777" w:rsidR="00D434B4" w:rsidRPr="003C6769" w:rsidRDefault="00D434B4" w:rsidP="003C546E">
            <w:pPr>
              <w:pStyle w:val="TableText"/>
              <w:jc w:val="right"/>
              <w:rPr>
                <w:b/>
              </w:rPr>
            </w:pPr>
          </w:p>
        </w:tc>
        <w:tc>
          <w:tcPr>
            <w:tcW w:w="672" w:type="pct"/>
            <w:tcBorders>
              <w:left w:val="nil"/>
            </w:tcBorders>
            <w:noWrap/>
          </w:tcPr>
          <w:p w14:paraId="1A5E4CEB" w14:textId="77777777" w:rsidR="00D434B4" w:rsidRPr="003C6769" w:rsidRDefault="00D434B4" w:rsidP="003C546E">
            <w:pPr>
              <w:pStyle w:val="TableText"/>
              <w:jc w:val="right"/>
              <w:rPr>
                <w:b/>
              </w:rPr>
            </w:pPr>
          </w:p>
        </w:tc>
        <w:tc>
          <w:tcPr>
            <w:tcW w:w="671" w:type="pct"/>
            <w:noWrap/>
          </w:tcPr>
          <w:p w14:paraId="2EB9837A" w14:textId="77777777" w:rsidR="00D434B4" w:rsidRPr="003C6769" w:rsidRDefault="00D434B4" w:rsidP="003C546E">
            <w:pPr>
              <w:pStyle w:val="TableText"/>
              <w:jc w:val="right"/>
              <w:rPr>
                <w:b/>
              </w:rPr>
            </w:pPr>
            <w:r w:rsidRPr="003C6769">
              <w:rPr>
                <w:b/>
              </w:rPr>
              <w:t>$803</w:t>
            </w:r>
          </w:p>
        </w:tc>
      </w:tr>
    </w:tbl>
    <w:p w14:paraId="6D974CB6" w14:textId="5E564A90" w:rsidR="00D434B4" w:rsidRDefault="00D434B4" w:rsidP="00C639A7">
      <w:pPr>
        <w:pStyle w:val="Tablenotes"/>
      </w:pPr>
      <w:r w:rsidRPr="00410F7C">
        <w:t>ICER = Incremental Cost Effectiveness Ratio</w:t>
      </w:r>
    </w:p>
    <w:p w14:paraId="6066D954" w14:textId="432CBD44" w:rsidR="00D434B4" w:rsidRPr="00492A3A" w:rsidRDefault="00D434B4" w:rsidP="00492A3A">
      <w:pPr>
        <w:rPr>
          <w:rFonts w:ascii="Arial Narrow" w:hAnsi="Arial Narrow"/>
          <w:b/>
          <w:sz w:val="20"/>
        </w:rPr>
      </w:pPr>
      <w:r w:rsidRPr="00492A3A">
        <w:rPr>
          <w:rFonts w:ascii="Arial Narrow" w:hAnsi="Arial Narrow"/>
          <w:b/>
          <w:sz w:val="20"/>
        </w:rPr>
        <w:t>Table1</w:t>
      </w:r>
      <w:r w:rsidR="00DD7372" w:rsidRPr="00492A3A">
        <w:rPr>
          <w:rFonts w:ascii="Arial Narrow" w:hAnsi="Arial Narrow"/>
          <w:b/>
          <w:sz w:val="20"/>
        </w:rPr>
        <w:t>6</w:t>
      </w:r>
      <w:r w:rsidRPr="00492A3A">
        <w:rPr>
          <w:rFonts w:ascii="Arial Narrow" w:hAnsi="Arial Narrow"/>
          <w:b/>
          <w:sz w:val="20"/>
        </w:rPr>
        <w:t xml:space="preserve"> Incremental cost-effectiveness in pregnant couples, scenario where parental testing is conducted simultaneously</w:t>
      </w:r>
    </w:p>
    <w:tbl>
      <w:tblPr>
        <w:tblStyle w:val="TableGrid1"/>
        <w:tblW w:w="5000" w:type="pct"/>
        <w:tblLayout w:type="fixed"/>
        <w:tblLook w:val="04A0" w:firstRow="1" w:lastRow="0" w:firstColumn="1" w:lastColumn="0" w:noHBand="0" w:noVBand="1"/>
        <w:tblCaption w:val="Incremental cost-effectiveness in pregnant couples, scenario where parental testing is conducted simultaneously"/>
        <w:tblDescription w:val="Incremental cost-effectiveness in pregnant couples, scenario where parental testing is conducted simultaneously"/>
      </w:tblPr>
      <w:tblGrid>
        <w:gridCol w:w="5382"/>
        <w:gridCol w:w="1212"/>
        <w:gridCol w:w="1212"/>
        <w:gridCol w:w="1210"/>
      </w:tblGrid>
      <w:tr w:rsidR="00D434B4" w:rsidRPr="00410F7C" w14:paraId="673D2D83" w14:textId="77777777" w:rsidTr="003C546E">
        <w:trPr>
          <w:cnfStyle w:val="100000000000" w:firstRow="1" w:lastRow="0" w:firstColumn="0" w:lastColumn="0" w:oddVBand="0" w:evenVBand="0" w:oddHBand="0" w:evenHBand="0" w:firstRowFirstColumn="0" w:firstRowLastColumn="0" w:lastRowFirstColumn="0" w:lastRowLastColumn="0"/>
          <w:trHeight w:val="255"/>
          <w:tblHeader/>
        </w:trPr>
        <w:tc>
          <w:tcPr>
            <w:tcW w:w="2985" w:type="pct"/>
            <w:noWrap/>
            <w:hideMark/>
          </w:tcPr>
          <w:p w14:paraId="64AC450E" w14:textId="77777777" w:rsidR="00D434B4" w:rsidRPr="00410F7C" w:rsidRDefault="00D434B4" w:rsidP="003C546E">
            <w:pPr>
              <w:pStyle w:val="TableHeading"/>
            </w:pPr>
          </w:p>
        </w:tc>
        <w:tc>
          <w:tcPr>
            <w:tcW w:w="672" w:type="pct"/>
            <w:noWrap/>
            <w:hideMark/>
          </w:tcPr>
          <w:p w14:paraId="3FE20640" w14:textId="77777777" w:rsidR="00D434B4" w:rsidRPr="00410F7C" w:rsidRDefault="00D434B4" w:rsidP="003C546E">
            <w:pPr>
              <w:pStyle w:val="TableHeading"/>
            </w:pPr>
            <w:r w:rsidRPr="00410F7C">
              <w:t>Intervention</w:t>
            </w:r>
          </w:p>
        </w:tc>
        <w:tc>
          <w:tcPr>
            <w:tcW w:w="672" w:type="pct"/>
            <w:noWrap/>
            <w:hideMark/>
          </w:tcPr>
          <w:p w14:paraId="5D1688C2" w14:textId="77777777" w:rsidR="00D434B4" w:rsidRPr="00410F7C" w:rsidRDefault="00D434B4" w:rsidP="003C546E">
            <w:pPr>
              <w:pStyle w:val="TableHeading"/>
            </w:pPr>
            <w:r w:rsidRPr="00410F7C">
              <w:t>Comparator</w:t>
            </w:r>
          </w:p>
        </w:tc>
        <w:tc>
          <w:tcPr>
            <w:tcW w:w="671" w:type="pct"/>
            <w:noWrap/>
            <w:hideMark/>
          </w:tcPr>
          <w:p w14:paraId="44896D91" w14:textId="77777777" w:rsidR="00D434B4" w:rsidRPr="00410F7C" w:rsidRDefault="00D434B4" w:rsidP="003C546E">
            <w:pPr>
              <w:pStyle w:val="TableHeading"/>
            </w:pPr>
            <w:r w:rsidRPr="00410F7C">
              <w:t>Increment</w:t>
            </w:r>
          </w:p>
        </w:tc>
      </w:tr>
      <w:tr w:rsidR="00D434B4" w:rsidRPr="00410F7C" w14:paraId="52240835" w14:textId="77777777" w:rsidTr="003C546E">
        <w:trPr>
          <w:trHeight w:val="255"/>
        </w:trPr>
        <w:tc>
          <w:tcPr>
            <w:tcW w:w="2985" w:type="pct"/>
            <w:noWrap/>
            <w:hideMark/>
          </w:tcPr>
          <w:p w14:paraId="3107F2A0" w14:textId="77777777" w:rsidR="00D434B4" w:rsidRPr="00410F7C" w:rsidRDefault="00D434B4" w:rsidP="003C546E">
            <w:pPr>
              <w:pStyle w:val="TableText"/>
            </w:pPr>
            <w:r w:rsidRPr="00410F7C">
              <w:t>Total cost</w:t>
            </w:r>
          </w:p>
        </w:tc>
        <w:tc>
          <w:tcPr>
            <w:tcW w:w="672" w:type="pct"/>
            <w:noWrap/>
          </w:tcPr>
          <w:p w14:paraId="18F3BD84" w14:textId="77777777" w:rsidR="00D434B4" w:rsidRPr="00410F7C" w:rsidRDefault="00D434B4" w:rsidP="003C546E">
            <w:pPr>
              <w:pStyle w:val="TableText"/>
              <w:jc w:val="right"/>
            </w:pPr>
            <w:r w:rsidRPr="00B45E4B">
              <w:t>$8,503</w:t>
            </w:r>
          </w:p>
        </w:tc>
        <w:tc>
          <w:tcPr>
            <w:tcW w:w="672" w:type="pct"/>
            <w:noWrap/>
          </w:tcPr>
          <w:p w14:paraId="59BA3F2D" w14:textId="77777777" w:rsidR="00D434B4" w:rsidRPr="00410F7C" w:rsidRDefault="00D434B4" w:rsidP="003C546E">
            <w:pPr>
              <w:pStyle w:val="TableText"/>
              <w:jc w:val="right"/>
            </w:pPr>
            <w:r w:rsidRPr="00B45E4B">
              <w:t>$7,742</w:t>
            </w:r>
          </w:p>
        </w:tc>
        <w:tc>
          <w:tcPr>
            <w:tcW w:w="671" w:type="pct"/>
            <w:noWrap/>
          </w:tcPr>
          <w:p w14:paraId="59169376" w14:textId="77777777" w:rsidR="00D434B4" w:rsidRPr="00410F7C" w:rsidRDefault="00D434B4" w:rsidP="003C546E">
            <w:pPr>
              <w:pStyle w:val="TableText"/>
              <w:jc w:val="right"/>
            </w:pPr>
            <w:r w:rsidRPr="00B45E4B">
              <w:t>$761</w:t>
            </w:r>
          </w:p>
        </w:tc>
      </w:tr>
      <w:tr w:rsidR="00D434B4" w:rsidRPr="00410F7C" w14:paraId="294F41FB" w14:textId="77777777" w:rsidTr="003C546E">
        <w:trPr>
          <w:trHeight w:val="255"/>
        </w:trPr>
        <w:tc>
          <w:tcPr>
            <w:tcW w:w="2985" w:type="pct"/>
            <w:tcBorders>
              <w:bottom w:val="single" w:sz="4" w:space="0" w:color="auto"/>
            </w:tcBorders>
            <w:noWrap/>
            <w:hideMark/>
          </w:tcPr>
          <w:p w14:paraId="4B5BBA23" w14:textId="77777777" w:rsidR="00D434B4" w:rsidRPr="00410F7C" w:rsidRDefault="00D434B4" w:rsidP="003C546E">
            <w:pPr>
              <w:pStyle w:val="TableText"/>
            </w:pPr>
            <w:r w:rsidRPr="001A22F0">
              <w:t>Couples genetically confirmed as being at risk of having a fetus affected by Hb Bart’s</w:t>
            </w:r>
          </w:p>
        </w:tc>
        <w:tc>
          <w:tcPr>
            <w:tcW w:w="672" w:type="pct"/>
            <w:tcBorders>
              <w:bottom w:val="single" w:sz="4" w:space="0" w:color="auto"/>
            </w:tcBorders>
            <w:noWrap/>
          </w:tcPr>
          <w:p w14:paraId="1900A53D" w14:textId="77777777" w:rsidR="00D434B4" w:rsidRPr="00410F7C" w:rsidRDefault="00D434B4" w:rsidP="003C546E">
            <w:pPr>
              <w:pStyle w:val="TableText"/>
              <w:jc w:val="right"/>
            </w:pPr>
            <w:r w:rsidRPr="00B45E4B">
              <w:t>0.0212</w:t>
            </w:r>
          </w:p>
        </w:tc>
        <w:tc>
          <w:tcPr>
            <w:tcW w:w="672" w:type="pct"/>
            <w:tcBorders>
              <w:bottom w:val="single" w:sz="4" w:space="0" w:color="auto"/>
            </w:tcBorders>
            <w:noWrap/>
          </w:tcPr>
          <w:p w14:paraId="48CFC471" w14:textId="77777777" w:rsidR="00D434B4" w:rsidRPr="00410F7C" w:rsidRDefault="00D434B4" w:rsidP="003C546E">
            <w:pPr>
              <w:pStyle w:val="TableText"/>
              <w:jc w:val="right"/>
            </w:pPr>
            <w:r w:rsidRPr="00B45E4B">
              <w:t>0.0000</w:t>
            </w:r>
          </w:p>
        </w:tc>
        <w:tc>
          <w:tcPr>
            <w:tcW w:w="671" w:type="pct"/>
            <w:tcBorders>
              <w:bottom w:val="single" w:sz="4" w:space="0" w:color="auto"/>
            </w:tcBorders>
            <w:noWrap/>
          </w:tcPr>
          <w:p w14:paraId="65AFEE21" w14:textId="77777777" w:rsidR="00D434B4" w:rsidRPr="00410F7C" w:rsidRDefault="00D434B4" w:rsidP="003C546E">
            <w:pPr>
              <w:pStyle w:val="TableText"/>
              <w:jc w:val="right"/>
            </w:pPr>
            <w:r w:rsidRPr="00B45E4B">
              <w:t>0.0212</w:t>
            </w:r>
          </w:p>
        </w:tc>
      </w:tr>
      <w:tr w:rsidR="00D434B4" w:rsidRPr="003C6769" w14:paraId="72F81C15" w14:textId="77777777" w:rsidTr="003C546E">
        <w:trPr>
          <w:trHeight w:val="255"/>
        </w:trPr>
        <w:tc>
          <w:tcPr>
            <w:tcW w:w="2985" w:type="pct"/>
            <w:tcBorders>
              <w:bottom w:val="double" w:sz="4" w:space="0" w:color="auto"/>
              <w:right w:val="nil"/>
            </w:tcBorders>
            <w:noWrap/>
            <w:hideMark/>
          </w:tcPr>
          <w:p w14:paraId="60A2F36D" w14:textId="77777777" w:rsidR="00D434B4" w:rsidRPr="003C6769" w:rsidRDefault="00D434B4" w:rsidP="003C546E">
            <w:pPr>
              <w:pStyle w:val="TableText"/>
              <w:rPr>
                <w:b/>
              </w:rPr>
            </w:pPr>
            <w:r w:rsidRPr="003C6769">
              <w:rPr>
                <w:b/>
              </w:rPr>
              <w:t>ICER per couple that is genetically confirmed as being at risk of having a fetus affected by Hb Bart’s</w:t>
            </w:r>
          </w:p>
        </w:tc>
        <w:tc>
          <w:tcPr>
            <w:tcW w:w="672" w:type="pct"/>
            <w:tcBorders>
              <w:left w:val="nil"/>
              <w:bottom w:val="double" w:sz="4" w:space="0" w:color="auto"/>
              <w:right w:val="nil"/>
            </w:tcBorders>
            <w:noWrap/>
          </w:tcPr>
          <w:p w14:paraId="6661941B"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487BC525" w14:textId="77777777" w:rsidR="00D434B4" w:rsidRPr="003C6769" w:rsidRDefault="00D434B4" w:rsidP="003C546E">
            <w:pPr>
              <w:pStyle w:val="TableText"/>
              <w:jc w:val="right"/>
              <w:rPr>
                <w:b/>
              </w:rPr>
            </w:pPr>
          </w:p>
        </w:tc>
        <w:tc>
          <w:tcPr>
            <w:tcW w:w="671" w:type="pct"/>
            <w:tcBorders>
              <w:bottom w:val="double" w:sz="4" w:space="0" w:color="auto"/>
            </w:tcBorders>
            <w:noWrap/>
          </w:tcPr>
          <w:p w14:paraId="4F470783" w14:textId="77777777" w:rsidR="00D434B4" w:rsidRPr="003C6769" w:rsidRDefault="00D434B4" w:rsidP="003C546E">
            <w:pPr>
              <w:pStyle w:val="TableText"/>
              <w:jc w:val="right"/>
              <w:rPr>
                <w:b/>
              </w:rPr>
            </w:pPr>
            <w:r w:rsidRPr="003C6769">
              <w:rPr>
                <w:b/>
              </w:rPr>
              <w:t>$35,967</w:t>
            </w:r>
          </w:p>
        </w:tc>
      </w:tr>
      <w:tr w:rsidR="00D434B4" w:rsidRPr="00410F7C" w14:paraId="7D348900" w14:textId="77777777" w:rsidTr="003C546E">
        <w:trPr>
          <w:trHeight w:val="255"/>
        </w:trPr>
        <w:tc>
          <w:tcPr>
            <w:tcW w:w="2985" w:type="pct"/>
            <w:tcBorders>
              <w:bottom w:val="single" w:sz="4" w:space="0" w:color="auto"/>
            </w:tcBorders>
            <w:noWrap/>
            <w:hideMark/>
          </w:tcPr>
          <w:p w14:paraId="335A3642" w14:textId="77777777" w:rsidR="00D434B4" w:rsidRPr="00410F7C" w:rsidRDefault="00D434B4" w:rsidP="003C546E">
            <w:pPr>
              <w:pStyle w:val="TableText"/>
            </w:pPr>
            <w:r w:rsidRPr="001A22F0">
              <w:t>Couples identified as being at risk of having a fetus affected by Hb Bart’s</w:t>
            </w:r>
          </w:p>
        </w:tc>
        <w:tc>
          <w:tcPr>
            <w:tcW w:w="672" w:type="pct"/>
            <w:tcBorders>
              <w:bottom w:val="single" w:sz="4" w:space="0" w:color="auto"/>
            </w:tcBorders>
            <w:noWrap/>
          </w:tcPr>
          <w:p w14:paraId="26E059B8" w14:textId="77777777" w:rsidR="00D434B4" w:rsidRPr="00410F7C" w:rsidRDefault="00D434B4" w:rsidP="003C546E">
            <w:pPr>
              <w:pStyle w:val="TableText"/>
              <w:jc w:val="right"/>
            </w:pPr>
            <w:r w:rsidRPr="00B45E4B">
              <w:t>0.0212</w:t>
            </w:r>
          </w:p>
        </w:tc>
        <w:tc>
          <w:tcPr>
            <w:tcW w:w="672" w:type="pct"/>
            <w:tcBorders>
              <w:bottom w:val="single" w:sz="4" w:space="0" w:color="auto"/>
            </w:tcBorders>
            <w:noWrap/>
          </w:tcPr>
          <w:p w14:paraId="07DEB639" w14:textId="77777777" w:rsidR="00D434B4" w:rsidRPr="00410F7C" w:rsidRDefault="00D434B4" w:rsidP="003C546E">
            <w:pPr>
              <w:pStyle w:val="TableText"/>
              <w:jc w:val="right"/>
            </w:pPr>
            <w:r w:rsidRPr="00B45E4B">
              <w:t>0.0157</w:t>
            </w:r>
          </w:p>
        </w:tc>
        <w:tc>
          <w:tcPr>
            <w:tcW w:w="671" w:type="pct"/>
            <w:tcBorders>
              <w:bottom w:val="single" w:sz="4" w:space="0" w:color="auto"/>
            </w:tcBorders>
            <w:noWrap/>
          </w:tcPr>
          <w:p w14:paraId="06015C09" w14:textId="77777777" w:rsidR="00D434B4" w:rsidRPr="00410F7C" w:rsidRDefault="00D434B4" w:rsidP="003C546E">
            <w:pPr>
              <w:pStyle w:val="TableText"/>
              <w:jc w:val="right"/>
            </w:pPr>
            <w:r w:rsidRPr="00B45E4B">
              <w:t>0.0055</w:t>
            </w:r>
          </w:p>
        </w:tc>
      </w:tr>
      <w:tr w:rsidR="00D434B4" w:rsidRPr="003C6769" w14:paraId="426908BB" w14:textId="77777777" w:rsidTr="003C546E">
        <w:trPr>
          <w:trHeight w:val="255"/>
        </w:trPr>
        <w:tc>
          <w:tcPr>
            <w:tcW w:w="2985" w:type="pct"/>
            <w:tcBorders>
              <w:bottom w:val="double" w:sz="4" w:space="0" w:color="auto"/>
              <w:right w:val="nil"/>
            </w:tcBorders>
            <w:noWrap/>
            <w:hideMark/>
          </w:tcPr>
          <w:p w14:paraId="6378CCFE" w14:textId="77777777" w:rsidR="00D434B4" w:rsidRPr="003C6769" w:rsidRDefault="00D434B4" w:rsidP="003C546E">
            <w:pPr>
              <w:pStyle w:val="TableText"/>
              <w:rPr>
                <w:b/>
              </w:rPr>
            </w:pPr>
            <w:r w:rsidRPr="003C6769">
              <w:rPr>
                <w:b/>
              </w:rPr>
              <w:t>ICER per additional couple that is identified as being at risk of having a fetus affected by Hb Bart’s</w:t>
            </w:r>
          </w:p>
        </w:tc>
        <w:tc>
          <w:tcPr>
            <w:tcW w:w="672" w:type="pct"/>
            <w:tcBorders>
              <w:left w:val="nil"/>
              <w:bottom w:val="double" w:sz="4" w:space="0" w:color="auto"/>
              <w:right w:val="nil"/>
            </w:tcBorders>
            <w:noWrap/>
          </w:tcPr>
          <w:p w14:paraId="2C5D2030"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0BA8AB35" w14:textId="77777777" w:rsidR="00D434B4" w:rsidRPr="003C6769" w:rsidRDefault="00D434B4" w:rsidP="003C546E">
            <w:pPr>
              <w:pStyle w:val="TableText"/>
              <w:jc w:val="right"/>
              <w:rPr>
                <w:b/>
              </w:rPr>
            </w:pPr>
          </w:p>
        </w:tc>
        <w:tc>
          <w:tcPr>
            <w:tcW w:w="671" w:type="pct"/>
            <w:tcBorders>
              <w:bottom w:val="double" w:sz="4" w:space="0" w:color="auto"/>
            </w:tcBorders>
            <w:noWrap/>
          </w:tcPr>
          <w:p w14:paraId="60BCB498" w14:textId="77777777" w:rsidR="00D434B4" w:rsidRPr="003C6769" w:rsidRDefault="00D434B4" w:rsidP="003C546E">
            <w:pPr>
              <w:pStyle w:val="TableText"/>
              <w:jc w:val="right"/>
              <w:rPr>
                <w:b/>
              </w:rPr>
            </w:pPr>
            <w:r w:rsidRPr="003C6769">
              <w:rPr>
                <w:b/>
              </w:rPr>
              <w:t>$139,119</w:t>
            </w:r>
          </w:p>
        </w:tc>
      </w:tr>
      <w:tr w:rsidR="00D434B4" w:rsidRPr="00410F7C" w14:paraId="1311764F" w14:textId="77777777" w:rsidTr="003C546E">
        <w:trPr>
          <w:trHeight w:val="255"/>
        </w:trPr>
        <w:tc>
          <w:tcPr>
            <w:tcW w:w="2985" w:type="pct"/>
            <w:tcBorders>
              <w:top w:val="double" w:sz="4" w:space="0" w:color="auto"/>
              <w:bottom w:val="single" w:sz="4" w:space="0" w:color="auto"/>
            </w:tcBorders>
            <w:noWrap/>
            <w:hideMark/>
          </w:tcPr>
          <w:p w14:paraId="5280BBC9" w14:textId="77777777" w:rsidR="00D434B4" w:rsidRPr="00410F7C" w:rsidRDefault="00D434B4" w:rsidP="003C546E">
            <w:pPr>
              <w:pStyle w:val="TableText"/>
            </w:pPr>
            <w:r w:rsidRPr="001A22F0">
              <w:t>Couples with genetically confirmed status</w:t>
            </w:r>
            <w:r>
              <w:t xml:space="preserve"> (risk or not at risk of Hb Barts)</w:t>
            </w:r>
          </w:p>
        </w:tc>
        <w:tc>
          <w:tcPr>
            <w:tcW w:w="672" w:type="pct"/>
            <w:tcBorders>
              <w:top w:val="double" w:sz="4" w:space="0" w:color="auto"/>
              <w:bottom w:val="single" w:sz="4" w:space="0" w:color="auto"/>
            </w:tcBorders>
            <w:noWrap/>
          </w:tcPr>
          <w:p w14:paraId="2FB0DD4C" w14:textId="77777777" w:rsidR="00D434B4" w:rsidRPr="00410F7C" w:rsidRDefault="00D434B4" w:rsidP="003C546E">
            <w:pPr>
              <w:pStyle w:val="TableText"/>
              <w:jc w:val="right"/>
            </w:pPr>
            <w:r w:rsidRPr="00B45E4B">
              <w:t>0.9989</w:t>
            </w:r>
          </w:p>
        </w:tc>
        <w:tc>
          <w:tcPr>
            <w:tcW w:w="672" w:type="pct"/>
            <w:tcBorders>
              <w:top w:val="double" w:sz="4" w:space="0" w:color="auto"/>
              <w:bottom w:val="single" w:sz="4" w:space="0" w:color="auto"/>
            </w:tcBorders>
            <w:noWrap/>
          </w:tcPr>
          <w:p w14:paraId="2F2666D4" w14:textId="77777777" w:rsidR="00D434B4" w:rsidRPr="00410F7C" w:rsidRDefault="00D434B4" w:rsidP="003C546E">
            <w:pPr>
              <w:pStyle w:val="TableText"/>
              <w:jc w:val="right"/>
            </w:pPr>
            <w:r w:rsidRPr="00B45E4B">
              <w:t>0.0000</w:t>
            </w:r>
          </w:p>
        </w:tc>
        <w:tc>
          <w:tcPr>
            <w:tcW w:w="671" w:type="pct"/>
            <w:tcBorders>
              <w:top w:val="double" w:sz="4" w:space="0" w:color="auto"/>
              <w:bottom w:val="single" w:sz="4" w:space="0" w:color="auto"/>
            </w:tcBorders>
            <w:noWrap/>
          </w:tcPr>
          <w:p w14:paraId="6F43B206" w14:textId="77777777" w:rsidR="00D434B4" w:rsidRPr="00410F7C" w:rsidRDefault="00D434B4" w:rsidP="003C546E">
            <w:pPr>
              <w:pStyle w:val="TableText"/>
              <w:jc w:val="right"/>
            </w:pPr>
            <w:r w:rsidRPr="00B45E4B">
              <w:t>0.9989</w:t>
            </w:r>
          </w:p>
        </w:tc>
      </w:tr>
      <w:tr w:rsidR="00D434B4" w:rsidRPr="003C6769" w14:paraId="0AE08734" w14:textId="77777777" w:rsidTr="003C546E">
        <w:trPr>
          <w:trHeight w:val="255"/>
        </w:trPr>
        <w:tc>
          <w:tcPr>
            <w:tcW w:w="2985" w:type="pct"/>
            <w:tcBorders>
              <w:bottom w:val="double" w:sz="4" w:space="0" w:color="auto"/>
              <w:right w:val="nil"/>
            </w:tcBorders>
            <w:noWrap/>
            <w:hideMark/>
          </w:tcPr>
          <w:p w14:paraId="1FF47E5B" w14:textId="77777777" w:rsidR="00D434B4" w:rsidRPr="003C6769" w:rsidRDefault="00D434B4" w:rsidP="003C546E">
            <w:pPr>
              <w:pStyle w:val="TableText"/>
              <w:rPr>
                <w:b/>
              </w:rPr>
            </w:pPr>
            <w:r w:rsidRPr="003C6769">
              <w:rPr>
                <w:b/>
              </w:rPr>
              <w:t>ICER per couple with genetically confirmed status</w:t>
            </w:r>
          </w:p>
        </w:tc>
        <w:tc>
          <w:tcPr>
            <w:tcW w:w="672" w:type="pct"/>
            <w:tcBorders>
              <w:left w:val="nil"/>
              <w:bottom w:val="double" w:sz="4" w:space="0" w:color="auto"/>
              <w:right w:val="nil"/>
            </w:tcBorders>
            <w:noWrap/>
          </w:tcPr>
          <w:p w14:paraId="01A031BE" w14:textId="77777777" w:rsidR="00D434B4" w:rsidRPr="003C6769" w:rsidRDefault="00D434B4" w:rsidP="003C546E">
            <w:pPr>
              <w:pStyle w:val="TableText"/>
              <w:jc w:val="right"/>
              <w:rPr>
                <w:b/>
              </w:rPr>
            </w:pPr>
          </w:p>
        </w:tc>
        <w:tc>
          <w:tcPr>
            <w:tcW w:w="672" w:type="pct"/>
            <w:tcBorders>
              <w:left w:val="nil"/>
              <w:bottom w:val="double" w:sz="4" w:space="0" w:color="auto"/>
            </w:tcBorders>
            <w:noWrap/>
          </w:tcPr>
          <w:p w14:paraId="79A100D7" w14:textId="77777777" w:rsidR="00D434B4" w:rsidRPr="003C6769" w:rsidRDefault="00D434B4" w:rsidP="003C546E">
            <w:pPr>
              <w:pStyle w:val="TableText"/>
              <w:jc w:val="right"/>
              <w:rPr>
                <w:b/>
              </w:rPr>
            </w:pPr>
          </w:p>
        </w:tc>
        <w:tc>
          <w:tcPr>
            <w:tcW w:w="671" w:type="pct"/>
            <w:tcBorders>
              <w:bottom w:val="double" w:sz="4" w:space="0" w:color="auto"/>
            </w:tcBorders>
            <w:noWrap/>
          </w:tcPr>
          <w:p w14:paraId="30AA2880" w14:textId="77777777" w:rsidR="00D434B4" w:rsidRPr="003C6769" w:rsidRDefault="00D434B4" w:rsidP="003C546E">
            <w:pPr>
              <w:pStyle w:val="TableText"/>
              <w:jc w:val="right"/>
              <w:rPr>
                <w:b/>
              </w:rPr>
            </w:pPr>
            <w:r w:rsidRPr="003C6769">
              <w:rPr>
                <w:b/>
              </w:rPr>
              <w:t>$762</w:t>
            </w:r>
          </w:p>
        </w:tc>
      </w:tr>
      <w:tr w:rsidR="00D434B4" w:rsidRPr="00410F7C" w14:paraId="0AA7A294" w14:textId="77777777" w:rsidTr="003C546E">
        <w:trPr>
          <w:trHeight w:val="255"/>
        </w:trPr>
        <w:tc>
          <w:tcPr>
            <w:tcW w:w="2985" w:type="pct"/>
            <w:tcBorders>
              <w:top w:val="double" w:sz="4" w:space="0" w:color="auto"/>
              <w:bottom w:val="single" w:sz="4" w:space="0" w:color="auto"/>
            </w:tcBorders>
            <w:noWrap/>
          </w:tcPr>
          <w:p w14:paraId="62AF7B0E" w14:textId="77777777" w:rsidR="00D434B4" w:rsidRPr="00057695" w:rsidRDefault="00D434B4" w:rsidP="003C546E">
            <w:pPr>
              <w:pStyle w:val="TableText"/>
              <w:rPr>
                <w:highlight w:val="green"/>
              </w:rPr>
            </w:pPr>
            <w:r w:rsidRPr="001A22F0">
              <w:t>Cases of Hb Bart’s (i.e. late termination, stillbirth or die shortly after birth)</w:t>
            </w:r>
          </w:p>
        </w:tc>
        <w:tc>
          <w:tcPr>
            <w:tcW w:w="672" w:type="pct"/>
            <w:tcBorders>
              <w:top w:val="double" w:sz="4" w:space="0" w:color="auto"/>
              <w:bottom w:val="single" w:sz="4" w:space="0" w:color="auto"/>
            </w:tcBorders>
            <w:noWrap/>
          </w:tcPr>
          <w:p w14:paraId="0110A587" w14:textId="77777777" w:rsidR="00D434B4" w:rsidRPr="00410F7C" w:rsidRDefault="00D434B4" w:rsidP="003C546E">
            <w:pPr>
              <w:pStyle w:val="TableText"/>
              <w:jc w:val="right"/>
            </w:pPr>
            <w:r w:rsidRPr="00B45E4B">
              <w:t>0.0003</w:t>
            </w:r>
          </w:p>
        </w:tc>
        <w:tc>
          <w:tcPr>
            <w:tcW w:w="672" w:type="pct"/>
            <w:tcBorders>
              <w:top w:val="double" w:sz="4" w:space="0" w:color="auto"/>
              <w:bottom w:val="single" w:sz="4" w:space="0" w:color="auto"/>
            </w:tcBorders>
            <w:noWrap/>
          </w:tcPr>
          <w:p w14:paraId="76AACC8F" w14:textId="77777777" w:rsidR="00D434B4" w:rsidRPr="00410F7C" w:rsidRDefault="00D434B4" w:rsidP="003C546E">
            <w:pPr>
              <w:pStyle w:val="TableText"/>
              <w:jc w:val="right"/>
            </w:pPr>
            <w:r w:rsidRPr="00B45E4B">
              <w:t>0.0055</w:t>
            </w:r>
          </w:p>
        </w:tc>
        <w:tc>
          <w:tcPr>
            <w:tcW w:w="671" w:type="pct"/>
            <w:tcBorders>
              <w:top w:val="double" w:sz="4" w:space="0" w:color="auto"/>
              <w:bottom w:val="single" w:sz="4" w:space="0" w:color="auto"/>
            </w:tcBorders>
            <w:noWrap/>
          </w:tcPr>
          <w:p w14:paraId="117683B6" w14:textId="77777777" w:rsidR="00D434B4" w:rsidRPr="00410F7C" w:rsidRDefault="00D434B4" w:rsidP="003C546E">
            <w:pPr>
              <w:pStyle w:val="TableText"/>
              <w:jc w:val="right"/>
            </w:pPr>
            <w:r>
              <w:t>−</w:t>
            </w:r>
            <w:r w:rsidRPr="00B45E4B">
              <w:t>0.0052</w:t>
            </w:r>
          </w:p>
        </w:tc>
      </w:tr>
      <w:tr w:rsidR="00D434B4" w:rsidRPr="003C6769" w14:paraId="07DB2B46" w14:textId="77777777" w:rsidTr="003C546E">
        <w:trPr>
          <w:trHeight w:val="255"/>
        </w:trPr>
        <w:tc>
          <w:tcPr>
            <w:tcW w:w="2985" w:type="pct"/>
            <w:tcBorders>
              <w:bottom w:val="single" w:sz="4" w:space="0" w:color="auto"/>
              <w:right w:val="nil"/>
            </w:tcBorders>
            <w:noWrap/>
          </w:tcPr>
          <w:p w14:paraId="5C14C9DA" w14:textId="77777777" w:rsidR="00D434B4" w:rsidRPr="003C6769" w:rsidRDefault="00D434B4" w:rsidP="003C546E">
            <w:pPr>
              <w:pStyle w:val="TableText"/>
              <w:rPr>
                <w:b/>
                <w:highlight w:val="green"/>
              </w:rPr>
            </w:pPr>
            <w:r w:rsidRPr="003C6769">
              <w:rPr>
                <w:b/>
              </w:rPr>
              <w:t>ICER per avoided case of Hb Bart’s that is terminated late, stillborn or dies shortly after birth</w:t>
            </w:r>
          </w:p>
        </w:tc>
        <w:tc>
          <w:tcPr>
            <w:tcW w:w="672" w:type="pct"/>
            <w:tcBorders>
              <w:left w:val="nil"/>
              <w:bottom w:val="single" w:sz="4" w:space="0" w:color="auto"/>
              <w:right w:val="nil"/>
            </w:tcBorders>
            <w:noWrap/>
          </w:tcPr>
          <w:p w14:paraId="249091FB" w14:textId="77777777" w:rsidR="00D434B4" w:rsidRPr="003C6769" w:rsidRDefault="00D434B4" w:rsidP="003C546E">
            <w:pPr>
              <w:pStyle w:val="TableText"/>
              <w:jc w:val="right"/>
              <w:rPr>
                <w:b/>
              </w:rPr>
            </w:pPr>
          </w:p>
        </w:tc>
        <w:tc>
          <w:tcPr>
            <w:tcW w:w="672" w:type="pct"/>
            <w:tcBorders>
              <w:left w:val="nil"/>
              <w:bottom w:val="single" w:sz="4" w:space="0" w:color="auto"/>
            </w:tcBorders>
            <w:noWrap/>
          </w:tcPr>
          <w:p w14:paraId="593CFF3B" w14:textId="77777777" w:rsidR="00D434B4" w:rsidRPr="003C6769" w:rsidRDefault="00D434B4" w:rsidP="003C546E">
            <w:pPr>
              <w:pStyle w:val="TableText"/>
              <w:jc w:val="right"/>
              <w:rPr>
                <w:b/>
              </w:rPr>
            </w:pPr>
          </w:p>
        </w:tc>
        <w:tc>
          <w:tcPr>
            <w:tcW w:w="671" w:type="pct"/>
            <w:tcBorders>
              <w:bottom w:val="single" w:sz="4" w:space="0" w:color="auto"/>
            </w:tcBorders>
            <w:noWrap/>
          </w:tcPr>
          <w:p w14:paraId="14186B5B" w14:textId="77777777" w:rsidR="00D434B4" w:rsidRPr="003C6769" w:rsidRDefault="00D434B4" w:rsidP="003C546E">
            <w:pPr>
              <w:pStyle w:val="TableText"/>
              <w:jc w:val="right"/>
              <w:rPr>
                <w:b/>
              </w:rPr>
            </w:pPr>
            <w:r w:rsidRPr="003C6769">
              <w:rPr>
                <w:b/>
              </w:rPr>
              <w:t>$146,272</w:t>
            </w:r>
          </w:p>
        </w:tc>
      </w:tr>
    </w:tbl>
    <w:p w14:paraId="311D20D2" w14:textId="4AD804CC" w:rsidR="00816546" w:rsidRPr="000600FB" w:rsidRDefault="00D434B4" w:rsidP="004E5F31">
      <w:pPr>
        <w:pStyle w:val="Tablenotes"/>
      </w:pPr>
      <w:r w:rsidRPr="00410F7C">
        <w:t>ICER = Incremental Cost Effectiveness Ratio</w:t>
      </w:r>
    </w:p>
    <w:p w14:paraId="63D02B31" w14:textId="77777777" w:rsidR="00BC1364" w:rsidRPr="00F715D1" w:rsidRDefault="00BC1364" w:rsidP="000600FB">
      <w:pPr>
        <w:pStyle w:val="Heading1"/>
        <w:ind w:left="0" w:firstLine="0"/>
      </w:pPr>
      <w:r w:rsidRPr="00F715D1">
        <w:t>Financial/budgetary impacts</w:t>
      </w:r>
    </w:p>
    <w:p w14:paraId="1BC32A68" w14:textId="55FBF70E" w:rsidR="004E5F31" w:rsidRPr="004E5F31" w:rsidRDefault="00CE521F">
      <w:r>
        <w:t xml:space="preserve">An epidemiological approach </w:t>
      </w:r>
      <w:r w:rsidRPr="005C5F7C">
        <w:t>has been used to estimate the financial implications</w:t>
      </w:r>
      <w:r>
        <w:t xml:space="preserve"> of</w:t>
      </w:r>
      <w:r w:rsidRPr="005C5F7C">
        <w:t xml:space="preserve"> </w:t>
      </w:r>
      <w:r>
        <w:t>listing α thalassaemia deletion testing on the MBS</w:t>
      </w:r>
      <w:r w:rsidR="008720F2">
        <w:t xml:space="preserve"> at the </w:t>
      </w:r>
      <w:r w:rsidR="005806AF">
        <w:t>applicant’s</w:t>
      </w:r>
      <w:r w:rsidR="008720F2">
        <w:t xml:space="preserve"> proposed rate of $100 per test</w:t>
      </w:r>
      <w:r>
        <w:t xml:space="preserve"> (</w:t>
      </w:r>
      <w:r w:rsidR="006F6129">
        <w:fldChar w:fldCharType="begin"/>
      </w:r>
      <w:r w:rsidR="006F6129">
        <w:instrText xml:space="preserve"> REF _Ref395200110 \h </w:instrText>
      </w:r>
      <w:r w:rsidR="006F6129">
        <w:fldChar w:fldCharType="separate"/>
      </w:r>
      <w:r w:rsidR="006F6129" w:rsidRPr="009C4658">
        <w:t xml:space="preserve">Table </w:t>
      </w:r>
      <w:r w:rsidR="006F6129">
        <w:rPr>
          <w:noProof/>
        </w:rPr>
        <w:t>1</w:t>
      </w:r>
      <w:r w:rsidR="006F6129">
        <w:fldChar w:fldCharType="end"/>
      </w:r>
      <w:r w:rsidR="00137B47">
        <w:t>7</w:t>
      </w:r>
      <w:r w:rsidR="004E5F31">
        <w:t>).</w:t>
      </w:r>
      <w:bookmarkStart w:id="28" w:name="_Ref395200110"/>
      <w:bookmarkStart w:id="29" w:name="_Toc393197779"/>
      <w:bookmarkStart w:id="30" w:name="_Toc393378192"/>
      <w:bookmarkStart w:id="31" w:name="_Toc432677276"/>
      <w:bookmarkStart w:id="32" w:name="_Toc527050575"/>
      <w:r w:rsidR="004E5F31">
        <w:br w:type="page"/>
      </w:r>
    </w:p>
    <w:p w14:paraId="1CBC25FA" w14:textId="510DB276" w:rsidR="00CE521F" w:rsidRPr="00492A3A" w:rsidRDefault="00CE521F" w:rsidP="00492A3A">
      <w:pPr>
        <w:rPr>
          <w:rFonts w:ascii="Arial Narrow" w:hAnsi="Arial Narrow"/>
          <w:b/>
          <w:sz w:val="20"/>
        </w:rPr>
      </w:pPr>
      <w:r w:rsidRPr="00492A3A">
        <w:rPr>
          <w:rFonts w:ascii="Arial Narrow" w:hAnsi="Arial Narrow"/>
          <w:b/>
          <w:sz w:val="20"/>
        </w:rPr>
        <w:lastRenderedPageBreak/>
        <w:t xml:space="preserve">Table </w:t>
      </w:r>
      <w:r w:rsidR="006F6129" w:rsidRPr="00492A3A">
        <w:rPr>
          <w:rFonts w:ascii="Arial Narrow" w:hAnsi="Arial Narrow"/>
          <w:b/>
          <w:sz w:val="20"/>
        </w:rPr>
        <w:t>1</w:t>
      </w:r>
      <w:bookmarkEnd w:id="28"/>
      <w:r w:rsidR="00137B47">
        <w:rPr>
          <w:rFonts w:ascii="Arial Narrow" w:hAnsi="Arial Narrow"/>
          <w:b/>
          <w:sz w:val="20"/>
        </w:rPr>
        <w:t>7</w:t>
      </w:r>
      <w:r w:rsidRPr="00492A3A">
        <w:rPr>
          <w:rFonts w:ascii="Arial Narrow" w:hAnsi="Arial Narrow"/>
          <w:b/>
          <w:sz w:val="20"/>
        </w:rPr>
        <w:tab/>
      </w:r>
      <w:r w:rsidR="006F6129" w:rsidRPr="00492A3A">
        <w:rPr>
          <w:rFonts w:ascii="Arial Narrow" w:hAnsi="Arial Narrow"/>
          <w:b/>
          <w:sz w:val="20"/>
        </w:rPr>
        <w:t>C</w:t>
      </w:r>
      <w:r w:rsidRPr="00492A3A">
        <w:rPr>
          <w:rFonts w:ascii="Arial Narrow" w:hAnsi="Arial Narrow"/>
          <w:b/>
          <w:sz w:val="20"/>
        </w:rPr>
        <w:t xml:space="preserve">osts to the MBS associated with </w:t>
      </w:r>
      <w:bookmarkEnd w:id="29"/>
      <w:bookmarkEnd w:id="30"/>
      <w:r w:rsidRPr="00492A3A">
        <w:rPr>
          <w:rFonts w:ascii="Arial Narrow" w:hAnsi="Arial Narrow"/>
          <w:b/>
          <w:sz w:val="20"/>
        </w:rPr>
        <w:t xml:space="preserve">deletion testing for α </w:t>
      </w:r>
      <w:bookmarkEnd w:id="31"/>
      <w:bookmarkEnd w:id="32"/>
      <w:r w:rsidR="006F6129" w:rsidRPr="00492A3A">
        <w:rPr>
          <w:rFonts w:ascii="Arial Narrow" w:hAnsi="Arial Narrow"/>
          <w:b/>
          <w:sz w:val="20"/>
        </w:rPr>
        <w:t>of $100</w:t>
      </w:r>
    </w:p>
    <w:tbl>
      <w:tblPr>
        <w:tblStyle w:val="TableGrid1"/>
        <w:tblW w:w="5000" w:type="pct"/>
        <w:tblLayout w:type="fixed"/>
        <w:tblLook w:val="04A0" w:firstRow="1" w:lastRow="0" w:firstColumn="1" w:lastColumn="0" w:noHBand="0" w:noVBand="1"/>
        <w:tblCaption w:val="Estimated number of people eligible for deletion testing"/>
        <w:tblDescription w:val="Estimated number of people eligible for deletion testing"/>
      </w:tblPr>
      <w:tblGrid>
        <w:gridCol w:w="3824"/>
        <w:gridCol w:w="1038"/>
        <w:gridCol w:w="1039"/>
        <w:gridCol w:w="1039"/>
        <w:gridCol w:w="1039"/>
        <w:gridCol w:w="1037"/>
      </w:tblGrid>
      <w:tr w:rsidR="00CE521F" w:rsidRPr="00D20EEB" w14:paraId="0DD4D731" w14:textId="77777777" w:rsidTr="00EC5C6F">
        <w:trPr>
          <w:cnfStyle w:val="100000000000" w:firstRow="1" w:lastRow="0" w:firstColumn="0" w:lastColumn="0" w:oddVBand="0" w:evenVBand="0" w:oddHBand="0" w:evenHBand="0" w:firstRowFirstColumn="0" w:firstRowLastColumn="0" w:lastRowFirstColumn="0" w:lastRowLastColumn="0"/>
          <w:trHeight w:val="300"/>
          <w:tblHeader/>
        </w:trPr>
        <w:tc>
          <w:tcPr>
            <w:tcW w:w="2121" w:type="pct"/>
            <w:noWrap/>
            <w:hideMark/>
          </w:tcPr>
          <w:p w14:paraId="79099825" w14:textId="77777777" w:rsidR="00CE521F" w:rsidRPr="00D20EEB" w:rsidRDefault="00CE521F" w:rsidP="00EC5C6F">
            <w:pPr>
              <w:pStyle w:val="TableHeading"/>
            </w:pPr>
          </w:p>
        </w:tc>
        <w:tc>
          <w:tcPr>
            <w:tcW w:w="576" w:type="pct"/>
            <w:noWrap/>
            <w:hideMark/>
          </w:tcPr>
          <w:p w14:paraId="001EC9B8" w14:textId="77777777" w:rsidR="00CE521F" w:rsidRPr="00D20EEB" w:rsidRDefault="00CE521F" w:rsidP="00EC5C6F">
            <w:pPr>
              <w:pStyle w:val="TableHeading"/>
              <w:jc w:val="center"/>
              <w:rPr>
                <w:bCs/>
                <w:color w:val="000000"/>
              </w:rPr>
            </w:pPr>
            <w:r w:rsidRPr="00D20EEB">
              <w:rPr>
                <w:bCs/>
                <w:color w:val="000000"/>
              </w:rPr>
              <w:t>2019</w:t>
            </w:r>
          </w:p>
        </w:tc>
        <w:tc>
          <w:tcPr>
            <w:tcW w:w="576" w:type="pct"/>
            <w:noWrap/>
            <w:hideMark/>
          </w:tcPr>
          <w:p w14:paraId="382D3823" w14:textId="77777777" w:rsidR="00CE521F" w:rsidRPr="00D20EEB" w:rsidRDefault="00CE521F" w:rsidP="00EC5C6F">
            <w:pPr>
              <w:pStyle w:val="TableHeading"/>
              <w:jc w:val="center"/>
              <w:rPr>
                <w:bCs/>
                <w:color w:val="000000"/>
              </w:rPr>
            </w:pPr>
            <w:r w:rsidRPr="00D20EEB">
              <w:rPr>
                <w:bCs/>
                <w:color w:val="000000"/>
              </w:rPr>
              <w:t>2020</w:t>
            </w:r>
          </w:p>
        </w:tc>
        <w:tc>
          <w:tcPr>
            <w:tcW w:w="576" w:type="pct"/>
            <w:noWrap/>
            <w:hideMark/>
          </w:tcPr>
          <w:p w14:paraId="39CF7B92" w14:textId="77777777" w:rsidR="00CE521F" w:rsidRPr="00D20EEB" w:rsidRDefault="00CE521F" w:rsidP="00EC5C6F">
            <w:pPr>
              <w:pStyle w:val="TableHeading"/>
              <w:jc w:val="center"/>
              <w:rPr>
                <w:bCs/>
                <w:color w:val="000000"/>
              </w:rPr>
            </w:pPr>
            <w:r w:rsidRPr="00D20EEB">
              <w:rPr>
                <w:bCs/>
                <w:color w:val="000000"/>
              </w:rPr>
              <w:t>2021</w:t>
            </w:r>
          </w:p>
        </w:tc>
        <w:tc>
          <w:tcPr>
            <w:tcW w:w="576" w:type="pct"/>
            <w:noWrap/>
            <w:hideMark/>
          </w:tcPr>
          <w:p w14:paraId="67C464A2" w14:textId="77777777" w:rsidR="00CE521F" w:rsidRPr="00D20EEB" w:rsidRDefault="00CE521F" w:rsidP="00EC5C6F">
            <w:pPr>
              <w:pStyle w:val="TableHeading"/>
              <w:jc w:val="center"/>
              <w:rPr>
                <w:bCs/>
                <w:color w:val="000000"/>
              </w:rPr>
            </w:pPr>
            <w:r w:rsidRPr="00D20EEB">
              <w:rPr>
                <w:bCs/>
                <w:color w:val="000000"/>
              </w:rPr>
              <w:t>2022</w:t>
            </w:r>
          </w:p>
        </w:tc>
        <w:tc>
          <w:tcPr>
            <w:tcW w:w="576" w:type="pct"/>
            <w:noWrap/>
            <w:hideMark/>
          </w:tcPr>
          <w:p w14:paraId="74557776" w14:textId="77777777" w:rsidR="00CE521F" w:rsidRPr="00D20EEB" w:rsidRDefault="00CE521F" w:rsidP="00EC5C6F">
            <w:pPr>
              <w:pStyle w:val="TableHeading"/>
              <w:jc w:val="center"/>
              <w:rPr>
                <w:bCs/>
                <w:color w:val="000000"/>
              </w:rPr>
            </w:pPr>
            <w:r w:rsidRPr="00D20EEB">
              <w:rPr>
                <w:bCs/>
                <w:color w:val="000000"/>
              </w:rPr>
              <w:t>2023</w:t>
            </w:r>
          </w:p>
        </w:tc>
      </w:tr>
      <w:tr w:rsidR="00CE521F" w:rsidRPr="00D20EEB" w14:paraId="33497691" w14:textId="77777777" w:rsidTr="00EC5C6F">
        <w:trPr>
          <w:trHeight w:val="300"/>
        </w:trPr>
        <w:tc>
          <w:tcPr>
            <w:tcW w:w="2121" w:type="pct"/>
            <w:noWrap/>
            <w:hideMark/>
          </w:tcPr>
          <w:p w14:paraId="395026E0" w14:textId="77777777" w:rsidR="00CE521F" w:rsidRPr="00D20EEB" w:rsidRDefault="00CE521F" w:rsidP="00EC5C6F">
            <w:pPr>
              <w:pStyle w:val="TableText"/>
            </w:pPr>
            <w:r w:rsidRPr="00D20EEB">
              <w:t>No. of women of reproductive age</w:t>
            </w:r>
          </w:p>
        </w:tc>
        <w:tc>
          <w:tcPr>
            <w:tcW w:w="576" w:type="pct"/>
            <w:noWrap/>
            <w:hideMark/>
          </w:tcPr>
          <w:p w14:paraId="52F0426E" w14:textId="77777777" w:rsidR="00CE521F" w:rsidRPr="00D20EEB" w:rsidRDefault="00CE521F" w:rsidP="00EC5C6F">
            <w:pPr>
              <w:pStyle w:val="TableText"/>
              <w:jc w:val="right"/>
            </w:pPr>
            <w:r w:rsidRPr="00EA2463">
              <w:t>4,963,363</w:t>
            </w:r>
          </w:p>
        </w:tc>
        <w:tc>
          <w:tcPr>
            <w:tcW w:w="576" w:type="pct"/>
            <w:noWrap/>
            <w:hideMark/>
          </w:tcPr>
          <w:p w14:paraId="663154BE" w14:textId="77777777" w:rsidR="00CE521F" w:rsidRPr="00D20EEB" w:rsidRDefault="00CE521F" w:rsidP="00EC5C6F">
            <w:pPr>
              <w:pStyle w:val="TableText"/>
              <w:jc w:val="right"/>
            </w:pPr>
            <w:r w:rsidRPr="00EA2463">
              <w:t>5,031,678</w:t>
            </w:r>
          </w:p>
        </w:tc>
        <w:tc>
          <w:tcPr>
            <w:tcW w:w="576" w:type="pct"/>
            <w:noWrap/>
            <w:hideMark/>
          </w:tcPr>
          <w:p w14:paraId="0D8CF49D" w14:textId="77777777" w:rsidR="00CE521F" w:rsidRPr="00D20EEB" w:rsidRDefault="00CE521F" w:rsidP="00EC5C6F">
            <w:pPr>
              <w:pStyle w:val="TableText"/>
              <w:jc w:val="right"/>
            </w:pPr>
            <w:r w:rsidRPr="00EA2463">
              <w:t>5,100,932</w:t>
            </w:r>
          </w:p>
        </w:tc>
        <w:tc>
          <w:tcPr>
            <w:tcW w:w="576" w:type="pct"/>
            <w:noWrap/>
            <w:hideMark/>
          </w:tcPr>
          <w:p w14:paraId="7390DA9D" w14:textId="77777777" w:rsidR="00CE521F" w:rsidRPr="00D20EEB" w:rsidRDefault="00CE521F" w:rsidP="00EC5C6F">
            <w:pPr>
              <w:pStyle w:val="TableText"/>
              <w:jc w:val="right"/>
            </w:pPr>
            <w:r w:rsidRPr="00EA2463">
              <w:t>5,171,140</w:t>
            </w:r>
          </w:p>
        </w:tc>
        <w:tc>
          <w:tcPr>
            <w:tcW w:w="576" w:type="pct"/>
            <w:noWrap/>
            <w:hideMark/>
          </w:tcPr>
          <w:p w14:paraId="171F9FFD" w14:textId="77777777" w:rsidR="00CE521F" w:rsidRPr="00D20EEB" w:rsidRDefault="00CE521F" w:rsidP="00EC5C6F">
            <w:pPr>
              <w:pStyle w:val="TableText"/>
              <w:jc w:val="right"/>
            </w:pPr>
            <w:r w:rsidRPr="00EA2463">
              <w:t>5,242,314</w:t>
            </w:r>
          </w:p>
        </w:tc>
      </w:tr>
      <w:tr w:rsidR="00CE521F" w:rsidRPr="00D20EEB" w14:paraId="0A5393C5" w14:textId="77777777" w:rsidTr="00EC5C6F">
        <w:trPr>
          <w:trHeight w:val="300"/>
        </w:trPr>
        <w:tc>
          <w:tcPr>
            <w:tcW w:w="2121" w:type="pct"/>
            <w:noWrap/>
            <w:hideMark/>
          </w:tcPr>
          <w:p w14:paraId="2456615C" w14:textId="77777777" w:rsidR="00CE521F" w:rsidRPr="00D20EEB" w:rsidRDefault="00CE521F" w:rsidP="00EC5C6F">
            <w:pPr>
              <w:pStyle w:val="TableText"/>
            </w:pPr>
            <w:r w:rsidRPr="00D20EEB">
              <w:t xml:space="preserve">Proportion that are </w:t>
            </w:r>
            <w:r>
              <w:t xml:space="preserve">pregnant or plan their first </w:t>
            </w:r>
            <w:r w:rsidRPr="00D20EEB">
              <w:t>pregnancy each year</w:t>
            </w:r>
          </w:p>
        </w:tc>
        <w:tc>
          <w:tcPr>
            <w:tcW w:w="576" w:type="pct"/>
            <w:noWrap/>
            <w:hideMark/>
          </w:tcPr>
          <w:p w14:paraId="20E1C13E" w14:textId="77777777" w:rsidR="00CE521F" w:rsidRPr="00D20EEB" w:rsidRDefault="00CE521F" w:rsidP="00EC5C6F">
            <w:pPr>
              <w:pStyle w:val="TableText"/>
              <w:jc w:val="right"/>
            </w:pPr>
            <w:r w:rsidRPr="00EA2463">
              <w:t>2.8%</w:t>
            </w:r>
          </w:p>
        </w:tc>
        <w:tc>
          <w:tcPr>
            <w:tcW w:w="576" w:type="pct"/>
            <w:noWrap/>
            <w:hideMark/>
          </w:tcPr>
          <w:p w14:paraId="0FBF318E" w14:textId="77777777" w:rsidR="00CE521F" w:rsidRPr="00D20EEB" w:rsidRDefault="00CE521F" w:rsidP="00EC5C6F">
            <w:pPr>
              <w:pStyle w:val="TableText"/>
              <w:jc w:val="right"/>
            </w:pPr>
            <w:r w:rsidRPr="00D13A5E">
              <w:t>2.8%</w:t>
            </w:r>
          </w:p>
        </w:tc>
        <w:tc>
          <w:tcPr>
            <w:tcW w:w="576" w:type="pct"/>
            <w:noWrap/>
            <w:hideMark/>
          </w:tcPr>
          <w:p w14:paraId="34DCD9BF" w14:textId="77777777" w:rsidR="00CE521F" w:rsidRPr="00D20EEB" w:rsidRDefault="00CE521F" w:rsidP="00EC5C6F">
            <w:pPr>
              <w:pStyle w:val="TableText"/>
              <w:jc w:val="right"/>
              <w:rPr>
                <w:rFonts w:ascii="Times New Roman" w:hAnsi="Times New Roman"/>
                <w:szCs w:val="20"/>
              </w:rPr>
            </w:pPr>
            <w:r w:rsidRPr="00D13A5E">
              <w:t>2.8%</w:t>
            </w:r>
          </w:p>
        </w:tc>
        <w:tc>
          <w:tcPr>
            <w:tcW w:w="576" w:type="pct"/>
            <w:noWrap/>
            <w:hideMark/>
          </w:tcPr>
          <w:p w14:paraId="179A40F7" w14:textId="77777777" w:rsidR="00CE521F" w:rsidRPr="00D20EEB" w:rsidRDefault="00CE521F" w:rsidP="00EC5C6F">
            <w:pPr>
              <w:pStyle w:val="TableText"/>
              <w:jc w:val="right"/>
              <w:rPr>
                <w:rFonts w:ascii="Times New Roman" w:hAnsi="Times New Roman"/>
                <w:szCs w:val="20"/>
              </w:rPr>
            </w:pPr>
            <w:r w:rsidRPr="00D13A5E">
              <w:t>2.8%</w:t>
            </w:r>
          </w:p>
        </w:tc>
        <w:tc>
          <w:tcPr>
            <w:tcW w:w="576" w:type="pct"/>
            <w:noWrap/>
            <w:hideMark/>
          </w:tcPr>
          <w:p w14:paraId="13BB0FA3" w14:textId="77777777" w:rsidR="00CE521F" w:rsidRPr="00D20EEB" w:rsidRDefault="00CE521F" w:rsidP="00EC5C6F">
            <w:pPr>
              <w:pStyle w:val="TableText"/>
              <w:jc w:val="right"/>
              <w:rPr>
                <w:rFonts w:ascii="Times New Roman" w:hAnsi="Times New Roman"/>
                <w:szCs w:val="20"/>
              </w:rPr>
            </w:pPr>
            <w:r w:rsidRPr="00D13A5E">
              <w:t>2.8%</w:t>
            </w:r>
          </w:p>
        </w:tc>
      </w:tr>
      <w:tr w:rsidR="00CE521F" w:rsidRPr="00D20EEB" w14:paraId="79EE96D8" w14:textId="77777777" w:rsidTr="00EC5C6F">
        <w:trPr>
          <w:trHeight w:val="300"/>
        </w:trPr>
        <w:tc>
          <w:tcPr>
            <w:tcW w:w="2121" w:type="pct"/>
            <w:noWrap/>
            <w:hideMark/>
          </w:tcPr>
          <w:p w14:paraId="43589ED8" w14:textId="77777777" w:rsidR="00CE521F" w:rsidRPr="00D20EEB" w:rsidRDefault="00CE521F" w:rsidP="00EC5C6F">
            <w:pPr>
              <w:pStyle w:val="TableText"/>
            </w:pPr>
            <w:r w:rsidRPr="00D20EEB">
              <w:t>No. pregnant or who plan a pregnancy each year</w:t>
            </w:r>
          </w:p>
        </w:tc>
        <w:tc>
          <w:tcPr>
            <w:tcW w:w="576" w:type="pct"/>
            <w:noWrap/>
            <w:hideMark/>
          </w:tcPr>
          <w:p w14:paraId="39D299BD" w14:textId="77777777" w:rsidR="00CE521F" w:rsidRPr="00D20EEB" w:rsidRDefault="00CE521F" w:rsidP="00EC5C6F">
            <w:pPr>
              <w:pStyle w:val="TableText"/>
              <w:jc w:val="right"/>
            </w:pPr>
            <w:r w:rsidRPr="00EA2463">
              <w:t>138,403</w:t>
            </w:r>
          </w:p>
        </w:tc>
        <w:tc>
          <w:tcPr>
            <w:tcW w:w="576" w:type="pct"/>
            <w:noWrap/>
            <w:hideMark/>
          </w:tcPr>
          <w:p w14:paraId="5F60B642" w14:textId="77777777" w:rsidR="00CE521F" w:rsidRPr="00D20EEB" w:rsidRDefault="00CE521F" w:rsidP="00EC5C6F">
            <w:pPr>
              <w:pStyle w:val="TableText"/>
              <w:jc w:val="right"/>
            </w:pPr>
            <w:r w:rsidRPr="00EA2463">
              <w:t>140,308</w:t>
            </w:r>
          </w:p>
        </w:tc>
        <w:tc>
          <w:tcPr>
            <w:tcW w:w="576" w:type="pct"/>
            <w:noWrap/>
            <w:hideMark/>
          </w:tcPr>
          <w:p w14:paraId="1C3CF093" w14:textId="77777777" w:rsidR="00CE521F" w:rsidRPr="00D20EEB" w:rsidRDefault="00CE521F" w:rsidP="00EC5C6F">
            <w:pPr>
              <w:pStyle w:val="TableText"/>
              <w:jc w:val="right"/>
            </w:pPr>
            <w:r w:rsidRPr="00EA2463">
              <w:t>142,239</w:t>
            </w:r>
          </w:p>
        </w:tc>
        <w:tc>
          <w:tcPr>
            <w:tcW w:w="576" w:type="pct"/>
            <w:noWrap/>
            <w:hideMark/>
          </w:tcPr>
          <w:p w14:paraId="68E5EEC6" w14:textId="77777777" w:rsidR="00CE521F" w:rsidRPr="00D20EEB" w:rsidRDefault="00CE521F" w:rsidP="00EC5C6F">
            <w:pPr>
              <w:pStyle w:val="TableText"/>
              <w:jc w:val="right"/>
            </w:pPr>
            <w:r w:rsidRPr="00EA2463">
              <w:t>144,197</w:t>
            </w:r>
          </w:p>
        </w:tc>
        <w:tc>
          <w:tcPr>
            <w:tcW w:w="576" w:type="pct"/>
            <w:noWrap/>
            <w:hideMark/>
          </w:tcPr>
          <w:p w14:paraId="580604AF" w14:textId="77777777" w:rsidR="00CE521F" w:rsidRPr="00D20EEB" w:rsidRDefault="00CE521F" w:rsidP="00EC5C6F">
            <w:pPr>
              <w:pStyle w:val="TableText"/>
              <w:jc w:val="right"/>
            </w:pPr>
            <w:r w:rsidRPr="00EA2463">
              <w:t>146,182</w:t>
            </w:r>
          </w:p>
        </w:tc>
      </w:tr>
      <w:tr w:rsidR="00CE521F" w:rsidRPr="00D20EEB" w14:paraId="4A5921B2" w14:textId="77777777" w:rsidTr="00EC5C6F">
        <w:trPr>
          <w:trHeight w:val="300"/>
        </w:trPr>
        <w:tc>
          <w:tcPr>
            <w:tcW w:w="2121" w:type="pct"/>
            <w:noWrap/>
            <w:hideMark/>
          </w:tcPr>
          <w:p w14:paraId="511DE48A" w14:textId="77777777" w:rsidR="00CE521F" w:rsidRPr="00D20EEB" w:rsidRDefault="00CE521F" w:rsidP="00EC5C6F">
            <w:pPr>
              <w:pStyle w:val="TableText"/>
            </w:pPr>
            <w:r w:rsidRPr="00D20EEB">
              <w:t>Proportion with an abnormal screening test (abnormal red cell indices in the absence of beta thalassaemia trait)</w:t>
            </w:r>
          </w:p>
        </w:tc>
        <w:tc>
          <w:tcPr>
            <w:tcW w:w="576" w:type="pct"/>
            <w:noWrap/>
            <w:hideMark/>
          </w:tcPr>
          <w:p w14:paraId="02D55695" w14:textId="77777777" w:rsidR="00CE521F" w:rsidRPr="00D20EEB" w:rsidRDefault="00CE521F" w:rsidP="00EC5C6F">
            <w:pPr>
              <w:pStyle w:val="TableText"/>
              <w:jc w:val="right"/>
            </w:pPr>
            <w:r w:rsidRPr="00EA2463">
              <w:t>8.3%</w:t>
            </w:r>
          </w:p>
        </w:tc>
        <w:tc>
          <w:tcPr>
            <w:tcW w:w="576" w:type="pct"/>
            <w:noWrap/>
            <w:hideMark/>
          </w:tcPr>
          <w:p w14:paraId="4D673A71" w14:textId="77777777" w:rsidR="00CE521F" w:rsidRPr="00D20EEB" w:rsidRDefault="00CE521F" w:rsidP="00EC5C6F">
            <w:pPr>
              <w:pStyle w:val="TableText"/>
              <w:jc w:val="right"/>
            </w:pPr>
            <w:r w:rsidRPr="00D9146D">
              <w:t>8.3%</w:t>
            </w:r>
          </w:p>
        </w:tc>
        <w:tc>
          <w:tcPr>
            <w:tcW w:w="576" w:type="pct"/>
            <w:noWrap/>
            <w:hideMark/>
          </w:tcPr>
          <w:p w14:paraId="0C39D041" w14:textId="77777777" w:rsidR="00CE521F" w:rsidRPr="00D20EEB" w:rsidRDefault="00CE521F" w:rsidP="00EC5C6F">
            <w:pPr>
              <w:pStyle w:val="TableText"/>
              <w:jc w:val="right"/>
              <w:rPr>
                <w:rFonts w:ascii="Times New Roman" w:hAnsi="Times New Roman"/>
                <w:szCs w:val="20"/>
              </w:rPr>
            </w:pPr>
            <w:r w:rsidRPr="00D9146D">
              <w:t>8.3%</w:t>
            </w:r>
          </w:p>
        </w:tc>
        <w:tc>
          <w:tcPr>
            <w:tcW w:w="576" w:type="pct"/>
            <w:noWrap/>
            <w:hideMark/>
          </w:tcPr>
          <w:p w14:paraId="20F717DF" w14:textId="77777777" w:rsidR="00CE521F" w:rsidRPr="00D20EEB" w:rsidRDefault="00CE521F" w:rsidP="00EC5C6F">
            <w:pPr>
              <w:pStyle w:val="TableText"/>
              <w:jc w:val="right"/>
              <w:rPr>
                <w:rFonts w:ascii="Times New Roman" w:hAnsi="Times New Roman"/>
                <w:szCs w:val="20"/>
              </w:rPr>
            </w:pPr>
            <w:r w:rsidRPr="00D9146D">
              <w:t>8.3%</w:t>
            </w:r>
          </w:p>
        </w:tc>
        <w:tc>
          <w:tcPr>
            <w:tcW w:w="576" w:type="pct"/>
            <w:noWrap/>
            <w:hideMark/>
          </w:tcPr>
          <w:p w14:paraId="425B79B6" w14:textId="77777777" w:rsidR="00CE521F" w:rsidRPr="00D20EEB" w:rsidRDefault="00CE521F" w:rsidP="00EC5C6F">
            <w:pPr>
              <w:pStyle w:val="TableText"/>
              <w:jc w:val="right"/>
              <w:rPr>
                <w:rFonts w:ascii="Times New Roman" w:hAnsi="Times New Roman"/>
                <w:szCs w:val="20"/>
              </w:rPr>
            </w:pPr>
            <w:r w:rsidRPr="00D9146D">
              <w:t>8.3%</w:t>
            </w:r>
          </w:p>
        </w:tc>
      </w:tr>
      <w:tr w:rsidR="00CE521F" w:rsidRPr="007C6A87" w14:paraId="009F556F" w14:textId="77777777" w:rsidTr="00EC5C6F">
        <w:trPr>
          <w:trHeight w:val="300"/>
        </w:trPr>
        <w:tc>
          <w:tcPr>
            <w:tcW w:w="2121" w:type="pct"/>
            <w:noWrap/>
            <w:hideMark/>
          </w:tcPr>
          <w:p w14:paraId="586E76B0" w14:textId="77777777" w:rsidR="00CE521F" w:rsidRPr="007C6A87" w:rsidRDefault="00CE521F" w:rsidP="00EC5C6F">
            <w:pPr>
              <w:pStyle w:val="TableText"/>
              <w:rPr>
                <w:b/>
              </w:rPr>
            </w:pPr>
            <w:r w:rsidRPr="007C6A87">
              <w:rPr>
                <w:b/>
              </w:rPr>
              <w:t xml:space="preserve">No. </w:t>
            </w:r>
            <w:r>
              <w:rPr>
                <w:b/>
              </w:rPr>
              <w:t xml:space="preserve">of </w:t>
            </w:r>
            <w:r w:rsidRPr="007C6A87">
              <w:rPr>
                <w:b/>
              </w:rPr>
              <w:t>women eligible for deletion testing</w:t>
            </w:r>
          </w:p>
        </w:tc>
        <w:tc>
          <w:tcPr>
            <w:tcW w:w="576" w:type="pct"/>
            <w:noWrap/>
            <w:hideMark/>
          </w:tcPr>
          <w:p w14:paraId="20CC33A7" w14:textId="77777777" w:rsidR="00CE521F" w:rsidRPr="00A32820" w:rsidRDefault="00CE521F" w:rsidP="00EC5C6F">
            <w:pPr>
              <w:pStyle w:val="TableText"/>
              <w:jc w:val="right"/>
              <w:rPr>
                <w:b/>
                <w:bCs/>
              </w:rPr>
            </w:pPr>
            <w:r w:rsidRPr="00A32820">
              <w:rPr>
                <w:b/>
              </w:rPr>
              <w:t>11,552</w:t>
            </w:r>
          </w:p>
        </w:tc>
        <w:tc>
          <w:tcPr>
            <w:tcW w:w="576" w:type="pct"/>
            <w:noWrap/>
            <w:hideMark/>
          </w:tcPr>
          <w:p w14:paraId="54E64EDB" w14:textId="77777777" w:rsidR="00CE521F" w:rsidRPr="00A32820" w:rsidRDefault="00CE521F" w:rsidP="00EC5C6F">
            <w:pPr>
              <w:pStyle w:val="TableText"/>
              <w:jc w:val="right"/>
              <w:rPr>
                <w:b/>
                <w:bCs/>
              </w:rPr>
            </w:pPr>
            <w:r w:rsidRPr="00A32820">
              <w:rPr>
                <w:b/>
              </w:rPr>
              <w:t>11,711</w:t>
            </w:r>
          </w:p>
        </w:tc>
        <w:tc>
          <w:tcPr>
            <w:tcW w:w="576" w:type="pct"/>
            <w:noWrap/>
            <w:hideMark/>
          </w:tcPr>
          <w:p w14:paraId="226C0273" w14:textId="77777777" w:rsidR="00CE521F" w:rsidRPr="00A32820" w:rsidRDefault="00CE521F" w:rsidP="00EC5C6F">
            <w:pPr>
              <w:pStyle w:val="TableText"/>
              <w:jc w:val="right"/>
              <w:rPr>
                <w:b/>
                <w:bCs/>
              </w:rPr>
            </w:pPr>
            <w:r w:rsidRPr="00A32820">
              <w:rPr>
                <w:b/>
              </w:rPr>
              <w:t>11,872</w:t>
            </w:r>
          </w:p>
        </w:tc>
        <w:tc>
          <w:tcPr>
            <w:tcW w:w="576" w:type="pct"/>
            <w:noWrap/>
            <w:hideMark/>
          </w:tcPr>
          <w:p w14:paraId="24A6B5EB" w14:textId="77777777" w:rsidR="00CE521F" w:rsidRPr="00A32820" w:rsidRDefault="00CE521F" w:rsidP="00EC5C6F">
            <w:pPr>
              <w:pStyle w:val="TableText"/>
              <w:jc w:val="right"/>
              <w:rPr>
                <w:b/>
                <w:bCs/>
              </w:rPr>
            </w:pPr>
            <w:r w:rsidRPr="00A32820">
              <w:rPr>
                <w:b/>
              </w:rPr>
              <w:t>12,035</w:t>
            </w:r>
          </w:p>
        </w:tc>
        <w:tc>
          <w:tcPr>
            <w:tcW w:w="576" w:type="pct"/>
            <w:noWrap/>
            <w:hideMark/>
          </w:tcPr>
          <w:p w14:paraId="2A9DBE6E" w14:textId="77777777" w:rsidR="00CE521F" w:rsidRPr="00A32820" w:rsidRDefault="00CE521F" w:rsidP="00EC5C6F">
            <w:pPr>
              <w:pStyle w:val="TableText"/>
              <w:jc w:val="right"/>
              <w:rPr>
                <w:b/>
                <w:bCs/>
              </w:rPr>
            </w:pPr>
            <w:r w:rsidRPr="00A32820">
              <w:rPr>
                <w:b/>
              </w:rPr>
              <w:t>12,201</w:t>
            </w:r>
          </w:p>
        </w:tc>
      </w:tr>
      <w:tr w:rsidR="00CE521F" w:rsidRPr="007C6A87" w14:paraId="60641C95" w14:textId="77777777" w:rsidTr="00EC5C6F">
        <w:trPr>
          <w:trHeight w:val="300"/>
        </w:trPr>
        <w:tc>
          <w:tcPr>
            <w:tcW w:w="2121" w:type="pct"/>
            <w:noWrap/>
          </w:tcPr>
          <w:p w14:paraId="7B9D4422" w14:textId="77777777" w:rsidR="00CE521F" w:rsidRPr="007C6A87" w:rsidRDefault="00CE521F" w:rsidP="00EC5C6F">
            <w:pPr>
              <w:pStyle w:val="TableText"/>
            </w:pPr>
            <w:r w:rsidRPr="00813527">
              <w:t xml:space="preserve">Yield of </w:t>
            </w:r>
            <w:r>
              <w:t>α</w:t>
            </w:r>
            <w:r w:rsidRPr="00813527">
              <w:t xml:space="preserve"> thalassaemia mutations</w:t>
            </w:r>
          </w:p>
        </w:tc>
        <w:tc>
          <w:tcPr>
            <w:tcW w:w="576" w:type="pct"/>
            <w:noWrap/>
          </w:tcPr>
          <w:p w14:paraId="5B4BD120" w14:textId="77777777" w:rsidR="00CE521F" w:rsidRPr="007C6A87" w:rsidRDefault="00CE521F" w:rsidP="00EC5C6F">
            <w:pPr>
              <w:pStyle w:val="TableText"/>
              <w:jc w:val="right"/>
            </w:pPr>
            <w:r w:rsidRPr="008C6D05">
              <w:t>53.1%</w:t>
            </w:r>
          </w:p>
        </w:tc>
        <w:tc>
          <w:tcPr>
            <w:tcW w:w="576" w:type="pct"/>
            <w:noWrap/>
          </w:tcPr>
          <w:p w14:paraId="06A298E9" w14:textId="77777777" w:rsidR="00CE521F" w:rsidRPr="007C6A87" w:rsidRDefault="00CE521F" w:rsidP="00EC5C6F">
            <w:pPr>
              <w:pStyle w:val="TableText"/>
              <w:jc w:val="right"/>
            </w:pPr>
            <w:r w:rsidRPr="00C575D2">
              <w:t>53.1%</w:t>
            </w:r>
          </w:p>
        </w:tc>
        <w:tc>
          <w:tcPr>
            <w:tcW w:w="576" w:type="pct"/>
            <w:noWrap/>
          </w:tcPr>
          <w:p w14:paraId="26D0E5C8" w14:textId="77777777" w:rsidR="00CE521F" w:rsidRPr="007C6A87" w:rsidRDefault="00CE521F" w:rsidP="00EC5C6F">
            <w:pPr>
              <w:pStyle w:val="TableText"/>
              <w:jc w:val="right"/>
            </w:pPr>
            <w:r w:rsidRPr="00C575D2">
              <w:t>53.1%</w:t>
            </w:r>
          </w:p>
        </w:tc>
        <w:tc>
          <w:tcPr>
            <w:tcW w:w="576" w:type="pct"/>
            <w:noWrap/>
          </w:tcPr>
          <w:p w14:paraId="370BF9E8" w14:textId="77777777" w:rsidR="00CE521F" w:rsidRPr="007C6A87" w:rsidRDefault="00CE521F" w:rsidP="00EC5C6F">
            <w:pPr>
              <w:pStyle w:val="TableText"/>
              <w:jc w:val="right"/>
            </w:pPr>
            <w:r w:rsidRPr="00C575D2">
              <w:t>53.1%</w:t>
            </w:r>
          </w:p>
        </w:tc>
        <w:tc>
          <w:tcPr>
            <w:tcW w:w="576" w:type="pct"/>
            <w:noWrap/>
          </w:tcPr>
          <w:p w14:paraId="617F015C" w14:textId="77777777" w:rsidR="00CE521F" w:rsidRPr="007C6A87" w:rsidRDefault="00CE521F" w:rsidP="00EC5C6F">
            <w:pPr>
              <w:pStyle w:val="TableText"/>
              <w:jc w:val="right"/>
            </w:pPr>
            <w:r w:rsidRPr="00C575D2">
              <w:t>53.1%</w:t>
            </w:r>
          </w:p>
        </w:tc>
      </w:tr>
      <w:tr w:rsidR="00CE521F" w:rsidRPr="007C6A87" w14:paraId="567F0C34" w14:textId="77777777" w:rsidTr="00EC5C6F">
        <w:trPr>
          <w:trHeight w:val="300"/>
        </w:trPr>
        <w:tc>
          <w:tcPr>
            <w:tcW w:w="2121" w:type="pct"/>
            <w:noWrap/>
          </w:tcPr>
          <w:p w14:paraId="7BA96B20" w14:textId="77777777" w:rsidR="00CE521F" w:rsidRPr="007C6A87" w:rsidRDefault="00CE521F" w:rsidP="00EC5C6F">
            <w:pPr>
              <w:pStyle w:val="TableText"/>
            </w:pPr>
            <w:r w:rsidRPr="00813527">
              <w:t xml:space="preserve">No. with </w:t>
            </w:r>
            <w:r>
              <w:t>α</w:t>
            </w:r>
            <w:r w:rsidRPr="00813527">
              <w:t xml:space="preserve"> thalassaemia mutations identified</w:t>
            </w:r>
          </w:p>
        </w:tc>
        <w:tc>
          <w:tcPr>
            <w:tcW w:w="576" w:type="pct"/>
            <w:noWrap/>
          </w:tcPr>
          <w:p w14:paraId="2D7F9327" w14:textId="77777777" w:rsidR="00CE521F" w:rsidRPr="007C6A87" w:rsidRDefault="00CE521F" w:rsidP="00EC5C6F">
            <w:pPr>
              <w:pStyle w:val="TableText"/>
              <w:jc w:val="right"/>
            </w:pPr>
            <w:r w:rsidRPr="00A66DA9">
              <w:t>6,133</w:t>
            </w:r>
          </w:p>
        </w:tc>
        <w:tc>
          <w:tcPr>
            <w:tcW w:w="576" w:type="pct"/>
            <w:noWrap/>
          </w:tcPr>
          <w:p w14:paraId="123D01A2" w14:textId="77777777" w:rsidR="00CE521F" w:rsidRPr="007C6A87" w:rsidRDefault="00CE521F" w:rsidP="00EC5C6F">
            <w:pPr>
              <w:pStyle w:val="TableText"/>
              <w:jc w:val="right"/>
            </w:pPr>
            <w:r w:rsidRPr="00A66DA9">
              <w:t>6,218</w:t>
            </w:r>
          </w:p>
        </w:tc>
        <w:tc>
          <w:tcPr>
            <w:tcW w:w="576" w:type="pct"/>
            <w:noWrap/>
          </w:tcPr>
          <w:p w14:paraId="49745BBF" w14:textId="77777777" w:rsidR="00CE521F" w:rsidRPr="007C6A87" w:rsidRDefault="00CE521F" w:rsidP="00EC5C6F">
            <w:pPr>
              <w:pStyle w:val="TableText"/>
              <w:jc w:val="right"/>
            </w:pPr>
            <w:r w:rsidRPr="00A66DA9">
              <w:t>6,303</w:t>
            </w:r>
          </w:p>
        </w:tc>
        <w:tc>
          <w:tcPr>
            <w:tcW w:w="576" w:type="pct"/>
            <w:noWrap/>
          </w:tcPr>
          <w:p w14:paraId="0FF09B8F" w14:textId="77777777" w:rsidR="00CE521F" w:rsidRPr="007C6A87" w:rsidRDefault="00CE521F" w:rsidP="00EC5C6F">
            <w:pPr>
              <w:pStyle w:val="TableText"/>
              <w:jc w:val="right"/>
            </w:pPr>
            <w:r w:rsidRPr="00A66DA9">
              <w:t>6,390</w:t>
            </w:r>
          </w:p>
        </w:tc>
        <w:tc>
          <w:tcPr>
            <w:tcW w:w="576" w:type="pct"/>
            <w:noWrap/>
          </w:tcPr>
          <w:p w14:paraId="1C8C8961" w14:textId="77777777" w:rsidR="00CE521F" w:rsidRPr="007C6A87" w:rsidRDefault="00CE521F" w:rsidP="00EC5C6F">
            <w:pPr>
              <w:pStyle w:val="TableText"/>
              <w:jc w:val="right"/>
            </w:pPr>
            <w:r w:rsidRPr="00A66DA9">
              <w:t>6,478</w:t>
            </w:r>
          </w:p>
        </w:tc>
      </w:tr>
      <w:tr w:rsidR="00CE521F" w:rsidRPr="007C6A87" w14:paraId="5AF55BBA" w14:textId="77777777" w:rsidTr="00EC5C6F">
        <w:trPr>
          <w:trHeight w:val="300"/>
        </w:trPr>
        <w:tc>
          <w:tcPr>
            <w:tcW w:w="2121" w:type="pct"/>
            <w:noWrap/>
          </w:tcPr>
          <w:p w14:paraId="6304090B" w14:textId="77777777" w:rsidR="00CE521F" w:rsidRPr="007C6A87" w:rsidRDefault="00CE521F" w:rsidP="00EC5C6F">
            <w:pPr>
              <w:pStyle w:val="TableText"/>
            </w:pPr>
            <w:r w:rsidRPr="00813527">
              <w:t xml:space="preserve">No. </w:t>
            </w:r>
            <w:r>
              <w:t xml:space="preserve">of </w:t>
            </w:r>
            <w:r w:rsidRPr="00813527">
              <w:t xml:space="preserve">partners </w:t>
            </w:r>
            <w:r>
              <w:t>who uptake</w:t>
            </w:r>
            <w:r w:rsidRPr="00813527">
              <w:t xml:space="preserve"> screening</w:t>
            </w:r>
          </w:p>
        </w:tc>
        <w:tc>
          <w:tcPr>
            <w:tcW w:w="576" w:type="pct"/>
            <w:noWrap/>
          </w:tcPr>
          <w:p w14:paraId="2CDBE940" w14:textId="77777777" w:rsidR="00CE521F" w:rsidRPr="007C6A87" w:rsidRDefault="00CE521F" w:rsidP="00EC5C6F">
            <w:pPr>
              <w:pStyle w:val="TableText"/>
              <w:jc w:val="right"/>
            </w:pPr>
            <w:r w:rsidRPr="00A66DA9">
              <w:t>6,133</w:t>
            </w:r>
          </w:p>
        </w:tc>
        <w:tc>
          <w:tcPr>
            <w:tcW w:w="576" w:type="pct"/>
            <w:noWrap/>
          </w:tcPr>
          <w:p w14:paraId="0B901891" w14:textId="77777777" w:rsidR="00CE521F" w:rsidRPr="007C6A87" w:rsidRDefault="00CE521F" w:rsidP="00EC5C6F">
            <w:pPr>
              <w:pStyle w:val="TableText"/>
              <w:jc w:val="right"/>
            </w:pPr>
            <w:r w:rsidRPr="00A66DA9">
              <w:t>6,218</w:t>
            </w:r>
          </w:p>
        </w:tc>
        <w:tc>
          <w:tcPr>
            <w:tcW w:w="576" w:type="pct"/>
            <w:noWrap/>
          </w:tcPr>
          <w:p w14:paraId="320B1DC3" w14:textId="77777777" w:rsidR="00CE521F" w:rsidRPr="007C6A87" w:rsidRDefault="00CE521F" w:rsidP="00EC5C6F">
            <w:pPr>
              <w:pStyle w:val="TableText"/>
              <w:jc w:val="right"/>
            </w:pPr>
            <w:r w:rsidRPr="00A66DA9">
              <w:t>6,303</w:t>
            </w:r>
          </w:p>
        </w:tc>
        <w:tc>
          <w:tcPr>
            <w:tcW w:w="576" w:type="pct"/>
            <w:noWrap/>
          </w:tcPr>
          <w:p w14:paraId="6F818652" w14:textId="77777777" w:rsidR="00CE521F" w:rsidRPr="007C6A87" w:rsidRDefault="00CE521F" w:rsidP="00EC5C6F">
            <w:pPr>
              <w:pStyle w:val="TableText"/>
              <w:jc w:val="right"/>
            </w:pPr>
            <w:r w:rsidRPr="00A66DA9">
              <w:t>6,390</w:t>
            </w:r>
          </w:p>
        </w:tc>
        <w:tc>
          <w:tcPr>
            <w:tcW w:w="576" w:type="pct"/>
            <w:noWrap/>
          </w:tcPr>
          <w:p w14:paraId="570AF8BD" w14:textId="77777777" w:rsidR="00CE521F" w:rsidRPr="007C6A87" w:rsidRDefault="00CE521F" w:rsidP="00EC5C6F">
            <w:pPr>
              <w:pStyle w:val="TableText"/>
              <w:jc w:val="right"/>
            </w:pPr>
            <w:r w:rsidRPr="00A66DA9">
              <w:t>6,478</w:t>
            </w:r>
          </w:p>
        </w:tc>
      </w:tr>
      <w:tr w:rsidR="00CE521F" w:rsidRPr="007C6A87" w14:paraId="2BC6528D" w14:textId="77777777" w:rsidTr="00EC5C6F">
        <w:trPr>
          <w:trHeight w:val="300"/>
        </w:trPr>
        <w:tc>
          <w:tcPr>
            <w:tcW w:w="2121" w:type="pct"/>
            <w:noWrap/>
          </w:tcPr>
          <w:p w14:paraId="11CCCC15" w14:textId="77777777" w:rsidR="00CE521F" w:rsidRPr="007C6A87" w:rsidRDefault="00CE521F" w:rsidP="00EC5C6F">
            <w:pPr>
              <w:pStyle w:val="TableText"/>
            </w:pPr>
            <w:r w:rsidRPr="00813527">
              <w:t>Proportion of partners with an abnormal screening test</w:t>
            </w:r>
          </w:p>
        </w:tc>
        <w:tc>
          <w:tcPr>
            <w:tcW w:w="576" w:type="pct"/>
            <w:noWrap/>
          </w:tcPr>
          <w:p w14:paraId="78BE0F7A" w14:textId="77777777" w:rsidR="00CE521F" w:rsidRPr="007C6A87" w:rsidRDefault="00CE521F" w:rsidP="00EC5C6F">
            <w:pPr>
              <w:pStyle w:val="TableText"/>
              <w:jc w:val="right"/>
            </w:pPr>
            <w:r w:rsidRPr="008C6D05">
              <w:t>19.1%</w:t>
            </w:r>
          </w:p>
        </w:tc>
        <w:tc>
          <w:tcPr>
            <w:tcW w:w="576" w:type="pct"/>
            <w:noWrap/>
          </w:tcPr>
          <w:p w14:paraId="2E64B0F6" w14:textId="77777777" w:rsidR="00CE521F" w:rsidRPr="007C6A87" w:rsidRDefault="00CE521F" w:rsidP="00EC5C6F">
            <w:pPr>
              <w:pStyle w:val="TableText"/>
              <w:jc w:val="right"/>
            </w:pPr>
            <w:r w:rsidRPr="00D85F8C">
              <w:t>19.1%</w:t>
            </w:r>
          </w:p>
        </w:tc>
        <w:tc>
          <w:tcPr>
            <w:tcW w:w="576" w:type="pct"/>
            <w:noWrap/>
          </w:tcPr>
          <w:p w14:paraId="67E587BC" w14:textId="77777777" w:rsidR="00CE521F" w:rsidRPr="007C6A87" w:rsidRDefault="00CE521F" w:rsidP="00EC5C6F">
            <w:pPr>
              <w:pStyle w:val="TableText"/>
              <w:jc w:val="right"/>
            </w:pPr>
            <w:r w:rsidRPr="00D85F8C">
              <w:t>19.1%</w:t>
            </w:r>
          </w:p>
        </w:tc>
        <w:tc>
          <w:tcPr>
            <w:tcW w:w="576" w:type="pct"/>
            <w:noWrap/>
          </w:tcPr>
          <w:p w14:paraId="6B95243E" w14:textId="77777777" w:rsidR="00CE521F" w:rsidRPr="007C6A87" w:rsidRDefault="00CE521F" w:rsidP="00EC5C6F">
            <w:pPr>
              <w:pStyle w:val="TableText"/>
              <w:jc w:val="right"/>
            </w:pPr>
            <w:r w:rsidRPr="00D85F8C">
              <w:t>19.1%</w:t>
            </w:r>
          </w:p>
        </w:tc>
        <w:tc>
          <w:tcPr>
            <w:tcW w:w="576" w:type="pct"/>
            <w:noWrap/>
          </w:tcPr>
          <w:p w14:paraId="539C3C68" w14:textId="77777777" w:rsidR="00CE521F" w:rsidRPr="007C6A87" w:rsidRDefault="00CE521F" w:rsidP="00EC5C6F">
            <w:pPr>
              <w:pStyle w:val="TableText"/>
              <w:jc w:val="right"/>
            </w:pPr>
            <w:r w:rsidRPr="00D85F8C">
              <w:t>19.1%</w:t>
            </w:r>
          </w:p>
        </w:tc>
      </w:tr>
      <w:tr w:rsidR="00CE521F" w:rsidRPr="007C6A87" w14:paraId="26C2FC7E" w14:textId="77777777" w:rsidTr="00EC5C6F">
        <w:trPr>
          <w:trHeight w:val="300"/>
        </w:trPr>
        <w:tc>
          <w:tcPr>
            <w:tcW w:w="2121" w:type="pct"/>
            <w:noWrap/>
          </w:tcPr>
          <w:p w14:paraId="7259ACDB" w14:textId="77777777" w:rsidR="00CE521F" w:rsidRPr="007C6A87" w:rsidRDefault="00CE521F" w:rsidP="00EC5C6F">
            <w:pPr>
              <w:pStyle w:val="TableText"/>
              <w:rPr>
                <w:b/>
              </w:rPr>
            </w:pPr>
            <w:r w:rsidRPr="007C6A87">
              <w:rPr>
                <w:b/>
              </w:rPr>
              <w:t xml:space="preserve">No. </w:t>
            </w:r>
            <w:r>
              <w:rPr>
                <w:b/>
              </w:rPr>
              <w:t xml:space="preserve">of </w:t>
            </w:r>
            <w:r w:rsidRPr="007C6A87">
              <w:rPr>
                <w:b/>
              </w:rPr>
              <w:t>partners eligible for deletion testing</w:t>
            </w:r>
          </w:p>
        </w:tc>
        <w:tc>
          <w:tcPr>
            <w:tcW w:w="576" w:type="pct"/>
            <w:noWrap/>
          </w:tcPr>
          <w:p w14:paraId="75495241" w14:textId="77777777" w:rsidR="00CE521F" w:rsidRPr="00A32820" w:rsidRDefault="00CE521F" w:rsidP="00EC5C6F">
            <w:pPr>
              <w:pStyle w:val="TableText"/>
              <w:jc w:val="right"/>
              <w:rPr>
                <w:b/>
              </w:rPr>
            </w:pPr>
            <w:r w:rsidRPr="00A32820">
              <w:rPr>
                <w:b/>
              </w:rPr>
              <w:t>1,171</w:t>
            </w:r>
          </w:p>
        </w:tc>
        <w:tc>
          <w:tcPr>
            <w:tcW w:w="576" w:type="pct"/>
            <w:noWrap/>
          </w:tcPr>
          <w:p w14:paraId="18E57BD4" w14:textId="77777777" w:rsidR="00CE521F" w:rsidRPr="00A32820" w:rsidRDefault="00CE521F" w:rsidP="00EC5C6F">
            <w:pPr>
              <w:pStyle w:val="TableText"/>
              <w:jc w:val="right"/>
              <w:rPr>
                <w:b/>
              </w:rPr>
            </w:pPr>
            <w:r w:rsidRPr="00A32820">
              <w:rPr>
                <w:b/>
              </w:rPr>
              <w:t>1,187</w:t>
            </w:r>
          </w:p>
        </w:tc>
        <w:tc>
          <w:tcPr>
            <w:tcW w:w="576" w:type="pct"/>
            <w:noWrap/>
          </w:tcPr>
          <w:p w14:paraId="36CC435E" w14:textId="77777777" w:rsidR="00CE521F" w:rsidRPr="00A32820" w:rsidRDefault="00CE521F" w:rsidP="00EC5C6F">
            <w:pPr>
              <w:pStyle w:val="TableText"/>
              <w:jc w:val="right"/>
              <w:rPr>
                <w:b/>
              </w:rPr>
            </w:pPr>
            <w:r w:rsidRPr="00A32820">
              <w:rPr>
                <w:b/>
              </w:rPr>
              <w:t>1,203</w:t>
            </w:r>
          </w:p>
        </w:tc>
        <w:tc>
          <w:tcPr>
            <w:tcW w:w="576" w:type="pct"/>
            <w:noWrap/>
          </w:tcPr>
          <w:p w14:paraId="55412E56" w14:textId="77777777" w:rsidR="00CE521F" w:rsidRPr="00A32820" w:rsidRDefault="00CE521F" w:rsidP="00EC5C6F">
            <w:pPr>
              <w:pStyle w:val="TableText"/>
              <w:jc w:val="right"/>
              <w:rPr>
                <w:b/>
              </w:rPr>
            </w:pPr>
            <w:r w:rsidRPr="00A32820">
              <w:rPr>
                <w:b/>
              </w:rPr>
              <w:t>1,220</w:t>
            </w:r>
          </w:p>
        </w:tc>
        <w:tc>
          <w:tcPr>
            <w:tcW w:w="576" w:type="pct"/>
            <w:noWrap/>
          </w:tcPr>
          <w:p w14:paraId="409B7421" w14:textId="77777777" w:rsidR="00CE521F" w:rsidRPr="00A32820" w:rsidRDefault="00CE521F" w:rsidP="00EC5C6F">
            <w:pPr>
              <w:pStyle w:val="TableText"/>
              <w:jc w:val="right"/>
              <w:rPr>
                <w:b/>
              </w:rPr>
            </w:pPr>
            <w:r w:rsidRPr="00A32820">
              <w:rPr>
                <w:b/>
              </w:rPr>
              <w:t>1,236</w:t>
            </w:r>
          </w:p>
        </w:tc>
      </w:tr>
      <w:tr w:rsidR="00CE521F" w:rsidRPr="007C6A87" w14:paraId="1B496DCE" w14:textId="77777777" w:rsidTr="00EC5C6F">
        <w:trPr>
          <w:trHeight w:val="300"/>
        </w:trPr>
        <w:tc>
          <w:tcPr>
            <w:tcW w:w="2121" w:type="pct"/>
            <w:noWrap/>
          </w:tcPr>
          <w:p w14:paraId="215D33D5" w14:textId="77777777" w:rsidR="00CE521F" w:rsidRPr="007C6A87" w:rsidRDefault="00CE521F" w:rsidP="00EC5C6F">
            <w:pPr>
              <w:pStyle w:val="TableText"/>
              <w:rPr>
                <w:b/>
              </w:rPr>
            </w:pPr>
            <w:r>
              <w:rPr>
                <w:b/>
              </w:rPr>
              <w:t>No. of people eligible for deletion</w:t>
            </w:r>
            <w:r w:rsidRPr="007C6A87">
              <w:rPr>
                <w:b/>
              </w:rPr>
              <w:t xml:space="preserve"> test</w:t>
            </w:r>
            <w:r>
              <w:rPr>
                <w:b/>
              </w:rPr>
              <w:t>ing</w:t>
            </w:r>
          </w:p>
        </w:tc>
        <w:tc>
          <w:tcPr>
            <w:tcW w:w="576" w:type="pct"/>
            <w:noWrap/>
          </w:tcPr>
          <w:p w14:paraId="0F9A45DA" w14:textId="77777777" w:rsidR="00CE521F" w:rsidRPr="00A32820" w:rsidRDefault="00CE521F" w:rsidP="00EC5C6F">
            <w:pPr>
              <w:pStyle w:val="TableText"/>
              <w:jc w:val="right"/>
              <w:rPr>
                <w:b/>
              </w:rPr>
            </w:pPr>
            <w:r w:rsidRPr="00A32820">
              <w:rPr>
                <w:b/>
              </w:rPr>
              <w:t>12,722</w:t>
            </w:r>
          </w:p>
        </w:tc>
        <w:tc>
          <w:tcPr>
            <w:tcW w:w="576" w:type="pct"/>
            <w:noWrap/>
          </w:tcPr>
          <w:p w14:paraId="2C767D03" w14:textId="77777777" w:rsidR="00CE521F" w:rsidRPr="00A32820" w:rsidRDefault="00CE521F" w:rsidP="00EC5C6F">
            <w:pPr>
              <w:pStyle w:val="TableText"/>
              <w:jc w:val="right"/>
              <w:rPr>
                <w:b/>
              </w:rPr>
            </w:pPr>
            <w:r w:rsidRPr="00A32820">
              <w:rPr>
                <w:b/>
              </w:rPr>
              <w:t>12,898</w:t>
            </w:r>
          </w:p>
        </w:tc>
        <w:tc>
          <w:tcPr>
            <w:tcW w:w="576" w:type="pct"/>
            <w:noWrap/>
          </w:tcPr>
          <w:p w14:paraId="58A69423" w14:textId="77777777" w:rsidR="00CE521F" w:rsidRPr="00A32820" w:rsidRDefault="00CE521F" w:rsidP="00EC5C6F">
            <w:pPr>
              <w:pStyle w:val="TableText"/>
              <w:jc w:val="right"/>
              <w:rPr>
                <w:b/>
              </w:rPr>
            </w:pPr>
            <w:r w:rsidRPr="00A32820">
              <w:rPr>
                <w:b/>
              </w:rPr>
              <w:t>13,075</w:t>
            </w:r>
          </w:p>
        </w:tc>
        <w:tc>
          <w:tcPr>
            <w:tcW w:w="576" w:type="pct"/>
            <w:noWrap/>
          </w:tcPr>
          <w:p w14:paraId="098DD776" w14:textId="77777777" w:rsidR="00CE521F" w:rsidRPr="00A32820" w:rsidRDefault="00CE521F" w:rsidP="00EC5C6F">
            <w:pPr>
              <w:pStyle w:val="TableText"/>
              <w:jc w:val="right"/>
              <w:rPr>
                <w:b/>
              </w:rPr>
            </w:pPr>
            <w:r w:rsidRPr="00A32820">
              <w:rPr>
                <w:b/>
              </w:rPr>
              <w:t>13,255</w:t>
            </w:r>
          </w:p>
        </w:tc>
        <w:tc>
          <w:tcPr>
            <w:tcW w:w="576" w:type="pct"/>
            <w:noWrap/>
          </w:tcPr>
          <w:p w14:paraId="218F8E0E" w14:textId="77777777" w:rsidR="00CE521F" w:rsidRPr="00A32820" w:rsidRDefault="00CE521F" w:rsidP="00EC5C6F">
            <w:pPr>
              <w:pStyle w:val="TableText"/>
              <w:jc w:val="right"/>
              <w:rPr>
                <w:b/>
              </w:rPr>
            </w:pPr>
            <w:r w:rsidRPr="00A32820">
              <w:rPr>
                <w:b/>
              </w:rPr>
              <w:t>13,437</w:t>
            </w:r>
          </w:p>
        </w:tc>
      </w:tr>
      <w:tr w:rsidR="00CE521F" w:rsidRPr="00720951" w14:paraId="162FDD0E" w14:textId="77777777" w:rsidTr="00EC5C6F">
        <w:trPr>
          <w:trHeight w:val="300"/>
        </w:trPr>
        <w:tc>
          <w:tcPr>
            <w:tcW w:w="2121" w:type="pct"/>
            <w:noWrap/>
          </w:tcPr>
          <w:p w14:paraId="6B062C95" w14:textId="77777777" w:rsidR="00CE521F" w:rsidRPr="00720951" w:rsidRDefault="00CE521F" w:rsidP="00EC5C6F">
            <w:pPr>
              <w:pStyle w:val="TableText"/>
            </w:pPr>
            <w:r w:rsidRPr="005E3BE8">
              <w:t>Proportion of couples identified at risk</w:t>
            </w:r>
          </w:p>
        </w:tc>
        <w:tc>
          <w:tcPr>
            <w:tcW w:w="576" w:type="pct"/>
            <w:noWrap/>
          </w:tcPr>
          <w:p w14:paraId="66E94B89" w14:textId="77777777" w:rsidR="00CE521F" w:rsidRPr="00720951" w:rsidRDefault="00CE521F" w:rsidP="00EC5C6F">
            <w:pPr>
              <w:pStyle w:val="TableText"/>
              <w:jc w:val="right"/>
            </w:pPr>
            <w:r w:rsidRPr="000B02FE">
              <w:t>0.4%</w:t>
            </w:r>
          </w:p>
        </w:tc>
        <w:tc>
          <w:tcPr>
            <w:tcW w:w="576" w:type="pct"/>
            <w:noWrap/>
          </w:tcPr>
          <w:p w14:paraId="1F03A6E8" w14:textId="77777777" w:rsidR="00CE521F" w:rsidRPr="00720951" w:rsidRDefault="00CE521F" w:rsidP="00EC5C6F">
            <w:pPr>
              <w:pStyle w:val="TableText"/>
              <w:jc w:val="right"/>
            </w:pPr>
            <w:r w:rsidRPr="007A2BA2">
              <w:t>0.4%</w:t>
            </w:r>
          </w:p>
        </w:tc>
        <w:tc>
          <w:tcPr>
            <w:tcW w:w="576" w:type="pct"/>
            <w:noWrap/>
          </w:tcPr>
          <w:p w14:paraId="6A26C77A" w14:textId="77777777" w:rsidR="00CE521F" w:rsidRPr="00720951" w:rsidRDefault="00CE521F" w:rsidP="00EC5C6F">
            <w:pPr>
              <w:pStyle w:val="TableText"/>
              <w:jc w:val="right"/>
            </w:pPr>
            <w:r w:rsidRPr="007A2BA2">
              <w:t>0.4%</w:t>
            </w:r>
          </w:p>
        </w:tc>
        <w:tc>
          <w:tcPr>
            <w:tcW w:w="576" w:type="pct"/>
            <w:noWrap/>
          </w:tcPr>
          <w:p w14:paraId="6CBF922C" w14:textId="77777777" w:rsidR="00CE521F" w:rsidRPr="00720951" w:rsidRDefault="00CE521F" w:rsidP="00EC5C6F">
            <w:pPr>
              <w:pStyle w:val="TableText"/>
              <w:jc w:val="right"/>
            </w:pPr>
            <w:r w:rsidRPr="007A2BA2">
              <w:t>0.4%</w:t>
            </w:r>
          </w:p>
        </w:tc>
        <w:tc>
          <w:tcPr>
            <w:tcW w:w="576" w:type="pct"/>
            <w:noWrap/>
          </w:tcPr>
          <w:p w14:paraId="0C578FAF" w14:textId="77777777" w:rsidR="00CE521F" w:rsidRPr="00720951" w:rsidRDefault="00CE521F" w:rsidP="00EC5C6F">
            <w:pPr>
              <w:pStyle w:val="TableText"/>
              <w:jc w:val="right"/>
            </w:pPr>
            <w:r w:rsidRPr="007A2BA2">
              <w:t>0.4%</w:t>
            </w:r>
          </w:p>
        </w:tc>
      </w:tr>
      <w:tr w:rsidR="00CE521F" w:rsidRPr="00720951" w14:paraId="4154F670" w14:textId="77777777" w:rsidTr="00EC5C6F">
        <w:trPr>
          <w:trHeight w:val="300"/>
        </w:trPr>
        <w:tc>
          <w:tcPr>
            <w:tcW w:w="2121" w:type="pct"/>
            <w:noWrap/>
          </w:tcPr>
          <w:p w14:paraId="45402991" w14:textId="77777777" w:rsidR="00CE521F" w:rsidRPr="00720951" w:rsidRDefault="00CE521F" w:rsidP="00EC5C6F">
            <w:pPr>
              <w:pStyle w:val="TableText"/>
            </w:pPr>
            <w:r w:rsidRPr="005E3BE8">
              <w:t>No. couples at risk identified</w:t>
            </w:r>
          </w:p>
        </w:tc>
        <w:tc>
          <w:tcPr>
            <w:tcW w:w="576" w:type="pct"/>
            <w:noWrap/>
          </w:tcPr>
          <w:p w14:paraId="49878474" w14:textId="77777777" w:rsidR="00CE521F" w:rsidRPr="00720951" w:rsidRDefault="00CE521F" w:rsidP="00EC5C6F">
            <w:pPr>
              <w:pStyle w:val="TableText"/>
              <w:jc w:val="right"/>
            </w:pPr>
            <w:r w:rsidRPr="006021AD">
              <w:t>47</w:t>
            </w:r>
          </w:p>
        </w:tc>
        <w:tc>
          <w:tcPr>
            <w:tcW w:w="576" w:type="pct"/>
            <w:noWrap/>
          </w:tcPr>
          <w:p w14:paraId="6EF13BBE" w14:textId="77777777" w:rsidR="00CE521F" w:rsidRPr="00720951" w:rsidRDefault="00CE521F" w:rsidP="00EC5C6F">
            <w:pPr>
              <w:pStyle w:val="TableText"/>
              <w:jc w:val="right"/>
            </w:pPr>
            <w:r w:rsidRPr="006021AD">
              <w:t>47</w:t>
            </w:r>
          </w:p>
        </w:tc>
        <w:tc>
          <w:tcPr>
            <w:tcW w:w="576" w:type="pct"/>
            <w:noWrap/>
          </w:tcPr>
          <w:p w14:paraId="378DCD8D" w14:textId="77777777" w:rsidR="00CE521F" w:rsidRPr="00720951" w:rsidRDefault="00CE521F" w:rsidP="00EC5C6F">
            <w:pPr>
              <w:pStyle w:val="TableText"/>
              <w:jc w:val="right"/>
            </w:pPr>
            <w:r w:rsidRPr="006021AD">
              <w:t>48</w:t>
            </w:r>
          </w:p>
        </w:tc>
        <w:tc>
          <w:tcPr>
            <w:tcW w:w="576" w:type="pct"/>
            <w:noWrap/>
          </w:tcPr>
          <w:p w14:paraId="561378DB" w14:textId="77777777" w:rsidR="00CE521F" w:rsidRPr="00720951" w:rsidRDefault="00CE521F" w:rsidP="00EC5C6F">
            <w:pPr>
              <w:pStyle w:val="TableText"/>
              <w:jc w:val="right"/>
            </w:pPr>
            <w:r w:rsidRPr="006021AD">
              <w:t>49</w:t>
            </w:r>
          </w:p>
        </w:tc>
        <w:tc>
          <w:tcPr>
            <w:tcW w:w="576" w:type="pct"/>
            <w:noWrap/>
          </w:tcPr>
          <w:p w14:paraId="44105335" w14:textId="77777777" w:rsidR="00CE521F" w:rsidRPr="00720951" w:rsidRDefault="00CE521F" w:rsidP="00EC5C6F">
            <w:pPr>
              <w:pStyle w:val="TableText"/>
              <w:jc w:val="right"/>
            </w:pPr>
            <w:r w:rsidRPr="006021AD">
              <w:t>49</w:t>
            </w:r>
          </w:p>
        </w:tc>
      </w:tr>
      <w:tr w:rsidR="00CE521F" w:rsidRPr="00720951" w14:paraId="5C17C67C" w14:textId="77777777" w:rsidTr="00EC5C6F">
        <w:trPr>
          <w:trHeight w:val="300"/>
        </w:trPr>
        <w:tc>
          <w:tcPr>
            <w:tcW w:w="2121" w:type="pct"/>
            <w:noWrap/>
          </w:tcPr>
          <w:p w14:paraId="737F0CE3" w14:textId="77777777" w:rsidR="00CE521F" w:rsidRPr="00720951" w:rsidRDefault="00CE521F" w:rsidP="00EC5C6F">
            <w:pPr>
              <w:pStyle w:val="TableText"/>
            </w:pPr>
            <w:r w:rsidRPr="005E3BE8">
              <w:t>No. tests required to identify one couple at risk</w:t>
            </w:r>
          </w:p>
        </w:tc>
        <w:tc>
          <w:tcPr>
            <w:tcW w:w="576" w:type="pct"/>
            <w:noWrap/>
          </w:tcPr>
          <w:p w14:paraId="6C1E5760" w14:textId="77777777" w:rsidR="00CE521F" w:rsidRPr="00720951" w:rsidRDefault="00CE521F" w:rsidP="00EC5C6F">
            <w:pPr>
              <w:pStyle w:val="TableText"/>
              <w:jc w:val="right"/>
            </w:pPr>
            <w:r w:rsidRPr="000B02FE">
              <w:t>248</w:t>
            </w:r>
          </w:p>
        </w:tc>
        <w:tc>
          <w:tcPr>
            <w:tcW w:w="576" w:type="pct"/>
            <w:noWrap/>
          </w:tcPr>
          <w:p w14:paraId="630AE1E7" w14:textId="77777777" w:rsidR="00CE521F" w:rsidRPr="00720951" w:rsidRDefault="00CE521F" w:rsidP="00EC5C6F">
            <w:pPr>
              <w:pStyle w:val="TableText"/>
              <w:jc w:val="right"/>
            </w:pPr>
            <w:r w:rsidRPr="000B02FE">
              <w:t>248</w:t>
            </w:r>
          </w:p>
        </w:tc>
        <w:tc>
          <w:tcPr>
            <w:tcW w:w="576" w:type="pct"/>
            <w:noWrap/>
          </w:tcPr>
          <w:p w14:paraId="338947A4" w14:textId="77777777" w:rsidR="00CE521F" w:rsidRPr="00720951" w:rsidRDefault="00CE521F" w:rsidP="00EC5C6F">
            <w:pPr>
              <w:pStyle w:val="TableText"/>
              <w:jc w:val="right"/>
            </w:pPr>
            <w:r w:rsidRPr="000B02FE">
              <w:t>248</w:t>
            </w:r>
          </w:p>
        </w:tc>
        <w:tc>
          <w:tcPr>
            <w:tcW w:w="576" w:type="pct"/>
            <w:noWrap/>
          </w:tcPr>
          <w:p w14:paraId="348E278F" w14:textId="77777777" w:rsidR="00CE521F" w:rsidRPr="00720951" w:rsidRDefault="00CE521F" w:rsidP="00EC5C6F">
            <w:pPr>
              <w:pStyle w:val="TableText"/>
              <w:jc w:val="right"/>
            </w:pPr>
            <w:r w:rsidRPr="000B02FE">
              <w:t>248</w:t>
            </w:r>
          </w:p>
        </w:tc>
        <w:tc>
          <w:tcPr>
            <w:tcW w:w="576" w:type="pct"/>
            <w:noWrap/>
          </w:tcPr>
          <w:p w14:paraId="4C906FA4" w14:textId="77777777" w:rsidR="00CE521F" w:rsidRPr="00720951" w:rsidRDefault="00CE521F" w:rsidP="00EC5C6F">
            <w:pPr>
              <w:pStyle w:val="TableText"/>
              <w:jc w:val="right"/>
            </w:pPr>
            <w:r w:rsidRPr="000B02FE">
              <w:t>248</w:t>
            </w:r>
          </w:p>
        </w:tc>
      </w:tr>
      <w:tr w:rsidR="00CE521F" w:rsidRPr="00720951" w14:paraId="54B9B21A" w14:textId="77777777" w:rsidTr="00EC5C6F">
        <w:trPr>
          <w:trHeight w:val="300"/>
        </w:trPr>
        <w:tc>
          <w:tcPr>
            <w:tcW w:w="2121" w:type="pct"/>
            <w:noWrap/>
          </w:tcPr>
          <w:p w14:paraId="17267012" w14:textId="77777777" w:rsidR="00CE521F" w:rsidRPr="00720951" w:rsidRDefault="00CE521F" w:rsidP="00EC5C6F">
            <w:pPr>
              <w:pStyle w:val="TableText"/>
            </w:pPr>
            <w:r>
              <w:t>Total cost of deletion testing, $100 per test</w:t>
            </w:r>
          </w:p>
        </w:tc>
        <w:tc>
          <w:tcPr>
            <w:tcW w:w="576" w:type="pct"/>
            <w:noWrap/>
          </w:tcPr>
          <w:p w14:paraId="38A62108" w14:textId="77777777" w:rsidR="00CE521F" w:rsidRPr="00720951" w:rsidRDefault="00CE521F" w:rsidP="00EC5C6F">
            <w:pPr>
              <w:pStyle w:val="TableText"/>
              <w:jc w:val="right"/>
            </w:pPr>
            <w:r w:rsidRPr="008460A0">
              <w:t>$1,272,240</w:t>
            </w:r>
          </w:p>
        </w:tc>
        <w:tc>
          <w:tcPr>
            <w:tcW w:w="576" w:type="pct"/>
            <w:noWrap/>
          </w:tcPr>
          <w:p w14:paraId="584DF61D" w14:textId="77777777" w:rsidR="00CE521F" w:rsidRPr="00720951" w:rsidRDefault="00CE521F" w:rsidP="00EC5C6F">
            <w:pPr>
              <w:pStyle w:val="TableText"/>
              <w:jc w:val="right"/>
            </w:pPr>
            <w:r w:rsidRPr="008460A0">
              <w:t>$1,289,751</w:t>
            </w:r>
          </w:p>
        </w:tc>
        <w:tc>
          <w:tcPr>
            <w:tcW w:w="576" w:type="pct"/>
            <w:noWrap/>
          </w:tcPr>
          <w:p w14:paraId="41E797F1" w14:textId="77777777" w:rsidR="00CE521F" w:rsidRPr="00720951" w:rsidRDefault="00CE521F" w:rsidP="00EC5C6F">
            <w:pPr>
              <w:pStyle w:val="TableText"/>
              <w:jc w:val="right"/>
            </w:pPr>
            <w:r w:rsidRPr="008460A0">
              <w:t>$1,307,503</w:t>
            </w:r>
          </w:p>
        </w:tc>
        <w:tc>
          <w:tcPr>
            <w:tcW w:w="576" w:type="pct"/>
            <w:noWrap/>
          </w:tcPr>
          <w:p w14:paraId="6CBCD77C" w14:textId="77777777" w:rsidR="00CE521F" w:rsidRPr="00720951" w:rsidRDefault="00CE521F" w:rsidP="00EC5C6F">
            <w:pPr>
              <w:pStyle w:val="TableText"/>
              <w:jc w:val="right"/>
            </w:pPr>
            <w:r w:rsidRPr="008460A0">
              <w:t>$1,325,499</w:t>
            </w:r>
          </w:p>
        </w:tc>
        <w:tc>
          <w:tcPr>
            <w:tcW w:w="576" w:type="pct"/>
            <w:noWrap/>
          </w:tcPr>
          <w:p w14:paraId="23A38F35" w14:textId="77777777" w:rsidR="00CE521F" w:rsidRPr="00720951" w:rsidRDefault="00CE521F" w:rsidP="00EC5C6F">
            <w:pPr>
              <w:pStyle w:val="TableText"/>
              <w:jc w:val="right"/>
            </w:pPr>
            <w:r w:rsidRPr="008460A0">
              <w:t>$1,343,743</w:t>
            </w:r>
          </w:p>
        </w:tc>
      </w:tr>
      <w:tr w:rsidR="00CE521F" w:rsidRPr="00720951" w14:paraId="1FADD0EC" w14:textId="77777777" w:rsidTr="00EC5C6F">
        <w:trPr>
          <w:trHeight w:val="300"/>
        </w:trPr>
        <w:tc>
          <w:tcPr>
            <w:tcW w:w="2121" w:type="pct"/>
            <w:noWrap/>
          </w:tcPr>
          <w:p w14:paraId="72F28514" w14:textId="77777777" w:rsidR="00CE521F" w:rsidRPr="00DB2F39" w:rsidRDefault="00CE521F" w:rsidP="00EC5C6F">
            <w:pPr>
              <w:pStyle w:val="TableText"/>
              <w:rPr>
                <w:b/>
                <w:vertAlign w:val="superscript"/>
              </w:rPr>
            </w:pPr>
            <w:r w:rsidRPr="00246002">
              <w:rPr>
                <w:b/>
              </w:rPr>
              <w:t>Cost to the MBS, $85</w:t>
            </w:r>
            <w:r>
              <w:rPr>
                <w:b/>
              </w:rPr>
              <w:t xml:space="preserve"> per test </w:t>
            </w:r>
            <w:r>
              <w:rPr>
                <w:b/>
                <w:vertAlign w:val="superscript"/>
              </w:rPr>
              <w:t>a</w:t>
            </w:r>
          </w:p>
        </w:tc>
        <w:tc>
          <w:tcPr>
            <w:tcW w:w="576" w:type="pct"/>
            <w:noWrap/>
          </w:tcPr>
          <w:p w14:paraId="5CE85736" w14:textId="77777777" w:rsidR="00CE521F" w:rsidRPr="007120CF" w:rsidRDefault="00CE521F" w:rsidP="00EC5C6F">
            <w:pPr>
              <w:pStyle w:val="TableText"/>
              <w:jc w:val="right"/>
              <w:rPr>
                <w:b/>
              </w:rPr>
            </w:pPr>
            <w:r w:rsidRPr="007120CF">
              <w:rPr>
                <w:b/>
              </w:rPr>
              <w:t>$1,081,404</w:t>
            </w:r>
          </w:p>
        </w:tc>
        <w:tc>
          <w:tcPr>
            <w:tcW w:w="576" w:type="pct"/>
            <w:noWrap/>
          </w:tcPr>
          <w:p w14:paraId="586691B3" w14:textId="77777777" w:rsidR="00CE521F" w:rsidRPr="007120CF" w:rsidRDefault="00CE521F" w:rsidP="00EC5C6F">
            <w:pPr>
              <w:pStyle w:val="TableText"/>
              <w:jc w:val="right"/>
              <w:rPr>
                <w:b/>
              </w:rPr>
            </w:pPr>
            <w:r w:rsidRPr="007120CF">
              <w:rPr>
                <w:b/>
              </w:rPr>
              <w:t>$1,096,288</w:t>
            </w:r>
          </w:p>
        </w:tc>
        <w:tc>
          <w:tcPr>
            <w:tcW w:w="576" w:type="pct"/>
            <w:noWrap/>
          </w:tcPr>
          <w:p w14:paraId="71F06D1F" w14:textId="77777777" w:rsidR="00CE521F" w:rsidRPr="007120CF" w:rsidRDefault="00CE521F" w:rsidP="00EC5C6F">
            <w:pPr>
              <w:pStyle w:val="TableText"/>
              <w:jc w:val="right"/>
              <w:rPr>
                <w:b/>
              </w:rPr>
            </w:pPr>
            <w:r w:rsidRPr="007120CF">
              <w:rPr>
                <w:b/>
              </w:rPr>
              <w:t>$1,111,377</w:t>
            </w:r>
          </w:p>
        </w:tc>
        <w:tc>
          <w:tcPr>
            <w:tcW w:w="576" w:type="pct"/>
            <w:noWrap/>
          </w:tcPr>
          <w:p w14:paraId="2F972A16" w14:textId="77777777" w:rsidR="00CE521F" w:rsidRPr="007120CF" w:rsidRDefault="00CE521F" w:rsidP="00EC5C6F">
            <w:pPr>
              <w:pStyle w:val="TableText"/>
              <w:jc w:val="right"/>
              <w:rPr>
                <w:b/>
              </w:rPr>
            </w:pPr>
            <w:r w:rsidRPr="007120CF">
              <w:rPr>
                <w:b/>
              </w:rPr>
              <w:t>$1,126,674</w:t>
            </w:r>
          </w:p>
        </w:tc>
        <w:tc>
          <w:tcPr>
            <w:tcW w:w="576" w:type="pct"/>
            <w:noWrap/>
          </w:tcPr>
          <w:p w14:paraId="55365027" w14:textId="77777777" w:rsidR="00CE521F" w:rsidRPr="007120CF" w:rsidRDefault="00CE521F" w:rsidP="00EC5C6F">
            <w:pPr>
              <w:pStyle w:val="TableText"/>
              <w:jc w:val="right"/>
              <w:rPr>
                <w:b/>
              </w:rPr>
            </w:pPr>
            <w:r w:rsidRPr="007120CF">
              <w:rPr>
                <w:b/>
              </w:rPr>
              <w:t>$1,142,181</w:t>
            </w:r>
          </w:p>
        </w:tc>
      </w:tr>
      <w:tr w:rsidR="00CE521F" w:rsidRPr="00720951" w14:paraId="41913149" w14:textId="77777777" w:rsidTr="00EC5C6F">
        <w:trPr>
          <w:trHeight w:val="300"/>
        </w:trPr>
        <w:tc>
          <w:tcPr>
            <w:tcW w:w="2121" w:type="pct"/>
            <w:noWrap/>
          </w:tcPr>
          <w:p w14:paraId="6A349EA9" w14:textId="77777777" w:rsidR="00CE521F" w:rsidRPr="00DB2F39" w:rsidRDefault="00CE521F" w:rsidP="00EC5C6F">
            <w:pPr>
              <w:pStyle w:val="TableText"/>
              <w:rPr>
                <w:vertAlign w:val="superscript"/>
              </w:rPr>
            </w:pPr>
            <w:r>
              <w:t xml:space="preserve">Cost to patients, $15 per test </w:t>
            </w:r>
            <w:r>
              <w:rPr>
                <w:vertAlign w:val="superscript"/>
              </w:rPr>
              <w:t>b</w:t>
            </w:r>
          </w:p>
        </w:tc>
        <w:tc>
          <w:tcPr>
            <w:tcW w:w="576" w:type="pct"/>
            <w:noWrap/>
          </w:tcPr>
          <w:p w14:paraId="7FB7AAAF" w14:textId="77777777" w:rsidR="00CE521F" w:rsidRPr="00720951" w:rsidRDefault="00CE521F" w:rsidP="00EC5C6F">
            <w:pPr>
              <w:pStyle w:val="TableText"/>
              <w:jc w:val="right"/>
            </w:pPr>
            <w:r w:rsidRPr="008460A0">
              <w:t>$190,836</w:t>
            </w:r>
          </w:p>
        </w:tc>
        <w:tc>
          <w:tcPr>
            <w:tcW w:w="576" w:type="pct"/>
            <w:noWrap/>
          </w:tcPr>
          <w:p w14:paraId="441BEDFD" w14:textId="77777777" w:rsidR="00CE521F" w:rsidRPr="00720951" w:rsidRDefault="00CE521F" w:rsidP="00EC5C6F">
            <w:pPr>
              <w:pStyle w:val="TableText"/>
              <w:jc w:val="right"/>
            </w:pPr>
            <w:r w:rsidRPr="008460A0">
              <w:t>$193,463</w:t>
            </w:r>
          </w:p>
        </w:tc>
        <w:tc>
          <w:tcPr>
            <w:tcW w:w="576" w:type="pct"/>
            <w:noWrap/>
          </w:tcPr>
          <w:p w14:paraId="7E85EAD5" w14:textId="77777777" w:rsidR="00CE521F" w:rsidRPr="00720951" w:rsidRDefault="00CE521F" w:rsidP="00EC5C6F">
            <w:pPr>
              <w:pStyle w:val="TableText"/>
              <w:jc w:val="right"/>
            </w:pPr>
            <w:r w:rsidRPr="008460A0">
              <w:t>$196,125</w:t>
            </w:r>
          </w:p>
        </w:tc>
        <w:tc>
          <w:tcPr>
            <w:tcW w:w="576" w:type="pct"/>
            <w:noWrap/>
          </w:tcPr>
          <w:p w14:paraId="728EEB1B" w14:textId="77777777" w:rsidR="00CE521F" w:rsidRPr="00720951" w:rsidRDefault="00CE521F" w:rsidP="00EC5C6F">
            <w:pPr>
              <w:pStyle w:val="TableText"/>
              <w:jc w:val="right"/>
            </w:pPr>
            <w:r w:rsidRPr="008460A0">
              <w:t>$198,825</w:t>
            </w:r>
          </w:p>
        </w:tc>
        <w:tc>
          <w:tcPr>
            <w:tcW w:w="576" w:type="pct"/>
            <w:noWrap/>
          </w:tcPr>
          <w:p w14:paraId="6FDE6337" w14:textId="77777777" w:rsidR="00CE521F" w:rsidRPr="00720951" w:rsidRDefault="00CE521F" w:rsidP="00EC5C6F">
            <w:pPr>
              <w:pStyle w:val="TableText"/>
              <w:jc w:val="right"/>
            </w:pPr>
            <w:r w:rsidRPr="008460A0">
              <w:t>$201,561</w:t>
            </w:r>
          </w:p>
        </w:tc>
      </w:tr>
    </w:tbl>
    <w:p w14:paraId="7A1CA48B" w14:textId="77777777" w:rsidR="00CE521F" w:rsidRDefault="00CE521F" w:rsidP="00CE521F">
      <w:pPr>
        <w:pStyle w:val="Tablenotes1"/>
      </w:pPr>
      <w:r>
        <w:rPr>
          <w:vertAlign w:val="superscript"/>
        </w:rPr>
        <w:t xml:space="preserve">a </w:t>
      </w:r>
      <w:r>
        <w:t>Assuming all tests are conducted in the outpatient setting</w:t>
      </w:r>
    </w:p>
    <w:p w14:paraId="37E15F55" w14:textId="77777777" w:rsidR="00CE521F" w:rsidRDefault="00CE521F" w:rsidP="00CE521F">
      <w:pPr>
        <w:pStyle w:val="Tablenotes1"/>
      </w:pPr>
      <w:r>
        <w:rPr>
          <w:vertAlign w:val="superscript"/>
        </w:rPr>
        <w:t xml:space="preserve">b </w:t>
      </w:r>
      <w:r>
        <w:t>Assuming that: patients are not bulk-billed; and providers do not charge above the schedule fee</w:t>
      </w:r>
    </w:p>
    <w:p w14:paraId="76C8555A" w14:textId="0070B32C" w:rsidR="00D434B4" w:rsidRDefault="00D434B4" w:rsidP="00D434B4">
      <w:r>
        <w:t xml:space="preserve">At a proposed </w:t>
      </w:r>
      <w:bookmarkStart w:id="33" w:name="_Ref526076428"/>
      <w:bookmarkStart w:id="34" w:name="_Toc527050642"/>
      <w:r>
        <w:t>schedule fee of $200, the cost per test to the MBS is $170, assuming all tests are conducted in the outpatient setting. The financial implications to the MBS of listing deletion testing are estimated to be $2.16 million in 2019 increasing to $2.28 million in 2023 (</w:t>
      </w:r>
      <w:r>
        <w:fldChar w:fldCharType="begin"/>
      </w:r>
      <w:r>
        <w:instrText xml:space="preserve"> REF _Ref3367502 \h </w:instrText>
      </w:r>
      <w:r>
        <w:fldChar w:fldCharType="separate"/>
      </w:r>
      <w:r w:rsidR="00F37DD4">
        <w:t xml:space="preserve">Table </w:t>
      </w:r>
      <w:r w:rsidR="00F37DD4">
        <w:rPr>
          <w:noProof/>
        </w:rPr>
        <w:t>1</w:t>
      </w:r>
      <w:r>
        <w:fldChar w:fldCharType="end"/>
      </w:r>
      <w:r w:rsidR="00137B47">
        <w:t>8</w:t>
      </w:r>
      <w:r w:rsidR="004E5F31">
        <w:t>).</w:t>
      </w:r>
    </w:p>
    <w:p w14:paraId="2E68FE12" w14:textId="45AD88C4" w:rsidR="00D434B4" w:rsidRPr="007A426A" w:rsidRDefault="00D434B4" w:rsidP="007A426A">
      <w:pPr>
        <w:spacing w:before="240"/>
        <w:rPr>
          <w:rFonts w:ascii="Arial Narrow" w:hAnsi="Arial Narrow"/>
          <w:b/>
          <w:sz w:val="20"/>
        </w:rPr>
      </w:pPr>
      <w:bookmarkStart w:id="35" w:name="_Ref3367502"/>
      <w:r w:rsidRPr="007A426A">
        <w:rPr>
          <w:rFonts w:ascii="Arial Narrow" w:hAnsi="Arial Narrow"/>
          <w:b/>
          <w:sz w:val="20"/>
        </w:rPr>
        <w:t xml:space="preserve">Table </w:t>
      </w:r>
      <w:bookmarkEnd w:id="33"/>
      <w:bookmarkEnd w:id="35"/>
      <w:r w:rsidR="00137B47">
        <w:rPr>
          <w:rFonts w:ascii="Arial Narrow" w:hAnsi="Arial Narrow"/>
          <w:b/>
          <w:sz w:val="20"/>
        </w:rPr>
        <w:t>18</w:t>
      </w:r>
      <w:r w:rsidRPr="007A426A">
        <w:rPr>
          <w:rFonts w:ascii="Arial Narrow" w:hAnsi="Arial Narrow"/>
          <w:b/>
          <w:sz w:val="20"/>
        </w:rPr>
        <w:t xml:space="preserve"> </w:t>
      </w:r>
      <w:r w:rsidR="006F6129" w:rsidRPr="007A426A">
        <w:rPr>
          <w:rFonts w:ascii="Arial Narrow" w:hAnsi="Arial Narrow"/>
          <w:b/>
          <w:sz w:val="20"/>
        </w:rPr>
        <w:t>Revised e</w:t>
      </w:r>
      <w:r w:rsidRPr="007A426A">
        <w:rPr>
          <w:rFonts w:ascii="Arial Narrow" w:hAnsi="Arial Narrow"/>
          <w:b/>
          <w:sz w:val="20"/>
        </w:rPr>
        <w:t>stimated cost of α thalassaemia deletion testing</w:t>
      </w:r>
      <w:bookmarkEnd w:id="34"/>
    </w:p>
    <w:tbl>
      <w:tblPr>
        <w:tblStyle w:val="TableGrid1"/>
        <w:tblW w:w="5000" w:type="pct"/>
        <w:tblLayout w:type="fixed"/>
        <w:tblLook w:val="04A0" w:firstRow="1" w:lastRow="0" w:firstColumn="1" w:lastColumn="0" w:noHBand="0" w:noVBand="1"/>
        <w:tblCaption w:val="Estimated cost of α thalassaemia deletion testing"/>
        <w:tblDescription w:val="Estimated cost of α thalassaemia deletion testing"/>
      </w:tblPr>
      <w:tblGrid>
        <w:gridCol w:w="3681"/>
        <w:gridCol w:w="1068"/>
        <w:gridCol w:w="1067"/>
        <w:gridCol w:w="1067"/>
        <w:gridCol w:w="1067"/>
        <w:gridCol w:w="1066"/>
      </w:tblGrid>
      <w:tr w:rsidR="00D434B4" w:rsidRPr="00D20EEB" w14:paraId="6AA93F44" w14:textId="77777777" w:rsidTr="003C546E">
        <w:trPr>
          <w:cnfStyle w:val="100000000000" w:firstRow="1" w:lastRow="0" w:firstColumn="0" w:lastColumn="0" w:oddVBand="0" w:evenVBand="0" w:oddHBand="0" w:evenHBand="0" w:firstRowFirstColumn="0" w:firstRowLastColumn="0" w:lastRowFirstColumn="0" w:lastRowLastColumn="0"/>
          <w:trHeight w:val="300"/>
          <w:tblHeader/>
        </w:trPr>
        <w:tc>
          <w:tcPr>
            <w:tcW w:w="2041" w:type="pct"/>
            <w:noWrap/>
            <w:hideMark/>
          </w:tcPr>
          <w:p w14:paraId="0CE7C0B3" w14:textId="77777777" w:rsidR="00D434B4" w:rsidRPr="00D20EEB" w:rsidRDefault="00D434B4" w:rsidP="003C546E">
            <w:pPr>
              <w:pStyle w:val="TableHeading"/>
            </w:pPr>
          </w:p>
        </w:tc>
        <w:tc>
          <w:tcPr>
            <w:tcW w:w="592" w:type="pct"/>
            <w:noWrap/>
            <w:hideMark/>
          </w:tcPr>
          <w:p w14:paraId="31D8436F" w14:textId="77777777" w:rsidR="00D434B4" w:rsidRPr="00D20EEB" w:rsidRDefault="00D434B4" w:rsidP="003C546E">
            <w:pPr>
              <w:pStyle w:val="TableHeading"/>
            </w:pPr>
            <w:r w:rsidRPr="00D20EEB">
              <w:t>2019</w:t>
            </w:r>
          </w:p>
        </w:tc>
        <w:tc>
          <w:tcPr>
            <w:tcW w:w="592" w:type="pct"/>
            <w:noWrap/>
            <w:hideMark/>
          </w:tcPr>
          <w:p w14:paraId="509FB9D6" w14:textId="77777777" w:rsidR="00D434B4" w:rsidRPr="00D20EEB" w:rsidRDefault="00D434B4" w:rsidP="003C546E">
            <w:pPr>
              <w:pStyle w:val="TableHeading"/>
            </w:pPr>
            <w:r w:rsidRPr="00D20EEB">
              <w:t>2020</w:t>
            </w:r>
          </w:p>
        </w:tc>
        <w:tc>
          <w:tcPr>
            <w:tcW w:w="592" w:type="pct"/>
            <w:noWrap/>
            <w:hideMark/>
          </w:tcPr>
          <w:p w14:paraId="1AA92FA5" w14:textId="77777777" w:rsidR="00D434B4" w:rsidRPr="00D20EEB" w:rsidRDefault="00D434B4" w:rsidP="003C546E">
            <w:pPr>
              <w:pStyle w:val="TableHeading"/>
            </w:pPr>
            <w:r w:rsidRPr="00D20EEB">
              <w:t>2021</w:t>
            </w:r>
          </w:p>
        </w:tc>
        <w:tc>
          <w:tcPr>
            <w:tcW w:w="592" w:type="pct"/>
            <w:noWrap/>
            <w:hideMark/>
          </w:tcPr>
          <w:p w14:paraId="67958BCE" w14:textId="77777777" w:rsidR="00D434B4" w:rsidRPr="00D20EEB" w:rsidRDefault="00D434B4" w:rsidP="003C546E">
            <w:pPr>
              <w:pStyle w:val="TableHeading"/>
            </w:pPr>
            <w:r w:rsidRPr="00D20EEB">
              <w:t>2022</w:t>
            </w:r>
          </w:p>
        </w:tc>
        <w:tc>
          <w:tcPr>
            <w:tcW w:w="592" w:type="pct"/>
            <w:noWrap/>
            <w:hideMark/>
          </w:tcPr>
          <w:p w14:paraId="6F2146E2" w14:textId="77777777" w:rsidR="00D434B4" w:rsidRPr="00D20EEB" w:rsidRDefault="00D434B4" w:rsidP="003C546E">
            <w:pPr>
              <w:pStyle w:val="TableHeading"/>
            </w:pPr>
            <w:r w:rsidRPr="00D20EEB">
              <w:t>2023</w:t>
            </w:r>
          </w:p>
        </w:tc>
      </w:tr>
      <w:tr w:rsidR="00D434B4" w:rsidRPr="00D00585" w14:paraId="50598D45" w14:textId="77777777" w:rsidTr="003C546E">
        <w:trPr>
          <w:trHeight w:val="300"/>
        </w:trPr>
        <w:tc>
          <w:tcPr>
            <w:tcW w:w="2041" w:type="pct"/>
            <w:noWrap/>
            <w:hideMark/>
          </w:tcPr>
          <w:p w14:paraId="79ECF495" w14:textId="77777777" w:rsidR="00D434B4" w:rsidRPr="00D00585" w:rsidRDefault="00D434B4" w:rsidP="003C546E">
            <w:pPr>
              <w:pStyle w:val="TableText"/>
            </w:pPr>
            <w:r w:rsidRPr="00D00585">
              <w:t>No. of women eligible for deletion testing</w:t>
            </w:r>
          </w:p>
        </w:tc>
        <w:tc>
          <w:tcPr>
            <w:tcW w:w="592" w:type="pct"/>
            <w:noWrap/>
            <w:hideMark/>
          </w:tcPr>
          <w:p w14:paraId="126FF304" w14:textId="77777777" w:rsidR="00D434B4" w:rsidRPr="00D00585" w:rsidRDefault="00D434B4" w:rsidP="003C546E">
            <w:pPr>
              <w:pStyle w:val="TableText"/>
              <w:jc w:val="right"/>
              <w:rPr>
                <w:bCs/>
              </w:rPr>
            </w:pPr>
            <w:r w:rsidRPr="00D00585">
              <w:t>11,552</w:t>
            </w:r>
          </w:p>
        </w:tc>
        <w:tc>
          <w:tcPr>
            <w:tcW w:w="592" w:type="pct"/>
            <w:noWrap/>
            <w:hideMark/>
          </w:tcPr>
          <w:p w14:paraId="6BCA8FBB" w14:textId="77777777" w:rsidR="00D434B4" w:rsidRPr="00D00585" w:rsidRDefault="00D434B4" w:rsidP="003C546E">
            <w:pPr>
              <w:pStyle w:val="TableText"/>
              <w:jc w:val="right"/>
              <w:rPr>
                <w:bCs/>
              </w:rPr>
            </w:pPr>
            <w:r w:rsidRPr="00D00585">
              <w:t>11,711</w:t>
            </w:r>
          </w:p>
        </w:tc>
        <w:tc>
          <w:tcPr>
            <w:tcW w:w="592" w:type="pct"/>
            <w:noWrap/>
            <w:hideMark/>
          </w:tcPr>
          <w:p w14:paraId="54F8EA60" w14:textId="77777777" w:rsidR="00D434B4" w:rsidRPr="00D00585" w:rsidRDefault="00D434B4" w:rsidP="003C546E">
            <w:pPr>
              <w:pStyle w:val="TableText"/>
              <w:jc w:val="right"/>
              <w:rPr>
                <w:bCs/>
              </w:rPr>
            </w:pPr>
            <w:r w:rsidRPr="00D00585">
              <w:t>11,872</w:t>
            </w:r>
          </w:p>
        </w:tc>
        <w:tc>
          <w:tcPr>
            <w:tcW w:w="592" w:type="pct"/>
            <w:noWrap/>
            <w:hideMark/>
          </w:tcPr>
          <w:p w14:paraId="6C443F03" w14:textId="77777777" w:rsidR="00D434B4" w:rsidRPr="00D00585" w:rsidRDefault="00D434B4" w:rsidP="003C546E">
            <w:pPr>
              <w:pStyle w:val="TableText"/>
              <w:jc w:val="right"/>
              <w:rPr>
                <w:bCs/>
              </w:rPr>
            </w:pPr>
            <w:r w:rsidRPr="00D00585">
              <w:t>12,035</w:t>
            </w:r>
          </w:p>
        </w:tc>
        <w:tc>
          <w:tcPr>
            <w:tcW w:w="592" w:type="pct"/>
            <w:noWrap/>
            <w:hideMark/>
          </w:tcPr>
          <w:p w14:paraId="113243A3" w14:textId="77777777" w:rsidR="00D434B4" w:rsidRPr="00D00585" w:rsidRDefault="00D434B4" w:rsidP="003C546E">
            <w:pPr>
              <w:pStyle w:val="TableText"/>
              <w:jc w:val="right"/>
              <w:rPr>
                <w:bCs/>
              </w:rPr>
            </w:pPr>
            <w:r w:rsidRPr="00D00585">
              <w:t>12,201</w:t>
            </w:r>
          </w:p>
        </w:tc>
      </w:tr>
      <w:tr w:rsidR="00D434B4" w:rsidRPr="00D00585" w14:paraId="1E9F91AC" w14:textId="77777777" w:rsidTr="003C546E">
        <w:trPr>
          <w:trHeight w:val="300"/>
        </w:trPr>
        <w:tc>
          <w:tcPr>
            <w:tcW w:w="2041" w:type="pct"/>
            <w:noWrap/>
          </w:tcPr>
          <w:p w14:paraId="168D6DBB" w14:textId="77777777" w:rsidR="00D434B4" w:rsidRPr="00D00585" w:rsidRDefault="00D434B4" w:rsidP="003C546E">
            <w:pPr>
              <w:pStyle w:val="TableText"/>
            </w:pPr>
            <w:r w:rsidRPr="00D00585">
              <w:t>No. of partners eligible for deletion testing</w:t>
            </w:r>
          </w:p>
        </w:tc>
        <w:tc>
          <w:tcPr>
            <w:tcW w:w="592" w:type="pct"/>
            <w:noWrap/>
          </w:tcPr>
          <w:p w14:paraId="4AB7545B" w14:textId="77777777" w:rsidR="00D434B4" w:rsidRPr="00D00585" w:rsidRDefault="00D434B4" w:rsidP="003C546E">
            <w:pPr>
              <w:pStyle w:val="TableText"/>
              <w:jc w:val="right"/>
            </w:pPr>
            <w:r w:rsidRPr="00D00585">
              <w:t>1,171</w:t>
            </w:r>
          </w:p>
        </w:tc>
        <w:tc>
          <w:tcPr>
            <w:tcW w:w="592" w:type="pct"/>
            <w:noWrap/>
          </w:tcPr>
          <w:p w14:paraId="762C1473" w14:textId="77777777" w:rsidR="00D434B4" w:rsidRPr="00D00585" w:rsidRDefault="00D434B4" w:rsidP="003C546E">
            <w:pPr>
              <w:pStyle w:val="TableText"/>
              <w:jc w:val="right"/>
            </w:pPr>
            <w:r w:rsidRPr="00D00585">
              <w:t>1,187</w:t>
            </w:r>
          </w:p>
        </w:tc>
        <w:tc>
          <w:tcPr>
            <w:tcW w:w="592" w:type="pct"/>
            <w:noWrap/>
          </w:tcPr>
          <w:p w14:paraId="1419877A" w14:textId="77777777" w:rsidR="00D434B4" w:rsidRPr="00D00585" w:rsidRDefault="00D434B4" w:rsidP="003C546E">
            <w:pPr>
              <w:pStyle w:val="TableText"/>
              <w:jc w:val="right"/>
            </w:pPr>
            <w:r w:rsidRPr="00D00585">
              <w:t>1,203</w:t>
            </w:r>
          </w:p>
        </w:tc>
        <w:tc>
          <w:tcPr>
            <w:tcW w:w="592" w:type="pct"/>
            <w:noWrap/>
          </w:tcPr>
          <w:p w14:paraId="326F0500" w14:textId="77777777" w:rsidR="00D434B4" w:rsidRPr="00D00585" w:rsidRDefault="00D434B4" w:rsidP="003C546E">
            <w:pPr>
              <w:pStyle w:val="TableText"/>
              <w:jc w:val="right"/>
            </w:pPr>
            <w:r w:rsidRPr="00D00585">
              <w:t>1,220</w:t>
            </w:r>
          </w:p>
        </w:tc>
        <w:tc>
          <w:tcPr>
            <w:tcW w:w="592" w:type="pct"/>
            <w:noWrap/>
          </w:tcPr>
          <w:p w14:paraId="681F94E2" w14:textId="77777777" w:rsidR="00D434B4" w:rsidRPr="00D00585" w:rsidRDefault="00D434B4" w:rsidP="003C546E">
            <w:pPr>
              <w:pStyle w:val="TableText"/>
              <w:jc w:val="right"/>
            </w:pPr>
            <w:r w:rsidRPr="00D00585">
              <w:t>1,236</w:t>
            </w:r>
          </w:p>
        </w:tc>
      </w:tr>
      <w:tr w:rsidR="00D434B4" w:rsidRPr="007C6A87" w14:paraId="2D869AE0" w14:textId="77777777" w:rsidTr="003C546E">
        <w:trPr>
          <w:trHeight w:val="300"/>
        </w:trPr>
        <w:tc>
          <w:tcPr>
            <w:tcW w:w="2041" w:type="pct"/>
            <w:noWrap/>
          </w:tcPr>
          <w:p w14:paraId="6AA438B7" w14:textId="77777777" w:rsidR="00D434B4" w:rsidRPr="00D00585" w:rsidRDefault="00D434B4" w:rsidP="003C546E">
            <w:pPr>
              <w:pStyle w:val="TableText"/>
            </w:pPr>
            <w:r w:rsidRPr="00D00585">
              <w:t>No. of people who uptake deletion testing</w:t>
            </w:r>
          </w:p>
        </w:tc>
        <w:tc>
          <w:tcPr>
            <w:tcW w:w="592" w:type="pct"/>
            <w:noWrap/>
          </w:tcPr>
          <w:p w14:paraId="3920BE64" w14:textId="77777777" w:rsidR="00D434B4" w:rsidRPr="00D00585" w:rsidRDefault="00D434B4" w:rsidP="003C546E">
            <w:pPr>
              <w:pStyle w:val="TableText"/>
              <w:jc w:val="right"/>
            </w:pPr>
            <w:r w:rsidRPr="00D00585">
              <w:t>12,722</w:t>
            </w:r>
          </w:p>
        </w:tc>
        <w:tc>
          <w:tcPr>
            <w:tcW w:w="592" w:type="pct"/>
            <w:noWrap/>
          </w:tcPr>
          <w:p w14:paraId="3834CA1C" w14:textId="77777777" w:rsidR="00D434B4" w:rsidRPr="00D00585" w:rsidRDefault="00D434B4" w:rsidP="003C546E">
            <w:pPr>
              <w:pStyle w:val="TableText"/>
              <w:jc w:val="right"/>
            </w:pPr>
            <w:r w:rsidRPr="00D00585">
              <w:t>12,898</w:t>
            </w:r>
          </w:p>
        </w:tc>
        <w:tc>
          <w:tcPr>
            <w:tcW w:w="592" w:type="pct"/>
            <w:noWrap/>
          </w:tcPr>
          <w:p w14:paraId="5C3A6E76" w14:textId="77777777" w:rsidR="00D434B4" w:rsidRPr="00D00585" w:rsidRDefault="00D434B4" w:rsidP="003C546E">
            <w:pPr>
              <w:pStyle w:val="TableText"/>
              <w:jc w:val="right"/>
            </w:pPr>
            <w:r w:rsidRPr="00D00585">
              <w:t>13,075</w:t>
            </w:r>
          </w:p>
        </w:tc>
        <w:tc>
          <w:tcPr>
            <w:tcW w:w="592" w:type="pct"/>
            <w:noWrap/>
          </w:tcPr>
          <w:p w14:paraId="48AC79FC" w14:textId="77777777" w:rsidR="00D434B4" w:rsidRPr="00D00585" w:rsidRDefault="00D434B4" w:rsidP="003C546E">
            <w:pPr>
              <w:pStyle w:val="TableText"/>
              <w:jc w:val="right"/>
            </w:pPr>
            <w:r w:rsidRPr="00D00585">
              <w:t>13,255</w:t>
            </w:r>
          </w:p>
        </w:tc>
        <w:tc>
          <w:tcPr>
            <w:tcW w:w="592" w:type="pct"/>
            <w:noWrap/>
          </w:tcPr>
          <w:p w14:paraId="1BD09F93" w14:textId="77777777" w:rsidR="00D434B4" w:rsidRPr="00D00585" w:rsidRDefault="00D434B4" w:rsidP="003C546E">
            <w:pPr>
              <w:pStyle w:val="TableText"/>
              <w:jc w:val="right"/>
            </w:pPr>
            <w:r w:rsidRPr="00D00585">
              <w:t>13,437</w:t>
            </w:r>
          </w:p>
        </w:tc>
      </w:tr>
      <w:tr w:rsidR="00D434B4" w:rsidRPr="00720951" w14:paraId="0903591C" w14:textId="77777777" w:rsidTr="003C546E">
        <w:trPr>
          <w:trHeight w:val="300"/>
        </w:trPr>
        <w:tc>
          <w:tcPr>
            <w:tcW w:w="2041" w:type="pct"/>
            <w:noWrap/>
          </w:tcPr>
          <w:p w14:paraId="1FF0605D" w14:textId="77777777" w:rsidR="00D434B4" w:rsidRPr="00720951" w:rsidRDefault="00D434B4" w:rsidP="003C546E">
            <w:pPr>
              <w:pStyle w:val="TableText"/>
            </w:pPr>
            <w:r>
              <w:t>Total cost of deletion testing, $200 per test</w:t>
            </w:r>
          </w:p>
        </w:tc>
        <w:tc>
          <w:tcPr>
            <w:tcW w:w="592" w:type="pct"/>
            <w:noWrap/>
          </w:tcPr>
          <w:p w14:paraId="63AD9338" w14:textId="77777777" w:rsidR="00D434B4" w:rsidRPr="00720951" w:rsidRDefault="00D434B4" w:rsidP="003C546E">
            <w:pPr>
              <w:pStyle w:val="TableText"/>
              <w:jc w:val="right"/>
            </w:pPr>
            <w:r w:rsidRPr="00966E50">
              <w:t>$2,544,480</w:t>
            </w:r>
          </w:p>
        </w:tc>
        <w:tc>
          <w:tcPr>
            <w:tcW w:w="592" w:type="pct"/>
            <w:noWrap/>
          </w:tcPr>
          <w:p w14:paraId="14F5B778" w14:textId="77777777" w:rsidR="00D434B4" w:rsidRPr="00720951" w:rsidRDefault="00D434B4" w:rsidP="003C546E">
            <w:pPr>
              <w:pStyle w:val="TableText"/>
              <w:jc w:val="right"/>
            </w:pPr>
            <w:r w:rsidRPr="00966E50">
              <w:t>$2,579,502</w:t>
            </w:r>
          </w:p>
        </w:tc>
        <w:tc>
          <w:tcPr>
            <w:tcW w:w="592" w:type="pct"/>
            <w:noWrap/>
          </w:tcPr>
          <w:p w14:paraId="318C2E31" w14:textId="77777777" w:rsidR="00D434B4" w:rsidRPr="00720951" w:rsidRDefault="00D434B4" w:rsidP="003C546E">
            <w:pPr>
              <w:pStyle w:val="TableText"/>
              <w:jc w:val="right"/>
            </w:pPr>
            <w:r w:rsidRPr="00966E50">
              <w:t>$2,615,005</w:t>
            </w:r>
          </w:p>
        </w:tc>
        <w:tc>
          <w:tcPr>
            <w:tcW w:w="592" w:type="pct"/>
            <w:noWrap/>
          </w:tcPr>
          <w:p w14:paraId="69D4DF19" w14:textId="77777777" w:rsidR="00D434B4" w:rsidRPr="00720951" w:rsidRDefault="00D434B4" w:rsidP="003C546E">
            <w:pPr>
              <w:pStyle w:val="TableText"/>
              <w:jc w:val="right"/>
            </w:pPr>
            <w:r w:rsidRPr="00966E50">
              <w:t>$2,650,997</w:t>
            </w:r>
          </w:p>
        </w:tc>
        <w:tc>
          <w:tcPr>
            <w:tcW w:w="592" w:type="pct"/>
            <w:noWrap/>
          </w:tcPr>
          <w:p w14:paraId="267F9EFF" w14:textId="77777777" w:rsidR="00D434B4" w:rsidRPr="00720951" w:rsidRDefault="00D434B4" w:rsidP="003C546E">
            <w:pPr>
              <w:pStyle w:val="TableText"/>
              <w:jc w:val="right"/>
            </w:pPr>
            <w:r w:rsidRPr="00966E50">
              <w:t>$2,687,485</w:t>
            </w:r>
          </w:p>
        </w:tc>
      </w:tr>
      <w:tr w:rsidR="00D434B4" w:rsidRPr="003C6769" w14:paraId="7FC7C18E" w14:textId="77777777" w:rsidTr="003C546E">
        <w:trPr>
          <w:trHeight w:val="300"/>
        </w:trPr>
        <w:tc>
          <w:tcPr>
            <w:tcW w:w="2041" w:type="pct"/>
            <w:noWrap/>
          </w:tcPr>
          <w:p w14:paraId="607E2AB0" w14:textId="77777777" w:rsidR="00D434B4" w:rsidRPr="003C6769" w:rsidRDefault="00D434B4" w:rsidP="003C546E">
            <w:pPr>
              <w:pStyle w:val="TableText"/>
              <w:rPr>
                <w:b/>
              </w:rPr>
            </w:pPr>
            <w:r w:rsidRPr="003C6769">
              <w:rPr>
                <w:b/>
              </w:rPr>
              <w:t>Cost to the MBS, $170 per test</w:t>
            </w:r>
          </w:p>
        </w:tc>
        <w:tc>
          <w:tcPr>
            <w:tcW w:w="592" w:type="pct"/>
            <w:noWrap/>
          </w:tcPr>
          <w:p w14:paraId="63387F85" w14:textId="77777777" w:rsidR="00D434B4" w:rsidRPr="003C6769" w:rsidRDefault="00D434B4" w:rsidP="003C546E">
            <w:pPr>
              <w:pStyle w:val="TableText"/>
              <w:jc w:val="right"/>
              <w:rPr>
                <w:b/>
              </w:rPr>
            </w:pPr>
            <w:r w:rsidRPr="003C6769">
              <w:rPr>
                <w:b/>
              </w:rPr>
              <w:t>$2,162,808</w:t>
            </w:r>
          </w:p>
        </w:tc>
        <w:tc>
          <w:tcPr>
            <w:tcW w:w="592" w:type="pct"/>
            <w:noWrap/>
          </w:tcPr>
          <w:p w14:paraId="09810C81" w14:textId="77777777" w:rsidR="00D434B4" w:rsidRPr="003C6769" w:rsidRDefault="00D434B4" w:rsidP="003C546E">
            <w:pPr>
              <w:pStyle w:val="TableText"/>
              <w:jc w:val="right"/>
              <w:rPr>
                <w:b/>
              </w:rPr>
            </w:pPr>
            <w:r w:rsidRPr="003C6769">
              <w:rPr>
                <w:b/>
              </w:rPr>
              <w:t>$2,192,577</w:t>
            </w:r>
          </w:p>
        </w:tc>
        <w:tc>
          <w:tcPr>
            <w:tcW w:w="592" w:type="pct"/>
            <w:noWrap/>
          </w:tcPr>
          <w:p w14:paraId="36C955A7" w14:textId="77777777" w:rsidR="00D434B4" w:rsidRPr="003C6769" w:rsidRDefault="00D434B4" w:rsidP="003C546E">
            <w:pPr>
              <w:pStyle w:val="TableText"/>
              <w:jc w:val="right"/>
              <w:rPr>
                <w:b/>
              </w:rPr>
            </w:pPr>
            <w:r w:rsidRPr="003C6769">
              <w:rPr>
                <w:b/>
              </w:rPr>
              <w:t>$2,222,755</w:t>
            </w:r>
          </w:p>
        </w:tc>
        <w:tc>
          <w:tcPr>
            <w:tcW w:w="592" w:type="pct"/>
            <w:noWrap/>
          </w:tcPr>
          <w:p w14:paraId="64E7C8A0" w14:textId="77777777" w:rsidR="00D434B4" w:rsidRPr="003C6769" w:rsidRDefault="00D434B4" w:rsidP="003C546E">
            <w:pPr>
              <w:pStyle w:val="TableText"/>
              <w:jc w:val="right"/>
              <w:rPr>
                <w:b/>
              </w:rPr>
            </w:pPr>
            <w:r w:rsidRPr="003C6769">
              <w:rPr>
                <w:b/>
              </w:rPr>
              <w:t>$2,253,348</w:t>
            </w:r>
          </w:p>
        </w:tc>
        <w:tc>
          <w:tcPr>
            <w:tcW w:w="592" w:type="pct"/>
            <w:noWrap/>
          </w:tcPr>
          <w:p w14:paraId="2B087D9D" w14:textId="77777777" w:rsidR="00D434B4" w:rsidRPr="003C6769" w:rsidRDefault="00D434B4" w:rsidP="003C546E">
            <w:pPr>
              <w:pStyle w:val="TableText"/>
              <w:jc w:val="right"/>
              <w:rPr>
                <w:b/>
              </w:rPr>
            </w:pPr>
            <w:r w:rsidRPr="003C6769">
              <w:rPr>
                <w:b/>
              </w:rPr>
              <w:t>$2,284,362</w:t>
            </w:r>
          </w:p>
        </w:tc>
      </w:tr>
      <w:tr w:rsidR="00D434B4" w:rsidRPr="00720951" w14:paraId="093A253A" w14:textId="77777777" w:rsidTr="003C546E">
        <w:trPr>
          <w:trHeight w:val="300"/>
        </w:trPr>
        <w:tc>
          <w:tcPr>
            <w:tcW w:w="2041" w:type="pct"/>
            <w:noWrap/>
          </w:tcPr>
          <w:p w14:paraId="2D595667" w14:textId="77777777" w:rsidR="00D434B4" w:rsidRPr="00720951" w:rsidRDefault="00D434B4" w:rsidP="003C546E">
            <w:pPr>
              <w:pStyle w:val="TableText"/>
            </w:pPr>
            <w:r>
              <w:t>Cost to patients, $30 per test</w:t>
            </w:r>
          </w:p>
        </w:tc>
        <w:tc>
          <w:tcPr>
            <w:tcW w:w="592" w:type="pct"/>
            <w:noWrap/>
          </w:tcPr>
          <w:p w14:paraId="575483F6" w14:textId="77777777" w:rsidR="00D434B4" w:rsidRPr="00720951" w:rsidRDefault="00D434B4" w:rsidP="003C546E">
            <w:pPr>
              <w:pStyle w:val="TableText"/>
              <w:jc w:val="right"/>
            </w:pPr>
            <w:r w:rsidRPr="00966E50">
              <w:t>$381,672</w:t>
            </w:r>
          </w:p>
        </w:tc>
        <w:tc>
          <w:tcPr>
            <w:tcW w:w="592" w:type="pct"/>
            <w:noWrap/>
          </w:tcPr>
          <w:p w14:paraId="60574656" w14:textId="77777777" w:rsidR="00D434B4" w:rsidRPr="00720951" w:rsidRDefault="00D434B4" w:rsidP="003C546E">
            <w:pPr>
              <w:pStyle w:val="TableText"/>
              <w:jc w:val="right"/>
            </w:pPr>
            <w:r w:rsidRPr="00966E50">
              <w:t>$386,925</w:t>
            </w:r>
          </w:p>
        </w:tc>
        <w:tc>
          <w:tcPr>
            <w:tcW w:w="592" w:type="pct"/>
            <w:noWrap/>
          </w:tcPr>
          <w:p w14:paraId="0F324682" w14:textId="77777777" w:rsidR="00D434B4" w:rsidRPr="00720951" w:rsidRDefault="00D434B4" w:rsidP="003C546E">
            <w:pPr>
              <w:pStyle w:val="TableText"/>
              <w:jc w:val="right"/>
            </w:pPr>
            <w:r w:rsidRPr="00966E50">
              <w:t>$392,251</w:t>
            </w:r>
          </w:p>
        </w:tc>
        <w:tc>
          <w:tcPr>
            <w:tcW w:w="592" w:type="pct"/>
            <w:noWrap/>
          </w:tcPr>
          <w:p w14:paraId="16C7A6F8" w14:textId="77777777" w:rsidR="00D434B4" w:rsidRPr="00720951" w:rsidRDefault="00D434B4" w:rsidP="003C546E">
            <w:pPr>
              <w:pStyle w:val="TableText"/>
              <w:jc w:val="right"/>
            </w:pPr>
            <w:r w:rsidRPr="00966E50">
              <w:t>$397,650</w:t>
            </w:r>
          </w:p>
        </w:tc>
        <w:tc>
          <w:tcPr>
            <w:tcW w:w="592" w:type="pct"/>
            <w:noWrap/>
          </w:tcPr>
          <w:p w14:paraId="045D4559" w14:textId="77777777" w:rsidR="00D434B4" w:rsidRPr="00720951" w:rsidRDefault="00D434B4" w:rsidP="003C546E">
            <w:pPr>
              <w:pStyle w:val="TableText"/>
              <w:jc w:val="right"/>
            </w:pPr>
            <w:r w:rsidRPr="00966E50">
              <w:t>$403,123</w:t>
            </w:r>
          </w:p>
        </w:tc>
      </w:tr>
    </w:tbl>
    <w:p w14:paraId="644CF3D3" w14:textId="77777777" w:rsidR="006A0D97" w:rsidRPr="00F715D1" w:rsidRDefault="006A0D97" w:rsidP="00781710">
      <w:pPr>
        <w:pStyle w:val="Heading1"/>
        <w:ind w:left="567" w:hanging="567"/>
      </w:pPr>
      <w:r w:rsidRPr="00F715D1">
        <w:lastRenderedPageBreak/>
        <w:t>Key issues from ESC for MSAC</w:t>
      </w:r>
    </w:p>
    <w:tbl>
      <w:tblPr>
        <w:tblStyle w:val="TableGrid"/>
        <w:tblW w:w="9351" w:type="dxa"/>
        <w:tblLook w:val="04A0" w:firstRow="1" w:lastRow="0" w:firstColumn="1" w:lastColumn="0" w:noHBand="0" w:noVBand="1"/>
        <w:tblCaption w:val="Key issues from ESC for MSAC"/>
        <w:tblDescription w:val="Summary of main issues"/>
      </w:tblPr>
      <w:tblGrid>
        <w:gridCol w:w="2093"/>
        <w:gridCol w:w="7258"/>
      </w:tblGrid>
      <w:tr w:rsidR="00E35489" w:rsidRPr="00D821D1" w14:paraId="71EA5A26" w14:textId="77777777" w:rsidTr="00CE521F">
        <w:trPr>
          <w:tblHeader/>
        </w:trPr>
        <w:tc>
          <w:tcPr>
            <w:tcW w:w="2093" w:type="dxa"/>
            <w:tcBorders>
              <w:top w:val="single" w:sz="4" w:space="0" w:color="auto"/>
              <w:left w:val="single" w:sz="4" w:space="0" w:color="auto"/>
              <w:bottom w:val="single" w:sz="4" w:space="0" w:color="auto"/>
              <w:right w:val="single" w:sz="4" w:space="0" w:color="auto"/>
            </w:tcBorders>
            <w:hideMark/>
          </w:tcPr>
          <w:p w14:paraId="7732C987" w14:textId="77777777" w:rsidR="00E35489" w:rsidRPr="00D821D1" w:rsidRDefault="00E35489" w:rsidP="00EC5C6F">
            <w:pPr>
              <w:keepNext/>
              <w:spacing w:before="60" w:after="60"/>
              <w:rPr>
                <w:rFonts w:ascii="Times New Roman" w:hAnsi="Times New Roman"/>
                <w:b/>
                <w:bCs/>
                <w:color w:val="000000"/>
                <w:szCs w:val="24"/>
              </w:rPr>
            </w:pPr>
            <w:r w:rsidRPr="00D821D1">
              <w:rPr>
                <w:rFonts w:ascii="Times New Roman" w:hAnsi="Times New Roman"/>
                <w:b/>
                <w:bCs/>
                <w:color w:val="000000"/>
                <w:szCs w:val="24"/>
              </w:rPr>
              <w:t>ESC key issue</w:t>
            </w:r>
          </w:p>
        </w:tc>
        <w:tc>
          <w:tcPr>
            <w:tcW w:w="7258" w:type="dxa"/>
            <w:tcBorders>
              <w:top w:val="single" w:sz="4" w:space="0" w:color="auto"/>
              <w:left w:val="single" w:sz="4" w:space="0" w:color="auto"/>
              <w:bottom w:val="single" w:sz="4" w:space="0" w:color="auto"/>
              <w:right w:val="single" w:sz="4" w:space="0" w:color="auto"/>
            </w:tcBorders>
            <w:hideMark/>
          </w:tcPr>
          <w:p w14:paraId="726A451D" w14:textId="77777777" w:rsidR="00E35489" w:rsidRPr="00D821D1" w:rsidRDefault="00E35489" w:rsidP="00EC5C6F">
            <w:pPr>
              <w:keepNext/>
              <w:spacing w:before="60" w:after="60"/>
              <w:rPr>
                <w:rFonts w:ascii="Times New Roman" w:hAnsi="Times New Roman"/>
                <w:b/>
                <w:bCs/>
                <w:color w:val="000000"/>
                <w:szCs w:val="24"/>
              </w:rPr>
            </w:pPr>
            <w:r w:rsidRPr="00D821D1">
              <w:rPr>
                <w:rFonts w:ascii="Times New Roman" w:hAnsi="Times New Roman"/>
                <w:b/>
                <w:bCs/>
                <w:color w:val="000000"/>
                <w:szCs w:val="24"/>
              </w:rPr>
              <w:t>ESC advice to MSAC</w:t>
            </w:r>
          </w:p>
        </w:tc>
      </w:tr>
      <w:tr w:rsidR="00E35489" w:rsidRPr="00D821D1" w14:paraId="756C13E0" w14:textId="77777777" w:rsidTr="00EC5C6F">
        <w:tc>
          <w:tcPr>
            <w:tcW w:w="2093" w:type="dxa"/>
            <w:tcBorders>
              <w:top w:val="single" w:sz="4" w:space="0" w:color="auto"/>
              <w:left w:val="single" w:sz="4" w:space="0" w:color="auto"/>
              <w:bottom w:val="single" w:sz="4" w:space="0" w:color="auto"/>
              <w:right w:val="single" w:sz="4" w:space="0" w:color="auto"/>
            </w:tcBorders>
          </w:tcPr>
          <w:p w14:paraId="4691644E"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Clinical claim reasonable</w:t>
            </w:r>
          </w:p>
        </w:tc>
        <w:tc>
          <w:tcPr>
            <w:tcW w:w="7258" w:type="dxa"/>
            <w:tcBorders>
              <w:top w:val="single" w:sz="4" w:space="0" w:color="auto"/>
              <w:left w:val="single" w:sz="4" w:space="0" w:color="auto"/>
              <w:bottom w:val="single" w:sz="4" w:space="0" w:color="auto"/>
              <w:right w:val="single" w:sz="4" w:space="0" w:color="auto"/>
            </w:tcBorders>
          </w:tcPr>
          <w:p w14:paraId="52C1F1F5"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Deletion testing is of non-inferior safety and superior effectiveness to no genetic testing (despite limited, poor-quality available evidence). Deletion testing by Gap-PCR is of inferior effectiveness to comprehensive deletion testing +/– sequencing.</w:t>
            </w:r>
          </w:p>
        </w:tc>
      </w:tr>
      <w:tr w:rsidR="00E35489" w:rsidRPr="00D821D1" w14:paraId="7F59C39E" w14:textId="77777777" w:rsidTr="00EC5C6F">
        <w:tc>
          <w:tcPr>
            <w:tcW w:w="2093" w:type="dxa"/>
            <w:tcBorders>
              <w:top w:val="single" w:sz="4" w:space="0" w:color="auto"/>
              <w:left w:val="single" w:sz="4" w:space="0" w:color="auto"/>
              <w:bottom w:val="single" w:sz="4" w:space="0" w:color="auto"/>
              <w:right w:val="single" w:sz="4" w:space="0" w:color="auto"/>
            </w:tcBorders>
          </w:tcPr>
          <w:p w14:paraId="4E436A57"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Inadequacy of scope to improve equity of funding</w:t>
            </w:r>
          </w:p>
        </w:tc>
        <w:tc>
          <w:tcPr>
            <w:tcW w:w="7258" w:type="dxa"/>
            <w:tcBorders>
              <w:top w:val="single" w:sz="4" w:space="0" w:color="auto"/>
              <w:left w:val="single" w:sz="4" w:space="0" w:color="auto"/>
              <w:bottom w:val="single" w:sz="4" w:space="0" w:color="auto"/>
              <w:right w:val="single" w:sz="4" w:space="0" w:color="auto"/>
            </w:tcBorders>
          </w:tcPr>
          <w:p w14:paraId="0B537016" w14:textId="77777777" w:rsidR="00E35489" w:rsidRPr="00D821D1" w:rsidRDefault="00E35489" w:rsidP="00EC5C6F">
            <w:pPr>
              <w:keepNext/>
              <w:spacing w:before="60"/>
              <w:rPr>
                <w:rFonts w:ascii="Times New Roman" w:hAnsi="Times New Roman"/>
                <w:color w:val="000000"/>
                <w:szCs w:val="24"/>
              </w:rPr>
            </w:pPr>
            <w:r w:rsidRPr="00D821D1">
              <w:rPr>
                <w:rFonts w:ascii="Times New Roman" w:hAnsi="Times New Roman"/>
                <w:color w:val="000000"/>
                <w:szCs w:val="24"/>
              </w:rPr>
              <w:t>Consider broadening scope of funding:</w:t>
            </w:r>
          </w:p>
          <w:p w14:paraId="1AFFC5B9" w14:textId="77777777" w:rsidR="00E35489" w:rsidRPr="00D821D1" w:rsidRDefault="00E35489" w:rsidP="00E35489">
            <w:pPr>
              <w:pStyle w:val="ListParagraph"/>
              <w:keepNext/>
              <w:numPr>
                <w:ilvl w:val="0"/>
                <w:numId w:val="27"/>
              </w:numPr>
              <w:ind w:left="357" w:hanging="357"/>
              <w:contextualSpacing w:val="0"/>
              <w:rPr>
                <w:rFonts w:ascii="Times New Roman" w:hAnsi="Times New Roman"/>
                <w:color w:val="000000"/>
                <w:szCs w:val="24"/>
              </w:rPr>
            </w:pPr>
            <w:r w:rsidRPr="00D821D1">
              <w:rPr>
                <w:rFonts w:ascii="Times New Roman" w:hAnsi="Times New Roman"/>
                <w:color w:val="000000"/>
                <w:szCs w:val="24"/>
              </w:rPr>
              <w:t>Testing methods – comprehensive deletion testing, gene sequencing</w:t>
            </w:r>
          </w:p>
          <w:p w14:paraId="615119DB" w14:textId="77777777" w:rsidR="00E35489" w:rsidRPr="00D821D1" w:rsidRDefault="00E35489" w:rsidP="00E35489">
            <w:pPr>
              <w:pStyle w:val="ListParagraph"/>
              <w:keepNext/>
              <w:numPr>
                <w:ilvl w:val="0"/>
                <w:numId w:val="27"/>
              </w:numPr>
              <w:spacing w:after="60"/>
              <w:ind w:left="357" w:hanging="357"/>
              <w:contextualSpacing w:val="0"/>
              <w:rPr>
                <w:rFonts w:ascii="Times New Roman" w:hAnsi="Times New Roman"/>
                <w:color w:val="000000"/>
                <w:szCs w:val="24"/>
              </w:rPr>
            </w:pPr>
            <w:r w:rsidRPr="00D821D1">
              <w:rPr>
                <w:rFonts w:ascii="Times New Roman" w:eastAsiaTheme="minorHAnsi" w:hAnsi="Times New Roman"/>
                <w:color w:val="000000"/>
                <w:szCs w:val="24"/>
              </w:rPr>
              <w:t>Population groups – prenatal diagnosis, preimplantation genetic diagnosis, cascade testing of relatives.</w:t>
            </w:r>
          </w:p>
        </w:tc>
      </w:tr>
      <w:tr w:rsidR="00E35489" w:rsidRPr="00D821D1" w14:paraId="6BB4BE5F" w14:textId="77777777" w:rsidTr="00EC5C6F">
        <w:tc>
          <w:tcPr>
            <w:tcW w:w="2093" w:type="dxa"/>
            <w:tcBorders>
              <w:top w:val="single" w:sz="4" w:space="0" w:color="auto"/>
              <w:left w:val="single" w:sz="4" w:space="0" w:color="auto"/>
              <w:bottom w:val="single" w:sz="4" w:space="0" w:color="auto"/>
              <w:right w:val="single" w:sz="4" w:space="0" w:color="auto"/>
            </w:tcBorders>
          </w:tcPr>
          <w:p w14:paraId="31B2752B" w14:textId="77777777" w:rsidR="00E35489" w:rsidRPr="00D821D1" w:rsidRDefault="00E35489" w:rsidP="00EC5C6F">
            <w:pPr>
              <w:keepNext/>
              <w:spacing w:before="60"/>
              <w:rPr>
                <w:rFonts w:ascii="Times New Roman" w:hAnsi="Times New Roman"/>
                <w:color w:val="000000"/>
                <w:szCs w:val="24"/>
              </w:rPr>
            </w:pPr>
            <w:r w:rsidRPr="00D821D1">
              <w:rPr>
                <w:rFonts w:ascii="Times New Roman" w:hAnsi="Times New Roman"/>
                <w:color w:val="000000"/>
                <w:szCs w:val="24"/>
              </w:rPr>
              <w:t>Inclusion criteria:</w:t>
            </w:r>
          </w:p>
          <w:p w14:paraId="2645B456" w14:textId="77777777" w:rsidR="00E35489" w:rsidRPr="00D821D1" w:rsidRDefault="00E35489" w:rsidP="00E35489">
            <w:pPr>
              <w:pStyle w:val="ListParagraph"/>
              <w:keepNext/>
              <w:numPr>
                <w:ilvl w:val="0"/>
                <w:numId w:val="28"/>
              </w:numPr>
              <w:ind w:left="357" w:hanging="357"/>
              <w:contextualSpacing w:val="0"/>
              <w:rPr>
                <w:rFonts w:ascii="Times New Roman" w:hAnsi="Times New Roman"/>
                <w:color w:val="000000"/>
                <w:szCs w:val="24"/>
              </w:rPr>
            </w:pPr>
            <w:r w:rsidRPr="00D821D1">
              <w:rPr>
                <w:rFonts w:ascii="Times New Roman" w:hAnsi="Times New Roman"/>
                <w:color w:val="000000"/>
                <w:szCs w:val="24"/>
              </w:rPr>
              <w:t>equity issues</w:t>
            </w:r>
          </w:p>
          <w:p w14:paraId="5B24062E" w14:textId="77777777" w:rsidR="00E35489" w:rsidRPr="00D821D1" w:rsidRDefault="00E35489" w:rsidP="00E35489">
            <w:pPr>
              <w:pStyle w:val="ListParagraph"/>
              <w:keepNext/>
              <w:numPr>
                <w:ilvl w:val="0"/>
                <w:numId w:val="28"/>
              </w:numPr>
              <w:spacing w:after="60"/>
              <w:ind w:left="357" w:hanging="357"/>
              <w:contextualSpacing w:val="0"/>
              <w:rPr>
                <w:rFonts w:ascii="Times New Roman" w:hAnsi="Times New Roman"/>
                <w:color w:val="000000"/>
                <w:szCs w:val="24"/>
              </w:rPr>
            </w:pPr>
            <w:r w:rsidRPr="00D821D1">
              <w:rPr>
                <w:rFonts w:ascii="Times New Roman" w:eastAsiaTheme="minorHAnsi" w:hAnsi="Times New Roman"/>
                <w:color w:val="000000"/>
                <w:szCs w:val="24"/>
              </w:rPr>
              <w:t>haem studies prerequisite</w:t>
            </w:r>
          </w:p>
        </w:tc>
        <w:tc>
          <w:tcPr>
            <w:tcW w:w="7258" w:type="dxa"/>
            <w:tcBorders>
              <w:top w:val="single" w:sz="4" w:space="0" w:color="auto"/>
              <w:left w:val="single" w:sz="4" w:space="0" w:color="auto"/>
              <w:bottom w:val="single" w:sz="4" w:space="0" w:color="auto"/>
              <w:right w:val="single" w:sz="4" w:space="0" w:color="auto"/>
            </w:tcBorders>
          </w:tcPr>
          <w:p w14:paraId="100E02BB" w14:textId="77777777" w:rsidR="00E35489" w:rsidRPr="00D821D1" w:rsidRDefault="00E35489" w:rsidP="00EC5C6F">
            <w:pPr>
              <w:keepNext/>
              <w:spacing w:before="60"/>
              <w:rPr>
                <w:rFonts w:ascii="Times New Roman" w:hAnsi="Times New Roman"/>
                <w:color w:val="000000"/>
                <w:szCs w:val="24"/>
              </w:rPr>
            </w:pPr>
            <w:r w:rsidRPr="00D821D1">
              <w:rPr>
                <w:rFonts w:ascii="Times New Roman" w:hAnsi="Times New Roman"/>
                <w:color w:val="000000"/>
                <w:szCs w:val="24"/>
              </w:rPr>
              <w:t>Equity issues for limiting male partner testing to when partners have genetic diagnosis of alpha thalassaemia carriage.  </w:t>
            </w:r>
          </w:p>
          <w:p w14:paraId="048B889E" w14:textId="77777777" w:rsidR="00E35489" w:rsidRPr="00D821D1" w:rsidRDefault="00E35489" w:rsidP="00EC5C6F">
            <w:pPr>
              <w:keepNext/>
              <w:rPr>
                <w:rFonts w:ascii="Times New Roman" w:hAnsi="Times New Roman"/>
                <w:color w:val="000000"/>
                <w:szCs w:val="24"/>
              </w:rPr>
            </w:pPr>
            <w:r w:rsidRPr="00D821D1">
              <w:rPr>
                <w:rFonts w:ascii="Times New Roman" w:hAnsi="Times New Roman"/>
                <w:color w:val="000000"/>
                <w:szCs w:val="24"/>
              </w:rPr>
              <w:t xml:space="preserve">Perhaps change wording to ‘Thalassaemia screening for beta-thalassaemia not conclusive’. </w:t>
            </w:r>
          </w:p>
          <w:p w14:paraId="7804D037" w14:textId="77777777" w:rsidR="00E35489" w:rsidRPr="00D821D1" w:rsidRDefault="00E35489" w:rsidP="00EC5C6F">
            <w:pPr>
              <w:keepNext/>
              <w:spacing w:after="60"/>
              <w:rPr>
                <w:rFonts w:ascii="Times New Roman" w:hAnsi="Times New Roman"/>
                <w:color w:val="000000"/>
                <w:szCs w:val="24"/>
              </w:rPr>
            </w:pPr>
            <w:r w:rsidRPr="00D821D1">
              <w:rPr>
                <w:rFonts w:ascii="Times New Roman" w:eastAsiaTheme="minorHAnsi" w:hAnsi="Times New Roman"/>
                <w:color w:val="000000"/>
                <w:szCs w:val="24"/>
              </w:rPr>
              <w:t>Genetic diagnosis required for prenatal diagnosis to occur, so even if HbH bodies are present, genetic testing is of value.</w:t>
            </w:r>
          </w:p>
        </w:tc>
      </w:tr>
      <w:tr w:rsidR="00E35489" w:rsidRPr="00D821D1" w14:paraId="0AFA731B" w14:textId="77777777" w:rsidTr="00EC5C6F">
        <w:tc>
          <w:tcPr>
            <w:tcW w:w="2093" w:type="dxa"/>
            <w:tcBorders>
              <w:top w:val="single" w:sz="4" w:space="0" w:color="auto"/>
              <w:left w:val="single" w:sz="4" w:space="0" w:color="auto"/>
              <w:bottom w:val="single" w:sz="4" w:space="0" w:color="auto"/>
              <w:right w:val="single" w:sz="4" w:space="0" w:color="auto"/>
            </w:tcBorders>
          </w:tcPr>
          <w:p w14:paraId="0FF82E09"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Testing methodology</w:t>
            </w:r>
          </w:p>
        </w:tc>
        <w:tc>
          <w:tcPr>
            <w:tcW w:w="7258" w:type="dxa"/>
            <w:tcBorders>
              <w:top w:val="single" w:sz="4" w:space="0" w:color="auto"/>
              <w:left w:val="single" w:sz="4" w:space="0" w:color="auto"/>
              <w:bottom w:val="single" w:sz="4" w:space="0" w:color="auto"/>
              <w:right w:val="single" w:sz="4" w:space="0" w:color="auto"/>
            </w:tcBorders>
          </w:tcPr>
          <w:p w14:paraId="3F0ADBEC" w14:textId="77777777" w:rsidR="00E35489" w:rsidRPr="00D821D1" w:rsidRDefault="00E35489" w:rsidP="00EC5C6F">
            <w:pPr>
              <w:keepNext/>
              <w:spacing w:before="60"/>
              <w:rPr>
                <w:rFonts w:ascii="Times New Roman" w:hAnsi="Times New Roman"/>
                <w:color w:val="000000"/>
                <w:szCs w:val="24"/>
              </w:rPr>
            </w:pPr>
            <w:r w:rsidRPr="00D821D1">
              <w:rPr>
                <w:rFonts w:ascii="Times New Roman" w:hAnsi="Times New Roman"/>
                <w:color w:val="000000"/>
                <w:szCs w:val="24"/>
              </w:rPr>
              <w:t xml:space="preserve">The MBS item descriptor did not include a genetic testing method. </w:t>
            </w:r>
          </w:p>
          <w:p w14:paraId="1EA3BF9C" w14:textId="77777777" w:rsidR="00E35489" w:rsidRPr="00D821D1" w:rsidRDefault="00E35489" w:rsidP="00EC5C6F">
            <w:pPr>
              <w:keepNext/>
              <w:spacing w:after="60"/>
              <w:rPr>
                <w:rFonts w:ascii="Times New Roman" w:hAnsi="Times New Roman"/>
                <w:color w:val="000000"/>
                <w:szCs w:val="24"/>
              </w:rPr>
            </w:pPr>
            <w:r w:rsidRPr="00D821D1">
              <w:rPr>
                <w:rFonts w:ascii="Times New Roman" w:hAnsi="Times New Roman"/>
                <w:color w:val="000000"/>
                <w:szCs w:val="24"/>
              </w:rPr>
              <w:t>Consider placing a limit on the minimum number of common deletions or % deletions detected in the target population (difficult) to descriptor, or stipulating the technique to be used (corresponding rebate increase required).</w:t>
            </w:r>
          </w:p>
        </w:tc>
      </w:tr>
      <w:tr w:rsidR="00E35489" w:rsidRPr="00D821D1" w14:paraId="04605466" w14:textId="77777777" w:rsidTr="00EC5C6F">
        <w:tc>
          <w:tcPr>
            <w:tcW w:w="2093" w:type="dxa"/>
            <w:tcBorders>
              <w:top w:val="single" w:sz="4" w:space="0" w:color="auto"/>
              <w:left w:val="single" w:sz="4" w:space="0" w:color="auto"/>
              <w:bottom w:val="single" w:sz="4" w:space="0" w:color="auto"/>
              <w:right w:val="single" w:sz="4" w:space="0" w:color="auto"/>
            </w:tcBorders>
          </w:tcPr>
          <w:p w14:paraId="451E8576"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 xml:space="preserve">Proposed clinical pathway problematic </w:t>
            </w:r>
          </w:p>
        </w:tc>
        <w:tc>
          <w:tcPr>
            <w:tcW w:w="7258" w:type="dxa"/>
            <w:tcBorders>
              <w:top w:val="single" w:sz="4" w:space="0" w:color="auto"/>
              <w:left w:val="single" w:sz="4" w:space="0" w:color="auto"/>
              <w:bottom w:val="single" w:sz="4" w:space="0" w:color="auto"/>
              <w:right w:val="single" w:sz="4" w:space="0" w:color="auto"/>
            </w:tcBorders>
          </w:tcPr>
          <w:p w14:paraId="3EF2D19D" w14:textId="77777777" w:rsidR="00E35489" w:rsidRPr="00D821D1" w:rsidRDefault="00E35489" w:rsidP="00EC5C6F">
            <w:pPr>
              <w:keepNext/>
              <w:spacing w:before="60"/>
              <w:rPr>
                <w:rFonts w:ascii="Times New Roman" w:eastAsiaTheme="minorHAnsi" w:hAnsi="Times New Roman"/>
                <w:color w:val="000000"/>
                <w:szCs w:val="24"/>
              </w:rPr>
            </w:pPr>
            <w:r w:rsidRPr="00D821D1">
              <w:rPr>
                <w:rFonts w:ascii="Times New Roman" w:hAnsi="Times New Roman"/>
                <w:color w:val="000000"/>
                <w:szCs w:val="24"/>
              </w:rPr>
              <w:t xml:space="preserve">The CA suggested mean presentation for testing at 15 weeks gestation. Sequential testing would not provide information in a timely manner. The </w:t>
            </w:r>
            <w:r w:rsidR="00CE521F" w:rsidRPr="00D821D1">
              <w:rPr>
                <w:rFonts w:ascii="Times New Roman" w:hAnsi="Times New Roman"/>
                <w:color w:val="000000"/>
                <w:szCs w:val="24"/>
              </w:rPr>
              <w:t>Critique</w:t>
            </w:r>
            <w:r w:rsidRPr="00D821D1">
              <w:rPr>
                <w:rFonts w:ascii="Times New Roman" w:hAnsi="Times New Roman"/>
                <w:color w:val="000000"/>
                <w:szCs w:val="24"/>
              </w:rPr>
              <w:t xml:space="preserve"> suggested testing both partners by haemoglobin studies then, if both are at risk, proceed with testing.</w:t>
            </w:r>
          </w:p>
        </w:tc>
      </w:tr>
      <w:tr w:rsidR="00E35489" w:rsidRPr="00D821D1" w14:paraId="7775029D" w14:textId="77777777" w:rsidTr="00EC5C6F">
        <w:tc>
          <w:tcPr>
            <w:tcW w:w="2093" w:type="dxa"/>
            <w:tcBorders>
              <w:top w:val="single" w:sz="4" w:space="0" w:color="auto"/>
              <w:left w:val="single" w:sz="4" w:space="0" w:color="auto"/>
              <w:bottom w:val="single" w:sz="4" w:space="0" w:color="auto"/>
              <w:right w:val="single" w:sz="4" w:space="0" w:color="auto"/>
            </w:tcBorders>
          </w:tcPr>
          <w:p w14:paraId="7E9270CB"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Limitations on number of tests is impractical</w:t>
            </w:r>
          </w:p>
        </w:tc>
        <w:tc>
          <w:tcPr>
            <w:tcW w:w="7258" w:type="dxa"/>
            <w:tcBorders>
              <w:top w:val="single" w:sz="4" w:space="0" w:color="auto"/>
              <w:left w:val="single" w:sz="4" w:space="0" w:color="auto"/>
              <w:bottom w:val="single" w:sz="4" w:space="0" w:color="auto"/>
              <w:right w:val="single" w:sz="4" w:space="0" w:color="auto"/>
            </w:tcBorders>
          </w:tcPr>
          <w:p w14:paraId="52FE0E3C"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CA suggested 10% repeat testing in practice. Repeat testing may be useful, particularly if the first test had a limited detection spectrum, and if there is limited data sharing between laboratories/treating clinicians.</w:t>
            </w:r>
          </w:p>
        </w:tc>
      </w:tr>
      <w:tr w:rsidR="00E35489" w:rsidRPr="00D821D1" w14:paraId="21F3B04D" w14:textId="77777777" w:rsidTr="00EC5C6F">
        <w:tc>
          <w:tcPr>
            <w:tcW w:w="2093" w:type="dxa"/>
            <w:tcBorders>
              <w:top w:val="single" w:sz="4" w:space="0" w:color="auto"/>
              <w:left w:val="single" w:sz="4" w:space="0" w:color="auto"/>
              <w:bottom w:val="single" w:sz="4" w:space="0" w:color="auto"/>
              <w:right w:val="single" w:sz="4" w:space="0" w:color="auto"/>
            </w:tcBorders>
          </w:tcPr>
          <w:p w14:paraId="5EF233AD"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Meaning of economic evaluation results</w:t>
            </w:r>
          </w:p>
        </w:tc>
        <w:tc>
          <w:tcPr>
            <w:tcW w:w="7258" w:type="dxa"/>
            <w:tcBorders>
              <w:top w:val="single" w:sz="4" w:space="0" w:color="auto"/>
              <w:left w:val="single" w:sz="4" w:space="0" w:color="auto"/>
              <w:bottom w:val="single" w:sz="4" w:space="0" w:color="auto"/>
              <w:right w:val="single" w:sz="4" w:space="0" w:color="auto"/>
            </w:tcBorders>
          </w:tcPr>
          <w:p w14:paraId="0CB54A65"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 xml:space="preserve">Consider in particular the different ways of looking at cost-effectiveness, unclear ICER benchmark or willingness to pay for these outcomes. </w:t>
            </w:r>
          </w:p>
        </w:tc>
      </w:tr>
      <w:tr w:rsidR="00E35489" w:rsidRPr="00D821D1" w14:paraId="5CF58726" w14:textId="77777777" w:rsidTr="00EC5C6F">
        <w:tc>
          <w:tcPr>
            <w:tcW w:w="2093" w:type="dxa"/>
            <w:tcBorders>
              <w:top w:val="single" w:sz="4" w:space="0" w:color="auto"/>
              <w:left w:val="single" w:sz="4" w:space="0" w:color="auto"/>
              <w:bottom w:val="single" w:sz="4" w:space="0" w:color="auto"/>
              <w:right w:val="single" w:sz="4" w:space="0" w:color="auto"/>
            </w:tcBorders>
          </w:tcPr>
          <w:p w14:paraId="1CBF48E0"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Configuration of the base case</w:t>
            </w:r>
          </w:p>
        </w:tc>
        <w:tc>
          <w:tcPr>
            <w:tcW w:w="7258" w:type="dxa"/>
            <w:tcBorders>
              <w:top w:val="single" w:sz="4" w:space="0" w:color="auto"/>
              <w:left w:val="single" w:sz="4" w:space="0" w:color="auto"/>
              <w:bottom w:val="single" w:sz="4" w:space="0" w:color="auto"/>
              <w:right w:val="single" w:sz="4" w:space="0" w:color="auto"/>
            </w:tcBorders>
          </w:tcPr>
          <w:p w14:paraId="715B771D"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Consider the possible input parameter values (e.g. higher fee) and scenarios (e.g. partner pre-screening) to determine which situation is the most adequate base case for MSAC decision-making. Ask CA to reanalyse the costs using multiplex ligation-dependent probe amplification (MLPA) as the base case.</w:t>
            </w:r>
          </w:p>
        </w:tc>
      </w:tr>
      <w:tr w:rsidR="00E35489" w:rsidRPr="00D821D1" w14:paraId="675D8E1E" w14:textId="77777777" w:rsidTr="00EC5C6F">
        <w:tc>
          <w:tcPr>
            <w:tcW w:w="2093" w:type="dxa"/>
            <w:tcBorders>
              <w:top w:val="single" w:sz="4" w:space="0" w:color="auto"/>
              <w:left w:val="single" w:sz="4" w:space="0" w:color="auto"/>
              <w:bottom w:val="single" w:sz="4" w:space="0" w:color="auto"/>
              <w:right w:val="single" w:sz="4" w:space="0" w:color="auto"/>
            </w:tcBorders>
          </w:tcPr>
          <w:p w14:paraId="524EA122"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Uncertainty with model inputs and financial inputs</w:t>
            </w:r>
          </w:p>
        </w:tc>
        <w:tc>
          <w:tcPr>
            <w:tcW w:w="7258" w:type="dxa"/>
            <w:tcBorders>
              <w:top w:val="single" w:sz="4" w:space="0" w:color="auto"/>
              <w:left w:val="single" w:sz="4" w:space="0" w:color="auto"/>
              <w:bottom w:val="single" w:sz="4" w:space="0" w:color="auto"/>
              <w:right w:val="single" w:sz="4" w:space="0" w:color="auto"/>
            </w:tcBorders>
          </w:tcPr>
          <w:p w14:paraId="2D887782"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There is uncertainty regarding model parameters versus what will be observed in practice. ICERs and financial impacts have the potential to be considerably different from the base case.</w:t>
            </w:r>
          </w:p>
        </w:tc>
      </w:tr>
      <w:tr w:rsidR="00E35489" w:rsidRPr="00D821D1" w14:paraId="27D12EA9" w14:textId="77777777" w:rsidTr="00EC5C6F">
        <w:tc>
          <w:tcPr>
            <w:tcW w:w="2093" w:type="dxa"/>
            <w:tcBorders>
              <w:top w:val="single" w:sz="4" w:space="0" w:color="auto"/>
              <w:left w:val="single" w:sz="4" w:space="0" w:color="auto"/>
              <w:bottom w:val="single" w:sz="4" w:space="0" w:color="auto"/>
              <w:right w:val="single" w:sz="4" w:space="0" w:color="auto"/>
            </w:tcBorders>
          </w:tcPr>
          <w:p w14:paraId="0B21F137"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Testing in couples planning pregnancy</w:t>
            </w:r>
          </w:p>
        </w:tc>
        <w:tc>
          <w:tcPr>
            <w:tcW w:w="7258" w:type="dxa"/>
            <w:tcBorders>
              <w:top w:val="single" w:sz="4" w:space="0" w:color="auto"/>
              <w:left w:val="single" w:sz="4" w:space="0" w:color="auto"/>
              <w:bottom w:val="single" w:sz="4" w:space="0" w:color="auto"/>
              <w:right w:val="single" w:sz="4" w:space="0" w:color="auto"/>
            </w:tcBorders>
          </w:tcPr>
          <w:p w14:paraId="302F7611"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Confirming couples who are at risk may inform their reproductive choices, but there is no information on how this translates into actual decisions or health outcomes.</w:t>
            </w:r>
          </w:p>
        </w:tc>
      </w:tr>
      <w:tr w:rsidR="00E35489" w:rsidRPr="00D821D1" w14:paraId="2DBD65E4" w14:textId="77777777" w:rsidTr="00EC5C6F">
        <w:tc>
          <w:tcPr>
            <w:tcW w:w="2093" w:type="dxa"/>
            <w:tcBorders>
              <w:top w:val="single" w:sz="4" w:space="0" w:color="auto"/>
              <w:left w:val="single" w:sz="4" w:space="0" w:color="auto"/>
              <w:bottom w:val="single" w:sz="4" w:space="0" w:color="auto"/>
              <w:right w:val="single" w:sz="4" w:space="0" w:color="auto"/>
            </w:tcBorders>
          </w:tcPr>
          <w:p w14:paraId="1EF7E3FC"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Deletion testing only</w:t>
            </w:r>
          </w:p>
        </w:tc>
        <w:tc>
          <w:tcPr>
            <w:tcW w:w="7258" w:type="dxa"/>
            <w:tcBorders>
              <w:top w:val="single" w:sz="4" w:space="0" w:color="auto"/>
              <w:left w:val="single" w:sz="4" w:space="0" w:color="auto"/>
              <w:bottom w:val="single" w:sz="4" w:space="0" w:color="auto"/>
              <w:right w:val="single" w:sz="4" w:space="0" w:color="auto"/>
            </w:tcBorders>
          </w:tcPr>
          <w:p w14:paraId="26F2052D" w14:textId="77777777" w:rsidR="00E35489" w:rsidRPr="00D821D1" w:rsidRDefault="00E35489" w:rsidP="00EC5C6F">
            <w:pPr>
              <w:keepNext/>
              <w:spacing w:before="60" w:after="60"/>
              <w:rPr>
                <w:rFonts w:ascii="Times New Roman" w:hAnsi="Times New Roman"/>
                <w:color w:val="000000"/>
                <w:szCs w:val="24"/>
              </w:rPr>
            </w:pPr>
            <w:r w:rsidRPr="00D821D1">
              <w:rPr>
                <w:rFonts w:ascii="Times New Roman" w:hAnsi="Times New Roman"/>
                <w:color w:val="000000"/>
                <w:szCs w:val="24"/>
              </w:rPr>
              <w:t>Consider if deletion testing only is a reasonable MBS listing, given the substantially higher ICERs for deletion + non-deletion testing, and the extent to which non-deletion testing can be funded by states.</w:t>
            </w:r>
          </w:p>
        </w:tc>
      </w:tr>
    </w:tbl>
    <w:p w14:paraId="1680009E" w14:textId="66756D95" w:rsidR="00E35489" w:rsidRPr="00E35489" w:rsidRDefault="00E35489" w:rsidP="00D576B7">
      <w:pPr>
        <w:keepNext/>
        <w:tabs>
          <w:tab w:val="left" w:pos="2265"/>
          <w:tab w:val="left" w:pos="3420"/>
          <w:tab w:val="left" w:pos="4320"/>
        </w:tabs>
        <w:spacing w:after="120"/>
        <w:rPr>
          <w:b/>
          <w:u w:val="single"/>
        </w:rPr>
      </w:pPr>
      <w:r w:rsidRPr="00E35489">
        <w:rPr>
          <w:b/>
          <w:u w:val="single"/>
        </w:rPr>
        <w:lastRenderedPageBreak/>
        <w:t>ESC Discussion</w:t>
      </w:r>
    </w:p>
    <w:p w14:paraId="47A47AA6" w14:textId="77777777" w:rsidR="00E35489" w:rsidRPr="0041772B" w:rsidRDefault="00E35489" w:rsidP="00E35489">
      <w:pPr>
        <w:spacing w:after="240"/>
        <w:rPr>
          <w:color w:val="000000"/>
        </w:rPr>
      </w:pPr>
      <w:r>
        <w:rPr>
          <w:color w:val="000000"/>
        </w:rPr>
        <w:t>A</w:t>
      </w:r>
      <w:r w:rsidRPr="0041772B">
        <w:rPr>
          <w:color w:val="000000"/>
        </w:rPr>
        <w:t xml:space="preserve">pplication </w:t>
      </w:r>
      <w:r>
        <w:rPr>
          <w:color w:val="000000"/>
        </w:rPr>
        <w:t xml:space="preserve">1531 is for </w:t>
      </w:r>
      <w:r w:rsidRPr="000E2CEF">
        <w:t>Medicare Benefits Schedule (MBS) listing</w:t>
      </w:r>
      <w:r w:rsidRPr="0041772B">
        <w:rPr>
          <w:color w:val="000000"/>
        </w:rPr>
        <w:t xml:space="preserve"> </w:t>
      </w:r>
      <w:r>
        <w:rPr>
          <w:color w:val="000000"/>
        </w:rPr>
        <w:t>of</w:t>
      </w:r>
      <w:r w:rsidRPr="0041772B">
        <w:rPr>
          <w:color w:val="000000"/>
        </w:rPr>
        <w:t xml:space="preserve"> genetic deletion testing for alpha (</w:t>
      </w:r>
      <w:r w:rsidRPr="0041772B">
        <w:rPr>
          <w:color w:val="000000"/>
        </w:rPr>
        <w:sym w:font="Symbol" w:char="F061"/>
      </w:r>
      <w:r w:rsidRPr="0041772B">
        <w:rPr>
          <w:color w:val="000000"/>
        </w:rPr>
        <w:t xml:space="preserve">) thalassaemia. It was an Application Referral submitted to the MSAC Executive in October 2018, which recommended an </w:t>
      </w:r>
      <w:r>
        <w:rPr>
          <w:color w:val="000000"/>
        </w:rPr>
        <w:t>e</w:t>
      </w:r>
      <w:r w:rsidRPr="0041772B">
        <w:rPr>
          <w:color w:val="000000"/>
        </w:rPr>
        <w:t xml:space="preserve">xpedited </w:t>
      </w:r>
      <w:r>
        <w:rPr>
          <w:color w:val="000000"/>
        </w:rPr>
        <w:t>p</w:t>
      </w:r>
      <w:r w:rsidRPr="0041772B">
        <w:rPr>
          <w:color w:val="000000"/>
        </w:rPr>
        <w:t>athway</w:t>
      </w:r>
      <w:r>
        <w:rPr>
          <w:color w:val="000000"/>
        </w:rPr>
        <w:t>;</w:t>
      </w:r>
      <w:r w:rsidRPr="0041772B">
        <w:rPr>
          <w:color w:val="000000"/>
        </w:rPr>
        <w:t xml:space="preserve"> the PASC process was </w:t>
      </w:r>
      <w:r>
        <w:rPr>
          <w:color w:val="000000"/>
        </w:rPr>
        <w:t xml:space="preserve">therefore </w:t>
      </w:r>
      <w:r w:rsidRPr="0041772B">
        <w:rPr>
          <w:color w:val="000000"/>
        </w:rPr>
        <w:t xml:space="preserve">not used for this application. ESC noted that this is a first-time application for </w:t>
      </w:r>
      <w:r w:rsidRPr="0041772B">
        <w:rPr>
          <w:color w:val="000000"/>
        </w:rPr>
        <w:sym w:font="Symbol" w:char="F061"/>
      </w:r>
      <w:r>
        <w:rPr>
          <w:color w:val="000000"/>
        </w:rPr>
        <w:t> </w:t>
      </w:r>
      <w:r w:rsidRPr="0041772B">
        <w:rPr>
          <w:color w:val="000000"/>
        </w:rPr>
        <w:t>thalassaemia genetic testing.</w:t>
      </w:r>
    </w:p>
    <w:p w14:paraId="0C021690" w14:textId="77777777" w:rsidR="00E35489" w:rsidRPr="0041772B" w:rsidRDefault="00E35489" w:rsidP="00E35489">
      <w:pPr>
        <w:spacing w:after="240"/>
        <w:rPr>
          <w:color w:val="000000"/>
        </w:rPr>
      </w:pPr>
      <w:r>
        <w:rPr>
          <w:color w:val="000000"/>
        </w:rPr>
        <w:t>ESC noted that t</w:t>
      </w:r>
      <w:r w:rsidRPr="0041772B">
        <w:rPr>
          <w:color w:val="000000"/>
        </w:rPr>
        <w:t xml:space="preserve">he incidence and mutation spectra of </w:t>
      </w:r>
      <w:r w:rsidRPr="0041772B">
        <w:rPr>
          <w:color w:val="000000"/>
        </w:rPr>
        <w:sym w:font="Symbol" w:char="F061"/>
      </w:r>
      <w:r>
        <w:rPr>
          <w:color w:val="000000"/>
        </w:rPr>
        <w:t> </w:t>
      </w:r>
      <w:r w:rsidRPr="0041772B">
        <w:rPr>
          <w:color w:val="000000"/>
        </w:rPr>
        <w:t xml:space="preserve">thalassaemia vary with ethnic background, with some ethnic groups having a carrier rate as high as 60%. The </w:t>
      </w:r>
      <w:r w:rsidRPr="00FA7FEC">
        <w:rPr>
          <w:color w:val="000000"/>
        </w:rPr>
        <w:t xml:space="preserve">Contracted Assessment </w:t>
      </w:r>
      <w:r>
        <w:rPr>
          <w:color w:val="000000"/>
        </w:rPr>
        <w:t>(</w:t>
      </w:r>
      <w:r w:rsidRPr="0041772B">
        <w:rPr>
          <w:color w:val="000000"/>
        </w:rPr>
        <w:t>CA</w:t>
      </w:r>
      <w:r>
        <w:rPr>
          <w:color w:val="000000"/>
        </w:rPr>
        <w:t>)</w:t>
      </w:r>
      <w:r w:rsidRPr="0041772B">
        <w:rPr>
          <w:color w:val="000000"/>
        </w:rPr>
        <w:t xml:space="preserve"> estimated that up to 8% of these are currently screened by haemoglobin studies in Australia. </w:t>
      </w:r>
      <w:r>
        <w:t xml:space="preserve">The incidence of </w:t>
      </w:r>
      <w:r>
        <w:sym w:font="Symbol" w:char="F061"/>
      </w:r>
      <w:r>
        <w:t> </w:t>
      </w:r>
      <w:r w:rsidRPr="00F61E5A">
        <w:t>thalassaemia</w:t>
      </w:r>
      <w:r>
        <w:t xml:space="preserve"> is</w:t>
      </w:r>
      <w:r w:rsidRPr="0011314F">
        <w:t xml:space="preserve"> set to rise </w:t>
      </w:r>
      <w:r>
        <w:t xml:space="preserve">in Australia </w:t>
      </w:r>
      <w:r w:rsidRPr="0011314F">
        <w:t>with increased migration from South</w:t>
      </w:r>
      <w:r>
        <w:t>-</w:t>
      </w:r>
      <w:r w:rsidRPr="0011314F">
        <w:t>East Asia</w:t>
      </w:r>
      <w:r>
        <w:t>.</w:t>
      </w:r>
    </w:p>
    <w:p w14:paraId="47284723" w14:textId="77777777" w:rsidR="00E35489" w:rsidRPr="0041772B" w:rsidRDefault="00E35489" w:rsidP="00E35489">
      <w:pPr>
        <w:spacing w:after="240"/>
        <w:rPr>
          <w:color w:val="000000"/>
        </w:rPr>
      </w:pPr>
      <w:r>
        <w:rPr>
          <w:color w:val="000000"/>
        </w:rPr>
        <w:t>ESC noted that a</w:t>
      </w:r>
      <w:r w:rsidRPr="0041772B">
        <w:rPr>
          <w:color w:val="000000"/>
        </w:rPr>
        <w:t xml:space="preserve">ll states and territories currently cover this genetic testing, with variable out-of-pocket costs to patients. </w:t>
      </w:r>
    </w:p>
    <w:p w14:paraId="6F3DE5B9" w14:textId="75877FA4" w:rsidR="00E35489" w:rsidRPr="0041772B" w:rsidRDefault="00E35489" w:rsidP="00E35489">
      <w:pPr>
        <w:spacing w:after="240"/>
        <w:rPr>
          <w:color w:val="000000"/>
        </w:rPr>
      </w:pPr>
      <w:r w:rsidRPr="0041772B">
        <w:rPr>
          <w:color w:val="000000"/>
        </w:rPr>
        <w:t xml:space="preserve">ESC noted </w:t>
      </w:r>
      <w:r>
        <w:rPr>
          <w:color w:val="000000"/>
        </w:rPr>
        <w:t xml:space="preserve">that </w:t>
      </w:r>
      <w:r w:rsidRPr="0041772B">
        <w:rPr>
          <w:color w:val="000000"/>
        </w:rPr>
        <w:t>the CA clarif</w:t>
      </w:r>
      <w:r>
        <w:rPr>
          <w:color w:val="000000"/>
        </w:rPr>
        <w:t>ied</w:t>
      </w:r>
      <w:r w:rsidRPr="0041772B">
        <w:rPr>
          <w:color w:val="000000"/>
        </w:rPr>
        <w:t xml:space="preserve"> and define</w:t>
      </w:r>
      <w:r>
        <w:rPr>
          <w:color w:val="000000"/>
        </w:rPr>
        <w:t>d</w:t>
      </w:r>
      <w:r w:rsidRPr="0041772B">
        <w:rPr>
          <w:color w:val="000000"/>
        </w:rPr>
        <w:t xml:space="preserve"> two target populations: </w:t>
      </w:r>
      <w:r>
        <w:rPr>
          <w:color w:val="000000"/>
        </w:rPr>
        <w:t>1) </w:t>
      </w:r>
      <w:r w:rsidRPr="0041772B">
        <w:rPr>
          <w:color w:val="000000"/>
        </w:rPr>
        <w:t>females of reproductive age who meet haemoglobinopathy screening criteria</w:t>
      </w:r>
      <w:r>
        <w:rPr>
          <w:color w:val="000000"/>
        </w:rPr>
        <w:t>,</w:t>
      </w:r>
      <w:r w:rsidRPr="0041772B">
        <w:rPr>
          <w:color w:val="000000"/>
        </w:rPr>
        <w:t xml:space="preserve"> and </w:t>
      </w:r>
      <w:r>
        <w:rPr>
          <w:color w:val="000000"/>
        </w:rPr>
        <w:t>2) </w:t>
      </w:r>
      <w:r w:rsidRPr="0041772B">
        <w:rPr>
          <w:color w:val="000000"/>
        </w:rPr>
        <w:t xml:space="preserve">reproductive partners of females with proven </w:t>
      </w:r>
      <w:r w:rsidRPr="0041772B">
        <w:rPr>
          <w:color w:val="000000"/>
        </w:rPr>
        <w:sym w:font="Symbol" w:char="F061"/>
      </w:r>
      <w:r>
        <w:rPr>
          <w:color w:val="000000"/>
        </w:rPr>
        <w:t> </w:t>
      </w:r>
      <w:r w:rsidRPr="0041772B">
        <w:rPr>
          <w:color w:val="000000"/>
        </w:rPr>
        <w:t xml:space="preserve">thalassaemia who meet haemoglobinopathy screening criteria. The CA suggested that </w:t>
      </w:r>
      <w:r w:rsidRPr="0041772B">
        <w:rPr>
          <w:color w:val="000000"/>
        </w:rPr>
        <w:sym w:font="Symbol" w:char="F061"/>
      </w:r>
      <w:r w:rsidRPr="0041772B">
        <w:rPr>
          <w:color w:val="000000"/>
        </w:rPr>
        <w:t xml:space="preserve">1 and </w:t>
      </w:r>
      <w:r w:rsidRPr="0041772B">
        <w:rPr>
          <w:color w:val="000000"/>
        </w:rPr>
        <w:sym w:font="Symbol" w:char="F061"/>
      </w:r>
      <w:r w:rsidRPr="0041772B">
        <w:rPr>
          <w:color w:val="000000"/>
        </w:rPr>
        <w:t>2 testing will lead to more informed reproductive choices (</w:t>
      </w:r>
      <w:r w:rsidRPr="00FA7FEC">
        <w:rPr>
          <w:color w:val="000000"/>
        </w:rPr>
        <w:t xml:space="preserve">prenatal diagnosis </w:t>
      </w:r>
      <w:r>
        <w:rPr>
          <w:color w:val="000000"/>
        </w:rPr>
        <w:t>[</w:t>
      </w:r>
      <w:r w:rsidRPr="0041772B">
        <w:rPr>
          <w:color w:val="000000"/>
        </w:rPr>
        <w:t>PND</w:t>
      </w:r>
      <w:r>
        <w:rPr>
          <w:color w:val="000000"/>
        </w:rPr>
        <w:t>]</w:t>
      </w:r>
      <w:r w:rsidRPr="0041772B">
        <w:rPr>
          <w:color w:val="000000"/>
        </w:rPr>
        <w:t xml:space="preserve">, </w:t>
      </w:r>
      <w:r w:rsidRPr="00FA7FEC">
        <w:rPr>
          <w:color w:val="000000"/>
        </w:rPr>
        <w:t xml:space="preserve">preimplantation genetic diagnosis </w:t>
      </w:r>
      <w:r>
        <w:rPr>
          <w:color w:val="000000"/>
        </w:rPr>
        <w:t>[</w:t>
      </w:r>
      <w:r w:rsidRPr="0041772B">
        <w:rPr>
          <w:color w:val="000000"/>
        </w:rPr>
        <w:t>PGD</w:t>
      </w:r>
      <w:r>
        <w:rPr>
          <w:color w:val="000000"/>
        </w:rPr>
        <w:t>]</w:t>
      </w:r>
      <w:r w:rsidRPr="0041772B">
        <w:rPr>
          <w:color w:val="000000"/>
        </w:rPr>
        <w:t xml:space="preserve">, </w:t>
      </w:r>
      <w:r>
        <w:rPr>
          <w:color w:val="000000"/>
        </w:rPr>
        <w:t>in vitro fertilisation [</w:t>
      </w:r>
      <w:r w:rsidRPr="0041772B">
        <w:rPr>
          <w:color w:val="000000"/>
        </w:rPr>
        <w:t>IVF</w:t>
      </w:r>
      <w:r>
        <w:rPr>
          <w:color w:val="000000"/>
        </w:rPr>
        <w:t>]</w:t>
      </w:r>
      <w:r w:rsidRPr="0041772B">
        <w:rPr>
          <w:color w:val="000000"/>
        </w:rPr>
        <w:t xml:space="preserve"> with egg/sperm donation, adoption) and lower incidence of hydrops fetalis. Also, an early, more certain diagnosis </w:t>
      </w:r>
      <w:r w:rsidR="0040447A">
        <w:rPr>
          <w:color w:val="000000"/>
        </w:rPr>
        <w:t>may allow</w:t>
      </w:r>
      <w:r w:rsidRPr="0041772B">
        <w:rPr>
          <w:color w:val="000000"/>
        </w:rPr>
        <w:t xml:space="preserve"> </w:t>
      </w:r>
      <w:r w:rsidR="0040447A">
        <w:rPr>
          <w:color w:val="000000"/>
        </w:rPr>
        <w:t xml:space="preserve">an </w:t>
      </w:r>
      <w:r w:rsidRPr="0041772B">
        <w:rPr>
          <w:color w:val="000000"/>
        </w:rPr>
        <w:t>earlier termination of</w:t>
      </w:r>
      <w:r w:rsidR="00137B47">
        <w:rPr>
          <w:color w:val="000000"/>
        </w:rPr>
        <w:t xml:space="preserve"> </w:t>
      </w:r>
      <w:r w:rsidR="006570C2">
        <w:rPr>
          <w:color w:val="000000"/>
        </w:rPr>
        <w:t>pregnancy</w:t>
      </w:r>
      <w:r w:rsidRPr="0041772B">
        <w:rPr>
          <w:color w:val="000000"/>
        </w:rPr>
        <w:t xml:space="preserve">, </w:t>
      </w:r>
      <w:r w:rsidR="0040447A">
        <w:rPr>
          <w:color w:val="000000"/>
        </w:rPr>
        <w:t xml:space="preserve">which may </w:t>
      </w:r>
      <w:r w:rsidRPr="0041772B">
        <w:rPr>
          <w:color w:val="000000"/>
        </w:rPr>
        <w:t>result in a less negative impact on</w:t>
      </w:r>
      <w:r>
        <w:rPr>
          <w:color w:val="000000"/>
        </w:rPr>
        <w:t xml:space="preserve"> the woman’s</w:t>
      </w:r>
      <w:r w:rsidRPr="0041772B">
        <w:rPr>
          <w:color w:val="000000"/>
        </w:rPr>
        <w:t xml:space="preserve"> physical and psychological health</w:t>
      </w:r>
      <w:r w:rsidR="0040447A">
        <w:rPr>
          <w:color w:val="000000"/>
        </w:rPr>
        <w:t xml:space="preserve"> than a later termination or a miscarriage or stillbirth</w:t>
      </w:r>
      <w:r w:rsidRPr="0041772B">
        <w:rPr>
          <w:color w:val="000000"/>
        </w:rPr>
        <w:t>.</w:t>
      </w:r>
    </w:p>
    <w:p w14:paraId="34A2EC82" w14:textId="77777777" w:rsidR="00E35489" w:rsidRPr="0041772B" w:rsidRDefault="00E35489" w:rsidP="00E35489">
      <w:pPr>
        <w:spacing w:after="240"/>
        <w:rPr>
          <w:color w:val="000000"/>
        </w:rPr>
      </w:pPr>
      <w:r w:rsidRPr="0041772B">
        <w:rPr>
          <w:color w:val="000000"/>
        </w:rPr>
        <w:t>ESC noted the different deletion detection methods of varying quality and cost. Gap-PCR is an old technique that is prone to errors and can only detect a limited specified panel of deletions</w:t>
      </w:r>
      <w:r>
        <w:rPr>
          <w:color w:val="000000"/>
        </w:rPr>
        <w:t>;</w:t>
      </w:r>
      <w:r w:rsidRPr="0041772B">
        <w:rPr>
          <w:color w:val="000000"/>
        </w:rPr>
        <w:t xml:space="preserve"> </w:t>
      </w:r>
      <w:r>
        <w:rPr>
          <w:color w:val="000000"/>
        </w:rPr>
        <w:t>it</w:t>
      </w:r>
      <w:r w:rsidRPr="0041772B">
        <w:rPr>
          <w:color w:val="000000"/>
        </w:rPr>
        <w:t xml:space="preserve"> is being phased out by many laboratories. Multiplex ligation-dependent probe amplification (MLPA) is a more specialised technique that can detect any deletion or duplication, but the proposed fee of $100 does not cover the cost of MLPA ($200/sample). ESC noted that the proposed deletion detection method is unclear. ESC noted that </w:t>
      </w:r>
      <w:r>
        <w:rPr>
          <w:color w:val="000000"/>
        </w:rPr>
        <w:t xml:space="preserve">the </w:t>
      </w:r>
      <w:r w:rsidRPr="0041772B">
        <w:rPr>
          <w:color w:val="000000"/>
        </w:rPr>
        <w:t>RCPA QAP 2018 Alpha Thalassemia Program indicates that more labs are moving towards using MLPA. ESC also noted the risk of using a low fee, in that it may allow lower-quality laboratories to enter the market.</w:t>
      </w:r>
    </w:p>
    <w:p w14:paraId="69580C45" w14:textId="58FF9CE2" w:rsidR="00E35489" w:rsidRPr="0041772B" w:rsidRDefault="00E35489" w:rsidP="00E35489">
      <w:pPr>
        <w:spacing w:after="240"/>
        <w:rPr>
          <w:color w:val="000000"/>
        </w:rPr>
      </w:pPr>
      <w:r w:rsidRPr="0041772B">
        <w:rPr>
          <w:color w:val="000000"/>
        </w:rPr>
        <w:t xml:space="preserve">ESC noted that the CA presented a clinical algorithm where the woman has first access to genetic testing if </w:t>
      </w:r>
      <w:r>
        <w:rPr>
          <w:color w:val="000000"/>
        </w:rPr>
        <w:t xml:space="preserve">not iron deficient (or iron deficient if pregnant, and no historic normal cell indices; note this component from the proposed MBS item descriptor was not specifically included in the clinical pathways of the proposed algorithm for pregnant women (see </w:t>
      </w:r>
      <w:r>
        <w:rPr>
          <w:color w:val="000000"/>
        </w:rPr>
        <w:fldChar w:fldCharType="begin"/>
      </w:r>
      <w:r>
        <w:rPr>
          <w:color w:val="000000"/>
        </w:rPr>
        <w:instrText xml:space="preserve"> REF _Ref522613094 \h </w:instrText>
      </w:r>
      <w:r>
        <w:rPr>
          <w:color w:val="000000"/>
        </w:rPr>
      </w:r>
      <w:r>
        <w:rPr>
          <w:color w:val="000000"/>
        </w:rPr>
        <w:fldChar w:fldCharType="separate"/>
      </w:r>
      <w:r w:rsidR="00F37DD4">
        <w:t>Figure</w:t>
      </w:r>
      <w:r w:rsidR="00137B47">
        <w:t> </w:t>
      </w:r>
      <w:r w:rsidR="00F37DD4">
        <w:rPr>
          <w:noProof/>
        </w:rPr>
        <w:t>2</w:t>
      </w:r>
      <w:r>
        <w:rPr>
          <w:color w:val="000000"/>
        </w:rPr>
        <w:fldChar w:fldCharType="end"/>
      </w:r>
      <w:r>
        <w:rPr>
          <w:color w:val="000000"/>
        </w:rPr>
        <w:t>) and with indices and haematological studies not conclusively diagnostic of thalassaemia</w:t>
      </w:r>
      <w:r w:rsidRPr="0041772B">
        <w:rPr>
          <w:color w:val="000000"/>
        </w:rPr>
        <w:t xml:space="preserve">. If the genetic test is positive, the male partner then receives access to genetic testing. ESC noted the inequities of having male testing depend on the results of the female test results. In addition, sequential testing </w:t>
      </w:r>
      <w:r>
        <w:rPr>
          <w:color w:val="000000"/>
        </w:rPr>
        <w:t xml:space="preserve">is </w:t>
      </w:r>
      <w:r w:rsidRPr="0041772B">
        <w:rPr>
          <w:color w:val="000000"/>
        </w:rPr>
        <w:t xml:space="preserve">a lengthy process that would make it difficult for a couple to terminate a pregnancy within the </w:t>
      </w:r>
      <w:r>
        <w:rPr>
          <w:color w:val="000000"/>
        </w:rPr>
        <w:t>applicable</w:t>
      </w:r>
      <w:r w:rsidRPr="0041772B">
        <w:rPr>
          <w:color w:val="000000"/>
        </w:rPr>
        <w:t xml:space="preserve"> timeframe if this became an option for them. The </w:t>
      </w:r>
      <w:r w:rsidR="00CE521F">
        <w:rPr>
          <w:color w:val="000000"/>
        </w:rPr>
        <w:t>Critique</w:t>
      </w:r>
      <w:r w:rsidRPr="0041772B">
        <w:rPr>
          <w:color w:val="000000"/>
        </w:rPr>
        <w:t xml:space="preserve"> presented an alternative pathway where both parents undergo a blood test for red blood cell abnormalities to determine access to genetic testing (</w:t>
      </w:r>
      <w:r w:rsidR="004A3652">
        <w:rPr>
          <w:color w:val="000000"/>
        </w:rPr>
        <w:t xml:space="preserve">economic </w:t>
      </w:r>
      <w:r w:rsidRPr="0041772B">
        <w:rPr>
          <w:color w:val="000000"/>
        </w:rPr>
        <w:t>scenario 2</w:t>
      </w:r>
      <w:r w:rsidR="004A3652">
        <w:rPr>
          <w:color w:val="000000"/>
        </w:rPr>
        <w:t>, Tables 9 and 10, (MBS fee $100) and 13 and 14 (MBS fee $200)</w:t>
      </w:r>
      <w:r w:rsidRPr="0041772B">
        <w:rPr>
          <w:color w:val="000000"/>
        </w:rPr>
        <w:t xml:space="preserve">). </w:t>
      </w:r>
      <w:r>
        <w:rPr>
          <w:color w:val="000000"/>
        </w:rPr>
        <w:t>ESC noted that even if HbH inclusions were present, genetic testing would be required to enable prenatal testing/PGD to occur.</w:t>
      </w:r>
      <w:r w:rsidRPr="0041772B">
        <w:rPr>
          <w:color w:val="000000"/>
        </w:rPr>
        <w:t xml:space="preserve"> </w:t>
      </w:r>
      <w:r>
        <w:rPr>
          <w:color w:val="000000"/>
        </w:rPr>
        <w:t>In addition</w:t>
      </w:r>
      <w:r w:rsidRPr="0041772B">
        <w:rPr>
          <w:color w:val="000000"/>
        </w:rPr>
        <w:t>, the HbH test has variable performance</w:t>
      </w:r>
      <w:r>
        <w:rPr>
          <w:color w:val="000000"/>
        </w:rPr>
        <w:t xml:space="preserve"> </w:t>
      </w:r>
      <w:r>
        <w:t>and may be unable to distinguish the 0/+ trait</w:t>
      </w:r>
      <w:r w:rsidRPr="0041772B">
        <w:rPr>
          <w:color w:val="000000"/>
        </w:rPr>
        <w:t>.</w:t>
      </w:r>
    </w:p>
    <w:p w14:paraId="71DB931F" w14:textId="7ED87EFA" w:rsidR="00E35489" w:rsidRPr="0041772B" w:rsidRDefault="00E35489" w:rsidP="00E35489">
      <w:pPr>
        <w:spacing w:after="240"/>
        <w:rPr>
          <w:color w:val="000000"/>
        </w:rPr>
      </w:pPr>
      <w:r w:rsidRPr="0041772B">
        <w:rPr>
          <w:color w:val="000000"/>
        </w:rPr>
        <w:lastRenderedPageBreak/>
        <w:t>ESC noted the clinical trial data from two non-comparative level</w:t>
      </w:r>
      <w:r>
        <w:rPr>
          <w:color w:val="000000"/>
        </w:rPr>
        <w:t> </w:t>
      </w:r>
      <w:r w:rsidRPr="0041772B">
        <w:rPr>
          <w:color w:val="000000"/>
        </w:rPr>
        <w:t>IV studies from large South-East Asian antenatal screening programs, which showed that most double deletion carrier couples chose TOP</w:t>
      </w:r>
      <w:r w:rsidR="004A3652">
        <w:rPr>
          <w:color w:val="000000"/>
        </w:rPr>
        <w:t xml:space="preserve"> (</w:t>
      </w:r>
      <w:r w:rsidRPr="0041772B">
        <w:rPr>
          <w:color w:val="000000"/>
        </w:rPr>
        <w:t xml:space="preserve">73% and 100%). </w:t>
      </w:r>
      <w:r w:rsidR="004A3652">
        <w:rPr>
          <w:color w:val="000000"/>
        </w:rPr>
        <w:t>However, t</w:t>
      </w:r>
      <w:r w:rsidRPr="0041772B">
        <w:rPr>
          <w:color w:val="000000"/>
        </w:rPr>
        <w:t xml:space="preserve">he </w:t>
      </w:r>
      <w:r w:rsidR="00CE521F">
        <w:rPr>
          <w:color w:val="000000"/>
        </w:rPr>
        <w:t>Critique</w:t>
      </w:r>
      <w:r w:rsidRPr="0041772B">
        <w:rPr>
          <w:color w:val="000000"/>
        </w:rPr>
        <w:t xml:space="preserve"> noted that Yamsri’s study used a </w:t>
      </w:r>
      <w:r>
        <w:rPr>
          <w:color w:val="000000"/>
        </w:rPr>
        <w:t>pre-genetic test screening</w:t>
      </w:r>
      <w:r w:rsidRPr="0041772B">
        <w:rPr>
          <w:color w:val="000000"/>
        </w:rPr>
        <w:t xml:space="preserve"> method that is not available in Australia, and queried whether it should be included. There is no evidence on the uptake of PND and TOP without deletion testing; it is assumed to be lower, thus no testing would result in fewer reproductive choices.</w:t>
      </w:r>
    </w:p>
    <w:p w14:paraId="0FA80739" w14:textId="77777777" w:rsidR="00E35489" w:rsidRPr="0041772B" w:rsidRDefault="00E35489" w:rsidP="00E35489">
      <w:pPr>
        <w:spacing w:after="240"/>
        <w:rPr>
          <w:color w:val="000000"/>
        </w:rPr>
      </w:pPr>
      <w:r w:rsidRPr="0041772B">
        <w:rPr>
          <w:color w:val="000000"/>
        </w:rPr>
        <w:t xml:space="preserve">ESC noted two diagnostic performance studies. Due to the nature of the stepwise testing, the performance is difficult to assess (false positives do not undergo more testing, and false negatives may not be picked up by sequencing). The CA assessed accuracy of deletion testing by comparing to </w:t>
      </w:r>
      <w:r>
        <w:rPr>
          <w:color w:val="000000"/>
        </w:rPr>
        <w:t xml:space="preserve">a </w:t>
      </w:r>
      <w:r w:rsidRPr="0041772B">
        <w:rPr>
          <w:color w:val="000000"/>
        </w:rPr>
        <w:t xml:space="preserve">reference standard of deletion testing + sequencing. ESC noted that this was inappropriate because </w:t>
      </w:r>
      <w:r>
        <w:rPr>
          <w:color w:val="000000"/>
        </w:rPr>
        <w:t>deletion testing and sequencing detect</w:t>
      </w:r>
      <w:r w:rsidRPr="0041772B">
        <w:rPr>
          <w:color w:val="000000"/>
        </w:rPr>
        <w:t xml:space="preserve"> different </w:t>
      </w:r>
      <w:r>
        <w:rPr>
          <w:color w:val="000000"/>
        </w:rPr>
        <w:t xml:space="preserve">types of </w:t>
      </w:r>
      <w:r w:rsidRPr="0041772B">
        <w:rPr>
          <w:color w:val="000000"/>
        </w:rPr>
        <w:t>mutations.</w:t>
      </w:r>
      <w:r>
        <w:rPr>
          <w:color w:val="000000"/>
        </w:rPr>
        <w:t xml:space="preserve"> (large deletions and sequence variants, respectively)</w:t>
      </w:r>
      <w:r w:rsidRPr="0041772B">
        <w:rPr>
          <w:color w:val="000000"/>
        </w:rPr>
        <w:t>.</w:t>
      </w:r>
      <w:r>
        <w:rPr>
          <w:color w:val="000000"/>
        </w:rPr>
        <w:t xml:space="preserve"> Specifically, deletion testing with GAP-PCR detects a specific subset of deletions; MLPA can theoretically detect any deletion or duplication (and 1 sequence variant). However, sequencing, in general, cannot detect large deletions (unless via NGS assays, typically whole exome sequencing (WES)/whole genomic sequencing (WGS) panels, that have been validated to do so), but can detect sequence variants.</w:t>
      </w:r>
      <w:r w:rsidRPr="0041772B">
        <w:rPr>
          <w:color w:val="000000"/>
        </w:rPr>
        <w:t xml:space="preserve"> ESC noted that the diagnostic yield depends on population prevalence, prior screening and the number of deletions tested for. </w:t>
      </w:r>
    </w:p>
    <w:p w14:paraId="3C29CC08" w14:textId="77777777" w:rsidR="00E35489" w:rsidRPr="0041772B" w:rsidRDefault="00E35489" w:rsidP="00E35489">
      <w:pPr>
        <w:spacing w:after="240"/>
        <w:rPr>
          <w:color w:val="000000"/>
        </w:rPr>
      </w:pPr>
      <w:r w:rsidRPr="0041772B">
        <w:rPr>
          <w:color w:val="000000"/>
        </w:rPr>
        <w:t>ESC noted that the two diagnostic studies revealed an incremental benefit of using genetic testing compared with HbH inclusion body testing. The absence of HbH inclusion bodies is poorly/moderately predictive of absence of mutation (35% and 43.1%); the presence of HbH inclusions</w:t>
      </w:r>
      <w:r>
        <w:rPr>
          <w:color w:val="000000"/>
        </w:rPr>
        <w:t xml:space="preserve"> is</w:t>
      </w:r>
      <w:r w:rsidRPr="0041772B">
        <w:rPr>
          <w:color w:val="000000"/>
        </w:rPr>
        <w:t xml:space="preserve"> reasonably predictive of presence of mutation (94.5% and 94%).</w:t>
      </w:r>
    </w:p>
    <w:p w14:paraId="2A851CD5" w14:textId="41E5E917" w:rsidR="00E35489" w:rsidRPr="0041772B" w:rsidRDefault="00E35489" w:rsidP="002649D8">
      <w:pPr>
        <w:spacing w:after="120"/>
        <w:rPr>
          <w:color w:val="000000"/>
        </w:rPr>
      </w:pPr>
      <w:r w:rsidRPr="0041772B">
        <w:rPr>
          <w:color w:val="000000"/>
        </w:rPr>
        <w:t xml:space="preserve">ESC noted that the CA assessed three studies </w:t>
      </w:r>
      <w:r w:rsidR="002649D8">
        <w:t>('The first five years of a preventive programme for haemoglobinopathies in Northeastern Iraq</w:t>
      </w:r>
      <w:r w:rsidR="006C30D7">
        <w:t>’</w:t>
      </w:r>
      <w:r w:rsidR="002649D8">
        <w:t xml:space="preserve"> Al-Allawi et al. (2013); </w:t>
      </w:r>
      <w:r w:rsidR="002649D8" w:rsidRPr="00C324C9">
        <w:t>'Prenatal diagnosis of haemoglobinopathies: Our experience of 523 cases</w:t>
      </w:r>
      <w:r w:rsidR="006C30D7">
        <w:t>’</w:t>
      </w:r>
      <w:r w:rsidR="002649D8">
        <w:t xml:space="preserve"> Grosso et al. (2013); and </w:t>
      </w:r>
      <w:r w:rsidR="006C30D7">
        <w:t>‘</w:t>
      </w:r>
      <w:r w:rsidR="002649D8" w:rsidRPr="00C324C9">
        <w:t>Carrier screening for α- and β-thalassemia in pregnancy: The results of an 11-year prospective program in Guangzhou Maternal and Neonatal Hospital</w:t>
      </w:r>
      <w:r w:rsidR="006C30D7">
        <w:t>’</w:t>
      </w:r>
      <w:r w:rsidR="002649D8">
        <w:t xml:space="preserve"> Liao et al. (2005))</w:t>
      </w:r>
      <w:r w:rsidR="002649D8" w:rsidRPr="00C324C9">
        <w:t xml:space="preserve">, </w:t>
      </w:r>
      <w:r w:rsidRPr="0041772B">
        <w:rPr>
          <w:color w:val="000000"/>
        </w:rPr>
        <w:t>looked at reproductive decisions based on reproductive choices for couples at</w:t>
      </w:r>
      <w:r>
        <w:rPr>
          <w:color w:val="000000"/>
        </w:rPr>
        <w:t xml:space="preserve"> </w:t>
      </w:r>
      <w:r w:rsidRPr="0041772B">
        <w:rPr>
          <w:color w:val="000000"/>
        </w:rPr>
        <w:t>risk of haemoglobin</w:t>
      </w:r>
      <w:r>
        <w:rPr>
          <w:color w:val="000000"/>
        </w:rPr>
        <w:t>o</w:t>
      </w:r>
      <w:r w:rsidRPr="0041772B">
        <w:rPr>
          <w:color w:val="000000"/>
        </w:rPr>
        <w:t>pathy:</w:t>
      </w:r>
    </w:p>
    <w:p w14:paraId="4FAFED9F" w14:textId="77777777" w:rsidR="00E35489" w:rsidRDefault="00E35489" w:rsidP="002649D8">
      <w:pPr>
        <w:pStyle w:val="ListParagraph"/>
        <w:numPr>
          <w:ilvl w:val="0"/>
          <w:numId w:val="32"/>
        </w:numPr>
        <w:spacing w:after="200" w:line="276" w:lineRule="auto"/>
      </w:pPr>
      <w:r>
        <w:t>74.8–95.7% took up PND</w:t>
      </w:r>
    </w:p>
    <w:p w14:paraId="2B3BC93A" w14:textId="777784BF" w:rsidR="00E35489" w:rsidRDefault="00E35489" w:rsidP="002649D8">
      <w:pPr>
        <w:pStyle w:val="ListParagraph"/>
        <w:numPr>
          <w:ilvl w:val="0"/>
          <w:numId w:val="32"/>
        </w:numPr>
        <w:spacing w:after="200" w:line="276" w:lineRule="auto"/>
      </w:pPr>
      <w:r>
        <w:t>98.4% chose TOP if fetus was at risk of Hb Bart</w:t>
      </w:r>
      <w:r w:rsidR="00271F1F">
        <w:t>’s</w:t>
      </w:r>
      <w:r>
        <w:t>.</w:t>
      </w:r>
    </w:p>
    <w:p w14:paraId="2FA36F18" w14:textId="69FB0D84" w:rsidR="00E35489" w:rsidRPr="0041772B" w:rsidRDefault="00E35489" w:rsidP="002649D8">
      <w:pPr>
        <w:spacing w:after="240"/>
        <w:rPr>
          <w:color w:val="000000"/>
        </w:rPr>
      </w:pPr>
      <w:r w:rsidRPr="0041772B">
        <w:rPr>
          <w:color w:val="000000"/>
        </w:rPr>
        <w:t>ESC noted</w:t>
      </w:r>
      <w:r>
        <w:rPr>
          <w:color w:val="000000"/>
        </w:rPr>
        <w:t xml:space="preserve"> that</w:t>
      </w:r>
      <w:r w:rsidRPr="0041772B">
        <w:rPr>
          <w:color w:val="000000"/>
        </w:rPr>
        <w:t xml:space="preserve"> the </w:t>
      </w:r>
      <w:r w:rsidR="00CE521F">
        <w:rPr>
          <w:color w:val="000000"/>
        </w:rPr>
        <w:t>Critique</w:t>
      </w:r>
      <w:r w:rsidRPr="0041772B">
        <w:rPr>
          <w:color w:val="000000"/>
        </w:rPr>
        <w:t xml:space="preserve"> provided disaggregated data from three clinical validity studies</w:t>
      </w:r>
      <w:r w:rsidR="002649D8">
        <w:rPr>
          <w:color w:val="000000"/>
        </w:rPr>
        <w:t xml:space="preserve"> (</w:t>
      </w:r>
      <w:r w:rsidR="006C30D7">
        <w:rPr>
          <w:color w:val="000000"/>
        </w:rPr>
        <w:t>‘</w:t>
      </w:r>
      <w:r w:rsidR="002649D8" w:rsidRPr="00B4790A">
        <w:t>Pre Gestational Thalassaemia Screening in Mainland China: The First Two Years of a Preventive Program</w:t>
      </w:r>
      <w:r w:rsidR="002649D8">
        <w:t xml:space="preserve">, Jiang </w:t>
      </w:r>
      <w:r w:rsidR="006C30D7">
        <w:t>et al. (2017)’</w:t>
      </w:r>
      <w:r w:rsidR="002649D8">
        <w:t xml:space="preserve"> </w:t>
      </w:r>
      <w:r w:rsidR="002649D8" w:rsidRPr="00B4790A">
        <w:t>Prenatal diagnosis of haemoglobinopathies: our experience of 523 cases</w:t>
      </w:r>
      <w:r w:rsidR="006C30D7">
        <w:t>’ Grosso et al. (2013)</w:t>
      </w:r>
      <w:r w:rsidR="002649D8">
        <w:t xml:space="preserve"> and </w:t>
      </w:r>
      <w:r w:rsidR="006C30D7">
        <w:t>‘</w:t>
      </w:r>
      <w:r w:rsidR="002649D8" w:rsidRPr="00B4790A">
        <w:t>Carrier screening for α‐and β‐thalassaemia in pregnancy: the results of an 11‐year prospective program in Guangzhou Maternal and Neonatal hospital</w:t>
      </w:r>
      <w:r w:rsidR="006C30D7">
        <w:t>’</w:t>
      </w:r>
      <w:r w:rsidR="002649D8">
        <w:t xml:space="preserve"> Liao </w:t>
      </w:r>
      <w:r w:rsidR="006C30D7">
        <w:t xml:space="preserve">et al. </w:t>
      </w:r>
      <w:r w:rsidR="002649D8">
        <w:t>(2005))</w:t>
      </w:r>
      <w:r w:rsidRPr="0041772B">
        <w:rPr>
          <w:color w:val="000000"/>
        </w:rPr>
        <w:t>. For those indicated for PND, 100%, 90.1% and 95.7% chose PND, and of those found to have an at-risk fetus, 100%, 98.3% and 95.8% chose TOP.</w:t>
      </w:r>
    </w:p>
    <w:p w14:paraId="2BE9A7F6" w14:textId="77777777" w:rsidR="00E35489" w:rsidRPr="0041772B" w:rsidRDefault="00E35489" w:rsidP="00E35489">
      <w:pPr>
        <w:spacing w:after="240"/>
        <w:rPr>
          <w:color w:val="000000"/>
        </w:rPr>
      </w:pPr>
      <w:r w:rsidRPr="0041772B">
        <w:rPr>
          <w:color w:val="000000"/>
        </w:rPr>
        <w:t>ESC noted that no studies met the inclusion criteria for therapeutic effectiveness.</w:t>
      </w:r>
    </w:p>
    <w:p w14:paraId="3DDD63B5" w14:textId="2C39A4DD" w:rsidR="00E35489" w:rsidRPr="0041772B" w:rsidRDefault="00E35489" w:rsidP="00E35489">
      <w:pPr>
        <w:spacing w:after="240"/>
        <w:rPr>
          <w:color w:val="000000"/>
        </w:rPr>
      </w:pPr>
      <w:r w:rsidRPr="0041772B">
        <w:rPr>
          <w:color w:val="000000"/>
        </w:rPr>
        <w:t xml:space="preserve">ESC agreed with the CA that genetic </w:t>
      </w:r>
      <w:r w:rsidR="00133EEF">
        <w:rPr>
          <w:color w:val="000000"/>
        </w:rPr>
        <w:t xml:space="preserve">deletion </w:t>
      </w:r>
      <w:r w:rsidRPr="0041772B">
        <w:rPr>
          <w:color w:val="000000"/>
        </w:rPr>
        <w:t>testing had superior effectiveness to no genetic testing, and inferior effectiveness to comprehensive testing (MLPA plus sequencing).</w:t>
      </w:r>
    </w:p>
    <w:p w14:paraId="7146DA56" w14:textId="77777777" w:rsidR="00E35489" w:rsidRPr="0041772B" w:rsidRDefault="00E35489" w:rsidP="00E35489">
      <w:pPr>
        <w:spacing w:after="240"/>
        <w:rPr>
          <w:color w:val="000000"/>
        </w:rPr>
      </w:pPr>
      <w:r w:rsidRPr="0041772B">
        <w:rPr>
          <w:color w:val="000000"/>
        </w:rPr>
        <w:t xml:space="preserve">ESC noted the </w:t>
      </w:r>
      <w:r w:rsidR="00CE521F">
        <w:rPr>
          <w:color w:val="000000"/>
        </w:rPr>
        <w:t>Critique</w:t>
      </w:r>
      <w:r>
        <w:rPr>
          <w:color w:val="000000"/>
        </w:rPr>
        <w:t>’s finding that</w:t>
      </w:r>
      <w:r w:rsidRPr="0041772B">
        <w:rPr>
          <w:color w:val="000000"/>
        </w:rPr>
        <w:t xml:space="preserve"> the CA did not assess regulatory or accreditation requirements for laboratories conducting the testing. </w:t>
      </w:r>
      <w:r>
        <w:rPr>
          <w:color w:val="000000"/>
        </w:rPr>
        <w:t>However t</w:t>
      </w:r>
      <w:r w:rsidRPr="0041772B">
        <w:rPr>
          <w:color w:val="000000"/>
        </w:rPr>
        <w:t xml:space="preserve">halassaemia testing is already established in some laboratories, which </w:t>
      </w:r>
      <w:r>
        <w:rPr>
          <w:color w:val="000000"/>
        </w:rPr>
        <w:t>already</w:t>
      </w:r>
      <w:r w:rsidRPr="0041772B">
        <w:rPr>
          <w:color w:val="000000"/>
        </w:rPr>
        <w:t xml:space="preserve"> must comply with requirements.</w:t>
      </w:r>
    </w:p>
    <w:p w14:paraId="46330F4D" w14:textId="77777777" w:rsidR="00E35489" w:rsidRPr="0041772B" w:rsidRDefault="00E35489" w:rsidP="00E35489">
      <w:pPr>
        <w:spacing w:after="240"/>
        <w:rPr>
          <w:color w:val="000000"/>
        </w:rPr>
      </w:pPr>
      <w:r w:rsidRPr="0041772B">
        <w:rPr>
          <w:color w:val="000000"/>
        </w:rPr>
        <w:lastRenderedPageBreak/>
        <w:t>ESC suggested that the limitation on</w:t>
      </w:r>
      <w:r>
        <w:rPr>
          <w:color w:val="000000"/>
        </w:rPr>
        <w:t xml:space="preserve"> the</w:t>
      </w:r>
      <w:r w:rsidRPr="0041772B">
        <w:rPr>
          <w:color w:val="000000"/>
        </w:rPr>
        <w:t xml:space="preserve"> number of tests was impractical. The CA suggested 10% repeat testing in practice. Repeat testing may be useful, particularly if </w:t>
      </w:r>
      <w:r>
        <w:rPr>
          <w:color w:val="000000"/>
        </w:rPr>
        <w:t xml:space="preserve">the </w:t>
      </w:r>
      <w:r w:rsidRPr="0041772B">
        <w:rPr>
          <w:color w:val="000000"/>
        </w:rPr>
        <w:t xml:space="preserve">first test had </w:t>
      </w:r>
      <w:r>
        <w:rPr>
          <w:color w:val="000000"/>
        </w:rPr>
        <w:t xml:space="preserve">a </w:t>
      </w:r>
      <w:r w:rsidRPr="0041772B">
        <w:rPr>
          <w:color w:val="000000"/>
        </w:rPr>
        <w:t>limited detection spectrum, and if there is limited data sharing between laboratories or treating clinicians.</w:t>
      </w:r>
    </w:p>
    <w:p w14:paraId="2FDED2C4" w14:textId="77777777" w:rsidR="00E35489" w:rsidRPr="0041772B" w:rsidRDefault="00E35489" w:rsidP="00E35489">
      <w:pPr>
        <w:keepNext/>
        <w:spacing w:after="120"/>
        <w:rPr>
          <w:color w:val="000000"/>
        </w:rPr>
      </w:pPr>
      <w:r w:rsidRPr="0041772B">
        <w:rPr>
          <w:color w:val="000000"/>
        </w:rPr>
        <w:t>ESC considered that the wording of the proposed item descriptor and fee should be altered:</w:t>
      </w:r>
    </w:p>
    <w:p w14:paraId="12488239" w14:textId="77777777" w:rsidR="00E35489" w:rsidRDefault="00E35489" w:rsidP="00E35489">
      <w:pPr>
        <w:pStyle w:val="ListParagraph"/>
        <w:numPr>
          <w:ilvl w:val="0"/>
          <w:numId w:val="31"/>
        </w:numPr>
        <w:spacing w:after="200" w:line="276" w:lineRule="auto"/>
      </w:pPr>
      <w:r>
        <w:t>the item descriptor should specify the type of test (e.g. deletion test; perhaps specifying the method or number of deletions detected)</w:t>
      </w:r>
    </w:p>
    <w:p w14:paraId="02B87018" w14:textId="77777777" w:rsidR="00E35489" w:rsidRDefault="00E35489" w:rsidP="00E35489">
      <w:pPr>
        <w:pStyle w:val="ListParagraph"/>
        <w:numPr>
          <w:ilvl w:val="0"/>
          <w:numId w:val="31"/>
        </w:numPr>
        <w:spacing w:after="200" w:line="276" w:lineRule="auto"/>
      </w:pPr>
      <w:r>
        <w:t>‘beta thalassaemia’ should be added to (a) (given that the presence/absence of HbH inclusions should not negate need for deletion testing)</w:t>
      </w:r>
    </w:p>
    <w:p w14:paraId="78B102B6" w14:textId="77777777" w:rsidR="00E35489" w:rsidRDefault="00E35489" w:rsidP="00E35489">
      <w:pPr>
        <w:pStyle w:val="ListParagraph"/>
        <w:numPr>
          <w:ilvl w:val="0"/>
          <w:numId w:val="31"/>
        </w:numPr>
        <w:spacing w:after="200" w:line="276" w:lineRule="auto"/>
      </w:pPr>
      <w:r>
        <w:t>partners be changed to ‘reproductive’ partners in (b)</w:t>
      </w:r>
    </w:p>
    <w:p w14:paraId="39C1F096" w14:textId="77777777" w:rsidR="00E35489" w:rsidRDefault="00E35489" w:rsidP="00E35489">
      <w:pPr>
        <w:pStyle w:val="ListParagraph"/>
        <w:numPr>
          <w:ilvl w:val="0"/>
          <w:numId w:val="31"/>
        </w:numPr>
        <w:spacing w:after="200" w:line="276" w:lineRule="auto"/>
      </w:pPr>
      <w:r>
        <w:t>the fee should be $200 to reflect the higher cost of the test actually used by most laboratories</w:t>
      </w:r>
    </w:p>
    <w:p w14:paraId="60378D9F" w14:textId="2A22B1FF" w:rsidR="00E35489" w:rsidRPr="0041772B" w:rsidRDefault="00E35489" w:rsidP="00E35489">
      <w:pPr>
        <w:spacing w:after="240"/>
        <w:rPr>
          <w:color w:val="000000"/>
        </w:rPr>
      </w:pPr>
      <w:r>
        <w:rPr>
          <w:color w:val="000000"/>
        </w:rPr>
        <w:t>T</w:t>
      </w:r>
      <w:r w:rsidRPr="0041772B">
        <w:rPr>
          <w:color w:val="000000"/>
        </w:rPr>
        <w:t>he economic evaluation was a cost-effectiveness analysis (CEA) based on a decision-tree analysis.</w:t>
      </w:r>
      <w:r>
        <w:rPr>
          <w:color w:val="000000"/>
        </w:rPr>
        <w:t xml:space="preserve"> </w:t>
      </w:r>
      <w:r w:rsidRPr="0041772B">
        <w:rPr>
          <w:color w:val="000000"/>
        </w:rPr>
        <w:t xml:space="preserve">ESC noted that the type of genetic testing in the economic analysis was unclear. The Assessment Group clarified that the economic analysis was based on </w:t>
      </w:r>
      <w:r w:rsidR="00623A99">
        <w:rPr>
          <w:color w:val="000000"/>
        </w:rPr>
        <w:t xml:space="preserve">GAP-PCR </w:t>
      </w:r>
      <w:r w:rsidRPr="0041772B">
        <w:rPr>
          <w:color w:val="000000"/>
        </w:rPr>
        <w:t>deletion testing</w:t>
      </w:r>
      <w:r w:rsidR="004A3652">
        <w:rPr>
          <w:color w:val="000000"/>
        </w:rPr>
        <w:t xml:space="preserve"> </w:t>
      </w:r>
      <w:r w:rsidRPr="0041772B">
        <w:rPr>
          <w:color w:val="000000"/>
        </w:rPr>
        <w:t>followed by sequencing a proportion who had a negative result from the deletion testing. MLPA was not used in the costing because the data came from a laboratory that does not use MLPA. However, ESC noted that it was unclear which testing method was used for the initial deletion testing. ESC considered this to be an important distinction, as the economic model is sensitive to the cost of the genetic testing. ESC noted possible issues with the economic evaluation due to the base case used, as it was based on $100 per test</w:t>
      </w:r>
      <w:r>
        <w:rPr>
          <w:color w:val="000000"/>
        </w:rPr>
        <w:t>,</w:t>
      </w:r>
      <w:r w:rsidRPr="0041772B">
        <w:rPr>
          <w:color w:val="000000"/>
        </w:rPr>
        <w:t xml:space="preserve"> which may not reflect current laboratory practice. ESC suggested that the CA reanalyse the costs using MLPA as the base case before MSAC considers this application.</w:t>
      </w:r>
    </w:p>
    <w:p w14:paraId="4E40F284" w14:textId="77777777" w:rsidR="00E35489" w:rsidRPr="0041772B" w:rsidRDefault="00E35489" w:rsidP="00E35489">
      <w:pPr>
        <w:spacing w:after="240"/>
        <w:rPr>
          <w:color w:val="000000"/>
        </w:rPr>
      </w:pPr>
      <w:r w:rsidRPr="0041772B">
        <w:rPr>
          <w:color w:val="000000"/>
        </w:rPr>
        <w:t xml:space="preserve">ESC noted that the translations, cost inputs, risks and model transitions for the economic evaluation were reasonable. ESC accepted the simplified model assumptions (100% uptake of partner testing, 100% uptake of PND and perfect diagnostic performance). </w:t>
      </w:r>
    </w:p>
    <w:p w14:paraId="2CA47F0E" w14:textId="77777777" w:rsidR="00E35489" w:rsidRPr="0041772B" w:rsidRDefault="00E35489" w:rsidP="00E35489">
      <w:pPr>
        <w:spacing w:after="120"/>
        <w:rPr>
          <w:color w:val="000000"/>
        </w:rPr>
      </w:pPr>
      <w:r w:rsidRPr="0041772B">
        <w:rPr>
          <w:color w:val="000000"/>
        </w:rPr>
        <w:t xml:space="preserve">ESC noted </w:t>
      </w:r>
      <w:r>
        <w:rPr>
          <w:color w:val="000000"/>
        </w:rPr>
        <w:t xml:space="preserve">that </w:t>
      </w:r>
      <w:r w:rsidRPr="0041772B">
        <w:rPr>
          <w:color w:val="000000"/>
        </w:rPr>
        <w:t>the sensitivity analysis resulted in several different ICERs based on two scenarios:</w:t>
      </w:r>
    </w:p>
    <w:p w14:paraId="3DAB1267" w14:textId="48862182" w:rsidR="00E35489" w:rsidRDefault="00E35489" w:rsidP="00E35489">
      <w:pPr>
        <w:pStyle w:val="ListParagraph"/>
        <w:numPr>
          <w:ilvl w:val="0"/>
          <w:numId w:val="30"/>
        </w:numPr>
        <w:spacing w:after="200" w:line="276" w:lineRule="auto"/>
      </w:pPr>
      <w:r w:rsidRPr="00516C9A">
        <w:t>Scenario 1</w:t>
      </w:r>
      <w:r>
        <w:t>. Deletion testing is done, followed by sequencing</w:t>
      </w:r>
      <w:r w:rsidRPr="00516C9A">
        <w:t xml:space="preserve"> to identify all non-deletional mutations</w:t>
      </w:r>
      <w:r>
        <w:t>. This is less cost-effective than deletion testing alone. However, if the outcomes are broadened to include genetic confirmation of couples that are at risk of either a baby with H</w:t>
      </w:r>
      <w:bookmarkStart w:id="36" w:name="Editing"/>
      <w:bookmarkEnd w:id="36"/>
      <w:r>
        <w:t>b Bart</w:t>
      </w:r>
      <w:r w:rsidR="00271F1F">
        <w:t>’s</w:t>
      </w:r>
      <w:r>
        <w:t xml:space="preserve"> or non-deletion HbH, then further testing appears to be more cost-effective than deletion testing alone.</w:t>
      </w:r>
    </w:p>
    <w:p w14:paraId="66EDDCD9" w14:textId="77777777" w:rsidR="00E35489" w:rsidRDefault="00E35489" w:rsidP="00E35489">
      <w:pPr>
        <w:pStyle w:val="ListParagraph"/>
        <w:numPr>
          <w:ilvl w:val="0"/>
          <w:numId w:val="30"/>
        </w:numPr>
        <w:spacing w:after="200" w:line="276" w:lineRule="auto"/>
      </w:pPr>
      <w:r w:rsidRPr="00516C9A">
        <w:t>Scenario 2</w:t>
      </w:r>
      <w:r>
        <w:t xml:space="preserve">. Both </w:t>
      </w:r>
      <w:r w:rsidRPr="00516C9A">
        <w:t xml:space="preserve">parents require </w:t>
      </w:r>
      <w:r>
        <w:t xml:space="preserve">a confirmed </w:t>
      </w:r>
      <w:r w:rsidRPr="00516C9A">
        <w:t>red cell abnormality before either can receive genetic testing</w:t>
      </w:r>
      <w:r>
        <w:t>. This results in better cost-effectiveness for deletion testing alone.</w:t>
      </w:r>
    </w:p>
    <w:p w14:paraId="4E3E4C18" w14:textId="77777777" w:rsidR="00E35489" w:rsidRPr="0041772B" w:rsidRDefault="00E35489" w:rsidP="00E35489">
      <w:pPr>
        <w:spacing w:after="120"/>
        <w:rPr>
          <w:color w:val="000000"/>
        </w:rPr>
      </w:pPr>
      <w:r w:rsidRPr="0041772B">
        <w:rPr>
          <w:color w:val="000000"/>
        </w:rPr>
        <w:t>ESC noted that the economic model was sensitive to three main drivers:</w:t>
      </w:r>
    </w:p>
    <w:p w14:paraId="46FA17B3" w14:textId="77777777" w:rsidR="00E35489" w:rsidRPr="006A1877" w:rsidRDefault="00E35489" w:rsidP="00E35489">
      <w:pPr>
        <w:pStyle w:val="ListParagraph"/>
        <w:numPr>
          <w:ilvl w:val="0"/>
          <w:numId w:val="29"/>
        </w:numPr>
        <w:spacing w:after="200" w:line="276" w:lineRule="auto"/>
      </w:pPr>
      <w:r>
        <w:t xml:space="preserve">changes that affect the prevalence of the </w:t>
      </w:r>
      <w:r>
        <w:sym w:font="Symbol" w:char="F061"/>
      </w:r>
      <w:r w:rsidRPr="00C01EE1">
        <w:rPr>
          <w:vertAlign w:val="superscript"/>
        </w:rPr>
        <w:t>0</w:t>
      </w:r>
      <w:r>
        <w:t xml:space="preserve"> </w:t>
      </w:r>
      <w:r w:rsidRPr="00BE68F8">
        <w:t>and HbH genotypes</w:t>
      </w:r>
      <w:r>
        <w:t xml:space="preserve"> in the population eligible for testing</w:t>
      </w:r>
    </w:p>
    <w:p w14:paraId="036C05D9" w14:textId="77777777" w:rsidR="00E35489" w:rsidRPr="006A1877" w:rsidRDefault="00E35489" w:rsidP="00E35489">
      <w:pPr>
        <w:pStyle w:val="ListParagraph"/>
        <w:numPr>
          <w:ilvl w:val="0"/>
          <w:numId w:val="29"/>
        </w:numPr>
        <w:spacing w:after="200" w:line="276" w:lineRule="auto"/>
      </w:pPr>
      <w:r>
        <w:t xml:space="preserve">number of </w:t>
      </w:r>
      <w:r w:rsidRPr="006A1877">
        <w:t xml:space="preserve">partners screened </w:t>
      </w:r>
      <w:r>
        <w:t xml:space="preserve">who are </w:t>
      </w:r>
      <w:r w:rsidRPr="006A1877">
        <w:t>eligible for genetic testing</w:t>
      </w:r>
    </w:p>
    <w:p w14:paraId="622904CF" w14:textId="77777777" w:rsidR="00E35489" w:rsidRDefault="00E35489" w:rsidP="00E35489">
      <w:pPr>
        <w:pStyle w:val="ListParagraph"/>
        <w:numPr>
          <w:ilvl w:val="0"/>
          <w:numId w:val="29"/>
        </w:numPr>
        <w:spacing w:after="200" w:line="276" w:lineRule="auto"/>
      </w:pPr>
      <w:r>
        <w:t xml:space="preserve">test cost. </w:t>
      </w:r>
    </w:p>
    <w:p w14:paraId="5AAA7521" w14:textId="77777777" w:rsidR="00E35489" w:rsidRDefault="00E35489" w:rsidP="00E35489">
      <w:pPr>
        <w:spacing w:after="240"/>
        <w:rPr>
          <w:color w:val="000000"/>
        </w:rPr>
      </w:pPr>
      <w:r>
        <w:rPr>
          <w:color w:val="000000"/>
        </w:rPr>
        <w:lastRenderedPageBreak/>
        <w:t xml:space="preserve">ESC noted that because </w:t>
      </w:r>
      <w:r>
        <w:t xml:space="preserve">of the differences in ethnic backgrounds and therefore prevalence across states and over time, the estimates presented are uncertain. </w:t>
      </w:r>
    </w:p>
    <w:p w14:paraId="585C5D76" w14:textId="63F1BBB2" w:rsidR="00E35489" w:rsidRPr="0041772B" w:rsidRDefault="00E35489" w:rsidP="00E35489">
      <w:pPr>
        <w:spacing w:after="240"/>
        <w:rPr>
          <w:color w:val="000000"/>
        </w:rPr>
      </w:pPr>
      <w:r w:rsidRPr="0041772B">
        <w:rPr>
          <w:color w:val="000000"/>
        </w:rPr>
        <w:t xml:space="preserve">ESC noted that scenario 2 </w:t>
      </w:r>
      <w:r>
        <w:rPr>
          <w:color w:val="000000"/>
        </w:rPr>
        <w:t>wa</w:t>
      </w:r>
      <w:r w:rsidRPr="0041772B">
        <w:rPr>
          <w:color w:val="000000"/>
        </w:rPr>
        <w:t xml:space="preserve">s </w:t>
      </w:r>
      <w:r>
        <w:rPr>
          <w:color w:val="000000"/>
        </w:rPr>
        <w:t xml:space="preserve">likely </w:t>
      </w:r>
      <w:r w:rsidRPr="0041772B">
        <w:rPr>
          <w:color w:val="000000"/>
        </w:rPr>
        <w:t xml:space="preserve">the better clinical pathway, as the population </w:t>
      </w:r>
      <w:r>
        <w:rPr>
          <w:color w:val="000000"/>
        </w:rPr>
        <w:t>was</w:t>
      </w:r>
      <w:r w:rsidRPr="0041772B">
        <w:rPr>
          <w:color w:val="000000"/>
        </w:rPr>
        <w:t xml:space="preserve"> more targeted. It also produced lower ICERs compared with scenario</w:t>
      </w:r>
      <w:r>
        <w:rPr>
          <w:color w:val="000000"/>
        </w:rPr>
        <w:t> </w:t>
      </w:r>
      <w:r w:rsidRPr="0041772B">
        <w:rPr>
          <w:color w:val="000000"/>
        </w:rPr>
        <w:t>1 (e.g. confirmed at</w:t>
      </w:r>
      <w:r>
        <w:rPr>
          <w:color w:val="000000"/>
        </w:rPr>
        <w:t>-</w:t>
      </w:r>
      <w:r w:rsidRPr="0041772B">
        <w:rPr>
          <w:color w:val="000000"/>
        </w:rPr>
        <w:t>risk status in planning couples: $28,443 vs $180,784; confirmed affected fetus: $26,517 vs $174,820), and higher diagnostic yields (</w:t>
      </w:r>
      <w:r>
        <w:rPr>
          <w:color w:val="000000"/>
        </w:rPr>
        <w:t xml:space="preserve">but only </w:t>
      </w:r>
      <w:r w:rsidRPr="0041772B">
        <w:rPr>
          <w:color w:val="000000"/>
        </w:rPr>
        <w:t xml:space="preserve">if MLPA was used). ESC noted </w:t>
      </w:r>
      <w:r>
        <w:rPr>
          <w:color w:val="000000"/>
        </w:rPr>
        <w:t xml:space="preserve">that </w:t>
      </w:r>
      <w:r w:rsidRPr="0041772B">
        <w:rPr>
          <w:color w:val="000000"/>
        </w:rPr>
        <w:t>the next step was unclear if the deletion testing was negative in scenario</w:t>
      </w:r>
      <w:r>
        <w:rPr>
          <w:color w:val="000000"/>
        </w:rPr>
        <w:t> </w:t>
      </w:r>
      <w:r w:rsidRPr="0041772B">
        <w:rPr>
          <w:color w:val="000000"/>
        </w:rPr>
        <w:t>2, which would affect ICERs.</w:t>
      </w:r>
      <w:r>
        <w:rPr>
          <w:color w:val="000000"/>
        </w:rPr>
        <w:t xml:space="preserve"> </w:t>
      </w:r>
      <w:r w:rsidRPr="0041772B">
        <w:rPr>
          <w:color w:val="000000"/>
        </w:rPr>
        <w:t xml:space="preserve">ESC noted </w:t>
      </w:r>
      <w:r>
        <w:rPr>
          <w:color w:val="000000"/>
        </w:rPr>
        <w:t xml:space="preserve">that the applicant was </w:t>
      </w:r>
      <w:r>
        <w:t xml:space="preserve">supportive of the </w:t>
      </w:r>
      <w:r w:rsidR="00CE521F">
        <w:t>Critique</w:t>
      </w:r>
      <w:r>
        <w:t>’s s</w:t>
      </w:r>
      <w:r w:rsidRPr="0011314F">
        <w:t>uggested clinical pathway changes</w:t>
      </w:r>
      <w:r>
        <w:t xml:space="preserve"> – that is,</w:t>
      </w:r>
      <w:r w:rsidRPr="0011314F">
        <w:t xml:space="preserve"> </w:t>
      </w:r>
      <w:r>
        <w:t>scenario 2</w:t>
      </w:r>
      <w:r w:rsidR="004A3652">
        <w:t>, where both parents are screened for red cell abnormalities prior to undergoing genetic testing</w:t>
      </w:r>
      <w:r>
        <w:t>.</w:t>
      </w:r>
    </w:p>
    <w:p w14:paraId="6A7A55FA" w14:textId="77777777" w:rsidR="00E35489" w:rsidRDefault="00E35489" w:rsidP="00E35489">
      <w:pPr>
        <w:spacing w:after="240"/>
      </w:pPr>
      <w:r w:rsidRPr="00CB4B38">
        <w:rPr>
          <w:color w:val="000000"/>
        </w:rPr>
        <w:t>ESC noted the different base case ICERs based on planning couples and pregnant couples</w:t>
      </w:r>
      <w:r w:rsidRPr="00B15C33">
        <w:t>. This could be important</w:t>
      </w:r>
      <w:r w:rsidRPr="00CB4B38">
        <w:t xml:space="preserve"> because it is unclear if </w:t>
      </w:r>
      <w:r>
        <w:t xml:space="preserve">cases confirmed at-risk </w:t>
      </w:r>
      <w:r w:rsidRPr="00CB4B38">
        <w:t xml:space="preserve">or </w:t>
      </w:r>
      <w:r>
        <w:t>couples with status genetically confirmed (either at-risk or not at-risk)</w:t>
      </w:r>
      <w:r w:rsidRPr="00CB4B38">
        <w:t xml:space="preserve"> </w:t>
      </w:r>
      <w:r w:rsidRPr="00B15C33">
        <w:t xml:space="preserve">are the more </w:t>
      </w:r>
      <w:r>
        <w:t>relevant</w:t>
      </w:r>
      <w:r w:rsidRPr="00B15C33">
        <w:t xml:space="preserve"> outcome.</w:t>
      </w:r>
      <w:r>
        <w:t xml:space="preserve"> </w:t>
      </w:r>
    </w:p>
    <w:p w14:paraId="4AE9E8C1" w14:textId="139DC6E6" w:rsidR="00CE521F" w:rsidRDefault="00E35489" w:rsidP="00CE521F">
      <w:r w:rsidRPr="0041772B">
        <w:t>ESC noted that the ICERs are higher in both scenarios compared with the base case. ESC noted that the ICERs are lowest for confirmed status, but questioned the relevance of this in terms of clinical management. The test results affect clinical management in that most couples diagnosed as having an at-risk fetus terminate the pregnancy, suggesting that confirmed at</w:t>
      </w:r>
      <w:r>
        <w:t> </w:t>
      </w:r>
      <w:r w:rsidRPr="0041772B">
        <w:t>risk is the most relevant testing outcome. ESC noted that, due to the multiple ICERs available</w:t>
      </w:r>
      <w:r>
        <w:t xml:space="preserve"> and</w:t>
      </w:r>
      <w:r w:rsidRPr="0041772B">
        <w:t xml:space="preserve"> their sensitivity to the drivers, the most relevant testing outcome needs to be clarified </w:t>
      </w:r>
      <w:r>
        <w:t xml:space="preserve">before determining total potential cost to the MBS. </w:t>
      </w:r>
      <w:r w:rsidRPr="0041772B">
        <w:t>ESC noted the consumer issues associated with access to testing and genetic counselling for rural/remote people, as well as sensitivities around genetic testing and termination of pregnancies for some cultural groups. Genetic counsellors would need to be aware of such cultural sensitivities when discussing genetic testing</w:t>
      </w:r>
      <w:r w:rsidR="0061729C">
        <w:t>.</w:t>
      </w:r>
      <w:r w:rsidRPr="0041772B">
        <w:t>. ESC also noted that, due to the expedited pathway, the application lacked consumer engagement.</w:t>
      </w:r>
    </w:p>
    <w:p w14:paraId="0A9317D9" w14:textId="77777777" w:rsidR="00D90A38" w:rsidRPr="00F715D1" w:rsidRDefault="00BC1364" w:rsidP="006F6129">
      <w:pPr>
        <w:pStyle w:val="Heading1"/>
        <w:ind w:left="567" w:hanging="567"/>
      </w:pPr>
      <w:r w:rsidRPr="00F715D1">
        <w:t>Other significant factors</w:t>
      </w:r>
    </w:p>
    <w:p w14:paraId="48068A3E" w14:textId="6FC5FF5C" w:rsidR="00BC1364" w:rsidRPr="002A5239" w:rsidRDefault="00BC1364" w:rsidP="00F715D1">
      <w:pPr>
        <w:spacing w:after="240"/>
        <w:rPr>
          <w:szCs w:val="24"/>
        </w:rPr>
      </w:pPr>
      <w:r w:rsidRPr="002A5239">
        <w:rPr>
          <w:szCs w:val="24"/>
        </w:rPr>
        <w:t>Nil</w:t>
      </w:r>
    </w:p>
    <w:p w14:paraId="3DF23F05" w14:textId="77777777" w:rsidR="00BC1364" w:rsidRPr="00F715D1" w:rsidRDefault="00BC1364" w:rsidP="006F6129">
      <w:pPr>
        <w:pStyle w:val="Heading1"/>
        <w:ind w:left="567" w:hanging="567"/>
      </w:pPr>
      <w:r w:rsidRPr="00F715D1">
        <w:t xml:space="preserve">Applicant’s comments on MSAC’s </w:t>
      </w:r>
      <w:r w:rsidR="00DA56AA" w:rsidRPr="00F715D1">
        <w:t>Public Summary Document</w:t>
      </w:r>
    </w:p>
    <w:p w14:paraId="11687C22" w14:textId="264A4E4B" w:rsidR="00BC1364" w:rsidRPr="002A5239" w:rsidRDefault="002A5239" w:rsidP="00F715D1">
      <w:pPr>
        <w:spacing w:after="240"/>
        <w:rPr>
          <w:szCs w:val="24"/>
        </w:rPr>
      </w:pPr>
      <w:r w:rsidRPr="002A5239">
        <w:rPr>
          <w:szCs w:val="24"/>
        </w:rPr>
        <w:t>The applicant had no comment.</w:t>
      </w:r>
    </w:p>
    <w:p w14:paraId="706EEB9B" w14:textId="77777777" w:rsidR="00BC1364" w:rsidRPr="00F715D1" w:rsidRDefault="00271F18" w:rsidP="006F6129">
      <w:pPr>
        <w:pStyle w:val="Heading1"/>
        <w:ind w:left="567" w:hanging="567"/>
      </w:pPr>
      <w:r w:rsidRPr="00F715D1">
        <w:t>Further information on MSAC</w:t>
      </w:r>
    </w:p>
    <w:p w14:paraId="6A518F8B"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2" w:tooltip="Link to Medical Services Advisory Committee website" w:history="1">
        <w:r w:rsidR="00BC2667" w:rsidRPr="00F715D1">
          <w:rPr>
            <w:rStyle w:val="Hyperlink"/>
            <w:szCs w:val="24"/>
          </w:rPr>
          <w:t>visit the MSAC website</w:t>
        </w:r>
      </w:hyperlink>
    </w:p>
    <w:sectPr w:rsidR="00BC1364" w:rsidRPr="00F715D1" w:rsidSect="00D05A1E">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02F7F" w14:textId="77777777" w:rsidR="00D576B7" w:rsidRDefault="00D576B7" w:rsidP="00065623">
      <w:r>
        <w:separator/>
      </w:r>
    </w:p>
  </w:endnote>
  <w:endnote w:type="continuationSeparator" w:id="0">
    <w:p w14:paraId="137D85F5" w14:textId="77777777" w:rsidR="00D576B7" w:rsidRDefault="00D576B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BF18" w14:textId="77777777" w:rsidR="00D576B7" w:rsidRDefault="00D5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171566"/>
      <w:docPartObj>
        <w:docPartGallery w:val="Page Numbers (Bottom of Page)"/>
        <w:docPartUnique/>
      </w:docPartObj>
    </w:sdtPr>
    <w:sdtEndPr>
      <w:rPr>
        <w:noProof/>
      </w:rPr>
    </w:sdtEndPr>
    <w:sdtContent>
      <w:p w14:paraId="7A84DEC3" w14:textId="04BDB650" w:rsidR="00D576B7" w:rsidRDefault="00D576B7">
        <w:pPr>
          <w:pStyle w:val="Footer"/>
          <w:jc w:val="right"/>
        </w:pPr>
        <w:r>
          <w:fldChar w:fldCharType="begin"/>
        </w:r>
        <w:r>
          <w:instrText xml:space="preserve"> PAGE   \* MERGEFORMAT </w:instrText>
        </w:r>
        <w:r>
          <w:fldChar w:fldCharType="separate"/>
        </w:r>
        <w:r w:rsidR="001D22DA">
          <w:rPr>
            <w:noProof/>
          </w:rPr>
          <w:t>1</w:t>
        </w:r>
        <w:r>
          <w:rPr>
            <w:noProof/>
          </w:rPr>
          <w:fldChar w:fldCharType="end"/>
        </w:r>
      </w:p>
    </w:sdtContent>
  </w:sdt>
  <w:p w14:paraId="5662D41A" w14:textId="77777777" w:rsidR="00D576B7" w:rsidRDefault="00D57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AF14B" w14:textId="77777777" w:rsidR="00D576B7" w:rsidRDefault="00D576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4304758" w14:textId="2066E3FC" w:rsidR="00D576B7" w:rsidRDefault="00D576B7">
        <w:pPr>
          <w:pStyle w:val="Footer"/>
          <w:jc w:val="right"/>
        </w:pPr>
        <w:r>
          <w:fldChar w:fldCharType="begin"/>
        </w:r>
        <w:r>
          <w:instrText xml:space="preserve"> PAGE   \* MERGEFORMAT </w:instrText>
        </w:r>
        <w:r>
          <w:fldChar w:fldCharType="separate"/>
        </w:r>
        <w:r w:rsidR="001D22DA">
          <w:rPr>
            <w:noProof/>
          </w:rPr>
          <w:t>21</w:t>
        </w:r>
        <w:r>
          <w:rPr>
            <w:noProof/>
          </w:rPr>
          <w:fldChar w:fldCharType="end"/>
        </w:r>
      </w:p>
    </w:sdtContent>
  </w:sdt>
  <w:p w14:paraId="2B2DDB1A" w14:textId="77777777" w:rsidR="00D576B7" w:rsidRDefault="00D5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F3424" w14:textId="77777777" w:rsidR="00D576B7" w:rsidRDefault="00D576B7" w:rsidP="00065623">
      <w:r>
        <w:separator/>
      </w:r>
    </w:p>
  </w:footnote>
  <w:footnote w:type="continuationSeparator" w:id="0">
    <w:p w14:paraId="4EF9C360" w14:textId="77777777" w:rsidR="00D576B7" w:rsidRDefault="00D576B7" w:rsidP="00065623">
      <w:r>
        <w:continuationSeparator/>
      </w:r>
    </w:p>
  </w:footnote>
  <w:footnote w:id="1">
    <w:p w14:paraId="3A1BF39E" w14:textId="1FA2D87E" w:rsidR="00D576B7" w:rsidRDefault="00D576B7">
      <w:pPr>
        <w:pStyle w:val="FootnoteText"/>
      </w:pPr>
      <w:r>
        <w:rPr>
          <w:rStyle w:val="FootnoteReference"/>
        </w:rPr>
        <w:footnoteRef/>
      </w:r>
      <w:r>
        <w:t xml:space="preserve"> </w:t>
      </w:r>
      <w:r w:rsidRPr="002A3F60">
        <w:t>Am J Clin Pathol July 2017;148:6-15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C635" w14:textId="77777777" w:rsidR="00D576B7" w:rsidRDefault="00D57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9A29" w14:textId="77777777" w:rsidR="00D576B7" w:rsidRDefault="00D57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D698" w14:textId="77777777" w:rsidR="00D576B7" w:rsidRDefault="00D57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5AA"/>
    <w:multiLevelType w:val="hybridMultilevel"/>
    <w:tmpl w:val="CCD6C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A96395"/>
    <w:multiLevelType w:val="hybridMultilevel"/>
    <w:tmpl w:val="4106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6784"/>
    <w:multiLevelType w:val="hybridMultilevel"/>
    <w:tmpl w:val="CCD6C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461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5FF157A"/>
    <w:multiLevelType w:val="hybridMultilevel"/>
    <w:tmpl w:val="2160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C6F8B"/>
    <w:multiLevelType w:val="hybridMultilevel"/>
    <w:tmpl w:val="FB3CC7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A362E43"/>
    <w:multiLevelType w:val="hybridMultilevel"/>
    <w:tmpl w:val="AADAFFD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BC2572"/>
    <w:multiLevelType w:val="hybridMultilevel"/>
    <w:tmpl w:val="60BA5C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04FD7"/>
    <w:multiLevelType w:val="hybridMultilevel"/>
    <w:tmpl w:val="621E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935112"/>
    <w:multiLevelType w:val="hybridMultilevel"/>
    <w:tmpl w:val="CCD6C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E199A"/>
    <w:multiLevelType w:val="hybridMultilevel"/>
    <w:tmpl w:val="9C0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B75B0"/>
    <w:multiLevelType w:val="hybridMultilevel"/>
    <w:tmpl w:val="84BED6C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2D26EA"/>
    <w:multiLevelType w:val="hybridMultilevel"/>
    <w:tmpl w:val="125CC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72B6A"/>
    <w:multiLevelType w:val="hybridMultilevel"/>
    <w:tmpl w:val="A8FA2B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C2714"/>
    <w:multiLevelType w:val="hybridMultilevel"/>
    <w:tmpl w:val="C8340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32C5C5F"/>
    <w:multiLevelType w:val="hybridMultilevel"/>
    <w:tmpl w:val="DC66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6246D9"/>
    <w:multiLevelType w:val="hybridMultilevel"/>
    <w:tmpl w:val="84BED6C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D90009"/>
    <w:multiLevelType w:val="hybridMultilevel"/>
    <w:tmpl w:val="A686082A"/>
    <w:lvl w:ilvl="0" w:tplc="B03ECB5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73A73FB"/>
    <w:multiLevelType w:val="hybridMultilevel"/>
    <w:tmpl w:val="45FEA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54C05"/>
    <w:multiLevelType w:val="hybridMultilevel"/>
    <w:tmpl w:val="2D0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57A2126"/>
    <w:multiLevelType w:val="hybridMultilevel"/>
    <w:tmpl w:val="AADAFFD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67B2100"/>
    <w:multiLevelType w:val="hybridMultilevel"/>
    <w:tmpl w:val="491A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4"/>
  </w:num>
  <w:num w:numId="4">
    <w:abstractNumId w:val="29"/>
  </w:num>
  <w:num w:numId="5">
    <w:abstractNumId w:val="19"/>
  </w:num>
  <w:num w:numId="6">
    <w:abstractNumId w:val="28"/>
  </w:num>
  <w:num w:numId="7">
    <w:abstractNumId w:val="33"/>
  </w:num>
  <w:num w:numId="8">
    <w:abstractNumId w:val="21"/>
  </w:num>
  <w:num w:numId="9">
    <w:abstractNumId w:val="45"/>
  </w:num>
  <w:num w:numId="10">
    <w:abstractNumId w:val="3"/>
  </w:num>
  <w:num w:numId="11">
    <w:abstractNumId w:val="31"/>
  </w:num>
  <w:num w:numId="12">
    <w:abstractNumId w:val="34"/>
  </w:num>
  <w:num w:numId="13">
    <w:abstractNumId w:val="10"/>
  </w:num>
  <w:num w:numId="14">
    <w:abstractNumId w:val="42"/>
  </w:num>
  <w:num w:numId="15">
    <w:abstractNumId w:val="30"/>
  </w:num>
  <w:num w:numId="16">
    <w:abstractNumId w:val="37"/>
  </w:num>
  <w:num w:numId="17">
    <w:abstractNumId w:val="23"/>
  </w:num>
  <w:num w:numId="18">
    <w:abstractNumId w:val="25"/>
  </w:num>
  <w:num w:numId="19">
    <w:abstractNumId w:val="40"/>
  </w:num>
  <w:num w:numId="20">
    <w:abstractNumId w:val="39"/>
  </w:num>
  <w:num w:numId="21">
    <w:abstractNumId w:val="6"/>
  </w:num>
  <w:num w:numId="22">
    <w:abstractNumId w:val="17"/>
  </w:num>
  <w:num w:numId="23">
    <w:abstractNumId w:val="5"/>
  </w:num>
  <w:num w:numId="24">
    <w:abstractNumId w:val="15"/>
  </w:num>
  <w:num w:numId="25">
    <w:abstractNumId w:val="12"/>
  </w:num>
  <w:num w:numId="26">
    <w:abstractNumId w:val="11"/>
  </w:num>
  <w:num w:numId="27">
    <w:abstractNumId w:val="22"/>
  </w:num>
  <w:num w:numId="28">
    <w:abstractNumId w:val="26"/>
  </w:num>
  <w:num w:numId="29">
    <w:abstractNumId w:val="18"/>
  </w:num>
  <w:num w:numId="30">
    <w:abstractNumId w:val="41"/>
  </w:num>
  <w:num w:numId="31">
    <w:abstractNumId w:val="1"/>
  </w:num>
  <w:num w:numId="32">
    <w:abstractNumId w:val="32"/>
  </w:num>
  <w:num w:numId="33">
    <w:abstractNumId w:val="24"/>
  </w:num>
  <w:num w:numId="34">
    <w:abstractNumId w:val="8"/>
  </w:num>
  <w:num w:numId="35">
    <w:abstractNumId w:val="44"/>
  </w:num>
  <w:num w:numId="36">
    <w:abstractNumId w:val="16"/>
  </w:num>
  <w:num w:numId="37">
    <w:abstractNumId w:val="0"/>
  </w:num>
  <w:num w:numId="38">
    <w:abstractNumId w:val="2"/>
  </w:num>
  <w:num w:numId="39">
    <w:abstractNumId w:val="43"/>
  </w:num>
  <w:num w:numId="40">
    <w:abstractNumId w:val="9"/>
  </w:num>
  <w:num w:numId="41">
    <w:abstractNumId w:val="7"/>
  </w:num>
  <w:num w:numId="42">
    <w:abstractNumId w:val="20"/>
  </w:num>
  <w:num w:numId="43">
    <w:abstractNumId w:val="38"/>
  </w:num>
  <w:num w:numId="44">
    <w:abstractNumId w:val="35"/>
  </w:num>
  <w:num w:numId="45">
    <w:abstractNumId w:val="36"/>
  </w:num>
  <w:num w:numId="46">
    <w:abstractNumId w:val="14"/>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0E2C"/>
    <w:rsid w:val="00003E9B"/>
    <w:rsid w:val="00007312"/>
    <w:rsid w:val="00011A36"/>
    <w:rsid w:val="000317F2"/>
    <w:rsid w:val="00047606"/>
    <w:rsid w:val="00055F87"/>
    <w:rsid w:val="000600FB"/>
    <w:rsid w:val="00064D35"/>
    <w:rsid w:val="00065623"/>
    <w:rsid w:val="000756B9"/>
    <w:rsid w:val="00092A7D"/>
    <w:rsid w:val="000956C5"/>
    <w:rsid w:val="00096B67"/>
    <w:rsid w:val="00096DAF"/>
    <w:rsid w:val="000C2F47"/>
    <w:rsid w:val="000C6C3E"/>
    <w:rsid w:val="000D2B9A"/>
    <w:rsid w:val="000D6C00"/>
    <w:rsid w:val="000E4E04"/>
    <w:rsid w:val="000E7D7A"/>
    <w:rsid w:val="000F14B4"/>
    <w:rsid w:val="000F75DF"/>
    <w:rsid w:val="001023DC"/>
    <w:rsid w:val="001039F4"/>
    <w:rsid w:val="00103E2E"/>
    <w:rsid w:val="00117924"/>
    <w:rsid w:val="00124A34"/>
    <w:rsid w:val="0012513D"/>
    <w:rsid w:val="0013162E"/>
    <w:rsid w:val="001328FA"/>
    <w:rsid w:val="00133EEF"/>
    <w:rsid w:val="0013770D"/>
    <w:rsid w:val="00137B47"/>
    <w:rsid w:val="00147AAF"/>
    <w:rsid w:val="001552C0"/>
    <w:rsid w:val="001640B1"/>
    <w:rsid w:val="0016733C"/>
    <w:rsid w:val="00180A90"/>
    <w:rsid w:val="00183141"/>
    <w:rsid w:val="0018435E"/>
    <w:rsid w:val="00186810"/>
    <w:rsid w:val="0019269D"/>
    <w:rsid w:val="001A648D"/>
    <w:rsid w:val="001B06D1"/>
    <w:rsid w:val="001B09B7"/>
    <w:rsid w:val="001B4E4D"/>
    <w:rsid w:val="001C726B"/>
    <w:rsid w:val="001D15EC"/>
    <w:rsid w:val="001D22DA"/>
    <w:rsid w:val="002041A1"/>
    <w:rsid w:val="002054F0"/>
    <w:rsid w:val="00221AF6"/>
    <w:rsid w:val="00230B74"/>
    <w:rsid w:val="00230D6B"/>
    <w:rsid w:val="002313C0"/>
    <w:rsid w:val="00232068"/>
    <w:rsid w:val="002330F2"/>
    <w:rsid w:val="002347FB"/>
    <w:rsid w:val="00243D9E"/>
    <w:rsid w:val="00253B66"/>
    <w:rsid w:val="00256B21"/>
    <w:rsid w:val="00257380"/>
    <w:rsid w:val="00261DF1"/>
    <w:rsid w:val="002649D8"/>
    <w:rsid w:val="00264DB9"/>
    <w:rsid w:val="00271F18"/>
    <w:rsid w:val="00271F1F"/>
    <w:rsid w:val="00275081"/>
    <w:rsid w:val="002755DC"/>
    <w:rsid w:val="0028067C"/>
    <w:rsid w:val="00282779"/>
    <w:rsid w:val="0028334D"/>
    <w:rsid w:val="00294622"/>
    <w:rsid w:val="002A07F1"/>
    <w:rsid w:val="002A3F60"/>
    <w:rsid w:val="002A5239"/>
    <w:rsid w:val="002B09EF"/>
    <w:rsid w:val="002B77DF"/>
    <w:rsid w:val="002B7FFA"/>
    <w:rsid w:val="002C0B95"/>
    <w:rsid w:val="002C2BCF"/>
    <w:rsid w:val="002D67F4"/>
    <w:rsid w:val="002E328F"/>
    <w:rsid w:val="002E6B5A"/>
    <w:rsid w:val="002F279D"/>
    <w:rsid w:val="002F2E1B"/>
    <w:rsid w:val="002F43B8"/>
    <w:rsid w:val="002F60E6"/>
    <w:rsid w:val="003050B1"/>
    <w:rsid w:val="00336856"/>
    <w:rsid w:val="0034554D"/>
    <w:rsid w:val="00352224"/>
    <w:rsid w:val="003533B8"/>
    <w:rsid w:val="003671E6"/>
    <w:rsid w:val="00384272"/>
    <w:rsid w:val="00385D6A"/>
    <w:rsid w:val="00386D67"/>
    <w:rsid w:val="00392B87"/>
    <w:rsid w:val="003945B8"/>
    <w:rsid w:val="003B6057"/>
    <w:rsid w:val="003B6F0E"/>
    <w:rsid w:val="003C546E"/>
    <w:rsid w:val="003D33CC"/>
    <w:rsid w:val="003D7F29"/>
    <w:rsid w:val="003E1C61"/>
    <w:rsid w:val="003F1004"/>
    <w:rsid w:val="003F4820"/>
    <w:rsid w:val="0040447A"/>
    <w:rsid w:val="00405A6B"/>
    <w:rsid w:val="00406E11"/>
    <w:rsid w:val="00407B1F"/>
    <w:rsid w:val="0041184F"/>
    <w:rsid w:val="00414C57"/>
    <w:rsid w:val="0041758C"/>
    <w:rsid w:val="00421220"/>
    <w:rsid w:val="00432C46"/>
    <w:rsid w:val="00435F1A"/>
    <w:rsid w:val="00451B43"/>
    <w:rsid w:val="00453148"/>
    <w:rsid w:val="004539DE"/>
    <w:rsid w:val="00470F12"/>
    <w:rsid w:val="00476700"/>
    <w:rsid w:val="00482A03"/>
    <w:rsid w:val="0048393F"/>
    <w:rsid w:val="00492A3A"/>
    <w:rsid w:val="004A2CF1"/>
    <w:rsid w:val="004A3652"/>
    <w:rsid w:val="004C3035"/>
    <w:rsid w:val="004C307F"/>
    <w:rsid w:val="004C3679"/>
    <w:rsid w:val="004C51F5"/>
    <w:rsid w:val="004D0079"/>
    <w:rsid w:val="004D4FA5"/>
    <w:rsid w:val="004E4BA8"/>
    <w:rsid w:val="004E5F31"/>
    <w:rsid w:val="004F340F"/>
    <w:rsid w:val="004F7B7C"/>
    <w:rsid w:val="0052243D"/>
    <w:rsid w:val="00532435"/>
    <w:rsid w:val="00545038"/>
    <w:rsid w:val="00550354"/>
    <w:rsid w:val="005674FD"/>
    <w:rsid w:val="0057033B"/>
    <w:rsid w:val="005707B1"/>
    <w:rsid w:val="00570C84"/>
    <w:rsid w:val="00571236"/>
    <w:rsid w:val="0057430F"/>
    <w:rsid w:val="005759C3"/>
    <w:rsid w:val="005806AF"/>
    <w:rsid w:val="005861DA"/>
    <w:rsid w:val="005953A1"/>
    <w:rsid w:val="005A1C8D"/>
    <w:rsid w:val="005A4362"/>
    <w:rsid w:val="005A4A4F"/>
    <w:rsid w:val="005B5434"/>
    <w:rsid w:val="005B647F"/>
    <w:rsid w:val="005C1281"/>
    <w:rsid w:val="005C4768"/>
    <w:rsid w:val="005C65A3"/>
    <w:rsid w:val="005D0332"/>
    <w:rsid w:val="005D0BE8"/>
    <w:rsid w:val="005D0D8C"/>
    <w:rsid w:val="005D1E4F"/>
    <w:rsid w:val="005D2C3B"/>
    <w:rsid w:val="005E0D94"/>
    <w:rsid w:val="005F4BDB"/>
    <w:rsid w:val="005F6E5C"/>
    <w:rsid w:val="006119D9"/>
    <w:rsid w:val="0061729C"/>
    <w:rsid w:val="006237E5"/>
    <w:rsid w:val="00623A99"/>
    <w:rsid w:val="00634176"/>
    <w:rsid w:val="00647FF7"/>
    <w:rsid w:val="006503A8"/>
    <w:rsid w:val="006570C2"/>
    <w:rsid w:val="006776AE"/>
    <w:rsid w:val="006966F0"/>
    <w:rsid w:val="00696B26"/>
    <w:rsid w:val="006A0D97"/>
    <w:rsid w:val="006A46F4"/>
    <w:rsid w:val="006B1F86"/>
    <w:rsid w:val="006C0A91"/>
    <w:rsid w:val="006C30D7"/>
    <w:rsid w:val="006E1202"/>
    <w:rsid w:val="006F0530"/>
    <w:rsid w:val="006F6129"/>
    <w:rsid w:val="00703BB1"/>
    <w:rsid w:val="007054BB"/>
    <w:rsid w:val="00707064"/>
    <w:rsid w:val="00710CC1"/>
    <w:rsid w:val="00730683"/>
    <w:rsid w:val="0073516A"/>
    <w:rsid w:val="007356E3"/>
    <w:rsid w:val="007513D7"/>
    <w:rsid w:val="00752446"/>
    <w:rsid w:val="0075261F"/>
    <w:rsid w:val="0075468E"/>
    <w:rsid w:val="00755750"/>
    <w:rsid w:val="007564FB"/>
    <w:rsid w:val="007665D8"/>
    <w:rsid w:val="00766E36"/>
    <w:rsid w:val="007670AA"/>
    <w:rsid w:val="00773335"/>
    <w:rsid w:val="007765F4"/>
    <w:rsid w:val="00776633"/>
    <w:rsid w:val="00780A2E"/>
    <w:rsid w:val="00781710"/>
    <w:rsid w:val="00784D53"/>
    <w:rsid w:val="00787A1F"/>
    <w:rsid w:val="00787B32"/>
    <w:rsid w:val="00797797"/>
    <w:rsid w:val="007A426A"/>
    <w:rsid w:val="007A63C9"/>
    <w:rsid w:val="007B1370"/>
    <w:rsid w:val="007B32D1"/>
    <w:rsid w:val="007B7095"/>
    <w:rsid w:val="007C140B"/>
    <w:rsid w:val="007C247F"/>
    <w:rsid w:val="007D24E1"/>
    <w:rsid w:val="007D3FB8"/>
    <w:rsid w:val="007D6288"/>
    <w:rsid w:val="007F4CE9"/>
    <w:rsid w:val="007F4E20"/>
    <w:rsid w:val="00807518"/>
    <w:rsid w:val="00816546"/>
    <w:rsid w:val="00821E71"/>
    <w:rsid w:val="00822C7E"/>
    <w:rsid w:val="00825641"/>
    <w:rsid w:val="00830BAF"/>
    <w:rsid w:val="00847060"/>
    <w:rsid w:val="00847A36"/>
    <w:rsid w:val="00854AA3"/>
    <w:rsid w:val="00856467"/>
    <w:rsid w:val="00856A33"/>
    <w:rsid w:val="008720F2"/>
    <w:rsid w:val="00883736"/>
    <w:rsid w:val="00886788"/>
    <w:rsid w:val="008914D5"/>
    <w:rsid w:val="00892620"/>
    <w:rsid w:val="00895EAD"/>
    <w:rsid w:val="008B15BB"/>
    <w:rsid w:val="008C6996"/>
    <w:rsid w:val="008C7D37"/>
    <w:rsid w:val="008D1A4B"/>
    <w:rsid w:val="008D5885"/>
    <w:rsid w:val="008E029C"/>
    <w:rsid w:val="008E17AF"/>
    <w:rsid w:val="00914927"/>
    <w:rsid w:val="00916653"/>
    <w:rsid w:val="00923FA2"/>
    <w:rsid w:val="00933A8E"/>
    <w:rsid w:val="0093776D"/>
    <w:rsid w:val="0094043A"/>
    <w:rsid w:val="0096060D"/>
    <w:rsid w:val="00974A50"/>
    <w:rsid w:val="0097585A"/>
    <w:rsid w:val="00980C81"/>
    <w:rsid w:val="009873CD"/>
    <w:rsid w:val="009924B0"/>
    <w:rsid w:val="009942C9"/>
    <w:rsid w:val="009A59AE"/>
    <w:rsid w:val="009B35C4"/>
    <w:rsid w:val="009C630A"/>
    <w:rsid w:val="009E0D98"/>
    <w:rsid w:val="00A068A1"/>
    <w:rsid w:val="00A0729D"/>
    <w:rsid w:val="00A1207D"/>
    <w:rsid w:val="00A12FD8"/>
    <w:rsid w:val="00A26DB1"/>
    <w:rsid w:val="00A346FC"/>
    <w:rsid w:val="00A46D77"/>
    <w:rsid w:val="00A5131C"/>
    <w:rsid w:val="00A67D53"/>
    <w:rsid w:val="00A846F2"/>
    <w:rsid w:val="00A84F93"/>
    <w:rsid w:val="00A8567D"/>
    <w:rsid w:val="00A876EA"/>
    <w:rsid w:val="00AB1AC5"/>
    <w:rsid w:val="00AB3BFC"/>
    <w:rsid w:val="00AC0093"/>
    <w:rsid w:val="00AC4F2E"/>
    <w:rsid w:val="00AC721D"/>
    <w:rsid w:val="00AD0C37"/>
    <w:rsid w:val="00AD385F"/>
    <w:rsid w:val="00AD404A"/>
    <w:rsid w:val="00AE6E2A"/>
    <w:rsid w:val="00B03EAB"/>
    <w:rsid w:val="00B07097"/>
    <w:rsid w:val="00B125EB"/>
    <w:rsid w:val="00B12C0E"/>
    <w:rsid w:val="00B14E4A"/>
    <w:rsid w:val="00B31E9C"/>
    <w:rsid w:val="00B32801"/>
    <w:rsid w:val="00B32CDA"/>
    <w:rsid w:val="00B3321D"/>
    <w:rsid w:val="00B35595"/>
    <w:rsid w:val="00B51C6D"/>
    <w:rsid w:val="00B6238E"/>
    <w:rsid w:val="00B67497"/>
    <w:rsid w:val="00B72600"/>
    <w:rsid w:val="00B83DD2"/>
    <w:rsid w:val="00B86D64"/>
    <w:rsid w:val="00B876B7"/>
    <w:rsid w:val="00B95A0E"/>
    <w:rsid w:val="00BA085F"/>
    <w:rsid w:val="00BA1C38"/>
    <w:rsid w:val="00BA3BE5"/>
    <w:rsid w:val="00BA4AC5"/>
    <w:rsid w:val="00BC1364"/>
    <w:rsid w:val="00BC2667"/>
    <w:rsid w:val="00BC34BF"/>
    <w:rsid w:val="00BC7DE9"/>
    <w:rsid w:val="00BD53D2"/>
    <w:rsid w:val="00BE2BF4"/>
    <w:rsid w:val="00BF3954"/>
    <w:rsid w:val="00BF479B"/>
    <w:rsid w:val="00C02577"/>
    <w:rsid w:val="00C05E93"/>
    <w:rsid w:val="00C13DD5"/>
    <w:rsid w:val="00C204FB"/>
    <w:rsid w:val="00C20BEE"/>
    <w:rsid w:val="00C2158D"/>
    <w:rsid w:val="00C22753"/>
    <w:rsid w:val="00C3219E"/>
    <w:rsid w:val="00C324C9"/>
    <w:rsid w:val="00C3426F"/>
    <w:rsid w:val="00C639A7"/>
    <w:rsid w:val="00C67DD2"/>
    <w:rsid w:val="00C67E29"/>
    <w:rsid w:val="00C725CB"/>
    <w:rsid w:val="00C76F5C"/>
    <w:rsid w:val="00C930EB"/>
    <w:rsid w:val="00C96BAD"/>
    <w:rsid w:val="00CA6944"/>
    <w:rsid w:val="00CB0F8E"/>
    <w:rsid w:val="00CB7E7D"/>
    <w:rsid w:val="00CC2911"/>
    <w:rsid w:val="00CD38DE"/>
    <w:rsid w:val="00CD431D"/>
    <w:rsid w:val="00CE3BF9"/>
    <w:rsid w:val="00CE521F"/>
    <w:rsid w:val="00CF0C6D"/>
    <w:rsid w:val="00CF7307"/>
    <w:rsid w:val="00CF7C68"/>
    <w:rsid w:val="00D05A1E"/>
    <w:rsid w:val="00D124FA"/>
    <w:rsid w:val="00D340DE"/>
    <w:rsid w:val="00D3537C"/>
    <w:rsid w:val="00D408FD"/>
    <w:rsid w:val="00D434B4"/>
    <w:rsid w:val="00D43819"/>
    <w:rsid w:val="00D44A66"/>
    <w:rsid w:val="00D55723"/>
    <w:rsid w:val="00D576B7"/>
    <w:rsid w:val="00D62FAD"/>
    <w:rsid w:val="00D631D6"/>
    <w:rsid w:val="00D64355"/>
    <w:rsid w:val="00D64EE9"/>
    <w:rsid w:val="00D70450"/>
    <w:rsid w:val="00D73E0F"/>
    <w:rsid w:val="00D821D1"/>
    <w:rsid w:val="00D83BFD"/>
    <w:rsid w:val="00D90A38"/>
    <w:rsid w:val="00D97635"/>
    <w:rsid w:val="00D97AD8"/>
    <w:rsid w:val="00DA0515"/>
    <w:rsid w:val="00DA171E"/>
    <w:rsid w:val="00DA56AA"/>
    <w:rsid w:val="00DA7EE8"/>
    <w:rsid w:val="00DB5833"/>
    <w:rsid w:val="00DC3816"/>
    <w:rsid w:val="00DC6CBA"/>
    <w:rsid w:val="00DD2858"/>
    <w:rsid w:val="00DD323B"/>
    <w:rsid w:val="00DD7372"/>
    <w:rsid w:val="00DE0E3B"/>
    <w:rsid w:val="00E016BC"/>
    <w:rsid w:val="00E03E33"/>
    <w:rsid w:val="00E049FD"/>
    <w:rsid w:val="00E059E0"/>
    <w:rsid w:val="00E20760"/>
    <w:rsid w:val="00E31231"/>
    <w:rsid w:val="00E35489"/>
    <w:rsid w:val="00E3642A"/>
    <w:rsid w:val="00E415C4"/>
    <w:rsid w:val="00E420A3"/>
    <w:rsid w:val="00E43E18"/>
    <w:rsid w:val="00E50016"/>
    <w:rsid w:val="00E50375"/>
    <w:rsid w:val="00E50EAA"/>
    <w:rsid w:val="00E5236B"/>
    <w:rsid w:val="00E655A0"/>
    <w:rsid w:val="00E656D6"/>
    <w:rsid w:val="00E66787"/>
    <w:rsid w:val="00E944F8"/>
    <w:rsid w:val="00E9576D"/>
    <w:rsid w:val="00E977EE"/>
    <w:rsid w:val="00EA2F24"/>
    <w:rsid w:val="00EA67A2"/>
    <w:rsid w:val="00EB0B7C"/>
    <w:rsid w:val="00EB630F"/>
    <w:rsid w:val="00EB6B6F"/>
    <w:rsid w:val="00EC4F98"/>
    <w:rsid w:val="00EC5C6F"/>
    <w:rsid w:val="00EC7DF8"/>
    <w:rsid w:val="00EE4051"/>
    <w:rsid w:val="00EE724D"/>
    <w:rsid w:val="00EE7C14"/>
    <w:rsid w:val="00F07539"/>
    <w:rsid w:val="00F12F02"/>
    <w:rsid w:val="00F27D93"/>
    <w:rsid w:val="00F32E0D"/>
    <w:rsid w:val="00F35134"/>
    <w:rsid w:val="00F37B9C"/>
    <w:rsid w:val="00F37DD4"/>
    <w:rsid w:val="00F41812"/>
    <w:rsid w:val="00F50BB1"/>
    <w:rsid w:val="00F61B50"/>
    <w:rsid w:val="00F6295B"/>
    <w:rsid w:val="00F67EBC"/>
    <w:rsid w:val="00F715D1"/>
    <w:rsid w:val="00F72715"/>
    <w:rsid w:val="00F73333"/>
    <w:rsid w:val="00F864C3"/>
    <w:rsid w:val="00F92246"/>
    <w:rsid w:val="00F95D8F"/>
    <w:rsid w:val="00FB350A"/>
    <w:rsid w:val="00FB4C5D"/>
    <w:rsid w:val="00FC1961"/>
    <w:rsid w:val="00FE0957"/>
    <w:rsid w:val="00FE1C3F"/>
    <w:rsid w:val="00FE731D"/>
    <w:rsid w:val="00FF38CD"/>
    <w:rsid w:val="00FF42CB"/>
    <w:rsid w:val="00FF506B"/>
    <w:rsid w:val="00FF67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68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semiHidden/>
    <w:unhideWhenUsed/>
    <w:qFormat/>
    <w:locked/>
    <w:rsid w:val="00E35489"/>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AD404A"/>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locked/>
    <w:rsid w:val="00D434B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E35489"/>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39"/>
    <w:locked/>
    <w:rsid w:val="00E3548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E35489"/>
    <w:rPr>
      <w:rFonts w:eastAsia="Times New Roman"/>
      <w:sz w:val="24"/>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E35489"/>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35489"/>
    <w:rPr>
      <w:rFonts w:ascii="Arial Narrow" w:eastAsia="Times New Roman" w:hAnsi="Arial Narrow" w:cs="Arial"/>
      <w:b/>
      <w:bCs/>
      <w:iCs/>
      <w:sz w:val="20"/>
      <w:szCs w:val="20"/>
      <w:lang w:eastAsia="en-US"/>
    </w:rPr>
  </w:style>
  <w:style w:type="paragraph" w:customStyle="1" w:styleId="TableText">
    <w:name w:val="Table Text"/>
    <w:basedOn w:val="Normal"/>
    <w:link w:val="TableTextChar"/>
    <w:qFormat/>
    <w:rsid w:val="00E35489"/>
    <w:pPr>
      <w:spacing w:before="40" w:after="40"/>
      <w:jc w:val="both"/>
    </w:pPr>
    <w:rPr>
      <w:rFonts w:ascii="Arial Narrow" w:hAnsi="Arial Narrow" w:cs="Tahoma"/>
      <w:sz w:val="20"/>
      <w:szCs w:val="22"/>
      <w:lang w:eastAsia="en-US"/>
    </w:rPr>
  </w:style>
  <w:style w:type="character" w:customStyle="1" w:styleId="TableTextChar">
    <w:name w:val="Table Text Char"/>
    <w:link w:val="TableText"/>
    <w:rsid w:val="00E35489"/>
    <w:rPr>
      <w:rFonts w:ascii="Arial Narrow" w:eastAsia="Times New Roman" w:hAnsi="Arial Narrow" w:cs="Tahoma"/>
      <w:sz w:val="20"/>
      <w:lang w:eastAsia="en-US"/>
    </w:rPr>
  </w:style>
  <w:style w:type="paragraph" w:customStyle="1" w:styleId="Tablenotes">
    <w:name w:val="Tablenotes"/>
    <w:basedOn w:val="Normal"/>
    <w:link w:val="TablenotesChar"/>
    <w:autoRedefine/>
    <w:qFormat/>
    <w:rsid w:val="00C639A7"/>
    <w:pPr>
      <w:widowControl w:val="0"/>
      <w:spacing w:before="60" w:after="240"/>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639A7"/>
    <w:rPr>
      <w:rFonts w:ascii="Arial Narrow" w:eastAsia="Times New Roman" w:hAnsi="Arial Narrow" w:cs="Arial"/>
      <w:snapToGrid w:val="0"/>
      <w:sz w:val="18"/>
      <w:szCs w:val="20"/>
      <w:lang w:eastAsia="en-US"/>
    </w:rPr>
  </w:style>
  <w:style w:type="character" w:customStyle="1" w:styleId="Heading3Char">
    <w:name w:val="Heading 3 Char"/>
    <w:basedOn w:val="DefaultParagraphFont"/>
    <w:link w:val="Heading3"/>
    <w:semiHidden/>
    <w:rsid w:val="00AD404A"/>
    <w:rPr>
      <w:rFonts w:asciiTheme="majorHAnsi" w:eastAsiaTheme="majorEastAsia" w:hAnsiTheme="majorHAnsi" w:cstheme="majorBidi"/>
      <w:color w:val="243F60" w:themeColor="accent1" w:themeShade="7F"/>
      <w:sz w:val="24"/>
      <w:szCs w:val="24"/>
    </w:rPr>
  </w:style>
  <w:style w:type="paragraph" w:customStyle="1" w:styleId="TableHeading">
    <w:name w:val="TableHeading"/>
    <w:basedOn w:val="Normal"/>
    <w:link w:val="TableHeadingChar"/>
    <w:qFormat/>
    <w:rsid w:val="00AD404A"/>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AD404A"/>
    <w:rPr>
      <w:rFonts w:ascii="Arial Narrow" w:eastAsia="Times New Roman" w:hAnsi="Arial Narrow" w:cs="Tahoma"/>
      <w:b/>
      <w:noProof/>
      <w:sz w:val="20"/>
      <w:szCs w:val="20"/>
    </w:rPr>
  </w:style>
  <w:style w:type="table" w:customStyle="1" w:styleId="TableGrid1">
    <w:name w:val="Table Grid1"/>
    <w:basedOn w:val="TableNormal"/>
    <w:next w:val="TableGrid"/>
    <w:rsid w:val="00DC381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notes1">
    <w:name w:val="Tablenotes 1"/>
    <w:basedOn w:val="Normal"/>
    <w:link w:val="Tablenotes1Char"/>
    <w:qFormat/>
    <w:rsid w:val="00CE521F"/>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CE521F"/>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qFormat/>
    <w:rsid w:val="003B6057"/>
    <w:pPr>
      <w:keepLines/>
      <w:spacing w:before="40" w:after="40"/>
    </w:pPr>
    <w:rPr>
      <w:rFonts w:ascii="Arial Narrow" w:hAnsi="Arial Narrow" w:cs="Tahoma"/>
      <w:sz w:val="20"/>
    </w:rPr>
  </w:style>
  <w:style w:type="character" w:customStyle="1" w:styleId="TabletextChar0">
    <w:name w:val="Table text Char"/>
    <w:link w:val="Tabletext0"/>
    <w:rsid w:val="003B6057"/>
    <w:rPr>
      <w:rFonts w:ascii="Arial Narrow" w:eastAsia="Times New Roman" w:hAnsi="Arial Narrow" w:cs="Tahoma"/>
      <w:sz w:val="20"/>
      <w:szCs w:val="20"/>
    </w:rPr>
  </w:style>
  <w:style w:type="table" w:customStyle="1" w:styleId="TableGrid2">
    <w:name w:val="Table Grid2"/>
    <w:basedOn w:val="TableNormal"/>
    <w:next w:val="TableGrid"/>
    <w:uiPriority w:val="39"/>
    <w:rsid w:val="003B6057"/>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5A1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59C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434B4"/>
    <w:rPr>
      <w:rFonts w:asciiTheme="majorHAnsi" w:eastAsiaTheme="majorEastAsia" w:hAnsiTheme="majorHAnsi" w:cstheme="majorBidi"/>
      <w:i/>
      <w:iCs/>
      <w:color w:val="365F91" w:themeColor="accent1" w:themeShade="BF"/>
      <w:sz w:val="24"/>
      <w:szCs w:val="20"/>
    </w:rPr>
  </w:style>
  <w:style w:type="paragraph" w:customStyle="1" w:styleId="Summaryboxtext">
    <w:name w:val="Summary box text"/>
    <w:basedOn w:val="Normal"/>
    <w:rsid w:val="00435F1A"/>
    <w:pPr>
      <w:spacing w:after="100" w:afterAutospacing="1" w:line="312" w:lineRule="auto"/>
      <w:jc w:val="both"/>
    </w:pPr>
    <w:rPr>
      <w:rFonts w:ascii="Arial Narrow" w:hAnsi="Arial Narrow"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Visio_Drawing3311111.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Visio_Drawing4422222.vsdx"/><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ECB3D-4B23-4FFE-BA9F-4B4B9B7D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12474</Words>
  <Characters>68667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1531 Final PSD_Mar2019</dc:title>
  <dc:creator/>
  <cp:lastModifiedBy/>
  <cp:revision>1</cp:revision>
  <dcterms:created xsi:type="dcterms:W3CDTF">2020-05-21T03:29:00Z</dcterms:created>
  <dcterms:modified xsi:type="dcterms:W3CDTF">2020-06-18T22:11:00Z</dcterms:modified>
</cp:coreProperties>
</file>