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171F9" w14:textId="77777777" w:rsidR="00E44B80" w:rsidRPr="00F637B3" w:rsidRDefault="00E44B80" w:rsidP="00E44B80">
      <w:pPr>
        <w:jc w:val="center"/>
        <w:rPr>
          <w:b/>
          <w:szCs w:val="20"/>
        </w:rPr>
      </w:pPr>
      <w:bookmarkStart w:id="0" w:name="_GoBack"/>
      <w:bookmarkEnd w:id="0"/>
      <w:r w:rsidRPr="00F637B3">
        <w:rPr>
          <w:b/>
          <w:noProof/>
          <w:szCs w:val="20"/>
          <w:lang w:eastAsia="en-AU"/>
        </w:rPr>
        <w:drawing>
          <wp:inline distT="0" distB="0" distL="0" distR="0" wp14:anchorId="68E46BA2" wp14:editId="1E021C2A">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4FE1D85" w14:textId="77777777" w:rsidR="008B2610" w:rsidRPr="006F20CF" w:rsidRDefault="008B2610" w:rsidP="00F971CC">
      <w:pPr>
        <w:pStyle w:val="Title"/>
        <w:spacing w:before="2600"/>
      </w:pPr>
      <w:r w:rsidRPr="001906CD">
        <w:t>Application Form</w:t>
      </w:r>
    </w:p>
    <w:p w14:paraId="53BF5CC5"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p>
    <w:p w14:paraId="6F56C94E" w14:textId="77777777"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14:paraId="6F75AA12" w14:textId="77777777" w:rsidR="003013A9" w:rsidRPr="00D73646" w:rsidRDefault="003013A9" w:rsidP="00F971CC">
      <w:pPr>
        <w:pStyle w:val="Title"/>
        <w:spacing w:before="240" w:after="2600"/>
        <w:rPr>
          <w:sz w:val="28"/>
          <w:szCs w:val="28"/>
        </w:rPr>
      </w:pPr>
      <w:r w:rsidRPr="00D73646">
        <w:rPr>
          <w:sz w:val="28"/>
          <w:szCs w:val="28"/>
        </w:rPr>
        <w:t xml:space="preserve">(Version </w:t>
      </w:r>
      <w:r w:rsidR="0005089D">
        <w:rPr>
          <w:sz w:val="28"/>
          <w:szCs w:val="28"/>
        </w:rPr>
        <w:t>2.4</w:t>
      </w:r>
      <w:r w:rsidRPr="00D73646">
        <w:rPr>
          <w:sz w:val="28"/>
          <w:szCs w:val="28"/>
        </w:rPr>
        <w:t>)</w:t>
      </w:r>
    </w:p>
    <w:p w14:paraId="100A74BF"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7C2D6EC4"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75FF5BEC"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60765D5A" w14:textId="77777777" w:rsidR="008B2610" w:rsidRPr="00BC455F" w:rsidRDefault="009F5758" w:rsidP="003F7CB9">
      <w:pPr>
        <w:spacing w:before="0" w:after="0"/>
        <w:rPr>
          <w:lang w:val="fr-FR"/>
        </w:rPr>
      </w:pPr>
      <w:r w:rsidRPr="00BC455F">
        <w:rPr>
          <w:lang w:val="fr-FR"/>
        </w:rPr>
        <w:t>Phone</w:t>
      </w:r>
      <w:proofErr w:type="gramStart"/>
      <w:r w:rsidRPr="00BC455F">
        <w:rPr>
          <w:lang w:val="fr-FR"/>
        </w:rPr>
        <w:t>:  +</w:t>
      </w:r>
      <w:proofErr w:type="gramEnd"/>
      <w:r w:rsidRPr="00BC455F">
        <w:rPr>
          <w:lang w:val="fr-FR"/>
        </w:rPr>
        <w:t>61 2 6289 7550</w:t>
      </w:r>
    </w:p>
    <w:p w14:paraId="37E81FD6" w14:textId="77777777" w:rsidR="009F5758" w:rsidRPr="00BC455F" w:rsidRDefault="009F5758" w:rsidP="003F7CB9">
      <w:pPr>
        <w:spacing w:before="0" w:after="0"/>
        <w:rPr>
          <w:lang w:val="fr-FR"/>
        </w:rPr>
      </w:pPr>
      <w:r w:rsidRPr="00BC455F">
        <w:rPr>
          <w:lang w:val="fr-FR"/>
        </w:rPr>
        <w:t>Fax</w:t>
      </w:r>
      <w:proofErr w:type="gramStart"/>
      <w:r w:rsidRPr="00BC455F">
        <w:rPr>
          <w:lang w:val="fr-FR"/>
        </w:rPr>
        <w:t>:  +</w:t>
      </w:r>
      <w:proofErr w:type="gramEnd"/>
      <w:r w:rsidRPr="00BC455F">
        <w:rPr>
          <w:lang w:val="fr-FR"/>
        </w:rPr>
        <w:t>61 2 6289 5540</w:t>
      </w:r>
    </w:p>
    <w:p w14:paraId="5F1A1BEC" w14:textId="77777777" w:rsidR="009F5758" w:rsidRPr="00BC455F" w:rsidRDefault="009F5758" w:rsidP="003F7CB9">
      <w:pPr>
        <w:spacing w:before="0" w:after="0"/>
        <w:rPr>
          <w:lang w:val="fr-FR"/>
        </w:rPr>
      </w:pPr>
      <w:r w:rsidRPr="00BC455F">
        <w:rPr>
          <w:lang w:val="fr-FR"/>
        </w:rPr>
        <w:t>Email</w:t>
      </w:r>
      <w:proofErr w:type="gramStart"/>
      <w:r w:rsidRPr="00BC455F">
        <w:rPr>
          <w:lang w:val="fr-FR"/>
        </w:rPr>
        <w:t xml:space="preserve">:  </w:t>
      </w:r>
      <w:proofErr w:type="gramEnd"/>
      <w:r w:rsidR="00DD37B5">
        <w:fldChar w:fldCharType="begin"/>
      </w:r>
      <w:r w:rsidR="00DD37B5">
        <w:instrText xml:space="preserve"> HYPERLINK "mailto:hta@health.gov.au" \o "click here to email the Department of Health HTA Team" </w:instrText>
      </w:r>
      <w:r w:rsidR="00DD37B5">
        <w:fldChar w:fldCharType="separate"/>
      </w:r>
      <w:r w:rsidRPr="00BC455F">
        <w:rPr>
          <w:rStyle w:val="Hyperlink"/>
          <w:szCs w:val="20"/>
          <w:lang w:val="fr-FR"/>
        </w:rPr>
        <w:t>hta@health.gov.au</w:t>
      </w:r>
      <w:r w:rsidR="00DD37B5">
        <w:rPr>
          <w:rStyle w:val="Hyperlink"/>
          <w:szCs w:val="20"/>
          <w:lang w:val="fr-FR"/>
        </w:rPr>
        <w:fldChar w:fldCharType="end"/>
      </w:r>
    </w:p>
    <w:p w14:paraId="07AE1C02"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3D752216" w14:textId="77777777" w:rsidR="00E04FB3" w:rsidRPr="00C776B1" w:rsidRDefault="00D73646" w:rsidP="00415C74">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51A98A05"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7020CE76" w14:textId="33B02CF2"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3E1FE3">
        <w:t>Novartis Pharmaceuticals Australia</w:t>
      </w:r>
      <w:r w:rsidR="004B225E">
        <w:t xml:space="preserve"> Pty Ltd</w:t>
      </w:r>
    </w:p>
    <w:p w14:paraId="1B54B58D" w14:textId="77777777" w:rsidR="00B83801"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B83801">
        <w:t xml:space="preserve">REDACTED </w:t>
      </w:r>
    </w:p>
    <w:p w14:paraId="7374BE69" w14:textId="19188585"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B83801">
        <w:t>REDACTED</w:t>
      </w:r>
    </w:p>
    <w:p w14:paraId="60B9A8A5" w14:textId="6253D186"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B83801">
        <w:t>REDACTED</w:t>
      </w:r>
    </w:p>
    <w:p w14:paraId="4D87AE5D" w14:textId="77777777" w:rsidR="00C171FB" w:rsidRPr="00C171FB" w:rsidRDefault="00C171FB" w:rsidP="00C171FB"/>
    <w:p w14:paraId="6938F941" w14:textId="5EF17EB1" w:rsidR="00C171FB" w:rsidRPr="00C171FB" w:rsidRDefault="00C171FB" w:rsidP="00C171FB">
      <w:pPr>
        <w:rPr>
          <w:b/>
        </w:rPr>
      </w:pPr>
      <w:r>
        <w:rPr>
          <w:b/>
        </w:rPr>
        <w:t xml:space="preserve">Primary contact name: </w:t>
      </w:r>
      <w:r w:rsidR="00B83801">
        <w:t>REDACTED</w:t>
      </w:r>
    </w:p>
    <w:p w14:paraId="49BF19CA"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434D38CB" w14:textId="2ADCE6BF"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7B5436">
        <w:t xml:space="preserve"> </w:t>
      </w:r>
      <w:r w:rsidR="00B83801">
        <w:t>REDACTED</w:t>
      </w:r>
      <w:r w:rsidR="007B5436">
        <w:t xml:space="preserve"> </w:t>
      </w:r>
    </w:p>
    <w:p w14:paraId="0488987E" w14:textId="78BCC958"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B83801">
        <w:t>REDACTED</w:t>
      </w:r>
      <w:r w:rsidR="00074F81">
        <w:t xml:space="preserve"> </w:t>
      </w:r>
    </w:p>
    <w:p w14:paraId="074EDDF6" w14:textId="768456B3"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B83801">
        <w:t>REDACTED</w:t>
      </w:r>
    </w:p>
    <w:p w14:paraId="77A5E514" w14:textId="77777777" w:rsidR="00C171FB" w:rsidRDefault="00C171FB" w:rsidP="00C171FB">
      <w:pPr>
        <w:rPr>
          <w:b/>
        </w:rPr>
      </w:pPr>
    </w:p>
    <w:p w14:paraId="325231BE" w14:textId="4B846A5B" w:rsidR="00C171FB" w:rsidRPr="00C171FB" w:rsidRDefault="00C171FB" w:rsidP="00C171FB">
      <w:pPr>
        <w:rPr>
          <w:b/>
        </w:rPr>
      </w:pPr>
      <w:r>
        <w:rPr>
          <w:b/>
        </w:rPr>
        <w:t xml:space="preserve">Alternative contact name: </w:t>
      </w:r>
      <w:r w:rsidR="00B83801">
        <w:t>REDACTED</w:t>
      </w:r>
    </w:p>
    <w:p w14:paraId="164B1B12"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5A5A3B3C" w14:textId="05053404"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B83801">
        <w:t>REDACTED</w:t>
      </w:r>
    </w:p>
    <w:p w14:paraId="529F4164" w14:textId="4723D1D1" w:rsidR="00C171FB" w:rsidRPr="0029150C" w:rsidRDefault="00C171FB" w:rsidP="00C171FB">
      <w:pPr>
        <w:pBdr>
          <w:top w:val="single" w:sz="4" w:space="1" w:color="auto"/>
          <w:left w:val="single" w:sz="4" w:space="4" w:color="auto"/>
          <w:bottom w:val="single" w:sz="4" w:space="1" w:color="auto"/>
          <w:right w:val="single" w:sz="4" w:space="4" w:color="auto"/>
        </w:pBdr>
        <w:rPr>
          <w:lang w:val="en-US"/>
        </w:rPr>
      </w:pPr>
      <w:r w:rsidRPr="0029150C">
        <w:rPr>
          <w:lang w:val="en-US"/>
        </w:rPr>
        <w:t>Mobile</w:t>
      </w:r>
      <w:r w:rsidR="00B83801" w:rsidRPr="00B83801">
        <w:t xml:space="preserve"> </w:t>
      </w:r>
      <w:r w:rsidR="00B83801">
        <w:t>REDACTED</w:t>
      </w:r>
    </w:p>
    <w:p w14:paraId="429C75F1" w14:textId="46F506FE" w:rsidR="00C171FB" w:rsidRPr="0029150C" w:rsidRDefault="00C171FB" w:rsidP="00C171FB">
      <w:pPr>
        <w:pBdr>
          <w:top w:val="single" w:sz="4" w:space="1" w:color="auto"/>
          <w:left w:val="single" w:sz="4" w:space="4" w:color="auto"/>
          <w:bottom w:val="single" w:sz="4" w:space="1" w:color="auto"/>
          <w:right w:val="single" w:sz="4" w:space="4" w:color="auto"/>
        </w:pBdr>
        <w:rPr>
          <w:lang w:val="en-US"/>
        </w:rPr>
      </w:pPr>
      <w:r w:rsidRPr="0029150C">
        <w:rPr>
          <w:lang w:val="en-US"/>
        </w:rPr>
        <w:t xml:space="preserve">Email: </w:t>
      </w:r>
      <w:r w:rsidR="00B83801">
        <w:t>REDACTED</w:t>
      </w:r>
    </w:p>
    <w:p w14:paraId="07656583" w14:textId="77777777" w:rsidR="00C171FB" w:rsidRPr="0029150C" w:rsidRDefault="00C171FB" w:rsidP="00C171FB">
      <w:pPr>
        <w:rPr>
          <w:lang w:val="en-US"/>
        </w:rPr>
      </w:pPr>
    </w:p>
    <w:p w14:paraId="57F40697" w14:textId="77777777" w:rsidR="00534C5F" w:rsidRPr="00154B00" w:rsidRDefault="00494011" w:rsidP="004A0BF4">
      <w:pPr>
        <w:pStyle w:val="Heading2"/>
      </w:pPr>
      <w:r>
        <w:t xml:space="preserve">(a) </w:t>
      </w:r>
      <w:r w:rsidR="00534C5F">
        <w:t>Are you a lobbyist acting on behalf of an Applicant?</w:t>
      </w:r>
    </w:p>
    <w:p w14:paraId="47ADAAF1"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D1786">
        <w:rPr>
          <w:szCs w:val="20"/>
        </w:rPr>
      </w:r>
      <w:r w:rsidR="000D1786">
        <w:rPr>
          <w:szCs w:val="20"/>
        </w:rPr>
        <w:fldChar w:fldCharType="separate"/>
      </w:r>
      <w:r w:rsidRPr="00753C44">
        <w:rPr>
          <w:szCs w:val="20"/>
        </w:rPr>
        <w:fldChar w:fldCharType="end"/>
      </w:r>
      <w:r>
        <w:rPr>
          <w:szCs w:val="20"/>
        </w:rPr>
        <w:t xml:space="preserve"> Yes</w:t>
      </w:r>
    </w:p>
    <w:p w14:paraId="6C83C274" w14:textId="77777777" w:rsidR="00A6491A" w:rsidRPr="00753C44" w:rsidRDefault="003E1FE3"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0D1786">
        <w:rPr>
          <w:szCs w:val="20"/>
        </w:rPr>
      </w:r>
      <w:r w:rsidR="000D1786">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15C7D35B"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2E03FD3C"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D1786">
        <w:rPr>
          <w:szCs w:val="20"/>
        </w:rPr>
      </w:r>
      <w:r w:rsidR="000D1786">
        <w:rPr>
          <w:szCs w:val="20"/>
        </w:rPr>
        <w:fldChar w:fldCharType="separate"/>
      </w:r>
      <w:r w:rsidRPr="00753C44">
        <w:rPr>
          <w:szCs w:val="20"/>
        </w:rPr>
        <w:fldChar w:fldCharType="end"/>
      </w:r>
      <w:r>
        <w:rPr>
          <w:szCs w:val="20"/>
        </w:rPr>
        <w:t xml:space="preserve"> Yes</w:t>
      </w:r>
    </w:p>
    <w:p w14:paraId="6A16C2F5"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D1786">
        <w:rPr>
          <w:szCs w:val="20"/>
        </w:rPr>
      </w:r>
      <w:r w:rsidR="000D1786">
        <w:rPr>
          <w:szCs w:val="20"/>
        </w:rPr>
        <w:fldChar w:fldCharType="separate"/>
      </w:r>
      <w:r w:rsidRPr="00753C44">
        <w:rPr>
          <w:szCs w:val="20"/>
        </w:rPr>
        <w:fldChar w:fldCharType="end"/>
      </w:r>
      <w:r>
        <w:rPr>
          <w:szCs w:val="20"/>
        </w:rPr>
        <w:t xml:space="preserve"> No</w:t>
      </w:r>
      <w:r w:rsidRPr="00753C44">
        <w:rPr>
          <w:szCs w:val="20"/>
        </w:rPr>
        <w:t xml:space="preserve">  </w:t>
      </w:r>
    </w:p>
    <w:p w14:paraId="06421AE2" w14:textId="77777777" w:rsidR="00E04FB3" w:rsidRDefault="00E04FB3" w:rsidP="005C333E">
      <w:pPr>
        <w:spacing w:before="0" w:after="0"/>
        <w:ind w:left="426"/>
        <w:rPr>
          <w:b/>
          <w:szCs w:val="20"/>
        </w:rPr>
      </w:pPr>
      <w:r w:rsidRPr="00154B00">
        <w:rPr>
          <w:b/>
          <w:szCs w:val="20"/>
        </w:rPr>
        <w:br w:type="page"/>
      </w:r>
    </w:p>
    <w:p w14:paraId="310DF677"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7FB50D11" w14:textId="77777777" w:rsidR="000B3CD0" w:rsidRDefault="000B3CD0" w:rsidP="00730C04">
      <w:pPr>
        <w:pStyle w:val="Heading2"/>
      </w:pPr>
      <w:r w:rsidRPr="00154B00">
        <w:t>Application title</w:t>
      </w:r>
      <w:r w:rsidR="00A8732C">
        <w:t xml:space="preserve"> </w:t>
      </w:r>
    </w:p>
    <w:p w14:paraId="5FC33D36" w14:textId="77777777" w:rsidR="009056C5" w:rsidRPr="009056C5" w:rsidRDefault="008A152A" w:rsidP="00A6491A">
      <w:pPr>
        <w:ind w:left="284"/>
      </w:pPr>
      <w:r>
        <w:fldChar w:fldCharType="begin">
          <w:ffData>
            <w:name w:val="Text2"/>
            <w:enabled/>
            <w:calcOnExit w:val="0"/>
            <w:textInput>
              <w:default w:val="Tisagenlecleucel (CTL019) for treatment of refractory CD19-positive leukaemia and lymphoma"/>
            </w:textInput>
          </w:ffData>
        </w:fldChar>
      </w:r>
      <w:bookmarkStart w:id="3" w:name="Text2"/>
      <w:r>
        <w:instrText xml:space="preserve"> FORMTEXT </w:instrText>
      </w:r>
      <w:r>
        <w:fldChar w:fldCharType="separate"/>
      </w:r>
      <w:r>
        <w:rPr>
          <w:noProof/>
        </w:rPr>
        <w:t>Tisagenlecleucel (CTL019) for treatment of refractory CD19-positive leukaemia and lymphoma</w:t>
      </w:r>
      <w:r>
        <w:fldChar w:fldCharType="end"/>
      </w:r>
      <w:bookmarkEnd w:id="3"/>
    </w:p>
    <w:p w14:paraId="60101A28"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64C84CB1" w14:textId="77777777" w:rsidR="002C3345" w:rsidRPr="009056C5" w:rsidRDefault="008A1560" w:rsidP="00A6491A">
      <w:pPr>
        <w:ind w:left="284"/>
      </w:pPr>
      <w:r>
        <w:fldChar w:fldCharType="begin">
          <w:ffData>
            <w:name w:val=""/>
            <w:enabled/>
            <w:calcOnExit w:val="0"/>
            <w:textInput>
              <w:default w:val="Acute lymphoblastic leukaemia (ALL) is the malignant proliferation of lymphoid progenitor cells in the bone marrow.  Diffuse large B-cell lymphoma (DLBCL) is an aggressive and common subtype of Non-Hodgkin lymphoma (NHL)"/>
            </w:textInput>
          </w:ffData>
        </w:fldChar>
      </w:r>
      <w:r>
        <w:instrText xml:space="preserve"> FORMTEXT </w:instrText>
      </w:r>
      <w:r>
        <w:fldChar w:fldCharType="separate"/>
      </w:r>
      <w:r>
        <w:rPr>
          <w:noProof/>
        </w:rPr>
        <w:t>Acute lymphoblastic leukaemia (ALL) is the malignant proliferation of lymphoid progenitor cells in the bone marrow.  Diffuse large B-cell lymphoma (DLBCL) is an aggressive and common subtype of Non-Hodgkin lymphoma (NHL)</w:t>
      </w:r>
      <w:r>
        <w:fldChar w:fldCharType="end"/>
      </w:r>
    </w:p>
    <w:p w14:paraId="73330C2C"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0866E714" w14:textId="77777777" w:rsidR="00CB12EC" w:rsidRPr="00CB12EC" w:rsidRDefault="007A3C31" w:rsidP="00A6491A">
      <w:pPr>
        <w:ind w:left="284"/>
      </w:pPr>
      <w:r>
        <w:fldChar w:fldCharType="begin">
          <w:ffData>
            <w:name w:val=""/>
            <w:enabled/>
            <w:calcOnExit w:val="0"/>
            <w:textInput>
              <w:default w:val="Tisagenlecleucel is an autologous, murine anti-CD19 chimeric antigen receptor T cell (CAR-T) therapeutic process, involving harvesting, modifying, expanding and re-infusing a patient's own immune T-cells, to target and destroy certain cancerous cells. "/>
            </w:textInput>
          </w:ffData>
        </w:fldChar>
      </w:r>
      <w:r>
        <w:instrText xml:space="preserve"> FORMTEXT </w:instrText>
      </w:r>
      <w:r>
        <w:fldChar w:fldCharType="separate"/>
      </w:r>
      <w:r>
        <w:rPr>
          <w:noProof/>
        </w:rPr>
        <w:t xml:space="preserve">Tisagenlecleucel is an autologous, murine anti-CD19 chimeric antigen receptor T cell (CAR-T) therapeutic process, involving harvesting, modifying, expanding and re-infusing a patient's own immune T-cells, to target and destroy certain cancerous cells. </w:t>
      </w:r>
      <w:r>
        <w:fldChar w:fldCharType="end"/>
      </w:r>
    </w:p>
    <w:p w14:paraId="6EBB9DBD"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2E9F53B2" w14:textId="77777777" w:rsidR="00753C44" w:rsidRDefault="006B6390" w:rsidP="00A6491A">
      <w:pPr>
        <w:spacing w:before="0" w:after="0"/>
        <w:ind w:left="284"/>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D1786">
        <w:rPr>
          <w:szCs w:val="20"/>
        </w:rPr>
      </w:r>
      <w:r w:rsidR="000D1786">
        <w:rPr>
          <w:szCs w:val="20"/>
        </w:rPr>
        <w:fldChar w:fldCharType="separate"/>
      </w:r>
      <w:r w:rsidRPr="00753C44">
        <w:rPr>
          <w:szCs w:val="20"/>
        </w:rPr>
        <w:fldChar w:fldCharType="end"/>
      </w:r>
      <w:r>
        <w:rPr>
          <w:szCs w:val="20"/>
        </w:rPr>
        <w:t xml:space="preserve"> Yes</w:t>
      </w:r>
    </w:p>
    <w:p w14:paraId="315AAD34" w14:textId="77777777" w:rsidR="00753C44" w:rsidRPr="00753C44" w:rsidRDefault="003E1FE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6B6390">
        <w:rPr>
          <w:szCs w:val="20"/>
        </w:rPr>
        <w:t xml:space="preserve"> No</w:t>
      </w:r>
      <w:r w:rsidR="00753C44" w:rsidRPr="00753C44">
        <w:rPr>
          <w:szCs w:val="20"/>
        </w:rPr>
        <w:t xml:space="preserve">  </w:t>
      </w:r>
    </w:p>
    <w:p w14:paraId="7EB3800D"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47445C99"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D1786">
        <w:rPr>
          <w:szCs w:val="20"/>
        </w:rPr>
      </w:r>
      <w:r w:rsidR="000D1786">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24A12663"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D1786">
        <w:rPr>
          <w:szCs w:val="20"/>
        </w:rPr>
      </w:r>
      <w:r w:rsidR="000D1786">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554A5E68"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2114AFB3" w14:textId="77777777" w:rsidR="003D795C" w:rsidRPr="00CB12EC" w:rsidRDefault="00865A28" w:rsidP="00A6491A">
      <w:pPr>
        <w:ind w:left="284"/>
      </w:pPr>
      <w:r>
        <w:fldChar w:fldCharType="begin">
          <w:ffData>
            <w:name w:val=""/>
            <w:enabled/>
            <w:calcOnExit w:val="0"/>
            <w:textInput>
              <w:default w:val="Not applicable"/>
            </w:textInput>
          </w:ffData>
        </w:fldChar>
      </w:r>
      <w:r>
        <w:instrText xml:space="preserve"> FORMTEXT </w:instrText>
      </w:r>
      <w:r>
        <w:fldChar w:fldCharType="separate"/>
      </w:r>
      <w:r>
        <w:rPr>
          <w:noProof/>
        </w:rPr>
        <w:t>Not applicable</w:t>
      </w:r>
      <w:r>
        <w:fldChar w:fldCharType="end"/>
      </w:r>
    </w:p>
    <w:p w14:paraId="31A5196E"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25CD5BA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D1786">
        <w:rPr>
          <w:b/>
          <w:szCs w:val="20"/>
        </w:rPr>
      </w:r>
      <w:r w:rsidR="000D178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242664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D1786">
        <w:rPr>
          <w:b/>
          <w:szCs w:val="20"/>
        </w:rPr>
      </w:r>
      <w:r w:rsidR="000D178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585A32E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D1786">
        <w:rPr>
          <w:b/>
          <w:szCs w:val="20"/>
        </w:rPr>
      </w:r>
      <w:r w:rsidR="000D178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176030A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D1786">
        <w:rPr>
          <w:b/>
          <w:szCs w:val="20"/>
        </w:rPr>
      </w:r>
      <w:r w:rsidR="000D178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60370A8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D1786">
        <w:rPr>
          <w:b/>
          <w:szCs w:val="20"/>
        </w:rPr>
      </w:r>
      <w:r w:rsidR="000D1786">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3A9B95B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D1786">
        <w:rPr>
          <w:b/>
          <w:szCs w:val="20"/>
        </w:rPr>
      </w:r>
      <w:r w:rsidR="000D1786">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7DCA671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D1786">
        <w:rPr>
          <w:b/>
          <w:szCs w:val="20"/>
        </w:rPr>
      </w:r>
      <w:r w:rsidR="000D178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58E0C0C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D1786">
        <w:rPr>
          <w:b/>
          <w:szCs w:val="20"/>
        </w:rPr>
      </w:r>
      <w:r w:rsidR="000D178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14F9457"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D1786">
        <w:rPr>
          <w:b/>
          <w:szCs w:val="20"/>
        </w:rPr>
      </w:r>
      <w:r w:rsidR="000D1786">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24FA9A7C" w14:textId="77777777" w:rsidR="002A270B" w:rsidRPr="00CB12EC" w:rsidRDefault="00865A28" w:rsidP="00A6491A">
      <w:pPr>
        <w:ind w:left="284"/>
      </w:pPr>
      <w:r>
        <w:fldChar w:fldCharType="begin">
          <w:ffData>
            <w:name w:val=""/>
            <w:enabled/>
            <w:calcOnExit w:val="0"/>
            <w:textInput>
              <w:default w:val="Not applicable"/>
            </w:textInput>
          </w:ffData>
        </w:fldChar>
      </w:r>
      <w:r>
        <w:instrText xml:space="preserve"> FORMTEXT </w:instrText>
      </w:r>
      <w:r>
        <w:fldChar w:fldCharType="separate"/>
      </w:r>
      <w:r>
        <w:rPr>
          <w:noProof/>
        </w:rPr>
        <w:t>Not applicable</w:t>
      </w:r>
      <w:r>
        <w:fldChar w:fldCharType="end"/>
      </w:r>
    </w:p>
    <w:p w14:paraId="3D054876"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0EB9A04D" w14:textId="77777777" w:rsidR="00865A28" w:rsidRPr="00CB12EC" w:rsidRDefault="00865A28" w:rsidP="00865A28">
      <w:pPr>
        <w:ind w:left="284"/>
        <w:rPr>
          <w:noProof/>
        </w:rPr>
      </w:pPr>
      <w:r>
        <w:rPr>
          <w:noProof/>
        </w:rPr>
        <w:fldChar w:fldCharType="begin">
          <w:ffData>
            <w:name w:val=""/>
            <w:enabled/>
            <w:calcOnExit w:val="0"/>
            <w:textInput>
              <w:default w:val="Not applicable"/>
            </w:textInput>
          </w:ffData>
        </w:fldChar>
      </w:r>
      <w:r>
        <w:rPr>
          <w:noProof/>
        </w:rPr>
        <w:instrText xml:space="preserve"> FORMTEXT </w:instrText>
      </w:r>
      <w:r>
        <w:rPr>
          <w:noProof/>
        </w:rPr>
      </w:r>
      <w:r>
        <w:rPr>
          <w:noProof/>
        </w:rPr>
        <w:fldChar w:fldCharType="separate"/>
      </w:r>
      <w:r>
        <w:rPr>
          <w:noProof/>
        </w:rPr>
        <w:t>Not applicable</w:t>
      </w:r>
      <w:r>
        <w:rPr>
          <w:noProof/>
        </w:rPr>
        <w:fldChar w:fldCharType="end"/>
      </w:r>
    </w:p>
    <w:p w14:paraId="02475DC1"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06E455F0" w14:textId="77777777" w:rsidR="000A5B32" w:rsidRDefault="003E1FE3" w:rsidP="00A6491A">
      <w:pPr>
        <w:spacing w:before="0" w:after="0"/>
        <w:ind w:left="284"/>
        <w:rPr>
          <w:szCs w:val="20"/>
        </w:rPr>
      </w:pPr>
      <w:r>
        <w:rPr>
          <w:szCs w:val="20"/>
        </w:rPr>
        <w:fldChar w:fldCharType="begin">
          <w:ffData>
            <w:name w:val="Check1"/>
            <w:enabled/>
            <w:calcOnExit w:val="0"/>
            <w:checkBox>
              <w:sizeAuto/>
              <w:default w:val="1"/>
            </w:checkBox>
          </w:ffData>
        </w:fldChar>
      </w:r>
      <w:bookmarkStart w:id="4" w:name="Check1"/>
      <w:r>
        <w:rPr>
          <w:szCs w:val="20"/>
        </w:rPr>
        <w:instrText xml:space="preserve"> FORMCHECKBOX </w:instrText>
      </w:r>
      <w:r w:rsidR="000D1786">
        <w:rPr>
          <w:szCs w:val="20"/>
        </w:rPr>
      </w:r>
      <w:r w:rsidR="000D1786">
        <w:rPr>
          <w:szCs w:val="20"/>
        </w:rPr>
        <w:fldChar w:fldCharType="separate"/>
      </w:r>
      <w:r>
        <w:rPr>
          <w:szCs w:val="20"/>
        </w:rPr>
        <w:fldChar w:fldCharType="end"/>
      </w:r>
      <w:bookmarkEnd w:id="4"/>
      <w:r w:rsidR="000A5B32" w:rsidRPr="000A5B32">
        <w:rPr>
          <w:szCs w:val="20"/>
        </w:rPr>
        <w:t xml:space="preserve"> Yes</w:t>
      </w:r>
    </w:p>
    <w:p w14:paraId="239E1D7C" w14:textId="43ACB876" w:rsidR="00865A28" w:rsidRDefault="000A5B32" w:rsidP="00470AD5">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0D1786">
        <w:rPr>
          <w:szCs w:val="20"/>
        </w:rPr>
      </w:r>
      <w:r w:rsidR="000D1786">
        <w:rPr>
          <w:szCs w:val="20"/>
        </w:rPr>
        <w:fldChar w:fldCharType="separate"/>
      </w:r>
      <w:r w:rsidRPr="000A5B32">
        <w:rPr>
          <w:szCs w:val="20"/>
        </w:rPr>
        <w:fldChar w:fldCharType="end"/>
      </w:r>
      <w:r w:rsidRPr="000A5B32">
        <w:rPr>
          <w:szCs w:val="20"/>
        </w:rPr>
        <w:t xml:space="preserve"> No</w:t>
      </w:r>
    </w:p>
    <w:p w14:paraId="64046BB7" w14:textId="77777777" w:rsidR="00470AD5" w:rsidRDefault="00470AD5">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03DDF066" w14:textId="0EF18EEA"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745C1E11" w14:textId="3F8357C6" w:rsidR="00C54C72" w:rsidRDefault="00DD37B5" w:rsidP="0029150C">
      <w:pPr>
        <w:ind w:left="284"/>
      </w:pPr>
      <w:r>
        <w:t>REDACTED</w:t>
      </w:r>
      <w:r w:rsidR="00D63E4B">
        <w:t xml:space="preserve"> </w:t>
      </w:r>
    </w:p>
    <w:p w14:paraId="0CFA680B" w14:textId="4F5CDFD8" w:rsidR="00F92DA4" w:rsidRDefault="008F529B" w:rsidP="00560568">
      <w:pPr>
        <w:ind w:left="284"/>
      </w:pPr>
      <w:r>
        <w:t xml:space="preserve">Indicatively, this program would have </w:t>
      </w:r>
      <w:r w:rsidR="00F92DA4">
        <w:t>two</w:t>
      </w:r>
      <w:r>
        <w:t xml:space="preserve"> distinct components: </w:t>
      </w:r>
      <w:r w:rsidR="00560568">
        <w:t>t</w:t>
      </w:r>
      <w:r w:rsidR="007731F5">
        <w:t>he first encompassing</w:t>
      </w:r>
      <w:r w:rsidR="00F92DA4">
        <w:t xml:space="preserve"> those aspects of the </w:t>
      </w:r>
      <w:r w:rsidR="007731F5">
        <w:t xml:space="preserve">proposed therapeutic </w:t>
      </w:r>
      <w:r w:rsidR="00F92DA4">
        <w:t xml:space="preserve">process performed entirely within an </w:t>
      </w:r>
      <w:r w:rsidR="00DD37B5">
        <w:t xml:space="preserve">REDACTED </w:t>
      </w:r>
      <w:r w:rsidR="00F92DA4">
        <w:t xml:space="preserve">hospital setting; </w:t>
      </w:r>
      <w:r w:rsidR="00560568">
        <w:t>the</w:t>
      </w:r>
      <w:r w:rsidR="007731F5">
        <w:t xml:space="preserve"> second </w:t>
      </w:r>
      <w:r w:rsidR="00F92DA4">
        <w:t>compris</w:t>
      </w:r>
      <w:r w:rsidR="007731F5">
        <w:t xml:space="preserve">ing </w:t>
      </w:r>
      <w:r w:rsidR="00F92DA4">
        <w:t>the totality of the process of transportation</w:t>
      </w:r>
      <w:r w:rsidR="00107EA9">
        <w:t xml:space="preserve">, manufacturing and quality control of tisagenlecleucel from an individual patient’s T cells, in </w:t>
      </w:r>
      <w:r w:rsidR="00F92DA4">
        <w:t xml:space="preserve">centralised </w:t>
      </w:r>
      <w:r w:rsidR="00A726F1">
        <w:t xml:space="preserve">Novartis </w:t>
      </w:r>
      <w:r w:rsidR="00F92DA4">
        <w:t xml:space="preserve">manufacturing facility.  </w:t>
      </w:r>
    </w:p>
    <w:p w14:paraId="7D7616D4" w14:textId="71E03E0F" w:rsidR="000D1AF4" w:rsidRDefault="008A152A" w:rsidP="007731F5">
      <w:pPr>
        <w:ind w:left="284"/>
      </w:pPr>
      <w:r>
        <w:t xml:space="preserve">While it might be feasible </w:t>
      </w:r>
      <w:r w:rsidR="00560568">
        <w:t xml:space="preserve">to accommodate key elements of the first part </w:t>
      </w:r>
      <w:r w:rsidR="007731F5">
        <w:t xml:space="preserve">of the proposed </w:t>
      </w:r>
      <w:r w:rsidR="00560568">
        <w:t xml:space="preserve">funding </w:t>
      </w:r>
      <w:r w:rsidR="007731F5">
        <w:t>program</w:t>
      </w:r>
      <w:r w:rsidR="00560568">
        <w:t xml:space="preserve"> within existing activity based public hospital funding models</w:t>
      </w:r>
      <w:r w:rsidR="00107EA9">
        <w:t xml:space="preserve"> and arrangements for the supply of PBS medicines in public hospitals</w:t>
      </w:r>
      <w:r>
        <w:t xml:space="preserve">, </w:t>
      </w:r>
      <w:r w:rsidR="00560568">
        <w:t xml:space="preserve">differences between these </w:t>
      </w:r>
      <w:r w:rsidR="00107EA9">
        <w:t xml:space="preserve">nationally </w:t>
      </w:r>
      <w:r w:rsidR="00560568">
        <w:t xml:space="preserve">could potentially lead to inequities in patient access to the tisagenlecleucel therapeutic process.  </w:t>
      </w:r>
    </w:p>
    <w:p w14:paraId="42B9B218" w14:textId="28549D1F" w:rsidR="0029150C" w:rsidRDefault="00DD37B5" w:rsidP="0029150C">
      <w:pPr>
        <w:ind w:left="284"/>
      </w:pPr>
      <w:proofErr w:type="gramStart"/>
      <w:r>
        <w:t>REDACTED.</w:t>
      </w:r>
      <w:proofErr w:type="gramEnd"/>
      <w:r w:rsidR="0073385C">
        <w:t xml:space="preserve"> </w:t>
      </w:r>
      <w:r w:rsidR="0029150C">
        <w:t xml:space="preserve">Novartis understands that as tisagenlecleucel has been designated and will be registered as a class 4 biologic, rather than a drug, current legislation would not permit it to be funded via the Pharmaceutical Benefits Scheme (PBS).  </w:t>
      </w:r>
    </w:p>
    <w:p w14:paraId="39836D67" w14:textId="77777777" w:rsidR="000B3CD0" w:rsidRDefault="000B3CD0" w:rsidP="00730C04">
      <w:pPr>
        <w:pStyle w:val="Heading2"/>
      </w:pPr>
      <w:r w:rsidRPr="00154B00">
        <w:t xml:space="preserve">What is the type of </w:t>
      </w:r>
      <w:proofErr w:type="gramStart"/>
      <w:r w:rsidRPr="00154B00">
        <w:t>service:</w:t>
      </w:r>
      <w:proofErr w:type="gramEnd"/>
    </w:p>
    <w:p w14:paraId="213B275F" w14:textId="77777777" w:rsidR="00F870F1" w:rsidRDefault="00F870F1" w:rsidP="00F870F1">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0D1786">
        <w:rPr>
          <w:b/>
          <w:szCs w:val="20"/>
        </w:rPr>
      </w:r>
      <w:r w:rsidR="000D1786">
        <w:rPr>
          <w:b/>
          <w:szCs w:val="20"/>
        </w:rPr>
        <w:fldChar w:fldCharType="separate"/>
      </w:r>
      <w:r>
        <w:rPr>
          <w:b/>
          <w:szCs w:val="20"/>
        </w:rPr>
        <w:fldChar w:fldCharType="end"/>
      </w:r>
      <w:r w:rsidRPr="0027105F">
        <w:rPr>
          <w:b/>
          <w:szCs w:val="20"/>
        </w:rPr>
        <w:t xml:space="preserve"> </w:t>
      </w:r>
      <w:r>
        <w:t>Hybrid health technology</w:t>
      </w:r>
    </w:p>
    <w:p w14:paraId="756231C3" w14:textId="77777777" w:rsidR="00F870F1" w:rsidRDefault="00F870F1" w:rsidP="00F870F1">
      <w:pPr>
        <w:spacing w:before="0" w:after="0"/>
        <w:ind w:left="284"/>
      </w:pPr>
    </w:p>
    <w:p w14:paraId="531C0644" w14:textId="3A544718" w:rsidR="00F870F1" w:rsidRPr="00A6594E" w:rsidRDefault="00F870F1" w:rsidP="00F870F1">
      <w:pPr>
        <w:spacing w:before="0" w:after="0"/>
        <w:ind w:left="284"/>
      </w:pPr>
      <w:r>
        <w:t>See responses to Part 6 for further information.</w:t>
      </w:r>
    </w:p>
    <w:p w14:paraId="7529456D"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w:t>
      </w:r>
      <w:r w:rsidR="005F6FFF">
        <w:t>:</w:t>
      </w:r>
      <w:r w:rsidRPr="00154B00">
        <w:t xml:space="preserve"> </w:t>
      </w:r>
    </w:p>
    <w:p w14:paraId="4B5967EC" w14:textId="77777777" w:rsidR="00865A28" w:rsidRPr="00CB12EC" w:rsidRDefault="00865A28" w:rsidP="00865A28">
      <w:pPr>
        <w:ind w:left="284"/>
      </w:pPr>
      <w:r>
        <w:fldChar w:fldCharType="begin">
          <w:ffData>
            <w:name w:val=""/>
            <w:enabled/>
            <w:calcOnExit w:val="0"/>
            <w:textInput>
              <w:default w:val="Not applicable"/>
            </w:textInput>
          </w:ffData>
        </w:fldChar>
      </w:r>
      <w:r>
        <w:instrText xml:space="preserve"> FORMTEXT </w:instrText>
      </w:r>
      <w:r>
        <w:fldChar w:fldCharType="separate"/>
      </w:r>
      <w:r>
        <w:rPr>
          <w:noProof/>
        </w:rPr>
        <w:t>Not applicable</w:t>
      </w:r>
      <w:r>
        <w:fldChar w:fldCharType="end"/>
      </w:r>
    </w:p>
    <w:p w14:paraId="3FF4B65B"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2A0490EF" w14:textId="77777777" w:rsidR="00FE16C1" w:rsidRDefault="00A34F60"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0D1786">
        <w:rPr>
          <w:b/>
          <w:szCs w:val="20"/>
        </w:rPr>
      </w:r>
      <w:r w:rsidR="000D1786">
        <w:rPr>
          <w:b/>
          <w:szCs w:val="20"/>
        </w:rPr>
        <w:fldChar w:fldCharType="separate"/>
      </w:r>
      <w:r>
        <w:rPr>
          <w:b/>
          <w:szCs w:val="20"/>
        </w:rPr>
        <w:fldChar w:fldCharType="end"/>
      </w:r>
      <w:r w:rsidR="00FE16C1" w:rsidRPr="0027105F">
        <w:rPr>
          <w:b/>
          <w:szCs w:val="20"/>
        </w:rPr>
        <w:t xml:space="preserve"> </w:t>
      </w:r>
      <w:r w:rsidR="00FE16C1">
        <w:t>Pharmaceutical / Biological</w:t>
      </w:r>
    </w:p>
    <w:p w14:paraId="7E34471F" w14:textId="77777777" w:rsidR="005F1AF8" w:rsidRDefault="005F1AF8" w:rsidP="00A6491A">
      <w:pPr>
        <w:spacing w:before="0" w:after="0"/>
        <w:ind w:left="284"/>
      </w:pPr>
    </w:p>
    <w:p w14:paraId="36996A78" w14:textId="21B535A7" w:rsidR="006B3F8B" w:rsidRDefault="006B3F8B" w:rsidP="00A6491A">
      <w:pPr>
        <w:spacing w:before="0" w:after="0"/>
        <w:ind w:left="284"/>
      </w:pPr>
      <w:r>
        <w:t xml:space="preserve">See </w:t>
      </w:r>
      <w:r w:rsidR="00F870F1">
        <w:t>responses to Part 6 for further information</w:t>
      </w:r>
      <w:r w:rsidR="00470AD5">
        <w:t>.</w:t>
      </w:r>
    </w:p>
    <w:p w14:paraId="36966153" w14:textId="77777777" w:rsidR="000E5439" w:rsidRPr="001E6958" w:rsidRDefault="005F1AF8" w:rsidP="00730C04">
      <w:pPr>
        <w:pStyle w:val="Heading2"/>
      </w:pPr>
      <w:r>
        <w:t xml:space="preserve"> </w:t>
      </w:r>
      <w:r w:rsidR="00530204">
        <w:t xml:space="preserve">(a)  </w:t>
      </w:r>
      <w:r w:rsidR="000E5439" w:rsidRPr="001E6958">
        <w:t>If the proposed service has a pharmaceutical component to it, is it already covered under an existing Pharmaceutical Benefits Scheme (PBS) listing?</w:t>
      </w:r>
    </w:p>
    <w:p w14:paraId="42207DED" w14:textId="4942154E" w:rsidR="00FE16C1" w:rsidRDefault="00F870F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FE16C1" w:rsidRPr="000A5B32">
        <w:rPr>
          <w:szCs w:val="20"/>
        </w:rPr>
        <w:t xml:space="preserve"> Yes</w:t>
      </w:r>
    </w:p>
    <w:p w14:paraId="07383FB6" w14:textId="77777777" w:rsidR="006D2D39" w:rsidRDefault="006D2D39" w:rsidP="00A6491A">
      <w:pPr>
        <w:spacing w:before="0" w:after="0"/>
        <w:ind w:left="284"/>
        <w:rPr>
          <w:szCs w:val="20"/>
        </w:rPr>
      </w:pPr>
    </w:p>
    <w:p w14:paraId="69AB7541" w14:textId="609D8A62" w:rsidR="00E85B02" w:rsidRDefault="006B3F8B" w:rsidP="00A6491A">
      <w:pPr>
        <w:spacing w:before="0" w:after="0"/>
        <w:ind w:left="284"/>
        <w:rPr>
          <w:szCs w:val="20"/>
        </w:rPr>
      </w:pPr>
      <w:r>
        <w:rPr>
          <w:szCs w:val="20"/>
        </w:rPr>
        <w:t xml:space="preserve">Medicines </w:t>
      </w:r>
      <w:r w:rsidR="00107EA9">
        <w:rPr>
          <w:szCs w:val="20"/>
        </w:rPr>
        <w:t xml:space="preserve">likely to be </w:t>
      </w:r>
      <w:r>
        <w:rPr>
          <w:szCs w:val="20"/>
        </w:rPr>
        <w:t xml:space="preserve">used for </w:t>
      </w:r>
      <w:proofErr w:type="spellStart"/>
      <w:r>
        <w:rPr>
          <w:szCs w:val="20"/>
        </w:rPr>
        <w:t>lymphodepleting</w:t>
      </w:r>
      <w:proofErr w:type="spellEnd"/>
      <w:r>
        <w:rPr>
          <w:szCs w:val="20"/>
        </w:rPr>
        <w:t xml:space="preserve"> chemotherapy </w:t>
      </w:r>
      <w:r w:rsidR="00F870F1">
        <w:rPr>
          <w:szCs w:val="20"/>
        </w:rPr>
        <w:t xml:space="preserve">prior to reinfusion of tisagenlecleucel, </w:t>
      </w:r>
      <w:r w:rsidRPr="009554E3">
        <w:rPr>
          <w:szCs w:val="20"/>
        </w:rPr>
        <w:t>including fludarabin</w:t>
      </w:r>
      <w:r w:rsidR="00107EA9" w:rsidRPr="009554E3">
        <w:rPr>
          <w:szCs w:val="20"/>
        </w:rPr>
        <w:t xml:space="preserve">e, cyclophosphamide, </w:t>
      </w:r>
      <w:proofErr w:type="spellStart"/>
      <w:r w:rsidR="00107EA9" w:rsidRPr="009554E3">
        <w:rPr>
          <w:szCs w:val="20"/>
        </w:rPr>
        <w:t>cytarabine</w:t>
      </w:r>
      <w:proofErr w:type="spellEnd"/>
      <w:r w:rsidR="00107EA9" w:rsidRPr="009554E3">
        <w:rPr>
          <w:szCs w:val="20"/>
        </w:rPr>
        <w:t xml:space="preserve">, </w:t>
      </w:r>
      <w:r w:rsidRPr="009554E3">
        <w:rPr>
          <w:szCs w:val="20"/>
        </w:rPr>
        <w:t>etoposide</w:t>
      </w:r>
      <w:r w:rsidR="00107EA9" w:rsidRPr="009554E3">
        <w:rPr>
          <w:szCs w:val="20"/>
        </w:rPr>
        <w:t xml:space="preserve">, or </w:t>
      </w:r>
      <w:proofErr w:type="spellStart"/>
      <w:r w:rsidR="00107EA9" w:rsidRPr="009554E3">
        <w:rPr>
          <w:szCs w:val="20"/>
        </w:rPr>
        <w:t>bendamustine</w:t>
      </w:r>
      <w:proofErr w:type="spellEnd"/>
      <w:r>
        <w:rPr>
          <w:szCs w:val="20"/>
        </w:rPr>
        <w:t xml:space="preserve"> are all </w:t>
      </w:r>
      <w:r w:rsidR="00F870F1">
        <w:rPr>
          <w:szCs w:val="20"/>
        </w:rPr>
        <w:t xml:space="preserve">listed on the </w:t>
      </w:r>
      <w:r>
        <w:rPr>
          <w:szCs w:val="20"/>
        </w:rPr>
        <w:t>PBS, as Section 100 Chemotherapy Items for Public Hospital Use.</w:t>
      </w:r>
    </w:p>
    <w:p w14:paraId="443ECF85" w14:textId="77777777" w:rsidR="00C05AC0" w:rsidRDefault="00C05AC0" w:rsidP="00A6491A">
      <w:pPr>
        <w:spacing w:before="0" w:after="0"/>
        <w:ind w:left="284"/>
        <w:rPr>
          <w:szCs w:val="20"/>
        </w:rPr>
      </w:pPr>
    </w:p>
    <w:p w14:paraId="46942B2A" w14:textId="63961ED3" w:rsidR="00C05AC0" w:rsidRPr="009554E3" w:rsidRDefault="00E61140" w:rsidP="00A6491A">
      <w:pPr>
        <w:spacing w:before="0" w:after="0"/>
        <w:ind w:left="284"/>
        <w:rPr>
          <w:szCs w:val="20"/>
        </w:rPr>
      </w:pPr>
      <w:r w:rsidRPr="009554E3">
        <w:rPr>
          <w:szCs w:val="20"/>
        </w:rPr>
        <w:t>T</w:t>
      </w:r>
      <w:r w:rsidR="00E85B02" w:rsidRPr="009554E3">
        <w:rPr>
          <w:szCs w:val="20"/>
        </w:rPr>
        <w:t>ocilizumab</w:t>
      </w:r>
      <w:r w:rsidRPr="009554E3">
        <w:rPr>
          <w:szCs w:val="20"/>
        </w:rPr>
        <w:t xml:space="preserve">, which is recommended to manage </w:t>
      </w:r>
      <w:r w:rsidR="00C05AC0" w:rsidRPr="009554E3">
        <w:rPr>
          <w:szCs w:val="20"/>
        </w:rPr>
        <w:t xml:space="preserve">severe </w:t>
      </w:r>
      <w:r w:rsidRPr="009554E3">
        <w:rPr>
          <w:szCs w:val="20"/>
        </w:rPr>
        <w:t xml:space="preserve">adverse events of </w:t>
      </w:r>
      <w:r w:rsidR="00E85B02" w:rsidRPr="009554E3">
        <w:rPr>
          <w:szCs w:val="20"/>
        </w:rPr>
        <w:t>cytokine release syndrome (CRS)</w:t>
      </w:r>
      <w:r w:rsidRPr="009554E3">
        <w:rPr>
          <w:szCs w:val="20"/>
        </w:rPr>
        <w:t xml:space="preserve">, </w:t>
      </w:r>
      <w:r w:rsidR="00C05AC0" w:rsidRPr="009554E3">
        <w:rPr>
          <w:szCs w:val="20"/>
        </w:rPr>
        <w:t>sometimes associated with tisagenlecleucel therapy is a</w:t>
      </w:r>
      <w:r w:rsidRPr="009554E3">
        <w:rPr>
          <w:szCs w:val="20"/>
        </w:rPr>
        <w:t xml:space="preserve">lso listed on the PBS, </w:t>
      </w:r>
      <w:r w:rsidR="00C05AC0" w:rsidRPr="009554E3">
        <w:rPr>
          <w:szCs w:val="20"/>
        </w:rPr>
        <w:t>albeit</w:t>
      </w:r>
      <w:r w:rsidRPr="009554E3">
        <w:rPr>
          <w:szCs w:val="20"/>
        </w:rPr>
        <w:t xml:space="preserve"> with an authority required restriction that does not include this </w:t>
      </w:r>
      <w:r w:rsidR="00C05AC0" w:rsidRPr="009554E3">
        <w:rPr>
          <w:szCs w:val="20"/>
        </w:rPr>
        <w:t>indication.</w:t>
      </w:r>
    </w:p>
    <w:p w14:paraId="2A7851B0" w14:textId="77777777" w:rsidR="00C05AC0" w:rsidRPr="009554E3" w:rsidRDefault="00C05AC0" w:rsidP="00A6491A">
      <w:pPr>
        <w:spacing w:before="0" w:after="0"/>
        <w:ind w:left="284"/>
        <w:rPr>
          <w:szCs w:val="20"/>
        </w:rPr>
      </w:pPr>
    </w:p>
    <w:p w14:paraId="2AC1A67F" w14:textId="5B20C4DD" w:rsidR="00E85B02" w:rsidRDefault="00C05AC0" w:rsidP="00A6491A">
      <w:pPr>
        <w:spacing w:before="0" w:after="0"/>
        <w:ind w:left="284"/>
        <w:rPr>
          <w:szCs w:val="20"/>
        </w:rPr>
      </w:pPr>
      <w:r w:rsidRPr="009554E3">
        <w:rPr>
          <w:szCs w:val="20"/>
        </w:rPr>
        <w:t>Intravenous immunoglobulin (IVIG), which is recommended to manage events of B-cell aplasia, that are also sometimes associated with tisagenlecleucel therapy, is currently funded via the National Blood Authority (NBA)</w:t>
      </w:r>
      <w:r w:rsidR="006D2D39" w:rsidRPr="009554E3">
        <w:rPr>
          <w:szCs w:val="20"/>
        </w:rPr>
        <w:t>, although again not specifically for this indication.</w:t>
      </w:r>
    </w:p>
    <w:p w14:paraId="485B7C76" w14:textId="77777777" w:rsidR="00C05AC0" w:rsidRDefault="00C05AC0" w:rsidP="00A6491A">
      <w:pPr>
        <w:spacing w:before="0" w:after="0"/>
        <w:ind w:left="284"/>
        <w:rPr>
          <w:szCs w:val="20"/>
        </w:rPr>
      </w:pPr>
    </w:p>
    <w:p w14:paraId="7EE9D678" w14:textId="0F6A2209" w:rsidR="006D2D39" w:rsidRDefault="00F870F1" w:rsidP="00A6491A">
      <w:pPr>
        <w:spacing w:before="0" w:after="0"/>
        <w:ind w:left="284"/>
        <w:rPr>
          <w:szCs w:val="20"/>
        </w:rPr>
      </w:pPr>
      <w:r w:rsidRPr="00F870F1">
        <w:rPr>
          <w:szCs w:val="20"/>
        </w:rPr>
        <w:t xml:space="preserve">It is </w:t>
      </w:r>
      <w:r>
        <w:rPr>
          <w:szCs w:val="20"/>
        </w:rPr>
        <w:t>Novartis’ understanding that neither tisagenlecleucel itself, nor the broader hybrid health technology, w</w:t>
      </w:r>
      <w:r w:rsidR="00470AD5">
        <w:rPr>
          <w:szCs w:val="20"/>
        </w:rPr>
        <w:t>ould eligible for PBS listing.</w:t>
      </w:r>
    </w:p>
    <w:p w14:paraId="6BD5C45C"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2264692D" w14:textId="71435591" w:rsidR="00107EA9" w:rsidRDefault="006D2D39" w:rsidP="00107EA9">
      <w:pPr>
        <w:spacing w:before="0" w:after="0"/>
        <w:ind w:left="284"/>
      </w:pPr>
      <w:r>
        <w:t>Fludarabine</w:t>
      </w:r>
      <w:proofErr w:type="gramStart"/>
      <w:r>
        <w:t>:</w:t>
      </w:r>
      <w:r w:rsidR="00C94049">
        <w:t>4393F</w:t>
      </w:r>
      <w:proofErr w:type="gramEnd"/>
      <w:r>
        <w:t>; Cyclophosphamide:</w:t>
      </w:r>
      <w:r w:rsidR="00C94049">
        <w:t>4327R</w:t>
      </w:r>
      <w:r>
        <w:t>; Cytarabine:</w:t>
      </w:r>
      <w:r w:rsidR="00C94049" w:rsidRPr="00C94049">
        <w:t>4357H</w:t>
      </w:r>
      <w:r>
        <w:t>; Etoposide:</w:t>
      </w:r>
      <w:r w:rsidR="00C94049">
        <w:t>4228C</w:t>
      </w:r>
      <w:r>
        <w:t>; Bendamustine:</w:t>
      </w:r>
      <w:r w:rsidR="00107EA9">
        <w:t>10760H</w:t>
      </w:r>
    </w:p>
    <w:p w14:paraId="012396D4" w14:textId="478C8C0A" w:rsidR="00F870F1" w:rsidRDefault="00E61140" w:rsidP="00E61140">
      <w:pPr>
        <w:spacing w:before="0" w:after="0"/>
        <w:ind w:left="284"/>
        <w:rPr>
          <w:b/>
          <w:szCs w:val="20"/>
        </w:rPr>
      </w:pPr>
      <w:r>
        <w:t>Tocilizumab: 1056G,1058J,10060L,10064Q,10068X,10071C,10072D,1007</w:t>
      </w:r>
      <w:r w:rsidR="00470AD5">
        <w:t>3E,10077J,10078K,10079L,10081N</w:t>
      </w:r>
    </w:p>
    <w:p w14:paraId="4D5DEE53"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278CBF8B"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D1786">
        <w:rPr>
          <w:szCs w:val="20"/>
        </w:rPr>
      </w:r>
      <w:r w:rsidR="000D1786">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5D9D112F" w14:textId="77777777" w:rsidR="001E6919" w:rsidRDefault="004D4D1F"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1E6919">
        <w:rPr>
          <w:szCs w:val="20"/>
        </w:rPr>
        <w:t xml:space="preserve"> No</w:t>
      </w:r>
    </w:p>
    <w:p w14:paraId="6DA9222C" w14:textId="77777777" w:rsidR="000E5439" w:rsidRDefault="000E5439" w:rsidP="00530204">
      <w:pPr>
        <w:pStyle w:val="Heading2"/>
        <w:numPr>
          <w:ilvl w:val="0"/>
          <w:numId w:val="25"/>
        </w:numPr>
      </w:pPr>
      <w:r w:rsidRPr="007E39E4">
        <w:lastRenderedPageBreak/>
        <w:t>If you are seeking both MBS and PBS listing</w:t>
      </w:r>
      <w:r w:rsidR="00B75965" w:rsidRPr="007E39E4">
        <w:t>, what is the trade name and generic name of the pharmaceutical?</w:t>
      </w:r>
    </w:p>
    <w:p w14:paraId="0C90D39F" w14:textId="77777777" w:rsidR="005F6FFF" w:rsidRPr="00CB12EC" w:rsidRDefault="005F6FFF" w:rsidP="005F6FFF">
      <w:pPr>
        <w:ind w:left="284"/>
      </w:pPr>
      <w:r>
        <w:fldChar w:fldCharType="begin">
          <w:ffData>
            <w:name w:val=""/>
            <w:enabled/>
            <w:calcOnExit w:val="0"/>
            <w:textInput>
              <w:default w:val="Not applicable"/>
            </w:textInput>
          </w:ffData>
        </w:fldChar>
      </w:r>
      <w:r>
        <w:instrText xml:space="preserve"> FORMTEXT </w:instrText>
      </w:r>
      <w:r>
        <w:fldChar w:fldCharType="separate"/>
      </w:r>
      <w:r>
        <w:rPr>
          <w:noProof/>
        </w:rPr>
        <w:t>Not applicable</w:t>
      </w:r>
      <w:r>
        <w:fldChar w:fldCharType="end"/>
      </w:r>
    </w:p>
    <w:p w14:paraId="2B1321F3" w14:textId="77777777" w:rsidR="00B75965" w:rsidRDefault="005F6FFF" w:rsidP="005F6FFF">
      <w:pPr>
        <w:pStyle w:val="Heading2"/>
      </w:pPr>
      <w:r>
        <w:t xml:space="preserve"> </w:t>
      </w:r>
      <w:r w:rsidR="00530204">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14:paraId="180A410B" w14:textId="77777777" w:rsidR="005F6FFF" w:rsidRPr="00CB12EC" w:rsidRDefault="005F6FFF" w:rsidP="005F6FFF">
      <w:pPr>
        <w:ind w:left="284"/>
      </w:pPr>
      <w:r>
        <w:fldChar w:fldCharType="begin">
          <w:ffData>
            <w:name w:val=""/>
            <w:enabled/>
            <w:calcOnExit w:val="0"/>
            <w:textInput>
              <w:default w:val="Not applicable"/>
            </w:textInput>
          </w:ffData>
        </w:fldChar>
      </w:r>
      <w:r>
        <w:instrText xml:space="preserve"> FORMTEXT </w:instrText>
      </w:r>
      <w:r>
        <w:fldChar w:fldCharType="separate"/>
      </w:r>
      <w:r>
        <w:rPr>
          <w:noProof/>
        </w:rPr>
        <w:t>Not applicable</w:t>
      </w:r>
      <w:r>
        <w:fldChar w:fldCharType="end"/>
      </w:r>
    </w:p>
    <w:p w14:paraId="5C6E0DB3"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510698B" w14:textId="77777777" w:rsidR="005F6FFF" w:rsidRPr="00CB12EC" w:rsidRDefault="005F6FFF" w:rsidP="005F6FFF">
      <w:pPr>
        <w:ind w:left="284"/>
        <w:rPr>
          <w:noProof/>
        </w:rPr>
      </w:pPr>
      <w:r>
        <w:rPr>
          <w:noProof/>
        </w:rPr>
        <w:fldChar w:fldCharType="begin">
          <w:ffData>
            <w:name w:val=""/>
            <w:enabled/>
            <w:calcOnExit w:val="0"/>
            <w:textInput>
              <w:default w:val="Not applicable"/>
            </w:textInput>
          </w:ffData>
        </w:fldChar>
      </w:r>
      <w:r>
        <w:rPr>
          <w:noProof/>
        </w:rPr>
        <w:instrText xml:space="preserve"> FORMTEXT </w:instrText>
      </w:r>
      <w:r>
        <w:rPr>
          <w:noProof/>
        </w:rPr>
      </w:r>
      <w:r>
        <w:rPr>
          <w:noProof/>
        </w:rPr>
        <w:fldChar w:fldCharType="separate"/>
      </w:r>
      <w:r>
        <w:rPr>
          <w:noProof/>
        </w:rPr>
        <w:t>Not applicable</w:t>
      </w:r>
      <w:r>
        <w:rPr>
          <w:noProof/>
        </w:rPr>
        <w:fldChar w:fldCharType="end"/>
      </w:r>
    </w:p>
    <w:p w14:paraId="61ADA0FB"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5D05B2D2" w14:textId="77777777" w:rsidR="005F6FFF" w:rsidRPr="00CB12EC" w:rsidRDefault="005F6FFF" w:rsidP="005F6FFF">
      <w:pPr>
        <w:ind w:left="284"/>
        <w:rPr>
          <w:noProof/>
        </w:rPr>
      </w:pPr>
      <w:r>
        <w:rPr>
          <w:noProof/>
        </w:rPr>
        <w:fldChar w:fldCharType="begin">
          <w:ffData>
            <w:name w:val=""/>
            <w:enabled/>
            <w:calcOnExit w:val="0"/>
            <w:textInput>
              <w:default w:val="Not applicable"/>
            </w:textInput>
          </w:ffData>
        </w:fldChar>
      </w:r>
      <w:r>
        <w:rPr>
          <w:noProof/>
        </w:rPr>
        <w:instrText xml:space="preserve"> FORMTEXT </w:instrText>
      </w:r>
      <w:r>
        <w:rPr>
          <w:noProof/>
        </w:rPr>
      </w:r>
      <w:r>
        <w:rPr>
          <w:noProof/>
        </w:rPr>
        <w:fldChar w:fldCharType="separate"/>
      </w:r>
      <w:r>
        <w:rPr>
          <w:noProof/>
        </w:rPr>
        <w:t>Not applicable</w:t>
      </w:r>
      <w:r>
        <w:rPr>
          <w:noProof/>
        </w:rPr>
        <w:fldChar w:fldCharType="end"/>
      </w:r>
    </w:p>
    <w:p w14:paraId="3EAA02DF"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1B3D0406"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D1786">
        <w:rPr>
          <w:szCs w:val="20"/>
        </w:rPr>
      </w:r>
      <w:r w:rsidR="000D1786">
        <w:rPr>
          <w:szCs w:val="20"/>
        </w:rPr>
        <w:fldChar w:fldCharType="separate"/>
      </w:r>
      <w:r w:rsidRPr="000A5B32">
        <w:rPr>
          <w:szCs w:val="20"/>
        </w:rPr>
        <w:fldChar w:fldCharType="end"/>
      </w:r>
      <w:r w:rsidRPr="000A5B32">
        <w:rPr>
          <w:szCs w:val="20"/>
        </w:rPr>
        <w:t xml:space="preserve"> Yes</w:t>
      </w:r>
    </w:p>
    <w:p w14:paraId="0ED019F2" w14:textId="77777777" w:rsidR="009939DC" w:rsidRPr="001E6958" w:rsidRDefault="00192D86"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9939DC">
        <w:rPr>
          <w:szCs w:val="20"/>
        </w:rPr>
        <w:t xml:space="preserve"> No  </w:t>
      </w:r>
    </w:p>
    <w:p w14:paraId="6080227E"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2EB823DA" w14:textId="77777777" w:rsidR="00016B6E" w:rsidRPr="009939DC" w:rsidRDefault="008C3B55" w:rsidP="00A6491A">
      <w:pPr>
        <w:ind w:left="284"/>
      </w:pPr>
      <w:r>
        <w:fldChar w:fldCharType="begin">
          <w:ffData>
            <w:name w:val=""/>
            <w:enabled/>
            <w:calcOnExit w:val="0"/>
            <w:textInput>
              <w:default w:val="Not currently applicable, however other manufacturers of CAR-T therapies, for use in these and other indications,  are likely to enter the Australian market in due course.  "/>
            </w:textInput>
          </w:ffData>
        </w:fldChar>
      </w:r>
      <w:r>
        <w:instrText xml:space="preserve"> FORMTEXT </w:instrText>
      </w:r>
      <w:r>
        <w:fldChar w:fldCharType="separate"/>
      </w:r>
      <w:r>
        <w:rPr>
          <w:noProof/>
        </w:rPr>
        <w:t xml:space="preserve">Not currently applicable, however other manufacturers of CAR-T therapies, for use in these and other indications,  are likely to enter the Australian market in due course.  </w:t>
      </w:r>
      <w:r>
        <w:fldChar w:fldCharType="end"/>
      </w:r>
    </w:p>
    <w:p w14:paraId="69442122"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1748AB52" w14:textId="6B0F5232" w:rsidR="005F6FFF" w:rsidRDefault="000C322A" w:rsidP="00A6491A">
      <w:pPr>
        <w:spacing w:before="0" w:after="0"/>
        <w:ind w:left="284"/>
      </w:pPr>
      <w:r>
        <w:t xml:space="preserve">Different parts of the tisagenlecleucel </w:t>
      </w:r>
      <w:r w:rsidR="008C3B55">
        <w:t>process</w:t>
      </w:r>
      <w:r w:rsidR="00582441">
        <w:t xml:space="preserve"> would </w:t>
      </w:r>
      <w:r>
        <w:t xml:space="preserve">have </w:t>
      </w:r>
      <w:r w:rsidR="00582441">
        <w:t>distinct</w:t>
      </w:r>
      <w:r>
        <w:t xml:space="preserve"> requirements in terms of consumables.</w:t>
      </w:r>
    </w:p>
    <w:p w14:paraId="59E125DB" w14:textId="77777777" w:rsidR="000C322A" w:rsidRDefault="000C322A" w:rsidP="00A6491A">
      <w:pPr>
        <w:spacing w:before="0" w:after="0"/>
        <w:ind w:left="284"/>
      </w:pPr>
    </w:p>
    <w:p w14:paraId="2D761DD3" w14:textId="3D41A6F2" w:rsidR="000C322A" w:rsidRDefault="000C322A" w:rsidP="003441BB">
      <w:pPr>
        <w:spacing w:before="0" w:after="0"/>
        <w:ind w:left="284"/>
      </w:pPr>
      <w:proofErr w:type="spellStart"/>
      <w:r>
        <w:t>Leukapheresis</w:t>
      </w:r>
      <w:proofErr w:type="spellEnd"/>
      <w:r>
        <w:t xml:space="preserve"> </w:t>
      </w:r>
      <w:r w:rsidR="00BD3B20">
        <w:t>requires a specialised apheresis unit, incorporating polyvinyl tubing that draws blood from the patient and moves it through centrifuges and/or filters to separate b</w:t>
      </w:r>
      <w:r w:rsidR="008C3B55">
        <w:t>lood products. Various</w:t>
      </w:r>
      <w:r w:rsidR="00BD3B20">
        <w:t xml:space="preserve"> systems are </w:t>
      </w:r>
      <w:r w:rsidR="003441BB">
        <w:t xml:space="preserve">available, a comparison of which is available at: </w:t>
      </w:r>
      <w:hyperlink r:id="rId11" w:tooltip="Link to Medical Expo - online medical device exhibition for apheresis machines" w:history="1">
        <w:r w:rsidR="003441BB" w:rsidRPr="0073410C">
          <w:rPr>
            <w:rStyle w:val="Hyperlink"/>
          </w:rPr>
          <w:t>www.medicalexpo.com/medical-manufacturer/apheresis-machine-1676.html</w:t>
        </w:r>
      </w:hyperlink>
      <w:r w:rsidR="003441BB">
        <w:t xml:space="preserve">. Single use consumables used during the </w:t>
      </w:r>
      <w:proofErr w:type="spellStart"/>
      <w:r w:rsidR="003441BB">
        <w:t>leukapheresis</w:t>
      </w:r>
      <w:proofErr w:type="spellEnd"/>
      <w:r w:rsidR="003441BB">
        <w:t xml:space="preserve"> process include sets, tubing, bowls, </w:t>
      </w:r>
      <w:proofErr w:type="gramStart"/>
      <w:r w:rsidR="003441BB">
        <w:t>anticoagulant</w:t>
      </w:r>
      <w:proofErr w:type="gramEnd"/>
      <w:r w:rsidR="003441BB">
        <w:t xml:space="preserve"> and replacement fluids.</w:t>
      </w:r>
    </w:p>
    <w:p w14:paraId="2762E445" w14:textId="77777777" w:rsidR="00582441" w:rsidRDefault="00582441" w:rsidP="003441BB">
      <w:pPr>
        <w:spacing w:before="0" w:after="0"/>
        <w:ind w:left="284"/>
      </w:pPr>
    </w:p>
    <w:p w14:paraId="17DC02E3" w14:textId="5E7F16A6" w:rsidR="00582441" w:rsidRDefault="00582441" w:rsidP="003441BB">
      <w:pPr>
        <w:spacing w:before="0" w:after="0"/>
        <w:ind w:left="284"/>
      </w:pPr>
      <w:proofErr w:type="spellStart"/>
      <w:r>
        <w:t>Lymphodepleting</w:t>
      </w:r>
      <w:proofErr w:type="spellEnd"/>
      <w:r>
        <w:t xml:space="preserve"> </w:t>
      </w:r>
      <w:proofErr w:type="gramStart"/>
      <w:r>
        <w:t>chemotherapy,</w:t>
      </w:r>
      <w:proofErr w:type="gramEnd"/>
      <w:r>
        <w:t xml:space="preserve"> would typically comprise</w:t>
      </w:r>
      <w:r w:rsidR="00107EA9">
        <w:t xml:space="preserve"> a short course</w:t>
      </w:r>
      <w:r>
        <w:t xml:space="preserve"> intravenous (IV) regimen such as: f</w:t>
      </w:r>
      <w:r w:rsidRPr="00582441">
        <w:t xml:space="preserve">ludarabine and </w:t>
      </w:r>
      <w:r>
        <w:t xml:space="preserve">concurrent </w:t>
      </w:r>
      <w:r w:rsidRPr="00582441">
        <w:t>cyclophosphamide</w:t>
      </w:r>
      <w:r>
        <w:t xml:space="preserve">; or </w:t>
      </w:r>
      <w:proofErr w:type="spellStart"/>
      <w:r>
        <w:t>c</w:t>
      </w:r>
      <w:r w:rsidRPr="00582441">
        <w:t>ytarabine</w:t>
      </w:r>
      <w:proofErr w:type="spellEnd"/>
      <w:r w:rsidRPr="00582441">
        <w:t xml:space="preserve"> </w:t>
      </w:r>
      <w:r>
        <w:t xml:space="preserve">and concurrent </w:t>
      </w:r>
      <w:r w:rsidR="00107EA9">
        <w:t xml:space="preserve">etoposide; or </w:t>
      </w:r>
      <w:proofErr w:type="spellStart"/>
      <w:r w:rsidR="00107EA9">
        <w:t>bendamustine</w:t>
      </w:r>
      <w:proofErr w:type="spellEnd"/>
      <w:r w:rsidR="00107EA9">
        <w:t xml:space="preserve"> monotherapy.  </w:t>
      </w:r>
      <w:r>
        <w:t>In addition to the medicines, administration would require standard IV administration sets and consumables.</w:t>
      </w:r>
    </w:p>
    <w:p w14:paraId="6E676D71" w14:textId="77777777" w:rsidR="003441BB" w:rsidRDefault="003441BB" w:rsidP="003441BB">
      <w:pPr>
        <w:spacing w:before="0" w:after="0"/>
        <w:ind w:left="284"/>
      </w:pPr>
    </w:p>
    <w:p w14:paraId="10DE83FC" w14:textId="77777777" w:rsidR="003441BB" w:rsidRDefault="003441BB" w:rsidP="003441BB">
      <w:pPr>
        <w:spacing w:before="0" w:after="0"/>
        <w:ind w:left="284"/>
      </w:pPr>
      <w:r>
        <w:t xml:space="preserve">The process of </w:t>
      </w:r>
      <w:r w:rsidR="008C3B55">
        <w:t xml:space="preserve">manufacturing tisagenlecleucel from a patient’s T cells </w:t>
      </w:r>
      <w:r>
        <w:t>is technology, labour and equipment intensive</w:t>
      </w:r>
      <w:r w:rsidR="008C3B55">
        <w:t xml:space="preserve"> and </w:t>
      </w:r>
      <w:r w:rsidR="006157F5">
        <w:t>too complex to</w:t>
      </w:r>
      <w:r>
        <w:t xml:space="preserve"> adequately describe in this brief application form.</w:t>
      </w:r>
      <w:r w:rsidR="006157F5">
        <w:t xml:space="preserve"> </w:t>
      </w:r>
      <w:r w:rsidR="008C3B55">
        <w:t xml:space="preserve">It is suffice to note that specialised manufacturing facilities have been built for the purpose, and it involves a multitude of items of capital equipment and single and multi-use consumables. </w:t>
      </w:r>
    </w:p>
    <w:p w14:paraId="437A1ECF" w14:textId="77777777" w:rsidR="006157F5" w:rsidRDefault="006157F5" w:rsidP="003441BB">
      <w:pPr>
        <w:spacing w:before="0" w:after="0"/>
        <w:ind w:left="284"/>
      </w:pPr>
    </w:p>
    <w:p w14:paraId="6034831D" w14:textId="4CC6B453" w:rsidR="006D2D39" w:rsidRDefault="00042510" w:rsidP="003441BB">
      <w:pPr>
        <w:spacing w:before="0" w:after="0"/>
        <w:ind w:left="284"/>
      </w:pPr>
      <w:r>
        <w:t>Tisagenlecleucel is administered to the patient as a single IV infusion (</w:t>
      </w:r>
      <w:r w:rsidR="00DD37B5">
        <w:t>REDACTED</w:t>
      </w:r>
      <w:r>
        <w:t xml:space="preserve">) and would involve </w:t>
      </w:r>
      <w:r w:rsidR="006157F5">
        <w:t>relatively standard IV administration sets and consumables.</w:t>
      </w:r>
    </w:p>
    <w:p w14:paraId="0DBA3FDF" w14:textId="77777777" w:rsidR="006D2D39" w:rsidRDefault="006D2D39" w:rsidP="003441BB">
      <w:pPr>
        <w:spacing w:before="0" w:after="0"/>
        <w:ind w:left="284"/>
      </w:pPr>
    </w:p>
    <w:p w14:paraId="3EFCB0E2" w14:textId="63145828" w:rsidR="006157F5" w:rsidRDefault="006D2D39" w:rsidP="003441BB">
      <w:pPr>
        <w:spacing w:before="0" w:after="0"/>
        <w:ind w:left="284"/>
      </w:pPr>
      <w:r>
        <w:t>Management of serious adverse events which are sometimes associated with tisagenlecleucel therapy may also require IV infusion of medicines (tocilizumab) or blood products (IVIG) involving various consumables.</w:t>
      </w:r>
    </w:p>
    <w:p w14:paraId="4AC56DC2" w14:textId="1310998D" w:rsidR="006D2D39" w:rsidRDefault="006D2D39" w:rsidP="003441BB">
      <w:pPr>
        <w:spacing w:before="0" w:after="0"/>
        <w:ind w:left="284"/>
      </w:pPr>
    </w:p>
    <w:p w14:paraId="7F1AA517" w14:textId="395B76F4" w:rsidR="00F301F1" w:rsidRPr="00855944" w:rsidRDefault="006D2D39" w:rsidP="00A6491A">
      <w:pPr>
        <w:spacing w:before="0" w:after="0"/>
        <w:ind w:left="284"/>
      </w:pPr>
      <w:r>
        <w:t>In rare cases, severe adverse events may require admission to an intensive care unit, involving other unspecified single use consumable items.</w:t>
      </w:r>
      <w:r w:rsidR="00192D86">
        <w:t xml:space="preserve"> </w:t>
      </w:r>
      <w:r w:rsidR="00F301F1" w:rsidRPr="00855944">
        <w:br w:type="page"/>
      </w:r>
    </w:p>
    <w:p w14:paraId="3C3C5F23"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731A9E40"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5F35E39A"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192D86">
        <w:fldChar w:fldCharType="begin">
          <w:ffData>
            <w:name w:val=""/>
            <w:enabled/>
            <w:calcOnExit w:val="0"/>
            <w:textInput>
              <w:default w:val="Class 4 biological product"/>
            </w:textInput>
          </w:ffData>
        </w:fldChar>
      </w:r>
      <w:r w:rsidR="00192D86">
        <w:instrText xml:space="preserve"> FORMTEXT </w:instrText>
      </w:r>
      <w:r w:rsidR="00192D86">
        <w:fldChar w:fldCharType="separate"/>
      </w:r>
      <w:r w:rsidR="00192D86">
        <w:rPr>
          <w:noProof/>
        </w:rPr>
        <w:t>Class 4 biological product</w:t>
      </w:r>
      <w:r w:rsidR="00192D86">
        <w:fldChar w:fldCharType="end"/>
      </w:r>
    </w:p>
    <w:p w14:paraId="31696995"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r w:rsidR="00192D86">
        <w:fldChar w:fldCharType="begin">
          <w:ffData>
            <w:name w:val=""/>
            <w:enabled/>
            <w:calcOnExit w:val="0"/>
            <w:textInput>
              <w:default w:val="Novartis"/>
            </w:textInput>
          </w:ffData>
        </w:fldChar>
      </w:r>
      <w:r w:rsidR="00192D86">
        <w:instrText xml:space="preserve"> FORMTEXT </w:instrText>
      </w:r>
      <w:r w:rsidR="00192D86">
        <w:fldChar w:fldCharType="separate"/>
      </w:r>
      <w:r w:rsidR="00192D86">
        <w:rPr>
          <w:noProof/>
        </w:rPr>
        <w:t>Novartis</w:t>
      </w:r>
      <w:r w:rsidR="00192D86">
        <w:fldChar w:fldCharType="end"/>
      </w:r>
    </w:p>
    <w:p w14:paraId="34043C6A" w14:textId="77777777" w:rsidR="00A26343" w:rsidRPr="00A26343" w:rsidRDefault="00A26343" w:rsidP="00A6491A">
      <w:pPr>
        <w:spacing w:before="0" w:after="0"/>
        <w:ind w:left="284"/>
        <w:rPr>
          <w:szCs w:val="20"/>
        </w:rPr>
      </w:pPr>
      <w:r w:rsidRPr="00A26343">
        <w:rPr>
          <w:szCs w:val="20"/>
        </w:rPr>
        <w:t>Sponsor’s name</w:t>
      </w:r>
      <w:r>
        <w:rPr>
          <w:szCs w:val="20"/>
        </w:rPr>
        <w:t xml:space="preserve">: </w:t>
      </w:r>
      <w:r w:rsidR="00192D86">
        <w:fldChar w:fldCharType="begin">
          <w:ffData>
            <w:name w:val=""/>
            <w:enabled/>
            <w:calcOnExit w:val="0"/>
            <w:textInput>
              <w:default w:val="Novartis Pharmaceuticals Australia"/>
            </w:textInput>
          </w:ffData>
        </w:fldChar>
      </w:r>
      <w:r w:rsidR="00192D86">
        <w:instrText xml:space="preserve"> FORMTEXT </w:instrText>
      </w:r>
      <w:r w:rsidR="00192D86">
        <w:fldChar w:fldCharType="separate"/>
      </w:r>
      <w:r w:rsidR="00192D86">
        <w:rPr>
          <w:noProof/>
        </w:rPr>
        <w:t>Novartis Pharmaceuticals Australia</w:t>
      </w:r>
      <w:r w:rsidR="00192D86">
        <w:fldChar w:fldCharType="end"/>
      </w:r>
    </w:p>
    <w:p w14:paraId="218E8CB2"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74B84880"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D1786">
        <w:rPr>
          <w:szCs w:val="20"/>
        </w:rPr>
      </w:r>
      <w:r w:rsidR="000D1786">
        <w:rPr>
          <w:szCs w:val="20"/>
        </w:rPr>
        <w:fldChar w:fldCharType="separate"/>
      </w:r>
      <w:r w:rsidRPr="000A5B32">
        <w:rPr>
          <w:szCs w:val="20"/>
        </w:rPr>
        <w:fldChar w:fldCharType="end"/>
      </w:r>
      <w:r w:rsidRPr="000A5B32">
        <w:rPr>
          <w:szCs w:val="20"/>
        </w:rPr>
        <w:t xml:space="preserve"> </w:t>
      </w:r>
      <w:r w:rsidRPr="00615F42">
        <w:rPr>
          <w:szCs w:val="20"/>
        </w:rPr>
        <w:t>Class III</w:t>
      </w:r>
    </w:p>
    <w:p w14:paraId="5CC24D69"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D1786">
        <w:rPr>
          <w:szCs w:val="20"/>
        </w:rPr>
      </w:r>
      <w:r w:rsidR="000D1786">
        <w:rPr>
          <w:szCs w:val="20"/>
        </w:rPr>
        <w:fldChar w:fldCharType="separate"/>
      </w:r>
      <w:r w:rsidRPr="000A5B32">
        <w:rPr>
          <w:szCs w:val="20"/>
        </w:rPr>
        <w:fldChar w:fldCharType="end"/>
      </w:r>
      <w:r w:rsidRPr="000A5B32">
        <w:rPr>
          <w:szCs w:val="20"/>
        </w:rPr>
        <w:t xml:space="preserve"> </w:t>
      </w:r>
      <w:r w:rsidRPr="00615F42">
        <w:rPr>
          <w:szCs w:val="20"/>
        </w:rPr>
        <w:t>AIMD</w:t>
      </w:r>
    </w:p>
    <w:p w14:paraId="2520992D" w14:textId="77777777" w:rsidR="005E2CE3" w:rsidRPr="00154B00" w:rsidRDefault="009D5212"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615F42" w:rsidRPr="000A5B32">
        <w:rPr>
          <w:szCs w:val="20"/>
        </w:rPr>
        <w:t xml:space="preserve"> </w:t>
      </w:r>
      <w:r w:rsidR="00615F42" w:rsidRPr="00615F42">
        <w:rPr>
          <w:szCs w:val="20"/>
        </w:rPr>
        <w:t>N/A</w:t>
      </w:r>
    </w:p>
    <w:p w14:paraId="6EA119A1"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35611DDD"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D1786">
        <w:rPr>
          <w:szCs w:val="20"/>
        </w:rPr>
      </w:r>
      <w:r w:rsidR="000D1786">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69C3822C" w14:textId="77777777" w:rsidR="003421AE" w:rsidRPr="00615F42" w:rsidRDefault="004146D8"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615F42">
        <w:rPr>
          <w:szCs w:val="20"/>
        </w:rPr>
        <w:t xml:space="preserve"> No</w:t>
      </w:r>
    </w:p>
    <w:p w14:paraId="0C65B87D"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35635978"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D1786">
        <w:rPr>
          <w:szCs w:val="20"/>
        </w:rPr>
      </w:r>
      <w:r w:rsidR="000D1786">
        <w:rPr>
          <w:szCs w:val="20"/>
        </w:rPr>
        <w:fldChar w:fldCharType="separate"/>
      </w:r>
      <w:r w:rsidRPr="000A5B32">
        <w:rPr>
          <w:szCs w:val="20"/>
        </w:rPr>
        <w:fldChar w:fldCharType="end"/>
      </w:r>
      <w:r>
        <w:rPr>
          <w:szCs w:val="20"/>
        </w:rPr>
        <w:t xml:space="preserve"> Yes (if yes, please provide details below)</w:t>
      </w:r>
    </w:p>
    <w:p w14:paraId="3F6C2410" w14:textId="77777777" w:rsidR="0043654D" w:rsidRDefault="009D5212"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43654D">
        <w:rPr>
          <w:szCs w:val="20"/>
        </w:rPr>
        <w:t xml:space="preserve"> No</w:t>
      </w:r>
    </w:p>
    <w:p w14:paraId="32B060FD" w14:textId="77777777" w:rsidR="0043654D" w:rsidRPr="00615F42" w:rsidRDefault="0043654D" w:rsidP="0043654D">
      <w:pPr>
        <w:spacing w:before="0" w:after="0"/>
        <w:ind w:left="284"/>
        <w:rPr>
          <w:b/>
          <w:szCs w:val="20"/>
        </w:rPr>
      </w:pPr>
    </w:p>
    <w:p w14:paraId="3385A852"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8C3B55">
        <w:fldChar w:fldCharType="begin">
          <w:ffData>
            <w:name w:val=""/>
            <w:enabled/>
            <w:calcOnExit w:val="0"/>
            <w:textInput>
              <w:default w:val="Not available"/>
            </w:textInput>
          </w:ffData>
        </w:fldChar>
      </w:r>
      <w:r w:rsidR="008C3B55">
        <w:instrText xml:space="preserve"> FORMTEXT </w:instrText>
      </w:r>
      <w:r w:rsidR="008C3B55">
        <w:fldChar w:fldCharType="separate"/>
      </w:r>
      <w:r w:rsidR="008C3B55">
        <w:rPr>
          <w:noProof/>
        </w:rPr>
        <w:t>Not available</w:t>
      </w:r>
      <w:r w:rsidR="008C3B55">
        <w:fldChar w:fldCharType="end"/>
      </w:r>
    </w:p>
    <w:p w14:paraId="29972689"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8C3B55">
        <w:fldChar w:fldCharType="begin">
          <w:ffData>
            <w:name w:val=""/>
            <w:enabled/>
            <w:calcOnExit w:val="0"/>
            <w:textInput>
              <w:default w:val="Not available"/>
            </w:textInput>
          </w:ffData>
        </w:fldChar>
      </w:r>
      <w:r w:rsidR="008C3B55">
        <w:instrText xml:space="preserve"> FORMTEXT </w:instrText>
      </w:r>
      <w:r w:rsidR="008C3B55">
        <w:fldChar w:fldCharType="separate"/>
      </w:r>
      <w:r w:rsidR="008C3B55">
        <w:rPr>
          <w:noProof/>
        </w:rPr>
        <w:t>Not available</w:t>
      </w:r>
      <w:r w:rsidR="008C3B55">
        <w:fldChar w:fldCharType="end"/>
      </w:r>
    </w:p>
    <w:p w14:paraId="26AE19F5" w14:textId="77777777"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rsidR="008C3B55">
        <w:fldChar w:fldCharType="begin">
          <w:ffData>
            <w:name w:val=""/>
            <w:enabled/>
            <w:calcOnExit w:val="0"/>
            <w:textInput>
              <w:default w:val="Not available"/>
            </w:textInput>
          </w:ffData>
        </w:fldChar>
      </w:r>
      <w:r w:rsidR="008C3B55">
        <w:instrText xml:space="preserve"> FORMTEXT </w:instrText>
      </w:r>
      <w:r w:rsidR="008C3B55">
        <w:fldChar w:fldCharType="separate"/>
      </w:r>
      <w:r w:rsidR="008C3B55">
        <w:rPr>
          <w:noProof/>
        </w:rPr>
        <w:t>Not available</w:t>
      </w:r>
      <w:r w:rsidR="008C3B55">
        <w:fldChar w:fldCharType="end"/>
      </w:r>
    </w:p>
    <w:p w14:paraId="00268AB9"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61A48FF4" w14:textId="77777777" w:rsidR="0047581D" w:rsidRDefault="009D5212" w:rsidP="0047581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47581D">
        <w:rPr>
          <w:szCs w:val="20"/>
        </w:rPr>
        <w:t xml:space="preserve"> Yes (please provide details below)</w:t>
      </w:r>
    </w:p>
    <w:p w14:paraId="01337F0E" w14:textId="77777777" w:rsidR="0047581D" w:rsidRDefault="009D5212"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47581D">
        <w:rPr>
          <w:szCs w:val="20"/>
        </w:rPr>
        <w:t xml:space="preserve"> No</w:t>
      </w:r>
    </w:p>
    <w:p w14:paraId="2F9DDDCE" w14:textId="77777777" w:rsidR="0047581D" w:rsidRDefault="0047581D" w:rsidP="0047581D">
      <w:pPr>
        <w:spacing w:before="0" w:after="0"/>
        <w:rPr>
          <w:b/>
          <w:szCs w:val="20"/>
        </w:rPr>
      </w:pPr>
    </w:p>
    <w:p w14:paraId="5652F7A2" w14:textId="77777777" w:rsidR="0047581D" w:rsidRPr="0047581D" w:rsidRDefault="0047581D" w:rsidP="0047581D">
      <w:pPr>
        <w:spacing w:before="0" w:after="0"/>
        <w:rPr>
          <w:szCs w:val="20"/>
        </w:rPr>
      </w:pPr>
      <w:r w:rsidRPr="0047581D">
        <w:rPr>
          <w:szCs w:val="20"/>
        </w:rPr>
        <w:t xml:space="preserve">Date of submission to TGA:  </w:t>
      </w:r>
      <w:r w:rsidR="008C3B55" w:rsidRPr="00C0401F">
        <w:fldChar w:fldCharType="begin">
          <w:ffData>
            <w:name w:val=""/>
            <w:enabled/>
            <w:calcOnExit w:val="0"/>
            <w:textInput>
              <w:default w:val="Not yet submitted"/>
            </w:textInput>
          </w:ffData>
        </w:fldChar>
      </w:r>
      <w:r w:rsidR="008C3B55" w:rsidRPr="00C0401F">
        <w:instrText xml:space="preserve"> FORMTEXT </w:instrText>
      </w:r>
      <w:r w:rsidR="008C3B55" w:rsidRPr="00C0401F">
        <w:fldChar w:fldCharType="separate"/>
      </w:r>
      <w:r w:rsidR="008C3B55" w:rsidRPr="00C0401F">
        <w:rPr>
          <w:noProof/>
        </w:rPr>
        <w:t>Not yet submitted</w:t>
      </w:r>
      <w:r w:rsidR="008C3B55" w:rsidRPr="00C0401F">
        <w:fldChar w:fldCharType="end"/>
      </w:r>
    </w:p>
    <w:p w14:paraId="47F2F85A"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rsidR="008C3B55">
        <w:fldChar w:fldCharType="begin">
          <w:ffData>
            <w:name w:val=""/>
            <w:enabled/>
            <w:calcOnExit w:val="0"/>
            <w:textInput>
              <w:default w:val="Not available"/>
            </w:textInput>
          </w:ffData>
        </w:fldChar>
      </w:r>
      <w:r w:rsidR="008C3B55">
        <w:instrText xml:space="preserve"> FORMTEXT </w:instrText>
      </w:r>
      <w:r w:rsidR="008C3B55">
        <w:fldChar w:fldCharType="separate"/>
      </w:r>
      <w:r w:rsidR="008C3B55">
        <w:rPr>
          <w:noProof/>
        </w:rPr>
        <w:t>Not available</w:t>
      </w:r>
      <w:r w:rsidR="008C3B55">
        <w:fldChar w:fldCharType="end"/>
      </w:r>
    </w:p>
    <w:p w14:paraId="4F2E6578" w14:textId="77777777" w:rsidR="0047581D" w:rsidRPr="0047581D" w:rsidRDefault="0047581D" w:rsidP="0047581D">
      <w:pPr>
        <w:spacing w:before="0" w:after="0"/>
        <w:rPr>
          <w:szCs w:val="20"/>
        </w:rPr>
      </w:pPr>
      <w:r w:rsidRPr="0047581D">
        <w:rPr>
          <w:szCs w:val="20"/>
        </w:rPr>
        <w:t>TGA Application ID</w:t>
      </w:r>
      <w:r>
        <w:rPr>
          <w:szCs w:val="20"/>
        </w:rPr>
        <w:t xml:space="preserve">:  </w:t>
      </w:r>
      <w:r w:rsidR="008C3B55">
        <w:fldChar w:fldCharType="begin">
          <w:ffData>
            <w:name w:val=""/>
            <w:enabled/>
            <w:calcOnExit w:val="0"/>
            <w:textInput>
              <w:default w:val="Not available"/>
            </w:textInput>
          </w:ffData>
        </w:fldChar>
      </w:r>
      <w:r w:rsidR="008C3B55">
        <w:instrText xml:space="preserve"> FORMTEXT </w:instrText>
      </w:r>
      <w:r w:rsidR="008C3B55">
        <w:fldChar w:fldCharType="separate"/>
      </w:r>
      <w:r w:rsidR="008C3B55">
        <w:rPr>
          <w:noProof/>
        </w:rPr>
        <w:t>Not available</w:t>
      </w:r>
      <w:r w:rsidR="008C3B55">
        <w:fldChar w:fldCharType="end"/>
      </w:r>
    </w:p>
    <w:p w14:paraId="41F77F17"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8C3B55">
        <w:fldChar w:fldCharType="begin">
          <w:ffData>
            <w:name w:val=""/>
            <w:enabled/>
            <w:calcOnExit w:val="0"/>
            <w:textInput>
              <w:default w:val="Not available"/>
            </w:textInput>
          </w:ffData>
        </w:fldChar>
      </w:r>
      <w:r w:rsidR="008C3B55">
        <w:instrText xml:space="preserve"> FORMTEXT </w:instrText>
      </w:r>
      <w:r w:rsidR="008C3B55">
        <w:fldChar w:fldCharType="separate"/>
      </w:r>
      <w:r w:rsidR="008C3B55">
        <w:rPr>
          <w:noProof/>
        </w:rPr>
        <w:t>Not available</w:t>
      </w:r>
      <w:r w:rsidR="008C3B55">
        <w:fldChar w:fldCharType="end"/>
      </w:r>
    </w:p>
    <w:p w14:paraId="4ED36EAB"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8C3B55">
        <w:fldChar w:fldCharType="begin">
          <w:ffData>
            <w:name w:val=""/>
            <w:enabled/>
            <w:calcOnExit w:val="0"/>
            <w:textInput>
              <w:default w:val="Not available"/>
            </w:textInput>
          </w:ffData>
        </w:fldChar>
      </w:r>
      <w:r w:rsidR="008C3B55">
        <w:instrText xml:space="preserve"> FORMTEXT </w:instrText>
      </w:r>
      <w:r w:rsidR="008C3B55">
        <w:fldChar w:fldCharType="separate"/>
      </w:r>
      <w:r w:rsidR="008C3B55">
        <w:rPr>
          <w:noProof/>
        </w:rPr>
        <w:t>Not available</w:t>
      </w:r>
      <w:r w:rsidR="008C3B55">
        <w:fldChar w:fldCharType="end"/>
      </w:r>
    </w:p>
    <w:p w14:paraId="204983BE"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3F4FDFE6" w14:textId="77777777" w:rsidR="000A110D" w:rsidRDefault="009D5212"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0A110D">
        <w:rPr>
          <w:szCs w:val="20"/>
        </w:rPr>
        <w:t xml:space="preserve"> Yes (please provide details below)</w:t>
      </w:r>
    </w:p>
    <w:p w14:paraId="764D4628" w14:textId="77777777" w:rsidR="000A110D" w:rsidRDefault="000A110D" w:rsidP="000A110D">
      <w:pPr>
        <w:spacing w:before="0" w:after="0"/>
        <w:ind w:left="284"/>
        <w:rPr>
          <w:szCs w:val="20"/>
        </w:rPr>
      </w:pPr>
      <w:r w:rsidRPr="000A5B32">
        <w:rPr>
          <w:szCs w:val="20"/>
        </w:rPr>
        <w:fldChar w:fldCharType="begin">
          <w:ffData>
            <w:name w:val=""/>
            <w:enabled/>
            <w:calcOnExit w:val="0"/>
            <w:checkBox>
              <w:sizeAuto/>
              <w:default w:val="0"/>
            </w:checkBox>
          </w:ffData>
        </w:fldChar>
      </w:r>
      <w:r w:rsidRPr="000A5B32">
        <w:rPr>
          <w:szCs w:val="20"/>
        </w:rPr>
        <w:instrText xml:space="preserve"> FORMCHECKBOX </w:instrText>
      </w:r>
      <w:r w:rsidR="000D1786">
        <w:rPr>
          <w:szCs w:val="20"/>
        </w:rPr>
      </w:r>
      <w:r w:rsidR="000D1786">
        <w:rPr>
          <w:szCs w:val="20"/>
        </w:rPr>
        <w:fldChar w:fldCharType="separate"/>
      </w:r>
      <w:r w:rsidRPr="000A5B32">
        <w:rPr>
          <w:szCs w:val="20"/>
        </w:rPr>
        <w:fldChar w:fldCharType="end"/>
      </w:r>
      <w:r>
        <w:rPr>
          <w:szCs w:val="20"/>
        </w:rPr>
        <w:t xml:space="preserve"> No</w:t>
      </w:r>
    </w:p>
    <w:p w14:paraId="0D8950F0" w14:textId="77777777" w:rsidR="000A110D" w:rsidRDefault="000A110D" w:rsidP="00971EDB">
      <w:pPr>
        <w:spacing w:before="0" w:after="0"/>
        <w:rPr>
          <w:szCs w:val="20"/>
        </w:rPr>
      </w:pPr>
    </w:p>
    <w:p w14:paraId="67F2C9F2" w14:textId="7E9AD2DA" w:rsidR="00971EDB" w:rsidRPr="00971EDB" w:rsidRDefault="00971EDB" w:rsidP="00971EDB">
      <w:pPr>
        <w:spacing w:before="0" w:after="0"/>
        <w:rPr>
          <w:szCs w:val="20"/>
        </w:rPr>
      </w:pPr>
      <w:r w:rsidRPr="00971EDB">
        <w:rPr>
          <w:szCs w:val="20"/>
        </w:rPr>
        <w:t>Estimated date of submission to TGA</w:t>
      </w:r>
      <w:r>
        <w:rPr>
          <w:szCs w:val="20"/>
        </w:rPr>
        <w:t xml:space="preserve">:  </w:t>
      </w:r>
      <w:r w:rsidR="00DD37B5">
        <w:t>REDACTED</w:t>
      </w:r>
    </w:p>
    <w:p w14:paraId="683A430C" w14:textId="22E2307F" w:rsidR="00971EDB" w:rsidRPr="00971EDB" w:rsidRDefault="00971EDB" w:rsidP="00971EDB">
      <w:pPr>
        <w:spacing w:before="0" w:after="0"/>
        <w:rPr>
          <w:szCs w:val="20"/>
        </w:rPr>
      </w:pPr>
      <w:r w:rsidRPr="00971EDB">
        <w:rPr>
          <w:szCs w:val="20"/>
        </w:rPr>
        <w:t>Proposed indication(s), if applicable</w:t>
      </w:r>
      <w:r>
        <w:rPr>
          <w:szCs w:val="20"/>
        </w:rPr>
        <w:t xml:space="preserve">:  </w:t>
      </w:r>
      <w:r w:rsidR="00DD37B5">
        <w:t>REDACTED</w:t>
      </w:r>
    </w:p>
    <w:p w14:paraId="1E2B000C"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r w:rsidR="001E1A2C">
        <w:fldChar w:fldCharType="begin">
          <w:ffData>
            <w:name w:val=""/>
            <w:enabled/>
            <w:calcOnExit w:val="0"/>
            <w:textInput>
              <w:default w:val="Single episode of treatment with curative intent"/>
            </w:textInput>
          </w:ffData>
        </w:fldChar>
      </w:r>
      <w:r w:rsidR="001E1A2C">
        <w:instrText xml:space="preserve"> FORMTEXT </w:instrText>
      </w:r>
      <w:r w:rsidR="001E1A2C">
        <w:fldChar w:fldCharType="separate"/>
      </w:r>
      <w:r w:rsidR="001E1A2C">
        <w:rPr>
          <w:noProof/>
        </w:rPr>
        <w:t>Single episode of treatment with curative intent</w:t>
      </w:r>
      <w:r w:rsidR="001E1A2C">
        <w:fldChar w:fldCharType="end"/>
      </w:r>
    </w:p>
    <w:p w14:paraId="72AD9A48" w14:textId="77777777" w:rsidR="00F83A9D" w:rsidRPr="00154B00" w:rsidRDefault="00F83A9D" w:rsidP="00F83A9D">
      <w:pPr>
        <w:rPr>
          <w:szCs w:val="20"/>
        </w:rPr>
      </w:pPr>
    </w:p>
    <w:p w14:paraId="0904B8C4" w14:textId="77777777" w:rsidR="00DD308E" w:rsidRDefault="00DD308E">
      <w:pPr>
        <w:rPr>
          <w:b/>
          <w:sz w:val="32"/>
          <w:szCs w:val="32"/>
        </w:rPr>
        <w:sectPr w:rsidR="00DD308E" w:rsidSect="00991EE4">
          <w:pgSz w:w="11906" w:h="16838"/>
          <w:pgMar w:top="1440" w:right="1440" w:bottom="1440" w:left="1440" w:header="708" w:footer="708" w:gutter="0"/>
          <w:pgNumType w:start="0"/>
          <w:cols w:space="708"/>
          <w:titlePg/>
          <w:docGrid w:linePitch="360"/>
        </w:sectPr>
      </w:pPr>
    </w:p>
    <w:p w14:paraId="1530ED61"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110F623B"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ook w:val="04A0" w:firstRow="1" w:lastRow="0" w:firstColumn="1" w:lastColumn="0" w:noHBand="0" w:noVBand="1"/>
        <w:tblCaption w:val="Summary of Evidence - Published"/>
      </w:tblPr>
      <w:tblGrid>
        <w:gridCol w:w="629"/>
        <w:gridCol w:w="2146"/>
        <w:gridCol w:w="2764"/>
        <w:gridCol w:w="2120"/>
        <w:gridCol w:w="4539"/>
        <w:gridCol w:w="1976"/>
      </w:tblGrid>
      <w:tr w:rsidR="00DD308E" w14:paraId="1D5F7C94" w14:textId="77777777" w:rsidTr="003B2875">
        <w:trPr>
          <w:cantSplit/>
          <w:tblHeader/>
        </w:trPr>
        <w:tc>
          <w:tcPr>
            <w:tcW w:w="222" w:type="pct"/>
          </w:tcPr>
          <w:p w14:paraId="1638298F" w14:textId="77777777" w:rsidR="00DD308E" w:rsidRDefault="00DD308E" w:rsidP="00855944">
            <w:pPr>
              <w:pStyle w:val="TableHEADER"/>
            </w:pPr>
          </w:p>
        </w:tc>
        <w:tc>
          <w:tcPr>
            <w:tcW w:w="757" w:type="pct"/>
          </w:tcPr>
          <w:p w14:paraId="039F084D" w14:textId="77777777" w:rsidR="00DD308E" w:rsidRDefault="00DD308E" w:rsidP="00855944">
            <w:pPr>
              <w:pStyle w:val="TableHEADER"/>
            </w:pPr>
            <w:r>
              <w:t>Type of study design*</w:t>
            </w:r>
          </w:p>
        </w:tc>
        <w:tc>
          <w:tcPr>
            <w:tcW w:w="975" w:type="pct"/>
          </w:tcPr>
          <w:p w14:paraId="070E320A" w14:textId="77777777" w:rsidR="00DD308E" w:rsidRDefault="00DD308E" w:rsidP="00855944">
            <w:pPr>
              <w:pStyle w:val="TableHEADER"/>
            </w:pPr>
            <w:r>
              <w:t>Title of journal article  or research project (including any trial identifier or study lead if relevant)</w:t>
            </w:r>
          </w:p>
        </w:tc>
        <w:tc>
          <w:tcPr>
            <w:tcW w:w="748" w:type="pct"/>
          </w:tcPr>
          <w:p w14:paraId="46A268B9" w14:textId="77777777" w:rsidR="00DD308E" w:rsidRDefault="00DD308E" w:rsidP="00855944">
            <w:pPr>
              <w:pStyle w:val="TableHEADER"/>
            </w:pPr>
            <w:r>
              <w:t>Short description of research  (max 50 words)**</w:t>
            </w:r>
          </w:p>
        </w:tc>
        <w:tc>
          <w:tcPr>
            <w:tcW w:w="1601" w:type="pct"/>
          </w:tcPr>
          <w:p w14:paraId="5F9858CC" w14:textId="77777777" w:rsidR="00DD308E" w:rsidRDefault="00DD308E" w:rsidP="00855944">
            <w:pPr>
              <w:pStyle w:val="TableHEADER"/>
            </w:pPr>
            <w:r w:rsidRPr="00E82F54">
              <w:t xml:space="preserve">Website link to </w:t>
            </w:r>
            <w:r>
              <w:t>journal article or research (if available)</w:t>
            </w:r>
          </w:p>
        </w:tc>
        <w:tc>
          <w:tcPr>
            <w:tcW w:w="697" w:type="pct"/>
          </w:tcPr>
          <w:p w14:paraId="729370E9" w14:textId="77777777" w:rsidR="00DD308E" w:rsidRDefault="00DD308E" w:rsidP="00855944">
            <w:pPr>
              <w:pStyle w:val="TableHEADER"/>
            </w:pPr>
            <w:r w:rsidRPr="00E82F54">
              <w:t>Date</w:t>
            </w:r>
            <w:r>
              <w:t xml:space="preserve"> of publication</w:t>
            </w:r>
            <w:r w:rsidRPr="00E82F54">
              <w:t>*</w:t>
            </w:r>
            <w:r>
              <w:t>**</w:t>
            </w:r>
          </w:p>
        </w:tc>
      </w:tr>
      <w:tr w:rsidR="000D7B21" w14:paraId="39021A4C" w14:textId="77777777" w:rsidTr="000D7B21">
        <w:trPr>
          <w:cantSplit/>
        </w:trPr>
        <w:tc>
          <w:tcPr>
            <w:tcW w:w="5000" w:type="pct"/>
            <w:gridSpan w:val="6"/>
          </w:tcPr>
          <w:p w14:paraId="733AFCD3" w14:textId="77777777" w:rsidR="000D7B21" w:rsidRDefault="000D7B21" w:rsidP="00DD308E">
            <w:r>
              <w:t>ALL</w:t>
            </w:r>
          </w:p>
        </w:tc>
      </w:tr>
      <w:tr w:rsidR="00A93053" w14:paraId="65415ADD" w14:textId="77777777" w:rsidTr="003B2875">
        <w:trPr>
          <w:cantSplit/>
        </w:trPr>
        <w:tc>
          <w:tcPr>
            <w:tcW w:w="222" w:type="pct"/>
          </w:tcPr>
          <w:p w14:paraId="20B7A1F7" w14:textId="77777777" w:rsidR="00A93053" w:rsidRPr="00965B6B" w:rsidRDefault="00A93053" w:rsidP="002D7777">
            <w:pPr>
              <w:rPr>
                <w:szCs w:val="20"/>
              </w:rPr>
            </w:pPr>
            <w:r>
              <w:rPr>
                <w:szCs w:val="20"/>
              </w:rPr>
              <w:t>1.</w:t>
            </w:r>
          </w:p>
        </w:tc>
        <w:tc>
          <w:tcPr>
            <w:tcW w:w="757" w:type="pct"/>
            <w:vMerge w:val="restart"/>
          </w:tcPr>
          <w:p w14:paraId="3FCD37BA" w14:textId="77777777" w:rsidR="00A93053" w:rsidRDefault="00DF0183" w:rsidP="002D7777">
            <w:pPr>
              <w:rPr>
                <w:b/>
                <w:szCs w:val="20"/>
              </w:rPr>
            </w:pPr>
            <w:r>
              <w:fldChar w:fldCharType="begin">
                <w:ffData>
                  <w:name w:val=""/>
                  <w:enabled/>
                  <w:calcOnExit w:val="0"/>
                  <w:textInput>
                    <w:default w:val="NCT01626495: A phase I/IIA study of two different kinds of CART19 cells for 76 patients aged 1-24 years with chemotherapy resistant or refractory CD19+ leukemia and lymphoma. "/>
                  </w:textInput>
                </w:ffData>
              </w:fldChar>
            </w:r>
            <w:r>
              <w:instrText xml:space="preserve"> FORMTEXT </w:instrText>
            </w:r>
            <w:r>
              <w:fldChar w:fldCharType="separate"/>
            </w:r>
            <w:r>
              <w:rPr>
                <w:noProof/>
              </w:rPr>
              <w:t xml:space="preserve">NCT01626495: A phase I/IIA study of two different kinds of CART19 cells for 76 patients aged 1-24 years with chemotherapy resistant or refractory CD19+ leukemia and lymphoma. </w:t>
            </w:r>
            <w:r>
              <w:fldChar w:fldCharType="end"/>
            </w:r>
          </w:p>
          <w:p w14:paraId="069B2BBD" w14:textId="77777777" w:rsidR="00470AD5" w:rsidRDefault="00470AD5" w:rsidP="00DD308E"/>
          <w:p w14:paraId="5C787EAC" w14:textId="77777777" w:rsidR="00A93053" w:rsidRDefault="008B0245" w:rsidP="00470AD5">
            <w:pPr>
              <w:spacing w:before="1080"/>
              <w:rPr>
                <w:b/>
                <w:szCs w:val="20"/>
              </w:rPr>
            </w:pPr>
            <w:r>
              <w:fldChar w:fldCharType="begin">
                <w:ffData>
                  <w:name w:val=""/>
                  <w:enabled/>
                  <w:calcOnExit w:val="0"/>
                  <w:textInput>
                    <w:default w:val="NCT01029366: A pilot, phase I, single arm, single center, open label study to determine the safety, efficacy and cellular kinetics of CART19 (CTL019) in 26 adult patients with chemotherapy resistant or refractory CD19+ leukemia and lymphoma"/>
                  </w:textInput>
                </w:ffData>
              </w:fldChar>
            </w:r>
            <w:r>
              <w:instrText xml:space="preserve"> FORMTEXT </w:instrText>
            </w:r>
            <w:r>
              <w:fldChar w:fldCharType="separate"/>
            </w:r>
            <w:r>
              <w:rPr>
                <w:noProof/>
              </w:rPr>
              <w:t xml:space="preserve">NCT01029366: A pilot, </w:t>
            </w:r>
            <w:r>
              <w:rPr>
                <w:noProof/>
              </w:rPr>
              <w:lastRenderedPageBreak/>
              <w:t>phase I, single arm, single center, open label study to determine the safety, efficacy and cellular kinetics of CART19 (CTL019) in 26 adult patients with chemotherapy resistant or refractory CD19+ leukemia and lymphoma</w:t>
            </w:r>
            <w:r>
              <w:fldChar w:fldCharType="end"/>
            </w:r>
          </w:p>
        </w:tc>
        <w:tc>
          <w:tcPr>
            <w:tcW w:w="975" w:type="pct"/>
          </w:tcPr>
          <w:p w14:paraId="15A078AF" w14:textId="77777777" w:rsidR="00A93053" w:rsidRDefault="00A93053" w:rsidP="002D7777">
            <w:pPr>
              <w:rPr>
                <w:b/>
                <w:szCs w:val="20"/>
              </w:rPr>
            </w:pPr>
            <w:r>
              <w:lastRenderedPageBreak/>
              <w:fldChar w:fldCharType="begin">
                <w:ffData>
                  <w:name w:val=""/>
                  <w:enabled/>
                  <w:calcOnExit w:val="0"/>
                  <w:textInput>
                    <w:default w:val="Mueller, K. et al.  Cellular kinetics of CTL019 in relapsed/refractory B-cell acute lymphoblastic leukemia and chronic lymphocytic leukemia. Blood. 2017 (Sep 21). NCT01626495, NCT01747486 &amp; NCT01029366"/>
                  </w:textInput>
                </w:ffData>
              </w:fldChar>
            </w:r>
            <w:r>
              <w:instrText xml:space="preserve"> FORMTEXT </w:instrText>
            </w:r>
            <w:r>
              <w:fldChar w:fldCharType="separate"/>
            </w:r>
            <w:r>
              <w:rPr>
                <w:noProof/>
              </w:rPr>
              <w:t>Mueller, K. et al.  Cellular kinetics of CTL019 in relapsed/refractory B-cell acute lymphoblastic leukemia and chronic lymphocytic leukemia. Blood. 2017 (Sep 21). NCT01626495, NCT01747486 &amp; NCT01029366</w:t>
            </w:r>
            <w:r>
              <w:fldChar w:fldCharType="end"/>
            </w:r>
            <w:r>
              <w:t xml:space="preserve">. </w:t>
            </w:r>
          </w:p>
        </w:tc>
        <w:tc>
          <w:tcPr>
            <w:tcW w:w="748" w:type="pct"/>
          </w:tcPr>
          <w:p w14:paraId="48429024" w14:textId="77777777" w:rsidR="00A93053" w:rsidRDefault="003B2875" w:rsidP="002D7777">
            <w:pPr>
              <w:rPr>
                <w:b/>
                <w:szCs w:val="20"/>
              </w:rPr>
            </w:pPr>
            <w:r>
              <w:fldChar w:fldCharType="begin">
                <w:ffData>
                  <w:name w:val=""/>
                  <w:enabled/>
                  <w:calcOnExit w:val="0"/>
                  <w:textInput>
                    <w:default w:val="Cellular kinetic analyses of CTL019 in a cohort of 103 patients with ALL or CLL treated across three clinical studies.  "/>
                  </w:textInput>
                </w:ffData>
              </w:fldChar>
            </w:r>
            <w:r>
              <w:instrText xml:space="preserve"> FORMTEXT </w:instrText>
            </w:r>
            <w:r>
              <w:fldChar w:fldCharType="separate"/>
            </w:r>
            <w:r>
              <w:rPr>
                <w:noProof/>
              </w:rPr>
              <w:t xml:space="preserve">Cellular kinetic analyses of CTL019 in a cohort of 103 patients with ALL or CLL treated across three clinical studies.  </w:t>
            </w:r>
            <w:r>
              <w:fldChar w:fldCharType="end"/>
            </w:r>
          </w:p>
        </w:tc>
        <w:tc>
          <w:tcPr>
            <w:tcW w:w="1601" w:type="pct"/>
          </w:tcPr>
          <w:p w14:paraId="46AF164A" w14:textId="77777777" w:rsidR="00A93053" w:rsidRDefault="00A93053" w:rsidP="002D7777">
            <w:r>
              <w:fldChar w:fldCharType="begin">
                <w:ffData>
                  <w:name w:val=""/>
                  <w:enabled/>
                  <w:calcOnExit w:val="0"/>
                  <w:textInput>
                    <w:default w:val="https://www.ncbi.nlm.nih.gov/pubmed/28935694"/>
                  </w:textInput>
                </w:ffData>
              </w:fldChar>
            </w:r>
            <w:r>
              <w:instrText xml:space="preserve"> FORMTEXT </w:instrText>
            </w:r>
            <w:r>
              <w:fldChar w:fldCharType="separate"/>
            </w:r>
            <w:r>
              <w:rPr>
                <w:noProof/>
              </w:rPr>
              <w:t>https://www.ncbi.nlm.nih.gov/pubmed/28935694</w:t>
            </w:r>
            <w:r>
              <w:fldChar w:fldCharType="end"/>
            </w:r>
          </w:p>
          <w:p w14:paraId="2FEB8174" w14:textId="77777777" w:rsidR="006F6F4B" w:rsidRDefault="006F6F4B" w:rsidP="002D7777"/>
          <w:p w14:paraId="3CA08241" w14:textId="45F700EE" w:rsidR="006F6F4B" w:rsidRPr="00E82F54" w:rsidRDefault="006F6F4B" w:rsidP="002D7777">
            <w:pPr>
              <w:rPr>
                <w:b/>
                <w:szCs w:val="20"/>
              </w:rPr>
            </w:pPr>
          </w:p>
        </w:tc>
        <w:tc>
          <w:tcPr>
            <w:tcW w:w="697" w:type="pct"/>
          </w:tcPr>
          <w:p w14:paraId="74B1D4E5" w14:textId="77777777" w:rsidR="00A93053" w:rsidRPr="00E82F54" w:rsidRDefault="00A93053" w:rsidP="002D7777">
            <w:pPr>
              <w:rPr>
                <w:b/>
                <w:szCs w:val="20"/>
              </w:rPr>
            </w:pPr>
            <w:r>
              <w:fldChar w:fldCharType="begin">
                <w:ffData>
                  <w:name w:val=""/>
                  <w:enabled/>
                  <w:calcOnExit w:val="0"/>
                  <w:textInput>
                    <w:default w:val="2017"/>
                  </w:textInput>
                </w:ffData>
              </w:fldChar>
            </w:r>
            <w:r>
              <w:instrText xml:space="preserve"> FORMTEXT </w:instrText>
            </w:r>
            <w:r>
              <w:fldChar w:fldCharType="separate"/>
            </w:r>
            <w:r>
              <w:rPr>
                <w:noProof/>
              </w:rPr>
              <w:t>2017</w:t>
            </w:r>
            <w:r>
              <w:fldChar w:fldCharType="end"/>
            </w:r>
          </w:p>
        </w:tc>
      </w:tr>
      <w:tr w:rsidR="00A93053" w14:paraId="189EA915" w14:textId="77777777" w:rsidTr="003B2875">
        <w:trPr>
          <w:cantSplit/>
        </w:trPr>
        <w:tc>
          <w:tcPr>
            <w:tcW w:w="222" w:type="pct"/>
          </w:tcPr>
          <w:p w14:paraId="1747ABED" w14:textId="622A1025" w:rsidR="00A93053" w:rsidRPr="00965B6B" w:rsidRDefault="006F6F4B" w:rsidP="002D7777">
            <w:pPr>
              <w:rPr>
                <w:szCs w:val="20"/>
              </w:rPr>
            </w:pPr>
            <w:r>
              <w:rPr>
                <w:szCs w:val="20"/>
              </w:rPr>
              <w:t>2</w:t>
            </w:r>
            <w:r w:rsidR="00A93053">
              <w:rPr>
                <w:szCs w:val="20"/>
              </w:rPr>
              <w:t>.</w:t>
            </w:r>
          </w:p>
        </w:tc>
        <w:tc>
          <w:tcPr>
            <w:tcW w:w="757" w:type="pct"/>
            <w:vMerge/>
          </w:tcPr>
          <w:p w14:paraId="339B5C32" w14:textId="77777777" w:rsidR="00A93053" w:rsidRDefault="00A93053" w:rsidP="00DD308E">
            <w:pPr>
              <w:rPr>
                <w:b/>
                <w:szCs w:val="20"/>
              </w:rPr>
            </w:pPr>
          </w:p>
        </w:tc>
        <w:tc>
          <w:tcPr>
            <w:tcW w:w="975" w:type="pct"/>
          </w:tcPr>
          <w:p w14:paraId="6A2CAD5F" w14:textId="77777777" w:rsidR="00A93053" w:rsidRDefault="00A93053" w:rsidP="002D7777">
            <w:pPr>
              <w:rPr>
                <w:b/>
                <w:szCs w:val="20"/>
              </w:rPr>
            </w:pPr>
            <w:r>
              <w:fldChar w:fldCharType="begin">
                <w:ffData>
                  <w:name w:val=""/>
                  <w:enabled/>
                  <w:calcOnExit w:val="0"/>
                  <w:textInput>
                    <w:default w:val="Maude, S. et al. Chimeric antigen receptor T cells for systained remission in lukaemia.  N Engl J Med. 2014;371(16):1507. NCT01626495 &amp; NCT01029366"/>
                  </w:textInput>
                </w:ffData>
              </w:fldChar>
            </w:r>
            <w:r>
              <w:instrText xml:space="preserve"> FORMTEXT </w:instrText>
            </w:r>
            <w:r>
              <w:fldChar w:fldCharType="separate"/>
            </w:r>
            <w:r>
              <w:rPr>
                <w:noProof/>
              </w:rPr>
              <w:t>Maude, S. et al. Chimeric antigen receptor T cells for systained remission in lukaemia.  N Engl J Med. 2014;371(16):1507. NCT01626495 &amp; NCT01029366</w:t>
            </w:r>
            <w:r>
              <w:fldChar w:fldCharType="end"/>
            </w:r>
          </w:p>
        </w:tc>
        <w:tc>
          <w:tcPr>
            <w:tcW w:w="748" w:type="pct"/>
          </w:tcPr>
          <w:p w14:paraId="4F041317" w14:textId="77777777" w:rsidR="00A93053" w:rsidRDefault="00844DE2" w:rsidP="002D7777">
            <w:pPr>
              <w:rPr>
                <w:b/>
                <w:szCs w:val="20"/>
              </w:rPr>
            </w:pPr>
            <w:r>
              <w:fldChar w:fldCharType="begin">
                <w:ffData>
                  <w:name w:val=""/>
                  <w:enabled/>
                  <w:calcOnExit w:val="0"/>
                  <w:textInput>
                    <w:default w:val="Analysis of outcomes for 25 paediatric and 5 adult patients with relapsed or refractory ALL recruited across two Phase I/II clinical trials.  "/>
                  </w:textInput>
                </w:ffData>
              </w:fldChar>
            </w:r>
            <w:r>
              <w:instrText xml:space="preserve"> FORMTEXT </w:instrText>
            </w:r>
            <w:r>
              <w:fldChar w:fldCharType="separate"/>
            </w:r>
            <w:r>
              <w:rPr>
                <w:noProof/>
              </w:rPr>
              <w:t xml:space="preserve">Analysis of outcomes for 25 paediatric and 5 adult patients with relapsed or refractory ALL recruited across two Phase I/II clinical trials.  </w:t>
            </w:r>
            <w:r>
              <w:fldChar w:fldCharType="end"/>
            </w:r>
          </w:p>
        </w:tc>
        <w:tc>
          <w:tcPr>
            <w:tcW w:w="1601" w:type="pct"/>
          </w:tcPr>
          <w:p w14:paraId="6A5D43AD" w14:textId="77777777" w:rsidR="00A93053" w:rsidRPr="00E82F54" w:rsidRDefault="00A93053" w:rsidP="002D7777">
            <w:pPr>
              <w:rPr>
                <w:b/>
                <w:szCs w:val="20"/>
              </w:rPr>
            </w:pPr>
            <w:r>
              <w:fldChar w:fldCharType="begin">
                <w:ffData>
                  <w:name w:val=""/>
                  <w:enabled/>
                  <w:calcOnExit w:val="0"/>
                  <w:textInput>
                    <w:default w:val="https://www.ncbi.nlm.nih.gov/pubmed/25317870"/>
                  </w:textInput>
                </w:ffData>
              </w:fldChar>
            </w:r>
            <w:r>
              <w:instrText xml:space="preserve"> FORMTEXT </w:instrText>
            </w:r>
            <w:r>
              <w:fldChar w:fldCharType="separate"/>
            </w:r>
            <w:r>
              <w:rPr>
                <w:noProof/>
              </w:rPr>
              <w:t>https://www.ncbi.nlm.nih.gov/pubmed/25317870</w:t>
            </w:r>
            <w:r>
              <w:fldChar w:fldCharType="end"/>
            </w:r>
          </w:p>
        </w:tc>
        <w:tc>
          <w:tcPr>
            <w:tcW w:w="697" w:type="pct"/>
          </w:tcPr>
          <w:p w14:paraId="16FA3A63" w14:textId="77777777" w:rsidR="00A93053" w:rsidRPr="00E82F54" w:rsidRDefault="00A93053" w:rsidP="002D7777">
            <w:pPr>
              <w:rPr>
                <w:b/>
                <w:szCs w:val="20"/>
              </w:rPr>
            </w:pPr>
            <w:r>
              <w:fldChar w:fldCharType="begin">
                <w:ffData>
                  <w:name w:val=""/>
                  <w:enabled/>
                  <w:calcOnExit w:val="0"/>
                  <w:textInput>
                    <w:default w:val="2014"/>
                  </w:textInput>
                </w:ffData>
              </w:fldChar>
            </w:r>
            <w:r>
              <w:instrText xml:space="preserve"> FORMTEXT </w:instrText>
            </w:r>
            <w:r>
              <w:fldChar w:fldCharType="separate"/>
            </w:r>
            <w:r>
              <w:rPr>
                <w:noProof/>
              </w:rPr>
              <w:t>2014</w:t>
            </w:r>
            <w:r>
              <w:fldChar w:fldCharType="end"/>
            </w:r>
          </w:p>
        </w:tc>
      </w:tr>
      <w:tr w:rsidR="00A93053" w14:paraId="39DBD7A9" w14:textId="77777777" w:rsidTr="003B2875">
        <w:trPr>
          <w:cantSplit/>
        </w:trPr>
        <w:tc>
          <w:tcPr>
            <w:tcW w:w="222" w:type="pct"/>
          </w:tcPr>
          <w:p w14:paraId="19C93830" w14:textId="40D68C13" w:rsidR="00A93053" w:rsidRPr="00965B6B" w:rsidRDefault="006F6F4B" w:rsidP="00DD308E">
            <w:pPr>
              <w:rPr>
                <w:szCs w:val="20"/>
              </w:rPr>
            </w:pPr>
            <w:r>
              <w:rPr>
                <w:szCs w:val="20"/>
              </w:rPr>
              <w:lastRenderedPageBreak/>
              <w:t>3</w:t>
            </w:r>
            <w:r w:rsidR="00A93053">
              <w:rPr>
                <w:szCs w:val="20"/>
              </w:rPr>
              <w:t>.</w:t>
            </w:r>
          </w:p>
        </w:tc>
        <w:tc>
          <w:tcPr>
            <w:tcW w:w="757" w:type="pct"/>
            <w:vMerge/>
          </w:tcPr>
          <w:p w14:paraId="577D4DB2" w14:textId="77777777" w:rsidR="00A93053" w:rsidRDefault="00A93053" w:rsidP="00DD308E">
            <w:pPr>
              <w:rPr>
                <w:b/>
                <w:szCs w:val="20"/>
              </w:rPr>
            </w:pPr>
          </w:p>
        </w:tc>
        <w:tc>
          <w:tcPr>
            <w:tcW w:w="975" w:type="pct"/>
          </w:tcPr>
          <w:p w14:paraId="7D1A91B5" w14:textId="77777777" w:rsidR="00A93053" w:rsidRDefault="00A93053" w:rsidP="00DD308E">
            <w:pPr>
              <w:rPr>
                <w:b/>
                <w:szCs w:val="20"/>
              </w:rPr>
            </w:pPr>
            <w:r>
              <w:fldChar w:fldCharType="begin">
                <w:ffData>
                  <w:name w:val=""/>
                  <w:enabled/>
                  <w:calcOnExit w:val="0"/>
                  <w:textInput>
                    <w:default w:val="Fitzgerald, J. et al.  Cytokine release syndrome after chimeric antigen receptor T cell therapy for acute lymphoblastic leukaemia.  Crit Care Med. 2017; 45(2): e124. NCT01626495"/>
                  </w:textInput>
                </w:ffData>
              </w:fldChar>
            </w:r>
            <w:r>
              <w:instrText xml:space="preserve"> FORMTEXT </w:instrText>
            </w:r>
            <w:r>
              <w:fldChar w:fldCharType="separate"/>
            </w:r>
            <w:r>
              <w:rPr>
                <w:noProof/>
              </w:rPr>
              <w:t>Fitzgerald, J. et al.  Cytokine release syndrome after chimeric antigen receptor T cell therapy for acute lymphoblastic leukaemia.  Crit Care Med. 2017; 45(2): e124. NCT01626495</w:t>
            </w:r>
            <w:r>
              <w:fldChar w:fldCharType="end"/>
            </w:r>
          </w:p>
        </w:tc>
        <w:tc>
          <w:tcPr>
            <w:tcW w:w="748" w:type="pct"/>
          </w:tcPr>
          <w:p w14:paraId="7F54CA1B" w14:textId="77777777" w:rsidR="00A93053" w:rsidRDefault="00844DE2" w:rsidP="00DD308E">
            <w:pPr>
              <w:rPr>
                <w:b/>
                <w:szCs w:val="20"/>
              </w:rPr>
            </w:pPr>
            <w:r>
              <w:fldChar w:fldCharType="begin">
                <w:ffData>
                  <w:name w:val=""/>
                  <w:enabled/>
                  <w:calcOnExit w:val="0"/>
                  <w:textInput>
                    <w:default w:val="Retrospective analysis of cytokine release syndrome (CRS) outcomes in a subgroup of patients enrolled in NCT01626495.  "/>
                  </w:textInput>
                </w:ffData>
              </w:fldChar>
            </w:r>
            <w:r>
              <w:instrText xml:space="preserve"> FORMTEXT </w:instrText>
            </w:r>
            <w:r>
              <w:fldChar w:fldCharType="separate"/>
            </w:r>
            <w:r>
              <w:rPr>
                <w:noProof/>
              </w:rPr>
              <w:t xml:space="preserve">Retrospective analysis of cytokine release syndrome (CRS) outcomes in a subgroup of patients enrolled in NCT01626495.  </w:t>
            </w:r>
            <w:r>
              <w:fldChar w:fldCharType="end"/>
            </w:r>
          </w:p>
          <w:p w14:paraId="72DA69AA" w14:textId="77777777" w:rsidR="00A93053" w:rsidRDefault="00A93053" w:rsidP="00DD308E">
            <w:pPr>
              <w:rPr>
                <w:b/>
                <w:szCs w:val="20"/>
              </w:rPr>
            </w:pPr>
          </w:p>
        </w:tc>
        <w:tc>
          <w:tcPr>
            <w:tcW w:w="1601" w:type="pct"/>
          </w:tcPr>
          <w:p w14:paraId="021075AE" w14:textId="77777777" w:rsidR="00A93053" w:rsidRDefault="00A93053" w:rsidP="00DD308E">
            <w:r>
              <w:fldChar w:fldCharType="begin">
                <w:ffData>
                  <w:name w:val=""/>
                  <w:enabled/>
                  <w:calcOnExit w:val="0"/>
                  <w:textInput>
                    <w:default w:val="https://www.ncbi.nlm.nih.gov/pubmed/27632680"/>
                  </w:textInput>
                </w:ffData>
              </w:fldChar>
            </w:r>
            <w:r>
              <w:instrText xml:space="preserve"> FORMTEXT </w:instrText>
            </w:r>
            <w:r>
              <w:fldChar w:fldCharType="separate"/>
            </w:r>
            <w:r>
              <w:rPr>
                <w:noProof/>
              </w:rPr>
              <w:t>https://www.ncbi.nlm.nih.gov/pubmed/27632680</w:t>
            </w:r>
            <w:r>
              <w:fldChar w:fldCharType="end"/>
            </w:r>
          </w:p>
          <w:p w14:paraId="55A50B04" w14:textId="77777777" w:rsidR="006F6F4B" w:rsidRDefault="006F6F4B" w:rsidP="00DD308E"/>
          <w:p w14:paraId="40148256" w14:textId="3ADF3AC3" w:rsidR="006F6F4B" w:rsidRPr="00E82F54" w:rsidRDefault="006F6F4B" w:rsidP="00DD308E">
            <w:pPr>
              <w:rPr>
                <w:b/>
                <w:szCs w:val="20"/>
              </w:rPr>
            </w:pPr>
          </w:p>
        </w:tc>
        <w:tc>
          <w:tcPr>
            <w:tcW w:w="697" w:type="pct"/>
          </w:tcPr>
          <w:p w14:paraId="6DD90684" w14:textId="77777777" w:rsidR="00A93053" w:rsidRPr="00E82F54" w:rsidRDefault="00A93053" w:rsidP="00DD308E">
            <w:pPr>
              <w:rPr>
                <w:b/>
                <w:szCs w:val="20"/>
              </w:rPr>
            </w:pPr>
            <w:r>
              <w:fldChar w:fldCharType="begin">
                <w:ffData>
                  <w:name w:val=""/>
                  <w:enabled/>
                  <w:calcOnExit w:val="0"/>
                  <w:textInput>
                    <w:default w:val="2017"/>
                  </w:textInput>
                </w:ffData>
              </w:fldChar>
            </w:r>
            <w:r>
              <w:instrText xml:space="preserve"> FORMTEXT </w:instrText>
            </w:r>
            <w:r>
              <w:fldChar w:fldCharType="separate"/>
            </w:r>
            <w:r>
              <w:rPr>
                <w:noProof/>
              </w:rPr>
              <w:t>2017</w:t>
            </w:r>
            <w:r>
              <w:fldChar w:fldCharType="end"/>
            </w:r>
          </w:p>
        </w:tc>
      </w:tr>
      <w:tr w:rsidR="00A93053" w14:paraId="462A00C8" w14:textId="77777777" w:rsidTr="002D7777">
        <w:trPr>
          <w:cantSplit/>
        </w:trPr>
        <w:tc>
          <w:tcPr>
            <w:tcW w:w="5000" w:type="pct"/>
            <w:gridSpan w:val="6"/>
          </w:tcPr>
          <w:p w14:paraId="41ED42D7" w14:textId="08426408" w:rsidR="00A93053" w:rsidRDefault="007818CD" w:rsidP="002D7777">
            <w:r>
              <w:lastRenderedPageBreak/>
              <w:t>DLBCL</w:t>
            </w:r>
          </w:p>
        </w:tc>
      </w:tr>
      <w:tr w:rsidR="00DD308E" w14:paraId="233F80EB" w14:textId="77777777" w:rsidTr="003B2875">
        <w:trPr>
          <w:cantSplit/>
        </w:trPr>
        <w:tc>
          <w:tcPr>
            <w:tcW w:w="222" w:type="pct"/>
          </w:tcPr>
          <w:p w14:paraId="546CC7DB" w14:textId="77777777" w:rsidR="00DD308E" w:rsidRPr="00965B6B" w:rsidRDefault="00DD308E" w:rsidP="00DD308E">
            <w:pPr>
              <w:rPr>
                <w:szCs w:val="20"/>
              </w:rPr>
            </w:pPr>
            <w:r>
              <w:rPr>
                <w:szCs w:val="20"/>
              </w:rPr>
              <w:t>4.</w:t>
            </w:r>
          </w:p>
        </w:tc>
        <w:tc>
          <w:tcPr>
            <w:tcW w:w="757" w:type="pct"/>
          </w:tcPr>
          <w:p w14:paraId="6C3BF62C" w14:textId="77777777" w:rsidR="00DD308E" w:rsidRDefault="008B0245" w:rsidP="00DD308E">
            <w:pPr>
              <w:rPr>
                <w:b/>
                <w:szCs w:val="20"/>
              </w:rPr>
            </w:pPr>
            <w:r>
              <w:fldChar w:fldCharType="begin">
                <w:ffData>
                  <w:name w:val=""/>
                  <w:enabled/>
                  <w:calcOnExit w:val="0"/>
                  <w:textInput>
                    <w:default w:val="NCT02030834: A phase IIa study to estimate the efficacy of a single infusion of CLT019 in 51 adult patients non-Hodgkins Lymphoma"/>
                  </w:textInput>
                </w:ffData>
              </w:fldChar>
            </w:r>
            <w:r>
              <w:instrText xml:space="preserve"> FORMTEXT </w:instrText>
            </w:r>
            <w:r>
              <w:fldChar w:fldCharType="separate"/>
            </w:r>
            <w:r>
              <w:rPr>
                <w:noProof/>
              </w:rPr>
              <w:t>NCT02030834: A phase IIa study to estimate the efficacy of a single infusion of CLT019 in 51 adult patients non-Hodgkins Lymphoma</w:t>
            </w:r>
            <w:r>
              <w:fldChar w:fldCharType="end"/>
            </w:r>
          </w:p>
        </w:tc>
        <w:tc>
          <w:tcPr>
            <w:tcW w:w="975" w:type="pct"/>
          </w:tcPr>
          <w:p w14:paraId="535FD91D" w14:textId="77777777" w:rsidR="00DD308E" w:rsidRDefault="00A93053" w:rsidP="00DD308E">
            <w:pPr>
              <w:rPr>
                <w:b/>
                <w:szCs w:val="20"/>
              </w:rPr>
            </w:pPr>
            <w:r>
              <w:fldChar w:fldCharType="begin">
                <w:ffData>
                  <w:name w:val=""/>
                  <w:enabled/>
                  <w:calcOnExit w:val="0"/>
                  <w:textInput>
                    <w:default w:val="Schuster, S. Treatment with chimeric antigen receptor modified T cells directed against CD19 (CTL019) results in durable remissions in patients iwth relapsed or refractory DLBCL.  Blood. 2016 128:3026. (Abstract). NCT02030834."/>
                  </w:textInput>
                </w:ffData>
              </w:fldChar>
            </w:r>
            <w:r>
              <w:instrText xml:space="preserve"> FORMTEXT </w:instrText>
            </w:r>
            <w:r>
              <w:fldChar w:fldCharType="separate"/>
            </w:r>
            <w:r>
              <w:rPr>
                <w:noProof/>
              </w:rPr>
              <w:t>Schuster, S. Treatment with chimeric antigen receptor modified T cells directed against CD19 (CTL019) results in durable remissions in patients iwth relapsed or refractory DLBCL.  Blood. 2016 128:3026. (Abstract). NCT02030834.</w:t>
            </w:r>
            <w:r>
              <w:fldChar w:fldCharType="end"/>
            </w:r>
          </w:p>
        </w:tc>
        <w:tc>
          <w:tcPr>
            <w:tcW w:w="748" w:type="pct"/>
          </w:tcPr>
          <w:p w14:paraId="1F19135D" w14:textId="1C600658" w:rsidR="00DD308E" w:rsidRDefault="00844DE2" w:rsidP="00DD308E">
            <w:pPr>
              <w:rPr>
                <w:b/>
                <w:szCs w:val="20"/>
              </w:rPr>
            </w:pPr>
            <w:r>
              <w:fldChar w:fldCharType="begin">
                <w:ffData>
                  <w:name w:val=""/>
                  <w:enabled/>
                  <w:calcOnExit w:val="0"/>
                  <w:textInput>
                    <w:default w:val="Analysis of outcomes for 13 DBLCL patients entrolled in this larger Phase II study.  "/>
                  </w:textInput>
                </w:ffData>
              </w:fldChar>
            </w:r>
            <w:r>
              <w:instrText xml:space="preserve"> FORMTEXT </w:instrText>
            </w:r>
            <w:r>
              <w:fldChar w:fldCharType="separate"/>
            </w:r>
            <w:r>
              <w:rPr>
                <w:noProof/>
              </w:rPr>
              <w:t xml:space="preserve">Analysis of outcomes for 13 </w:t>
            </w:r>
            <w:r w:rsidR="007818CD">
              <w:rPr>
                <w:noProof/>
              </w:rPr>
              <w:t>DLBCL</w:t>
            </w:r>
            <w:r>
              <w:rPr>
                <w:noProof/>
              </w:rPr>
              <w:t xml:space="preserve"> patients entrolled in this larger Phase II study.  </w:t>
            </w:r>
            <w:r>
              <w:fldChar w:fldCharType="end"/>
            </w:r>
          </w:p>
        </w:tc>
        <w:tc>
          <w:tcPr>
            <w:tcW w:w="1601" w:type="pct"/>
          </w:tcPr>
          <w:p w14:paraId="5D54F090" w14:textId="77777777" w:rsidR="00DD308E" w:rsidRDefault="00DF0183" w:rsidP="00DD308E">
            <w:r>
              <w:fldChar w:fldCharType="begin">
                <w:ffData>
                  <w:name w:val=""/>
                  <w:enabled/>
                  <w:calcOnExit w:val="0"/>
                  <w:textInput>
                    <w:default w:val="http://www.bloodjournal.org/content/128/22/3026"/>
                  </w:textInput>
                </w:ffData>
              </w:fldChar>
            </w:r>
            <w:r>
              <w:instrText xml:space="preserve"> FORMTEXT </w:instrText>
            </w:r>
            <w:r>
              <w:fldChar w:fldCharType="separate"/>
            </w:r>
            <w:r>
              <w:rPr>
                <w:noProof/>
              </w:rPr>
              <w:t>http://www.bloodjournal.org/content/128/22/3026</w:t>
            </w:r>
            <w:r>
              <w:fldChar w:fldCharType="end"/>
            </w:r>
          </w:p>
          <w:p w14:paraId="1FEB8E4A" w14:textId="77777777" w:rsidR="006F6F4B" w:rsidRDefault="006F6F4B" w:rsidP="00DD308E"/>
          <w:p w14:paraId="2008AADB" w14:textId="5BD31F4D" w:rsidR="006F6F4B" w:rsidRPr="00E82F54" w:rsidRDefault="006F6F4B" w:rsidP="00DD308E">
            <w:pPr>
              <w:rPr>
                <w:b/>
                <w:szCs w:val="20"/>
              </w:rPr>
            </w:pPr>
          </w:p>
        </w:tc>
        <w:tc>
          <w:tcPr>
            <w:tcW w:w="697" w:type="pct"/>
          </w:tcPr>
          <w:p w14:paraId="078F65C2" w14:textId="77777777" w:rsidR="00DD308E" w:rsidRPr="00E82F54" w:rsidRDefault="00DF0183" w:rsidP="00DD308E">
            <w:pPr>
              <w:rPr>
                <w:b/>
                <w:szCs w:val="20"/>
              </w:rPr>
            </w:pPr>
            <w:r>
              <w:fldChar w:fldCharType="begin">
                <w:ffData>
                  <w:name w:val=""/>
                  <w:enabled/>
                  <w:calcOnExit w:val="0"/>
                  <w:textInput>
                    <w:default w:val="2016"/>
                  </w:textInput>
                </w:ffData>
              </w:fldChar>
            </w:r>
            <w:r>
              <w:instrText xml:space="preserve"> FORMTEXT </w:instrText>
            </w:r>
            <w:r>
              <w:fldChar w:fldCharType="separate"/>
            </w:r>
            <w:r>
              <w:rPr>
                <w:noProof/>
              </w:rPr>
              <w:t>2016</w:t>
            </w:r>
            <w:r>
              <w:fldChar w:fldCharType="end"/>
            </w:r>
          </w:p>
        </w:tc>
      </w:tr>
    </w:tbl>
    <w:p w14:paraId="56418F1C" w14:textId="77777777" w:rsidR="00DD308E" w:rsidRDefault="00DD308E" w:rsidP="006F6F4B">
      <w:pPr>
        <w:spacing w:before="0" w:after="0"/>
        <w:ind w:left="425"/>
        <w:rPr>
          <w:i/>
          <w:szCs w:val="20"/>
        </w:rPr>
      </w:pPr>
      <w:r>
        <w:rPr>
          <w:i/>
          <w:szCs w:val="20"/>
        </w:rPr>
        <w:t xml:space="preserve">* Categorise study design, for example meta-analysis, randomised trials, non-randomised trial or observational study, study of diagnostic accuracy, etc. </w:t>
      </w:r>
    </w:p>
    <w:p w14:paraId="396EEA2B" w14:textId="77777777" w:rsidR="006F6F4B" w:rsidRDefault="00DD308E" w:rsidP="006F6F4B">
      <w:pPr>
        <w:spacing w:before="0" w:after="0"/>
        <w:ind w:left="425"/>
        <w:rPr>
          <w:i/>
          <w:szCs w:val="20"/>
        </w:rPr>
      </w:pPr>
      <w:r>
        <w:rPr>
          <w:i/>
          <w:szCs w:val="20"/>
        </w:rPr>
        <w:t>**Provide high level information including population numbers and whether patients are being recruited or in post-recruitment, including providing the trial registration number to allow for tracking purposes.</w:t>
      </w:r>
      <w:r w:rsidR="006F6F4B">
        <w:rPr>
          <w:i/>
          <w:szCs w:val="20"/>
        </w:rPr>
        <w:t xml:space="preserve">  </w:t>
      </w:r>
    </w:p>
    <w:p w14:paraId="1A107BFB" w14:textId="2ECAE98F" w:rsidR="00DD308E" w:rsidRDefault="00DD308E" w:rsidP="006F6F4B">
      <w:pPr>
        <w:spacing w:before="0" w:after="0"/>
        <w:ind w:left="425"/>
        <w:rPr>
          <w:b/>
          <w:sz w:val="32"/>
          <w:szCs w:val="32"/>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576819B6" w14:textId="77777777" w:rsidR="006F6F4B" w:rsidRPr="006F6F4B" w:rsidRDefault="006F6F4B" w:rsidP="006F6F4B">
      <w:pPr>
        <w:spacing w:before="0" w:after="0"/>
        <w:ind w:left="425"/>
        <w:rPr>
          <w:i/>
          <w:szCs w:val="20"/>
        </w:rPr>
        <w:sectPr w:rsidR="006F6F4B" w:rsidRPr="006F6F4B" w:rsidSect="00DD308E">
          <w:pgSz w:w="16838" w:h="11906" w:orient="landscape"/>
          <w:pgMar w:top="1440" w:right="1440" w:bottom="1440" w:left="1440" w:header="708" w:footer="708" w:gutter="0"/>
          <w:cols w:space="708"/>
          <w:docGrid w:linePitch="360"/>
        </w:sectPr>
      </w:pPr>
    </w:p>
    <w:p w14:paraId="05710775"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ook w:val="04A0" w:firstRow="1" w:lastRow="0" w:firstColumn="1" w:lastColumn="0" w:noHBand="0" w:noVBand="1"/>
        <w:tblCaption w:val="Summary of Evidence - Yet to be Published"/>
      </w:tblPr>
      <w:tblGrid>
        <w:gridCol w:w="789"/>
        <w:gridCol w:w="2403"/>
        <w:gridCol w:w="3055"/>
        <w:gridCol w:w="2372"/>
        <w:gridCol w:w="4204"/>
        <w:gridCol w:w="1351"/>
      </w:tblGrid>
      <w:tr w:rsidR="004C49EF" w14:paraId="0EF88D5A" w14:textId="77777777" w:rsidTr="004C49EF">
        <w:trPr>
          <w:cantSplit/>
          <w:tblHeader/>
        </w:trPr>
        <w:tc>
          <w:tcPr>
            <w:tcW w:w="326" w:type="pct"/>
          </w:tcPr>
          <w:p w14:paraId="5C37BA9D" w14:textId="77777777" w:rsidR="004C49EF" w:rsidRDefault="004C49EF" w:rsidP="00855944">
            <w:pPr>
              <w:pStyle w:val="TableHEADER"/>
            </w:pPr>
          </w:p>
        </w:tc>
        <w:tc>
          <w:tcPr>
            <w:tcW w:w="895" w:type="pct"/>
          </w:tcPr>
          <w:p w14:paraId="60FF1231" w14:textId="77777777" w:rsidR="004C49EF" w:rsidRDefault="004C49EF" w:rsidP="00855944">
            <w:pPr>
              <w:pStyle w:val="TableHEADER"/>
            </w:pPr>
            <w:r>
              <w:t>Type of study design*</w:t>
            </w:r>
          </w:p>
        </w:tc>
        <w:tc>
          <w:tcPr>
            <w:tcW w:w="1125" w:type="pct"/>
          </w:tcPr>
          <w:p w14:paraId="3469D6FD" w14:textId="77777777" w:rsidR="004C49EF" w:rsidRDefault="004C49EF" w:rsidP="00855944">
            <w:pPr>
              <w:pStyle w:val="TableHEADER"/>
            </w:pPr>
            <w:r>
              <w:t>Title of research (including any trial identifier if relevant)</w:t>
            </w:r>
          </w:p>
        </w:tc>
        <w:tc>
          <w:tcPr>
            <w:tcW w:w="884" w:type="pct"/>
          </w:tcPr>
          <w:p w14:paraId="5B69850B" w14:textId="77777777" w:rsidR="004C49EF" w:rsidRDefault="00367C1B" w:rsidP="00855944">
            <w:pPr>
              <w:pStyle w:val="TableHEADER"/>
            </w:pPr>
            <w:r>
              <w:t xml:space="preserve">Short description of research </w:t>
            </w:r>
            <w:r w:rsidR="004C49EF">
              <w:t>(max 50 words)**</w:t>
            </w:r>
          </w:p>
        </w:tc>
        <w:tc>
          <w:tcPr>
            <w:tcW w:w="1246" w:type="pct"/>
          </w:tcPr>
          <w:p w14:paraId="7A21EEBA" w14:textId="77777777" w:rsidR="004C49EF" w:rsidRDefault="004C49EF" w:rsidP="00855944">
            <w:pPr>
              <w:pStyle w:val="TableHEADER"/>
            </w:pPr>
            <w:r w:rsidRPr="00E82F54">
              <w:t xml:space="preserve">Website link to </w:t>
            </w:r>
            <w:r>
              <w:t>research (if available)</w:t>
            </w:r>
          </w:p>
        </w:tc>
        <w:tc>
          <w:tcPr>
            <w:tcW w:w="524" w:type="pct"/>
          </w:tcPr>
          <w:p w14:paraId="02D05FD1" w14:textId="77777777" w:rsidR="004C49EF" w:rsidRDefault="004C49EF" w:rsidP="00855944">
            <w:pPr>
              <w:pStyle w:val="TableHEADER"/>
            </w:pPr>
            <w:r w:rsidRPr="00E82F54">
              <w:t>Date*</w:t>
            </w:r>
            <w:r>
              <w:t>**</w:t>
            </w:r>
          </w:p>
        </w:tc>
      </w:tr>
      <w:tr w:rsidR="00D8120A" w14:paraId="49AC1488" w14:textId="77777777" w:rsidTr="00D8120A">
        <w:trPr>
          <w:cantSplit/>
        </w:trPr>
        <w:tc>
          <w:tcPr>
            <w:tcW w:w="5000" w:type="pct"/>
            <w:gridSpan w:val="6"/>
          </w:tcPr>
          <w:p w14:paraId="7053608E" w14:textId="77777777" w:rsidR="00D8120A" w:rsidRDefault="00D8120A" w:rsidP="00526478">
            <w:r>
              <w:t>ALL</w:t>
            </w:r>
          </w:p>
        </w:tc>
      </w:tr>
      <w:tr w:rsidR="004C49EF" w14:paraId="5FC3AE0C" w14:textId="77777777" w:rsidTr="004C49EF">
        <w:trPr>
          <w:cantSplit/>
        </w:trPr>
        <w:tc>
          <w:tcPr>
            <w:tcW w:w="326" w:type="pct"/>
          </w:tcPr>
          <w:p w14:paraId="699C8370" w14:textId="77777777" w:rsidR="004C49EF" w:rsidRPr="00965B6B" w:rsidRDefault="004C49EF" w:rsidP="00526478">
            <w:pPr>
              <w:rPr>
                <w:szCs w:val="20"/>
              </w:rPr>
            </w:pPr>
            <w:r w:rsidRPr="00965B6B">
              <w:rPr>
                <w:szCs w:val="20"/>
              </w:rPr>
              <w:t>1</w:t>
            </w:r>
            <w:r>
              <w:rPr>
                <w:szCs w:val="20"/>
              </w:rPr>
              <w:t>.</w:t>
            </w:r>
          </w:p>
        </w:tc>
        <w:tc>
          <w:tcPr>
            <w:tcW w:w="895" w:type="pct"/>
          </w:tcPr>
          <w:p w14:paraId="346B5E51" w14:textId="77777777" w:rsidR="004C49EF" w:rsidRDefault="00213F68" w:rsidP="00526478">
            <w:pPr>
              <w:rPr>
                <w:b/>
                <w:szCs w:val="20"/>
              </w:rPr>
            </w:pPr>
            <w:r>
              <w:fldChar w:fldCharType="begin">
                <w:ffData>
                  <w:name w:val=""/>
                  <w:enabled/>
                  <w:calcOnExit w:val="0"/>
                  <w:textInput>
                    <w:default w:val="Ongoing phase II, single arm, multicenter trial to determine the efficacy and safety of CTL019 in 75 pediatric patients (3-23 years) with relapsed / refractory B-cell ALL"/>
                  </w:textInput>
                </w:ffData>
              </w:fldChar>
            </w:r>
            <w:r>
              <w:instrText xml:space="preserve"> FORMTEXT </w:instrText>
            </w:r>
            <w:r>
              <w:fldChar w:fldCharType="separate"/>
            </w:r>
            <w:r>
              <w:rPr>
                <w:noProof/>
              </w:rPr>
              <w:t>Ongoing phase II, single arm, multicenter trial to determine the efficacy and safety of CTL019 in 75 pediatric patients (3-23 years) with relapsed / refractory B-cell ALL</w:t>
            </w:r>
            <w:r>
              <w:fldChar w:fldCharType="end"/>
            </w:r>
          </w:p>
        </w:tc>
        <w:tc>
          <w:tcPr>
            <w:tcW w:w="1125" w:type="pct"/>
          </w:tcPr>
          <w:p w14:paraId="160E2238" w14:textId="77777777" w:rsidR="004C49EF" w:rsidRDefault="008B0245" w:rsidP="00526478">
            <w:pPr>
              <w:rPr>
                <w:b/>
                <w:szCs w:val="20"/>
              </w:rPr>
            </w:pPr>
            <w:r>
              <w:fldChar w:fldCharType="begin">
                <w:ffData>
                  <w:name w:val=""/>
                  <w:enabled/>
                  <w:calcOnExit w:val="0"/>
                  <w:textInput>
                    <w:default w:val="ELIANA: Global registration trial of efficacy and safety of CTL019 in pediatric and young adult patients with relapsed / refractory ALL.  CLT019B2202; NCT02435849.   "/>
                  </w:textInput>
                </w:ffData>
              </w:fldChar>
            </w:r>
            <w:r>
              <w:instrText xml:space="preserve"> FORMTEXT </w:instrText>
            </w:r>
            <w:r>
              <w:fldChar w:fldCharType="separate"/>
            </w:r>
            <w:r>
              <w:rPr>
                <w:noProof/>
              </w:rPr>
              <w:t xml:space="preserve">ELIANA: Global registration trial of efficacy and safety of CTL019 in pediatric and young adult patients with relapsed / refractory ALL.  CLT019B2202; NCT02435849.   </w:t>
            </w:r>
            <w:r>
              <w:fldChar w:fldCharType="end"/>
            </w:r>
          </w:p>
        </w:tc>
        <w:tc>
          <w:tcPr>
            <w:tcW w:w="884" w:type="pct"/>
          </w:tcPr>
          <w:p w14:paraId="37437B30" w14:textId="77777777" w:rsidR="004C49EF" w:rsidRDefault="00213F68" w:rsidP="00526478">
            <w:pPr>
              <w:rPr>
                <w:b/>
                <w:szCs w:val="20"/>
              </w:rPr>
            </w:pPr>
            <w:r>
              <w:fldChar w:fldCharType="begin">
                <w:ffData>
                  <w:name w:val=""/>
                  <w:enabled/>
                  <w:calcOnExit w:val="0"/>
                  <w:textInput>
                    <w:default w:val="A clinical study report is available for the second interim analysis of the trial with a data cut off of 25 April 2017.  Data are included up to the date when all patients infused with tisagenlecleucel have concluded the primary ORR endpoint.  "/>
                  </w:textInput>
                </w:ffData>
              </w:fldChar>
            </w:r>
            <w:r>
              <w:instrText xml:space="preserve"> FORMTEXT </w:instrText>
            </w:r>
            <w:r>
              <w:fldChar w:fldCharType="separate"/>
            </w:r>
            <w:r>
              <w:rPr>
                <w:noProof/>
              </w:rPr>
              <w:t xml:space="preserve">A clinical study report is available for the second interim analysis of the trial with a data cut off of 25 April 2017.  Data are included up to the date when all patients infused with tisagenlecleucel have concluded the primary ORR endpoint.  </w:t>
            </w:r>
            <w:r>
              <w:fldChar w:fldCharType="end"/>
            </w:r>
          </w:p>
        </w:tc>
        <w:tc>
          <w:tcPr>
            <w:tcW w:w="1246" w:type="pct"/>
          </w:tcPr>
          <w:p w14:paraId="0229DBCE" w14:textId="77777777" w:rsidR="004C49EF" w:rsidRDefault="007446F0" w:rsidP="00526478">
            <w:r>
              <w:fldChar w:fldCharType="begin">
                <w:ffData>
                  <w:name w:val=""/>
                  <w:enabled/>
                  <w:calcOnExit w:val="0"/>
                  <w:textInput>
                    <w:default w:val="https://clinicaltrials.gov/ct2/show/NCT02435849"/>
                  </w:textInput>
                </w:ffData>
              </w:fldChar>
            </w:r>
            <w:r>
              <w:instrText xml:space="preserve"> FORMTEXT </w:instrText>
            </w:r>
            <w:r>
              <w:fldChar w:fldCharType="separate"/>
            </w:r>
            <w:r>
              <w:rPr>
                <w:noProof/>
              </w:rPr>
              <w:t>https://clinicaltrials.gov/ct2/show/NCT02435849</w:t>
            </w:r>
            <w:r>
              <w:fldChar w:fldCharType="end"/>
            </w:r>
          </w:p>
          <w:p w14:paraId="70194C40" w14:textId="77777777" w:rsidR="006F6F4B" w:rsidRDefault="006F6F4B" w:rsidP="00526478"/>
          <w:p w14:paraId="32D9A6CC" w14:textId="158F3421" w:rsidR="006F6F4B" w:rsidRPr="00E82F54" w:rsidRDefault="006F6F4B" w:rsidP="00526478">
            <w:pPr>
              <w:rPr>
                <w:b/>
                <w:szCs w:val="20"/>
              </w:rPr>
            </w:pPr>
            <w:r>
              <w:t>See also EHA 2017 abstract^</w:t>
            </w:r>
          </w:p>
        </w:tc>
        <w:tc>
          <w:tcPr>
            <w:tcW w:w="524" w:type="pct"/>
          </w:tcPr>
          <w:p w14:paraId="62E0A916" w14:textId="77777777" w:rsidR="004C49EF" w:rsidRPr="00E82F54" w:rsidRDefault="00627766" w:rsidP="00526478">
            <w:pPr>
              <w:rPr>
                <w:b/>
                <w:szCs w:val="20"/>
              </w:rPr>
            </w:pPr>
            <w:r>
              <w:fldChar w:fldCharType="begin">
                <w:ffData>
                  <w:name w:val=""/>
                  <w:enabled/>
                  <w:calcOnExit w:val="0"/>
                  <w:textInput>
                    <w:default w:val="2017"/>
                  </w:textInput>
                </w:ffData>
              </w:fldChar>
            </w:r>
            <w:r>
              <w:instrText xml:space="preserve"> FORMTEXT </w:instrText>
            </w:r>
            <w:r>
              <w:fldChar w:fldCharType="separate"/>
            </w:r>
            <w:r>
              <w:rPr>
                <w:noProof/>
              </w:rPr>
              <w:t>2017</w:t>
            </w:r>
            <w:r>
              <w:fldChar w:fldCharType="end"/>
            </w:r>
          </w:p>
        </w:tc>
      </w:tr>
      <w:tr w:rsidR="00D8120A" w14:paraId="170D37BA" w14:textId="77777777" w:rsidTr="006F6F4B">
        <w:trPr>
          <w:cantSplit/>
          <w:trHeight w:val="329"/>
        </w:trPr>
        <w:tc>
          <w:tcPr>
            <w:tcW w:w="5000" w:type="pct"/>
            <w:gridSpan w:val="6"/>
          </w:tcPr>
          <w:p w14:paraId="70F8E244" w14:textId="727A0388" w:rsidR="00D8120A" w:rsidRDefault="007818CD" w:rsidP="00526478">
            <w:r>
              <w:t>DLBCL</w:t>
            </w:r>
          </w:p>
        </w:tc>
      </w:tr>
      <w:tr w:rsidR="004C49EF" w14:paraId="495B40CC" w14:textId="77777777" w:rsidTr="004C49EF">
        <w:trPr>
          <w:cantSplit/>
        </w:trPr>
        <w:tc>
          <w:tcPr>
            <w:tcW w:w="326" w:type="pct"/>
          </w:tcPr>
          <w:p w14:paraId="711F9922" w14:textId="77777777" w:rsidR="004C49EF" w:rsidRPr="00965B6B" w:rsidRDefault="004C49EF" w:rsidP="00526478">
            <w:pPr>
              <w:rPr>
                <w:szCs w:val="20"/>
              </w:rPr>
            </w:pPr>
            <w:r>
              <w:rPr>
                <w:szCs w:val="20"/>
              </w:rPr>
              <w:t>2.</w:t>
            </w:r>
          </w:p>
        </w:tc>
        <w:tc>
          <w:tcPr>
            <w:tcW w:w="895" w:type="pct"/>
          </w:tcPr>
          <w:p w14:paraId="6442A0E4" w14:textId="194CBCDC" w:rsidR="004C49EF" w:rsidRDefault="00213F68" w:rsidP="00526478">
            <w:pPr>
              <w:rPr>
                <w:b/>
                <w:szCs w:val="20"/>
              </w:rPr>
            </w:pPr>
            <w:r>
              <w:fldChar w:fldCharType="begin">
                <w:ffData>
                  <w:name w:val=""/>
                  <w:enabled/>
                  <w:calcOnExit w:val="0"/>
                  <w:textInput>
                    <w:default w:val="Ongoing phase II, single arm, multicenter trial to determine the efficacy and safety of CTL019 in 99 adult patients with relapsed / refractory DBLCL "/>
                  </w:textInput>
                </w:ffData>
              </w:fldChar>
            </w:r>
            <w:r>
              <w:instrText xml:space="preserve"> FORMTEXT </w:instrText>
            </w:r>
            <w:r>
              <w:fldChar w:fldCharType="separate"/>
            </w:r>
            <w:r>
              <w:rPr>
                <w:noProof/>
              </w:rPr>
              <w:t xml:space="preserve">Ongoing phase II, single arm, multicenter trial to determine the efficacy and safety of CTL019 in 99 adult patients with relapsed / refractory </w:t>
            </w:r>
            <w:r w:rsidR="007818CD">
              <w:rPr>
                <w:noProof/>
              </w:rPr>
              <w:t>DLBCL</w:t>
            </w:r>
            <w:r>
              <w:rPr>
                <w:noProof/>
              </w:rPr>
              <w:t xml:space="preserve"> </w:t>
            </w:r>
            <w:r>
              <w:fldChar w:fldCharType="end"/>
            </w:r>
          </w:p>
        </w:tc>
        <w:tc>
          <w:tcPr>
            <w:tcW w:w="1125" w:type="pct"/>
          </w:tcPr>
          <w:p w14:paraId="6B232843" w14:textId="0A7FB176" w:rsidR="004C49EF" w:rsidRDefault="00627766" w:rsidP="00526478">
            <w:pPr>
              <w:rPr>
                <w:b/>
                <w:szCs w:val="20"/>
              </w:rPr>
            </w:pPr>
            <w:r>
              <w:fldChar w:fldCharType="begin">
                <w:ffData>
                  <w:name w:val=""/>
                  <w:enabled/>
                  <w:calcOnExit w:val="0"/>
                  <w:textInput>
                    <w:default w:val="JULIET: Global trial of the efficacy and safety of CTL019 in adult patients with relapsed or refractory DBLCL.  CTL019C2201; NCT02445248"/>
                  </w:textInput>
                </w:ffData>
              </w:fldChar>
            </w:r>
            <w:r>
              <w:instrText xml:space="preserve"> FORMTEXT </w:instrText>
            </w:r>
            <w:r>
              <w:fldChar w:fldCharType="separate"/>
            </w:r>
            <w:r>
              <w:rPr>
                <w:noProof/>
              </w:rPr>
              <w:t xml:space="preserve">JULIET: Global trial of the efficacy and safety of CTL019 in adult patients with relapsed or refractory </w:t>
            </w:r>
            <w:r w:rsidR="007818CD">
              <w:rPr>
                <w:noProof/>
              </w:rPr>
              <w:t>DLBCL</w:t>
            </w:r>
            <w:r>
              <w:rPr>
                <w:noProof/>
              </w:rPr>
              <w:t>.  CTL019C2201; NCT02445248</w:t>
            </w:r>
            <w:r>
              <w:fldChar w:fldCharType="end"/>
            </w:r>
          </w:p>
        </w:tc>
        <w:tc>
          <w:tcPr>
            <w:tcW w:w="884" w:type="pct"/>
          </w:tcPr>
          <w:p w14:paraId="3ECC7F96" w14:textId="27586B1D" w:rsidR="004C49EF" w:rsidRDefault="006F6F4B" w:rsidP="00526478">
            <w:pPr>
              <w:rPr>
                <w:b/>
                <w:szCs w:val="20"/>
              </w:rPr>
            </w:pPr>
            <w:r>
              <w:fldChar w:fldCharType="begin">
                <w:ffData>
                  <w:name w:val=""/>
                  <w:enabled/>
                  <w:calcOnExit w:val="0"/>
                  <w:textInput>
                    <w:default w:val="A clinical study report is available for the first interim analysis (also the pre-specified primary endpoint analysis of ORR for 51 patients) with a data cut off date of 8 March 2017.   "/>
                  </w:textInput>
                </w:ffData>
              </w:fldChar>
            </w:r>
            <w:r>
              <w:instrText xml:space="preserve"> FORMTEXT </w:instrText>
            </w:r>
            <w:r>
              <w:fldChar w:fldCharType="separate"/>
            </w:r>
            <w:r>
              <w:rPr>
                <w:noProof/>
              </w:rPr>
              <w:t xml:space="preserve">A clinical study report is available for the first interim analysis (also the pre-specified primary endpoint analysis of ORR for 51 patients) with a data cut off date of 8 March 2017.   </w:t>
            </w:r>
            <w:r>
              <w:fldChar w:fldCharType="end"/>
            </w:r>
          </w:p>
        </w:tc>
        <w:tc>
          <w:tcPr>
            <w:tcW w:w="1246" w:type="pct"/>
          </w:tcPr>
          <w:p w14:paraId="2B713371" w14:textId="77777777" w:rsidR="004C49EF" w:rsidRDefault="00627766" w:rsidP="00526478">
            <w:r>
              <w:fldChar w:fldCharType="begin">
                <w:ffData>
                  <w:name w:val=""/>
                  <w:enabled/>
                  <w:calcOnExit w:val="0"/>
                  <w:textInput>
                    <w:default w:val="https://clinicaltrials.gov/ct2/show/NCT02445248"/>
                  </w:textInput>
                </w:ffData>
              </w:fldChar>
            </w:r>
            <w:r>
              <w:instrText xml:space="preserve"> FORMTEXT </w:instrText>
            </w:r>
            <w:r>
              <w:fldChar w:fldCharType="separate"/>
            </w:r>
            <w:r>
              <w:rPr>
                <w:noProof/>
              </w:rPr>
              <w:t>https://clinicaltrials.gov/ct2/show/NCT02445248</w:t>
            </w:r>
            <w:r>
              <w:fldChar w:fldCharType="end"/>
            </w:r>
          </w:p>
          <w:p w14:paraId="17C0A2F9" w14:textId="77777777" w:rsidR="006F6F4B" w:rsidRDefault="006F6F4B" w:rsidP="00526478"/>
          <w:p w14:paraId="4647710A" w14:textId="5438FA68" w:rsidR="006F6F4B" w:rsidRPr="00E82F54" w:rsidRDefault="006F6F4B" w:rsidP="00526478">
            <w:pPr>
              <w:rPr>
                <w:b/>
                <w:szCs w:val="20"/>
              </w:rPr>
            </w:pPr>
            <w:r>
              <w:t>See also ICML 2017 abstract^^</w:t>
            </w:r>
          </w:p>
        </w:tc>
        <w:tc>
          <w:tcPr>
            <w:tcW w:w="524" w:type="pct"/>
          </w:tcPr>
          <w:p w14:paraId="3DC8546A" w14:textId="77777777" w:rsidR="004C49EF" w:rsidRPr="00E82F54" w:rsidRDefault="00627766" w:rsidP="00526478">
            <w:pPr>
              <w:rPr>
                <w:b/>
                <w:szCs w:val="20"/>
              </w:rPr>
            </w:pPr>
            <w:r>
              <w:fldChar w:fldCharType="begin">
                <w:ffData>
                  <w:name w:val=""/>
                  <w:enabled/>
                  <w:calcOnExit w:val="0"/>
                  <w:textInput>
                    <w:default w:val="2017"/>
                  </w:textInput>
                </w:ffData>
              </w:fldChar>
            </w:r>
            <w:r>
              <w:instrText xml:space="preserve"> FORMTEXT </w:instrText>
            </w:r>
            <w:r>
              <w:fldChar w:fldCharType="separate"/>
            </w:r>
            <w:r>
              <w:rPr>
                <w:noProof/>
              </w:rPr>
              <w:t>2017</w:t>
            </w:r>
            <w:r>
              <w:fldChar w:fldCharType="end"/>
            </w:r>
          </w:p>
        </w:tc>
      </w:tr>
    </w:tbl>
    <w:p w14:paraId="4CD1A73A" w14:textId="77777777" w:rsidR="004C49EF" w:rsidRDefault="004C49EF" w:rsidP="006F6F4B">
      <w:pPr>
        <w:spacing w:before="0" w:after="0"/>
        <w:ind w:left="425"/>
        <w:rPr>
          <w:i/>
          <w:szCs w:val="20"/>
        </w:rPr>
      </w:pPr>
      <w:r>
        <w:rPr>
          <w:i/>
          <w:szCs w:val="20"/>
        </w:rPr>
        <w:t xml:space="preserve">* Categorise study design, for example meta-analysis, randomised trials, non-randomised trial or observational study, study of diagnostic accuracy, etc. </w:t>
      </w:r>
    </w:p>
    <w:p w14:paraId="22094319" w14:textId="77777777" w:rsidR="004C49EF" w:rsidRDefault="004C49EF" w:rsidP="006F6F4B">
      <w:pPr>
        <w:spacing w:before="0" w:after="0"/>
        <w:ind w:left="425"/>
        <w:rPr>
          <w:i/>
          <w:szCs w:val="20"/>
        </w:rPr>
      </w:pPr>
      <w:r>
        <w:rPr>
          <w:i/>
          <w:szCs w:val="20"/>
        </w:rPr>
        <w:t>**Provide high level information including population numbers and whether patients are being recruited or in post-recruitment.</w:t>
      </w:r>
    </w:p>
    <w:p w14:paraId="721CB292" w14:textId="0611F667" w:rsidR="00DD308E" w:rsidRDefault="004C49EF" w:rsidP="006F6F4B">
      <w:pPr>
        <w:spacing w:before="0" w:after="0"/>
        <w:ind w:left="425"/>
        <w:rPr>
          <w:b/>
          <w:sz w:val="32"/>
          <w:szCs w:val="32"/>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1F9C0FF7" w14:textId="78F0A9BD" w:rsidR="006F6F4B" w:rsidRPr="006F6F4B" w:rsidRDefault="006F6F4B" w:rsidP="006F6F4B">
      <w:pPr>
        <w:spacing w:before="0" w:after="0"/>
        <w:ind w:left="425"/>
        <w:rPr>
          <w:i/>
          <w:szCs w:val="20"/>
        </w:rPr>
      </w:pPr>
      <w:r w:rsidRPr="006F6F4B">
        <w:rPr>
          <w:i/>
          <w:szCs w:val="20"/>
        </w:rPr>
        <w:t xml:space="preserve">^ </w:t>
      </w:r>
      <w:r w:rsidRPr="006F6F4B">
        <w:rPr>
          <w:i/>
        </w:rPr>
        <w:t>https://learningcenter.ehaweb.org/eha/2017/22nd/181763/stephan.a.grupp.global.registration.trial.of.efficacy.and.safety.of.ctl019.in.html?f=topic=1574*media=3</w:t>
      </w:r>
    </w:p>
    <w:p w14:paraId="411D4661" w14:textId="77777777" w:rsidR="006F6F4B" w:rsidRPr="006F6F4B" w:rsidRDefault="006F6F4B" w:rsidP="006F6F4B">
      <w:pPr>
        <w:spacing w:before="0" w:after="0"/>
        <w:ind w:left="425"/>
        <w:rPr>
          <w:i/>
          <w:szCs w:val="20"/>
        </w:rPr>
      </w:pPr>
      <w:r w:rsidRPr="006F6F4B">
        <w:rPr>
          <w:i/>
          <w:szCs w:val="20"/>
        </w:rPr>
        <w:t>^^http://onlinelibrary.wiley.com/doi/10.1002/hon.2437_6/full</w:t>
      </w:r>
    </w:p>
    <w:p w14:paraId="7528218D" w14:textId="77777777" w:rsidR="006F6F4B" w:rsidRDefault="006F6F4B">
      <w:pPr>
        <w:rPr>
          <w:b/>
          <w:sz w:val="32"/>
          <w:szCs w:val="32"/>
        </w:rPr>
        <w:sectPr w:rsidR="006F6F4B" w:rsidSect="00DD308E">
          <w:pgSz w:w="16838" w:h="11906" w:orient="landscape"/>
          <w:pgMar w:top="1440" w:right="1440" w:bottom="1440" w:left="1440" w:header="708" w:footer="708" w:gutter="0"/>
          <w:cols w:space="708"/>
          <w:docGrid w:linePitch="360"/>
        </w:sectPr>
      </w:pPr>
    </w:p>
    <w:p w14:paraId="51FB74D6"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36BE21DD"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3725F93F" w14:textId="77777777" w:rsidR="008C3B55" w:rsidRDefault="008C3B55" w:rsidP="008C3B55">
      <w:pPr>
        <w:ind w:left="426"/>
      </w:pPr>
      <w:r>
        <w:fldChar w:fldCharType="begin">
          <w:ffData>
            <w:name w:val=""/>
            <w:enabled/>
            <w:calcOnExit w:val="0"/>
            <w:textInput>
              <w:default w:val="Haematology Society of Australia and New Zealand (HSANZ)"/>
            </w:textInput>
          </w:ffData>
        </w:fldChar>
      </w:r>
      <w:r>
        <w:instrText xml:space="preserve"> FORMTEXT </w:instrText>
      </w:r>
      <w:r>
        <w:fldChar w:fldCharType="separate"/>
      </w:r>
      <w:r>
        <w:rPr>
          <w:noProof/>
        </w:rPr>
        <w:t>Haematology Society of Australia and New Zealand (HSANZ)</w:t>
      </w:r>
      <w:r>
        <w:fldChar w:fldCharType="end"/>
      </w:r>
    </w:p>
    <w:p w14:paraId="46D7B72F" w14:textId="77777777" w:rsidR="008C3B55" w:rsidRDefault="008C3B55" w:rsidP="008C3B55">
      <w:pPr>
        <w:ind w:left="426"/>
      </w:pPr>
      <w:r>
        <w:fldChar w:fldCharType="begin">
          <w:ffData>
            <w:name w:val=""/>
            <w:enabled/>
            <w:calcOnExit w:val="0"/>
            <w:textInput>
              <w:default w:val="Australasian Leukaemia &amp; Lymphoma Group (ALLG)"/>
            </w:textInput>
          </w:ffData>
        </w:fldChar>
      </w:r>
      <w:r>
        <w:instrText xml:space="preserve"> FORMTEXT </w:instrText>
      </w:r>
      <w:r>
        <w:fldChar w:fldCharType="separate"/>
      </w:r>
      <w:r>
        <w:rPr>
          <w:noProof/>
        </w:rPr>
        <w:t>Australasian Leukaemia &amp; Lymphoma Group (ALLG)</w:t>
      </w:r>
      <w:r>
        <w:fldChar w:fldCharType="end"/>
      </w:r>
    </w:p>
    <w:p w14:paraId="64E28E5F" w14:textId="396A8D92" w:rsidR="00883807" w:rsidRDefault="00883807" w:rsidP="00883807">
      <w:pPr>
        <w:ind w:left="426"/>
      </w:pPr>
      <w:r>
        <w:fldChar w:fldCharType="begin">
          <w:ffData>
            <w:name w:val=""/>
            <w:enabled/>
            <w:calcOnExit w:val="0"/>
            <w:textInput>
              <w:default w:val="The Australian and New Zealand Children's Haematology/Oncology Group (ANZCHOG)"/>
            </w:textInput>
          </w:ffData>
        </w:fldChar>
      </w:r>
      <w:r>
        <w:instrText xml:space="preserve"> FORMTEXT </w:instrText>
      </w:r>
      <w:r>
        <w:fldChar w:fldCharType="separate"/>
      </w:r>
      <w:r>
        <w:rPr>
          <w:noProof/>
        </w:rPr>
        <w:t>The Australian and New Zealand Children's Haematology/Oncology Group (ANZCHOG)</w:t>
      </w:r>
      <w:r>
        <w:fldChar w:fldCharType="end"/>
      </w:r>
    </w:p>
    <w:p w14:paraId="50314060"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0C7F931F" w14:textId="77777777" w:rsidR="00EA173C" w:rsidRDefault="00D13B6F" w:rsidP="00A727B6">
      <w:pPr>
        <w:ind w:left="426"/>
      </w:pPr>
      <w:r>
        <w:fldChar w:fldCharType="begin">
          <w:ffData>
            <w:name w:val=""/>
            <w:enabled/>
            <w:calcOnExit w:val="0"/>
            <w:textInput>
              <w:default w:val="The same groups as above"/>
            </w:textInput>
          </w:ffData>
        </w:fldChar>
      </w:r>
      <w:r>
        <w:instrText xml:space="preserve"> FORMTEXT </w:instrText>
      </w:r>
      <w:r>
        <w:fldChar w:fldCharType="separate"/>
      </w:r>
      <w:r>
        <w:rPr>
          <w:noProof/>
        </w:rPr>
        <w:t>The same groups as above</w:t>
      </w:r>
      <w:r>
        <w:fldChar w:fldCharType="end"/>
      </w:r>
    </w:p>
    <w:p w14:paraId="153BC37D"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30C740DE" w14:textId="77777777" w:rsidR="00E82F54" w:rsidRDefault="00D13B6F" w:rsidP="00A727B6">
      <w:pPr>
        <w:ind w:left="426"/>
      </w:pPr>
      <w:r>
        <w:fldChar w:fldCharType="begin">
          <w:ffData>
            <w:name w:val=""/>
            <w:enabled/>
            <w:calcOnExit w:val="0"/>
            <w:textInput>
              <w:default w:val="The Leukaemia Foundation"/>
            </w:textInput>
          </w:ffData>
        </w:fldChar>
      </w:r>
      <w:r>
        <w:instrText xml:space="preserve"> FORMTEXT </w:instrText>
      </w:r>
      <w:r>
        <w:fldChar w:fldCharType="separate"/>
      </w:r>
      <w:r>
        <w:rPr>
          <w:noProof/>
        </w:rPr>
        <w:t>The Leukaemia Foundation</w:t>
      </w:r>
      <w:r>
        <w:fldChar w:fldCharType="end"/>
      </w:r>
    </w:p>
    <w:p w14:paraId="67104FCD" w14:textId="77777777" w:rsidR="00582A6D" w:rsidRDefault="00582A6D" w:rsidP="00A727B6">
      <w:pPr>
        <w:ind w:left="426"/>
        <w:rPr>
          <w:szCs w:val="20"/>
        </w:rPr>
      </w:pPr>
      <w:r>
        <w:fldChar w:fldCharType="begin">
          <w:ffData>
            <w:name w:val=""/>
            <w:enabled/>
            <w:calcOnExit w:val="0"/>
            <w:textInput>
              <w:default w:val="Lymphoma Australia"/>
            </w:textInput>
          </w:ffData>
        </w:fldChar>
      </w:r>
      <w:r>
        <w:instrText xml:space="preserve"> FORMTEXT </w:instrText>
      </w:r>
      <w:r>
        <w:fldChar w:fldCharType="separate"/>
      </w:r>
      <w:r>
        <w:rPr>
          <w:noProof/>
        </w:rPr>
        <w:t>Lymphoma Australia</w:t>
      </w:r>
      <w:r>
        <w:fldChar w:fldCharType="end"/>
      </w:r>
    </w:p>
    <w:p w14:paraId="77D24C6D"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59CAF372" w14:textId="77777777" w:rsidR="00EE6450" w:rsidRDefault="00582A6D" w:rsidP="00EE6450">
      <w:pPr>
        <w:ind w:left="426"/>
        <w:rPr>
          <w:szCs w:val="20"/>
        </w:rPr>
      </w:pPr>
      <w:r>
        <w:fldChar w:fldCharType="begin">
          <w:ffData>
            <w:name w:val=""/>
            <w:enabled/>
            <w:calcOnExit w:val="0"/>
            <w:textInput>
              <w:default w:val="Not applicable"/>
            </w:textInput>
          </w:ffData>
        </w:fldChar>
      </w:r>
      <w:r>
        <w:instrText xml:space="preserve"> FORMTEXT </w:instrText>
      </w:r>
      <w:r>
        <w:fldChar w:fldCharType="separate"/>
      </w:r>
      <w:r>
        <w:rPr>
          <w:noProof/>
        </w:rPr>
        <w:t>Not applicable</w:t>
      </w:r>
      <w:r>
        <w:fldChar w:fldCharType="end"/>
      </w:r>
    </w:p>
    <w:p w14:paraId="59EA545F" w14:textId="77777777" w:rsidR="00E82F54" w:rsidRDefault="00E82F54" w:rsidP="00530204">
      <w:pPr>
        <w:pStyle w:val="Heading2"/>
      </w:pPr>
      <w:r w:rsidRPr="00154B00">
        <w:t>Nominate two experts who could be approached about the proposed medical service and the current clinical management of the service(s):</w:t>
      </w:r>
    </w:p>
    <w:p w14:paraId="0DB3B94D" w14:textId="77777777" w:rsidR="00A96329" w:rsidRPr="00A96329" w:rsidRDefault="00A96329" w:rsidP="00A96329"/>
    <w:p w14:paraId="038C0463" w14:textId="6CFAAB56" w:rsidR="00AF4842" w:rsidRDefault="00987ABE" w:rsidP="00987ABE">
      <w:pPr>
        <w:ind w:left="426"/>
        <w:rPr>
          <w:szCs w:val="20"/>
        </w:rPr>
      </w:pPr>
      <w:r>
        <w:rPr>
          <w:szCs w:val="20"/>
        </w:rPr>
        <w:t>Name of expert 1:</w:t>
      </w:r>
      <w:r w:rsidR="00AF4842">
        <w:rPr>
          <w:szCs w:val="20"/>
        </w:rPr>
        <w:t xml:space="preserve"> </w:t>
      </w:r>
      <w:r w:rsidR="00B83801">
        <w:t>REDACTED</w:t>
      </w:r>
    </w:p>
    <w:p w14:paraId="43C2D6B2" w14:textId="77777777" w:rsidR="00B83801" w:rsidRDefault="00987ABE" w:rsidP="00987ABE">
      <w:pPr>
        <w:ind w:left="426"/>
        <w:rPr>
          <w:szCs w:val="20"/>
        </w:rPr>
      </w:pPr>
      <w:r>
        <w:rPr>
          <w:szCs w:val="20"/>
        </w:rPr>
        <w:t>Telephone number(s):</w:t>
      </w:r>
      <w:r w:rsidR="00AF4842">
        <w:rPr>
          <w:szCs w:val="20"/>
        </w:rPr>
        <w:t xml:space="preserve"> </w:t>
      </w:r>
      <w:r w:rsidR="00B83801">
        <w:t>REDACTED</w:t>
      </w:r>
      <w:r w:rsidR="00B83801">
        <w:rPr>
          <w:szCs w:val="20"/>
        </w:rPr>
        <w:t xml:space="preserve"> </w:t>
      </w:r>
    </w:p>
    <w:p w14:paraId="2CCAFB92" w14:textId="0C1E6F24" w:rsidR="00987ABE" w:rsidRPr="00987ABE" w:rsidRDefault="00987ABE" w:rsidP="00987ABE">
      <w:pPr>
        <w:ind w:left="426"/>
        <w:rPr>
          <w:szCs w:val="20"/>
        </w:rPr>
      </w:pPr>
      <w:r>
        <w:rPr>
          <w:szCs w:val="20"/>
        </w:rPr>
        <w:t>Email address:</w:t>
      </w:r>
      <w:r w:rsidR="00AF4842">
        <w:rPr>
          <w:szCs w:val="20"/>
        </w:rPr>
        <w:t xml:space="preserve"> </w:t>
      </w:r>
      <w:r w:rsidR="00B83801">
        <w:t>REDACTED</w:t>
      </w:r>
    </w:p>
    <w:p w14:paraId="0221E2B0" w14:textId="28B7A9E0" w:rsidR="00987ABE" w:rsidRPr="00987ABE" w:rsidRDefault="00987ABE" w:rsidP="00987ABE">
      <w:pPr>
        <w:ind w:left="426"/>
        <w:rPr>
          <w:szCs w:val="20"/>
        </w:rPr>
      </w:pPr>
      <w:r>
        <w:rPr>
          <w:szCs w:val="20"/>
        </w:rPr>
        <w:t>Justification of expertise:</w:t>
      </w:r>
      <w:r w:rsidR="00AF4842">
        <w:rPr>
          <w:szCs w:val="20"/>
        </w:rPr>
        <w:t xml:space="preserve"> </w:t>
      </w:r>
      <w:r w:rsidR="00B83801">
        <w:t>REDACTED</w:t>
      </w:r>
    </w:p>
    <w:p w14:paraId="69023AD3" w14:textId="77777777" w:rsidR="00987ABE" w:rsidRPr="00987ABE" w:rsidRDefault="00987ABE" w:rsidP="00987ABE">
      <w:pPr>
        <w:ind w:left="426"/>
        <w:rPr>
          <w:szCs w:val="20"/>
        </w:rPr>
      </w:pPr>
    </w:p>
    <w:p w14:paraId="15979609" w14:textId="6B9609D8" w:rsidR="00987ABE" w:rsidRPr="00987ABE" w:rsidRDefault="00987ABE" w:rsidP="00987ABE">
      <w:pPr>
        <w:ind w:left="426"/>
        <w:rPr>
          <w:szCs w:val="20"/>
        </w:rPr>
      </w:pPr>
      <w:r>
        <w:rPr>
          <w:szCs w:val="20"/>
        </w:rPr>
        <w:t xml:space="preserve">Name of expert 2: </w:t>
      </w:r>
      <w:r w:rsidR="00B83801">
        <w:t>REDACTED</w:t>
      </w:r>
    </w:p>
    <w:p w14:paraId="73639887" w14:textId="01C78DF5" w:rsidR="00987ABE" w:rsidRPr="00987ABE" w:rsidRDefault="00987ABE" w:rsidP="00987ABE">
      <w:pPr>
        <w:ind w:left="426"/>
        <w:rPr>
          <w:szCs w:val="20"/>
        </w:rPr>
      </w:pPr>
      <w:r>
        <w:rPr>
          <w:szCs w:val="20"/>
        </w:rPr>
        <w:t xml:space="preserve">Telephone number(s): </w:t>
      </w:r>
      <w:r w:rsidR="00B83801">
        <w:t>REDACTED</w:t>
      </w:r>
    </w:p>
    <w:p w14:paraId="4EDF7B43" w14:textId="3A651C16" w:rsidR="00987ABE" w:rsidRPr="00987ABE" w:rsidRDefault="00987ABE" w:rsidP="00987ABE">
      <w:pPr>
        <w:ind w:left="426"/>
        <w:rPr>
          <w:szCs w:val="20"/>
        </w:rPr>
      </w:pPr>
      <w:r>
        <w:rPr>
          <w:szCs w:val="20"/>
        </w:rPr>
        <w:t xml:space="preserve">Email address: </w:t>
      </w:r>
      <w:r w:rsidR="00B83801">
        <w:t>REDACTED</w:t>
      </w:r>
    </w:p>
    <w:p w14:paraId="6E889BDE" w14:textId="392403B7" w:rsidR="00E82F54" w:rsidRPr="00154B00" w:rsidRDefault="00987ABE" w:rsidP="00987ABE">
      <w:pPr>
        <w:ind w:left="426"/>
        <w:rPr>
          <w:szCs w:val="20"/>
        </w:rPr>
      </w:pPr>
      <w:r>
        <w:rPr>
          <w:szCs w:val="20"/>
        </w:rPr>
        <w:t xml:space="preserve">Justification of expertise: </w:t>
      </w:r>
      <w:r w:rsidR="00B83801">
        <w:t>REDACTED</w:t>
      </w:r>
      <w:r w:rsidR="00AF4842">
        <w:rPr>
          <w:szCs w:val="20"/>
        </w:rPr>
        <w:t xml:space="preserve"> </w:t>
      </w:r>
    </w:p>
    <w:p w14:paraId="09D08E62" w14:textId="77777777" w:rsidR="00987ABE" w:rsidRDefault="00987ABE" w:rsidP="00E82F54">
      <w:pPr>
        <w:ind w:left="426"/>
        <w:rPr>
          <w:i/>
          <w:szCs w:val="20"/>
        </w:rPr>
      </w:pPr>
    </w:p>
    <w:p w14:paraId="20F30D76"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275822C3" w14:textId="77777777" w:rsidR="003433D1" w:rsidRDefault="003433D1">
      <w:pPr>
        <w:rPr>
          <w:b/>
          <w:sz w:val="32"/>
          <w:szCs w:val="32"/>
        </w:rPr>
      </w:pPr>
      <w:r>
        <w:rPr>
          <w:b/>
          <w:sz w:val="32"/>
          <w:szCs w:val="32"/>
        </w:rPr>
        <w:br w:type="page"/>
      </w:r>
    </w:p>
    <w:p w14:paraId="7B3A63D6"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0A14F026" w14:textId="77777777" w:rsidR="0021185D" w:rsidRPr="005C3AE7" w:rsidRDefault="005C3AE7" w:rsidP="005C3AE7">
      <w:pPr>
        <w:pStyle w:val="Subtitle"/>
      </w:pPr>
      <w:r w:rsidRPr="005C3AE7">
        <w:t xml:space="preserve">PART 6a – </w:t>
      </w:r>
      <w:r w:rsidR="0021185D" w:rsidRPr="005C3AE7">
        <w:t>INFORMATION ABOUT THE PROPOSED POPULATION</w:t>
      </w:r>
    </w:p>
    <w:p w14:paraId="604D8864"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19765313" w14:textId="6986BF96" w:rsidR="0073385C" w:rsidRPr="0073385C" w:rsidRDefault="0073385C" w:rsidP="00BB28C7">
      <w:pPr>
        <w:ind w:left="426"/>
      </w:pPr>
      <w:r w:rsidRPr="00BB28C7">
        <w:rPr>
          <w:b/>
        </w:rPr>
        <w:t>ALL</w:t>
      </w:r>
      <w:r w:rsidRPr="0073385C">
        <w:t xml:space="preserve"> is the malignant proliferation of lymphoid progenitor cells in the bone marrow, characterised by an excess of malignant </w:t>
      </w:r>
      <w:proofErr w:type="spellStart"/>
      <w:r w:rsidRPr="0073385C">
        <w:t>lymphoblasts</w:t>
      </w:r>
      <w:proofErr w:type="spellEnd"/>
      <w:r w:rsidRPr="0073385C">
        <w:t>. The majority of ALL malignancies are of B-cell origin</w:t>
      </w:r>
      <w:r>
        <w:t xml:space="preserve">. </w:t>
      </w:r>
      <w:r w:rsidRPr="0073385C">
        <w:t xml:space="preserve"> ALL is </w:t>
      </w:r>
      <w:r>
        <w:t xml:space="preserve">a relatively rare condition, </w:t>
      </w:r>
      <w:r w:rsidR="00BC455F">
        <w:t>with approximately 38</w:t>
      </w:r>
      <w:r w:rsidRPr="0073385C">
        <w:t>0 people diagnosed in Australia each year</w:t>
      </w:r>
      <w:r>
        <w:t>. A</w:t>
      </w:r>
      <w:r w:rsidRPr="0073385C">
        <w:t xml:space="preserve">lthough ALL can occur at any age, it has a bimodal </w:t>
      </w:r>
      <w:r>
        <w:t xml:space="preserve">incidence </w:t>
      </w:r>
      <w:r w:rsidRPr="0073385C">
        <w:t>distribution</w:t>
      </w:r>
      <w:r>
        <w:t>,</w:t>
      </w:r>
      <w:r w:rsidRPr="0073385C">
        <w:t xml:space="preserve"> with approximately 60% of the cases occurring in patients aged </w:t>
      </w:r>
      <w:r>
        <w:t>&lt;</w:t>
      </w:r>
      <w:r w:rsidRPr="0073385C">
        <w:t xml:space="preserve"> 20 years</w:t>
      </w:r>
      <w:r>
        <w:t xml:space="preserve"> (with a </w:t>
      </w:r>
      <w:r w:rsidRPr="0073385C">
        <w:t>peak between 2 to 5 years</w:t>
      </w:r>
      <w:r>
        <w:t>) and a second peak in adults aged &gt;</w:t>
      </w:r>
      <w:r w:rsidRPr="0073385C">
        <w:t>60 years</w:t>
      </w:r>
      <w:r>
        <w:t xml:space="preserve">.  </w:t>
      </w:r>
    </w:p>
    <w:p w14:paraId="6B5DC535" w14:textId="1BF70365" w:rsidR="0073385C" w:rsidRDefault="0073385C" w:rsidP="00BB28C7">
      <w:pPr>
        <w:ind w:left="426"/>
      </w:pPr>
      <w:r w:rsidRPr="0073385C">
        <w:t xml:space="preserve">Approximately 80% of </w:t>
      </w:r>
      <w:r w:rsidR="00592FE5">
        <w:t xml:space="preserve">ALL </w:t>
      </w:r>
      <w:r w:rsidRPr="0073385C">
        <w:t xml:space="preserve">patients </w:t>
      </w:r>
      <w:r w:rsidR="00592FE5">
        <w:t xml:space="preserve">are cured following first line therapy, comprising various treatment regimens </w:t>
      </w:r>
      <w:r w:rsidRPr="0073385C">
        <w:t>administered over 2-3 year</w:t>
      </w:r>
      <w:r w:rsidR="00592FE5">
        <w:t>s.</w:t>
      </w:r>
      <w:r w:rsidRPr="0073385C">
        <w:t xml:space="preserve"> However, approximately 20% of paediatric patients relapse</w:t>
      </w:r>
      <w:r w:rsidR="00592FE5">
        <w:t xml:space="preserve"> at least once and achieving and maintaining remission becomes increasingly challenging with each relapse. </w:t>
      </w:r>
      <w:r w:rsidRPr="0073385C">
        <w:t xml:space="preserve">Patients with a second relapse have </w:t>
      </w:r>
      <w:r w:rsidR="00592FE5">
        <w:t xml:space="preserve">few effective treatment options and their prognosis </w:t>
      </w:r>
      <w:r w:rsidRPr="0073385C">
        <w:t xml:space="preserve">is </w:t>
      </w:r>
      <w:r w:rsidR="00592FE5">
        <w:t xml:space="preserve">typically </w:t>
      </w:r>
      <w:r w:rsidRPr="0073385C">
        <w:t>poor, with</w:t>
      </w:r>
      <w:r w:rsidR="00592FE5">
        <w:t xml:space="preserve"> long-term </w:t>
      </w:r>
      <w:r w:rsidRPr="0073385C">
        <w:t xml:space="preserve">survival </w:t>
      </w:r>
      <w:r w:rsidR="00592FE5">
        <w:t>&lt;</w:t>
      </w:r>
      <w:r w:rsidRPr="0073385C">
        <w:t>10%</w:t>
      </w:r>
      <w:r w:rsidR="00592FE5">
        <w:t xml:space="preserve">. </w:t>
      </w:r>
    </w:p>
    <w:p w14:paraId="07638322" w14:textId="48438659" w:rsidR="00C35578" w:rsidRDefault="00592FE5" w:rsidP="00BB28C7">
      <w:pPr>
        <w:ind w:left="426"/>
      </w:pPr>
      <w:r w:rsidRPr="00BB28C7">
        <w:rPr>
          <w:b/>
        </w:rPr>
        <w:t>DLBCL</w:t>
      </w:r>
      <w:r w:rsidRPr="00592FE5">
        <w:t xml:space="preserve"> is </w:t>
      </w:r>
      <w:r>
        <w:t xml:space="preserve">a </w:t>
      </w:r>
      <w:r w:rsidRPr="00592FE5">
        <w:t xml:space="preserve">common </w:t>
      </w:r>
      <w:r>
        <w:t xml:space="preserve">and aggressive </w:t>
      </w:r>
      <w:r w:rsidRPr="00592FE5">
        <w:t>pathological subtype of Non-Hodgkin Lymphoma (NHL</w:t>
      </w:r>
      <w:r>
        <w:t xml:space="preserve">).  It can affect any age group, but is more common in older adults, with the </w:t>
      </w:r>
      <w:r w:rsidRPr="00592FE5">
        <w:t xml:space="preserve">average age at </w:t>
      </w:r>
      <w:r>
        <w:t xml:space="preserve">diagnosis in Europe being </w:t>
      </w:r>
      <w:r w:rsidRPr="00592FE5">
        <w:t>65 to 70 years</w:t>
      </w:r>
      <w:r>
        <w:t xml:space="preserve">. </w:t>
      </w:r>
      <w:r w:rsidR="00883807">
        <w:t xml:space="preserve">The estimated incidence of </w:t>
      </w:r>
      <w:r w:rsidR="007818CD">
        <w:t>DLBCL</w:t>
      </w:r>
      <w:r w:rsidR="00883807">
        <w:t xml:space="preserve"> in Australia is approximately 2,070 patients per year</w:t>
      </w:r>
      <w:r w:rsidR="00C35578">
        <w:t xml:space="preserve">. </w:t>
      </w:r>
      <w:r w:rsidRPr="00592FE5">
        <w:t xml:space="preserve"> With the advent of first-line rituximab and anthracycline containing combination regimens, approximately 60% of patients with DLBCL achieve and maintain complete remission after first-line therapy</w:t>
      </w:r>
      <w:r w:rsidR="000D191C">
        <w:t>, h</w:t>
      </w:r>
      <w:r w:rsidRPr="00592FE5">
        <w:t xml:space="preserve">owever 40% of patients do not </w:t>
      </w:r>
      <w:r w:rsidR="00C35578">
        <w:t>completely respond to treatment,</w:t>
      </w:r>
      <w:r w:rsidRPr="00592FE5">
        <w:t xml:space="preserve"> with approximately </w:t>
      </w:r>
      <w:r w:rsidR="000D191C" w:rsidRPr="00592FE5">
        <w:t xml:space="preserve">10% having refractory </w:t>
      </w:r>
      <w:r w:rsidR="000D191C">
        <w:t xml:space="preserve">disease and </w:t>
      </w:r>
      <w:r w:rsidRPr="00592FE5">
        <w:t xml:space="preserve">30% </w:t>
      </w:r>
      <w:r w:rsidR="000D191C">
        <w:t>subsequently relapsing</w:t>
      </w:r>
      <w:r w:rsidRPr="00592FE5">
        <w:t xml:space="preserve">. </w:t>
      </w:r>
    </w:p>
    <w:p w14:paraId="0FAA7304" w14:textId="6E43A57E" w:rsidR="00592FE5" w:rsidRDefault="00592FE5" w:rsidP="00BB28C7">
      <w:pPr>
        <w:ind w:left="426"/>
      </w:pPr>
      <w:r w:rsidRPr="00592FE5">
        <w:t>For relapsed and</w:t>
      </w:r>
      <w:r w:rsidR="000D191C">
        <w:t>/or</w:t>
      </w:r>
      <w:r w:rsidRPr="00592FE5">
        <w:t xml:space="preserve"> refractory patients, platinum-based chemotherapy regimens followed by high dose chemotherapy and autologous stem cell transplant (HD</w:t>
      </w:r>
      <w:r w:rsidR="00C35578">
        <w:t xml:space="preserve">-ASCT) is considered standard of care.  However, around 50% of relapsed/refractory </w:t>
      </w:r>
      <w:r w:rsidRPr="00592FE5">
        <w:t xml:space="preserve">patients are not </w:t>
      </w:r>
      <w:r w:rsidR="00C35578">
        <w:t xml:space="preserve">considered </w:t>
      </w:r>
      <w:r w:rsidRPr="00592FE5">
        <w:t>eligible</w:t>
      </w:r>
      <w:r w:rsidR="00C35578">
        <w:t xml:space="preserve"> or suitable</w:t>
      </w:r>
      <w:r w:rsidRPr="00592FE5">
        <w:t xml:space="preserve"> for HD-ASCT because of advanced age and comorbidities</w:t>
      </w:r>
      <w:r w:rsidR="00C35578">
        <w:t xml:space="preserve">.  Moreover, for patients who are initially considered </w:t>
      </w:r>
      <w:r w:rsidRPr="00592FE5">
        <w:t>suitable</w:t>
      </w:r>
      <w:r w:rsidR="00BC455F">
        <w:t xml:space="preserve"> for HD-ASCT, only about half</w:t>
      </w:r>
      <w:r w:rsidRPr="00592FE5">
        <w:t xml:space="preserve"> </w:t>
      </w:r>
      <w:r w:rsidR="00C35578">
        <w:t>w</w:t>
      </w:r>
      <w:r w:rsidRPr="00592FE5">
        <w:t xml:space="preserve">ill have a </w:t>
      </w:r>
      <w:r w:rsidR="00C35578">
        <w:t xml:space="preserve">sufficient response to chemotherapy to proceed to HD-ASCT, while of </w:t>
      </w:r>
      <w:r w:rsidRPr="00592FE5">
        <w:t>those proceeding to HD-ASCT, only 40% are ultimately cured</w:t>
      </w:r>
      <w:r w:rsidR="00C35578">
        <w:t>.</w:t>
      </w:r>
    </w:p>
    <w:p w14:paraId="190B14C1" w14:textId="77777777" w:rsidR="00AA5FDA" w:rsidRPr="00154B00" w:rsidRDefault="00AA5FDA" w:rsidP="0073385C">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592801B5" w14:textId="787F48CF" w:rsidR="000D191C" w:rsidRDefault="000D191C" w:rsidP="000D191C">
      <w:pPr>
        <w:ind w:left="426"/>
        <w:rPr>
          <w:szCs w:val="20"/>
        </w:rPr>
      </w:pPr>
      <w:r>
        <w:t>Population 1: paediatric patients (3-2</w:t>
      </w:r>
      <w:r w:rsidR="00AB5046">
        <w:t>5</w:t>
      </w:r>
      <w:r>
        <w:t xml:space="preserve"> years) with </w:t>
      </w:r>
      <w:r w:rsidR="003B5545">
        <w:t xml:space="preserve">confirmed </w:t>
      </w:r>
      <w:r>
        <w:t xml:space="preserve">relapsed/refractory B-cell ALL, </w:t>
      </w:r>
      <w:r w:rsidR="008A128B" w:rsidRPr="008A128B">
        <w:t xml:space="preserve">who </w:t>
      </w:r>
      <w:r w:rsidR="00BB28C7">
        <w:t>are</w:t>
      </w:r>
      <w:r w:rsidR="008A128B" w:rsidRPr="008A128B">
        <w:t xml:space="preserve"> primary refractory, chemo refractory, relapsed after </w:t>
      </w:r>
      <w:r w:rsidR="00557D0D">
        <w:t>A</w:t>
      </w:r>
      <w:r w:rsidR="008A128B" w:rsidRPr="008A128B">
        <w:t>SCT, or otherwis</w:t>
      </w:r>
      <w:r w:rsidR="00470AD5">
        <w:t>e ineligible for ASCT.</w:t>
      </w:r>
    </w:p>
    <w:p w14:paraId="6ED67589" w14:textId="2AACA46A" w:rsidR="000D191C" w:rsidRDefault="000D191C" w:rsidP="00557D0D">
      <w:pPr>
        <w:ind w:left="426"/>
        <w:rPr>
          <w:szCs w:val="20"/>
        </w:rPr>
      </w:pPr>
      <w:r>
        <w:rPr>
          <w:szCs w:val="20"/>
        </w:rPr>
        <w:t xml:space="preserve">Population 2: </w:t>
      </w:r>
      <w:r w:rsidR="003B5545" w:rsidRPr="003B5545">
        <w:rPr>
          <w:szCs w:val="20"/>
        </w:rPr>
        <w:t xml:space="preserve">adult patients </w:t>
      </w:r>
      <w:r w:rsidR="003B5545">
        <w:rPr>
          <w:szCs w:val="20"/>
        </w:rPr>
        <w:t>(</w:t>
      </w:r>
      <w:r w:rsidR="003B5545" w:rsidRPr="003B5545">
        <w:rPr>
          <w:szCs w:val="20"/>
        </w:rPr>
        <w:t>≥ 18 years</w:t>
      </w:r>
      <w:r w:rsidR="003B5545">
        <w:rPr>
          <w:szCs w:val="20"/>
        </w:rPr>
        <w:t xml:space="preserve">) with </w:t>
      </w:r>
      <w:r w:rsidR="00557D0D">
        <w:rPr>
          <w:szCs w:val="20"/>
        </w:rPr>
        <w:t xml:space="preserve">confirmed </w:t>
      </w:r>
      <w:r w:rsidR="003B5545">
        <w:rPr>
          <w:szCs w:val="20"/>
        </w:rPr>
        <w:t>relapsed/</w:t>
      </w:r>
      <w:r w:rsidR="003B5545" w:rsidRPr="003B5545">
        <w:rPr>
          <w:szCs w:val="20"/>
        </w:rPr>
        <w:t xml:space="preserve">refractory </w:t>
      </w:r>
      <w:r w:rsidR="007818CD">
        <w:rPr>
          <w:szCs w:val="20"/>
        </w:rPr>
        <w:t>DLBCL</w:t>
      </w:r>
      <w:r w:rsidR="00557D0D" w:rsidRPr="00557D0D">
        <w:t xml:space="preserve"> </w:t>
      </w:r>
      <w:r w:rsidR="00557D0D" w:rsidRPr="00557D0D">
        <w:rPr>
          <w:szCs w:val="20"/>
        </w:rPr>
        <w:t>after ≥ 2 lines of chemotherapy</w:t>
      </w:r>
      <w:r w:rsidR="00557D0D">
        <w:rPr>
          <w:szCs w:val="20"/>
        </w:rPr>
        <w:t xml:space="preserve"> </w:t>
      </w:r>
      <w:r w:rsidR="00557D0D" w:rsidRPr="00557D0D">
        <w:rPr>
          <w:szCs w:val="20"/>
        </w:rPr>
        <w:t xml:space="preserve">and not eligible for </w:t>
      </w:r>
      <w:r w:rsidR="00557D0D">
        <w:rPr>
          <w:szCs w:val="20"/>
        </w:rPr>
        <w:t>A</w:t>
      </w:r>
      <w:r w:rsidR="00557D0D" w:rsidRPr="00557D0D">
        <w:rPr>
          <w:szCs w:val="20"/>
        </w:rPr>
        <w:t>SCT</w:t>
      </w:r>
      <w:r w:rsidR="00557D0D">
        <w:rPr>
          <w:szCs w:val="20"/>
        </w:rPr>
        <w:t>.</w:t>
      </w:r>
    </w:p>
    <w:p w14:paraId="3468017B" w14:textId="77777777" w:rsidR="00D56CB7" w:rsidRPr="000D191C" w:rsidRDefault="00D56CB7" w:rsidP="00557D0D">
      <w:pPr>
        <w:ind w:left="426"/>
        <w:rPr>
          <w:szCs w:val="20"/>
        </w:rPr>
      </w:pPr>
      <w:r>
        <w:rPr>
          <w:szCs w:val="20"/>
        </w:rPr>
        <w:t>In both cases,</w:t>
      </w:r>
      <w:r w:rsidR="00A175CF">
        <w:rPr>
          <w:szCs w:val="20"/>
        </w:rPr>
        <w:t xml:space="preserve"> </w:t>
      </w:r>
      <w:r w:rsidR="0029328F">
        <w:rPr>
          <w:szCs w:val="20"/>
        </w:rPr>
        <w:t xml:space="preserve">patients would be </w:t>
      </w:r>
      <w:r w:rsidR="000B7D2A">
        <w:rPr>
          <w:szCs w:val="20"/>
        </w:rPr>
        <w:t xml:space="preserve">managed by a haematologist or haematological oncologist in a specialist unit within a public teaching hospital.  However the clinical journey by which patients will have arrived within this setting will be heterogeneous.  </w:t>
      </w:r>
    </w:p>
    <w:p w14:paraId="150D9724"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an easy to follow flowchart</w:t>
      </w:r>
      <w:r w:rsidR="0003572B">
        <w:t xml:space="preserve"> </w:t>
      </w:r>
      <w:r w:rsidR="00F33F1A" w:rsidRPr="00154B00">
        <w:t>dep</w:t>
      </w:r>
      <w:r w:rsidRPr="00154B00">
        <w:t>icting the current clinical manag</w:t>
      </w:r>
      <w:r w:rsidR="00197D29">
        <w:t>ement pathway up to this point):</w:t>
      </w:r>
    </w:p>
    <w:p w14:paraId="456BF02F" w14:textId="0B697421" w:rsidR="00557D0D" w:rsidRDefault="0003572B" w:rsidP="0003572B">
      <w:pPr>
        <w:ind w:left="426"/>
        <w:rPr>
          <w:b/>
          <w:i/>
          <w:szCs w:val="20"/>
          <w:u w:val="single"/>
        </w:rPr>
      </w:pPr>
      <w:r>
        <w:t xml:space="preserve">Patients in both populations will be extensively pre-treated, with effectively no approved therapeutic options available.  The clinical management pathways for both conditions are complex and heterogeneous, based on patient characteristics and response to prior therapy.  Current management algorithms are provided as attachments to the application, noting that these are indicative and cover only the more common </w:t>
      </w:r>
      <w:r w:rsidR="00470AD5">
        <w:t>treatment options and pathways.</w:t>
      </w:r>
      <w:r>
        <w:t xml:space="preserve"> </w:t>
      </w:r>
      <w:r w:rsidR="00557D0D">
        <w:br w:type="page"/>
      </w:r>
    </w:p>
    <w:p w14:paraId="58EA0614" w14:textId="77777777" w:rsidR="002A50FD" w:rsidRPr="00881F93" w:rsidRDefault="005C3AE7" w:rsidP="005C3AE7">
      <w:pPr>
        <w:pStyle w:val="Subtitle"/>
      </w:pPr>
      <w:r>
        <w:lastRenderedPageBreak/>
        <w:t xml:space="preserve">PART 6b – </w:t>
      </w:r>
      <w:r w:rsidR="002A50FD" w:rsidRPr="00881F93">
        <w:t>INFORMATION ABOUT THE INTERVENTION</w:t>
      </w:r>
    </w:p>
    <w:p w14:paraId="24F8004A"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592FD43F" w14:textId="6B4EF36D" w:rsidR="006628E1" w:rsidRDefault="006628E1" w:rsidP="006628E1">
      <w:pPr>
        <w:spacing w:before="0" w:after="0"/>
        <w:ind w:left="284"/>
      </w:pPr>
      <w:r>
        <w:t xml:space="preserve">This is a hybrid health technology </w:t>
      </w:r>
      <w:r w:rsidR="0003572B">
        <w:t xml:space="preserve">that </w:t>
      </w:r>
      <w:r>
        <w:t xml:space="preserve">involves </w:t>
      </w:r>
      <w:proofErr w:type="spellStart"/>
      <w:r>
        <w:t>leukapheresis</w:t>
      </w:r>
      <w:proofErr w:type="spellEnd"/>
      <w:r>
        <w:t xml:space="preserve"> to </w:t>
      </w:r>
      <w:r w:rsidR="0003572B">
        <w:t xml:space="preserve">harvest </w:t>
      </w:r>
      <w:r>
        <w:t xml:space="preserve">the patient’s T cells, administration of </w:t>
      </w:r>
      <w:proofErr w:type="spellStart"/>
      <w:r>
        <w:t>lymphodepleting</w:t>
      </w:r>
      <w:proofErr w:type="spellEnd"/>
      <w:r>
        <w:t xml:space="preserve"> chemotherapy, controlled transportation of cryopreserved T cells to a centralised manufacturing facility, genetic reprogramming and expansion of the T cells to create tisagenlecleucel, strict quality control and release procedures, </w:t>
      </w:r>
      <w:r w:rsidR="0003572B">
        <w:t xml:space="preserve">and </w:t>
      </w:r>
      <w:r>
        <w:t>transportation of finished product back to the hospital site for reinfusion into the patient.  A diagrammatic summary of the process is provided below.</w:t>
      </w:r>
    </w:p>
    <w:p w14:paraId="1AEE6C06" w14:textId="1ACB5E66" w:rsidR="006628E1" w:rsidRDefault="006628E1" w:rsidP="006628E1">
      <w:pPr>
        <w:spacing w:before="0" w:after="0"/>
        <w:ind w:left="284"/>
      </w:pPr>
    </w:p>
    <w:p w14:paraId="47B2F4AD" w14:textId="77777777" w:rsidR="006628E1" w:rsidRPr="00A6594E" w:rsidRDefault="006628E1" w:rsidP="006628E1">
      <w:pPr>
        <w:spacing w:before="0" w:after="0"/>
        <w:ind w:left="284"/>
      </w:pPr>
      <w:r>
        <w:rPr>
          <w:noProof/>
          <w:lang w:eastAsia="en-AU"/>
        </w:rPr>
        <w:drawing>
          <wp:inline distT="0" distB="0" distL="0" distR="0" wp14:anchorId="51FF49D4" wp14:editId="14AE867A">
            <wp:extent cx="5753100" cy="5765152"/>
            <wp:effectExtent l="0" t="0" r="0" b="7620"/>
            <wp:docPr id="5" name="Picture 5" descr="Picture shows the main steps in the process as outlined in the text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629"/>
                    <a:stretch/>
                  </pic:blipFill>
                  <pic:spPr bwMode="auto">
                    <a:xfrm>
                      <a:off x="0" y="0"/>
                      <a:ext cx="5872587" cy="5884889"/>
                    </a:xfrm>
                    <a:prstGeom prst="rect">
                      <a:avLst/>
                    </a:prstGeom>
                    <a:ln>
                      <a:noFill/>
                    </a:ln>
                    <a:extLst>
                      <a:ext uri="{53640926-AAD7-44D8-BBD7-CCE9431645EC}">
                        <a14:shadowObscured xmlns:a14="http://schemas.microsoft.com/office/drawing/2010/main"/>
                      </a:ext>
                    </a:extLst>
                  </pic:spPr>
                </pic:pic>
              </a:graphicData>
            </a:graphic>
          </wp:inline>
        </w:drawing>
      </w:r>
    </w:p>
    <w:p w14:paraId="37616A2A"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2F329484" w14:textId="77777777" w:rsidR="0003572B" w:rsidRPr="00BA3B90" w:rsidRDefault="0003572B" w:rsidP="00BA3B90">
      <w:pPr>
        <w:ind w:left="426"/>
      </w:pPr>
      <w:r w:rsidRPr="0003572B">
        <w:t xml:space="preserve">Yes, tisagenlecleucel will be supplied as a trademarked </w:t>
      </w:r>
      <w:r w:rsidR="00BA3B90">
        <w:t xml:space="preserve">class 4 biological </w:t>
      </w:r>
      <w:proofErr w:type="gramStart"/>
      <w:r w:rsidRPr="0003572B">
        <w:t>product</w:t>
      </w:r>
      <w:proofErr w:type="gramEnd"/>
      <w:r w:rsidRPr="0003572B">
        <w:t xml:space="preserve"> (</w:t>
      </w:r>
      <w:proofErr w:type="spellStart"/>
      <w:r w:rsidRPr="0003572B">
        <w:t>Kymriah</w:t>
      </w:r>
      <w:proofErr w:type="spellEnd"/>
      <w:r w:rsidR="00BA3B90">
        <w:rPr>
          <w:rFonts w:cstheme="minorHAnsi"/>
        </w:rPr>
        <w:t>®</w:t>
      </w:r>
      <w:r w:rsidRPr="0003572B">
        <w:t>)</w:t>
      </w:r>
      <w:r w:rsidR="00BA3B90">
        <w:t xml:space="preserve">.  </w:t>
      </w:r>
    </w:p>
    <w:p w14:paraId="42785BD4"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E679F9F" w14:textId="77777777" w:rsidR="00DF0C51" w:rsidRDefault="002B70AD" w:rsidP="00E357B9">
      <w:pPr>
        <w:ind w:left="426"/>
        <w:rPr>
          <w:b/>
          <w:szCs w:val="20"/>
        </w:rPr>
      </w:pPr>
      <w:r>
        <w:fldChar w:fldCharType="begin">
          <w:ffData>
            <w:name w:val=""/>
            <w:enabled/>
            <w:calcOnExit w:val="0"/>
            <w:textInput>
              <w:default w:val="Not applicable"/>
            </w:textInput>
          </w:ffData>
        </w:fldChar>
      </w:r>
      <w:r>
        <w:instrText xml:space="preserve"> FORMTEXT </w:instrText>
      </w:r>
      <w:r>
        <w:fldChar w:fldCharType="separate"/>
      </w:r>
      <w:r>
        <w:rPr>
          <w:noProof/>
        </w:rPr>
        <w:t>Not applicable</w:t>
      </w:r>
      <w:r>
        <w:fldChar w:fldCharType="end"/>
      </w:r>
    </w:p>
    <w:p w14:paraId="086354CE" w14:textId="77777777" w:rsidR="006B1B49" w:rsidRPr="00E357B9" w:rsidRDefault="006B1B49" w:rsidP="00530204">
      <w:pPr>
        <w:pStyle w:val="Heading2"/>
      </w:pPr>
      <w:r w:rsidRPr="00154B00">
        <w:lastRenderedPageBreak/>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0AE4325B" w14:textId="4F3AEF2A" w:rsidR="00BA3B90" w:rsidRPr="00154B00" w:rsidRDefault="00DD37B5" w:rsidP="00E357B9">
      <w:pPr>
        <w:ind w:left="426"/>
        <w:rPr>
          <w:szCs w:val="20"/>
        </w:rPr>
      </w:pPr>
      <w:r>
        <w:t>REDACTED</w:t>
      </w:r>
      <w:r w:rsidR="00470AD5">
        <w:t xml:space="preserve"> </w:t>
      </w:r>
    </w:p>
    <w:p w14:paraId="6F6C8361" w14:textId="1904BE84" w:rsidR="00791C8D"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30F91487" w14:textId="5D2D0A08" w:rsidR="00791C8D" w:rsidRPr="00883807" w:rsidRDefault="00883807" w:rsidP="00883807">
      <w:pPr>
        <w:ind w:left="426"/>
      </w:pPr>
      <w:r w:rsidRPr="00883807">
        <w:t xml:space="preserve">No other services would be delivered at the same time as tisagenlecleucel.  However </w:t>
      </w:r>
      <w:proofErr w:type="spellStart"/>
      <w:r w:rsidRPr="00883807">
        <w:t>lymphodepleting</w:t>
      </w:r>
      <w:proofErr w:type="spellEnd"/>
      <w:r w:rsidRPr="00883807">
        <w:t xml:space="preserve"> chemotherapy is required a few days prior to tisagenlecleucel administration and some patients may require other </w:t>
      </w:r>
      <w:r>
        <w:t>treatments</w:t>
      </w:r>
      <w:r w:rsidRPr="00883807">
        <w:t xml:space="preserve"> </w:t>
      </w:r>
      <w:r w:rsidR="00B33255">
        <w:t xml:space="preserve">shortly thereafter for management of adverse events </w:t>
      </w:r>
      <w:r w:rsidRPr="00883807">
        <w:t>(</w:t>
      </w:r>
      <w:r>
        <w:t xml:space="preserve">e.g. </w:t>
      </w:r>
      <w:r w:rsidRPr="00883807">
        <w:t>toc</w:t>
      </w:r>
      <w:r w:rsidR="00BC455F">
        <w:t>i</w:t>
      </w:r>
      <w:r w:rsidRPr="00883807">
        <w:t>lizumab or IVIG)</w:t>
      </w:r>
      <w:r w:rsidR="00470AD5">
        <w:t>.</w:t>
      </w:r>
    </w:p>
    <w:p w14:paraId="5E955549"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21F5ADFC" w14:textId="77777777" w:rsidR="00B17E26" w:rsidRPr="00154B00" w:rsidRDefault="00BA3B90" w:rsidP="00884E69">
      <w:pPr>
        <w:ind w:left="426"/>
        <w:rPr>
          <w:szCs w:val="20"/>
        </w:rPr>
      </w:pPr>
      <w:r>
        <w:fldChar w:fldCharType="begin">
          <w:ffData>
            <w:name w:val=""/>
            <w:enabled/>
            <w:calcOnExit w:val="0"/>
            <w:textInput>
              <w:default w:val="Haematologists and heamotological oncologists"/>
            </w:textInput>
          </w:ffData>
        </w:fldChar>
      </w:r>
      <w:r>
        <w:instrText xml:space="preserve"> FORMTEXT </w:instrText>
      </w:r>
      <w:r>
        <w:fldChar w:fldCharType="separate"/>
      </w:r>
      <w:r>
        <w:rPr>
          <w:noProof/>
        </w:rPr>
        <w:t>Haematologists and ha</w:t>
      </w:r>
      <w:r w:rsidR="00CD4812">
        <w:rPr>
          <w:noProof/>
        </w:rPr>
        <w:t>e</w:t>
      </w:r>
      <w:r>
        <w:rPr>
          <w:noProof/>
        </w:rPr>
        <w:t>motological oncologists</w:t>
      </w:r>
      <w:r>
        <w:fldChar w:fldCharType="end"/>
      </w:r>
    </w:p>
    <w:p w14:paraId="187F7E49" w14:textId="0AED1FC8" w:rsidR="00B17E26" w:rsidRPr="00B33255" w:rsidRDefault="00B17E26" w:rsidP="00B33255">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r w:rsidR="00AE1188" w:rsidRPr="00B33255">
        <w:t>:</w:t>
      </w:r>
      <w:r w:rsidR="00B33255" w:rsidRPr="00B33255">
        <w:t xml:space="preserve"> </w:t>
      </w:r>
      <w:r w:rsidR="00BA3B90" w:rsidRPr="00B33255">
        <w:rPr>
          <w:szCs w:val="22"/>
        </w:rPr>
        <w:fldChar w:fldCharType="begin">
          <w:ffData>
            <w:name w:val=""/>
            <w:enabled/>
            <w:calcOnExit w:val="0"/>
            <w:textInput>
              <w:default w:val="Not appropriate"/>
            </w:textInput>
          </w:ffData>
        </w:fldChar>
      </w:r>
      <w:r w:rsidR="00BA3B90" w:rsidRPr="00B33255">
        <w:rPr>
          <w:szCs w:val="22"/>
        </w:rPr>
        <w:instrText xml:space="preserve"> FORMTEXT </w:instrText>
      </w:r>
      <w:r w:rsidR="00BA3B90" w:rsidRPr="00B33255">
        <w:rPr>
          <w:szCs w:val="22"/>
        </w:rPr>
      </w:r>
      <w:r w:rsidR="00BA3B90" w:rsidRPr="00B33255">
        <w:rPr>
          <w:szCs w:val="22"/>
        </w:rPr>
        <w:fldChar w:fldCharType="separate"/>
      </w:r>
      <w:r w:rsidR="00BA3B90" w:rsidRPr="00B33255">
        <w:rPr>
          <w:szCs w:val="22"/>
        </w:rPr>
        <w:t>Not appropriate</w:t>
      </w:r>
      <w:r w:rsidR="00BA3B90" w:rsidRPr="00B33255">
        <w:rPr>
          <w:szCs w:val="22"/>
        </w:rPr>
        <w:fldChar w:fldCharType="end"/>
      </w:r>
    </w:p>
    <w:p w14:paraId="6E1C6B7E" w14:textId="5D7B2AAF" w:rsidR="00EA0E25"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5354AAB9" w14:textId="1607D91B" w:rsidR="00EA0E25" w:rsidRPr="00883807" w:rsidRDefault="00DD37B5" w:rsidP="00883807">
      <w:pPr>
        <w:ind w:left="426"/>
      </w:pPr>
      <w:r>
        <w:t>REDACTED</w:t>
      </w:r>
    </w:p>
    <w:p w14:paraId="72264F0D"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42B38961" w14:textId="6BD41B74" w:rsidR="00EA0E25" w:rsidRPr="00154B00" w:rsidRDefault="00DD37B5" w:rsidP="0073597B">
      <w:pPr>
        <w:ind w:left="426"/>
        <w:rPr>
          <w:szCs w:val="20"/>
        </w:rPr>
      </w:pPr>
      <w:r>
        <w:t>REDACTED</w:t>
      </w:r>
    </w:p>
    <w:p w14:paraId="7CAA1830"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246EF45B" w14:textId="77777777" w:rsidR="000A478F" w:rsidRDefault="003E0A9F"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0A478F">
        <w:rPr>
          <w:szCs w:val="20"/>
        </w:rPr>
        <w:t xml:space="preserve"> </w:t>
      </w:r>
      <w:r w:rsidR="000A478F">
        <w:t>Inpatient public hospital</w:t>
      </w:r>
    </w:p>
    <w:p w14:paraId="4FA117E8" w14:textId="77777777" w:rsidR="000A478F" w:rsidRDefault="004B1205"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0A478F">
        <w:rPr>
          <w:szCs w:val="20"/>
        </w:rPr>
        <w:t xml:space="preserve"> </w:t>
      </w:r>
      <w:r w:rsidR="000A478F">
        <w:t>Outpatient clinic</w:t>
      </w:r>
    </w:p>
    <w:p w14:paraId="721EF8BE" w14:textId="285C90ED" w:rsidR="004B1205" w:rsidRPr="004B1205" w:rsidRDefault="00DD37B5" w:rsidP="004B1205">
      <w:pPr>
        <w:ind w:left="426"/>
      </w:pPr>
      <w:r>
        <w:t>REDACTED</w:t>
      </w:r>
      <w:r w:rsidR="002356F6">
        <w:t xml:space="preserve">  </w:t>
      </w:r>
    </w:p>
    <w:p w14:paraId="29398C95" w14:textId="77777777" w:rsidR="003433D1" w:rsidRPr="005C3AE7" w:rsidRDefault="00E048ED" w:rsidP="004B1205">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1FD2F7D6" w14:textId="1B242032" w:rsidR="002356F6" w:rsidRDefault="00DD37B5" w:rsidP="0073597B">
      <w:pPr>
        <w:ind w:left="426"/>
      </w:pPr>
      <w:r>
        <w:t>REDACTED</w:t>
      </w:r>
    </w:p>
    <w:p w14:paraId="7B7AA00F" w14:textId="77777777" w:rsidR="003E30FB" w:rsidRDefault="003E30FB" w:rsidP="00530204">
      <w:pPr>
        <w:pStyle w:val="Heading2"/>
      </w:pPr>
      <w:r>
        <w:t xml:space="preserve">Is the </w:t>
      </w:r>
      <w:r w:rsidRPr="001B29A1">
        <w:t>proposed</w:t>
      </w:r>
      <w:r>
        <w:t xml:space="preserve"> medical service intended to be entirely rendered in Australia?</w:t>
      </w:r>
    </w:p>
    <w:p w14:paraId="2A5B5F0E" w14:textId="77777777" w:rsidR="000A478F" w:rsidRDefault="000A478F" w:rsidP="000A478F">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D1786">
        <w:rPr>
          <w:szCs w:val="20"/>
        </w:rPr>
      </w:r>
      <w:r w:rsidR="000D1786">
        <w:rPr>
          <w:szCs w:val="20"/>
        </w:rPr>
        <w:fldChar w:fldCharType="separate"/>
      </w:r>
      <w:r w:rsidRPr="00753C44">
        <w:rPr>
          <w:szCs w:val="20"/>
        </w:rPr>
        <w:fldChar w:fldCharType="end"/>
      </w:r>
      <w:r>
        <w:rPr>
          <w:szCs w:val="20"/>
        </w:rPr>
        <w:t xml:space="preserve"> Yes</w:t>
      </w:r>
    </w:p>
    <w:p w14:paraId="0E5A5C74" w14:textId="77777777" w:rsidR="000A478F" w:rsidRPr="00753C44" w:rsidRDefault="003E0A9F"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0A478F">
        <w:rPr>
          <w:szCs w:val="20"/>
        </w:rPr>
        <w:t xml:space="preserve"> No</w:t>
      </w:r>
      <w:r w:rsidR="00C4696B">
        <w:rPr>
          <w:szCs w:val="20"/>
        </w:rPr>
        <w:t xml:space="preserve"> – please specify below</w:t>
      </w:r>
    </w:p>
    <w:p w14:paraId="3B9982BE" w14:textId="5025368E" w:rsidR="003E30FB" w:rsidRPr="000A478F" w:rsidRDefault="00DD37B5" w:rsidP="000A478F">
      <w:pPr>
        <w:ind w:left="426"/>
      </w:pPr>
      <w:r>
        <w:t>REDACTED</w:t>
      </w:r>
    </w:p>
    <w:p w14:paraId="0B397A22" w14:textId="77777777" w:rsidR="00E60529" w:rsidRPr="00881F93" w:rsidRDefault="005C3AE7" w:rsidP="005C3AE7">
      <w:pPr>
        <w:pStyle w:val="Subtitle"/>
      </w:pPr>
      <w:r>
        <w:t xml:space="preserve">PART 6c – </w:t>
      </w:r>
      <w:r w:rsidR="00E60529" w:rsidRPr="00881F93">
        <w:t>INFORMATION ABOUT THE COMPARATOR</w:t>
      </w:r>
      <w:r w:rsidR="00A83EC6" w:rsidRPr="00881F93">
        <w:t>(S)</w:t>
      </w:r>
    </w:p>
    <w:p w14:paraId="370F2C4A"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C22E6BA" w14:textId="7FE90D06" w:rsidR="00E60529" w:rsidRPr="00154B00" w:rsidRDefault="00C80307" w:rsidP="001B29A1">
      <w:pPr>
        <w:ind w:left="426"/>
        <w:rPr>
          <w:szCs w:val="20"/>
        </w:rPr>
      </w:pPr>
      <w:r>
        <w:t>The target po</w:t>
      </w:r>
      <w:r w:rsidR="007B5BCE">
        <w:t>pulation in both indications is relapsed and/or refractory to established chemotherapy and relapsed following and/or otherwise ineligible for ASCT.  The appropriate comparator is therefore best supportive care</w:t>
      </w:r>
      <w:r w:rsidR="001E1A2C">
        <w:t xml:space="preserve"> (BSC)</w:t>
      </w:r>
      <w:r w:rsidR="007B5BCE">
        <w:t xml:space="preserve">, comprising further minimally toxic chemotherapy, palliative care, or </w:t>
      </w:r>
      <w:r w:rsidR="001E1A2C">
        <w:t xml:space="preserve">a </w:t>
      </w:r>
      <w:r w:rsidR="007B5BCE">
        <w:t xml:space="preserve">clinical trial. </w:t>
      </w:r>
    </w:p>
    <w:p w14:paraId="41FA513A"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3B0AE7E0"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D1786">
        <w:rPr>
          <w:szCs w:val="20"/>
        </w:rPr>
      </w:r>
      <w:r w:rsidR="000D1786">
        <w:rPr>
          <w:szCs w:val="20"/>
        </w:rPr>
        <w:fldChar w:fldCharType="separate"/>
      </w:r>
      <w:r w:rsidRPr="00753C44">
        <w:rPr>
          <w:szCs w:val="20"/>
        </w:rPr>
        <w:fldChar w:fldCharType="end"/>
      </w:r>
      <w:r>
        <w:rPr>
          <w:szCs w:val="20"/>
        </w:rPr>
        <w:t xml:space="preserve"> Yes (please provide all relevant MBS item numbers below)</w:t>
      </w:r>
    </w:p>
    <w:p w14:paraId="2C6E52FE" w14:textId="77777777" w:rsidR="000159B9" w:rsidRDefault="007B5BCE"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6A1038">
        <w:rPr>
          <w:szCs w:val="20"/>
        </w:rPr>
        <w:t xml:space="preserve"> No  </w:t>
      </w:r>
    </w:p>
    <w:p w14:paraId="1F72B337" w14:textId="77777777" w:rsidR="000159B9" w:rsidRPr="00154B00" w:rsidRDefault="001E1A2C" w:rsidP="001B29A1">
      <w:pPr>
        <w:ind w:left="426"/>
        <w:rPr>
          <w:szCs w:val="20"/>
        </w:rPr>
      </w:pPr>
      <w:r>
        <w:fldChar w:fldCharType="begin">
          <w:ffData>
            <w:name w:val=""/>
            <w:enabled/>
            <w:calcOnExit w:val="0"/>
            <w:textInput>
              <w:default w:val="There is no specific MBS item number, although elements of BSC would clearly be eligible for funding under Medicare.  "/>
            </w:textInput>
          </w:ffData>
        </w:fldChar>
      </w:r>
      <w:r>
        <w:instrText xml:space="preserve"> FORMTEXT </w:instrText>
      </w:r>
      <w:r>
        <w:fldChar w:fldCharType="separate"/>
      </w:r>
      <w:r>
        <w:rPr>
          <w:noProof/>
        </w:rPr>
        <w:t xml:space="preserve">There is no specific MBS item number, although elements of BSC would clearly be eligible for funding under Medicare.  </w:t>
      </w:r>
      <w:r>
        <w:fldChar w:fldCharType="end"/>
      </w:r>
    </w:p>
    <w:p w14:paraId="0E520FC3" w14:textId="16F39CF4" w:rsidR="00AF5D1E" w:rsidRPr="00154B00" w:rsidRDefault="00AF5D1E" w:rsidP="00530204">
      <w:pPr>
        <w:pStyle w:val="Heading2"/>
      </w:pPr>
      <w:r w:rsidRPr="00154B00">
        <w:lastRenderedPageBreak/>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the medical service that has been nominated as the comparator 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7D3369F4" w14:textId="77777777" w:rsidR="003433D1" w:rsidRDefault="00041F69" w:rsidP="001B29A1">
      <w:pPr>
        <w:ind w:left="426"/>
      </w:pPr>
      <w:r>
        <w:fldChar w:fldCharType="begin">
          <w:ffData>
            <w:name w:val=""/>
            <w:enabled/>
            <w:calcOnExit w:val="0"/>
            <w:textInput>
              <w:default w:val="The nominated comparator (BSC) is a largely ineffective, primariliy palliative, last line of therapy for patients in both indications.  "/>
            </w:textInput>
          </w:ffData>
        </w:fldChar>
      </w:r>
      <w:r>
        <w:instrText xml:space="preserve"> FORMTEXT </w:instrText>
      </w:r>
      <w:r>
        <w:fldChar w:fldCharType="separate"/>
      </w:r>
      <w:r>
        <w:rPr>
          <w:noProof/>
        </w:rPr>
        <w:t xml:space="preserve">The nominated comparator (BSC) is a largely ineffective, primariliy palliative, last line of therapy for patients in both indications.  </w:t>
      </w:r>
      <w:r>
        <w:fldChar w:fldCharType="end"/>
      </w:r>
    </w:p>
    <w:p w14:paraId="6E06ECF1"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1ABCDCFA" w14:textId="77777777" w:rsidR="001B29A1" w:rsidRDefault="007B5BCE"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1B29A1">
        <w:rPr>
          <w:szCs w:val="20"/>
        </w:rPr>
        <w:t xml:space="preserve"> Yes </w:t>
      </w:r>
    </w:p>
    <w:p w14:paraId="5A762D5F"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D1786">
        <w:rPr>
          <w:szCs w:val="20"/>
        </w:rPr>
      </w:r>
      <w:r w:rsidR="000D1786">
        <w:rPr>
          <w:szCs w:val="20"/>
        </w:rPr>
        <w:fldChar w:fldCharType="separate"/>
      </w:r>
      <w:r w:rsidRPr="00753C44">
        <w:rPr>
          <w:szCs w:val="20"/>
        </w:rPr>
        <w:fldChar w:fldCharType="end"/>
      </w:r>
      <w:r>
        <w:rPr>
          <w:szCs w:val="20"/>
        </w:rPr>
        <w:t xml:space="preserve"> No  </w:t>
      </w:r>
    </w:p>
    <w:p w14:paraId="02B78B74"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566D90DE" w14:textId="77777777" w:rsidR="003433D1" w:rsidRPr="001B29A1" w:rsidRDefault="00571C42" w:rsidP="001B29A1">
      <w:pPr>
        <w:ind w:left="426"/>
        <w:rPr>
          <w:szCs w:val="20"/>
        </w:rPr>
      </w:pPr>
      <w:r>
        <w:fldChar w:fldCharType="begin">
          <w:ffData>
            <w:name w:val=""/>
            <w:enabled/>
            <w:calcOnExit w:val="0"/>
            <w:textInput>
              <w:default w:val="In both target populations, tisagenlecleucel would represent a new and more effective last line therapy that would substitute and supplement an ill-defined and generally ineffective standard of BSC.  "/>
            </w:textInput>
          </w:ffData>
        </w:fldChar>
      </w:r>
      <w:r>
        <w:instrText xml:space="preserve"> FORMTEXT </w:instrText>
      </w:r>
      <w:r>
        <w:fldChar w:fldCharType="separate"/>
      </w:r>
      <w:r>
        <w:rPr>
          <w:noProof/>
        </w:rPr>
        <w:t xml:space="preserve">In both target populations, tisagenlecleucel would represent a new and more effective last line therapy that would substitute and supplement an ill-defined and generally ineffective standard of BSC.  </w:t>
      </w:r>
      <w:r>
        <w:fldChar w:fldCharType="end"/>
      </w:r>
    </w:p>
    <w:p w14:paraId="445B898A"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06B84B67" w14:textId="77777777" w:rsidR="0054594B" w:rsidRDefault="00A832E9" w:rsidP="00D10B47">
      <w:pPr>
        <w:pStyle w:val="ListParagraph"/>
        <w:ind w:left="360"/>
        <w:rPr>
          <w:b/>
          <w:szCs w:val="20"/>
        </w:rPr>
      </w:pPr>
      <w:r>
        <w:fldChar w:fldCharType="begin">
          <w:ffData>
            <w:name w:val=""/>
            <w:enabled/>
            <w:calcOnExit w:val="0"/>
            <w:textInput>
              <w:default w:val="Tisagenlecleucel would represent a new last-line treatment option, substituting best supportive care. The remainder of the algorithm would remain unchanged.  See attached proposed algorithm.  "/>
            </w:textInput>
          </w:ffData>
        </w:fldChar>
      </w:r>
      <w:r>
        <w:instrText xml:space="preserve"> FORMTEXT </w:instrText>
      </w:r>
      <w:r>
        <w:fldChar w:fldCharType="separate"/>
      </w:r>
      <w:r>
        <w:rPr>
          <w:noProof/>
        </w:rPr>
        <w:t xml:space="preserve">Tisagenlecleucel would represent a new last-line treatment option, substituting best supportive care. The remainder of the algorithm would remain unchanged.  See attached proposed algorithm.  </w:t>
      </w:r>
      <w:r>
        <w:fldChar w:fldCharType="end"/>
      </w:r>
    </w:p>
    <w:p w14:paraId="673160D8" w14:textId="77777777" w:rsidR="002053F2" w:rsidRPr="00154B00" w:rsidRDefault="002053F2" w:rsidP="00D10B47">
      <w:pPr>
        <w:pStyle w:val="ListParagraph"/>
        <w:ind w:left="360"/>
        <w:rPr>
          <w:b/>
          <w:szCs w:val="20"/>
        </w:rPr>
      </w:pPr>
    </w:p>
    <w:p w14:paraId="6C5D21AC" w14:textId="77777777" w:rsidR="001B29A1" w:rsidRDefault="001B29A1" w:rsidP="00881F93">
      <w:pPr>
        <w:rPr>
          <w:b/>
          <w:i/>
          <w:szCs w:val="20"/>
          <w:u w:val="single"/>
        </w:rPr>
      </w:pPr>
      <w:r>
        <w:rPr>
          <w:b/>
          <w:i/>
          <w:szCs w:val="20"/>
          <w:u w:val="single"/>
        </w:rPr>
        <w:br w:type="page"/>
      </w:r>
    </w:p>
    <w:p w14:paraId="4BE1B034"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2C31AA4F"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085F765D" w14:textId="77777777" w:rsidR="004E3CC7" w:rsidRDefault="00A832E9" w:rsidP="001B29A1">
      <w:pPr>
        <w:ind w:left="426"/>
      </w:pPr>
      <w:r>
        <w:t xml:space="preserve">ALL: </w:t>
      </w:r>
      <w:r w:rsidR="00753D42">
        <w:t>Based on ELIANA trial</w:t>
      </w:r>
      <w:r>
        <w:t xml:space="preserve"> </w:t>
      </w:r>
    </w:p>
    <w:p w14:paraId="514C8335" w14:textId="77777777" w:rsidR="00A832E9" w:rsidRDefault="00A832E9" w:rsidP="001B29A1">
      <w:pPr>
        <w:ind w:left="426"/>
        <w:rPr>
          <w:szCs w:val="20"/>
        </w:rPr>
      </w:pPr>
      <w:r>
        <w:rPr>
          <w:szCs w:val="20"/>
        </w:rPr>
        <w:t xml:space="preserve">The primary efficacy analysis, including </w:t>
      </w:r>
      <w:r w:rsidRPr="00A832E9">
        <w:rPr>
          <w:szCs w:val="20"/>
        </w:rPr>
        <w:t xml:space="preserve">63 subjects who received a single infusion of tisagenlecleucel manufactured at the US facility </w:t>
      </w:r>
      <w:r>
        <w:rPr>
          <w:szCs w:val="20"/>
        </w:rPr>
        <w:t>reported an overall response rate</w:t>
      </w:r>
      <w:r w:rsidRPr="00A832E9">
        <w:rPr>
          <w:szCs w:val="20"/>
        </w:rPr>
        <w:t xml:space="preserve"> </w:t>
      </w:r>
      <w:r>
        <w:rPr>
          <w:szCs w:val="20"/>
        </w:rPr>
        <w:t>(</w:t>
      </w:r>
      <w:r w:rsidRPr="00A832E9">
        <w:rPr>
          <w:szCs w:val="20"/>
        </w:rPr>
        <w:t>ORR</w:t>
      </w:r>
      <w:r>
        <w:rPr>
          <w:szCs w:val="20"/>
        </w:rPr>
        <w:t xml:space="preserve">) of 82.5% [95%CI: 70.9, 91.0]. All patients who achieved Complete Remission (CR) with or without complete blood count </w:t>
      </w:r>
      <w:proofErr w:type="gramStart"/>
      <w:r>
        <w:rPr>
          <w:szCs w:val="20"/>
        </w:rPr>
        <w:t>recovery,</w:t>
      </w:r>
      <w:proofErr w:type="gramEnd"/>
      <w:r>
        <w:rPr>
          <w:szCs w:val="20"/>
        </w:rPr>
        <w:t xml:space="preserve"> </w:t>
      </w:r>
      <w:r w:rsidRPr="00A832E9">
        <w:rPr>
          <w:szCs w:val="20"/>
        </w:rPr>
        <w:t xml:space="preserve">also achieved </w:t>
      </w:r>
      <w:r w:rsidR="00753D42">
        <w:rPr>
          <w:szCs w:val="20"/>
        </w:rPr>
        <w:t>Minimal Residual Disease (MRD) in</w:t>
      </w:r>
      <w:r w:rsidRPr="00A832E9">
        <w:rPr>
          <w:szCs w:val="20"/>
        </w:rPr>
        <w:t xml:space="preserve"> bone marrow. Tisagenlecleucel induced sustained clinical meaningful remission </w:t>
      </w:r>
      <w:r w:rsidR="00753D42">
        <w:rPr>
          <w:szCs w:val="20"/>
        </w:rPr>
        <w:t xml:space="preserve">in the majority of patients, </w:t>
      </w:r>
      <w:r w:rsidRPr="00A832E9">
        <w:rPr>
          <w:szCs w:val="20"/>
        </w:rPr>
        <w:t>with 29 of 52 patients still in remission at data-cut off.</w:t>
      </w:r>
    </w:p>
    <w:p w14:paraId="7F5275A5" w14:textId="31684B66" w:rsidR="00753D42" w:rsidRDefault="00753D42" w:rsidP="00753D42">
      <w:pPr>
        <w:ind w:left="426"/>
        <w:rPr>
          <w:szCs w:val="20"/>
        </w:rPr>
      </w:pPr>
      <w:r w:rsidRPr="00753D42">
        <w:rPr>
          <w:szCs w:val="20"/>
        </w:rPr>
        <w:t xml:space="preserve">The most common </w:t>
      </w:r>
      <w:r>
        <w:rPr>
          <w:szCs w:val="20"/>
        </w:rPr>
        <w:t xml:space="preserve">adverse events </w:t>
      </w:r>
      <w:r w:rsidRPr="00753D42">
        <w:rPr>
          <w:szCs w:val="20"/>
        </w:rPr>
        <w:t>(</w:t>
      </w:r>
      <w:r>
        <w:rPr>
          <w:szCs w:val="20"/>
        </w:rPr>
        <w:t xml:space="preserve">AEs; </w:t>
      </w:r>
      <w:r w:rsidRPr="00753D42">
        <w:rPr>
          <w:szCs w:val="20"/>
        </w:rPr>
        <w:t xml:space="preserve">≥ 20% </w:t>
      </w:r>
      <w:r>
        <w:rPr>
          <w:szCs w:val="20"/>
        </w:rPr>
        <w:t xml:space="preserve">patients) </w:t>
      </w:r>
      <w:r w:rsidRPr="00753D42">
        <w:rPr>
          <w:szCs w:val="20"/>
        </w:rPr>
        <w:t>were: cytokine release syndrome (CRS</w:t>
      </w:r>
      <w:r>
        <w:rPr>
          <w:szCs w:val="20"/>
        </w:rPr>
        <w:t xml:space="preserve">; </w:t>
      </w:r>
      <w:r w:rsidR="00DD37B5">
        <w:t>REDACTED</w:t>
      </w:r>
      <w:r w:rsidRPr="00753D42">
        <w:rPr>
          <w:szCs w:val="20"/>
        </w:rPr>
        <w:t xml:space="preserve">), </w:t>
      </w:r>
      <w:proofErr w:type="spellStart"/>
      <w:r w:rsidRPr="00753D42">
        <w:rPr>
          <w:szCs w:val="20"/>
        </w:rPr>
        <w:t>hypogammaglobulinaemia</w:t>
      </w:r>
      <w:proofErr w:type="spellEnd"/>
      <w:r w:rsidRPr="00753D42">
        <w:rPr>
          <w:szCs w:val="20"/>
        </w:rPr>
        <w:t xml:space="preserve"> (</w:t>
      </w:r>
      <w:r w:rsidR="00DD37B5">
        <w:t>REDACTED</w:t>
      </w:r>
      <w:r w:rsidRPr="00753D42">
        <w:rPr>
          <w:szCs w:val="20"/>
        </w:rPr>
        <w:t>), febrile neutropenia (</w:t>
      </w:r>
      <w:r w:rsidR="00DD37B5">
        <w:t>REDACTED</w:t>
      </w:r>
      <w:r w:rsidRPr="00753D42">
        <w:rPr>
          <w:szCs w:val="20"/>
        </w:rPr>
        <w:t>), hypotension (</w:t>
      </w:r>
      <w:r w:rsidR="00DD37B5">
        <w:t>REDACTED</w:t>
      </w:r>
      <w:r w:rsidRPr="00753D42">
        <w:rPr>
          <w:szCs w:val="20"/>
        </w:rPr>
        <w:t>), pyrexia (</w:t>
      </w:r>
      <w:r w:rsidR="00DD37B5">
        <w:t>REDACTED</w:t>
      </w:r>
      <w:r w:rsidRPr="00753D42">
        <w:rPr>
          <w:szCs w:val="20"/>
        </w:rPr>
        <w:t>), tachycardia (</w:t>
      </w:r>
      <w:r w:rsidR="00DD37B5">
        <w:t>REDACTED</w:t>
      </w:r>
      <w:r w:rsidRPr="00753D42">
        <w:rPr>
          <w:szCs w:val="20"/>
        </w:rPr>
        <w:t>) a</w:t>
      </w:r>
      <w:r>
        <w:rPr>
          <w:szCs w:val="20"/>
        </w:rPr>
        <w:t>nd decreased appetite (</w:t>
      </w:r>
      <w:r w:rsidR="00DD37B5">
        <w:t>REDACTED</w:t>
      </w:r>
      <w:r>
        <w:rPr>
          <w:szCs w:val="20"/>
        </w:rPr>
        <w:t xml:space="preserve">). </w:t>
      </w:r>
      <w:r w:rsidR="00DD37B5">
        <w:t>REDACTED</w:t>
      </w:r>
    </w:p>
    <w:p w14:paraId="197842A4" w14:textId="6D75F121" w:rsidR="00753D42" w:rsidRDefault="007818CD" w:rsidP="001B29A1">
      <w:pPr>
        <w:ind w:left="426"/>
        <w:rPr>
          <w:szCs w:val="20"/>
        </w:rPr>
      </w:pPr>
      <w:r>
        <w:rPr>
          <w:szCs w:val="20"/>
        </w:rPr>
        <w:t>DLBCL</w:t>
      </w:r>
      <w:r w:rsidR="00753D42">
        <w:rPr>
          <w:szCs w:val="20"/>
        </w:rPr>
        <w:t xml:space="preserve">: Based on </w:t>
      </w:r>
      <w:r w:rsidR="00EE7D73">
        <w:rPr>
          <w:szCs w:val="20"/>
        </w:rPr>
        <w:t>the JULIET trial</w:t>
      </w:r>
    </w:p>
    <w:p w14:paraId="35A13F42" w14:textId="668F5ECA" w:rsidR="005F6D0A" w:rsidRDefault="00EE7D73" w:rsidP="005F6D0A">
      <w:pPr>
        <w:ind w:left="426"/>
        <w:rPr>
          <w:szCs w:val="20"/>
        </w:rPr>
      </w:pPr>
      <w:r w:rsidRPr="00EE7D73">
        <w:rPr>
          <w:szCs w:val="20"/>
        </w:rPr>
        <w:t xml:space="preserve">The </w:t>
      </w:r>
      <w:r>
        <w:rPr>
          <w:szCs w:val="20"/>
        </w:rPr>
        <w:t>primary efficacy</w:t>
      </w:r>
      <w:r w:rsidRPr="00EE7D73">
        <w:rPr>
          <w:szCs w:val="20"/>
        </w:rPr>
        <w:t xml:space="preserve"> analysis</w:t>
      </w:r>
      <w:r>
        <w:rPr>
          <w:szCs w:val="20"/>
        </w:rPr>
        <w:t xml:space="preserve">, including 81 </w:t>
      </w:r>
      <w:r w:rsidRPr="00EE7D73">
        <w:rPr>
          <w:szCs w:val="20"/>
        </w:rPr>
        <w:t>patients who received tisagenlecleucel produced in the US manufacturing facility</w:t>
      </w:r>
      <w:r w:rsidR="005F6D0A">
        <w:rPr>
          <w:szCs w:val="20"/>
        </w:rPr>
        <w:t xml:space="preserve">, with minimum follow up of </w:t>
      </w:r>
      <w:r w:rsidRPr="00EE7D73">
        <w:rPr>
          <w:szCs w:val="20"/>
        </w:rPr>
        <w:t>3 months post infusion</w:t>
      </w:r>
      <w:r w:rsidR="005F6D0A">
        <w:rPr>
          <w:szCs w:val="20"/>
        </w:rPr>
        <w:t>, reported an ORR of 53.1% [</w:t>
      </w:r>
      <w:r w:rsidRPr="00EE7D73">
        <w:rPr>
          <w:szCs w:val="20"/>
        </w:rPr>
        <w:t>95% CI: 41.7%, 64.3%</w:t>
      </w:r>
      <w:r w:rsidR="005F6D0A">
        <w:rPr>
          <w:szCs w:val="20"/>
        </w:rPr>
        <w:t>]</w:t>
      </w:r>
      <w:r w:rsidRPr="00EE7D73">
        <w:rPr>
          <w:szCs w:val="20"/>
        </w:rPr>
        <w:t xml:space="preserve">. Thirty-two </w:t>
      </w:r>
      <w:r w:rsidR="005F6D0A">
        <w:rPr>
          <w:szCs w:val="20"/>
        </w:rPr>
        <w:t xml:space="preserve">patients </w:t>
      </w:r>
      <w:r w:rsidRPr="00EE7D73">
        <w:rPr>
          <w:szCs w:val="20"/>
        </w:rPr>
        <w:t>(39.5%) achieve</w:t>
      </w:r>
      <w:r w:rsidR="005F6D0A">
        <w:rPr>
          <w:szCs w:val="20"/>
        </w:rPr>
        <w:t xml:space="preserve">d CR and 11 (13.6%) achieved PR.  </w:t>
      </w:r>
      <w:proofErr w:type="gramStart"/>
      <w:r w:rsidR="00DD37B5">
        <w:t>REDACTED.</w:t>
      </w:r>
      <w:proofErr w:type="gramEnd"/>
      <w:r w:rsidRPr="00EE7D73">
        <w:rPr>
          <w:szCs w:val="20"/>
        </w:rPr>
        <w:t xml:space="preserve"> The probability of being event-free at Month 3 and 6 </w:t>
      </w:r>
      <w:r w:rsidR="005F6D0A">
        <w:rPr>
          <w:szCs w:val="20"/>
        </w:rPr>
        <w:t xml:space="preserve">was estimated at </w:t>
      </w:r>
      <w:r w:rsidRPr="00EE7D73">
        <w:rPr>
          <w:szCs w:val="20"/>
        </w:rPr>
        <w:t xml:space="preserve">79.7% </w:t>
      </w:r>
      <w:r w:rsidR="005F6D0A">
        <w:rPr>
          <w:szCs w:val="20"/>
        </w:rPr>
        <w:t>[9</w:t>
      </w:r>
      <w:r w:rsidRPr="00EE7D73">
        <w:rPr>
          <w:szCs w:val="20"/>
        </w:rPr>
        <w:t>5% CI</w:t>
      </w:r>
      <w:r w:rsidR="005F6D0A">
        <w:rPr>
          <w:szCs w:val="20"/>
        </w:rPr>
        <w:t>:</w:t>
      </w:r>
      <w:r w:rsidRPr="00EE7D73">
        <w:rPr>
          <w:szCs w:val="20"/>
        </w:rPr>
        <w:t xml:space="preserve"> 61.7%, 89.9%</w:t>
      </w:r>
      <w:r w:rsidR="005F6D0A">
        <w:rPr>
          <w:szCs w:val="20"/>
        </w:rPr>
        <w:t xml:space="preserve">] </w:t>
      </w:r>
      <w:r w:rsidRPr="00EE7D73">
        <w:rPr>
          <w:szCs w:val="20"/>
        </w:rPr>
        <w:t xml:space="preserve">and 73.5% </w:t>
      </w:r>
      <w:r w:rsidR="005F6D0A">
        <w:rPr>
          <w:szCs w:val="20"/>
        </w:rPr>
        <w:t>[</w:t>
      </w:r>
      <w:r w:rsidRPr="00EE7D73">
        <w:rPr>
          <w:szCs w:val="20"/>
        </w:rPr>
        <w:t>95% CI</w:t>
      </w:r>
      <w:r w:rsidR="005F6D0A">
        <w:rPr>
          <w:szCs w:val="20"/>
        </w:rPr>
        <w:t>:</w:t>
      </w:r>
      <w:r w:rsidRPr="00EE7D73">
        <w:rPr>
          <w:szCs w:val="20"/>
        </w:rPr>
        <w:t xml:space="preserve"> 52.0%, 86.6%</w:t>
      </w:r>
      <w:r w:rsidR="005F6D0A">
        <w:rPr>
          <w:szCs w:val="20"/>
        </w:rPr>
        <w:t>]</w:t>
      </w:r>
      <w:r w:rsidRPr="00EE7D73">
        <w:rPr>
          <w:szCs w:val="20"/>
        </w:rPr>
        <w:t xml:space="preserve"> respectively.</w:t>
      </w:r>
      <w:r w:rsidR="005F6D0A">
        <w:rPr>
          <w:szCs w:val="20"/>
        </w:rPr>
        <w:t xml:space="preserve">  </w:t>
      </w:r>
    </w:p>
    <w:p w14:paraId="06048ADE" w14:textId="667D91C2" w:rsidR="00753D42" w:rsidRDefault="00DD37B5" w:rsidP="00EE7D73">
      <w:pPr>
        <w:ind w:left="426"/>
        <w:rPr>
          <w:szCs w:val="20"/>
        </w:rPr>
      </w:pPr>
      <w:r>
        <w:t>REDACTED</w:t>
      </w:r>
    </w:p>
    <w:p w14:paraId="7750097D" w14:textId="131E966B" w:rsidR="005F6D0A" w:rsidRDefault="005F6D0A" w:rsidP="005F6D0A">
      <w:pPr>
        <w:ind w:left="426"/>
        <w:rPr>
          <w:szCs w:val="20"/>
        </w:rPr>
      </w:pPr>
      <w:r>
        <w:rPr>
          <w:szCs w:val="20"/>
        </w:rPr>
        <w:t>The</w:t>
      </w:r>
      <w:r w:rsidRPr="005F6D0A">
        <w:rPr>
          <w:szCs w:val="20"/>
        </w:rPr>
        <w:t xml:space="preserve"> most common tisagenlecleucel-related AEs (&gt;10% </w:t>
      </w:r>
      <w:r>
        <w:rPr>
          <w:szCs w:val="20"/>
        </w:rPr>
        <w:t>patients</w:t>
      </w:r>
      <w:r w:rsidRPr="005F6D0A">
        <w:rPr>
          <w:szCs w:val="20"/>
        </w:rPr>
        <w:t>) of any grade were: CRS</w:t>
      </w:r>
      <w:r w:rsidR="00DD37B5">
        <w:rPr>
          <w:szCs w:val="20"/>
        </w:rPr>
        <w:t>,</w:t>
      </w:r>
      <w:r w:rsidRPr="005F6D0A">
        <w:rPr>
          <w:szCs w:val="20"/>
        </w:rPr>
        <w:t xml:space="preserve"> </w:t>
      </w:r>
      <w:r w:rsidR="00DD37B5">
        <w:t>REDACTED</w:t>
      </w:r>
    </w:p>
    <w:p w14:paraId="5488EC02"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23D2DC46" w14:textId="77777777" w:rsidR="001B29A1" w:rsidRPr="001B29A1" w:rsidRDefault="002B70AD"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6B593135"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0D1786">
        <w:rPr>
          <w:szCs w:val="20"/>
        </w:rPr>
      </w:r>
      <w:r w:rsidR="000D1786">
        <w:rPr>
          <w:szCs w:val="20"/>
        </w:rPr>
        <w:fldChar w:fldCharType="separate"/>
      </w:r>
      <w:r w:rsidRPr="001B29A1">
        <w:rPr>
          <w:szCs w:val="20"/>
        </w:rPr>
        <w:fldChar w:fldCharType="end"/>
      </w:r>
      <w:r w:rsidRPr="001B29A1">
        <w:rPr>
          <w:szCs w:val="20"/>
        </w:rPr>
        <w:t xml:space="preserve"> Non-inferiority</w:t>
      </w:r>
      <w:r w:rsidRPr="001B29A1">
        <w:rPr>
          <w:szCs w:val="20"/>
        </w:rPr>
        <w:tab/>
      </w:r>
    </w:p>
    <w:p w14:paraId="57C1BEE8"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3EC59F7A" w14:textId="77777777"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r w:rsidR="00571C42">
        <w:fldChar w:fldCharType="begin">
          <w:ffData>
            <w:name w:val=""/>
            <w:enabled/>
            <w:calcOnExit w:val="0"/>
            <w:textInput>
              <w:default w:val="Rates of adverse events (AEs) and serious adverse events (SAEs), events of special interest (cytokine release syndrome, tumour lysis syndrome and febrile neutropenia) events suspected to be drug related and those leading to treatment/study withdrawal.   "/>
            </w:textInput>
          </w:ffData>
        </w:fldChar>
      </w:r>
      <w:r w:rsidR="00571C42">
        <w:instrText xml:space="preserve"> FORMTEXT </w:instrText>
      </w:r>
      <w:r w:rsidR="00571C42">
        <w:fldChar w:fldCharType="separate"/>
      </w:r>
      <w:r w:rsidR="00571C42">
        <w:rPr>
          <w:noProof/>
        </w:rPr>
        <w:t xml:space="preserve">Rates of adverse events (AEs) and serious adverse events (SAEs), events of special interest (cytokine release syndrome, tumour lysis syndrome and febrile neutropenia) events suspected to be drug related and those leading to treatment/study withdrawal.   </w:t>
      </w:r>
      <w:r w:rsidR="00571C42">
        <w:fldChar w:fldCharType="end"/>
      </w:r>
    </w:p>
    <w:p w14:paraId="3E83D2F4" w14:textId="77777777"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r w:rsidR="00571C42">
        <w:fldChar w:fldCharType="begin">
          <w:ffData>
            <w:name w:val=""/>
            <w:enabled/>
            <w:calcOnExit w:val="0"/>
            <w:textInput>
              <w:default w:val="Overall response rate (ORR) progression free survival (PFS) overall survival (OS) health related quality of life (HRQoL) and healthcare resource utilisation (HCRU).  "/>
            </w:textInput>
          </w:ffData>
        </w:fldChar>
      </w:r>
      <w:r w:rsidR="00571C42">
        <w:instrText xml:space="preserve"> FORMTEXT </w:instrText>
      </w:r>
      <w:r w:rsidR="00571C42">
        <w:fldChar w:fldCharType="separate"/>
      </w:r>
      <w:r w:rsidR="00571C42">
        <w:rPr>
          <w:noProof/>
        </w:rPr>
        <w:t xml:space="preserve">Overall response rate (ORR) progression free survival (PFS) overall survival (OS) health related quality of life (HRQoL) and healthcare resource utilisation (HCRU).  </w:t>
      </w:r>
      <w:r w:rsidR="00571C42">
        <w:fldChar w:fldCharType="end"/>
      </w:r>
    </w:p>
    <w:p w14:paraId="6240A6FE"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65533BA2"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45239C21"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568053B8" w14:textId="749D27D5" w:rsidR="00865A28" w:rsidRPr="00154B00" w:rsidRDefault="00DD37B5" w:rsidP="00AE1188">
      <w:pPr>
        <w:ind w:left="426"/>
        <w:rPr>
          <w:szCs w:val="20"/>
        </w:rPr>
      </w:pPr>
      <w:r>
        <w:t>REDACTED</w:t>
      </w:r>
    </w:p>
    <w:p w14:paraId="14189374"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0DDD76A0" w14:textId="77777777" w:rsidR="00382407" w:rsidRPr="00154B00" w:rsidRDefault="00865A28" w:rsidP="00AE1188">
      <w:pPr>
        <w:ind w:left="426"/>
        <w:rPr>
          <w:szCs w:val="20"/>
        </w:rPr>
      </w:pPr>
      <w:r>
        <w:fldChar w:fldCharType="begin">
          <w:ffData>
            <w:name w:val=""/>
            <w:enabled/>
            <w:calcOnExit w:val="0"/>
            <w:textInput>
              <w:default w:val="The proposed treatment regimen is a single infusion per lifetime"/>
            </w:textInput>
          </w:ffData>
        </w:fldChar>
      </w:r>
      <w:r>
        <w:instrText xml:space="preserve"> FORMTEXT </w:instrText>
      </w:r>
      <w:r>
        <w:fldChar w:fldCharType="separate"/>
      </w:r>
      <w:r>
        <w:rPr>
          <w:noProof/>
        </w:rPr>
        <w:t>The proposed treatment regimen is a single infusion per lifetime</w:t>
      </w:r>
      <w:r>
        <w:fldChar w:fldCharType="end"/>
      </w:r>
    </w:p>
    <w:p w14:paraId="041C956C"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579CF3AD" w14:textId="77777777" w:rsidR="00382407" w:rsidRPr="00154B00" w:rsidRDefault="00865A28" w:rsidP="00AE1188">
      <w:pPr>
        <w:ind w:left="426"/>
        <w:rPr>
          <w:b/>
          <w:szCs w:val="20"/>
        </w:rPr>
      </w:pPr>
      <w:r>
        <w:fldChar w:fldCharType="begin">
          <w:ffData>
            <w:name w:val=""/>
            <w:enabled/>
            <w:calcOnExit w:val="0"/>
            <w:textInput>
              <w:default w:val="The proposed treatment regimen is a single infusion per lifetime"/>
            </w:textInput>
          </w:ffData>
        </w:fldChar>
      </w:r>
      <w:r>
        <w:instrText xml:space="preserve"> FORMTEXT </w:instrText>
      </w:r>
      <w:r>
        <w:fldChar w:fldCharType="separate"/>
      </w:r>
      <w:r>
        <w:rPr>
          <w:noProof/>
        </w:rPr>
        <w:t>The proposed treatment regimen is a single infusion per lifetime</w:t>
      </w:r>
      <w:r>
        <w:fldChar w:fldCharType="end"/>
      </w:r>
    </w:p>
    <w:p w14:paraId="3B3D0A77"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2FC7502C" w14:textId="398BD9B8" w:rsidR="00AE1188" w:rsidRPr="00154B00" w:rsidRDefault="00DD37B5" w:rsidP="00AE1188">
      <w:pPr>
        <w:ind w:left="426"/>
        <w:rPr>
          <w:szCs w:val="20"/>
        </w:rPr>
      </w:pPr>
      <w:r>
        <w:t>REDACTED</w:t>
      </w:r>
    </w:p>
    <w:p w14:paraId="0C5B72C4"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6A7FDB2C" w14:textId="1FA62C80" w:rsidR="003433D1" w:rsidRDefault="00DD37B5" w:rsidP="00DD37B5">
      <w:pPr>
        <w:ind w:firstLine="360"/>
        <w:rPr>
          <w:b/>
          <w:sz w:val="32"/>
          <w:szCs w:val="32"/>
        </w:rPr>
      </w:pPr>
      <w:r>
        <w:t>REDACTED</w:t>
      </w:r>
      <w:r>
        <w:rPr>
          <w:b/>
          <w:sz w:val="32"/>
          <w:szCs w:val="32"/>
        </w:rPr>
        <w:t xml:space="preserve"> </w:t>
      </w:r>
      <w:r w:rsidR="003433D1">
        <w:rPr>
          <w:b/>
          <w:sz w:val="32"/>
          <w:szCs w:val="32"/>
        </w:rPr>
        <w:br w:type="page"/>
      </w:r>
    </w:p>
    <w:p w14:paraId="4608113C"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3E89F401"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4D628F99" w14:textId="17A75A66" w:rsidR="00951933" w:rsidRPr="00B33255" w:rsidRDefault="00B33255" w:rsidP="00AE1188">
      <w:pPr>
        <w:ind w:left="426"/>
      </w:pPr>
      <w:r>
        <w:t xml:space="preserve">The cost of providing the service will be multi-faceted and has not yet been fully defined.  Additional information around the likely total cost and its break down will be provided in due course.  </w:t>
      </w:r>
    </w:p>
    <w:p w14:paraId="592BB420"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7BC529BE" w14:textId="11B09CFD" w:rsidR="00951933" w:rsidRDefault="00DD37B5" w:rsidP="00DA3F19">
      <w:pPr>
        <w:ind w:left="426"/>
        <w:rPr>
          <w:b/>
          <w:szCs w:val="20"/>
        </w:rPr>
      </w:pPr>
      <w:r>
        <w:t>REDACTED</w:t>
      </w:r>
    </w:p>
    <w:p w14:paraId="55DF50BD"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73294018" w14:textId="77777777"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proofErr w:type="gramStart"/>
      <w:r>
        <w:rPr>
          <w:szCs w:val="20"/>
        </w:rPr>
        <w:t xml:space="preserve">Category </w:t>
      </w:r>
      <w:proofErr w:type="gramEnd"/>
      <w:r w:rsidR="0074414B">
        <w:fldChar w:fldCharType="begin">
          <w:ffData>
            <w:name w:val=""/>
            <w:enabled/>
            <w:calcOnExit w:val="0"/>
            <w:textInput>
              <w:default w:val="Not applicable - See Part 2, Question 6.g."/>
            </w:textInput>
          </w:ffData>
        </w:fldChar>
      </w:r>
      <w:r w:rsidR="0074414B">
        <w:instrText xml:space="preserve"> FORMTEXT </w:instrText>
      </w:r>
      <w:r w:rsidR="0074414B">
        <w:fldChar w:fldCharType="separate"/>
      </w:r>
      <w:r w:rsidR="0074414B">
        <w:rPr>
          <w:noProof/>
        </w:rPr>
        <w:t>Not applicable - See Part 2, Question 6.g.</w:t>
      </w:r>
      <w:r w:rsidR="0074414B">
        <w:fldChar w:fldCharType="end"/>
      </w:r>
    </w:p>
    <w:p w14:paraId="108CC5F8"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p>
    <w:p w14:paraId="03936848"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r w:rsidR="0074414B">
        <w:fldChar w:fldCharType="begin">
          <w:ffData>
            <w:name w:val=""/>
            <w:enabled/>
            <w:calcOnExit w:val="0"/>
            <w:textInput>
              <w:default w:val="Not applicable"/>
            </w:textInput>
          </w:ffData>
        </w:fldChar>
      </w:r>
      <w:r w:rsidR="0074414B">
        <w:instrText xml:space="preserve"> FORMTEXT </w:instrText>
      </w:r>
      <w:r w:rsidR="0074414B">
        <w:fldChar w:fldCharType="separate"/>
      </w:r>
      <w:r w:rsidR="0074414B">
        <w:rPr>
          <w:noProof/>
        </w:rPr>
        <w:t>Not applicable</w:t>
      </w:r>
      <w:r w:rsidR="0074414B">
        <w:fldChar w:fldCharType="end"/>
      </w:r>
    </w:p>
    <w:p w14:paraId="49143393"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74414B">
        <w:fldChar w:fldCharType="begin">
          <w:ffData>
            <w:name w:val=""/>
            <w:enabled/>
            <w:calcOnExit w:val="0"/>
            <w:textInput>
              <w:default w:val="Not applicable"/>
            </w:textInput>
          </w:ffData>
        </w:fldChar>
      </w:r>
      <w:r w:rsidR="0074414B">
        <w:instrText xml:space="preserve"> FORMTEXT </w:instrText>
      </w:r>
      <w:r w:rsidR="0074414B">
        <w:fldChar w:fldCharType="separate"/>
      </w:r>
      <w:r w:rsidR="0074414B">
        <w:rPr>
          <w:noProof/>
        </w:rPr>
        <w:t>Not applicable</w:t>
      </w:r>
      <w:r w:rsidR="0074414B">
        <w:fldChar w:fldCharType="end"/>
      </w:r>
    </w:p>
    <w:p w14:paraId="270B68B1" w14:textId="77777777" w:rsidR="00AE1188" w:rsidRDefault="00AE1188" w:rsidP="004A0BF4">
      <w:pPr>
        <w:pStyle w:val="Heading2"/>
        <w:numPr>
          <w:ilvl w:val="0"/>
          <w:numId w:val="0"/>
        </w:numPr>
        <w:ind w:left="360"/>
      </w:pPr>
      <w:r>
        <w:br w:type="page"/>
      </w:r>
    </w:p>
    <w:p w14:paraId="7BBC236A" w14:textId="77777777" w:rsidR="00E058F2" w:rsidRPr="00C776B1" w:rsidRDefault="001B5169" w:rsidP="00AE1188">
      <w:pPr>
        <w:pStyle w:val="Heading1"/>
      </w:pPr>
      <w:r>
        <w:lastRenderedPageBreak/>
        <w:t>PART 9</w:t>
      </w:r>
      <w:r w:rsidR="00F93784">
        <w:t xml:space="preserve"> – </w:t>
      </w:r>
      <w:r w:rsidR="00E058F2" w:rsidRPr="00C776B1">
        <w:t>FEEDBACK</w:t>
      </w:r>
    </w:p>
    <w:p w14:paraId="7BA7A6E5"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69BA961A" w14:textId="77777777" w:rsidR="00E058F2" w:rsidRPr="00AE1188" w:rsidRDefault="00E058F2" w:rsidP="001B5169">
      <w:pPr>
        <w:pStyle w:val="Heading2"/>
      </w:pPr>
      <w:r w:rsidRPr="00AE1188">
        <w:t>How long did it take to complete the Application Form?</w:t>
      </w:r>
    </w:p>
    <w:p w14:paraId="361D477A" w14:textId="274FE42E" w:rsidR="00E058F2" w:rsidRPr="00154B00" w:rsidRDefault="00257A85" w:rsidP="00603D04">
      <w:pPr>
        <w:ind w:left="426"/>
        <w:rPr>
          <w:szCs w:val="20"/>
        </w:rPr>
      </w:pPr>
      <w:r>
        <w:t>Two weeks</w:t>
      </w:r>
    </w:p>
    <w:p w14:paraId="1C4BD99B"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24E7D153" w14:textId="77777777" w:rsidR="00603D04" w:rsidRPr="001B29A1" w:rsidRDefault="00474196"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6C56119A"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0D1786">
        <w:rPr>
          <w:szCs w:val="20"/>
        </w:rPr>
      </w:r>
      <w:r w:rsidR="000D1786">
        <w:rPr>
          <w:szCs w:val="20"/>
        </w:rPr>
        <w:fldChar w:fldCharType="separate"/>
      </w:r>
      <w:r w:rsidRPr="001B29A1">
        <w:rPr>
          <w:szCs w:val="20"/>
        </w:rPr>
        <w:fldChar w:fldCharType="end"/>
      </w:r>
      <w:r w:rsidRPr="001B29A1">
        <w:rPr>
          <w:szCs w:val="20"/>
        </w:rPr>
        <w:t xml:space="preserve"> </w:t>
      </w:r>
      <w:r>
        <w:rPr>
          <w:szCs w:val="20"/>
        </w:rPr>
        <w:t>No</w:t>
      </w:r>
    </w:p>
    <w:p w14:paraId="3CEE207B" w14:textId="77777777" w:rsidR="003D6DE1" w:rsidRPr="00154B00" w:rsidRDefault="00603D04" w:rsidP="001B5169">
      <w:pPr>
        <w:pStyle w:val="Heading2"/>
        <w:numPr>
          <w:ilvl w:val="0"/>
          <w:numId w:val="31"/>
        </w:numPr>
      </w:pPr>
      <w:r>
        <w:t>If no, provide areas of concern:</w:t>
      </w:r>
    </w:p>
    <w:p w14:paraId="1660D8F1" w14:textId="77777777" w:rsidR="003D6DE1" w:rsidRPr="00154B00" w:rsidRDefault="00A832E9" w:rsidP="00603D04">
      <w:pPr>
        <w:ind w:left="426"/>
        <w:rPr>
          <w:szCs w:val="20"/>
        </w:rPr>
      </w:pPr>
      <w:r>
        <w:t xml:space="preserve">The text form fields are difficult to use and have insufficient space for many responses, including several for which a different (larger) word count constraint is specified in the question.  </w:t>
      </w:r>
    </w:p>
    <w:p w14:paraId="1C6F4941"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745A02D3" w14:textId="77777777" w:rsidR="00603D04" w:rsidRPr="001B29A1" w:rsidRDefault="00474196"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3C2B4C0B"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0D1786">
        <w:rPr>
          <w:szCs w:val="20"/>
        </w:rPr>
      </w:r>
      <w:r w:rsidR="000D1786">
        <w:rPr>
          <w:szCs w:val="20"/>
        </w:rPr>
        <w:fldChar w:fldCharType="separate"/>
      </w:r>
      <w:r w:rsidRPr="001B29A1">
        <w:rPr>
          <w:szCs w:val="20"/>
        </w:rPr>
        <w:fldChar w:fldCharType="end"/>
      </w:r>
      <w:r w:rsidRPr="001B29A1">
        <w:rPr>
          <w:szCs w:val="20"/>
        </w:rPr>
        <w:t xml:space="preserve"> </w:t>
      </w:r>
      <w:r>
        <w:rPr>
          <w:szCs w:val="20"/>
        </w:rPr>
        <w:t>No</w:t>
      </w:r>
    </w:p>
    <w:p w14:paraId="64111158" w14:textId="77777777" w:rsidR="003D6DE1" w:rsidRPr="00154B00" w:rsidRDefault="003D6DE1" w:rsidP="001B5169">
      <w:pPr>
        <w:pStyle w:val="Heading2"/>
        <w:numPr>
          <w:ilvl w:val="0"/>
          <w:numId w:val="32"/>
        </w:numPr>
      </w:pPr>
      <w:r>
        <w:t>If no, what areas did you find not to be useful?</w:t>
      </w:r>
    </w:p>
    <w:p w14:paraId="7DD34484"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2CF87D35"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53E81A77" w14:textId="77777777" w:rsidR="00603D04" w:rsidRPr="001B29A1" w:rsidRDefault="00A832E9" w:rsidP="00603D04">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0A4C3AA0" w14:textId="77777777" w:rsidR="00603D04" w:rsidRPr="001B29A1" w:rsidRDefault="00A832E9"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D1786">
        <w:rPr>
          <w:szCs w:val="20"/>
        </w:rPr>
      </w:r>
      <w:r w:rsidR="000D1786">
        <w:rPr>
          <w:szCs w:val="20"/>
        </w:rPr>
        <w:fldChar w:fldCharType="separate"/>
      </w:r>
      <w:r>
        <w:rPr>
          <w:szCs w:val="20"/>
        </w:rPr>
        <w:fldChar w:fldCharType="end"/>
      </w:r>
      <w:r w:rsidR="00603D04" w:rsidRPr="001B29A1">
        <w:rPr>
          <w:szCs w:val="20"/>
        </w:rPr>
        <w:t xml:space="preserve"> </w:t>
      </w:r>
      <w:r w:rsidR="00603D04">
        <w:rPr>
          <w:szCs w:val="20"/>
        </w:rPr>
        <w:t>No</w:t>
      </w:r>
    </w:p>
    <w:p w14:paraId="2971B51D" w14:textId="77777777"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0A3DDABA" w14:textId="77777777" w:rsidR="00A832E9" w:rsidRPr="00A832E9" w:rsidRDefault="00A832E9" w:rsidP="00A832E9">
      <w:pPr>
        <w:ind w:left="426"/>
        <w:rPr>
          <w:noProof/>
        </w:rPr>
      </w:pPr>
      <w:r>
        <w:rPr>
          <w:noProof/>
        </w:rPr>
        <w:fldChar w:fldCharType="begin">
          <w:ffData>
            <w:name w:val=""/>
            <w:enabled/>
            <w:calcOnExit w:val="0"/>
            <w:textInput>
              <w:default w:val="Insert feedback here"/>
            </w:textInput>
          </w:ffData>
        </w:fldChar>
      </w:r>
      <w:r>
        <w:rPr>
          <w:noProof/>
        </w:rPr>
        <w:instrText xml:space="preserve"> FORMTEXT </w:instrText>
      </w:r>
      <w:r>
        <w:rPr>
          <w:noProof/>
        </w:rPr>
      </w:r>
      <w:r>
        <w:rPr>
          <w:noProof/>
        </w:rPr>
        <w:fldChar w:fldCharType="separate"/>
      </w:r>
      <w:r>
        <w:rPr>
          <w:noProof/>
        </w:rPr>
        <w:t>Insert feedback here</w:t>
      </w:r>
      <w:r>
        <w:rPr>
          <w:noProof/>
        </w:rPr>
        <w:fldChar w:fldCharType="end"/>
      </w:r>
    </w:p>
    <w:p w14:paraId="01FCC619" w14:textId="77777777" w:rsidR="00C07071" w:rsidRDefault="00C07071" w:rsidP="00A832E9">
      <w:pPr>
        <w:ind w:left="426"/>
        <w:rPr>
          <w:szCs w:val="20"/>
        </w:rPr>
        <w:sectPr w:rsidR="00C07071" w:rsidSect="00DD308E">
          <w:pgSz w:w="11906" w:h="16838"/>
          <w:pgMar w:top="1440" w:right="1440" w:bottom="1440" w:left="1440" w:header="708" w:footer="708" w:gutter="0"/>
          <w:cols w:space="708"/>
          <w:docGrid w:linePitch="360"/>
        </w:sectPr>
      </w:pPr>
    </w:p>
    <w:p w14:paraId="59486D38" w14:textId="77777777" w:rsidR="00010FA9" w:rsidRDefault="00010FA9" w:rsidP="00010FA9">
      <w:pPr>
        <w:pStyle w:val="Caption"/>
        <w:keepNext/>
      </w:pPr>
      <w:r>
        <w:lastRenderedPageBreak/>
        <w:t xml:space="preserve">Figure </w:t>
      </w:r>
      <w:r w:rsidR="000D1786">
        <w:fldChar w:fldCharType="begin"/>
      </w:r>
      <w:r w:rsidR="000D1786">
        <w:instrText xml:space="preserve"> SEQ Figure \* ARABIC </w:instrText>
      </w:r>
      <w:r w:rsidR="000D1786">
        <w:fldChar w:fldCharType="separate"/>
      </w:r>
      <w:r w:rsidR="000D1786">
        <w:rPr>
          <w:noProof/>
        </w:rPr>
        <w:t>1</w:t>
      </w:r>
      <w:r w:rsidR="000D1786">
        <w:rPr>
          <w:noProof/>
        </w:rPr>
        <w:fldChar w:fldCharType="end"/>
      </w:r>
      <w:r>
        <w:t>: Summary clinical management algorithm for paediatric ALL prior to tisagenlecleucel availability</w:t>
      </w:r>
    </w:p>
    <w:p w14:paraId="4A92E9C4" w14:textId="28BA06E4" w:rsidR="00451840" w:rsidRDefault="007B58F6" w:rsidP="00010FA9">
      <w:pPr>
        <w:ind w:left="426"/>
        <w:rPr>
          <w:szCs w:val="20"/>
        </w:rPr>
      </w:pPr>
      <w:r>
        <w:rPr>
          <w:noProof/>
          <w:szCs w:val="20"/>
          <w:lang w:eastAsia="en-AU"/>
        </w:rPr>
        <w:drawing>
          <wp:inline distT="0" distB="0" distL="0" distR="0" wp14:anchorId="03A71EE4" wp14:editId="09217D7F">
            <wp:extent cx="9423508" cy="4752975"/>
            <wp:effectExtent l="0" t="0" r="6350" b="0"/>
            <wp:docPr id="12" name="Picture 12" descr="Picture of the main steps in the current clinical management algorithm for children with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ll_prior.png"/>
                    <pic:cNvPicPr/>
                  </pic:nvPicPr>
                  <pic:blipFill rotWithShape="1">
                    <a:blip r:embed="rId13" cstate="print">
                      <a:extLst>
                        <a:ext uri="{28A0092B-C50C-407E-A947-70E740481C1C}">
                          <a14:useLocalDpi xmlns:a14="http://schemas.microsoft.com/office/drawing/2010/main" val="0"/>
                        </a:ext>
                      </a:extLst>
                    </a:blip>
                    <a:srcRect l="10399" t="6996" r="961"/>
                    <a:stretch/>
                  </pic:blipFill>
                  <pic:spPr bwMode="auto">
                    <a:xfrm>
                      <a:off x="0" y="0"/>
                      <a:ext cx="9448207" cy="4765433"/>
                    </a:xfrm>
                    <a:prstGeom prst="rect">
                      <a:avLst/>
                    </a:prstGeom>
                    <a:ln>
                      <a:noFill/>
                    </a:ln>
                    <a:extLst>
                      <a:ext uri="{53640926-AAD7-44D8-BBD7-CCE9431645EC}">
                        <a14:shadowObscured xmlns:a14="http://schemas.microsoft.com/office/drawing/2010/main"/>
                      </a:ext>
                    </a:extLst>
                  </pic:spPr>
                </pic:pic>
              </a:graphicData>
            </a:graphic>
          </wp:inline>
        </w:drawing>
      </w:r>
    </w:p>
    <w:p w14:paraId="011EEEAE" w14:textId="0278AD08" w:rsidR="00010FA9" w:rsidRDefault="00010FA9" w:rsidP="00010FA9">
      <w:pPr>
        <w:ind w:left="426"/>
        <w:rPr>
          <w:szCs w:val="20"/>
        </w:rPr>
      </w:pPr>
      <w:r>
        <w:rPr>
          <w:szCs w:val="20"/>
        </w:rPr>
        <w:t xml:space="preserve">Abbreviations: ALL = acute lymphoblastic </w:t>
      </w:r>
      <w:proofErr w:type="spellStart"/>
      <w:r>
        <w:rPr>
          <w:szCs w:val="20"/>
        </w:rPr>
        <w:t>leukemia</w:t>
      </w:r>
      <w:proofErr w:type="spellEnd"/>
      <w:r>
        <w:rPr>
          <w:szCs w:val="20"/>
        </w:rPr>
        <w:t xml:space="preserve">; ASCT = allogenic stem cell transplant; </w:t>
      </w:r>
      <w:r w:rsidR="00645CC4">
        <w:rPr>
          <w:szCs w:val="20"/>
        </w:rPr>
        <w:t xml:space="preserve">CNS = central nervous system involvement; </w:t>
      </w:r>
      <w:r>
        <w:rPr>
          <w:szCs w:val="20"/>
        </w:rPr>
        <w:t xml:space="preserve">CR = Complete response; </w:t>
      </w:r>
      <w:r w:rsidR="00645CC4">
        <w:rPr>
          <w:szCs w:val="20"/>
        </w:rPr>
        <w:t xml:space="preserve">BSC = Best Supportive Care; </w:t>
      </w:r>
      <w:r>
        <w:rPr>
          <w:szCs w:val="20"/>
        </w:rPr>
        <w:t xml:space="preserve">MRD = Minimum Residual Disease; </w:t>
      </w:r>
      <w:r w:rsidR="00C14F94">
        <w:rPr>
          <w:szCs w:val="20"/>
        </w:rPr>
        <w:t xml:space="preserve">PH = Philadelphia chromosome; </w:t>
      </w:r>
      <w:r>
        <w:rPr>
          <w:szCs w:val="20"/>
        </w:rPr>
        <w:t xml:space="preserve">TKI = tyrosine kinase inhibitor (imatinib, </w:t>
      </w:r>
      <w:proofErr w:type="spellStart"/>
      <w:r>
        <w:rPr>
          <w:szCs w:val="20"/>
        </w:rPr>
        <w:t>dasatinib</w:t>
      </w:r>
      <w:proofErr w:type="spellEnd"/>
      <w:r>
        <w:rPr>
          <w:szCs w:val="20"/>
        </w:rPr>
        <w:t xml:space="preserve">, </w:t>
      </w:r>
      <w:proofErr w:type="spellStart"/>
      <w:r>
        <w:rPr>
          <w:szCs w:val="20"/>
        </w:rPr>
        <w:t>nilotinib</w:t>
      </w:r>
      <w:proofErr w:type="spellEnd"/>
      <w:r>
        <w:rPr>
          <w:szCs w:val="20"/>
        </w:rPr>
        <w:t xml:space="preserve">, </w:t>
      </w:r>
      <w:proofErr w:type="spellStart"/>
      <w:r>
        <w:rPr>
          <w:szCs w:val="20"/>
        </w:rPr>
        <w:t>ponatinib</w:t>
      </w:r>
      <w:proofErr w:type="spellEnd"/>
      <w:r>
        <w:rPr>
          <w:szCs w:val="20"/>
        </w:rPr>
        <w:t xml:space="preserve">). </w:t>
      </w:r>
    </w:p>
    <w:p w14:paraId="5A2CE16D" w14:textId="77777777" w:rsidR="00645CC4" w:rsidRDefault="00645CC4">
      <w:pPr>
        <w:spacing w:before="0" w:after="200" w:line="276" w:lineRule="auto"/>
        <w:rPr>
          <w:i/>
          <w:iCs/>
          <w:color w:val="1F497D" w:themeColor="text2"/>
          <w:sz w:val="18"/>
          <w:szCs w:val="18"/>
        </w:rPr>
      </w:pPr>
      <w:r>
        <w:br w:type="page"/>
      </w:r>
    </w:p>
    <w:p w14:paraId="1AB740F6" w14:textId="7A2435B2" w:rsidR="00010FA9" w:rsidRDefault="00010FA9" w:rsidP="00010FA9">
      <w:pPr>
        <w:pStyle w:val="Caption"/>
        <w:keepNext/>
      </w:pPr>
      <w:r>
        <w:lastRenderedPageBreak/>
        <w:t xml:space="preserve">Figure </w:t>
      </w:r>
      <w:r w:rsidR="000D1786">
        <w:fldChar w:fldCharType="begin"/>
      </w:r>
      <w:r w:rsidR="000D1786">
        <w:instrText xml:space="preserve"> SEQ Figure \* ARABIC </w:instrText>
      </w:r>
      <w:r w:rsidR="000D1786">
        <w:fldChar w:fldCharType="separate"/>
      </w:r>
      <w:r w:rsidR="000D1786">
        <w:rPr>
          <w:noProof/>
        </w:rPr>
        <w:t>2</w:t>
      </w:r>
      <w:r w:rsidR="000D1786">
        <w:rPr>
          <w:noProof/>
        </w:rPr>
        <w:fldChar w:fldCharType="end"/>
      </w:r>
      <w:r>
        <w:t>: Summary clinical management algorithm for paediatric ALL with tisagenlecleucel availability</w:t>
      </w:r>
    </w:p>
    <w:p w14:paraId="0343D63E" w14:textId="041E9059" w:rsidR="00010FA9" w:rsidRDefault="00645CC4" w:rsidP="00010FA9">
      <w:pPr>
        <w:ind w:left="426"/>
        <w:rPr>
          <w:szCs w:val="20"/>
        </w:rPr>
      </w:pPr>
      <w:r>
        <w:rPr>
          <w:noProof/>
          <w:szCs w:val="20"/>
          <w:lang w:eastAsia="en-AU"/>
        </w:rPr>
        <w:drawing>
          <wp:inline distT="0" distB="0" distL="0" distR="0" wp14:anchorId="239464FA" wp14:editId="0B6F2506">
            <wp:extent cx="8806180" cy="5215255"/>
            <wp:effectExtent l="0" t="0" r="0" b="4445"/>
            <wp:docPr id="13" name="Picture 13" descr="Picture of the main steps in the proposed clinical management algorithm with tisagenlecleucel for children with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ll_post_2.png"/>
                    <pic:cNvPicPr/>
                  </pic:nvPicPr>
                  <pic:blipFill rotWithShape="1">
                    <a:blip r:embed="rId14" cstate="print">
                      <a:extLst>
                        <a:ext uri="{28A0092B-C50C-407E-A947-70E740481C1C}">
                          <a14:useLocalDpi xmlns:a14="http://schemas.microsoft.com/office/drawing/2010/main" val="0"/>
                        </a:ext>
                      </a:extLst>
                    </a:blip>
                    <a:srcRect l="9937" t="5521"/>
                    <a:stretch/>
                  </pic:blipFill>
                  <pic:spPr bwMode="auto">
                    <a:xfrm>
                      <a:off x="0" y="0"/>
                      <a:ext cx="8806180" cy="5215255"/>
                    </a:xfrm>
                    <a:prstGeom prst="rect">
                      <a:avLst/>
                    </a:prstGeom>
                    <a:ln>
                      <a:noFill/>
                    </a:ln>
                    <a:extLst>
                      <a:ext uri="{53640926-AAD7-44D8-BBD7-CCE9431645EC}">
                        <a14:shadowObscured xmlns:a14="http://schemas.microsoft.com/office/drawing/2010/main"/>
                      </a:ext>
                    </a:extLst>
                  </pic:spPr>
                </pic:pic>
              </a:graphicData>
            </a:graphic>
          </wp:inline>
        </w:drawing>
      </w:r>
    </w:p>
    <w:p w14:paraId="5C7EC254" w14:textId="31672003" w:rsidR="00010FA9" w:rsidRDefault="00C14F94" w:rsidP="00470AD5">
      <w:pPr>
        <w:ind w:left="426"/>
        <w:rPr>
          <w:szCs w:val="20"/>
        </w:rPr>
      </w:pPr>
      <w:r>
        <w:rPr>
          <w:szCs w:val="20"/>
        </w:rPr>
        <w:t xml:space="preserve">Abbreviations: ALL = acute lymphoblastic </w:t>
      </w:r>
      <w:proofErr w:type="spellStart"/>
      <w:r>
        <w:rPr>
          <w:szCs w:val="20"/>
        </w:rPr>
        <w:t>leukemia</w:t>
      </w:r>
      <w:proofErr w:type="spellEnd"/>
      <w:r>
        <w:rPr>
          <w:szCs w:val="20"/>
        </w:rPr>
        <w:t xml:space="preserve">; ASCT = allogenic stem cell transplant; CNS = central nervous system involvement; CR = Complete response; BSC = Best Supportive Care; MRD = Minimum Residual Disease; PH = Philadelphia chromosome; TKI = tyrosine kinase inhibitor (imatinib, </w:t>
      </w:r>
      <w:proofErr w:type="spellStart"/>
      <w:r>
        <w:rPr>
          <w:szCs w:val="20"/>
        </w:rPr>
        <w:t>das</w:t>
      </w:r>
      <w:r w:rsidR="00470AD5">
        <w:rPr>
          <w:szCs w:val="20"/>
        </w:rPr>
        <w:t>atinib</w:t>
      </w:r>
      <w:proofErr w:type="spellEnd"/>
      <w:r w:rsidR="00470AD5">
        <w:rPr>
          <w:szCs w:val="20"/>
        </w:rPr>
        <w:t xml:space="preserve">, </w:t>
      </w:r>
      <w:proofErr w:type="spellStart"/>
      <w:r w:rsidR="00470AD5">
        <w:rPr>
          <w:szCs w:val="20"/>
        </w:rPr>
        <w:t>nilotinib</w:t>
      </w:r>
      <w:proofErr w:type="spellEnd"/>
      <w:r w:rsidR="00470AD5">
        <w:rPr>
          <w:szCs w:val="20"/>
        </w:rPr>
        <w:t xml:space="preserve">, </w:t>
      </w:r>
      <w:proofErr w:type="spellStart"/>
      <w:r w:rsidR="00470AD5">
        <w:rPr>
          <w:szCs w:val="20"/>
        </w:rPr>
        <w:t>ponatinib</w:t>
      </w:r>
      <w:proofErr w:type="spellEnd"/>
      <w:r w:rsidR="00470AD5">
        <w:rPr>
          <w:szCs w:val="20"/>
        </w:rPr>
        <w:t xml:space="preserve">). </w:t>
      </w:r>
    </w:p>
    <w:p w14:paraId="1BB46C34" w14:textId="77777777" w:rsidR="00645CC4" w:rsidRDefault="00645CC4">
      <w:pPr>
        <w:spacing w:before="0" w:after="200" w:line="276" w:lineRule="auto"/>
        <w:rPr>
          <w:i/>
          <w:iCs/>
          <w:color w:val="1F497D" w:themeColor="text2"/>
          <w:sz w:val="18"/>
          <w:szCs w:val="18"/>
        </w:rPr>
      </w:pPr>
      <w:r>
        <w:br w:type="page"/>
      </w:r>
    </w:p>
    <w:p w14:paraId="05F202C0" w14:textId="6EE41AD5" w:rsidR="00D43D5A" w:rsidRDefault="00D43D5A" w:rsidP="00D43D5A">
      <w:pPr>
        <w:pStyle w:val="Caption"/>
        <w:keepNext/>
      </w:pPr>
      <w:r>
        <w:lastRenderedPageBreak/>
        <w:t xml:space="preserve">Figure </w:t>
      </w:r>
      <w:r w:rsidR="000D1786">
        <w:fldChar w:fldCharType="begin"/>
      </w:r>
      <w:r w:rsidR="000D1786">
        <w:instrText xml:space="preserve"> SEQ Figure \* ARABIC </w:instrText>
      </w:r>
      <w:r w:rsidR="000D1786">
        <w:fldChar w:fldCharType="separate"/>
      </w:r>
      <w:r w:rsidR="000D1786">
        <w:rPr>
          <w:noProof/>
        </w:rPr>
        <w:t>3</w:t>
      </w:r>
      <w:r w:rsidR="000D1786">
        <w:rPr>
          <w:noProof/>
        </w:rPr>
        <w:fldChar w:fldCharType="end"/>
      </w:r>
      <w:r>
        <w:t>:</w:t>
      </w:r>
      <w:r w:rsidRPr="00D43D5A">
        <w:t xml:space="preserve"> </w:t>
      </w:r>
      <w:r>
        <w:t xml:space="preserve">Summary clinical management algorithm for adult </w:t>
      </w:r>
      <w:r w:rsidR="007818CD">
        <w:t>DLBCL</w:t>
      </w:r>
      <w:r>
        <w:t xml:space="preserve"> prior to tisagenlecleucel availability</w:t>
      </w:r>
    </w:p>
    <w:p w14:paraId="3060339A" w14:textId="19CD7659" w:rsidR="00010FA9" w:rsidRDefault="00412BF1" w:rsidP="00041F69">
      <w:pPr>
        <w:ind w:left="426"/>
        <w:rPr>
          <w:szCs w:val="20"/>
        </w:rPr>
      </w:pPr>
      <w:r>
        <w:rPr>
          <w:noProof/>
          <w:szCs w:val="20"/>
          <w:lang w:eastAsia="en-AU"/>
        </w:rPr>
        <w:drawing>
          <wp:inline distT="0" distB="0" distL="0" distR="0" wp14:anchorId="7A41F36B" wp14:editId="36DDB710">
            <wp:extent cx="7082790" cy="5972175"/>
            <wp:effectExtent l="0" t="0" r="3810" b="9525"/>
            <wp:docPr id="4" name="Picture 4" descr="Picture of the main steps in the current clinical management algorithm for adult DLB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lbcl_prior_3.png"/>
                    <pic:cNvPicPr/>
                  </pic:nvPicPr>
                  <pic:blipFill rotWithShape="1">
                    <a:blip r:embed="rId15" cstate="print">
                      <a:extLst>
                        <a:ext uri="{28A0092B-C50C-407E-A947-70E740481C1C}">
                          <a14:useLocalDpi xmlns:a14="http://schemas.microsoft.com/office/drawing/2010/main" val="0"/>
                        </a:ext>
                      </a:extLst>
                    </a:blip>
                    <a:srcRect l="21610" t="5017"/>
                    <a:stretch/>
                  </pic:blipFill>
                  <pic:spPr bwMode="auto">
                    <a:xfrm>
                      <a:off x="0" y="0"/>
                      <a:ext cx="7082790" cy="5972175"/>
                    </a:xfrm>
                    <a:prstGeom prst="rect">
                      <a:avLst/>
                    </a:prstGeom>
                    <a:ln>
                      <a:noFill/>
                    </a:ln>
                    <a:extLst>
                      <a:ext uri="{53640926-AAD7-44D8-BBD7-CCE9431645EC}">
                        <a14:shadowObscured xmlns:a14="http://schemas.microsoft.com/office/drawing/2010/main"/>
                      </a:ext>
                    </a:extLst>
                  </pic:spPr>
                </pic:pic>
              </a:graphicData>
            </a:graphic>
          </wp:inline>
        </w:drawing>
      </w:r>
    </w:p>
    <w:p w14:paraId="46A74082" w14:textId="11725916" w:rsidR="00982561" w:rsidRPr="00982561" w:rsidRDefault="00D43D5A" w:rsidP="00982561">
      <w:pPr>
        <w:ind w:left="426"/>
        <w:rPr>
          <w:szCs w:val="20"/>
        </w:rPr>
      </w:pPr>
      <w:r>
        <w:rPr>
          <w:szCs w:val="20"/>
        </w:rPr>
        <w:t>Abbreviations</w:t>
      </w:r>
      <w:r w:rsidR="007818CD">
        <w:rPr>
          <w:szCs w:val="20"/>
        </w:rPr>
        <w:t xml:space="preserve">: ASCT = Autologous Stem Cell Transplant; BSC = Best Supportive Care; </w:t>
      </w:r>
      <w:r w:rsidR="00982561">
        <w:rPr>
          <w:szCs w:val="20"/>
        </w:rPr>
        <w:t>CR = Complete Response; NR = No Response; PR = Partial Response; RCHOP = R</w:t>
      </w:r>
      <w:r w:rsidR="00982561" w:rsidRPr="00982561">
        <w:rPr>
          <w:szCs w:val="20"/>
        </w:rPr>
        <w:t>ituximab</w:t>
      </w:r>
      <w:r w:rsidR="00982561">
        <w:rPr>
          <w:szCs w:val="20"/>
        </w:rPr>
        <w:t>, Cyclophosphamide, D</w:t>
      </w:r>
      <w:r w:rsidR="00982561" w:rsidRPr="00982561">
        <w:rPr>
          <w:szCs w:val="20"/>
        </w:rPr>
        <w:t>oxorubicin</w:t>
      </w:r>
      <w:r w:rsidR="00982561">
        <w:rPr>
          <w:szCs w:val="20"/>
        </w:rPr>
        <w:t xml:space="preserve">, Vincristine &amp; Prednisolone; RT = Radiotherapy; </w:t>
      </w:r>
      <w:r w:rsidR="007818CD">
        <w:rPr>
          <w:szCs w:val="20"/>
        </w:rPr>
        <w:t>WW = Watch and Wait</w:t>
      </w:r>
      <w:r w:rsidR="00982561">
        <w:rPr>
          <w:szCs w:val="20"/>
        </w:rPr>
        <w:t xml:space="preserve">; </w:t>
      </w:r>
    </w:p>
    <w:p w14:paraId="4A20D51B" w14:textId="0F77645E" w:rsidR="00F42CB2" w:rsidRDefault="00F42CB2" w:rsidP="00F42CB2">
      <w:pPr>
        <w:pStyle w:val="Caption"/>
        <w:keepNext/>
      </w:pPr>
      <w:r>
        <w:lastRenderedPageBreak/>
        <w:t xml:space="preserve">Figure </w:t>
      </w:r>
      <w:r w:rsidR="000D1786">
        <w:fldChar w:fldCharType="begin"/>
      </w:r>
      <w:r w:rsidR="000D1786">
        <w:instrText xml:space="preserve"> SEQ Figure \* ARABIC </w:instrText>
      </w:r>
      <w:r w:rsidR="000D1786">
        <w:fldChar w:fldCharType="separate"/>
      </w:r>
      <w:r w:rsidR="000D1786">
        <w:rPr>
          <w:noProof/>
        </w:rPr>
        <w:t>4</w:t>
      </w:r>
      <w:r w:rsidR="000D1786">
        <w:rPr>
          <w:noProof/>
        </w:rPr>
        <w:fldChar w:fldCharType="end"/>
      </w:r>
      <w:r>
        <w:t>:</w:t>
      </w:r>
      <w:r w:rsidRPr="00D43D5A">
        <w:t xml:space="preserve"> </w:t>
      </w:r>
      <w:r>
        <w:t xml:space="preserve">Summary clinical management algorithm for adult </w:t>
      </w:r>
      <w:r w:rsidR="007818CD">
        <w:t>DLBCL</w:t>
      </w:r>
      <w:r w:rsidR="00BC455F">
        <w:t xml:space="preserve"> with </w:t>
      </w:r>
      <w:r>
        <w:t>tisagenlecleucel availability</w:t>
      </w:r>
    </w:p>
    <w:p w14:paraId="58D4A8DD" w14:textId="71BE4A39" w:rsidR="00D43D5A" w:rsidRDefault="00412BF1" w:rsidP="00982561">
      <w:pPr>
        <w:rPr>
          <w:szCs w:val="20"/>
        </w:rPr>
      </w:pPr>
      <w:r>
        <w:rPr>
          <w:noProof/>
          <w:szCs w:val="20"/>
          <w:lang w:eastAsia="en-AU"/>
        </w:rPr>
        <w:drawing>
          <wp:inline distT="0" distB="0" distL="0" distR="0" wp14:anchorId="2C325D40" wp14:editId="6BA5B8E7">
            <wp:extent cx="6933849" cy="5981700"/>
            <wp:effectExtent l="0" t="0" r="635" b="0"/>
            <wp:docPr id="6" name="Picture 6" descr="Picture of the main steps in the proposed clinical management algorithm with tisagenlecleucel for adult DLB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lbcl_post_3.png"/>
                    <pic:cNvPicPr/>
                  </pic:nvPicPr>
                  <pic:blipFill rotWithShape="1">
                    <a:blip r:embed="rId16" cstate="print">
                      <a:extLst>
                        <a:ext uri="{28A0092B-C50C-407E-A947-70E740481C1C}">
                          <a14:useLocalDpi xmlns:a14="http://schemas.microsoft.com/office/drawing/2010/main" val="0"/>
                        </a:ext>
                      </a:extLst>
                    </a:blip>
                    <a:srcRect l="22197" t="4729" b="1539"/>
                    <a:stretch/>
                  </pic:blipFill>
                  <pic:spPr bwMode="auto">
                    <a:xfrm>
                      <a:off x="0" y="0"/>
                      <a:ext cx="6936541" cy="5984022"/>
                    </a:xfrm>
                    <a:prstGeom prst="rect">
                      <a:avLst/>
                    </a:prstGeom>
                    <a:ln>
                      <a:noFill/>
                    </a:ln>
                    <a:extLst>
                      <a:ext uri="{53640926-AAD7-44D8-BBD7-CCE9431645EC}">
                        <a14:shadowObscured xmlns:a14="http://schemas.microsoft.com/office/drawing/2010/main"/>
                      </a:ext>
                    </a:extLst>
                  </pic:spPr>
                </pic:pic>
              </a:graphicData>
            </a:graphic>
          </wp:inline>
        </w:drawing>
      </w:r>
    </w:p>
    <w:p w14:paraId="715F1CE5" w14:textId="4EECEB3B" w:rsidR="00041F69" w:rsidRDefault="00982561" w:rsidP="00982561">
      <w:pPr>
        <w:ind w:left="426"/>
        <w:rPr>
          <w:szCs w:val="20"/>
        </w:rPr>
      </w:pPr>
      <w:r>
        <w:rPr>
          <w:szCs w:val="20"/>
        </w:rPr>
        <w:t>Abbreviations: ASCT = Autologous Stem Cell Transplant; BSC = Best Supportive Care; CR = Complete Response; NR = No Response; PR = Partial Response; RCHOP = R</w:t>
      </w:r>
      <w:r w:rsidRPr="00982561">
        <w:rPr>
          <w:szCs w:val="20"/>
        </w:rPr>
        <w:t>ituximab</w:t>
      </w:r>
      <w:r>
        <w:rPr>
          <w:szCs w:val="20"/>
        </w:rPr>
        <w:t>, Cyclophosphamide, D</w:t>
      </w:r>
      <w:r w:rsidRPr="00982561">
        <w:rPr>
          <w:szCs w:val="20"/>
        </w:rPr>
        <w:t>oxorubicin</w:t>
      </w:r>
      <w:r>
        <w:rPr>
          <w:szCs w:val="20"/>
        </w:rPr>
        <w:t>, Vincristine &amp; Prednisolone; RT = Radiotherapy; WW = Watch and Wait</w:t>
      </w:r>
    </w:p>
    <w:sectPr w:rsidR="00041F69" w:rsidSect="00645CC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6FE1F" w14:textId="77777777" w:rsidR="009554E3" w:rsidRDefault="009554E3" w:rsidP="00CF2DFA">
      <w:pPr>
        <w:spacing w:after="0"/>
      </w:pPr>
      <w:r>
        <w:separator/>
      </w:r>
    </w:p>
  </w:endnote>
  <w:endnote w:type="continuationSeparator" w:id="0">
    <w:p w14:paraId="18C63697" w14:textId="77777777" w:rsidR="009554E3" w:rsidRDefault="009554E3"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A4CDC" w14:textId="77777777" w:rsidR="009554E3" w:rsidRDefault="009554E3" w:rsidP="00CF2DFA">
      <w:pPr>
        <w:spacing w:after="0"/>
      </w:pPr>
      <w:r>
        <w:separator/>
      </w:r>
    </w:p>
  </w:footnote>
  <w:footnote w:type="continuationSeparator" w:id="0">
    <w:p w14:paraId="7CE0F452" w14:textId="77777777" w:rsidR="009554E3" w:rsidRDefault="009554E3"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08494D"/>
    <w:multiLevelType w:val="multilevel"/>
    <w:tmpl w:val="04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136071"/>
    <w:multiLevelType w:val="hybridMultilevel"/>
    <w:tmpl w:val="1070F23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2CC52E29"/>
    <w:multiLevelType w:val="hybridMultilevel"/>
    <w:tmpl w:val="16DC450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nsid w:val="39140082"/>
    <w:multiLevelType w:val="hybridMultilevel"/>
    <w:tmpl w:val="320A1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nsid w:val="4E2066C3"/>
    <w:multiLevelType w:val="hybridMultilevel"/>
    <w:tmpl w:val="0EA4ED8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1"/>
  </w:num>
  <w:num w:numId="26">
    <w:abstractNumId w:val="4"/>
  </w:num>
  <w:num w:numId="27">
    <w:abstractNumId w:val="18"/>
  </w:num>
  <w:num w:numId="28">
    <w:abstractNumId w:val="13"/>
  </w:num>
  <w:num w:numId="29">
    <w:abstractNumId w:val="22"/>
  </w:num>
  <w:num w:numId="30">
    <w:abstractNumId w:val="2"/>
  </w:num>
  <w:num w:numId="31">
    <w:abstractNumId w:val="20"/>
  </w:num>
  <w:num w:numId="32">
    <w:abstractNumId w:val="7"/>
  </w:num>
  <w:num w:numId="33">
    <w:abstractNumId w:val="19"/>
  </w:num>
  <w:num w:numId="34">
    <w:abstractNumId w:val="6"/>
  </w:num>
  <w:num w:numId="35">
    <w:abstractNumId w:val="14"/>
  </w:num>
  <w:num w:numId="36">
    <w:abstractNumId w:val="0"/>
  </w:num>
  <w:num w:numId="37">
    <w:abstractNumId w:val="12"/>
  </w:num>
  <w:num w:numId="38">
    <w:abstractNumId w:val="10"/>
  </w:num>
  <w:num w:numId="39">
    <w:abstractNumId w:val="15"/>
  </w:num>
  <w:num w:numId="40">
    <w:abstractNumId w:val="3"/>
  </w:num>
  <w:num w:numId="41">
    <w:abstractNumId w:val="16"/>
  </w:num>
  <w:num w:numId="42">
    <w:abstractNumId w:val="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0FA9"/>
    <w:rsid w:val="000110DC"/>
    <w:rsid w:val="000131FA"/>
    <w:rsid w:val="000158AA"/>
    <w:rsid w:val="000159B9"/>
    <w:rsid w:val="00016B6E"/>
    <w:rsid w:val="00023E21"/>
    <w:rsid w:val="00025ABC"/>
    <w:rsid w:val="00026412"/>
    <w:rsid w:val="00031F6F"/>
    <w:rsid w:val="00034D6E"/>
    <w:rsid w:val="0003572B"/>
    <w:rsid w:val="00040F03"/>
    <w:rsid w:val="00041F69"/>
    <w:rsid w:val="00042510"/>
    <w:rsid w:val="000426DE"/>
    <w:rsid w:val="0005089D"/>
    <w:rsid w:val="000525BC"/>
    <w:rsid w:val="00073222"/>
    <w:rsid w:val="00074F81"/>
    <w:rsid w:val="000770BA"/>
    <w:rsid w:val="00092580"/>
    <w:rsid w:val="000955E7"/>
    <w:rsid w:val="000A110D"/>
    <w:rsid w:val="000A478F"/>
    <w:rsid w:val="000A5B32"/>
    <w:rsid w:val="000B3CD0"/>
    <w:rsid w:val="000B7D2A"/>
    <w:rsid w:val="000C322A"/>
    <w:rsid w:val="000D066E"/>
    <w:rsid w:val="000D0831"/>
    <w:rsid w:val="000D1786"/>
    <w:rsid w:val="000D191C"/>
    <w:rsid w:val="000D1AF4"/>
    <w:rsid w:val="000D7B21"/>
    <w:rsid w:val="000E47E7"/>
    <w:rsid w:val="000E5439"/>
    <w:rsid w:val="00102686"/>
    <w:rsid w:val="00103D1C"/>
    <w:rsid w:val="0010785C"/>
    <w:rsid w:val="00107EA9"/>
    <w:rsid w:val="0011036E"/>
    <w:rsid w:val="001130B0"/>
    <w:rsid w:val="0011324F"/>
    <w:rsid w:val="0011369B"/>
    <w:rsid w:val="0011742E"/>
    <w:rsid w:val="00123D10"/>
    <w:rsid w:val="00126B33"/>
    <w:rsid w:val="00154B00"/>
    <w:rsid w:val="001644E9"/>
    <w:rsid w:val="001845D9"/>
    <w:rsid w:val="0018630F"/>
    <w:rsid w:val="001906CD"/>
    <w:rsid w:val="00191B99"/>
    <w:rsid w:val="00192D86"/>
    <w:rsid w:val="0019694B"/>
    <w:rsid w:val="00197D29"/>
    <w:rsid w:val="001A02E3"/>
    <w:rsid w:val="001A1ADF"/>
    <w:rsid w:val="001A365C"/>
    <w:rsid w:val="001B171D"/>
    <w:rsid w:val="001B29A1"/>
    <w:rsid w:val="001B5169"/>
    <w:rsid w:val="001B6164"/>
    <w:rsid w:val="001D77ED"/>
    <w:rsid w:val="001E1180"/>
    <w:rsid w:val="001E1A2C"/>
    <w:rsid w:val="001E23EA"/>
    <w:rsid w:val="001E6919"/>
    <w:rsid w:val="001E6958"/>
    <w:rsid w:val="00201924"/>
    <w:rsid w:val="00202473"/>
    <w:rsid w:val="002053F2"/>
    <w:rsid w:val="00206D63"/>
    <w:rsid w:val="0021185D"/>
    <w:rsid w:val="00213F68"/>
    <w:rsid w:val="00220256"/>
    <w:rsid w:val="00226777"/>
    <w:rsid w:val="002302CA"/>
    <w:rsid w:val="002356F6"/>
    <w:rsid w:val="00235BD1"/>
    <w:rsid w:val="00242B0E"/>
    <w:rsid w:val="00247DF0"/>
    <w:rsid w:val="00254813"/>
    <w:rsid w:val="002573F3"/>
    <w:rsid w:val="002576EC"/>
    <w:rsid w:val="00257A85"/>
    <w:rsid w:val="00257FF2"/>
    <w:rsid w:val="00261240"/>
    <w:rsid w:val="002654FC"/>
    <w:rsid w:val="00265822"/>
    <w:rsid w:val="0027105F"/>
    <w:rsid w:val="002711FB"/>
    <w:rsid w:val="00283318"/>
    <w:rsid w:val="00285525"/>
    <w:rsid w:val="0029150C"/>
    <w:rsid w:val="0029328F"/>
    <w:rsid w:val="00294CD8"/>
    <w:rsid w:val="002A270B"/>
    <w:rsid w:val="002A50FD"/>
    <w:rsid w:val="002A6753"/>
    <w:rsid w:val="002B28D7"/>
    <w:rsid w:val="002B70AD"/>
    <w:rsid w:val="002B7EB6"/>
    <w:rsid w:val="002C0B61"/>
    <w:rsid w:val="002C15E6"/>
    <w:rsid w:val="002C247D"/>
    <w:rsid w:val="002C3345"/>
    <w:rsid w:val="002D409A"/>
    <w:rsid w:val="002D7777"/>
    <w:rsid w:val="002F30E7"/>
    <w:rsid w:val="00300000"/>
    <w:rsid w:val="00300EEB"/>
    <w:rsid w:val="003013A9"/>
    <w:rsid w:val="003020B5"/>
    <w:rsid w:val="003027BB"/>
    <w:rsid w:val="003047CF"/>
    <w:rsid w:val="00306D66"/>
    <w:rsid w:val="00310A10"/>
    <w:rsid w:val="00327D25"/>
    <w:rsid w:val="003319A7"/>
    <w:rsid w:val="00334FE3"/>
    <w:rsid w:val="003421AE"/>
    <w:rsid w:val="00342B30"/>
    <w:rsid w:val="003433D1"/>
    <w:rsid w:val="003441BB"/>
    <w:rsid w:val="00344B24"/>
    <w:rsid w:val="003456B9"/>
    <w:rsid w:val="0035067D"/>
    <w:rsid w:val="00353A16"/>
    <w:rsid w:val="0035776D"/>
    <w:rsid w:val="00364FD9"/>
    <w:rsid w:val="00367C1B"/>
    <w:rsid w:val="00372EB3"/>
    <w:rsid w:val="00376B61"/>
    <w:rsid w:val="00382407"/>
    <w:rsid w:val="00386A64"/>
    <w:rsid w:val="00386CEA"/>
    <w:rsid w:val="00386FA1"/>
    <w:rsid w:val="00390142"/>
    <w:rsid w:val="00391B7A"/>
    <w:rsid w:val="00392F00"/>
    <w:rsid w:val="00397377"/>
    <w:rsid w:val="003A20E9"/>
    <w:rsid w:val="003A22DE"/>
    <w:rsid w:val="003A2860"/>
    <w:rsid w:val="003A3C35"/>
    <w:rsid w:val="003A7D30"/>
    <w:rsid w:val="003B2875"/>
    <w:rsid w:val="003B3C5C"/>
    <w:rsid w:val="003B5545"/>
    <w:rsid w:val="003B69E9"/>
    <w:rsid w:val="003C47CA"/>
    <w:rsid w:val="003D6DE1"/>
    <w:rsid w:val="003D795C"/>
    <w:rsid w:val="003E0A9F"/>
    <w:rsid w:val="003E1FE3"/>
    <w:rsid w:val="003E30FB"/>
    <w:rsid w:val="003F2711"/>
    <w:rsid w:val="003F6C70"/>
    <w:rsid w:val="003F7CB9"/>
    <w:rsid w:val="00403333"/>
    <w:rsid w:val="00411735"/>
    <w:rsid w:val="00412BF1"/>
    <w:rsid w:val="004146D8"/>
    <w:rsid w:val="00415C74"/>
    <w:rsid w:val="004236FC"/>
    <w:rsid w:val="0043654D"/>
    <w:rsid w:val="00451840"/>
    <w:rsid w:val="00456BE1"/>
    <w:rsid w:val="00460C9A"/>
    <w:rsid w:val="00461447"/>
    <w:rsid w:val="00464924"/>
    <w:rsid w:val="00470AD5"/>
    <w:rsid w:val="00474196"/>
    <w:rsid w:val="0047581D"/>
    <w:rsid w:val="00480289"/>
    <w:rsid w:val="00481279"/>
    <w:rsid w:val="00483368"/>
    <w:rsid w:val="00483D0A"/>
    <w:rsid w:val="00494011"/>
    <w:rsid w:val="004A0BF4"/>
    <w:rsid w:val="004A263B"/>
    <w:rsid w:val="004B1205"/>
    <w:rsid w:val="004B225E"/>
    <w:rsid w:val="004B68AE"/>
    <w:rsid w:val="004C35B0"/>
    <w:rsid w:val="004C49EF"/>
    <w:rsid w:val="004C4A19"/>
    <w:rsid w:val="004C5570"/>
    <w:rsid w:val="004C6A1F"/>
    <w:rsid w:val="004D00C9"/>
    <w:rsid w:val="004D4D1F"/>
    <w:rsid w:val="004E16F5"/>
    <w:rsid w:val="004E3CC7"/>
    <w:rsid w:val="004E5B69"/>
    <w:rsid w:val="004F2A87"/>
    <w:rsid w:val="00507C56"/>
    <w:rsid w:val="0052344E"/>
    <w:rsid w:val="00526478"/>
    <w:rsid w:val="00530204"/>
    <w:rsid w:val="00534C5F"/>
    <w:rsid w:val="00540257"/>
    <w:rsid w:val="0054192F"/>
    <w:rsid w:val="00544EB3"/>
    <w:rsid w:val="0054594B"/>
    <w:rsid w:val="0054749B"/>
    <w:rsid w:val="00551CC6"/>
    <w:rsid w:val="00557D0D"/>
    <w:rsid w:val="00560541"/>
    <w:rsid w:val="00560568"/>
    <w:rsid w:val="005672D0"/>
    <w:rsid w:val="0056754D"/>
    <w:rsid w:val="00571C42"/>
    <w:rsid w:val="00572CEB"/>
    <w:rsid w:val="00580C65"/>
    <w:rsid w:val="005816E1"/>
    <w:rsid w:val="00582441"/>
    <w:rsid w:val="00582A6D"/>
    <w:rsid w:val="005834C9"/>
    <w:rsid w:val="00592FE5"/>
    <w:rsid w:val="005A58BA"/>
    <w:rsid w:val="005A5D30"/>
    <w:rsid w:val="005A6AB9"/>
    <w:rsid w:val="005C333E"/>
    <w:rsid w:val="005C3AE7"/>
    <w:rsid w:val="005D0677"/>
    <w:rsid w:val="005E294C"/>
    <w:rsid w:val="005E2CE3"/>
    <w:rsid w:val="005F1AF8"/>
    <w:rsid w:val="005F3F07"/>
    <w:rsid w:val="005F6D0A"/>
    <w:rsid w:val="005F6FFF"/>
    <w:rsid w:val="00603D04"/>
    <w:rsid w:val="00606857"/>
    <w:rsid w:val="006157F5"/>
    <w:rsid w:val="00615F42"/>
    <w:rsid w:val="006258C2"/>
    <w:rsid w:val="00626365"/>
    <w:rsid w:val="00627766"/>
    <w:rsid w:val="00630E22"/>
    <w:rsid w:val="0064168C"/>
    <w:rsid w:val="00645CC4"/>
    <w:rsid w:val="00657B46"/>
    <w:rsid w:val="006628E1"/>
    <w:rsid w:val="006764EC"/>
    <w:rsid w:val="006835FE"/>
    <w:rsid w:val="00693BFD"/>
    <w:rsid w:val="00695065"/>
    <w:rsid w:val="006A1038"/>
    <w:rsid w:val="006A649A"/>
    <w:rsid w:val="006B1B49"/>
    <w:rsid w:val="006B3F8B"/>
    <w:rsid w:val="006B6390"/>
    <w:rsid w:val="006C0356"/>
    <w:rsid w:val="006C0843"/>
    <w:rsid w:val="006C74B1"/>
    <w:rsid w:val="006D2D39"/>
    <w:rsid w:val="006D7B98"/>
    <w:rsid w:val="006E57AA"/>
    <w:rsid w:val="006E5FBC"/>
    <w:rsid w:val="006F0A4A"/>
    <w:rsid w:val="006F20CF"/>
    <w:rsid w:val="006F307B"/>
    <w:rsid w:val="006F38ED"/>
    <w:rsid w:val="006F6F4B"/>
    <w:rsid w:val="00707D4D"/>
    <w:rsid w:val="00723503"/>
    <w:rsid w:val="00730559"/>
    <w:rsid w:val="00730C04"/>
    <w:rsid w:val="0073385C"/>
    <w:rsid w:val="0073597B"/>
    <w:rsid w:val="007378F6"/>
    <w:rsid w:val="0074414B"/>
    <w:rsid w:val="007446F0"/>
    <w:rsid w:val="0074545D"/>
    <w:rsid w:val="007522E3"/>
    <w:rsid w:val="0075335B"/>
    <w:rsid w:val="00753C44"/>
    <w:rsid w:val="00753D42"/>
    <w:rsid w:val="00754383"/>
    <w:rsid w:val="007564D1"/>
    <w:rsid w:val="00757232"/>
    <w:rsid w:val="00760679"/>
    <w:rsid w:val="00763628"/>
    <w:rsid w:val="00767E99"/>
    <w:rsid w:val="00771F95"/>
    <w:rsid w:val="00772E62"/>
    <w:rsid w:val="007731F5"/>
    <w:rsid w:val="0077789B"/>
    <w:rsid w:val="00780D29"/>
    <w:rsid w:val="007818CD"/>
    <w:rsid w:val="00791C8D"/>
    <w:rsid w:val="00794181"/>
    <w:rsid w:val="00796908"/>
    <w:rsid w:val="007A3C31"/>
    <w:rsid w:val="007A7F6F"/>
    <w:rsid w:val="007B4C76"/>
    <w:rsid w:val="007B5436"/>
    <w:rsid w:val="007B58F6"/>
    <w:rsid w:val="007B5BCE"/>
    <w:rsid w:val="007C2260"/>
    <w:rsid w:val="007D1E52"/>
    <w:rsid w:val="007D2358"/>
    <w:rsid w:val="007D34B0"/>
    <w:rsid w:val="007D5A65"/>
    <w:rsid w:val="007E39E4"/>
    <w:rsid w:val="007E6FB3"/>
    <w:rsid w:val="007F21B4"/>
    <w:rsid w:val="007F4252"/>
    <w:rsid w:val="00802553"/>
    <w:rsid w:val="00803EAB"/>
    <w:rsid w:val="008046B5"/>
    <w:rsid w:val="008127C0"/>
    <w:rsid w:val="00812EDD"/>
    <w:rsid w:val="008139C5"/>
    <w:rsid w:val="0081650F"/>
    <w:rsid w:val="00832B31"/>
    <w:rsid w:val="008403E0"/>
    <w:rsid w:val="00844DE2"/>
    <w:rsid w:val="0084657B"/>
    <w:rsid w:val="00855944"/>
    <w:rsid w:val="008573A3"/>
    <w:rsid w:val="00864A18"/>
    <w:rsid w:val="00865A28"/>
    <w:rsid w:val="00870833"/>
    <w:rsid w:val="00874571"/>
    <w:rsid w:val="00881F93"/>
    <w:rsid w:val="00882CB5"/>
    <w:rsid w:val="00883641"/>
    <w:rsid w:val="00883807"/>
    <w:rsid w:val="00884E69"/>
    <w:rsid w:val="00890082"/>
    <w:rsid w:val="008A128B"/>
    <w:rsid w:val="008A152A"/>
    <w:rsid w:val="008A1560"/>
    <w:rsid w:val="008A48D2"/>
    <w:rsid w:val="008A7F7C"/>
    <w:rsid w:val="008B0245"/>
    <w:rsid w:val="008B2610"/>
    <w:rsid w:val="008B3A3A"/>
    <w:rsid w:val="008B471D"/>
    <w:rsid w:val="008B49E4"/>
    <w:rsid w:val="008B729C"/>
    <w:rsid w:val="008C3B55"/>
    <w:rsid w:val="008C4A93"/>
    <w:rsid w:val="008E0E49"/>
    <w:rsid w:val="008E35FD"/>
    <w:rsid w:val="008E392B"/>
    <w:rsid w:val="008E596B"/>
    <w:rsid w:val="008E6227"/>
    <w:rsid w:val="008E78B9"/>
    <w:rsid w:val="008F529B"/>
    <w:rsid w:val="0090543D"/>
    <w:rsid w:val="009056C5"/>
    <w:rsid w:val="009262F2"/>
    <w:rsid w:val="00937791"/>
    <w:rsid w:val="009442BE"/>
    <w:rsid w:val="00951933"/>
    <w:rsid w:val="00954343"/>
    <w:rsid w:val="00955271"/>
    <w:rsid w:val="009554E3"/>
    <w:rsid w:val="0095707F"/>
    <w:rsid w:val="00963C9C"/>
    <w:rsid w:val="00965B6B"/>
    <w:rsid w:val="00971EDB"/>
    <w:rsid w:val="00974D50"/>
    <w:rsid w:val="00981E87"/>
    <w:rsid w:val="00982561"/>
    <w:rsid w:val="00987ABE"/>
    <w:rsid w:val="00991EE4"/>
    <w:rsid w:val="00991FE3"/>
    <w:rsid w:val="00992342"/>
    <w:rsid w:val="009939DC"/>
    <w:rsid w:val="00993B9C"/>
    <w:rsid w:val="009B1602"/>
    <w:rsid w:val="009B4E1E"/>
    <w:rsid w:val="009C03FB"/>
    <w:rsid w:val="009C4B4F"/>
    <w:rsid w:val="009D5212"/>
    <w:rsid w:val="009D711F"/>
    <w:rsid w:val="009E1E7A"/>
    <w:rsid w:val="009F0C02"/>
    <w:rsid w:val="009F5758"/>
    <w:rsid w:val="00A0283F"/>
    <w:rsid w:val="00A04F4A"/>
    <w:rsid w:val="00A175CF"/>
    <w:rsid w:val="00A26343"/>
    <w:rsid w:val="00A34F60"/>
    <w:rsid w:val="00A408B5"/>
    <w:rsid w:val="00A529E2"/>
    <w:rsid w:val="00A539F8"/>
    <w:rsid w:val="00A6491A"/>
    <w:rsid w:val="00A6594E"/>
    <w:rsid w:val="00A726F1"/>
    <w:rsid w:val="00A727B6"/>
    <w:rsid w:val="00A81CC6"/>
    <w:rsid w:val="00A832E9"/>
    <w:rsid w:val="00A83EC6"/>
    <w:rsid w:val="00A8732C"/>
    <w:rsid w:val="00A9062D"/>
    <w:rsid w:val="00A93053"/>
    <w:rsid w:val="00A93F58"/>
    <w:rsid w:val="00A96329"/>
    <w:rsid w:val="00AA134B"/>
    <w:rsid w:val="00AA2CFE"/>
    <w:rsid w:val="00AA5FDA"/>
    <w:rsid w:val="00AA6291"/>
    <w:rsid w:val="00AB5046"/>
    <w:rsid w:val="00AC0C91"/>
    <w:rsid w:val="00AD37D4"/>
    <w:rsid w:val="00AD7986"/>
    <w:rsid w:val="00AE1188"/>
    <w:rsid w:val="00AE738C"/>
    <w:rsid w:val="00AF1046"/>
    <w:rsid w:val="00AF4466"/>
    <w:rsid w:val="00AF4842"/>
    <w:rsid w:val="00AF5D1E"/>
    <w:rsid w:val="00B040A9"/>
    <w:rsid w:val="00B1711E"/>
    <w:rsid w:val="00B17CBE"/>
    <w:rsid w:val="00B17E26"/>
    <w:rsid w:val="00B231A4"/>
    <w:rsid w:val="00B25D20"/>
    <w:rsid w:val="00B31C99"/>
    <w:rsid w:val="00B33255"/>
    <w:rsid w:val="00B4704C"/>
    <w:rsid w:val="00B53BA6"/>
    <w:rsid w:val="00B5731D"/>
    <w:rsid w:val="00B6378B"/>
    <w:rsid w:val="00B63E3A"/>
    <w:rsid w:val="00B75965"/>
    <w:rsid w:val="00B771AD"/>
    <w:rsid w:val="00B814CB"/>
    <w:rsid w:val="00B83801"/>
    <w:rsid w:val="00BA0644"/>
    <w:rsid w:val="00BA0CF8"/>
    <w:rsid w:val="00BA1ADF"/>
    <w:rsid w:val="00BA3B90"/>
    <w:rsid w:val="00BA51FC"/>
    <w:rsid w:val="00BB003A"/>
    <w:rsid w:val="00BB28C7"/>
    <w:rsid w:val="00BB3358"/>
    <w:rsid w:val="00BB3382"/>
    <w:rsid w:val="00BB3643"/>
    <w:rsid w:val="00BC2D9B"/>
    <w:rsid w:val="00BC3DA0"/>
    <w:rsid w:val="00BC424B"/>
    <w:rsid w:val="00BC455F"/>
    <w:rsid w:val="00BD3B20"/>
    <w:rsid w:val="00BE0FDE"/>
    <w:rsid w:val="00BF6AC5"/>
    <w:rsid w:val="00C01121"/>
    <w:rsid w:val="00C030A5"/>
    <w:rsid w:val="00C0401F"/>
    <w:rsid w:val="00C05A45"/>
    <w:rsid w:val="00C05AC0"/>
    <w:rsid w:val="00C07071"/>
    <w:rsid w:val="00C0796F"/>
    <w:rsid w:val="00C11B34"/>
    <w:rsid w:val="00C12C5C"/>
    <w:rsid w:val="00C14F94"/>
    <w:rsid w:val="00C171FB"/>
    <w:rsid w:val="00C209C2"/>
    <w:rsid w:val="00C2267F"/>
    <w:rsid w:val="00C22AD8"/>
    <w:rsid w:val="00C35578"/>
    <w:rsid w:val="00C3557E"/>
    <w:rsid w:val="00C3594B"/>
    <w:rsid w:val="00C41C1C"/>
    <w:rsid w:val="00C43102"/>
    <w:rsid w:val="00C4696B"/>
    <w:rsid w:val="00C50164"/>
    <w:rsid w:val="00C50513"/>
    <w:rsid w:val="00C54503"/>
    <w:rsid w:val="00C54C72"/>
    <w:rsid w:val="00C63055"/>
    <w:rsid w:val="00C73B62"/>
    <w:rsid w:val="00C776B1"/>
    <w:rsid w:val="00C80307"/>
    <w:rsid w:val="00C815FE"/>
    <w:rsid w:val="00C847AE"/>
    <w:rsid w:val="00C94049"/>
    <w:rsid w:val="00CA04C6"/>
    <w:rsid w:val="00CA26DD"/>
    <w:rsid w:val="00CB12EC"/>
    <w:rsid w:val="00CC09D7"/>
    <w:rsid w:val="00CC12B8"/>
    <w:rsid w:val="00CD22E3"/>
    <w:rsid w:val="00CD4093"/>
    <w:rsid w:val="00CD4812"/>
    <w:rsid w:val="00CD4A01"/>
    <w:rsid w:val="00CD4E44"/>
    <w:rsid w:val="00CD5AE4"/>
    <w:rsid w:val="00CD7A7D"/>
    <w:rsid w:val="00CF2D8E"/>
    <w:rsid w:val="00CF2DFA"/>
    <w:rsid w:val="00CF5AD8"/>
    <w:rsid w:val="00D00122"/>
    <w:rsid w:val="00D01D2A"/>
    <w:rsid w:val="00D10B47"/>
    <w:rsid w:val="00D11EB1"/>
    <w:rsid w:val="00D13B6F"/>
    <w:rsid w:val="00D179DA"/>
    <w:rsid w:val="00D17F17"/>
    <w:rsid w:val="00D23597"/>
    <w:rsid w:val="00D30BDC"/>
    <w:rsid w:val="00D43D5A"/>
    <w:rsid w:val="00D56CB7"/>
    <w:rsid w:val="00D57F88"/>
    <w:rsid w:val="00D63E4B"/>
    <w:rsid w:val="00D7105C"/>
    <w:rsid w:val="00D73646"/>
    <w:rsid w:val="00D777B4"/>
    <w:rsid w:val="00D77A90"/>
    <w:rsid w:val="00D8120A"/>
    <w:rsid w:val="00D8239E"/>
    <w:rsid w:val="00D8360B"/>
    <w:rsid w:val="00D85676"/>
    <w:rsid w:val="00D96ADA"/>
    <w:rsid w:val="00DA2886"/>
    <w:rsid w:val="00DA3F19"/>
    <w:rsid w:val="00DA5E50"/>
    <w:rsid w:val="00DA7D0C"/>
    <w:rsid w:val="00DB311C"/>
    <w:rsid w:val="00DB432D"/>
    <w:rsid w:val="00DB519B"/>
    <w:rsid w:val="00DC7694"/>
    <w:rsid w:val="00DC7FBE"/>
    <w:rsid w:val="00DD130E"/>
    <w:rsid w:val="00DD308E"/>
    <w:rsid w:val="00DD37B5"/>
    <w:rsid w:val="00DF0183"/>
    <w:rsid w:val="00DF0C51"/>
    <w:rsid w:val="00DF0D47"/>
    <w:rsid w:val="00DF1652"/>
    <w:rsid w:val="00DF6D37"/>
    <w:rsid w:val="00DF77F1"/>
    <w:rsid w:val="00E048ED"/>
    <w:rsid w:val="00E04FB3"/>
    <w:rsid w:val="00E058F2"/>
    <w:rsid w:val="00E05D9C"/>
    <w:rsid w:val="00E06102"/>
    <w:rsid w:val="00E14E6F"/>
    <w:rsid w:val="00E23E71"/>
    <w:rsid w:val="00E30F19"/>
    <w:rsid w:val="00E33C4A"/>
    <w:rsid w:val="00E357B9"/>
    <w:rsid w:val="00E4321E"/>
    <w:rsid w:val="00E44B80"/>
    <w:rsid w:val="00E47623"/>
    <w:rsid w:val="00E60529"/>
    <w:rsid w:val="00E61140"/>
    <w:rsid w:val="00E631A9"/>
    <w:rsid w:val="00E70D86"/>
    <w:rsid w:val="00E7628E"/>
    <w:rsid w:val="00E82F54"/>
    <w:rsid w:val="00E85B02"/>
    <w:rsid w:val="00E8649B"/>
    <w:rsid w:val="00E871CD"/>
    <w:rsid w:val="00E90990"/>
    <w:rsid w:val="00E95D3D"/>
    <w:rsid w:val="00EA0E25"/>
    <w:rsid w:val="00EA173C"/>
    <w:rsid w:val="00EB2EEB"/>
    <w:rsid w:val="00EC127A"/>
    <w:rsid w:val="00EC1FF9"/>
    <w:rsid w:val="00EC2737"/>
    <w:rsid w:val="00EE2716"/>
    <w:rsid w:val="00EE6450"/>
    <w:rsid w:val="00EE7D73"/>
    <w:rsid w:val="00F01C2C"/>
    <w:rsid w:val="00F10ED8"/>
    <w:rsid w:val="00F222BE"/>
    <w:rsid w:val="00F24179"/>
    <w:rsid w:val="00F301F1"/>
    <w:rsid w:val="00F30C22"/>
    <w:rsid w:val="00F33F1A"/>
    <w:rsid w:val="00F42CB2"/>
    <w:rsid w:val="00F5084C"/>
    <w:rsid w:val="00F547F7"/>
    <w:rsid w:val="00F54CCF"/>
    <w:rsid w:val="00F61D7A"/>
    <w:rsid w:val="00F637B3"/>
    <w:rsid w:val="00F66CF7"/>
    <w:rsid w:val="00F67BCB"/>
    <w:rsid w:val="00F72554"/>
    <w:rsid w:val="00F77C57"/>
    <w:rsid w:val="00F813C7"/>
    <w:rsid w:val="00F83566"/>
    <w:rsid w:val="00F83A9D"/>
    <w:rsid w:val="00F870F1"/>
    <w:rsid w:val="00F906B5"/>
    <w:rsid w:val="00F92DA4"/>
    <w:rsid w:val="00F93784"/>
    <w:rsid w:val="00F971CC"/>
    <w:rsid w:val="00FA2CAA"/>
    <w:rsid w:val="00FA3DA1"/>
    <w:rsid w:val="00FA6554"/>
    <w:rsid w:val="00FE16C1"/>
    <w:rsid w:val="00FE19FF"/>
    <w:rsid w:val="00FE2261"/>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44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character" w:customStyle="1" w:styleId="UnresolvedMention1">
    <w:name w:val="Unresolved Mention1"/>
    <w:basedOn w:val="DefaultParagraphFont"/>
    <w:uiPriority w:val="99"/>
    <w:semiHidden/>
    <w:unhideWhenUsed/>
    <w:rsid w:val="003E1FE3"/>
    <w:rPr>
      <w:color w:val="808080"/>
      <w:shd w:val="clear" w:color="auto" w:fill="E6E6E6"/>
    </w:rPr>
  </w:style>
  <w:style w:type="character" w:styleId="FootnoteReference">
    <w:name w:val="footnote reference"/>
    <w:semiHidden/>
    <w:rsid w:val="0073385C"/>
    <w:rPr>
      <w:vertAlign w:val="superscript"/>
    </w:rPr>
  </w:style>
  <w:style w:type="paragraph" w:styleId="FootnoteText">
    <w:name w:val="footnote text"/>
    <w:basedOn w:val="Normal"/>
    <w:link w:val="FootnoteTextChar"/>
    <w:semiHidden/>
    <w:rsid w:val="0073385C"/>
    <w:pPr>
      <w:spacing w:before="40" w:after="0"/>
    </w:pPr>
    <w:rPr>
      <w:rFonts w:ascii="Times New Roman" w:eastAsia="MS Mincho" w:hAnsi="Times New Roman" w:cs="Times New Roman"/>
      <w:szCs w:val="20"/>
      <w:lang w:val="en-US" w:eastAsia="zh-CN"/>
    </w:rPr>
  </w:style>
  <w:style w:type="character" w:customStyle="1" w:styleId="FootnoteTextChar">
    <w:name w:val="Footnote Text Char"/>
    <w:basedOn w:val="DefaultParagraphFont"/>
    <w:link w:val="FootnoteText"/>
    <w:semiHidden/>
    <w:rsid w:val="0073385C"/>
    <w:rPr>
      <w:rFonts w:ascii="Times New Roman" w:eastAsia="MS Mincho" w:hAnsi="Times New Roman" w:cs="Times New Roman"/>
      <w:sz w:val="20"/>
      <w:szCs w:val="20"/>
      <w:lang w:val="en-US" w:eastAsia="zh-CN"/>
    </w:rPr>
  </w:style>
  <w:style w:type="numbering" w:customStyle="1" w:styleId="1111112">
    <w:name w:val="1 / 1.1 / 1.1.12"/>
    <w:basedOn w:val="NoList"/>
    <w:next w:val="111111"/>
    <w:semiHidden/>
    <w:rsid w:val="0073385C"/>
    <w:pPr>
      <w:numPr>
        <w:numId w:val="40"/>
      </w:numPr>
    </w:pPr>
  </w:style>
  <w:style w:type="paragraph" w:customStyle="1" w:styleId="Style4">
    <w:name w:val="Style4"/>
    <w:basedOn w:val="Normal"/>
    <w:link w:val="Style4Char"/>
    <w:qFormat/>
    <w:rsid w:val="0073385C"/>
    <w:pPr>
      <w:spacing w:after="0" w:line="288" w:lineRule="auto"/>
      <w:jc w:val="both"/>
    </w:pPr>
    <w:rPr>
      <w:rFonts w:ascii="Times New Roman" w:eastAsia="MS Mincho" w:hAnsi="Times New Roman" w:cs="Times New Roman"/>
      <w:sz w:val="23"/>
      <w:szCs w:val="23"/>
      <w:lang w:val="en-GB" w:eastAsia="en-GB"/>
    </w:rPr>
  </w:style>
  <w:style w:type="character" w:customStyle="1" w:styleId="Style4Char">
    <w:name w:val="Style4 Char"/>
    <w:basedOn w:val="DefaultParagraphFont"/>
    <w:link w:val="Style4"/>
    <w:rsid w:val="0073385C"/>
    <w:rPr>
      <w:rFonts w:ascii="Times New Roman" w:eastAsia="MS Mincho" w:hAnsi="Times New Roman" w:cs="Times New Roman"/>
      <w:sz w:val="23"/>
      <w:szCs w:val="23"/>
      <w:lang w:val="en-GB" w:eastAsia="en-GB"/>
    </w:rPr>
  </w:style>
  <w:style w:type="numbering" w:styleId="111111">
    <w:name w:val="Outline List 2"/>
    <w:basedOn w:val="NoList"/>
    <w:uiPriority w:val="99"/>
    <w:semiHidden/>
    <w:unhideWhenUsed/>
    <w:rsid w:val="0073385C"/>
  </w:style>
  <w:style w:type="paragraph" w:styleId="Caption">
    <w:name w:val="caption"/>
    <w:basedOn w:val="Normal"/>
    <w:next w:val="Normal"/>
    <w:uiPriority w:val="35"/>
    <w:semiHidden/>
    <w:unhideWhenUsed/>
    <w:qFormat/>
    <w:rsid w:val="00010FA9"/>
    <w:pPr>
      <w:spacing w:before="0" w:after="200"/>
    </w:pPr>
    <w:rPr>
      <w:i/>
      <w:iCs/>
      <w:color w:val="1F497D" w:themeColor="text2"/>
      <w:sz w:val="18"/>
      <w:szCs w:val="18"/>
    </w:rPr>
  </w:style>
  <w:style w:type="paragraph" w:styleId="Revision">
    <w:name w:val="Revision"/>
    <w:hidden/>
    <w:uiPriority w:val="99"/>
    <w:semiHidden/>
    <w:rsid w:val="00AF4842"/>
    <w:pPr>
      <w:spacing w:after="0" w:line="240" w:lineRule="auto"/>
    </w:pPr>
    <w:rPr>
      <w:sz w:val="20"/>
    </w:rPr>
  </w:style>
  <w:style w:type="character" w:customStyle="1" w:styleId="UnresolvedMention">
    <w:name w:val="Unresolved Mention"/>
    <w:basedOn w:val="DefaultParagraphFont"/>
    <w:uiPriority w:val="99"/>
    <w:semiHidden/>
    <w:unhideWhenUsed/>
    <w:rsid w:val="006F6F4B"/>
    <w:rPr>
      <w:color w:val="808080"/>
      <w:shd w:val="clear" w:color="auto" w:fill="E6E6E6"/>
    </w:rPr>
  </w:style>
  <w:style w:type="character" w:styleId="FollowedHyperlink">
    <w:name w:val="FollowedHyperlink"/>
    <w:basedOn w:val="DefaultParagraphFont"/>
    <w:uiPriority w:val="99"/>
    <w:semiHidden/>
    <w:unhideWhenUsed/>
    <w:rsid w:val="002612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character" w:customStyle="1" w:styleId="UnresolvedMention1">
    <w:name w:val="Unresolved Mention1"/>
    <w:basedOn w:val="DefaultParagraphFont"/>
    <w:uiPriority w:val="99"/>
    <w:semiHidden/>
    <w:unhideWhenUsed/>
    <w:rsid w:val="003E1FE3"/>
    <w:rPr>
      <w:color w:val="808080"/>
      <w:shd w:val="clear" w:color="auto" w:fill="E6E6E6"/>
    </w:rPr>
  </w:style>
  <w:style w:type="character" w:styleId="FootnoteReference">
    <w:name w:val="footnote reference"/>
    <w:semiHidden/>
    <w:rsid w:val="0073385C"/>
    <w:rPr>
      <w:vertAlign w:val="superscript"/>
    </w:rPr>
  </w:style>
  <w:style w:type="paragraph" w:styleId="FootnoteText">
    <w:name w:val="footnote text"/>
    <w:basedOn w:val="Normal"/>
    <w:link w:val="FootnoteTextChar"/>
    <w:semiHidden/>
    <w:rsid w:val="0073385C"/>
    <w:pPr>
      <w:spacing w:before="40" w:after="0"/>
    </w:pPr>
    <w:rPr>
      <w:rFonts w:ascii="Times New Roman" w:eastAsia="MS Mincho" w:hAnsi="Times New Roman" w:cs="Times New Roman"/>
      <w:szCs w:val="20"/>
      <w:lang w:val="en-US" w:eastAsia="zh-CN"/>
    </w:rPr>
  </w:style>
  <w:style w:type="character" w:customStyle="1" w:styleId="FootnoteTextChar">
    <w:name w:val="Footnote Text Char"/>
    <w:basedOn w:val="DefaultParagraphFont"/>
    <w:link w:val="FootnoteText"/>
    <w:semiHidden/>
    <w:rsid w:val="0073385C"/>
    <w:rPr>
      <w:rFonts w:ascii="Times New Roman" w:eastAsia="MS Mincho" w:hAnsi="Times New Roman" w:cs="Times New Roman"/>
      <w:sz w:val="20"/>
      <w:szCs w:val="20"/>
      <w:lang w:val="en-US" w:eastAsia="zh-CN"/>
    </w:rPr>
  </w:style>
  <w:style w:type="numbering" w:customStyle="1" w:styleId="1111112">
    <w:name w:val="1 / 1.1 / 1.1.12"/>
    <w:basedOn w:val="NoList"/>
    <w:next w:val="111111"/>
    <w:semiHidden/>
    <w:rsid w:val="0073385C"/>
    <w:pPr>
      <w:numPr>
        <w:numId w:val="40"/>
      </w:numPr>
    </w:pPr>
  </w:style>
  <w:style w:type="paragraph" w:customStyle="1" w:styleId="Style4">
    <w:name w:val="Style4"/>
    <w:basedOn w:val="Normal"/>
    <w:link w:val="Style4Char"/>
    <w:qFormat/>
    <w:rsid w:val="0073385C"/>
    <w:pPr>
      <w:spacing w:after="0" w:line="288" w:lineRule="auto"/>
      <w:jc w:val="both"/>
    </w:pPr>
    <w:rPr>
      <w:rFonts w:ascii="Times New Roman" w:eastAsia="MS Mincho" w:hAnsi="Times New Roman" w:cs="Times New Roman"/>
      <w:sz w:val="23"/>
      <w:szCs w:val="23"/>
      <w:lang w:val="en-GB" w:eastAsia="en-GB"/>
    </w:rPr>
  </w:style>
  <w:style w:type="character" w:customStyle="1" w:styleId="Style4Char">
    <w:name w:val="Style4 Char"/>
    <w:basedOn w:val="DefaultParagraphFont"/>
    <w:link w:val="Style4"/>
    <w:rsid w:val="0073385C"/>
    <w:rPr>
      <w:rFonts w:ascii="Times New Roman" w:eastAsia="MS Mincho" w:hAnsi="Times New Roman" w:cs="Times New Roman"/>
      <w:sz w:val="23"/>
      <w:szCs w:val="23"/>
      <w:lang w:val="en-GB" w:eastAsia="en-GB"/>
    </w:rPr>
  </w:style>
  <w:style w:type="numbering" w:styleId="111111">
    <w:name w:val="Outline List 2"/>
    <w:basedOn w:val="NoList"/>
    <w:uiPriority w:val="99"/>
    <w:semiHidden/>
    <w:unhideWhenUsed/>
    <w:rsid w:val="0073385C"/>
  </w:style>
  <w:style w:type="paragraph" w:styleId="Caption">
    <w:name w:val="caption"/>
    <w:basedOn w:val="Normal"/>
    <w:next w:val="Normal"/>
    <w:uiPriority w:val="35"/>
    <w:semiHidden/>
    <w:unhideWhenUsed/>
    <w:qFormat/>
    <w:rsid w:val="00010FA9"/>
    <w:pPr>
      <w:spacing w:before="0" w:after="200"/>
    </w:pPr>
    <w:rPr>
      <w:i/>
      <w:iCs/>
      <w:color w:val="1F497D" w:themeColor="text2"/>
      <w:sz w:val="18"/>
      <w:szCs w:val="18"/>
    </w:rPr>
  </w:style>
  <w:style w:type="paragraph" w:styleId="Revision">
    <w:name w:val="Revision"/>
    <w:hidden/>
    <w:uiPriority w:val="99"/>
    <w:semiHidden/>
    <w:rsid w:val="00AF4842"/>
    <w:pPr>
      <w:spacing w:after="0" w:line="240" w:lineRule="auto"/>
    </w:pPr>
    <w:rPr>
      <w:sz w:val="20"/>
    </w:rPr>
  </w:style>
  <w:style w:type="character" w:customStyle="1" w:styleId="UnresolvedMention">
    <w:name w:val="Unresolved Mention"/>
    <w:basedOn w:val="DefaultParagraphFont"/>
    <w:uiPriority w:val="99"/>
    <w:semiHidden/>
    <w:unhideWhenUsed/>
    <w:rsid w:val="006F6F4B"/>
    <w:rPr>
      <w:color w:val="808080"/>
      <w:shd w:val="clear" w:color="auto" w:fill="E6E6E6"/>
    </w:rPr>
  </w:style>
  <w:style w:type="character" w:styleId="FollowedHyperlink">
    <w:name w:val="FollowedHyperlink"/>
    <w:basedOn w:val="DefaultParagraphFont"/>
    <w:uiPriority w:val="99"/>
    <w:semiHidden/>
    <w:unhideWhenUsed/>
    <w:rsid w:val="002612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62137865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calexpo.com/medical-manufacturer/apheresis-machine-1676.html"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B026-FC60-455B-ADAB-10ED5030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5518</Words>
  <Characters>31458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1519 Application Form</dc:title>
  <dc:creator/>
  <cp:lastModifiedBy/>
  <cp:revision>1</cp:revision>
  <dcterms:created xsi:type="dcterms:W3CDTF">2017-12-12T02:44:00Z</dcterms:created>
  <dcterms:modified xsi:type="dcterms:W3CDTF">2017-12-12T02:44:00Z</dcterms:modified>
</cp:coreProperties>
</file>