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harts/style1.xml" ContentType="application/vnd.ms-office.chartstyle+xml"/>
  <Override PartName="/word/charts/colors1.xml" ContentType="application/vnd.ms-office.chartcolor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5651D" w14:textId="77777777" w:rsidR="0044715D" w:rsidRPr="00323092" w:rsidRDefault="0044715D" w:rsidP="0044715D">
      <w:pPr>
        <w:spacing w:before="120" w:after="120" w:line="312" w:lineRule="auto"/>
        <w:jc w:val="center"/>
      </w:pPr>
      <w:bookmarkStart w:id="0" w:name="_Toc403747457"/>
      <w:bookmarkStart w:id="1" w:name="_Toc412039297"/>
      <w:r w:rsidRPr="008D5584">
        <w:rPr>
          <w:b/>
          <w:noProof/>
          <w:lang w:eastAsia="en-AU"/>
        </w:rPr>
        <w:drawing>
          <wp:inline distT="0" distB="0" distL="0" distR="0" wp14:anchorId="1F72D62D" wp14:editId="138F451B">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2354E613" w14:textId="77777777" w:rsidR="00303C94" w:rsidRPr="001A7BF1" w:rsidRDefault="00303C94" w:rsidP="00F4622B">
      <w:pPr>
        <w:pStyle w:val="Heading10"/>
        <w:jc w:val="center"/>
        <w:rPr>
          <w:sz w:val="48"/>
          <w:szCs w:val="48"/>
        </w:rPr>
      </w:pPr>
    </w:p>
    <w:p w14:paraId="0B0B26E5" w14:textId="77777777" w:rsidR="0044715D" w:rsidRDefault="005F4D2F" w:rsidP="00A601AC">
      <w:pPr>
        <w:pStyle w:val="Heading10"/>
        <w:jc w:val="center"/>
        <w:rPr>
          <w:sz w:val="48"/>
          <w:szCs w:val="48"/>
        </w:rPr>
      </w:pPr>
      <w:r>
        <w:rPr>
          <w:sz w:val="48"/>
          <w:szCs w:val="48"/>
        </w:rPr>
        <w:t xml:space="preserve">Application </w:t>
      </w:r>
      <w:r w:rsidR="001A7BF1">
        <w:rPr>
          <w:sz w:val="48"/>
          <w:szCs w:val="48"/>
        </w:rPr>
        <w:t>1519</w:t>
      </w:r>
      <w:r w:rsidR="00303C94">
        <w:rPr>
          <w:sz w:val="48"/>
          <w:szCs w:val="48"/>
        </w:rPr>
        <w:t>:</w:t>
      </w:r>
    </w:p>
    <w:p w14:paraId="45DFD750" w14:textId="194880C4" w:rsidR="00303C94" w:rsidRPr="00303C94" w:rsidRDefault="001A7BF1" w:rsidP="00A601AC">
      <w:pPr>
        <w:pStyle w:val="Heading10"/>
        <w:jc w:val="center"/>
        <w:rPr>
          <w:sz w:val="48"/>
          <w:szCs w:val="48"/>
        </w:rPr>
      </w:pPr>
      <w:r>
        <w:rPr>
          <w:color w:val="548DD4"/>
          <w:sz w:val="48"/>
          <w:szCs w:val="48"/>
        </w:rPr>
        <w:t>Tisagenlecleucel (CTL019) for treatment of refractory</w:t>
      </w:r>
      <w:r w:rsidR="005A40EA">
        <w:rPr>
          <w:color w:val="548DD4"/>
          <w:sz w:val="48"/>
          <w:szCs w:val="48"/>
        </w:rPr>
        <w:t>/relapsed</w:t>
      </w:r>
      <w:r>
        <w:rPr>
          <w:color w:val="548DD4"/>
          <w:sz w:val="48"/>
          <w:szCs w:val="48"/>
        </w:rPr>
        <w:t xml:space="preserve"> CD19-positive </w:t>
      </w:r>
      <w:r w:rsidRPr="001A7BF1">
        <w:rPr>
          <w:color w:val="548DD4"/>
          <w:sz w:val="48"/>
          <w:szCs w:val="48"/>
          <w:lang w:val="en-AU"/>
        </w:rPr>
        <w:t>leukaemia</w:t>
      </w:r>
      <w:r>
        <w:rPr>
          <w:color w:val="548DD4"/>
          <w:sz w:val="48"/>
          <w:szCs w:val="48"/>
        </w:rPr>
        <w:t xml:space="preserve"> and lymphoma</w:t>
      </w:r>
    </w:p>
    <w:p w14:paraId="3753F3C7" w14:textId="77777777" w:rsidR="001A7BF1" w:rsidRPr="001A7BF1" w:rsidRDefault="001A7BF1" w:rsidP="003D699E">
      <w:pPr>
        <w:pStyle w:val="Heading10"/>
        <w:jc w:val="center"/>
        <w:rPr>
          <w:sz w:val="16"/>
          <w:szCs w:val="16"/>
        </w:rPr>
      </w:pPr>
    </w:p>
    <w:p w14:paraId="2ABBD95C" w14:textId="77777777" w:rsidR="00D46C89" w:rsidRDefault="00D46C89" w:rsidP="003D699E">
      <w:pPr>
        <w:pStyle w:val="Heading10"/>
        <w:jc w:val="center"/>
        <w:rPr>
          <w:sz w:val="72"/>
          <w:szCs w:val="72"/>
        </w:rPr>
      </w:pPr>
      <w:r>
        <w:rPr>
          <w:sz w:val="72"/>
          <w:szCs w:val="72"/>
        </w:rPr>
        <w:t>PICO Confirmation</w:t>
      </w:r>
    </w:p>
    <w:p w14:paraId="038E5D84" w14:textId="6D8FBC05" w:rsidR="003D699E" w:rsidRDefault="003D699E" w:rsidP="00382875">
      <w:pPr>
        <w:spacing w:before="180"/>
        <w:jc w:val="center"/>
        <w:rPr>
          <w:rFonts w:ascii="Arial" w:hAnsi="Arial" w:cs="Arial"/>
          <w:b/>
          <w:sz w:val="32"/>
          <w:szCs w:val="32"/>
        </w:rPr>
      </w:pPr>
      <w:r w:rsidRPr="00606857">
        <w:rPr>
          <w:rFonts w:ascii="Arial" w:hAnsi="Arial" w:cs="Arial"/>
          <w:b/>
          <w:sz w:val="32"/>
          <w:szCs w:val="32"/>
        </w:rPr>
        <w:t>(</w:t>
      </w:r>
      <w:r w:rsidR="0010205A">
        <w:rPr>
          <w:rFonts w:ascii="Arial" w:hAnsi="Arial" w:cs="Arial"/>
          <w:b/>
          <w:sz w:val="32"/>
          <w:szCs w:val="32"/>
        </w:rPr>
        <w:t>T</w:t>
      </w:r>
      <w:r w:rsidR="00382875">
        <w:rPr>
          <w:rFonts w:ascii="Arial" w:hAnsi="Arial" w:cs="Arial"/>
          <w:b/>
          <w:sz w:val="32"/>
          <w:szCs w:val="32"/>
        </w:rPr>
        <w:t>o guide a new application to MSAC</w:t>
      </w:r>
      <w:r w:rsidRPr="00606857">
        <w:rPr>
          <w:rFonts w:ascii="Arial" w:hAnsi="Arial" w:cs="Arial"/>
          <w:b/>
          <w:sz w:val="32"/>
          <w:szCs w:val="32"/>
        </w:rPr>
        <w:t>)</w:t>
      </w:r>
    </w:p>
    <w:p w14:paraId="1045C584" w14:textId="7A3A0C40" w:rsidR="00EE7A1F" w:rsidRPr="00606857" w:rsidRDefault="00EE7A1F" w:rsidP="00841746">
      <w:pPr>
        <w:spacing w:before="180"/>
        <w:jc w:val="center"/>
        <w:rPr>
          <w:rFonts w:ascii="Arial" w:hAnsi="Arial" w:cs="Arial"/>
          <w:b/>
          <w:sz w:val="32"/>
          <w:szCs w:val="32"/>
        </w:rPr>
      </w:pPr>
      <w:r w:rsidRPr="00EE7A1F">
        <w:rPr>
          <w:rFonts w:ascii="Arial" w:hAnsi="Arial" w:cs="Arial"/>
          <w:b/>
          <w:sz w:val="32"/>
          <w:szCs w:val="32"/>
        </w:rPr>
        <w:t xml:space="preserve">(Version </w:t>
      </w:r>
      <w:r w:rsidR="00B5702D">
        <w:rPr>
          <w:rFonts w:ascii="Arial" w:hAnsi="Arial" w:cs="Arial"/>
          <w:b/>
          <w:sz w:val="32"/>
          <w:szCs w:val="32"/>
        </w:rPr>
        <w:t>2.0</w:t>
      </w:r>
      <w:r w:rsidR="00841746">
        <w:rPr>
          <w:rFonts w:ascii="Arial" w:hAnsi="Arial" w:cs="Arial"/>
          <w:b/>
          <w:sz w:val="32"/>
          <w:szCs w:val="32"/>
        </w:rPr>
        <w:t>)</w:t>
      </w:r>
      <w:bookmarkStart w:id="2" w:name="_GoBack"/>
      <w:bookmarkEnd w:id="2"/>
    </w:p>
    <w:p w14:paraId="48B3BB22" w14:textId="77777777" w:rsidR="007E7E23" w:rsidRDefault="007E7E23">
      <w:pPr>
        <w:rPr>
          <w:sz w:val="20"/>
          <w:szCs w:val="20"/>
        </w:rPr>
      </w:pPr>
      <w:r>
        <w:rPr>
          <w:sz w:val="20"/>
          <w:szCs w:val="20"/>
        </w:rPr>
        <w:br w:type="page"/>
      </w:r>
    </w:p>
    <w:p w14:paraId="4C4ABDF7" w14:textId="065DA575" w:rsidR="00693CD6" w:rsidRPr="00841746" w:rsidRDefault="0044715D" w:rsidP="00841746">
      <w:pPr>
        <w:pStyle w:val="Heading2"/>
        <w:numPr>
          <w:ilvl w:val="0"/>
          <w:numId w:val="11"/>
        </w:numPr>
        <w:spacing w:line="240" w:lineRule="auto"/>
        <w:jc w:val="both"/>
        <w:rPr>
          <w:color w:val="548DD4"/>
          <w:u w:val="none"/>
        </w:rPr>
      </w:pPr>
      <w:r w:rsidRPr="00F12E59">
        <w:rPr>
          <w:color w:val="548DD4"/>
          <w:u w:val="none"/>
        </w:rPr>
        <w:lastRenderedPageBreak/>
        <w:t>Summary of PICO criteria</w:t>
      </w:r>
      <w:bookmarkEnd w:id="0"/>
      <w:bookmarkEnd w:id="1"/>
      <w:r w:rsidR="00F12E59" w:rsidRPr="00F12E59">
        <w:rPr>
          <w:color w:val="548DD4"/>
          <w:u w:val="none"/>
        </w:rPr>
        <w:t xml:space="preserve"> to define the question(s) to be addressed in an Assessment Report to the Medical Services Advisory Committee (MSAC)</w:t>
      </w:r>
    </w:p>
    <w:p w14:paraId="4CDA353F" w14:textId="1C831FC8" w:rsidR="001D20C2" w:rsidRDefault="001D20C2" w:rsidP="00841746">
      <w:pPr>
        <w:pStyle w:val="Caption"/>
        <w:spacing w:before="240"/>
      </w:pPr>
      <w:r>
        <w:t xml:space="preserve">Table </w:t>
      </w:r>
      <w:r>
        <w:fldChar w:fldCharType="begin"/>
      </w:r>
      <w:r>
        <w:instrText xml:space="preserve"> SEQ Table \* ARABIC </w:instrText>
      </w:r>
      <w:r>
        <w:fldChar w:fldCharType="separate"/>
      </w:r>
      <w:r w:rsidR="00C850E0">
        <w:rPr>
          <w:noProof/>
        </w:rPr>
        <w:t>1</w:t>
      </w:r>
      <w:r>
        <w:fldChar w:fldCharType="end"/>
      </w:r>
      <w:r>
        <w:t xml:space="preserve"> PICO criteria for </w:t>
      </w:r>
      <w:r w:rsidR="00920B64">
        <w:t>children</w:t>
      </w:r>
      <w:r w:rsidR="006808DB">
        <w:t xml:space="preserve"> </w:t>
      </w:r>
      <w:r w:rsidR="00B37AF7">
        <w:t xml:space="preserve">and young adult </w:t>
      </w:r>
      <w:r w:rsidR="006808DB">
        <w:t>patients with a</w:t>
      </w:r>
      <w:r>
        <w:t>cute lymphoblastic leukaemia</w:t>
      </w:r>
      <w:r w:rsidR="006808DB">
        <w:t xml:space="preserve"> (population 1</w:t>
      </w:r>
      <w:r w:rsidR="0031720C">
        <w:t>)</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444"/>
        <w:gridCol w:w="7798"/>
      </w:tblGrid>
      <w:tr w:rsidR="0031720C" w:rsidRPr="00084393" w14:paraId="15D560F3" w14:textId="77777777" w:rsidTr="00971674">
        <w:trPr>
          <w:tblHeader/>
        </w:trPr>
        <w:tc>
          <w:tcPr>
            <w:tcW w:w="781" w:type="pct"/>
            <w:tcBorders>
              <w:top w:val="single" w:sz="8" w:space="0" w:color="auto"/>
              <w:bottom w:val="single" w:sz="8" w:space="0" w:color="auto"/>
              <w:right w:val="single" w:sz="4" w:space="0" w:color="auto"/>
            </w:tcBorders>
            <w:shd w:val="clear" w:color="auto" w:fill="D9D9D9"/>
          </w:tcPr>
          <w:p w14:paraId="3DAA2A53" w14:textId="77777777" w:rsidR="0031720C" w:rsidRPr="00084393" w:rsidRDefault="0031720C" w:rsidP="00971674">
            <w:pPr>
              <w:spacing w:before="20" w:after="20" w:line="240" w:lineRule="auto"/>
              <w:rPr>
                <w:b/>
              </w:rPr>
            </w:pPr>
            <w:r>
              <w:rPr>
                <w:b/>
              </w:rPr>
              <w:t>Component</w:t>
            </w:r>
          </w:p>
        </w:tc>
        <w:tc>
          <w:tcPr>
            <w:tcW w:w="4219" w:type="pct"/>
            <w:tcBorders>
              <w:top w:val="single" w:sz="4" w:space="0" w:color="auto"/>
              <w:left w:val="single" w:sz="4" w:space="0" w:color="auto"/>
              <w:bottom w:val="single" w:sz="4" w:space="0" w:color="auto"/>
              <w:right w:val="single" w:sz="4" w:space="0" w:color="auto"/>
            </w:tcBorders>
            <w:shd w:val="clear" w:color="auto" w:fill="D9D9D9"/>
          </w:tcPr>
          <w:p w14:paraId="44268BFE" w14:textId="77777777" w:rsidR="0031720C" w:rsidRPr="00084393" w:rsidRDefault="0031720C" w:rsidP="00971674">
            <w:pPr>
              <w:spacing w:before="20" w:after="20" w:line="240" w:lineRule="auto"/>
              <w:jc w:val="both"/>
              <w:rPr>
                <w:b/>
              </w:rPr>
            </w:pPr>
            <w:r>
              <w:rPr>
                <w:b/>
              </w:rPr>
              <w:t>Description</w:t>
            </w:r>
          </w:p>
        </w:tc>
      </w:tr>
      <w:tr w:rsidR="0031720C" w:rsidRPr="00DD456A" w14:paraId="1824E706" w14:textId="77777777" w:rsidTr="00971674">
        <w:tc>
          <w:tcPr>
            <w:tcW w:w="781" w:type="pct"/>
            <w:tcBorders>
              <w:top w:val="single" w:sz="8" w:space="0" w:color="auto"/>
              <w:right w:val="single" w:sz="4" w:space="0" w:color="auto"/>
            </w:tcBorders>
          </w:tcPr>
          <w:p w14:paraId="35F4FD4E" w14:textId="77777777" w:rsidR="0031720C" w:rsidRPr="00084393" w:rsidRDefault="0031720C" w:rsidP="00971674">
            <w:pPr>
              <w:spacing w:before="20" w:after="0" w:line="240" w:lineRule="auto"/>
              <w:rPr>
                <w:rFonts w:cs="Arial"/>
              </w:rPr>
            </w:pPr>
            <w:r>
              <w:rPr>
                <w:rFonts w:cs="Arial"/>
              </w:rPr>
              <w:t>Population</w:t>
            </w:r>
          </w:p>
        </w:tc>
        <w:tc>
          <w:tcPr>
            <w:tcW w:w="4219" w:type="pct"/>
            <w:tcBorders>
              <w:top w:val="single" w:sz="4" w:space="0" w:color="auto"/>
              <w:left w:val="single" w:sz="4" w:space="0" w:color="auto"/>
              <w:bottom w:val="single" w:sz="4" w:space="0" w:color="auto"/>
              <w:right w:val="single" w:sz="4" w:space="0" w:color="auto"/>
            </w:tcBorders>
          </w:tcPr>
          <w:p w14:paraId="12A66790" w14:textId="56DC1715" w:rsidR="0031720C" w:rsidRPr="007930CA" w:rsidRDefault="0031720C" w:rsidP="00662799">
            <w:pPr>
              <w:spacing w:after="120" w:line="240" w:lineRule="auto"/>
              <w:rPr>
                <w:rFonts w:asciiTheme="minorHAnsi" w:hAnsiTheme="minorHAnsi" w:cs="Arial"/>
              </w:rPr>
            </w:pPr>
            <w:r w:rsidRPr="007930CA">
              <w:rPr>
                <w:rFonts w:asciiTheme="minorHAnsi" w:hAnsiTheme="minorHAnsi" w:cs="Arial"/>
              </w:rPr>
              <w:t xml:space="preserve">Children and young adult patients (3-25 years old) with confirmed relapsed/refractory B-cell acute lymphoblastic leukaemia (ALL). </w:t>
            </w:r>
            <w:r>
              <w:rPr>
                <w:rFonts w:asciiTheme="minorHAnsi" w:hAnsiTheme="minorHAnsi" w:cs="Arial"/>
              </w:rPr>
              <w:t xml:space="preserve"> </w:t>
            </w:r>
            <w:r w:rsidRPr="007930CA">
              <w:rPr>
                <w:rFonts w:asciiTheme="minorHAnsi" w:hAnsiTheme="minorHAnsi" w:cs="Arial"/>
              </w:rPr>
              <w:t>This means patients</w:t>
            </w:r>
            <w:r w:rsidR="00662799">
              <w:rPr>
                <w:rFonts w:asciiTheme="minorHAnsi" w:hAnsiTheme="minorHAnsi" w:cs="Arial"/>
              </w:rPr>
              <w:t xml:space="preserve"> (</w:t>
            </w:r>
            <w:r w:rsidR="00EF2946">
              <w:rPr>
                <w:rFonts w:asciiTheme="minorHAnsi" w:hAnsiTheme="minorHAnsi" w:cs="Arial"/>
              </w:rPr>
              <w:t xml:space="preserve">listed as </w:t>
            </w:r>
            <w:r w:rsidR="00662799">
              <w:rPr>
                <w:rFonts w:asciiTheme="minorHAnsi" w:hAnsiTheme="minorHAnsi" w:cs="Arial"/>
              </w:rPr>
              <w:t>sub-populations</w:t>
            </w:r>
            <w:r w:rsidR="00EF2946">
              <w:rPr>
                <w:rFonts w:asciiTheme="minorHAnsi" w:hAnsiTheme="minorHAnsi" w:cs="Arial"/>
              </w:rPr>
              <w:t xml:space="preserve"> below</w:t>
            </w:r>
            <w:r w:rsidR="00662799">
              <w:rPr>
                <w:rFonts w:asciiTheme="minorHAnsi" w:hAnsiTheme="minorHAnsi" w:cs="Arial"/>
              </w:rPr>
              <w:t>)</w:t>
            </w:r>
            <w:r w:rsidRPr="007930CA">
              <w:rPr>
                <w:rFonts w:asciiTheme="minorHAnsi" w:hAnsiTheme="minorHAnsi" w:cs="Arial"/>
              </w:rPr>
              <w:t xml:space="preserve"> who:</w:t>
            </w:r>
            <w:r>
              <w:rPr>
                <w:rFonts w:asciiTheme="minorHAnsi" w:hAnsiTheme="minorHAnsi" w:cs="Arial"/>
              </w:rPr>
              <w:t xml:space="preserve"> </w:t>
            </w:r>
            <w:r w:rsidRPr="007930CA">
              <w:rPr>
                <w:rFonts w:asciiTheme="minorHAnsi" w:hAnsiTheme="minorHAnsi" w:cs="Arial"/>
              </w:rPr>
              <w:t xml:space="preserve"> </w:t>
            </w:r>
          </w:p>
          <w:p w14:paraId="14DFCB11" w14:textId="77777777" w:rsidR="0031720C" w:rsidRDefault="0031720C" w:rsidP="005B295B">
            <w:pPr>
              <w:pStyle w:val="ListParagraph"/>
              <w:numPr>
                <w:ilvl w:val="0"/>
                <w:numId w:val="22"/>
              </w:numPr>
              <w:spacing w:after="120" w:line="240" w:lineRule="auto"/>
              <w:rPr>
                <w:rFonts w:cs="Arial"/>
              </w:rPr>
            </w:pPr>
            <w:r w:rsidRPr="007930CA">
              <w:rPr>
                <w:rFonts w:cs="Arial"/>
              </w:rPr>
              <w:t>Have experienced a second or greater bone marrow relapse; OR</w:t>
            </w:r>
          </w:p>
          <w:p w14:paraId="687E1727" w14:textId="77777777" w:rsidR="0031720C" w:rsidRDefault="0031720C" w:rsidP="005B295B">
            <w:pPr>
              <w:pStyle w:val="ListParagraph"/>
              <w:numPr>
                <w:ilvl w:val="0"/>
                <w:numId w:val="22"/>
              </w:numPr>
              <w:spacing w:after="120" w:line="240" w:lineRule="auto"/>
              <w:rPr>
                <w:rFonts w:cs="Arial"/>
              </w:rPr>
            </w:pPr>
            <w:r w:rsidRPr="007930CA">
              <w:rPr>
                <w:rFonts w:cs="Arial"/>
              </w:rPr>
              <w:t>Have experienced any bone marrow relapse following allogenic stem cell transplant; OR</w:t>
            </w:r>
          </w:p>
          <w:p w14:paraId="484B140D" w14:textId="41FC78F2" w:rsidR="0031720C" w:rsidRDefault="0031720C" w:rsidP="005B295B">
            <w:pPr>
              <w:pStyle w:val="ListParagraph"/>
              <w:numPr>
                <w:ilvl w:val="0"/>
                <w:numId w:val="22"/>
              </w:numPr>
              <w:spacing w:after="120" w:line="240" w:lineRule="auto"/>
              <w:rPr>
                <w:rFonts w:cs="Arial"/>
              </w:rPr>
            </w:pPr>
            <w:r w:rsidRPr="007930CA">
              <w:rPr>
                <w:rFonts w:cs="Arial"/>
              </w:rPr>
              <w:t>Are primary refractory</w:t>
            </w:r>
            <w:r w:rsidR="00DE7623">
              <w:rPr>
                <w:rFonts w:cs="Arial"/>
              </w:rPr>
              <w:t xml:space="preserve"> (i.e.</w:t>
            </w:r>
            <w:r w:rsidR="008E1644">
              <w:rPr>
                <w:rFonts w:cs="Arial"/>
              </w:rPr>
              <w:t xml:space="preserve"> </w:t>
            </w:r>
            <w:r w:rsidRPr="007930CA">
              <w:rPr>
                <w:rFonts w:cs="Arial"/>
              </w:rPr>
              <w:t>not achieving a complete response after 2 cycles of a standard chemotherapy regimen</w:t>
            </w:r>
            <w:r w:rsidR="00DE7623">
              <w:rPr>
                <w:rFonts w:cs="Arial"/>
              </w:rPr>
              <w:t>)</w:t>
            </w:r>
            <w:r w:rsidRPr="007930CA">
              <w:rPr>
                <w:rFonts w:cs="Arial"/>
              </w:rPr>
              <w:t>; OR</w:t>
            </w:r>
          </w:p>
          <w:p w14:paraId="034D0B3F" w14:textId="6FAEAB55" w:rsidR="0031720C" w:rsidRDefault="00D4348F" w:rsidP="005B295B">
            <w:pPr>
              <w:pStyle w:val="ListParagraph"/>
              <w:numPr>
                <w:ilvl w:val="0"/>
                <w:numId w:val="22"/>
              </w:numPr>
              <w:spacing w:after="120" w:line="240" w:lineRule="auto"/>
              <w:rPr>
                <w:rFonts w:cs="Arial"/>
              </w:rPr>
            </w:pPr>
            <w:r>
              <w:rPr>
                <w:rFonts w:cs="Arial"/>
              </w:rPr>
              <w:t xml:space="preserve">Are chemo </w:t>
            </w:r>
            <w:r w:rsidR="00296C74">
              <w:rPr>
                <w:rFonts w:cs="Arial"/>
              </w:rPr>
              <w:t>refractory</w:t>
            </w:r>
            <w:r w:rsidR="0031720C" w:rsidRPr="007930CA">
              <w:rPr>
                <w:rFonts w:cs="Arial"/>
              </w:rPr>
              <w:t xml:space="preserve"> </w:t>
            </w:r>
            <w:r w:rsidR="00DE7623">
              <w:rPr>
                <w:rFonts w:cs="Arial"/>
              </w:rPr>
              <w:t>(i.e.</w:t>
            </w:r>
            <w:r w:rsidR="0031720C" w:rsidRPr="007930CA">
              <w:rPr>
                <w:rFonts w:cs="Arial"/>
              </w:rPr>
              <w:t xml:space="preserve"> not achieving a complete response after 1 cycle of standard chemotherapy for relapsed leukaemia</w:t>
            </w:r>
            <w:r w:rsidR="00DE7623">
              <w:rPr>
                <w:rFonts w:cs="Arial"/>
              </w:rPr>
              <w:t>)</w:t>
            </w:r>
            <w:r w:rsidR="0031720C" w:rsidRPr="007930CA">
              <w:rPr>
                <w:rFonts w:cs="Arial"/>
              </w:rPr>
              <w:t>; OR</w:t>
            </w:r>
          </w:p>
          <w:p w14:paraId="3DB51F2B" w14:textId="40A17DA9" w:rsidR="0031720C" w:rsidRDefault="0031720C" w:rsidP="005B295B">
            <w:pPr>
              <w:pStyle w:val="ListParagraph"/>
              <w:numPr>
                <w:ilvl w:val="0"/>
                <w:numId w:val="22"/>
              </w:numPr>
              <w:spacing w:after="120" w:line="240" w:lineRule="auto"/>
              <w:rPr>
                <w:rFonts w:cs="Arial"/>
              </w:rPr>
            </w:pPr>
            <w:r w:rsidRPr="007930CA">
              <w:rPr>
                <w:rFonts w:cs="Arial"/>
              </w:rPr>
              <w:t>Are Philadelp</w:t>
            </w:r>
            <w:r w:rsidR="005B295B">
              <w:rPr>
                <w:rFonts w:cs="Arial"/>
              </w:rPr>
              <w:t xml:space="preserve">hia chromosome positive AND </w:t>
            </w:r>
            <w:r w:rsidRPr="007930CA">
              <w:rPr>
                <w:rFonts w:cs="Arial"/>
              </w:rPr>
              <w:t xml:space="preserve">intolerant to </w:t>
            </w:r>
            <w:r w:rsidR="005B295B">
              <w:rPr>
                <w:rFonts w:cs="Arial"/>
              </w:rPr>
              <w:t>(</w:t>
            </w:r>
            <w:r w:rsidRPr="007930CA">
              <w:rPr>
                <w:rFonts w:cs="Arial"/>
              </w:rPr>
              <w:t>or have failed two lines of</w:t>
            </w:r>
            <w:r w:rsidR="005B295B">
              <w:rPr>
                <w:rFonts w:cs="Arial"/>
              </w:rPr>
              <w:t xml:space="preserve">) </w:t>
            </w:r>
            <w:r w:rsidRPr="007930CA">
              <w:rPr>
                <w:rFonts w:cs="Arial"/>
              </w:rPr>
              <w:t>tyrosine kinase inhibitor therapy, OR for whom such therapy is contraindicated; OR</w:t>
            </w:r>
          </w:p>
          <w:p w14:paraId="68797FB3" w14:textId="77777777" w:rsidR="0031720C" w:rsidRPr="007930CA" w:rsidRDefault="0031720C" w:rsidP="005B295B">
            <w:pPr>
              <w:pStyle w:val="ListParagraph"/>
              <w:numPr>
                <w:ilvl w:val="0"/>
                <w:numId w:val="22"/>
              </w:numPr>
              <w:spacing w:after="120" w:line="240" w:lineRule="auto"/>
              <w:rPr>
                <w:rFonts w:cs="Arial"/>
              </w:rPr>
            </w:pPr>
            <w:r w:rsidRPr="007930CA">
              <w:rPr>
                <w:rFonts w:cs="Arial"/>
              </w:rPr>
              <w:t>Are ineligible for allogenic stem cell transplant because of comorbid disease, contraindications to the conditioning regimen, prior SCT, OR lack of a suitable donor.</w:t>
            </w:r>
          </w:p>
        </w:tc>
      </w:tr>
      <w:tr w:rsidR="0031720C" w:rsidRPr="00DD456A" w14:paraId="48618997" w14:textId="77777777" w:rsidTr="00971674">
        <w:tc>
          <w:tcPr>
            <w:tcW w:w="781" w:type="pct"/>
            <w:tcBorders>
              <w:right w:val="single" w:sz="4" w:space="0" w:color="auto"/>
            </w:tcBorders>
          </w:tcPr>
          <w:p w14:paraId="5ABF815B" w14:textId="77777777" w:rsidR="0031720C" w:rsidRPr="00084393" w:rsidRDefault="0031720C" w:rsidP="00971674">
            <w:pPr>
              <w:spacing w:before="20" w:after="0" w:line="240" w:lineRule="auto"/>
              <w:rPr>
                <w:rFonts w:cs="Arial"/>
              </w:rPr>
            </w:pPr>
            <w:r w:rsidRPr="00084393">
              <w:rPr>
                <w:rFonts w:cs="Arial"/>
              </w:rPr>
              <w:t>Intervention</w:t>
            </w:r>
          </w:p>
        </w:tc>
        <w:tc>
          <w:tcPr>
            <w:tcW w:w="4219" w:type="pct"/>
            <w:tcBorders>
              <w:top w:val="single" w:sz="4" w:space="0" w:color="auto"/>
              <w:left w:val="single" w:sz="4" w:space="0" w:color="auto"/>
              <w:bottom w:val="single" w:sz="4" w:space="0" w:color="auto"/>
              <w:right w:val="single" w:sz="4" w:space="0" w:color="auto"/>
            </w:tcBorders>
          </w:tcPr>
          <w:p w14:paraId="7FD27864" w14:textId="77777777" w:rsidR="0031720C" w:rsidRPr="00DD456A" w:rsidRDefault="0031720C" w:rsidP="00971674">
            <w:pPr>
              <w:spacing w:after="0"/>
              <w:rPr>
                <w:color w:val="FF0000"/>
                <w:u w:val="dotted"/>
              </w:rPr>
            </w:pPr>
            <w:r>
              <w:t xml:space="preserve">Tisagenlecleucel (also known as CTL019, and brand name </w:t>
            </w:r>
            <w:proofErr w:type="spellStart"/>
            <w:r>
              <w:t>Kymriah</w:t>
            </w:r>
            <w:proofErr w:type="spellEnd"/>
            <w:r>
              <w:t>™)</w:t>
            </w:r>
          </w:p>
        </w:tc>
      </w:tr>
      <w:tr w:rsidR="0031720C" w:rsidRPr="00DD456A" w14:paraId="2ACEE379" w14:textId="77777777" w:rsidTr="00971674">
        <w:tc>
          <w:tcPr>
            <w:tcW w:w="781" w:type="pct"/>
            <w:tcBorders>
              <w:right w:val="single" w:sz="4" w:space="0" w:color="auto"/>
            </w:tcBorders>
          </w:tcPr>
          <w:p w14:paraId="60E84A08" w14:textId="77777777" w:rsidR="0031720C" w:rsidRPr="00084393" w:rsidRDefault="0031720C" w:rsidP="00971674">
            <w:pPr>
              <w:spacing w:before="20" w:after="0" w:line="240" w:lineRule="auto"/>
              <w:rPr>
                <w:rFonts w:cs="Arial"/>
              </w:rPr>
            </w:pPr>
            <w:r w:rsidRPr="00084393">
              <w:rPr>
                <w:rFonts w:cs="Arial"/>
              </w:rPr>
              <w:t>Comparator</w:t>
            </w:r>
          </w:p>
        </w:tc>
        <w:tc>
          <w:tcPr>
            <w:tcW w:w="4219" w:type="pct"/>
            <w:tcBorders>
              <w:top w:val="single" w:sz="4" w:space="0" w:color="auto"/>
              <w:left w:val="single" w:sz="4" w:space="0" w:color="auto"/>
              <w:bottom w:val="single" w:sz="4" w:space="0" w:color="auto"/>
              <w:right w:val="single" w:sz="4" w:space="0" w:color="auto"/>
            </w:tcBorders>
          </w:tcPr>
          <w:p w14:paraId="4A6D0F7D" w14:textId="16217CAE" w:rsidR="0031720C" w:rsidRDefault="00EF2946" w:rsidP="00971674">
            <w:pPr>
              <w:spacing w:after="0"/>
            </w:pPr>
            <w:r>
              <w:t xml:space="preserve">Against the relevant </w:t>
            </w:r>
            <w:r w:rsidR="0031720C">
              <w:t>sub-population (see ‘Population’</w:t>
            </w:r>
            <w:r>
              <w:t xml:space="preserve"> above</w:t>
            </w:r>
            <w:r w:rsidR="0031720C">
              <w:t>)</w:t>
            </w:r>
          </w:p>
          <w:p w14:paraId="54F80E8B" w14:textId="6E658A25" w:rsidR="0031720C" w:rsidRDefault="0031720C" w:rsidP="006E69A5">
            <w:pPr>
              <w:pStyle w:val="ListParagraph"/>
              <w:numPr>
                <w:ilvl w:val="0"/>
                <w:numId w:val="23"/>
              </w:numPr>
              <w:spacing w:after="0"/>
            </w:pPr>
            <w:r>
              <w:t>Best supportive care (or a clinical trial)</w:t>
            </w:r>
          </w:p>
          <w:p w14:paraId="4B52C60F" w14:textId="77777777" w:rsidR="0031720C" w:rsidRDefault="0031720C" w:rsidP="0031720C">
            <w:pPr>
              <w:pStyle w:val="ListParagraph"/>
              <w:numPr>
                <w:ilvl w:val="0"/>
                <w:numId w:val="23"/>
              </w:numPr>
              <w:spacing w:after="0"/>
            </w:pPr>
            <w:r>
              <w:t xml:space="preserve">Salvage chemotherapy with intention to proceed to allogenic SCT, </w:t>
            </w:r>
            <w:proofErr w:type="spellStart"/>
            <w:r>
              <w:t>clofarabine</w:t>
            </w:r>
            <w:proofErr w:type="spellEnd"/>
            <w:r>
              <w:t xml:space="preserve"> with intention to proceed to allogenic SCT, or in some cases: best supportive care or a clinical trial (when refractory after TKI+ chemotherapy and allogenic SCT)</w:t>
            </w:r>
          </w:p>
          <w:p w14:paraId="418505F1" w14:textId="15BB41DA" w:rsidR="0031720C" w:rsidRDefault="0031720C" w:rsidP="0031720C">
            <w:pPr>
              <w:pStyle w:val="ListParagraph"/>
              <w:numPr>
                <w:ilvl w:val="0"/>
                <w:numId w:val="23"/>
              </w:numPr>
              <w:spacing w:after="0"/>
            </w:pPr>
            <w:r>
              <w:t xml:space="preserve">Salvage chemotherapy with intention to proceed to allogenic SCT, or </w:t>
            </w:r>
            <w:proofErr w:type="spellStart"/>
            <w:r>
              <w:t>clofarabine</w:t>
            </w:r>
            <w:proofErr w:type="spellEnd"/>
            <w:r>
              <w:t xml:space="preserve"> with intenti</w:t>
            </w:r>
            <w:r w:rsidR="005B295B">
              <w:t>on to proceed to allogenic SCT</w:t>
            </w:r>
          </w:p>
          <w:p w14:paraId="2741B5E2" w14:textId="77777777" w:rsidR="0031720C" w:rsidRDefault="0031720C" w:rsidP="0031720C">
            <w:pPr>
              <w:pStyle w:val="ListParagraph"/>
              <w:numPr>
                <w:ilvl w:val="0"/>
                <w:numId w:val="23"/>
              </w:numPr>
              <w:spacing w:after="0"/>
            </w:pPr>
            <w:r>
              <w:t>Best supportive care (or a clinical trial)</w:t>
            </w:r>
          </w:p>
          <w:p w14:paraId="1EEB75F2" w14:textId="77777777" w:rsidR="0031720C" w:rsidRDefault="0031720C" w:rsidP="0031720C">
            <w:pPr>
              <w:pStyle w:val="ListParagraph"/>
              <w:numPr>
                <w:ilvl w:val="0"/>
                <w:numId w:val="23"/>
              </w:numPr>
              <w:spacing w:after="0"/>
            </w:pPr>
            <w:r>
              <w:t>Best supportive care (or a clinical trial)</w:t>
            </w:r>
          </w:p>
          <w:p w14:paraId="4A188C65" w14:textId="77777777" w:rsidR="0031720C" w:rsidRPr="00DD456A" w:rsidRDefault="0031720C" w:rsidP="0031720C">
            <w:pPr>
              <w:pStyle w:val="ListParagraph"/>
              <w:numPr>
                <w:ilvl w:val="0"/>
                <w:numId w:val="23"/>
              </w:numPr>
              <w:spacing w:after="0"/>
            </w:pPr>
            <w:r>
              <w:t>Best supportive care (or a clinical trial)</w:t>
            </w:r>
          </w:p>
        </w:tc>
      </w:tr>
      <w:tr w:rsidR="0031720C" w:rsidRPr="002D07BA" w14:paraId="493649BD" w14:textId="77777777" w:rsidTr="00971674">
        <w:tc>
          <w:tcPr>
            <w:tcW w:w="781" w:type="pct"/>
            <w:tcBorders>
              <w:right w:val="single" w:sz="4" w:space="0" w:color="auto"/>
            </w:tcBorders>
          </w:tcPr>
          <w:p w14:paraId="5DF95832" w14:textId="77777777" w:rsidR="0031720C" w:rsidRPr="00084393" w:rsidRDefault="0031720C" w:rsidP="00971674">
            <w:pPr>
              <w:spacing w:before="20" w:after="20" w:line="240" w:lineRule="auto"/>
              <w:rPr>
                <w:rFonts w:cs="Arial"/>
              </w:rPr>
            </w:pPr>
            <w:r w:rsidRPr="00084393">
              <w:rPr>
                <w:rFonts w:cs="Arial"/>
              </w:rPr>
              <w:t>Outcomes</w:t>
            </w:r>
          </w:p>
        </w:tc>
        <w:tc>
          <w:tcPr>
            <w:tcW w:w="4219" w:type="pct"/>
            <w:tcBorders>
              <w:top w:val="single" w:sz="4" w:space="0" w:color="auto"/>
              <w:left w:val="single" w:sz="4" w:space="0" w:color="auto"/>
              <w:bottom w:val="single" w:sz="4" w:space="0" w:color="auto"/>
              <w:right w:val="single" w:sz="4" w:space="0" w:color="auto"/>
            </w:tcBorders>
          </w:tcPr>
          <w:p w14:paraId="41B95BB1" w14:textId="77777777" w:rsidR="0031720C" w:rsidRPr="00A30657" w:rsidRDefault="0031720C" w:rsidP="00971674">
            <w:pPr>
              <w:spacing w:after="0"/>
              <w:rPr>
                <w:u w:val="single"/>
              </w:rPr>
            </w:pPr>
            <w:r w:rsidRPr="00A30657">
              <w:rPr>
                <w:u w:val="single"/>
              </w:rPr>
              <w:t>Clinical effectiveness:</w:t>
            </w:r>
          </w:p>
          <w:p w14:paraId="7EFF73DB" w14:textId="08759AAC" w:rsidR="0031720C" w:rsidRDefault="005B295B" w:rsidP="0031720C">
            <w:pPr>
              <w:pStyle w:val="ListParagraph"/>
              <w:numPr>
                <w:ilvl w:val="0"/>
                <w:numId w:val="13"/>
              </w:numPr>
            </w:pPr>
            <w:r>
              <w:t>O</w:t>
            </w:r>
            <w:r w:rsidR="0031720C" w:rsidRPr="00B2026F">
              <w:t>veral</w:t>
            </w:r>
            <w:r w:rsidR="0031720C">
              <w:t xml:space="preserve">l response rate (ORR) and/or complete response rate </w:t>
            </w:r>
          </w:p>
          <w:p w14:paraId="290CA19B" w14:textId="0B5D4BB7" w:rsidR="0031720C" w:rsidRDefault="005B295B" w:rsidP="0031720C">
            <w:pPr>
              <w:pStyle w:val="ListParagraph"/>
              <w:numPr>
                <w:ilvl w:val="0"/>
                <w:numId w:val="13"/>
              </w:numPr>
            </w:pPr>
            <w:r>
              <w:t>R</w:t>
            </w:r>
            <w:r w:rsidR="0031720C">
              <w:t>elapse-free survival and/or event-free survival</w:t>
            </w:r>
          </w:p>
          <w:p w14:paraId="64A07353" w14:textId="2F4E2B0E" w:rsidR="0031720C" w:rsidRDefault="005B295B" w:rsidP="0031720C">
            <w:pPr>
              <w:pStyle w:val="ListParagraph"/>
              <w:numPr>
                <w:ilvl w:val="0"/>
                <w:numId w:val="13"/>
              </w:numPr>
              <w:spacing w:after="0"/>
            </w:pPr>
            <w:r>
              <w:t>O</w:t>
            </w:r>
            <w:r w:rsidR="0031720C">
              <w:t>verall survival (OS)</w:t>
            </w:r>
          </w:p>
          <w:p w14:paraId="7A7523F2" w14:textId="168C4411" w:rsidR="0031720C" w:rsidRDefault="005B295B" w:rsidP="0031720C">
            <w:pPr>
              <w:pStyle w:val="ListParagraph"/>
              <w:numPr>
                <w:ilvl w:val="0"/>
                <w:numId w:val="13"/>
              </w:numPr>
              <w:spacing w:after="0"/>
            </w:pPr>
            <w:r>
              <w:t>Q</w:t>
            </w:r>
            <w:r w:rsidR="0031720C">
              <w:t>uality of life (</w:t>
            </w:r>
            <w:proofErr w:type="spellStart"/>
            <w:r w:rsidR="0031720C">
              <w:t>QoL</w:t>
            </w:r>
            <w:proofErr w:type="spellEnd"/>
            <w:r w:rsidR="0031720C">
              <w:t>)</w:t>
            </w:r>
          </w:p>
          <w:p w14:paraId="7AF0F139" w14:textId="38A956D9" w:rsidR="0031720C" w:rsidRDefault="005B295B" w:rsidP="0031720C">
            <w:pPr>
              <w:pStyle w:val="ListParagraph"/>
              <w:numPr>
                <w:ilvl w:val="0"/>
                <w:numId w:val="13"/>
              </w:numPr>
              <w:spacing w:after="0"/>
            </w:pPr>
            <w:r>
              <w:t>Health-</w:t>
            </w:r>
            <w:r w:rsidR="0031720C">
              <w:t>related quality of life (</w:t>
            </w:r>
            <w:proofErr w:type="spellStart"/>
            <w:r w:rsidR="0031720C">
              <w:t>HRQoL</w:t>
            </w:r>
            <w:proofErr w:type="spellEnd"/>
            <w:r w:rsidR="0031720C">
              <w:t>)</w:t>
            </w:r>
          </w:p>
          <w:p w14:paraId="086310B8" w14:textId="5EE0887F" w:rsidR="0031720C" w:rsidRDefault="005B295B" w:rsidP="0031720C">
            <w:pPr>
              <w:pStyle w:val="ListParagraph"/>
              <w:numPr>
                <w:ilvl w:val="0"/>
                <w:numId w:val="13"/>
              </w:numPr>
              <w:spacing w:after="0"/>
            </w:pPr>
            <w:r>
              <w:t>R</w:t>
            </w:r>
            <w:r w:rsidR="0031720C">
              <w:t>ate of complete/partial remission</w:t>
            </w:r>
          </w:p>
          <w:p w14:paraId="5B8523CE" w14:textId="6CDFA1FB" w:rsidR="0031720C" w:rsidRDefault="005B295B" w:rsidP="0031720C">
            <w:pPr>
              <w:pStyle w:val="ListParagraph"/>
              <w:numPr>
                <w:ilvl w:val="0"/>
                <w:numId w:val="13"/>
              </w:numPr>
              <w:spacing w:after="0"/>
            </w:pPr>
            <w:r>
              <w:t>D</w:t>
            </w:r>
            <w:r w:rsidR="0031720C">
              <w:t>uration of response</w:t>
            </w:r>
          </w:p>
          <w:p w14:paraId="1DBB822F" w14:textId="30F4DF88" w:rsidR="0031720C" w:rsidRDefault="005B295B" w:rsidP="0031720C">
            <w:pPr>
              <w:pStyle w:val="ListParagraph"/>
              <w:numPr>
                <w:ilvl w:val="0"/>
                <w:numId w:val="13"/>
              </w:numPr>
              <w:spacing w:after="0"/>
            </w:pPr>
            <w:r>
              <w:t>T</w:t>
            </w:r>
            <w:r w:rsidR="0031720C">
              <w:t>ime to return to daily activities</w:t>
            </w:r>
          </w:p>
          <w:p w14:paraId="3D7E1194" w14:textId="77777777" w:rsidR="0031720C" w:rsidRPr="00A30657" w:rsidRDefault="0031720C" w:rsidP="00971674">
            <w:pPr>
              <w:spacing w:after="0"/>
              <w:rPr>
                <w:u w:val="single"/>
              </w:rPr>
            </w:pPr>
            <w:r w:rsidRPr="00A30657">
              <w:rPr>
                <w:u w:val="single"/>
              </w:rPr>
              <w:t>Clinical efficacy:</w:t>
            </w:r>
          </w:p>
          <w:p w14:paraId="28751FB4" w14:textId="1A8410A0" w:rsidR="0031720C" w:rsidRDefault="005B295B" w:rsidP="0031720C">
            <w:pPr>
              <w:pStyle w:val="ListParagraph"/>
              <w:numPr>
                <w:ilvl w:val="0"/>
                <w:numId w:val="14"/>
              </w:numPr>
              <w:spacing w:after="0"/>
            </w:pPr>
            <w:r>
              <w:t>T</w:t>
            </w:r>
            <w:r w:rsidR="00E95A8D">
              <w:t>isagenlecleucel</w:t>
            </w:r>
            <w:r w:rsidR="00E95A8D" w:rsidDel="00E95A8D">
              <w:t xml:space="preserve"> </w:t>
            </w:r>
            <w:r w:rsidR="0031720C">
              <w:t>failure rate</w:t>
            </w:r>
          </w:p>
          <w:p w14:paraId="304DF410" w14:textId="77777777" w:rsidR="0031720C" w:rsidRDefault="0031720C" w:rsidP="0031720C">
            <w:pPr>
              <w:pStyle w:val="ListParagraph"/>
              <w:numPr>
                <w:ilvl w:val="0"/>
                <w:numId w:val="14"/>
              </w:numPr>
              <w:spacing w:after="0"/>
            </w:pPr>
            <w:r>
              <w:t>Percentage of patients successfully receiving tisagenlecleucel after starting the process</w:t>
            </w:r>
          </w:p>
          <w:p w14:paraId="3998E214" w14:textId="77777777" w:rsidR="0031720C" w:rsidRDefault="0031720C" w:rsidP="0031720C">
            <w:pPr>
              <w:pStyle w:val="ListParagraph"/>
              <w:numPr>
                <w:ilvl w:val="0"/>
                <w:numId w:val="14"/>
              </w:numPr>
              <w:spacing w:after="0"/>
            </w:pPr>
            <w:r>
              <w:t xml:space="preserve">Time from </w:t>
            </w:r>
            <w:proofErr w:type="spellStart"/>
            <w:r>
              <w:t>leukapheresis</w:t>
            </w:r>
            <w:proofErr w:type="spellEnd"/>
            <w:r>
              <w:t xml:space="preserve"> to receiving </w:t>
            </w:r>
            <w:proofErr w:type="spellStart"/>
            <w:r>
              <w:t>tisagenlecleucel</w:t>
            </w:r>
            <w:proofErr w:type="spellEnd"/>
          </w:p>
          <w:p w14:paraId="3925F20E" w14:textId="77777777" w:rsidR="0031720C" w:rsidRPr="00A30657" w:rsidRDefault="0031720C" w:rsidP="00971674">
            <w:pPr>
              <w:spacing w:after="0"/>
              <w:rPr>
                <w:u w:val="single"/>
              </w:rPr>
            </w:pPr>
            <w:r w:rsidRPr="00A30657">
              <w:rPr>
                <w:u w:val="single"/>
              </w:rPr>
              <w:lastRenderedPageBreak/>
              <w:t>Safety:</w:t>
            </w:r>
          </w:p>
          <w:p w14:paraId="7FC3E64A" w14:textId="77777777" w:rsidR="0031720C" w:rsidRDefault="0031720C" w:rsidP="0031720C">
            <w:pPr>
              <w:pStyle w:val="ListParagraph"/>
              <w:numPr>
                <w:ilvl w:val="0"/>
                <w:numId w:val="13"/>
              </w:numPr>
              <w:spacing w:after="0"/>
            </w:pPr>
            <w:r>
              <w:t>Rate of adverse events (AEs) and serious adverse events (SAEs)</w:t>
            </w:r>
          </w:p>
          <w:p w14:paraId="1966919B" w14:textId="77777777" w:rsidR="0031720C" w:rsidRDefault="0031720C" w:rsidP="0031720C">
            <w:pPr>
              <w:pStyle w:val="ListParagraph"/>
              <w:numPr>
                <w:ilvl w:val="0"/>
                <w:numId w:val="13"/>
              </w:numPr>
              <w:spacing w:after="0"/>
            </w:pPr>
            <w:r>
              <w:t>events of special interest (e.g. cytokine release syndrome, tumour lysis syndrome, febrile neutropenia)</w:t>
            </w:r>
          </w:p>
          <w:p w14:paraId="0EECB05E" w14:textId="77777777" w:rsidR="0031720C" w:rsidRDefault="0031720C" w:rsidP="0031720C">
            <w:pPr>
              <w:pStyle w:val="ListParagraph"/>
              <w:numPr>
                <w:ilvl w:val="0"/>
                <w:numId w:val="13"/>
              </w:numPr>
              <w:spacing w:after="0"/>
            </w:pPr>
            <w:r>
              <w:t>AEs due to medications, neurotoxicity, infections, secondary cancers</w:t>
            </w:r>
          </w:p>
          <w:p w14:paraId="2936BD72" w14:textId="77777777" w:rsidR="0031720C" w:rsidRPr="00A30657" w:rsidRDefault="0031720C" w:rsidP="00971674">
            <w:pPr>
              <w:spacing w:after="0"/>
              <w:rPr>
                <w:u w:val="single"/>
              </w:rPr>
            </w:pPr>
            <w:r w:rsidRPr="00A30657">
              <w:rPr>
                <w:u w:val="single"/>
              </w:rPr>
              <w:t>Cost-effectiveness:</w:t>
            </w:r>
          </w:p>
          <w:p w14:paraId="340E9A34" w14:textId="149F1BE6" w:rsidR="0031720C" w:rsidRDefault="00E95A8D" w:rsidP="00E95A8D">
            <w:pPr>
              <w:pStyle w:val="ListParagraph"/>
              <w:numPr>
                <w:ilvl w:val="0"/>
                <w:numId w:val="15"/>
              </w:numPr>
              <w:spacing w:after="0"/>
            </w:pPr>
            <w:r>
              <w:t>C</w:t>
            </w:r>
            <w:r w:rsidR="0031720C">
              <w:t>ost</w:t>
            </w:r>
            <w:r>
              <w:t xml:space="preserve"> (including cost of additional pre-infusion and post-infusion interventions)</w:t>
            </w:r>
          </w:p>
          <w:p w14:paraId="2F3E83ED" w14:textId="7BBA4C1F" w:rsidR="0031720C" w:rsidRDefault="005B295B" w:rsidP="0031720C">
            <w:pPr>
              <w:pStyle w:val="ListParagraph"/>
              <w:numPr>
                <w:ilvl w:val="0"/>
                <w:numId w:val="15"/>
              </w:numPr>
              <w:spacing w:after="0"/>
            </w:pPr>
            <w:r>
              <w:t>C</w:t>
            </w:r>
            <w:r w:rsidR="0031720C">
              <w:t>ost per life year gained (LYG)</w:t>
            </w:r>
          </w:p>
          <w:p w14:paraId="0C57D612" w14:textId="6FB28311" w:rsidR="0031720C" w:rsidRDefault="005B295B" w:rsidP="0031720C">
            <w:pPr>
              <w:pStyle w:val="ListParagraph"/>
              <w:numPr>
                <w:ilvl w:val="0"/>
                <w:numId w:val="15"/>
              </w:numPr>
              <w:spacing w:after="0"/>
            </w:pPr>
            <w:r>
              <w:t>C</w:t>
            </w:r>
            <w:r w:rsidR="0031720C">
              <w:t>ost per quality adjusted life year (QALY) or disability adjusted life year (DALY)</w:t>
            </w:r>
          </w:p>
          <w:p w14:paraId="20BC2225" w14:textId="78B3FA0E" w:rsidR="0031720C" w:rsidRDefault="005B295B" w:rsidP="0031720C">
            <w:pPr>
              <w:pStyle w:val="ListParagraph"/>
              <w:numPr>
                <w:ilvl w:val="0"/>
                <w:numId w:val="15"/>
              </w:numPr>
              <w:spacing w:after="0"/>
            </w:pPr>
            <w:r>
              <w:t>I</w:t>
            </w:r>
            <w:r w:rsidR="0031720C">
              <w:t>ncremental cost-effectiveness ratio</w:t>
            </w:r>
          </w:p>
          <w:p w14:paraId="6C76A25B" w14:textId="77777777" w:rsidR="0031720C" w:rsidRPr="00A30657" w:rsidRDefault="0031720C" w:rsidP="00971674">
            <w:pPr>
              <w:spacing w:after="0"/>
              <w:rPr>
                <w:u w:val="single"/>
              </w:rPr>
            </w:pPr>
            <w:r w:rsidRPr="00A30657">
              <w:rPr>
                <w:u w:val="single"/>
              </w:rPr>
              <w:t>Financial implications:</w:t>
            </w:r>
          </w:p>
          <w:p w14:paraId="1E3F70C0" w14:textId="77777777" w:rsidR="0031720C" w:rsidRDefault="0031720C" w:rsidP="0031720C">
            <w:pPr>
              <w:pStyle w:val="ListParagraph"/>
              <w:numPr>
                <w:ilvl w:val="0"/>
                <w:numId w:val="16"/>
              </w:numPr>
              <w:spacing w:after="0"/>
            </w:pPr>
            <w:r>
              <w:t>Number of patients suitable for treatment</w:t>
            </w:r>
          </w:p>
          <w:p w14:paraId="02D53A9D" w14:textId="56C3F7B8" w:rsidR="0031720C" w:rsidRPr="002D07BA" w:rsidRDefault="005B295B" w:rsidP="0031720C">
            <w:pPr>
              <w:pStyle w:val="ListParagraph"/>
              <w:numPr>
                <w:ilvl w:val="0"/>
                <w:numId w:val="16"/>
              </w:numPr>
              <w:spacing w:after="0"/>
            </w:pPr>
            <w:r>
              <w:t>N</w:t>
            </w:r>
            <w:r w:rsidR="0031720C">
              <w:t xml:space="preserve">umber of patients who receive treatment </w:t>
            </w:r>
          </w:p>
        </w:tc>
      </w:tr>
    </w:tbl>
    <w:p w14:paraId="6ED1DD31" w14:textId="14005ADB" w:rsidR="0031720C" w:rsidRDefault="0031720C" w:rsidP="009B6DC7">
      <w:pPr>
        <w:pStyle w:val="Caption"/>
        <w:spacing w:before="240"/>
      </w:pPr>
      <w:r>
        <w:lastRenderedPageBreak/>
        <w:t xml:space="preserve">Table </w:t>
      </w:r>
      <w:r>
        <w:fldChar w:fldCharType="begin"/>
      </w:r>
      <w:r>
        <w:instrText xml:space="preserve"> SEQ Table \* ARABIC </w:instrText>
      </w:r>
      <w:r>
        <w:fldChar w:fldCharType="separate"/>
      </w:r>
      <w:r w:rsidR="00C850E0">
        <w:rPr>
          <w:noProof/>
        </w:rPr>
        <w:t>2</w:t>
      </w:r>
      <w:r>
        <w:fldChar w:fldCharType="end"/>
      </w:r>
      <w:r>
        <w:t xml:space="preserve"> </w:t>
      </w:r>
      <w:r w:rsidRPr="00920966">
        <w:t>PICO criteria for adult patients with diffuse large B-cell lymphoma (population 2)</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444"/>
        <w:gridCol w:w="7798"/>
      </w:tblGrid>
      <w:tr w:rsidR="0031720C" w:rsidRPr="00084393" w14:paraId="623DE4EF" w14:textId="77777777" w:rsidTr="00971674">
        <w:trPr>
          <w:tblHeader/>
        </w:trPr>
        <w:tc>
          <w:tcPr>
            <w:tcW w:w="781" w:type="pct"/>
            <w:tcBorders>
              <w:top w:val="single" w:sz="8" w:space="0" w:color="auto"/>
              <w:bottom w:val="single" w:sz="8" w:space="0" w:color="auto"/>
              <w:right w:val="single" w:sz="4" w:space="0" w:color="auto"/>
            </w:tcBorders>
            <w:shd w:val="clear" w:color="auto" w:fill="D9D9D9"/>
          </w:tcPr>
          <w:p w14:paraId="680B6E25" w14:textId="77777777" w:rsidR="0031720C" w:rsidRPr="00084393" w:rsidRDefault="0031720C" w:rsidP="00971674">
            <w:pPr>
              <w:spacing w:before="20" w:after="20" w:line="240" w:lineRule="auto"/>
              <w:rPr>
                <w:b/>
              </w:rPr>
            </w:pPr>
            <w:r>
              <w:rPr>
                <w:b/>
              </w:rPr>
              <w:t>Component</w:t>
            </w:r>
          </w:p>
        </w:tc>
        <w:tc>
          <w:tcPr>
            <w:tcW w:w="4219" w:type="pct"/>
            <w:tcBorders>
              <w:top w:val="single" w:sz="4" w:space="0" w:color="auto"/>
              <w:left w:val="single" w:sz="4" w:space="0" w:color="auto"/>
              <w:bottom w:val="single" w:sz="4" w:space="0" w:color="auto"/>
              <w:right w:val="single" w:sz="4" w:space="0" w:color="auto"/>
            </w:tcBorders>
            <w:shd w:val="clear" w:color="auto" w:fill="D9D9D9"/>
          </w:tcPr>
          <w:p w14:paraId="198D713D" w14:textId="77777777" w:rsidR="0031720C" w:rsidRPr="00084393" w:rsidRDefault="0031720C" w:rsidP="00971674">
            <w:pPr>
              <w:spacing w:before="20" w:after="20" w:line="240" w:lineRule="auto"/>
              <w:jc w:val="both"/>
              <w:rPr>
                <w:b/>
              </w:rPr>
            </w:pPr>
            <w:r>
              <w:rPr>
                <w:b/>
              </w:rPr>
              <w:t>Description</w:t>
            </w:r>
          </w:p>
        </w:tc>
      </w:tr>
      <w:tr w:rsidR="0031720C" w:rsidRPr="00DD456A" w14:paraId="1E39C96D" w14:textId="77777777" w:rsidTr="00971674">
        <w:tc>
          <w:tcPr>
            <w:tcW w:w="781" w:type="pct"/>
            <w:tcBorders>
              <w:top w:val="single" w:sz="8" w:space="0" w:color="auto"/>
              <w:right w:val="single" w:sz="4" w:space="0" w:color="auto"/>
            </w:tcBorders>
          </w:tcPr>
          <w:p w14:paraId="7B84925E" w14:textId="77777777" w:rsidR="0031720C" w:rsidRPr="00084393" w:rsidRDefault="0031720C" w:rsidP="00971674">
            <w:pPr>
              <w:spacing w:before="20" w:after="0" w:line="240" w:lineRule="auto"/>
              <w:rPr>
                <w:rFonts w:cs="Arial"/>
              </w:rPr>
            </w:pPr>
            <w:r>
              <w:rPr>
                <w:rFonts w:cs="Arial"/>
              </w:rPr>
              <w:t>Population</w:t>
            </w:r>
          </w:p>
        </w:tc>
        <w:tc>
          <w:tcPr>
            <w:tcW w:w="4219" w:type="pct"/>
            <w:tcBorders>
              <w:top w:val="single" w:sz="4" w:space="0" w:color="auto"/>
              <w:left w:val="single" w:sz="4" w:space="0" w:color="auto"/>
              <w:bottom w:val="single" w:sz="4" w:space="0" w:color="auto"/>
              <w:right w:val="single" w:sz="4" w:space="0" w:color="auto"/>
            </w:tcBorders>
          </w:tcPr>
          <w:p w14:paraId="27F00F6B" w14:textId="77777777" w:rsidR="0031720C" w:rsidRDefault="0031720C" w:rsidP="00971674">
            <w:pPr>
              <w:spacing w:after="0"/>
            </w:pPr>
            <w:r>
              <w:t>Adult patients (≥ 18 years old) with confirmed relapsed/refractory diffuse large B-cell lymphoma (DLBCL). This means patients who have relapsed or refractory disease after at least two lines of chemotherapy, and</w:t>
            </w:r>
          </w:p>
          <w:p w14:paraId="3F8C4BAC" w14:textId="77777777" w:rsidR="0031720C" w:rsidRPr="004820D4" w:rsidRDefault="0031720C" w:rsidP="0031720C">
            <w:pPr>
              <w:pStyle w:val="ListParagraph"/>
              <w:numPr>
                <w:ilvl w:val="0"/>
                <w:numId w:val="24"/>
              </w:numPr>
              <w:spacing w:after="120" w:line="240" w:lineRule="auto"/>
              <w:jc w:val="both"/>
              <w:rPr>
                <w:rFonts w:cs="Arial"/>
              </w:rPr>
            </w:pPr>
            <w:r w:rsidRPr="004820D4">
              <w:rPr>
                <w:rFonts w:cs="Arial"/>
              </w:rPr>
              <w:t>have relapsed after autologous stem cell transplant, OR</w:t>
            </w:r>
          </w:p>
          <w:p w14:paraId="043FCA1F" w14:textId="77777777" w:rsidR="0031720C" w:rsidRPr="00DD456A" w:rsidRDefault="0031720C" w:rsidP="0031720C">
            <w:pPr>
              <w:pStyle w:val="ListParagraph"/>
              <w:numPr>
                <w:ilvl w:val="0"/>
                <w:numId w:val="24"/>
              </w:numPr>
              <w:spacing w:after="120" w:line="240" w:lineRule="auto"/>
              <w:jc w:val="both"/>
            </w:pPr>
            <w:r w:rsidRPr="004820D4">
              <w:rPr>
                <w:rFonts w:cs="Arial"/>
              </w:rPr>
              <w:t>are ineligible for subsequent stem cell transplant</w:t>
            </w:r>
          </w:p>
        </w:tc>
      </w:tr>
      <w:tr w:rsidR="0031720C" w:rsidRPr="00DD456A" w14:paraId="5365F108" w14:textId="77777777" w:rsidTr="00971674">
        <w:tc>
          <w:tcPr>
            <w:tcW w:w="781" w:type="pct"/>
            <w:tcBorders>
              <w:right w:val="single" w:sz="4" w:space="0" w:color="auto"/>
            </w:tcBorders>
          </w:tcPr>
          <w:p w14:paraId="29F11CFC" w14:textId="77777777" w:rsidR="0031720C" w:rsidRPr="00084393" w:rsidRDefault="0031720C" w:rsidP="00971674">
            <w:pPr>
              <w:spacing w:before="20" w:after="0" w:line="240" w:lineRule="auto"/>
              <w:rPr>
                <w:rFonts w:cs="Arial"/>
              </w:rPr>
            </w:pPr>
            <w:r w:rsidRPr="00084393">
              <w:rPr>
                <w:rFonts w:cs="Arial"/>
              </w:rPr>
              <w:t>Intervention</w:t>
            </w:r>
          </w:p>
        </w:tc>
        <w:tc>
          <w:tcPr>
            <w:tcW w:w="4219" w:type="pct"/>
            <w:tcBorders>
              <w:top w:val="single" w:sz="4" w:space="0" w:color="auto"/>
              <w:left w:val="single" w:sz="4" w:space="0" w:color="auto"/>
              <w:bottom w:val="single" w:sz="4" w:space="0" w:color="auto"/>
              <w:right w:val="single" w:sz="4" w:space="0" w:color="auto"/>
            </w:tcBorders>
          </w:tcPr>
          <w:p w14:paraId="21F1C6D7" w14:textId="77777777" w:rsidR="0031720C" w:rsidRPr="00DD456A" w:rsidRDefault="0031720C" w:rsidP="00971674">
            <w:pPr>
              <w:spacing w:after="0"/>
              <w:rPr>
                <w:color w:val="FF0000"/>
                <w:u w:val="dotted"/>
              </w:rPr>
            </w:pPr>
            <w:r>
              <w:t xml:space="preserve">Tisagenlecleucel (also known as CTL019, and brand name </w:t>
            </w:r>
            <w:proofErr w:type="spellStart"/>
            <w:r>
              <w:t>Kymriah</w:t>
            </w:r>
            <w:proofErr w:type="spellEnd"/>
            <w:r>
              <w:t>™)</w:t>
            </w:r>
          </w:p>
        </w:tc>
      </w:tr>
      <w:tr w:rsidR="0031720C" w:rsidRPr="00DD456A" w14:paraId="6343F2F9" w14:textId="77777777" w:rsidTr="00971674">
        <w:tc>
          <w:tcPr>
            <w:tcW w:w="781" w:type="pct"/>
            <w:tcBorders>
              <w:right w:val="single" w:sz="4" w:space="0" w:color="auto"/>
            </w:tcBorders>
          </w:tcPr>
          <w:p w14:paraId="08DCB253" w14:textId="77777777" w:rsidR="0031720C" w:rsidRPr="00084393" w:rsidRDefault="0031720C" w:rsidP="00971674">
            <w:pPr>
              <w:spacing w:before="20" w:after="0" w:line="240" w:lineRule="auto"/>
              <w:rPr>
                <w:rFonts w:cs="Arial"/>
              </w:rPr>
            </w:pPr>
            <w:r w:rsidRPr="00084393">
              <w:rPr>
                <w:rFonts w:cs="Arial"/>
              </w:rPr>
              <w:t>Comparator</w:t>
            </w:r>
          </w:p>
        </w:tc>
        <w:tc>
          <w:tcPr>
            <w:tcW w:w="4219" w:type="pct"/>
            <w:tcBorders>
              <w:top w:val="single" w:sz="4" w:space="0" w:color="auto"/>
              <w:left w:val="single" w:sz="4" w:space="0" w:color="auto"/>
              <w:bottom w:val="single" w:sz="4" w:space="0" w:color="auto"/>
              <w:right w:val="single" w:sz="4" w:space="0" w:color="auto"/>
            </w:tcBorders>
          </w:tcPr>
          <w:p w14:paraId="15B1DBA5" w14:textId="77777777" w:rsidR="0031720C" w:rsidRPr="00DD456A" w:rsidRDefault="0031720C" w:rsidP="00971674">
            <w:pPr>
              <w:spacing w:after="0"/>
            </w:pPr>
            <w:r>
              <w:t xml:space="preserve">Salvage chemotherapy (and in some cases a clinical trial) </w:t>
            </w:r>
          </w:p>
        </w:tc>
      </w:tr>
      <w:tr w:rsidR="0031720C" w:rsidRPr="002D07BA" w14:paraId="5F7D685D" w14:textId="77777777" w:rsidTr="00971674">
        <w:tc>
          <w:tcPr>
            <w:tcW w:w="781" w:type="pct"/>
            <w:tcBorders>
              <w:right w:val="single" w:sz="4" w:space="0" w:color="auto"/>
            </w:tcBorders>
          </w:tcPr>
          <w:p w14:paraId="40CD36D7" w14:textId="77777777" w:rsidR="0031720C" w:rsidRPr="00084393" w:rsidRDefault="0031720C" w:rsidP="00971674">
            <w:pPr>
              <w:spacing w:before="20" w:after="20" w:line="240" w:lineRule="auto"/>
              <w:rPr>
                <w:rFonts w:cs="Arial"/>
              </w:rPr>
            </w:pPr>
            <w:r w:rsidRPr="00084393">
              <w:rPr>
                <w:rFonts w:cs="Arial"/>
              </w:rPr>
              <w:t>Outcomes</w:t>
            </w:r>
          </w:p>
        </w:tc>
        <w:tc>
          <w:tcPr>
            <w:tcW w:w="4219" w:type="pct"/>
            <w:tcBorders>
              <w:top w:val="single" w:sz="4" w:space="0" w:color="auto"/>
              <w:left w:val="single" w:sz="4" w:space="0" w:color="auto"/>
              <w:bottom w:val="single" w:sz="4" w:space="0" w:color="auto"/>
              <w:right w:val="single" w:sz="4" w:space="0" w:color="auto"/>
            </w:tcBorders>
          </w:tcPr>
          <w:p w14:paraId="1BBD9DAA" w14:textId="77777777" w:rsidR="0031720C" w:rsidRPr="00A30657" w:rsidRDefault="0031720C" w:rsidP="00971674">
            <w:pPr>
              <w:spacing w:after="0"/>
              <w:rPr>
                <w:u w:val="single"/>
              </w:rPr>
            </w:pPr>
            <w:r w:rsidRPr="00A30657">
              <w:rPr>
                <w:u w:val="single"/>
              </w:rPr>
              <w:t>Clinical effectiveness:</w:t>
            </w:r>
          </w:p>
          <w:p w14:paraId="54564824" w14:textId="117A7AB4" w:rsidR="0031720C" w:rsidRDefault="005B295B" w:rsidP="0031720C">
            <w:pPr>
              <w:pStyle w:val="ListParagraph"/>
              <w:numPr>
                <w:ilvl w:val="0"/>
                <w:numId w:val="13"/>
              </w:numPr>
            </w:pPr>
            <w:r>
              <w:t>O</w:t>
            </w:r>
            <w:r w:rsidR="0031720C" w:rsidRPr="00B2026F">
              <w:t>veral</w:t>
            </w:r>
            <w:r w:rsidR="0031720C">
              <w:t xml:space="preserve">l response rate (ORR) and/or complete response rate </w:t>
            </w:r>
          </w:p>
          <w:p w14:paraId="0D1A6E90" w14:textId="07F97536" w:rsidR="0031720C" w:rsidRDefault="005B295B" w:rsidP="0031720C">
            <w:pPr>
              <w:pStyle w:val="ListParagraph"/>
              <w:numPr>
                <w:ilvl w:val="0"/>
                <w:numId w:val="13"/>
              </w:numPr>
            </w:pPr>
            <w:r>
              <w:t>R</w:t>
            </w:r>
            <w:r w:rsidR="0031720C">
              <w:t>elapse-free survival and/or event-free survival</w:t>
            </w:r>
          </w:p>
          <w:p w14:paraId="4A1049DA" w14:textId="4173E117" w:rsidR="0031720C" w:rsidRDefault="005B295B" w:rsidP="0031720C">
            <w:pPr>
              <w:pStyle w:val="ListParagraph"/>
              <w:numPr>
                <w:ilvl w:val="0"/>
                <w:numId w:val="13"/>
              </w:numPr>
              <w:spacing w:after="0"/>
            </w:pPr>
            <w:r>
              <w:t>O</w:t>
            </w:r>
            <w:r w:rsidR="0031720C">
              <w:t>verall survival (OS)</w:t>
            </w:r>
          </w:p>
          <w:p w14:paraId="6DEE0B3B" w14:textId="28FC5062" w:rsidR="0031720C" w:rsidRDefault="005B295B" w:rsidP="0031720C">
            <w:pPr>
              <w:pStyle w:val="ListParagraph"/>
              <w:numPr>
                <w:ilvl w:val="0"/>
                <w:numId w:val="13"/>
              </w:numPr>
              <w:spacing w:after="0"/>
            </w:pPr>
            <w:r>
              <w:t>Q</w:t>
            </w:r>
            <w:r w:rsidR="0031720C">
              <w:t>uality of life (</w:t>
            </w:r>
            <w:proofErr w:type="spellStart"/>
            <w:r w:rsidR="0031720C">
              <w:t>QoL</w:t>
            </w:r>
            <w:proofErr w:type="spellEnd"/>
            <w:r w:rsidR="0031720C">
              <w:t>)</w:t>
            </w:r>
          </w:p>
          <w:p w14:paraId="6031CADF" w14:textId="2E79614D" w:rsidR="0031720C" w:rsidRDefault="005B295B" w:rsidP="0031720C">
            <w:pPr>
              <w:pStyle w:val="ListParagraph"/>
              <w:numPr>
                <w:ilvl w:val="0"/>
                <w:numId w:val="13"/>
              </w:numPr>
              <w:spacing w:after="0"/>
            </w:pPr>
            <w:r>
              <w:t>Health-</w:t>
            </w:r>
            <w:r w:rsidR="0031720C">
              <w:t>related quality of life (</w:t>
            </w:r>
            <w:proofErr w:type="spellStart"/>
            <w:r w:rsidR="0031720C">
              <w:t>HRQoL</w:t>
            </w:r>
            <w:proofErr w:type="spellEnd"/>
            <w:r w:rsidR="0031720C">
              <w:t>)</w:t>
            </w:r>
          </w:p>
          <w:p w14:paraId="7140B157" w14:textId="0B171811" w:rsidR="0031720C" w:rsidRDefault="005B295B" w:rsidP="0031720C">
            <w:pPr>
              <w:pStyle w:val="ListParagraph"/>
              <w:numPr>
                <w:ilvl w:val="0"/>
                <w:numId w:val="13"/>
              </w:numPr>
              <w:spacing w:after="0"/>
            </w:pPr>
            <w:r>
              <w:t>R</w:t>
            </w:r>
            <w:r w:rsidR="0031720C">
              <w:t>ate of complete/partial remission</w:t>
            </w:r>
          </w:p>
          <w:p w14:paraId="59E038C3" w14:textId="5B1D7346" w:rsidR="0031720C" w:rsidRDefault="005B295B" w:rsidP="0031720C">
            <w:pPr>
              <w:pStyle w:val="ListParagraph"/>
              <w:numPr>
                <w:ilvl w:val="0"/>
                <w:numId w:val="13"/>
              </w:numPr>
              <w:spacing w:after="0"/>
            </w:pPr>
            <w:r>
              <w:t>D</w:t>
            </w:r>
            <w:r w:rsidR="0031720C">
              <w:t>uration of response</w:t>
            </w:r>
          </w:p>
          <w:p w14:paraId="09EE68E2" w14:textId="007A8815" w:rsidR="0031720C" w:rsidRDefault="005B295B" w:rsidP="0031720C">
            <w:pPr>
              <w:pStyle w:val="ListParagraph"/>
              <w:numPr>
                <w:ilvl w:val="0"/>
                <w:numId w:val="13"/>
              </w:numPr>
              <w:spacing w:after="0"/>
            </w:pPr>
            <w:r>
              <w:t>T</w:t>
            </w:r>
            <w:r w:rsidR="0031720C">
              <w:t>ime to return to daily activities</w:t>
            </w:r>
          </w:p>
          <w:p w14:paraId="1A3A69FD" w14:textId="77777777" w:rsidR="0031720C" w:rsidRPr="00A30657" w:rsidRDefault="0031720C" w:rsidP="00971674">
            <w:pPr>
              <w:spacing w:after="0"/>
              <w:rPr>
                <w:u w:val="single"/>
              </w:rPr>
            </w:pPr>
            <w:r w:rsidRPr="00A30657">
              <w:rPr>
                <w:u w:val="single"/>
              </w:rPr>
              <w:t>Clinical efficacy:</w:t>
            </w:r>
          </w:p>
          <w:p w14:paraId="4E00D81D" w14:textId="19F2EB7C" w:rsidR="0031720C" w:rsidRDefault="005B295B" w:rsidP="0031720C">
            <w:pPr>
              <w:pStyle w:val="ListParagraph"/>
              <w:numPr>
                <w:ilvl w:val="0"/>
                <w:numId w:val="14"/>
              </w:numPr>
              <w:spacing w:after="0"/>
            </w:pPr>
            <w:r>
              <w:t>T</w:t>
            </w:r>
            <w:r w:rsidR="00581164">
              <w:t>isa</w:t>
            </w:r>
            <w:r w:rsidR="004F7A99">
              <w:t>genlecleucel</w:t>
            </w:r>
            <w:r w:rsidR="0031720C">
              <w:t xml:space="preserve"> failure rate</w:t>
            </w:r>
          </w:p>
          <w:p w14:paraId="116FBC23" w14:textId="77777777" w:rsidR="0031720C" w:rsidRDefault="0031720C" w:rsidP="0031720C">
            <w:pPr>
              <w:pStyle w:val="ListParagraph"/>
              <w:numPr>
                <w:ilvl w:val="0"/>
                <w:numId w:val="14"/>
              </w:numPr>
              <w:spacing w:after="0"/>
            </w:pPr>
            <w:r>
              <w:t>Percentage of patients successfully receiving tisagenlecleucel after starting the process</w:t>
            </w:r>
          </w:p>
          <w:p w14:paraId="069137E7" w14:textId="77777777" w:rsidR="0031720C" w:rsidRDefault="0031720C" w:rsidP="0031720C">
            <w:pPr>
              <w:pStyle w:val="ListParagraph"/>
              <w:numPr>
                <w:ilvl w:val="0"/>
                <w:numId w:val="14"/>
              </w:numPr>
              <w:spacing w:after="0"/>
            </w:pPr>
            <w:r>
              <w:t xml:space="preserve">Time from </w:t>
            </w:r>
            <w:proofErr w:type="spellStart"/>
            <w:r>
              <w:t>leukapheresis</w:t>
            </w:r>
            <w:proofErr w:type="spellEnd"/>
            <w:r>
              <w:t xml:space="preserve"> to receiving </w:t>
            </w:r>
            <w:proofErr w:type="spellStart"/>
            <w:r>
              <w:t>tisagenlecleucel</w:t>
            </w:r>
            <w:proofErr w:type="spellEnd"/>
          </w:p>
          <w:p w14:paraId="0C1A3A57" w14:textId="77777777" w:rsidR="0031720C" w:rsidRPr="00A30657" w:rsidRDefault="0031720C" w:rsidP="00971674">
            <w:pPr>
              <w:spacing w:after="0"/>
              <w:rPr>
                <w:u w:val="single"/>
              </w:rPr>
            </w:pPr>
            <w:r w:rsidRPr="00A30657">
              <w:rPr>
                <w:u w:val="single"/>
              </w:rPr>
              <w:t>Safety:</w:t>
            </w:r>
          </w:p>
          <w:p w14:paraId="653CCF87" w14:textId="77777777" w:rsidR="0031720C" w:rsidRDefault="0031720C" w:rsidP="0031720C">
            <w:pPr>
              <w:pStyle w:val="ListParagraph"/>
              <w:numPr>
                <w:ilvl w:val="0"/>
                <w:numId w:val="13"/>
              </w:numPr>
              <w:spacing w:after="0"/>
            </w:pPr>
            <w:r>
              <w:t>Rate of adverse events (AEs) and serious adverse events (SAEs)</w:t>
            </w:r>
          </w:p>
          <w:p w14:paraId="68F26986" w14:textId="256A9CBC" w:rsidR="0031720C" w:rsidRDefault="005B295B" w:rsidP="0031720C">
            <w:pPr>
              <w:pStyle w:val="ListParagraph"/>
              <w:numPr>
                <w:ilvl w:val="0"/>
                <w:numId w:val="13"/>
              </w:numPr>
              <w:spacing w:after="0"/>
            </w:pPr>
            <w:r>
              <w:t>E</w:t>
            </w:r>
            <w:r w:rsidR="0031720C">
              <w:t>vents of special interest (e.g. cytokine release syndrome, tumour lysis syndrome, febrile neutropenia)</w:t>
            </w:r>
          </w:p>
          <w:p w14:paraId="36C720B5" w14:textId="77777777" w:rsidR="0031720C" w:rsidRDefault="0031720C" w:rsidP="0031720C">
            <w:pPr>
              <w:pStyle w:val="ListParagraph"/>
              <w:numPr>
                <w:ilvl w:val="0"/>
                <w:numId w:val="13"/>
              </w:numPr>
              <w:spacing w:after="0"/>
            </w:pPr>
            <w:r>
              <w:t>AEs due to medications, neurotoxicity, infections, secondary cancers</w:t>
            </w:r>
          </w:p>
          <w:p w14:paraId="103E903B" w14:textId="77777777" w:rsidR="0031720C" w:rsidRPr="00A30657" w:rsidRDefault="0031720C" w:rsidP="00971674">
            <w:pPr>
              <w:spacing w:after="0"/>
              <w:rPr>
                <w:u w:val="single"/>
              </w:rPr>
            </w:pPr>
            <w:r w:rsidRPr="00A30657">
              <w:rPr>
                <w:u w:val="single"/>
              </w:rPr>
              <w:lastRenderedPageBreak/>
              <w:t>Cost-effectiveness:</w:t>
            </w:r>
          </w:p>
          <w:p w14:paraId="4B2FDE0E" w14:textId="04FB1698" w:rsidR="0031720C" w:rsidRDefault="004F7A99" w:rsidP="0031720C">
            <w:pPr>
              <w:pStyle w:val="ListParagraph"/>
              <w:numPr>
                <w:ilvl w:val="0"/>
                <w:numId w:val="15"/>
              </w:numPr>
              <w:spacing w:after="0"/>
            </w:pPr>
            <w:r>
              <w:t>C</w:t>
            </w:r>
            <w:r w:rsidR="0031720C">
              <w:t>ost</w:t>
            </w:r>
            <w:r>
              <w:t xml:space="preserve"> (including cost of additional pre-infusion and post-infusion interventions)</w:t>
            </w:r>
          </w:p>
          <w:p w14:paraId="0666A8E3" w14:textId="06879F61" w:rsidR="0031720C" w:rsidRDefault="005B295B" w:rsidP="0031720C">
            <w:pPr>
              <w:pStyle w:val="ListParagraph"/>
              <w:numPr>
                <w:ilvl w:val="0"/>
                <w:numId w:val="15"/>
              </w:numPr>
              <w:spacing w:after="0"/>
            </w:pPr>
            <w:r>
              <w:t>C</w:t>
            </w:r>
            <w:r w:rsidR="0031720C">
              <w:t>ost per life year gained (LYG)</w:t>
            </w:r>
          </w:p>
          <w:p w14:paraId="2B69D23A" w14:textId="5F2A744A" w:rsidR="0031720C" w:rsidRDefault="005B295B" w:rsidP="0031720C">
            <w:pPr>
              <w:pStyle w:val="ListParagraph"/>
              <w:numPr>
                <w:ilvl w:val="0"/>
                <w:numId w:val="15"/>
              </w:numPr>
              <w:spacing w:after="0"/>
            </w:pPr>
            <w:r>
              <w:t>C</w:t>
            </w:r>
            <w:r w:rsidR="0031720C">
              <w:t>ost per quality adjusted life year (QALY) or disability adjusted life year (DALY)</w:t>
            </w:r>
          </w:p>
          <w:p w14:paraId="15B2B2AC" w14:textId="218CD42B" w:rsidR="0031720C" w:rsidRDefault="005B295B" w:rsidP="0031720C">
            <w:pPr>
              <w:pStyle w:val="ListParagraph"/>
              <w:numPr>
                <w:ilvl w:val="0"/>
                <w:numId w:val="15"/>
              </w:numPr>
              <w:spacing w:after="0"/>
            </w:pPr>
            <w:r>
              <w:t>I</w:t>
            </w:r>
            <w:r w:rsidR="0031720C">
              <w:t>ncremental cost-effectiveness ratio</w:t>
            </w:r>
          </w:p>
          <w:p w14:paraId="037D1B6C" w14:textId="77777777" w:rsidR="0031720C" w:rsidRPr="00A30657" w:rsidRDefault="0031720C" w:rsidP="00971674">
            <w:pPr>
              <w:spacing w:after="0"/>
              <w:rPr>
                <w:u w:val="single"/>
              </w:rPr>
            </w:pPr>
            <w:r w:rsidRPr="00A30657">
              <w:rPr>
                <w:u w:val="single"/>
              </w:rPr>
              <w:t>Financial implications:</w:t>
            </w:r>
          </w:p>
          <w:p w14:paraId="7191B4C8" w14:textId="77777777" w:rsidR="0031720C" w:rsidRDefault="0031720C" w:rsidP="0031720C">
            <w:pPr>
              <w:pStyle w:val="ListParagraph"/>
              <w:numPr>
                <w:ilvl w:val="0"/>
                <w:numId w:val="16"/>
              </w:numPr>
              <w:spacing w:after="0"/>
            </w:pPr>
            <w:r>
              <w:t>Number of patients suitable for treatment</w:t>
            </w:r>
          </w:p>
          <w:p w14:paraId="7DD13F7C" w14:textId="45DB6745" w:rsidR="0031720C" w:rsidRPr="002D07BA" w:rsidRDefault="005B295B" w:rsidP="0031720C">
            <w:pPr>
              <w:pStyle w:val="ListParagraph"/>
              <w:numPr>
                <w:ilvl w:val="0"/>
                <w:numId w:val="16"/>
              </w:numPr>
              <w:spacing w:after="0"/>
            </w:pPr>
            <w:r>
              <w:t>N</w:t>
            </w:r>
            <w:r w:rsidR="0031720C">
              <w:t xml:space="preserve">umber of patients who receive treatment </w:t>
            </w:r>
          </w:p>
        </w:tc>
      </w:tr>
    </w:tbl>
    <w:p w14:paraId="28EAE213" w14:textId="0E5B867D" w:rsidR="007F4E20" w:rsidRPr="00F2083C" w:rsidRDefault="00F2083C" w:rsidP="009B6DC7">
      <w:pPr>
        <w:pStyle w:val="Heading2"/>
        <w:spacing w:before="240"/>
        <w:rPr>
          <w:color w:val="548DD4"/>
          <w:u w:val="none"/>
        </w:rPr>
      </w:pPr>
      <w:r>
        <w:rPr>
          <w:color w:val="548DD4"/>
          <w:u w:val="none"/>
        </w:rPr>
        <w:lastRenderedPageBreak/>
        <w:t xml:space="preserve">2. </w:t>
      </w:r>
      <w:r w:rsidR="00E364F7" w:rsidRPr="00F2083C">
        <w:rPr>
          <w:color w:val="548DD4"/>
          <w:u w:val="none"/>
        </w:rPr>
        <w:t>PICO</w:t>
      </w:r>
      <w:r w:rsidR="00953ED7" w:rsidRPr="00F2083C">
        <w:rPr>
          <w:color w:val="548DD4"/>
          <w:u w:val="none"/>
        </w:rPr>
        <w:t xml:space="preserve"> or PPICO</w:t>
      </w:r>
      <w:r w:rsidR="00E364F7" w:rsidRPr="00F2083C">
        <w:rPr>
          <w:color w:val="548DD4"/>
          <w:u w:val="none"/>
        </w:rPr>
        <w:t xml:space="preserve"> rationale</w:t>
      </w:r>
      <w:r w:rsidR="006D1643" w:rsidRPr="00F2083C">
        <w:rPr>
          <w:color w:val="548DD4"/>
          <w:u w:val="none"/>
        </w:rPr>
        <w:t xml:space="preserve"> for therapeutic </w:t>
      </w:r>
      <w:r w:rsidR="00B45971" w:rsidRPr="00F2083C">
        <w:rPr>
          <w:color w:val="548DD4"/>
          <w:u w:val="none"/>
        </w:rPr>
        <w:t xml:space="preserve">and investigative </w:t>
      </w:r>
      <w:r w:rsidR="00BA63AA" w:rsidRPr="00F2083C">
        <w:rPr>
          <w:color w:val="548DD4"/>
          <w:u w:val="none"/>
        </w:rPr>
        <w:t>medical services only</w:t>
      </w:r>
    </w:p>
    <w:p w14:paraId="0225609A" w14:textId="2E79E4ED" w:rsidR="00721104" w:rsidRDefault="00721104" w:rsidP="00EE435A">
      <w:pPr>
        <w:pStyle w:val="Heading3"/>
      </w:pPr>
      <w:r>
        <w:t xml:space="preserve">2.1 </w:t>
      </w:r>
      <w:r w:rsidRPr="00EE435A">
        <w:t>Research</w:t>
      </w:r>
      <w:r>
        <w:t xml:space="preserve"> questions</w:t>
      </w:r>
    </w:p>
    <w:p w14:paraId="1CE66AF3" w14:textId="051852CE" w:rsidR="007B519D" w:rsidRPr="004446A4" w:rsidRDefault="007B519D" w:rsidP="007B519D">
      <w:pPr>
        <w:rPr>
          <w:u w:val="single"/>
        </w:rPr>
      </w:pPr>
      <w:r w:rsidRPr="004446A4">
        <w:rPr>
          <w:u w:val="single"/>
        </w:rPr>
        <w:t>Acute lymphoblastic leukaemia (ALL):</w:t>
      </w:r>
    </w:p>
    <w:p w14:paraId="63DE84CB" w14:textId="78BA1FC8" w:rsidR="00841746" w:rsidRPr="00841746" w:rsidRDefault="00012DB6" w:rsidP="00841746">
      <w:pPr>
        <w:pStyle w:val="ListParagraph"/>
        <w:numPr>
          <w:ilvl w:val="0"/>
          <w:numId w:val="27"/>
        </w:numPr>
        <w:spacing w:after="240"/>
        <w:ind w:left="714" w:hanging="357"/>
        <w:jc w:val="both"/>
        <w:rPr>
          <w:b/>
        </w:rPr>
      </w:pPr>
      <w:r>
        <w:t xml:space="preserve">What is the safety, effectiveness and cost-effectiveness of tisagenlecleucel in children and young adult patients (3-25 years old) with confirmed relapsed or refractory B-cell acute lymphoblastic leukaemia (ALL) and a second or greater bone marrow relapse, compared with </w:t>
      </w:r>
      <w:r w:rsidRPr="00012DB6">
        <w:rPr>
          <w:rFonts w:cs="Arial"/>
        </w:rPr>
        <w:t>best supportive care (or a clinical trial</w:t>
      </w:r>
      <w:r w:rsidR="00D10738">
        <w:rPr>
          <w:rStyle w:val="FootnoteReference"/>
          <w:rFonts w:cs="Arial"/>
        </w:rPr>
        <w:footnoteReference w:id="1"/>
      </w:r>
      <w:r w:rsidRPr="00012DB6">
        <w:rPr>
          <w:rFonts w:cs="Arial"/>
        </w:rPr>
        <w:t>)?</w:t>
      </w:r>
    </w:p>
    <w:p w14:paraId="17622ED3" w14:textId="77777777" w:rsidR="00841746" w:rsidRPr="00841746" w:rsidRDefault="00841746" w:rsidP="00841746">
      <w:pPr>
        <w:pStyle w:val="ListParagraph"/>
        <w:spacing w:after="240"/>
        <w:ind w:left="714"/>
        <w:jc w:val="both"/>
        <w:rPr>
          <w:b/>
        </w:rPr>
      </w:pPr>
    </w:p>
    <w:p w14:paraId="7ED7868A" w14:textId="25A72E1D" w:rsidR="00C354DA" w:rsidRDefault="002D150F" w:rsidP="00841746">
      <w:pPr>
        <w:pStyle w:val="ListParagraph"/>
        <w:numPr>
          <w:ilvl w:val="0"/>
          <w:numId w:val="27"/>
        </w:numPr>
        <w:spacing w:before="240" w:after="0"/>
      </w:pPr>
      <w:r>
        <w:t>What is the safety, effectiveness and cost-effectiveness of tisagenlecleucel in children and young adult patients (3-25 years old) with confirmed relapsed or refractory B-cell ALL and a bone marrow relapse following allogenic stem cell transplant (SCT)</w:t>
      </w:r>
      <w:r w:rsidR="00C354DA">
        <w:t>, compared with:</w:t>
      </w:r>
      <w:r>
        <w:t xml:space="preserve"> </w:t>
      </w:r>
    </w:p>
    <w:p w14:paraId="3A595BAE" w14:textId="5E442C4C" w:rsidR="00C354DA" w:rsidRDefault="002D150F" w:rsidP="00012DB6">
      <w:pPr>
        <w:pStyle w:val="ListParagraph"/>
        <w:numPr>
          <w:ilvl w:val="1"/>
          <w:numId w:val="27"/>
        </w:numPr>
        <w:spacing w:after="0"/>
      </w:pPr>
      <w:r>
        <w:t xml:space="preserve">salvage chemotherapy with the intention to proceed to allogenic SCT, </w:t>
      </w:r>
      <w:r w:rsidR="00C354DA">
        <w:t>or</w:t>
      </w:r>
    </w:p>
    <w:p w14:paraId="6B84BE3B" w14:textId="2EDC8E19" w:rsidR="00C354DA" w:rsidRDefault="002D150F" w:rsidP="00012DB6">
      <w:pPr>
        <w:pStyle w:val="ListParagraph"/>
        <w:numPr>
          <w:ilvl w:val="1"/>
          <w:numId w:val="27"/>
        </w:numPr>
        <w:spacing w:after="0"/>
      </w:pPr>
      <w:proofErr w:type="spellStart"/>
      <w:r>
        <w:t>clofarabine</w:t>
      </w:r>
      <w:proofErr w:type="spellEnd"/>
      <w:r>
        <w:t xml:space="preserve"> with intention to proceed to allogenic SCT, </w:t>
      </w:r>
      <w:r w:rsidR="00C354DA">
        <w:t>or</w:t>
      </w:r>
    </w:p>
    <w:p w14:paraId="6CBA0039" w14:textId="77777777" w:rsidR="00C354DA" w:rsidRDefault="002D150F" w:rsidP="00012DB6">
      <w:pPr>
        <w:pStyle w:val="ListParagraph"/>
        <w:numPr>
          <w:ilvl w:val="1"/>
          <w:numId w:val="27"/>
        </w:numPr>
        <w:spacing w:after="0"/>
      </w:pPr>
      <w:r>
        <w:t>best supportive care</w:t>
      </w:r>
      <w:r w:rsidR="00C354DA">
        <w:t xml:space="preserve"> (in some cases),</w:t>
      </w:r>
      <w:r>
        <w:t xml:space="preserve"> </w:t>
      </w:r>
      <w:r w:rsidR="00C354DA">
        <w:t>or</w:t>
      </w:r>
    </w:p>
    <w:p w14:paraId="6204D658" w14:textId="67C64038" w:rsidR="002D150F" w:rsidRPr="00AD5536" w:rsidRDefault="002D150F" w:rsidP="00012DB6">
      <w:pPr>
        <w:pStyle w:val="ListParagraph"/>
        <w:numPr>
          <w:ilvl w:val="1"/>
          <w:numId w:val="27"/>
        </w:numPr>
        <w:spacing w:after="0"/>
      </w:pPr>
      <w:proofErr w:type="gramStart"/>
      <w:r w:rsidRPr="00AD5536">
        <w:t>a</w:t>
      </w:r>
      <w:proofErr w:type="gramEnd"/>
      <w:r w:rsidRPr="00AD5536">
        <w:t xml:space="preserve"> clinical trial (when refractory after TKI+ chemotherapy and allogenic SCT)</w:t>
      </w:r>
      <w:r w:rsidR="00D10738" w:rsidRPr="00AD5536">
        <w:rPr>
          <w:vertAlign w:val="superscript"/>
        </w:rPr>
        <w:t>1</w:t>
      </w:r>
      <w:r w:rsidRPr="00AD5536">
        <w:t>?</w:t>
      </w:r>
    </w:p>
    <w:p w14:paraId="2A5227EF" w14:textId="77777777" w:rsidR="00012DB6" w:rsidRDefault="00012DB6" w:rsidP="00012DB6">
      <w:pPr>
        <w:pStyle w:val="ListParagraph"/>
        <w:spacing w:after="0"/>
        <w:ind w:left="1440"/>
      </w:pPr>
    </w:p>
    <w:p w14:paraId="6EAB5A0C" w14:textId="77777777" w:rsidR="00C354DA" w:rsidRDefault="002D150F" w:rsidP="0033191F">
      <w:pPr>
        <w:pStyle w:val="ListParagraph"/>
        <w:numPr>
          <w:ilvl w:val="0"/>
          <w:numId w:val="27"/>
        </w:numPr>
        <w:spacing w:after="0"/>
        <w:jc w:val="both"/>
      </w:pPr>
      <w:r>
        <w:t xml:space="preserve">What is the safety, effectiveness and cost-effectiveness of tisagenlecleucel in children and young adult patients (3-25 years old) with confirmed B-cell ALL who </w:t>
      </w:r>
      <w:r>
        <w:rPr>
          <w:rFonts w:cs="Arial"/>
        </w:rPr>
        <w:t>a</w:t>
      </w:r>
      <w:r w:rsidRPr="007930CA">
        <w:rPr>
          <w:rFonts w:cs="Arial"/>
        </w:rPr>
        <w:t>re primary refractory, as defined by not achie</w:t>
      </w:r>
      <w:r>
        <w:rPr>
          <w:rFonts w:cs="Arial"/>
        </w:rPr>
        <w:t>ving a complete response after two</w:t>
      </w:r>
      <w:r w:rsidRPr="007930CA">
        <w:rPr>
          <w:rFonts w:cs="Arial"/>
        </w:rPr>
        <w:t xml:space="preserve"> cycles of a standard chemotherapy regimen</w:t>
      </w:r>
      <w:r>
        <w:rPr>
          <w:rFonts w:cs="Arial"/>
        </w:rPr>
        <w:t>,</w:t>
      </w:r>
      <w:r>
        <w:t xml:space="preserve"> compared with</w:t>
      </w:r>
      <w:r w:rsidR="00C354DA">
        <w:t>:</w:t>
      </w:r>
    </w:p>
    <w:p w14:paraId="6696B9C4" w14:textId="191EF303" w:rsidR="00C354DA" w:rsidRDefault="002D150F" w:rsidP="0033191F">
      <w:pPr>
        <w:pStyle w:val="ListParagraph"/>
        <w:numPr>
          <w:ilvl w:val="1"/>
          <w:numId w:val="27"/>
        </w:numPr>
        <w:spacing w:after="0"/>
        <w:jc w:val="both"/>
      </w:pPr>
      <w:r>
        <w:t>salvage chemotherapy with intent</w:t>
      </w:r>
      <w:r w:rsidR="00C354DA">
        <w:t>ion to proceed to allogenic SCT, or</w:t>
      </w:r>
      <w:r>
        <w:t xml:space="preserve"> </w:t>
      </w:r>
    </w:p>
    <w:p w14:paraId="432F9D63" w14:textId="77777777" w:rsidR="00012DB6" w:rsidRDefault="002D150F" w:rsidP="0033191F">
      <w:pPr>
        <w:pStyle w:val="ListParagraph"/>
        <w:numPr>
          <w:ilvl w:val="1"/>
          <w:numId w:val="27"/>
        </w:numPr>
        <w:spacing w:after="0"/>
        <w:jc w:val="both"/>
      </w:pPr>
      <w:proofErr w:type="spellStart"/>
      <w:proofErr w:type="gramStart"/>
      <w:r>
        <w:t>clofarabine</w:t>
      </w:r>
      <w:proofErr w:type="spellEnd"/>
      <w:proofErr w:type="gramEnd"/>
      <w:r>
        <w:t xml:space="preserve"> with intention to proceed to allogenic SCT?</w:t>
      </w:r>
    </w:p>
    <w:p w14:paraId="2CD2C4A8" w14:textId="77777777" w:rsidR="00012DB6" w:rsidRDefault="00012DB6" w:rsidP="0033191F">
      <w:pPr>
        <w:pStyle w:val="ListParagraph"/>
        <w:spacing w:after="0"/>
        <w:ind w:left="1440"/>
        <w:jc w:val="both"/>
      </w:pPr>
    </w:p>
    <w:p w14:paraId="166D7F5E" w14:textId="7B31CD88" w:rsidR="00012DB6" w:rsidRPr="009B6DC7" w:rsidRDefault="00012DB6" w:rsidP="0033191F">
      <w:pPr>
        <w:pStyle w:val="ListParagraph"/>
        <w:numPr>
          <w:ilvl w:val="0"/>
          <w:numId w:val="27"/>
        </w:numPr>
        <w:spacing w:after="0"/>
        <w:jc w:val="both"/>
      </w:pPr>
      <w:r>
        <w:t xml:space="preserve">What is the safety, effectiveness and cost-effectiveness of tisagenlecleucel in children and young adult patients (3-25 years old) with confirmed </w:t>
      </w:r>
      <w:r w:rsidR="004446A4">
        <w:t xml:space="preserve"> relapsed or refractory </w:t>
      </w:r>
      <w:r>
        <w:t>B-cell ALL who</w:t>
      </w:r>
      <w:r w:rsidR="00D4348F">
        <w:rPr>
          <w:rFonts w:cs="Arial"/>
        </w:rPr>
        <w:t xml:space="preserve"> are chemo </w:t>
      </w:r>
      <w:r w:rsidRPr="00012DB6">
        <w:rPr>
          <w:rFonts w:cs="Arial"/>
        </w:rPr>
        <w:t xml:space="preserve">refractory, as defined by not achieving a complete response after one cycle of </w:t>
      </w:r>
      <w:r w:rsidRPr="00012DB6">
        <w:rPr>
          <w:rFonts w:cs="Arial"/>
        </w:rPr>
        <w:lastRenderedPageBreak/>
        <w:t>standard chemotherapy for relapsed leukaemia, compared with best supportive care (or a clinical trial</w:t>
      </w:r>
      <w:r w:rsidR="00D10738">
        <w:rPr>
          <w:rStyle w:val="FootnoteReference"/>
          <w:rFonts w:cs="Arial"/>
        </w:rPr>
        <w:footnoteReference w:id="2"/>
      </w:r>
      <w:r w:rsidRPr="00012DB6">
        <w:rPr>
          <w:rFonts w:cs="Arial"/>
        </w:rPr>
        <w:t>)?</w:t>
      </w:r>
    </w:p>
    <w:p w14:paraId="7DE53F4C" w14:textId="77777777" w:rsidR="009B6DC7" w:rsidRPr="004446A4" w:rsidRDefault="009B6DC7" w:rsidP="009B6DC7">
      <w:pPr>
        <w:pStyle w:val="ListParagraph"/>
        <w:spacing w:after="0"/>
        <w:jc w:val="both"/>
      </w:pPr>
    </w:p>
    <w:p w14:paraId="11CB05E5" w14:textId="54402F95" w:rsidR="004446A4" w:rsidRPr="004446A4" w:rsidRDefault="004446A4" w:rsidP="0033191F">
      <w:pPr>
        <w:pStyle w:val="ListParagraph"/>
        <w:numPr>
          <w:ilvl w:val="0"/>
          <w:numId w:val="27"/>
        </w:numPr>
        <w:spacing w:after="0"/>
        <w:jc w:val="both"/>
      </w:pPr>
      <w:r>
        <w:t xml:space="preserve">What is the safety, effectiveness and cost-effectiveness of tisagenlecleucel in children and young adult patients (3-25 years old) with confirmed relapsed or refractory B-cell ALL and </w:t>
      </w:r>
      <w:r>
        <w:rPr>
          <w:rFonts w:cs="Arial"/>
        </w:rPr>
        <w:t>who are</w:t>
      </w:r>
      <w:r w:rsidRPr="007930CA">
        <w:rPr>
          <w:rFonts w:cs="Arial"/>
        </w:rPr>
        <w:t xml:space="preserve"> Phil</w:t>
      </w:r>
      <w:r>
        <w:rPr>
          <w:rFonts w:cs="Arial"/>
        </w:rPr>
        <w:t>adelphia chromosome positive and</w:t>
      </w:r>
      <w:r w:rsidRPr="007930CA">
        <w:rPr>
          <w:rFonts w:cs="Arial"/>
        </w:rPr>
        <w:t xml:space="preserve"> intolerant to or have failed two lines of tyros</w:t>
      </w:r>
      <w:r>
        <w:rPr>
          <w:rFonts w:cs="Arial"/>
        </w:rPr>
        <w:t>ine kinase inhibitor therapy (or</w:t>
      </w:r>
      <w:r w:rsidRPr="007930CA">
        <w:rPr>
          <w:rFonts w:cs="Arial"/>
        </w:rPr>
        <w:t xml:space="preserve"> for whom </w:t>
      </w:r>
      <w:r>
        <w:rPr>
          <w:rFonts w:cs="Arial"/>
        </w:rPr>
        <w:t>such therapy is contraindicated), compared with best</w:t>
      </w:r>
      <w:r w:rsidRPr="004446A4">
        <w:rPr>
          <w:rFonts w:cs="Arial"/>
        </w:rPr>
        <w:t xml:space="preserve"> </w:t>
      </w:r>
      <w:r w:rsidRPr="00012DB6">
        <w:rPr>
          <w:rFonts w:cs="Arial"/>
        </w:rPr>
        <w:t>supportive care (or a clinical trial</w:t>
      </w:r>
      <w:r w:rsidR="00D10738">
        <w:rPr>
          <w:rFonts w:cs="Arial"/>
          <w:vertAlign w:val="superscript"/>
        </w:rPr>
        <w:t>2</w:t>
      </w:r>
      <w:r w:rsidRPr="00012DB6">
        <w:rPr>
          <w:rFonts w:cs="Arial"/>
        </w:rPr>
        <w:t>)?</w:t>
      </w:r>
    </w:p>
    <w:p w14:paraId="3223112F" w14:textId="36EFF65E" w:rsidR="004446A4" w:rsidRDefault="004446A4" w:rsidP="0033191F">
      <w:pPr>
        <w:spacing w:after="0"/>
        <w:jc w:val="both"/>
      </w:pPr>
    </w:p>
    <w:p w14:paraId="3E3F1816" w14:textId="3D6E4E75" w:rsidR="004446A4" w:rsidRPr="004446A4" w:rsidRDefault="004446A4" w:rsidP="0033191F">
      <w:pPr>
        <w:pStyle w:val="ListParagraph"/>
        <w:numPr>
          <w:ilvl w:val="0"/>
          <w:numId w:val="27"/>
        </w:numPr>
        <w:spacing w:after="0"/>
        <w:jc w:val="both"/>
      </w:pPr>
      <w:r>
        <w:t>What is the safety, effectiveness and cost-effectiveness of tisagenlecleucel in children and young adult patients (3-25 years old) with confirmed relapsed or refractory B-cell ALL, who a</w:t>
      </w:r>
      <w:r w:rsidRPr="007930CA">
        <w:rPr>
          <w:rFonts w:cs="Arial"/>
        </w:rPr>
        <w:t xml:space="preserve">re ineligible for allogenic </w:t>
      </w:r>
      <w:r>
        <w:rPr>
          <w:rFonts w:cs="Arial"/>
        </w:rPr>
        <w:t>SCT</w:t>
      </w:r>
      <w:r w:rsidRPr="007930CA">
        <w:rPr>
          <w:rFonts w:cs="Arial"/>
        </w:rPr>
        <w:t xml:space="preserve"> because of comorbid disease, contraindications to the cond</w:t>
      </w:r>
      <w:r>
        <w:rPr>
          <w:rFonts w:cs="Arial"/>
        </w:rPr>
        <w:t xml:space="preserve">itioning regimen, prior SCT, or </w:t>
      </w:r>
      <w:r w:rsidRPr="007930CA">
        <w:rPr>
          <w:rFonts w:cs="Arial"/>
        </w:rPr>
        <w:t>lack of a suitable donor</w:t>
      </w:r>
      <w:r>
        <w:rPr>
          <w:rFonts w:cs="Arial"/>
        </w:rPr>
        <w:t>, compared with best</w:t>
      </w:r>
      <w:r w:rsidRPr="004446A4">
        <w:rPr>
          <w:rFonts w:cs="Arial"/>
        </w:rPr>
        <w:t xml:space="preserve"> </w:t>
      </w:r>
      <w:r w:rsidRPr="00012DB6">
        <w:rPr>
          <w:rFonts w:cs="Arial"/>
        </w:rPr>
        <w:t>supportive care (or a clinical trial</w:t>
      </w:r>
      <w:r w:rsidR="00D10738">
        <w:rPr>
          <w:rFonts w:cs="Arial"/>
          <w:vertAlign w:val="superscript"/>
        </w:rPr>
        <w:t>2</w:t>
      </w:r>
      <w:r w:rsidRPr="00012DB6">
        <w:rPr>
          <w:rFonts w:cs="Arial"/>
        </w:rPr>
        <w:t>)?</w:t>
      </w:r>
    </w:p>
    <w:p w14:paraId="05166711" w14:textId="77777777" w:rsidR="00486B46" w:rsidRPr="00486B46" w:rsidRDefault="004446A4" w:rsidP="00841746">
      <w:pPr>
        <w:spacing w:before="240"/>
        <w:jc w:val="both"/>
        <w:rPr>
          <w:u w:val="single"/>
        </w:rPr>
      </w:pPr>
      <w:r w:rsidRPr="00486B46">
        <w:rPr>
          <w:u w:val="single"/>
        </w:rPr>
        <w:t>Diffuse large B-cell lymphoma (DLBCL):</w:t>
      </w:r>
      <w:r w:rsidR="00486B46" w:rsidRPr="00486B46">
        <w:rPr>
          <w:u w:val="single"/>
        </w:rPr>
        <w:t xml:space="preserve"> </w:t>
      </w:r>
    </w:p>
    <w:p w14:paraId="766E6B53" w14:textId="4BC4A47D" w:rsidR="007B519D" w:rsidRDefault="00486B46" w:rsidP="0033191F">
      <w:pPr>
        <w:pStyle w:val="ListParagraph"/>
        <w:numPr>
          <w:ilvl w:val="0"/>
          <w:numId w:val="28"/>
        </w:numPr>
        <w:jc w:val="both"/>
      </w:pPr>
      <w:r>
        <w:t>What is the safety, effectiveness and cost-effectiveness of tisagenlecleucel in adult patients (≥ 18 years old) with confirmed diffuse large B-cell lymphoma (DLBCL), who have relapsed or refractory disease after at least two lines of chemotherapy, and have relapsed after autologous SCT, compared with salvage chemotherapy (or a clinical trial</w:t>
      </w:r>
      <w:r w:rsidR="00D10738">
        <w:rPr>
          <w:vertAlign w:val="superscript"/>
        </w:rPr>
        <w:t>2</w:t>
      </w:r>
      <w:r>
        <w:t>)?</w:t>
      </w:r>
    </w:p>
    <w:p w14:paraId="64252BEA" w14:textId="77777777" w:rsidR="00486B46" w:rsidRDefault="00486B46" w:rsidP="0033191F">
      <w:pPr>
        <w:pStyle w:val="ListParagraph"/>
        <w:jc w:val="both"/>
      </w:pPr>
    </w:p>
    <w:p w14:paraId="35F1B5F7" w14:textId="51E71BE9" w:rsidR="00486B46" w:rsidRDefault="00486B46" w:rsidP="00B467A5">
      <w:pPr>
        <w:pStyle w:val="ListParagraph"/>
        <w:numPr>
          <w:ilvl w:val="0"/>
          <w:numId w:val="28"/>
        </w:numPr>
        <w:spacing w:after="0"/>
        <w:jc w:val="both"/>
      </w:pPr>
      <w:r>
        <w:t xml:space="preserve">What is the safety, effectiveness and cost-effectiveness of tisagenlecleucel in adult patients (≥ 18 years old) with confirmed diffuse large B-cell lymphoma (DLBCL), who have relapsed or refractory disease after at least two lines of chemotherapy, and </w:t>
      </w:r>
      <w:r w:rsidRPr="004820D4">
        <w:rPr>
          <w:rFonts w:cs="Arial"/>
        </w:rPr>
        <w:t>are ineligible for subsequent stem cell transplant</w:t>
      </w:r>
      <w:r>
        <w:t>, compared with salvage chemotherapy (or a clinical trial</w:t>
      </w:r>
      <w:r w:rsidR="00D10738">
        <w:rPr>
          <w:vertAlign w:val="superscript"/>
        </w:rPr>
        <w:t>2</w:t>
      </w:r>
      <w:r>
        <w:t>)?</w:t>
      </w:r>
    </w:p>
    <w:p w14:paraId="55EFB6B6" w14:textId="7DD4AB1D" w:rsidR="00896845" w:rsidRDefault="00721104" w:rsidP="00841746">
      <w:pPr>
        <w:pStyle w:val="Heading3"/>
        <w:spacing w:before="240"/>
      </w:pPr>
      <w:r w:rsidRPr="002F616E">
        <w:t>2.2</w:t>
      </w:r>
      <w:r w:rsidR="001039DF" w:rsidRPr="002F616E">
        <w:t xml:space="preserve"> </w:t>
      </w:r>
      <w:r w:rsidR="00896845" w:rsidRPr="002F616E">
        <w:t>Population</w:t>
      </w:r>
    </w:p>
    <w:p w14:paraId="68414CB7" w14:textId="30EC0B3A" w:rsidR="002504E6" w:rsidRDefault="002504E6" w:rsidP="002504E6">
      <w:pPr>
        <w:rPr>
          <w:u w:val="single"/>
        </w:rPr>
      </w:pPr>
      <w:r w:rsidRPr="002504E6">
        <w:rPr>
          <w:u w:val="single"/>
        </w:rPr>
        <w:t xml:space="preserve">Population 1: Relapsed or refractory acute </w:t>
      </w:r>
      <w:r w:rsidR="003C4272">
        <w:rPr>
          <w:u w:val="single"/>
        </w:rPr>
        <w:t xml:space="preserve">B-cell </w:t>
      </w:r>
      <w:r w:rsidRPr="002504E6">
        <w:rPr>
          <w:u w:val="single"/>
        </w:rPr>
        <w:t>lymphoblastic leukaemia</w:t>
      </w:r>
      <w:r w:rsidR="00042D67">
        <w:rPr>
          <w:u w:val="single"/>
        </w:rPr>
        <w:t xml:space="preserve"> (ALL)</w:t>
      </w:r>
    </w:p>
    <w:p w14:paraId="2C28F833" w14:textId="12C3204C" w:rsidR="002504E6" w:rsidRDefault="00E1329F" w:rsidP="007534B0">
      <w:pPr>
        <w:jc w:val="both"/>
      </w:pPr>
      <w:r>
        <w:t xml:space="preserve">ALL occurs when lymphoid progenitor cells in the bone marrow proliferate uncontrollably. This leads to an excess of malignant </w:t>
      </w:r>
      <w:proofErr w:type="spellStart"/>
      <w:r>
        <w:t>lymphoblasts</w:t>
      </w:r>
      <w:proofErr w:type="spellEnd"/>
      <w:r>
        <w:t>, which can then be found in the peripheral blood in large numbers.</w:t>
      </w:r>
      <w:r w:rsidR="006F5FC2">
        <w:t xml:space="preserve"> </w:t>
      </w:r>
      <w:r w:rsidR="00042D67" w:rsidRPr="00781801">
        <w:rPr>
          <w:i/>
        </w:rPr>
        <w:t>In 2014, 371 people were diagnosed with ALL (156 females and 214 males). The risk of a diagnosis is 1 in 812 before age 75 and 1 in 756 before age 85</w:t>
      </w:r>
      <w:r w:rsidR="00042D67">
        <w:t xml:space="preserve">. </w:t>
      </w:r>
      <w:r w:rsidR="00981996">
        <w:fldChar w:fldCharType="begin"/>
      </w:r>
      <w:r w:rsidR="00981996">
        <w:instrText xml:space="preserve"> ADDIN EN.CITE &lt;EndNote&gt;&lt;Cite&gt;&lt;Author&gt;Australian Institute of Health and Welfare (AIHW)&lt;/Author&gt;&lt;Year&gt;2017&lt;/Year&gt;&lt;RecNum&gt;11&lt;/RecNum&gt;&lt;DisplayText&gt;(Australian Institute of Health and Welfare (AIHW) 2017)&lt;/DisplayText&gt;&lt;record&gt;&lt;rec-number&gt;11&lt;/rec-number&gt;&lt;foreign-keys&gt;&lt;key app="EN" db-id="ffeszew2p5f0f8e0df5pt5dwpf9f92s0vadw" timestamp="1517786021"&gt;11&lt;/key&gt;&lt;/foreign-keys&gt;&lt;ref-type name="Report"&gt;27&lt;/ref-type&gt;&lt;contributors&gt;&lt;authors&gt;&lt;author&gt;Australian Institute of Health and Welfare (AIHW),.&lt;/author&gt;&lt;/authors&gt;&lt;/contributors&gt;&lt;titles&gt;&lt;title&gt;Australian Cancer Incidence and Mortality (ACIM) books: Acute lymphoblastic leukaemia (ALL),&lt;/title&gt;&lt;/titles&gt;&lt;dates&gt;&lt;year&gt;2017&lt;/year&gt;&lt;/dates&gt;&lt;pub-location&gt;Canberra&lt;/pub-location&gt;&lt;publisher&gt;Australian Institute of Health and Welfare (AIHW)&lt;/publisher&gt;&lt;urls&gt;&lt;related-urls&gt;&lt;url&gt;http://www.aihw.gov.au/acim-books&lt;/url&gt;&lt;/related-urls&gt;&lt;/urls&gt;&lt;/record&gt;&lt;/Cite&gt;&lt;/EndNote&gt;</w:instrText>
      </w:r>
      <w:r w:rsidR="00981996">
        <w:fldChar w:fldCharType="separate"/>
      </w:r>
      <w:r w:rsidR="00981996">
        <w:rPr>
          <w:noProof/>
        </w:rPr>
        <w:t>(Australian Institute of Health and Welfare (AIHW) 2017)</w:t>
      </w:r>
      <w:r w:rsidR="00981996">
        <w:fldChar w:fldCharType="end"/>
      </w:r>
      <w:r w:rsidR="006825A2">
        <w:t xml:space="preserve"> </w:t>
      </w:r>
    </w:p>
    <w:p w14:paraId="3AC68FB3" w14:textId="77777777" w:rsidR="006825A2" w:rsidRDefault="006825A2" w:rsidP="006825A2">
      <w:pPr>
        <w:keepNext/>
      </w:pPr>
      <w:r>
        <w:rPr>
          <w:noProof/>
          <w:lang w:eastAsia="en-AU"/>
        </w:rPr>
        <w:lastRenderedPageBreak/>
        <w:drawing>
          <wp:inline distT="0" distB="0" distL="0" distR="0" wp14:anchorId="7A5ADE98" wp14:editId="72E92B9B">
            <wp:extent cx="5676900" cy="2905125"/>
            <wp:effectExtent l="0" t="0" r="0" b="9525"/>
            <wp:docPr id="3" name="Chart 3" descr="Incidence rates of ALL by sex and age group at diagnosis (rate per 100,000 population) " title="Incidence rates of ALL by sex and age group at diagnosis (rate per 100,000 population) "/>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86B3269" w14:textId="6C12D862" w:rsidR="00B37B2E" w:rsidRDefault="006825A2" w:rsidP="00841746">
      <w:pPr>
        <w:pStyle w:val="Caption"/>
      </w:pPr>
      <w:r>
        <w:t xml:space="preserve">Figure </w:t>
      </w:r>
      <w:r>
        <w:fldChar w:fldCharType="begin"/>
      </w:r>
      <w:r>
        <w:instrText xml:space="preserve"> SEQ Figure \* ARABIC </w:instrText>
      </w:r>
      <w:r>
        <w:fldChar w:fldCharType="separate"/>
      </w:r>
      <w:r w:rsidR="008E5A80">
        <w:rPr>
          <w:noProof/>
        </w:rPr>
        <w:t>1</w:t>
      </w:r>
      <w:r>
        <w:fldChar w:fldCharType="end"/>
      </w:r>
      <w:r>
        <w:t xml:space="preserve"> Incidence rates of ALL by sex and age group at diagnosis (rate per 100,000 population)</w:t>
      </w:r>
      <w:r w:rsidR="00307A72">
        <w:t xml:space="preserve"> </w:t>
      </w:r>
      <w:r w:rsidR="00981996">
        <w:fldChar w:fldCharType="begin"/>
      </w:r>
      <w:r w:rsidR="00981996">
        <w:instrText xml:space="preserve"> ADDIN EN.CITE &lt;EndNote&gt;&lt;Cite&gt;&lt;Author&gt;Australian Institute of Health and Welfare (AIHW)&lt;/Author&gt;&lt;Year&gt;2017&lt;/Year&gt;&lt;RecNum&gt;11&lt;/RecNum&gt;&lt;DisplayText&gt;(Australian Institute of Health and Welfare (AIHW) 2017)&lt;/DisplayText&gt;&lt;record&gt;&lt;rec-number&gt;11&lt;/rec-number&gt;&lt;foreign-keys&gt;&lt;key app="EN" db-id="ffeszew2p5f0f8e0df5pt5dwpf9f92s0vadw" timestamp="1517786021"&gt;11&lt;/key&gt;&lt;/foreign-keys&gt;&lt;ref-type name="Report"&gt;27&lt;/ref-type&gt;&lt;contributors&gt;&lt;authors&gt;&lt;author&gt;Australian Institute of Health and Welfare (AIHW),.&lt;/author&gt;&lt;/authors&gt;&lt;/contributors&gt;&lt;titles&gt;&lt;title&gt;Australian Cancer Incidence and Mortality (ACIM) books: Acute lymphoblastic leukaemia (ALL),&lt;/title&gt;&lt;/titles&gt;&lt;dates&gt;&lt;year&gt;2017&lt;/year&gt;&lt;/dates&gt;&lt;pub-location&gt;Canberra&lt;/pub-location&gt;&lt;publisher&gt;Australian Institute of Health and Welfare (AIHW)&lt;/publisher&gt;&lt;urls&gt;&lt;related-urls&gt;&lt;url&gt;http://www.aihw.gov.au/acim-books&lt;/url&gt;&lt;/related-urls&gt;&lt;/urls&gt;&lt;/record&gt;&lt;/Cite&gt;&lt;/EndNote&gt;</w:instrText>
      </w:r>
      <w:r w:rsidR="00981996">
        <w:fldChar w:fldCharType="separate"/>
      </w:r>
      <w:r w:rsidR="00981996">
        <w:rPr>
          <w:noProof/>
        </w:rPr>
        <w:t>(Australian Institute of Health and Welfare (AIHW) 2017)</w:t>
      </w:r>
      <w:r w:rsidR="00981996">
        <w:fldChar w:fldCharType="end"/>
      </w:r>
    </w:p>
    <w:p w14:paraId="7FCA0399" w14:textId="7947C167" w:rsidR="006F5FC2" w:rsidRPr="00B917AD" w:rsidRDefault="006F5FC2" w:rsidP="00841746">
      <w:pPr>
        <w:spacing w:before="240"/>
        <w:jc w:val="both"/>
        <w:rPr>
          <w:i/>
        </w:rPr>
      </w:pPr>
      <w:r w:rsidRPr="00781801">
        <w:rPr>
          <w:i/>
        </w:rPr>
        <w:t>ALL is the most common type of cancer in children, with around 60%</w:t>
      </w:r>
      <w:r w:rsidR="006A5310">
        <w:rPr>
          <w:i/>
        </w:rPr>
        <w:t xml:space="preserve"> of cases diagnosed in children</w:t>
      </w:r>
      <w:r w:rsidRPr="00781801">
        <w:rPr>
          <w:i/>
        </w:rPr>
        <w:t>.</w:t>
      </w:r>
      <w:r w:rsidR="006A5310">
        <w:rPr>
          <w:rStyle w:val="FootnoteReference"/>
          <w:i/>
        </w:rPr>
        <w:footnoteReference w:id="3"/>
      </w:r>
      <w:r w:rsidRPr="00781801">
        <w:rPr>
          <w:i/>
        </w:rPr>
        <w:t xml:space="preserve"> </w:t>
      </w:r>
      <w:r w:rsidR="00B37B2E" w:rsidRPr="00781801">
        <w:rPr>
          <w:i/>
        </w:rPr>
        <w:t xml:space="preserve">Most patients are between 2 and 5 years old when they are diagnosed. </w:t>
      </w:r>
      <w:r w:rsidR="00B23332" w:rsidRPr="00781801">
        <w:rPr>
          <w:i/>
        </w:rPr>
        <w:t>In 2015, 119 ALL patients in Australia died (51 males and 68 females). This means the risk of death from ALL</w:t>
      </w:r>
      <w:r w:rsidR="006A5310">
        <w:rPr>
          <w:i/>
        </w:rPr>
        <w:t xml:space="preserve"> is 1 in 3193 before age 75 and</w:t>
      </w:r>
      <w:r w:rsidR="00B23332" w:rsidRPr="00781801">
        <w:rPr>
          <w:i/>
        </w:rPr>
        <w:t xml:space="preserve"> 1 in 1948 before age 85</w:t>
      </w:r>
      <w:r w:rsidR="00307A72">
        <w:rPr>
          <w:i/>
        </w:rPr>
        <w:t xml:space="preserve"> </w:t>
      </w:r>
      <w:r w:rsidR="00981996">
        <w:rPr>
          <w:i/>
        </w:rPr>
        <w:fldChar w:fldCharType="begin"/>
      </w:r>
      <w:r w:rsidR="00981996">
        <w:rPr>
          <w:i/>
        </w:rPr>
        <w:instrText xml:space="preserve"> ADDIN EN.CITE &lt;EndNote&gt;&lt;Cite&gt;&lt;Author&gt;Australian Institute of Health and Welfare (AIHW)&lt;/Author&gt;&lt;Year&gt;2017&lt;/Year&gt;&lt;RecNum&gt;11&lt;/RecNum&gt;&lt;DisplayText&gt;(Australian Institute of Health and Welfare (AIHW) 2017)&lt;/DisplayText&gt;&lt;record&gt;&lt;rec-number&gt;11&lt;/rec-number&gt;&lt;foreign-keys&gt;&lt;key app="EN" db-id="ffeszew2p5f0f8e0df5pt5dwpf9f92s0vadw" timestamp="1517786021"&gt;11&lt;/key&gt;&lt;/foreign-keys&gt;&lt;ref-type name="Report"&gt;27&lt;/ref-type&gt;&lt;contributors&gt;&lt;authors&gt;&lt;author&gt;Australian Institute of Health and Welfare (AIHW),.&lt;/author&gt;&lt;/authors&gt;&lt;/contributors&gt;&lt;titles&gt;&lt;title&gt;Australian Cancer Incidence and Mortality (ACIM) books: Acute lymphoblastic leukaemia (ALL),&lt;/title&gt;&lt;/titles&gt;&lt;dates&gt;&lt;year&gt;2017&lt;/year&gt;&lt;/dates&gt;&lt;pub-location&gt;Canberra&lt;/pub-location&gt;&lt;publisher&gt;Australian Institute of Health and Welfare (AIHW)&lt;/publisher&gt;&lt;urls&gt;&lt;related-urls&gt;&lt;url&gt;http://www.aihw.gov.au/acim-books&lt;/url&gt;&lt;/related-urls&gt;&lt;/urls&gt;&lt;/record&gt;&lt;/Cite&gt;&lt;/EndNote&gt;</w:instrText>
      </w:r>
      <w:r w:rsidR="00981996">
        <w:rPr>
          <w:i/>
        </w:rPr>
        <w:fldChar w:fldCharType="separate"/>
      </w:r>
      <w:r w:rsidR="00981996">
        <w:rPr>
          <w:i/>
          <w:noProof/>
        </w:rPr>
        <w:t>(Australian Institute of Health and Welfare (AIHW) 2017)</w:t>
      </w:r>
      <w:r w:rsidR="00981996">
        <w:rPr>
          <w:i/>
        </w:rPr>
        <w:fldChar w:fldCharType="end"/>
      </w:r>
      <w:r w:rsidR="00907185" w:rsidRPr="00B917AD">
        <w:rPr>
          <w:i/>
        </w:rPr>
        <w:t>. Common treatments include chemotherapy, peripheral blood stem cell and bone marrow transplantation, steroid therapy and radiotherapy to the head.</w:t>
      </w:r>
      <w:r w:rsidR="006A5310">
        <w:rPr>
          <w:rStyle w:val="FootnoteReference"/>
          <w:i/>
        </w:rPr>
        <w:footnoteReference w:id="4"/>
      </w:r>
      <w:r w:rsidR="00907185" w:rsidRPr="00B917AD">
        <w:rPr>
          <w:i/>
        </w:rPr>
        <w:t xml:space="preserve"> </w:t>
      </w:r>
    </w:p>
    <w:p w14:paraId="03F8EF5C" w14:textId="665A361D" w:rsidR="003B42FC" w:rsidRDefault="008F7F70" w:rsidP="007534B0">
      <w:pPr>
        <w:jc w:val="both"/>
      </w:pPr>
      <w:r>
        <w:rPr>
          <w:i/>
        </w:rPr>
        <w:t>A</w:t>
      </w:r>
      <w:r w:rsidR="0029735D" w:rsidRPr="00781801">
        <w:rPr>
          <w:i/>
        </w:rPr>
        <w:t xml:space="preserve"> large childhood ALL cohort was followed</w:t>
      </w:r>
      <w:r>
        <w:rPr>
          <w:i/>
        </w:rPr>
        <w:t xml:space="preserve"> in the US</w:t>
      </w:r>
      <w:r w:rsidR="0029735D" w:rsidRPr="00781801">
        <w:rPr>
          <w:i/>
        </w:rPr>
        <w:t xml:space="preserve">. The </w:t>
      </w:r>
      <w:r w:rsidR="00D81BFD" w:rsidRPr="00781801">
        <w:rPr>
          <w:i/>
        </w:rPr>
        <w:t>5-year survival rates for ALL patients were 53% for children &lt; 1 year old 94%, 82%, 8</w:t>
      </w:r>
      <w:r>
        <w:rPr>
          <w:i/>
        </w:rPr>
        <w:t>5% and 75% for patients aged 1-</w:t>
      </w:r>
      <w:r w:rsidR="00D81BFD" w:rsidRPr="00781801">
        <w:rPr>
          <w:i/>
        </w:rPr>
        <w:t>9.9 years, &gt; 10 years, 10-14.9 years, and ≥</w:t>
      </w:r>
      <w:r w:rsidR="001D66DB">
        <w:rPr>
          <w:i/>
        </w:rPr>
        <w:t xml:space="preserve"> </w:t>
      </w:r>
      <w:r w:rsidR="00D81BFD" w:rsidRPr="00781801">
        <w:rPr>
          <w:i/>
        </w:rPr>
        <w:t>15 years</w:t>
      </w:r>
      <w:r w:rsidR="00905AC7">
        <w:rPr>
          <w:i/>
        </w:rPr>
        <w:t xml:space="preserve"> </w:t>
      </w:r>
      <w:r w:rsidR="00905AC7" w:rsidRPr="00781801">
        <w:rPr>
          <w:i/>
        </w:rPr>
        <w:t>(from 2000-2005)</w:t>
      </w:r>
      <w:r w:rsidR="00CE0064" w:rsidRPr="00781801">
        <w:rPr>
          <w:i/>
        </w:rPr>
        <w:t xml:space="preserve"> </w:t>
      </w:r>
      <w:r w:rsidR="00981996">
        <w:rPr>
          <w:i/>
        </w:rPr>
        <w:fldChar w:fldCharType="begin">
          <w:fldData xml:space="preserve">PEVuZE5vdGU+PENpdGU+PEF1dGhvcj5IdW5nZXI8L0F1dGhvcj48WWVhcj4yMDEyPC9ZZWFyPjxS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=
</w:fldData>
        </w:fldChar>
      </w:r>
      <w:r w:rsidR="00981996">
        <w:rPr>
          <w:i/>
        </w:rPr>
        <w:instrText xml:space="preserve"> ADDIN EN.CITE </w:instrText>
      </w:r>
      <w:r w:rsidR="00981996">
        <w:rPr>
          <w:i/>
        </w:rPr>
        <w:fldChar w:fldCharType="begin">
          <w:fldData xml:space="preserve">PEVuZE5vdGU+PENpdGU+PEF1dGhvcj5IdW5nZXI8L0F1dGhvcj48WWVhcj4yMDEyPC9ZZWFyPjxS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=
</w:fldData>
        </w:fldChar>
      </w:r>
      <w:r w:rsidR="00981996">
        <w:rPr>
          <w:i/>
        </w:rPr>
        <w:instrText xml:space="preserve"> ADDIN EN.CITE.DATA </w:instrText>
      </w:r>
      <w:r w:rsidR="00981996">
        <w:rPr>
          <w:i/>
        </w:rPr>
      </w:r>
      <w:r w:rsidR="00981996">
        <w:rPr>
          <w:i/>
        </w:rPr>
        <w:fldChar w:fldCharType="end"/>
      </w:r>
      <w:r w:rsidR="00981996">
        <w:rPr>
          <w:i/>
        </w:rPr>
      </w:r>
      <w:r w:rsidR="00981996">
        <w:rPr>
          <w:i/>
        </w:rPr>
        <w:fldChar w:fldCharType="separate"/>
      </w:r>
      <w:r w:rsidR="00981996">
        <w:rPr>
          <w:i/>
          <w:noProof/>
        </w:rPr>
        <w:t>(Hunger et al. 2012)</w:t>
      </w:r>
      <w:r w:rsidR="00981996">
        <w:rPr>
          <w:i/>
        </w:rPr>
        <w:fldChar w:fldCharType="end"/>
      </w:r>
      <w:r w:rsidR="00D81BFD" w:rsidRPr="00781801">
        <w:rPr>
          <w:i/>
        </w:rPr>
        <w:t xml:space="preserve">. </w:t>
      </w:r>
      <w:r w:rsidR="0029735D" w:rsidRPr="00781801">
        <w:rPr>
          <w:i/>
        </w:rPr>
        <w:t>Five-year survival rates increased from 83.7% to 91.4% between 1990-1994 and 2000-2005</w:t>
      </w:r>
      <w:r w:rsidR="0029735D">
        <w:t>. The applicant indicated that approximately 20% of patients will experience a</w:t>
      </w:r>
      <w:r w:rsidR="00FA7E75">
        <w:t>t least one</w:t>
      </w:r>
      <w:r w:rsidR="0029735D">
        <w:t xml:space="preserve"> relapse</w:t>
      </w:r>
      <w:r w:rsidR="00FA7E75">
        <w:t>, and</w:t>
      </w:r>
      <w:r w:rsidR="009018C4">
        <w:t xml:space="preserve"> that</w:t>
      </w:r>
      <w:r w:rsidR="00FA7E75">
        <w:t xml:space="preserve"> </w:t>
      </w:r>
      <w:r w:rsidR="009018C4">
        <w:t>each relapse makes maintaining remission more challenging.</w:t>
      </w:r>
      <w:r w:rsidR="00CE1D5F">
        <w:t xml:space="preserve"> They stated that patients with a second relapse have few effective treatment options and typically a poor prognosis, with a long term survival of 10%.</w:t>
      </w:r>
      <w:r w:rsidR="009018C4">
        <w:t xml:space="preserve"> </w:t>
      </w:r>
    </w:p>
    <w:p w14:paraId="0F13FE63" w14:textId="6803DA72" w:rsidR="001E7DB7" w:rsidRDefault="00781801" w:rsidP="007534B0">
      <w:pPr>
        <w:jc w:val="both"/>
      </w:pPr>
      <w:r>
        <w:t xml:space="preserve">The applicant proposes that the </w:t>
      </w:r>
      <w:r w:rsidR="0088033D">
        <w:t xml:space="preserve">medical service </w:t>
      </w:r>
      <w:r>
        <w:t>should be</w:t>
      </w:r>
      <w:r w:rsidR="0088033D">
        <w:t xml:space="preserve"> intended for </w:t>
      </w:r>
      <w:r w:rsidR="00920B64">
        <w:t xml:space="preserve">children </w:t>
      </w:r>
      <w:r w:rsidR="00D559B9">
        <w:t>and young adult</w:t>
      </w:r>
      <w:r w:rsidR="0088033D">
        <w:t xml:space="preserve"> patients (3-25 years old), with confir</w:t>
      </w:r>
      <w:r w:rsidR="001E7DB7">
        <w:t>med relapsed or refractory ALL. This population can be divided into six subpopulations, including patients who:</w:t>
      </w:r>
    </w:p>
    <w:p w14:paraId="7AF89C7F" w14:textId="77777777" w:rsidR="001E7DB7" w:rsidRPr="001E20FB" w:rsidRDefault="001E7DB7" w:rsidP="001E20FB">
      <w:pPr>
        <w:pStyle w:val="ListParagraph"/>
        <w:numPr>
          <w:ilvl w:val="0"/>
          <w:numId w:val="29"/>
        </w:numPr>
        <w:jc w:val="both"/>
      </w:pPr>
      <w:r w:rsidRPr="001E20FB">
        <w:t>Have experienced a second or greater bone marrow relapse; OR</w:t>
      </w:r>
    </w:p>
    <w:p w14:paraId="2E98A08F" w14:textId="41642D5F" w:rsidR="001E7DB7" w:rsidRPr="001E20FB" w:rsidRDefault="001E7DB7" w:rsidP="001E20FB">
      <w:pPr>
        <w:pStyle w:val="ListParagraph"/>
        <w:numPr>
          <w:ilvl w:val="0"/>
          <w:numId w:val="29"/>
        </w:numPr>
        <w:jc w:val="both"/>
      </w:pPr>
      <w:r w:rsidRPr="001E20FB">
        <w:t>Have experienced any bone marrow relapse following allogenic stem cell transplant</w:t>
      </w:r>
      <w:r w:rsidR="00ED0D8C" w:rsidRPr="001E20FB">
        <w:t xml:space="preserve"> (SCT)</w:t>
      </w:r>
      <w:r w:rsidRPr="001E20FB">
        <w:t>; OR</w:t>
      </w:r>
    </w:p>
    <w:p w14:paraId="3054617F" w14:textId="24BF6DA8" w:rsidR="001E7DB7" w:rsidRPr="001E20FB" w:rsidRDefault="001E7DB7" w:rsidP="001E20FB">
      <w:pPr>
        <w:pStyle w:val="ListParagraph"/>
        <w:numPr>
          <w:ilvl w:val="0"/>
          <w:numId w:val="29"/>
        </w:numPr>
        <w:jc w:val="both"/>
      </w:pPr>
      <w:r w:rsidRPr="001E20FB">
        <w:t>Are primary refractory, as defined by not achie</w:t>
      </w:r>
      <w:r w:rsidR="00ED0D8C" w:rsidRPr="001E20FB">
        <w:t>ving a complete response after two</w:t>
      </w:r>
      <w:r w:rsidRPr="001E20FB">
        <w:t xml:space="preserve"> cycles of a standard chemotherapy regimen; OR</w:t>
      </w:r>
    </w:p>
    <w:p w14:paraId="302D0CEB" w14:textId="53A9AFCB" w:rsidR="001E7DB7" w:rsidRPr="001E20FB" w:rsidRDefault="00D4348F" w:rsidP="001E20FB">
      <w:pPr>
        <w:pStyle w:val="ListParagraph"/>
        <w:numPr>
          <w:ilvl w:val="0"/>
          <w:numId w:val="29"/>
        </w:numPr>
        <w:jc w:val="both"/>
      </w:pPr>
      <w:r>
        <w:t xml:space="preserve">Are chemo </w:t>
      </w:r>
      <w:r w:rsidR="001E7DB7" w:rsidRPr="001E20FB">
        <w:t>refractory, as defined by not achieving a complete</w:t>
      </w:r>
      <w:r w:rsidR="00ED0D8C" w:rsidRPr="001E20FB">
        <w:t xml:space="preserve"> response after one</w:t>
      </w:r>
      <w:r w:rsidR="001E7DB7" w:rsidRPr="001E20FB">
        <w:t xml:space="preserve"> cycle of standard chemotherapy for relapsed leukaemia; OR</w:t>
      </w:r>
    </w:p>
    <w:p w14:paraId="13770502" w14:textId="77777777" w:rsidR="00ED0D8C" w:rsidRPr="00ED0D8C" w:rsidRDefault="001E7DB7" w:rsidP="001E20FB">
      <w:pPr>
        <w:pStyle w:val="ListParagraph"/>
        <w:numPr>
          <w:ilvl w:val="0"/>
          <w:numId w:val="29"/>
        </w:numPr>
        <w:jc w:val="both"/>
      </w:pPr>
      <w:r w:rsidRPr="001E20FB">
        <w:lastRenderedPageBreak/>
        <w:t>Are Philadelphia chromosome positive AND are intolerant to or have failed two lines of tyrosine kinase inhibitor therapy, OR for whom such therapy is contraindicated; OR</w:t>
      </w:r>
    </w:p>
    <w:p w14:paraId="21079265" w14:textId="69596C97" w:rsidR="001E7DB7" w:rsidRDefault="001E7DB7" w:rsidP="001E20FB">
      <w:pPr>
        <w:pStyle w:val="ListParagraph"/>
        <w:numPr>
          <w:ilvl w:val="0"/>
          <w:numId w:val="29"/>
        </w:numPr>
        <w:jc w:val="both"/>
      </w:pPr>
      <w:r w:rsidRPr="001E20FB">
        <w:t xml:space="preserve">Are ineligible for allogenic </w:t>
      </w:r>
      <w:r w:rsidR="00ED0D8C" w:rsidRPr="001E20FB">
        <w:t>SCT</w:t>
      </w:r>
      <w:r w:rsidRPr="001E20FB">
        <w:t xml:space="preserve"> because of comorbid disease, contraindications to the conditioning regimen, prior SCT, OR lack of a suitable donor.</w:t>
      </w:r>
    </w:p>
    <w:p w14:paraId="2D5C160D" w14:textId="74897668" w:rsidR="006C3F82" w:rsidRPr="00D40AF2" w:rsidRDefault="006C3F82" w:rsidP="007534B0">
      <w:pPr>
        <w:jc w:val="both"/>
      </w:pPr>
      <w:r>
        <w:t xml:space="preserve">This is the same indication that will be sought from the Therapeutic Goods Administration (TGA). </w:t>
      </w:r>
      <w:r w:rsidR="008E6006">
        <w:rPr>
          <w:i/>
        </w:rPr>
        <w:t xml:space="preserve">Tisagenlecleucel (the proposed service) was approved by the </w:t>
      </w:r>
      <w:r w:rsidR="00F370C4">
        <w:rPr>
          <w:i/>
        </w:rPr>
        <w:t>Food and Drug Administration (</w:t>
      </w:r>
      <w:r w:rsidR="008E6006">
        <w:rPr>
          <w:i/>
        </w:rPr>
        <w:t>FDA</w:t>
      </w:r>
      <w:r w:rsidR="00F370C4">
        <w:rPr>
          <w:i/>
        </w:rPr>
        <w:t>)</w:t>
      </w:r>
      <w:r w:rsidR="008E6006">
        <w:rPr>
          <w:i/>
        </w:rPr>
        <w:t xml:space="preserve"> in August 2017 and was the first chimeric antigen receptor T cell therapy approved in the US for the treatment of refractory or relapsed B-cell precursor ALL in patients up to age 25 years</w:t>
      </w:r>
      <w:r w:rsidR="008E6006">
        <w:rPr>
          <w:rStyle w:val="FootnoteReference"/>
          <w:i/>
        </w:rPr>
        <w:footnoteReference w:id="5"/>
      </w:r>
      <w:r w:rsidR="008E6006">
        <w:rPr>
          <w:i/>
        </w:rPr>
        <w:t xml:space="preserve">. </w:t>
      </w:r>
      <w:r w:rsidR="00437073" w:rsidRPr="002606DB">
        <w:rPr>
          <w:b/>
        </w:rPr>
        <w:t>REDACTED</w:t>
      </w:r>
    </w:p>
    <w:p w14:paraId="193146D5" w14:textId="3E53971B" w:rsidR="009018C4" w:rsidRDefault="009018C4" w:rsidP="007534B0">
      <w:pPr>
        <w:jc w:val="both"/>
        <w:rPr>
          <w:u w:val="single"/>
        </w:rPr>
      </w:pPr>
      <w:r>
        <w:rPr>
          <w:u w:val="single"/>
        </w:rPr>
        <w:t>Population 2</w:t>
      </w:r>
      <w:r w:rsidRPr="002504E6">
        <w:rPr>
          <w:u w:val="single"/>
        </w:rPr>
        <w:t>:</w:t>
      </w:r>
      <w:r>
        <w:rPr>
          <w:u w:val="single"/>
        </w:rPr>
        <w:t xml:space="preserve"> relapsed or refractory d</w:t>
      </w:r>
      <w:r w:rsidR="003B2094">
        <w:rPr>
          <w:u w:val="single"/>
        </w:rPr>
        <w:t>iffuse</w:t>
      </w:r>
      <w:r>
        <w:rPr>
          <w:u w:val="single"/>
        </w:rPr>
        <w:t xml:space="preserve"> large B-cell lymphoma (DLBCL) </w:t>
      </w:r>
    </w:p>
    <w:p w14:paraId="36C606C5" w14:textId="2120FD89" w:rsidR="00D63ED9" w:rsidRDefault="00D63ED9" w:rsidP="007534B0">
      <w:pPr>
        <w:jc w:val="both"/>
      </w:pPr>
      <w:r>
        <w:t>The applicant proposes</w:t>
      </w:r>
      <w:r w:rsidR="00640B68">
        <w:t xml:space="preserve"> the medical service should also be intended for</w:t>
      </w:r>
      <w:r w:rsidR="00D559B9">
        <w:t xml:space="preserve"> adult</w:t>
      </w:r>
      <w:r>
        <w:t xml:space="preserve"> patients </w:t>
      </w:r>
      <w:r w:rsidR="00D559B9">
        <w:t xml:space="preserve">(≥18 years) </w:t>
      </w:r>
      <w:r>
        <w:t>with confirm</w:t>
      </w:r>
      <w:r w:rsidR="00425919">
        <w:t xml:space="preserve">ed relapsed or refractory DLBCL. This means patients who have relapsed or refractory disease after at least two lines of chemotherapy, and </w:t>
      </w:r>
      <w:proofErr w:type="gramStart"/>
      <w:r w:rsidR="00425919">
        <w:t>(1) have</w:t>
      </w:r>
      <w:proofErr w:type="gramEnd"/>
      <w:r w:rsidR="00425919">
        <w:t xml:space="preserve"> relapsed after autologous SCT, or (2) are ineligible for subsequent SCT.</w:t>
      </w:r>
      <w:r w:rsidR="00D46C0D">
        <w:t xml:space="preserve"> These criteria would create five eligible sub-populations:</w:t>
      </w:r>
    </w:p>
    <w:p w14:paraId="7DC8F30C" w14:textId="07D37CF5" w:rsidR="00D46C0D" w:rsidRDefault="00D46C0D" w:rsidP="007534B0">
      <w:pPr>
        <w:jc w:val="both"/>
      </w:pPr>
      <w:r>
        <w:t>DLBCL patients who are refractory or relapsed after:</w:t>
      </w:r>
    </w:p>
    <w:p w14:paraId="09AB3316" w14:textId="1C8BB655" w:rsidR="00D46C0D" w:rsidRDefault="00D46C0D" w:rsidP="008E1644">
      <w:pPr>
        <w:pStyle w:val="ListParagraph"/>
        <w:numPr>
          <w:ilvl w:val="0"/>
          <w:numId w:val="29"/>
        </w:numPr>
        <w:jc w:val="both"/>
      </w:pPr>
      <w:r>
        <w:t>Rituximab, cyclophosphamide, doxorubicin, vincristine, prednisolone (RCHOP) and salvage chemotherapy</w:t>
      </w:r>
    </w:p>
    <w:p w14:paraId="7BD7B019" w14:textId="3BC3F4FA" w:rsidR="00D46C0D" w:rsidRDefault="00D46C0D" w:rsidP="008E1644">
      <w:pPr>
        <w:pStyle w:val="ListParagraph"/>
        <w:numPr>
          <w:ilvl w:val="0"/>
          <w:numId w:val="29"/>
        </w:numPr>
        <w:jc w:val="both"/>
      </w:pPr>
      <w:r>
        <w:t>RCHOP and high-dose therapy (HDT)</w:t>
      </w:r>
    </w:p>
    <w:p w14:paraId="65C7C456" w14:textId="290B5843" w:rsidR="00D46C0D" w:rsidRDefault="00E159C1" w:rsidP="008E1644">
      <w:pPr>
        <w:pStyle w:val="ListParagraph"/>
        <w:numPr>
          <w:ilvl w:val="0"/>
          <w:numId w:val="29"/>
        </w:numPr>
        <w:jc w:val="both"/>
      </w:pPr>
      <w:r>
        <w:t>RCHOP, autologous SCT and salvage chemotherapy</w:t>
      </w:r>
    </w:p>
    <w:p w14:paraId="1F4EB1E5" w14:textId="2A3B80B5" w:rsidR="00E159C1" w:rsidRDefault="00E159C1" w:rsidP="008E1644">
      <w:pPr>
        <w:pStyle w:val="ListParagraph"/>
        <w:numPr>
          <w:ilvl w:val="0"/>
          <w:numId w:val="29"/>
        </w:numPr>
        <w:jc w:val="both"/>
      </w:pPr>
      <w:r>
        <w:t>RCHOP, autologous SCT and HDT (without response/SCT)</w:t>
      </w:r>
    </w:p>
    <w:p w14:paraId="6144DF68" w14:textId="7D77B228" w:rsidR="00E159C1" w:rsidRDefault="00E159C1" w:rsidP="008E1644">
      <w:pPr>
        <w:pStyle w:val="ListParagraph"/>
        <w:numPr>
          <w:ilvl w:val="0"/>
          <w:numId w:val="29"/>
        </w:numPr>
        <w:jc w:val="both"/>
      </w:pPr>
      <w:r>
        <w:t>RCHOP, autologous SCT and HDT (with subsequent response and subsequent SCT)</w:t>
      </w:r>
    </w:p>
    <w:p w14:paraId="00C9D84B" w14:textId="6E50BAA4" w:rsidR="003B2094" w:rsidRDefault="00DF3618" w:rsidP="007534B0">
      <w:pPr>
        <w:jc w:val="both"/>
        <w:rPr>
          <w:rStyle w:val="Hyperlink"/>
          <w:i/>
        </w:rPr>
      </w:pPr>
      <w:r>
        <w:t xml:space="preserve">DLBCL is the most common subtype of non-Hodgkin lymphoma (NHL), responsible for around 25% of NHL </w:t>
      </w:r>
      <w:r w:rsidRPr="00632DF4">
        <w:t>cases</w:t>
      </w:r>
      <w:r w:rsidR="00426E9A" w:rsidRPr="00632DF4">
        <w:rPr>
          <w:rStyle w:val="FootnoteReference"/>
          <w:sz w:val="20"/>
          <w:szCs w:val="20"/>
        </w:rPr>
        <w:footnoteReference w:id="6"/>
      </w:r>
      <w:r w:rsidRPr="00632DF4">
        <w:t>.</w:t>
      </w:r>
      <w:r w:rsidR="00426E9A" w:rsidRPr="00632DF4">
        <w:t xml:space="preserve"> </w:t>
      </w:r>
      <w:r w:rsidR="00D967A7" w:rsidRPr="00632DF4">
        <w:t>The average</w:t>
      </w:r>
      <w:r w:rsidR="00D967A7">
        <w:t xml:space="preserve"> age of DLBCL diagnosis is 60-65 years,</w:t>
      </w:r>
      <w:r w:rsidR="00632DF4">
        <w:t xml:space="preserve"> with the likelihood of receiving a diagnosis increasing with </w:t>
      </w:r>
      <w:proofErr w:type="gramStart"/>
      <w:r w:rsidR="00632DF4">
        <w:t>age,</w:t>
      </w:r>
      <w:proofErr w:type="gramEnd"/>
      <w:r w:rsidR="00D967A7">
        <w:t xml:space="preserve"> however it can occur at any age.</w:t>
      </w:r>
      <w:r w:rsidR="00426E9A">
        <w:rPr>
          <w:rStyle w:val="FootnoteReference"/>
        </w:rPr>
        <w:footnoteReference w:id="7"/>
      </w:r>
      <w:r w:rsidR="00D967A7">
        <w:t xml:space="preserve"> The applicant states the estimated incidence of DLBCL in Australia is around 2,070 patients per year, and reports that approximately 60% of patients with DLBCL achieve and maintain complete remission after first-line therapy. This means around 40% of patients have incomplete response to therapy, with approximately 10% suffering from refractory disease and 30% having a relapse. </w:t>
      </w:r>
      <w:r w:rsidR="00D967A7" w:rsidRPr="00D967A7">
        <w:rPr>
          <w:i/>
        </w:rPr>
        <w:t>AIHW figures show r</w:t>
      </w:r>
      <w:r w:rsidR="004B47D0" w:rsidRPr="00D967A7">
        <w:rPr>
          <w:i/>
        </w:rPr>
        <w:t>elative</w:t>
      </w:r>
      <w:r w:rsidR="007D644C" w:rsidRPr="00D967A7">
        <w:rPr>
          <w:i/>
        </w:rPr>
        <w:t xml:space="preserve"> 1-year and 5-year </w:t>
      </w:r>
      <w:r w:rsidR="004B47D0" w:rsidRPr="00D967A7">
        <w:rPr>
          <w:i/>
        </w:rPr>
        <w:t>survival from DLBCL</w:t>
      </w:r>
      <w:r w:rsidR="007D644C" w:rsidRPr="00D967A7">
        <w:rPr>
          <w:i/>
        </w:rPr>
        <w:t xml:space="preserve"> in Australia was 77.3% (95%CI 75.8-78.8%) and 64.4% (95%CI 62.7-66.1%), respectively </w:t>
      </w:r>
      <w:r w:rsidR="007D644C" w:rsidRPr="003F3FF7">
        <w:rPr>
          <w:i/>
        </w:rPr>
        <w:t>(AIHW Australian Cancer database, 2006-2010</w:t>
      </w:r>
      <w:r w:rsidR="007D644C" w:rsidRPr="00D967A7">
        <w:rPr>
          <w:i/>
        </w:rPr>
        <w:t>).</w:t>
      </w:r>
      <w:r w:rsidRPr="00D967A7">
        <w:rPr>
          <w:i/>
        </w:rPr>
        <w:t xml:space="preserve"> </w:t>
      </w:r>
      <w:r w:rsidR="00D967A7">
        <w:rPr>
          <w:i/>
        </w:rPr>
        <w:t xml:space="preserve">In 2011, 4,631 people were diagnosed with </w:t>
      </w:r>
      <w:r w:rsidR="00905AC7">
        <w:rPr>
          <w:i/>
        </w:rPr>
        <w:t>NHL</w:t>
      </w:r>
      <w:r w:rsidR="005F6D1D">
        <w:rPr>
          <w:i/>
        </w:rPr>
        <w:t>.</w:t>
      </w:r>
      <w:r w:rsidR="00426E9A">
        <w:rPr>
          <w:rStyle w:val="FootnoteReference"/>
          <w:i/>
        </w:rPr>
        <w:footnoteReference w:id="8"/>
      </w:r>
      <w:r w:rsidR="00924E93">
        <w:rPr>
          <w:i/>
        </w:rPr>
        <w:t xml:space="preserve"> </w:t>
      </w:r>
    </w:p>
    <w:p w14:paraId="2ADDFC9F" w14:textId="7B127599" w:rsidR="00E364F7" w:rsidRDefault="001039DF" w:rsidP="00EE435A">
      <w:pPr>
        <w:pStyle w:val="Heading4"/>
      </w:pPr>
      <w:r>
        <w:t xml:space="preserve">2.1.1 </w:t>
      </w:r>
      <w:r w:rsidR="002B3338">
        <w:t>Rationale</w:t>
      </w:r>
      <w:r w:rsidR="00640B68">
        <w:t xml:space="preserve"> / evidence base</w:t>
      </w:r>
    </w:p>
    <w:p w14:paraId="672E6936" w14:textId="04F60269" w:rsidR="00845462" w:rsidRDefault="00B34671" w:rsidP="007534B0">
      <w:pPr>
        <w:jc w:val="both"/>
      </w:pPr>
      <w:r w:rsidRPr="00B34671">
        <w:t xml:space="preserve">The </w:t>
      </w:r>
      <w:r w:rsidR="00640B68">
        <w:t xml:space="preserve">applicant referred to </w:t>
      </w:r>
      <w:r w:rsidR="007C6F64">
        <w:t>three published studies</w:t>
      </w:r>
      <w:r w:rsidR="00640B68">
        <w:t xml:space="preserve"> on the proposed service which </w:t>
      </w:r>
      <w:r w:rsidR="007C6F64">
        <w:t>includ</w:t>
      </w:r>
      <w:r w:rsidR="00640B68">
        <w:t>ed</w:t>
      </w:r>
      <w:r w:rsidR="007C6F64">
        <w:t xml:space="preserve"> ALL patients</w:t>
      </w:r>
      <w:r w:rsidR="00273733">
        <w:t xml:space="preserve"> </w:t>
      </w:r>
      <w:r w:rsidR="00981996">
        <w:fldChar w:fldCharType="begin">
          <w:fldData xml:space="preserve">PEVuZE5vdGU+PENpdGU+PEF1dGhvcj5GaXR6Z2VyYWxkPC9BdXRob3I+PFllYXI+MjAxNzwvWWVh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</w:fldData>
        </w:fldChar>
      </w:r>
      <w:r w:rsidR="00981996">
        <w:instrText xml:space="preserve"> ADDIN EN.CITE </w:instrText>
      </w:r>
      <w:r w:rsidR="00981996">
        <w:fldChar w:fldCharType="begin">
          <w:fldData xml:space="preserve">PEVuZE5vdGU+PENpdGU+PEF1dGhvcj5GaXR6Z2VyYWxkPC9BdXRob3I+PFllYXI+MjAxNzwvWWVh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</w:fldData>
        </w:fldChar>
      </w:r>
      <w:r w:rsidR="00981996">
        <w:instrText xml:space="preserve"> ADDIN EN.CITE.DATA </w:instrText>
      </w:r>
      <w:r w:rsidR="00981996">
        <w:fldChar w:fldCharType="end"/>
      </w:r>
      <w:r w:rsidR="00981996">
        <w:fldChar w:fldCharType="separate"/>
      </w:r>
      <w:r w:rsidR="00981996">
        <w:rPr>
          <w:noProof/>
        </w:rPr>
        <w:t>(Fitzgerald et al. 2017; Maude et al. 2014; Mueller et al. 2017)</w:t>
      </w:r>
      <w:r w:rsidR="00981996">
        <w:fldChar w:fldCharType="end"/>
      </w:r>
      <w:r w:rsidR="007C6F64">
        <w:t xml:space="preserve">, </w:t>
      </w:r>
      <w:r>
        <w:t xml:space="preserve"> </w:t>
      </w:r>
      <w:r w:rsidR="007C6F64">
        <w:t>and one study i</w:t>
      </w:r>
      <w:r w:rsidR="003B6E91">
        <w:t xml:space="preserve">ncluding DLBCL patients (n=13). A number of studies are still ongoing, on both patients with ALL and DLBCL </w:t>
      </w:r>
      <w:r w:rsidR="00981996">
        <w:fldChar w:fldCharType="begin"/>
      </w:r>
      <w:r w:rsidR="00981996">
        <w:instrText xml:space="preserve"> ADDIN EN.CITE &lt;EndNote&gt;&lt;Cite ExcludeAuth="1"&gt;&lt;Year&gt;2017&lt;/Year&gt;&lt;RecNum&gt;6&lt;/RecNum&gt;&lt;DisplayText&gt;(&amp;apos;Value in Using CAR T Cells for DLBCL&amp;apos;  2017)&lt;/DisplayText&gt;&lt;record&gt;&lt;rec-number&gt;6&lt;/rec-number&gt;&lt;foreign-keys&gt;&lt;key app="EN" db-id="ffeszew2p5f0f8e0df5pt5dwpf9f92s0vadw" timestamp="1515628212"&gt;6&lt;/key&gt;&lt;/foreign-keys&gt;&lt;ref-type name="Journal Article"&gt;17&lt;/ref-type&gt;&lt;contributors&gt;&lt;/contributors&gt;&lt;titles&gt;&lt;title&gt;Value in Using CAR T Cells for DLBCL&lt;/title&gt;&lt;secondary-title&gt;Cancer Discov&lt;/secondary-title&gt;&lt;/titles&gt;&lt;periodical&gt;&lt;full-title&gt;Cancer Discov&lt;/full-title&gt;&lt;/periodical&gt;&lt;dates&gt;&lt;year&gt;2017&lt;/year&gt;&lt;pub-dates&gt;&lt;date&gt;Dec 15&lt;/date&gt;&lt;/pub-dates&gt;&lt;/dates&gt;&lt;isbn&gt;2159-8290 (Electronic)&amp;#xD;2159-8274 (Linking)&lt;/isbn&gt;&lt;accession-num&gt;29247018&lt;/accession-num&gt;&lt;urls&gt;&lt;related-urls&gt;&lt;url&gt;http://www.ncbi.nlm.nih.gov/pubmed/29247018&lt;/url&gt;&lt;/related-urls&gt;&lt;/urls&gt;&lt;electronic-resource-num&gt;10.1158/2159-8290.CD-NB2017-179&lt;/electronic-resource-num&gt;&lt;/record&gt;&lt;/Cite&gt;&lt;/EndNote&gt;</w:instrText>
      </w:r>
      <w:r w:rsidR="00981996">
        <w:fldChar w:fldCharType="separate"/>
      </w:r>
      <w:r w:rsidR="00981996">
        <w:rPr>
          <w:noProof/>
        </w:rPr>
        <w:t>('Value in Using CAR T Cells for DLBCL'  2017)</w:t>
      </w:r>
      <w:r w:rsidR="00981996">
        <w:fldChar w:fldCharType="end"/>
      </w:r>
      <w:r w:rsidR="005F6D1D">
        <w:t>.</w:t>
      </w:r>
      <w:r w:rsidR="008E6006">
        <w:rPr>
          <w:rStyle w:val="FootnoteReference"/>
        </w:rPr>
        <w:footnoteReference w:id="9"/>
      </w:r>
    </w:p>
    <w:p w14:paraId="27952A56" w14:textId="21E99B1B" w:rsidR="00204C8B" w:rsidRPr="007F6B54" w:rsidRDefault="00640B68" w:rsidP="007534B0">
      <w:pPr>
        <w:jc w:val="both"/>
        <w:rPr>
          <w:i/>
        </w:rPr>
      </w:pPr>
      <w:r>
        <w:lastRenderedPageBreak/>
        <w:t>One retr</w:t>
      </w:r>
      <w:r w:rsidR="0037704F">
        <w:t>ospective cohort study</w:t>
      </w:r>
      <w:r w:rsidR="000E4BCF">
        <w:t xml:space="preserve">, Fitzgerald et al., </w:t>
      </w:r>
      <w:r w:rsidR="0037704F">
        <w:t>investigated the timing, severity and management of cytokine release syndrome</w:t>
      </w:r>
      <w:r w:rsidR="00D80DDC">
        <w:t xml:space="preserve"> (</w:t>
      </w:r>
      <w:r w:rsidR="001C7259">
        <w:t xml:space="preserve">CRS; </w:t>
      </w:r>
      <w:r w:rsidR="00D80DDC">
        <w:t>an adverse event)</w:t>
      </w:r>
      <w:r w:rsidR="0037704F">
        <w:t xml:space="preserve"> in relapsed/refractory ALL patients</w:t>
      </w:r>
      <w:r w:rsidR="00A05753">
        <w:t xml:space="preserve"> (n=39)</w:t>
      </w:r>
      <w:r w:rsidR="0037704F">
        <w:t xml:space="preserve">. </w:t>
      </w:r>
      <w:r w:rsidR="00204C8B">
        <w:t xml:space="preserve">Maude et al (2014) included 25 relapsed ALL patients aged between 5 and 22 years old, and </w:t>
      </w:r>
      <w:r w:rsidR="00A870CB">
        <w:t>five</w:t>
      </w:r>
      <w:r w:rsidR="00204C8B">
        <w:t xml:space="preserve"> aged &gt; 25 (three of which had primary refractory disease). </w:t>
      </w:r>
      <w:r w:rsidR="00406B4B">
        <w:t>The study re</w:t>
      </w:r>
      <w:r w:rsidR="00BA74A0">
        <w:t>ported complete remission in 27/30</w:t>
      </w:r>
      <w:r w:rsidR="00406B4B">
        <w:t xml:space="preserve"> patients, with a sustained remission with a 6-month event-free survival rate of 67%.</w:t>
      </w:r>
      <w:r w:rsidR="007F6B54">
        <w:rPr>
          <w:i/>
        </w:rPr>
        <w:t xml:space="preserve"> The institute for Clinical and Economic Review also recently published a report on the effectiveness and value of CAR-T therapies for B-cell cancers, summarising the evidence </w:t>
      </w:r>
      <w:r w:rsidR="00981996">
        <w:rPr>
          <w:i/>
        </w:rPr>
        <w:fldChar w:fldCharType="begin"/>
      </w:r>
      <w:r w:rsidR="00981996">
        <w:rPr>
          <w:i/>
        </w:rPr>
        <w:instrText xml:space="preserve"> ADDIN EN.CITE &lt;EndNote&gt;&lt;Cite&gt;&lt;Author&gt;Institute for Clinical and Economic Review (ICER)&lt;/Author&gt;&lt;Year&gt;2017&lt;/Year&gt;&lt;RecNum&gt;9&lt;/RecNum&gt;&lt;DisplayText&gt;(Institute for Clinical and Economic Review (ICER) 2017)&lt;/DisplayText&gt;&lt;record&gt;&lt;rec-number&gt;9&lt;/rec-number&gt;&lt;foreign-keys&gt;&lt;key app="EN" db-id="ffeszew2p5f0f8e0df5pt5dwpf9f92s0vadw" timestamp="1516335195"&gt;9&lt;/key&gt;&lt;/foreign-keys&gt;&lt;ref-type name="Report"&gt;27&lt;/ref-type&gt;&lt;contributors&gt;&lt;authors&gt;&lt;author&gt;Institute for Clinical and Economic Review (ICER),.&lt;/author&gt;&lt;/authors&gt;&lt;/contributors&gt;&lt;titles&gt;&lt;title&gt;Chimeric Antigen Receptor T-Cell Therapy for B-Cell Cancers: Effectiveness and Value, Draft evidence report&lt;/title&gt;&lt;/titles&gt;&lt;dates&gt;&lt;year&gt;2017&lt;/year&gt;&lt;pub-dates&gt;&lt;date&gt;December 19,2017&lt;/date&gt;&lt;/pub-dates&gt;&lt;/dates&gt;&lt;publisher&gt;Institute for Clinical and Economic Review,&lt;/publisher&gt;&lt;urls&gt;&lt;/urls&gt;&lt;/record&gt;&lt;/Cite&gt;&lt;/EndNote&gt;</w:instrText>
      </w:r>
      <w:r w:rsidR="00981996">
        <w:rPr>
          <w:i/>
        </w:rPr>
        <w:fldChar w:fldCharType="separate"/>
      </w:r>
      <w:r w:rsidR="00981996">
        <w:rPr>
          <w:i/>
          <w:noProof/>
        </w:rPr>
        <w:t>(Institute for Clinical and Economic Review (ICER) 2017)</w:t>
      </w:r>
      <w:r w:rsidR="00981996">
        <w:rPr>
          <w:i/>
        </w:rPr>
        <w:fldChar w:fldCharType="end"/>
      </w:r>
      <w:r w:rsidR="00841746">
        <w:rPr>
          <w:i/>
        </w:rPr>
        <w:t>.</w:t>
      </w:r>
    </w:p>
    <w:p w14:paraId="718EF3F5" w14:textId="5D3437CC" w:rsidR="001039DF" w:rsidRDefault="00D4348F" w:rsidP="007534B0">
      <w:pPr>
        <w:jc w:val="both"/>
        <w:rPr>
          <w:i/>
        </w:rPr>
      </w:pPr>
      <w:r>
        <w:t>The study by Mueller et al</w:t>
      </w:r>
      <w:r w:rsidR="00182250">
        <w:t xml:space="preserve"> (2017) included both </w:t>
      </w:r>
      <w:r w:rsidR="00920B64">
        <w:t>children</w:t>
      </w:r>
      <w:r w:rsidR="00182250">
        <w:t xml:space="preserve"> and adult patients with ALL and chronic lymphocytic leukaemia (CLL). </w:t>
      </w:r>
      <w:r w:rsidR="00182250" w:rsidRPr="00265F77">
        <w:rPr>
          <w:i/>
        </w:rPr>
        <w:t>There is evidence that CAR-T cells can also be used to treat refractor</w:t>
      </w:r>
      <w:r w:rsidR="00182250">
        <w:rPr>
          <w:i/>
        </w:rPr>
        <w:t xml:space="preserve">y chronic lymphocytic leukaemia (CLL). One study reported that 8/14 patients had a response (57%), with 4 patients going into complete remission and 4 patients obtaining partial remission. </w:t>
      </w:r>
      <w:r w:rsidR="00981996">
        <w:rPr>
          <w:i/>
        </w:rPr>
        <w:fldChar w:fldCharType="begin">
          <w:fldData xml:space="preserve">PEVuZE5vdGU+PENpdGU+PEF1dGhvcj5Qb3J0ZXI8L0F1dGhvcj48WWVhcj4yMDE1PC9ZZWFyPjxS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</w:fldData>
        </w:fldChar>
      </w:r>
      <w:r w:rsidR="00981996">
        <w:rPr>
          <w:i/>
        </w:rPr>
        <w:instrText xml:space="preserve"> ADDIN EN.CITE </w:instrText>
      </w:r>
      <w:r w:rsidR="00981996">
        <w:rPr>
          <w:i/>
        </w:rPr>
        <w:fldChar w:fldCharType="begin">
          <w:fldData xml:space="preserve">PEVuZE5vdGU+PENpdGU+PEF1dGhvcj5Qb3J0ZXI8L0F1dGhvcj48WWVhcj4yMDE1PC9ZZWFyPjxS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</w:fldData>
        </w:fldChar>
      </w:r>
      <w:r w:rsidR="00981996">
        <w:rPr>
          <w:i/>
        </w:rPr>
        <w:instrText xml:space="preserve"> ADDIN EN.CITE.DATA </w:instrText>
      </w:r>
      <w:r w:rsidR="00981996">
        <w:rPr>
          <w:i/>
        </w:rPr>
      </w:r>
      <w:r w:rsidR="00981996">
        <w:rPr>
          <w:i/>
        </w:rPr>
        <w:fldChar w:fldCharType="end"/>
      </w:r>
      <w:r w:rsidR="00981996">
        <w:rPr>
          <w:i/>
        </w:rPr>
      </w:r>
      <w:r w:rsidR="00981996">
        <w:rPr>
          <w:i/>
        </w:rPr>
        <w:fldChar w:fldCharType="separate"/>
      </w:r>
      <w:r w:rsidR="00981996">
        <w:rPr>
          <w:i/>
          <w:noProof/>
        </w:rPr>
        <w:t>(Porter et al. 2015)</w:t>
      </w:r>
      <w:r w:rsidR="00981996">
        <w:rPr>
          <w:i/>
        </w:rPr>
        <w:fldChar w:fldCharType="end"/>
      </w:r>
      <w:r w:rsidR="008C4427">
        <w:rPr>
          <w:i/>
        </w:rPr>
        <w:t>.</w:t>
      </w:r>
      <w:r w:rsidR="00182250">
        <w:rPr>
          <w:i/>
        </w:rPr>
        <w:t xml:space="preserve"> </w:t>
      </w:r>
      <w:r w:rsidR="008C4427">
        <w:rPr>
          <w:i/>
        </w:rPr>
        <w:t>Furthermore, another recently published study included both patients with DLBCL (n=23) and follicular lymphoma (n=15). This study reported a complete remission after receiving CTL019 cells</w:t>
      </w:r>
      <w:r w:rsidR="0023561E">
        <w:rPr>
          <w:i/>
        </w:rPr>
        <w:t xml:space="preserve"> (tisagenlecleucel)</w:t>
      </w:r>
      <w:r w:rsidR="008C4427">
        <w:rPr>
          <w:i/>
        </w:rPr>
        <w:t xml:space="preserve"> in 10/14 patients with follicular lymphoma. </w:t>
      </w:r>
      <w:r w:rsidR="00981996">
        <w:fldChar w:fldCharType="begin"/>
      </w:r>
      <w:r w:rsidR="00981996">
        <w:instrText xml:space="preserve"> ADDIN EN.CITE &lt;EndNote&gt;&lt;Cite&gt;&lt;Author&gt;Schuster&lt;/Author&gt;&lt;Year&gt;2017&lt;/Year&gt;&lt;RecNum&gt;5&lt;/RecNum&gt;&lt;IDText&gt;2545-2554&lt;/IDText&gt;&lt;DisplayText&gt;(Schuster et al. 2017)&lt;/DisplayText&gt;&lt;record&gt;&lt;rec-number&gt;5&lt;/rec-number&gt;&lt;foreign-keys&gt;&lt;key app="EN" db-id="ffeszew2p5f0f8e0df5pt5dwpf9f92s0vadw" timestamp="1515548902"&gt;5&lt;/key&gt;&lt;/foreign-keys&gt;&lt;ref-type name="Journal Article"&gt;17&lt;/ref-type&gt;&lt;contributors&gt;&lt;authors&gt;&lt;author&gt;Schuster, S. J.&lt;/author&gt;&lt;author&gt;Svoboda, J.&lt;/author&gt;&lt;author&gt;Chong, E. A.&lt;/author&gt;&lt;author&gt;Nasta, S. D.&lt;/author&gt;&lt;author&gt;Mato, A. R.&lt;/author&gt;&lt;author&gt;Anak, O.&lt;/author&gt;&lt;author&gt;Brogdon, J. L.&lt;/author&gt;&lt;author&gt;Pruteanu-Malinici, I.&lt;/author&gt;&lt;author&gt;Bhoj, V.&lt;/author&gt;&lt;author&gt;Landsburg, D.&lt;/author&gt;&lt;author&gt;Wasik, M.&lt;/author&gt;&lt;author&gt;Levine, B. L.&lt;/author&gt;&lt;author&gt;Lacey, S. F.&lt;/author&gt;&lt;author&gt;Melenhorst, J. J.&lt;/author&gt;&lt;author&gt;Porter, D. L.&lt;/author&gt;&lt;author&gt;June, C. H.&lt;/author&gt;&lt;/authors&gt;&lt;/contributors&gt;&lt;auth-address&gt;From the Lymphoma Program at the Abramson Cancer Center and the Division of Hematology-Oncology (S.J.S., J.S., E.A.C., S.D.N., A.R.M., D.L., D.L.P.), and the Department of Pathology and Laboratory Medicine (V.B., M.W., B.L.L., S.F.L., J.J.M., C.H.J.), Perelman School of Medicine, University of Pennsylvania, Philadelphia; Novartis Pharmaceuticals, Basel, Switzerland (O.A.); and Novartis Institutes for BioMedical Research, Cambridge, MA (J.L.B., I.P-M.).&lt;/auth-address&gt;&lt;titles&gt;&lt;title&gt;Chimeric Antigen Receptor T Cells in Refractory B-Cell Lymphomas&lt;/title&gt;&lt;secondary-title&gt;N Engl J Med&lt;/secondary-title&gt;&lt;/titles&gt;&lt;periodical&gt;&lt;full-title&gt;N Engl J Med&lt;/full-title&gt;&lt;/periodical&gt;&lt;pages&gt;2545-2554&lt;/pages&gt;&lt;volume&gt;377&lt;/volume&gt;&lt;number&gt;26&lt;/number&gt;&lt;dates&gt;&lt;year&gt;2017&lt;/year&gt;&lt;pub-dates&gt;&lt;date&gt;Dec 28&lt;/date&gt;&lt;/pub-dates&gt;&lt;/dates&gt;&lt;isbn&gt;1533-4406 (Electronic)&amp;#xD;0028-4793 (Linking)&lt;/isbn&gt;&lt;accession-num&gt;29226764&lt;/accession-num&gt;&lt;urls&gt;&lt;related-urls&gt;&lt;url&gt;http://www.ncbi.nlm.nih.gov/pubmed/29226764&lt;/url&gt;&lt;url&gt;http://www.nejm.org/doi/pdf/10.1056/NEJMoa1708566&lt;/url&gt;&lt;/related-urls&gt;&lt;/urls&gt;&lt;electronic-resource-num&gt;10.1056/NEJMoa1708566&lt;/electronic-resource-num&gt;&lt;/record&gt;&lt;/Cite&gt;&lt;/EndNote&gt;</w:instrText>
      </w:r>
      <w:r w:rsidR="00981996">
        <w:fldChar w:fldCharType="separate"/>
      </w:r>
      <w:r w:rsidR="00981996">
        <w:rPr>
          <w:noProof/>
        </w:rPr>
        <w:t>(Schuster et al. 2017)</w:t>
      </w:r>
      <w:r w:rsidR="00981996">
        <w:fldChar w:fldCharType="end"/>
      </w:r>
      <w:r w:rsidR="008C4427">
        <w:t xml:space="preserve"> </w:t>
      </w:r>
      <w:r w:rsidR="008C4427">
        <w:rPr>
          <w:i/>
        </w:rPr>
        <w:t>This suggests CAR-T therapy may potentially be useful for other indications</w:t>
      </w:r>
      <w:r w:rsidR="00D80DDC">
        <w:rPr>
          <w:i/>
        </w:rPr>
        <w:t xml:space="preserve">, </w:t>
      </w:r>
      <w:r w:rsidR="008C4427">
        <w:rPr>
          <w:i/>
        </w:rPr>
        <w:t>in addition to AL</w:t>
      </w:r>
      <w:r w:rsidR="00D80DDC">
        <w:rPr>
          <w:i/>
        </w:rPr>
        <w:t>L and DLBCL</w:t>
      </w:r>
      <w:r w:rsidR="008C4427">
        <w:rPr>
          <w:i/>
        </w:rPr>
        <w:t xml:space="preserve">. </w:t>
      </w:r>
    </w:p>
    <w:p w14:paraId="45B70911" w14:textId="59F01EBE" w:rsidR="00CC4A2B" w:rsidRDefault="00CC4A2B" w:rsidP="007534B0">
      <w:pPr>
        <w:jc w:val="both"/>
        <w:rPr>
          <w:i/>
        </w:rPr>
      </w:pPr>
      <w:r>
        <w:rPr>
          <w:i/>
        </w:rPr>
        <w:t xml:space="preserve">Around 30 trials </w:t>
      </w:r>
      <w:r w:rsidR="005B162D">
        <w:rPr>
          <w:i/>
        </w:rPr>
        <w:t>a</w:t>
      </w:r>
      <w:r>
        <w:rPr>
          <w:i/>
        </w:rPr>
        <w:t>re currently ongoing</w:t>
      </w:r>
      <w:r>
        <w:rPr>
          <w:rStyle w:val="FootnoteReference"/>
          <w:i/>
        </w:rPr>
        <w:footnoteReference w:id="10"/>
      </w:r>
      <w:r w:rsidR="005B162D">
        <w:rPr>
          <w:i/>
        </w:rPr>
        <w:t xml:space="preserve"> on CAR-T therapies</w:t>
      </w:r>
      <w:r w:rsidR="003022A1">
        <w:rPr>
          <w:i/>
        </w:rPr>
        <w:t xml:space="preserve">, of which the majority </w:t>
      </w:r>
      <w:r w:rsidR="00F370C4">
        <w:rPr>
          <w:i/>
        </w:rPr>
        <w:t xml:space="preserve">are </w:t>
      </w:r>
      <w:r w:rsidR="003022A1">
        <w:rPr>
          <w:i/>
        </w:rPr>
        <w:t>single-arm</w:t>
      </w:r>
      <w:r>
        <w:rPr>
          <w:i/>
        </w:rPr>
        <w:t xml:space="preserve">. Most are </w:t>
      </w:r>
      <w:r w:rsidR="0085069D">
        <w:rPr>
          <w:i/>
        </w:rPr>
        <w:t>recruiting</w:t>
      </w:r>
      <w:r>
        <w:rPr>
          <w:i/>
        </w:rPr>
        <w:t xml:space="preserve"> patients with (refractory or relapsed CD19-positive) ALL or DLBCL, however some are also including patients with CLL, small lymphoblastic lymphoma, multiple myeloma, Hodgkin Lymphoma, mantle cell lymphoma, pancreatic cancer, follicular lymphomas or B-cell malignancies in general.</w:t>
      </w:r>
      <w:r w:rsidR="00900F8F">
        <w:rPr>
          <w:i/>
        </w:rPr>
        <w:t xml:space="preserve"> </w:t>
      </w:r>
      <w:r w:rsidR="00213D4E">
        <w:rPr>
          <w:i/>
        </w:rPr>
        <w:t xml:space="preserve">Currently there are around 25 trials on ClinicalTrials.gov which are (or have completed) investigating tisagenlecleucel specifically (studies found for CTL019 and/or CART-19). </w:t>
      </w:r>
    </w:p>
    <w:p w14:paraId="64B9652E" w14:textId="36FE01F9" w:rsidR="00215FE9" w:rsidRDefault="00C62C00" w:rsidP="007534B0">
      <w:pPr>
        <w:jc w:val="both"/>
        <w:rPr>
          <w:i/>
        </w:rPr>
      </w:pPr>
      <w:r>
        <w:rPr>
          <w:i/>
        </w:rPr>
        <w:t>On May 1, 2018,</w:t>
      </w:r>
      <w:r w:rsidR="00215FE9">
        <w:rPr>
          <w:i/>
        </w:rPr>
        <w:t xml:space="preserve"> the FDA (in the US)</w:t>
      </w:r>
      <w:r w:rsidR="00971674">
        <w:rPr>
          <w:i/>
        </w:rPr>
        <w:t xml:space="preserve"> approved tisagenlecleucel for the treatment of adult patients with relapsed or refractory DLBCL who have relapsed or are ineligible for autologous SCT.</w:t>
      </w:r>
      <w:r w:rsidR="00971674">
        <w:rPr>
          <w:rStyle w:val="FootnoteReference"/>
          <w:i/>
        </w:rPr>
        <w:footnoteReference w:id="11"/>
      </w:r>
      <w:r w:rsidR="00215FE9">
        <w:rPr>
          <w:i/>
        </w:rPr>
        <w:t xml:space="preserve">  In addition,</w:t>
      </w:r>
      <w:r w:rsidR="00F94E71">
        <w:rPr>
          <w:i/>
        </w:rPr>
        <w:t xml:space="preserve"> in January 2018</w:t>
      </w:r>
      <w:r w:rsidR="00215FE9">
        <w:rPr>
          <w:i/>
        </w:rPr>
        <w:t xml:space="preserve"> the European</w:t>
      </w:r>
      <w:r w:rsidR="00934625">
        <w:rPr>
          <w:i/>
        </w:rPr>
        <w:t xml:space="preserve"> Medicines Agency (EMA) has</w:t>
      </w:r>
      <w:r w:rsidR="00215FE9">
        <w:rPr>
          <w:i/>
        </w:rPr>
        <w:t xml:space="preserve"> granted accelerated assessment to the Marketing Authorisation Application (MAA) for tisagenlecleucel for the treatment of children and young adults with relapsed or refractory B-cell ALL and adults wi</w:t>
      </w:r>
      <w:r w:rsidR="00934625">
        <w:rPr>
          <w:i/>
        </w:rPr>
        <w:t>th relapsed or refractory DLBCL, who are ineligible for ASCT</w:t>
      </w:r>
      <w:r w:rsidR="00215FE9">
        <w:rPr>
          <w:i/>
        </w:rPr>
        <w:t>. This means the decision time would be cut from 201 to 150 days in Europe</w:t>
      </w:r>
      <w:r w:rsidR="005F6D1D">
        <w:rPr>
          <w:i/>
        </w:rPr>
        <w:t>.</w:t>
      </w:r>
      <w:r w:rsidR="00215FE9">
        <w:rPr>
          <w:rStyle w:val="FootnoteReference"/>
          <w:i/>
        </w:rPr>
        <w:footnoteReference w:id="12"/>
      </w:r>
      <w:r w:rsidR="00E95A8D">
        <w:rPr>
          <w:i/>
        </w:rPr>
        <w:t xml:space="preserve"> </w:t>
      </w:r>
      <w:r w:rsidR="00934625">
        <w:rPr>
          <w:i/>
        </w:rPr>
        <w:t>This assessment is currently in progress.</w:t>
      </w:r>
    </w:p>
    <w:p w14:paraId="7E636196" w14:textId="3D3B6F4F" w:rsidR="00953ED7" w:rsidRPr="00E364F7" w:rsidRDefault="001039DF" w:rsidP="00EE435A">
      <w:pPr>
        <w:pStyle w:val="Heading3"/>
      </w:pPr>
      <w:r>
        <w:t>2.</w:t>
      </w:r>
      <w:r w:rsidR="00E159C1">
        <w:t>3</w:t>
      </w:r>
      <w:r>
        <w:t xml:space="preserve"> </w:t>
      </w:r>
      <w:r w:rsidR="00953ED7">
        <w:t>Prior test (investigative services only</w:t>
      </w:r>
      <w:r w:rsidR="00087052">
        <w:t xml:space="preserve"> </w:t>
      </w:r>
      <w:r w:rsidR="00953ED7">
        <w:t>- if prior tests are to be included)</w:t>
      </w:r>
    </w:p>
    <w:p w14:paraId="2F91CD1C" w14:textId="785C7D77" w:rsidR="004F6D3A" w:rsidRDefault="004F6D3A" w:rsidP="002C4D97">
      <w:pPr>
        <w:jc w:val="both"/>
      </w:pPr>
      <w:r>
        <w:t xml:space="preserve">Patients will be monitored </w:t>
      </w:r>
      <w:r w:rsidR="0051300F">
        <w:t>to see whether they</w:t>
      </w:r>
      <w:r w:rsidR="002C4D97">
        <w:t xml:space="preserve"> have</w:t>
      </w:r>
      <w:r w:rsidR="0051300F">
        <w:t xml:space="preserve"> relapsed or refractory disease. A variety of different tests may be done, including blood counts, bone marrow aspiration and biopsy, lumbar puncture, and/or imaging tests (i.e. x-ray, computerised tomography, magnetic resonance imaging, posit</w:t>
      </w:r>
      <w:r w:rsidR="00B13A02">
        <w:t>r</w:t>
      </w:r>
      <w:r w:rsidR="0051300F">
        <w:t xml:space="preserve">on emission tomography, </w:t>
      </w:r>
      <w:proofErr w:type="gramStart"/>
      <w:r w:rsidR="002C4D97">
        <w:t>ultrasound</w:t>
      </w:r>
      <w:proofErr w:type="gramEnd"/>
      <w:r w:rsidR="002C4D97">
        <w:t>)</w:t>
      </w:r>
      <w:r w:rsidR="005F6D1D">
        <w:t>.</w:t>
      </w:r>
      <w:r w:rsidR="005B5BB4">
        <w:rPr>
          <w:rStyle w:val="FootnoteReference"/>
        </w:rPr>
        <w:footnoteReference w:id="13"/>
      </w:r>
      <w:r w:rsidR="0051300F">
        <w:t xml:space="preserve"> </w:t>
      </w:r>
    </w:p>
    <w:p w14:paraId="3377C8AC" w14:textId="2BC3139A" w:rsidR="00896845" w:rsidRPr="00E364F7" w:rsidRDefault="001039DF" w:rsidP="00EE435A">
      <w:pPr>
        <w:pStyle w:val="Heading3"/>
      </w:pPr>
      <w:r>
        <w:t>2.</w:t>
      </w:r>
      <w:r w:rsidR="00E159C1">
        <w:t>4</w:t>
      </w:r>
      <w:r>
        <w:t xml:space="preserve"> </w:t>
      </w:r>
      <w:r w:rsidR="00896845" w:rsidRPr="00E364F7">
        <w:t>Intervention</w:t>
      </w:r>
    </w:p>
    <w:p w14:paraId="18F6F28A" w14:textId="398399F5" w:rsidR="00A250A4" w:rsidRDefault="00257468" w:rsidP="007534B0">
      <w:pPr>
        <w:jc w:val="both"/>
      </w:pPr>
      <w:r>
        <w:t xml:space="preserve">Tisagenlecleucel </w:t>
      </w:r>
      <w:r w:rsidR="00AE334A">
        <w:t xml:space="preserve">(also known as CTL019, and brand name </w:t>
      </w:r>
      <w:proofErr w:type="spellStart"/>
      <w:r w:rsidR="00AE334A">
        <w:t>Kymriah</w:t>
      </w:r>
      <w:proofErr w:type="spellEnd"/>
      <w:r w:rsidR="00AE334A">
        <w:t xml:space="preserve">™) </w:t>
      </w:r>
      <w:r w:rsidR="00B92B2B">
        <w:t xml:space="preserve">is an </w:t>
      </w:r>
      <w:proofErr w:type="spellStart"/>
      <w:r w:rsidR="00B92B2B">
        <w:t>immunocellular</w:t>
      </w:r>
      <w:proofErr w:type="spellEnd"/>
      <w:r w:rsidR="00B92B2B">
        <w:t xml:space="preserve"> cancer therapy </w:t>
      </w:r>
      <w:r>
        <w:t>using auto</w:t>
      </w:r>
      <w:r w:rsidR="003B6E91">
        <w:t xml:space="preserve">logous peripheral blood T-cells, extracted using </w:t>
      </w:r>
      <w:proofErr w:type="spellStart"/>
      <w:r w:rsidR="003B6E91">
        <w:t>leukapheresis</w:t>
      </w:r>
      <w:proofErr w:type="spellEnd"/>
      <w:r w:rsidR="003B6E91">
        <w:t xml:space="preserve">, </w:t>
      </w:r>
      <w:r>
        <w:t>which are</w:t>
      </w:r>
      <w:r w:rsidR="00681866">
        <w:t xml:space="preserve"> then</w:t>
      </w:r>
      <w:r>
        <w:t xml:space="preserve"> </w:t>
      </w:r>
      <w:r>
        <w:lastRenderedPageBreak/>
        <w:t>reprogrammed with a chimeric antigen receptor (CAR)</w:t>
      </w:r>
      <w:r w:rsidR="008252DA">
        <w:t xml:space="preserve"> </w:t>
      </w:r>
      <w:r w:rsidR="003B6E91">
        <w:t xml:space="preserve">that </w:t>
      </w:r>
      <w:r w:rsidR="008252DA">
        <w:t>identifies and destroys</w:t>
      </w:r>
      <w:r w:rsidR="00A250A4">
        <w:t xml:space="preserve"> CD19-expressing </w:t>
      </w:r>
      <w:r w:rsidR="00681866">
        <w:t>(</w:t>
      </w:r>
      <w:r w:rsidR="00A250A4">
        <w:t>malignant and non-malignant</w:t>
      </w:r>
      <w:r w:rsidR="00681866">
        <w:t>)</w:t>
      </w:r>
      <w:r w:rsidR="00A250A4">
        <w:t xml:space="preserve"> cells</w:t>
      </w:r>
      <w:r w:rsidR="008343D1">
        <w:t xml:space="preserve"> </w:t>
      </w:r>
      <w:r w:rsidR="008343D1">
        <w:fldChar w:fldCharType="begin"/>
      </w:r>
      <w:r w:rsidR="008343D1">
        <w:instrText xml:space="preserve"> ADDIN EN.CITE &lt;EndNote&gt;&lt;Cite&gt;&lt;Author&gt;Novartis&lt;/Author&gt;&lt;Year&gt;2017&lt;/Year&gt;&lt;RecNum&gt;13&lt;/RecNum&gt;&lt;DisplayText&gt;(Novartis 2017)&lt;/DisplayText&gt;&lt;record&gt;&lt;rec-number&gt;13&lt;/rec-number&gt;&lt;foreign-keys&gt;&lt;key app="EN" db-id="ffeszew2p5f0f8e0df5pt5dwpf9f92s0vadw" timestamp="1518129870"&gt;13&lt;/key&gt;&lt;/foreign-keys&gt;&lt;ref-type name="Report"&gt;27&lt;/ref-type&gt;&lt;contributors&gt;&lt;authors&gt;&lt;author&gt;Novartis,.&lt;/author&gt;&lt;/authors&gt;&lt;/contributors&gt;&lt;titles&gt;&lt;title&gt;Oncologic drugs advisory committee briefing document. Tisagenlecleucel (CTL019) for the treatment of pediatric and young adult patients with relapsed/refractory B-cell acute lymphoblastic leukemia&lt;/title&gt;&lt;secondary-title&gt;FDA Advisory Committee Briefing Document&lt;/secondary-title&gt;&lt;/titles&gt;&lt;dates&gt;&lt;year&gt;2017&lt;/year&gt;&lt;/dates&gt;&lt;urls&gt;&lt;related-urls&gt;&lt;url&gt;https://www.google.com.au/url?sa=t&amp;amp;rct=j&amp;amp;q=&amp;amp;esrc=s&amp;amp;source=web&amp;amp;cd=1&amp;amp;ved=0ahUKEwjNiMKrsZfZAhXCzLwKHcx8AOIQFggnMAA&amp;amp;url=https%3A%2F%2Fwww.fda.gov%2Fdownloads%2Fadvisorycommittees%2Fcommitteesmeetingmaterials%2Fdrugs%2Foncologicdrugsadvisorycommittee%2Fucm566168.pdf&amp;amp;usg=AOvVaw3ReSnHGYOJnzPVzR9-A_Wa&lt;/url&gt;&lt;/related-urls&gt;&lt;/urls&gt;&lt;/record&gt;&lt;/Cite&gt;&lt;/EndNote&gt;</w:instrText>
      </w:r>
      <w:r w:rsidR="008343D1">
        <w:fldChar w:fldCharType="separate"/>
      </w:r>
      <w:r w:rsidR="008343D1">
        <w:rPr>
          <w:noProof/>
        </w:rPr>
        <w:t>(Novartis 2017)</w:t>
      </w:r>
      <w:r w:rsidR="008343D1">
        <w:fldChar w:fldCharType="end"/>
      </w:r>
      <w:r w:rsidR="00A250A4">
        <w:t xml:space="preserve">. </w:t>
      </w:r>
      <w:r w:rsidR="002A35B1">
        <w:t xml:space="preserve">The CD19 antigens are B-cell specific surface antigens expressed in all B-cell lineage malignancies. </w:t>
      </w:r>
      <w:r w:rsidR="008252DA">
        <w:t xml:space="preserve">The CAR consists of a murine single-chain antibody fragment, which recognises CD19. </w:t>
      </w:r>
      <w:r w:rsidR="00681866">
        <w:t>The patient’s own reprogrammed CAR T-cells (CAR-T) are</w:t>
      </w:r>
      <w:r w:rsidR="003B6E91">
        <w:t xml:space="preserve"> then</w:t>
      </w:r>
      <w:r w:rsidR="00681866">
        <w:t xml:space="preserve"> re-infused into the patient’s body where they </w:t>
      </w:r>
      <w:r w:rsidR="006F006D">
        <w:t>target</w:t>
      </w:r>
      <w:r w:rsidR="00681866">
        <w:t xml:space="preserve"> the cancer cells. </w:t>
      </w:r>
    </w:p>
    <w:p w14:paraId="0C3476BA" w14:textId="08B60C5F" w:rsidR="002A35B1" w:rsidRDefault="002A35B1" w:rsidP="007534B0">
      <w:pPr>
        <w:jc w:val="both"/>
        <w:rPr>
          <w:i/>
        </w:rPr>
      </w:pPr>
      <w:r w:rsidRPr="002A35B1">
        <w:rPr>
          <w:i/>
        </w:rPr>
        <w:t xml:space="preserve">According to the Drug Information Portal of the United States National Library of Medicine, tisagenlecleucel is: “Allogeneic T-lymphocytes transduced with a modified lentiviral vector expressing a chimeric antigen receptor (CAR) consisting of an anti-CD19 </w:t>
      </w:r>
      <w:proofErr w:type="spellStart"/>
      <w:r w:rsidRPr="002A35B1">
        <w:rPr>
          <w:i/>
        </w:rPr>
        <w:t>scFv</w:t>
      </w:r>
      <w:proofErr w:type="spellEnd"/>
      <w:r w:rsidRPr="002A35B1">
        <w:rPr>
          <w:i/>
        </w:rPr>
        <w:t xml:space="preserve"> (single chain variable fragment) and the zeta chain of the TCR/CD3 complex (CD3-zeta), coupled to the signalling domain of 4-1BB (CD137), with potential </w:t>
      </w:r>
      <w:proofErr w:type="spellStart"/>
      <w:r w:rsidRPr="002A35B1">
        <w:rPr>
          <w:i/>
        </w:rPr>
        <w:t>immunomodulating</w:t>
      </w:r>
      <w:proofErr w:type="spellEnd"/>
      <w:r w:rsidRPr="002A35B1">
        <w:rPr>
          <w:i/>
        </w:rPr>
        <w:t xml:space="preserve"> and antineoplastic activities.” The 4-1BB co-stimulatory molecule signalling domain enhances activation and </w:t>
      </w:r>
      <w:r w:rsidR="00302FC7" w:rsidRPr="002A35B1">
        <w:rPr>
          <w:i/>
        </w:rPr>
        <w:t>signalling</w:t>
      </w:r>
      <w:r w:rsidRPr="002A35B1">
        <w:rPr>
          <w:i/>
        </w:rPr>
        <w:t xml:space="preserve"> after recognition of the CD19-expressing tumour cell, and the inclusion of this domain may increase the antitumor activity.  </w:t>
      </w:r>
    </w:p>
    <w:p w14:paraId="6943E54A" w14:textId="19F02A29" w:rsidR="00213D4E" w:rsidRPr="00841746" w:rsidRDefault="00213D4E" w:rsidP="007534B0">
      <w:pPr>
        <w:jc w:val="both"/>
        <w:rPr>
          <w:i/>
        </w:rPr>
      </w:pPr>
      <w:r>
        <w:rPr>
          <w:i/>
        </w:rPr>
        <w:t>Synonyms used for tisagenlecleucel are: a</w:t>
      </w:r>
      <w:r w:rsidRPr="00213D4E">
        <w:rPr>
          <w:i/>
        </w:rPr>
        <w:t xml:space="preserve">doptive immunotherapy agent CTL019, Anti-CD19-CAR transduced T cell, CART-19, CTL019, CTL019 CAR T cell, CTL019 CAR T cell therapy agent, Cytotoxic T cell CTL019, Cytotoxic T cell </w:t>
      </w:r>
      <w:proofErr w:type="spellStart"/>
      <w:r w:rsidRPr="00213D4E">
        <w:rPr>
          <w:i/>
        </w:rPr>
        <w:t>Tisagenlecleucel</w:t>
      </w:r>
      <w:proofErr w:type="spellEnd"/>
      <w:r w:rsidRPr="00213D4E">
        <w:rPr>
          <w:i/>
        </w:rPr>
        <w:t xml:space="preserve">-T, </w:t>
      </w:r>
      <w:proofErr w:type="spellStart"/>
      <w:r w:rsidRPr="00213D4E">
        <w:rPr>
          <w:i/>
        </w:rPr>
        <w:t>Kymriah</w:t>
      </w:r>
      <w:proofErr w:type="spellEnd"/>
      <w:r w:rsidRPr="00213D4E">
        <w:rPr>
          <w:i/>
        </w:rPr>
        <w:t xml:space="preserve">, </w:t>
      </w:r>
      <w:proofErr w:type="spellStart"/>
      <w:proofErr w:type="gramStart"/>
      <w:r w:rsidRPr="00213D4E">
        <w:rPr>
          <w:i/>
        </w:rPr>
        <w:t>Tisagenlecleucel</w:t>
      </w:r>
      <w:proofErr w:type="spellEnd"/>
      <w:proofErr w:type="gramEnd"/>
      <w:r w:rsidRPr="00213D4E">
        <w:rPr>
          <w:i/>
        </w:rPr>
        <w:t>-T</w:t>
      </w:r>
      <w:r w:rsidR="005F6D1D">
        <w:rPr>
          <w:i/>
        </w:rPr>
        <w:t>.</w:t>
      </w:r>
      <w:r>
        <w:rPr>
          <w:rStyle w:val="FootnoteReference"/>
          <w:i/>
        </w:rPr>
        <w:footnoteReference w:id="14"/>
      </w:r>
    </w:p>
    <w:p w14:paraId="4BDEE91D" w14:textId="77777777" w:rsidR="003B6E91" w:rsidRDefault="003B6E91" w:rsidP="003B6E91">
      <w:pPr>
        <w:keepNext/>
      </w:pPr>
      <w:r>
        <w:rPr>
          <w:noProof/>
          <w:lang w:eastAsia="en-AU"/>
        </w:rPr>
        <w:lastRenderedPageBreak/>
        <w:drawing>
          <wp:inline distT="0" distB="0" distL="0" distR="0" wp14:anchorId="6D5CF7CB" wp14:editId="1899AB2E">
            <wp:extent cx="5731510" cy="5742897"/>
            <wp:effectExtent l="0" t="0" r="2540" b="0"/>
            <wp:docPr id="5" name="Picture 5" descr="CAR-T cell therapy infographic" title="CAR-T cell therapy info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5629"/>
                    <a:stretch/>
                  </pic:blipFill>
                  <pic:spPr bwMode="auto">
                    <a:xfrm>
                      <a:off x="0" y="0"/>
                      <a:ext cx="5731510" cy="5742897"/>
                    </a:xfrm>
                    <a:prstGeom prst="rect">
                      <a:avLst/>
                    </a:prstGeom>
                    <a:ln>
                      <a:noFill/>
                    </a:ln>
                    <a:extLst>
                      <a:ext uri="{53640926-AAD7-44D8-BBD7-CCE9431645EC}">
                        <a14:shadowObscured xmlns:a14="http://schemas.microsoft.com/office/drawing/2010/main"/>
                      </a:ext>
                    </a:extLst>
                  </pic:spPr>
                </pic:pic>
              </a:graphicData>
            </a:graphic>
          </wp:inline>
        </w:drawing>
      </w:r>
    </w:p>
    <w:p w14:paraId="41A1E8D5" w14:textId="1C366A0D" w:rsidR="003B6E91" w:rsidRDefault="003B6E91" w:rsidP="003B6E91">
      <w:pPr>
        <w:pStyle w:val="Caption"/>
      </w:pPr>
      <w:bookmarkStart w:id="3" w:name="_Ref503438152"/>
      <w:r>
        <w:t xml:space="preserve">Figure </w:t>
      </w:r>
      <w:r>
        <w:fldChar w:fldCharType="begin"/>
      </w:r>
      <w:r>
        <w:instrText xml:space="preserve"> SEQ Figure \* ARABIC </w:instrText>
      </w:r>
      <w:r>
        <w:fldChar w:fldCharType="separate"/>
      </w:r>
      <w:r w:rsidR="008E5A80">
        <w:rPr>
          <w:noProof/>
        </w:rPr>
        <w:t>2</w:t>
      </w:r>
      <w:r>
        <w:fldChar w:fldCharType="end"/>
      </w:r>
      <w:bookmarkEnd w:id="3"/>
      <w:r>
        <w:t xml:space="preserve"> CAR-T cell therapy infographic</w:t>
      </w:r>
    </w:p>
    <w:p w14:paraId="6E8F2E44" w14:textId="63E79471" w:rsidR="003B6E91" w:rsidRDefault="003B6E91" w:rsidP="00DE4BD1">
      <w:pPr>
        <w:pStyle w:val="Caption"/>
        <w:rPr>
          <w:b w:val="0"/>
        </w:rPr>
      </w:pPr>
      <w:r w:rsidRPr="00DE4BD1">
        <w:rPr>
          <w:b w:val="0"/>
        </w:rPr>
        <w:t>Source: application document</w:t>
      </w:r>
      <w:r w:rsidR="00FF67A5">
        <w:rPr>
          <w:b w:val="0"/>
        </w:rPr>
        <w:t xml:space="preserve"> (image was provided by the applicant)</w:t>
      </w:r>
    </w:p>
    <w:p w14:paraId="069BBE07" w14:textId="1DDB5A5F" w:rsidR="007D2D52" w:rsidRPr="00F94E71" w:rsidRDefault="004C7B67" w:rsidP="00841746">
      <w:pPr>
        <w:spacing w:before="240"/>
        <w:jc w:val="both"/>
        <w:rPr>
          <w:i/>
        </w:rPr>
      </w:pPr>
      <w:r>
        <w:t>Novartis indicated</w:t>
      </w:r>
      <w:r w:rsidR="004D3E8C">
        <w:t xml:space="preserve"> that in the US,</w:t>
      </w:r>
      <w:r>
        <w:t xml:space="preserve"> it would charge $US475</w:t>
      </w:r>
      <w:proofErr w:type="gramStart"/>
      <w:r>
        <w:t>,000</w:t>
      </w:r>
      <w:proofErr w:type="gramEnd"/>
      <w:r>
        <w:t xml:space="preserve"> ($A598,453) for the treatment, custom-made for each patient</w:t>
      </w:r>
      <w:r w:rsidR="005B5BB4">
        <w:rPr>
          <w:rStyle w:val="FootnoteReference"/>
        </w:rPr>
        <w:footnoteReference w:id="15"/>
      </w:r>
      <w:r>
        <w:t xml:space="preserve">. </w:t>
      </w:r>
      <w:r w:rsidR="00D63ED9">
        <w:t>T</w:t>
      </w:r>
      <w:r w:rsidR="00BC39B5">
        <w:t xml:space="preserve">reatment is intended for single use (with curative intent). </w:t>
      </w:r>
      <w:r w:rsidR="00F94E71">
        <w:rPr>
          <w:i/>
        </w:rPr>
        <w:t xml:space="preserve">However, there has been at least one patient who received two CAR-T cell infusions, after progression of disease </w:t>
      </w:r>
      <w:r w:rsidR="00D10738">
        <w:rPr>
          <w:i/>
        </w:rPr>
        <w:fldChar w:fldCharType="begin"/>
      </w:r>
      <w:r w:rsidR="00D10738">
        <w:rPr>
          <w:i/>
        </w:rPr>
        <w:instrText xml:space="preserve"> ADDIN EN.CITE &lt;EndNote&gt;&lt;Cite&gt;&lt;Author&gt;Brudno&lt;/Author&gt;&lt;Year&gt;2018&lt;/Year&gt;&lt;RecNum&gt;15&lt;/RecNum&gt;&lt;IDText&gt;31-46&lt;/IDText&gt;&lt;DisplayText&gt;(Brudno &amp;amp; Kochenderfer 2018)&lt;/DisplayText&gt;&lt;record&gt;&lt;rec-number&gt;15&lt;/rec-number&gt;&lt;foreign-keys&gt;&lt;key app="EN" db-id="ffeszew2p5f0f8e0df5pt5dwpf9f92s0vadw" timestamp="1526008905"&gt;15&lt;/key&gt;&lt;/foreign-keys&gt;&lt;ref-type name="Journal Article"&gt;17&lt;/ref-type&gt;&lt;contributors&gt;&lt;authors&gt;&lt;author&gt;Brudno, J. N.&lt;/author&gt;&lt;author&gt;Kochenderfer, J. N.&lt;/author&gt;&lt;/authors&gt;&lt;/contributors&gt;&lt;auth-address&gt;Experimental Transplantation and Immunology Branch, National Cancer Institute, NIH Building 10 room 3-3330, Bethesda, Maryland 20892, USA.&lt;/auth-address&gt;&lt;titles&gt;&lt;title&gt;Chimeric antigen receptor T-cell therapies for lymphoma&lt;/title&gt;&lt;secondary-title&gt;Nat Rev Clin Oncol&lt;/secondary-title&gt;&lt;/titles&gt;&lt;periodical&gt;&lt;full-title&gt;Nat Rev Clin Oncol&lt;/full-title&gt;&lt;/periodical&gt;&lt;pages&gt;31-46&lt;/pages&gt;&lt;volume&gt;15&lt;/volume&gt;&lt;number&gt;1&lt;/number&gt;&lt;keywords&gt;&lt;keyword&gt;Antigens, CD19/*immunology&lt;/keyword&gt;&lt;keyword&gt;Humans&lt;/keyword&gt;&lt;keyword&gt;Immunotherapy, Adoptive/*methods&lt;/keyword&gt;&lt;keyword&gt;Ki-1 Antigen/immunology&lt;/keyword&gt;&lt;keyword&gt;Lymphoma/*therapy&lt;/keyword&gt;&lt;keyword&gt;Receptors, Antigen, T-Cell/*immunology/therapeutic use&lt;/keyword&gt;&lt;/keywords&gt;&lt;dates&gt;&lt;year&gt;2018&lt;/year&gt;&lt;pub-dates&gt;&lt;date&gt;Jan&lt;/date&gt;&lt;/pub-dates&gt;&lt;/dates&gt;&lt;isbn&gt;1759-4782 (Electronic)&amp;#xD;1759-4774 (Linking)&lt;/isbn&gt;&lt;accession-num&gt;28857075&lt;/accession-num&gt;&lt;urls&gt;&lt;related-urls&gt;&lt;url&gt;http://www.ncbi.nlm.nih.gov/pubmed/28857075&lt;/url&gt;&lt;url&gt;https://www.nature.com/articles/nrclinonc.2017.128.pdf&lt;/url&gt;&lt;/related-urls&gt;&lt;/urls&gt;&lt;electronic-resource-num&gt;10.1038/nrclinonc.2017.128&lt;/electronic-resource-num&gt;&lt;/record&gt;&lt;/Cite&gt;&lt;/EndNote&gt;</w:instrText>
      </w:r>
      <w:r w:rsidR="00D10738">
        <w:rPr>
          <w:i/>
        </w:rPr>
        <w:fldChar w:fldCharType="separate"/>
      </w:r>
      <w:r w:rsidR="00D10738">
        <w:rPr>
          <w:i/>
          <w:noProof/>
        </w:rPr>
        <w:t>(Brudno &amp; Kochenderfer 2018)</w:t>
      </w:r>
      <w:r w:rsidR="00D10738">
        <w:rPr>
          <w:i/>
        </w:rPr>
        <w:fldChar w:fldCharType="end"/>
      </w:r>
      <w:r w:rsidR="00F94E71">
        <w:rPr>
          <w:i/>
        </w:rPr>
        <w:t xml:space="preserve">. </w:t>
      </w:r>
      <w:r w:rsidR="002E1DE3">
        <w:rPr>
          <w:i/>
        </w:rPr>
        <w:t xml:space="preserve">There is uncertainty related to whether, in future, there would be pressure to provide one or more subsequent infusions of tisagenlecleucel, and PASC advised that the SBA and MSAC should consider prospectively how this risk might best be managed. </w:t>
      </w:r>
    </w:p>
    <w:p w14:paraId="445C33FF" w14:textId="49BCE1B3" w:rsidR="005F6D1D" w:rsidRDefault="00FF67A5" w:rsidP="00B55E5B">
      <w:pPr>
        <w:jc w:val="both"/>
        <w:rPr>
          <w:i/>
        </w:rPr>
      </w:pPr>
      <w:r>
        <w:t>A centralised manufacturing facility genetically encodes the T cells to create tisagenlecleucel</w:t>
      </w:r>
      <w:r w:rsidR="00800E1C">
        <w:t xml:space="preserve"> and is responsible for the modified T cell expansion. The appli</w:t>
      </w:r>
      <w:r w:rsidR="00D63ED9">
        <w:t>cant indicated</w:t>
      </w:r>
      <w:r w:rsidR="00800E1C">
        <w:t xml:space="preserve"> that the centralised facility would most likely be located in the United States of America. </w:t>
      </w:r>
      <w:r w:rsidR="00E3753F">
        <w:t xml:space="preserve">The manufacturing process would take around 2 to 3 weeks from </w:t>
      </w:r>
      <w:proofErr w:type="spellStart"/>
      <w:r w:rsidR="00E3753F">
        <w:t>leukapheresis</w:t>
      </w:r>
      <w:proofErr w:type="spellEnd"/>
      <w:r w:rsidR="00E3753F">
        <w:t xml:space="preserve"> to the time the</w:t>
      </w:r>
      <w:r w:rsidR="0010205A">
        <w:t xml:space="preserve"> engineered cells are finalised</w:t>
      </w:r>
      <w:r w:rsidR="00E3753F">
        <w:t xml:space="preserve"> </w:t>
      </w:r>
      <w:r w:rsidR="00981996">
        <w:fldChar w:fldCharType="begin"/>
      </w:r>
      <w:r w:rsidR="00981996">
        <w:instrText xml:space="preserve"> ADDIN EN.CITE &lt;EndNote&gt;&lt;Cite&gt;&lt;Author&gt;Institute for Clinical and Economic Review (ICER)&lt;/Author&gt;&lt;Year&gt;2017&lt;/Year&gt;&lt;RecNum&gt;9&lt;/RecNum&gt;&lt;DisplayText&gt;(Institute for Clinical and Economic Review (ICER) 2017)&lt;/DisplayText&gt;&lt;record&gt;&lt;rec-number&gt;9&lt;/rec-number&gt;&lt;foreign-keys&gt;&lt;key app="EN" db-id="ffeszew2p5f0f8e0df5pt5dwpf9f92s0vadw" timestamp="1516335195"&gt;9&lt;/key&gt;&lt;/foreign-keys&gt;&lt;ref-type name="Report"&gt;27&lt;/ref-type&gt;&lt;contributors&gt;&lt;authors&gt;&lt;author&gt;Institute for Clinical and Economic Review (ICER),.&lt;/author&gt;&lt;/authors&gt;&lt;/contributors&gt;&lt;titles&gt;&lt;title&gt;Chimeric Antigen Receptor T-Cell Therapy for B-Cell Cancers: Effectiveness and Value, Draft evidence report&lt;/title&gt;&lt;/titles&gt;&lt;dates&gt;&lt;year&gt;2017&lt;/year&gt;&lt;pub-dates&gt;&lt;date&gt;December 19,2017&lt;/date&gt;&lt;/pub-dates&gt;&lt;/dates&gt;&lt;publisher&gt;Institute for Clinical and Economic Review,&lt;/publisher&gt;&lt;urls&gt;&lt;/urls&gt;&lt;/record&gt;&lt;/Cite&gt;&lt;/EndNote&gt;</w:instrText>
      </w:r>
      <w:r w:rsidR="00981996">
        <w:fldChar w:fldCharType="separate"/>
      </w:r>
      <w:r w:rsidR="00981996">
        <w:rPr>
          <w:noProof/>
        </w:rPr>
        <w:t xml:space="preserve">(Institute for </w:t>
      </w:r>
      <w:r w:rsidR="00981996">
        <w:rPr>
          <w:noProof/>
        </w:rPr>
        <w:lastRenderedPageBreak/>
        <w:t>Clinical and Economic Review (ICER) 2017)</w:t>
      </w:r>
      <w:r w:rsidR="00981996">
        <w:fldChar w:fldCharType="end"/>
      </w:r>
      <w:r w:rsidR="00302FC7">
        <w:t>.</w:t>
      </w:r>
      <w:r w:rsidR="00215FE9">
        <w:t xml:space="preserve"> </w:t>
      </w:r>
      <w:r w:rsidR="00437073" w:rsidRPr="002606DB">
        <w:rPr>
          <w:b/>
        </w:rPr>
        <w:t>REDACTED</w:t>
      </w:r>
      <w:r w:rsidR="00215FE9">
        <w:t xml:space="preserve"> </w:t>
      </w:r>
      <w:r w:rsidR="007534B0">
        <w:rPr>
          <w:i/>
        </w:rPr>
        <w:t xml:space="preserve">A recently published study reported a median time from enrolment to infusion of 45 days (range 30 to 105, n=75) </w:t>
      </w:r>
      <w:r w:rsidR="00981996">
        <w:rPr>
          <w:i/>
        </w:rPr>
        <w:fldChar w:fldCharType="begin">
          <w:fldData xml:space="preserve">PEVuZE5vdGU+PENpdGU+PEF1dGhvcj5NYXVkZTwvQXV0aG9yPjxZZWFyPjIwMTg8L1llYXI+PFJl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</w:fldData>
        </w:fldChar>
      </w:r>
      <w:r w:rsidR="00981996">
        <w:rPr>
          <w:i/>
        </w:rPr>
        <w:instrText xml:space="preserve"> ADDIN EN.CITE </w:instrText>
      </w:r>
      <w:r w:rsidR="00981996">
        <w:rPr>
          <w:i/>
        </w:rPr>
        <w:fldChar w:fldCharType="begin">
          <w:fldData xml:space="preserve">PEVuZE5vdGU+PENpdGU+PEF1dGhvcj5NYXVkZTwvQXV0aG9yPjxZZWFyPjIwMTg8L1llYXI+PFJl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</w:fldData>
        </w:fldChar>
      </w:r>
      <w:r w:rsidR="00981996">
        <w:rPr>
          <w:i/>
        </w:rPr>
        <w:instrText xml:space="preserve"> ADDIN EN.CITE.DATA </w:instrText>
      </w:r>
      <w:r w:rsidR="00981996">
        <w:rPr>
          <w:i/>
        </w:rPr>
      </w:r>
      <w:r w:rsidR="00981996">
        <w:rPr>
          <w:i/>
        </w:rPr>
        <w:fldChar w:fldCharType="end"/>
      </w:r>
      <w:r w:rsidR="00981996">
        <w:rPr>
          <w:i/>
        </w:rPr>
      </w:r>
      <w:r w:rsidR="00981996">
        <w:rPr>
          <w:i/>
        </w:rPr>
        <w:fldChar w:fldCharType="separate"/>
      </w:r>
      <w:r w:rsidR="00981996">
        <w:rPr>
          <w:i/>
          <w:noProof/>
        </w:rPr>
        <w:t>(Maude et al. 2018)</w:t>
      </w:r>
      <w:r w:rsidR="00981996">
        <w:rPr>
          <w:i/>
        </w:rPr>
        <w:fldChar w:fldCharType="end"/>
      </w:r>
      <w:r w:rsidR="007534B0">
        <w:rPr>
          <w:i/>
        </w:rPr>
        <w:t xml:space="preserve">. </w:t>
      </w:r>
    </w:p>
    <w:p w14:paraId="1D705ECE" w14:textId="1B34FAF5" w:rsidR="001C7259" w:rsidRDefault="00855B05" w:rsidP="00B55E5B">
      <w:pPr>
        <w:jc w:val="both"/>
      </w:pPr>
      <w:r w:rsidRPr="002606DB">
        <w:t>For 3 to 4 weeks a</w:t>
      </w:r>
      <w:r w:rsidR="0010205A" w:rsidRPr="002606DB">
        <w:t xml:space="preserve">fter </w:t>
      </w:r>
      <w:r w:rsidR="00DE424D" w:rsidRPr="002606DB">
        <w:t xml:space="preserve">infusion </w:t>
      </w:r>
      <w:r w:rsidR="000E4332" w:rsidRPr="002606DB">
        <w:t>of t</w:t>
      </w:r>
      <w:r w:rsidR="00DE424D" w:rsidRPr="002606DB">
        <w:t xml:space="preserve">isagenlecleucel, </w:t>
      </w:r>
      <w:r w:rsidR="005767FB" w:rsidRPr="002606DB">
        <w:t xml:space="preserve">it is recommended that </w:t>
      </w:r>
      <w:r w:rsidR="00DE424D" w:rsidRPr="002606DB">
        <w:t>patients stay within 2</w:t>
      </w:r>
      <w:r w:rsidR="002606DB">
        <w:t> </w:t>
      </w:r>
      <w:r w:rsidR="00DE424D" w:rsidRPr="002606DB">
        <w:t>hours of the hospital where they received the treatment</w:t>
      </w:r>
      <w:r w:rsidR="00D34A03" w:rsidRPr="002606DB">
        <w:t>, for monitoring purposes</w:t>
      </w:r>
      <w:r w:rsidR="00DE424D" w:rsidRPr="002606DB">
        <w:t>.</w:t>
      </w:r>
      <w:r w:rsidR="002606DB" w:rsidRPr="002606DB">
        <w:rPr>
          <w:b/>
        </w:rPr>
        <w:t xml:space="preserve"> </w:t>
      </w:r>
      <w:proofErr w:type="gramStart"/>
      <w:r w:rsidR="002606DB" w:rsidRPr="002606DB">
        <w:rPr>
          <w:b/>
        </w:rPr>
        <w:t>REDACTED</w:t>
      </w:r>
      <w:r w:rsidR="002606DB">
        <w:rPr>
          <w:b/>
        </w:rPr>
        <w:t>.</w:t>
      </w:r>
      <w:proofErr w:type="gramEnd"/>
      <w:r w:rsidR="002606DB" w:rsidRPr="002606DB">
        <w:t xml:space="preserve"> Interventions</w:t>
      </w:r>
      <w:r w:rsidR="001C7259" w:rsidRPr="002606DB">
        <w:t xml:space="preserve"> which may be required during the post-treatment monitoring period include oxygen, fluids, </w:t>
      </w:r>
      <w:r w:rsidR="0007788A" w:rsidRPr="002606DB">
        <w:t>vasopressor</w:t>
      </w:r>
      <w:r w:rsidR="001C7259" w:rsidRPr="002606DB">
        <w:t xml:space="preserve"> support and antipyretics.</w:t>
      </w:r>
      <w:r w:rsidR="001C7259">
        <w:t xml:space="preserve"> </w:t>
      </w:r>
    </w:p>
    <w:p w14:paraId="42617B8E" w14:textId="32EAD7FF" w:rsidR="00DE424D" w:rsidRPr="0007788A" w:rsidRDefault="001C7259" w:rsidP="00B55E5B">
      <w:pPr>
        <w:jc w:val="both"/>
      </w:pPr>
      <w:r w:rsidRPr="002606DB">
        <w:t xml:space="preserve">After the first month, the clinical trials reported/recommended standard follow-up visits every month for the first 6 months post-treatment, followed by 3-monthly for the rest of the year and 6-monthly thereafter.  </w:t>
      </w:r>
      <w:r w:rsidR="005A3E8C" w:rsidRPr="002606DB">
        <w:t xml:space="preserve">Patients should be monitored long-term for potential late onset toxicities, and considered for immunoglobulin therapy in the event of B-cell depletion or </w:t>
      </w:r>
      <w:r w:rsidR="00684138" w:rsidRPr="002606DB">
        <w:t>hypogammaglobinemia</w:t>
      </w:r>
      <w:r w:rsidR="005A3E8C" w:rsidRPr="002606DB">
        <w:t>.</w:t>
      </w:r>
    </w:p>
    <w:p w14:paraId="50B094AC" w14:textId="2A4A14A5" w:rsidR="009655E2" w:rsidRPr="002606DB" w:rsidRDefault="00365F32" w:rsidP="00B55E5B">
      <w:pPr>
        <w:jc w:val="both"/>
        <w:rPr>
          <w:b/>
          <w:i/>
        </w:rPr>
      </w:pPr>
      <w:proofErr w:type="gramStart"/>
      <w:r w:rsidRPr="002606DB">
        <w:rPr>
          <w:b/>
        </w:rPr>
        <w:t>REDACTED</w:t>
      </w:r>
      <w:r w:rsidR="002606DB">
        <w:rPr>
          <w:b/>
        </w:rPr>
        <w:t>.</w:t>
      </w:r>
      <w:proofErr w:type="gramEnd"/>
    </w:p>
    <w:p w14:paraId="7C118688" w14:textId="21E597A8" w:rsidR="00CC4540" w:rsidRPr="00CC4540" w:rsidRDefault="00CC4540" w:rsidP="00B92B2B">
      <w:pPr>
        <w:rPr>
          <w:u w:val="single"/>
        </w:rPr>
      </w:pPr>
      <w:r w:rsidRPr="00CC4540">
        <w:rPr>
          <w:u w:val="single"/>
        </w:rPr>
        <w:t>Funding mechanism</w:t>
      </w:r>
      <w:r w:rsidR="00FB21EC">
        <w:rPr>
          <w:u w:val="single"/>
        </w:rPr>
        <w:t xml:space="preserve"> and current funding </w:t>
      </w:r>
      <w:r w:rsidR="00FA0CFF">
        <w:rPr>
          <w:u w:val="single"/>
        </w:rPr>
        <w:t>of pharmaceutical components</w:t>
      </w:r>
    </w:p>
    <w:p w14:paraId="2A143909" w14:textId="5EBA3BF2" w:rsidR="00010CAE" w:rsidRDefault="00642ACC" w:rsidP="00010CAE">
      <w:pPr>
        <w:jc w:val="both"/>
        <w:rPr>
          <w:i/>
        </w:rPr>
      </w:pPr>
      <w:proofErr w:type="spellStart"/>
      <w:r>
        <w:t>Tisagenlecleucel</w:t>
      </w:r>
      <w:proofErr w:type="spellEnd"/>
      <w:r w:rsidR="00D63ED9">
        <w:t xml:space="preserve"> </w:t>
      </w:r>
      <w:r w:rsidR="00D63ED9" w:rsidRPr="0003572B">
        <w:t>(</w:t>
      </w:r>
      <w:r w:rsidR="00D63ED9">
        <w:t xml:space="preserve">brand name </w:t>
      </w:r>
      <w:proofErr w:type="spellStart"/>
      <w:r w:rsidR="00D63ED9" w:rsidRPr="0003572B">
        <w:t>Kymriah</w:t>
      </w:r>
      <w:proofErr w:type="spellEnd"/>
      <w:r w:rsidR="00D63ED9">
        <w:rPr>
          <w:rFonts w:cstheme="minorHAnsi"/>
        </w:rPr>
        <w:t>®</w:t>
      </w:r>
      <w:r w:rsidR="00D63ED9" w:rsidRPr="0003572B">
        <w:t>)</w:t>
      </w:r>
      <w:r>
        <w:t xml:space="preserve"> has been</w:t>
      </w:r>
      <w:r w:rsidR="00C2395B">
        <w:t xml:space="preserve"> </w:t>
      </w:r>
      <w:r w:rsidR="00A241D3">
        <w:t xml:space="preserve">classified as a class 4 biological product. </w:t>
      </w:r>
      <w:r w:rsidR="00302FC7">
        <w:t>It is t</w:t>
      </w:r>
      <w:r>
        <w:t xml:space="preserve">herefore not eligible to be funded through the Pharmaceutical Benefits Scheme (PBS). </w:t>
      </w:r>
      <w:r w:rsidR="00437073" w:rsidRPr="002606DB">
        <w:rPr>
          <w:b/>
        </w:rPr>
        <w:t>REDACTED</w:t>
      </w:r>
      <w:r w:rsidR="00010CAE">
        <w:rPr>
          <w:i/>
        </w:rPr>
        <w:t xml:space="preserve"> Tisagenlecleucel is currently provided for certain patients unde</w:t>
      </w:r>
      <w:r w:rsidR="009B6DC7">
        <w:rPr>
          <w:i/>
        </w:rPr>
        <w:t>r</w:t>
      </w:r>
      <w:r w:rsidR="00010CAE">
        <w:rPr>
          <w:i/>
        </w:rPr>
        <w:t xml:space="preserve"> the Medical Treatment Overseas Program, costing upwards of </w:t>
      </w:r>
      <w:proofErr w:type="gramStart"/>
      <w:r w:rsidR="00010CAE">
        <w:rPr>
          <w:i/>
        </w:rPr>
        <w:t>A$</w:t>
      </w:r>
      <w:proofErr w:type="gramEnd"/>
      <w:r w:rsidR="00010CAE">
        <w:rPr>
          <w:i/>
        </w:rPr>
        <w:t>1million per patient.</w:t>
      </w:r>
    </w:p>
    <w:p w14:paraId="0D6D7DE2" w14:textId="793C5E45" w:rsidR="00FA0CFF" w:rsidRDefault="00CD3D34" w:rsidP="007534B0">
      <w:pPr>
        <w:jc w:val="both"/>
      </w:pPr>
      <w:r w:rsidRPr="00024BDA">
        <w:t>The remaining</w:t>
      </w:r>
      <w:r w:rsidR="00CC4540" w:rsidRPr="00024BDA">
        <w:t xml:space="preserve"> components of th</w:t>
      </w:r>
      <w:r w:rsidRPr="00024BDA">
        <w:t>e process (numbers 1, 5 and 6 in</w:t>
      </w:r>
      <w:r w:rsidR="00CC4540" w:rsidRPr="00024BDA">
        <w:t xml:space="preserve"> </w:t>
      </w:r>
      <w:r w:rsidR="00CC4540" w:rsidRPr="00024BDA">
        <w:fldChar w:fldCharType="begin"/>
      </w:r>
      <w:r w:rsidR="00CC4540" w:rsidRPr="00024BDA">
        <w:instrText xml:space="preserve"> REF _Ref503438152 \h </w:instrText>
      </w:r>
      <w:r w:rsidR="001E13DE" w:rsidRPr="00024BDA">
        <w:instrText xml:space="preserve"> \* MERGEFORMAT </w:instrText>
      </w:r>
      <w:r w:rsidR="00CC4540" w:rsidRPr="00024BDA">
        <w:fldChar w:fldCharType="separate"/>
      </w:r>
      <w:r w:rsidR="00FF25F8">
        <w:t>Figure 2</w:t>
      </w:r>
      <w:r w:rsidR="00CC4540" w:rsidRPr="00024BDA">
        <w:fldChar w:fldCharType="end"/>
      </w:r>
      <w:r w:rsidR="00CC4540" w:rsidRPr="00024BDA">
        <w:t xml:space="preserve">) </w:t>
      </w:r>
      <w:r w:rsidR="008608CB" w:rsidRPr="00024BDA">
        <w:t xml:space="preserve">would be performed within the Australian </w:t>
      </w:r>
      <w:r w:rsidR="00437073" w:rsidRPr="002606DB">
        <w:rPr>
          <w:b/>
        </w:rPr>
        <w:t>REDACTED</w:t>
      </w:r>
      <w:r w:rsidR="00437073" w:rsidRPr="00024BDA">
        <w:t xml:space="preserve"> </w:t>
      </w:r>
      <w:r w:rsidR="008608CB" w:rsidRPr="00024BDA">
        <w:t xml:space="preserve">hospital setting. </w:t>
      </w:r>
      <w:r w:rsidRPr="00024BDA">
        <w:t>Patients would</w:t>
      </w:r>
      <w:r w:rsidR="00FC67C9" w:rsidRPr="00024BDA">
        <w:t xml:space="preserve"> receive </w:t>
      </w:r>
      <w:proofErr w:type="spellStart"/>
      <w:r w:rsidR="00FC67C9" w:rsidRPr="00024BDA">
        <w:t>lymphodepleting</w:t>
      </w:r>
      <w:proofErr w:type="spellEnd"/>
      <w:r w:rsidR="00FC67C9" w:rsidRPr="00024BDA">
        <w:t xml:space="preserve"> chemotherapy</w:t>
      </w:r>
      <w:r w:rsidR="00D70046">
        <w:t xml:space="preserve">, </w:t>
      </w:r>
      <w:r w:rsidR="00D70046" w:rsidRPr="00024BDA">
        <w:t>which is currently covered by the PBS</w:t>
      </w:r>
      <w:r w:rsidR="00D70046">
        <w:t>,</w:t>
      </w:r>
      <w:r w:rsidR="00FC67C9" w:rsidRPr="00024BDA">
        <w:t xml:space="preserve"> </w:t>
      </w:r>
      <w:r w:rsidR="00D70046">
        <w:t xml:space="preserve">prior to receiving </w:t>
      </w:r>
      <w:r w:rsidR="000E4332">
        <w:t>t</w:t>
      </w:r>
      <w:r w:rsidR="00D70046">
        <w:t>isagenlecleucel</w:t>
      </w:r>
      <w:r w:rsidRPr="00024BDA">
        <w:t>.</w:t>
      </w:r>
      <w:r w:rsidR="00024BDA" w:rsidRPr="00024BDA">
        <w:t xml:space="preserve"> This includes </w:t>
      </w:r>
      <w:proofErr w:type="spellStart"/>
      <w:r w:rsidR="00024BDA" w:rsidRPr="00024BDA">
        <w:t>fludarabine</w:t>
      </w:r>
      <w:proofErr w:type="spellEnd"/>
      <w:r w:rsidR="00024BDA" w:rsidRPr="00024BDA">
        <w:t xml:space="preserve">, cyclophosphamide, </w:t>
      </w:r>
      <w:proofErr w:type="spellStart"/>
      <w:r w:rsidR="00024BDA" w:rsidRPr="00024BDA">
        <w:t>cytarabin</w:t>
      </w:r>
      <w:r w:rsidR="0010205A">
        <w:t>e</w:t>
      </w:r>
      <w:proofErr w:type="spellEnd"/>
      <w:r w:rsidR="0010205A">
        <w:t xml:space="preserve">, etoposide, and </w:t>
      </w:r>
      <w:proofErr w:type="spellStart"/>
      <w:r w:rsidR="0010205A">
        <w:t>bendamustine</w:t>
      </w:r>
      <w:proofErr w:type="spellEnd"/>
      <w:r w:rsidR="0010205A">
        <w:t xml:space="preserve"> (l</w:t>
      </w:r>
      <w:r w:rsidR="00FA0CFF">
        <w:t>isted as Section 100 Chemotherapy</w:t>
      </w:r>
      <w:r w:rsidR="0010205A">
        <w:t xml:space="preserve"> items for Public Hospital Use).</w:t>
      </w:r>
      <w:r w:rsidR="00FA0CFF">
        <w:t xml:space="preserve"> For pharmaceuticals likely to be used during CAR-T therapy </w:t>
      </w:r>
      <w:r w:rsidR="0010205A">
        <w:t>(</w:t>
      </w:r>
      <w:r w:rsidR="00FA0CFF">
        <w:t xml:space="preserve">which are </w:t>
      </w:r>
      <w:r w:rsidR="0010205A">
        <w:t>already listed on the PBS or through the</w:t>
      </w:r>
      <w:r w:rsidR="00D63ED9">
        <w:t xml:space="preserve"> National Blood Authority</w:t>
      </w:r>
      <w:r w:rsidR="0010205A">
        <w:t>)</w:t>
      </w:r>
      <w:r w:rsidR="00D63ED9">
        <w:t xml:space="preserve">, see </w:t>
      </w:r>
      <w:r w:rsidR="00D63ED9">
        <w:fldChar w:fldCharType="begin"/>
      </w:r>
      <w:r w:rsidR="00D63ED9">
        <w:instrText xml:space="preserve"> REF _Ref504035517 \h </w:instrText>
      </w:r>
      <w:r w:rsidR="007534B0">
        <w:instrText xml:space="preserve"> \* MERGEFORMAT </w:instrText>
      </w:r>
      <w:r w:rsidR="00D63ED9">
        <w:fldChar w:fldCharType="separate"/>
      </w:r>
      <w:r w:rsidR="00AD77FA">
        <w:t xml:space="preserve">Table </w:t>
      </w:r>
      <w:r w:rsidR="00AD77FA">
        <w:rPr>
          <w:noProof/>
        </w:rPr>
        <w:t>3</w:t>
      </w:r>
      <w:r w:rsidR="00D63ED9">
        <w:fldChar w:fldCharType="end"/>
      </w:r>
      <w:r w:rsidR="00D63ED9">
        <w:t xml:space="preserve">. </w:t>
      </w:r>
      <w:r w:rsidR="00C400A1">
        <w:t xml:space="preserve">Siltuximab would be used for the treatment of </w:t>
      </w:r>
      <w:r w:rsidR="001C7259">
        <w:t>CRS</w:t>
      </w:r>
      <w:r w:rsidR="00C400A1">
        <w:t xml:space="preserve"> where tocilizumab is not suitable. If both toci</w:t>
      </w:r>
      <w:r w:rsidR="00955276">
        <w:t>lizu</w:t>
      </w:r>
      <w:r w:rsidR="00C400A1">
        <w:t xml:space="preserve">mab and </w:t>
      </w:r>
      <w:r w:rsidR="00955276">
        <w:t xml:space="preserve">siltuximab are ineffective, </w:t>
      </w:r>
      <w:r w:rsidR="00955276" w:rsidRPr="00955276">
        <w:t>anti-T cell therapies such as cyclophosphamide, anti-</w:t>
      </w:r>
      <w:proofErr w:type="spellStart"/>
      <w:r w:rsidR="00955276" w:rsidRPr="00955276">
        <w:t>thymocyte</w:t>
      </w:r>
      <w:proofErr w:type="spellEnd"/>
      <w:r w:rsidR="00955276" w:rsidRPr="00955276">
        <w:t xml:space="preserve"> globulin or </w:t>
      </w:r>
      <w:proofErr w:type="spellStart"/>
      <w:r w:rsidR="00955276" w:rsidRPr="00955276">
        <w:t>alemtuzumab</w:t>
      </w:r>
      <w:proofErr w:type="spellEnd"/>
      <w:r w:rsidR="00955276" w:rsidRPr="00955276">
        <w:t xml:space="preserve"> should also be considered</w:t>
      </w:r>
      <w:r w:rsidR="00955276">
        <w:t xml:space="preserve">. </w:t>
      </w:r>
      <w:r w:rsidR="00955276" w:rsidRPr="00955276">
        <w:t>In patients with low immunoglobulin levels pre-emptive measures such as immunoglobulin replacement should be implemented as per age and standard guidelines.</w:t>
      </w:r>
    </w:p>
    <w:p w14:paraId="51BC119F" w14:textId="405FA944" w:rsidR="007B234D" w:rsidRDefault="007B234D" w:rsidP="007B234D">
      <w:pPr>
        <w:pStyle w:val="Caption"/>
      </w:pPr>
      <w:bookmarkStart w:id="4" w:name="_Ref504035517"/>
      <w:r>
        <w:t xml:space="preserve">Table </w:t>
      </w:r>
      <w:r>
        <w:fldChar w:fldCharType="begin"/>
      </w:r>
      <w:r>
        <w:instrText xml:space="preserve"> SEQ Table \* ARABIC </w:instrText>
      </w:r>
      <w:r>
        <w:fldChar w:fldCharType="separate"/>
      </w:r>
      <w:r w:rsidR="00C850E0">
        <w:rPr>
          <w:noProof/>
        </w:rPr>
        <w:t>3</w:t>
      </w:r>
      <w:r>
        <w:fldChar w:fldCharType="end"/>
      </w:r>
      <w:bookmarkEnd w:id="4"/>
      <w:r>
        <w:t xml:space="preserve"> Pharmaceuticals associated with the CAR-T therapy process</w:t>
      </w:r>
    </w:p>
    <w:tbl>
      <w:tblPr>
        <w:tblStyle w:val="TableGrid"/>
        <w:tblW w:w="9209" w:type="dxa"/>
        <w:tblLook w:val="04A0" w:firstRow="1" w:lastRow="0" w:firstColumn="1" w:lastColumn="0" w:noHBand="0" w:noVBand="1"/>
        <w:tblCaption w:val="Pharmaceuticals associated with the CAR-T therapy process"/>
        <w:tblDescription w:val="Pharmaceuticals associated with the CAR-T therapy process"/>
      </w:tblPr>
      <w:tblGrid>
        <w:gridCol w:w="2138"/>
        <w:gridCol w:w="4917"/>
        <w:gridCol w:w="2154"/>
      </w:tblGrid>
      <w:tr w:rsidR="00FA0CFF" w14:paraId="35A4797A" w14:textId="77777777" w:rsidTr="00BB7400">
        <w:trPr>
          <w:tblHeader/>
        </w:trPr>
        <w:tc>
          <w:tcPr>
            <w:tcW w:w="2138" w:type="dxa"/>
          </w:tcPr>
          <w:p w14:paraId="0A2C997B" w14:textId="7140BCA0" w:rsidR="00FA0CFF" w:rsidRDefault="00FA0CFF" w:rsidP="00BB7400">
            <w:pPr>
              <w:pStyle w:val="Caption"/>
              <w:keepNext w:val="0"/>
            </w:pPr>
            <w:r>
              <w:t xml:space="preserve"> Pharmaceutical</w:t>
            </w:r>
          </w:p>
        </w:tc>
        <w:tc>
          <w:tcPr>
            <w:tcW w:w="4917" w:type="dxa"/>
          </w:tcPr>
          <w:p w14:paraId="6C08BF19" w14:textId="5BFED8CE" w:rsidR="00FA0CFF" w:rsidRDefault="00FA0CFF" w:rsidP="00BB7400">
            <w:pPr>
              <w:pStyle w:val="Caption"/>
              <w:keepNext w:val="0"/>
            </w:pPr>
            <w:r>
              <w:t>Usage</w:t>
            </w:r>
          </w:p>
        </w:tc>
        <w:tc>
          <w:tcPr>
            <w:tcW w:w="2154" w:type="dxa"/>
          </w:tcPr>
          <w:p w14:paraId="269823DC" w14:textId="30ED774C" w:rsidR="00FA0CFF" w:rsidRDefault="00FA0CFF" w:rsidP="00BB7400">
            <w:pPr>
              <w:pStyle w:val="Caption"/>
              <w:keepNext w:val="0"/>
            </w:pPr>
            <w:r>
              <w:t>PBS item code</w:t>
            </w:r>
            <w:r w:rsidR="007B234D">
              <w:t xml:space="preserve"> / funding</w:t>
            </w:r>
          </w:p>
        </w:tc>
      </w:tr>
      <w:tr w:rsidR="00FA0CFF" w:rsidRPr="00FA0CFF" w14:paraId="1862E2A1" w14:textId="77777777" w:rsidTr="007B234D">
        <w:tc>
          <w:tcPr>
            <w:tcW w:w="2138" w:type="dxa"/>
          </w:tcPr>
          <w:p w14:paraId="01D50CE6" w14:textId="57BCD877" w:rsidR="00FA0CFF" w:rsidRPr="00FA0CFF" w:rsidRDefault="00FA0CFF" w:rsidP="00BB7400">
            <w:pPr>
              <w:pStyle w:val="Caption"/>
              <w:keepNext w:val="0"/>
              <w:rPr>
                <w:b w:val="0"/>
              </w:rPr>
            </w:pPr>
            <w:r w:rsidRPr="00FA0CFF">
              <w:rPr>
                <w:b w:val="0"/>
              </w:rPr>
              <w:t>Fludarabine</w:t>
            </w:r>
          </w:p>
        </w:tc>
        <w:tc>
          <w:tcPr>
            <w:tcW w:w="4917" w:type="dxa"/>
          </w:tcPr>
          <w:p w14:paraId="655C8348" w14:textId="33084163" w:rsidR="00FA0CFF" w:rsidRPr="00FA0CFF" w:rsidRDefault="00FA0CFF" w:rsidP="00BB7400">
            <w:pPr>
              <w:pStyle w:val="Caption"/>
              <w:keepNext w:val="0"/>
              <w:rPr>
                <w:b w:val="0"/>
              </w:rPr>
            </w:pPr>
            <w:r w:rsidRPr="00FA0CFF">
              <w:rPr>
                <w:b w:val="0"/>
              </w:rPr>
              <w:t>Chem</w:t>
            </w:r>
            <w:r w:rsidR="00B85FE1">
              <w:rPr>
                <w:b w:val="0"/>
              </w:rPr>
              <w:t>otherapy for</w:t>
            </w:r>
            <w:r w:rsidRPr="00FA0CFF">
              <w:rPr>
                <w:b w:val="0"/>
              </w:rPr>
              <w:t xml:space="preserve"> public hospital use, antimetabolite</w:t>
            </w:r>
          </w:p>
        </w:tc>
        <w:tc>
          <w:tcPr>
            <w:tcW w:w="2154" w:type="dxa"/>
          </w:tcPr>
          <w:p w14:paraId="2925560C" w14:textId="117BDC3D" w:rsidR="00FA0CFF" w:rsidRPr="00FA0CFF" w:rsidRDefault="00FA0CFF" w:rsidP="00BB7400">
            <w:pPr>
              <w:pStyle w:val="Caption"/>
              <w:keepNext w:val="0"/>
              <w:rPr>
                <w:b w:val="0"/>
              </w:rPr>
            </w:pPr>
            <w:r w:rsidRPr="00FA0CFF">
              <w:rPr>
                <w:b w:val="0"/>
              </w:rPr>
              <w:t>4393F</w:t>
            </w:r>
          </w:p>
        </w:tc>
      </w:tr>
      <w:tr w:rsidR="00FA0CFF" w:rsidRPr="00FA0CFF" w14:paraId="2F8F7696" w14:textId="77777777" w:rsidTr="007B234D">
        <w:tc>
          <w:tcPr>
            <w:tcW w:w="2138" w:type="dxa"/>
          </w:tcPr>
          <w:p w14:paraId="249CECEB" w14:textId="5D3B5414" w:rsidR="00FA0CFF" w:rsidRPr="00FA0CFF" w:rsidRDefault="00FA0CFF" w:rsidP="00BB7400">
            <w:pPr>
              <w:pStyle w:val="Caption"/>
              <w:keepNext w:val="0"/>
              <w:rPr>
                <w:b w:val="0"/>
              </w:rPr>
            </w:pPr>
            <w:r>
              <w:rPr>
                <w:b w:val="0"/>
              </w:rPr>
              <w:t>Cyclophosphamide</w:t>
            </w:r>
          </w:p>
        </w:tc>
        <w:tc>
          <w:tcPr>
            <w:tcW w:w="4917" w:type="dxa"/>
          </w:tcPr>
          <w:p w14:paraId="3339B037" w14:textId="3450FEB0" w:rsidR="00FA0CFF" w:rsidRPr="00FA0CFF" w:rsidRDefault="00B85FE1" w:rsidP="00BB7400">
            <w:pPr>
              <w:pStyle w:val="Caption"/>
              <w:keepNext w:val="0"/>
              <w:rPr>
                <w:b w:val="0"/>
              </w:rPr>
            </w:pPr>
            <w:r>
              <w:rPr>
                <w:b w:val="0"/>
              </w:rPr>
              <w:t>Chemotherapy for</w:t>
            </w:r>
            <w:r w:rsidR="00971DFE">
              <w:rPr>
                <w:b w:val="0"/>
              </w:rPr>
              <w:t xml:space="preserve"> public hospital use, alkylating agent</w:t>
            </w:r>
          </w:p>
        </w:tc>
        <w:tc>
          <w:tcPr>
            <w:tcW w:w="2154" w:type="dxa"/>
          </w:tcPr>
          <w:p w14:paraId="4729F457" w14:textId="5F9DF864" w:rsidR="00FA0CFF" w:rsidRPr="00FA0CFF" w:rsidRDefault="00971DFE" w:rsidP="00BB7400">
            <w:pPr>
              <w:pStyle w:val="Caption"/>
              <w:keepNext w:val="0"/>
              <w:rPr>
                <w:b w:val="0"/>
              </w:rPr>
            </w:pPr>
            <w:r>
              <w:rPr>
                <w:b w:val="0"/>
              </w:rPr>
              <w:t>4327R</w:t>
            </w:r>
          </w:p>
        </w:tc>
      </w:tr>
      <w:tr w:rsidR="00FA0CFF" w:rsidRPr="00FA0CFF" w14:paraId="37E376BF" w14:textId="77777777" w:rsidTr="007B234D">
        <w:tc>
          <w:tcPr>
            <w:tcW w:w="2138" w:type="dxa"/>
          </w:tcPr>
          <w:p w14:paraId="2DC52F30" w14:textId="48156379" w:rsidR="00FA0CFF" w:rsidRPr="00FA0CFF" w:rsidRDefault="00FA0CFF" w:rsidP="00BB7400">
            <w:pPr>
              <w:pStyle w:val="Caption"/>
              <w:keepNext w:val="0"/>
              <w:rPr>
                <w:b w:val="0"/>
              </w:rPr>
            </w:pPr>
            <w:proofErr w:type="spellStart"/>
            <w:r>
              <w:rPr>
                <w:b w:val="0"/>
              </w:rPr>
              <w:t>Cytarabine</w:t>
            </w:r>
            <w:proofErr w:type="spellEnd"/>
          </w:p>
        </w:tc>
        <w:tc>
          <w:tcPr>
            <w:tcW w:w="4917" w:type="dxa"/>
          </w:tcPr>
          <w:p w14:paraId="00AFFDFD" w14:textId="070479B6" w:rsidR="00FA0CFF" w:rsidRPr="00FA0CFF" w:rsidRDefault="00B85FE1" w:rsidP="00BB7400">
            <w:pPr>
              <w:pStyle w:val="Caption"/>
              <w:keepNext w:val="0"/>
              <w:rPr>
                <w:b w:val="0"/>
              </w:rPr>
            </w:pPr>
            <w:r>
              <w:rPr>
                <w:b w:val="0"/>
              </w:rPr>
              <w:t>Chemotherapy for public hospital use, antimetabolite</w:t>
            </w:r>
          </w:p>
        </w:tc>
        <w:tc>
          <w:tcPr>
            <w:tcW w:w="2154" w:type="dxa"/>
          </w:tcPr>
          <w:p w14:paraId="7AAF7333" w14:textId="51BDF004" w:rsidR="00FA0CFF" w:rsidRPr="00FA0CFF" w:rsidRDefault="00B85FE1" w:rsidP="00BB7400">
            <w:pPr>
              <w:pStyle w:val="Caption"/>
              <w:keepNext w:val="0"/>
              <w:rPr>
                <w:b w:val="0"/>
              </w:rPr>
            </w:pPr>
            <w:r>
              <w:rPr>
                <w:b w:val="0"/>
              </w:rPr>
              <w:t>4357H</w:t>
            </w:r>
          </w:p>
        </w:tc>
      </w:tr>
      <w:tr w:rsidR="00FA0CFF" w:rsidRPr="00FA0CFF" w14:paraId="687B69E8" w14:textId="77777777" w:rsidTr="007B234D">
        <w:tc>
          <w:tcPr>
            <w:tcW w:w="2138" w:type="dxa"/>
          </w:tcPr>
          <w:p w14:paraId="2C4F4F23" w14:textId="7795FB7C" w:rsidR="00FA0CFF" w:rsidRPr="00FA0CFF" w:rsidRDefault="00FA0CFF" w:rsidP="00BB7400">
            <w:pPr>
              <w:pStyle w:val="Caption"/>
              <w:keepNext w:val="0"/>
              <w:rPr>
                <w:b w:val="0"/>
              </w:rPr>
            </w:pPr>
            <w:r>
              <w:rPr>
                <w:b w:val="0"/>
              </w:rPr>
              <w:t>Etoposide</w:t>
            </w:r>
          </w:p>
        </w:tc>
        <w:tc>
          <w:tcPr>
            <w:tcW w:w="4917" w:type="dxa"/>
          </w:tcPr>
          <w:p w14:paraId="799BABB5" w14:textId="59F125AE" w:rsidR="00FA0CFF" w:rsidRPr="00FA0CFF" w:rsidRDefault="00B85FE1" w:rsidP="00BB7400">
            <w:pPr>
              <w:pStyle w:val="Caption"/>
              <w:keepNext w:val="0"/>
              <w:ind w:left="34" w:hanging="34"/>
              <w:rPr>
                <w:b w:val="0"/>
              </w:rPr>
            </w:pPr>
            <w:r>
              <w:rPr>
                <w:b w:val="0"/>
              </w:rPr>
              <w:t>Chemotherapy for public hospital use,  plant alkaloids and other natural products</w:t>
            </w:r>
          </w:p>
        </w:tc>
        <w:tc>
          <w:tcPr>
            <w:tcW w:w="2154" w:type="dxa"/>
          </w:tcPr>
          <w:p w14:paraId="64172F38" w14:textId="7498B163" w:rsidR="00FA0CFF" w:rsidRPr="00FA0CFF" w:rsidRDefault="00B85FE1" w:rsidP="00BB7400">
            <w:pPr>
              <w:pStyle w:val="Caption"/>
              <w:keepNext w:val="0"/>
              <w:rPr>
                <w:b w:val="0"/>
              </w:rPr>
            </w:pPr>
            <w:r>
              <w:rPr>
                <w:b w:val="0"/>
              </w:rPr>
              <w:t>4428C</w:t>
            </w:r>
          </w:p>
        </w:tc>
      </w:tr>
      <w:tr w:rsidR="00FA0CFF" w:rsidRPr="00FA0CFF" w14:paraId="3B611ED7" w14:textId="77777777" w:rsidTr="007B234D">
        <w:tc>
          <w:tcPr>
            <w:tcW w:w="2138" w:type="dxa"/>
          </w:tcPr>
          <w:p w14:paraId="619ADF11" w14:textId="4FDDBEC7" w:rsidR="00FA0CFF" w:rsidRPr="00FA0CFF" w:rsidRDefault="00FA0CFF" w:rsidP="00BB7400">
            <w:pPr>
              <w:pStyle w:val="Caption"/>
              <w:keepNext w:val="0"/>
              <w:rPr>
                <w:b w:val="0"/>
              </w:rPr>
            </w:pPr>
            <w:proofErr w:type="spellStart"/>
            <w:r>
              <w:rPr>
                <w:b w:val="0"/>
              </w:rPr>
              <w:t>Bendamustine</w:t>
            </w:r>
            <w:proofErr w:type="spellEnd"/>
          </w:p>
        </w:tc>
        <w:tc>
          <w:tcPr>
            <w:tcW w:w="4917" w:type="dxa"/>
          </w:tcPr>
          <w:p w14:paraId="0D6C7DB3" w14:textId="24C2E837" w:rsidR="00FA0CFF" w:rsidRPr="00FA0CFF" w:rsidRDefault="00B85FE1" w:rsidP="00BB7400">
            <w:pPr>
              <w:pStyle w:val="Caption"/>
              <w:keepNext w:val="0"/>
              <w:ind w:left="0" w:firstLine="0"/>
              <w:rPr>
                <w:b w:val="0"/>
              </w:rPr>
            </w:pPr>
            <w:r>
              <w:rPr>
                <w:b w:val="0"/>
              </w:rPr>
              <w:t>Chemotherapy for public hospital use, alkylating agent</w:t>
            </w:r>
            <w:r w:rsidR="00D05466">
              <w:rPr>
                <w:b w:val="0"/>
              </w:rPr>
              <w:t xml:space="preserve"> (for previously untreated stage II or IV indolent CD20 positive non-Hodgkin lymphoma)</w:t>
            </w:r>
          </w:p>
        </w:tc>
        <w:tc>
          <w:tcPr>
            <w:tcW w:w="2154" w:type="dxa"/>
          </w:tcPr>
          <w:p w14:paraId="161EEC6F" w14:textId="6AC362F5" w:rsidR="00FA0CFF" w:rsidRPr="00FA0CFF" w:rsidRDefault="00B85FE1" w:rsidP="00BB7400">
            <w:pPr>
              <w:pStyle w:val="Caption"/>
              <w:keepNext w:val="0"/>
              <w:rPr>
                <w:b w:val="0"/>
              </w:rPr>
            </w:pPr>
            <w:r>
              <w:rPr>
                <w:b w:val="0"/>
              </w:rPr>
              <w:t>10760H</w:t>
            </w:r>
          </w:p>
        </w:tc>
      </w:tr>
      <w:tr w:rsidR="00FA0CFF" w:rsidRPr="00437073" w14:paraId="48AE87C8" w14:textId="77777777" w:rsidTr="007B234D">
        <w:tc>
          <w:tcPr>
            <w:tcW w:w="2138" w:type="dxa"/>
          </w:tcPr>
          <w:p w14:paraId="59127D7E" w14:textId="6A9BDAA5" w:rsidR="00FA0CFF" w:rsidRPr="004C4705" w:rsidRDefault="00FA0CFF" w:rsidP="00BB7400">
            <w:pPr>
              <w:pStyle w:val="Caption"/>
              <w:keepNext w:val="0"/>
              <w:rPr>
                <w:b w:val="0"/>
              </w:rPr>
            </w:pPr>
            <w:r w:rsidRPr="004C4705">
              <w:rPr>
                <w:b w:val="0"/>
              </w:rPr>
              <w:t>Tocilizumab</w:t>
            </w:r>
          </w:p>
        </w:tc>
        <w:tc>
          <w:tcPr>
            <w:tcW w:w="4917" w:type="dxa"/>
          </w:tcPr>
          <w:p w14:paraId="35651EB2" w14:textId="684FB8BB" w:rsidR="00FA0CFF" w:rsidRPr="004C4705" w:rsidRDefault="00AA703A" w:rsidP="00AA703A">
            <w:pPr>
              <w:pStyle w:val="Caption"/>
              <w:keepNext w:val="0"/>
              <w:rPr>
                <w:b w:val="0"/>
              </w:rPr>
            </w:pPr>
            <w:r>
              <w:rPr>
                <w:b w:val="0"/>
              </w:rPr>
              <w:t>T</w:t>
            </w:r>
            <w:r w:rsidR="001C7259" w:rsidRPr="004C4705">
              <w:rPr>
                <w:b w:val="0"/>
              </w:rPr>
              <w:t>reatment of CRS</w:t>
            </w:r>
            <w:r w:rsidR="00D05466" w:rsidRPr="004C4705">
              <w:rPr>
                <w:b w:val="0"/>
              </w:rPr>
              <w:t xml:space="preserve"> </w:t>
            </w:r>
          </w:p>
        </w:tc>
        <w:tc>
          <w:tcPr>
            <w:tcW w:w="2154" w:type="dxa"/>
          </w:tcPr>
          <w:p w14:paraId="035756EE" w14:textId="5EE8A25B" w:rsidR="00FD6408" w:rsidRPr="00437073" w:rsidRDefault="00AA703A" w:rsidP="00BB7400">
            <w:pPr>
              <w:pStyle w:val="Caption"/>
              <w:keepNext w:val="0"/>
              <w:ind w:left="0" w:firstLine="0"/>
              <w:rPr>
                <w:b w:val="0"/>
                <w:lang w:val="it-IT"/>
              </w:rPr>
            </w:pPr>
            <w:r>
              <w:rPr>
                <w:b w:val="0"/>
                <w:lang w:val="it-IT"/>
              </w:rPr>
              <w:t>Funding costs based on PBS codes:</w:t>
            </w:r>
            <w:r w:rsidR="00FD6408" w:rsidRPr="004C4705">
              <w:rPr>
                <w:b w:val="0"/>
                <w:lang w:val="it-IT"/>
              </w:rPr>
              <w:t>1056G, 1058J, 10060L, 10064Q, 10068X, 10071C, 10072D, 10073E, 10077J, 10078K, 10079L, 10081N</w:t>
            </w:r>
          </w:p>
        </w:tc>
      </w:tr>
      <w:tr w:rsidR="00FA0CFF" w:rsidRPr="00FA0CFF" w14:paraId="2E2D0652" w14:textId="77777777" w:rsidTr="007B234D">
        <w:tc>
          <w:tcPr>
            <w:tcW w:w="2138" w:type="dxa"/>
          </w:tcPr>
          <w:p w14:paraId="3B35244E" w14:textId="5D2248D0" w:rsidR="00FA0CFF" w:rsidRDefault="00097229" w:rsidP="00BB7400">
            <w:pPr>
              <w:pStyle w:val="Caption"/>
              <w:keepNext w:val="0"/>
              <w:ind w:left="0" w:firstLine="0"/>
              <w:rPr>
                <w:b w:val="0"/>
              </w:rPr>
            </w:pPr>
            <w:r>
              <w:rPr>
                <w:b w:val="0"/>
              </w:rPr>
              <w:t>Intravenous immunoglobulin</w:t>
            </w:r>
          </w:p>
        </w:tc>
        <w:tc>
          <w:tcPr>
            <w:tcW w:w="4917" w:type="dxa"/>
          </w:tcPr>
          <w:p w14:paraId="00BEA2E6" w14:textId="2810FD80" w:rsidR="00FA0CFF" w:rsidRPr="00FA0CFF" w:rsidRDefault="00966B46" w:rsidP="00BB7400">
            <w:pPr>
              <w:pStyle w:val="Caption"/>
              <w:keepNext w:val="0"/>
              <w:rPr>
                <w:b w:val="0"/>
              </w:rPr>
            </w:pPr>
            <w:r>
              <w:rPr>
                <w:b w:val="0"/>
              </w:rPr>
              <w:t xml:space="preserve">To manage events of B-cell aplasia </w:t>
            </w:r>
          </w:p>
        </w:tc>
        <w:tc>
          <w:tcPr>
            <w:tcW w:w="2154" w:type="dxa"/>
          </w:tcPr>
          <w:p w14:paraId="2C7C0DE0" w14:textId="2ED9D35E" w:rsidR="00FA0CFF" w:rsidRPr="00FA0CFF" w:rsidRDefault="00966B46" w:rsidP="00BB7400">
            <w:pPr>
              <w:pStyle w:val="Caption"/>
              <w:keepNext w:val="0"/>
              <w:ind w:left="0" w:firstLine="0"/>
              <w:rPr>
                <w:b w:val="0"/>
              </w:rPr>
            </w:pPr>
            <w:r>
              <w:rPr>
                <w:b w:val="0"/>
              </w:rPr>
              <w:t xml:space="preserve">(Funded through National Blood Authority for </w:t>
            </w:r>
            <w:r>
              <w:rPr>
                <w:b w:val="0"/>
              </w:rPr>
              <w:lastRenderedPageBreak/>
              <w:t>different indications)</w:t>
            </w:r>
          </w:p>
        </w:tc>
      </w:tr>
      <w:tr w:rsidR="00C400A1" w:rsidRPr="00FA0CFF" w14:paraId="5A415B2F" w14:textId="77777777" w:rsidTr="007B234D">
        <w:tc>
          <w:tcPr>
            <w:tcW w:w="2138" w:type="dxa"/>
          </w:tcPr>
          <w:p w14:paraId="7868F00D" w14:textId="18540FDD" w:rsidR="00C400A1" w:rsidRPr="00AE3F0A" w:rsidRDefault="00C400A1" w:rsidP="00BB7400">
            <w:pPr>
              <w:pStyle w:val="Caption"/>
              <w:keepNext w:val="0"/>
              <w:ind w:left="0" w:firstLine="0"/>
              <w:rPr>
                <w:b w:val="0"/>
              </w:rPr>
            </w:pPr>
            <w:r w:rsidRPr="00AE3F0A">
              <w:rPr>
                <w:b w:val="0"/>
              </w:rPr>
              <w:lastRenderedPageBreak/>
              <w:t>Siltuximab</w:t>
            </w:r>
          </w:p>
        </w:tc>
        <w:tc>
          <w:tcPr>
            <w:tcW w:w="4917" w:type="dxa"/>
          </w:tcPr>
          <w:p w14:paraId="6CCE2A44" w14:textId="00C43CF7" w:rsidR="00C400A1" w:rsidRPr="00AE3F0A" w:rsidRDefault="00C400A1" w:rsidP="001C7259">
            <w:pPr>
              <w:pStyle w:val="Caption"/>
              <w:keepNext w:val="0"/>
              <w:ind w:left="0" w:firstLine="0"/>
              <w:rPr>
                <w:b w:val="0"/>
              </w:rPr>
            </w:pPr>
            <w:r w:rsidRPr="00AE3F0A">
              <w:rPr>
                <w:b w:val="0"/>
              </w:rPr>
              <w:t xml:space="preserve">Treatment of </w:t>
            </w:r>
            <w:r w:rsidR="001C7259" w:rsidRPr="00AE3F0A">
              <w:rPr>
                <w:b w:val="0"/>
              </w:rPr>
              <w:t>CRS</w:t>
            </w:r>
            <w:r w:rsidRPr="00AE3F0A">
              <w:rPr>
                <w:b w:val="0"/>
              </w:rPr>
              <w:t>, in cases where tocilizumab is not suitable</w:t>
            </w:r>
          </w:p>
        </w:tc>
        <w:tc>
          <w:tcPr>
            <w:tcW w:w="2154" w:type="dxa"/>
          </w:tcPr>
          <w:p w14:paraId="3C38632C" w14:textId="07CC584B" w:rsidR="00C400A1" w:rsidRPr="00AE3F0A" w:rsidRDefault="002531F6" w:rsidP="00BB7400">
            <w:pPr>
              <w:pStyle w:val="Caption"/>
              <w:keepNext w:val="0"/>
              <w:ind w:left="0" w:firstLine="0"/>
              <w:rPr>
                <w:b w:val="0"/>
              </w:rPr>
            </w:pPr>
            <w:r w:rsidRPr="00AE3F0A">
              <w:rPr>
                <w:b w:val="0"/>
              </w:rPr>
              <w:t>ATC code: L04AC11</w:t>
            </w:r>
          </w:p>
        </w:tc>
      </w:tr>
      <w:tr w:rsidR="00C400A1" w:rsidRPr="00FA0CFF" w14:paraId="72EE858C" w14:textId="77777777" w:rsidTr="007B234D">
        <w:tc>
          <w:tcPr>
            <w:tcW w:w="2138" w:type="dxa"/>
          </w:tcPr>
          <w:p w14:paraId="6B703D4E" w14:textId="43864DB6" w:rsidR="00C400A1" w:rsidRPr="00AE3F0A" w:rsidRDefault="00C400A1" w:rsidP="00BB7400">
            <w:pPr>
              <w:pStyle w:val="Caption"/>
              <w:keepNext w:val="0"/>
              <w:ind w:left="0" w:firstLine="0"/>
              <w:rPr>
                <w:b w:val="0"/>
              </w:rPr>
            </w:pPr>
            <w:r w:rsidRPr="00AE3F0A">
              <w:rPr>
                <w:b w:val="0"/>
              </w:rPr>
              <w:t>Alemtuzumab</w:t>
            </w:r>
          </w:p>
        </w:tc>
        <w:tc>
          <w:tcPr>
            <w:tcW w:w="4917" w:type="dxa"/>
          </w:tcPr>
          <w:p w14:paraId="4BECD485" w14:textId="556EBBBE" w:rsidR="00C400A1" w:rsidRPr="00AE3F0A" w:rsidRDefault="00AA703A" w:rsidP="00AA703A">
            <w:pPr>
              <w:pStyle w:val="Caption"/>
              <w:keepNext w:val="0"/>
              <w:ind w:left="0" w:firstLine="0"/>
              <w:rPr>
                <w:b w:val="0"/>
              </w:rPr>
            </w:pPr>
            <w:r w:rsidRPr="00AE3F0A">
              <w:rPr>
                <w:b w:val="0"/>
              </w:rPr>
              <w:t>Treatment of CRS, in cases where tocilizumab</w:t>
            </w:r>
            <w:r>
              <w:rPr>
                <w:b w:val="0"/>
              </w:rPr>
              <w:t xml:space="preserve"> or siltuximab</w:t>
            </w:r>
            <w:r w:rsidRPr="00AE3F0A">
              <w:rPr>
                <w:b w:val="0"/>
              </w:rPr>
              <w:t xml:space="preserve"> is not suitable</w:t>
            </w:r>
          </w:p>
        </w:tc>
        <w:tc>
          <w:tcPr>
            <w:tcW w:w="2154" w:type="dxa"/>
          </w:tcPr>
          <w:p w14:paraId="57A1BD78" w14:textId="1DA955C7" w:rsidR="00C400A1" w:rsidRPr="00AE3F0A" w:rsidRDefault="00AA703A" w:rsidP="00BB7400">
            <w:pPr>
              <w:pStyle w:val="Caption"/>
              <w:keepNext w:val="0"/>
              <w:ind w:left="0" w:firstLine="0"/>
              <w:rPr>
                <w:b w:val="0"/>
              </w:rPr>
            </w:pPr>
            <w:r w:rsidRPr="00AA703A">
              <w:rPr>
                <w:b w:val="0"/>
              </w:rPr>
              <w:t>Funding costs based on PBS codes:</w:t>
            </w:r>
            <w:hyperlink r:id="rId12" w:tooltip="10228h" w:history="1">
              <w:r w:rsidR="002531F6" w:rsidRPr="00AE3F0A">
                <w:rPr>
                  <w:b w:val="0"/>
                </w:rPr>
                <w:t>10228H</w:t>
              </w:r>
            </w:hyperlink>
            <w:r w:rsidR="002531F6" w:rsidRPr="00AE3F0A">
              <w:rPr>
                <w:b w:val="0"/>
              </w:rPr>
              <w:t xml:space="preserve">, </w:t>
            </w:r>
            <w:hyperlink r:id="rId13" w:tooltip="10232m" w:history="1">
              <w:r w:rsidR="002531F6" w:rsidRPr="00AE3F0A">
                <w:rPr>
                  <w:b w:val="0"/>
                </w:rPr>
                <w:t>10232M</w:t>
              </w:r>
            </w:hyperlink>
            <w:r w:rsidR="002531F6" w:rsidRPr="00AE3F0A">
              <w:rPr>
                <w:b w:val="0"/>
              </w:rPr>
              <w:t xml:space="preserve">, </w:t>
            </w:r>
            <w:hyperlink r:id="rId14" w:tooltip="10243d" w:history="1">
              <w:r w:rsidR="002531F6" w:rsidRPr="00AE3F0A">
                <w:rPr>
                  <w:b w:val="0"/>
                </w:rPr>
                <w:t>10243D</w:t>
              </w:r>
            </w:hyperlink>
            <w:r w:rsidR="002531F6" w:rsidRPr="00AE3F0A">
              <w:rPr>
                <w:b w:val="0"/>
              </w:rPr>
              <w:t xml:space="preserve">, </w:t>
            </w:r>
            <w:hyperlink r:id="rId15" w:tooltip="10246g" w:history="1">
              <w:r w:rsidR="002531F6" w:rsidRPr="00AE3F0A">
                <w:rPr>
                  <w:b w:val="0"/>
                </w:rPr>
                <w:t>10246G</w:t>
              </w:r>
            </w:hyperlink>
          </w:p>
        </w:tc>
      </w:tr>
    </w:tbl>
    <w:p w14:paraId="541E6916" w14:textId="36B597FB" w:rsidR="001E13DE" w:rsidRPr="00D2585D" w:rsidRDefault="00A870CB" w:rsidP="00B92B2B">
      <w:pPr>
        <w:rPr>
          <w:rFonts w:ascii="Arial Narrow" w:eastAsia="Times New Roman" w:hAnsi="Arial Narrow" w:cs="Tahoma"/>
          <w:sz w:val="20"/>
          <w:szCs w:val="20"/>
          <w:lang w:val="en-GB" w:eastAsia="ja-JP"/>
        </w:rPr>
      </w:pPr>
      <w:r>
        <w:rPr>
          <w:rFonts w:ascii="Arial Narrow" w:eastAsia="Times New Roman" w:hAnsi="Arial Narrow" w:cs="Tahoma"/>
          <w:sz w:val="20"/>
          <w:szCs w:val="20"/>
          <w:lang w:val="en-GB" w:eastAsia="ja-JP"/>
        </w:rPr>
        <w:t xml:space="preserve">ATC = Anatomical Therapeutic Chemical, </w:t>
      </w:r>
      <w:r w:rsidRPr="00D2585D">
        <w:rPr>
          <w:rFonts w:ascii="Arial Narrow" w:eastAsia="Times New Roman" w:hAnsi="Arial Narrow" w:cs="Tahoma"/>
          <w:sz w:val="20"/>
          <w:szCs w:val="20"/>
          <w:lang w:val="en-GB" w:eastAsia="ja-JP"/>
        </w:rPr>
        <w:t>CRS = cytokine release syndrome</w:t>
      </w:r>
    </w:p>
    <w:p w14:paraId="1F78879A" w14:textId="36CD12E6" w:rsidR="00BC39B5" w:rsidRPr="00BC39B5" w:rsidRDefault="00D70046" w:rsidP="007534B0">
      <w:pPr>
        <w:jc w:val="both"/>
      </w:pPr>
      <w:r>
        <w:t xml:space="preserve">The </w:t>
      </w:r>
      <w:proofErr w:type="spellStart"/>
      <w:r>
        <w:t>l</w:t>
      </w:r>
      <w:r w:rsidR="00BC39B5">
        <w:t>eukapheresis</w:t>
      </w:r>
      <w:proofErr w:type="spellEnd"/>
      <w:r w:rsidR="00BC39B5">
        <w:t xml:space="preserve"> </w:t>
      </w:r>
      <w:r w:rsidR="00054710">
        <w:t xml:space="preserve">requires a specialised apheresis unit, with tubing moving blood through centrifuges and/or filters to separate the different blood products. Single use consumables used during </w:t>
      </w:r>
      <w:proofErr w:type="spellStart"/>
      <w:r w:rsidR="00054710">
        <w:t>leukapheresis</w:t>
      </w:r>
      <w:proofErr w:type="spellEnd"/>
      <w:r w:rsidR="00054710">
        <w:t xml:space="preserve"> include sets, tubing, bowls, </w:t>
      </w:r>
      <w:proofErr w:type="gramStart"/>
      <w:r w:rsidR="00054710">
        <w:t>anticoagulant</w:t>
      </w:r>
      <w:proofErr w:type="gramEnd"/>
      <w:r w:rsidR="00054710">
        <w:t xml:space="preserve"> and replacement fluids. </w:t>
      </w:r>
    </w:p>
    <w:p w14:paraId="27481D68" w14:textId="06BA22CF" w:rsidR="000E4332" w:rsidRDefault="001E13DE" w:rsidP="000E4332">
      <w:pPr>
        <w:jc w:val="both"/>
        <w:rPr>
          <w:i/>
        </w:rPr>
      </w:pPr>
      <w:r w:rsidRPr="001E13DE">
        <w:rPr>
          <w:i/>
        </w:rPr>
        <w:t xml:space="preserve">It is unclear if </w:t>
      </w:r>
      <w:proofErr w:type="spellStart"/>
      <w:r w:rsidRPr="001E13DE">
        <w:rPr>
          <w:i/>
        </w:rPr>
        <w:t>leukapheresis</w:t>
      </w:r>
      <w:proofErr w:type="spellEnd"/>
      <w:r w:rsidRPr="001E13DE">
        <w:rPr>
          <w:i/>
        </w:rPr>
        <w:t xml:space="preserve"> </w:t>
      </w:r>
      <w:r w:rsidR="00966B46">
        <w:rPr>
          <w:i/>
        </w:rPr>
        <w:t xml:space="preserve">(to retrieve the leukocytes needed to manufacture tisagenlecleucel) </w:t>
      </w:r>
      <w:r w:rsidRPr="001E13DE">
        <w:rPr>
          <w:i/>
        </w:rPr>
        <w:t>is currently covered under the MBS. A broader item</w:t>
      </w:r>
      <w:r w:rsidR="00CD3D34" w:rsidRPr="001E13DE">
        <w:rPr>
          <w:i/>
        </w:rPr>
        <w:t xml:space="preserve"> </w:t>
      </w:r>
      <w:r w:rsidRPr="001E13DE">
        <w:rPr>
          <w:i/>
        </w:rPr>
        <w:t xml:space="preserve">(13750), therapeutic </w:t>
      </w:r>
      <w:proofErr w:type="spellStart"/>
      <w:r w:rsidRPr="001E13DE">
        <w:rPr>
          <w:i/>
        </w:rPr>
        <w:t>haemapheresis</w:t>
      </w:r>
      <w:proofErr w:type="spellEnd"/>
      <w:r w:rsidRPr="001E13DE">
        <w:rPr>
          <w:i/>
        </w:rPr>
        <w:t xml:space="preserve">, is currently listed for the removal of plasma </w:t>
      </w:r>
      <w:r>
        <w:rPr>
          <w:i/>
        </w:rPr>
        <w:t xml:space="preserve">or cellular (or both) elements of blood, utilising continuous or intermittent flow techniques. This includes morphological tests for cell counts and viability studies, if performed. </w:t>
      </w:r>
      <w:r w:rsidR="00DA7C63">
        <w:rPr>
          <w:i/>
        </w:rPr>
        <w:t>During the procedure there is continuous monitoring of vital signs, fluid balance, blood volume and other parameters with registered nurse attendance under the supervision of a consultant physician. The fee for this service is $136.65.</w:t>
      </w:r>
      <w:r w:rsidR="00CD3D34" w:rsidRPr="001E13DE">
        <w:rPr>
          <w:i/>
        </w:rPr>
        <w:t xml:space="preserve"> </w:t>
      </w:r>
      <w:proofErr w:type="gramStart"/>
      <w:r w:rsidR="009617AD" w:rsidRPr="002606DB">
        <w:rPr>
          <w:b/>
        </w:rPr>
        <w:t>REDACTED</w:t>
      </w:r>
      <w:r w:rsidR="002606DB">
        <w:rPr>
          <w:b/>
        </w:rPr>
        <w:t>.</w:t>
      </w:r>
      <w:proofErr w:type="gramEnd"/>
    </w:p>
    <w:p w14:paraId="689078B7" w14:textId="15DD30EB" w:rsidR="00211A94" w:rsidRDefault="00FB21EC" w:rsidP="009617AD">
      <w:pPr>
        <w:jc w:val="both"/>
        <w:rPr>
          <w:u w:val="single"/>
        </w:rPr>
      </w:pPr>
      <w:r w:rsidRPr="00D2585D">
        <w:rPr>
          <w:i/>
        </w:rPr>
        <w:t>The Department of Health should consider which components of the process should be covered under the proposed intervention, and which remaining parts of the process will continue to be funded by the current funding mechanisms</w:t>
      </w:r>
      <w:r w:rsidR="006D0A98" w:rsidRPr="00D2585D">
        <w:rPr>
          <w:i/>
        </w:rPr>
        <w:t>/bodies</w:t>
      </w:r>
      <w:r w:rsidRPr="00D2585D">
        <w:rPr>
          <w:i/>
        </w:rPr>
        <w:t>.</w:t>
      </w:r>
      <w:r w:rsidR="00FE11D3">
        <w:rPr>
          <w:i/>
        </w:rPr>
        <w:t xml:space="preserve"> </w:t>
      </w:r>
      <w:proofErr w:type="gramStart"/>
      <w:r w:rsidR="009617AD" w:rsidRPr="002606DB">
        <w:rPr>
          <w:b/>
        </w:rPr>
        <w:t>REDACTED</w:t>
      </w:r>
      <w:r w:rsidR="002606DB">
        <w:rPr>
          <w:b/>
        </w:rPr>
        <w:t>.</w:t>
      </w:r>
      <w:proofErr w:type="gramEnd"/>
    </w:p>
    <w:p w14:paraId="661AACB2" w14:textId="4A0979BF" w:rsidR="002F14D5" w:rsidRDefault="00CB3C1F" w:rsidP="00BC39B5">
      <w:pPr>
        <w:rPr>
          <w:u w:val="single"/>
        </w:rPr>
      </w:pPr>
      <w:r>
        <w:rPr>
          <w:u w:val="single"/>
        </w:rPr>
        <w:t>Estimated uptake of the intervention</w:t>
      </w:r>
    </w:p>
    <w:p w14:paraId="30C3EA24" w14:textId="192081CE" w:rsidR="00CB3C1F" w:rsidRPr="00FA6B3C" w:rsidRDefault="00607AA8" w:rsidP="001216AE">
      <w:pPr>
        <w:tabs>
          <w:tab w:val="left" w:pos="1701"/>
        </w:tabs>
        <w:jc w:val="both"/>
        <w:rPr>
          <w:i/>
        </w:rPr>
      </w:pPr>
      <w:r>
        <w:t>The applicant estimate</w:t>
      </w:r>
      <w:r w:rsidR="007A6567">
        <w:t>d</w:t>
      </w:r>
      <w:r>
        <w:t xml:space="preserve"> </w:t>
      </w:r>
      <w:r w:rsidR="00CB3C1F">
        <w:t>an incidence of 210 patients with paediatric ALL with B-cell lineage, of which an estimated 28 patients would be eligible for the intervention each year (under the proposed criteria). The estimated incidence and eligibility is 2,070 and 720 for the DLBCL population, respectively.</w:t>
      </w:r>
      <w:r w:rsidR="007A6567">
        <w:rPr>
          <w:i/>
        </w:rPr>
        <w:t xml:space="preserve"> These estimates were proposed when tisagenlecleucel was considered to be only a last- line therapy. The indications have since changed, and PASC considered that this change would likely increase the number of patients eligible for the intervention.</w:t>
      </w:r>
    </w:p>
    <w:p w14:paraId="32DAA4A9" w14:textId="269EAC85" w:rsidR="005C1AA3" w:rsidRDefault="00CB3C1F" w:rsidP="009617AD">
      <w:pPr>
        <w:jc w:val="both"/>
      </w:pPr>
      <w:r>
        <w:t>However, not all the patients eligible for the intervention will receive the intervention, due to the relative frailty of the populations</w:t>
      </w:r>
      <w:r w:rsidR="002327BA">
        <w:t xml:space="preserve"> or due to the apheresis product not being acceptable for manufacturing</w:t>
      </w:r>
      <w:r>
        <w:t xml:space="preserve">. </w:t>
      </w:r>
      <w:r>
        <w:rPr>
          <w:i/>
        </w:rPr>
        <w:t>This is supported by the recent study by Maude et al., which reported that of the 107 ALL patients</w:t>
      </w:r>
      <w:r w:rsidR="005C1AA3">
        <w:rPr>
          <w:i/>
        </w:rPr>
        <w:t xml:space="preserve"> screened, 92 were enrolled</w:t>
      </w:r>
      <w:r>
        <w:rPr>
          <w:i/>
        </w:rPr>
        <w:t>, 75</w:t>
      </w:r>
      <w:r w:rsidR="005C1AA3">
        <w:rPr>
          <w:i/>
        </w:rPr>
        <w:t xml:space="preserve"> underwent the infusion, and only 48 remained in the follow-up. </w:t>
      </w:r>
      <w:r w:rsidR="00483CCB">
        <w:rPr>
          <w:i/>
        </w:rPr>
        <w:t xml:space="preserve">In the study by Schuster et al., 13 out of 24 enrolled DLBCL patients received tisagenlecleucel infusion (61%). </w:t>
      </w:r>
      <w:r w:rsidR="005C1AA3">
        <w:rPr>
          <w:i/>
        </w:rPr>
        <w:t>Most patients were excluded due to death, adverse events, and product-related issues, or discontinued the treatment/follow-up due to death, undergoing new therapies, or lack of efficacy of the treatment.</w:t>
      </w:r>
      <w:r w:rsidR="00483CCB">
        <w:rPr>
          <w:i/>
        </w:rPr>
        <w:t xml:space="preserve"> </w:t>
      </w:r>
      <w:proofErr w:type="gramStart"/>
      <w:r w:rsidR="009617AD" w:rsidRPr="002606DB">
        <w:rPr>
          <w:b/>
        </w:rPr>
        <w:t>REDACTED</w:t>
      </w:r>
      <w:r w:rsidR="002606DB">
        <w:t>.</w:t>
      </w:r>
      <w:proofErr w:type="gramEnd"/>
    </w:p>
    <w:p w14:paraId="5260494F" w14:textId="3F04ED44" w:rsidR="002B3338" w:rsidRDefault="001039DF" w:rsidP="00EE435A">
      <w:pPr>
        <w:pStyle w:val="Heading4"/>
      </w:pPr>
      <w:r>
        <w:t xml:space="preserve">2.3.1 </w:t>
      </w:r>
      <w:r w:rsidR="002B3338">
        <w:t>Rationale</w:t>
      </w:r>
    </w:p>
    <w:p w14:paraId="152D9F02" w14:textId="2CA3618A" w:rsidR="00D80DDC" w:rsidRDefault="001D16F9" w:rsidP="0060049D">
      <w:pPr>
        <w:rPr>
          <w:i/>
        </w:rPr>
      </w:pPr>
      <w:proofErr w:type="gramStart"/>
      <w:r>
        <w:rPr>
          <w:i/>
        </w:rPr>
        <w:t>See 2.1.1.</w:t>
      </w:r>
      <w:proofErr w:type="gramEnd"/>
      <w:r>
        <w:rPr>
          <w:i/>
        </w:rPr>
        <w:t xml:space="preserve"> </w:t>
      </w:r>
    </w:p>
    <w:p w14:paraId="25D6A441" w14:textId="513B38F0" w:rsidR="002A77CC" w:rsidRDefault="001D16F9" w:rsidP="0036064A">
      <w:pPr>
        <w:jc w:val="both"/>
        <w:rPr>
          <w:i/>
        </w:rPr>
      </w:pPr>
      <w:r>
        <w:rPr>
          <w:i/>
        </w:rPr>
        <w:t>T</w:t>
      </w:r>
      <w:r w:rsidR="002A77CC">
        <w:rPr>
          <w:i/>
        </w:rPr>
        <w:t>his</w:t>
      </w:r>
      <w:r>
        <w:rPr>
          <w:i/>
        </w:rPr>
        <w:t xml:space="preserve"> technology will continue to be </w:t>
      </w:r>
      <w:proofErr w:type="gramStart"/>
      <w:r>
        <w:rPr>
          <w:i/>
        </w:rPr>
        <w:t>developed/improved</w:t>
      </w:r>
      <w:proofErr w:type="gramEnd"/>
      <w:r>
        <w:rPr>
          <w:i/>
        </w:rPr>
        <w:t xml:space="preserve">. In the future, CAR-T immunotherapies and CRISPR/Cas9 might be combined to reduce the adverse effects of CAR-T therapy. CRISPR may improve </w:t>
      </w:r>
      <w:r>
        <w:rPr>
          <w:i/>
        </w:rPr>
        <w:lastRenderedPageBreak/>
        <w:t>the engineering of T cells and increase specificity, or deliver it to a very specific site.</w:t>
      </w:r>
      <w:r w:rsidR="002A77CC">
        <w:rPr>
          <w:rStyle w:val="FootnoteReference"/>
          <w:i/>
        </w:rPr>
        <w:footnoteReference w:id="16"/>
      </w:r>
      <w:r>
        <w:rPr>
          <w:i/>
        </w:rPr>
        <w:t xml:space="preserve"> </w:t>
      </w:r>
      <w:r w:rsidR="002A77CC" w:rsidRPr="002A77CC">
        <w:rPr>
          <w:i/>
        </w:rPr>
        <w:t>Therefore, it is expected</w:t>
      </w:r>
      <w:r w:rsidR="002A77CC">
        <w:rPr>
          <w:i/>
        </w:rPr>
        <w:t xml:space="preserve"> that other CAR-T therapies will follow this same pathway in the coming years. This application is likely to be the first of a series of applications, and the </w:t>
      </w:r>
      <w:r w:rsidR="00DD79B4">
        <w:rPr>
          <w:i/>
        </w:rPr>
        <w:t xml:space="preserve">mechanism under which it may be funded may become an example on how to regulate future (autologous) products of gene-editing. </w:t>
      </w:r>
    </w:p>
    <w:p w14:paraId="3129559A" w14:textId="49F9391B" w:rsidR="00B13526" w:rsidRPr="002606DB" w:rsidRDefault="009617AD" w:rsidP="0036064A">
      <w:pPr>
        <w:jc w:val="both"/>
        <w:rPr>
          <w:b/>
        </w:rPr>
      </w:pPr>
      <w:proofErr w:type="gramStart"/>
      <w:r w:rsidRPr="002606DB">
        <w:rPr>
          <w:b/>
        </w:rPr>
        <w:t>REDACTED</w:t>
      </w:r>
      <w:r w:rsidR="002606DB">
        <w:rPr>
          <w:b/>
        </w:rPr>
        <w:t>.</w:t>
      </w:r>
      <w:proofErr w:type="gramEnd"/>
    </w:p>
    <w:p w14:paraId="41535C4A" w14:textId="50C6814B" w:rsidR="00896845" w:rsidRPr="00E364F7" w:rsidRDefault="001039DF" w:rsidP="00EE435A">
      <w:pPr>
        <w:pStyle w:val="Heading3"/>
      </w:pPr>
      <w:r>
        <w:t>2.</w:t>
      </w:r>
      <w:r w:rsidR="00E159C1">
        <w:t>5</w:t>
      </w:r>
      <w:r>
        <w:t xml:space="preserve"> </w:t>
      </w:r>
      <w:r w:rsidR="00896845" w:rsidRPr="00E364F7">
        <w:t>Comparator</w:t>
      </w:r>
    </w:p>
    <w:p w14:paraId="06F8018A" w14:textId="7CDE9B3E" w:rsidR="00211A94" w:rsidRDefault="00BB6E2B" w:rsidP="00415D85">
      <w:pPr>
        <w:jc w:val="both"/>
      </w:pPr>
      <w:r>
        <w:t>The</w:t>
      </w:r>
      <w:r w:rsidR="00696235">
        <w:t xml:space="preserve"> applicant stat</w:t>
      </w:r>
      <w:r>
        <w:t>es that in most sub-populations</w:t>
      </w:r>
      <w:r w:rsidR="00C850E0">
        <w:t xml:space="preserve"> in the ALL group,</w:t>
      </w:r>
      <w:r>
        <w:t xml:space="preserve"> the appropriate comparator is</w:t>
      </w:r>
      <w:r w:rsidR="00696235">
        <w:t xml:space="preserve"> best supportive care (BSC), consisting of further minimally toxic chemot</w:t>
      </w:r>
      <w:r w:rsidR="00920B64">
        <w:t>herapy or palliative care (or an experimental treatment through a clinical trial</w:t>
      </w:r>
      <w:r w:rsidR="00696235">
        <w:t>).</w:t>
      </w:r>
      <w:r w:rsidR="00135293">
        <w:t xml:space="preserve"> </w:t>
      </w:r>
      <w:r>
        <w:t>T</w:t>
      </w:r>
      <w:r w:rsidR="00135293">
        <w:t>his is often the last line of therapy.</w:t>
      </w:r>
      <w:r w:rsidR="00C850E0">
        <w:t xml:space="preserve"> The comparator for the DLBCL sub-groups is salvage chemotherapy</w:t>
      </w:r>
      <w:r w:rsidR="008C1619">
        <w:t xml:space="preserve">, consisting of </w:t>
      </w:r>
      <w:r w:rsidR="008C1619" w:rsidRPr="00FA6B3C">
        <w:t>a mix of predominantly rituximab based chemotherapy regimens</w:t>
      </w:r>
      <w:r w:rsidR="00C850E0">
        <w:t>.</w:t>
      </w:r>
      <w:r w:rsidR="00135293">
        <w:t xml:space="preserve"> </w:t>
      </w:r>
      <w:r w:rsidR="00EA3C7C">
        <w:t xml:space="preserve">For the comparators per sub-population, see </w:t>
      </w:r>
      <w:r w:rsidR="00C850E0">
        <w:fldChar w:fldCharType="begin"/>
      </w:r>
      <w:r w:rsidR="00C850E0">
        <w:instrText xml:space="preserve"> REF _Ref514076294 \h </w:instrText>
      </w:r>
      <w:r w:rsidR="00C850E0">
        <w:fldChar w:fldCharType="separate"/>
      </w:r>
      <w:r w:rsidR="00C850E0">
        <w:t xml:space="preserve">Table </w:t>
      </w:r>
      <w:r w:rsidR="00C850E0">
        <w:rPr>
          <w:noProof/>
        </w:rPr>
        <w:t>4</w:t>
      </w:r>
      <w:r w:rsidR="00C850E0">
        <w:fldChar w:fldCharType="end"/>
      </w:r>
      <w:r w:rsidR="00C850E0">
        <w:t>.</w:t>
      </w:r>
      <w:r w:rsidR="00EA3C7C">
        <w:t xml:space="preserve"> </w:t>
      </w:r>
    </w:p>
    <w:p w14:paraId="2C005D8A" w14:textId="623A6FEE" w:rsidR="00C850E0" w:rsidRDefault="00C850E0" w:rsidP="00D2585D">
      <w:pPr>
        <w:pStyle w:val="Caption"/>
      </w:pPr>
      <w:bookmarkStart w:id="5" w:name="_Ref514076294"/>
      <w:r>
        <w:t xml:space="preserve">Table </w:t>
      </w:r>
      <w:r>
        <w:fldChar w:fldCharType="begin"/>
      </w:r>
      <w:r>
        <w:instrText xml:space="preserve"> SEQ Table \* ARABIC </w:instrText>
      </w:r>
      <w:r>
        <w:fldChar w:fldCharType="separate"/>
      </w:r>
      <w:r>
        <w:rPr>
          <w:noProof/>
        </w:rPr>
        <w:t>4</w:t>
      </w:r>
      <w:r>
        <w:fldChar w:fldCharType="end"/>
      </w:r>
      <w:bookmarkEnd w:id="5"/>
      <w:r>
        <w:t xml:space="preserve"> Proposed comparators, per population sub-group</w:t>
      </w:r>
    </w:p>
    <w:tbl>
      <w:tblPr>
        <w:tblStyle w:val="TableGrid"/>
        <w:tblW w:w="0" w:type="auto"/>
        <w:tblLook w:val="04A0" w:firstRow="1" w:lastRow="0" w:firstColumn="1" w:lastColumn="0" w:noHBand="0" w:noVBand="1"/>
        <w:tblCaption w:val="Proposed comparators, per population sub-group"/>
        <w:tblDescription w:val="Proposed comparators, per population sub-group"/>
      </w:tblPr>
      <w:tblGrid>
        <w:gridCol w:w="4390"/>
        <w:gridCol w:w="4626"/>
      </w:tblGrid>
      <w:tr w:rsidR="00EA3C7C" w14:paraId="634EADC5" w14:textId="77777777" w:rsidTr="001C4342">
        <w:trPr>
          <w:tblHeader/>
        </w:trPr>
        <w:tc>
          <w:tcPr>
            <w:tcW w:w="4390" w:type="dxa"/>
            <w:shd w:val="clear" w:color="auto" w:fill="D9D9D9" w:themeFill="background1" w:themeFillShade="D9"/>
          </w:tcPr>
          <w:p w14:paraId="235B1397" w14:textId="02FA4203" w:rsidR="00EA3C7C" w:rsidRDefault="00EA3C7C" w:rsidP="00D2585D">
            <w:pPr>
              <w:pStyle w:val="Caption"/>
            </w:pPr>
            <w:r>
              <w:t>ALL</w:t>
            </w:r>
          </w:p>
        </w:tc>
        <w:tc>
          <w:tcPr>
            <w:tcW w:w="4626" w:type="dxa"/>
            <w:shd w:val="clear" w:color="auto" w:fill="D9D9D9" w:themeFill="background1" w:themeFillShade="D9"/>
          </w:tcPr>
          <w:p w14:paraId="780B4478" w14:textId="77777777" w:rsidR="00EA3C7C" w:rsidRDefault="00EA3C7C" w:rsidP="00D2585D">
            <w:pPr>
              <w:pStyle w:val="Caption"/>
            </w:pPr>
          </w:p>
        </w:tc>
      </w:tr>
      <w:tr w:rsidR="00EA3C7C" w14:paraId="5C25951C" w14:textId="77777777" w:rsidTr="00D2585D">
        <w:tc>
          <w:tcPr>
            <w:tcW w:w="4390" w:type="dxa"/>
            <w:shd w:val="clear" w:color="auto" w:fill="D9D9D9" w:themeFill="background1" w:themeFillShade="D9"/>
          </w:tcPr>
          <w:p w14:paraId="5C6D5A46" w14:textId="3A0C0B7A" w:rsidR="00EA3C7C" w:rsidRPr="00EA3C7C" w:rsidRDefault="00EA3C7C" w:rsidP="00D2585D">
            <w:pPr>
              <w:pStyle w:val="Caption"/>
            </w:pPr>
            <w:r>
              <w:t>Sub-population</w:t>
            </w:r>
          </w:p>
        </w:tc>
        <w:tc>
          <w:tcPr>
            <w:tcW w:w="4626" w:type="dxa"/>
            <w:shd w:val="clear" w:color="auto" w:fill="D9D9D9" w:themeFill="background1" w:themeFillShade="D9"/>
          </w:tcPr>
          <w:p w14:paraId="6A2D04FF" w14:textId="07E0C241" w:rsidR="00EA3C7C" w:rsidRDefault="00EA3C7C" w:rsidP="00D2585D">
            <w:pPr>
              <w:pStyle w:val="Caption"/>
            </w:pPr>
            <w:r>
              <w:t>Comparator</w:t>
            </w:r>
          </w:p>
        </w:tc>
      </w:tr>
      <w:tr w:rsidR="00EA3C7C" w:rsidRPr="00EA3C7C" w14:paraId="3723AEFF" w14:textId="77777777" w:rsidTr="00D2585D">
        <w:tc>
          <w:tcPr>
            <w:tcW w:w="4390" w:type="dxa"/>
          </w:tcPr>
          <w:p w14:paraId="28D63149" w14:textId="22FAB7A2" w:rsidR="00EA3C7C" w:rsidRPr="00FA6B3C" w:rsidRDefault="00CD6921" w:rsidP="00D2585D">
            <w:pPr>
              <w:pStyle w:val="Caption"/>
              <w:numPr>
                <w:ilvl w:val="0"/>
                <w:numId w:val="30"/>
              </w:numPr>
              <w:rPr>
                <w:b w:val="0"/>
              </w:rPr>
            </w:pPr>
            <w:r w:rsidRPr="001B0F9D">
              <w:rPr>
                <w:b w:val="0"/>
              </w:rPr>
              <w:t>2</w:t>
            </w:r>
            <w:r w:rsidRPr="001B0F9D">
              <w:rPr>
                <w:b w:val="0"/>
                <w:vertAlign w:val="superscript"/>
              </w:rPr>
              <w:t>nd</w:t>
            </w:r>
            <w:r w:rsidRPr="001B0F9D">
              <w:rPr>
                <w:b w:val="0"/>
              </w:rPr>
              <w:t xml:space="preserve"> or greater bone marrow relapse</w:t>
            </w:r>
          </w:p>
        </w:tc>
        <w:tc>
          <w:tcPr>
            <w:tcW w:w="4626" w:type="dxa"/>
          </w:tcPr>
          <w:p w14:paraId="3C2D7664" w14:textId="65999E66" w:rsidR="00EA3C7C" w:rsidRPr="00A870CB" w:rsidRDefault="00CD6921" w:rsidP="00D2585D">
            <w:pPr>
              <w:pStyle w:val="Caption"/>
            </w:pPr>
            <w:r>
              <w:rPr>
                <w:b w:val="0"/>
              </w:rPr>
              <w:t>Best supportive care</w:t>
            </w:r>
          </w:p>
        </w:tc>
      </w:tr>
      <w:tr w:rsidR="00EA3C7C" w:rsidRPr="00EA3C7C" w14:paraId="6E80BA72" w14:textId="77777777" w:rsidTr="00D2585D">
        <w:tc>
          <w:tcPr>
            <w:tcW w:w="4390" w:type="dxa"/>
          </w:tcPr>
          <w:p w14:paraId="6EFD5037" w14:textId="61269C38" w:rsidR="00EA3C7C" w:rsidRPr="00FA6B3C" w:rsidRDefault="00CD6921" w:rsidP="00D2585D">
            <w:pPr>
              <w:pStyle w:val="Caption"/>
              <w:numPr>
                <w:ilvl w:val="0"/>
                <w:numId w:val="30"/>
              </w:numPr>
              <w:rPr>
                <w:b w:val="0"/>
              </w:rPr>
            </w:pPr>
            <w:r w:rsidRPr="001B0F9D">
              <w:rPr>
                <w:b w:val="0"/>
              </w:rPr>
              <w:t>Bone marrow relapse following allogenic SCT</w:t>
            </w:r>
          </w:p>
        </w:tc>
        <w:tc>
          <w:tcPr>
            <w:tcW w:w="4626" w:type="dxa"/>
          </w:tcPr>
          <w:p w14:paraId="06FB372F" w14:textId="5DDBC999" w:rsidR="00EA3C7C" w:rsidRPr="00D2585D" w:rsidRDefault="00CD6921" w:rsidP="00D2585D">
            <w:pPr>
              <w:rPr>
                <w:rFonts w:ascii="Arial Narrow" w:eastAsia="Times New Roman" w:hAnsi="Arial Narrow" w:cs="Tahoma"/>
                <w:sz w:val="20"/>
                <w:szCs w:val="20"/>
                <w:lang w:val="en-GB" w:eastAsia="ja-JP"/>
              </w:rPr>
            </w:pPr>
            <w:r w:rsidRPr="00D2585D">
              <w:rPr>
                <w:rFonts w:ascii="Arial Narrow" w:eastAsia="Times New Roman" w:hAnsi="Arial Narrow" w:cs="Tahoma"/>
                <w:sz w:val="20"/>
                <w:szCs w:val="20"/>
                <w:lang w:val="en-GB" w:eastAsia="ja-JP"/>
              </w:rPr>
              <w:t xml:space="preserve">Salvage chemotherapy with intention to proceed to allogenic SCT, </w:t>
            </w:r>
            <w:proofErr w:type="spellStart"/>
            <w:r w:rsidRPr="00D2585D">
              <w:rPr>
                <w:rFonts w:ascii="Arial Narrow" w:eastAsia="Times New Roman" w:hAnsi="Arial Narrow" w:cs="Tahoma"/>
                <w:sz w:val="20"/>
                <w:szCs w:val="20"/>
                <w:lang w:val="en-GB" w:eastAsia="ja-JP"/>
              </w:rPr>
              <w:t>clofarabine</w:t>
            </w:r>
            <w:proofErr w:type="spellEnd"/>
            <w:r w:rsidRPr="00D2585D">
              <w:rPr>
                <w:rFonts w:ascii="Arial Narrow" w:eastAsia="Times New Roman" w:hAnsi="Arial Narrow" w:cs="Tahoma"/>
                <w:sz w:val="20"/>
                <w:szCs w:val="20"/>
                <w:lang w:val="en-GB" w:eastAsia="ja-JP"/>
              </w:rPr>
              <w:t xml:space="preserve"> with intention to proceed to </w:t>
            </w:r>
            <w:r w:rsidRPr="00CD6921">
              <w:rPr>
                <w:rFonts w:ascii="Arial Narrow" w:eastAsia="Times New Roman" w:hAnsi="Arial Narrow" w:cs="Tahoma"/>
                <w:sz w:val="20"/>
                <w:szCs w:val="20"/>
                <w:lang w:val="en-GB" w:eastAsia="ja-JP"/>
              </w:rPr>
              <w:t>allogenic SCT, or in some cases</w:t>
            </w:r>
            <w:r w:rsidRPr="00D2585D">
              <w:rPr>
                <w:rFonts w:ascii="Arial Narrow" w:eastAsia="Times New Roman" w:hAnsi="Arial Narrow" w:cs="Tahoma"/>
                <w:sz w:val="20"/>
                <w:szCs w:val="20"/>
                <w:lang w:val="en-GB" w:eastAsia="ja-JP"/>
              </w:rPr>
              <w:t xml:space="preserve"> </w:t>
            </w:r>
            <w:r>
              <w:rPr>
                <w:rFonts w:ascii="Arial Narrow" w:eastAsia="Times New Roman" w:hAnsi="Arial Narrow" w:cs="Tahoma"/>
                <w:sz w:val="20"/>
                <w:szCs w:val="20"/>
                <w:lang w:val="en-GB" w:eastAsia="ja-JP"/>
              </w:rPr>
              <w:t>BSC</w:t>
            </w:r>
            <w:r w:rsidRPr="00D2585D">
              <w:rPr>
                <w:rFonts w:ascii="Arial Narrow" w:eastAsia="Times New Roman" w:hAnsi="Arial Narrow" w:cs="Tahoma"/>
                <w:sz w:val="20"/>
                <w:szCs w:val="20"/>
                <w:lang w:val="en-GB" w:eastAsia="ja-JP"/>
              </w:rPr>
              <w:t xml:space="preserve"> </w:t>
            </w:r>
            <w:r>
              <w:rPr>
                <w:rFonts w:ascii="Arial Narrow" w:eastAsia="Times New Roman" w:hAnsi="Arial Narrow" w:cs="Tahoma"/>
                <w:sz w:val="20"/>
                <w:szCs w:val="20"/>
                <w:lang w:val="en-GB" w:eastAsia="ja-JP"/>
              </w:rPr>
              <w:t>(</w:t>
            </w:r>
            <w:r w:rsidRPr="00D2585D">
              <w:rPr>
                <w:rFonts w:ascii="Arial Narrow" w:eastAsia="Times New Roman" w:hAnsi="Arial Narrow" w:cs="Tahoma"/>
                <w:sz w:val="20"/>
                <w:szCs w:val="20"/>
                <w:lang w:val="en-GB" w:eastAsia="ja-JP"/>
              </w:rPr>
              <w:t>or a clinical trial</w:t>
            </w:r>
            <w:r>
              <w:rPr>
                <w:rFonts w:ascii="Arial Narrow" w:eastAsia="Times New Roman" w:hAnsi="Arial Narrow" w:cs="Tahoma"/>
                <w:sz w:val="20"/>
                <w:szCs w:val="20"/>
                <w:lang w:val="en-GB" w:eastAsia="ja-JP"/>
              </w:rPr>
              <w:t>)</w:t>
            </w:r>
            <w:r w:rsidRPr="00D2585D">
              <w:rPr>
                <w:rFonts w:ascii="Arial Narrow" w:eastAsia="Times New Roman" w:hAnsi="Arial Narrow" w:cs="Tahoma"/>
                <w:sz w:val="20"/>
                <w:szCs w:val="20"/>
                <w:lang w:val="en-GB" w:eastAsia="ja-JP"/>
              </w:rPr>
              <w:t xml:space="preserve"> (when refractory after TKI+</w:t>
            </w:r>
            <w:r w:rsidRPr="00CD6921">
              <w:rPr>
                <w:rFonts w:ascii="Arial Narrow" w:eastAsia="Times New Roman" w:hAnsi="Arial Narrow" w:cs="Tahoma"/>
                <w:sz w:val="20"/>
                <w:szCs w:val="20"/>
                <w:lang w:val="en-GB" w:eastAsia="ja-JP"/>
              </w:rPr>
              <w:t xml:space="preserve"> chemotherapy and allogenic SCT)</w:t>
            </w:r>
          </w:p>
        </w:tc>
      </w:tr>
      <w:tr w:rsidR="00EA3C7C" w:rsidRPr="00EA3C7C" w14:paraId="42778587" w14:textId="77777777" w:rsidTr="00D2585D">
        <w:tc>
          <w:tcPr>
            <w:tcW w:w="4390" w:type="dxa"/>
          </w:tcPr>
          <w:p w14:paraId="5B7DA657" w14:textId="08EE4565" w:rsidR="00EA3C7C" w:rsidRPr="00FA6B3C" w:rsidRDefault="00CD6921" w:rsidP="00D2585D">
            <w:pPr>
              <w:pStyle w:val="Caption"/>
              <w:numPr>
                <w:ilvl w:val="0"/>
                <w:numId w:val="30"/>
              </w:numPr>
              <w:rPr>
                <w:b w:val="0"/>
              </w:rPr>
            </w:pPr>
            <w:r w:rsidRPr="001B0F9D">
              <w:rPr>
                <w:b w:val="0"/>
              </w:rPr>
              <w:t>Primary refractory, as defined by not achieving a complete response after two cycles of standard chemotherapy</w:t>
            </w:r>
          </w:p>
        </w:tc>
        <w:tc>
          <w:tcPr>
            <w:tcW w:w="4626" w:type="dxa"/>
          </w:tcPr>
          <w:p w14:paraId="7E634C6A" w14:textId="05406958" w:rsidR="00EA3C7C" w:rsidRPr="00D2585D" w:rsidRDefault="00CD6921" w:rsidP="00D2585D">
            <w:pPr>
              <w:rPr>
                <w:rFonts w:ascii="Arial Narrow" w:eastAsia="Times New Roman" w:hAnsi="Arial Narrow" w:cs="Tahoma"/>
                <w:sz w:val="20"/>
                <w:szCs w:val="20"/>
                <w:lang w:val="en-GB" w:eastAsia="ja-JP"/>
              </w:rPr>
            </w:pPr>
            <w:r w:rsidRPr="00D2585D">
              <w:rPr>
                <w:rFonts w:ascii="Arial Narrow" w:eastAsia="Times New Roman" w:hAnsi="Arial Narrow" w:cs="Tahoma"/>
                <w:sz w:val="20"/>
                <w:szCs w:val="20"/>
                <w:lang w:val="en-GB" w:eastAsia="ja-JP"/>
              </w:rPr>
              <w:t xml:space="preserve">Salvage chemotherapy with intention to proceed to allogenic SCT, or </w:t>
            </w:r>
            <w:proofErr w:type="spellStart"/>
            <w:r w:rsidRPr="00D2585D">
              <w:rPr>
                <w:rFonts w:ascii="Arial Narrow" w:eastAsia="Times New Roman" w:hAnsi="Arial Narrow" w:cs="Tahoma"/>
                <w:sz w:val="20"/>
                <w:szCs w:val="20"/>
                <w:lang w:val="en-GB" w:eastAsia="ja-JP"/>
              </w:rPr>
              <w:t>clofarabine</w:t>
            </w:r>
            <w:proofErr w:type="spellEnd"/>
            <w:r w:rsidRPr="00D2585D">
              <w:rPr>
                <w:rFonts w:ascii="Arial Narrow" w:eastAsia="Times New Roman" w:hAnsi="Arial Narrow" w:cs="Tahoma"/>
                <w:sz w:val="20"/>
                <w:szCs w:val="20"/>
                <w:lang w:val="en-GB" w:eastAsia="ja-JP"/>
              </w:rPr>
              <w:t xml:space="preserve"> with intention to proceed to allogenic SCT</w:t>
            </w:r>
          </w:p>
        </w:tc>
      </w:tr>
      <w:tr w:rsidR="00EA3C7C" w:rsidRPr="00EA3C7C" w14:paraId="7E303B89" w14:textId="77777777" w:rsidTr="00D2585D">
        <w:tc>
          <w:tcPr>
            <w:tcW w:w="4390" w:type="dxa"/>
          </w:tcPr>
          <w:p w14:paraId="7E4A722B" w14:textId="0F79C363" w:rsidR="00EA3C7C" w:rsidRPr="00FA6B3C" w:rsidRDefault="00CD6921" w:rsidP="00D2585D">
            <w:pPr>
              <w:pStyle w:val="Caption"/>
              <w:numPr>
                <w:ilvl w:val="0"/>
                <w:numId w:val="30"/>
              </w:numPr>
              <w:rPr>
                <w:b w:val="0"/>
              </w:rPr>
            </w:pPr>
            <w:r w:rsidRPr="001B0F9D">
              <w:rPr>
                <w:b w:val="0"/>
              </w:rPr>
              <w:t>Chemo refractory, as defined by not achieving complete response after one cycle of standard chemotherapy for relapsed ALL</w:t>
            </w:r>
          </w:p>
        </w:tc>
        <w:tc>
          <w:tcPr>
            <w:tcW w:w="4626" w:type="dxa"/>
          </w:tcPr>
          <w:p w14:paraId="090ACB91" w14:textId="5720D1F2" w:rsidR="00EA3C7C" w:rsidRPr="00A870CB" w:rsidRDefault="00CD6921" w:rsidP="00D2585D">
            <w:pPr>
              <w:pStyle w:val="Caption"/>
            </w:pPr>
            <w:r>
              <w:rPr>
                <w:b w:val="0"/>
              </w:rPr>
              <w:t>Best supportive care</w:t>
            </w:r>
          </w:p>
        </w:tc>
      </w:tr>
      <w:tr w:rsidR="00EA3C7C" w:rsidRPr="00EA3C7C" w14:paraId="74CB7C08" w14:textId="77777777" w:rsidTr="00D2585D">
        <w:tc>
          <w:tcPr>
            <w:tcW w:w="4390" w:type="dxa"/>
          </w:tcPr>
          <w:p w14:paraId="1B68EA03" w14:textId="0F207BE7" w:rsidR="00EA3C7C" w:rsidRPr="00FA6B3C" w:rsidRDefault="00CD6921" w:rsidP="00D2585D">
            <w:pPr>
              <w:pStyle w:val="Caption"/>
              <w:numPr>
                <w:ilvl w:val="0"/>
                <w:numId w:val="30"/>
              </w:numPr>
              <w:rPr>
                <w:b w:val="0"/>
              </w:rPr>
            </w:pPr>
            <w:r w:rsidRPr="001B0F9D">
              <w:rPr>
                <w:b w:val="0"/>
              </w:rPr>
              <w:t xml:space="preserve">Philadelphia chromosome positive and intolerant, contraindicated </w:t>
            </w:r>
            <w:r w:rsidR="00A870CB" w:rsidRPr="001B0F9D">
              <w:rPr>
                <w:b w:val="0"/>
              </w:rPr>
              <w:t>or failed two lines of TKI</w:t>
            </w:r>
            <w:r w:rsidRPr="001B0F9D">
              <w:rPr>
                <w:b w:val="0"/>
              </w:rPr>
              <w:t xml:space="preserve"> therapy</w:t>
            </w:r>
            <w:r w:rsidRPr="00471C27">
              <w:rPr>
                <w:b w:val="0"/>
              </w:rPr>
              <w:t xml:space="preserve"> </w:t>
            </w:r>
          </w:p>
        </w:tc>
        <w:tc>
          <w:tcPr>
            <w:tcW w:w="4626" w:type="dxa"/>
          </w:tcPr>
          <w:p w14:paraId="22E636A7" w14:textId="024986FD" w:rsidR="00EA3C7C" w:rsidRPr="00A870CB" w:rsidRDefault="00CD6921" w:rsidP="00D2585D">
            <w:pPr>
              <w:pStyle w:val="Caption"/>
            </w:pPr>
            <w:r>
              <w:rPr>
                <w:b w:val="0"/>
              </w:rPr>
              <w:t>Best supportive care</w:t>
            </w:r>
          </w:p>
        </w:tc>
      </w:tr>
      <w:tr w:rsidR="00CD6921" w:rsidRPr="00CD6921" w14:paraId="4EAC2ADC" w14:textId="77777777" w:rsidTr="00CD6921">
        <w:tc>
          <w:tcPr>
            <w:tcW w:w="4390" w:type="dxa"/>
          </w:tcPr>
          <w:p w14:paraId="5AB3A917" w14:textId="428B3128" w:rsidR="00CD6921" w:rsidRPr="001B0F9D" w:rsidRDefault="00CD6921" w:rsidP="00CD6921">
            <w:pPr>
              <w:pStyle w:val="Caption"/>
              <w:numPr>
                <w:ilvl w:val="0"/>
                <w:numId w:val="30"/>
              </w:numPr>
              <w:rPr>
                <w:b w:val="0"/>
              </w:rPr>
            </w:pPr>
            <w:r w:rsidRPr="001B0F9D">
              <w:rPr>
                <w:b w:val="0"/>
              </w:rPr>
              <w:t>Ineligible for allogenic SCT due to comorbid disease, contraindications to the conditioning regimen, prior SCT, or lack of a suitable donor</w:t>
            </w:r>
          </w:p>
        </w:tc>
        <w:tc>
          <w:tcPr>
            <w:tcW w:w="4626" w:type="dxa"/>
          </w:tcPr>
          <w:p w14:paraId="396ABB9C" w14:textId="2421132C" w:rsidR="00CD6921" w:rsidRDefault="00CD6921" w:rsidP="00EA3C7C">
            <w:pPr>
              <w:pStyle w:val="Caption"/>
              <w:rPr>
                <w:b w:val="0"/>
              </w:rPr>
            </w:pPr>
            <w:r>
              <w:rPr>
                <w:b w:val="0"/>
              </w:rPr>
              <w:t>Best supportive care</w:t>
            </w:r>
          </w:p>
        </w:tc>
      </w:tr>
      <w:tr w:rsidR="00CD6921" w14:paraId="38465B98" w14:textId="77777777" w:rsidTr="00D2585D">
        <w:tc>
          <w:tcPr>
            <w:tcW w:w="4390" w:type="dxa"/>
            <w:shd w:val="clear" w:color="auto" w:fill="D9D9D9" w:themeFill="background1" w:themeFillShade="D9"/>
          </w:tcPr>
          <w:p w14:paraId="481A9F58" w14:textId="28D4485B" w:rsidR="00CD6921" w:rsidRDefault="00CD6921" w:rsidP="00A870CB">
            <w:pPr>
              <w:pStyle w:val="Caption"/>
            </w:pPr>
            <w:r>
              <w:t>DLBCL</w:t>
            </w:r>
          </w:p>
        </w:tc>
        <w:tc>
          <w:tcPr>
            <w:tcW w:w="4626" w:type="dxa"/>
            <w:shd w:val="clear" w:color="auto" w:fill="D9D9D9" w:themeFill="background1" w:themeFillShade="D9"/>
          </w:tcPr>
          <w:p w14:paraId="405FDA4C" w14:textId="77777777" w:rsidR="00CD6921" w:rsidRDefault="00CD6921" w:rsidP="00A870CB">
            <w:pPr>
              <w:pStyle w:val="Caption"/>
            </w:pPr>
          </w:p>
        </w:tc>
      </w:tr>
      <w:tr w:rsidR="00A51B96" w14:paraId="14E26E95" w14:textId="77777777" w:rsidTr="00D2585D">
        <w:tc>
          <w:tcPr>
            <w:tcW w:w="4390" w:type="dxa"/>
            <w:shd w:val="clear" w:color="auto" w:fill="D9D9D9" w:themeFill="background1" w:themeFillShade="D9"/>
          </w:tcPr>
          <w:p w14:paraId="05BE5F25" w14:textId="77777777" w:rsidR="00A51B96" w:rsidRPr="00EA3C7C" w:rsidRDefault="00A51B96" w:rsidP="00A870CB">
            <w:pPr>
              <w:pStyle w:val="Caption"/>
            </w:pPr>
            <w:r>
              <w:t>Sub-population</w:t>
            </w:r>
          </w:p>
        </w:tc>
        <w:tc>
          <w:tcPr>
            <w:tcW w:w="4626" w:type="dxa"/>
            <w:shd w:val="clear" w:color="auto" w:fill="D9D9D9" w:themeFill="background1" w:themeFillShade="D9"/>
          </w:tcPr>
          <w:p w14:paraId="7354BCF8" w14:textId="77777777" w:rsidR="00A51B96" w:rsidRDefault="00A51B96" w:rsidP="00A870CB">
            <w:pPr>
              <w:pStyle w:val="Caption"/>
            </w:pPr>
            <w:r>
              <w:t>Comparator</w:t>
            </w:r>
          </w:p>
        </w:tc>
      </w:tr>
      <w:tr w:rsidR="00CD6921" w:rsidRPr="00CD6921" w14:paraId="550FF232" w14:textId="77777777" w:rsidTr="00CD6921">
        <w:tc>
          <w:tcPr>
            <w:tcW w:w="4390" w:type="dxa"/>
          </w:tcPr>
          <w:p w14:paraId="0B957B50" w14:textId="7C8467A1" w:rsidR="00CD6921" w:rsidRDefault="00F273D3" w:rsidP="00D2585D">
            <w:pPr>
              <w:pStyle w:val="Caption"/>
              <w:numPr>
                <w:ilvl w:val="0"/>
                <w:numId w:val="31"/>
              </w:numPr>
              <w:ind w:left="738" w:hanging="425"/>
              <w:rPr>
                <w:b w:val="0"/>
              </w:rPr>
            </w:pPr>
            <w:r>
              <w:rPr>
                <w:b w:val="0"/>
              </w:rPr>
              <w:t>Relapsed/refractory disease after two lines of chemotherapy and relapse after autologous SCT</w:t>
            </w:r>
          </w:p>
        </w:tc>
        <w:tc>
          <w:tcPr>
            <w:tcW w:w="4626" w:type="dxa"/>
          </w:tcPr>
          <w:p w14:paraId="00A856A0" w14:textId="5EACBAF4" w:rsidR="00CD6921" w:rsidRDefault="00F273D3" w:rsidP="00EA3C7C">
            <w:pPr>
              <w:pStyle w:val="Caption"/>
              <w:rPr>
                <w:b w:val="0"/>
              </w:rPr>
            </w:pPr>
            <w:r>
              <w:rPr>
                <w:b w:val="0"/>
              </w:rPr>
              <w:t>Salvage chemotherapy</w:t>
            </w:r>
          </w:p>
        </w:tc>
      </w:tr>
      <w:tr w:rsidR="00F273D3" w:rsidRPr="00CD6921" w14:paraId="53F33314" w14:textId="77777777" w:rsidTr="00CD6921">
        <w:tc>
          <w:tcPr>
            <w:tcW w:w="4390" w:type="dxa"/>
          </w:tcPr>
          <w:p w14:paraId="07517D3C" w14:textId="4083402A" w:rsidR="00F273D3" w:rsidRDefault="00F273D3" w:rsidP="00F273D3">
            <w:pPr>
              <w:pStyle w:val="Caption"/>
              <w:numPr>
                <w:ilvl w:val="0"/>
                <w:numId w:val="31"/>
              </w:numPr>
              <w:ind w:left="738" w:hanging="425"/>
              <w:rPr>
                <w:b w:val="0"/>
              </w:rPr>
            </w:pPr>
            <w:r>
              <w:rPr>
                <w:b w:val="0"/>
              </w:rPr>
              <w:t>Relapsed/refractory disease after two lines of chemotherapy and ineligible for subsequent stem cell transplant</w:t>
            </w:r>
          </w:p>
        </w:tc>
        <w:tc>
          <w:tcPr>
            <w:tcW w:w="4626" w:type="dxa"/>
          </w:tcPr>
          <w:p w14:paraId="5C3E0FDB" w14:textId="4D5B2C39" w:rsidR="00F273D3" w:rsidRDefault="00F273D3" w:rsidP="00EA3C7C">
            <w:pPr>
              <w:pStyle w:val="Caption"/>
              <w:rPr>
                <w:b w:val="0"/>
              </w:rPr>
            </w:pPr>
            <w:r>
              <w:rPr>
                <w:b w:val="0"/>
              </w:rPr>
              <w:t>Salvage chemotherapy</w:t>
            </w:r>
          </w:p>
        </w:tc>
      </w:tr>
    </w:tbl>
    <w:p w14:paraId="7E4F5446" w14:textId="64342893" w:rsidR="00EA3C7C" w:rsidRDefault="00A870CB" w:rsidP="00D2585D">
      <w:pPr>
        <w:pStyle w:val="Caption"/>
        <w:ind w:left="0" w:firstLine="0"/>
      </w:pPr>
      <w:r w:rsidRPr="00D2585D">
        <w:rPr>
          <w:b w:val="0"/>
        </w:rPr>
        <w:t xml:space="preserve">ALL = acute lymphoblastic leukaemia, BSC = best supportive care DLBCL = </w:t>
      </w:r>
      <w:r w:rsidR="00EA06A2" w:rsidRPr="00D2585D">
        <w:rPr>
          <w:b w:val="0"/>
        </w:rPr>
        <w:t>diffuse large B-cell lymphoma</w:t>
      </w:r>
      <w:r w:rsidRPr="00D2585D">
        <w:rPr>
          <w:b w:val="0"/>
        </w:rPr>
        <w:t>,</w:t>
      </w:r>
      <w:r w:rsidR="00EA06A2" w:rsidRPr="00D2585D">
        <w:rPr>
          <w:b w:val="0"/>
        </w:rPr>
        <w:t xml:space="preserve"> </w:t>
      </w:r>
      <w:r w:rsidRPr="00D2585D">
        <w:rPr>
          <w:b w:val="0"/>
        </w:rPr>
        <w:t xml:space="preserve">SCT = Stem Cell Transplant, TKI = </w:t>
      </w:r>
      <w:proofErr w:type="spellStart"/>
      <w:r w:rsidRPr="00D2585D">
        <w:rPr>
          <w:b w:val="0"/>
        </w:rPr>
        <w:t>thyrosine</w:t>
      </w:r>
      <w:proofErr w:type="spellEnd"/>
      <w:r w:rsidRPr="00D2585D">
        <w:rPr>
          <w:b w:val="0"/>
        </w:rPr>
        <w:t xml:space="preserve"> kinase inhibitor</w:t>
      </w:r>
    </w:p>
    <w:p w14:paraId="2F33F0A9" w14:textId="507E90CC" w:rsidR="00353550" w:rsidRDefault="00135293" w:rsidP="00841746">
      <w:pPr>
        <w:spacing w:before="240"/>
        <w:jc w:val="both"/>
        <w:rPr>
          <w:i/>
        </w:rPr>
      </w:pPr>
      <w:r>
        <w:t>The standard of BSC is ill-defined.</w:t>
      </w:r>
      <w:r w:rsidR="00EA3C7C">
        <w:t xml:space="preserve"> The applicant reported that BSC most likely comprises a salvage regimen of </w:t>
      </w:r>
      <w:proofErr w:type="spellStart"/>
      <w:r w:rsidR="00EA3C7C">
        <w:t>fludarabine</w:t>
      </w:r>
      <w:proofErr w:type="spellEnd"/>
      <w:r w:rsidR="00EA3C7C">
        <w:t xml:space="preserve">, </w:t>
      </w:r>
      <w:proofErr w:type="spellStart"/>
      <w:r w:rsidR="00EA3C7C">
        <w:t>cytarabine</w:t>
      </w:r>
      <w:proofErr w:type="spellEnd"/>
      <w:r w:rsidR="00EA3C7C">
        <w:t xml:space="preserve"> and/or </w:t>
      </w:r>
      <w:proofErr w:type="spellStart"/>
      <w:r w:rsidR="00EA3C7C">
        <w:t>idarubicin</w:t>
      </w:r>
      <w:proofErr w:type="spellEnd"/>
      <w:r w:rsidR="00EA3C7C">
        <w:t xml:space="preserve">, or alternatively </w:t>
      </w:r>
      <w:proofErr w:type="spellStart"/>
      <w:r w:rsidR="00EA3C7C">
        <w:t>clofarabine</w:t>
      </w:r>
      <w:proofErr w:type="spellEnd"/>
      <w:r w:rsidR="00EA3C7C">
        <w:t xml:space="preserve">. </w:t>
      </w:r>
      <w:r w:rsidR="00353550">
        <w:t xml:space="preserve"> </w:t>
      </w:r>
      <w:r w:rsidR="00353550" w:rsidRPr="005568F6">
        <w:rPr>
          <w:i/>
        </w:rPr>
        <w:t xml:space="preserve">Supportive care in cancer should address the following domains: (1) the physical domain, including physical symptoms requiring continuing interventions or rehabilitation; (2) the psychological domain, which addresses </w:t>
      </w:r>
      <w:r w:rsidR="00353550" w:rsidRPr="005568F6">
        <w:rPr>
          <w:i/>
        </w:rPr>
        <w:lastRenderedPageBreak/>
        <w:t xml:space="preserve">issues related to the patient’s mental health and personal relationships; (3) the social domain, which includes social and practical issues impacting the individual and family (e.g. emotional support, maintaining social networks); (4) information domain, addressing access to information about cancer and support services; (5) spiritual domain, focusing on the patient’s changing sense of self and challenges to their beliefs and existential concerns </w:t>
      </w:r>
      <w:r w:rsidR="00981996">
        <w:rPr>
          <w:i/>
        </w:rPr>
        <w:fldChar w:fldCharType="begin"/>
      </w:r>
      <w:r w:rsidR="00981996">
        <w:rPr>
          <w:i/>
        </w:rPr>
        <w:instrText xml:space="preserve"> ADDIN EN.CITE &lt;EndNote&gt;&lt;Cite&gt;&lt;Author&gt;National Cancer Expert Reference Group&lt;/Author&gt;&lt;Year&gt;2016&lt;/Year&gt;&lt;RecNum&gt;8&lt;/RecNum&gt;&lt;DisplayText&gt;(National Cancer Expert Reference Group 2016)&lt;/DisplayText&gt;&lt;record&gt;&lt;rec-number&gt;8&lt;/rec-number&gt;&lt;foreign-keys&gt;&lt;key app="EN" db-id="ffeszew2p5f0f8e0df5pt5dwpf9f92s0vadw" timestamp="1516148325"&gt;8&lt;/key&gt;&lt;/foreign-keys&gt;&lt;ref-type name="Report"&gt;27&lt;/ref-type&gt;&lt;contributors&gt;&lt;authors&gt;&lt;author&gt;National Cancer Expert Reference Group,.&lt;/author&gt;&lt;/authors&gt;&lt;/contributors&gt;&lt;titles&gt;&lt;title&gt;Optimal cancer care pathway for people with Hodgkin and diffuse large B-cell lymphomas&lt;/title&gt;&lt;/titles&gt;&lt;dates&gt;&lt;year&gt;2016&lt;/year&gt;&lt;/dates&gt;&lt;publisher&gt;Australian Government Cancer Australia and Cancer Council&lt;/publisher&gt;&lt;urls&gt;&lt;/urls&gt;&lt;/record&gt;&lt;/Cite&gt;&lt;/EndNote&gt;</w:instrText>
      </w:r>
      <w:r w:rsidR="00981996">
        <w:rPr>
          <w:i/>
        </w:rPr>
        <w:fldChar w:fldCharType="separate"/>
      </w:r>
      <w:r w:rsidR="00981996">
        <w:rPr>
          <w:i/>
          <w:noProof/>
        </w:rPr>
        <w:t>(National Cancer Expert Reference Group 2016)</w:t>
      </w:r>
      <w:r w:rsidR="00981996">
        <w:rPr>
          <w:i/>
        </w:rPr>
        <w:fldChar w:fldCharType="end"/>
      </w:r>
      <w:r w:rsidR="00353550" w:rsidRPr="005568F6">
        <w:rPr>
          <w:i/>
        </w:rPr>
        <w:t xml:space="preserve">. </w:t>
      </w:r>
    </w:p>
    <w:p w14:paraId="39FC14ED" w14:textId="0010F1D3" w:rsidR="000374F1" w:rsidRDefault="00F97CF3" w:rsidP="00415D85">
      <w:pPr>
        <w:jc w:val="both"/>
        <w:rPr>
          <w:i/>
        </w:rPr>
      </w:pPr>
      <w:r>
        <w:rPr>
          <w:i/>
        </w:rPr>
        <w:t xml:space="preserve">The </w:t>
      </w:r>
      <w:r w:rsidR="004536D7">
        <w:rPr>
          <w:i/>
        </w:rPr>
        <w:t>Institute</w:t>
      </w:r>
      <w:r>
        <w:rPr>
          <w:i/>
        </w:rPr>
        <w:t xml:space="preserve"> for Clinical and Economic Review </w:t>
      </w:r>
      <w:r w:rsidR="00C521CD">
        <w:rPr>
          <w:i/>
        </w:rPr>
        <w:t xml:space="preserve">reported </w:t>
      </w:r>
      <w:proofErr w:type="spellStart"/>
      <w:r w:rsidR="000374F1">
        <w:rPr>
          <w:i/>
        </w:rPr>
        <w:t>clofarabine</w:t>
      </w:r>
      <w:proofErr w:type="spellEnd"/>
      <w:r w:rsidR="00C521CD">
        <w:rPr>
          <w:i/>
        </w:rPr>
        <w:t xml:space="preserve">-based therapy and </w:t>
      </w:r>
      <w:proofErr w:type="spellStart"/>
      <w:r w:rsidR="00C521CD">
        <w:rPr>
          <w:i/>
        </w:rPr>
        <w:t>blinatumomab</w:t>
      </w:r>
      <w:proofErr w:type="spellEnd"/>
      <w:r w:rsidR="00C521CD">
        <w:rPr>
          <w:i/>
        </w:rPr>
        <w:t xml:space="preserve">-based therapy as comparators in the ALL population, and salvage chemotherapy regimens in the lymphoma population </w:t>
      </w:r>
      <w:r w:rsidR="00981996">
        <w:rPr>
          <w:i/>
        </w:rPr>
        <w:fldChar w:fldCharType="begin"/>
      </w:r>
      <w:r w:rsidR="00981996">
        <w:rPr>
          <w:i/>
        </w:rPr>
        <w:instrText xml:space="preserve"> ADDIN EN.CITE &lt;EndNote&gt;&lt;Cite&gt;&lt;Author&gt;Institute for Clinical and Economic Review (ICER)&lt;/Author&gt;&lt;Year&gt;2017&lt;/Year&gt;&lt;RecNum&gt;9&lt;/RecNum&gt;&lt;DisplayText&gt;(Institute for Clinical and Economic Review (ICER) 2017)&lt;/DisplayText&gt;&lt;record&gt;&lt;rec-number&gt;9&lt;/rec-number&gt;&lt;foreign-keys&gt;&lt;key app="EN" db-id="ffeszew2p5f0f8e0df5pt5dwpf9f92s0vadw" timestamp="1516335195"&gt;9&lt;/key&gt;&lt;/foreign-keys&gt;&lt;ref-type name="Report"&gt;27&lt;/ref-type&gt;&lt;contributors&gt;&lt;authors&gt;&lt;author&gt;Institute for Clinical and Economic Review (ICER),.&lt;/author&gt;&lt;/authors&gt;&lt;/contributors&gt;&lt;titles&gt;&lt;title&gt;Chimeric Antigen Receptor T-Cell Therapy for B-Cell Cancers: Effectiveness and Value, Draft evidence report&lt;/title&gt;&lt;/titles&gt;&lt;dates&gt;&lt;year&gt;2017&lt;/year&gt;&lt;pub-dates&gt;&lt;date&gt;December 19,2017&lt;/date&gt;&lt;/pub-dates&gt;&lt;/dates&gt;&lt;publisher&gt;Institute for Clinical and Economic Review,&lt;/publisher&gt;&lt;urls&gt;&lt;/urls&gt;&lt;/record&gt;&lt;/Cite&gt;&lt;/EndNote&gt;</w:instrText>
      </w:r>
      <w:r w:rsidR="00981996">
        <w:rPr>
          <w:i/>
        </w:rPr>
        <w:fldChar w:fldCharType="separate"/>
      </w:r>
      <w:r w:rsidR="00981996">
        <w:rPr>
          <w:i/>
          <w:noProof/>
        </w:rPr>
        <w:t>(Institute for Clinical and Economic Review (ICER) 2017)</w:t>
      </w:r>
      <w:r w:rsidR="00981996">
        <w:rPr>
          <w:i/>
        </w:rPr>
        <w:fldChar w:fldCharType="end"/>
      </w:r>
      <w:r w:rsidR="00C521CD">
        <w:rPr>
          <w:i/>
        </w:rPr>
        <w:t xml:space="preserve">.  </w:t>
      </w:r>
      <w:proofErr w:type="spellStart"/>
      <w:r w:rsidR="000374F1">
        <w:rPr>
          <w:i/>
        </w:rPr>
        <w:t>Clofarabine</w:t>
      </w:r>
      <w:proofErr w:type="spellEnd"/>
      <w:r w:rsidR="000374F1">
        <w:rPr>
          <w:i/>
        </w:rPr>
        <w:t xml:space="preserve"> is currently listed as an orphan drug on the TGA for paediatric ALL patients who have relapsed or are refractory, however it is not PBS listed</w:t>
      </w:r>
      <w:r w:rsidR="004C7024">
        <w:rPr>
          <w:i/>
        </w:rPr>
        <w:t>, has not been appraised by the PBAC,</w:t>
      </w:r>
      <w:r w:rsidR="004B4520">
        <w:rPr>
          <w:i/>
        </w:rPr>
        <w:t xml:space="preserve"> and the drug is expensive (up to $100,000 a year)</w:t>
      </w:r>
      <w:r w:rsidR="00211A94">
        <w:rPr>
          <w:i/>
        </w:rPr>
        <w:t>.</w:t>
      </w:r>
      <w:r w:rsidR="004B4520">
        <w:rPr>
          <w:i/>
        </w:rPr>
        <w:t xml:space="preserve"> </w:t>
      </w:r>
      <w:r w:rsidR="000577C4">
        <w:rPr>
          <w:i/>
        </w:rPr>
        <w:fldChar w:fldCharType="begin"/>
      </w:r>
      <w:r w:rsidR="000577C4">
        <w:rPr>
          <w:i/>
        </w:rPr>
        <w:instrText xml:space="preserve"> ADDIN EN.CITE &lt;EndNote&gt;&lt;Cite&gt;&lt;Author&gt;Kirby&lt;/Author&gt;&lt;Year&gt;2014&lt;/Year&gt;&lt;RecNum&gt;14&lt;/RecNum&gt;&lt;IDText&gt;923&lt;/IDText&gt;&lt;DisplayText&gt;(Kirby 2014)&lt;/DisplayText&gt;&lt;record&gt;&lt;rec-number&gt;14&lt;/rec-number&gt;&lt;foreign-keys&gt;&lt;key app="EN" db-id="ffeszew2p5f0f8e0df5pt5dwpf9f92s0vadw" timestamp="1520296612"&gt;14&lt;/key&gt;&lt;/foreign-keys&gt;&lt;ref-type name="Journal Article"&gt;17&lt;/ref-type&gt;&lt;contributors&gt;&lt;authors&gt;&lt;author&gt;Kirby, T.&lt;/author&gt;&lt;/authors&gt;&lt;/contributors&gt;&lt;titles&gt;&lt;title&gt;Children&amp;apos;s cancer drugs cut into Australian hospital budgets&lt;/title&gt;&lt;secondary-title&gt;Lancet Oncol&lt;/secondary-title&gt;&lt;/titles&gt;&lt;periodical&gt;&lt;full-title&gt;Lancet Oncol&lt;/full-title&gt;&lt;/periodical&gt;&lt;pages&gt;923&lt;/pages&gt;&lt;volume&gt;15&lt;/volume&gt;&lt;number&gt;9&lt;/number&gt;&lt;keywords&gt;&lt;keyword&gt;Antineoplastic Agents/*economics/therapeutic use&lt;/keyword&gt;&lt;keyword&gt;Australia&lt;/keyword&gt;&lt;keyword&gt;Budgets&lt;/keyword&gt;&lt;keyword&gt;Child&lt;/keyword&gt;&lt;keyword&gt;Child, Preschool&lt;/keyword&gt;&lt;keyword&gt;Drug Costs/*statistics &amp;amp; numerical data&lt;/keyword&gt;&lt;keyword&gt;Female&lt;/keyword&gt;&lt;keyword&gt;*Hospital Costs&lt;/keyword&gt;&lt;keyword&gt;Humans&lt;/keyword&gt;&lt;keyword&gt;Male&lt;/keyword&gt;&lt;keyword&gt;Needs Assessment&lt;/keyword&gt;&lt;keyword&gt;Neoplasms/diagnosis/*drug therapy&lt;/keyword&gt;&lt;keyword&gt;Pediatrics&lt;/keyword&gt;&lt;/keywords&gt;&lt;dates&gt;&lt;year&gt;2014&lt;/year&gt;&lt;pub-dates&gt;&lt;date&gt;Aug&lt;/date&gt;&lt;/pub-dates&gt;&lt;/dates&gt;&lt;isbn&gt;1474-5488 (Electronic)&amp;#xD;1470-2045 (Linking)&lt;/isbn&gt;&lt;accession-num&gt;25225685&lt;/accession-num&gt;&lt;urls&gt;&lt;related-urls&gt;&lt;url&gt;http://www.ncbi.nlm.nih.gov/pubmed/25225685&lt;/url&gt;&lt;/related-urls&gt;&lt;/urls&gt;&lt;/record&gt;&lt;/Cite&gt;&lt;/EndNote&gt;</w:instrText>
      </w:r>
      <w:r w:rsidR="000577C4">
        <w:rPr>
          <w:i/>
        </w:rPr>
        <w:fldChar w:fldCharType="separate"/>
      </w:r>
      <w:r w:rsidR="000577C4">
        <w:rPr>
          <w:i/>
          <w:noProof/>
        </w:rPr>
        <w:t>(Kirby 2014)</w:t>
      </w:r>
      <w:r w:rsidR="000577C4">
        <w:rPr>
          <w:i/>
        </w:rPr>
        <w:fldChar w:fldCharType="end"/>
      </w:r>
      <w:r w:rsidR="00EA3C7C">
        <w:rPr>
          <w:i/>
        </w:rPr>
        <w:t xml:space="preserve"> It remains </w:t>
      </w:r>
      <w:r w:rsidR="0040525D">
        <w:rPr>
          <w:i/>
        </w:rPr>
        <w:t>unclear</w:t>
      </w:r>
      <w:r w:rsidR="00EA3C7C">
        <w:rPr>
          <w:i/>
        </w:rPr>
        <w:t xml:space="preserve"> how often </w:t>
      </w:r>
      <w:proofErr w:type="spellStart"/>
      <w:r w:rsidR="00EA3C7C">
        <w:rPr>
          <w:i/>
        </w:rPr>
        <w:t>clofarabine</w:t>
      </w:r>
      <w:proofErr w:type="spellEnd"/>
      <w:r w:rsidR="00EA3C7C">
        <w:rPr>
          <w:i/>
        </w:rPr>
        <w:t xml:space="preserve"> is used in paediatric ALL in Australia, or its average cost in a specialist public hospital setting. </w:t>
      </w:r>
    </w:p>
    <w:p w14:paraId="5EB8ED01" w14:textId="6C3E0C01" w:rsidR="00AC261B" w:rsidRDefault="00696235" w:rsidP="00415D85">
      <w:pPr>
        <w:jc w:val="both"/>
        <w:rPr>
          <w:i/>
        </w:rPr>
      </w:pPr>
      <w:r>
        <w:rPr>
          <w:i/>
        </w:rPr>
        <w:t>The proposed medical service is expect</w:t>
      </w:r>
      <w:r w:rsidR="00135293">
        <w:rPr>
          <w:i/>
        </w:rPr>
        <w:t>ed to</w:t>
      </w:r>
      <w:r>
        <w:rPr>
          <w:i/>
        </w:rPr>
        <w:t xml:space="preserve"> </w:t>
      </w:r>
      <w:r w:rsidR="00135293">
        <w:rPr>
          <w:i/>
        </w:rPr>
        <w:t>supplement and substitute</w:t>
      </w:r>
      <w:r>
        <w:rPr>
          <w:i/>
        </w:rPr>
        <w:t xml:space="preserve"> current clinical practice</w:t>
      </w:r>
      <w:r w:rsidR="00F3622B">
        <w:rPr>
          <w:i/>
        </w:rPr>
        <w:t xml:space="preserve"> (e.g.</w:t>
      </w:r>
      <w:r w:rsidR="00436340">
        <w:rPr>
          <w:i/>
        </w:rPr>
        <w:t xml:space="preserve"> BSC)</w:t>
      </w:r>
      <w:r>
        <w:rPr>
          <w:i/>
        </w:rPr>
        <w:t xml:space="preserve">. </w:t>
      </w:r>
      <w:r w:rsidR="00920B64">
        <w:rPr>
          <w:i/>
        </w:rPr>
        <w:t>Even though an experimental treatment through a clinical trial</w:t>
      </w:r>
      <w:r w:rsidR="00B35A46">
        <w:rPr>
          <w:i/>
        </w:rPr>
        <w:t xml:space="preserve"> </w:t>
      </w:r>
      <w:r w:rsidR="009D61F4">
        <w:rPr>
          <w:i/>
        </w:rPr>
        <w:t>is not considered</w:t>
      </w:r>
      <w:r w:rsidR="00B35A46">
        <w:rPr>
          <w:i/>
        </w:rPr>
        <w:t xml:space="preserve"> as a valid comparator to assess the safety and effectiveness of the intervention, it should be noted that it is expected a certain proportion of the patient population is likely to participate in clinical trials, which may impact the estimat</w:t>
      </w:r>
      <w:r w:rsidR="00AC261B">
        <w:rPr>
          <w:i/>
        </w:rPr>
        <w:t>ed population using the service</w:t>
      </w:r>
      <w:r w:rsidR="00B35A46">
        <w:rPr>
          <w:i/>
        </w:rPr>
        <w:t>.</w:t>
      </w:r>
      <w:r w:rsidR="008C1619">
        <w:rPr>
          <w:i/>
        </w:rPr>
        <w:t xml:space="preserve"> This will be relevant for the financial section of the assessment report. </w:t>
      </w:r>
    </w:p>
    <w:p w14:paraId="57B6686E" w14:textId="3B0F1648" w:rsidR="00896845" w:rsidRDefault="001039DF" w:rsidP="00EE435A">
      <w:pPr>
        <w:pStyle w:val="Heading4"/>
      </w:pPr>
      <w:r>
        <w:t xml:space="preserve">2.4.1 </w:t>
      </w:r>
      <w:r w:rsidR="002B3338">
        <w:t>Rationale</w:t>
      </w:r>
    </w:p>
    <w:p w14:paraId="72848250" w14:textId="49530052" w:rsidR="003022A1" w:rsidRDefault="003022A1" w:rsidP="00122B7C">
      <w:pPr>
        <w:jc w:val="both"/>
        <w:rPr>
          <w:i/>
        </w:rPr>
      </w:pPr>
      <w:r w:rsidRPr="003022A1">
        <w:rPr>
          <w:i/>
        </w:rPr>
        <w:t>Comparative trials appear to be lacking.</w:t>
      </w:r>
      <w:r>
        <w:rPr>
          <w:i/>
        </w:rPr>
        <w:t xml:space="preserve"> Most of the studies done on CAR-T therapies for B-Cell cancers are single-arm</w:t>
      </w:r>
      <w:r w:rsidRPr="003022A1">
        <w:rPr>
          <w:i/>
        </w:rPr>
        <w:t xml:space="preserve"> </w:t>
      </w:r>
      <w:r>
        <w:rPr>
          <w:i/>
        </w:rPr>
        <w:t xml:space="preserve">trials. </w:t>
      </w:r>
    </w:p>
    <w:p w14:paraId="4FFD3478" w14:textId="66E337DC" w:rsidR="00896845" w:rsidRPr="00B2026F" w:rsidRDefault="00EE435A" w:rsidP="00EE435A">
      <w:pPr>
        <w:pStyle w:val="Heading3"/>
      </w:pPr>
      <w:r>
        <w:t>2.</w:t>
      </w:r>
      <w:r w:rsidR="00E159C1">
        <w:t>6</w:t>
      </w:r>
      <w:r>
        <w:t xml:space="preserve"> </w:t>
      </w:r>
      <w:r w:rsidR="00896845" w:rsidRPr="00B2026F">
        <w:t>Outcomes</w:t>
      </w:r>
    </w:p>
    <w:p w14:paraId="44F7BCA9" w14:textId="31C3D342" w:rsidR="00970F1F" w:rsidRDefault="00B2026F" w:rsidP="00122B7C">
      <w:pPr>
        <w:jc w:val="both"/>
        <w:rPr>
          <w:i/>
        </w:rPr>
      </w:pPr>
      <w:r>
        <w:t>The overall clinical claim</w:t>
      </w:r>
      <w:r w:rsidR="00970F1F">
        <w:t xml:space="preserve"> made by the applicant</w:t>
      </w:r>
      <w:r>
        <w:t xml:space="preserve"> is for superior</w:t>
      </w:r>
      <w:r w:rsidR="00970F1F">
        <w:t xml:space="preserve">ity. </w:t>
      </w:r>
    </w:p>
    <w:p w14:paraId="40B7E6C2" w14:textId="51C29B7B" w:rsidR="00C61BC0" w:rsidRPr="002606DB" w:rsidRDefault="009617AD" w:rsidP="00122B7C">
      <w:pPr>
        <w:jc w:val="both"/>
        <w:rPr>
          <w:b/>
        </w:rPr>
      </w:pPr>
      <w:proofErr w:type="gramStart"/>
      <w:r w:rsidRPr="002606DB">
        <w:rPr>
          <w:b/>
        </w:rPr>
        <w:t>REDACTED</w:t>
      </w:r>
      <w:r w:rsidR="002606DB">
        <w:rPr>
          <w:b/>
        </w:rPr>
        <w:t>.</w:t>
      </w:r>
      <w:proofErr w:type="gramEnd"/>
    </w:p>
    <w:p w14:paraId="3FD2C1AD" w14:textId="4CD6940F" w:rsidR="002A66BD" w:rsidRPr="002A66BD" w:rsidRDefault="001039DF" w:rsidP="00EE435A">
      <w:pPr>
        <w:pStyle w:val="Heading4"/>
      </w:pPr>
      <w:r>
        <w:t xml:space="preserve">2.5.1 </w:t>
      </w:r>
      <w:r w:rsidR="002A66BD" w:rsidRPr="002A66BD">
        <w:t>Patient relevant</w:t>
      </w:r>
    </w:p>
    <w:p w14:paraId="63CE7282" w14:textId="6C3E81BC" w:rsidR="00A74667" w:rsidRDefault="00B2026F" w:rsidP="00B2026F">
      <w:pPr>
        <w:ind w:left="2160" w:hanging="2160"/>
      </w:pPr>
      <w:r w:rsidRPr="00B2026F">
        <w:rPr>
          <w:i/>
        </w:rPr>
        <w:t>Clinical effectiveness:</w:t>
      </w:r>
      <w:r>
        <w:rPr>
          <w:i/>
        </w:rPr>
        <w:tab/>
      </w:r>
      <w:r w:rsidRPr="00B2026F">
        <w:t>Overal</w:t>
      </w:r>
      <w:r>
        <w:t xml:space="preserve">l response rate (ORR), </w:t>
      </w:r>
      <w:r w:rsidR="008A239D">
        <w:t>complete response rate</w:t>
      </w:r>
      <w:r w:rsidR="008A239D">
        <w:rPr>
          <w:rStyle w:val="FootnoteReference"/>
        </w:rPr>
        <w:footnoteReference w:id="17"/>
      </w:r>
      <w:r w:rsidR="008A239D">
        <w:t xml:space="preserve">, </w:t>
      </w:r>
      <w:r w:rsidR="00D979B2">
        <w:t>relapse-free survival</w:t>
      </w:r>
      <w:r>
        <w:t>, overall survival (OS),</w:t>
      </w:r>
      <w:r w:rsidR="00D979B2">
        <w:t xml:space="preserve"> event-free survival,</w:t>
      </w:r>
      <w:r>
        <w:t xml:space="preserve"> quality of life (</w:t>
      </w:r>
      <w:proofErr w:type="spellStart"/>
      <w:r>
        <w:t>QoL</w:t>
      </w:r>
      <w:proofErr w:type="spellEnd"/>
      <w:r>
        <w:t>), health related quality of life (</w:t>
      </w:r>
      <w:proofErr w:type="spellStart"/>
      <w:r>
        <w:t>HRQoL</w:t>
      </w:r>
      <w:proofErr w:type="spellEnd"/>
      <w:r>
        <w:t>), rate of complete remission, rate of partial remission</w:t>
      </w:r>
      <w:r w:rsidR="002F2673">
        <w:t xml:space="preserve">, </w:t>
      </w:r>
      <w:r w:rsidR="00D979B2">
        <w:t xml:space="preserve">duration of response, </w:t>
      </w:r>
      <w:r w:rsidR="002F2673">
        <w:t>time to return to daily activities</w:t>
      </w:r>
      <w:r w:rsidR="00A74667">
        <w:t xml:space="preserve"> </w:t>
      </w:r>
      <w:r w:rsidR="00A74667">
        <w:rPr>
          <w:i/>
        </w:rPr>
        <w:tab/>
      </w:r>
    </w:p>
    <w:p w14:paraId="0B94D5F1" w14:textId="43575B3C" w:rsidR="00897D2E" w:rsidRDefault="00897D2E" w:rsidP="00841746">
      <w:pPr>
        <w:ind w:left="2160" w:hanging="2160"/>
        <w:jc w:val="both"/>
      </w:pPr>
      <w:r w:rsidRPr="00897D2E">
        <w:rPr>
          <w:i/>
        </w:rPr>
        <w:t>Clinical efficacy:</w:t>
      </w:r>
      <w:r w:rsidRPr="00897D2E">
        <w:rPr>
          <w:i/>
        </w:rPr>
        <w:tab/>
      </w:r>
      <w:r w:rsidR="00D2585D">
        <w:t>T</w:t>
      </w:r>
      <w:r w:rsidR="004F7A99">
        <w:t>isagenlecleucel</w:t>
      </w:r>
      <w:r w:rsidRPr="00897D2E">
        <w:t xml:space="preserve"> failure rate</w:t>
      </w:r>
      <w:r>
        <w:t xml:space="preserve">, percentage of patients successfully receiving tisagenlecleucel after starting the process, time from </w:t>
      </w:r>
      <w:proofErr w:type="spellStart"/>
      <w:r>
        <w:t>leukapheresi</w:t>
      </w:r>
      <w:r w:rsidR="00841746">
        <w:t>s</w:t>
      </w:r>
      <w:proofErr w:type="spellEnd"/>
      <w:r w:rsidR="00841746">
        <w:t xml:space="preserve"> to receiving </w:t>
      </w:r>
      <w:proofErr w:type="spellStart"/>
      <w:r w:rsidR="00841746">
        <w:t>tisagenlecleucel</w:t>
      </w:r>
      <w:proofErr w:type="spellEnd"/>
    </w:p>
    <w:p w14:paraId="11FF2E46" w14:textId="55F4A8DC" w:rsidR="00B2026F" w:rsidRDefault="00B2026F" w:rsidP="00AD77FA">
      <w:pPr>
        <w:ind w:left="2160" w:hanging="2160"/>
        <w:jc w:val="both"/>
      </w:pPr>
      <w:r>
        <w:rPr>
          <w:i/>
        </w:rPr>
        <w:t>Safety:</w:t>
      </w:r>
      <w:r>
        <w:rPr>
          <w:i/>
        </w:rPr>
        <w:tab/>
      </w:r>
      <w:r w:rsidR="002F2673">
        <w:t>Rate of adverse events (AEs) and serious adverse events (SAEs), events of special interest (e.g. cytokine release syndrome, tumour lysis syndrome, febrile neutropenia), AEs due to medications</w:t>
      </w:r>
      <w:r w:rsidR="005713EE">
        <w:t>, neurotoxicity, infections, secondary cancers</w:t>
      </w:r>
      <w:r w:rsidR="002F2673">
        <w:t xml:space="preserve">.  </w:t>
      </w:r>
    </w:p>
    <w:p w14:paraId="398D7BB0" w14:textId="70888887" w:rsidR="004F7A99" w:rsidRDefault="004F7A99" w:rsidP="00D2585D">
      <w:pPr>
        <w:jc w:val="both"/>
      </w:pPr>
      <w:r w:rsidRPr="006F006D">
        <w:rPr>
          <w:i/>
        </w:rPr>
        <w:t xml:space="preserve">Both the safety and effectiveness should be assessed including patients undergoing cell collection (not only patients receiving tisagenlecleucel). Patients who undergo cell collection are exposed to </w:t>
      </w:r>
      <w:r w:rsidRPr="006F006D">
        <w:rPr>
          <w:i/>
        </w:rPr>
        <w:lastRenderedPageBreak/>
        <w:t xml:space="preserve">harms, and it should be noted that not everyone who undergoes cell collection will end up receiving tisagenlecleucel. This is most likely due to the time needed to prepare for the intervention. In addition, patients eligible for the intervention are already very sick and while waiting for administration of tisagenlecleucel may have disease progression, chemotherapy side effects, comorbidities, or the patient may have died. Therefore it is important that the trials included in the evidence include the ‘intent to treat’ population). If pre-treatments are required before </w:t>
      </w:r>
      <w:proofErr w:type="spellStart"/>
      <w:r w:rsidRPr="006F006D">
        <w:rPr>
          <w:i/>
        </w:rPr>
        <w:t>leukapheresis</w:t>
      </w:r>
      <w:proofErr w:type="spellEnd"/>
      <w:r w:rsidRPr="006F006D">
        <w:rPr>
          <w:i/>
        </w:rPr>
        <w:t xml:space="preserve">, the whole ‘pre-treatment’ population should be included in the assessment. </w:t>
      </w:r>
    </w:p>
    <w:p w14:paraId="2B710913" w14:textId="5EFADD5D" w:rsidR="003E0382" w:rsidRDefault="001039DF" w:rsidP="00EE435A">
      <w:pPr>
        <w:pStyle w:val="Heading4"/>
      </w:pPr>
      <w:r>
        <w:t xml:space="preserve">2.5.2 </w:t>
      </w:r>
      <w:r w:rsidR="002A66BD" w:rsidRPr="002A66BD">
        <w:t>Health</w:t>
      </w:r>
      <w:r w:rsidR="00752491">
        <w:t>care</w:t>
      </w:r>
      <w:r w:rsidR="002A66BD" w:rsidRPr="002A66BD">
        <w:t xml:space="preserve"> system</w:t>
      </w:r>
    </w:p>
    <w:p w14:paraId="3E20B141" w14:textId="00D6C652" w:rsidR="002F2673" w:rsidRPr="00AF07AA" w:rsidRDefault="002F2673" w:rsidP="00AD77FA">
      <w:pPr>
        <w:ind w:left="2160" w:hanging="2160"/>
        <w:jc w:val="both"/>
      </w:pPr>
      <w:r>
        <w:rPr>
          <w:i/>
        </w:rPr>
        <w:t>Cost-effectiveness:</w:t>
      </w:r>
      <w:r>
        <w:rPr>
          <w:i/>
        </w:rPr>
        <w:tab/>
      </w:r>
      <w:r w:rsidR="00AF07AA">
        <w:t>Cost</w:t>
      </w:r>
      <w:r w:rsidR="004F7A99">
        <w:t xml:space="preserve"> (including of additional pre-infusion and post-infusion interventions)</w:t>
      </w:r>
      <w:r w:rsidR="00AF07AA">
        <w:t>, cost per life year gained</w:t>
      </w:r>
      <w:r w:rsidR="005338A3">
        <w:t xml:space="preserve"> (LYG)</w:t>
      </w:r>
      <w:r w:rsidR="00AF07AA">
        <w:t>, cost per quality adjusted life year</w:t>
      </w:r>
      <w:r w:rsidR="005338A3">
        <w:t xml:space="preserve"> (QALY)</w:t>
      </w:r>
      <w:r w:rsidR="00AF07AA">
        <w:t xml:space="preserve"> or disability adjusted life year</w:t>
      </w:r>
      <w:r w:rsidR="005338A3">
        <w:t xml:space="preserve"> (DALY)</w:t>
      </w:r>
      <w:r w:rsidR="00AF07AA">
        <w:t>, incremental cost-effectiveness ratio</w:t>
      </w:r>
    </w:p>
    <w:p w14:paraId="2A75E60F" w14:textId="6327FE5B" w:rsidR="002B3338" w:rsidRDefault="002F2673" w:rsidP="00AD77FA">
      <w:pPr>
        <w:ind w:left="2160" w:hanging="2160"/>
        <w:jc w:val="both"/>
      </w:pPr>
      <w:r>
        <w:rPr>
          <w:i/>
        </w:rPr>
        <w:t>Financial implications:</w:t>
      </w:r>
      <w:r>
        <w:rPr>
          <w:i/>
        </w:rPr>
        <w:tab/>
      </w:r>
      <w:r w:rsidR="00AF07AA">
        <w:t xml:space="preserve">Number of patients suitable for treatment, number of patients who receive treatment </w:t>
      </w:r>
    </w:p>
    <w:p w14:paraId="29827B83" w14:textId="30913360" w:rsidR="004F7A99" w:rsidRDefault="004F7A99" w:rsidP="004F7A99">
      <w:pPr>
        <w:jc w:val="both"/>
        <w:rPr>
          <w:i/>
        </w:rPr>
      </w:pPr>
      <w:r>
        <w:rPr>
          <w:i/>
        </w:rPr>
        <w:t>PASC recommend that the overall incremental healthcare system costs be identified for the cost-effectiveness assessment, with these to be disaggregated to potentially different funders in the financial implications assessment.</w:t>
      </w:r>
    </w:p>
    <w:p w14:paraId="0C2F0EA5" w14:textId="7E33F475" w:rsidR="0040525D" w:rsidRDefault="0040525D" w:rsidP="00B909A5">
      <w:pPr>
        <w:jc w:val="both"/>
        <w:rPr>
          <w:i/>
        </w:rPr>
      </w:pPr>
      <w:r>
        <w:rPr>
          <w:i/>
        </w:rPr>
        <w:t>PASC recommended that the costs will need to be considered carefully, including:</w:t>
      </w:r>
    </w:p>
    <w:p w14:paraId="18198FB7" w14:textId="5DE95148" w:rsidR="0040525D" w:rsidRPr="00232572" w:rsidRDefault="0040525D" w:rsidP="00B909A5">
      <w:pPr>
        <w:numPr>
          <w:ilvl w:val="0"/>
          <w:numId w:val="34"/>
        </w:numPr>
        <w:spacing w:after="120" w:line="259" w:lineRule="auto"/>
        <w:jc w:val="both"/>
        <w:rPr>
          <w:rFonts w:asciiTheme="minorHAnsi" w:hAnsiTheme="minorHAnsi" w:cs="Arial"/>
          <w:bCs/>
          <w:i/>
        </w:rPr>
      </w:pPr>
      <w:r w:rsidRPr="00232572">
        <w:rPr>
          <w:rFonts w:asciiTheme="minorHAnsi" w:hAnsiTheme="minorHAnsi" w:cs="Arial"/>
          <w:bCs/>
          <w:i/>
        </w:rPr>
        <w:t xml:space="preserve">Cost of adverse events, especially cytokine release syndrome in the short-term and its management (PASC noted that some of the proposed management options may involve prolonged admission to an intensive care unit, and some others, including tocilizumab and siltuximab in particular, are not PBS-subsidised and have not been </w:t>
      </w:r>
      <w:proofErr w:type="gramStart"/>
      <w:r w:rsidRPr="00232572">
        <w:rPr>
          <w:rFonts w:asciiTheme="minorHAnsi" w:hAnsiTheme="minorHAnsi" w:cs="Arial"/>
          <w:bCs/>
          <w:i/>
        </w:rPr>
        <w:t>app</w:t>
      </w:r>
      <w:r w:rsidRPr="0040525D">
        <w:rPr>
          <w:rFonts w:asciiTheme="minorHAnsi" w:hAnsiTheme="minorHAnsi" w:cs="Arial"/>
          <w:bCs/>
          <w:i/>
        </w:rPr>
        <w:t>raised</w:t>
      </w:r>
      <w:proofErr w:type="gramEnd"/>
      <w:r w:rsidRPr="0040525D">
        <w:rPr>
          <w:rFonts w:asciiTheme="minorHAnsi" w:hAnsiTheme="minorHAnsi" w:cs="Arial"/>
          <w:bCs/>
          <w:i/>
        </w:rPr>
        <w:t xml:space="preserve"> by PBAC for this purpose</w:t>
      </w:r>
      <w:r w:rsidR="00FA6B3C">
        <w:rPr>
          <w:rFonts w:asciiTheme="minorHAnsi" w:hAnsiTheme="minorHAnsi" w:cs="Arial"/>
          <w:bCs/>
          <w:i/>
        </w:rPr>
        <w:t>)</w:t>
      </w:r>
      <w:r w:rsidR="00232572">
        <w:rPr>
          <w:rFonts w:asciiTheme="minorHAnsi" w:hAnsiTheme="minorHAnsi" w:cs="Arial"/>
          <w:bCs/>
          <w:i/>
        </w:rPr>
        <w:t>.</w:t>
      </w:r>
    </w:p>
    <w:p w14:paraId="27AB2ED5" w14:textId="77777777" w:rsidR="0040525D" w:rsidRPr="00232572" w:rsidRDefault="0040525D" w:rsidP="00B909A5">
      <w:pPr>
        <w:numPr>
          <w:ilvl w:val="0"/>
          <w:numId w:val="34"/>
        </w:numPr>
        <w:spacing w:after="120" w:line="259" w:lineRule="auto"/>
        <w:jc w:val="both"/>
        <w:rPr>
          <w:rFonts w:asciiTheme="minorHAnsi" w:hAnsiTheme="minorHAnsi" w:cs="Arial"/>
          <w:bCs/>
          <w:i/>
        </w:rPr>
      </w:pPr>
      <w:r w:rsidRPr="00232572">
        <w:rPr>
          <w:rFonts w:asciiTheme="minorHAnsi" w:hAnsiTheme="minorHAnsi" w:cs="Arial"/>
          <w:bCs/>
          <w:i/>
        </w:rPr>
        <w:t>Cost of ongoing post-infusion therapy with intravenous immunoglobulin (</w:t>
      </w:r>
      <w:proofErr w:type="spellStart"/>
      <w:r w:rsidRPr="00232572">
        <w:rPr>
          <w:rFonts w:asciiTheme="minorHAnsi" w:hAnsiTheme="minorHAnsi" w:cs="Arial"/>
          <w:bCs/>
          <w:i/>
        </w:rPr>
        <w:t>IVIg</w:t>
      </w:r>
      <w:proofErr w:type="spellEnd"/>
      <w:r w:rsidRPr="00232572">
        <w:rPr>
          <w:rFonts w:asciiTheme="minorHAnsi" w:hAnsiTheme="minorHAnsi" w:cs="Arial"/>
          <w:bCs/>
          <w:i/>
        </w:rPr>
        <w:t>), and cost of any subsequent stem cell transplants to consolidate a response to tisagenlecleucel (h</w:t>
      </w:r>
      <w:r w:rsidRPr="00232572">
        <w:rPr>
          <w:rFonts w:asciiTheme="minorHAnsi" w:hAnsiTheme="minorHAnsi" w:cs="Arial"/>
          <w:i/>
        </w:rPr>
        <w:t xml:space="preserve">owever, PASC acknowledged that horizon scanning of these longer-term costs would be difficult because of the current short-term follow-up within the specific study populations, so suggested that, conservatively, </w:t>
      </w:r>
      <w:proofErr w:type="spellStart"/>
      <w:r w:rsidRPr="00232572">
        <w:rPr>
          <w:rFonts w:asciiTheme="minorHAnsi" w:hAnsiTheme="minorHAnsi" w:cs="Arial"/>
          <w:i/>
        </w:rPr>
        <w:t>IVIg</w:t>
      </w:r>
      <w:proofErr w:type="spellEnd"/>
      <w:r w:rsidRPr="00232572">
        <w:rPr>
          <w:rFonts w:asciiTheme="minorHAnsi" w:hAnsiTheme="minorHAnsi" w:cs="Arial"/>
          <w:i/>
        </w:rPr>
        <w:t xml:space="preserve"> should be assumed to be lifelong</w:t>
      </w:r>
      <w:r w:rsidRPr="00232572">
        <w:rPr>
          <w:rFonts w:asciiTheme="minorHAnsi" w:hAnsiTheme="minorHAnsi" w:cs="Arial"/>
          <w:bCs/>
          <w:i/>
        </w:rPr>
        <w:t>)</w:t>
      </w:r>
    </w:p>
    <w:p w14:paraId="045182F9" w14:textId="6D306290" w:rsidR="0040525D" w:rsidRPr="00232572" w:rsidRDefault="0040525D" w:rsidP="00B909A5">
      <w:pPr>
        <w:pStyle w:val="ListParagraph"/>
        <w:numPr>
          <w:ilvl w:val="0"/>
          <w:numId w:val="32"/>
        </w:numPr>
        <w:jc w:val="both"/>
        <w:rPr>
          <w:rFonts w:asciiTheme="minorHAnsi" w:hAnsiTheme="minorHAnsi"/>
          <w:i/>
        </w:rPr>
      </w:pPr>
      <w:r w:rsidRPr="00232572">
        <w:rPr>
          <w:rFonts w:asciiTheme="minorHAnsi" w:hAnsiTheme="minorHAnsi" w:cs="Arial"/>
          <w:bCs/>
          <w:i/>
        </w:rPr>
        <w:t>Cost of healthcare resources aligned across the three hospital sites in Australia.</w:t>
      </w:r>
    </w:p>
    <w:p w14:paraId="308B1AB0" w14:textId="3F0B6400" w:rsidR="00480369" w:rsidRDefault="00480369" w:rsidP="00B909A5">
      <w:pPr>
        <w:pStyle w:val="Heading4"/>
        <w:jc w:val="both"/>
      </w:pPr>
      <w:r w:rsidRPr="00480369">
        <w:t>2.5.3 Other secondary outcomes</w:t>
      </w:r>
    </w:p>
    <w:p w14:paraId="71460E2D" w14:textId="2537EBCB" w:rsidR="008A5A7E" w:rsidRDefault="008A5A7E" w:rsidP="00B909A5">
      <w:pPr>
        <w:pStyle w:val="ListParagraph"/>
        <w:numPr>
          <w:ilvl w:val="0"/>
          <w:numId w:val="19"/>
        </w:numPr>
        <w:jc w:val="both"/>
        <w:rPr>
          <w:i/>
        </w:rPr>
      </w:pPr>
      <w:r w:rsidRPr="008A5A7E">
        <w:rPr>
          <w:i/>
        </w:rPr>
        <w:t xml:space="preserve">Use of ‘rescue medication’ or similar while undergoing </w:t>
      </w:r>
      <w:r w:rsidR="00B909A5">
        <w:rPr>
          <w:i/>
        </w:rPr>
        <w:t>tisagenlecleucel t</w:t>
      </w:r>
      <w:r w:rsidRPr="008A5A7E">
        <w:rPr>
          <w:i/>
        </w:rPr>
        <w:t xml:space="preserve">herapy, versus use during  best supportive care (e.g. </w:t>
      </w:r>
      <w:proofErr w:type="spellStart"/>
      <w:r>
        <w:rPr>
          <w:i/>
        </w:rPr>
        <w:t>filgrastim</w:t>
      </w:r>
      <w:proofErr w:type="spellEnd"/>
      <w:r>
        <w:rPr>
          <w:i/>
        </w:rPr>
        <w:t xml:space="preserve">, </w:t>
      </w:r>
      <w:proofErr w:type="spellStart"/>
      <w:r>
        <w:rPr>
          <w:i/>
        </w:rPr>
        <w:t>epoetin</w:t>
      </w:r>
      <w:proofErr w:type="spellEnd"/>
      <w:r>
        <w:rPr>
          <w:i/>
        </w:rPr>
        <w:t xml:space="preserve">, corticosteroids, </w:t>
      </w:r>
      <w:proofErr w:type="spellStart"/>
      <w:r>
        <w:rPr>
          <w:i/>
        </w:rPr>
        <w:t>etc</w:t>
      </w:r>
      <w:proofErr w:type="spellEnd"/>
      <w:r>
        <w:rPr>
          <w:i/>
        </w:rPr>
        <w:t>)</w:t>
      </w:r>
    </w:p>
    <w:p w14:paraId="2F9E76F9" w14:textId="0D7F3090" w:rsidR="004F7A99" w:rsidRPr="00841746" w:rsidRDefault="008A5A7E" w:rsidP="00841746">
      <w:pPr>
        <w:pStyle w:val="ListParagraph"/>
        <w:numPr>
          <w:ilvl w:val="0"/>
          <w:numId w:val="19"/>
        </w:numPr>
        <w:jc w:val="both"/>
        <w:rPr>
          <w:i/>
        </w:rPr>
      </w:pPr>
      <w:r>
        <w:rPr>
          <w:i/>
        </w:rPr>
        <w:t>Rate of hospitalisations</w:t>
      </w:r>
      <w:r w:rsidR="006F006D">
        <w:rPr>
          <w:i/>
        </w:rPr>
        <w:t>, healthcare resource utilisation, length of hospital stay</w:t>
      </w:r>
      <w:r>
        <w:rPr>
          <w:i/>
        </w:rPr>
        <w:t xml:space="preserve"> and ICU admissions during and after CAR-T therapy, compared with </w:t>
      </w:r>
      <w:r w:rsidR="00F3622B">
        <w:rPr>
          <w:i/>
        </w:rPr>
        <w:t>the comparators</w:t>
      </w:r>
      <w:r>
        <w:rPr>
          <w:i/>
        </w:rPr>
        <w:t>.</w:t>
      </w:r>
    </w:p>
    <w:p w14:paraId="63479275" w14:textId="0531439C" w:rsidR="00896845" w:rsidRDefault="001039DF" w:rsidP="00D4348F">
      <w:pPr>
        <w:pStyle w:val="Heading2"/>
        <w:spacing w:before="0" w:line="240" w:lineRule="auto"/>
        <w:jc w:val="both"/>
        <w:rPr>
          <w:color w:val="548DD4"/>
        </w:rPr>
      </w:pPr>
      <w:r>
        <w:rPr>
          <w:color w:val="548DD4"/>
        </w:rPr>
        <w:t>3</w:t>
      </w:r>
      <w:r w:rsidR="00F2083C">
        <w:rPr>
          <w:color w:val="548DD4"/>
        </w:rPr>
        <w:t>.</w:t>
      </w:r>
      <w:r>
        <w:rPr>
          <w:color w:val="548DD4"/>
        </w:rPr>
        <w:t xml:space="preserve"> </w:t>
      </w:r>
      <w:r w:rsidR="00896845" w:rsidRPr="00896845">
        <w:rPr>
          <w:color w:val="548DD4"/>
        </w:rPr>
        <w:t>Current</w:t>
      </w:r>
      <w:r w:rsidR="00413B8C">
        <w:rPr>
          <w:color w:val="548DD4"/>
        </w:rPr>
        <w:t xml:space="preserve"> and proposed</w:t>
      </w:r>
      <w:r w:rsidR="00896845">
        <w:rPr>
          <w:color w:val="548DD4"/>
        </w:rPr>
        <w:t xml:space="preserve"> clinical</w:t>
      </w:r>
      <w:r w:rsidR="00896845" w:rsidRPr="00896845">
        <w:rPr>
          <w:color w:val="548DD4"/>
        </w:rPr>
        <w:t xml:space="preserve"> management</w:t>
      </w:r>
      <w:r w:rsidR="00896845">
        <w:rPr>
          <w:color w:val="548DD4"/>
        </w:rPr>
        <w:t xml:space="preserve"> algorithm</w:t>
      </w:r>
      <w:r w:rsidR="002B3338">
        <w:rPr>
          <w:color w:val="548DD4"/>
        </w:rPr>
        <w:t xml:space="preserve"> for identified population</w:t>
      </w:r>
    </w:p>
    <w:p w14:paraId="44C42420" w14:textId="77777777" w:rsidR="00D46C0D" w:rsidRDefault="00FF25F8" w:rsidP="002B2C4D">
      <w:pPr>
        <w:jc w:val="both"/>
      </w:pPr>
      <w:r>
        <w:t>The applicant</w:t>
      </w:r>
      <w:r w:rsidR="006F006D">
        <w:t xml:space="preserve"> </w:t>
      </w:r>
      <w:r>
        <w:t>provided clinical management algorithm</w:t>
      </w:r>
      <w:r w:rsidR="00404BF8">
        <w:t>s</w:t>
      </w:r>
      <w:r>
        <w:t xml:space="preserve"> explaining the pathway</w:t>
      </w:r>
      <w:r w:rsidR="00404BF8">
        <w:t>s the different</w:t>
      </w:r>
      <w:r w:rsidR="007034C8">
        <w:t xml:space="preserve"> patient </w:t>
      </w:r>
      <w:r w:rsidR="00404BF8">
        <w:t xml:space="preserve">populations </w:t>
      </w:r>
      <w:r w:rsidR="007034C8">
        <w:t>will follow before he or she</w:t>
      </w:r>
      <w:r>
        <w:t xml:space="preserve"> is eligible for the intervention (or the comparator). </w:t>
      </w:r>
    </w:p>
    <w:p w14:paraId="5BD25413" w14:textId="493D5266" w:rsidR="00694622" w:rsidRDefault="00E159C1" w:rsidP="00D30AB4">
      <w:r>
        <w:t xml:space="preserve">The solid lines represent the current pathways, the dotted lines the proposed changes with the addition of tisagenlecleucel (the proposed pathway). The light grey lines represent the largely theoretical patients who would technically be eligible for the intervention, but would be very scarce in clinical practice. </w:t>
      </w:r>
      <w:r w:rsidR="00694622">
        <w:t xml:space="preserve">The circles indicate the proposed sub-populations (numbered sub-populations are explained in section 2.2), and the diamonds show the most likely comparators for the specific </w:t>
      </w:r>
      <w:r w:rsidR="00694622">
        <w:lastRenderedPageBreak/>
        <w:t xml:space="preserve">sub-populations. Treatment options following the intervention are also shown, noting that patients would not be eligible for a second tisagenlecleucel infusion. </w:t>
      </w:r>
    </w:p>
    <w:p w14:paraId="7F2BEFE3" w14:textId="279FC142" w:rsidR="0040525D" w:rsidRPr="00B909A5" w:rsidRDefault="0040525D" w:rsidP="00D30AB4">
      <w:pPr>
        <w:spacing w:after="120"/>
        <w:rPr>
          <w:rFonts w:asciiTheme="minorHAnsi" w:hAnsiTheme="minorHAnsi" w:cs="Arial"/>
          <w:bCs/>
          <w:i/>
        </w:rPr>
      </w:pPr>
      <w:r w:rsidRPr="00B909A5">
        <w:rPr>
          <w:rFonts w:asciiTheme="minorHAnsi" w:hAnsiTheme="minorHAnsi" w:cs="Arial"/>
          <w:bCs/>
          <w:i/>
        </w:rPr>
        <w:t>PASC noted</w:t>
      </w:r>
      <w:r w:rsidR="00D30AB4">
        <w:rPr>
          <w:rFonts w:asciiTheme="minorHAnsi" w:hAnsiTheme="minorHAnsi" w:cs="Arial"/>
          <w:bCs/>
          <w:i/>
        </w:rPr>
        <w:t xml:space="preserve"> the current uncertainty relates to whether, in </w:t>
      </w:r>
      <w:r w:rsidRPr="00B909A5">
        <w:rPr>
          <w:rFonts w:asciiTheme="minorHAnsi" w:hAnsiTheme="minorHAnsi" w:cs="Arial"/>
          <w:bCs/>
          <w:i/>
        </w:rPr>
        <w:t xml:space="preserve">future, there would be pressure to provide one or more subsequent infusions of </w:t>
      </w:r>
      <w:r w:rsidRPr="00B909A5">
        <w:rPr>
          <w:rFonts w:asciiTheme="minorHAnsi" w:hAnsiTheme="minorHAnsi" w:cs="Arial"/>
          <w:i/>
        </w:rPr>
        <w:t xml:space="preserve">tisagenlecleucel, and advised that the submission-based assessment and MSAC consider </w:t>
      </w:r>
      <w:r w:rsidR="00D30AB4">
        <w:rPr>
          <w:rFonts w:asciiTheme="minorHAnsi" w:hAnsiTheme="minorHAnsi" w:cs="Arial"/>
          <w:i/>
        </w:rPr>
        <w:t>(</w:t>
      </w:r>
      <w:r w:rsidRPr="00B909A5">
        <w:rPr>
          <w:rFonts w:asciiTheme="minorHAnsi" w:hAnsiTheme="minorHAnsi" w:cs="Arial"/>
          <w:i/>
        </w:rPr>
        <w:t>prospectively</w:t>
      </w:r>
      <w:r w:rsidR="00D30AB4">
        <w:rPr>
          <w:rFonts w:asciiTheme="minorHAnsi" w:hAnsiTheme="minorHAnsi" w:cs="Arial"/>
          <w:i/>
        </w:rPr>
        <w:t>)</w:t>
      </w:r>
      <w:r w:rsidRPr="00B909A5">
        <w:rPr>
          <w:rFonts w:asciiTheme="minorHAnsi" w:hAnsiTheme="minorHAnsi" w:cs="Arial"/>
          <w:i/>
        </w:rPr>
        <w:t xml:space="preserve"> how this risk might best be managed.</w:t>
      </w:r>
    </w:p>
    <w:p w14:paraId="68F9A89A" w14:textId="34D1A195" w:rsidR="00FF25F8" w:rsidRDefault="00FF25F8" w:rsidP="00D30AB4">
      <w:r>
        <w:t>The clinical management algorithm</w:t>
      </w:r>
      <w:r w:rsidR="00404BF8">
        <w:t>s</w:t>
      </w:r>
      <w:r>
        <w:t xml:space="preserve"> presented </w:t>
      </w:r>
      <w:r w:rsidR="00694622">
        <w:t xml:space="preserve">in the </w:t>
      </w:r>
      <w:r w:rsidR="00581164">
        <w:fldChar w:fldCharType="begin"/>
      </w:r>
      <w:r w:rsidR="00581164">
        <w:instrText xml:space="preserve"> REF _Ref505600920 \h  \* MERGEFORMAT </w:instrText>
      </w:r>
      <w:r w:rsidR="00581164">
        <w:fldChar w:fldCharType="separate"/>
      </w:r>
      <w:r w:rsidR="00581164" w:rsidRPr="005A40EA">
        <w:t>Appendix</w:t>
      </w:r>
      <w:r w:rsidR="00581164">
        <w:fldChar w:fldCharType="end"/>
      </w:r>
      <w:r>
        <w:t xml:space="preserve"> aim to explain the current </w:t>
      </w:r>
      <w:r w:rsidR="00404BF8">
        <w:t xml:space="preserve">and proposed </w:t>
      </w:r>
      <w:r>
        <w:t>approach</w:t>
      </w:r>
      <w:r w:rsidR="00404BF8">
        <w:t>es</w:t>
      </w:r>
      <w:r w:rsidR="00D30AB4">
        <w:t xml:space="preserve"> to </w:t>
      </w:r>
      <w:r>
        <w:t xml:space="preserve">management of any downstream services and outcomes </w:t>
      </w:r>
      <w:r w:rsidR="007F4955">
        <w:t>for the</w:t>
      </w:r>
      <w:r>
        <w:t xml:space="preserve"> proposed populations</w:t>
      </w:r>
      <w:r w:rsidR="00D30AB4">
        <w:t>,</w:t>
      </w:r>
      <w:r w:rsidR="007F4955">
        <w:t xml:space="preserve"> once they are identified</w:t>
      </w:r>
      <w:r>
        <w:t>. This means the starting point</w:t>
      </w:r>
      <w:r w:rsidR="00404BF8">
        <w:t>s</w:t>
      </w:r>
      <w:r>
        <w:t xml:space="preserve"> for the current management algorithm </w:t>
      </w:r>
      <w:r w:rsidR="00404BF8">
        <w:t xml:space="preserve">are </w:t>
      </w:r>
      <w:r>
        <w:t>the target population</w:t>
      </w:r>
      <w:r w:rsidR="00404BF8">
        <w:t>s</w:t>
      </w:r>
      <w:r>
        <w:t>.</w:t>
      </w:r>
      <w:r w:rsidR="006F2FDC">
        <w:t xml:space="preserve"> The blue pathway</w:t>
      </w:r>
      <w:r w:rsidR="007F4955">
        <w:t>s</w:t>
      </w:r>
      <w:r w:rsidR="006F2FDC">
        <w:t xml:space="preserve"> represent</w:t>
      </w:r>
      <w:r w:rsidR="00413B8C">
        <w:t xml:space="preserve"> the </w:t>
      </w:r>
      <w:r w:rsidR="006F2FDC">
        <w:t xml:space="preserve">proposed intervention, with the black </w:t>
      </w:r>
      <w:r w:rsidR="00404BF8">
        <w:t>pathway</w:t>
      </w:r>
      <w:r w:rsidR="007F4955">
        <w:t>s</w:t>
      </w:r>
      <w:r w:rsidR="00404BF8">
        <w:t xml:space="preserve"> </w:t>
      </w:r>
      <w:r w:rsidR="006F2FDC">
        <w:t xml:space="preserve">representing the current </w:t>
      </w:r>
      <w:r w:rsidR="007F4955">
        <w:t>management</w:t>
      </w:r>
      <w:r w:rsidR="006F2FDC">
        <w:t>. The dotted lines indicate that patients can drop out at different steps of the treatment process.</w:t>
      </w:r>
    </w:p>
    <w:p w14:paraId="0D52D258" w14:textId="77777777" w:rsidR="00E159C1" w:rsidRDefault="00E159C1" w:rsidP="002B2C4D">
      <w:pPr>
        <w:jc w:val="both"/>
        <w:rPr>
          <w:rStyle w:val="Emphasis"/>
        </w:rPr>
        <w:sectPr w:rsidR="00E159C1" w:rsidSect="00C20192">
          <w:headerReference w:type="even" r:id="rId16"/>
          <w:footerReference w:type="default" r:id="rId17"/>
          <w:pgSz w:w="11906" w:h="16838"/>
          <w:pgMar w:top="1247" w:right="1440" w:bottom="1191" w:left="1440" w:header="624" w:footer="227" w:gutter="0"/>
          <w:cols w:space="708"/>
          <w:docGrid w:linePitch="360"/>
        </w:sectPr>
      </w:pPr>
    </w:p>
    <w:p w14:paraId="2D721EC4" w14:textId="73EE2478" w:rsidR="00E159C1" w:rsidRPr="005A40EA" w:rsidRDefault="008B278D" w:rsidP="002B2C4D">
      <w:pPr>
        <w:jc w:val="both"/>
        <w:rPr>
          <w:rStyle w:val="Emphasis"/>
        </w:rPr>
      </w:pPr>
      <w:r>
        <w:rPr>
          <w:noProof/>
          <w:lang w:eastAsia="en-AU"/>
        </w:rPr>
        <w:lastRenderedPageBreak/>
        <mc:AlternateContent>
          <mc:Choice Requires="wps">
            <w:drawing>
              <wp:anchor distT="0" distB="0" distL="114300" distR="114300" simplePos="0" relativeHeight="251659264" behindDoc="0" locked="0" layoutInCell="1" allowOverlap="1" wp14:anchorId="11FA1844" wp14:editId="41BE6E4A">
                <wp:simplePos x="0" y="0"/>
                <wp:positionH relativeFrom="column">
                  <wp:posOffset>-262890</wp:posOffset>
                </wp:positionH>
                <wp:positionV relativeFrom="paragraph">
                  <wp:posOffset>5847715</wp:posOffset>
                </wp:positionV>
                <wp:extent cx="7229475" cy="635"/>
                <wp:effectExtent l="0" t="0" r="9525" b="635"/>
                <wp:wrapSquare wrapText="bothSides"/>
                <wp:docPr id="10" name="Text Box 10"/>
                <wp:cNvGraphicFramePr/>
                <a:graphic xmlns:a="http://schemas.openxmlformats.org/drawingml/2006/main">
                  <a:graphicData uri="http://schemas.microsoft.com/office/word/2010/wordprocessingShape">
                    <wps:wsp>
                      <wps:cNvSpPr txBox="1"/>
                      <wps:spPr>
                        <a:xfrm>
                          <a:off x="0" y="0"/>
                          <a:ext cx="7229475" cy="635"/>
                        </a:xfrm>
                        <a:prstGeom prst="rect">
                          <a:avLst/>
                        </a:prstGeom>
                        <a:solidFill>
                          <a:prstClr val="white"/>
                        </a:solidFill>
                        <a:ln>
                          <a:noFill/>
                        </a:ln>
                        <a:effectLst/>
                      </wps:spPr>
                      <wps:txbx>
                        <w:txbxContent>
                          <w:p w14:paraId="29CB3648" w14:textId="77777777" w:rsidR="008B278D" w:rsidRPr="008614C3" w:rsidRDefault="008B278D" w:rsidP="008B278D">
                            <w:pPr>
                              <w:pStyle w:val="Caption"/>
                              <w:rPr>
                                <w:rFonts w:ascii="Calibri" w:eastAsia="Calibri" w:hAnsi="Calibri" w:cs="Times New Roman"/>
                                <w:noProof/>
                              </w:rPr>
                            </w:pPr>
                            <w:r>
                              <w:t xml:space="preserve">Figure </w:t>
                            </w:r>
                            <w:r>
                              <w:fldChar w:fldCharType="begin"/>
                            </w:r>
                            <w:r>
                              <w:instrText xml:space="preserve"> SEQ Figure \* ARABIC </w:instrText>
                            </w:r>
                            <w:r>
                              <w:fldChar w:fldCharType="separate"/>
                            </w:r>
                            <w:r>
                              <w:rPr>
                                <w:noProof/>
                              </w:rPr>
                              <w:t>3</w:t>
                            </w:r>
                            <w:r>
                              <w:fldChar w:fldCharType="end"/>
                            </w:r>
                            <w:r>
                              <w:t xml:space="preserve"> </w:t>
                            </w:r>
                            <w:r w:rsidRPr="001F2601">
                              <w:t>Current and proposed clinical management algorithm for population 1 (ALL)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0.7pt;margin-top:460.45pt;width:569.25pt;height:.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" stroked="f">
                <v:textbox style="mso-fit-shape-to-text:t" inset="0,0,0,0">
                  <w:txbxContent>
                    <w:p w14:paraId="29CB3648" w14:textId="77777777" w:rsidR="008B278D" w:rsidRPr="008614C3" w:rsidRDefault="008B278D" w:rsidP="008B278D">
                      <w:pPr>
                        <w:pStyle w:val="Caption"/>
                        <w:rPr>
                          <w:rFonts w:ascii="Calibri" w:eastAsia="Calibri" w:hAnsi="Calibri" w:cs="Times New Roman"/>
                          <w:noProof/>
                        </w:rPr>
                      </w:pPr>
                      <w:r>
                        <w:t xml:space="preserve">Figure </w:t>
                      </w:r>
                      <w:r>
                        <w:fldChar w:fldCharType="begin"/>
                      </w:r>
                      <w:r>
                        <w:instrText xml:space="preserve"> SEQ Figure \* ARABIC </w:instrText>
                      </w:r>
                      <w:r>
                        <w:fldChar w:fldCharType="separate"/>
                      </w:r>
                      <w:r>
                        <w:rPr>
                          <w:noProof/>
                        </w:rPr>
                        <w:t>3</w:t>
                      </w:r>
                      <w:r>
                        <w:fldChar w:fldCharType="end"/>
                      </w:r>
                      <w:r>
                        <w:t xml:space="preserve"> </w:t>
                      </w:r>
                      <w:r w:rsidRPr="001F2601">
                        <w:t>Current and proposed clinical management algorithm for population 1 (ALL)</w:t>
                      </w:r>
                    </w:p>
                  </w:txbxContent>
                </v:textbox>
                <w10:wrap type="square"/>
              </v:shape>
            </w:pict>
          </mc:Fallback>
        </mc:AlternateContent>
      </w:r>
      <w:r w:rsidR="00E159C1">
        <w:rPr>
          <w:b/>
          <w:noProof/>
          <w:lang w:eastAsia="en-AU"/>
        </w:rPr>
        <w:drawing>
          <wp:inline distT="0" distB="0" distL="0" distR="0" wp14:anchorId="3014F22F" wp14:editId="2CFBC66D">
            <wp:extent cx="8070215" cy="5852160"/>
            <wp:effectExtent l="0" t="0" r="6985" b="0"/>
            <wp:docPr id="6" name="Picture 6" descr="Current and proposed clinical management algorithm for population 1 (ALL)" title="Current and proposed clinical management algorithm for population 1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l_new.png"/>
                    <pic:cNvPicPr/>
                  </pic:nvPicPr>
                  <pic:blipFill rotWithShape="1">
                    <a:blip r:embed="rId18" cstate="print">
                      <a:extLst>
                        <a:ext uri="{28A0092B-C50C-407E-A947-70E740481C1C}">
                          <a14:useLocalDpi xmlns:a14="http://schemas.microsoft.com/office/drawing/2010/main" val="0"/>
                        </a:ext>
                      </a:extLst>
                    </a:blip>
                    <a:srcRect l="13463" t="3157"/>
                    <a:stretch/>
                  </pic:blipFill>
                  <pic:spPr bwMode="auto">
                    <a:xfrm>
                      <a:off x="0" y="0"/>
                      <a:ext cx="8070215" cy="5852160"/>
                    </a:xfrm>
                    <a:prstGeom prst="rect">
                      <a:avLst/>
                    </a:prstGeom>
                    <a:ln>
                      <a:noFill/>
                    </a:ln>
                    <a:extLst>
                      <a:ext uri="{53640926-AAD7-44D8-BBD7-CCE9431645EC}">
                        <a14:shadowObscured xmlns:a14="http://schemas.microsoft.com/office/drawing/2010/main"/>
                      </a:ext>
                    </a:extLst>
                  </pic:spPr>
                </pic:pic>
              </a:graphicData>
            </a:graphic>
          </wp:inline>
        </w:drawing>
      </w:r>
    </w:p>
    <w:p w14:paraId="165C082A" w14:textId="77777777" w:rsidR="00E159C1" w:rsidRDefault="00E159C1" w:rsidP="00413B8C">
      <w:pPr>
        <w:keepNext/>
        <w:sectPr w:rsidR="00E159C1" w:rsidSect="00C3568B">
          <w:pgSz w:w="16838" w:h="11906" w:orient="landscape"/>
          <w:pgMar w:top="1440" w:right="1440" w:bottom="1440" w:left="1440" w:header="709" w:footer="0" w:gutter="0"/>
          <w:cols w:space="708"/>
          <w:docGrid w:linePitch="360"/>
        </w:sectPr>
      </w:pPr>
    </w:p>
    <w:p w14:paraId="44945B34" w14:textId="4338D022" w:rsidR="00413B8C" w:rsidRDefault="005274C6" w:rsidP="00413B8C">
      <w:pPr>
        <w:keepNext/>
      </w:pPr>
      <w:r>
        <w:rPr>
          <w:b/>
          <w:noProof/>
          <w:lang w:eastAsia="en-AU"/>
        </w:rPr>
        <w:lastRenderedPageBreak/>
        <w:drawing>
          <wp:inline distT="0" distB="0" distL="0" distR="0" wp14:anchorId="759583D6" wp14:editId="39955A07">
            <wp:extent cx="5314921" cy="6029325"/>
            <wp:effectExtent l="0" t="0" r="635" b="0"/>
            <wp:docPr id="11" name="Picture 11" descr="Current and proposed clinical management algorithm for population 2 (DLBCL)" title="Current and proposed clinical management algorithm for population 2 (DLBCL)Current and proposed clinical management algorithm for population 2 (DLB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lbcl_new (1).png"/>
                    <pic:cNvPicPr/>
                  </pic:nvPicPr>
                  <pic:blipFill rotWithShape="1">
                    <a:blip r:embed="rId19" cstate="print">
                      <a:extLst>
                        <a:ext uri="{28A0092B-C50C-407E-A947-70E740481C1C}">
                          <a14:useLocalDpi xmlns:a14="http://schemas.microsoft.com/office/drawing/2010/main" val="0"/>
                        </a:ext>
                      </a:extLst>
                    </a:blip>
                    <a:srcRect l="33071" t="3383"/>
                    <a:stretch/>
                  </pic:blipFill>
                  <pic:spPr bwMode="auto">
                    <a:xfrm>
                      <a:off x="0" y="0"/>
                      <a:ext cx="5314921" cy="6029325"/>
                    </a:xfrm>
                    <a:prstGeom prst="rect">
                      <a:avLst/>
                    </a:prstGeom>
                    <a:ln>
                      <a:noFill/>
                    </a:ln>
                    <a:extLst>
                      <a:ext uri="{53640926-AAD7-44D8-BBD7-CCE9431645EC}">
                        <a14:shadowObscured xmlns:a14="http://schemas.microsoft.com/office/drawing/2010/main"/>
                      </a:ext>
                    </a:extLst>
                  </pic:spPr>
                </pic:pic>
              </a:graphicData>
            </a:graphic>
          </wp:inline>
        </w:drawing>
      </w:r>
    </w:p>
    <w:p w14:paraId="1AF20BF2" w14:textId="6D9645CF" w:rsidR="005274C6" w:rsidRDefault="00413B8C" w:rsidP="00841746">
      <w:pPr>
        <w:pStyle w:val="Caption"/>
      </w:pPr>
      <w:bookmarkStart w:id="6" w:name="_Ref505938132"/>
      <w:r>
        <w:t xml:space="preserve">Figure </w:t>
      </w:r>
      <w:r>
        <w:fldChar w:fldCharType="begin"/>
      </w:r>
      <w:r>
        <w:instrText xml:space="preserve"> SEQ Figure \* ARABIC </w:instrText>
      </w:r>
      <w:r>
        <w:fldChar w:fldCharType="separate"/>
      </w:r>
      <w:r w:rsidR="008E5A80">
        <w:rPr>
          <w:noProof/>
        </w:rPr>
        <w:t>4</w:t>
      </w:r>
      <w:r>
        <w:fldChar w:fldCharType="end"/>
      </w:r>
      <w:bookmarkEnd w:id="6"/>
      <w:r>
        <w:t xml:space="preserve"> </w:t>
      </w:r>
      <w:r w:rsidRPr="00530E3D">
        <w:t xml:space="preserve">Current and proposed clinical management algorithm for </w:t>
      </w:r>
      <w:r>
        <w:t>population 2 (DLBCL)</w:t>
      </w:r>
    </w:p>
    <w:p w14:paraId="579DB823" w14:textId="43F683B2" w:rsidR="00E968F6" w:rsidRDefault="00413B8C" w:rsidP="00C3568B">
      <w:pPr>
        <w:pStyle w:val="Heading2"/>
        <w:spacing w:before="0" w:line="240" w:lineRule="auto"/>
        <w:jc w:val="both"/>
        <w:rPr>
          <w:color w:val="548DD4"/>
        </w:rPr>
      </w:pPr>
      <w:r>
        <w:rPr>
          <w:color w:val="548DD4"/>
        </w:rPr>
        <w:t>4</w:t>
      </w:r>
      <w:r w:rsidR="00F2083C">
        <w:rPr>
          <w:color w:val="548DD4"/>
        </w:rPr>
        <w:t>.</w:t>
      </w:r>
      <w:r w:rsidR="001039DF">
        <w:rPr>
          <w:color w:val="548DD4"/>
        </w:rPr>
        <w:t xml:space="preserve"> </w:t>
      </w:r>
      <w:r w:rsidR="003E0382">
        <w:rPr>
          <w:color w:val="548DD4"/>
        </w:rPr>
        <w:t xml:space="preserve">Proposed </w:t>
      </w:r>
      <w:r w:rsidR="002B226C">
        <w:rPr>
          <w:color w:val="548DD4"/>
        </w:rPr>
        <w:t xml:space="preserve">economic </w:t>
      </w:r>
      <w:r w:rsidR="009E5295">
        <w:rPr>
          <w:color w:val="548DD4"/>
        </w:rPr>
        <w:t>evaluation</w:t>
      </w:r>
    </w:p>
    <w:p w14:paraId="2F1FB5B3" w14:textId="2B793850" w:rsidR="00D4289C" w:rsidRDefault="008B5D8F" w:rsidP="008B5D8F">
      <w:pPr>
        <w:jc w:val="both"/>
      </w:pPr>
      <w:r>
        <w:t xml:space="preserve">The applicant proposes that tisagenlecleucel is superior to </w:t>
      </w:r>
      <w:r w:rsidR="005274C6">
        <w:t>the comparators</w:t>
      </w:r>
      <w:r>
        <w:t xml:space="preserve"> in both populations (ALL and DLBCL).</w:t>
      </w:r>
    </w:p>
    <w:p w14:paraId="102C3655" w14:textId="55B1A5D7" w:rsidR="008B5D8F" w:rsidRDefault="008B5D8F" w:rsidP="006B3FC4">
      <w:pPr>
        <w:rPr>
          <w:i/>
        </w:rPr>
      </w:pPr>
      <w:r>
        <w:rPr>
          <w:i/>
        </w:rPr>
        <w:t>If this claim is sup</w:t>
      </w:r>
      <w:r w:rsidR="0056082E">
        <w:rPr>
          <w:i/>
        </w:rPr>
        <w:t xml:space="preserve">ported by the clinical evidence, </w:t>
      </w:r>
      <w:r>
        <w:rPr>
          <w:i/>
        </w:rPr>
        <w:t>which will be presented in the cl</w:t>
      </w:r>
      <w:r w:rsidR="0056082E">
        <w:rPr>
          <w:i/>
        </w:rPr>
        <w:t>inical section of the assessment</w:t>
      </w:r>
      <w:r>
        <w:rPr>
          <w:i/>
        </w:rPr>
        <w:t>, a cost-utility analysis would be the most appropriate</w:t>
      </w:r>
      <w:r w:rsidR="0056082E">
        <w:rPr>
          <w:i/>
        </w:rPr>
        <w:t xml:space="preserve"> type of economic evaluation</w:t>
      </w:r>
      <w:r>
        <w:rPr>
          <w:i/>
        </w:rPr>
        <w:t xml:space="preserve">. </w:t>
      </w:r>
    </w:p>
    <w:p w14:paraId="08A93452" w14:textId="71109399" w:rsidR="00752491" w:rsidRDefault="00413B8C" w:rsidP="00752491">
      <w:pPr>
        <w:pStyle w:val="Heading2"/>
        <w:spacing w:line="240" w:lineRule="auto"/>
        <w:jc w:val="both"/>
        <w:rPr>
          <w:color w:val="548DD4"/>
        </w:rPr>
      </w:pPr>
      <w:r>
        <w:rPr>
          <w:color w:val="548DD4"/>
        </w:rPr>
        <w:t>5</w:t>
      </w:r>
      <w:r w:rsidR="00F2083C">
        <w:rPr>
          <w:color w:val="548DD4"/>
        </w:rPr>
        <w:t xml:space="preserve">. </w:t>
      </w:r>
      <w:r w:rsidR="00752491">
        <w:rPr>
          <w:color w:val="548DD4"/>
        </w:rPr>
        <w:t>Proposed item descriptor</w:t>
      </w:r>
    </w:p>
    <w:p w14:paraId="17671CD9" w14:textId="69CA7D8E" w:rsidR="00830B4A" w:rsidRDefault="00087052">
      <w:r>
        <w:rPr>
          <w:u w:color="FF0000"/>
        </w:rPr>
        <w:t>As specified in section 2.4</w:t>
      </w:r>
      <w:r w:rsidR="00CE61A3">
        <w:rPr>
          <w:u w:color="FF0000"/>
        </w:rPr>
        <w:t xml:space="preserve"> </w:t>
      </w:r>
      <w:r>
        <w:rPr>
          <w:u w:color="FF0000"/>
        </w:rPr>
        <w:t>‘</w:t>
      </w:r>
      <w:r w:rsidR="00CE61A3">
        <w:rPr>
          <w:u w:color="FF0000"/>
        </w:rPr>
        <w:t>Intervention</w:t>
      </w:r>
      <w:r>
        <w:rPr>
          <w:u w:color="FF0000"/>
        </w:rPr>
        <w:t>’</w:t>
      </w:r>
      <w:r w:rsidR="00CE61A3">
        <w:rPr>
          <w:u w:color="FF0000"/>
        </w:rPr>
        <w:t xml:space="preserve"> (under </w:t>
      </w:r>
      <w:r w:rsidR="00CE61A3" w:rsidRPr="006B3FC4">
        <w:rPr>
          <w:i/>
        </w:rPr>
        <w:t>Funding mechanism and coverage of pharmaceutical components)</w:t>
      </w:r>
      <w:r w:rsidRPr="006B3FC4">
        <w:rPr>
          <w:i/>
        </w:rPr>
        <w:t>,</w:t>
      </w:r>
      <w:r w:rsidR="00CE61A3">
        <w:t xml:space="preserve"> no public funding through the MBS </w:t>
      </w:r>
      <w:r w:rsidR="006B3FC4">
        <w:t xml:space="preserve">is sought for tisagenlecleucel. </w:t>
      </w:r>
      <w:r w:rsidR="00CE61A3">
        <w:t>There</w:t>
      </w:r>
      <w:r w:rsidR="006B3FC4">
        <w:t xml:space="preserve"> will there</w:t>
      </w:r>
      <w:r w:rsidR="00CE61A3">
        <w:t>for</w:t>
      </w:r>
      <w:r w:rsidR="007034C8">
        <w:t>e</w:t>
      </w:r>
      <w:r w:rsidR="006B3FC4">
        <w:t xml:space="preserve"> </w:t>
      </w:r>
      <w:r w:rsidR="00CE61A3">
        <w:t xml:space="preserve">be </w:t>
      </w:r>
      <w:r w:rsidR="007034C8">
        <w:t>no</w:t>
      </w:r>
      <w:r w:rsidR="00CE61A3">
        <w:t xml:space="preserve"> MBS item descriptor. </w:t>
      </w:r>
      <w:r w:rsidR="00830B4A">
        <w:br w:type="page"/>
      </w:r>
    </w:p>
    <w:p w14:paraId="0ABDFA1C" w14:textId="3530BF97" w:rsidR="00843D5B" w:rsidRDefault="00843D5B" w:rsidP="006B3FC4">
      <w:pPr>
        <w:spacing w:after="120"/>
        <w:rPr>
          <w:u w:val="single"/>
        </w:rPr>
      </w:pPr>
      <w:r w:rsidRPr="00843D5B">
        <w:rPr>
          <w:u w:val="single"/>
        </w:rPr>
        <w:lastRenderedPageBreak/>
        <w:t>Fee</w:t>
      </w:r>
    </w:p>
    <w:p w14:paraId="03EF4B67" w14:textId="40077F8C" w:rsidR="00F0638A" w:rsidRDefault="00365F32" w:rsidP="006F4C92">
      <w:pPr>
        <w:jc w:val="both"/>
        <w:rPr>
          <w:i/>
        </w:rPr>
      </w:pPr>
      <w:proofErr w:type="gramStart"/>
      <w:r w:rsidRPr="002606DB">
        <w:rPr>
          <w:b/>
        </w:rPr>
        <w:t>REDACTED</w:t>
      </w:r>
      <w:r w:rsidR="002606DB">
        <w:rPr>
          <w:i/>
        </w:rPr>
        <w:t>.</w:t>
      </w:r>
      <w:proofErr w:type="gramEnd"/>
      <w:r w:rsidR="008B5D8F" w:rsidRPr="002606DB">
        <w:rPr>
          <w:i/>
        </w:rPr>
        <w:t xml:space="preserve"> </w:t>
      </w:r>
      <w:r w:rsidR="00F0638A">
        <w:rPr>
          <w:i/>
        </w:rPr>
        <w:t>A</w:t>
      </w:r>
      <w:r w:rsidR="00837EEF">
        <w:rPr>
          <w:i/>
        </w:rPr>
        <w:t xml:space="preserve"> fixed </w:t>
      </w:r>
      <w:r w:rsidR="00F0638A">
        <w:rPr>
          <w:i/>
        </w:rPr>
        <w:t>fee should be provided in the assessment report</w:t>
      </w:r>
      <w:r w:rsidR="002B631A">
        <w:rPr>
          <w:i/>
        </w:rPr>
        <w:t xml:space="preserve"> as it is necessary for ESC</w:t>
      </w:r>
      <w:r w:rsidR="00F0638A">
        <w:rPr>
          <w:i/>
        </w:rPr>
        <w:t>, and should be a fixed cost in Australian dollars (US dollar will be susceptible to exchange rates), or a fixed range of costs for the purposes of th</w:t>
      </w:r>
      <w:r w:rsidR="00830B4A">
        <w:rPr>
          <w:i/>
        </w:rPr>
        <w:t>e cost-effectiveness analysis.</w:t>
      </w:r>
    </w:p>
    <w:p w14:paraId="54A32FAE" w14:textId="304E4EC6" w:rsidR="00EA6532" w:rsidRPr="002606DB" w:rsidRDefault="00365F32" w:rsidP="00151AB5">
      <w:pPr>
        <w:jc w:val="both"/>
        <w:rPr>
          <w:b/>
          <w:i/>
        </w:rPr>
      </w:pPr>
      <w:proofErr w:type="gramStart"/>
      <w:r w:rsidRPr="002606DB">
        <w:rPr>
          <w:b/>
        </w:rPr>
        <w:t>REDACTED</w:t>
      </w:r>
      <w:r w:rsidR="002606DB">
        <w:rPr>
          <w:b/>
        </w:rPr>
        <w:t>.</w:t>
      </w:r>
      <w:proofErr w:type="gramEnd"/>
    </w:p>
    <w:p w14:paraId="26D2FDDC" w14:textId="08B78760" w:rsidR="00981996" w:rsidRPr="00981996" w:rsidRDefault="00981996" w:rsidP="00CF53C2">
      <w:pPr>
        <w:pStyle w:val="Heading2"/>
        <w:spacing w:before="0" w:line="240" w:lineRule="auto"/>
        <w:jc w:val="both"/>
        <w:rPr>
          <w:color w:val="548DD4"/>
        </w:rPr>
      </w:pPr>
      <w:r>
        <w:rPr>
          <w:color w:val="548DD4"/>
        </w:rPr>
        <w:t xml:space="preserve">6. </w:t>
      </w:r>
      <w:r w:rsidRPr="00981996">
        <w:rPr>
          <w:color w:val="548DD4"/>
        </w:rPr>
        <w:t>References</w:t>
      </w:r>
    </w:p>
    <w:p w14:paraId="32B9A349" w14:textId="5CB77D57" w:rsidR="00D10738" w:rsidRPr="00D10738" w:rsidRDefault="0023778A" w:rsidP="00CF53C2">
      <w:pPr>
        <w:pStyle w:val="EndNoteBibliography"/>
        <w:spacing w:after="240"/>
      </w:pPr>
      <w:r>
        <w:fldChar w:fldCharType="begin"/>
      </w:r>
      <w:r>
        <w:instrText xml:space="preserve"> ADDIN EN.REFLIST </w:instrText>
      </w:r>
      <w:r>
        <w:fldChar w:fldCharType="separate"/>
      </w:r>
      <w:r w:rsidR="00D10738" w:rsidRPr="00D10738">
        <w:t xml:space="preserve">Australian Institute of Health and Welfare (AIHW) 2017, </w:t>
      </w:r>
      <w:r w:rsidR="00D10738" w:rsidRPr="00D10738">
        <w:rPr>
          <w:i/>
        </w:rPr>
        <w:t>Australian Cancer Incidence and Mortality (ACIM) books: Acute lymphoblastic leukaemia (ALL),</w:t>
      </w:r>
      <w:r w:rsidR="00D10738" w:rsidRPr="00D10738">
        <w:t xml:space="preserve"> Australian Institute of Health and Welfare (AIHW), Canberra.</w:t>
      </w:r>
    </w:p>
    <w:p w14:paraId="7C7B2111" w14:textId="77777777" w:rsidR="00D10738" w:rsidRPr="00D10738" w:rsidRDefault="00D10738" w:rsidP="00CF53C2">
      <w:pPr>
        <w:pStyle w:val="EndNoteBibliography"/>
        <w:spacing w:after="240"/>
      </w:pPr>
      <w:r w:rsidRPr="00D10738">
        <w:t xml:space="preserve">Brudno, JN &amp; Kochenderfer, JN 2018, 'Chimeric antigen receptor T-cell therapies for lymphoma', </w:t>
      </w:r>
      <w:r w:rsidRPr="00D10738">
        <w:rPr>
          <w:i/>
        </w:rPr>
        <w:t>Nat Rev Clin Oncol</w:t>
      </w:r>
      <w:r w:rsidRPr="00D10738">
        <w:t>, vol. 15, no. 1, Jan, pp. 31-46.</w:t>
      </w:r>
    </w:p>
    <w:p w14:paraId="46E377A7" w14:textId="77777777" w:rsidR="00D10738" w:rsidRPr="00D10738" w:rsidRDefault="00D10738" w:rsidP="00CF53C2">
      <w:pPr>
        <w:pStyle w:val="EndNoteBibliography"/>
        <w:spacing w:after="240"/>
      </w:pPr>
      <w:r w:rsidRPr="00D10738">
        <w:t xml:space="preserve">Fitzgerald, JC, Weiss, SL, Maude, SL, Barrett, DM, Lacey, SF, Melenhorst, JJ, Shaw, P, Berg, RA, June, CH, Porter, DL, Frey, NV, Grupp, SA &amp; Teachey, DT 2017, 'Cytokine Release Syndrome After Chimeric Antigen Receptor T Cell Therapy for Acute Lymphoblastic Leukemia', </w:t>
      </w:r>
      <w:r w:rsidRPr="00D10738">
        <w:rPr>
          <w:i/>
        </w:rPr>
        <w:t>Crit Care Med</w:t>
      </w:r>
      <w:r w:rsidRPr="00D10738">
        <w:t>, vol. 45, no. 2, Feb, pp. e124-e131.</w:t>
      </w:r>
    </w:p>
    <w:p w14:paraId="46158C38" w14:textId="77777777" w:rsidR="00D10738" w:rsidRPr="00D10738" w:rsidRDefault="00D10738" w:rsidP="00CF53C2">
      <w:pPr>
        <w:pStyle w:val="EndNoteBibliography"/>
        <w:spacing w:after="240"/>
      </w:pPr>
      <w:r w:rsidRPr="00D10738">
        <w:t xml:space="preserve">Hunger, SP, Lu, X, Devidas, M, Camitta, BM, Gaynon, PS, Winick, NJ, Reaman, GH &amp; Carroll, WL 2012, 'Improved survival for children and adolescents with acute lymphoblastic leukemia between 1990 and 2005: a report from the children's oncology group', </w:t>
      </w:r>
      <w:r w:rsidRPr="00D10738">
        <w:rPr>
          <w:i/>
        </w:rPr>
        <w:t>J Clin Oncol</w:t>
      </w:r>
      <w:r w:rsidRPr="00D10738">
        <w:t>, vol. 30, no. 14, May 10, pp. 1663-1669.</w:t>
      </w:r>
    </w:p>
    <w:p w14:paraId="5320C03C" w14:textId="2B08FE21" w:rsidR="00D10738" w:rsidRPr="00D10738" w:rsidRDefault="00D10738" w:rsidP="00CF53C2">
      <w:pPr>
        <w:pStyle w:val="EndNoteBibliography"/>
        <w:spacing w:after="240"/>
      </w:pPr>
      <w:r w:rsidRPr="00D10738">
        <w:t xml:space="preserve">Institute for Clinical and Economic Review (ICER) 2017, </w:t>
      </w:r>
      <w:r w:rsidRPr="00D10738">
        <w:rPr>
          <w:i/>
        </w:rPr>
        <w:t>Chimeric Antigen Receptor T-Cell Therapy for B-Cell Cancers: Effectiveness and Value, Draft evidence report</w:t>
      </w:r>
      <w:r w:rsidRPr="00D10738">
        <w:t>, Institute for Clinical and Economic Review.</w:t>
      </w:r>
    </w:p>
    <w:p w14:paraId="57093F17" w14:textId="77777777" w:rsidR="00D10738" w:rsidRPr="00D10738" w:rsidRDefault="00D10738" w:rsidP="00CF53C2">
      <w:pPr>
        <w:pStyle w:val="EndNoteBibliography"/>
        <w:spacing w:after="240"/>
      </w:pPr>
      <w:r w:rsidRPr="00D10738">
        <w:t xml:space="preserve">Kirby, T 2014, 'Children's cancer drugs cut into Australian hospital budgets', </w:t>
      </w:r>
      <w:r w:rsidRPr="00D10738">
        <w:rPr>
          <w:i/>
        </w:rPr>
        <w:t>Lancet Oncol</w:t>
      </w:r>
      <w:r w:rsidRPr="00D10738">
        <w:t>, vol. 15, no. 9, Aug, p. 923.</w:t>
      </w:r>
    </w:p>
    <w:p w14:paraId="16C9A3C1" w14:textId="77777777" w:rsidR="00D10738" w:rsidRPr="00D10738" w:rsidRDefault="00D10738" w:rsidP="00CF53C2">
      <w:pPr>
        <w:pStyle w:val="EndNoteBibliography"/>
        <w:spacing w:after="240"/>
      </w:pPr>
      <w:r w:rsidRPr="00D10738">
        <w:t xml:space="preserve">Maude, SL, Frey, N, Shaw, PA, Aplenc, R, Barrett, DM, Bunin, NJ, Chew, A, Gonzalez, VE, Zheng, Z, Lacey, SF, Mahnke, YD, Melenhorst, JJ, Rheingold, SR, Shen, A, Teachey, DT, Levine, BL, June, CH, Porter, DL &amp; Grupp, SA 2014, 'Chimeric antigen receptor T cells for sustained remissions in leukemia', </w:t>
      </w:r>
      <w:r w:rsidRPr="00D10738">
        <w:rPr>
          <w:i/>
        </w:rPr>
        <w:t>N Engl J Med</w:t>
      </w:r>
      <w:r w:rsidRPr="00D10738">
        <w:t>, vol. 371, no. 16, Oct 16, pp. 1507-1517.</w:t>
      </w:r>
    </w:p>
    <w:p w14:paraId="02159D22" w14:textId="77777777" w:rsidR="00D10738" w:rsidRPr="00D10738" w:rsidRDefault="00D10738" w:rsidP="00CF53C2">
      <w:pPr>
        <w:pStyle w:val="EndNoteBibliography"/>
        <w:spacing w:after="240"/>
      </w:pPr>
      <w:r w:rsidRPr="00D10738">
        <w:t xml:space="preserve">Maude, SL, Laetsch, TW, Buechner, J, Rives, S, Boyer, M, Bittencourt, H, Bader, P, Verneris, MR, Stefanski, HE, Myers, GD, Qayed, M, De Moerloose, B, Hiramatsu, H, Schlis, K, Davis, KL, Martin, PL, Nemecek, ER, Yanik, GA, Peters, C, Baruchel, A, Boissel, N, Mechinaud, F, Balduzzi, A, Krueger, J, June, CH, Levine, BL, Wood, P, Taran, T, Leung, M, Mueller, KT, Zhang, Y, Sen, K, Lebwohl, D, Pulsipher, MA &amp; Grupp, SA 2018, 'Tisagenlecleucel in Children and Young Adults with B-Cell Lymphoblastic Leukemia', </w:t>
      </w:r>
      <w:r w:rsidRPr="00D10738">
        <w:rPr>
          <w:i/>
        </w:rPr>
        <w:t>N Engl J Med</w:t>
      </w:r>
      <w:r w:rsidRPr="00D10738">
        <w:t>, vol. 378, no. 5, Feb 1, pp. 439-448.</w:t>
      </w:r>
    </w:p>
    <w:p w14:paraId="6817C93F" w14:textId="77777777" w:rsidR="00D10738" w:rsidRPr="00D10738" w:rsidRDefault="00D10738" w:rsidP="00CF53C2">
      <w:pPr>
        <w:pStyle w:val="EndNoteBibliography"/>
        <w:spacing w:after="240"/>
      </w:pPr>
      <w:r w:rsidRPr="00D10738">
        <w:t xml:space="preserve">Mueller, KT, Maude, SL, Porter, DL, Frey, N, Wood, P, Han, X, Waldron, E, Chakraborty, A, Awasthi, R, Levine, BL, Melenhorst, JJ, Grupp, SA, June, CH &amp; Lacey, SF 2017, 'Cellular kinetics of CTL019 in relapsed/refractory B-cell acute lymphoblastic leukemia and chronic lymphocytic leukemia', </w:t>
      </w:r>
      <w:r w:rsidRPr="00D10738">
        <w:rPr>
          <w:i/>
        </w:rPr>
        <w:t>Blood</w:t>
      </w:r>
      <w:r w:rsidRPr="00D10738">
        <w:t>, vol. 130, no. 21, Nov 23, pp. 2317-2325.</w:t>
      </w:r>
    </w:p>
    <w:p w14:paraId="34624FCD" w14:textId="77777777" w:rsidR="00D10738" w:rsidRPr="00D10738" w:rsidRDefault="00D10738" w:rsidP="00CF53C2">
      <w:pPr>
        <w:pStyle w:val="EndNoteBibliography"/>
        <w:spacing w:after="240"/>
      </w:pPr>
      <w:r w:rsidRPr="00D10738">
        <w:t xml:space="preserve">National Cancer Expert Reference Group 2016, </w:t>
      </w:r>
      <w:r w:rsidRPr="00D10738">
        <w:rPr>
          <w:i/>
        </w:rPr>
        <w:t>Optimal cancer care pathway for people with Hodgkin and diffuse large B-cell lymphomas</w:t>
      </w:r>
      <w:r w:rsidRPr="00D10738">
        <w:t>, Australian Government Cancer Australia and Cancer Council.</w:t>
      </w:r>
    </w:p>
    <w:p w14:paraId="3A62D556" w14:textId="77777777" w:rsidR="00D10738" w:rsidRPr="00D10738" w:rsidRDefault="00D10738" w:rsidP="00CF53C2">
      <w:pPr>
        <w:pStyle w:val="EndNoteBibliography"/>
        <w:spacing w:after="240"/>
      </w:pPr>
      <w:r w:rsidRPr="00D10738">
        <w:lastRenderedPageBreak/>
        <w:t xml:space="preserve">Novartis 2017, </w:t>
      </w:r>
      <w:r w:rsidRPr="00D10738">
        <w:rPr>
          <w:i/>
        </w:rPr>
        <w:t>Oncologic drugs advisory committee briefing document. Tisagenlecleucel (CTL019) for the treatment of pediatric and young adult patients with relapsed/refractory B-cell acute lymphoblastic leukemia</w:t>
      </w:r>
      <w:r w:rsidRPr="00D10738">
        <w:t>,  FDA Advisory Committee Briefing Document.</w:t>
      </w:r>
    </w:p>
    <w:p w14:paraId="44A72291" w14:textId="77777777" w:rsidR="00D10738" w:rsidRPr="00D10738" w:rsidRDefault="00D10738" w:rsidP="00CF53C2">
      <w:pPr>
        <w:pStyle w:val="EndNoteBibliography"/>
        <w:spacing w:after="240"/>
      </w:pPr>
      <w:r w:rsidRPr="00D10738">
        <w:t xml:space="preserve">Porter, DL, Hwang, WT, Frey, NV, Lacey, SF, Shaw, PA, Loren, AW, Bagg, A, Marcucci, KT, Shen, A, Gonzalez, V, Ambrose, D, Grupp, SA, Chew, A, Zheng, Z, Milone, MC, Levine, BL, Melenhorst, JJ &amp; June, CH 2015, 'Chimeric antigen receptor T cells persist and induce sustained remissions in relapsed refractory chronic lymphocytic leukemia', </w:t>
      </w:r>
      <w:r w:rsidRPr="00D10738">
        <w:rPr>
          <w:i/>
        </w:rPr>
        <w:t>Sci Transl Med</w:t>
      </w:r>
      <w:r w:rsidRPr="00D10738">
        <w:t>, vol. 7, no. 303, Sep 2, p. 303ra139.</w:t>
      </w:r>
    </w:p>
    <w:p w14:paraId="1B5A1347" w14:textId="77777777" w:rsidR="00D10738" w:rsidRPr="00D10738" w:rsidRDefault="00D10738" w:rsidP="00CF53C2">
      <w:pPr>
        <w:pStyle w:val="EndNoteBibliography"/>
        <w:spacing w:after="240"/>
      </w:pPr>
      <w:r w:rsidRPr="00D10738">
        <w:t xml:space="preserve">Schuster, SJ, Svoboda, J, Chong, EA, Nasta, SD, Mato, AR, Anak, O, Brogdon, JL, Pruteanu-Malinici, I, Bhoj, V, Landsburg, D, Wasik, M, Levine, BL, Lacey, SF, Melenhorst, JJ, Porter, DL &amp; June, CH 2017, 'Chimeric Antigen Receptor T Cells in Refractory B-Cell Lymphomas', </w:t>
      </w:r>
      <w:r w:rsidRPr="00D10738">
        <w:rPr>
          <w:i/>
        </w:rPr>
        <w:t>N Engl J Med</w:t>
      </w:r>
      <w:r w:rsidRPr="00D10738">
        <w:t>, vol. 377, no. 26, Dec 28, pp. 2545-2554.</w:t>
      </w:r>
    </w:p>
    <w:p w14:paraId="16C03266" w14:textId="1F5E1876" w:rsidR="005A40EA" w:rsidRDefault="00D10738" w:rsidP="00841746">
      <w:pPr>
        <w:pStyle w:val="EndNoteBibliography"/>
        <w:spacing w:after="240"/>
      </w:pPr>
      <w:r w:rsidRPr="00D10738">
        <w:t xml:space="preserve">'Value in Using CAR T Cells for DLBCL',  2017, </w:t>
      </w:r>
      <w:r w:rsidRPr="00D10738">
        <w:rPr>
          <w:i/>
        </w:rPr>
        <w:t>Cancer Discov</w:t>
      </w:r>
      <w:r w:rsidRPr="00D10738">
        <w:t>, Dec 15.</w:t>
      </w:r>
      <w:r w:rsidR="0023778A">
        <w:fldChar w:fldCharType="end"/>
      </w:r>
      <w:r w:rsidR="005A40EA">
        <w:br w:type="page"/>
      </w:r>
    </w:p>
    <w:p w14:paraId="3F776C07" w14:textId="05745EEB" w:rsidR="006F5C9C" w:rsidRDefault="007034C8" w:rsidP="005A40EA">
      <w:pPr>
        <w:pStyle w:val="Heading2"/>
        <w:spacing w:line="240" w:lineRule="auto"/>
        <w:rPr>
          <w:color w:val="548DD4"/>
          <w:u w:val="none"/>
        </w:rPr>
      </w:pPr>
      <w:bookmarkStart w:id="7" w:name="_Ref505600920"/>
      <w:r w:rsidRPr="007034C8">
        <w:rPr>
          <w:color w:val="548DD4"/>
          <w:u w:val="none"/>
        </w:rPr>
        <w:lastRenderedPageBreak/>
        <w:t>Appendix</w:t>
      </w:r>
      <w:bookmarkEnd w:id="7"/>
    </w:p>
    <w:p w14:paraId="04EAAD4E" w14:textId="46425EE5" w:rsidR="001B0F9D" w:rsidRDefault="0071109B" w:rsidP="008E5A80">
      <w:pPr>
        <w:keepNext/>
        <w:sectPr w:rsidR="001B0F9D" w:rsidSect="009C11E9">
          <w:pgSz w:w="11906" w:h="16838"/>
          <w:pgMar w:top="1191" w:right="1440" w:bottom="1191" w:left="1440" w:header="709" w:footer="227" w:gutter="0"/>
          <w:cols w:space="708"/>
          <w:docGrid w:linePitch="360"/>
        </w:sectPr>
      </w:pPr>
      <w:r>
        <w:t xml:space="preserve">The clinical management algorithms presented in this Appendix </w:t>
      </w:r>
      <w:r w:rsidR="002065CB">
        <w:t xml:space="preserve">(Figures 5 and 6 below) </w:t>
      </w:r>
      <w:r>
        <w:t>aim to explain the curr</w:t>
      </w:r>
      <w:r w:rsidR="002065CB">
        <w:t xml:space="preserve">ent and proposed approaches to </w:t>
      </w:r>
      <w:r>
        <w:t>management of any downstream services and outcomes for the proposed populations</w:t>
      </w:r>
      <w:r w:rsidR="002065CB">
        <w:t>,</w:t>
      </w:r>
      <w:r>
        <w:t xml:space="preserve"> once they are identified. This means the starting points for the current management algorithm are the target populations.</w:t>
      </w:r>
      <w:r w:rsidRPr="0071109B">
        <w:t xml:space="preserve"> </w:t>
      </w:r>
      <w:r>
        <w:t xml:space="preserve">The blue pathways represent the proposed intervention, with the </w:t>
      </w:r>
      <w:r w:rsidR="002065CB">
        <w:t xml:space="preserve">black pathways representing </w:t>
      </w:r>
      <w:r>
        <w:t>current management.</w:t>
      </w:r>
      <w:r w:rsidR="002065CB">
        <w:t xml:space="preserve"> The dotted lines indicate that </w:t>
      </w:r>
      <w:r>
        <w:t>patients can drop out at different steps of the treatment process.</w:t>
      </w:r>
    </w:p>
    <w:p w14:paraId="2943AD79" w14:textId="4E9D9F15" w:rsidR="008E5A80" w:rsidRDefault="001B0F9D" w:rsidP="008E5A80">
      <w:pPr>
        <w:keepNext/>
      </w:pPr>
      <w:r>
        <w:rPr>
          <w:noProof/>
          <w:lang w:eastAsia="en-AU"/>
        </w:rPr>
        <w:lastRenderedPageBreak/>
        <w:drawing>
          <wp:inline distT="0" distB="0" distL="0" distR="0" wp14:anchorId="452983D5" wp14:editId="0FECC8FD">
            <wp:extent cx="8534400" cy="4981967"/>
            <wp:effectExtent l="0" t="0" r="0" b="9525"/>
            <wp:docPr id="8" name="Picture 8" descr="Current and proposed clinical management algorithm for the ALL population (to show downstream effects)" title="Current and proposed clinical management algorithm for the ALL population (to show downstream eff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LLappendix.png"/>
                    <pic:cNvPicPr/>
                  </pic:nvPicPr>
                  <pic:blipFill>
                    <a:blip r:embed="rId20">
                      <a:extLst>
                        <a:ext uri="{28A0092B-C50C-407E-A947-70E740481C1C}">
                          <a14:useLocalDpi xmlns:a14="http://schemas.microsoft.com/office/drawing/2010/main" val="0"/>
                        </a:ext>
                      </a:extLst>
                    </a:blip>
                    <a:stretch>
                      <a:fillRect/>
                    </a:stretch>
                  </pic:blipFill>
                  <pic:spPr>
                    <a:xfrm>
                      <a:off x="0" y="0"/>
                      <a:ext cx="8540206" cy="4985356"/>
                    </a:xfrm>
                    <a:prstGeom prst="rect">
                      <a:avLst/>
                    </a:prstGeom>
                  </pic:spPr>
                </pic:pic>
              </a:graphicData>
            </a:graphic>
          </wp:inline>
        </w:drawing>
      </w:r>
    </w:p>
    <w:p w14:paraId="09E32DF4" w14:textId="2109A633" w:rsidR="0071109B" w:rsidRDefault="008E5A80" w:rsidP="008E5A80">
      <w:pPr>
        <w:pStyle w:val="Caption"/>
      </w:pPr>
      <w:r>
        <w:t xml:space="preserve">Figure </w:t>
      </w:r>
      <w:r>
        <w:fldChar w:fldCharType="begin"/>
      </w:r>
      <w:r>
        <w:instrText xml:space="preserve"> SEQ Figure \* ARABIC </w:instrText>
      </w:r>
      <w:r>
        <w:fldChar w:fldCharType="separate"/>
      </w:r>
      <w:r>
        <w:rPr>
          <w:noProof/>
        </w:rPr>
        <w:t>5</w:t>
      </w:r>
      <w:r>
        <w:fldChar w:fldCharType="end"/>
      </w:r>
      <w:r>
        <w:t xml:space="preserve"> </w:t>
      </w:r>
      <w:r w:rsidRPr="006B235C">
        <w:t xml:space="preserve">Current and proposed clinical management algorithm for </w:t>
      </w:r>
      <w:r>
        <w:t>the ALL population (to show downstream effects)</w:t>
      </w:r>
    </w:p>
    <w:p w14:paraId="7371DF51" w14:textId="34D4AF85" w:rsidR="008E5A80" w:rsidRDefault="001B0F9D" w:rsidP="008E5A80">
      <w:pPr>
        <w:keepNext/>
      </w:pPr>
      <w:r>
        <w:rPr>
          <w:noProof/>
          <w:lang w:eastAsia="en-AU"/>
        </w:rPr>
        <w:lastRenderedPageBreak/>
        <w:drawing>
          <wp:inline distT="0" distB="0" distL="0" distR="0" wp14:anchorId="5E5E41FA" wp14:editId="7B9C6120">
            <wp:extent cx="8391525" cy="5015196"/>
            <wp:effectExtent l="0" t="0" r="0" b="0"/>
            <wp:docPr id="9" name="Picture 9" descr="Current and proposed clinical management algorithm for the DLBCL population (to show downstream effects)" title="Current and proposed clinical management algorithm for the DLBCL population (to show downstream eff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LBCLappendix.png"/>
                    <pic:cNvPicPr/>
                  </pic:nvPicPr>
                  <pic:blipFill>
                    <a:blip r:embed="rId21">
                      <a:extLst>
                        <a:ext uri="{28A0092B-C50C-407E-A947-70E740481C1C}">
                          <a14:useLocalDpi xmlns:a14="http://schemas.microsoft.com/office/drawing/2010/main" val="0"/>
                        </a:ext>
                      </a:extLst>
                    </a:blip>
                    <a:stretch>
                      <a:fillRect/>
                    </a:stretch>
                  </pic:blipFill>
                  <pic:spPr>
                    <a:xfrm>
                      <a:off x="0" y="0"/>
                      <a:ext cx="8400824" cy="5020754"/>
                    </a:xfrm>
                    <a:prstGeom prst="rect">
                      <a:avLst/>
                    </a:prstGeom>
                  </pic:spPr>
                </pic:pic>
              </a:graphicData>
            </a:graphic>
          </wp:inline>
        </w:drawing>
      </w:r>
    </w:p>
    <w:p w14:paraId="61CCD0D4" w14:textId="4826A5F4" w:rsidR="001B0F9D" w:rsidRDefault="008E5A80">
      <w:pPr>
        <w:pStyle w:val="Caption"/>
      </w:pPr>
      <w:r>
        <w:t xml:space="preserve">Figure </w:t>
      </w:r>
      <w:r>
        <w:fldChar w:fldCharType="begin"/>
      </w:r>
      <w:r>
        <w:instrText xml:space="preserve"> SEQ Figure \* ARABIC </w:instrText>
      </w:r>
      <w:r>
        <w:fldChar w:fldCharType="separate"/>
      </w:r>
      <w:r>
        <w:rPr>
          <w:noProof/>
        </w:rPr>
        <w:t>6</w:t>
      </w:r>
      <w:r>
        <w:fldChar w:fldCharType="end"/>
      </w:r>
      <w:r>
        <w:t xml:space="preserve"> </w:t>
      </w:r>
      <w:r w:rsidRPr="004B2066">
        <w:t>Current and proposed clinical management algorithm for</w:t>
      </w:r>
      <w:r>
        <w:t xml:space="preserve"> the</w:t>
      </w:r>
      <w:r w:rsidRPr="004B2066">
        <w:t xml:space="preserve"> </w:t>
      </w:r>
      <w:r>
        <w:t>DLBCL population (to show downstream effects)</w:t>
      </w:r>
    </w:p>
    <w:sectPr w:rsidR="001B0F9D" w:rsidSect="001B0F9D">
      <w:pgSz w:w="16838" w:h="11906" w:orient="landscape"/>
      <w:pgMar w:top="1440" w:right="1440" w:bottom="1440" w:left="1440"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0431A1" w15:done="0"/>
  <w15:commentEx w15:paraId="0A04437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335467" w14:textId="77777777" w:rsidR="002606DB" w:rsidRDefault="002606DB" w:rsidP="003D699E">
      <w:pPr>
        <w:spacing w:after="0" w:line="240" w:lineRule="auto"/>
      </w:pPr>
      <w:r>
        <w:separator/>
      </w:r>
    </w:p>
  </w:endnote>
  <w:endnote w:type="continuationSeparator" w:id="0">
    <w:p w14:paraId="0F399D86" w14:textId="77777777" w:rsidR="002606DB" w:rsidRDefault="002606DB" w:rsidP="003D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626044460"/>
      <w:docPartObj>
        <w:docPartGallery w:val="Page Numbers (Bottom of Page)"/>
        <w:docPartUnique/>
      </w:docPartObj>
    </w:sdtPr>
    <w:sdtEndPr>
      <w:rPr>
        <w:color w:val="808080" w:themeColor="background1" w:themeShade="80"/>
        <w:spacing w:val="60"/>
      </w:rPr>
    </w:sdtEndPr>
    <w:sdtContent>
      <w:p w14:paraId="508764DD" w14:textId="0162FEF1" w:rsidR="002606DB" w:rsidRDefault="002606DB" w:rsidP="003D699E">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644E3D" w:rsidRPr="00644E3D">
          <w:rPr>
            <w:b/>
            <w:bCs/>
            <w:noProof/>
            <w:sz w:val="18"/>
            <w:szCs w:val="18"/>
          </w:rPr>
          <w:t>2</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PICO Confirmation – Ratified 30 May 2018</w:t>
        </w:r>
      </w:p>
      <w:p w14:paraId="7BCB5041" w14:textId="709173CE" w:rsidR="002606DB" w:rsidRPr="00841746" w:rsidRDefault="002606DB" w:rsidP="00841746">
        <w:pPr>
          <w:pStyle w:val="Footer"/>
          <w:pBdr>
            <w:top w:val="single" w:sz="4" w:space="1" w:color="D9D9D9" w:themeColor="background1" w:themeShade="D9"/>
          </w:pBdr>
          <w:jc w:val="center"/>
          <w:rPr>
            <w:b/>
            <w:bCs/>
            <w:sz w:val="18"/>
            <w:szCs w:val="18"/>
          </w:rPr>
        </w:pPr>
        <w:r>
          <w:rPr>
            <w:color w:val="808080" w:themeColor="background1" w:themeShade="80"/>
            <w:spacing w:val="60"/>
            <w:sz w:val="18"/>
            <w:szCs w:val="18"/>
          </w:rPr>
          <w:t>Application 1519: Tisagenlecleucel (CTL019) for treatment of refractory CD19-positive leukaemia and lymphoma</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BD7F8E" w14:textId="77777777" w:rsidR="002606DB" w:rsidRDefault="002606DB" w:rsidP="003D699E">
      <w:pPr>
        <w:spacing w:after="0" w:line="240" w:lineRule="auto"/>
      </w:pPr>
      <w:r>
        <w:separator/>
      </w:r>
    </w:p>
  </w:footnote>
  <w:footnote w:type="continuationSeparator" w:id="0">
    <w:p w14:paraId="1B00DD49" w14:textId="77777777" w:rsidR="002606DB" w:rsidRDefault="002606DB" w:rsidP="003D699E">
      <w:pPr>
        <w:spacing w:after="0" w:line="240" w:lineRule="auto"/>
      </w:pPr>
      <w:r>
        <w:continuationSeparator/>
      </w:r>
    </w:p>
  </w:footnote>
  <w:footnote w:id="1">
    <w:p w14:paraId="3C6F06DE" w14:textId="0F782086" w:rsidR="002606DB" w:rsidRDefault="002606DB">
      <w:pPr>
        <w:pStyle w:val="FootnoteText"/>
      </w:pPr>
      <w:r>
        <w:rPr>
          <w:rStyle w:val="FootnoteReference"/>
        </w:rPr>
        <w:footnoteRef/>
      </w:r>
      <w:r>
        <w:t xml:space="preserve"> </w:t>
      </w:r>
      <w:r>
        <w:rPr>
          <w:i/>
        </w:rPr>
        <w:t>Even though an experimental treatment through a clinical trial is not considered as a valid comparator to assess the safety and effectiveness of the intervention, it should be noted that it is expected a certain proportion of the patient population is likely to participate in clinical trials, which may impact the estimated population using the service. This will be relevant for the financial section of the assessment report.</w:t>
      </w:r>
    </w:p>
  </w:footnote>
  <w:footnote w:id="2">
    <w:p w14:paraId="4A2C6AA3" w14:textId="377D129F" w:rsidR="002606DB" w:rsidRDefault="002606DB">
      <w:pPr>
        <w:pStyle w:val="FootnoteText"/>
      </w:pPr>
      <w:r>
        <w:rPr>
          <w:rStyle w:val="FootnoteReference"/>
        </w:rPr>
        <w:footnoteRef/>
      </w:r>
      <w:r>
        <w:t xml:space="preserve"> </w:t>
      </w:r>
      <w:r>
        <w:rPr>
          <w:i/>
        </w:rPr>
        <w:t>Even though an experimental treatment through a clinical trial is not considered as a valid comparator to assess the safety and effectiveness of the intervention, it should be noted that it is expected a certain proportion of the patient population is likely to participate in clinical trials, which may impact the estimated population using the service. This will be relevant for the financial section of the assessment report.</w:t>
      </w:r>
    </w:p>
  </w:footnote>
  <w:footnote w:id="3">
    <w:p w14:paraId="5A14D0A9" w14:textId="7A6D4EAD" w:rsidR="002606DB" w:rsidRPr="006A5310" w:rsidRDefault="002606DB">
      <w:pPr>
        <w:pStyle w:val="FootnoteText"/>
      </w:pPr>
      <w:r w:rsidRPr="006A5310">
        <w:rPr>
          <w:rStyle w:val="FootnoteReference"/>
        </w:rPr>
        <w:footnoteRef/>
      </w:r>
      <w:r w:rsidRPr="006A5310">
        <w:t xml:space="preserve"> </w:t>
      </w:r>
      <w:hyperlink r:id="rId1" w:tooltip="Link to ARCF" w:history="1">
        <w:r w:rsidRPr="006A5310">
          <w:rPr>
            <w:rStyle w:val="Hyperlink"/>
          </w:rPr>
          <w:t>https://acrf.com.au/on-cancer/acute-lymphoblastic-leukaemia/</w:t>
        </w:r>
      </w:hyperlink>
    </w:p>
  </w:footnote>
  <w:footnote w:id="4">
    <w:p w14:paraId="38736AD9" w14:textId="3238813A" w:rsidR="002606DB" w:rsidRDefault="002606DB">
      <w:pPr>
        <w:pStyle w:val="FootnoteText"/>
      </w:pPr>
      <w:r>
        <w:rPr>
          <w:rStyle w:val="FootnoteReference"/>
        </w:rPr>
        <w:footnoteRef/>
      </w:r>
      <w:r>
        <w:t xml:space="preserve"> </w:t>
      </w:r>
      <w:r w:rsidRPr="00B917AD">
        <w:rPr>
          <w:i/>
        </w:rPr>
        <w:t xml:space="preserve"> </w:t>
      </w:r>
      <w:hyperlink r:id="rId2" w:tooltip="Link to cancer.org.au" w:history="1">
        <w:r w:rsidRPr="006A5310">
          <w:rPr>
            <w:rStyle w:val="Hyperlink"/>
          </w:rPr>
          <w:t>http://www.cancer.org.au/about-cancer/types-of-cancer/leukaemia.html</w:t>
        </w:r>
      </w:hyperlink>
    </w:p>
  </w:footnote>
  <w:footnote w:id="5">
    <w:p w14:paraId="097A182F" w14:textId="17E53261" w:rsidR="002606DB" w:rsidRDefault="002606DB">
      <w:pPr>
        <w:pStyle w:val="FootnoteText"/>
      </w:pPr>
      <w:r>
        <w:rPr>
          <w:rStyle w:val="FootnoteReference"/>
        </w:rPr>
        <w:footnoteRef/>
      </w:r>
      <w:r>
        <w:t xml:space="preserve"> </w:t>
      </w:r>
      <w:hyperlink r:id="rId3" w:tooltip="Link to FDA website" w:history="1">
        <w:r w:rsidRPr="00F42E04">
          <w:rPr>
            <w:rStyle w:val="Hyperlink"/>
          </w:rPr>
          <w:t>https://www.fda.gov/drugs/informationondrugs/approveddrugs/ucm574154.htm</w:t>
        </w:r>
      </w:hyperlink>
      <w:r>
        <w:t xml:space="preserve"> </w:t>
      </w:r>
    </w:p>
  </w:footnote>
  <w:footnote w:id="6">
    <w:p w14:paraId="0D40B92F" w14:textId="10E6BD37" w:rsidR="002606DB" w:rsidRDefault="002606DB">
      <w:pPr>
        <w:pStyle w:val="FootnoteText"/>
      </w:pPr>
      <w:r>
        <w:rPr>
          <w:rStyle w:val="FootnoteReference"/>
        </w:rPr>
        <w:footnoteRef/>
      </w:r>
      <w:r>
        <w:t xml:space="preserve"> </w:t>
      </w:r>
      <w:hyperlink r:id="rId4" w:tooltip="Link to uptodate website" w:history="1">
        <w:r w:rsidRPr="00195794">
          <w:rPr>
            <w:rStyle w:val="Hyperlink"/>
          </w:rPr>
          <w:t>https://www.uptodate.com/contents/epidemiology-clinical-manifestations-pathologic-features-and-diagnosis-of-diffuse-large-b-cell-lymphoma</w:t>
        </w:r>
      </w:hyperlink>
    </w:p>
  </w:footnote>
  <w:footnote w:id="7">
    <w:p w14:paraId="6A143AD1" w14:textId="2C8F032C" w:rsidR="002606DB" w:rsidRDefault="002606DB">
      <w:pPr>
        <w:pStyle w:val="FootnoteText"/>
      </w:pPr>
      <w:r>
        <w:rPr>
          <w:rStyle w:val="FootnoteReference"/>
        </w:rPr>
        <w:footnoteRef/>
      </w:r>
      <w:r>
        <w:t xml:space="preserve"> </w:t>
      </w:r>
      <w:hyperlink r:id="rId5" w:tooltip="Link to Leukaemia.org.au" w:history="1">
        <w:r w:rsidRPr="004D443B">
          <w:rPr>
            <w:rStyle w:val="Hyperlink"/>
          </w:rPr>
          <w:t>http://www.leukaemia.org.au/blood-cancers/lymphomas/non-hodgkin-lymphoma-nhl/diffuse-large-b-cell-lymphoma</w:t>
        </w:r>
      </w:hyperlink>
    </w:p>
  </w:footnote>
  <w:footnote w:id="8">
    <w:p w14:paraId="2C6B4F87" w14:textId="6B6B296E" w:rsidR="002606DB" w:rsidRDefault="002606DB">
      <w:pPr>
        <w:pStyle w:val="FootnoteText"/>
      </w:pPr>
      <w:r>
        <w:rPr>
          <w:rStyle w:val="FootnoteReference"/>
        </w:rPr>
        <w:footnoteRef/>
      </w:r>
      <w:r w:rsidRPr="00426E9A">
        <w:t xml:space="preserve"> </w:t>
      </w:r>
      <w:hyperlink r:id="rId6" w:tooltip="Link to Cancer Australia website" w:history="1">
        <w:r w:rsidRPr="00426E9A">
          <w:rPr>
            <w:rStyle w:val="Hyperlink"/>
          </w:rPr>
          <w:t>https://canceraustralia.gov.au/affected-cancer/cancer-types/lymphoma/non-hodgkin-lymphoma-statistics</w:t>
        </w:r>
      </w:hyperlink>
    </w:p>
  </w:footnote>
  <w:footnote w:id="9">
    <w:p w14:paraId="16803AB5" w14:textId="7352D6CF" w:rsidR="002606DB" w:rsidRDefault="002606DB">
      <w:pPr>
        <w:pStyle w:val="FootnoteText"/>
      </w:pPr>
      <w:r>
        <w:rPr>
          <w:rStyle w:val="FootnoteReference"/>
        </w:rPr>
        <w:footnoteRef/>
      </w:r>
      <w:r>
        <w:t xml:space="preserve"> </w:t>
      </w:r>
      <w:hyperlink r:id="rId7" w:tooltip="Link to clinicaltrials.gov" w:history="1">
        <w:r w:rsidRPr="00F42E04">
          <w:rPr>
            <w:rStyle w:val="Hyperlink"/>
          </w:rPr>
          <w:t>https://clinicaltrials.gov/ct2/show/NCT02435849</w:t>
        </w:r>
      </w:hyperlink>
      <w:r>
        <w:t xml:space="preserve"> </w:t>
      </w:r>
    </w:p>
  </w:footnote>
  <w:footnote w:id="10">
    <w:p w14:paraId="19E3B761" w14:textId="1E2BDC3B" w:rsidR="002606DB" w:rsidRDefault="002606DB" w:rsidP="00CC4A2B">
      <w:pPr>
        <w:pStyle w:val="FootnoteText"/>
      </w:pPr>
      <w:r>
        <w:rPr>
          <w:rStyle w:val="FootnoteReference"/>
        </w:rPr>
        <w:footnoteRef/>
      </w:r>
      <w:r>
        <w:t xml:space="preserve"> </w:t>
      </w:r>
      <w:hyperlink r:id="rId8" w:tooltip="Link to clinicaltrials.gov" w:history="1">
        <w:r w:rsidRPr="00F42E04">
          <w:rPr>
            <w:rStyle w:val="Hyperlink"/>
          </w:rPr>
          <w:t>https://clinicaltrials.gov/ct2/results?cond=&amp;term=CTL019&amp;cntry=&amp;state=&amp;city=&amp;dist</w:t>
        </w:r>
      </w:hyperlink>
      <w:r w:rsidRPr="00D80DDC">
        <w:t>=</w:t>
      </w:r>
      <w:r>
        <w:t xml:space="preserve"> </w:t>
      </w:r>
    </w:p>
  </w:footnote>
  <w:footnote w:id="11">
    <w:p w14:paraId="6B6F374B" w14:textId="49ED0A74" w:rsidR="002606DB" w:rsidRDefault="002606DB">
      <w:pPr>
        <w:pStyle w:val="FootnoteText"/>
      </w:pPr>
      <w:r>
        <w:rPr>
          <w:rStyle w:val="FootnoteReference"/>
        </w:rPr>
        <w:footnoteRef/>
      </w:r>
      <w:r>
        <w:t xml:space="preserve"> </w:t>
      </w:r>
      <w:hyperlink r:id="rId9" w:tooltip="Link to FDA website" w:history="1">
        <w:r w:rsidRPr="004278DC">
          <w:rPr>
            <w:rStyle w:val="Hyperlink"/>
          </w:rPr>
          <w:t>https://www.fda.gov/Drugs/InformationOnDrugs/ApprovedDrugs/ucm606540.htm</w:t>
        </w:r>
      </w:hyperlink>
      <w:r>
        <w:t xml:space="preserve"> </w:t>
      </w:r>
    </w:p>
  </w:footnote>
  <w:footnote w:id="12">
    <w:p w14:paraId="243BE101" w14:textId="60E9A4D7" w:rsidR="002606DB" w:rsidRDefault="002606DB">
      <w:pPr>
        <w:pStyle w:val="FootnoteText"/>
      </w:pPr>
      <w:r>
        <w:rPr>
          <w:rStyle w:val="FootnoteReference"/>
        </w:rPr>
        <w:footnoteRef/>
      </w:r>
      <w:r>
        <w:t xml:space="preserve"> </w:t>
      </w:r>
      <w:hyperlink r:id="rId10" w:tooltip="Link to Endpoints news website" w:history="1">
        <w:r w:rsidRPr="00F42E04">
          <w:rPr>
            <w:rStyle w:val="Hyperlink"/>
          </w:rPr>
          <w:t>https://endpts.com/kymriah-gets-speed-reviews-in-us-and-eu-as-novartis-looks-to-swiftly-expand-car-t-indications/?utm_content=buffere53dc&amp;utm_medium=social&amp;utm_source=twitter.com&amp;utm_campaign=buffer</w:t>
        </w:r>
      </w:hyperlink>
      <w:r>
        <w:t xml:space="preserve"> </w:t>
      </w:r>
    </w:p>
  </w:footnote>
  <w:footnote w:id="13">
    <w:p w14:paraId="4217CD74" w14:textId="182B3B74" w:rsidR="002606DB" w:rsidRDefault="002606DB" w:rsidP="002A35B1">
      <w:pPr>
        <w:spacing w:after="0"/>
      </w:pPr>
      <w:r>
        <w:rPr>
          <w:rStyle w:val="FootnoteReference"/>
        </w:rPr>
        <w:footnoteRef/>
      </w:r>
      <w:r w:rsidRPr="0023561E">
        <w:rPr>
          <w:rStyle w:val="Hyperlink"/>
        </w:rPr>
        <w:t xml:space="preserve"> </w:t>
      </w:r>
      <w:hyperlink r:id="rId11" w:tooltip="Link to Labtestsonline website" w:history="1">
        <w:r w:rsidRPr="0023561E">
          <w:rPr>
            <w:rStyle w:val="Hyperlink"/>
            <w:sz w:val="20"/>
            <w:szCs w:val="20"/>
          </w:rPr>
          <w:t>https://labtestsonline.org/conditions/leukemia</w:t>
        </w:r>
      </w:hyperlink>
      <w:r>
        <w:rPr>
          <w:sz w:val="20"/>
          <w:szCs w:val="20"/>
        </w:rPr>
        <w:t xml:space="preserve"> </w:t>
      </w:r>
    </w:p>
  </w:footnote>
  <w:footnote w:id="14">
    <w:p w14:paraId="7BF6F8B2" w14:textId="130FA25C" w:rsidR="002606DB" w:rsidRDefault="002606DB">
      <w:pPr>
        <w:pStyle w:val="FootnoteText"/>
      </w:pPr>
      <w:r>
        <w:rPr>
          <w:rStyle w:val="FootnoteReference"/>
        </w:rPr>
        <w:footnoteRef/>
      </w:r>
      <w:r>
        <w:t xml:space="preserve"> </w:t>
      </w:r>
      <w:hyperlink r:id="rId12" w:tooltip="Link to druginfo.nlm.nih.gov" w:history="1">
        <w:r w:rsidRPr="00EC365A">
          <w:rPr>
            <w:rStyle w:val="Hyperlink"/>
          </w:rPr>
          <w:t>https://druginfo.nlm.nih.gov/drugportal/name/Tisagenlecleucel-T</w:t>
        </w:r>
      </w:hyperlink>
      <w:r>
        <w:t xml:space="preserve"> </w:t>
      </w:r>
    </w:p>
  </w:footnote>
  <w:footnote w:id="15">
    <w:p w14:paraId="4C4337E2" w14:textId="218C7FB7" w:rsidR="002606DB" w:rsidRDefault="002606DB">
      <w:pPr>
        <w:pStyle w:val="FootnoteText"/>
      </w:pPr>
      <w:r>
        <w:rPr>
          <w:rStyle w:val="FootnoteReference"/>
        </w:rPr>
        <w:footnoteRef/>
      </w:r>
      <w:r>
        <w:t xml:space="preserve"> </w:t>
      </w:r>
      <w:hyperlink r:id="rId13" w:tooltip="Link to The New Daily news article 'Cancer treatment breakthrough just the beginning for new therapies'" w:history="1">
        <w:r w:rsidRPr="004D443B">
          <w:rPr>
            <w:rStyle w:val="Hyperlink"/>
          </w:rPr>
          <w:t>https://thenewdaily.com.au/life/wellbeing/2017/08/31/cancer-treatment-car-t-gene/</w:t>
        </w:r>
      </w:hyperlink>
    </w:p>
  </w:footnote>
  <w:footnote w:id="16">
    <w:p w14:paraId="3D8F3049" w14:textId="3F69FD68" w:rsidR="002606DB" w:rsidRPr="002A77CC" w:rsidRDefault="002606DB" w:rsidP="002A77CC">
      <w:pPr>
        <w:rPr>
          <w:rStyle w:val="Hyperlink"/>
          <w:sz w:val="20"/>
          <w:szCs w:val="20"/>
        </w:rPr>
      </w:pPr>
      <w:r>
        <w:rPr>
          <w:rStyle w:val="FootnoteReference"/>
        </w:rPr>
        <w:footnoteRef/>
      </w:r>
      <w:r>
        <w:t xml:space="preserve"> </w:t>
      </w:r>
      <w:hyperlink r:id="rId14" w:tooltip="Link to International Society for Stem Cell Research website" w:history="1">
        <w:r w:rsidRPr="002A77CC">
          <w:rPr>
            <w:rStyle w:val="Hyperlink"/>
            <w:sz w:val="20"/>
            <w:szCs w:val="20"/>
          </w:rPr>
          <w:t>http://www.isscr.org/professional-resources/news-publicationsss/isscr-news-articles/blog-detail/stem-cells-in-focus/2017/10/27/crispr-car-t-and-cancer</w:t>
        </w:r>
      </w:hyperlink>
    </w:p>
    <w:p w14:paraId="37326258" w14:textId="0F72AE23" w:rsidR="002606DB" w:rsidRDefault="002606DB">
      <w:pPr>
        <w:pStyle w:val="FootnoteText"/>
      </w:pPr>
      <w:r>
        <w:t>.</w:t>
      </w:r>
    </w:p>
  </w:footnote>
  <w:footnote w:id="17">
    <w:p w14:paraId="6B6B0A04" w14:textId="271047FB" w:rsidR="002606DB" w:rsidRDefault="002606DB">
      <w:pPr>
        <w:pStyle w:val="FootnoteText"/>
      </w:pPr>
      <w:r>
        <w:rPr>
          <w:rStyle w:val="FootnoteReference"/>
        </w:rPr>
        <w:footnoteRef/>
      </w:r>
      <w:r>
        <w:t xml:space="preserve"> Complete response: The complete absence of detectable clinical evidence of disease and disease-related symptoms </w:t>
      </w:r>
      <w:proofErr w:type="gramStart"/>
      <w:r>
        <w:t>that were</w:t>
      </w:r>
      <w:proofErr w:type="gramEnd"/>
      <w:r>
        <w:t xml:space="preserve"> present prior to the start of therapy.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7C691" w14:textId="77777777" w:rsidR="002606DB" w:rsidRDefault="002606DB">
    <w:pPr>
      <w:pStyle w:val="Header"/>
    </w:pPr>
    <w:r>
      <w:rPr>
        <w:noProof/>
        <w:lang w:eastAsia="en-AU"/>
      </w:rPr>
      <mc:AlternateContent>
        <mc:Choice Requires="wps">
          <w:drawing>
            <wp:inline distT="0" distB="0" distL="0" distR="0" wp14:anchorId="48D86E50" wp14:editId="2A1E2DA9">
              <wp:extent cx="7458710" cy="621030"/>
              <wp:effectExtent l="0" t="0" r="0" b="0"/>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58710" cy="621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5051F90" w14:textId="77777777" w:rsidR="002606DB" w:rsidRDefault="002606DB" w:rsidP="003924FF">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6" o:spid="_x0000_s1027" type="#_x0000_t202" style="width:587.3pt;height:48.9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" filled="f" stroked="f">
              <v:stroke joinstyle="round"/>
              <o:lock v:ext="edit" shapetype="t"/>
              <v:textbox style="mso-fit-shape-to-text:t">
                <w:txbxContent>
                  <w:p w14:paraId="35051F90" w14:textId="77777777" w:rsidR="002606DB" w:rsidRDefault="002606DB" w:rsidP="003924FF">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v:textbox>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003DA"/>
    <w:multiLevelType w:val="hybridMultilevel"/>
    <w:tmpl w:val="906E7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0820F0"/>
    <w:multiLevelType w:val="hybridMultilevel"/>
    <w:tmpl w:val="A2B21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0C1426"/>
    <w:multiLevelType w:val="hybridMultilevel"/>
    <w:tmpl w:val="DFC2B7DE"/>
    <w:lvl w:ilvl="0" w:tplc="A0428286">
      <w:start w:val="2"/>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AC31A91"/>
    <w:multiLevelType w:val="hybridMultilevel"/>
    <w:tmpl w:val="A49EF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0C9D2459"/>
    <w:multiLevelType w:val="hybridMultilevel"/>
    <w:tmpl w:val="68A640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E7A7E9B"/>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0682054"/>
    <w:multiLevelType w:val="hybridMultilevel"/>
    <w:tmpl w:val="F8020A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3931411"/>
    <w:multiLevelType w:val="hybridMultilevel"/>
    <w:tmpl w:val="F5D45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9283684"/>
    <w:multiLevelType w:val="hybridMultilevel"/>
    <w:tmpl w:val="42260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E83456B"/>
    <w:multiLevelType w:val="hybridMultilevel"/>
    <w:tmpl w:val="B36C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4662122"/>
    <w:multiLevelType w:val="hybridMultilevel"/>
    <w:tmpl w:val="C534FA3C"/>
    <w:lvl w:ilvl="0" w:tplc="A1C81804">
      <w:numFmt w:val="bullet"/>
      <w:lvlText w:val=""/>
      <w:lvlJc w:val="left"/>
      <w:pPr>
        <w:ind w:left="720" w:hanging="360"/>
      </w:pPr>
      <w:rPr>
        <w:rFonts w:ascii="Wingdings" w:eastAsia="Calibri"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A357C6E"/>
    <w:multiLevelType w:val="hybridMultilevel"/>
    <w:tmpl w:val="9320C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C782B76"/>
    <w:multiLevelType w:val="hybridMultilevel"/>
    <w:tmpl w:val="4D08C4F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0ED27A6"/>
    <w:multiLevelType w:val="hybridMultilevel"/>
    <w:tmpl w:val="6D746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D645C6C"/>
    <w:multiLevelType w:val="hybridMultilevel"/>
    <w:tmpl w:val="DEB096E0"/>
    <w:lvl w:ilvl="0" w:tplc="0C09000F">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EBD1B02"/>
    <w:multiLevelType w:val="hybridMultilevel"/>
    <w:tmpl w:val="DC7864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F542DB3"/>
    <w:multiLevelType w:val="hybridMultilevel"/>
    <w:tmpl w:val="90580A80"/>
    <w:lvl w:ilvl="0" w:tplc="9B8CC0E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461F57A2"/>
    <w:multiLevelType w:val="hybridMultilevel"/>
    <w:tmpl w:val="0F3240AE"/>
    <w:lvl w:ilvl="0" w:tplc="C70CB792">
      <w:start w:val="2"/>
      <w:numFmt w:val="bullet"/>
      <w:lvlText w:val="&gt;"/>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966063B"/>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nsid w:val="51572F4B"/>
    <w:multiLevelType w:val="multilevel"/>
    <w:tmpl w:val="31841A5C"/>
    <w:lvl w:ilvl="0">
      <w:start w:val="1"/>
      <w:numFmt w:val="decimal"/>
      <w:lvlText w:val="%1."/>
      <w:lvlJc w:val="left"/>
      <w:pPr>
        <w:ind w:left="720" w:hanging="360"/>
      </w:pPr>
      <w:rPr>
        <w:rFonts w:hint="default"/>
        <w:b/>
        <w:i/>
        <w:color w:val="548DD4"/>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2CE63E9"/>
    <w:multiLevelType w:val="hybridMultilevel"/>
    <w:tmpl w:val="59408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58B772F"/>
    <w:multiLevelType w:val="hybridMultilevel"/>
    <w:tmpl w:val="3F400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8AE5D15"/>
    <w:multiLevelType w:val="hybridMultilevel"/>
    <w:tmpl w:val="95BE3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96375D6"/>
    <w:multiLevelType w:val="hybridMultilevel"/>
    <w:tmpl w:val="4D08C4F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E84471F"/>
    <w:multiLevelType w:val="hybridMultilevel"/>
    <w:tmpl w:val="493C0188"/>
    <w:lvl w:ilvl="0" w:tplc="36327CF8">
      <w:start w:val="1"/>
      <w:numFmt w:val="bullet"/>
      <w:lvlText w:val="-"/>
      <w:lvlJc w:val="left"/>
      <w:pPr>
        <w:tabs>
          <w:tab w:val="num" w:pos="720"/>
        </w:tabs>
        <w:ind w:left="720" w:hanging="360"/>
      </w:pPr>
      <w:rPr>
        <w:rFonts w:ascii="Times New Roman" w:hAnsi="Times New Roman" w:hint="default"/>
      </w:rPr>
    </w:lvl>
    <w:lvl w:ilvl="1" w:tplc="C13CAD4A" w:tentative="1">
      <w:start w:val="1"/>
      <w:numFmt w:val="bullet"/>
      <w:lvlText w:val="-"/>
      <w:lvlJc w:val="left"/>
      <w:pPr>
        <w:tabs>
          <w:tab w:val="num" w:pos="1440"/>
        </w:tabs>
        <w:ind w:left="1440" w:hanging="360"/>
      </w:pPr>
      <w:rPr>
        <w:rFonts w:ascii="Times New Roman" w:hAnsi="Times New Roman" w:hint="default"/>
      </w:rPr>
    </w:lvl>
    <w:lvl w:ilvl="2" w:tplc="6080820A" w:tentative="1">
      <w:start w:val="1"/>
      <w:numFmt w:val="bullet"/>
      <w:lvlText w:val="-"/>
      <w:lvlJc w:val="left"/>
      <w:pPr>
        <w:tabs>
          <w:tab w:val="num" w:pos="2160"/>
        </w:tabs>
        <w:ind w:left="2160" w:hanging="360"/>
      </w:pPr>
      <w:rPr>
        <w:rFonts w:ascii="Times New Roman" w:hAnsi="Times New Roman" w:hint="default"/>
      </w:rPr>
    </w:lvl>
    <w:lvl w:ilvl="3" w:tplc="2B40B310" w:tentative="1">
      <w:start w:val="1"/>
      <w:numFmt w:val="bullet"/>
      <w:lvlText w:val="-"/>
      <w:lvlJc w:val="left"/>
      <w:pPr>
        <w:tabs>
          <w:tab w:val="num" w:pos="2880"/>
        </w:tabs>
        <w:ind w:left="2880" w:hanging="360"/>
      </w:pPr>
      <w:rPr>
        <w:rFonts w:ascii="Times New Roman" w:hAnsi="Times New Roman" w:hint="default"/>
      </w:rPr>
    </w:lvl>
    <w:lvl w:ilvl="4" w:tplc="0D889228" w:tentative="1">
      <w:start w:val="1"/>
      <w:numFmt w:val="bullet"/>
      <w:lvlText w:val="-"/>
      <w:lvlJc w:val="left"/>
      <w:pPr>
        <w:tabs>
          <w:tab w:val="num" w:pos="3600"/>
        </w:tabs>
        <w:ind w:left="3600" w:hanging="360"/>
      </w:pPr>
      <w:rPr>
        <w:rFonts w:ascii="Times New Roman" w:hAnsi="Times New Roman" w:hint="default"/>
      </w:rPr>
    </w:lvl>
    <w:lvl w:ilvl="5" w:tplc="9CD40D2A" w:tentative="1">
      <w:start w:val="1"/>
      <w:numFmt w:val="bullet"/>
      <w:lvlText w:val="-"/>
      <w:lvlJc w:val="left"/>
      <w:pPr>
        <w:tabs>
          <w:tab w:val="num" w:pos="4320"/>
        </w:tabs>
        <w:ind w:left="4320" w:hanging="360"/>
      </w:pPr>
      <w:rPr>
        <w:rFonts w:ascii="Times New Roman" w:hAnsi="Times New Roman" w:hint="default"/>
      </w:rPr>
    </w:lvl>
    <w:lvl w:ilvl="6" w:tplc="60145D5C" w:tentative="1">
      <w:start w:val="1"/>
      <w:numFmt w:val="bullet"/>
      <w:lvlText w:val="-"/>
      <w:lvlJc w:val="left"/>
      <w:pPr>
        <w:tabs>
          <w:tab w:val="num" w:pos="5040"/>
        </w:tabs>
        <w:ind w:left="5040" w:hanging="360"/>
      </w:pPr>
      <w:rPr>
        <w:rFonts w:ascii="Times New Roman" w:hAnsi="Times New Roman" w:hint="default"/>
      </w:rPr>
    </w:lvl>
    <w:lvl w:ilvl="7" w:tplc="1FD21600" w:tentative="1">
      <w:start w:val="1"/>
      <w:numFmt w:val="bullet"/>
      <w:lvlText w:val="-"/>
      <w:lvlJc w:val="left"/>
      <w:pPr>
        <w:tabs>
          <w:tab w:val="num" w:pos="5760"/>
        </w:tabs>
        <w:ind w:left="5760" w:hanging="360"/>
      </w:pPr>
      <w:rPr>
        <w:rFonts w:ascii="Times New Roman" w:hAnsi="Times New Roman" w:hint="default"/>
      </w:rPr>
    </w:lvl>
    <w:lvl w:ilvl="8" w:tplc="5BCE8A04" w:tentative="1">
      <w:start w:val="1"/>
      <w:numFmt w:val="bullet"/>
      <w:lvlText w:val="-"/>
      <w:lvlJc w:val="left"/>
      <w:pPr>
        <w:tabs>
          <w:tab w:val="num" w:pos="6480"/>
        </w:tabs>
        <w:ind w:left="6480" w:hanging="360"/>
      </w:pPr>
      <w:rPr>
        <w:rFonts w:ascii="Times New Roman" w:hAnsi="Times New Roman" w:hint="default"/>
      </w:rPr>
    </w:lvl>
  </w:abstractNum>
  <w:abstractNum w:abstractNumId="27">
    <w:nsid w:val="697B6EDA"/>
    <w:multiLevelType w:val="hybridMultilevel"/>
    <w:tmpl w:val="D2A8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9C16919"/>
    <w:multiLevelType w:val="hybridMultilevel"/>
    <w:tmpl w:val="4D08C4F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2F020CF"/>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0">
    <w:nsid w:val="738508A6"/>
    <w:multiLevelType w:val="hybridMultilevel"/>
    <w:tmpl w:val="FB00C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6FD2372"/>
    <w:multiLevelType w:val="hybridMultilevel"/>
    <w:tmpl w:val="2AF07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8C73DD6"/>
    <w:multiLevelType w:val="hybridMultilevel"/>
    <w:tmpl w:val="90E08F70"/>
    <w:lvl w:ilvl="0" w:tplc="1F2898F0">
      <w:start w:val="1"/>
      <w:numFmt w:val="decimal"/>
      <w:lvlText w:val="%1."/>
      <w:lvlJc w:val="left"/>
      <w:pPr>
        <w:ind w:left="720" w:hanging="360"/>
      </w:pPr>
      <w:rPr>
        <w:rFonts w:ascii="Calibri" w:eastAsia="Calibri" w:hAnsi="Calibri" w:cs="Times New Roman"/>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B485B56"/>
    <w:multiLevelType w:val="hybridMultilevel"/>
    <w:tmpl w:val="4A667D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B6C39BF"/>
    <w:multiLevelType w:val="hybridMultilevel"/>
    <w:tmpl w:val="47BC4D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3"/>
  </w:num>
  <w:num w:numId="3">
    <w:abstractNumId w:val="10"/>
  </w:num>
  <w:num w:numId="4">
    <w:abstractNumId w:val="27"/>
  </w:num>
  <w:num w:numId="5">
    <w:abstractNumId w:val="29"/>
  </w:num>
  <w:num w:numId="6">
    <w:abstractNumId w:val="19"/>
  </w:num>
  <w:num w:numId="7">
    <w:abstractNumId w:val="6"/>
  </w:num>
  <w:num w:numId="8">
    <w:abstractNumId w:val="4"/>
  </w:num>
  <w:num w:numId="9">
    <w:abstractNumId w:val="20"/>
  </w:num>
  <w:num w:numId="10">
    <w:abstractNumId w:val="11"/>
  </w:num>
  <w:num w:numId="11">
    <w:abstractNumId w:val="21"/>
  </w:num>
  <w:num w:numId="12">
    <w:abstractNumId w:val="18"/>
  </w:num>
  <w:num w:numId="13">
    <w:abstractNumId w:val="0"/>
  </w:num>
  <w:num w:numId="14">
    <w:abstractNumId w:val="23"/>
  </w:num>
  <w:num w:numId="15">
    <w:abstractNumId w:val="14"/>
  </w:num>
  <w:num w:numId="16">
    <w:abstractNumId w:val="1"/>
  </w:num>
  <w:num w:numId="17">
    <w:abstractNumId w:val="24"/>
  </w:num>
  <w:num w:numId="18">
    <w:abstractNumId w:val="8"/>
  </w:num>
  <w:num w:numId="19">
    <w:abstractNumId w:val="31"/>
  </w:num>
  <w:num w:numId="20">
    <w:abstractNumId w:val="16"/>
  </w:num>
  <w:num w:numId="21">
    <w:abstractNumId w:val="5"/>
  </w:num>
  <w:num w:numId="22">
    <w:abstractNumId w:val="28"/>
  </w:num>
  <w:num w:numId="23">
    <w:abstractNumId w:val="32"/>
  </w:num>
  <w:num w:numId="24">
    <w:abstractNumId w:val="25"/>
  </w:num>
  <w:num w:numId="25">
    <w:abstractNumId w:val="13"/>
  </w:num>
  <w:num w:numId="26">
    <w:abstractNumId w:val="9"/>
  </w:num>
  <w:num w:numId="27">
    <w:abstractNumId w:val="15"/>
  </w:num>
  <w:num w:numId="28">
    <w:abstractNumId w:val="34"/>
  </w:num>
  <w:num w:numId="29">
    <w:abstractNumId w:val="7"/>
  </w:num>
  <w:num w:numId="30">
    <w:abstractNumId w:val="33"/>
  </w:num>
  <w:num w:numId="31">
    <w:abstractNumId w:val="17"/>
  </w:num>
  <w:num w:numId="32">
    <w:abstractNumId w:val="12"/>
  </w:num>
  <w:num w:numId="33">
    <w:abstractNumId w:val="26"/>
  </w:num>
  <w:num w:numId="34">
    <w:abstractNumId w:val="30"/>
  </w:num>
  <w:num w:numId="3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m, Paul">
    <w15:presenceInfo w15:providerId="AD" w15:userId="S-1-5-21-220523388-1563985344-839522115-4272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Harvard UofA (Style Manual Australia 6th ed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feszew2p5f0f8e0df5pt5dwpf9f92s0vadw&quot;&gt;CAR-T relevant articles&lt;record-ids&gt;&lt;item&gt;1&lt;/item&gt;&lt;item&gt;2&lt;/item&gt;&lt;item&gt;3&lt;/item&gt;&lt;item&gt;4&lt;/item&gt;&lt;item&gt;5&lt;/item&gt;&lt;item&gt;6&lt;/item&gt;&lt;item&gt;7&lt;/item&gt;&lt;item&gt;8&lt;/item&gt;&lt;item&gt;9&lt;/item&gt;&lt;item&gt;11&lt;/item&gt;&lt;item&gt;12&lt;/item&gt;&lt;item&gt;13&lt;/item&gt;&lt;item&gt;14&lt;/item&gt;&lt;item&gt;15&lt;/item&gt;&lt;/record-ids&gt;&lt;/item&gt;&lt;/Libraries&gt;"/>
  </w:docVars>
  <w:rsids>
    <w:rsidRoot w:val="0044715D"/>
    <w:rsid w:val="00002118"/>
    <w:rsid w:val="00003049"/>
    <w:rsid w:val="00004548"/>
    <w:rsid w:val="00010CAE"/>
    <w:rsid w:val="00012DB6"/>
    <w:rsid w:val="00014375"/>
    <w:rsid w:val="00024BDA"/>
    <w:rsid w:val="0003068E"/>
    <w:rsid w:val="00030FE7"/>
    <w:rsid w:val="00032F32"/>
    <w:rsid w:val="00036FE5"/>
    <w:rsid w:val="000374F1"/>
    <w:rsid w:val="00042D67"/>
    <w:rsid w:val="00051451"/>
    <w:rsid w:val="00051B8E"/>
    <w:rsid w:val="00054710"/>
    <w:rsid w:val="00057693"/>
    <w:rsid w:val="000577C4"/>
    <w:rsid w:val="00063AC8"/>
    <w:rsid w:val="000750C3"/>
    <w:rsid w:val="0007788A"/>
    <w:rsid w:val="00087052"/>
    <w:rsid w:val="000936BC"/>
    <w:rsid w:val="00097229"/>
    <w:rsid w:val="000A0FBA"/>
    <w:rsid w:val="000B519A"/>
    <w:rsid w:val="000D1E33"/>
    <w:rsid w:val="000E21A9"/>
    <w:rsid w:val="000E2EB4"/>
    <w:rsid w:val="000E4332"/>
    <w:rsid w:val="000E4BCF"/>
    <w:rsid w:val="000E7911"/>
    <w:rsid w:val="000E7E5C"/>
    <w:rsid w:val="000F2860"/>
    <w:rsid w:val="0010205A"/>
    <w:rsid w:val="001039DF"/>
    <w:rsid w:val="00107D80"/>
    <w:rsid w:val="00117EE1"/>
    <w:rsid w:val="001216AE"/>
    <w:rsid w:val="00122B7C"/>
    <w:rsid w:val="001337BB"/>
    <w:rsid w:val="00135293"/>
    <w:rsid w:val="001455EC"/>
    <w:rsid w:val="00150A64"/>
    <w:rsid w:val="001510CB"/>
    <w:rsid w:val="00151AB5"/>
    <w:rsid w:val="00154B1E"/>
    <w:rsid w:val="001810C9"/>
    <w:rsid w:val="00182250"/>
    <w:rsid w:val="00183983"/>
    <w:rsid w:val="00185A78"/>
    <w:rsid w:val="00191E53"/>
    <w:rsid w:val="00193887"/>
    <w:rsid w:val="00196A7A"/>
    <w:rsid w:val="00197879"/>
    <w:rsid w:val="001A0A43"/>
    <w:rsid w:val="001A7BF1"/>
    <w:rsid w:val="001B0F9D"/>
    <w:rsid w:val="001B79BF"/>
    <w:rsid w:val="001C0644"/>
    <w:rsid w:val="001C06D6"/>
    <w:rsid w:val="001C4342"/>
    <w:rsid w:val="001C6965"/>
    <w:rsid w:val="001C7259"/>
    <w:rsid w:val="001C76CF"/>
    <w:rsid w:val="001D16F9"/>
    <w:rsid w:val="001D20C2"/>
    <w:rsid w:val="001D66DB"/>
    <w:rsid w:val="001E13DE"/>
    <w:rsid w:val="001E20FB"/>
    <w:rsid w:val="001E7DB7"/>
    <w:rsid w:val="001F2A5C"/>
    <w:rsid w:val="002010E6"/>
    <w:rsid w:val="00201CA0"/>
    <w:rsid w:val="00204C8B"/>
    <w:rsid w:val="002065CB"/>
    <w:rsid w:val="00211A94"/>
    <w:rsid w:val="00213D4E"/>
    <w:rsid w:val="00215FE9"/>
    <w:rsid w:val="00217C7B"/>
    <w:rsid w:val="00232572"/>
    <w:rsid w:val="002327BA"/>
    <w:rsid w:val="00233222"/>
    <w:rsid w:val="00234FB8"/>
    <w:rsid w:val="0023561E"/>
    <w:rsid w:val="0023778A"/>
    <w:rsid w:val="0024048C"/>
    <w:rsid w:val="002504E6"/>
    <w:rsid w:val="002531F6"/>
    <w:rsid w:val="00256EEA"/>
    <w:rsid w:val="00257468"/>
    <w:rsid w:val="002606DB"/>
    <w:rsid w:val="00261A85"/>
    <w:rsid w:val="002631EC"/>
    <w:rsid w:val="00264BBC"/>
    <w:rsid w:val="00264C47"/>
    <w:rsid w:val="00265F77"/>
    <w:rsid w:val="00273733"/>
    <w:rsid w:val="00276CAC"/>
    <w:rsid w:val="002777DE"/>
    <w:rsid w:val="00282B7B"/>
    <w:rsid w:val="00292DE9"/>
    <w:rsid w:val="00296C74"/>
    <w:rsid w:val="0029735D"/>
    <w:rsid w:val="002A03CE"/>
    <w:rsid w:val="002A04FC"/>
    <w:rsid w:val="002A2F32"/>
    <w:rsid w:val="002A35B1"/>
    <w:rsid w:val="002A4909"/>
    <w:rsid w:val="002A66BD"/>
    <w:rsid w:val="002A77CC"/>
    <w:rsid w:val="002B226C"/>
    <w:rsid w:val="002B2C4D"/>
    <w:rsid w:val="002B3338"/>
    <w:rsid w:val="002B631A"/>
    <w:rsid w:val="002B76FC"/>
    <w:rsid w:val="002C376A"/>
    <w:rsid w:val="002C4D97"/>
    <w:rsid w:val="002D07BA"/>
    <w:rsid w:val="002D150F"/>
    <w:rsid w:val="002E1DE3"/>
    <w:rsid w:val="002E5BFA"/>
    <w:rsid w:val="002F14D5"/>
    <w:rsid w:val="002F2673"/>
    <w:rsid w:val="002F616E"/>
    <w:rsid w:val="002F74CF"/>
    <w:rsid w:val="003022A1"/>
    <w:rsid w:val="00302FC7"/>
    <w:rsid w:val="00303C94"/>
    <w:rsid w:val="003042D3"/>
    <w:rsid w:val="003057B0"/>
    <w:rsid w:val="00307A72"/>
    <w:rsid w:val="00310553"/>
    <w:rsid w:val="0031720C"/>
    <w:rsid w:val="00321F6F"/>
    <w:rsid w:val="0033191F"/>
    <w:rsid w:val="003432A5"/>
    <w:rsid w:val="0035256A"/>
    <w:rsid w:val="00353550"/>
    <w:rsid w:val="00356E67"/>
    <w:rsid w:val="0036064A"/>
    <w:rsid w:val="00362776"/>
    <w:rsid w:val="00364E10"/>
    <w:rsid w:val="00365F32"/>
    <w:rsid w:val="00373359"/>
    <w:rsid w:val="003742F6"/>
    <w:rsid w:val="0037704F"/>
    <w:rsid w:val="00382875"/>
    <w:rsid w:val="00386C9F"/>
    <w:rsid w:val="003924FF"/>
    <w:rsid w:val="003B09F4"/>
    <w:rsid w:val="003B2094"/>
    <w:rsid w:val="003B42FC"/>
    <w:rsid w:val="003B6E91"/>
    <w:rsid w:val="003C4272"/>
    <w:rsid w:val="003C65B1"/>
    <w:rsid w:val="003D654D"/>
    <w:rsid w:val="003D699E"/>
    <w:rsid w:val="003E0382"/>
    <w:rsid w:val="003E447A"/>
    <w:rsid w:val="003F3C15"/>
    <w:rsid w:val="003F3FF7"/>
    <w:rsid w:val="003F7DB4"/>
    <w:rsid w:val="00404BF8"/>
    <w:rsid w:val="0040525D"/>
    <w:rsid w:val="00406B4B"/>
    <w:rsid w:val="004101B4"/>
    <w:rsid w:val="00411511"/>
    <w:rsid w:val="00413B8C"/>
    <w:rsid w:val="00415D85"/>
    <w:rsid w:val="0042483F"/>
    <w:rsid w:val="00425919"/>
    <w:rsid w:val="00426E9A"/>
    <w:rsid w:val="00436340"/>
    <w:rsid w:val="00437073"/>
    <w:rsid w:val="00440228"/>
    <w:rsid w:val="004446A4"/>
    <w:rsid w:val="00445E88"/>
    <w:rsid w:val="0044715D"/>
    <w:rsid w:val="004525A3"/>
    <w:rsid w:val="004536D7"/>
    <w:rsid w:val="004546B5"/>
    <w:rsid w:val="00471C27"/>
    <w:rsid w:val="0047286D"/>
    <w:rsid w:val="00480369"/>
    <w:rsid w:val="00481936"/>
    <w:rsid w:val="00483CCB"/>
    <w:rsid w:val="00486B46"/>
    <w:rsid w:val="004958D7"/>
    <w:rsid w:val="004A187C"/>
    <w:rsid w:val="004A7710"/>
    <w:rsid w:val="004B4520"/>
    <w:rsid w:val="004B47D0"/>
    <w:rsid w:val="004C1FA9"/>
    <w:rsid w:val="004C4705"/>
    <w:rsid w:val="004C7024"/>
    <w:rsid w:val="004C7B67"/>
    <w:rsid w:val="004D1D41"/>
    <w:rsid w:val="004D3E8C"/>
    <w:rsid w:val="004F6D3A"/>
    <w:rsid w:val="004F7A99"/>
    <w:rsid w:val="00502523"/>
    <w:rsid w:val="0051300F"/>
    <w:rsid w:val="00517677"/>
    <w:rsid w:val="0052502C"/>
    <w:rsid w:val="005274C6"/>
    <w:rsid w:val="005338A3"/>
    <w:rsid w:val="00540C8C"/>
    <w:rsid w:val="00543A25"/>
    <w:rsid w:val="005513C2"/>
    <w:rsid w:val="005568F6"/>
    <w:rsid w:val="00557196"/>
    <w:rsid w:val="0056082E"/>
    <w:rsid w:val="00561898"/>
    <w:rsid w:val="00563A4C"/>
    <w:rsid w:val="005640CC"/>
    <w:rsid w:val="00567FA8"/>
    <w:rsid w:val="00570437"/>
    <w:rsid w:val="005713EE"/>
    <w:rsid w:val="00574197"/>
    <w:rsid w:val="00575FCE"/>
    <w:rsid w:val="005767FB"/>
    <w:rsid w:val="00581164"/>
    <w:rsid w:val="00585B06"/>
    <w:rsid w:val="00587922"/>
    <w:rsid w:val="00597647"/>
    <w:rsid w:val="005A3E8C"/>
    <w:rsid w:val="005A40EA"/>
    <w:rsid w:val="005B162D"/>
    <w:rsid w:val="005B295B"/>
    <w:rsid w:val="005B5BB4"/>
    <w:rsid w:val="005C035D"/>
    <w:rsid w:val="005C1AA3"/>
    <w:rsid w:val="005C7B58"/>
    <w:rsid w:val="005D3059"/>
    <w:rsid w:val="005D41E0"/>
    <w:rsid w:val="005E5FFE"/>
    <w:rsid w:val="005F007E"/>
    <w:rsid w:val="005F424F"/>
    <w:rsid w:val="005F4D2F"/>
    <w:rsid w:val="005F6D1D"/>
    <w:rsid w:val="0060049D"/>
    <w:rsid w:val="00607AA8"/>
    <w:rsid w:val="00620AB5"/>
    <w:rsid w:val="006275BF"/>
    <w:rsid w:val="00627B5C"/>
    <w:rsid w:val="00632DF4"/>
    <w:rsid w:val="00636EA5"/>
    <w:rsid w:val="00640B68"/>
    <w:rsid w:val="00642ACC"/>
    <w:rsid w:val="006443F6"/>
    <w:rsid w:val="00644920"/>
    <w:rsid w:val="00644E3D"/>
    <w:rsid w:val="00645865"/>
    <w:rsid w:val="00655327"/>
    <w:rsid w:val="0065729D"/>
    <w:rsid w:val="00662799"/>
    <w:rsid w:val="0067278C"/>
    <w:rsid w:val="006808DB"/>
    <w:rsid w:val="00681866"/>
    <w:rsid w:val="006825A2"/>
    <w:rsid w:val="00684138"/>
    <w:rsid w:val="00693CD6"/>
    <w:rsid w:val="00694622"/>
    <w:rsid w:val="00694AF3"/>
    <w:rsid w:val="006950D3"/>
    <w:rsid w:val="00696235"/>
    <w:rsid w:val="006A5310"/>
    <w:rsid w:val="006B3FC4"/>
    <w:rsid w:val="006B6204"/>
    <w:rsid w:val="006C0776"/>
    <w:rsid w:val="006C3F82"/>
    <w:rsid w:val="006D0A98"/>
    <w:rsid w:val="006D1643"/>
    <w:rsid w:val="006E69A5"/>
    <w:rsid w:val="006F006D"/>
    <w:rsid w:val="006F15CA"/>
    <w:rsid w:val="006F2FDC"/>
    <w:rsid w:val="006F3B25"/>
    <w:rsid w:val="006F4C92"/>
    <w:rsid w:val="006F5C9C"/>
    <w:rsid w:val="006F5FC2"/>
    <w:rsid w:val="00701B16"/>
    <w:rsid w:val="007034C8"/>
    <w:rsid w:val="0070375C"/>
    <w:rsid w:val="0071109B"/>
    <w:rsid w:val="00721104"/>
    <w:rsid w:val="00734ADD"/>
    <w:rsid w:val="00734F81"/>
    <w:rsid w:val="0073757B"/>
    <w:rsid w:val="00751006"/>
    <w:rsid w:val="0075246D"/>
    <w:rsid w:val="00752491"/>
    <w:rsid w:val="007534B0"/>
    <w:rsid w:val="00766A9E"/>
    <w:rsid w:val="0076726E"/>
    <w:rsid w:val="00781801"/>
    <w:rsid w:val="007A6567"/>
    <w:rsid w:val="007A6D28"/>
    <w:rsid w:val="007A77E8"/>
    <w:rsid w:val="007B234D"/>
    <w:rsid w:val="007B4EFA"/>
    <w:rsid w:val="007B519D"/>
    <w:rsid w:val="007C6F64"/>
    <w:rsid w:val="007D026C"/>
    <w:rsid w:val="007D2D52"/>
    <w:rsid w:val="007D45C5"/>
    <w:rsid w:val="007D4C9C"/>
    <w:rsid w:val="007D644C"/>
    <w:rsid w:val="007E7E23"/>
    <w:rsid w:val="007F332D"/>
    <w:rsid w:val="007F4955"/>
    <w:rsid w:val="007F4E20"/>
    <w:rsid w:val="007F6B54"/>
    <w:rsid w:val="00800E1C"/>
    <w:rsid w:val="00823612"/>
    <w:rsid w:val="008252DA"/>
    <w:rsid w:val="00830B4A"/>
    <w:rsid w:val="00831CA9"/>
    <w:rsid w:val="008343D1"/>
    <w:rsid w:val="00837EEF"/>
    <w:rsid w:val="00841358"/>
    <w:rsid w:val="00841746"/>
    <w:rsid w:val="008425D2"/>
    <w:rsid w:val="00843D5B"/>
    <w:rsid w:val="00845184"/>
    <w:rsid w:val="00845462"/>
    <w:rsid w:val="0085069D"/>
    <w:rsid w:val="00855B05"/>
    <w:rsid w:val="008608CB"/>
    <w:rsid w:val="00870120"/>
    <w:rsid w:val="00870245"/>
    <w:rsid w:val="008706D6"/>
    <w:rsid w:val="00874BA7"/>
    <w:rsid w:val="008757BF"/>
    <w:rsid w:val="0088033D"/>
    <w:rsid w:val="008871B0"/>
    <w:rsid w:val="00895BCC"/>
    <w:rsid w:val="00896845"/>
    <w:rsid w:val="00897D2E"/>
    <w:rsid w:val="008A239D"/>
    <w:rsid w:val="008A2699"/>
    <w:rsid w:val="008A5A7E"/>
    <w:rsid w:val="008A7B28"/>
    <w:rsid w:val="008B278D"/>
    <w:rsid w:val="008B5D8F"/>
    <w:rsid w:val="008B65E8"/>
    <w:rsid w:val="008B6F23"/>
    <w:rsid w:val="008C1619"/>
    <w:rsid w:val="008C3E5E"/>
    <w:rsid w:val="008C3F81"/>
    <w:rsid w:val="008C4427"/>
    <w:rsid w:val="008E1644"/>
    <w:rsid w:val="008E2180"/>
    <w:rsid w:val="008E5A80"/>
    <w:rsid w:val="008E6006"/>
    <w:rsid w:val="008F0D60"/>
    <w:rsid w:val="008F11FA"/>
    <w:rsid w:val="008F4A6C"/>
    <w:rsid w:val="008F7618"/>
    <w:rsid w:val="008F7F70"/>
    <w:rsid w:val="00900F8F"/>
    <w:rsid w:val="009018C4"/>
    <w:rsid w:val="00905AC7"/>
    <w:rsid w:val="00907185"/>
    <w:rsid w:val="00915268"/>
    <w:rsid w:val="00915AAE"/>
    <w:rsid w:val="00917F8E"/>
    <w:rsid w:val="00920B64"/>
    <w:rsid w:val="00921D43"/>
    <w:rsid w:val="00924E93"/>
    <w:rsid w:val="00926D76"/>
    <w:rsid w:val="00934625"/>
    <w:rsid w:val="00936B05"/>
    <w:rsid w:val="00953ED7"/>
    <w:rsid w:val="00955276"/>
    <w:rsid w:val="009600A4"/>
    <w:rsid w:val="009617AD"/>
    <w:rsid w:val="009655E2"/>
    <w:rsid w:val="00966B46"/>
    <w:rsid w:val="00970F1F"/>
    <w:rsid w:val="00971674"/>
    <w:rsid w:val="00971DFE"/>
    <w:rsid w:val="009805A2"/>
    <w:rsid w:val="00981996"/>
    <w:rsid w:val="00995E6A"/>
    <w:rsid w:val="009A6FB0"/>
    <w:rsid w:val="009B19B6"/>
    <w:rsid w:val="009B6DC7"/>
    <w:rsid w:val="009B768A"/>
    <w:rsid w:val="009C11E9"/>
    <w:rsid w:val="009C2474"/>
    <w:rsid w:val="009C3567"/>
    <w:rsid w:val="009D61F4"/>
    <w:rsid w:val="009D6757"/>
    <w:rsid w:val="009E4A7E"/>
    <w:rsid w:val="009E5295"/>
    <w:rsid w:val="00A05753"/>
    <w:rsid w:val="00A10A7D"/>
    <w:rsid w:val="00A17D90"/>
    <w:rsid w:val="00A241D3"/>
    <w:rsid w:val="00A250A4"/>
    <w:rsid w:val="00A30657"/>
    <w:rsid w:val="00A42401"/>
    <w:rsid w:val="00A51B96"/>
    <w:rsid w:val="00A5426D"/>
    <w:rsid w:val="00A555D2"/>
    <w:rsid w:val="00A57AE3"/>
    <w:rsid w:val="00A601AC"/>
    <w:rsid w:val="00A74667"/>
    <w:rsid w:val="00A84A56"/>
    <w:rsid w:val="00A870CB"/>
    <w:rsid w:val="00AA07F6"/>
    <w:rsid w:val="00AA703A"/>
    <w:rsid w:val="00AB1F47"/>
    <w:rsid w:val="00AC12B2"/>
    <w:rsid w:val="00AC261B"/>
    <w:rsid w:val="00AD06CA"/>
    <w:rsid w:val="00AD5536"/>
    <w:rsid w:val="00AD77FA"/>
    <w:rsid w:val="00AE334A"/>
    <w:rsid w:val="00AE3F0A"/>
    <w:rsid w:val="00AF07AA"/>
    <w:rsid w:val="00AF4E71"/>
    <w:rsid w:val="00B13526"/>
    <w:rsid w:val="00B13A02"/>
    <w:rsid w:val="00B13BEA"/>
    <w:rsid w:val="00B2026F"/>
    <w:rsid w:val="00B23332"/>
    <w:rsid w:val="00B33103"/>
    <w:rsid w:val="00B34671"/>
    <w:rsid w:val="00B35A46"/>
    <w:rsid w:val="00B37AF7"/>
    <w:rsid w:val="00B37B2E"/>
    <w:rsid w:val="00B44D4E"/>
    <w:rsid w:val="00B45971"/>
    <w:rsid w:val="00B467A5"/>
    <w:rsid w:val="00B46A0A"/>
    <w:rsid w:val="00B55E5B"/>
    <w:rsid w:val="00B5702D"/>
    <w:rsid w:val="00B74B4D"/>
    <w:rsid w:val="00B83C0D"/>
    <w:rsid w:val="00B85D39"/>
    <w:rsid w:val="00B85FE1"/>
    <w:rsid w:val="00B909A5"/>
    <w:rsid w:val="00B917AD"/>
    <w:rsid w:val="00B92B2B"/>
    <w:rsid w:val="00BA63AA"/>
    <w:rsid w:val="00BA74A0"/>
    <w:rsid w:val="00BA7F42"/>
    <w:rsid w:val="00BB663A"/>
    <w:rsid w:val="00BB6E2B"/>
    <w:rsid w:val="00BB7400"/>
    <w:rsid w:val="00BC0870"/>
    <w:rsid w:val="00BC39B5"/>
    <w:rsid w:val="00BE5C77"/>
    <w:rsid w:val="00BE6B94"/>
    <w:rsid w:val="00BF1040"/>
    <w:rsid w:val="00C0105E"/>
    <w:rsid w:val="00C030A9"/>
    <w:rsid w:val="00C20192"/>
    <w:rsid w:val="00C2395B"/>
    <w:rsid w:val="00C3200B"/>
    <w:rsid w:val="00C354DA"/>
    <w:rsid w:val="00C3568B"/>
    <w:rsid w:val="00C400A1"/>
    <w:rsid w:val="00C40A59"/>
    <w:rsid w:val="00C41C7E"/>
    <w:rsid w:val="00C504CD"/>
    <w:rsid w:val="00C51C93"/>
    <w:rsid w:val="00C51FFD"/>
    <w:rsid w:val="00C521CD"/>
    <w:rsid w:val="00C61965"/>
    <w:rsid w:val="00C61BC0"/>
    <w:rsid w:val="00C62C00"/>
    <w:rsid w:val="00C63A94"/>
    <w:rsid w:val="00C7523A"/>
    <w:rsid w:val="00C821FF"/>
    <w:rsid w:val="00C850E0"/>
    <w:rsid w:val="00C852E8"/>
    <w:rsid w:val="00C853BB"/>
    <w:rsid w:val="00C9630A"/>
    <w:rsid w:val="00CB3C1F"/>
    <w:rsid w:val="00CC4110"/>
    <w:rsid w:val="00CC4540"/>
    <w:rsid w:val="00CC4A2B"/>
    <w:rsid w:val="00CC60B0"/>
    <w:rsid w:val="00CD3D34"/>
    <w:rsid w:val="00CD6921"/>
    <w:rsid w:val="00CE0064"/>
    <w:rsid w:val="00CE1D5F"/>
    <w:rsid w:val="00CE3913"/>
    <w:rsid w:val="00CE61A3"/>
    <w:rsid w:val="00CF53C2"/>
    <w:rsid w:val="00D004D9"/>
    <w:rsid w:val="00D05466"/>
    <w:rsid w:val="00D10738"/>
    <w:rsid w:val="00D141D6"/>
    <w:rsid w:val="00D159F8"/>
    <w:rsid w:val="00D2585D"/>
    <w:rsid w:val="00D26848"/>
    <w:rsid w:val="00D30AB4"/>
    <w:rsid w:val="00D34A03"/>
    <w:rsid w:val="00D40AF2"/>
    <w:rsid w:val="00D4289C"/>
    <w:rsid w:val="00D4348F"/>
    <w:rsid w:val="00D43515"/>
    <w:rsid w:val="00D46C0D"/>
    <w:rsid w:val="00D46C89"/>
    <w:rsid w:val="00D50965"/>
    <w:rsid w:val="00D559B9"/>
    <w:rsid w:val="00D56F2F"/>
    <w:rsid w:val="00D63ED9"/>
    <w:rsid w:val="00D64A29"/>
    <w:rsid w:val="00D70046"/>
    <w:rsid w:val="00D72AC9"/>
    <w:rsid w:val="00D80DDC"/>
    <w:rsid w:val="00D81BFD"/>
    <w:rsid w:val="00D83CBC"/>
    <w:rsid w:val="00D967A7"/>
    <w:rsid w:val="00D979B2"/>
    <w:rsid w:val="00DA6015"/>
    <w:rsid w:val="00DA7C63"/>
    <w:rsid w:val="00DB3CD9"/>
    <w:rsid w:val="00DD07E9"/>
    <w:rsid w:val="00DD3150"/>
    <w:rsid w:val="00DD456A"/>
    <w:rsid w:val="00DD79B4"/>
    <w:rsid w:val="00DE3D6C"/>
    <w:rsid w:val="00DE424D"/>
    <w:rsid w:val="00DE4BD1"/>
    <w:rsid w:val="00DE5871"/>
    <w:rsid w:val="00DE7623"/>
    <w:rsid w:val="00DE7839"/>
    <w:rsid w:val="00DF3618"/>
    <w:rsid w:val="00E10399"/>
    <w:rsid w:val="00E11971"/>
    <w:rsid w:val="00E12FAC"/>
    <w:rsid w:val="00E1329F"/>
    <w:rsid w:val="00E13323"/>
    <w:rsid w:val="00E159C1"/>
    <w:rsid w:val="00E364F7"/>
    <w:rsid w:val="00E3753F"/>
    <w:rsid w:val="00E46B27"/>
    <w:rsid w:val="00E46C0B"/>
    <w:rsid w:val="00E47DB0"/>
    <w:rsid w:val="00E5618B"/>
    <w:rsid w:val="00E72C6B"/>
    <w:rsid w:val="00E75C4C"/>
    <w:rsid w:val="00E77F5A"/>
    <w:rsid w:val="00E83EA4"/>
    <w:rsid w:val="00E8635A"/>
    <w:rsid w:val="00E95A8D"/>
    <w:rsid w:val="00E968F6"/>
    <w:rsid w:val="00EA06A2"/>
    <w:rsid w:val="00EA0831"/>
    <w:rsid w:val="00EA3C7C"/>
    <w:rsid w:val="00EA6532"/>
    <w:rsid w:val="00EC419B"/>
    <w:rsid w:val="00ED0D8C"/>
    <w:rsid w:val="00ED0E7E"/>
    <w:rsid w:val="00EE435A"/>
    <w:rsid w:val="00EE7A1F"/>
    <w:rsid w:val="00EF2946"/>
    <w:rsid w:val="00EF480C"/>
    <w:rsid w:val="00EF6479"/>
    <w:rsid w:val="00F0186F"/>
    <w:rsid w:val="00F0638A"/>
    <w:rsid w:val="00F117EA"/>
    <w:rsid w:val="00F12E59"/>
    <w:rsid w:val="00F17433"/>
    <w:rsid w:val="00F2083C"/>
    <w:rsid w:val="00F273D3"/>
    <w:rsid w:val="00F279D0"/>
    <w:rsid w:val="00F3622B"/>
    <w:rsid w:val="00F370C4"/>
    <w:rsid w:val="00F431B0"/>
    <w:rsid w:val="00F4622B"/>
    <w:rsid w:val="00F476C2"/>
    <w:rsid w:val="00F560E2"/>
    <w:rsid w:val="00F61FB7"/>
    <w:rsid w:val="00F647B5"/>
    <w:rsid w:val="00F64E40"/>
    <w:rsid w:val="00F66C65"/>
    <w:rsid w:val="00F90036"/>
    <w:rsid w:val="00F92A6B"/>
    <w:rsid w:val="00F94E71"/>
    <w:rsid w:val="00F97222"/>
    <w:rsid w:val="00F97CF3"/>
    <w:rsid w:val="00FA0688"/>
    <w:rsid w:val="00FA0CFF"/>
    <w:rsid w:val="00FA1BE6"/>
    <w:rsid w:val="00FA522E"/>
    <w:rsid w:val="00FA6B3C"/>
    <w:rsid w:val="00FA7E75"/>
    <w:rsid w:val="00FB21EC"/>
    <w:rsid w:val="00FB67FD"/>
    <w:rsid w:val="00FC3F20"/>
    <w:rsid w:val="00FC5F65"/>
    <w:rsid w:val="00FC67C9"/>
    <w:rsid w:val="00FC752E"/>
    <w:rsid w:val="00FD6408"/>
    <w:rsid w:val="00FE11D3"/>
    <w:rsid w:val="00FF25F8"/>
    <w:rsid w:val="00FF324D"/>
    <w:rsid w:val="00FF5347"/>
    <w:rsid w:val="00FF67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2AE06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15D"/>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44715D"/>
    <w:pPr>
      <w:keepNext/>
      <w:keepLines/>
      <w:spacing w:before="120" w:after="120"/>
      <w:outlineLvl w:val="1"/>
    </w:pPr>
    <w:rPr>
      <w:rFonts w:eastAsia="MS Gothic"/>
      <w:b/>
      <w:bCs/>
      <w:i/>
      <w:szCs w:val="26"/>
      <w:u w:val="single"/>
    </w:rPr>
  </w:style>
  <w:style w:type="paragraph" w:styleId="Heading3">
    <w:name w:val="heading 3"/>
    <w:basedOn w:val="Normal"/>
    <w:next w:val="Normal"/>
    <w:link w:val="Heading3Char"/>
    <w:uiPriority w:val="9"/>
    <w:unhideWhenUsed/>
    <w:qFormat/>
    <w:rsid w:val="00EE435A"/>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EE435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715D"/>
    <w:rPr>
      <w:rFonts w:ascii="Calibri" w:eastAsia="MS Gothic" w:hAnsi="Calibri" w:cs="Times New Roman"/>
      <w:b/>
      <w:bCs/>
      <w:i/>
      <w:sz w:val="22"/>
      <w:szCs w:val="26"/>
      <w:u w:val="single"/>
    </w:rPr>
  </w:style>
  <w:style w:type="paragraph" w:styleId="ListParagraph">
    <w:name w:val="List Paragraph"/>
    <w:basedOn w:val="Normal"/>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35"/>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styleId="NormalWeb">
    <w:name w:val="Normal (Web)"/>
    <w:basedOn w:val="Normal"/>
    <w:uiPriority w:val="99"/>
    <w:semiHidden/>
    <w:unhideWhenUsed/>
    <w:rsid w:val="003924FF"/>
    <w:pPr>
      <w:spacing w:before="100" w:beforeAutospacing="1" w:after="100" w:afterAutospacing="1" w:line="240" w:lineRule="auto"/>
    </w:pPr>
    <w:rPr>
      <w:rFonts w:ascii="Times New Roman" w:eastAsiaTheme="minorEastAsia" w:hAnsi="Times New Roman"/>
      <w:sz w:val="24"/>
      <w:szCs w:val="24"/>
      <w:lang w:eastAsia="en-AU"/>
    </w:rPr>
  </w:style>
  <w:style w:type="paragraph" w:styleId="FootnoteText">
    <w:name w:val="footnote text"/>
    <w:basedOn w:val="Normal"/>
    <w:link w:val="FootnoteTextChar"/>
    <w:uiPriority w:val="99"/>
    <w:semiHidden/>
    <w:unhideWhenUsed/>
    <w:rsid w:val="006A53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5310"/>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6A5310"/>
    <w:rPr>
      <w:vertAlign w:val="superscript"/>
    </w:rPr>
  </w:style>
  <w:style w:type="paragraph" w:styleId="NoSpacing">
    <w:name w:val="No Spacing"/>
    <w:uiPriority w:val="1"/>
    <w:qFormat/>
    <w:rsid w:val="002A77CC"/>
    <w:pPr>
      <w:spacing w:after="0" w:line="240" w:lineRule="auto"/>
    </w:pPr>
    <w:rPr>
      <w:rFonts w:ascii="Calibri" w:eastAsia="Calibri" w:hAnsi="Calibri" w:cs="Times New Roman"/>
      <w:sz w:val="22"/>
    </w:rPr>
  </w:style>
  <w:style w:type="paragraph" w:customStyle="1" w:styleId="EndNoteBibliographyTitle">
    <w:name w:val="EndNote Bibliography Title"/>
    <w:basedOn w:val="Normal"/>
    <w:link w:val="EndNoteBibliographyTitleChar"/>
    <w:rsid w:val="00981996"/>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981996"/>
    <w:rPr>
      <w:rFonts w:ascii="Calibri" w:eastAsia="Calibri" w:hAnsi="Calibri" w:cs="Times New Roman"/>
      <w:noProof/>
      <w:sz w:val="22"/>
      <w:lang w:val="en-US"/>
    </w:rPr>
  </w:style>
  <w:style w:type="paragraph" w:customStyle="1" w:styleId="EndNoteBibliography">
    <w:name w:val="EndNote Bibliography"/>
    <w:basedOn w:val="Normal"/>
    <w:link w:val="EndNoteBibliographyChar"/>
    <w:rsid w:val="00981996"/>
    <w:pPr>
      <w:spacing w:line="240" w:lineRule="auto"/>
    </w:pPr>
    <w:rPr>
      <w:noProof/>
      <w:lang w:val="en-US"/>
    </w:rPr>
  </w:style>
  <w:style w:type="character" w:customStyle="1" w:styleId="EndNoteBibliographyChar">
    <w:name w:val="EndNote Bibliography Char"/>
    <w:basedOn w:val="DefaultParagraphFont"/>
    <w:link w:val="EndNoteBibliography"/>
    <w:rsid w:val="00981996"/>
    <w:rPr>
      <w:rFonts w:ascii="Calibri" w:eastAsia="Calibri" w:hAnsi="Calibri" w:cs="Times New Roman"/>
      <w:noProof/>
      <w:sz w:val="22"/>
      <w:lang w:val="en-US"/>
    </w:rPr>
  </w:style>
  <w:style w:type="character" w:styleId="Emphasis">
    <w:name w:val="Emphasis"/>
    <w:basedOn w:val="DefaultParagraphFont"/>
    <w:uiPriority w:val="20"/>
    <w:qFormat/>
    <w:rsid w:val="005A40EA"/>
    <w:rPr>
      <w:i/>
      <w:iCs/>
    </w:rPr>
  </w:style>
  <w:style w:type="character" w:customStyle="1" w:styleId="item-code">
    <w:name w:val="item-code"/>
    <w:basedOn w:val="DefaultParagraphFont"/>
    <w:rsid w:val="002531F6"/>
  </w:style>
  <w:style w:type="character" w:customStyle="1" w:styleId="Heading3Char">
    <w:name w:val="Heading 3 Char"/>
    <w:basedOn w:val="DefaultParagraphFont"/>
    <w:link w:val="Heading3"/>
    <w:uiPriority w:val="9"/>
    <w:rsid w:val="00EE435A"/>
    <w:rPr>
      <w:rFonts w:ascii="Calibri" w:eastAsiaTheme="majorEastAsia" w:hAnsi="Calibri" w:cstheme="majorBidi"/>
      <w:b/>
      <w:sz w:val="22"/>
      <w:szCs w:val="24"/>
    </w:rPr>
  </w:style>
  <w:style w:type="character" w:customStyle="1" w:styleId="Heading4Char">
    <w:name w:val="Heading 4 Char"/>
    <w:basedOn w:val="DefaultParagraphFont"/>
    <w:link w:val="Heading4"/>
    <w:uiPriority w:val="9"/>
    <w:rsid w:val="00EE435A"/>
    <w:rPr>
      <w:rFonts w:asciiTheme="majorHAnsi" w:eastAsiaTheme="majorEastAsia" w:hAnsiTheme="majorHAnsi" w:cstheme="majorBidi"/>
      <w:i/>
      <w:iCs/>
      <w:color w:val="365F91" w:themeColor="accent1" w:themeShade="BF"/>
      <w:sz w:val="22"/>
    </w:rPr>
  </w:style>
  <w:style w:type="paragraph" w:customStyle="1" w:styleId="Table">
    <w:name w:val="Table"/>
    <w:basedOn w:val="Normal"/>
    <w:qFormat/>
    <w:rsid w:val="00356E67"/>
    <w:pPr>
      <w:spacing w:after="0" w:line="240" w:lineRule="auto"/>
    </w:pPr>
    <w:rPr>
      <w:rFonts w:ascii="Candara" w:eastAsia="Times New Roman" w:hAnsi="Candara"/>
      <w:sz w:val="20"/>
      <w:szCs w:val="24"/>
    </w:rPr>
  </w:style>
  <w:style w:type="paragraph" w:styleId="Revision">
    <w:name w:val="Revision"/>
    <w:hidden/>
    <w:uiPriority w:val="99"/>
    <w:semiHidden/>
    <w:rsid w:val="00F476C2"/>
    <w:pPr>
      <w:spacing w:after="0" w:line="240" w:lineRule="auto"/>
    </w:pPr>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15D"/>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44715D"/>
    <w:pPr>
      <w:keepNext/>
      <w:keepLines/>
      <w:spacing w:before="120" w:after="120"/>
      <w:outlineLvl w:val="1"/>
    </w:pPr>
    <w:rPr>
      <w:rFonts w:eastAsia="MS Gothic"/>
      <w:b/>
      <w:bCs/>
      <w:i/>
      <w:szCs w:val="26"/>
      <w:u w:val="single"/>
    </w:rPr>
  </w:style>
  <w:style w:type="paragraph" w:styleId="Heading3">
    <w:name w:val="heading 3"/>
    <w:basedOn w:val="Normal"/>
    <w:next w:val="Normal"/>
    <w:link w:val="Heading3Char"/>
    <w:uiPriority w:val="9"/>
    <w:unhideWhenUsed/>
    <w:qFormat/>
    <w:rsid w:val="00EE435A"/>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EE435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715D"/>
    <w:rPr>
      <w:rFonts w:ascii="Calibri" w:eastAsia="MS Gothic" w:hAnsi="Calibri" w:cs="Times New Roman"/>
      <w:b/>
      <w:bCs/>
      <w:i/>
      <w:sz w:val="22"/>
      <w:szCs w:val="26"/>
      <w:u w:val="single"/>
    </w:rPr>
  </w:style>
  <w:style w:type="paragraph" w:styleId="ListParagraph">
    <w:name w:val="List Paragraph"/>
    <w:basedOn w:val="Normal"/>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35"/>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styleId="NormalWeb">
    <w:name w:val="Normal (Web)"/>
    <w:basedOn w:val="Normal"/>
    <w:uiPriority w:val="99"/>
    <w:semiHidden/>
    <w:unhideWhenUsed/>
    <w:rsid w:val="003924FF"/>
    <w:pPr>
      <w:spacing w:before="100" w:beforeAutospacing="1" w:after="100" w:afterAutospacing="1" w:line="240" w:lineRule="auto"/>
    </w:pPr>
    <w:rPr>
      <w:rFonts w:ascii="Times New Roman" w:eastAsiaTheme="minorEastAsia" w:hAnsi="Times New Roman"/>
      <w:sz w:val="24"/>
      <w:szCs w:val="24"/>
      <w:lang w:eastAsia="en-AU"/>
    </w:rPr>
  </w:style>
  <w:style w:type="paragraph" w:styleId="FootnoteText">
    <w:name w:val="footnote text"/>
    <w:basedOn w:val="Normal"/>
    <w:link w:val="FootnoteTextChar"/>
    <w:uiPriority w:val="99"/>
    <w:semiHidden/>
    <w:unhideWhenUsed/>
    <w:rsid w:val="006A53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5310"/>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6A5310"/>
    <w:rPr>
      <w:vertAlign w:val="superscript"/>
    </w:rPr>
  </w:style>
  <w:style w:type="paragraph" w:styleId="NoSpacing">
    <w:name w:val="No Spacing"/>
    <w:uiPriority w:val="1"/>
    <w:qFormat/>
    <w:rsid w:val="002A77CC"/>
    <w:pPr>
      <w:spacing w:after="0" w:line="240" w:lineRule="auto"/>
    </w:pPr>
    <w:rPr>
      <w:rFonts w:ascii="Calibri" w:eastAsia="Calibri" w:hAnsi="Calibri" w:cs="Times New Roman"/>
      <w:sz w:val="22"/>
    </w:rPr>
  </w:style>
  <w:style w:type="paragraph" w:customStyle="1" w:styleId="EndNoteBibliographyTitle">
    <w:name w:val="EndNote Bibliography Title"/>
    <w:basedOn w:val="Normal"/>
    <w:link w:val="EndNoteBibliographyTitleChar"/>
    <w:rsid w:val="00981996"/>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981996"/>
    <w:rPr>
      <w:rFonts w:ascii="Calibri" w:eastAsia="Calibri" w:hAnsi="Calibri" w:cs="Times New Roman"/>
      <w:noProof/>
      <w:sz w:val="22"/>
      <w:lang w:val="en-US"/>
    </w:rPr>
  </w:style>
  <w:style w:type="paragraph" w:customStyle="1" w:styleId="EndNoteBibliography">
    <w:name w:val="EndNote Bibliography"/>
    <w:basedOn w:val="Normal"/>
    <w:link w:val="EndNoteBibliographyChar"/>
    <w:rsid w:val="00981996"/>
    <w:pPr>
      <w:spacing w:line="240" w:lineRule="auto"/>
    </w:pPr>
    <w:rPr>
      <w:noProof/>
      <w:lang w:val="en-US"/>
    </w:rPr>
  </w:style>
  <w:style w:type="character" w:customStyle="1" w:styleId="EndNoteBibliographyChar">
    <w:name w:val="EndNote Bibliography Char"/>
    <w:basedOn w:val="DefaultParagraphFont"/>
    <w:link w:val="EndNoteBibliography"/>
    <w:rsid w:val="00981996"/>
    <w:rPr>
      <w:rFonts w:ascii="Calibri" w:eastAsia="Calibri" w:hAnsi="Calibri" w:cs="Times New Roman"/>
      <w:noProof/>
      <w:sz w:val="22"/>
      <w:lang w:val="en-US"/>
    </w:rPr>
  </w:style>
  <w:style w:type="character" w:styleId="Emphasis">
    <w:name w:val="Emphasis"/>
    <w:basedOn w:val="DefaultParagraphFont"/>
    <w:uiPriority w:val="20"/>
    <w:qFormat/>
    <w:rsid w:val="005A40EA"/>
    <w:rPr>
      <w:i/>
      <w:iCs/>
    </w:rPr>
  </w:style>
  <w:style w:type="character" w:customStyle="1" w:styleId="item-code">
    <w:name w:val="item-code"/>
    <w:basedOn w:val="DefaultParagraphFont"/>
    <w:rsid w:val="002531F6"/>
  </w:style>
  <w:style w:type="character" w:customStyle="1" w:styleId="Heading3Char">
    <w:name w:val="Heading 3 Char"/>
    <w:basedOn w:val="DefaultParagraphFont"/>
    <w:link w:val="Heading3"/>
    <w:uiPriority w:val="9"/>
    <w:rsid w:val="00EE435A"/>
    <w:rPr>
      <w:rFonts w:ascii="Calibri" w:eastAsiaTheme="majorEastAsia" w:hAnsi="Calibri" w:cstheme="majorBidi"/>
      <w:b/>
      <w:sz w:val="22"/>
      <w:szCs w:val="24"/>
    </w:rPr>
  </w:style>
  <w:style w:type="character" w:customStyle="1" w:styleId="Heading4Char">
    <w:name w:val="Heading 4 Char"/>
    <w:basedOn w:val="DefaultParagraphFont"/>
    <w:link w:val="Heading4"/>
    <w:uiPriority w:val="9"/>
    <w:rsid w:val="00EE435A"/>
    <w:rPr>
      <w:rFonts w:asciiTheme="majorHAnsi" w:eastAsiaTheme="majorEastAsia" w:hAnsiTheme="majorHAnsi" w:cstheme="majorBidi"/>
      <w:i/>
      <w:iCs/>
      <w:color w:val="365F91" w:themeColor="accent1" w:themeShade="BF"/>
      <w:sz w:val="22"/>
    </w:rPr>
  </w:style>
  <w:style w:type="paragraph" w:customStyle="1" w:styleId="Table">
    <w:name w:val="Table"/>
    <w:basedOn w:val="Normal"/>
    <w:qFormat/>
    <w:rsid w:val="00356E67"/>
    <w:pPr>
      <w:spacing w:after="0" w:line="240" w:lineRule="auto"/>
    </w:pPr>
    <w:rPr>
      <w:rFonts w:ascii="Candara" w:eastAsia="Times New Roman" w:hAnsi="Candara"/>
      <w:sz w:val="20"/>
      <w:szCs w:val="24"/>
    </w:rPr>
  </w:style>
  <w:style w:type="paragraph" w:styleId="Revision">
    <w:name w:val="Revision"/>
    <w:hidden/>
    <w:uiPriority w:val="99"/>
    <w:semiHidden/>
    <w:rsid w:val="00F476C2"/>
    <w:pPr>
      <w:spacing w:after="0"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682261">
      <w:bodyDiv w:val="1"/>
      <w:marLeft w:val="0"/>
      <w:marRight w:val="0"/>
      <w:marTop w:val="0"/>
      <w:marBottom w:val="0"/>
      <w:divBdr>
        <w:top w:val="none" w:sz="0" w:space="0" w:color="auto"/>
        <w:left w:val="none" w:sz="0" w:space="0" w:color="auto"/>
        <w:bottom w:val="none" w:sz="0" w:space="0" w:color="auto"/>
        <w:right w:val="none" w:sz="0" w:space="0" w:color="auto"/>
      </w:divBdr>
      <w:divsChild>
        <w:div w:id="1468740766">
          <w:marLeft w:val="0"/>
          <w:marRight w:val="0"/>
          <w:marTop w:val="0"/>
          <w:marBottom w:val="0"/>
          <w:divBdr>
            <w:top w:val="none" w:sz="0" w:space="0" w:color="auto"/>
            <w:left w:val="none" w:sz="0" w:space="0" w:color="auto"/>
            <w:bottom w:val="none" w:sz="0" w:space="0" w:color="auto"/>
            <w:right w:val="none" w:sz="0" w:space="0" w:color="auto"/>
          </w:divBdr>
        </w:div>
      </w:divsChild>
    </w:div>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1062751995">
      <w:bodyDiv w:val="1"/>
      <w:marLeft w:val="0"/>
      <w:marRight w:val="0"/>
      <w:marTop w:val="0"/>
      <w:marBottom w:val="0"/>
      <w:divBdr>
        <w:top w:val="none" w:sz="0" w:space="0" w:color="auto"/>
        <w:left w:val="none" w:sz="0" w:space="0" w:color="auto"/>
        <w:bottom w:val="none" w:sz="0" w:space="0" w:color="auto"/>
        <w:right w:val="none" w:sz="0" w:space="0" w:color="auto"/>
      </w:divBdr>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 w:id="139751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bs.gov.au/medicine/item/10232m" TargetMode="External"/><Relationship Id="rId18" Type="http://schemas.openxmlformats.org/officeDocument/2006/relationships/image" Target="media/image3.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hyperlink" Target="http://www.pbs.gov.au/medicine/item/10228h" TargetMode="External"/><Relationship Id="rId17" Type="http://schemas.openxmlformats.org/officeDocument/2006/relationships/footer" Target="footer1.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pbs.gov.au/medicine/item/10246g" TargetMode="Externa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bs.gov.au/medicine/item/10243d"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clinicaltrials.gov/ct2/results?cond=&amp;term=CTL019&amp;cntry=&amp;state=&amp;city=&amp;dist" TargetMode="External"/><Relationship Id="rId13" Type="http://schemas.openxmlformats.org/officeDocument/2006/relationships/hyperlink" Target="https://thenewdaily.com.au/life/wellbeing/2017/08/31/cancer-treatment-car-t-gene/" TargetMode="External"/><Relationship Id="rId3" Type="http://schemas.openxmlformats.org/officeDocument/2006/relationships/hyperlink" Target="https://www.fda.gov/drugs/informationondrugs/approveddrugs/ucm574154.htm" TargetMode="External"/><Relationship Id="rId7" Type="http://schemas.openxmlformats.org/officeDocument/2006/relationships/hyperlink" Target="https://clinicaltrials.gov/ct2/show/NCT02435849" TargetMode="External"/><Relationship Id="rId12" Type="http://schemas.openxmlformats.org/officeDocument/2006/relationships/hyperlink" Target="https://druginfo.nlm.nih.gov/drugportal/name/Tisagenlecleucel-T" TargetMode="External"/><Relationship Id="rId2" Type="http://schemas.openxmlformats.org/officeDocument/2006/relationships/hyperlink" Target="http://www.cancer.org.au/about-cancer/types-of-cancer/leukaemia.html" TargetMode="External"/><Relationship Id="rId1" Type="http://schemas.openxmlformats.org/officeDocument/2006/relationships/hyperlink" Target="https://acrf.com.au/on-cancer/acute-lymphoblastic-leukaemia/" TargetMode="External"/><Relationship Id="rId6" Type="http://schemas.openxmlformats.org/officeDocument/2006/relationships/hyperlink" Target="https://canceraustralia.gov.au/affected-cancer/cancer-types/lymphoma/non-hodgkin-lymphoma-statistics" TargetMode="External"/><Relationship Id="rId11" Type="http://schemas.openxmlformats.org/officeDocument/2006/relationships/hyperlink" Target="https://labtestsonline.org/conditions/leukemia" TargetMode="External"/><Relationship Id="rId5" Type="http://schemas.openxmlformats.org/officeDocument/2006/relationships/hyperlink" Target="http://www.leukaemia.org.au/blood-cancers/lymphomas/non-hodgkin-lymphoma-nhl/diffuse-large-b-cell-lymphoma" TargetMode="External"/><Relationship Id="rId10" Type="http://schemas.openxmlformats.org/officeDocument/2006/relationships/hyperlink" Target="https://endpts.com/kymriah-gets-speed-reviews-in-us-and-eu-as-novartis-looks-to-swiftly-expand-car-t-indications/?utm_content=buffere53dc&amp;utm_medium=social&amp;utm_source=twitter.com&amp;utm_campaign=buffer" TargetMode="External"/><Relationship Id="rId4" Type="http://schemas.openxmlformats.org/officeDocument/2006/relationships/hyperlink" Target="https://www.uptodate.com/contents/epidemiology-clinical-manifestations-pathologic-features-and-diagnosis-of-diffuse-large-b-cell-lymphoma" TargetMode="External"/><Relationship Id="rId9" Type="http://schemas.openxmlformats.org/officeDocument/2006/relationships/hyperlink" Target="https://www.fda.gov/Drugs/InformationOnDrugs/ApprovedDrugs/ucm606540.htm" TargetMode="External"/><Relationship Id="rId14" Type="http://schemas.openxmlformats.org/officeDocument/2006/relationships/hyperlink" Target="http://www.isscr.org/professional-resources/news-publicationsss/isscr-news-articles/blog-detail/stem-cells-in-focus/2017/10/27/crispr-car-t-and-cancer" TargetMode="Externa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uofa\shared$\HealthSciences\SPHCP\Public%20Health\Projects\AHTA\MSAC\PICO%20confirmation\1519%20-%20tisagenlecleucel%20(CAR-T)\Incidence%20rates%20ALL%20Australi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Incidence</a:t>
            </a:r>
            <a:r>
              <a:rPr lang="en-US" baseline="0"/>
              <a:t> rates of ALL in Australia (2014)</a:t>
            </a:r>
          </a:p>
        </c:rich>
      </c:tx>
      <c:overlay val="0"/>
      <c:spPr>
        <a:noFill/>
        <a:ln>
          <a:noFill/>
        </a:ln>
        <a:effectLst/>
      </c:spPr>
    </c:title>
    <c:autoTitleDeleted val="0"/>
    <c:plotArea>
      <c:layout/>
      <c:barChart>
        <c:barDir val="col"/>
        <c:grouping val="clustered"/>
        <c:varyColors val="0"/>
        <c:ser>
          <c:idx val="0"/>
          <c:order val="0"/>
          <c:tx>
            <c:strRef>
              <c:f>Sheet1!$A$4</c:f>
              <c:strCache>
                <c:ptCount val="1"/>
                <c:pt idx="0">
                  <c:v>Males</c:v>
                </c:pt>
              </c:strCache>
            </c:strRef>
          </c:tx>
          <c:spPr>
            <a:solidFill>
              <a:schemeClr val="accent1"/>
            </a:solidFill>
            <a:ln>
              <a:noFill/>
            </a:ln>
            <a:effectLst/>
          </c:spPr>
          <c:invertIfNegative val="0"/>
          <c:cat>
            <c:strRef>
              <c:f>Sheet1!$B$3:$S$3</c:f>
              <c:strCache>
                <c:ptCount val="18"/>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c:v>
                </c:pt>
              </c:strCache>
            </c:strRef>
          </c:cat>
          <c:val>
            <c:numRef>
              <c:f>Sheet1!$B$4:$S$4</c:f>
              <c:numCache>
                <c:formatCode>###,##0.0</c:formatCode>
                <c:ptCount val="18"/>
                <c:pt idx="0">
                  <c:v>8.2679680697000002</c:v>
                </c:pt>
                <c:pt idx="1">
                  <c:v>4.5552004548999996</c:v>
                </c:pt>
                <c:pt idx="2">
                  <c:v>2.8100534058000002</c:v>
                </c:pt>
                <c:pt idx="3">
                  <c:v>2.2187779940999999</c:v>
                </c:pt>
                <c:pt idx="4">
                  <c:v>1.5903935846999999</c:v>
                </c:pt>
                <c:pt idx="5">
                  <c:v>0.45466379629999998</c:v>
                </c:pt>
                <c:pt idx="6">
                  <c:v>0.32005539500000002</c:v>
                </c:pt>
                <c:pt idx="7">
                  <c:v>0.52905716629999999</c:v>
                </c:pt>
                <c:pt idx="8">
                  <c:v>0.83843551100000002</c:v>
                </c:pt>
                <c:pt idx="9">
                  <c:v>0.66477643949999998</c:v>
                </c:pt>
                <c:pt idx="10">
                  <c:v>0.80351839810000003</c:v>
                </c:pt>
                <c:pt idx="11">
                  <c:v>0.92012226279999998</c:v>
                </c:pt>
                <c:pt idx="12">
                  <c:v>1.0333162331000001</c:v>
                </c:pt>
                <c:pt idx="13">
                  <c:v>1.5739330159</c:v>
                </c:pt>
                <c:pt idx="14">
                  <c:v>2.1838034462000002</c:v>
                </c:pt>
                <c:pt idx="15">
                  <c:v>0.45865259819999998</c:v>
                </c:pt>
                <c:pt idx="16">
                  <c:v>1.1786562154</c:v>
                </c:pt>
                <c:pt idx="17">
                  <c:v>0.46902714109999999</c:v>
                </c:pt>
              </c:numCache>
            </c:numRef>
          </c:val>
        </c:ser>
        <c:ser>
          <c:idx val="1"/>
          <c:order val="1"/>
          <c:tx>
            <c:strRef>
              <c:f>Sheet1!$A$5</c:f>
              <c:strCache>
                <c:ptCount val="1"/>
                <c:pt idx="0">
                  <c:v>Females</c:v>
                </c:pt>
              </c:strCache>
            </c:strRef>
          </c:tx>
          <c:spPr>
            <a:solidFill>
              <a:schemeClr val="accent2"/>
            </a:solidFill>
            <a:ln>
              <a:noFill/>
            </a:ln>
            <a:effectLst/>
          </c:spPr>
          <c:invertIfNegative val="0"/>
          <c:cat>
            <c:strRef>
              <c:f>Sheet1!$B$3:$S$3</c:f>
              <c:strCache>
                <c:ptCount val="18"/>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c:v>
                </c:pt>
              </c:strCache>
            </c:strRef>
          </c:cat>
          <c:val>
            <c:numRef>
              <c:f>Sheet1!$B$5:$S$5</c:f>
              <c:numCache>
                <c:formatCode>###,##0.0</c:formatCode>
                <c:ptCount val="18"/>
                <c:pt idx="0">
                  <c:v>6.4901364921000004</c:v>
                </c:pt>
                <c:pt idx="1">
                  <c:v>3.6803169034000001</c:v>
                </c:pt>
                <c:pt idx="2">
                  <c:v>1.8045691226</c:v>
                </c:pt>
                <c:pt idx="3">
                  <c:v>1.3316136761999999</c:v>
                </c:pt>
                <c:pt idx="4">
                  <c:v>0.57571870349999998</c:v>
                </c:pt>
                <c:pt idx="5">
                  <c:v>0.33264050290000002</c:v>
                </c:pt>
                <c:pt idx="6">
                  <c:v>0.4796925031</c:v>
                </c:pt>
                <c:pt idx="7">
                  <c:v>0.60082775990000004</c:v>
                </c:pt>
                <c:pt idx="8">
                  <c:v>0.31384236209999999</c:v>
                </c:pt>
                <c:pt idx="9">
                  <c:v>0.4736276539</c:v>
                </c:pt>
                <c:pt idx="10">
                  <c:v>0.67425190459999995</c:v>
                </c:pt>
                <c:pt idx="11">
                  <c:v>1.1222953467000001</c:v>
                </c:pt>
                <c:pt idx="12">
                  <c:v>1.1465092540999999</c:v>
                </c:pt>
                <c:pt idx="13">
                  <c:v>0.68120483840000001</c:v>
                </c:pt>
                <c:pt idx="14">
                  <c:v>0.72342558580000005</c:v>
                </c:pt>
                <c:pt idx="15">
                  <c:v>0.70338255179999998</c:v>
                </c:pt>
                <c:pt idx="16">
                  <c:v>1.2707944679000001</c:v>
                </c:pt>
                <c:pt idx="17">
                  <c:v>1.2527926188</c:v>
                </c:pt>
              </c:numCache>
            </c:numRef>
          </c:val>
        </c:ser>
        <c:ser>
          <c:idx val="2"/>
          <c:order val="2"/>
          <c:tx>
            <c:strRef>
              <c:f>Sheet1!$A$6</c:f>
              <c:strCache>
                <c:ptCount val="1"/>
                <c:pt idx="0">
                  <c:v>Persons</c:v>
                </c:pt>
              </c:strCache>
            </c:strRef>
          </c:tx>
          <c:spPr>
            <a:solidFill>
              <a:schemeClr val="accent3"/>
            </a:solidFill>
            <a:ln>
              <a:noFill/>
            </a:ln>
            <a:effectLst/>
          </c:spPr>
          <c:invertIfNegative val="0"/>
          <c:cat>
            <c:strRef>
              <c:f>Sheet1!$B$3:$S$3</c:f>
              <c:strCache>
                <c:ptCount val="18"/>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c:v>
                </c:pt>
              </c:strCache>
            </c:strRef>
          </c:cat>
          <c:val>
            <c:numRef>
              <c:f>Sheet1!$B$6:$S$6</c:f>
              <c:numCache>
                <c:formatCode>###,##0.0</c:formatCode>
                <c:ptCount val="18"/>
                <c:pt idx="0">
                  <c:v>7.4032507879000002</c:v>
                </c:pt>
                <c:pt idx="1">
                  <c:v>4.1298083997999999</c:v>
                </c:pt>
                <c:pt idx="2">
                  <c:v>2.3201824135</c:v>
                </c:pt>
                <c:pt idx="3">
                  <c:v>1.7881588477999999</c:v>
                </c:pt>
                <c:pt idx="4">
                  <c:v>1.0956179731</c:v>
                </c:pt>
                <c:pt idx="5">
                  <c:v>0.39397144270000001</c:v>
                </c:pt>
                <c:pt idx="6">
                  <c:v>0.3996378438</c:v>
                </c:pt>
                <c:pt idx="7">
                  <c:v>0.56509197850000004</c:v>
                </c:pt>
                <c:pt idx="8">
                  <c:v>0.57337669840000005</c:v>
                </c:pt>
                <c:pt idx="9">
                  <c:v>0.56821812959999995</c:v>
                </c:pt>
                <c:pt idx="10">
                  <c:v>0.73808596510000002</c:v>
                </c:pt>
                <c:pt idx="11">
                  <c:v>1.0226457440000001</c:v>
                </c:pt>
                <c:pt idx="12">
                  <c:v>1.0907109709</c:v>
                </c:pt>
                <c:pt idx="13">
                  <c:v>1.1233394978</c:v>
                </c:pt>
                <c:pt idx="14">
                  <c:v>1.4385587155999999</c:v>
                </c:pt>
                <c:pt idx="15">
                  <c:v>0.58758714700000003</c:v>
                </c:pt>
                <c:pt idx="16">
                  <c:v>1.2304756222</c:v>
                </c:pt>
                <c:pt idx="17">
                  <c:v>0.9704951154</c:v>
                </c:pt>
              </c:numCache>
            </c:numRef>
          </c:val>
        </c:ser>
        <c:dLbls>
          <c:showLegendKey val="0"/>
          <c:showVal val="0"/>
          <c:showCatName val="0"/>
          <c:showSerName val="0"/>
          <c:showPercent val="0"/>
          <c:showBubbleSize val="0"/>
        </c:dLbls>
        <c:gapWidth val="219"/>
        <c:overlap val="-27"/>
        <c:axId val="171157376"/>
        <c:axId val="171158912"/>
      </c:barChart>
      <c:catAx>
        <c:axId val="17115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20" b="0" i="0" u="none" strike="noStrike" kern="1200" baseline="0">
                <a:solidFill>
                  <a:schemeClr val="tx1">
                    <a:lumMod val="65000"/>
                    <a:lumOff val="35000"/>
                  </a:schemeClr>
                </a:solidFill>
                <a:latin typeface="+mn-lt"/>
                <a:ea typeface="+mn-ea"/>
                <a:cs typeface="+mn-cs"/>
              </a:defRPr>
            </a:pPr>
            <a:endParaRPr lang="en-US"/>
          </a:p>
        </c:txPr>
        <c:crossAx val="171158912"/>
        <c:crosses val="autoZero"/>
        <c:auto val="1"/>
        <c:lblAlgn val="ctr"/>
        <c:lblOffset val="100"/>
        <c:noMultiLvlLbl val="0"/>
      </c:catAx>
      <c:valAx>
        <c:axId val="17115891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157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12E41-C6CE-4CAC-8FAF-789BC2332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23</Pages>
  <Words>8280</Words>
  <Characters>47196</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55366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Stansfield</dc:creator>
  <cp:lastModifiedBy>Faraz Ghazi</cp:lastModifiedBy>
  <cp:revision>7</cp:revision>
  <cp:lastPrinted>2018-01-24T00:31:00Z</cp:lastPrinted>
  <dcterms:created xsi:type="dcterms:W3CDTF">2018-06-21T23:59:00Z</dcterms:created>
  <dcterms:modified xsi:type="dcterms:W3CDTF">2018-06-25T01:24:00Z</dcterms:modified>
</cp:coreProperties>
</file>