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62D59"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2AE9E18" wp14:editId="5FF3E212">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8867743" w14:textId="1BCD2FD3" w:rsidR="00BC1364" w:rsidRPr="005A0D32" w:rsidRDefault="00BF479B" w:rsidP="0000715A">
      <w:pPr>
        <w:pStyle w:val="Title"/>
        <w:tabs>
          <w:tab w:val="left" w:pos="1005"/>
          <w:tab w:val="left" w:pos="1926"/>
          <w:tab w:val="center" w:pos="4513"/>
        </w:tabs>
      </w:pPr>
      <w:r w:rsidRPr="005A0D32">
        <w:t>Public Summary Document</w:t>
      </w:r>
    </w:p>
    <w:p w14:paraId="599A2D90" w14:textId="77777777" w:rsidR="00BC1364" w:rsidRPr="005A0D32" w:rsidRDefault="00BC1364" w:rsidP="003956EE">
      <w:pPr>
        <w:pStyle w:val="Subtitle"/>
      </w:pPr>
      <w:r w:rsidRPr="005A0D32">
        <w:t xml:space="preserve">Application No. </w:t>
      </w:r>
      <w:r w:rsidR="00B35595" w:rsidRPr="005A0D32">
        <w:t>1</w:t>
      </w:r>
      <w:r w:rsidR="00D95D73" w:rsidRPr="005A0D32">
        <w:t>398.1</w:t>
      </w:r>
      <w:r w:rsidRPr="005A0D32">
        <w:t xml:space="preserve"> – </w:t>
      </w:r>
      <w:r w:rsidR="00D95D73" w:rsidRPr="005A0D32">
        <w:t>Implantation of a permanent wireless haemodynamic sensor and associated remote analysis of pulmonary artery pressure</w:t>
      </w:r>
    </w:p>
    <w:p w14:paraId="0AD2E0A1" w14:textId="77777777" w:rsidR="00A6355B" w:rsidRPr="005A0D32" w:rsidRDefault="00B35595" w:rsidP="00F443A8">
      <w:pPr>
        <w:spacing w:after="240"/>
        <w:ind w:left="3600" w:hanging="3600"/>
        <w:rPr>
          <w:rFonts w:ascii="Arial" w:hAnsi="Arial" w:cs="Arial"/>
          <w:b/>
          <w:szCs w:val="24"/>
        </w:rPr>
      </w:pPr>
      <w:r w:rsidRPr="005A0D32">
        <w:rPr>
          <w:rFonts w:ascii="Arial" w:hAnsi="Arial" w:cs="Arial"/>
          <w:b/>
          <w:szCs w:val="24"/>
        </w:rPr>
        <w:t>Applicant</w:t>
      </w:r>
      <w:r w:rsidR="00BC1364" w:rsidRPr="005A0D32">
        <w:rPr>
          <w:rFonts w:ascii="Arial" w:hAnsi="Arial" w:cs="Arial"/>
          <w:b/>
          <w:szCs w:val="24"/>
        </w:rPr>
        <w:t>:</w:t>
      </w:r>
      <w:r w:rsidR="003956EE" w:rsidRPr="005A0D32">
        <w:rPr>
          <w:rFonts w:ascii="Arial" w:hAnsi="Arial" w:cs="Arial"/>
          <w:b/>
          <w:szCs w:val="24"/>
        </w:rPr>
        <w:t xml:space="preserve"> </w:t>
      </w:r>
      <w:r w:rsidR="005A0D32">
        <w:rPr>
          <w:rFonts w:ascii="Arial" w:hAnsi="Arial" w:cs="Arial"/>
          <w:b/>
          <w:szCs w:val="24"/>
        </w:rPr>
        <w:tab/>
      </w:r>
      <w:proofErr w:type="spellStart"/>
      <w:r w:rsidR="00D95D73" w:rsidRPr="005A0D32">
        <w:rPr>
          <w:rFonts w:ascii="Arial" w:hAnsi="Arial" w:cs="Arial"/>
          <w:b/>
          <w:szCs w:val="24"/>
        </w:rPr>
        <w:t>Optum</w:t>
      </w:r>
      <w:proofErr w:type="spellEnd"/>
      <w:r w:rsidR="00D95D73" w:rsidRPr="005A0D32">
        <w:rPr>
          <w:rFonts w:ascii="Arial" w:hAnsi="Arial" w:cs="Arial"/>
          <w:b/>
          <w:szCs w:val="24"/>
        </w:rPr>
        <w:t xml:space="preserve"> on behalf of St Jude Medical</w:t>
      </w:r>
    </w:p>
    <w:p w14:paraId="570048DE" w14:textId="77777777" w:rsidR="00BC1364" w:rsidRPr="005A0D32" w:rsidRDefault="00BC1364" w:rsidP="00F443A8">
      <w:pPr>
        <w:spacing w:after="240"/>
        <w:ind w:left="3600" w:hanging="3600"/>
        <w:rPr>
          <w:rFonts w:ascii="Arial" w:hAnsi="Arial" w:cs="Arial"/>
          <w:b/>
          <w:szCs w:val="24"/>
        </w:rPr>
      </w:pPr>
      <w:r w:rsidRPr="005A0D32">
        <w:rPr>
          <w:rFonts w:ascii="Arial" w:hAnsi="Arial" w:cs="Arial"/>
          <w:b/>
          <w:szCs w:val="24"/>
        </w:rPr>
        <w:t>Date of MSAC consideration:</w:t>
      </w:r>
      <w:r w:rsidR="003956EE" w:rsidRPr="005A0D32">
        <w:rPr>
          <w:rFonts w:ascii="Arial" w:hAnsi="Arial" w:cs="Arial"/>
          <w:b/>
          <w:szCs w:val="24"/>
        </w:rPr>
        <w:t xml:space="preserve"> </w:t>
      </w:r>
      <w:r w:rsidR="005A0D32">
        <w:rPr>
          <w:rFonts w:ascii="Arial" w:hAnsi="Arial" w:cs="Arial"/>
          <w:b/>
          <w:szCs w:val="24"/>
        </w:rPr>
        <w:tab/>
      </w:r>
      <w:r w:rsidR="00C67DD2" w:rsidRPr="005A0D32">
        <w:rPr>
          <w:rFonts w:ascii="Arial" w:hAnsi="Arial" w:cs="Arial"/>
          <w:b/>
          <w:szCs w:val="24"/>
        </w:rPr>
        <w:t xml:space="preserve">MSAC </w:t>
      </w:r>
      <w:r w:rsidR="00B35595" w:rsidRPr="005A0D32">
        <w:rPr>
          <w:rFonts w:ascii="Arial" w:hAnsi="Arial" w:cs="Arial"/>
          <w:b/>
          <w:szCs w:val="24"/>
        </w:rPr>
        <w:t>6</w:t>
      </w:r>
      <w:r w:rsidR="00A822AF" w:rsidRPr="005A0D32">
        <w:rPr>
          <w:rFonts w:ascii="Arial" w:hAnsi="Arial" w:cs="Arial"/>
          <w:b/>
          <w:szCs w:val="24"/>
        </w:rPr>
        <w:t>8</w:t>
      </w:r>
      <w:r w:rsidR="00EB6B6F" w:rsidRPr="005A0D32">
        <w:rPr>
          <w:rFonts w:ascii="Arial" w:hAnsi="Arial" w:cs="Arial"/>
          <w:b/>
          <w:szCs w:val="24"/>
          <w:vertAlign w:val="superscript"/>
        </w:rPr>
        <w:t>th</w:t>
      </w:r>
      <w:r w:rsidR="00EB6B6F" w:rsidRPr="005A0D32">
        <w:rPr>
          <w:rFonts w:ascii="Arial" w:hAnsi="Arial" w:cs="Arial"/>
          <w:b/>
          <w:szCs w:val="24"/>
        </w:rPr>
        <w:t xml:space="preserve"> </w:t>
      </w:r>
      <w:r w:rsidRPr="005A0D32">
        <w:rPr>
          <w:rFonts w:ascii="Arial" w:hAnsi="Arial" w:cs="Arial"/>
          <w:b/>
          <w:szCs w:val="24"/>
        </w:rPr>
        <w:t xml:space="preserve">Meeting, </w:t>
      </w:r>
      <w:r w:rsidR="00A822AF" w:rsidRPr="005A0D32">
        <w:rPr>
          <w:rFonts w:ascii="Arial" w:hAnsi="Arial" w:cs="Arial"/>
          <w:b/>
          <w:szCs w:val="24"/>
        </w:rPr>
        <w:t>24</w:t>
      </w:r>
      <w:r w:rsidR="00B35595" w:rsidRPr="005A0D32">
        <w:rPr>
          <w:rFonts w:ascii="Arial" w:hAnsi="Arial" w:cs="Arial"/>
          <w:b/>
          <w:szCs w:val="24"/>
        </w:rPr>
        <w:t>-</w:t>
      </w:r>
      <w:r w:rsidR="00A822AF" w:rsidRPr="005A0D32">
        <w:rPr>
          <w:rFonts w:ascii="Arial" w:hAnsi="Arial" w:cs="Arial"/>
          <w:b/>
          <w:szCs w:val="24"/>
        </w:rPr>
        <w:t>25 November</w:t>
      </w:r>
      <w:r w:rsidR="00EB6B6F" w:rsidRPr="005A0D32">
        <w:rPr>
          <w:rFonts w:ascii="Arial" w:hAnsi="Arial" w:cs="Arial"/>
          <w:b/>
          <w:szCs w:val="24"/>
        </w:rPr>
        <w:t xml:space="preserve"> 2016</w:t>
      </w:r>
    </w:p>
    <w:p w14:paraId="12611C4E" w14:textId="491F2D8D" w:rsidR="005A0D32" w:rsidRPr="00967FB7" w:rsidRDefault="006A0D97" w:rsidP="00F715D1">
      <w:pPr>
        <w:spacing w:after="240"/>
        <w:rPr>
          <w:color w:val="0000FF"/>
          <w:szCs w:val="24"/>
          <w:u w:val="single"/>
        </w:rPr>
      </w:pPr>
      <w:r w:rsidRPr="006B3DA0">
        <w:rPr>
          <w:szCs w:val="24"/>
        </w:rPr>
        <w:t>Context for decision: MSAC makes its advice in accordance wit</w:t>
      </w:r>
      <w:r w:rsidR="00F715D1" w:rsidRPr="006B3DA0">
        <w:rPr>
          <w:szCs w:val="24"/>
        </w:rPr>
        <w:t>h its Terms of Reference,</w:t>
      </w:r>
      <w:r w:rsidRPr="006B3DA0">
        <w:rPr>
          <w:szCs w:val="24"/>
        </w:rPr>
        <w:t xml:space="preserve"> </w:t>
      </w:r>
      <w:hyperlink r:id="rId10" w:history="1">
        <w:r w:rsidR="00F715D1" w:rsidRPr="006B3DA0">
          <w:rPr>
            <w:rStyle w:val="Hyperlink"/>
            <w:szCs w:val="24"/>
          </w:rPr>
          <w:t>visit the MSAC website</w:t>
        </w:r>
      </w:hyperlink>
      <w:r w:rsidR="00A822AF" w:rsidRPr="006B3DA0">
        <w:rPr>
          <w:rStyle w:val="Hyperlink"/>
          <w:szCs w:val="24"/>
        </w:rPr>
        <w:t xml:space="preserve"> </w:t>
      </w:r>
    </w:p>
    <w:p w14:paraId="32879FFF" w14:textId="77777777" w:rsidR="003D7F29" w:rsidRPr="005A0D32" w:rsidRDefault="003D7F29" w:rsidP="005A0D32">
      <w:pPr>
        <w:pStyle w:val="Heading1"/>
      </w:pPr>
      <w:r w:rsidRPr="005A0D32">
        <w:t>Purpose of application</w:t>
      </w:r>
      <w:r w:rsidR="00822C7E" w:rsidRPr="005A0D32">
        <w:t xml:space="preserve"> and links to other applications</w:t>
      </w:r>
    </w:p>
    <w:p w14:paraId="7F0A5F91" w14:textId="4C235C4E" w:rsidR="005A0D32" w:rsidRDefault="009C0BF4" w:rsidP="00967FB7">
      <w:pPr>
        <w:tabs>
          <w:tab w:val="left" w:pos="0"/>
        </w:tabs>
        <w:spacing w:after="120"/>
      </w:pPr>
      <w:r w:rsidRPr="006B3DA0">
        <w:t xml:space="preserve">A resubmission requesting </w:t>
      </w:r>
      <w:r w:rsidR="005A0D32">
        <w:t xml:space="preserve">a new </w:t>
      </w:r>
      <w:r w:rsidRPr="006B3DA0">
        <w:t xml:space="preserve">Medicare Benefits Schedule (MBS) listing of a wireless pulmonary artery pressure sensor for patients with moderate chronic heart failure was received from St. Jude Medical Australia Pty Ltd by the Department of Health. </w:t>
      </w:r>
    </w:p>
    <w:p w14:paraId="4C013676" w14:textId="77777777" w:rsidR="009C0BF4" w:rsidRPr="006B3DA0" w:rsidRDefault="005A0D32" w:rsidP="005A0D32">
      <w:pPr>
        <w:tabs>
          <w:tab w:val="left" w:pos="0"/>
        </w:tabs>
      </w:pPr>
      <w:r>
        <w:t>Application 1398</w:t>
      </w:r>
      <w:r w:rsidR="009C0BF4" w:rsidRPr="006B3DA0">
        <w:t xml:space="preserve"> was considered by MSAC at its November 2015 meeting. </w:t>
      </w:r>
    </w:p>
    <w:p w14:paraId="65931F36" w14:textId="77777777" w:rsidR="00E977EE" w:rsidRPr="006B3DA0" w:rsidRDefault="00E977EE" w:rsidP="005A0D32">
      <w:pPr>
        <w:pStyle w:val="Heading1"/>
      </w:pPr>
      <w:r w:rsidRPr="006B3DA0">
        <w:t>MSAC’s advice to the Minister</w:t>
      </w:r>
    </w:p>
    <w:p w14:paraId="58214C5B" w14:textId="72B0E627" w:rsidR="00FA41E4" w:rsidRDefault="00FA41E4" w:rsidP="005A0D32">
      <w:pPr>
        <w:pStyle w:val="BodyText"/>
        <w:spacing w:before="0" w:after="240" w:line="240" w:lineRule="auto"/>
        <w:rPr>
          <w:rFonts w:ascii="Times New Roman" w:hAnsi="Times New Roman"/>
          <w:sz w:val="24"/>
        </w:rPr>
      </w:pPr>
      <w:r w:rsidRPr="00FA41E4">
        <w:rPr>
          <w:rFonts w:ascii="Times New Roman" w:hAnsi="Times New Roman"/>
          <w:sz w:val="24"/>
          <w:lang w:eastAsia="en-US"/>
        </w:rPr>
        <w:t xml:space="preserve">After considering the available evidence presented in relation to safety, clinical effectiveness and cost-effectiveness, MSAC did not support public funding for </w:t>
      </w:r>
      <w:r w:rsidRPr="00FA41E4">
        <w:rPr>
          <w:rFonts w:ascii="Times New Roman" w:hAnsi="Times New Roman"/>
          <w:sz w:val="24"/>
        </w:rPr>
        <w:t xml:space="preserve">implantation of a permanent leadless and </w:t>
      </w:r>
      <w:proofErr w:type="spellStart"/>
      <w:r w:rsidRPr="00FA41E4">
        <w:rPr>
          <w:rFonts w:ascii="Times New Roman" w:hAnsi="Times New Roman"/>
          <w:sz w:val="24"/>
        </w:rPr>
        <w:t>batteryless</w:t>
      </w:r>
      <w:proofErr w:type="spellEnd"/>
      <w:r w:rsidRPr="00FA41E4">
        <w:rPr>
          <w:rFonts w:ascii="Times New Roman" w:hAnsi="Times New Roman"/>
          <w:sz w:val="24"/>
        </w:rPr>
        <w:t xml:space="preserve"> pulmonary artery sensor and associated re</w:t>
      </w:r>
      <w:r w:rsidR="005A0D32">
        <w:rPr>
          <w:rFonts w:ascii="Times New Roman" w:hAnsi="Times New Roman"/>
          <w:sz w:val="24"/>
        </w:rPr>
        <w:t>mote analysis for patients with</w:t>
      </w:r>
      <w:r w:rsidRPr="00FA41E4">
        <w:rPr>
          <w:rFonts w:ascii="Times New Roman" w:hAnsi="Times New Roman"/>
          <w:sz w:val="24"/>
        </w:rPr>
        <w:t xml:space="preserve"> moderate </w:t>
      </w:r>
      <w:r w:rsidR="005A0D32">
        <w:rPr>
          <w:rFonts w:ascii="Times New Roman" w:hAnsi="Times New Roman"/>
          <w:sz w:val="24"/>
        </w:rPr>
        <w:t>chronic heart failure</w:t>
      </w:r>
      <w:r w:rsidRPr="00FA41E4">
        <w:rPr>
          <w:rFonts w:ascii="Times New Roman" w:hAnsi="Times New Roman"/>
          <w:sz w:val="24"/>
        </w:rPr>
        <w:t xml:space="preserve"> (NYHA class III). MSAC </w:t>
      </w:r>
      <w:r w:rsidR="00FD495B">
        <w:rPr>
          <w:rFonts w:ascii="Times New Roman" w:hAnsi="Times New Roman"/>
          <w:sz w:val="24"/>
        </w:rPr>
        <w:t>considered there was still substantial uncertainty about the increment in effectiveness of the sensor/analysis system over the comparator. Th</w:t>
      </w:r>
      <w:r w:rsidR="00F039F9">
        <w:rPr>
          <w:rFonts w:ascii="Times New Roman" w:hAnsi="Times New Roman"/>
          <w:sz w:val="24"/>
        </w:rPr>
        <w:t>is</w:t>
      </w:r>
      <w:r w:rsidR="00FD495B">
        <w:rPr>
          <w:rFonts w:ascii="Times New Roman" w:hAnsi="Times New Roman"/>
          <w:sz w:val="24"/>
        </w:rPr>
        <w:t xml:space="preserve"> uncertainty related </w:t>
      </w:r>
      <w:r w:rsidR="00F039F9">
        <w:rPr>
          <w:rFonts w:ascii="Times New Roman" w:hAnsi="Times New Roman"/>
          <w:sz w:val="24"/>
        </w:rPr>
        <w:t xml:space="preserve">both </w:t>
      </w:r>
      <w:r w:rsidR="00FD495B">
        <w:rPr>
          <w:rFonts w:ascii="Times New Roman" w:hAnsi="Times New Roman"/>
          <w:sz w:val="24"/>
        </w:rPr>
        <w:t xml:space="preserve">to evidence </w:t>
      </w:r>
      <w:r w:rsidR="00F039F9">
        <w:rPr>
          <w:rFonts w:ascii="Times New Roman" w:hAnsi="Times New Roman"/>
          <w:sz w:val="24"/>
        </w:rPr>
        <w:t xml:space="preserve">of a reduction in </w:t>
      </w:r>
      <w:r w:rsidRPr="00FA41E4">
        <w:rPr>
          <w:rFonts w:ascii="Times New Roman" w:hAnsi="Times New Roman"/>
          <w:sz w:val="24"/>
        </w:rPr>
        <w:t>mortality in the longer-term</w:t>
      </w:r>
      <w:r w:rsidR="00F039F9">
        <w:rPr>
          <w:rFonts w:ascii="Times New Roman" w:hAnsi="Times New Roman"/>
          <w:sz w:val="24"/>
        </w:rPr>
        <w:t xml:space="preserve">, and to evidence that Australian </w:t>
      </w:r>
      <w:r w:rsidRPr="00FA41E4">
        <w:rPr>
          <w:rFonts w:ascii="Times New Roman" w:hAnsi="Times New Roman"/>
          <w:sz w:val="24"/>
        </w:rPr>
        <w:t>patient</w:t>
      </w:r>
      <w:r w:rsidR="00F039F9">
        <w:rPr>
          <w:rFonts w:ascii="Times New Roman" w:hAnsi="Times New Roman"/>
          <w:sz w:val="24"/>
        </w:rPr>
        <w:t xml:space="preserve">s would comply with </w:t>
      </w:r>
      <w:r w:rsidRPr="00FA41E4">
        <w:rPr>
          <w:rFonts w:ascii="Times New Roman" w:hAnsi="Times New Roman"/>
          <w:sz w:val="24"/>
        </w:rPr>
        <w:t xml:space="preserve">management changes </w:t>
      </w:r>
      <w:r w:rsidR="00FD495B" w:rsidRPr="00FA41E4">
        <w:rPr>
          <w:rFonts w:ascii="Times New Roman" w:hAnsi="Times New Roman"/>
          <w:sz w:val="24"/>
        </w:rPr>
        <w:t>because of</w:t>
      </w:r>
      <w:r w:rsidRPr="00FA41E4">
        <w:rPr>
          <w:rFonts w:ascii="Times New Roman" w:hAnsi="Times New Roman"/>
          <w:sz w:val="24"/>
        </w:rPr>
        <w:t xml:space="preserve"> monitoring</w:t>
      </w:r>
      <w:r w:rsidR="00FD495B">
        <w:rPr>
          <w:rFonts w:ascii="Times New Roman" w:hAnsi="Times New Roman"/>
          <w:sz w:val="24"/>
        </w:rPr>
        <w:t xml:space="preserve">. MSAC concluded the safety </w:t>
      </w:r>
      <w:r w:rsidRPr="00FA41E4">
        <w:rPr>
          <w:rFonts w:ascii="Times New Roman" w:hAnsi="Times New Roman"/>
          <w:sz w:val="24"/>
        </w:rPr>
        <w:t>was a reasonable</w:t>
      </w:r>
      <w:r w:rsidR="00FD495B">
        <w:rPr>
          <w:rFonts w:ascii="Times New Roman" w:hAnsi="Times New Roman"/>
          <w:sz w:val="24"/>
        </w:rPr>
        <w:t xml:space="preserve">. </w:t>
      </w:r>
    </w:p>
    <w:p w14:paraId="107B34ED" w14:textId="77777777" w:rsidR="00FA41E4" w:rsidRDefault="005A0D32" w:rsidP="005A0D32">
      <w:pPr>
        <w:pStyle w:val="BodyText"/>
        <w:spacing w:before="0" w:after="240" w:line="240" w:lineRule="auto"/>
        <w:rPr>
          <w:rFonts w:ascii="Times New Roman" w:hAnsi="Times New Roman"/>
          <w:sz w:val="24"/>
        </w:rPr>
      </w:pPr>
      <w:r>
        <w:rPr>
          <w:rFonts w:ascii="Times New Roman" w:hAnsi="Times New Roman"/>
          <w:sz w:val="24"/>
        </w:rPr>
        <w:t>MSAC considered i</w:t>
      </w:r>
      <w:r w:rsidR="00FA41E4" w:rsidRPr="00FA41E4">
        <w:rPr>
          <w:rFonts w:ascii="Times New Roman" w:hAnsi="Times New Roman"/>
          <w:sz w:val="24"/>
        </w:rPr>
        <w:t>t was unlikely to be cost-effective without more clinical data to justify the mortality reduction assumptions in the economic modelling</w:t>
      </w:r>
      <w:r>
        <w:rPr>
          <w:rFonts w:ascii="Times New Roman" w:hAnsi="Times New Roman"/>
          <w:sz w:val="24"/>
        </w:rPr>
        <w:t xml:space="preserve"> and i</w:t>
      </w:r>
      <w:r w:rsidR="00FA41E4" w:rsidRPr="00FA41E4">
        <w:rPr>
          <w:rFonts w:ascii="Times New Roman" w:hAnsi="Times New Roman"/>
          <w:sz w:val="24"/>
        </w:rPr>
        <w:t>t would be informative to see the economic modelling results with the mortality reduction removed.</w:t>
      </w:r>
    </w:p>
    <w:p w14:paraId="61AA10DB" w14:textId="77777777" w:rsidR="00FA41E4" w:rsidRPr="008F630D" w:rsidRDefault="009A541E" w:rsidP="005A0D32">
      <w:r>
        <w:t xml:space="preserve">Any resubmission would be considered via ESC. </w:t>
      </w:r>
      <w:r w:rsidR="00FA41E4" w:rsidRPr="008F630D">
        <w:t xml:space="preserve">Other issues identified </w:t>
      </w:r>
      <w:r w:rsidR="005A0D32">
        <w:t xml:space="preserve">by MSAC </w:t>
      </w:r>
      <w:r w:rsidR="00FA41E4" w:rsidRPr="008F630D">
        <w:t>for the applicant to address include:</w:t>
      </w:r>
    </w:p>
    <w:p w14:paraId="54559A91" w14:textId="77777777" w:rsidR="00FA41E4" w:rsidRPr="008F630D" w:rsidRDefault="00FA41E4" w:rsidP="005A0D32">
      <w:pPr>
        <w:pStyle w:val="ListParagraph"/>
        <w:numPr>
          <w:ilvl w:val="0"/>
          <w:numId w:val="31"/>
        </w:numPr>
      </w:pPr>
      <w:r w:rsidRPr="008F630D">
        <w:t>a trial in a non-U</w:t>
      </w:r>
      <w:r>
        <w:t xml:space="preserve">nited </w:t>
      </w:r>
      <w:r w:rsidRPr="008F630D">
        <w:t>S</w:t>
      </w:r>
      <w:r>
        <w:t>tates</w:t>
      </w:r>
      <w:r w:rsidRPr="008F630D">
        <w:t xml:space="preserve"> setting to enhance external validity</w:t>
      </w:r>
    </w:p>
    <w:p w14:paraId="731793ED" w14:textId="77777777" w:rsidR="00FA41E4" w:rsidRPr="008F630D" w:rsidRDefault="00FA41E4" w:rsidP="005A0D32">
      <w:pPr>
        <w:pStyle w:val="ListParagraph"/>
        <w:numPr>
          <w:ilvl w:val="0"/>
          <w:numId w:val="31"/>
        </w:numPr>
      </w:pPr>
      <w:r w:rsidRPr="008F630D">
        <w:t>further information from real-world implementation in Australia (</w:t>
      </w:r>
      <w:r>
        <w:t xml:space="preserve">although </w:t>
      </w:r>
      <w:r w:rsidRPr="008F630D">
        <w:t>the only institution currently doing this procedure is a transplant centre)</w:t>
      </w:r>
    </w:p>
    <w:p w14:paraId="6A92D079" w14:textId="2981EBC6" w:rsidR="00FA41E4" w:rsidRDefault="00FA41E4" w:rsidP="005A0D32">
      <w:pPr>
        <w:pStyle w:val="ListParagraph"/>
        <w:numPr>
          <w:ilvl w:val="0"/>
          <w:numId w:val="31"/>
        </w:numPr>
      </w:pPr>
      <w:r w:rsidRPr="008F630D">
        <w:t>provision of a 10</w:t>
      </w:r>
      <w:r w:rsidR="00406A72">
        <w:t>-</w:t>
      </w:r>
      <w:r w:rsidRPr="008F630D">
        <w:t>year time horizon as the base case for the economic model, with costs of training and monitoring clarified and included, and a sensitivity analysis with a 5</w:t>
      </w:r>
      <w:r w:rsidR="00406A72">
        <w:t>-</w:t>
      </w:r>
      <w:r w:rsidRPr="008F630D">
        <w:t>year time horizon</w:t>
      </w:r>
    </w:p>
    <w:p w14:paraId="1D54A905" w14:textId="77777777" w:rsidR="00FA41E4" w:rsidRDefault="00FA41E4" w:rsidP="005A0D32">
      <w:pPr>
        <w:pStyle w:val="ListParagraph"/>
        <w:numPr>
          <w:ilvl w:val="0"/>
          <w:numId w:val="31"/>
        </w:numPr>
      </w:pPr>
      <w:r w:rsidRPr="008F630D">
        <w:t>changes in costs which may drive a more attractive ICER</w:t>
      </w:r>
    </w:p>
    <w:p w14:paraId="53E4F058" w14:textId="77777777" w:rsidR="00550354" w:rsidRPr="006B3DA0" w:rsidRDefault="00550354" w:rsidP="005A0D32">
      <w:pPr>
        <w:pStyle w:val="Heading1"/>
      </w:pPr>
      <w:r w:rsidRPr="006B3DA0">
        <w:lastRenderedPageBreak/>
        <w:t xml:space="preserve">Summary of consideration and rationale for MSAC’s advice </w:t>
      </w:r>
    </w:p>
    <w:p w14:paraId="10E53D68" w14:textId="77777777" w:rsidR="00FA41E4" w:rsidRDefault="00FF6F1F" w:rsidP="00843E3F">
      <w:pPr>
        <w:spacing w:after="240"/>
      </w:pPr>
      <w:r>
        <w:t>MSAC noted that t</w:t>
      </w:r>
      <w:r w:rsidR="00FA41E4">
        <w:t xml:space="preserve">he service was proposed for the management of patients with: moderate chronic heart failure (HF; NYHA class III) for at least 3 months regardless of ejection fraction; a stable and optimised medication regimen; and a HF-related hospitalisation within the previous 12 months. The proposed medical service involves the use of the </w:t>
      </w:r>
      <w:proofErr w:type="spellStart"/>
      <w:r w:rsidR="00FA41E4">
        <w:t>CardioMEMS</w:t>
      </w:r>
      <w:proofErr w:type="spellEnd"/>
      <w:r w:rsidR="00FA41E4">
        <w:t xml:space="preserve"> HF system which includes a permanent leadless and </w:t>
      </w:r>
      <w:proofErr w:type="spellStart"/>
      <w:r w:rsidR="00FA41E4">
        <w:t>batteryless</w:t>
      </w:r>
      <w:proofErr w:type="spellEnd"/>
      <w:r w:rsidR="00FA41E4">
        <w:t xml:space="preserve"> sensor and an external home electronics unit that receives the pulmonary artery pressure transmission from the sensor and sends the data to a centralised data storage facility. The applicant suggested that this data would improve monitoring and management of patients with moderate HF.</w:t>
      </w:r>
    </w:p>
    <w:p w14:paraId="457185AA" w14:textId="77777777" w:rsidR="00FA41E4" w:rsidRPr="00C14051" w:rsidRDefault="00FA41E4" w:rsidP="00843E3F">
      <w:pPr>
        <w:pStyle w:val="BodyText"/>
        <w:tabs>
          <w:tab w:val="left" w:pos="567"/>
        </w:tabs>
        <w:spacing w:before="0" w:after="240" w:line="240" w:lineRule="auto"/>
        <w:rPr>
          <w:rFonts w:ascii="Times New Roman" w:hAnsi="Times New Roman"/>
          <w:sz w:val="24"/>
          <w:lang w:eastAsia="en-US"/>
        </w:rPr>
      </w:pPr>
      <w:r w:rsidRPr="00C14051">
        <w:rPr>
          <w:rFonts w:ascii="Times New Roman" w:hAnsi="Times New Roman"/>
          <w:sz w:val="24"/>
          <w:lang w:eastAsia="en-US"/>
        </w:rPr>
        <w:t xml:space="preserve">The proposed population and comparator remain unchanged from the initial application as previously accepted by MSAC. </w:t>
      </w:r>
    </w:p>
    <w:p w14:paraId="2F219E28" w14:textId="77777777" w:rsidR="00FA41E4" w:rsidRPr="00C14051" w:rsidRDefault="00FA41E4" w:rsidP="00843E3F">
      <w:pPr>
        <w:pStyle w:val="BodyText"/>
        <w:tabs>
          <w:tab w:val="left" w:pos="567"/>
        </w:tabs>
        <w:spacing w:before="0" w:after="240" w:line="240" w:lineRule="auto"/>
        <w:rPr>
          <w:rFonts w:ascii="Times New Roman" w:hAnsi="Times New Roman"/>
          <w:sz w:val="24"/>
          <w:lang w:eastAsia="en-US"/>
        </w:rPr>
      </w:pPr>
      <w:r w:rsidRPr="00C14051">
        <w:rPr>
          <w:rFonts w:ascii="Times New Roman" w:hAnsi="Times New Roman"/>
          <w:sz w:val="24"/>
          <w:lang w:eastAsia="en-US"/>
        </w:rPr>
        <w:t xml:space="preserve">No further evidence regarding safety was presented. MSAC noted that although the extension to the CHAMPION trial was presented in the resubmission, MSAC had previously been provided with these results ahead of publication. MSAC agreed that uncertainty remains regarding long term safety, but that overall the safety profile appears to be acceptable. </w:t>
      </w:r>
    </w:p>
    <w:p w14:paraId="37BD1E60" w14:textId="3D7BFD58" w:rsidR="0041687F" w:rsidRPr="00C14051" w:rsidRDefault="00FA41E4" w:rsidP="0041687F">
      <w:pPr>
        <w:pStyle w:val="BodyText"/>
        <w:tabs>
          <w:tab w:val="left" w:pos="567"/>
        </w:tabs>
        <w:spacing w:before="0" w:line="240" w:lineRule="auto"/>
      </w:pPr>
      <w:r w:rsidRPr="00C14051">
        <w:rPr>
          <w:rFonts w:ascii="Times New Roman" w:hAnsi="Times New Roman"/>
          <w:sz w:val="24"/>
          <w:lang w:eastAsia="en-US"/>
        </w:rPr>
        <w:t xml:space="preserve">MSAC recalled that a number of limitations of the CHAMPION trial data (n = 550, Abraham </w:t>
      </w:r>
      <w:r w:rsidRPr="00FF6F1F">
        <w:rPr>
          <w:rFonts w:ascii="Times New Roman" w:hAnsi="Times New Roman"/>
          <w:sz w:val="24"/>
          <w:lang w:eastAsia="en-US"/>
        </w:rPr>
        <w:t>et al</w:t>
      </w:r>
      <w:r w:rsidRPr="00C14051">
        <w:rPr>
          <w:rFonts w:ascii="Times New Roman" w:hAnsi="Times New Roman"/>
          <w:sz w:val="24"/>
          <w:lang w:eastAsia="en-US"/>
        </w:rPr>
        <w:t xml:space="preserve"> 2011 and n = 347 for Abraham et al 2016 CHAMPION extension) relating to clinical effectiveness had been identified at its November 2015 meeting. In reviewing the resubmission MSAC were concerned that the following major areas of clinical uncertainty remain:</w:t>
      </w:r>
      <w:r w:rsidR="0041687F" w:rsidRPr="00C14051">
        <w:t xml:space="preserve"> </w:t>
      </w:r>
    </w:p>
    <w:p w14:paraId="6D432B67" w14:textId="1B71D129" w:rsidR="00FA41E4" w:rsidRPr="00C14051" w:rsidRDefault="0041687F" w:rsidP="00843E3F">
      <w:pPr>
        <w:pStyle w:val="ListParagraph"/>
        <w:numPr>
          <w:ilvl w:val="0"/>
          <w:numId w:val="31"/>
        </w:numPr>
        <w:tabs>
          <w:tab w:val="left" w:pos="567"/>
        </w:tabs>
        <w:rPr>
          <w:szCs w:val="24"/>
        </w:rPr>
      </w:pPr>
      <w:r>
        <w:rPr>
          <w:szCs w:val="24"/>
        </w:rPr>
        <w:tab/>
      </w:r>
      <w:r w:rsidR="00FA41E4" w:rsidRPr="00C14051">
        <w:rPr>
          <w:szCs w:val="24"/>
        </w:rPr>
        <w:t>the single-blind assessment of subjectively determined outcomes;</w:t>
      </w:r>
    </w:p>
    <w:p w14:paraId="44E50927" w14:textId="77777777" w:rsidR="00FA41E4" w:rsidRPr="00C14051" w:rsidRDefault="00C14051" w:rsidP="00843E3F">
      <w:pPr>
        <w:pStyle w:val="ListParagraph"/>
        <w:numPr>
          <w:ilvl w:val="0"/>
          <w:numId w:val="31"/>
        </w:numPr>
        <w:tabs>
          <w:tab w:val="left" w:pos="567"/>
        </w:tabs>
        <w:rPr>
          <w:szCs w:val="24"/>
        </w:rPr>
      </w:pPr>
      <w:r>
        <w:rPr>
          <w:szCs w:val="24"/>
        </w:rPr>
        <w:tab/>
      </w:r>
      <w:r w:rsidR="00FA41E4" w:rsidRPr="00C14051">
        <w:rPr>
          <w:szCs w:val="24"/>
        </w:rPr>
        <w:t xml:space="preserve">the long-term effectiveness of the device, given the proportion of patients who dropped out of the CHAMPION extension study (55% in total, of whom 45% were due to reasons other than death); </w:t>
      </w:r>
    </w:p>
    <w:p w14:paraId="219CE507" w14:textId="77777777" w:rsidR="00FA41E4" w:rsidRPr="00C14051" w:rsidRDefault="00C14051" w:rsidP="00843E3F">
      <w:pPr>
        <w:pStyle w:val="ListParagraph"/>
        <w:numPr>
          <w:ilvl w:val="0"/>
          <w:numId w:val="31"/>
        </w:numPr>
        <w:tabs>
          <w:tab w:val="left" w:pos="567"/>
        </w:tabs>
        <w:rPr>
          <w:szCs w:val="24"/>
        </w:rPr>
      </w:pPr>
      <w:r>
        <w:rPr>
          <w:szCs w:val="24"/>
        </w:rPr>
        <w:tab/>
      </w:r>
      <w:r w:rsidR="00FA41E4" w:rsidRPr="00C14051">
        <w:rPr>
          <w:szCs w:val="24"/>
        </w:rPr>
        <w:t>the external validity of the trial to the MBS eligible patient population, given that the evidence base consists of a single trial conducted in the United States (US); and</w:t>
      </w:r>
    </w:p>
    <w:p w14:paraId="1B0AF870" w14:textId="77777777" w:rsidR="00FA41E4" w:rsidRPr="00C14051" w:rsidRDefault="00C14051" w:rsidP="00843E3F">
      <w:pPr>
        <w:pStyle w:val="ListParagraph"/>
        <w:numPr>
          <w:ilvl w:val="0"/>
          <w:numId w:val="31"/>
        </w:numPr>
        <w:tabs>
          <w:tab w:val="left" w:pos="567"/>
        </w:tabs>
        <w:spacing w:after="240"/>
        <w:rPr>
          <w:szCs w:val="24"/>
        </w:rPr>
      </w:pPr>
      <w:r>
        <w:rPr>
          <w:szCs w:val="24"/>
        </w:rPr>
        <w:tab/>
      </w:r>
      <w:proofErr w:type="gramStart"/>
      <w:r w:rsidR="00FA41E4" w:rsidRPr="00C14051">
        <w:rPr>
          <w:szCs w:val="24"/>
        </w:rPr>
        <w:t>any</w:t>
      </w:r>
      <w:proofErr w:type="gramEnd"/>
      <w:r w:rsidR="00FA41E4" w:rsidRPr="00C14051">
        <w:rPr>
          <w:szCs w:val="24"/>
        </w:rPr>
        <w:t xml:space="preserve"> effect on mortality was not established.</w:t>
      </w:r>
    </w:p>
    <w:p w14:paraId="0EE9B1B0" w14:textId="77777777" w:rsidR="00FA41E4" w:rsidRPr="00C14051" w:rsidRDefault="00FA41E4" w:rsidP="00843E3F">
      <w:pPr>
        <w:pStyle w:val="BodyText"/>
        <w:tabs>
          <w:tab w:val="left" w:pos="567"/>
        </w:tabs>
        <w:spacing w:before="0" w:after="240" w:line="240" w:lineRule="auto"/>
        <w:rPr>
          <w:rFonts w:ascii="Times New Roman" w:hAnsi="Times New Roman"/>
          <w:sz w:val="24"/>
          <w:lang w:eastAsia="en-US"/>
        </w:rPr>
      </w:pPr>
      <w:r w:rsidRPr="00C14051">
        <w:rPr>
          <w:rFonts w:ascii="Times New Roman" w:hAnsi="Times New Roman"/>
          <w:sz w:val="24"/>
        </w:rPr>
        <w:t>MSAC noted that in the US, where the trial was conducted there may be different thresholds for admitting patients to hospital and a different model of standard care compared with the Australian system. MSAC questioned whether evidence from the CHAMPION trial is applicable to implementation of a system of care in Australia.</w:t>
      </w:r>
    </w:p>
    <w:p w14:paraId="36526DFA" w14:textId="6851BB7D" w:rsidR="00FA41E4" w:rsidRPr="00C14051" w:rsidRDefault="00FA41E4" w:rsidP="00843E3F">
      <w:pPr>
        <w:pStyle w:val="BodyText"/>
        <w:tabs>
          <w:tab w:val="left" w:pos="567"/>
        </w:tabs>
        <w:spacing w:before="0" w:after="240" w:line="240" w:lineRule="auto"/>
        <w:rPr>
          <w:rFonts w:ascii="Times New Roman" w:hAnsi="Times New Roman"/>
          <w:sz w:val="24"/>
          <w:lang w:eastAsia="en-US"/>
        </w:rPr>
      </w:pPr>
      <w:r w:rsidRPr="00C14051">
        <w:rPr>
          <w:rFonts w:ascii="Times New Roman" w:hAnsi="Times New Roman"/>
          <w:sz w:val="24"/>
          <w:lang w:eastAsia="en-US"/>
        </w:rPr>
        <w:t xml:space="preserve">MSAC acknowledged that the extension of CHAMPION shows that the impact of the service on hospitalisation rates appears to translate to the real world setting in the US context. MSAC noted that </w:t>
      </w:r>
      <w:r w:rsidR="00406A72">
        <w:rPr>
          <w:rFonts w:ascii="Times New Roman" w:hAnsi="Times New Roman"/>
          <w:sz w:val="24"/>
          <w:lang w:eastAsia="en-US"/>
        </w:rPr>
        <w:t xml:space="preserve">the </w:t>
      </w:r>
      <w:r w:rsidRPr="00C14051">
        <w:rPr>
          <w:rFonts w:ascii="Times New Roman" w:hAnsi="Times New Roman"/>
          <w:sz w:val="24"/>
          <w:lang w:eastAsia="en-US"/>
        </w:rPr>
        <w:t>European Society of Cardiology 2016 Heart Failure guidelines indicated that the evidence for the service was not sufficient for an outright recommendation</w:t>
      </w:r>
      <w:r w:rsidR="00406A72">
        <w:rPr>
          <w:rFonts w:ascii="Times New Roman" w:hAnsi="Times New Roman"/>
          <w:sz w:val="24"/>
          <w:lang w:eastAsia="en-US"/>
        </w:rPr>
        <w:t>,</w:t>
      </w:r>
      <w:r w:rsidRPr="00C14051">
        <w:rPr>
          <w:rFonts w:ascii="Times New Roman" w:hAnsi="Times New Roman"/>
          <w:sz w:val="24"/>
          <w:lang w:eastAsia="en-US"/>
        </w:rPr>
        <w:t xml:space="preserve"> but that use of the device may be considered. MSAC suggested that uncertainty remains around whether adjusting treatment based on haemodynamic results improves patient outcomes</w:t>
      </w:r>
      <w:r w:rsidR="002A77EC">
        <w:rPr>
          <w:rFonts w:ascii="Times New Roman" w:hAnsi="Times New Roman"/>
          <w:sz w:val="24"/>
          <w:lang w:eastAsia="en-US"/>
        </w:rPr>
        <w:t xml:space="preserve"> (</w:t>
      </w:r>
      <w:r w:rsidR="00406A72">
        <w:rPr>
          <w:rFonts w:ascii="Times New Roman" w:hAnsi="Times New Roman"/>
          <w:sz w:val="24"/>
          <w:lang w:eastAsia="en-US"/>
        </w:rPr>
        <w:t>particularly</w:t>
      </w:r>
      <w:r w:rsidR="002A77EC">
        <w:rPr>
          <w:rFonts w:ascii="Times New Roman" w:hAnsi="Times New Roman"/>
          <w:sz w:val="24"/>
          <w:lang w:eastAsia="en-US"/>
        </w:rPr>
        <w:t xml:space="preserve"> </w:t>
      </w:r>
      <w:r w:rsidR="005C1C14">
        <w:rPr>
          <w:rFonts w:ascii="Times New Roman" w:hAnsi="Times New Roman"/>
          <w:sz w:val="24"/>
          <w:lang w:eastAsia="en-US"/>
        </w:rPr>
        <w:t>in the longer term)</w:t>
      </w:r>
      <w:r w:rsidRPr="00C14051">
        <w:rPr>
          <w:rFonts w:ascii="Times New Roman" w:hAnsi="Times New Roman"/>
          <w:sz w:val="24"/>
          <w:lang w:eastAsia="en-US"/>
        </w:rPr>
        <w:t xml:space="preserve">. </w:t>
      </w:r>
    </w:p>
    <w:p w14:paraId="1351DCC6" w14:textId="77777777" w:rsidR="00FA41E4" w:rsidRPr="00C14051" w:rsidRDefault="00FA41E4" w:rsidP="00E53991">
      <w:pPr>
        <w:pStyle w:val="ListBullet"/>
        <w:numPr>
          <w:ilvl w:val="0"/>
          <w:numId w:val="0"/>
        </w:numPr>
        <w:tabs>
          <w:tab w:val="left" w:pos="567"/>
        </w:tabs>
        <w:spacing w:before="0" w:line="240" w:lineRule="auto"/>
        <w:rPr>
          <w:rFonts w:ascii="Times New Roman" w:hAnsi="Times New Roman"/>
          <w:sz w:val="24"/>
        </w:rPr>
      </w:pPr>
      <w:r w:rsidRPr="00C14051">
        <w:rPr>
          <w:rFonts w:ascii="Times New Roman" w:hAnsi="Times New Roman"/>
          <w:sz w:val="24"/>
        </w:rPr>
        <w:t>MSAC agreed that the most significant area of uncertainty with regard to the cost-effectiveness of the device is the use of survival benefit in the economic model. MSAC considered that:</w:t>
      </w:r>
    </w:p>
    <w:p w14:paraId="468F604F" w14:textId="77777777" w:rsidR="00FA41E4" w:rsidRPr="00C14051" w:rsidRDefault="00FA41E4" w:rsidP="00843E3F">
      <w:pPr>
        <w:pStyle w:val="ListParagraph"/>
        <w:numPr>
          <w:ilvl w:val="0"/>
          <w:numId w:val="31"/>
        </w:numPr>
        <w:tabs>
          <w:tab w:val="left" w:pos="567"/>
        </w:tabs>
        <w:rPr>
          <w:szCs w:val="24"/>
        </w:rPr>
      </w:pPr>
      <w:r w:rsidRPr="00C14051">
        <w:rPr>
          <w:szCs w:val="24"/>
        </w:rPr>
        <w:t>there is a lack of clinical evidence for survival benefit; and</w:t>
      </w:r>
    </w:p>
    <w:p w14:paraId="0057F108" w14:textId="517C3413" w:rsidR="00FA41E4" w:rsidRPr="00967FB7" w:rsidRDefault="00C14051" w:rsidP="00967FB7">
      <w:pPr>
        <w:pStyle w:val="ListParagraph"/>
        <w:numPr>
          <w:ilvl w:val="0"/>
          <w:numId w:val="31"/>
        </w:numPr>
        <w:tabs>
          <w:tab w:val="left" w:pos="567"/>
        </w:tabs>
        <w:spacing w:after="120"/>
        <w:ind w:left="714" w:hanging="357"/>
        <w:rPr>
          <w:szCs w:val="24"/>
        </w:rPr>
      </w:pPr>
      <w:r>
        <w:rPr>
          <w:szCs w:val="24"/>
        </w:rPr>
        <w:t>t</w:t>
      </w:r>
      <w:r w:rsidR="00FA41E4" w:rsidRPr="00C14051">
        <w:rPr>
          <w:szCs w:val="24"/>
        </w:rPr>
        <w:t>he survival benefit has been overstated in the application of survival rates in the model</w:t>
      </w:r>
      <w:bookmarkStart w:id="0" w:name="_GoBack"/>
      <w:bookmarkEnd w:id="0"/>
      <w:r w:rsidR="00FA41E4" w:rsidRPr="00C14051">
        <w:rPr>
          <w:szCs w:val="24"/>
        </w:rPr>
        <w:t>.</w:t>
      </w:r>
    </w:p>
    <w:p w14:paraId="48C65D34" w14:textId="2D18E265" w:rsidR="00FA41E4" w:rsidRPr="00C14051" w:rsidRDefault="00FA41E4" w:rsidP="00843E3F">
      <w:pPr>
        <w:pStyle w:val="ListBullet"/>
        <w:numPr>
          <w:ilvl w:val="0"/>
          <w:numId w:val="0"/>
        </w:numPr>
        <w:tabs>
          <w:tab w:val="left" w:pos="567"/>
        </w:tabs>
        <w:spacing w:before="0" w:after="240" w:line="240" w:lineRule="auto"/>
        <w:rPr>
          <w:rFonts w:ascii="Times New Roman" w:hAnsi="Times New Roman"/>
          <w:sz w:val="24"/>
        </w:rPr>
      </w:pPr>
      <w:r w:rsidRPr="00C14051">
        <w:rPr>
          <w:rFonts w:ascii="Times New Roman" w:hAnsi="Times New Roman"/>
          <w:sz w:val="24"/>
        </w:rPr>
        <w:lastRenderedPageBreak/>
        <w:t xml:space="preserve">MSAC noted that the CHAMPION trial showed a favourable trend toward reduction in mortality but the difference was not significant, nor was the trial sufficiently powered to detect differences in mortality. In its previous consideration of this device, MSAC had identified that assumptions of survival benefit were an area of uncertainty in the model, however at that time there was insufficient information regarding the model provided in the application to identify that survival benefit is the key driver of the model. MSAC noted that, as identified by ESC, in the model 96% of the QALY gains from the intervention are due to mortality gains and MSAC was concerned there were no sensitivity analyses presented </w:t>
      </w:r>
      <w:r w:rsidR="005C1C14">
        <w:rPr>
          <w:rFonts w:ascii="Times New Roman" w:hAnsi="Times New Roman"/>
          <w:sz w:val="24"/>
        </w:rPr>
        <w:t>that tested the full</w:t>
      </w:r>
      <w:r w:rsidR="005C1C14" w:rsidRPr="00C14051">
        <w:rPr>
          <w:rFonts w:ascii="Times New Roman" w:hAnsi="Times New Roman"/>
          <w:sz w:val="24"/>
        </w:rPr>
        <w:t xml:space="preserve"> </w:t>
      </w:r>
      <w:r w:rsidRPr="00C14051">
        <w:rPr>
          <w:rFonts w:ascii="Times New Roman" w:hAnsi="Times New Roman"/>
          <w:sz w:val="24"/>
        </w:rPr>
        <w:t>confidence intervals for the mortality relative risk reduction</w:t>
      </w:r>
      <w:r w:rsidR="005C1C14">
        <w:rPr>
          <w:rFonts w:ascii="Times New Roman" w:hAnsi="Times New Roman"/>
          <w:sz w:val="24"/>
        </w:rPr>
        <w:t xml:space="preserve"> observed in the CHAMPION trial or assuming no mortality risk reduction</w:t>
      </w:r>
      <w:r w:rsidRPr="00C14051">
        <w:rPr>
          <w:rFonts w:ascii="Times New Roman" w:hAnsi="Times New Roman"/>
          <w:sz w:val="24"/>
        </w:rPr>
        <w:t>. Given the lack of clinical evidence for mortality benefit, MSAC considered that an analysis using the cost per hospitalisation avoided or a cost-effectiveness model without any inclusion of survival benefit would be more appropriate.</w:t>
      </w:r>
    </w:p>
    <w:p w14:paraId="7CF26E8D" w14:textId="358B970F" w:rsidR="00C14051" w:rsidRPr="00E53991" w:rsidRDefault="00406A72" w:rsidP="00E53991">
      <w:pPr>
        <w:pStyle w:val="ListBullet"/>
        <w:numPr>
          <w:ilvl w:val="0"/>
          <w:numId w:val="0"/>
        </w:numPr>
        <w:spacing w:before="0" w:after="240" w:line="240" w:lineRule="auto"/>
        <w:rPr>
          <w:rFonts w:ascii="Times New Roman" w:hAnsi="Times New Roman"/>
          <w:sz w:val="24"/>
        </w:rPr>
      </w:pPr>
      <w:r>
        <w:rPr>
          <w:rFonts w:ascii="Times New Roman" w:hAnsi="Times New Roman"/>
          <w:sz w:val="24"/>
        </w:rPr>
        <w:t xml:space="preserve">MSAC noted that at the </w:t>
      </w:r>
      <w:r w:rsidR="00F82FE8" w:rsidRPr="00F82FE8">
        <w:rPr>
          <w:rFonts w:ascii="Times New Roman" w:hAnsi="Times New Roman"/>
          <w:b/>
          <w:sz w:val="24"/>
        </w:rPr>
        <w:t>redacted</w:t>
      </w:r>
      <w:r w:rsidR="00FA41E4" w:rsidRPr="00C14051">
        <w:rPr>
          <w:rFonts w:ascii="Times New Roman" w:hAnsi="Times New Roman"/>
          <w:sz w:val="24"/>
        </w:rPr>
        <w:t xml:space="preserve"> for patients in the CHAMPION trial, however at this time point the model used a 6.1% survival benefit. As such, MSAC considered that the trial-based survival benefit has been overstated in its application in the model. MSAC noted that the use of mortality rates in the model is unchanged from the previous submission and remains a key source of uncertainty. </w:t>
      </w:r>
    </w:p>
    <w:p w14:paraId="7B881D91" w14:textId="106FD9E7" w:rsidR="00C563D8" w:rsidRPr="00C563D8" w:rsidRDefault="00406A72" w:rsidP="00843E3F">
      <w:pPr>
        <w:pStyle w:val="ListBullet"/>
        <w:numPr>
          <w:ilvl w:val="0"/>
          <w:numId w:val="0"/>
        </w:numPr>
        <w:spacing w:before="0" w:after="240" w:line="240" w:lineRule="auto"/>
        <w:rPr>
          <w:rFonts w:ascii="Times New Roman" w:hAnsi="Times New Roman"/>
          <w:sz w:val="24"/>
        </w:rPr>
      </w:pPr>
      <w:r>
        <w:rPr>
          <w:rFonts w:ascii="Times New Roman" w:hAnsi="Times New Roman"/>
          <w:sz w:val="24"/>
        </w:rPr>
        <w:t>MSAC agreed that a 10-</w:t>
      </w:r>
      <w:r w:rsidR="00C563D8" w:rsidRPr="00C563D8">
        <w:rPr>
          <w:rFonts w:ascii="Times New Roman" w:hAnsi="Times New Roman"/>
          <w:sz w:val="24"/>
        </w:rPr>
        <w:t>year time horizon would be more appropriate than the lifetime horizon presented in the model. MSAC recommended that any resubmission should be based on a 10</w:t>
      </w:r>
      <w:r>
        <w:rPr>
          <w:rFonts w:ascii="Times New Roman" w:hAnsi="Times New Roman"/>
          <w:sz w:val="24"/>
        </w:rPr>
        <w:t>-</w:t>
      </w:r>
      <w:r w:rsidR="00C563D8" w:rsidRPr="00C563D8">
        <w:rPr>
          <w:rFonts w:ascii="Times New Roman" w:hAnsi="Times New Roman"/>
          <w:sz w:val="24"/>
        </w:rPr>
        <w:t>year time horizon with a</w:t>
      </w:r>
      <w:r>
        <w:rPr>
          <w:rFonts w:ascii="Times New Roman" w:hAnsi="Times New Roman"/>
          <w:sz w:val="24"/>
        </w:rPr>
        <w:t xml:space="preserve"> sensitivity analysis using a 5-</w:t>
      </w:r>
      <w:r w:rsidR="00C563D8" w:rsidRPr="00C563D8">
        <w:rPr>
          <w:rFonts w:ascii="Times New Roman" w:hAnsi="Times New Roman"/>
          <w:sz w:val="24"/>
        </w:rPr>
        <w:t>year time horizon. MSAC noted that compliance rates in the model are assumed to be 100% and questioned whether this was appropriate given the high rates of discontinuation in the extension study.</w:t>
      </w:r>
    </w:p>
    <w:p w14:paraId="2FE337BE" w14:textId="77777777" w:rsidR="00C563D8" w:rsidRPr="00C563D8" w:rsidRDefault="00C563D8" w:rsidP="00843E3F">
      <w:pPr>
        <w:pStyle w:val="ListBullet"/>
        <w:numPr>
          <w:ilvl w:val="0"/>
          <w:numId w:val="0"/>
        </w:numPr>
        <w:spacing w:before="0" w:after="240" w:line="240" w:lineRule="auto"/>
        <w:rPr>
          <w:rFonts w:ascii="Times New Roman" w:hAnsi="Times New Roman"/>
          <w:sz w:val="24"/>
        </w:rPr>
      </w:pPr>
      <w:r w:rsidRPr="00C563D8">
        <w:rPr>
          <w:rFonts w:ascii="Times New Roman" w:hAnsi="Times New Roman"/>
          <w:sz w:val="24"/>
        </w:rPr>
        <w:t>The model provided in the resubmission includes utilities linked to health states as requested by MSAC following the initial application. MSAC acknowledged that the changes made were appropriate and that although utility values are higher than some in the literature they appear to be reasonable.</w:t>
      </w:r>
    </w:p>
    <w:p w14:paraId="3ADE3570" w14:textId="7F510582" w:rsidR="00C563D8" w:rsidRPr="00C563D8" w:rsidRDefault="00C563D8" w:rsidP="00843E3F">
      <w:pPr>
        <w:pStyle w:val="BodyText"/>
        <w:spacing w:before="0" w:after="240" w:line="240" w:lineRule="auto"/>
        <w:rPr>
          <w:rFonts w:ascii="Times New Roman" w:hAnsi="Times New Roman"/>
          <w:sz w:val="24"/>
          <w:lang w:eastAsia="en-US"/>
        </w:rPr>
      </w:pPr>
      <w:r w:rsidRPr="00C563D8">
        <w:rPr>
          <w:rFonts w:ascii="Times New Roman" w:hAnsi="Times New Roman"/>
          <w:sz w:val="24"/>
        </w:rPr>
        <w:t>MSAC noted that costs for training, monitoring and follow-up testing have not been incorporated in the resubmission model and was concerned that these costs may be substantial.</w:t>
      </w:r>
      <w:r w:rsidRPr="00C563D8">
        <w:rPr>
          <w:rFonts w:ascii="Times New Roman" w:hAnsi="Times New Roman"/>
          <w:sz w:val="24"/>
          <w:lang w:eastAsia="en-US"/>
        </w:rPr>
        <w:t xml:space="preserve"> MSAC acknowledged that HF patients are reviewed frequently, but concluded it is likely that there would still be an increase in consultation rates associated with the proposed monitoring system and that these costs should be included in the </w:t>
      </w:r>
      <w:r w:rsidR="00266CED">
        <w:rPr>
          <w:rFonts w:ascii="Times New Roman" w:hAnsi="Times New Roman"/>
          <w:sz w:val="24"/>
          <w:lang w:eastAsia="en-US"/>
        </w:rPr>
        <w:t>economic</w:t>
      </w:r>
      <w:r w:rsidRPr="00C563D8">
        <w:rPr>
          <w:rFonts w:ascii="Times New Roman" w:hAnsi="Times New Roman"/>
          <w:sz w:val="24"/>
          <w:lang w:eastAsia="en-US"/>
        </w:rPr>
        <w:t xml:space="preserve"> model. </w:t>
      </w:r>
    </w:p>
    <w:p w14:paraId="79B4D31D" w14:textId="77777777" w:rsidR="00C563D8" w:rsidRPr="00C563D8" w:rsidRDefault="00C563D8" w:rsidP="00843E3F">
      <w:pPr>
        <w:pStyle w:val="BodyText"/>
        <w:spacing w:before="0" w:after="240" w:line="240" w:lineRule="auto"/>
        <w:rPr>
          <w:rFonts w:ascii="Times New Roman" w:hAnsi="Times New Roman"/>
          <w:sz w:val="24"/>
          <w:lang w:eastAsia="en-US"/>
        </w:rPr>
      </w:pPr>
      <w:r w:rsidRPr="00C563D8">
        <w:rPr>
          <w:rFonts w:ascii="Times New Roman" w:hAnsi="Times New Roman"/>
          <w:sz w:val="24"/>
          <w:lang w:eastAsia="en-US"/>
        </w:rPr>
        <w:t xml:space="preserve">The method of estimating the potential patient population was unchanged from the previous submission. MSAC has previously identified uncertainties regarding these estimates. </w:t>
      </w:r>
    </w:p>
    <w:p w14:paraId="2914000A" w14:textId="785FCF95" w:rsidR="00C563D8" w:rsidRPr="00C563D8" w:rsidRDefault="00C563D8" w:rsidP="00843E3F">
      <w:pPr>
        <w:pStyle w:val="BodyText"/>
        <w:spacing w:before="0" w:after="240" w:line="240" w:lineRule="auto"/>
        <w:rPr>
          <w:rFonts w:ascii="Times New Roman" w:hAnsi="Times New Roman"/>
          <w:sz w:val="24"/>
          <w:lang w:eastAsia="en-US"/>
        </w:rPr>
      </w:pPr>
      <w:r w:rsidRPr="00C563D8">
        <w:rPr>
          <w:rFonts w:ascii="Times New Roman" w:hAnsi="Times New Roman"/>
          <w:sz w:val="24"/>
          <w:lang w:eastAsia="en-US"/>
        </w:rPr>
        <w:t>MSAC recalled that it had expressed concerns regarding the ongoing management of patients after implantation when reviewing the initial application. The resubmission provides an implementation framework to address these concerns</w:t>
      </w:r>
      <w:r w:rsidR="00266CED">
        <w:rPr>
          <w:rFonts w:ascii="Times New Roman" w:hAnsi="Times New Roman"/>
          <w:sz w:val="24"/>
          <w:lang w:eastAsia="en-US"/>
        </w:rPr>
        <w:t>.</w:t>
      </w:r>
      <w:r w:rsidRPr="00C563D8">
        <w:rPr>
          <w:rFonts w:ascii="Times New Roman" w:hAnsi="Times New Roman"/>
          <w:sz w:val="24"/>
          <w:lang w:eastAsia="en-US"/>
        </w:rPr>
        <w:t xml:space="preserve"> MSAC noted that the real world </w:t>
      </w:r>
      <w:r w:rsidR="00C07A79">
        <w:rPr>
          <w:rFonts w:ascii="Times New Roman" w:hAnsi="Times New Roman"/>
          <w:sz w:val="24"/>
          <w:lang w:eastAsia="en-US"/>
        </w:rPr>
        <w:t xml:space="preserve">experience </w:t>
      </w:r>
      <w:r w:rsidR="00266CED">
        <w:rPr>
          <w:rFonts w:ascii="Times New Roman" w:hAnsi="Times New Roman"/>
          <w:sz w:val="24"/>
          <w:lang w:eastAsia="en-US"/>
        </w:rPr>
        <w:t>in Australia was limited to</w:t>
      </w:r>
      <w:r w:rsidRPr="00C563D8">
        <w:rPr>
          <w:rFonts w:ascii="Times New Roman" w:hAnsi="Times New Roman"/>
          <w:sz w:val="24"/>
          <w:lang w:eastAsia="en-US"/>
        </w:rPr>
        <w:t xml:space="preserve"> seven Australian patients in a single specialist transplant centre. MSAC noted that the use of the pulmonary artery pressure sensor is likely to change the model of care for patients with the device. MSAC suggested that it would be informative to extend the pilot study to less specialised (non-transplant) centres and community centres where the model of care is likely to be different and changes to the model of care are likely to have different repercussions. MSAC stated that it would also like to see clearer engagement with relevant HF care societies. MSAC agreed that additional studies outside the US could help to address the limited external validity of the CHAMPION trial. MSAC agreed that the data from the International registry is likely to provide useful real world information regarding compliance, failure rates and hospitalisation rates, however MSAC reaffirmed that it is unlikely to address MSACs major concerns regarding cost-effectiveness.  </w:t>
      </w:r>
    </w:p>
    <w:p w14:paraId="7F5246E3" w14:textId="716E7E14" w:rsidR="00C563D8" w:rsidRPr="005537A1" w:rsidRDefault="00C563D8" w:rsidP="00843E3F">
      <w:pPr>
        <w:pStyle w:val="ListBullet"/>
        <w:numPr>
          <w:ilvl w:val="0"/>
          <w:numId w:val="0"/>
        </w:numPr>
        <w:spacing w:before="0" w:after="240" w:line="240" w:lineRule="auto"/>
        <w:rPr>
          <w:lang w:eastAsia="en-US"/>
        </w:rPr>
      </w:pPr>
      <w:r w:rsidRPr="00C563D8">
        <w:rPr>
          <w:rFonts w:ascii="Times New Roman" w:hAnsi="Times New Roman"/>
          <w:sz w:val="24"/>
          <w:lang w:eastAsia="en-US"/>
        </w:rPr>
        <w:lastRenderedPageBreak/>
        <w:t xml:space="preserve">MSAC acknowledged that monitoring devices such as </w:t>
      </w:r>
      <w:proofErr w:type="spellStart"/>
      <w:r w:rsidRPr="00C563D8">
        <w:rPr>
          <w:rFonts w:ascii="Times New Roman" w:hAnsi="Times New Roman"/>
          <w:sz w:val="24"/>
          <w:lang w:eastAsia="en-US"/>
        </w:rPr>
        <w:t>CardioMEMS</w:t>
      </w:r>
      <w:proofErr w:type="spellEnd"/>
      <w:r w:rsidRPr="00C563D8">
        <w:rPr>
          <w:rFonts w:ascii="Times New Roman" w:hAnsi="Times New Roman"/>
          <w:sz w:val="24"/>
          <w:lang w:eastAsia="en-US"/>
        </w:rPr>
        <w:t xml:space="preserve"> are likely to become more common in the future and that the Department may need to consider a new policy framework and ways of evaluating these kinds of monitoring devices. MSAC agreed that</w:t>
      </w:r>
      <w:r w:rsidR="00406A72">
        <w:rPr>
          <w:rFonts w:ascii="Times New Roman" w:hAnsi="Times New Roman"/>
          <w:sz w:val="24"/>
          <w:lang w:eastAsia="en-US"/>
        </w:rPr>
        <w:t>,</w:t>
      </w:r>
      <w:r w:rsidRPr="00C563D8">
        <w:rPr>
          <w:rFonts w:ascii="Times New Roman" w:hAnsi="Times New Roman"/>
          <w:sz w:val="24"/>
          <w:lang w:eastAsia="en-US"/>
        </w:rPr>
        <w:t xml:space="preserve"> if used </w:t>
      </w:r>
      <w:r w:rsidR="00406A72">
        <w:rPr>
          <w:rFonts w:ascii="Times New Roman" w:hAnsi="Times New Roman"/>
          <w:sz w:val="24"/>
          <w:lang w:eastAsia="en-US"/>
        </w:rPr>
        <w:t>appropriately</w:t>
      </w:r>
      <w:r w:rsidRPr="00C563D8">
        <w:rPr>
          <w:rFonts w:ascii="Times New Roman" w:hAnsi="Times New Roman"/>
          <w:sz w:val="24"/>
          <w:lang w:eastAsia="en-US"/>
        </w:rPr>
        <w:t xml:space="preserve">, there may be </w:t>
      </w:r>
      <w:r w:rsidR="00406A72">
        <w:rPr>
          <w:rFonts w:ascii="Times New Roman" w:hAnsi="Times New Roman"/>
          <w:sz w:val="24"/>
          <w:lang w:eastAsia="en-US"/>
        </w:rPr>
        <w:t xml:space="preserve">targeted </w:t>
      </w:r>
      <w:r w:rsidRPr="00C563D8">
        <w:rPr>
          <w:rFonts w:ascii="Times New Roman" w:hAnsi="Times New Roman"/>
          <w:sz w:val="24"/>
          <w:lang w:eastAsia="en-US"/>
        </w:rPr>
        <w:t xml:space="preserve">populations who would benefit from including this new way of monitoring in the standard of care. </w:t>
      </w:r>
      <w:r w:rsidRPr="00C563D8">
        <w:rPr>
          <w:rFonts w:ascii="Times New Roman" w:hAnsi="Times New Roman"/>
          <w:sz w:val="24"/>
        </w:rPr>
        <w:t>In the pre-MSAC response the applicant noted the lack of established funding pathways for implanted diagnostic devices and the limitations this places on uptake and equitable access. MSAC was concerned that any recommendation to support the public funding of implantation of the pulmonary artery sensor, without listing of the device on the Prostheses List, would result in e</w:t>
      </w:r>
      <w:r w:rsidRPr="00C563D8">
        <w:rPr>
          <w:rFonts w:ascii="Times New Roman" w:hAnsi="Times New Roman"/>
          <w:sz w:val="24"/>
          <w:lang w:eastAsia="en-US"/>
        </w:rPr>
        <w:t>quity issues.</w:t>
      </w:r>
    </w:p>
    <w:p w14:paraId="127668B4" w14:textId="77777777" w:rsidR="00F31EF6" w:rsidRDefault="00F31EF6" w:rsidP="005A0D32">
      <w:pPr>
        <w:pStyle w:val="Heading1"/>
      </w:pPr>
      <w:r>
        <w:t>Background</w:t>
      </w:r>
    </w:p>
    <w:p w14:paraId="639B8D24" w14:textId="77777777" w:rsidR="00E53991" w:rsidRDefault="00E53991" w:rsidP="00E53991">
      <w:r>
        <w:t>Application 1398 was</w:t>
      </w:r>
      <w:r w:rsidR="00F31EF6">
        <w:t xml:space="preserve"> considered at the November 2015 MSAC meeting. </w:t>
      </w:r>
      <w:r>
        <w:t>MSAC deferred its advice for public funding and recommended reconsideration of the application via the Evaluation Sub-Committee (ESC):</w:t>
      </w:r>
    </w:p>
    <w:p w14:paraId="6182906B" w14:textId="77777777" w:rsidR="00E53991" w:rsidRDefault="00E53991" w:rsidP="00E53991">
      <w:pPr>
        <w:pStyle w:val="ListParagraph"/>
        <w:numPr>
          <w:ilvl w:val="0"/>
          <w:numId w:val="39"/>
        </w:numPr>
      </w:pPr>
      <w:r>
        <w:t xml:space="preserve">After the Prostheses List Advisory Committee (PLAC) has reviewed the recommendation of the </w:t>
      </w:r>
      <w:r w:rsidRPr="003B4BE3">
        <w:t xml:space="preserve">Cardiac Prostheses Clinical Advisory Group </w:t>
      </w:r>
      <w:r>
        <w:t xml:space="preserve">(CPCAG) to not support inclusion of the device in the Prostheses List </w:t>
      </w:r>
    </w:p>
    <w:p w14:paraId="68EB39C0" w14:textId="77777777" w:rsidR="00E53991" w:rsidRDefault="00E53991" w:rsidP="00E53991">
      <w:pPr>
        <w:pStyle w:val="ListParagraph"/>
        <w:numPr>
          <w:ilvl w:val="0"/>
          <w:numId w:val="39"/>
        </w:numPr>
      </w:pPr>
      <w:r>
        <w:t xml:space="preserve">when economic analyses have been re-evaluated </w:t>
      </w:r>
    </w:p>
    <w:p w14:paraId="231375A2" w14:textId="77777777" w:rsidR="00F31EF6" w:rsidRDefault="00E53991" w:rsidP="00E53991">
      <w:pPr>
        <w:pStyle w:val="ListParagraph"/>
        <w:numPr>
          <w:ilvl w:val="0"/>
          <w:numId w:val="39"/>
        </w:numPr>
      </w:pPr>
      <w:proofErr w:type="gramStart"/>
      <w:r>
        <w:t>when</w:t>
      </w:r>
      <w:proofErr w:type="gramEnd"/>
      <w:r>
        <w:t xml:space="preserve"> patient selection has been clearly delineated.</w:t>
      </w:r>
      <w:r w:rsidR="00F31EF6" w:rsidRPr="00F9288B">
        <w:t xml:space="preserve"> </w:t>
      </w:r>
    </w:p>
    <w:p w14:paraId="3C949D7F" w14:textId="77777777" w:rsidR="006B3241" w:rsidRDefault="006B3241" w:rsidP="006B3241"/>
    <w:p w14:paraId="2C6ADC37" w14:textId="77777777" w:rsidR="006B3241" w:rsidRPr="00E53FB1" w:rsidRDefault="006B3241" w:rsidP="006B3241">
      <w:pPr>
        <w:widowControl w:val="0"/>
        <w:rPr>
          <w:szCs w:val="24"/>
        </w:rPr>
      </w:pPr>
      <w:r>
        <w:rPr>
          <w:rFonts w:ascii="TimesNewRomanPSMT" w:eastAsia="Calibri" w:hAnsi="TimesNewRomanPSMT" w:cs="TimesNewRomanPSMT"/>
          <w:szCs w:val="24"/>
        </w:rPr>
        <w:t>The PSD for this previous application can be viewed on the MSAC website.</w:t>
      </w:r>
    </w:p>
    <w:p w14:paraId="1A8F03F9" w14:textId="77777777" w:rsidR="00BC1364" w:rsidRPr="006B3DA0" w:rsidRDefault="00BC1364" w:rsidP="005A0D32">
      <w:pPr>
        <w:pStyle w:val="Heading1"/>
      </w:pPr>
      <w:r w:rsidRPr="006B3DA0">
        <w:t>Prerequisites to implementation of any funding advice</w:t>
      </w:r>
    </w:p>
    <w:p w14:paraId="7B9820B3" w14:textId="77777777" w:rsidR="006B3DA0" w:rsidRPr="003956EE" w:rsidRDefault="006B3DA0" w:rsidP="003A3859">
      <w:pPr>
        <w:tabs>
          <w:tab w:val="left" w:pos="0"/>
        </w:tabs>
        <w:autoSpaceDE w:val="0"/>
        <w:autoSpaceDN w:val="0"/>
        <w:adjustRightInd w:val="0"/>
        <w:rPr>
          <w:rFonts w:eastAsiaTheme="minorHAnsi"/>
          <w:color w:val="000000"/>
          <w:szCs w:val="24"/>
          <w:lang w:eastAsia="en-US"/>
        </w:rPr>
      </w:pPr>
      <w:r w:rsidRPr="006B3DA0">
        <w:rPr>
          <w:rFonts w:eastAsiaTheme="minorHAnsi"/>
          <w:color w:val="000000"/>
          <w:szCs w:val="24"/>
          <w:lang w:eastAsia="en-US"/>
        </w:rPr>
        <w:t xml:space="preserve">The </w:t>
      </w:r>
      <w:r w:rsidR="003A3859">
        <w:rPr>
          <w:rFonts w:eastAsiaTheme="minorHAnsi"/>
          <w:color w:val="000000"/>
          <w:szCs w:val="24"/>
          <w:lang w:eastAsia="en-US"/>
        </w:rPr>
        <w:t>various components of the</w:t>
      </w:r>
      <w:r w:rsidRPr="006B3DA0">
        <w:rPr>
          <w:rFonts w:eastAsiaTheme="minorHAnsi"/>
          <w:color w:val="000000"/>
          <w:szCs w:val="24"/>
          <w:lang w:eastAsia="en-US"/>
        </w:rPr>
        <w:t xml:space="preserve"> Cardio MEMS</w:t>
      </w:r>
      <w:r w:rsidRPr="00E96650">
        <w:rPr>
          <w:rFonts w:eastAsiaTheme="minorHAnsi"/>
          <w:color w:val="000000"/>
          <w:szCs w:val="24"/>
          <w:vertAlign w:val="superscript"/>
          <w:lang w:eastAsia="en-US"/>
        </w:rPr>
        <w:t>TM</w:t>
      </w:r>
      <w:r w:rsidRPr="006B3DA0">
        <w:rPr>
          <w:rFonts w:eastAsiaTheme="minorHAnsi"/>
          <w:color w:val="000000"/>
          <w:szCs w:val="24"/>
          <w:lang w:eastAsia="en-US"/>
        </w:rPr>
        <w:t xml:space="preserve"> HF system</w:t>
      </w:r>
      <w:r w:rsidR="003A3859">
        <w:rPr>
          <w:rFonts w:eastAsiaTheme="minorHAnsi"/>
          <w:color w:val="000000"/>
          <w:szCs w:val="24"/>
          <w:lang w:eastAsia="en-US"/>
        </w:rPr>
        <w:t xml:space="preserve"> are registered </w:t>
      </w:r>
      <w:r w:rsidR="007D784D">
        <w:rPr>
          <w:rFonts w:eastAsiaTheme="minorHAnsi"/>
          <w:color w:val="000000"/>
          <w:szCs w:val="24"/>
          <w:lang w:eastAsia="en-US"/>
        </w:rPr>
        <w:t xml:space="preserve">by the Therapeutic Goods Administration (TGA) </w:t>
      </w:r>
      <w:r w:rsidR="003A3859">
        <w:rPr>
          <w:rFonts w:eastAsiaTheme="minorHAnsi"/>
          <w:color w:val="000000"/>
          <w:szCs w:val="24"/>
          <w:lang w:eastAsia="en-US"/>
        </w:rPr>
        <w:t xml:space="preserve">on the </w:t>
      </w:r>
      <w:r w:rsidR="003A3859" w:rsidRPr="003956EE">
        <w:rPr>
          <w:rFonts w:eastAsiaTheme="minorHAnsi"/>
          <w:color w:val="000000"/>
          <w:szCs w:val="24"/>
          <w:lang w:eastAsia="en-US"/>
        </w:rPr>
        <w:t>Australian Register of Therapeutic Goods (ARTG)</w:t>
      </w:r>
      <w:r w:rsidRPr="003956EE">
        <w:rPr>
          <w:rFonts w:eastAsiaTheme="minorHAnsi"/>
          <w:color w:val="000000"/>
          <w:szCs w:val="24"/>
          <w:lang w:eastAsia="en-US"/>
        </w:rPr>
        <w:t xml:space="preserve">. </w:t>
      </w:r>
    </w:p>
    <w:p w14:paraId="162B6A8A" w14:textId="77777777" w:rsidR="00BC1364" w:rsidRPr="006B3DA0" w:rsidRDefault="00BC1364" w:rsidP="005A0D32">
      <w:pPr>
        <w:pStyle w:val="Heading1"/>
      </w:pPr>
      <w:r w:rsidRPr="006B3DA0">
        <w:t>Proposal for public funding</w:t>
      </w:r>
    </w:p>
    <w:p w14:paraId="1AA2FF2F" w14:textId="253E028E" w:rsidR="006B3DA0" w:rsidRPr="003A3859" w:rsidRDefault="006B3DA0" w:rsidP="00C048C1">
      <w:pPr>
        <w:tabs>
          <w:tab w:val="left" w:pos="0"/>
        </w:tabs>
        <w:spacing w:line="276" w:lineRule="auto"/>
        <w:rPr>
          <w:szCs w:val="24"/>
        </w:rPr>
      </w:pPr>
      <w:r w:rsidRPr="006B3DA0">
        <w:rPr>
          <w:szCs w:val="24"/>
        </w:rPr>
        <w:t xml:space="preserve">The MBS item descriptor proposed in the </w:t>
      </w:r>
      <w:r w:rsidR="007549B4">
        <w:rPr>
          <w:szCs w:val="24"/>
        </w:rPr>
        <w:t>submission based assessment (</w:t>
      </w:r>
      <w:r w:rsidRPr="006B3DA0">
        <w:rPr>
          <w:szCs w:val="24"/>
        </w:rPr>
        <w:t>SBA</w:t>
      </w:r>
      <w:r w:rsidR="007549B4">
        <w:rPr>
          <w:szCs w:val="24"/>
        </w:rPr>
        <w:t>)</w:t>
      </w:r>
      <w:r w:rsidRPr="006B3DA0">
        <w:rPr>
          <w:szCs w:val="24"/>
        </w:rPr>
        <w:t xml:space="preserve"> is </w:t>
      </w:r>
      <w:r w:rsidR="007549B4">
        <w:rPr>
          <w:szCs w:val="24"/>
        </w:rPr>
        <w:t>shown in</w:t>
      </w:r>
      <w:r w:rsidRPr="006B3DA0">
        <w:rPr>
          <w:szCs w:val="24"/>
        </w:rPr>
        <w:t xml:space="preserve"> </w:t>
      </w:r>
      <w:r w:rsidR="003A3859">
        <w:rPr>
          <w:szCs w:val="24"/>
        </w:rPr>
        <w:fldChar w:fldCharType="begin"/>
      </w:r>
      <w:r w:rsidR="003A3859">
        <w:rPr>
          <w:szCs w:val="24"/>
        </w:rPr>
        <w:instrText xml:space="preserve"> REF _Ref469474743 \h  \* MERGEFORMAT </w:instrText>
      </w:r>
      <w:r w:rsidR="003A3859">
        <w:rPr>
          <w:szCs w:val="24"/>
        </w:rPr>
      </w:r>
      <w:r w:rsidR="003A3859">
        <w:rPr>
          <w:szCs w:val="24"/>
        </w:rPr>
        <w:fldChar w:fldCharType="separate"/>
      </w:r>
      <w:r w:rsidR="00C64E51" w:rsidRPr="009D452D">
        <w:rPr>
          <w:szCs w:val="24"/>
        </w:rPr>
        <w:t>Table 1</w:t>
      </w:r>
      <w:r w:rsidR="003A3859">
        <w:rPr>
          <w:szCs w:val="24"/>
        </w:rPr>
        <w:fldChar w:fldCharType="end"/>
      </w:r>
      <w:r w:rsidRPr="006B3DA0">
        <w:rPr>
          <w:szCs w:val="24"/>
        </w:rPr>
        <w:t xml:space="preserve">. </w:t>
      </w:r>
      <w:bookmarkStart w:id="1" w:name="_Ref308709232"/>
    </w:p>
    <w:p w14:paraId="7A2479C0" w14:textId="77777777" w:rsidR="00C563D8" w:rsidRDefault="00C563D8" w:rsidP="003956EE">
      <w:pPr>
        <w:pStyle w:val="Caption"/>
        <w:tabs>
          <w:tab w:val="left" w:pos="567"/>
        </w:tabs>
        <w:ind w:left="567" w:hanging="567"/>
        <w:rPr>
          <w:rFonts w:ascii="Times New Roman" w:hAnsi="Times New Roman" w:cs="Times New Roman"/>
          <w:sz w:val="22"/>
        </w:rPr>
      </w:pPr>
      <w:bookmarkStart w:id="2" w:name="_Ref430959405"/>
      <w:bookmarkEnd w:id="1"/>
    </w:p>
    <w:p w14:paraId="645FA61F" w14:textId="77777777" w:rsidR="006B3DA0" w:rsidRPr="003A3859" w:rsidRDefault="003A3859" w:rsidP="003A3859">
      <w:pPr>
        <w:pStyle w:val="Caption"/>
        <w:rPr>
          <w:rFonts w:ascii="Arial" w:hAnsi="Arial"/>
        </w:rPr>
      </w:pPr>
      <w:bookmarkStart w:id="3" w:name="_Ref469474743"/>
      <w:r w:rsidRPr="003A3859">
        <w:rPr>
          <w:rFonts w:ascii="Arial" w:hAnsi="Arial"/>
        </w:rPr>
        <w:t xml:space="preserve">Table </w:t>
      </w:r>
      <w:r w:rsidRPr="003A3859">
        <w:rPr>
          <w:rFonts w:ascii="Arial" w:hAnsi="Arial"/>
        </w:rPr>
        <w:fldChar w:fldCharType="begin"/>
      </w:r>
      <w:r w:rsidRPr="003A3859">
        <w:rPr>
          <w:rFonts w:ascii="Arial" w:hAnsi="Arial"/>
        </w:rPr>
        <w:instrText xml:space="preserve"> SEQ Table \* ARABIC </w:instrText>
      </w:r>
      <w:r w:rsidRPr="003A3859">
        <w:rPr>
          <w:rFonts w:ascii="Arial" w:hAnsi="Arial"/>
        </w:rPr>
        <w:fldChar w:fldCharType="separate"/>
      </w:r>
      <w:r w:rsidR="00C64E51">
        <w:rPr>
          <w:rFonts w:ascii="Arial" w:hAnsi="Arial"/>
          <w:noProof/>
        </w:rPr>
        <w:t>1</w:t>
      </w:r>
      <w:r w:rsidRPr="003A3859">
        <w:rPr>
          <w:rFonts w:ascii="Arial" w:hAnsi="Arial"/>
        </w:rPr>
        <w:fldChar w:fldCharType="end"/>
      </w:r>
      <w:bookmarkEnd w:id="3"/>
      <w:r w:rsidR="006B3DA0" w:rsidRPr="003A3859">
        <w:rPr>
          <w:rFonts w:ascii="Arial" w:hAnsi="Arial"/>
        </w:rPr>
        <w:t>:</w:t>
      </w:r>
      <w:r w:rsidR="006B3DA0" w:rsidRPr="003A3859">
        <w:rPr>
          <w:rFonts w:ascii="Arial" w:hAnsi="Arial"/>
        </w:rPr>
        <w:tab/>
        <w:t>Proposed MBS item descriptor</w:t>
      </w:r>
      <w:bookmarkEnd w:id="2"/>
    </w:p>
    <w:tbl>
      <w:tblPr>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Proposed MBS item descriptor and fee"/>
      </w:tblPr>
      <w:tblGrid>
        <w:gridCol w:w="9090"/>
      </w:tblGrid>
      <w:tr w:rsidR="006B3DA0" w:rsidRPr="003A3859" w14:paraId="519C5CB8" w14:textId="77777777" w:rsidTr="00E130FA">
        <w:tc>
          <w:tcPr>
            <w:tcW w:w="5000" w:type="pct"/>
          </w:tcPr>
          <w:p w14:paraId="4474D857" w14:textId="77777777" w:rsidR="006B3DA0" w:rsidRPr="003A3859" w:rsidRDefault="006B3DA0" w:rsidP="003956EE">
            <w:pPr>
              <w:pStyle w:val="Tabletextright"/>
              <w:tabs>
                <w:tab w:val="left" w:pos="567"/>
              </w:tabs>
              <w:ind w:left="567" w:hanging="567"/>
              <w:rPr>
                <w:rFonts w:ascii="Arial" w:hAnsi="Arial"/>
              </w:rPr>
            </w:pPr>
            <w:r w:rsidRPr="003A3859">
              <w:rPr>
                <w:rFonts w:ascii="Arial" w:hAnsi="Arial"/>
              </w:rPr>
              <w:t>Category 3 – Therapeutic Procedures</w:t>
            </w:r>
          </w:p>
        </w:tc>
      </w:tr>
      <w:tr w:rsidR="006B3DA0" w:rsidRPr="003A3859" w14:paraId="3B97F97C" w14:textId="77777777" w:rsidTr="00E130FA">
        <w:tc>
          <w:tcPr>
            <w:tcW w:w="5000" w:type="pct"/>
          </w:tcPr>
          <w:p w14:paraId="769DD3E2" w14:textId="77777777" w:rsidR="006B3DA0" w:rsidRPr="003A3859" w:rsidRDefault="006B3DA0" w:rsidP="003956EE">
            <w:pPr>
              <w:pStyle w:val="Tabletext"/>
              <w:tabs>
                <w:tab w:val="left" w:pos="567"/>
              </w:tabs>
              <w:ind w:left="567" w:hanging="567"/>
              <w:rPr>
                <w:rFonts w:ascii="Arial" w:hAnsi="Arial" w:cs="Arial"/>
                <w:szCs w:val="20"/>
              </w:rPr>
            </w:pPr>
            <w:r w:rsidRPr="003A3859">
              <w:rPr>
                <w:rFonts w:ascii="Arial" w:hAnsi="Arial" w:cs="Arial"/>
                <w:szCs w:val="20"/>
              </w:rPr>
              <w:t>MBS Item number XXXX</w:t>
            </w:r>
          </w:p>
          <w:p w14:paraId="1FD68B86" w14:textId="77777777" w:rsidR="003956EE" w:rsidRPr="003A3859" w:rsidRDefault="003956EE" w:rsidP="003956EE">
            <w:pPr>
              <w:pStyle w:val="Tabletext"/>
              <w:tabs>
                <w:tab w:val="left" w:pos="567"/>
              </w:tabs>
              <w:ind w:left="567" w:hanging="567"/>
              <w:rPr>
                <w:rFonts w:ascii="Arial" w:hAnsi="Arial" w:cs="Arial"/>
                <w:snapToGrid w:val="0"/>
                <w:szCs w:val="20"/>
              </w:rPr>
            </w:pPr>
          </w:p>
          <w:p w14:paraId="04B3686D" w14:textId="77777777" w:rsidR="006B3DA0" w:rsidRPr="003A3859" w:rsidRDefault="006B3DA0" w:rsidP="003956EE">
            <w:pPr>
              <w:pStyle w:val="Tabletext"/>
              <w:tabs>
                <w:tab w:val="left" w:pos="567"/>
              </w:tabs>
              <w:ind w:left="567" w:hanging="567"/>
              <w:rPr>
                <w:rFonts w:ascii="Arial" w:hAnsi="Arial" w:cs="Arial"/>
                <w:snapToGrid w:val="0"/>
                <w:szCs w:val="20"/>
              </w:rPr>
            </w:pPr>
            <w:r w:rsidRPr="003A3859">
              <w:rPr>
                <w:rFonts w:ascii="Arial" w:hAnsi="Arial" w:cs="Arial"/>
                <w:snapToGrid w:val="0"/>
                <w:szCs w:val="20"/>
              </w:rPr>
              <w:t>PERMANENT LEADLESS AND BATTERYLESS PULMONARY ARTERY PRESSURE SENSOR, insertion, removal and replacement of, for patients with a diagnosis of moderate HF (NYHA class III) for at least 3 months regardless of ejection fraction, a stable and optimised medication regimen, and a HF-related hospitalisation within the previous 12 months.</w:t>
            </w:r>
          </w:p>
          <w:p w14:paraId="71B9E1C8" w14:textId="77777777" w:rsidR="006B3DA0" w:rsidRPr="003A3859" w:rsidRDefault="006B3DA0" w:rsidP="003956EE">
            <w:pPr>
              <w:pStyle w:val="Tabletext"/>
              <w:tabs>
                <w:tab w:val="left" w:pos="567"/>
              </w:tabs>
              <w:ind w:left="567" w:hanging="567"/>
              <w:rPr>
                <w:rFonts w:ascii="Arial" w:hAnsi="Arial" w:cs="Arial"/>
                <w:snapToGrid w:val="0"/>
                <w:szCs w:val="20"/>
              </w:rPr>
            </w:pPr>
          </w:p>
          <w:p w14:paraId="03179ABD" w14:textId="77777777" w:rsidR="006B3DA0" w:rsidRPr="003A3859" w:rsidRDefault="006B3DA0" w:rsidP="003956EE">
            <w:pPr>
              <w:pStyle w:val="Tabletext"/>
              <w:tabs>
                <w:tab w:val="left" w:pos="567"/>
              </w:tabs>
              <w:ind w:left="567" w:hanging="567"/>
              <w:rPr>
                <w:rFonts w:ascii="Arial" w:hAnsi="Arial" w:cs="Arial"/>
                <w:snapToGrid w:val="0"/>
                <w:szCs w:val="20"/>
              </w:rPr>
            </w:pPr>
            <w:r w:rsidRPr="003A3859">
              <w:rPr>
                <w:rFonts w:ascii="Arial" w:hAnsi="Arial" w:cs="Arial"/>
                <w:snapToGrid w:val="0"/>
                <w:szCs w:val="20"/>
              </w:rPr>
              <w:t>Criteria for a HF-related hospitalisation includes: (a) a hospitalisation during which a patient is admitted for HF or HF is the primary reason for admission; and (b) the patient displays signs and symptoms of HF on admission; and (c) the use of intravenous diuretic, vasodilator, inotropic, or ultrafiltration therapy is required for the purposes of treating HF. The augmentation of oral therapy may be allowable for defining the admission as HF, if no other reasonable diagnosis can be attributed to the admission.</w:t>
            </w:r>
          </w:p>
        </w:tc>
      </w:tr>
      <w:tr w:rsidR="006B3DA0" w:rsidRPr="003A3859" w14:paraId="6468C063" w14:textId="77777777" w:rsidTr="00E130FA">
        <w:tc>
          <w:tcPr>
            <w:tcW w:w="5000" w:type="pct"/>
          </w:tcPr>
          <w:p w14:paraId="504AE60F" w14:textId="77777777" w:rsidR="006B3DA0" w:rsidRPr="003A3859" w:rsidRDefault="006B3DA0" w:rsidP="003956EE">
            <w:pPr>
              <w:pStyle w:val="Tabletext"/>
              <w:tabs>
                <w:tab w:val="left" w:pos="567"/>
              </w:tabs>
              <w:ind w:left="567" w:hanging="567"/>
              <w:rPr>
                <w:rFonts w:ascii="Arial" w:hAnsi="Arial" w:cs="Arial"/>
                <w:szCs w:val="20"/>
              </w:rPr>
            </w:pPr>
            <w:r w:rsidRPr="003A3859">
              <w:rPr>
                <w:rFonts w:ascii="Arial" w:hAnsi="Arial" w:cs="Arial"/>
                <w:szCs w:val="20"/>
              </w:rPr>
              <w:t>Fee: $816.60 Benefit: 75% = $612.45 Benefit: $85% = $694.10</w:t>
            </w:r>
          </w:p>
        </w:tc>
      </w:tr>
    </w:tbl>
    <w:p w14:paraId="21A9883C" w14:textId="77777777" w:rsidR="006B3DA0" w:rsidRPr="00397CAB" w:rsidRDefault="006B3DA0" w:rsidP="00397CAB">
      <w:pPr>
        <w:tabs>
          <w:tab w:val="left" w:pos="567"/>
          <w:tab w:val="left" w:pos="720"/>
          <w:tab w:val="left" w:pos="1140"/>
        </w:tabs>
        <w:ind w:left="567" w:hanging="567"/>
        <w:rPr>
          <w:rFonts w:ascii="Arial" w:hAnsi="Arial" w:cs="Arial"/>
          <w:color w:val="3366FF"/>
          <w:sz w:val="20"/>
        </w:rPr>
      </w:pPr>
      <w:r w:rsidRPr="003A3859">
        <w:rPr>
          <w:rFonts w:ascii="Arial" w:hAnsi="Arial" w:cs="Arial"/>
          <w:sz w:val="20"/>
        </w:rPr>
        <w:t>HF = heart failure; NYHA = New York Heart Association</w:t>
      </w:r>
    </w:p>
    <w:p w14:paraId="7FDC1958" w14:textId="77777777" w:rsidR="00BC1364" w:rsidRPr="006B3DA0" w:rsidRDefault="00BC1364" w:rsidP="005A0D32">
      <w:pPr>
        <w:pStyle w:val="Heading1"/>
      </w:pPr>
      <w:r w:rsidRPr="006B3DA0">
        <w:t xml:space="preserve">Summary of </w:t>
      </w:r>
      <w:r w:rsidR="003D7F29" w:rsidRPr="006B3DA0">
        <w:t>Public Consultation</w:t>
      </w:r>
      <w:r w:rsidRPr="006B3DA0">
        <w:t xml:space="preserve"> Feedback</w:t>
      </w:r>
      <w:r w:rsidR="003D7F29" w:rsidRPr="006B3DA0">
        <w:t>/Consumer Issues</w:t>
      </w:r>
    </w:p>
    <w:p w14:paraId="39C543F9" w14:textId="77777777" w:rsidR="006B3DA0" w:rsidRPr="006B3DA0" w:rsidRDefault="006B3DA0" w:rsidP="003A3859">
      <w:pPr>
        <w:tabs>
          <w:tab w:val="left" w:pos="0"/>
          <w:tab w:val="left" w:pos="720"/>
          <w:tab w:val="left" w:pos="1140"/>
        </w:tabs>
        <w:rPr>
          <w:szCs w:val="24"/>
        </w:rPr>
      </w:pPr>
      <w:r w:rsidRPr="003956EE">
        <w:rPr>
          <w:szCs w:val="24"/>
        </w:rPr>
        <w:t xml:space="preserve">No consumer feedback </w:t>
      </w:r>
      <w:r w:rsidR="006B3241">
        <w:rPr>
          <w:szCs w:val="24"/>
        </w:rPr>
        <w:t>was received</w:t>
      </w:r>
      <w:r w:rsidRPr="003956EE">
        <w:rPr>
          <w:szCs w:val="24"/>
        </w:rPr>
        <w:t>.</w:t>
      </w:r>
    </w:p>
    <w:p w14:paraId="5FCD7CCC" w14:textId="77777777" w:rsidR="00BC1364" w:rsidRPr="006B3DA0" w:rsidRDefault="00BC1364" w:rsidP="005A0D32">
      <w:pPr>
        <w:pStyle w:val="Heading1"/>
      </w:pPr>
      <w:r w:rsidRPr="006B3DA0">
        <w:t>Proposed intervention’s place in clinical management</w:t>
      </w:r>
    </w:p>
    <w:p w14:paraId="69399A0A" w14:textId="77777777" w:rsidR="006B3DA0" w:rsidRPr="006B3DA0" w:rsidRDefault="006B3241" w:rsidP="003956EE">
      <w:pPr>
        <w:tabs>
          <w:tab w:val="left" w:pos="567"/>
        </w:tabs>
        <w:ind w:left="567" w:hanging="567"/>
      </w:pPr>
      <w:r>
        <w:t>The clinical management algorithm remained unchanged from the previous application.</w:t>
      </w:r>
    </w:p>
    <w:p w14:paraId="61D75C1B" w14:textId="77777777" w:rsidR="00BC1364" w:rsidRPr="006B3DA0" w:rsidRDefault="00BC1364" w:rsidP="005A0D32">
      <w:pPr>
        <w:pStyle w:val="Heading1"/>
      </w:pPr>
      <w:r w:rsidRPr="006B3DA0">
        <w:lastRenderedPageBreak/>
        <w:t xml:space="preserve">Comparator </w:t>
      </w:r>
    </w:p>
    <w:p w14:paraId="1DF555EC" w14:textId="77777777" w:rsidR="006B3DA0" w:rsidRPr="006B3DA0" w:rsidRDefault="00410E92" w:rsidP="006B3241">
      <w:pPr>
        <w:tabs>
          <w:tab w:val="left" w:pos="0"/>
          <w:tab w:val="left" w:pos="720"/>
          <w:tab w:val="left" w:pos="1140"/>
        </w:tabs>
      </w:pPr>
      <w:r>
        <w:t xml:space="preserve">As in the previous application, </w:t>
      </w:r>
      <w:r w:rsidR="006B3DA0" w:rsidRPr="006B3DA0">
        <w:t>‘standard care’</w:t>
      </w:r>
      <w:r>
        <w:t xml:space="preserve"> was nominated</w:t>
      </w:r>
      <w:r w:rsidR="006B3DA0" w:rsidRPr="006B3DA0">
        <w:t xml:space="preserve"> as the main comparator, which includes best practice pharmacotherapy, non</w:t>
      </w:r>
      <w:r w:rsidR="006B3DA0" w:rsidRPr="006B3DA0">
        <w:noBreakHyphen/>
        <w:t>pharmacological strategies, other implantable cardiac devices and heart failure management programs.</w:t>
      </w:r>
    </w:p>
    <w:p w14:paraId="67EDF79A" w14:textId="77777777" w:rsidR="00BC1364" w:rsidRPr="006B3DA0" w:rsidRDefault="00BC1364" w:rsidP="005A0D32">
      <w:pPr>
        <w:pStyle w:val="Heading1"/>
      </w:pPr>
      <w:r w:rsidRPr="006B3DA0">
        <w:t>Comparative safety</w:t>
      </w:r>
    </w:p>
    <w:p w14:paraId="2F40C9FB" w14:textId="77777777" w:rsidR="006B3DA0" w:rsidRPr="006B3DA0" w:rsidRDefault="006B3DA0" w:rsidP="008F7EA6">
      <w:pPr>
        <w:tabs>
          <w:tab w:val="left" w:pos="567"/>
          <w:tab w:val="left" w:pos="720"/>
          <w:tab w:val="left" w:pos="1140"/>
        </w:tabs>
        <w:ind w:left="567" w:hanging="567"/>
        <w:rPr>
          <w:szCs w:val="24"/>
        </w:rPr>
      </w:pPr>
      <w:r w:rsidRPr="006B3DA0">
        <w:rPr>
          <w:szCs w:val="24"/>
        </w:rPr>
        <w:t>No further information or evidence regarding safety was presented in the re-submission.</w:t>
      </w:r>
    </w:p>
    <w:p w14:paraId="63915F66" w14:textId="77777777" w:rsidR="006B3DA0" w:rsidRPr="006B3DA0" w:rsidRDefault="006B3DA0" w:rsidP="008F7EA6">
      <w:pPr>
        <w:tabs>
          <w:tab w:val="left" w:pos="567"/>
          <w:tab w:val="left" w:pos="720"/>
          <w:tab w:val="left" w:pos="1140"/>
        </w:tabs>
        <w:ind w:left="567" w:hanging="567"/>
        <w:rPr>
          <w:color w:val="3366FF"/>
          <w:szCs w:val="24"/>
        </w:rPr>
      </w:pPr>
    </w:p>
    <w:p w14:paraId="5B05B541" w14:textId="5A8E7E0C" w:rsidR="006B3DA0" w:rsidRPr="006B3DA0" w:rsidRDefault="006B3DA0" w:rsidP="008F7EA6">
      <w:pPr>
        <w:tabs>
          <w:tab w:val="left" w:pos="0"/>
          <w:tab w:val="left" w:pos="720"/>
          <w:tab w:val="left" w:pos="1140"/>
        </w:tabs>
        <w:rPr>
          <w:szCs w:val="24"/>
        </w:rPr>
      </w:pPr>
      <w:r w:rsidRPr="006B3DA0">
        <w:rPr>
          <w:szCs w:val="24"/>
        </w:rPr>
        <w:t xml:space="preserve">The evidence presented </w:t>
      </w:r>
      <w:r w:rsidR="009A541E">
        <w:rPr>
          <w:szCs w:val="24"/>
        </w:rPr>
        <w:t>was</w:t>
      </w:r>
      <w:r w:rsidRPr="006B3DA0">
        <w:rPr>
          <w:szCs w:val="24"/>
        </w:rPr>
        <w:t xml:space="preserve"> from the CHAMPION trial (Abraham et al, 2011)</w:t>
      </w:r>
      <w:r w:rsidR="00C07A79">
        <w:rPr>
          <w:szCs w:val="24"/>
        </w:rPr>
        <w:t>.</w:t>
      </w:r>
      <w:r w:rsidR="009A541E">
        <w:rPr>
          <w:szCs w:val="24"/>
        </w:rPr>
        <w:t xml:space="preserve"> </w:t>
      </w:r>
      <w:r w:rsidR="00C07A79">
        <w:rPr>
          <w:szCs w:val="24"/>
        </w:rPr>
        <w:t>T</w:t>
      </w:r>
      <w:r w:rsidRPr="006B3DA0">
        <w:rPr>
          <w:szCs w:val="24"/>
        </w:rPr>
        <w:t xml:space="preserve">he key safety findings at 6-month follow up </w:t>
      </w:r>
      <w:r w:rsidR="00CB2D77">
        <w:rPr>
          <w:szCs w:val="24"/>
        </w:rPr>
        <w:t>are</w:t>
      </w:r>
      <w:r w:rsidRPr="006B3DA0">
        <w:rPr>
          <w:szCs w:val="24"/>
        </w:rPr>
        <w:t xml:space="preserve"> presented in </w:t>
      </w:r>
      <w:r w:rsidR="009A541E">
        <w:rPr>
          <w:szCs w:val="24"/>
        </w:rPr>
        <w:fldChar w:fldCharType="begin"/>
      </w:r>
      <w:r w:rsidR="009A541E">
        <w:rPr>
          <w:szCs w:val="24"/>
        </w:rPr>
        <w:instrText xml:space="preserve"> REF _Ref469475959 \h  \* MERGEFORMAT </w:instrText>
      </w:r>
      <w:r w:rsidR="009A541E">
        <w:rPr>
          <w:szCs w:val="24"/>
        </w:rPr>
      </w:r>
      <w:r w:rsidR="009A541E">
        <w:rPr>
          <w:szCs w:val="24"/>
        </w:rPr>
        <w:fldChar w:fldCharType="separate"/>
      </w:r>
      <w:r w:rsidR="00C64E51" w:rsidRPr="009D452D">
        <w:rPr>
          <w:szCs w:val="24"/>
        </w:rPr>
        <w:t>Table 2</w:t>
      </w:r>
      <w:r w:rsidR="009A541E">
        <w:rPr>
          <w:szCs w:val="24"/>
        </w:rPr>
        <w:fldChar w:fldCharType="end"/>
      </w:r>
      <w:r w:rsidRPr="006B3DA0">
        <w:rPr>
          <w:szCs w:val="24"/>
        </w:rPr>
        <w:t>.</w:t>
      </w:r>
    </w:p>
    <w:p w14:paraId="0507595B" w14:textId="77777777" w:rsidR="006B3DA0" w:rsidRPr="009A541E" w:rsidRDefault="006B3DA0" w:rsidP="008F7EA6">
      <w:pPr>
        <w:tabs>
          <w:tab w:val="left" w:pos="567"/>
          <w:tab w:val="left" w:pos="720"/>
          <w:tab w:val="left" w:pos="1140"/>
        </w:tabs>
        <w:ind w:left="567" w:hanging="567"/>
        <w:rPr>
          <w:rFonts w:ascii="Arial" w:hAnsi="Arial" w:cs="Arial"/>
          <w:color w:val="3366FF"/>
          <w:sz w:val="20"/>
        </w:rPr>
      </w:pPr>
    </w:p>
    <w:p w14:paraId="05FBAA44" w14:textId="77777777" w:rsidR="006B3DA0" w:rsidRPr="009A541E" w:rsidRDefault="009A541E" w:rsidP="009A541E">
      <w:pPr>
        <w:pStyle w:val="Caption"/>
        <w:rPr>
          <w:rFonts w:ascii="Arial" w:hAnsi="Arial"/>
        </w:rPr>
      </w:pPr>
      <w:bookmarkStart w:id="4" w:name="_Ref469475959"/>
      <w:r w:rsidRPr="009A541E">
        <w:rPr>
          <w:rFonts w:ascii="Arial" w:hAnsi="Arial"/>
        </w:rPr>
        <w:t xml:space="preserve">Table </w:t>
      </w:r>
      <w:r w:rsidRPr="009A541E">
        <w:rPr>
          <w:rFonts w:ascii="Arial" w:hAnsi="Arial"/>
        </w:rPr>
        <w:fldChar w:fldCharType="begin"/>
      </w:r>
      <w:r w:rsidRPr="009A541E">
        <w:rPr>
          <w:rFonts w:ascii="Arial" w:hAnsi="Arial"/>
        </w:rPr>
        <w:instrText xml:space="preserve"> SEQ Table \* ARABIC </w:instrText>
      </w:r>
      <w:r w:rsidRPr="009A541E">
        <w:rPr>
          <w:rFonts w:ascii="Arial" w:hAnsi="Arial"/>
        </w:rPr>
        <w:fldChar w:fldCharType="separate"/>
      </w:r>
      <w:r w:rsidR="00C64E51">
        <w:rPr>
          <w:rFonts w:ascii="Arial" w:hAnsi="Arial"/>
          <w:noProof/>
        </w:rPr>
        <w:t>2</w:t>
      </w:r>
      <w:r w:rsidRPr="009A541E">
        <w:rPr>
          <w:rFonts w:ascii="Arial" w:hAnsi="Arial"/>
        </w:rPr>
        <w:fldChar w:fldCharType="end"/>
      </w:r>
      <w:bookmarkEnd w:id="4"/>
      <w:r w:rsidR="006B3DA0" w:rsidRPr="009A541E">
        <w:rPr>
          <w:rFonts w:ascii="Arial" w:hAnsi="Arial"/>
          <w:noProof/>
        </w:rPr>
        <w:t>:</w:t>
      </w:r>
      <w:r w:rsidR="006B3DA0" w:rsidRPr="009A541E">
        <w:rPr>
          <w:rFonts w:ascii="Arial" w:hAnsi="Arial"/>
        </w:rPr>
        <w:tab/>
        <w:t>Overall summary of adverse events up to six month follow-up visit</w:t>
      </w:r>
    </w:p>
    <w:tbl>
      <w:tblPr>
        <w:tblW w:w="4908" w:type="pct"/>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Overall summary of adverse events up to six month follow-up visit for the intervention and control arms from the Champion trial."/>
      </w:tblPr>
      <w:tblGrid>
        <w:gridCol w:w="2835"/>
        <w:gridCol w:w="1820"/>
        <w:gridCol w:w="1157"/>
        <w:gridCol w:w="1701"/>
        <w:gridCol w:w="1559"/>
      </w:tblGrid>
      <w:tr w:rsidR="006B3DA0" w:rsidRPr="009A541E" w14:paraId="61C12B45" w14:textId="77777777" w:rsidTr="00E130FA">
        <w:trPr>
          <w:cantSplit/>
          <w:tblHeader/>
        </w:trPr>
        <w:tc>
          <w:tcPr>
            <w:tcW w:w="2835" w:type="dxa"/>
            <w:tcBorders>
              <w:right w:val="nil"/>
            </w:tcBorders>
            <w:shd w:val="clear" w:color="auto" w:fill="auto"/>
            <w:vAlign w:val="center"/>
          </w:tcPr>
          <w:p w14:paraId="22BF9AA4" w14:textId="77777777" w:rsidR="006B3DA0" w:rsidRPr="009A541E" w:rsidRDefault="006B3DA0" w:rsidP="003956EE">
            <w:pPr>
              <w:pStyle w:val="Tabletext"/>
              <w:tabs>
                <w:tab w:val="left" w:pos="567"/>
              </w:tabs>
              <w:ind w:left="567" w:hanging="567"/>
              <w:rPr>
                <w:rFonts w:ascii="Arial" w:hAnsi="Arial" w:cs="Arial"/>
                <w:szCs w:val="20"/>
              </w:rPr>
            </w:pPr>
          </w:p>
        </w:tc>
        <w:tc>
          <w:tcPr>
            <w:tcW w:w="2977" w:type="dxa"/>
            <w:gridSpan w:val="2"/>
            <w:tcBorders>
              <w:left w:val="single" w:sz="4" w:space="0" w:color="auto"/>
              <w:right w:val="single" w:sz="4" w:space="0" w:color="auto"/>
            </w:tcBorders>
            <w:shd w:val="clear" w:color="auto" w:fill="auto"/>
            <w:vAlign w:val="center"/>
          </w:tcPr>
          <w:p w14:paraId="2B9C584D" w14:textId="77777777" w:rsidR="006B3DA0" w:rsidRPr="009A541E" w:rsidRDefault="006B3DA0" w:rsidP="003956EE">
            <w:pPr>
              <w:pStyle w:val="Tabletext"/>
              <w:tabs>
                <w:tab w:val="left" w:pos="567"/>
              </w:tabs>
              <w:ind w:left="567" w:hanging="567"/>
              <w:jc w:val="center"/>
              <w:rPr>
                <w:rFonts w:ascii="Arial" w:hAnsi="Arial" w:cs="Arial"/>
                <w:b/>
                <w:szCs w:val="20"/>
              </w:rPr>
            </w:pPr>
            <w:r w:rsidRPr="009A541E">
              <w:rPr>
                <w:rFonts w:ascii="Arial" w:hAnsi="Arial" w:cs="Arial"/>
                <w:b/>
                <w:szCs w:val="20"/>
              </w:rPr>
              <w:t>Intervention (N=270)</w:t>
            </w:r>
          </w:p>
        </w:tc>
        <w:tc>
          <w:tcPr>
            <w:tcW w:w="3260" w:type="dxa"/>
            <w:gridSpan w:val="2"/>
            <w:tcBorders>
              <w:left w:val="single" w:sz="4" w:space="0" w:color="auto"/>
              <w:right w:val="single" w:sz="4" w:space="0" w:color="auto"/>
            </w:tcBorders>
            <w:shd w:val="clear" w:color="auto" w:fill="auto"/>
            <w:vAlign w:val="center"/>
          </w:tcPr>
          <w:p w14:paraId="27F449D5" w14:textId="77777777" w:rsidR="006B3DA0" w:rsidRPr="009A541E" w:rsidRDefault="006B3DA0" w:rsidP="003956EE">
            <w:pPr>
              <w:pStyle w:val="Tabletext"/>
              <w:tabs>
                <w:tab w:val="left" w:pos="567"/>
              </w:tabs>
              <w:ind w:left="567" w:hanging="567"/>
              <w:jc w:val="center"/>
              <w:rPr>
                <w:rFonts w:ascii="Arial" w:hAnsi="Arial" w:cs="Arial"/>
                <w:b/>
                <w:szCs w:val="20"/>
              </w:rPr>
            </w:pPr>
            <w:r w:rsidRPr="009A541E">
              <w:rPr>
                <w:rFonts w:ascii="Arial" w:hAnsi="Arial" w:cs="Arial"/>
                <w:b/>
                <w:szCs w:val="20"/>
              </w:rPr>
              <w:t>Control (N=280)</w:t>
            </w:r>
          </w:p>
        </w:tc>
      </w:tr>
      <w:tr w:rsidR="006B3DA0" w:rsidRPr="009A541E" w14:paraId="629EC7EC" w14:textId="77777777" w:rsidTr="00E130FA">
        <w:trPr>
          <w:cantSplit/>
          <w:trHeight w:val="181"/>
          <w:tblHeader/>
        </w:trPr>
        <w:tc>
          <w:tcPr>
            <w:tcW w:w="2835" w:type="dxa"/>
            <w:tcBorders>
              <w:right w:val="nil"/>
            </w:tcBorders>
            <w:vAlign w:val="center"/>
          </w:tcPr>
          <w:p w14:paraId="4AA5ED6D" w14:textId="77777777" w:rsidR="006B3DA0" w:rsidRPr="009A541E" w:rsidRDefault="006B3DA0" w:rsidP="003956EE">
            <w:pPr>
              <w:pStyle w:val="Tabletext"/>
              <w:tabs>
                <w:tab w:val="left" w:pos="567"/>
              </w:tabs>
              <w:ind w:left="567" w:hanging="567"/>
              <w:rPr>
                <w:rFonts w:ascii="Arial" w:hAnsi="Arial" w:cs="Arial"/>
                <w:szCs w:val="20"/>
              </w:rPr>
            </w:pPr>
            <w:r w:rsidRPr="009A541E">
              <w:rPr>
                <w:rFonts w:ascii="Arial" w:hAnsi="Arial" w:cs="Arial"/>
                <w:szCs w:val="20"/>
              </w:rPr>
              <w:t>-</w:t>
            </w:r>
          </w:p>
        </w:tc>
        <w:tc>
          <w:tcPr>
            <w:tcW w:w="1820" w:type="dxa"/>
            <w:vAlign w:val="center"/>
          </w:tcPr>
          <w:p w14:paraId="5A9255FF" w14:textId="77777777" w:rsidR="006B3DA0" w:rsidRPr="009A541E" w:rsidRDefault="006B3DA0" w:rsidP="003956EE">
            <w:pPr>
              <w:pStyle w:val="Tabletext"/>
              <w:tabs>
                <w:tab w:val="left" w:pos="567"/>
              </w:tabs>
              <w:ind w:left="567" w:hanging="567"/>
              <w:jc w:val="center"/>
              <w:rPr>
                <w:rFonts w:ascii="Arial" w:hAnsi="Arial" w:cs="Arial"/>
                <w:b/>
                <w:szCs w:val="20"/>
              </w:rPr>
            </w:pPr>
            <w:r w:rsidRPr="009A541E">
              <w:rPr>
                <w:rFonts w:ascii="Arial" w:hAnsi="Arial" w:cs="Arial"/>
                <w:b/>
                <w:szCs w:val="20"/>
              </w:rPr>
              <w:t>Participants (%)</w:t>
            </w:r>
          </w:p>
        </w:tc>
        <w:tc>
          <w:tcPr>
            <w:tcW w:w="1157" w:type="dxa"/>
            <w:vAlign w:val="center"/>
          </w:tcPr>
          <w:p w14:paraId="3AFA0AF4" w14:textId="77777777" w:rsidR="006B3DA0" w:rsidRPr="009A541E" w:rsidRDefault="006B3DA0" w:rsidP="003956EE">
            <w:pPr>
              <w:pStyle w:val="Tabletext"/>
              <w:tabs>
                <w:tab w:val="left" w:pos="567"/>
              </w:tabs>
              <w:ind w:left="567" w:hanging="567"/>
              <w:jc w:val="center"/>
              <w:rPr>
                <w:rFonts w:ascii="Arial" w:hAnsi="Arial" w:cs="Arial"/>
                <w:b/>
                <w:szCs w:val="20"/>
              </w:rPr>
            </w:pPr>
            <w:r w:rsidRPr="009A541E">
              <w:rPr>
                <w:rFonts w:ascii="Arial" w:hAnsi="Arial" w:cs="Arial"/>
                <w:b/>
                <w:szCs w:val="20"/>
              </w:rPr>
              <w:t>Events (n)</w:t>
            </w:r>
          </w:p>
        </w:tc>
        <w:tc>
          <w:tcPr>
            <w:tcW w:w="1701" w:type="dxa"/>
            <w:vAlign w:val="center"/>
          </w:tcPr>
          <w:p w14:paraId="2582FB06" w14:textId="77777777" w:rsidR="006B3DA0" w:rsidRPr="009A541E" w:rsidRDefault="006B3DA0" w:rsidP="003956EE">
            <w:pPr>
              <w:pStyle w:val="Tabletext"/>
              <w:tabs>
                <w:tab w:val="left" w:pos="567"/>
              </w:tabs>
              <w:ind w:left="567" w:hanging="567"/>
              <w:jc w:val="center"/>
              <w:rPr>
                <w:rFonts w:ascii="Arial" w:hAnsi="Arial" w:cs="Arial"/>
                <w:b/>
                <w:szCs w:val="20"/>
              </w:rPr>
            </w:pPr>
            <w:r w:rsidRPr="009A541E">
              <w:rPr>
                <w:rFonts w:ascii="Arial" w:hAnsi="Arial" w:cs="Arial"/>
                <w:b/>
                <w:szCs w:val="20"/>
              </w:rPr>
              <w:t>Participants (%)</w:t>
            </w:r>
          </w:p>
        </w:tc>
        <w:tc>
          <w:tcPr>
            <w:tcW w:w="1559" w:type="dxa"/>
            <w:vAlign w:val="center"/>
          </w:tcPr>
          <w:p w14:paraId="2CE4DA7D" w14:textId="77777777" w:rsidR="006B3DA0" w:rsidRPr="009A541E" w:rsidRDefault="006B3DA0" w:rsidP="003956EE">
            <w:pPr>
              <w:pStyle w:val="Tabletext"/>
              <w:tabs>
                <w:tab w:val="left" w:pos="567"/>
              </w:tabs>
              <w:ind w:left="567" w:hanging="567"/>
              <w:jc w:val="center"/>
              <w:rPr>
                <w:rFonts w:ascii="Arial" w:hAnsi="Arial" w:cs="Arial"/>
                <w:b/>
                <w:szCs w:val="20"/>
              </w:rPr>
            </w:pPr>
            <w:r w:rsidRPr="009A541E">
              <w:rPr>
                <w:rFonts w:ascii="Arial" w:hAnsi="Arial" w:cs="Arial"/>
                <w:b/>
                <w:szCs w:val="20"/>
              </w:rPr>
              <w:t>Events (n)</w:t>
            </w:r>
          </w:p>
        </w:tc>
      </w:tr>
      <w:tr w:rsidR="006B3DA0" w:rsidRPr="009A541E" w14:paraId="5C02A9E4" w14:textId="77777777" w:rsidTr="00E130FA">
        <w:trPr>
          <w:cantSplit/>
          <w:trHeight w:val="228"/>
        </w:trPr>
        <w:tc>
          <w:tcPr>
            <w:tcW w:w="2835" w:type="dxa"/>
            <w:tcBorders>
              <w:right w:val="nil"/>
            </w:tcBorders>
            <w:vAlign w:val="center"/>
          </w:tcPr>
          <w:p w14:paraId="006892C3" w14:textId="77777777" w:rsidR="006B3DA0" w:rsidRPr="009A541E" w:rsidRDefault="006B3DA0" w:rsidP="003956EE">
            <w:pPr>
              <w:pStyle w:val="Tabletext"/>
              <w:tabs>
                <w:tab w:val="left" w:pos="567"/>
              </w:tabs>
              <w:ind w:left="567" w:hanging="567"/>
              <w:rPr>
                <w:rFonts w:ascii="Arial" w:hAnsi="Arial" w:cs="Arial"/>
                <w:szCs w:val="20"/>
              </w:rPr>
            </w:pPr>
            <w:r w:rsidRPr="009A541E">
              <w:rPr>
                <w:rFonts w:ascii="Arial" w:hAnsi="Arial" w:cs="Arial"/>
                <w:szCs w:val="20"/>
              </w:rPr>
              <w:t>Unanticipated SADEs</w:t>
            </w:r>
          </w:p>
        </w:tc>
        <w:tc>
          <w:tcPr>
            <w:tcW w:w="1820" w:type="dxa"/>
            <w:tcMar>
              <w:left w:w="85" w:type="dxa"/>
              <w:right w:w="85" w:type="dxa"/>
            </w:tcMar>
            <w:vAlign w:val="center"/>
          </w:tcPr>
          <w:p w14:paraId="46D2F724"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 (0.0%)</w:t>
            </w:r>
          </w:p>
        </w:tc>
        <w:tc>
          <w:tcPr>
            <w:tcW w:w="1157" w:type="dxa"/>
            <w:tcMar>
              <w:left w:w="85" w:type="dxa"/>
              <w:right w:w="85" w:type="dxa"/>
            </w:tcMar>
            <w:vAlign w:val="center"/>
          </w:tcPr>
          <w:p w14:paraId="265FF1AE"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w:t>
            </w:r>
          </w:p>
        </w:tc>
        <w:tc>
          <w:tcPr>
            <w:tcW w:w="1701" w:type="dxa"/>
            <w:tcMar>
              <w:left w:w="85" w:type="dxa"/>
              <w:right w:w="85" w:type="dxa"/>
            </w:tcMar>
            <w:vAlign w:val="center"/>
          </w:tcPr>
          <w:p w14:paraId="49C75AA8"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1 (0.4%)</w:t>
            </w:r>
          </w:p>
        </w:tc>
        <w:tc>
          <w:tcPr>
            <w:tcW w:w="1559" w:type="dxa"/>
            <w:tcMar>
              <w:left w:w="85" w:type="dxa"/>
              <w:right w:w="85" w:type="dxa"/>
            </w:tcMar>
            <w:vAlign w:val="center"/>
          </w:tcPr>
          <w:p w14:paraId="7FEDAC94"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1</w:t>
            </w:r>
          </w:p>
        </w:tc>
      </w:tr>
      <w:tr w:rsidR="006B3DA0" w:rsidRPr="009A541E" w14:paraId="5C578787" w14:textId="77777777" w:rsidTr="00E130FA">
        <w:trPr>
          <w:cantSplit/>
          <w:trHeight w:val="117"/>
        </w:trPr>
        <w:tc>
          <w:tcPr>
            <w:tcW w:w="2835" w:type="dxa"/>
            <w:tcBorders>
              <w:right w:val="nil"/>
            </w:tcBorders>
            <w:vAlign w:val="center"/>
          </w:tcPr>
          <w:p w14:paraId="6D3C810B" w14:textId="77777777" w:rsidR="006B3DA0" w:rsidRPr="009A541E" w:rsidRDefault="006B3DA0" w:rsidP="003956EE">
            <w:pPr>
              <w:pStyle w:val="Tabletext"/>
              <w:tabs>
                <w:tab w:val="left" w:pos="567"/>
              </w:tabs>
              <w:ind w:left="567" w:hanging="567"/>
              <w:rPr>
                <w:rFonts w:ascii="Arial" w:hAnsi="Arial" w:cs="Arial"/>
                <w:szCs w:val="20"/>
              </w:rPr>
            </w:pPr>
            <w:r w:rsidRPr="009A541E">
              <w:rPr>
                <w:rFonts w:ascii="Arial" w:hAnsi="Arial" w:cs="Arial"/>
                <w:szCs w:val="20"/>
              </w:rPr>
              <w:t>SADEs</w:t>
            </w:r>
          </w:p>
        </w:tc>
        <w:tc>
          <w:tcPr>
            <w:tcW w:w="1820" w:type="dxa"/>
            <w:tcMar>
              <w:left w:w="85" w:type="dxa"/>
              <w:right w:w="85" w:type="dxa"/>
            </w:tcMar>
            <w:vAlign w:val="center"/>
          </w:tcPr>
          <w:p w14:paraId="452F6E71"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2 (0.7%)</w:t>
            </w:r>
          </w:p>
        </w:tc>
        <w:tc>
          <w:tcPr>
            <w:tcW w:w="1157" w:type="dxa"/>
            <w:tcMar>
              <w:left w:w="85" w:type="dxa"/>
              <w:right w:w="85" w:type="dxa"/>
            </w:tcMar>
            <w:vAlign w:val="center"/>
          </w:tcPr>
          <w:p w14:paraId="47ACD12C"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2</w:t>
            </w:r>
          </w:p>
        </w:tc>
        <w:tc>
          <w:tcPr>
            <w:tcW w:w="1701" w:type="dxa"/>
            <w:tcMar>
              <w:left w:w="85" w:type="dxa"/>
              <w:right w:w="85" w:type="dxa"/>
            </w:tcMar>
            <w:vAlign w:val="center"/>
          </w:tcPr>
          <w:p w14:paraId="4BE162F2"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 (0.0%)</w:t>
            </w:r>
          </w:p>
        </w:tc>
        <w:tc>
          <w:tcPr>
            <w:tcW w:w="1559" w:type="dxa"/>
            <w:tcMar>
              <w:left w:w="85" w:type="dxa"/>
              <w:right w:w="85" w:type="dxa"/>
            </w:tcMar>
            <w:vAlign w:val="center"/>
          </w:tcPr>
          <w:p w14:paraId="209DAF37"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w:t>
            </w:r>
          </w:p>
        </w:tc>
      </w:tr>
      <w:tr w:rsidR="006B3DA0" w:rsidRPr="009A541E" w14:paraId="0F19CE02" w14:textId="77777777" w:rsidTr="00E130FA">
        <w:trPr>
          <w:cantSplit/>
          <w:trHeight w:val="163"/>
        </w:trPr>
        <w:tc>
          <w:tcPr>
            <w:tcW w:w="2835" w:type="dxa"/>
            <w:tcBorders>
              <w:right w:val="nil"/>
            </w:tcBorders>
            <w:vAlign w:val="center"/>
          </w:tcPr>
          <w:p w14:paraId="24F728E0" w14:textId="77777777" w:rsidR="006B3DA0" w:rsidRPr="009A541E" w:rsidRDefault="006B3DA0" w:rsidP="003956EE">
            <w:pPr>
              <w:pStyle w:val="Tabletext"/>
              <w:tabs>
                <w:tab w:val="left" w:pos="567"/>
              </w:tabs>
              <w:ind w:left="567" w:hanging="567"/>
              <w:rPr>
                <w:rFonts w:ascii="Arial" w:hAnsi="Arial" w:cs="Arial"/>
                <w:szCs w:val="20"/>
              </w:rPr>
            </w:pPr>
            <w:r w:rsidRPr="009A541E">
              <w:rPr>
                <w:rFonts w:ascii="Arial" w:hAnsi="Arial" w:cs="Arial"/>
                <w:szCs w:val="20"/>
              </w:rPr>
              <w:t>Non-Serious ADEs</w:t>
            </w:r>
          </w:p>
        </w:tc>
        <w:tc>
          <w:tcPr>
            <w:tcW w:w="1820" w:type="dxa"/>
            <w:tcMar>
              <w:left w:w="85" w:type="dxa"/>
              <w:right w:w="85" w:type="dxa"/>
            </w:tcMar>
            <w:vAlign w:val="center"/>
          </w:tcPr>
          <w:p w14:paraId="38E7E341"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5 (1.9%)</w:t>
            </w:r>
          </w:p>
        </w:tc>
        <w:tc>
          <w:tcPr>
            <w:tcW w:w="1157" w:type="dxa"/>
            <w:tcMar>
              <w:left w:w="85" w:type="dxa"/>
              <w:right w:w="85" w:type="dxa"/>
            </w:tcMar>
            <w:vAlign w:val="center"/>
          </w:tcPr>
          <w:p w14:paraId="33061233"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6</w:t>
            </w:r>
          </w:p>
        </w:tc>
        <w:tc>
          <w:tcPr>
            <w:tcW w:w="1701" w:type="dxa"/>
            <w:tcMar>
              <w:left w:w="85" w:type="dxa"/>
              <w:right w:w="85" w:type="dxa"/>
            </w:tcMar>
            <w:vAlign w:val="center"/>
          </w:tcPr>
          <w:p w14:paraId="0AF5035A"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7 (2.5%)</w:t>
            </w:r>
          </w:p>
        </w:tc>
        <w:tc>
          <w:tcPr>
            <w:tcW w:w="1559" w:type="dxa"/>
            <w:tcMar>
              <w:left w:w="85" w:type="dxa"/>
              <w:right w:w="85" w:type="dxa"/>
            </w:tcMar>
            <w:vAlign w:val="center"/>
          </w:tcPr>
          <w:p w14:paraId="748E387B"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11</w:t>
            </w:r>
          </w:p>
        </w:tc>
      </w:tr>
      <w:tr w:rsidR="006B3DA0" w:rsidRPr="009A541E" w14:paraId="0140A312" w14:textId="77777777" w:rsidTr="00E130FA">
        <w:trPr>
          <w:cantSplit/>
          <w:trHeight w:val="68"/>
        </w:trPr>
        <w:tc>
          <w:tcPr>
            <w:tcW w:w="2835" w:type="dxa"/>
            <w:tcBorders>
              <w:right w:val="nil"/>
            </w:tcBorders>
            <w:vAlign w:val="center"/>
          </w:tcPr>
          <w:p w14:paraId="6C00D800" w14:textId="77777777" w:rsidR="006B3DA0" w:rsidRPr="009A541E" w:rsidRDefault="006B3DA0" w:rsidP="003956EE">
            <w:pPr>
              <w:pStyle w:val="Tabletext"/>
              <w:tabs>
                <w:tab w:val="left" w:pos="567"/>
              </w:tabs>
              <w:ind w:left="567" w:hanging="567"/>
              <w:rPr>
                <w:rFonts w:ascii="Arial" w:hAnsi="Arial" w:cs="Arial"/>
                <w:szCs w:val="20"/>
              </w:rPr>
            </w:pPr>
            <w:r w:rsidRPr="009A541E">
              <w:rPr>
                <w:rFonts w:ascii="Arial" w:hAnsi="Arial" w:cs="Arial"/>
                <w:szCs w:val="20"/>
              </w:rPr>
              <w:t>Anticipated AEs (up to 30 days)</w:t>
            </w:r>
          </w:p>
        </w:tc>
        <w:tc>
          <w:tcPr>
            <w:tcW w:w="1820" w:type="dxa"/>
            <w:tcMar>
              <w:left w:w="85" w:type="dxa"/>
              <w:right w:w="85" w:type="dxa"/>
            </w:tcMar>
            <w:vAlign w:val="center"/>
          </w:tcPr>
          <w:p w14:paraId="776B5775"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38 (14.1%)</w:t>
            </w:r>
          </w:p>
        </w:tc>
        <w:tc>
          <w:tcPr>
            <w:tcW w:w="1157" w:type="dxa"/>
            <w:tcMar>
              <w:left w:w="85" w:type="dxa"/>
              <w:right w:w="85" w:type="dxa"/>
            </w:tcMar>
            <w:vAlign w:val="center"/>
          </w:tcPr>
          <w:p w14:paraId="6C070D3A" w14:textId="77777777" w:rsidR="006B3DA0" w:rsidRPr="009A541E" w:rsidRDefault="006B3DA0" w:rsidP="003956EE">
            <w:pPr>
              <w:tabs>
                <w:tab w:val="left" w:pos="567"/>
              </w:tabs>
              <w:ind w:left="567" w:hanging="567"/>
              <w:jc w:val="center"/>
              <w:rPr>
                <w:rFonts w:ascii="Arial" w:hAnsi="Arial" w:cs="Arial"/>
                <w:sz w:val="20"/>
              </w:rPr>
            </w:pPr>
            <w:r w:rsidRPr="009A541E">
              <w:rPr>
                <w:rFonts w:ascii="Arial" w:hAnsi="Arial" w:cs="Arial"/>
                <w:sz w:val="20"/>
              </w:rPr>
              <w:t>47</w:t>
            </w:r>
          </w:p>
        </w:tc>
        <w:tc>
          <w:tcPr>
            <w:tcW w:w="1701" w:type="dxa"/>
            <w:tcMar>
              <w:left w:w="85" w:type="dxa"/>
              <w:right w:w="85" w:type="dxa"/>
            </w:tcMar>
            <w:vAlign w:val="center"/>
          </w:tcPr>
          <w:p w14:paraId="65934F4C"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31 (11.1%)</w:t>
            </w:r>
          </w:p>
        </w:tc>
        <w:tc>
          <w:tcPr>
            <w:tcW w:w="1559" w:type="dxa"/>
            <w:tcMar>
              <w:left w:w="85" w:type="dxa"/>
              <w:right w:w="85" w:type="dxa"/>
            </w:tcMar>
            <w:vAlign w:val="center"/>
          </w:tcPr>
          <w:p w14:paraId="5F55FFBB"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34</w:t>
            </w:r>
          </w:p>
        </w:tc>
      </w:tr>
      <w:tr w:rsidR="006B3DA0" w:rsidRPr="009A541E" w14:paraId="606ED757" w14:textId="77777777" w:rsidTr="00E130FA">
        <w:trPr>
          <w:cantSplit/>
          <w:trHeight w:val="160"/>
        </w:trPr>
        <w:tc>
          <w:tcPr>
            <w:tcW w:w="2835" w:type="dxa"/>
            <w:tcBorders>
              <w:right w:val="nil"/>
            </w:tcBorders>
            <w:vAlign w:val="center"/>
          </w:tcPr>
          <w:p w14:paraId="27BC9FDD" w14:textId="77777777" w:rsidR="006B3DA0" w:rsidRPr="009A541E" w:rsidRDefault="006B3DA0" w:rsidP="003956EE">
            <w:pPr>
              <w:pStyle w:val="Tabletext"/>
              <w:tabs>
                <w:tab w:val="left" w:pos="567"/>
              </w:tabs>
              <w:ind w:left="567" w:hanging="567"/>
              <w:rPr>
                <w:rFonts w:ascii="Arial" w:hAnsi="Arial" w:cs="Arial"/>
                <w:szCs w:val="20"/>
              </w:rPr>
            </w:pPr>
            <w:r w:rsidRPr="009A541E">
              <w:rPr>
                <w:rFonts w:ascii="Arial" w:hAnsi="Arial" w:cs="Arial"/>
                <w:szCs w:val="20"/>
              </w:rPr>
              <w:t>Anticipated SAEs</w:t>
            </w:r>
          </w:p>
        </w:tc>
        <w:tc>
          <w:tcPr>
            <w:tcW w:w="1820" w:type="dxa"/>
            <w:tcMar>
              <w:left w:w="85" w:type="dxa"/>
              <w:right w:w="85" w:type="dxa"/>
            </w:tcMar>
            <w:vAlign w:val="center"/>
          </w:tcPr>
          <w:p w14:paraId="0A4DAF37"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 (0.0%)</w:t>
            </w:r>
          </w:p>
        </w:tc>
        <w:tc>
          <w:tcPr>
            <w:tcW w:w="1157" w:type="dxa"/>
            <w:tcMar>
              <w:left w:w="85" w:type="dxa"/>
              <w:right w:w="85" w:type="dxa"/>
            </w:tcMar>
            <w:vAlign w:val="center"/>
          </w:tcPr>
          <w:p w14:paraId="61478C5C"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w:t>
            </w:r>
          </w:p>
        </w:tc>
        <w:tc>
          <w:tcPr>
            <w:tcW w:w="1701" w:type="dxa"/>
            <w:tcMar>
              <w:left w:w="85" w:type="dxa"/>
              <w:right w:w="85" w:type="dxa"/>
            </w:tcMar>
            <w:vAlign w:val="center"/>
          </w:tcPr>
          <w:p w14:paraId="10E09089"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 (0.0%)</w:t>
            </w:r>
          </w:p>
        </w:tc>
        <w:tc>
          <w:tcPr>
            <w:tcW w:w="1559" w:type="dxa"/>
            <w:tcMar>
              <w:left w:w="85" w:type="dxa"/>
              <w:right w:w="85" w:type="dxa"/>
            </w:tcMar>
            <w:vAlign w:val="center"/>
          </w:tcPr>
          <w:p w14:paraId="1215912B"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0</w:t>
            </w:r>
          </w:p>
        </w:tc>
      </w:tr>
      <w:tr w:rsidR="006B3DA0" w:rsidRPr="009A541E" w14:paraId="5C03677F" w14:textId="77777777" w:rsidTr="00E130FA">
        <w:trPr>
          <w:cantSplit/>
          <w:trHeight w:val="47"/>
        </w:trPr>
        <w:tc>
          <w:tcPr>
            <w:tcW w:w="2835" w:type="dxa"/>
            <w:tcBorders>
              <w:right w:val="nil"/>
            </w:tcBorders>
            <w:vAlign w:val="center"/>
          </w:tcPr>
          <w:p w14:paraId="174811B4" w14:textId="77777777" w:rsidR="006B3DA0" w:rsidRPr="009A541E" w:rsidRDefault="006B3DA0" w:rsidP="003956EE">
            <w:pPr>
              <w:pStyle w:val="Tabletext"/>
              <w:tabs>
                <w:tab w:val="left" w:pos="567"/>
              </w:tabs>
              <w:ind w:left="567" w:hanging="567"/>
              <w:rPr>
                <w:rFonts w:ascii="Arial" w:hAnsi="Arial" w:cs="Arial"/>
                <w:szCs w:val="20"/>
              </w:rPr>
            </w:pPr>
            <w:r w:rsidRPr="009A541E">
              <w:rPr>
                <w:rFonts w:ascii="Arial" w:hAnsi="Arial" w:cs="Arial"/>
                <w:szCs w:val="20"/>
              </w:rPr>
              <w:t>SAEs</w:t>
            </w:r>
          </w:p>
        </w:tc>
        <w:tc>
          <w:tcPr>
            <w:tcW w:w="1820" w:type="dxa"/>
            <w:tcMar>
              <w:left w:w="85" w:type="dxa"/>
              <w:right w:w="85" w:type="dxa"/>
            </w:tcMar>
            <w:vAlign w:val="center"/>
          </w:tcPr>
          <w:p w14:paraId="42DBEBD9"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121 (44.8%)</w:t>
            </w:r>
          </w:p>
        </w:tc>
        <w:tc>
          <w:tcPr>
            <w:tcW w:w="1157" w:type="dxa"/>
            <w:tcMar>
              <w:left w:w="85" w:type="dxa"/>
              <w:right w:w="85" w:type="dxa"/>
            </w:tcMar>
            <w:vAlign w:val="center"/>
          </w:tcPr>
          <w:p w14:paraId="09F3CC49" w14:textId="77777777" w:rsidR="006B3DA0" w:rsidRPr="009A541E" w:rsidRDefault="006B3DA0" w:rsidP="003956EE">
            <w:pPr>
              <w:tabs>
                <w:tab w:val="left" w:pos="567"/>
              </w:tabs>
              <w:ind w:left="567" w:hanging="567"/>
              <w:jc w:val="center"/>
              <w:rPr>
                <w:rFonts w:ascii="Arial" w:hAnsi="Arial" w:cs="Arial"/>
                <w:sz w:val="20"/>
              </w:rPr>
            </w:pPr>
            <w:r w:rsidRPr="009A541E">
              <w:rPr>
                <w:rFonts w:ascii="Arial" w:hAnsi="Arial" w:cs="Arial"/>
                <w:sz w:val="20"/>
              </w:rPr>
              <w:t>339</w:t>
            </w:r>
          </w:p>
        </w:tc>
        <w:tc>
          <w:tcPr>
            <w:tcW w:w="1701" w:type="dxa"/>
            <w:tcMar>
              <w:left w:w="85" w:type="dxa"/>
              <w:right w:w="85" w:type="dxa"/>
            </w:tcMar>
            <w:vAlign w:val="center"/>
          </w:tcPr>
          <w:p w14:paraId="68F0C7EF" w14:textId="77777777" w:rsidR="006B3DA0" w:rsidRPr="009A541E" w:rsidRDefault="006B3DA0" w:rsidP="003956EE">
            <w:pPr>
              <w:pStyle w:val="Tabletext"/>
              <w:tabs>
                <w:tab w:val="left" w:pos="567"/>
              </w:tabs>
              <w:ind w:left="567" w:hanging="567"/>
              <w:jc w:val="center"/>
              <w:rPr>
                <w:rFonts w:ascii="Arial" w:hAnsi="Arial" w:cs="Arial"/>
                <w:szCs w:val="20"/>
              </w:rPr>
            </w:pPr>
            <w:r w:rsidRPr="009A541E">
              <w:rPr>
                <w:rFonts w:ascii="Arial" w:hAnsi="Arial" w:cs="Arial"/>
                <w:szCs w:val="20"/>
              </w:rPr>
              <w:t>155 (55.4%)</w:t>
            </w:r>
          </w:p>
        </w:tc>
        <w:tc>
          <w:tcPr>
            <w:tcW w:w="1559" w:type="dxa"/>
            <w:tcMar>
              <w:left w:w="85" w:type="dxa"/>
              <w:right w:w="85" w:type="dxa"/>
            </w:tcMar>
            <w:vAlign w:val="center"/>
          </w:tcPr>
          <w:p w14:paraId="78331D99" w14:textId="77777777" w:rsidR="006B3DA0" w:rsidRPr="009A541E" w:rsidRDefault="006B3DA0" w:rsidP="003956EE">
            <w:pPr>
              <w:tabs>
                <w:tab w:val="left" w:pos="567"/>
              </w:tabs>
              <w:ind w:left="567" w:hanging="567"/>
              <w:jc w:val="center"/>
              <w:rPr>
                <w:rFonts w:ascii="Arial" w:hAnsi="Arial" w:cs="Arial"/>
                <w:sz w:val="20"/>
              </w:rPr>
            </w:pPr>
            <w:r w:rsidRPr="009A541E">
              <w:rPr>
                <w:rFonts w:ascii="Arial" w:hAnsi="Arial" w:cs="Arial"/>
                <w:sz w:val="20"/>
              </w:rPr>
              <w:t>385</w:t>
            </w:r>
          </w:p>
        </w:tc>
      </w:tr>
      <w:tr w:rsidR="006B3DA0" w:rsidRPr="009A541E" w14:paraId="0EF7155A" w14:textId="77777777" w:rsidTr="00E130FA">
        <w:trPr>
          <w:cantSplit/>
          <w:trHeight w:val="151"/>
        </w:trPr>
        <w:tc>
          <w:tcPr>
            <w:tcW w:w="2835" w:type="dxa"/>
            <w:tcBorders>
              <w:right w:val="nil"/>
            </w:tcBorders>
            <w:vAlign w:val="center"/>
          </w:tcPr>
          <w:p w14:paraId="09A66927" w14:textId="77777777" w:rsidR="006B3DA0" w:rsidRPr="009A541E" w:rsidRDefault="006B3DA0" w:rsidP="003956EE">
            <w:pPr>
              <w:pStyle w:val="Tabletext"/>
              <w:keepNext/>
              <w:keepLines/>
              <w:tabs>
                <w:tab w:val="left" w:pos="567"/>
              </w:tabs>
              <w:ind w:left="567" w:hanging="567"/>
              <w:rPr>
                <w:rFonts w:ascii="Arial" w:hAnsi="Arial" w:cs="Arial"/>
                <w:szCs w:val="20"/>
              </w:rPr>
            </w:pPr>
            <w:r w:rsidRPr="009A541E">
              <w:rPr>
                <w:rFonts w:ascii="Arial" w:hAnsi="Arial" w:cs="Arial"/>
                <w:szCs w:val="20"/>
              </w:rPr>
              <w:t>Non-Serious AEs</w:t>
            </w:r>
          </w:p>
        </w:tc>
        <w:tc>
          <w:tcPr>
            <w:tcW w:w="1820" w:type="dxa"/>
            <w:tcMar>
              <w:left w:w="85" w:type="dxa"/>
              <w:right w:w="85" w:type="dxa"/>
            </w:tcMar>
            <w:vAlign w:val="center"/>
          </w:tcPr>
          <w:p w14:paraId="501CB3DD" w14:textId="77777777" w:rsidR="006B3DA0" w:rsidRPr="009A541E" w:rsidRDefault="006B3DA0" w:rsidP="003956EE">
            <w:pPr>
              <w:pStyle w:val="Tabletext"/>
              <w:keepNext/>
              <w:keepLines/>
              <w:tabs>
                <w:tab w:val="left" w:pos="567"/>
              </w:tabs>
              <w:ind w:left="567" w:hanging="567"/>
              <w:jc w:val="center"/>
              <w:rPr>
                <w:rFonts w:ascii="Arial" w:hAnsi="Arial" w:cs="Arial"/>
                <w:szCs w:val="20"/>
              </w:rPr>
            </w:pPr>
            <w:r w:rsidRPr="009A541E">
              <w:rPr>
                <w:rFonts w:ascii="Arial" w:hAnsi="Arial" w:cs="Arial"/>
                <w:szCs w:val="20"/>
              </w:rPr>
              <w:t>175 (64.8%)</w:t>
            </w:r>
          </w:p>
        </w:tc>
        <w:tc>
          <w:tcPr>
            <w:tcW w:w="1157" w:type="dxa"/>
            <w:tcMar>
              <w:left w:w="85" w:type="dxa"/>
              <w:right w:w="85" w:type="dxa"/>
            </w:tcMar>
            <w:vAlign w:val="center"/>
          </w:tcPr>
          <w:p w14:paraId="782D160D" w14:textId="77777777" w:rsidR="006B3DA0" w:rsidRPr="009A541E" w:rsidRDefault="006B3DA0" w:rsidP="003956EE">
            <w:pPr>
              <w:pStyle w:val="Tabletext"/>
              <w:keepNext/>
              <w:keepLines/>
              <w:tabs>
                <w:tab w:val="left" w:pos="567"/>
              </w:tabs>
              <w:ind w:left="567" w:hanging="567"/>
              <w:jc w:val="center"/>
              <w:rPr>
                <w:rFonts w:ascii="Arial" w:hAnsi="Arial" w:cs="Arial"/>
                <w:szCs w:val="20"/>
              </w:rPr>
            </w:pPr>
            <w:r w:rsidRPr="009A541E">
              <w:rPr>
                <w:rFonts w:ascii="Arial" w:hAnsi="Arial" w:cs="Arial"/>
                <w:szCs w:val="20"/>
              </w:rPr>
              <w:t>603</w:t>
            </w:r>
          </w:p>
        </w:tc>
        <w:tc>
          <w:tcPr>
            <w:tcW w:w="1701" w:type="dxa"/>
            <w:tcMar>
              <w:left w:w="85" w:type="dxa"/>
              <w:right w:w="85" w:type="dxa"/>
            </w:tcMar>
            <w:vAlign w:val="center"/>
          </w:tcPr>
          <w:p w14:paraId="74B3D8B8" w14:textId="77777777" w:rsidR="006B3DA0" w:rsidRPr="009A541E" w:rsidRDefault="006B3DA0" w:rsidP="003956EE">
            <w:pPr>
              <w:pStyle w:val="Tabletext"/>
              <w:keepNext/>
              <w:keepLines/>
              <w:tabs>
                <w:tab w:val="left" w:pos="567"/>
              </w:tabs>
              <w:ind w:left="567" w:hanging="567"/>
              <w:jc w:val="center"/>
              <w:rPr>
                <w:rFonts w:ascii="Arial" w:hAnsi="Arial" w:cs="Arial"/>
                <w:szCs w:val="20"/>
              </w:rPr>
            </w:pPr>
            <w:r w:rsidRPr="009A541E">
              <w:rPr>
                <w:rFonts w:ascii="Arial" w:hAnsi="Arial" w:cs="Arial"/>
                <w:szCs w:val="20"/>
              </w:rPr>
              <w:t>174 (62.1%)</w:t>
            </w:r>
          </w:p>
        </w:tc>
        <w:tc>
          <w:tcPr>
            <w:tcW w:w="1559" w:type="dxa"/>
            <w:tcMar>
              <w:left w:w="85" w:type="dxa"/>
              <w:right w:w="85" w:type="dxa"/>
            </w:tcMar>
            <w:vAlign w:val="center"/>
          </w:tcPr>
          <w:p w14:paraId="328E0F8B" w14:textId="77777777" w:rsidR="006B3DA0" w:rsidRPr="009A541E" w:rsidRDefault="006B3DA0" w:rsidP="003956EE">
            <w:pPr>
              <w:pStyle w:val="Tabletext"/>
              <w:keepNext/>
              <w:keepLines/>
              <w:tabs>
                <w:tab w:val="left" w:pos="567"/>
              </w:tabs>
              <w:ind w:left="567" w:hanging="567"/>
              <w:jc w:val="center"/>
              <w:rPr>
                <w:rFonts w:ascii="Arial" w:hAnsi="Arial" w:cs="Arial"/>
                <w:szCs w:val="20"/>
              </w:rPr>
            </w:pPr>
            <w:r w:rsidRPr="009A541E">
              <w:rPr>
                <w:rFonts w:ascii="Arial" w:hAnsi="Arial" w:cs="Arial"/>
                <w:szCs w:val="20"/>
              </w:rPr>
              <w:t>505</w:t>
            </w:r>
          </w:p>
        </w:tc>
      </w:tr>
    </w:tbl>
    <w:p w14:paraId="37FAC69B" w14:textId="77777777" w:rsidR="006B3DA0" w:rsidRPr="009A541E" w:rsidRDefault="006B3DA0" w:rsidP="003956EE">
      <w:pPr>
        <w:pStyle w:val="Tablecaption"/>
        <w:tabs>
          <w:tab w:val="left" w:pos="0"/>
        </w:tabs>
        <w:rPr>
          <w:rFonts w:ascii="Arial" w:hAnsi="Arial"/>
        </w:rPr>
      </w:pPr>
      <w:r w:rsidRPr="009A541E">
        <w:rPr>
          <w:rFonts w:ascii="Arial" w:hAnsi="Arial"/>
        </w:rPr>
        <w:t>ADEs = adverse device events; AEs = adverse events; SADEs = serious adverse device events; SAEs = serious adverse events</w:t>
      </w:r>
    </w:p>
    <w:p w14:paraId="2AA208E5" w14:textId="77777777" w:rsidR="006B3DA0" w:rsidRPr="006B3DA0" w:rsidRDefault="006B3DA0" w:rsidP="008F7EA6">
      <w:pPr>
        <w:tabs>
          <w:tab w:val="left" w:pos="567"/>
        </w:tabs>
        <w:ind w:left="567" w:hanging="567"/>
        <w:rPr>
          <w:szCs w:val="24"/>
        </w:rPr>
      </w:pPr>
    </w:p>
    <w:p w14:paraId="253BF1D7" w14:textId="37B8A21F" w:rsidR="006B3DA0" w:rsidRPr="006B3DA0" w:rsidRDefault="006B3DA0" w:rsidP="008F7EA6">
      <w:pPr>
        <w:tabs>
          <w:tab w:val="left" w:pos="0"/>
          <w:tab w:val="left" w:pos="720"/>
          <w:tab w:val="left" w:pos="1140"/>
        </w:tabs>
        <w:rPr>
          <w:szCs w:val="24"/>
        </w:rPr>
      </w:pPr>
      <w:r w:rsidRPr="006B3DA0">
        <w:rPr>
          <w:szCs w:val="24"/>
        </w:rPr>
        <w:t xml:space="preserve">On the basis of the harms reported in the evidence base, the </w:t>
      </w:r>
      <w:r w:rsidR="007549B4">
        <w:rPr>
          <w:szCs w:val="24"/>
        </w:rPr>
        <w:t>SBA proposed</w:t>
      </w:r>
      <w:r w:rsidRPr="006B3DA0">
        <w:rPr>
          <w:szCs w:val="24"/>
        </w:rPr>
        <w:t xml:space="preserve"> that, relative to standard care, permanent leadless and </w:t>
      </w:r>
      <w:proofErr w:type="spellStart"/>
      <w:r w:rsidRPr="006B3DA0">
        <w:rPr>
          <w:szCs w:val="24"/>
        </w:rPr>
        <w:t>batteryless</w:t>
      </w:r>
      <w:proofErr w:type="spellEnd"/>
      <w:r w:rsidRPr="006B3DA0">
        <w:rPr>
          <w:szCs w:val="24"/>
        </w:rPr>
        <w:t xml:space="preserve"> haemodynamic monitoring has non-inferior safety. </w:t>
      </w:r>
      <w:r w:rsidRPr="006B3DA0">
        <w:t xml:space="preserve">The critique considered that this may not be reasonable because the control arm in the CHAMPION trial was not strictly ‘standard care’, </w:t>
      </w:r>
      <w:r w:rsidR="00C07A79">
        <w:t xml:space="preserve">given that </w:t>
      </w:r>
      <w:r w:rsidRPr="006B3DA0">
        <w:t>patients in the control arm were implanted with the device before randomisation, and there were device-related and system-related complications in both arms.</w:t>
      </w:r>
    </w:p>
    <w:p w14:paraId="07B984E0" w14:textId="77777777" w:rsidR="00BC1364" w:rsidRPr="006B3DA0" w:rsidRDefault="00BC1364" w:rsidP="005A0D32">
      <w:pPr>
        <w:pStyle w:val="Heading1"/>
      </w:pPr>
      <w:r w:rsidRPr="006B3DA0">
        <w:t>Comparative effectiveness</w:t>
      </w:r>
    </w:p>
    <w:p w14:paraId="732B2897" w14:textId="77777777" w:rsidR="006B3DA0" w:rsidRPr="006B3DA0" w:rsidRDefault="00954D3B" w:rsidP="007549B4">
      <w:pPr>
        <w:tabs>
          <w:tab w:val="left" w:pos="567"/>
          <w:tab w:val="left" w:pos="720"/>
          <w:tab w:val="left" w:pos="1140"/>
        </w:tabs>
        <w:rPr>
          <w:szCs w:val="24"/>
        </w:rPr>
      </w:pPr>
      <w:r>
        <w:rPr>
          <w:szCs w:val="24"/>
        </w:rPr>
        <w:t>Additional</w:t>
      </w:r>
      <w:r w:rsidR="006B3DA0" w:rsidRPr="006B3DA0">
        <w:rPr>
          <w:szCs w:val="24"/>
        </w:rPr>
        <w:t xml:space="preserve"> evidence from the CHAMPION extension study </w:t>
      </w:r>
      <w:r>
        <w:rPr>
          <w:szCs w:val="24"/>
        </w:rPr>
        <w:t>was</w:t>
      </w:r>
      <w:r w:rsidR="006B3DA0" w:rsidRPr="006B3DA0">
        <w:rPr>
          <w:szCs w:val="24"/>
        </w:rPr>
        <w:t xml:space="preserve"> presented</w:t>
      </w:r>
      <w:r>
        <w:rPr>
          <w:szCs w:val="24"/>
        </w:rPr>
        <w:t xml:space="preserve"> in the resubmission</w:t>
      </w:r>
      <w:r w:rsidR="006B3DA0" w:rsidRPr="006B3DA0">
        <w:rPr>
          <w:szCs w:val="24"/>
        </w:rPr>
        <w:t>.</w:t>
      </w:r>
    </w:p>
    <w:p w14:paraId="59C110EE" w14:textId="77777777" w:rsidR="006B3DA0" w:rsidRPr="006B3DA0" w:rsidRDefault="006B3DA0" w:rsidP="007549B4">
      <w:pPr>
        <w:tabs>
          <w:tab w:val="left" w:pos="567"/>
          <w:tab w:val="left" w:pos="720"/>
          <w:tab w:val="left" w:pos="1140"/>
        </w:tabs>
        <w:rPr>
          <w:szCs w:val="24"/>
        </w:rPr>
      </w:pPr>
    </w:p>
    <w:p w14:paraId="5EB35FD6" w14:textId="67B26054" w:rsidR="006B3DA0" w:rsidRPr="006B3DA0" w:rsidRDefault="006B3DA0" w:rsidP="007549B4">
      <w:pPr>
        <w:tabs>
          <w:tab w:val="left" w:pos="567"/>
        </w:tabs>
        <w:autoSpaceDE w:val="0"/>
        <w:autoSpaceDN w:val="0"/>
        <w:adjustRightInd w:val="0"/>
        <w:rPr>
          <w:rFonts w:eastAsiaTheme="minorHAnsi"/>
          <w:color w:val="000000"/>
          <w:szCs w:val="24"/>
          <w:lang w:eastAsia="en-US"/>
        </w:rPr>
      </w:pPr>
      <w:r w:rsidRPr="006B3DA0">
        <w:rPr>
          <w:rFonts w:eastAsiaTheme="minorHAnsi"/>
          <w:color w:val="000000"/>
          <w:szCs w:val="24"/>
          <w:lang w:eastAsia="en-US"/>
        </w:rPr>
        <w:t>The CHAMPION trial reported significant improvements in clinical outcomes for the intervention group compared to control including a reduction in HF-related hospitalisation (84% control compared to 46% intervention) and a reduction in all-cause hospitalisations (1.65 per patient control compared to 1.38 per patient intervention). Mortality was not significantly different (23% control compared to 19% intervention</w:t>
      </w:r>
      <w:r w:rsidR="00DA0D12">
        <w:rPr>
          <w:rFonts w:eastAsiaTheme="minorHAnsi"/>
          <w:color w:val="000000"/>
          <w:szCs w:val="24"/>
          <w:lang w:eastAsia="en-US"/>
        </w:rPr>
        <w:t>)</w:t>
      </w:r>
      <w:proofErr w:type="gramStart"/>
      <w:r w:rsidR="00DA0D12">
        <w:rPr>
          <w:rFonts w:eastAsiaTheme="minorHAnsi"/>
          <w:color w:val="000000"/>
          <w:szCs w:val="24"/>
          <w:lang w:eastAsia="en-US"/>
        </w:rPr>
        <w:t>,</w:t>
      </w:r>
      <w:proofErr w:type="gramEnd"/>
      <w:r w:rsidRPr="006B3DA0">
        <w:rPr>
          <w:rFonts w:eastAsiaTheme="minorHAnsi"/>
          <w:color w:val="000000"/>
          <w:szCs w:val="24"/>
          <w:lang w:eastAsia="en-US"/>
        </w:rPr>
        <w:t xml:space="preserve"> however the trial was not powered to assess mortality.</w:t>
      </w:r>
    </w:p>
    <w:p w14:paraId="22708BBB" w14:textId="77777777" w:rsidR="006B3DA0" w:rsidRPr="006B3DA0" w:rsidRDefault="006B3DA0" w:rsidP="007549B4">
      <w:pPr>
        <w:tabs>
          <w:tab w:val="left" w:pos="567"/>
        </w:tabs>
        <w:autoSpaceDE w:val="0"/>
        <w:autoSpaceDN w:val="0"/>
        <w:adjustRightInd w:val="0"/>
        <w:rPr>
          <w:rFonts w:eastAsiaTheme="minorHAnsi"/>
          <w:color w:val="000000"/>
          <w:szCs w:val="24"/>
          <w:lang w:eastAsia="en-US"/>
        </w:rPr>
      </w:pPr>
      <w:r w:rsidRPr="006B3DA0">
        <w:rPr>
          <w:rFonts w:eastAsiaTheme="minorHAnsi"/>
          <w:color w:val="000000"/>
          <w:szCs w:val="24"/>
          <w:lang w:eastAsia="en-US"/>
        </w:rPr>
        <w:t xml:space="preserve"> </w:t>
      </w:r>
    </w:p>
    <w:p w14:paraId="52AD497E" w14:textId="210B5245" w:rsidR="006B3DA0" w:rsidRPr="006B3DA0" w:rsidRDefault="006B3DA0" w:rsidP="007549B4">
      <w:pPr>
        <w:tabs>
          <w:tab w:val="left" w:pos="567"/>
        </w:tabs>
        <w:autoSpaceDE w:val="0"/>
        <w:autoSpaceDN w:val="0"/>
        <w:adjustRightInd w:val="0"/>
        <w:rPr>
          <w:rFonts w:eastAsiaTheme="minorHAnsi"/>
          <w:color w:val="000000"/>
          <w:szCs w:val="24"/>
          <w:lang w:eastAsia="en-US"/>
        </w:rPr>
      </w:pPr>
      <w:r w:rsidRPr="006B3DA0">
        <w:rPr>
          <w:rFonts w:eastAsiaTheme="minorHAnsi"/>
          <w:color w:val="000000"/>
          <w:szCs w:val="24"/>
          <w:lang w:eastAsia="en-US"/>
        </w:rPr>
        <w:t xml:space="preserve">The CHAMPION extension study now reports that for patients previously in the control group, new access to their PA pressure readings during the open access study period also resulted in significantly improved outcomes including a 48% reduction in HF-related hospitalisations, </w:t>
      </w:r>
      <w:r w:rsidR="00C07A79">
        <w:rPr>
          <w:rFonts w:eastAsiaTheme="minorHAnsi"/>
          <w:color w:val="000000"/>
          <w:szCs w:val="24"/>
          <w:lang w:eastAsia="en-US"/>
        </w:rPr>
        <w:t xml:space="preserve">and </w:t>
      </w:r>
      <w:r w:rsidRPr="006B3DA0">
        <w:rPr>
          <w:rFonts w:eastAsiaTheme="minorHAnsi"/>
          <w:color w:val="000000"/>
          <w:szCs w:val="24"/>
          <w:lang w:eastAsia="en-US"/>
        </w:rPr>
        <w:t>a 21% reduction in all-cause hospitalisations.</w:t>
      </w:r>
    </w:p>
    <w:p w14:paraId="5CE94854" w14:textId="77777777" w:rsidR="006B3DA0" w:rsidRPr="006B3DA0" w:rsidRDefault="006B3DA0" w:rsidP="007549B4">
      <w:pPr>
        <w:tabs>
          <w:tab w:val="left" w:pos="567"/>
        </w:tabs>
        <w:autoSpaceDE w:val="0"/>
        <w:autoSpaceDN w:val="0"/>
        <w:adjustRightInd w:val="0"/>
        <w:rPr>
          <w:rFonts w:eastAsiaTheme="minorHAnsi"/>
          <w:color w:val="000000"/>
          <w:szCs w:val="24"/>
          <w:lang w:eastAsia="en-US"/>
        </w:rPr>
      </w:pPr>
      <w:r w:rsidRPr="006B3DA0">
        <w:rPr>
          <w:rFonts w:eastAsiaTheme="minorHAnsi"/>
          <w:color w:val="000000"/>
          <w:szCs w:val="24"/>
          <w:lang w:eastAsia="en-US"/>
        </w:rPr>
        <w:t xml:space="preserve"> </w:t>
      </w:r>
    </w:p>
    <w:p w14:paraId="7C88AB62" w14:textId="77A8E2AC" w:rsidR="006B3DA0" w:rsidRPr="006B3DA0" w:rsidRDefault="006B3DA0" w:rsidP="00EA45D4">
      <w:pPr>
        <w:tabs>
          <w:tab w:val="left" w:pos="567"/>
          <w:tab w:val="left" w:pos="720"/>
          <w:tab w:val="left" w:pos="1140"/>
        </w:tabs>
        <w:spacing w:after="240"/>
        <w:rPr>
          <w:rFonts w:eastAsiaTheme="minorHAnsi"/>
          <w:color w:val="000000"/>
          <w:szCs w:val="24"/>
          <w:lang w:eastAsia="en-US"/>
        </w:rPr>
      </w:pPr>
      <w:r w:rsidRPr="006B3DA0">
        <w:rPr>
          <w:rFonts w:eastAsiaTheme="minorHAnsi"/>
          <w:color w:val="000000"/>
          <w:szCs w:val="24"/>
          <w:lang w:eastAsia="en-US"/>
        </w:rPr>
        <w:t>The CHAMPION extension study reports that patients previously in the intervention group with continued access to their PA pressure readings during the open access study period (but not under trial conditions) appear to retain the outcomes achieved during the randomised period of the trial. HF-related hospitalisations were 45% in the follow up period compared to 48% in randomised period. All-cause hospitalisations were an average of 1.32</w:t>
      </w:r>
      <w:r w:rsidR="00EA45D4">
        <w:rPr>
          <w:rFonts w:eastAsiaTheme="minorHAnsi"/>
          <w:color w:val="000000"/>
          <w:szCs w:val="24"/>
          <w:lang w:eastAsia="en-US"/>
        </w:rPr>
        <w:t> </w:t>
      </w:r>
      <w:r w:rsidRPr="006B3DA0">
        <w:rPr>
          <w:rFonts w:eastAsiaTheme="minorHAnsi"/>
          <w:color w:val="000000"/>
          <w:szCs w:val="24"/>
          <w:lang w:eastAsia="en-US"/>
        </w:rPr>
        <w:t xml:space="preserve">per person in </w:t>
      </w:r>
      <w:r w:rsidRPr="006B3DA0">
        <w:rPr>
          <w:rFonts w:eastAsiaTheme="minorHAnsi"/>
          <w:color w:val="000000"/>
          <w:szCs w:val="24"/>
          <w:lang w:eastAsia="en-US"/>
        </w:rPr>
        <w:lastRenderedPageBreak/>
        <w:t xml:space="preserve">the follow up period compared to 1.51 per person in the randomised period. 18% of patients died in the follow up period compared to 19% in the randomised period. Key results across study time periods </w:t>
      </w:r>
      <w:r w:rsidR="00982280">
        <w:rPr>
          <w:rFonts w:eastAsiaTheme="minorHAnsi"/>
          <w:color w:val="000000"/>
          <w:szCs w:val="24"/>
          <w:lang w:eastAsia="en-US"/>
        </w:rPr>
        <w:t>are</w:t>
      </w:r>
      <w:r w:rsidRPr="006B3DA0">
        <w:rPr>
          <w:rFonts w:eastAsiaTheme="minorHAnsi"/>
          <w:color w:val="000000"/>
          <w:szCs w:val="24"/>
          <w:lang w:eastAsia="en-US"/>
        </w:rPr>
        <w:t xml:space="preserve"> presented in </w:t>
      </w:r>
      <w:r w:rsidR="00EA45D4">
        <w:rPr>
          <w:rFonts w:eastAsiaTheme="minorHAnsi"/>
          <w:color w:val="000000"/>
          <w:szCs w:val="24"/>
          <w:lang w:eastAsia="en-US"/>
        </w:rPr>
        <w:fldChar w:fldCharType="begin"/>
      </w:r>
      <w:r w:rsidR="00EA45D4">
        <w:rPr>
          <w:rFonts w:eastAsiaTheme="minorHAnsi"/>
          <w:color w:val="000000"/>
          <w:szCs w:val="24"/>
          <w:lang w:eastAsia="en-US"/>
        </w:rPr>
        <w:instrText xml:space="preserve"> REF _Ref469476293 \h </w:instrText>
      </w:r>
      <w:r w:rsidR="00EA45D4">
        <w:rPr>
          <w:rFonts w:eastAsiaTheme="minorHAnsi"/>
          <w:color w:val="000000"/>
          <w:szCs w:val="24"/>
          <w:lang w:eastAsia="en-US"/>
        </w:rPr>
      </w:r>
      <w:r w:rsidR="00EA45D4">
        <w:rPr>
          <w:rFonts w:eastAsiaTheme="minorHAnsi"/>
          <w:color w:val="000000"/>
          <w:szCs w:val="24"/>
          <w:lang w:eastAsia="en-US"/>
        </w:rPr>
        <w:fldChar w:fldCharType="separate"/>
      </w:r>
      <w:r w:rsidR="00C64E51">
        <w:t xml:space="preserve">Table </w:t>
      </w:r>
      <w:r w:rsidR="00C64E51">
        <w:rPr>
          <w:noProof/>
        </w:rPr>
        <w:t>3</w:t>
      </w:r>
      <w:r w:rsidR="00EA45D4">
        <w:rPr>
          <w:rFonts w:eastAsiaTheme="minorHAnsi"/>
          <w:color w:val="000000"/>
          <w:szCs w:val="24"/>
          <w:lang w:eastAsia="en-US"/>
        </w:rPr>
        <w:fldChar w:fldCharType="end"/>
      </w:r>
      <w:r w:rsidR="00EA45D4">
        <w:rPr>
          <w:rFonts w:eastAsiaTheme="minorHAnsi"/>
          <w:color w:val="000000"/>
          <w:szCs w:val="24"/>
          <w:lang w:eastAsia="en-US"/>
        </w:rPr>
        <w:t>.</w:t>
      </w:r>
    </w:p>
    <w:p w14:paraId="2223CBE2" w14:textId="77777777" w:rsidR="006B3DA0" w:rsidRPr="00EA45D4" w:rsidRDefault="00EA45D4" w:rsidP="00EA45D4">
      <w:pPr>
        <w:pStyle w:val="Caption"/>
        <w:jc w:val="left"/>
      </w:pPr>
      <w:bookmarkStart w:id="5" w:name="_Ref469476293"/>
      <w:r>
        <w:t xml:space="preserve">Table </w:t>
      </w:r>
      <w:fldSimple w:instr=" SEQ Table \* ARABIC ">
        <w:r w:rsidR="00C64E51">
          <w:rPr>
            <w:noProof/>
          </w:rPr>
          <w:t>3</w:t>
        </w:r>
      </w:fldSimple>
      <w:bookmarkEnd w:id="5"/>
      <w:r w:rsidR="006B3DA0" w:rsidRPr="00C563D8">
        <w:rPr>
          <w:rFonts w:eastAsiaTheme="minorHAnsi"/>
          <w:color w:val="000000"/>
          <w:szCs w:val="22"/>
        </w:rPr>
        <w:t xml:space="preserve">: </w:t>
      </w:r>
      <w:r w:rsidR="006B3DA0" w:rsidRPr="00C563D8">
        <w:rPr>
          <w:rFonts w:eastAsiaTheme="minorHAnsi"/>
          <w:color w:val="000000"/>
          <w:szCs w:val="22"/>
        </w:rPr>
        <w:tab/>
      </w:r>
      <w:r w:rsidR="006B3DA0" w:rsidRPr="00C563D8">
        <w:rPr>
          <w:rFonts w:eastAsiaTheme="minorHAnsi"/>
          <w:color w:val="000000"/>
          <w:szCs w:val="22"/>
        </w:rPr>
        <w:tab/>
      </w:r>
      <w:r w:rsidR="006B3DA0" w:rsidRPr="00C563D8">
        <w:rPr>
          <w:szCs w:val="22"/>
        </w:rPr>
        <w:t>Long term clinical outcomes from randomised access and open access periods</w:t>
      </w:r>
    </w:p>
    <w:tbl>
      <w:tblPr>
        <w:tblW w:w="1011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Results of the primary outcomes of the CHAMPION trial from the randomised access treatment study period compared with the open access study period."/>
      </w:tblPr>
      <w:tblGrid>
        <w:gridCol w:w="1052"/>
        <w:gridCol w:w="910"/>
        <w:gridCol w:w="910"/>
        <w:gridCol w:w="530"/>
        <w:gridCol w:w="587"/>
        <w:gridCol w:w="910"/>
        <w:gridCol w:w="743"/>
        <w:gridCol w:w="590"/>
        <w:gridCol w:w="747"/>
        <w:gridCol w:w="1070"/>
        <w:gridCol w:w="892"/>
        <w:gridCol w:w="590"/>
        <w:gridCol w:w="581"/>
      </w:tblGrid>
      <w:tr w:rsidR="003956EE" w:rsidRPr="00E755D7" w14:paraId="3358D566" w14:textId="77777777" w:rsidTr="003956EE">
        <w:trPr>
          <w:cantSplit/>
          <w:trHeight w:val="761"/>
        </w:trPr>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516B8D"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Outcome</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97E0E2"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Randomised access treatment group (n=270)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AFDB8"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Randomised access control group (n=280)</w:t>
            </w:r>
          </w:p>
        </w:tc>
        <w:tc>
          <w:tcPr>
            <w:tcW w:w="53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04377C"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Risk (95% CI)</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1805E"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p-value</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365469"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Randomised access control group (n=280)</w:t>
            </w:r>
          </w:p>
        </w:tc>
        <w:tc>
          <w:tcPr>
            <w:tcW w:w="0" w:type="auto"/>
            <w:tcBorders>
              <w:top w:val="single" w:sz="4" w:space="0" w:color="auto"/>
              <w:left w:val="single" w:sz="4" w:space="0" w:color="auto"/>
              <w:bottom w:val="single" w:sz="4" w:space="0" w:color="auto"/>
              <w:right w:val="single" w:sz="4" w:space="0" w:color="auto"/>
            </w:tcBorders>
            <w:vAlign w:val="center"/>
          </w:tcPr>
          <w:p w14:paraId="29513E2D"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Open access former control group (n=170)</w:t>
            </w:r>
          </w:p>
        </w:tc>
        <w:tc>
          <w:tcPr>
            <w:tcW w:w="0" w:type="auto"/>
            <w:tcBorders>
              <w:top w:val="single" w:sz="4" w:space="0" w:color="auto"/>
              <w:left w:val="single" w:sz="4" w:space="0" w:color="auto"/>
              <w:bottom w:val="single" w:sz="4" w:space="0" w:color="auto"/>
              <w:right w:val="single" w:sz="4" w:space="0" w:color="auto"/>
            </w:tcBorders>
            <w:vAlign w:val="center"/>
          </w:tcPr>
          <w:p w14:paraId="2CCB0BE8"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Risk (95% CI)</w:t>
            </w:r>
          </w:p>
        </w:tc>
        <w:tc>
          <w:tcPr>
            <w:tcW w:w="0" w:type="auto"/>
            <w:tcBorders>
              <w:top w:val="single" w:sz="4" w:space="0" w:color="auto"/>
              <w:left w:val="single" w:sz="4" w:space="0" w:color="auto"/>
              <w:bottom w:val="single" w:sz="4" w:space="0" w:color="auto"/>
              <w:right w:val="single" w:sz="4" w:space="0" w:color="auto"/>
            </w:tcBorders>
            <w:vAlign w:val="center"/>
          </w:tcPr>
          <w:p w14:paraId="049488AB"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p-value</w:t>
            </w:r>
          </w:p>
        </w:tc>
        <w:tc>
          <w:tcPr>
            <w:tcW w:w="0" w:type="auto"/>
            <w:tcBorders>
              <w:top w:val="single" w:sz="4" w:space="0" w:color="auto"/>
              <w:left w:val="single" w:sz="4" w:space="0" w:color="auto"/>
              <w:bottom w:val="single" w:sz="4" w:space="0" w:color="auto"/>
              <w:right w:val="single" w:sz="4" w:space="0" w:color="auto"/>
            </w:tcBorders>
            <w:vAlign w:val="center"/>
          </w:tcPr>
          <w:p w14:paraId="514BC33D"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Randomised access treatment group (n=270)</w:t>
            </w:r>
          </w:p>
        </w:tc>
        <w:tc>
          <w:tcPr>
            <w:tcW w:w="0" w:type="auto"/>
            <w:tcBorders>
              <w:top w:val="single" w:sz="4" w:space="0" w:color="auto"/>
              <w:left w:val="single" w:sz="4" w:space="0" w:color="auto"/>
              <w:bottom w:val="single" w:sz="4" w:space="0" w:color="auto"/>
              <w:right w:val="single" w:sz="4" w:space="0" w:color="auto"/>
            </w:tcBorders>
            <w:vAlign w:val="center"/>
          </w:tcPr>
          <w:p w14:paraId="628DE110"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Open access former treatment group (n=177)</w:t>
            </w:r>
          </w:p>
        </w:tc>
        <w:tc>
          <w:tcPr>
            <w:tcW w:w="0" w:type="auto"/>
            <w:tcBorders>
              <w:top w:val="single" w:sz="4" w:space="0" w:color="auto"/>
              <w:left w:val="single" w:sz="4" w:space="0" w:color="auto"/>
              <w:bottom w:val="single" w:sz="4" w:space="0" w:color="auto"/>
              <w:right w:val="single" w:sz="4" w:space="0" w:color="auto"/>
            </w:tcBorders>
            <w:vAlign w:val="center"/>
          </w:tcPr>
          <w:p w14:paraId="77FFFDD9"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Risk (95% CI)</w:t>
            </w:r>
          </w:p>
        </w:tc>
        <w:tc>
          <w:tcPr>
            <w:tcW w:w="0" w:type="auto"/>
            <w:tcBorders>
              <w:top w:val="single" w:sz="4" w:space="0" w:color="auto"/>
              <w:left w:val="single" w:sz="4" w:space="0" w:color="auto"/>
              <w:bottom w:val="single" w:sz="4" w:space="0" w:color="auto"/>
              <w:right w:val="single" w:sz="4" w:space="0" w:color="auto"/>
            </w:tcBorders>
            <w:vAlign w:val="center"/>
          </w:tcPr>
          <w:p w14:paraId="32BA6246" w14:textId="77777777" w:rsidR="003956EE" w:rsidRPr="00E755D7" w:rsidRDefault="003956EE" w:rsidP="002A77EC">
            <w:pPr>
              <w:pStyle w:val="Tabletext"/>
              <w:keepNext/>
              <w:keepLines/>
              <w:jc w:val="center"/>
              <w:rPr>
                <w:rFonts w:ascii="Times New Roman" w:hAnsi="Times New Roman"/>
                <w:b/>
                <w:sz w:val="16"/>
                <w:szCs w:val="16"/>
              </w:rPr>
            </w:pPr>
            <w:r w:rsidRPr="00E755D7">
              <w:rPr>
                <w:rFonts w:ascii="Times New Roman" w:hAnsi="Times New Roman"/>
                <w:b/>
                <w:sz w:val="16"/>
                <w:szCs w:val="16"/>
              </w:rPr>
              <w:t>p-value</w:t>
            </w:r>
          </w:p>
        </w:tc>
      </w:tr>
      <w:tr w:rsidR="003956EE" w:rsidRPr="00E755D7" w14:paraId="449C47E0" w14:textId="77777777" w:rsidTr="003956EE">
        <w:trPr>
          <w:cantSplit/>
          <w:trHeight w:val="662"/>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FF65D8" w14:textId="77777777" w:rsidR="003956EE" w:rsidRPr="00E755D7" w:rsidRDefault="003956EE" w:rsidP="002A77EC">
            <w:pPr>
              <w:pStyle w:val="Tabletext"/>
              <w:keepLines/>
              <w:rPr>
                <w:rFonts w:ascii="Times New Roman" w:hAnsi="Times New Roman"/>
                <w:sz w:val="16"/>
                <w:szCs w:val="16"/>
              </w:rPr>
            </w:pPr>
            <w:r w:rsidRPr="00E755D7">
              <w:rPr>
                <w:rFonts w:ascii="Times New Roman" w:hAnsi="Times New Roman"/>
                <w:sz w:val="16"/>
                <w:szCs w:val="16"/>
              </w:rPr>
              <w:t xml:space="preserve">HF-related hospitalisations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DF30DB8"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182 (0.46)</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0624E99"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279 (0.84)</w:t>
            </w:r>
          </w:p>
        </w:tc>
        <w:tc>
          <w:tcPr>
            <w:tcW w:w="5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6DF5B5"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0.67 (0.55, 0.80)</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780E72"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&lt;0.0001</w:t>
            </w:r>
            <w:r w:rsidRPr="00E755D7">
              <w:rPr>
                <w:rFonts w:ascii="Times New Roman" w:hAnsi="Times New Roman"/>
                <w:sz w:val="16"/>
                <w:szCs w:val="16"/>
                <w:vertAlign w:val="superscript"/>
              </w:rPr>
              <w:t xml:space="preserve"> a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CF289E"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279 (0.68)</w:t>
            </w:r>
          </w:p>
        </w:tc>
        <w:tc>
          <w:tcPr>
            <w:tcW w:w="0" w:type="auto"/>
            <w:tcBorders>
              <w:top w:val="single" w:sz="4" w:space="0" w:color="auto"/>
              <w:left w:val="single" w:sz="4" w:space="0" w:color="auto"/>
              <w:bottom w:val="single" w:sz="4" w:space="0" w:color="auto"/>
              <w:right w:val="single" w:sz="4" w:space="0" w:color="auto"/>
            </w:tcBorders>
            <w:vAlign w:val="center"/>
          </w:tcPr>
          <w:p w14:paraId="29562352"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64 (0.36)</w:t>
            </w:r>
          </w:p>
        </w:tc>
        <w:tc>
          <w:tcPr>
            <w:tcW w:w="0" w:type="auto"/>
            <w:tcBorders>
              <w:top w:val="single" w:sz="4" w:space="0" w:color="auto"/>
              <w:left w:val="single" w:sz="4" w:space="0" w:color="auto"/>
              <w:bottom w:val="single" w:sz="4" w:space="0" w:color="auto"/>
              <w:right w:val="single" w:sz="4" w:space="0" w:color="auto"/>
            </w:tcBorders>
            <w:vAlign w:val="center"/>
          </w:tcPr>
          <w:p w14:paraId="6895C62C"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0.52 (0.4, 0.69)</w:t>
            </w:r>
          </w:p>
        </w:tc>
        <w:tc>
          <w:tcPr>
            <w:tcW w:w="0" w:type="auto"/>
            <w:tcBorders>
              <w:top w:val="single" w:sz="4" w:space="0" w:color="auto"/>
              <w:left w:val="single" w:sz="4" w:space="0" w:color="auto"/>
              <w:bottom w:val="single" w:sz="4" w:space="0" w:color="auto"/>
              <w:right w:val="single" w:sz="4" w:space="0" w:color="auto"/>
            </w:tcBorders>
            <w:vAlign w:val="center"/>
          </w:tcPr>
          <w:p w14:paraId="54E06777"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&lt;0.0001</w:t>
            </w:r>
            <w:r w:rsidRPr="00E755D7">
              <w:rPr>
                <w:rFonts w:ascii="Times New Roman" w:hAnsi="Times New Roman"/>
                <w:sz w:val="16"/>
                <w:szCs w:val="16"/>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vAlign w:val="center"/>
          </w:tcPr>
          <w:p w14:paraId="3FEE2622"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182 (0.48)</w:t>
            </w:r>
          </w:p>
        </w:tc>
        <w:tc>
          <w:tcPr>
            <w:tcW w:w="0" w:type="auto"/>
            <w:tcBorders>
              <w:top w:val="single" w:sz="4" w:space="0" w:color="auto"/>
              <w:left w:val="single" w:sz="4" w:space="0" w:color="auto"/>
              <w:bottom w:val="single" w:sz="4" w:space="0" w:color="auto"/>
              <w:right w:val="single" w:sz="4" w:space="0" w:color="auto"/>
            </w:tcBorders>
            <w:vAlign w:val="center"/>
          </w:tcPr>
          <w:p w14:paraId="2E39C164"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78 (0.45)</w:t>
            </w:r>
          </w:p>
        </w:tc>
        <w:tc>
          <w:tcPr>
            <w:tcW w:w="0" w:type="auto"/>
            <w:tcBorders>
              <w:top w:val="single" w:sz="4" w:space="0" w:color="auto"/>
              <w:left w:val="single" w:sz="4" w:space="0" w:color="auto"/>
              <w:bottom w:val="single" w:sz="4" w:space="0" w:color="auto"/>
              <w:right w:val="single" w:sz="4" w:space="0" w:color="auto"/>
            </w:tcBorders>
            <w:vAlign w:val="center"/>
          </w:tcPr>
          <w:p w14:paraId="78BCE766"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0.93 (0.7, 1.22)</w:t>
            </w:r>
          </w:p>
        </w:tc>
        <w:tc>
          <w:tcPr>
            <w:tcW w:w="0" w:type="auto"/>
            <w:tcBorders>
              <w:top w:val="single" w:sz="4" w:space="0" w:color="auto"/>
              <w:left w:val="single" w:sz="4" w:space="0" w:color="auto"/>
              <w:bottom w:val="single" w:sz="4" w:space="0" w:color="auto"/>
              <w:right w:val="single" w:sz="4" w:space="0" w:color="auto"/>
            </w:tcBorders>
            <w:vAlign w:val="center"/>
          </w:tcPr>
          <w:p w14:paraId="02063E9A"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0.58</w:t>
            </w:r>
            <w:r w:rsidRPr="00E755D7">
              <w:rPr>
                <w:rFonts w:ascii="Times New Roman" w:hAnsi="Times New Roman"/>
                <w:sz w:val="16"/>
                <w:szCs w:val="16"/>
                <w:vertAlign w:val="superscript"/>
              </w:rPr>
              <w:t xml:space="preserve"> a</w:t>
            </w:r>
          </w:p>
        </w:tc>
      </w:tr>
      <w:tr w:rsidR="003956EE" w:rsidRPr="00E755D7" w14:paraId="22678DAE" w14:textId="77777777" w:rsidTr="003956EE">
        <w:trPr>
          <w:cantSplit/>
          <w:trHeight w:val="653"/>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7E437B" w14:textId="77777777" w:rsidR="003956EE" w:rsidRPr="00E755D7" w:rsidRDefault="003956EE" w:rsidP="002A77EC">
            <w:pPr>
              <w:pStyle w:val="Tabletext"/>
              <w:keepLines/>
              <w:rPr>
                <w:rFonts w:ascii="Times New Roman" w:hAnsi="Times New Roman"/>
                <w:sz w:val="16"/>
                <w:szCs w:val="16"/>
              </w:rPr>
            </w:pPr>
            <w:r w:rsidRPr="00E755D7">
              <w:rPr>
                <w:rFonts w:ascii="Times New Roman" w:hAnsi="Times New Roman"/>
                <w:sz w:val="16"/>
                <w:szCs w:val="16"/>
              </w:rPr>
              <w:t>Death and HF-related hospitalisations</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EF8DC4"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232 (0.58)</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E6801" w14:textId="77777777" w:rsidR="003956EE" w:rsidRPr="00E755D7" w:rsidRDefault="003956EE" w:rsidP="002A77EC">
            <w:pPr>
              <w:pStyle w:val="Tabletext"/>
              <w:keepLines/>
              <w:ind w:left="-13" w:firstLine="13"/>
              <w:jc w:val="center"/>
              <w:rPr>
                <w:rFonts w:ascii="Times New Roman" w:hAnsi="Times New Roman"/>
                <w:sz w:val="16"/>
                <w:szCs w:val="16"/>
              </w:rPr>
            </w:pPr>
            <w:r w:rsidRPr="00E755D7">
              <w:rPr>
                <w:rFonts w:ascii="Times New Roman" w:hAnsi="Times New Roman"/>
                <w:sz w:val="16"/>
                <w:szCs w:val="16"/>
              </w:rPr>
              <w:t>343 (0.84)</w:t>
            </w:r>
          </w:p>
        </w:tc>
        <w:tc>
          <w:tcPr>
            <w:tcW w:w="53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88B2FF"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0.69 (0.59, 0.82)</w:t>
            </w:r>
            <w:r w:rsidRPr="00E755D7">
              <w:rPr>
                <w:rFonts w:ascii="Times New Roman" w:hAnsi="Times New Roman"/>
                <w:sz w:val="16"/>
                <w:szCs w:val="16"/>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47C92A"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&lt;0.0001</w:t>
            </w:r>
            <w:r w:rsidRPr="00E755D7">
              <w:rPr>
                <w:rFonts w:ascii="Times New Roman" w:hAnsi="Times New Roman"/>
                <w:sz w:val="16"/>
                <w:szCs w:val="16"/>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FD12A6"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343 (0.84)</w:t>
            </w:r>
          </w:p>
        </w:tc>
        <w:tc>
          <w:tcPr>
            <w:tcW w:w="0" w:type="auto"/>
            <w:tcBorders>
              <w:top w:val="single" w:sz="4" w:space="0" w:color="auto"/>
              <w:left w:val="single" w:sz="4" w:space="0" w:color="auto"/>
              <w:bottom w:val="single" w:sz="4" w:space="0" w:color="auto"/>
              <w:right w:val="single" w:sz="4" w:space="0" w:color="auto"/>
            </w:tcBorders>
            <w:vAlign w:val="center"/>
          </w:tcPr>
          <w:p w14:paraId="58C11B3B"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85 (0.51)</w:t>
            </w:r>
          </w:p>
        </w:tc>
        <w:tc>
          <w:tcPr>
            <w:tcW w:w="0" w:type="auto"/>
            <w:tcBorders>
              <w:top w:val="single" w:sz="4" w:space="0" w:color="auto"/>
              <w:left w:val="single" w:sz="4" w:space="0" w:color="auto"/>
              <w:bottom w:val="single" w:sz="4" w:space="0" w:color="auto"/>
              <w:right w:val="single" w:sz="4" w:space="0" w:color="auto"/>
            </w:tcBorders>
            <w:vAlign w:val="center"/>
          </w:tcPr>
          <w:p w14:paraId="033E97BB"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0.61 (0.48, 0.78)</w:t>
            </w:r>
          </w:p>
        </w:tc>
        <w:tc>
          <w:tcPr>
            <w:tcW w:w="0" w:type="auto"/>
            <w:tcBorders>
              <w:top w:val="single" w:sz="4" w:space="0" w:color="auto"/>
              <w:left w:val="single" w:sz="4" w:space="0" w:color="auto"/>
              <w:bottom w:val="single" w:sz="4" w:space="0" w:color="auto"/>
              <w:right w:val="single" w:sz="4" w:space="0" w:color="auto"/>
            </w:tcBorders>
            <w:vAlign w:val="center"/>
          </w:tcPr>
          <w:p w14:paraId="134F86A0"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&lt;0.0001</w:t>
            </w:r>
            <w:r w:rsidRPr="00E755D7">
              <w:rPr>
                <w:rFonts w:ascii="Times New Roman" w:hAnsi="Times New Roman"/>
                <w:sz w:val="16"/>
                <w:szCs w:val="16"/>
                <w:vertAlign w:val="superscript"/>
              </w:rPr>
              <w:t xml:space="preserve"> a</w:t>
            </w:r>
          </w:p>
        </w:tc>
        <w:tc>
          <w:tcPr>
            <w:tcW w:w="0" w:type="auto"/>
            <w:tcBorders>
              <w:top w:val="single" w:sz="4" w:space="0" w:color="auto"/>
              <w:left w:val="single" w:sz="4" w:space="0" w:color="auto"/>
              <w:bottom w:val="single" w:sz="4" w:space="0" w:color="auto"/>
              <w:right w:val="single" w:sz="4" w:space="0" w:color="auto"/>
            </w:tcBorders>
            <w:vAlign w:val="center"/>
          </w:tcPr>
          <w:p w14:paraId="6CEC699D"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232 (0.61)</w:t>
            </w:r>
          </w:p>
        </w:tc>
        <w:tc>
          <w:tcPr>
            <w:tcW w:w="0" w:type="auto"/>
            <w:tcBorders>
              <w:top w:val="single" w:sz="4" w:space="0" w:color="auto"/>
              <w:left w:val="single" w:sz="4" w:space="0" w:color="auto"/>
              <w:bottom w:val="single" w:sz="4" w:space="0" w:color="auto"/>
              <w:right w:val="single" w:sz="4" w:space="0" w:color="auto"/>
            </w:tcBorders>
            <w:vAlign w:val="center"/>
          </w:tcPr>
          <w:p w14:paraId="449C9370"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109 (0.67)</w:t>
            </w:r>
          </w:p>
        </w:tc>
        <w:tc>
          <w:tcPr>
            <w:tcW w:w="0" w:type="auto"/>
            <w:tcBorders>
              <w:top w:val="single" w:sz="4" w:space="0" w:color="auto"/>
              <w:left w:val="single" w:sz="4" w:space="0" w:color="auto"/>
              <w:bottom w:val="single" w:sz="4" w:space="0" w:color="auto"/>
              <w:right w:val="single" w:sz="4" w:space="0" w:color="auto"/>
            </w:tcBorders>
            <w:vAlign w:val="center"/>
          </w:tcPr>
          <w:p w14:paraId="45D0FCA4"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1.09 (0.86, 1.39)</w:t>
            </w:r>
          </w:p>
        </w:tc>
        <w:tc>
          <w:tcPr>
            <w:tcW w:w="0" w:type="auto"/>
            <w:tcBorders>
              <w:top w:val="single" w:sz="4" w:space="0" w:color="auto"/>
              <w:left w:val="single" w:sz="4" w:space="0" w:color="auto"/>
              <w:bottom w:val="single" w:sz="4" w:space="0" w:color="auto"/>
              <w:right w:val="single" w:sz="4" w:space="0" w:color="auto"/>
            </w:tcBorders>
            <w:vAlign w:val="center"/>
          </w:tcPr>
          <w:p w14:paraId="7D78E7F5" w14:textId="77777777" w:rsidR="003956EE" w:rsidRPr="00E755D7" w:rsidRDefault="003956EE" w:rsidP="002A77EC">
            <w:pPr>
              <w:pStyle w:val="Tabletext"/>
              <w:keepLines/>
              <w:jc w:val="center"/>
              <w:rPr>
                <w:rFonts w:ascii="Times New Roman" w:hAnsi="Times New Roman"/>
                <w:sz w:val="16"/>
                <w:szCs w:val="16"/>
              </w:rPr>
            </w:pPr>
            <w:r w:rsidRPr="00E755D7">
              <w:rPr>
                <w:rFonts w:ascii="Times New Roman" w:hAnsi="Times New Roman"/>
                <w:sz w:val="16"/>
                <w:szCs w:val="16"/>
              </w:rPr>
              <w:t>0.46</w:t>
            </w:r>
            <w:r w:rsidRPr="00E755D7">
              <w:rPr>
                <w:rFonts w:ascii="Times New Roman" w:hAnsi="Times New Roman"/>
                <w:sz w:val="16"/>
                <w:szCs w:val="16"/>
                <w:vertAlign w:val="superscript"/>
              </w:rPr>
              <w:t xml:space="preserve"> a</w:t>
            </w:r>
          </w:p>
        </w:tc>
      </w:tr>
      <w:tr w:rsidR="003956EE" w:rsidRPr="00E755D7" w14:paraId="5E6D2338" w14:textId="77777777" w:rsidTr="003956EE">
        <w:trPr>
          <w:cantSplit/>
          <w:trHeight w:val="653"/>
        </w:trPr>
        <w:tc>
          <w:tcPr>
            <w:tcW w:w="0" w:type="auto"/>
            <w:tcMar>
              <w:left w:w="28" w:type="dxa"/>
              <w:right w:w="28" w:type="dxa"/>
            </w:tcMar>
            <w:vAlign w:val="center"/>
          </w:tcPr>
          <w:p w14:paraId="79B3006F" w14:textId="77777777" w:rsidR="003956EE" w:rsidRPr="00E755D7" w:rsidRDefault="003956EE" w:rsidP="002A77EC">
            <w:pPr>
              <w:pStyle w:val="Tabletext"/>
              <w:keepNext/>
              <w:keepLines/>
              <w:rPr>
                <w:rFonts w:ascii="Times New Roman" w:hAnsi="Times New Roman"/>
                <w:sz w:val="16"/>
                <w:szCs w:val="16"/>
              </w:rPr>
            </w:pPr>
            <w:r w:rsidRPr="00E755D7">
              <w:rPr>
                <w:rFonts w:ascii="Times New Roman" w:hAnsi="Times New Roman"/>
                <w:sz w:val="16"/>
                <w:szCs w:val="16"/>
              </w:rPr>
              <w:t>Death</w:t>
            </w:r>
          </w:p>
        </w:tc>
        <w:tc>
          <w:tcPr>
            <w:tcW w:w="0" w:type="auto"/>
            <w:tcMar>
              <w:left w:w="28" w:type="dxa"/>
              <w:right w:w="28" w:type="dxa"/>
            </w:tcMar>
            <w:vAlign w:val="center"/>
          </w:tcPr>
          <w:p w14:paraId="63249350"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50 (19%)</w:t>
            </w:r>
          </w:p>
        </w:tc>
        <w:tc>
          <w:tcPr>
            <w:tcW w:w="0" w:type="auto"/>
            <w:tcMar>
              <w:left w:w="28" w:type="dxa"/>
              <w:right w:w="28" w:type="dxa"/>
            </w:tcMar>
            <w:vAlign w:val="center"/>
          </w:tcPr>
          <w:p w14:paraId="0D3460F9"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64 (23%)</w:t>
            </w:r>
          </w:p>
        </w:tc>
        <w:tc>
          <w:tcPr>
            <w:tcW w:w="530" w:type="dxa"/>
            <w:tcMar>
              <w:left w:w="28" w:type="dxa"/>
              <w:right w:w="28" w:type="dxa"/>
            </w:tcMar>
            <w:vAlign w:val="center"/>
          </w:tcPr>
          <w:p w14:paraId="2D78DC11"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0.80 (0.55, 1.15)</w:t>
            </w:r>
          </w:p>
        </w:tc>
        <w:tc>
          <w:tcPr>
            <w:tcW w:w="0" w:type="auto"/>
            <w:tcMar>
              <w:left w:w="28" w:type="dxa"/>
              <w:right w:w="28" w:type="dxa"/>
            </w:tcMar>
            <w:vAlign w:val="center"/>
          </w:tcPr>
          <w:p w14:paraId="109F4714"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0.23</w:t>
            </w:r>
            <w:r w:rsidRPr="00E755D7">
              <w:rPr>
                <w:rFonts w:ascii="Times New Roman" w:hAnsi="Times New Roman"/>
                <w:sz w:val="16"/>
                <w:szCs w:val="16"/>
                <w:vertAlign w:val="superscript"/>
              </w:rPr>
              <w:t>b</w:t>
            </w:r>
          </w:p>
        </w:tc>
        <w:tc>
          <w:tcPr>
            <w:tcW w:w="0" w:type="auto"/>
            <w:tcMar>
              <w:left w:w="28" w:type="dxa"/>
              <w:right w:w="28" w:type="dxa"/>
            </w:tcMar>
            <w:vAlign w:val="center"/>
          </w:tcPr>
          <w:p w14:paraId="49768802"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64 (23%)</w:t>
            </w:r>
          </w:p>
        </w:tc>
        <w:tc>
          <w:tcPr>
            <w:tcW w:w="0" w:type="auto"/>
            <w:vAlign w:val="center"/>
          </w:tcPr>
          <w:p w14:paraId="634C81FA"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21 (12%)</w:t>
            </w:r>
          </w:p>
        </w:tc>
        <w:tc>
          <w:tcPr>
            <w:tcW w:w="0" w:type="auto"/>
            <w:vAlign w:val="center"/>
          </w:tcPr>
          <w:p w14:paraId="09233814"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0.71 (0.43, 1.17)</w:t>
            </w:r>
          </w:p>
        </w:tc>
        <w:tc>
          <w:tcPr>
            <w:tcW w:w="0" w:type="auto"/>
            <w:vAlign w:val="center"/>
          </w:tcPr>
          <w:p w14:paraId="272B0C18"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0.17</w:t>
            </w:r>
            <w:r w:rsidRPr="00E755D7">
              <w:rPr>
                <w:rFonts w:ascii="Times New Roman" w:hAnsi="Times New Roman"/>
                <w:sz w:val="16"/>
                <w:szCs w:val="16"/>
                <w:vertAlign w:val="superscript"/>
              </w:rPr>
              <w:t xml:space="preserve"> b</w:t>
            </w:r>
          </w:p>
        </w:tc>
        <w:tc>
          <w:tcPr>
            <w:tcW w:w="0" w:type="auto"/>
            <w:vAlign w:val="center"/>
          </w:tcPr>
          <w:p w14:paraId="397BAA5E"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50 (19%)</w:t>
            </w:r>
          </w:p>
        </w:tc>
        <w:tc>
          <w:tcPr>
            <w:tcW w:w="0" w:type="auto"/>
            <w:vAlign w:val="center"/>
          </w:tcPr>
          <w:p w14:paraId="5843B416"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31 (18%)</w:t>
            </w:r>
          </w:p>
        </w:tc>
        <w:tc>
          <w:tcPr>
            <w:tcW w:w="0" w:type="auto"/>
            <w:vAlign w:val="center"/>
          </w:tcPr>
          <w:p w14:paraId="386084F6"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1.40 (0.89, 2.23)</w:t>
            </w:r>
          </w:p>
        </w:tc>
        <w:tc>
          <w:tcPr>
            <w:tcW w:w="0" w:type="auto"/>
            <w:vAlign w:val="center"/>
          </w:tcPr>
          <w:p w14:paraId="69D9AA74"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0.15</w:t>
            </w:r>
            <w:r w:rsidRPr="00E755D7">
              <w:rPr>
                <w:rFonts w:ascii="Times New Roman" w:hAnsi="Times New Roman"/>
                <w:sz w:val="16"/>
                <w:szCs w:val="16"/>
                <w:vertAlign w:val="superscript"/>
              </w:rPr>
              <w:t xml:space="preserve"> b</w:t>
            </w:r>
          </w:p>
        </w:tc>
      </w:tr>
      <w:tr w:rsidR="003956EE" w:rsidRPr="00E755D7" w14:paraId="61136451" w14:textId="77777777" w:rsidTr="003956EE">
        <w:trPr>
          <w:cantSplit/>
          <w:trHeight w:val="653"/>
        </w:trPr>
        <w:tc>
          <w:tcPr>
            <w:tcW w:w="0" w:type="auto"/>
            <w:tcMar>
              <w:left w:w="28" w:type="dxa"/>
              <w:right w:w="28" w:type="dxa"/>
            </w:tcMar>
            <w:vAlign w:val="center"/>
          </w:tcPr>
          <w:p w14:paraId="1BECF795" w14:textId="77777777" w:rsidR="003956EE" w:rsidRPr="00E755D7" w:rsidRDefault="003956EE" w:rsidP="002A77EC">
            <w:pPr>
              <w:pStyle w:val="Tabletext"/>
              <w:keepNext/>
              <w:keepLines/>
              <w:rPr>
                <w:rFonts w:ascii="Times New Roman" w:hAnsi="Times New Roman"/>
                <w:sz w:val="16"/>
                <w:szCs w:val="16"/>
              </w:rPr>
            </w:pPr>
            <w:r w:rsidRPr="00E755D7">
              <w:rPr>
                <w:rFonts w:ascii="Times New Roman" w:hAnsi="Times New Roman"/>
                <w:sz w:val="16"/>
                <w:szCs w:val="16"/>
              </w:rPr>
              <w:t>Death or first HF-related hospitalisation</w:t>
            </w:r>
          </w:p>
        </w:tc>
        <w:tc>
          <w:tcPr>
            <w:tcW w:w="0" w:type="auto"/>
            <w:tcMar>
              <w:left w:w="28" w:type="dxa"/>
              <w:right w:w="28" w:type="dxa"/>
            </w:tcMar>
            <w:vAlign w:val="center"/>
          </w:tcPr>
          <w:p w14:paraId="6CE2D99B"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121 (45%)</w:t>
            </w:r>
          </w:p>
        </w:tc>
        <w:tc>
          <w:tcPr>
            <w:tcW w:w="0" w:type="auto"/>
            <w:tcMar>
              <w:left w:w="28" w:type="dxa"/>
              <w:right w:w="28" w:type="dxa"/>
            </w:tcMar>
            <w:vAlign w:val="center"/>
          </w:tcPr>
          <w:p w14:paraId="55C2FE47"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145 (52%)</w:t>
            </w:r>
          </w:p>
        </w:tc>
        <w:tc>
          <w:tcPr>
            <w:tcW w:w="530" w:type="dxa"/>
            <w:tcMar>
              <w:left w:w="28" w:type="dxa"/>
              <w:right w:w="28" w:type="dxa"/>
            </w:tcMar>
            <w:vAlign w:val="center"/>
          </w:tcPr>
          <w:p w14:paraId="34A1C415"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0.77 (0.60, 0.98)</w:t>
            </w:r>
          </w:p>
        </w:tc>
        <w:tc>
          <w:tcPr>
            <w:tcW w:w="0" w:type="auto"/>
            <w:tcMar>
              <w:left w:w="28" w:type="dxa"/>
              <w:right w:w="28" w:type="dxa"/>
            </w:tcMar>
            <w:vAlign w:val="center"/>
          </w:tcPr>
          <w:p w14:paraId="3CEC2EBF"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0.033</w:t>
            </w:r>
            <w:r w:rsidRPr="00E755D7">
              <w:rPr>
                <w:rFonts w:ascii="Times New Roman" w:hAnsi="Times New Roman"/>
                <w:sz w:val="16"/>
                <w:szCs w:val="16"/>
                <w:vertAlign w:val="superscript"/>
              </w:rPr>
              <w:t xml:space="preserve"> b</w:t>
            </w:r>
          </w:p>
        </w:tc>
        <w:tc>
          <w:tcPr>
            <w:tcW w:w="0" w:type="auto"/>
            <w:tcMar>
              <w:left w:w="28" w:type="dxa"/>
              <w:right w:w="28" w:type="dxa"/>
            </w:tcMar>
            <w:vAlign w:val="center"/>
          </w:tcPr>
          <w:p w14:paraId="4BCA3C6A"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145 (52%)</w:t>
            </w:r>
          </w:p>
        </w:tc>
        <w:tc>
          <w:tcPr>
            <w:tcW w:w="0" w:type="auto"/>
            <w:vAlign w:val="center"/>
          </w:tcPr>
          <w:p w14:paraId="287C7EFC"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49 (29%)</w:t>
            </w:r>
          </w:p>
        </w:tc>
        <w:tc>
          <w:tcPr>
            <w:tcW w:w="0" w:type="auto"/>
            <w:vAlign w:val="center"/>
          </w:tcPr>
          <w:p w14:paraId="4B20402B"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0.53 (0.38, 0.73)</w:t>
            </w:r>
          </w:p>
        </w:tc>
        <w:tc>
          <w:tcPr>
            <w:tcW w:w="0" w:type="auto"/>
            <w:vAlign w:val="center"/>
          </w:tcPr>
          <w:p w14:paraId="2F4A9B6C"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0.0034</w:t>
            </w:r>
            <w:r w:rsidRPr="00E755D7">
              <w:rPr>
                <w:rFonts w:ascii="Times New Roman" w:hAnsi="Times New Roman"/>
                <w:sz w:val="16"/>
                <w:szCs w:val="16"/>
                <w:vertAlign w:val="superscript"/>
              </w:rPr>
              <w:t xml:space="preserve"> b</w:t>
            </w:r>
          </w:p>
        </w:tc>
        <w:tc>
          <w:tcPr>
            <w:tcW w:w="0" w:type="auto"/>
            <w:vAlign w:val="center"/>
          </w:tcPr>
          <w:p w14:paraId="5C3943FE"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121 (45%)</w:t>
            </w:r>
          </w:p>
        </w:tc>
        <w:tc>
          <w:tcPr>
            <w:tcW w:w="0" w:type="auto"/>
            <w:vAlign w:val="center"/>
          </w:tcPr>
          <w:p w14:paraId="1BF2453C"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55 (31%)</w:t>
            </w:r>
          </w:p>
        </w:tc>
        <w:tc>
          <w:tcPr>
            <w:tcW w:w="0" w:type="auto"/>
            <w:vAlign w:val="center"/>
          </w:tcPr>
          <w:p w14:paraId="3856E018"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0.85 (0.61, 1.17)</w:t>
            </w:r>
          </w:p>
        </w:tc>
        <w:tc>
          <w:tcPr>
            <w:tcW w:w="0" w:type="auto"/>
            <w:vAlign w:val="center"/>
          </w:tcPr>
          <w:p w14:paraId="77DFD5A0"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0.32</w:t>
            </w:r>
            <w:r w:rsidRPr="00E755D7">
              <w:rPr>
                <w:rFonts w:ascii="Times New Roman" w:hAnsi="Times New Roman"/>
                <w:sz w:val="16"/>
                <w:szCs w:val="16"/>
                <w:vertAlign w:val="superscript"/>
              </w:rPr>
              <w:t xml:space="preserve"> b</w:t>
            </w:r>
          </w:p>
        </w:tc>
      </w:tr>
      <w:tr w:rsidR="003956EE" w:rsidRPr="00E755D7" w14:paraId="4D3D9C6A" w14:textId="77777777" w:rsidTr="003956EE">
        <w:trPr>
          <w:cantSplit/>
          <w:trHeight w:val="662"/>
        </w:trPr>
        <w:tc>
          <w:tcPr>
            <w:tcW w:w="0" w:type="auto"/>
            <w:tcMar>
              <w:left w:w="28" w:type="dxa"/>
              <w:right w:w="28" w:type="dxa"/>
            </w:tcMar>
            <w:vAlign w:val="center"/>
          </w:tcPr>
          <w:p w14:paraId="3FFC67BE" w14:textId="77777777" w:rsidR="003956EE" w:rsidRPr="00E755D7" w:rsidRDefault="003956EE" w:rsidP="002A77EC">
            <w:pPr>
              <w:pStyle w:val="Tabletext"/>
              <w:keepNext/>
              <w:keepLines/>
              <w:rPr>
                <w:rFonts w:ascii="Times New Roman" w:hAnsi="Times New Roman"/>
                <w:sz w:val="16"/>
                <w:szCs w:val="16"/>
              </w:rPr>
            </w:pPr>
            <w:r w:rsidRPr="00E755D7">
              <w:rPr>
                <w:rFonts w:ascii="Times New Roman" w:hAnsi="Times New Roman"/>
                <w:sz w:val="16"/>
                <w:szCs w:val="16"/>
              </w:rPr>
              <w:t>All-cause hospitalisations</w:t>
            </w:r>
          </w:p>
        </w:tc>
        <w:tc>
          <w:tcPr>
            <w:tcW w:w="0" w:type="auto"/>
            <w:tcMar>
              <w:left w:w="28" w:type="dxa"/>
              <w:right w:w="28" w:type="dxa"/>
            </w:tcMar>
            <w:vAlign w:val="center"/>
          </w:tcPr>
          <w:p w14:paraId="5124C894"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554 (1.38)</w:t>
            </w:r>
          </w:p>
        </w:tc>
        <w:tc>
          <w:tcPr>
            <w:tcW w:w="0" w:type="auto"/>
            <w:tcMar>
              <w:left w:w="28" w:type="dxa"/>
              <w:right w:w="28" w:type="dxa"/>
            </w:tcMar>
            <w:vAlign w:val="center"/>
          </w:tcPr>
          <w:p w14:paraId="0B2FA678"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672(1.65)</w:t>
            </w:r>
          </w:p>
        </w:tc>
        <w:tc>
          <w:tcPr>
            <w:tcW w:w="530" w:type="dxa"/>
            <w:tcMar>
              <w:left w:w="28" w:type="dxa"/>
              <w:right w:w="28" w:type="dxa"/>
            </w:tcMar>
            <w:vAlign w:val="center"/>
          </w:tcPr>
          <w:p w14:paraId="3E11EEC2"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0.84 (0.75, 0.95)</w:t>
            </w:r>
          </w:p>
        </w:tc>
        <w:tc>
          <w:tcPr>
            <w:tcW w:w="0" w:type="auto"/>
            <w:tcMar>
              <w:left w:w="28" w:type="dxa"/>
              <w:right w:w="28" w:type="dxa"/>
            </w:tcMar>
            <w:vAlign w:val="center"/>
          </w:tcPr>
          <w:p w14:paraId="510165E9"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0.0032</w:t>
            </w:r>
            <w:r w:rsidRPr="00E755D7">
              <w:rPr>
                <w:rFonts w:ascii="Times New Roman" w:hAnsi="Times New Roman"/>
                <w:sz w:val="16"/>
                <w:szCs w:val="16"/>
                <w:vertAlign w:val="superscript"/>
              </w:rPr>
              <w:t xml:space="preserve"> a</w:t>
            </w:r>
          </w:p>
        </w:tc>
        <w:tc>
          <w:tcPr>
            <w:tcW w:w="0" w:type="auto"/>
            <w:tcMar>
              <w:left w:w="28" w:type="dxa"/>
              <w:right w:w="28" w:type="dxa"/>
            </w:tcMar>
            <w:vAlign w:val="center"/>
          </w:tcPr>
          <w:p w14:paraId="3DAF88E4"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672 (1.65)</w:t>
            </w:r>
          </w:p>
        </w:tc>
        <w:tc>
          <w:tcPr>
            <w:tcW w:w="0" w:type="auto"/>
            <w:vAlign w:val="center"/>
          </w:tcPr>
          <w:p w14:paraId="1223663A"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230 (1.30)</w:t>
            </w:r>
          </w:p>
        </w:tc>
        <w:tc>
          <w:tcPr>
            <w:tcW w:w="0" w:type="auto"/>
            <w:vAlign w:val="center"/>
          </w:tcPr>
          <w:p w14:paraId="731578EA"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0.79 (0.67, 0.92)</w:t>
            </w:r>
          </w:p>
        </w:tc>
        <w:tc>
          <w:tcPr>
            <w:tcW w:w="0" w:type="auto"/>
            <w:vAlign w:val="center"/>
          </w:tcPr>
          <w:p w14:paraId="19CC8B8B"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0.0034</w:t>
            </w:r>
            <w:r w:rsidRPr="00E755D7">
              <w:rPr>
                <w:rFonts w:ascii="Times New Roman" w:hAnsi="Times New Roman"/>
                <w:sz w:val="16"/>
                <w:szCs w:val="16"/>
                <w:vertAlign w:val="superscript"/>
              </w:rPr>
              <w:t xml:space="preserve"> a</w:t>
            </w:r>
          </w:p>
        </w:tc>
        <w:tc>
          <w:tcPr>
            <w:tcW w:w="0" w:type="auto"/>
            <w:vAlign w:val="center"/>
          </w:tcPr>
          <w:p w14:paraId="57120193"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554 (1.51)</w:t>
            </w:r>
          </w:p>
        </w:tc>
        <w:tc>
          <w:tcPr>
            <w:tcW w:w="0" w:type="auto"/>
            <w:vAlign w:val="center"/>
          </w:tcPr>
          <w:p w14:paraId="68D35970"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218 (1.32)</w:t>
            </w:r>
          </w:p>
        </w:tc>
        <w:tc>
          <w:tcPr>
            <w:tcW w:w="0" w:type="auto"/>
            <w:vAlign w:val="center"/>
          </w:tcPr>
          <w:p w14:paraId="0F1B1341"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0.87 (0.74, 1.03)</w:t>
            </w:r>
          </w:p>
        </w:tc>
        <w:tc>
          <w:tcPr>
            <w:tcW w:w="0" w:type="auto"/>
            <w:vAlign w:val="center"/>
          </w:tcPr>
          <w:p w14:paraId="1CBE57DE"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0.10</w:t>
            </w:r>
            <w:r w:rsidRPr="00E755D7">
              <w:rPr>
                <w:rFonts w:ascii="Times New Roman" w:hAnsi="Times New Roman"/>
                <w:sz w:val="16"/>
                <w:szCs w:val="16"/>
                <w:vertAlign w:val="superscript"/>
              </w:rPr>
              <w:t xml:space="preserve"> a</w:t>
            </w:r>
          </w:p>
        </w:tc>
      </w:tr>
      <w:tr w:rsidR="003956EE" w:rsidRPr="00E755D7" w14:paraId="25A8A565" w14:textId="77777777" w:rsidTr="003956EE">
        <w:trPr>
          <w:cantSplit/>
          <w:trHeight w:val="662"/>
        </w:trPr>
        <w:tc>
          <w:tcPr>
            <w:tcW w:w="0" w:type="auto"/>
            <w:tcMar>
              <w:left w:w="28" w:type="dxa"/>
              <w:right w:w="28" w:type="dxa"/>
            </w:tcMar>
            <w:vAlign w:val="center"/>
          </w:tcPr>
          <w:p w14:paraId="4FA67443" w14:textId="77777777" w:rsidR="003956EE" w:rsidRPr="00E755D7" w:rsidRDefault="003956EE" w:rsidP="002A77EC">
            <w:pPr>
              <w:pStyle w:val="Tabletext"/>
              <w:keepNext/>
              <w:keepLines/>
              <w:rPr>
                <w:rFonts w:ascii="Times New Roman" w:hAnsi="Times New Roman"/>
                <w:sz w:val="16"/>
                <w:szCs w:val="16"/>
              </w:rPr>
            </w:pPr>
            <w:r w:rsidRPr="00E755D7">
              <w:rPr>
                <w:rFonts w:ascii="Times New Roman" w:hAnsi="Times New Roman"/>
                <w:sz w:val="16"/>
                <w:szCs w:val="16"/>
              </w:rPr>
              <w:t>Deaths and all-cause hospitalisations</w:t>
            </w:r>
          </w:p>
        </w:tc>
        <w:tc>
          <w:tcPr>
            <w:tcW w:w="0" w:type="auto"/>
            <w:tcMar>
              <w:left w:w="28" w:type="dxa"/>
              <w:right w:w="28" w:type="dxa"/>
            </w:tcMar>
            <w:vAlign w:val="center"/>
          </w:tcPr>
          <w:p w14:paraId="3FC6FB71"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604 (1.51)</w:t>
            </w:r>
          </w:p>
        </w:tc>
        <w:tc>
          <w:tcPr>
            <w:tcW w:w="0" w:type="auto"/>
            <w:tcMar>
              <w:left w:w="28" w:type="dxa"/>
              <w:right w:w="28" w:type="dxa"/>
            </w:tcMar>
            <w:vAlign w:val="center"/>
          </w:tcPr>
          <w:p w14:paraId="4FA8F45E"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736 (1.80)</w:t>
            </w:r>
          </w:p>
        </w:tc>
        <w:tc>
          <w:tcPr>
            <w:tcW w:w="530" w:type="dxa"/>
            <w:tcMar>
              <w:left w:w="28" w:type="dxa"/>
              <w:right w:w="28" w:type="dxa"/>
            </w:tcMar>
            <w:vAlign w:val="center"/>
          </w:tcPr>
          <w:p w14:paraId="1FB39D95"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0.84 (0.76, 0.94)</w:t>
            </w:r>
          </w:p>
        </w:tc>
        <w:tc>
          <w:tcPr>
            <w:tcW w:w="0" w:type="auto"/>
            <w:tcMar>
              <w:left w:w="28" w:type="dxa"/>
              <w:right w:w="28" w:type="dxa"/>
            </w:tcMar>
            <w:vAlign w:val="center"/>
          </w:tcPr>
          <w:p w14:paraId="48B11207"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0.0017</w:t>
            </w:r>
            <w:r w:rsidRPr="00E755D7">
              <w:rPr>
                <w:rFonts w:ascii="Times New Roman" w:hAnsi="Times New Roman"/>
                <w:sz w:val="16"/>
                <w:szCs w:val="16"/>
                <w:vertAlign w:val="superscript"/>
              </w:rPr>
              <w:t xml:space="preserve"> a</w:t>
            </w:r>
          </w:p>
        </w:tc>
        <w:tc>
          <w:tcPr>
            <w:tcW w:w="0" w:type="auto"/>
            <w:tcMar>
              <w:left w:w="28" w:type="dxa"/>
              <w:right w:w="28" w:type="dxa"/>
            </w:tcMar>
            <w:vAlign w:val="center"/>
          </w:tcPr>
          <w:p w14:paraId="4C0D7986"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736 (1.80)</w:t>
            </w:r>
          </w:p>
        </w:tc>
        <w:tc>
          <w:tcPr>
            <w:tcW w:w="0" w:type="auto"/>
            <w:vAlign w:val="center"/>
          </w:tcPr>
          <w:p w14:paraId="3BFBE17F"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251 (1.52)</w:t>
            </w:r>
          </w:p>
        </w:tc>
        <w:tc>
          <w:tcPr>
            <w:tcW w:w="0" w:type="auto"/>
            <w:vAlign w:val="center"/>
          </w:tcPr>
          <w:p w14:paraId="49069A7B"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0.85 (0.72, 0.99)</w:t>
            </w:r>
          </w:p>
        </w:tc>
        <w:tc>
          <w:tcPr>
            <w:tcW w:w="0" w:type="auto"/>
            <w:vAlign w:val="center"/>
          </w:tcPr>
          <w:p w14:paraId="1D613641"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0.0351</w:t>
            </w:r>
            <w:r w:rsidRPr="00E755D7">
              <w:rPr>
                <w:rFonts w:ascii="Times New Roman" w:hAnsi="Times New Roman"/>
                <w:sz w:val="16"/>
                <w:szCs w:val="16"/>
                <w:vertAlign w:val="superscript"/>
              </w:rPr>
              <w:t xml:space="preserve"> a</w:t>
            </w:r>
          </w:p>
        </w:tc>
        <w:tc>
          <w:tcPr>
            <w:tcW w:w="0" w:type="auto"/>
            <w:vAlign w:val="center"/>
          </w:tcPr>
          <w:p w14:paraId="356B1FB9"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604 (1.65)</w:t>
            </w:r>
          </w:p>
        </w:tc>
        <w:tc>
          <w:tcPr>
            <w:tcW w:w="0" w:type="auto"/>
            <w:vAlign w:val="center"/>
          </w:tcPr>
          <w:p w14:paraId="69ACDA51"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249 (1.61)</w:t>
            </w:r>
          </w:p>
        </w:tc>
        <w:tc>
          <w:tcPr>
            <w:tcW w:w="0" w:type="auto"/>
            <w:vAlign w:val="center"/>
          </w:tcPr>
          <w:p w14:paraId="274034A9"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0.97 (0.83, 1.14)</w:t>
            </w:r>
          </w:p>
        </w:tc>
        <w:tc>
          <w:tcPr>
            <w:tcW w:w="0" w:type="auto"/>
            <w:vAlign w:val="center"/>
          </w:tcPr>
          <w:p w14:paraId="65310C10" w14:textId="77777777" w:rsidR="003956EE" w:rsidRPr="00E755D7" w:rsidRDefault="003956EE" w:rsidP="002A77EC">
            <w:pPr>
              <w:pStyle w:val="Tabletext"/>
              <w:keepNext/>
              <w:keepLines/>
              <w:jc w:val="center"/>
              <w:rPr>
                <w:rFonts w:ascii="Times New Roman" w:hAnsi="Times New Roman"/>
                <w:sz w:val="16"/>
                <w:szCs w:val="16"/>
              </w:rPr>
            </w:pPr>
            <w:r w:rsidRPr="00E755D7">
              <w:rPr>
                <w:rFonts w:ascii="Times New Roman" w:hAnsi="Times New Roman"/>
                <w:sz w:val="16"/>
                <w:szCs w:val="16"/>
              </w:rPr>
              <w:t>0.75</w:t>
            </w:r>
            <w:r w:rsidRPr="00E755D7">
              <w:rPr>
                <w:rFonts w:ascii="Times New Roman" w:hAnsi="Times New Roman"/>
                <w:sz w:val="16"/>
                <w:szCs w:val="16"/>
                <w:vertAlign w:val="superscript"/>
              </w:rPr>
              <w:t xml:space="preserve"> a</w:t>
            </w:r>
          </w:p>
        </w:tc>
      </w:tr>
    </w:tbl>
    <w:p w14:paraId="51DDD687" w14:textId="77777777" w:rsidR="003956EE" w:rsidRDefault="003956EE" w:rsidP="003956EE">
      <w:pPr>
        <w:tabs>
          <w:tab w:val="left" w:pos="567"/>
        </w:tabs>
        <w:autoSpaceDE w:val="0"/>
        <w:autoSpaceDN w:val="0"/>
        <w:adjustRightInd w:val="0"/>
        <w:ind w:left="567" w:hanging="567"/>
        <w:rPr>
          <w:rFonts w:eastAsiaTheme="minorHAnsi"/>
          <w:iCs/>
          <w:color w:val="000000"/>
          <w:szCs w:val="24"/>
          <w:lang w:eastAsia="en-US"/>
        </w:rPr>
      </w:pPr>
    </w:p>
    <w:p w14:paraId="467BD3C8" w14:textId="77777777" w:rsidR="006B3DA0" w:rsidRPr="006B3DA0" w:rsidRDefault="006B3DA0" w:rsidP="00EA45D4">
      <w:pPr>
        <w:tabs>
          <w:tab w:val="left" w:pos="567"/>
        </w:tabs>
        <w:autoSpaceDE w:val="0"/>
        <w:autoSpaceDN w:val="0"/>
        <w:adjustRightInd w:val="0"/>
        <w:ind w:left="567" w:hanging="567"/>
        <w:rPr>
          <w:rFonts w:eastAsiaTheme="minorHAnsi"/>
          <w:color w:val="000000"/>
          <w:szCs w:val="24"/>
          <w:lang w:eastAsia="en-US"/>
        </w:rPr>
      </w:pPr>
      <w:r w:rsidRPr="006B3DA0">
        <w:rPr>
          <w:rFonts w:eastAsiaTheme="minorHAnsi"/>
          <w:iCs/>
          <w:color w:val="000000"/>
          <w:szCs w:val="24"/>
          <w:lang w:eastAsia="en-US"/>
        </w:rPr>
        <w:t xml:space="preserve">The </w:t>
      </w:r>
      <w:r w:rsidR="00EA45D4">
        <w:rPr>
          <w:rFonts w:eastAsiaTheme="minorHAnsi"/>
          <w:iCs/>
          <w:color w:val="000000"/>
          <w:szCs w:val="24"/>
          <w:lang w:eastAsia="en-US"/>
        </w:rPr>
        <w:t xml:space="preserve">critique stated that the </w:t>
      </w:r>
      <w:r w:rsidRPr="006B3DA0">
        <w:rPr>
          <w:rFonts w:eastAsiaTheme="minorHAnsi"/>
          <w:iCs/>
          <w:color w:val="000000"/>
          <w:szCs w:val="24"/>
          <w:lang w:eastAsia="en-US"/>
        </w:rPr>
        <w:t>following issues</w:t>
      </w:r>
      <w:r w:rsidR="00EA45D4">
        <w:rPr>
          <w:rFonts w:eastAsiaTheme="minorHAnsi"/>
          <w:iCs/>
          <w:color w:val="000000"/>
          <w:szCs w:val="24"/>
          <w:lang w:eastAsia="en-US"/>
        </w:rPr>
        <w:t>,</w:t>
      </w:r>
      <w:r w:rsidRPr="006B3DA0">
        <w:rPr>
          <w:rFonts w:eastAsiaTheme="minorHAnsi"/>
          <w:iCs/>
          <w:color w:val="000000"/>
          <w:szCs w:val="24"/>
          <w:lang w:eastAsia="en-US"/>
        </w:rPr>
        <w:t xml:space="preserve"> raised </w:t>
      </w:r>
      <w:r w:rsidR="00EA45D4">
        <w:rPr>
          <w:rFonts w:eastAsiaTheme="minorHAnsi"/>
          <w:iCs/>
          <w:color w:val="000000"/>
          <w:szCs w:val="24"/>
          <w:lang w:eastAsia="en-US"/>
        </w:rPr>
        <w:t>previously,</w:t>
      </w:r>
      <w:r w:rsidRPr="006B3DA0">
        <w:rPr>
          <w:rFonts w:eastAsiaTheme="minorHAnsi"/>
          <w:iCs/>
          <w:color w:val="000000"/>
          <w:szCs w:val="24"/>
          <w:lang w:eastAsia="en-US"/>
        </w:rPr>
        <w:t xml:space="preserve"> remain: </w:t>
      </w:r>
    </w:p>
    <w:p w14:paraId="17787839" w14:textId="77777777" w:rsidR="006B3DA0" w:rsidRPr="003956EE" w:rsidRDefault="006B3DA0" w:rsidP="00EA45D4">
      <w:pPr>
        <w:pStyle w:val="ListParagraph"/>
        <w:numPr>
          <w:ilvl w:val="0"/>
          <w:numId w:val="34"/>
        </w:numPr>
        <w:tabs>
          <w:tab w:val="left" w:pos="993"/>
        </w:tabs>
        <w:autoSpaceDE w:val="0"/>
        <w:autoSpaceDN w:val="0"/>
        <w:adjustRightInd w:val="0"/>
        <w:spacing w:after="248"/>
        <w:ind w:left="852" w:hanging="426"/>
        <w:rPr>
          <w:rFonts w:eastAsiaTheme="minorHAnsi"/>
          <w:color w:val="000000"/>
          <w:szCs w:val="24"/>
          <w:lang w:eastAsia="en-US"/>
        </w:rPr>
      </w:pPr>
      <w:r w:rsidRPr="003956EE">
        <w:rPr>
          <w:rFonts w:eastAsiaTheme="minorHAnsi"/>
          <w:iCs/>
          <w:color w:val="000000"/>
          <w:szCs w:val="24"/>
          <w:lang w:eastAsia="en-US"/>
        </w:rPr>
        <w:t xml:space="preserve">The evidence base is restricted </w:t>
      </w:r>
      <w:r w:rsidR="00EA45D4">
        <w:rPr>
          <w:rFonts w:eastAsiaTheme="minorHAnsi"/>
          <w:iCs/>
          <w:color w:val="000000"/>
          <w:szCs w:val="24"/>
          <w:lang w:eastAsia="en-US"/>
        </w:rPr>
        <w:t>to one study only.</w:t>
      </w:r>
    </w:p>
    <w:p w14:paraId="03A8F103" w14:textId="77777777" w:rsidR="003956EE" w:rsidRPr="00EA45D4" w:rsidRDefault="006B3DA0" w:rsidP="00EA45D4">
      <w:pPr>
        <w:pStyle w:val="ListParagraph"/>
        <w:numPr>
          <w:ilvl w:val="0"/>
          <w:numId w:val="34"/>
        </w:numPr>
        <w:tabs>
          <w:tab w:val="left" w:pos="993"/>
        </w:tabs>
        <w:autoSpaceDE w:val="0"/>
        <w:autoSpaceDN w:val="0"/>
        <w:adjustRightInd w:val="0"/>
        <w:ind w:left="852" w:hanging="426"/>
        <w:rPr>
          <w:rFonts w:eastAsiaTheme="minorHAnsi"/>
          <w:color w:val="000000"/>
          <w:szCs w:val="24"/>
          <w:lang w:eastAsia="en-US"/>
        </w:rPr>
      </w:pPr>
      <w:r w:rsidRPr="003956EE">
        <w:rPr>
          <w:rFonts w:eastAsiaTheme="minorHAnsi"/>
          <w:color w:val="000000"/>
          <w:szCs w:val="24"/>
          <w:lang w:eastAsia="en-US"/>
        </w:rPr>
        <w:t>Overall survival is a relevant outcome and there was no difference in survival between the intervention and control arms at study</w:t>
      </w:r>
      <w:r w:rsidR="003956EE">
        <w:rPr>
          <w:rFonts w:eastAsiaTheme="minorHAnsi"/>
          <w:color w:val="000000"/>
          <w:szCs w:val="24"/>
          <w:lang w:eastAsia="en-US"/>
        </w:rPr>
        <w:t xml:space="preserve"> </w:t>
      </w:r>
      <w:r w:rsidRPr="003956EE">
        <w:rPr>
          <w:rFonts w:eastAsiaTheme="minorHAnsi"/>
          <w:color w:val="000000"/>
          <w:szCs w:val="24"/>
          <w:lang w:eastAsia="en-US"/>
        </w:rPr>
        <w:t xml:space="preserve">end. </w:t>
      </w:r>
    </w:p>
    <w:p w14:paraId="0332AC74" w14:textId="77777777" w:rsidR="003956EE" w:rsidRPr="00EA45D4" w:rsidRDefault="006B3DA0" w:rsidP="00EA45D4">
      <w:pPr>
        <w:pStyle w:val="ListParagraph"/>
        <w:numPr>
          <w:ilvl w:val="0"/>
          <w:numId w:val="34"/>
        </w:numPr>
        <w:tabs>
          <w:tab w:val="left" w:pos="993"/>
        </w:tabs>
        <w:autoSpaceDE w:val="0"/>
        <w:autoSpaceDN w:val="0"/>
        <w:adjustRightInd w:val="0"/>
        <w:spacing w:after="244"/>
        <w:ind w:left="852" w:hanging="426"/>
        <w:rPr>
          <w:rFonts w:eastAsiaTheme="minorHAnsi"/>
          <w:color w:val="000000"/>
          <w:szCs w:val="24"/>
          <w:lang w:eastAsia="en-US"/>
        </w:rPr>
      </w:pPr>
      <w:r w:rsidRPr="003956EE">
        <w:rPr>
          <w:rFonts w:eastAsiaTheme="minorHAnsi"/>
          <w:iCs/>
          <w:color w:val="000000"/>
          <w:szCs w:val="24"/>
          <w:lang w:eastAsia="en-US"/>
        </w:rPr>
        <w:t>The new CHAMPION extension study provides additional information on the long term outcomes up to 31 months, however there are serious concerns with patients dropping out from both study arms. At 31 months only 45% of those randomised remained in the study. Notably the majority of these (56% control and 54% intervention) are due to death but there are significant numbers of patients who remain alive and have dropped out of the study. This will impact on the interpretation and applicability of the long term results.</w:t>
      </w:r>
    </w:p>
    <w:p w14:paraId="4A0E7FA2" w14:textId="77777777" w:rsidR="006B3DA0" w:rsidRPr="003956EE" w:rsidRDefault="006B3DA0" w:rsidP="00EA45D4">
      <w:pPr>
        <w:pStyle w:val="ListParagraph"/>
        <w:numPr>
          <w:ilvl w:val="0"/>
          <w:numId w:val="34"/>
        </w:numPr>
        <w:tabs>
          <w:tab w:val="left" w:pos="993"/>
        </w:tabs>
        <w:autoSpaceDE w:val="0"/>
        <w:autoSpaceDN w:val="0"/>
        <w:adjustRightInd w:val="0"/>
        <w:spacing w:after="244"/>
        <w:ind w:left="852" w:hanging="426"/>
        <w:rPr>
          <w:rFonts w:eastAsiaTheme="minorHAnsi"/>
          <w:color w:val="000000"/>
          <w:szCs w:val="24"/>
          <w:lang w:eastAsia="en-US"/>
        </w:rPr>
      </w:pPr>
      <w:r w:rsidRPr="003956EE">
        <w:rPr>
          <w:rFonts w:eastAsiaTheme="minorHAnsi"/>
          <w:iCs/>
          <w:color w:val="000000"/>
          <w:szCs w:val="24"/>
          <w:lang w:eastAsia="en-US"/>
        </w:rPr>
        <w:t xml:space="preserve">In conclusion there is reasonable evidence that the intervention positively impacts hospitalisations. The concerns regarding impact on mortality remain. The longer term outcomes to 31 months appear to support shorter term findings but with serious concerns due to loss to follow up. </w:t>
      </w:r>
    </w:p>
    <w:p w14:paraId="29434B1D" w14:textId="250CE64F" w:rsidR="006B3DA0" w:rsidRPr="006B3DA0" w:rsidRDefault="006B3DA0" w:rsidP="00EA45D4">
      <w:pPr>
        <w:tabs>
          <w:tab w:val="left" w:pos="0"/>
          <w:tab w:val="left" w:pos="720"/>
          <w:tab w:val="left" w:pos="1140"/>
        </w:tabs>
        <w:rPr>
          <w:szCs w:val="24"/>
        </w:rPr>
      </w:pPr>
      <w:r w:rsidRPr="006B3DA0">
        <w:rPr>
          <w:rFonts w:eastAsiaTheme="minorHAnsi"/>
          <w:color w:val="000000"/>
          <w:szCs w:val="24"/>
          <w:lang w:eastAsia="en-US"/>
        </w:rPr>
        <w:t xml:space="preserve">On the basis of the benefits reported in the evidence base, the </w:t>
      </w:r>
      <w:r w:rsidR="00EA45D4">
        <w:rPr>
          <w:rFonts w:eastAsiaTheme="minorHAnsi"/>
          <w:color w:val="000000"/>
          <w:szCs w:val="24"/>
          <w:lang w:eastAsia="en-US"/>
        </w:rPr>
        <w:t>SBA proposed</w:t>
      </w:r>
      <w:r w:rsidRPr="006B3DA0">
        <w:rPr>
          <w:rFonts w:eastAsiaTheme="minorHAnsi"/>
          <w:color w:val="000000"/>
          <w:szCs w:val="24"/>
          <w:lang w:eastAsia="en-US"/>
        </w:rPr>
        <w:t xml:space="preserve"> that, relative to standard care, permanent leadless and </w:t>
      </w:r>
      <w:proofErr w:type="spellStart"/>
      <w:r w:rsidRPr="006B3DA0">
        <w:rPr>
          <w:rFonts w:eastAsiaTheme="minorHAnsi"/>
          <w:color w:val="000000"/>
          <w:szCs w:val="24"/>
          <w:lang w:eastAsia="en-US"/>
        </w:rPr>
        <w:t>batteryless</w:t>
      </w:r>
      <w:proofErr w:type="spellEnd"/>
      <w:r w:rsidRPr="006B3DA0">
        <w:rPr>
          <w:rFonts w:eastAsiaTheme="minorHAnsi"/>
          <w:color w:val="000000"/>
          <w:szCs w:val="24"/>
          <w:lang w:eastAsia="en-US"/>
        </w:rPr>
        <w:t xml:space="preserve"> haemodynamic monitoring systems has superior effectiveness. </w:t>
      </w:r>
      <w:r w:rsidR="0031629D">
        <w:rPr>
          <w:rFonts w:eastAsiaTheme="minorHAnsi"/>
          <w:color w:val="000000"/>
          <w:szCs w:val="24"/>
          <w:lang w:eastAsia="en-US"/>
        </w:rPr>
        <w:t>The critique considered that t</w:t>
      </w:r>
      <w:r w:rsidRPr="006B3DA0">
        <w:rPr>
          <w:rFonts w:eastAsiaTheme="minorHAnsi"/>
          <w:iCs/>
          <w:color w:val="000000"/>
          <w:szCs w:val="24"/>
          <w:lang w:eastAsia="en-US"/>
        </w:rPr>
        <w:t>his may be reasonable but is more uncertain longer term.</w:t>
      </w:r>
    </w:p>
    <w:p w14:paraId="15A5592D" w14:textId="77777777" w:rsidR="00BC1364" w:rsidRPr="006B3DA0" w:rsidRDefault="00BC1364" w:rsidP="005A0D32">
      <w:pPr>
        <w:pStyle w:val="Heading1"/>
      </w:pPr>
      <w:r w:rsidRPr="006B3DA0">
        <w:t>Economic evaluation</w:t>
      </w:r>
    </w:p>
    <w:p w14:paraId="035ACB53" w14:textId="27867C89" w:rsidR="006B3DA0" w:rsidRDefault="006B3DA0" w:rsidP="003956EE">
      <w:pPr>
        <w:tabs>
          <w:tab w:val="left" w:pos="567"/>
        </w:tabs>
        <w:autoSpaceDE w:val="0"/>
        <w:autoSpaceDN w:val="0"/>
        <w:adjustRightInd w:val="0"/>
        <w:ind w:left="567" w:hanging="567"/>
        <w:rPr>
          <w:rFonts w:eastAsiaTheme="minorHAnsi"/>
          <w:color w:val="000000"/>
          <w:szCs w:val="24"/>
          <w:lang w:eastAsia="en-US"/>
        </w:rPr>
      </w:pPr>
      <w:r w:rsidRPr="006B3DA0">
        <w:rPr>
          <w:rFonts w:eastAsiaTheme="minorHAnsi"/>
          <w:color w:val="000000"/>
          <w:szCs w:val="24"/>
          <w:lang w:eastAsia="en-US"/>
        </w:rPr>
        <w:t xml:space="preserve">The economic evaluation is summarised in </w:t>
      </w:r>
      <w:r w:rsidR="00EA45D4">
        <w:rPr>
          <w:rFonts w:eastAsiaTheme="minorHAnsi"/>
          <w:color w:val="000000"/>
          <w:szCs w:val="24"/>
          <w:lang w:eastAsia="en-US"/>
        </w:rPr>
        <w:fldChar w:fldCharType="begin"/>
      </w:r>
      <w:r w:rsidR="00EA45D4">
        <w:rPr>
          <w:rFonts w:eastAsiaTheme="minorHAnsi"/>
          <w:color w:val="000000"/>
          <w:szCs w:val="24"/>
          <w:lang w:eastAsia="en-US"/>
        </w:rPr>
        <w:instrText xml:space="preserve"> REF _Ref469476435 \h  \* MERGEFORMAT </w:instrText>
      </w:r>
      <w:r w:rsidR="00EA45D4">
        <w:rPr>
          <w:rFonts w:eastAsiaTheme="minorHAnsi"/>
          <w:color w:val="000000"/>
          <w:szCs w:val="24"/>
          <w:lang w:eastAsia="en-US"/>
        </w:rPr>
      </w:r>
      <w:r w:rsidR="00EA45D4">
        <w:rPr>
          <w:rFonts w:eastAsiaTheme="minorHAnsi"/>
          <w:color w:val="000000"/>
          <w:szCs w:val="24"/>
          <w:lang w:eastAsia="en-US"/>
        </w:rPr>
        <w:fldChar w:fldCharType="separate"/>
      </w:r>
      <w:r w:rsidR="00C64E51" w:rsidRPr="009D452D">
        <w:rPr>
          <w:rFonts w:eastAsiaTheme="minorHAnsi"/>
          <w:color w:val="000000"/>
          <w:szCs w:val="24"/>
          <w:lang w:eastAsia="en-US"/>
        </w:rPr>
        <w:t>Table 4</w:t>
      </w:r>
      <w:r w:rsidR="00EA45D4">
        <w:rPr>
          <w:rFonts w:eastAsiaTheme="minorHAnsi"/>
          <w:color w:val="000000"/>
          <w:szCs w:val="24"/>
          <w:lang w:eastAsia="en-US"/>
        </w:rPr>
        <w:fldChar w:fldCharType="end"/>
      </w:r>
      <w:r w:rsidR="00EA45D4">
        <w:rPr>
          <w:rFonts w:eastAsiaTheme="minorHAnsi"/>
          <w:color w:val="000000"/>
          <w:szCs w:val="24"/>
          <w:lang w:eastAsia="en-US"/>
        </w:rPr>
        <w:t>.</w:t>
      </w:r>
    </w:p>
    <w:p w14:paraId="4D36D690" w14:textId="77777777" w:rsidR="00C048C1" w:rsidRPr="006B3DA0" w:rsidRDefault="00C048C1" w:rsidP="003956EE">
      <w:pPr>
        <w:tabs>
          <w:tab w:val="left" w:pos="567"/>
        </w:tabs>
        <w:autoSpaceDE w:val="0"/>
        <w:autoSpaceDN w:val="0"/>
        <w:adjustRightInd w:val="0"/>
        <w:ind w:left="567" w:hanging="567"/>
        <w:rPr>
          <w:rFonts w:eastAsiaTheme="minorHAnsi"/>
          <w:color w:val="000000"/>
          <w:szCs w:val="24"/>
          <w:lang w:eastAsia="en-US"/>
        </w:rPr>
      </w:pPr>
    </w:p>
    <w:p w14:paraId="4BD240FB" w14:textId="77777777" w:rsidR="006B3DA0" w:rsidRPr="00EA45D4" w:rsidRDefault="00EA45D4" w:rsidP="00EA45D4">
      <w:pPr>
        <w:pStyle w:val="Caption"/>
        <w:jc w:val="left"/>
        <w:rPr>
          <w:rFonts w:ascii="Arial" w:hAnsi="Arial"/>
        </w:rPr>
      </w:pPr>
      <w:bookmarkStart w:id="6" w:name="_Ref469476435"/>
      <w:r w:rsidRPr="00EA45D4">
        <w:rPr>
          <w:rFonts w:ascii="Arial" w:hAnsi="Arial"/>
        </w:rPr>
        <w:t xml:space="preserve">Table </w:t>
      </w:r>
      <w:r w:rsidRPr="00EA45D4">
        <w:rPr>
          <w:rFonts w:ascii="Arial" w:hAnsi="Arial"/>
        </w:rPr>
        <w:fldChar w:fldCharType="begin"/>
      </w:r>
      <w:r w:rsidRPr="00EA45D4">
        <w:rPr>
          <w:rFonts w:ascii="Arial" w:hAnsi="Arial"/>
        </w:rPr>
        <w:instrText xml:space="preserve"> SEQ Table \* ARABIC </w:instrText>
      </w:r>
      <w:r w:rsidRPr="00EA45D4">
        <w:rPr>
          <w:rFonts w:ascii="Arial" w:hAnsi="Arial"/>
        </w:rPr>
        <w:fldChar w:fldCharType="separate"/>
      </w:r>
      <w:r w:rsidR="00C64E51">
        <w:rPr>
          <w:rFonts w:ascii="Arial" w:hAnsi="Arial"/>
          <w:noProof/>
        </w:rPr>
        <w:t>4</w:t>
      </w:r>
      <w:r w:rsidRPr="00EA45D4">
        <w:rPr>
          <w:rFonts w:ascii="Arial" w:hAnsi="Arial"/>
        </w:rPr>
        <w:fldChar w:fldCharType="end"/>
      </w:r>
      <w:bookmarkEnd w:id="6"/>
      <w:r w:rsidR="006B3DA0" w:rsidRPr="00EA45D4">
        <w:rPr>
          <w:rFonts w:ascii="Arial" w:eastAsiaTheme="minorHAnsi" w:hAnsi="Arial"/>
          <w:color w:val="000000"/>
        </w:rPr>
        <w:t>:</w:t>
      </w:r>
      <w:r w:rsidR="006B3DA0" w:rsidRPr="00EA45D4">
        <w:rPr>
          <w:rFonts w:ascii="Arial" w:eastAsiaTheme="minorHAnsi" w:hAnsi="Arial"/>
          <w:color w:val="000000"/>
        </w:rPr>
        <w:tab/>
        <w:t>Summary of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ummary of the economic evaluation which was a Markov model with 4 health states producing cost utility estimates. The model assumed a lifetime time horizon. "/>
      </w:tblPr>
      <w:tblGrid>
        <w:gridCol w:w="4503"/>
        <w:gridCol w:w="4394"/>
      </w:tblGrid>
      <w:tr w:rsidR="006B3DA0" w:rsidRPr="00EA45D4" w14:paraId="50CAA8BB" w14:textId="77777777" w:rsidTr="00E130FA">
        <w:trPr>
          <w:trHeight w:val="138"/>
        </w:trPr>
        <w:tc>
          <w:tcPr>
            <w:tcW w:w="4503" w:type="dxa"/>
          </w:tcPr>
          <w:p w14:paraId="5C13C1E3"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Perspective </w:t>
            </w:r>
          </w:p>
        </w:tc>
        <w:tc>
          <w:tcPr>
            <w:tcW w:w="4394" w:type="dxa"/>
          </w:tcPr>
          <w:p w14:paraId="7D020019"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Health care system </w:t>
            </w:r>
          </w:p>
        </w:tc>
      </w:tr>
      <w:tr w:rsidR="006B3DA0" w:rsidRPr="00EA45D4" w14:paraId="609186C6" w14:textId="77777777" w:rsidTr="00E130FA">
        <w:trPr>
          <w:trHeight w:val="138"/>
        </w:trPr>
        <w:tc>
          <w:tcPr>
            <w:tcW w:w="4503" w:type="dxa"/>
          </w:tcPr>
          <w:p w14:paraId="09B7EC46"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Comparator </w:t>
            </w:r>
          </w:p>
        </w:tc>
        <w:tc>
          <w:tcPr>
            <w:tcW w:w="4394" w:type="dxa"/>
          </w:tcPr>
          <w:p w14:paraId="6FEFE0D7"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Standard care for HF patients </w:t>
            </w:r>
          </w:p>
        </w:tc>
      </w:tr>
      <w:tr w:rsidR="006B3DA0" w:rsidRPr="00EA45D4" w14:paraId="1FA50797" w14:textId="77777777" w:rsidTr="00E130FA">
        <w:trPr>
          <w:trHeight w:val="138"/>
        </w:trPr>
        <w:tc>
          <w:tcPr>
            <w:tcW w:w="4503" w:type="dxa"/>
          </w:tcPr>
          <w:p w14:paraId="49EC3EB5"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Type of economic evaluation </w:t>
            </w:r>
          </w:p>
        </w:tc>
        <w:tc>
          <w:tcPr>
            <w:tcW w:w="4394" w:type="dxa"/>
          </w:tcPr>
          <w:p w14:paraId="072E8B5C"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Cost-utility </w:t>
            </w:r>
          </w:p>
        </w:tc>
      </w:tr>
      <w:tr w:rsidR="006B3DA0" w:rsidRPr="00EA45D4" w14:paraId="4244B6B9" w14:textId="77777777" w:rsidTr="00E130FA">
        <w:trPr>
          <w:trHeight w:val="138"/>
        </w:trPr>
        <w:tc>
          <w:tcPr>
            <w:tcW w:w="4503" w:type="dxa"/>
          </w:tcPr>
          <w:p w14:paraId="1920E40E"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Sources of evidence </w:t>
            </w:r>
          </w:p>
        </w:tc>
        <w:tc>
          <w:tcPr>
            <w:tcW w:w="4394" w:type="dxa"/>
          </w:tcPr>
          <w:p w14:paraId="1DD9A968"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RCT </w:t>
            </w:r>
          </w:p>
        </w:tc>
      </w:tr>
      <w:tr w:rsidR="006B3DA0" w:rsidRPr="00EA45D4" w14:paraId="76BD99CC" w14:textId="77777777" w:rsidTr="00E130FA">
        <w:trPr>
          <w:trHeight w:val="138"/>
        </w:trPr>
        <w:tc>
          <w:tcPr>
            <w:tcW w:w="4503" w:type="dxa"/>
          </w:tcPr>
          <w:p w14:paraId="6122BD08"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Time horizon </w:t>
            </w:r>
          </w:p>
        </w:tc>
        <w:tc>
          <w:tcPr>
            <w:tcW w:w="4394" w:type="dxa"/>
          </w:tcPr>
          <w:p w14:paraId="0CBAD658"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Lifetime (up to 38 years) </w:t>
            </w:r>
          </w:p>
        </w:tc>
      </w:tr>
      <w:tr w:rsidR="006B3DA0" w:rsidRPr="00EA45D4" w14:paraId="66907E24" w14:textId="77777777" w:rsidTr="00E130FA">
        <w:trPr>
          <w:trHeight w:val="138"/>
        </w:trPr>
        <w:tc>
          <w:tcPr>
            <w:tcW w:w="4503" w:type="dxa"/>
          </w:tcPr>
          <w:p w14:paraId="62C23146"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lastRenderedPageBreak/>
              <w:t xml:space="preserve">Outcomes </w:t>
            </w:r>
          </w:p>
        </w:tc>
        <w:tc>
          <w:tcPr>
            <w:tcW w:w="4394" w:type="dxa"/>
          </w:tcPr>
          <w:p w14:paraId="4EE94889"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QALYs </w:t>
            </w:r>
          </w:p>
        </w:tc>
      </w:tr>
      <w:tr w:rsidR="006B3DA0" w:rsidRPr="00EA45D4" w14:paraId="0579DCA1" w14:textId="77777777" w:rsidTr="00E130FA">
        <w:trPr>
          <w:trHeight w:val="138"/>
        </w:trPr>
        <w:tc>
          <w:tcPr>
            <w:tcW w:w="4503" w:type="dxa"/>
          </w:tcPr>
          <w:p w14:paraId="50442B21"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Methods used to generate results </w:t>
            </w:r>
          </w:p>
        </w:tc>
        <w:tc>
          <w:tcPr>
            <w:tcW w:w="4394" w:type="dxa"/>
          </w:tcPr>
          <w:p w14:paraId="62377B16"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Markov model </w:t>
            </w:r>
          </w:p>
        </w:tc>
      </w:tr>
      <w:tr w:rsidR="006B3DA0" w:rsidRPr="00EA45D4" w14:paraId="5E6460D9" w14:textId="77777777" w:rsidTr="00E130FA">
        <w:trPr>
          <w:trHeight w:val="138"/>
        </w:trPr>
        <w:tc>
          <w:tcPr>
            <w:tcW w:w="4503" w:type="dxa"/>
          </w:tcPr>
          <w:p w14:paraId="2F11B39A"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Health states </w:t>
            </w:r>
          </w:p>
        </w:tc>
        <w:tc>
          <w:tcPr>
            <w:tcW w:w="4394" w:type="dxa"/>
          </w:tcPr>
          <w:p w14:paraId="5523EDBD"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4 </w:t>
            </w:r>
          </w:p>
        </w:tc>
      </w:tr>
      <w:tr w:rsidR="006B3DA0" w:rsidRPr="00EA45D4" w14:paraId="00BCF11D" w14:textId="77777777" w:rsidTr="00E130FA">
        <w:trPr>
          <w:trHeight w:val="138"/>
        </w:trPr>
        <w:tc>
          <w:tcPr>
            <w:tcW w:w="4503" w:type="dxa"/>
          </w:tcPr>
          <w:p w14:paraId="4BE441F8"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Cycle length </w:t>
            </w:r>
          </w:p>
        </w:tc>
        <w:tc>
          <w:tcPr>
            <w:tcW w:w="4394" w:type="dxa"/>
          </w:tcPr>
          <w:p w14:paraId="0EC39878"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1 Month </w:t>
            </w:r>
          </w:p>
        </w:tc>
      </w:tr>
      <w:tr w:rsidR="006B3DA0" w:rsidRPr="00EA45D4" w14:paraId="742BD5BC" w14:textId="77777777" w:rsidTr="00E130FA">
        <w:trPr>
          <w:trHeight w:val="138"/>
        </w:trPr>
        <w:tc>
          <w:tcPr>
            <w:tcW w:w="4503" w:type="dxa"/>
          </w:tcPr>
          <w:p w14:paraId="6B7A9DE1"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Discount rate </w:t>
            </w:r>
          </w:p>
        </w:tc>
        <w:tc>
          <w:tcPr>
            <w:tcW w:w="4394" w:type="dxa"/>
          </w:tcPr>
          <w:p w14:paraId="5A07B15B"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5% for both costs and outcomes </w:t>
            </w:r>
          </w:p>
        </w:tc>
      </w:tr>
      <w:tr w:rsidR="006B3DA0" w:rsidRPr="00EA45D4" w14:paraId="0A6F5D22" w14:textId="77777777" w:rsidTr="00E130FA">
        <w:trPr>
          <w:trHeight w:val="138"/>
        </w:trPr>
        <w:tc>
          <w:tcPr>
            <w:tcW w:w="4503" w:type="dxa"/>
          </w:tcPr>
          <w:p w14:paraId="50B379CB"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A45D4">
              <w:rPr>
                <w:rFonts w:ascii="Arial" w:eastAsiaTheme="minorHAnsi" w:hAnsi="Arial" w:cs="Arial"/>
                <w:color w:val="000000"/>
                <w:sz w:val="20"/>
                <w:lang w:eastAsia="en-US"/>
              </w:rPr>
              <w:t xml:space="preserve">Software packages used </w:t>
            </w:r>
          </w:p>
        </w:tc>
        <w:tc>
          <w:tcPr>
            <w:tcW w:w="4394" w:type="dxa"/>
          </w:tcPr>
          <w:p w14:paraId="10543B30" w14:textId="77777777" w:rsidR="006B3DA0" w:rsidRPr="00EA45D4"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proofErr w:type="spellStart"/>
            <w:r w:rsidRPr="00EA45D4">
              <w:rPr>
                <w:rFonts w:ascii="Arial" w:eastAsiaTheme="minorHAnsi" w:hAnsi="Arial" w:cs="Arial"/>
                <w:color w:val="000000"/>
                <w:sz w:val="20"/>
                <w:lang w:eastAsia="en-US"/>
              </w:rPr>
              <w:t>TreeAge</w:t>
            </w:r>
            <w:proofErr w:type="spellEnd"/>
            <w:r w:rsidRPr="00EA45D4">
              <w:rPr>
                <w:rFonts w:ascii="Arial" w:eastAsiaTheme="minorHAnsi" w:hAnsi="Arial" w:cs="Arial"/>
                <w:color w:val="000000"/>
                <w:sz w:val="20"/>
                <w:lang w:eastAsia="en-US"/>
              </w:rPr>
              <w:t xml:space="preserve"> Pro 2015 </w:t>
            </w:r>
          </w:p>
        </w:tc>
      </w:tr>
    </w:tbl>
    <w:p w14:paraId="6D5499C5" w14:textId="7A8A1561" w:rsidR="006B3DA0" w:rsidRPr="006B3DA0" w:rsidRDefault="006B3DA0" w:rsidP="00E90989">
      <w:pPr>
        <w:tabs>
          <w:tab w:val="left" w:pos="0"/>
        </w:tabs>
        <w:spacing w:before="240" w:after="240"/>
        <w:rPr>
          <w:b/>
          <w:szCs w:val="24"/>
        </w:rPr>
      </w:pPr>
      <w:r w:rsidRPr="006B3DA0">
        <w:rPr>
          <w:rFonts w:eastAsiaTheme="minorHAnsi"/>
          <w:color w:val="000000"/>
          <w:szCs w:val="24"/>
          <w:lang w:eastAsia="en-US"/>
        </w:rPr>
        <w:t>In respo</w:t>
      </w:r>
      <w:r w:rsidR="0031629D">
        <w:rPr>
          <w:rFonts w:eastAsiaTheme="minorHAnsi"/>
          <w:color w:val="000000"/>
          <w:szCs w:val="24"/>
          <w:lang w:eastAsia="en-US"/>
        </w:rPr>
        <w:t>nse to previously raised concerns the re</w:t>
      </w:r>
      <w:r w:rsidR="00E90989">
        <w:rPr>
          <w:rFonts w:eastAsiaTheme="minorHAnsi"/>
          <w:color w:val="000000"/>
          <w:szCs w:val="24"/>
          <w:lang w:eastAsia="en-US"/>
        </w:rPr>
        <w:t>submission changed</w:t>
      </w:r>
      <w:r w:rsidRPr="006B3DA0">
        <w:rPr>
          <w:rFonts w:eastAsiaTheme="minorHAnsi"/>
          <w:color w:val="000000"/>
          <w:szCs w:val="24"/>
          <w:lang w:eastAsia="en-US"/>
        </w:rPr>
        <w:t xml:space="preserve"> how utilities </w:t>
      </w:r>
      <w:r w:rsidR="00E90989">
        <w:rPr>
          <w:rFonts w:eastAsiaTheme="minorHAnsi"/>
          <w:color w:val="000000"/>
          <w:szCs w:val="24"/>
          <w:lang w:eastAsia="en-US"/>
        </w:rPr>
        <w:t>we</w:t>
      </w:r>
      <w:r w:rsidRPr="006B3DA0">
        <w:rPr>
          <w:rFonts w:eastAsiaTheme="minorHAnsi"/>
          <w:color w:val="000000"/>
          <w:szCs w:val="24"/>
          <w:lang w:eastAsia="en-US"/>
        </w:rPr>
        <w:t xml:space="preserve">re applied (they </w:t>
      </w:r>
      <w:r w:rsidR="00E90989">
        <w:rPr>
          <w:rFonts w:eastAsiaTheme="minorHAnsi"/>
          <w:color w:val="000000"/>
          <w:szCs w:val="24"/>
          <w:lang w:eastAsia="en-US"/>
        </w:rPr>
        <w:t>were</w:t>
      </w:r>
      <w:r w:rsidRPr="006B3DA0">
        <w:rPr>
          <w:rFonts w:eastAsiaTheme="minorHAnsi"/>
          <w:color w:val="000000"/>
          <w:szCs w:val="24"/>
          <w:lang w:eastAsia="en-US"/>
        </w:rPr>
        <w:t xml:space="preserve"> assigned to health states </w:t>
      </w:r>
      <w:r w:rsidR="00E90989">
        <w:rPr>
          <w:rFonts w:eastAsiaTheme="minorHAnsi"/>
          <w:color w:val="000000"/>
          <w:szCs w:val="24"/>
          <w:lang w:eastAsia="en-US"/>
        </w:rPr>
        <w:t>rather than cycles), which the critique noted</w:t>
      </w:r>
      <w:r w:rsidRPr="006B3DA0">
        <w:rPr>
          <w:rFonts w:eastAsiaTheme="minorHAnsi"/>
          <w:color w:val="000000"/>
          <w:szCs w:val="24"/>
          <w:lang w:eastAsia="en-US"/>
        </w:rPr>
        <w:t xml:space="preserve"> appears appropriate. </w:t>
      </w:r>
      <w:r w:rsidR="00406A72">
        <w:rPr>
          <w:rFonts w:eastAsiaTheme="minorHAnsi"/>
          <w:color w:val="000000"/>
          <w:szCs w:val="24"/>
          <w:lang w:eastAsia="en-US"/>
        </w:rPr>
        <w:t>A 10-</w:t>
      </w:r>
      <w:r w:rsidR="00E90989">
        <w:rPr>
          <w:rFonts w:eastAsiaTheme="minorHAnsi"/>
          <w:color w:val="000000"/>
          <w:szCs w:val="24"/>
          <w:lang w:eastAsia="en-US"/>
        </w:rPr>
        <w:t>year time horizon wa</w:t>
      </w:r>
      <w:r w:rsidRPr="006B3DA0">
        <w:rPr>
          <w:rFonts w:eastAsiaTheme="minorHAnsi"/>
          <w:color w:val="000000"/>
          <w:szCs w:val="24"/>
          <w:lang w:eastAsia="en-US"/>
        </w:rPr>
        <w:t>s also presented as an alternative analysis but the lifetime time horizon remains the base case.</w:t>
      </w:r>
      <w:r w:rsidR="00E90989">
        <w:rPr>
          <w:rFonts w:eastAsiaTheme="minorHAnsi"/>
          <w:color w:val="000000"/>
          <w:szCs w:val="24"/>
          <w:lang w:eastAsia="en-US"/>
        </w:rPr>
        <w:t xml:space="preserve"> </w:t>
      </w:r>
      <w:r w:rsidR="00E90989">
        <w:rPr>
          <w:szCs w:val="24"/>
        </w:rPr>
        <w:t>The critique considered, a</w:t>
      </w:r>
      <w:r w:rsidR="00E90989" w:rsidRPr="006B3DA0">
        <w:rPr>
          <w:szCs w:val="24"/>
        </w:rPr>
        <w:t>s previous</w:t>
      </w:r>
      <w:r w:rsidR="00E90989">
        <w:rPr>
          <w:szCs w:val="24"/>
        </w:rPr>
        <w:t>ly, that</w:t>
      </w:r>
      <w:r w:rsidR="00E90989" w:rsidRPr="006B3DA0">
        <w:rPr>
          <w:szCs w:val="24"/>
        </w:rPr>
        <w:t xml:space="preserve"> 10 years is likely to be a more appropriate time horizon.</w:t>
      </w:r>
      <w:r w:rsidRPr="006B3DA0">
        <w:rPr>
          <w:rFonts w:eastAsiaTheme="minorHAnsi"/>
          <w:color w:val="000000"/>
          <w:szCs w:val="24"/>
          <w:lang w:eastAsia="en-US"/>
        </w:rPr>
        <w:t xml:space="preserve"> </w:t>
      </w:r>
      <w:r w:rsidR="00E90989">
        <w:rPr>
          <w:rFonts w:eastAsiaTheme="minorHAnsi"/>
          <w:iCs/>
          <w:color w:val="000000"/>
          <w:szCs w:val="24"/>
          <w:lang w:eastAsia="en-US"/>
        </w:rPr>
        <w:t xml:space="preserve">The </w:t>
      </w:r>
      <w:proofErr w:type="gramStart"/>
      <w:r w:rsidR="00E90989">
        <w:rPr>
          <w:rFonts w:eastAsiaTheme="minorHAnsi"/>
          <w:iCs/>
          <w:color w:val="000000"/>
          <w:szCs w:val="24"/>
          <w:lang w:eastAsia="en-US"/>
        </w:rPr>
        <w:t>c</w:t>
      </w:r>
      <w:r w:rsidRPr="006B3DA0">
        <w:rPr>
          <w:rFonts w:eastAsiaTheme="minorHAnsi"/>
          <w:iCs/>
          <w:color w:val="000000"/>
          <w:szCs w:val="24"/>
          <w:lang w:eastAsia="en-US"/>
        </w:rPr>
        <w:t>ritique</w:t>
      </w:r>
      <w:r w:rsidR="00E90989">
        <w:rPr>
          <w:rFonts w:eastAsiaTheme="minorHAnsi"/>
          <w:iCs/>
          <w:color w:val="000000"/>
          <w:szCs w:val="24"/>
          <w:lang w:eastAsia="en-US"/>
        </w:rPr>
        <w:t xml:space="preserve"> also noted</w:t>
      </w:r>
      <w:r w:rsidRPr="006B3DA0">
        <w:rPr>
          <w:rFonts w:eastAsiaTheme="minorHAnsi"/>
          <w:iCs/>
          <w:color w:val="000000"/>
          <w:szCs w:val="24"/>
          <w:lang w:eastAsia="en-US"/>
        </w:rPr>
        <w:t xml:space="preserve"> that the mortality rates used across the model were not changed in the resubmission and remain</w:t>
      </w:r>
      <w:proofErr w:type="gramEnd"/>
      <w:r w:rsidRPr="006B3DA0">
        <w:rPr>
          <w:rFonts w:eastAsiaTheme="minorHAnsi"/>
          <w:iCs/>
          <w:color w:val="000000"/>
          <w:szCs w:val="24"/>
          <w:lang w:eastAsia="en-US"/>
        </w:rPr>
        <w:t xml:space="preserve"> a key limitation and</w:t>
      </w:r>
      <w:r w:rsidR="00E90989">
        <w:rPr>
          <w:rFonts w:eastAsiaTheme="minorHAnsi"/>
          <w:iCs/>
          <w:color w:val="000000"/>
          <w:szCs w:val="24"/>
          <w:lang w:eastAsia="en-US"/>
        </w:rPr>
        <w:t xml:space="preserve"> source of uncertainty.</w:t>
      </w:r>
    </w:p>
    <w:p w14:paraId="619C1226" w14:textId="6D645601" w:rsidR="00C048C1" w:rsidRPr="006B3DA0" w:rsidRDefault="006B3DA0" w:rsidP="00E90989">
      <w:pPr>
        <w:tabs>
          <w:tab w:val="left" w:pos="0"/>
          <w:tab w:val="left" w:pos="720"/>
          <w:tab w:val="left" w:pos="1140"/>
        </w:tabs>
        <w:spacing w:after="240"/>
        <w:rPr>
          <w:szCs w:val="24"/>
        </w:rPr>
      </w:pPr>
      <w:r w:rsidRPr="006B3DA0">
        <w:rPr>
          <w:szCs w:val="24"/>
        </w:rPr>
        <w:t xml:space="preserve">The overall costs and outcomes, and incremental costs and outcomes as calculated for the intervention and comparator in the model, and using the base case assumptions, are shown in </w:t>
      </w:r>
      <w:r w:rsidR="00E90989">
        <w:rPr>
          <w:szCs w:val="24"/>
        </w:rPr>
        <w:fldChar w:fldCharType="begin"/>
      </w:r>
      <w:r w:rsidR="00E90989">
        <w:rPr>
          <w:szCs w:val="24"/>
        </w:rPr>
        <w:instrText xml:space="preserve"> REF _Ref469477559 \h  \* MERGEFORMAT </w:instrText>
      </w:r>
      <w:r w:rsidR="00E90989">
        <w:rPr>
          <w:szCs w:val="24"/>
        </w:rPr>
      </w:r>
      <w:r w:rsidR="00E90989">
        <w:rPr>
          <w:szCs w:val="24"/>
        </w:rPr>
        <w:fldChar w:fldCharType="separate"/>
      </w:r>
      <w:r w:rsidR="00C64E51" w:rsidRPr="009D452D">
        <w:rPr>
          <w:szCs w:val="24"/>
        </w:rPr>
        <w:t>Table 5</w:t>
      </w:r>
      <w:r w:rsidR="00E90989">
        <w:rPr>
          <w:szCs w:val="24"/>
        </w:rPr>
        <w:fldChar w:fldCharType="end"/>
      </w:r>
      <w:r w:rsidRPr="006B3DA0">
        <w:rPr>
          <w:szCs w:val="24"/>
        </w:rPr>
        <w:t xml:space="preserve"> below.</w:t>
      </w:r>
    </w:p>
    <w:p w14:paraId="3B71381C" w14:textId="77777777" w:rsidR="006B3DA0" w:rsidRPr="00E90989" w:rsidRDefault="00E90989" w:rsidP="00E90989">
      <w:pPr>
        <w:pStyle w:val="Caption"/>
        <w:jc w:val="left"/>
        <w:rPr>
          <w:rFonts w:ascii="Arial" w:hAnsi="Arial"/>
        </w:rPr>
      </w:pPr>
      <w:bookmarkStart w:id="7" w:name="_Ref469477559"/>
      <w:r w:rsidRPr="00E90989">
        <w:rPr>
          <w:rFonts w:ascii="Arial" w:hAnsi="Arial"/>
        </w:rPr>
        <w:t xml:space="preserve">Table </w:t>
      </w:r>
      <w:r w:rsidRPr="00E90989">
        <w:rPr>
          <w:rFonts w:ascii="Arial" w:hAnsi="Arial"/>
        </w:rPr>
        <w:fldChar w:fldCharType="begin"/>
      </w:r>
      <w:r w:rsidRPr="00E90989">
        <w:rPr>
          <w:rFonts w:ascii="Arial" w:hAnsi="Arial"/>
        </w:rPr>
        <w:instrText xml:space="preserve"> SEQ Table \* ARABIC </w:instrText>
      </w:r>
      <w:r w:rsidRPr="00E90989">
        <w:rPr>
          <w:rFonts w:ascii="Arial" w:hAnsi="Arial"/>
        </w:rPr>
        <w:fldChar w:fldCharType="separate"/>
      </w:r>
      <w:r w:rsidR="00C64E51">
        <w:rPr>
          <w:rFonts w:ascii="Arial" w:hAnsi="Arial"/>
          <w:noProof/>
        </w:rPr>
        <w:t>5</w:t>
      </w:r>
      <w:r w:rsidRPr="00E90989">
        <w:rPr>
          <w:rFonts w:ascii="Arial" w:hAnsi="Arial"/>
        </w:rPr>
        <w:fldChar w:fldCharType="end"/>
      </w:r>
      <w:bookmarkEnd w:id="7"/>
      <w:r w:rsidR="006B3DA0" w:rsidRPr="00E90989">
        <w:rPr>
          <w:rFonts w:ascii="Arial" w:eastAsiaTheme="minorHAnsi" w:hAnsi="Arial"/>
          <w:color w:val="000000"/>
        </w:rPr>
        <w:t xml:space="preserve">:  </w:t>
      </w:r>
      <w:r w:rsidR="00C048C1" w:rsidRPr="00E90989">
        <w:rPr>
          <w:rFonts w:ascii="Arial" w:eastAsiaTheme="minorHAnsi" w:hAnsi="Arial"/>
          <w:color w:val="000000"/>
        </w:rPr>
        <w:tab/>
      </w:r>
      <w:r w:rsidR="006B3DA0" w:rsidRPr="00E90989">
        <w:rPr>
          <w:rFonts w:ascii="Arial" w:eastAsiaTheme="minorHAnsi" w:hAnsi="Arial"/>
          <w:color w:val="000000"/>
        </w:rPr>
        <w:t>Incremental cost effectiveness results Cost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5  - Incremental cost effectiveness results cost"/>
      </w:tblPr>
      <w:tblGrid>
        <w:gridCol w:w="1384"/>
        <w:gridCol w:w="46"/>
        <w:gridCol w:w="1430"/>
        <w:gridCol w:w="572"/>
        <w:gridCol w:w="858"/>
        <w:gridCol w:w="858"/>
        <w:gridCol w:w="572"/>
        <w:gridCol w:w="1144"/>
        <w:gridCol w:w="286"/>
        <w:gridCol w:w="1430"/>
      </w:tblGrid>
      <w:tr w:rsidR="006B3DA0" w:rsidRPr="00E90989" w14:paraId="57CB79F7" w14:textId="77777777" w:rsidTr="009E3F7F">
        <w:trPr>
          <w:trHeight w:val="256"/>
        </w:trPr>
        <w:tc>
          <w:tcPr>
            <w:tcW w:w="1384" w:type="dxa"/>
          </w:tcPr>
          <w:p w14:paraId="01827121"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p>
        </w:tc>
        <w:tc>
          <w:tcPr>
            <w:tcW w:w="2048" w:type="dxa"/>
            <w:gridSpan w:val="3"/>
          </w:tcPr>
          <w:p w14:paraId="043AA222" w14:textId="77777777" w:rsidR="006B3DA0" w:rsidRPr="00E90989" w:rsidRDefault="006B3DA0" w:rsidP="003956EE">
            <w:pPr>
              <w:tabs>
                <w:tab w:val="left" w:pos="-15"/>
              </w:tabs>
              <w:autoSpaceDE w:val="0"/>
              <w:autoSpaceDN w:val="0"/>
              <w:adjustRightInd w:val="0"/>
              <w:ind w:left="-15" w:firstLine="15"/>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Incremental cost </w:t>
            </w:r>
          </w:p>
        </w:tc>
        <w:tc>
          <w:tcPr>
            <w:tcW w:w="1716" w:type="dxa"/>
            <w:gridSpan w:val="2"/>
          </w:tcPr>
          <w:p w14:paraId="586AAD18" w14:textId="77777777" w:rsidR="006B3DA0" w:rsidRPr="00E90989" w:rsidRDefault="006B3DA0" w:rsidP="003956EE">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Effectiveness (QALYs) </w:t>
            </w:r>
          </w:p>
        </w:tc>
        <w:tc>
          <w:tcPr>
            <w:tcW w:w="1716" w:type="dxa"/>
            <w:gridSpan w:val="2"/>
          </w:tcPr>
          <w:p w14:paraId="0F7F66A5" w14:textId="77777777" w:rsidR="006B3DA0" w:rsidRPr="00E90989" w:rsidRDefault="006B3DA0" w:rsidP="003956EE">
            <w:pPr>
              <w:tabs>
                <w:tab w:val="left" w:pos="-45"/>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Incremental effectiveness </w:t>
            </w:r>
          </w:p>
        </w:tc>
        <w:tc>
          <w:tcPr>
            <w:tcW w:w="1716" w:type="dxa"/>
            <w:gridSpan w:val="2"/>
          </w:tcPr>
          <w:p w14:paraId="259171E7" w14:textId="77777777" w:rsidR="006B3DA0" w:rsidRPr="00E90989" w:rsidRDefault="006B3DA0" w:rsidP="003956EE">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ICER </w:t>
            </w:r>
          </w:p>
        </w:tc>
      </w:tr>
      <w:tr w:rsidR="006B3DA0" w:rsidRPr="00E90989" w14:paraId="54C572F0" w14:textId="77777777" w:rsidTr="00E130FA">
        <w:trPr>
          <w:trHeight w:val="138"/>
        </w:trPr>
        <w:tc>
          <w:tcPr>
            <w:tcW w:w="8580" w:type="dxa"/>
            <w:gridSpan w:val="10"/>
          </w:tcPr>
          <w:p w14:paraId="3412EAC6"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10-YEAR </w:t>
            </w:r>
          </w:p>
        </w:tc>
      </w:tr>
      <w:tr w:rsidR="006B3DA0" w:rsidRPr="00E90989" w14:paraId="2F8452F2" w14:textId="77777777" w:rsidTr="00E130FA">
        <w:trPr>
          <w:trHeight w:val="138"/>
        </w:trPr>
        <w:tc>
          <w:tcPr>
            <w:tcW w:w="1430" w:type="dxa"/>
            <w:gridSpan w:val="2"/>
          </w:tcPr>
          <w:p w14:paraId="35D74631"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LABS-IHMS </w:t>
            </w:r>
          </w:p>
        </w:tc>
        <w:tc>
          <w:tcPr>
            <w:tcW w:w="1430" w:type="dxa"/>
          </w:tcPr>
          <w:p w14:paraId="1EAC99F3"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$50,839 </w:t>
            </w:r>
          </w:p>
        </w:tc>
        <w:tc>
          <w:tcPr>
            <w:tcW w:w="1430" w:type="dxa"/>
            <w:gridSpan w:val="2"/>
          </w:tcPr>
          <w:p w14:paraId="5E9AB214"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$24,396 </w:t>
            </w:r>
          </w:p>
        </w:tc>
        <w:tc>
          <w:tcPr>
            <w:tcW w:w="1430" w:type="dxa"/>
            <w:gridSpan w:val="2"/>
          </w:tcPr>
          <w:p w14:paraId="6FAE88F2"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3.01 </w:t>
            </w:r>
          </w:p>
        </w:tc>
        <w:tc>
          <w:tcPr>
            <w:tcW w:w="1430" w:type="dxa"/>
            <w:gridSpan w:val="2"/>
          </w:tcPr>
          <w:p w14:paraId="15C8AA65"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0.43 </w:t>
            </w:r>
          </w:p>
        </w:tc>
        <w:tc>
          <w:tcPr>
            <w:tcW w:w="1430" w:type="dxa"/>
          </w:tcPr>
          <w:p w14:paraId="4E3DAF8B"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$56,495 </w:t>
            </w:r>
          </w:p>
        </w:tc>
      </w:tr>
      <w:tr w:rsidR="006B3DA0" w:rsidRPr="00E90989" w14:paraId="1CFD0AA1" w14:textId="77777777" w:rsidTr="00E130FA">
        <w:trPr>
          <w:trHeight w:val="138"/>
        </w:trPr>
        <w:tc>
          <w:tcPr>
            <w:tcW w:w="2860" w:type="dxa"/>
            <w:gridSpan w:val="3"/>
          </w:tcPr>
          <w:p w14:paraId="026ED387"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SOC </w:t>
            </w:r>
          </w:p>
        </w:tc>
        <w:tc>
          <w:tcPr>
            <w:tcW w:w="2860" w:type="dxa"/>
            <w:gridSpan w:val="4"/>
          </w:tcPr>
          <w:p w14:paraId="70B58BB3"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$26,443 </w:t>
            </w:r>
          </w:p>
        </w:tc>
        <w:tc>
          <w:tcPr>
            <w:tcW w:w="2860" w:type="dxa"/>
            <w:gridSpan w:val="3"/>
          </w:tcPr>
          <w:p w14:paraId="7FBD51EE"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2.58 </w:t>
            </w:r>
          </w:p>
        </w:tc>
      </w:tr>
      <w:tr w:rsidR="006B3DA0" w:rsidRPr="00E90989" w14:paraId="79018A3E" w14:textId="77777777" w:rsidTr="00E130FA">
        <w:trPr>
          <w:trHeight w:val="138"/>
        </w:trPr>
        <w:tc>
          <w:tcPr>
            <w:tcW w:w="8580" w:type="dxa"/>
            <w:gridSpan w:val="10"/>
          </w:tcPr>
          <w:p w14:paraId="328D7D02"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LIFETIME </w:t>
            </w:r>
          </w:p>
        </w:tc>
      </w:tr>
      <w:tr w:rsidR="006B3DA0" w:rsidRPr="00E90989" w14:paraId="3AEC00AB" w14:textId="77777777" w:rsidTr="00E130FA">
        <w:trPr>
          <w:trHeight w:val="138"/>
        </w:trPr>
        <w:tc>
          <w:tcPr>
            <w:tcW w:w="1430" w:type="dxa"/>
            <w:gridSpan w:val="2"/>
          </w:tcPr>
          <w:p w14:paraId="4B216888"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LABS-IHMS </w:t>
            </w:r>
          </w:p>
        </w:tc>
        <w:tc>
          <w:tcPr>
            <w:tcW w:w="1430" w:type="dxa"/>
          </w:tcPr>
          <w:p w14:paraId="5BB3F48F"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$55,096 </w:t>
            </w:r>
          </w:p>
        </w:tc>
        <w:tc>
          <w:tcPr>
            <w:tcW w:w="1430" w:type="dxa"/>
            <w:gridSpan w:val="2"/>
          </w:tcPr>
          <w:p w14:paraId="21B9F2E9"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$25,097 </w:t>
            </w:r>
          </w:p>
        </w:tc>
        <w:tc>
          <w:tcPr>
            <w:tcW w:w="1430" w:type="dxa"/>
            <w:gridSpan w:val="2"/>
          </w:tcPr>
          <w:p w14:paraId="75A889C4"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3.61 </w:t>
            </w:r>
          </w:p>
        </w:tc>
        <w:tc>
          <w:tcPr>
            <w:tcW w:w="1430" w:type="dxa"/>
            <w:gridSpan w:val="2"/>
          </w:tcPr>
          <w:p w14:paraId="5DBA1C16"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0.69 </w:t>
            </w:r>
          </w:p>
        </w:tc>
        <w:tc>
          <w:tcPr>
            <w:tcW w:w="1430" w:type="dxa"/>
          </w:tcPr>
          <w:p w14:paraId="47D469CF"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$36,558 </w:t>
            </w:r>
          </w:p>
        </w:tc>
      </w:tr>
      <w:tr w:rsidR="006B3DA0" w:rsidRPr="00E90989" w14:paraId="7C9DC541" w14:textId="77777777" w:rsidTr="00E130FA">
        <w:trPr>
          <w:trHeight w:val="138"/>
        </w:trPr>
        <w:tc>
          <w:tcPr>
            <w:tcW w:w="2860" w:type="dxa"/>
            <w:gridSpan w:val="3"/>
          </w:tcPr>
          <w:p w14:paraId="0AE26B21"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SOC </w:t>
            </w:r>
          </w:p>
        </w:tc>
        <w:tc>
          <w:tcPr>
            <w:tcW w:w="2860" w:type="dxa"/>
            <w:gridSpan w:val="4"/>
          </w:tcPr>
          <w:p w14:paraId="2B347DA6"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$29,999 </w:t>
            </w:r>
          </w:p>
        </w:tc>
        <w:tc>
          <w:tcPr>
            <w:tcW w:w="2860" w:type="dxa"/>
            <w:gridSpan w:val="3"/>
          </w:tcPr>
          <w:p w14:paraId="17C506AC"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2.92 </w:t>
            </w:r>
          </w:p>
        </w:tc>
      </w:tr>
    </w:tbl>
    <w:p w14:paraId="4BA54779" w14:textId="77777777" w:rsidR="006B3DA0" w:rsidRPr="006B3DA0" w:rsidRDefault="006B3DA0" w:rsidP="003956EE">
      <w:pPr>
        <w:tabs>
          <w:tab w:val="left" w:pos="567"/>
          <w:tab w:val="left" w:pos="720"/>
          <w:tab w:val="left" w:pos="1140"/>
        </w:tabs>
        <w:ind w:left="567" w:hanging="567"/>
        <w:rPr>
          <w:szCs w:val="24"/>
        </w:rPr>
      </w:pPr>
    </w:p>
    <w:p w14:paraId="1EB3C659" w14:textId="3D445415" w:rsidR="00C563D8" w:rsidRPr="006B3DA0" w:rsidRDefault="006B3DA0" w:rsidP="00E90989">
      <w:pPr>
        <w:tabs>
          <w:tab w:val="left" w:pos="0"/>
          <w:tab w:val="left" w:pos="720"/>
          <w:tab w:val="left" w:pos="1140"/>
        </w:tabs>
        <w:spacing w:after="240"/>
        <w:rPr>
          <w:szCs w:val="24"/>
        </w:rPr>
      </w:pPr>
      <w:r w:rsidRPr="006B3DA0">
        <w:rPr>
          <w:szCs w:val="24"/>
        </w:rPr>
        <w:t xml:space="preserve">An additional sensitivity analysis </w:t>
      </w:r>
      <w:r w:rsidR="00E90989">
        <w:rPr>
          <w:szCs w:val="24"/>
        </w:rPr>
        <w:t>was</w:t>
      </w:r>
      <w:r w:rsidRPr="006B3DA0">
        <w:rPr>
          <w:szCs w:val="24"/>
        </w:rPr>
        <w:t xml:space="preserve"> conducted using the 10-year horizon as the base case (</w:t>
      </w:r>
      <w:r w:rsidR="00E90989">
        <w:rPr>
          <w:szCs w:val="24"/>
        </w:rPr>
        <w:fldChar w:fldCharType="begin"/>
      </w:r>
      <w:r w:rsidR="00E90989">
        <w:rPr>
          <w:szCs w:val="24"/>
        </w:rPr>
        <w:instrText xml:space="preserve"> REF _Ref469477719 \h  \* MERGEFORMAT </w:instrText>
      </w:r>
      <w:r w:rsidR="00E90989">
        <w:rPr>
          <w:szCs w:val="24"/>
        </w:rPr>
      </w:r>
      <w:r w:rsidR="00E90989">
        <w:rPr>
          <w:szCs w:val="24"/>
        </w:rPr>
        <w:fldChar w:fldCharType="separate"/>
      </w:r>
      <w:r w:rsidR="00C64E51" w:rsidRPr="009D452D">
        <w:rPr>
          <w:szCs w:val="24"/>
        </w:rPr>
        <w:t>Table 6</w:t>
      </w:r>
      <w:r w:rsidR="00E90989">
        <w:rPr>
          <w:szCs w:val="24"/>
        </w:rPr>
        <w:fldChar w:fldCharType="end"/>
      </w:r>
      <w:r w:rsidRPr="006B3DA0">
        <w:rPr>
          <w:szCs w:val="24"/>
        </w:rPr>
        <w:t xml:space="preserve">) and varying </w:t>
      </w:r>
      <w:r w:rsidR="00E90989">
        <w:rPr>
          <w:szCs w:val="24"/>
        </w:rPr>
        <w:t>the relative risk of mortality.</w:t>
      </w:r>
    </w:p>
    <w:p w14:paraId="71CD128E" w14:textId="77777777" w:rsidR="006B3DA0" w:rsidRPr="00E90989" w:rsidRDefault="00E90989" w:rsidP="00E90989">
      <w:pPr>
        <w:pStyle w:val="Caption"/>
        <w:jc w:val="left"/>
        <w:rPr>
          <w:rFonts w:ascii="Arial" w:hAnsi="Arial"/>
        </w:rPr>
      </w:pPr>
      <w:bookmarkStart w:id="8" w:name="_Ref469477719"/>
      <w:r w:rsidRPr="00E90989">
        <w:rPr>
          <w:rFonts w:ascii="Arial" w:hAnsi="Arial"/>
        </w:rPr>
        <w:t xml:space="preserve">Table </w:t>
      </w:r>
      <w:r w:rsidRPr="00E90989">
        <w:rPr>
          <w:rFonts w:ascii="Arial" w:hAnsi="Arial"/>
        </w:rPr>
        <w:fldChar w:fldCharType="begin"/>
      </w:r>
      <w:r w:rsidRPr="00E90989">
        <w:rPr>
          <w:rFonts w:ascii="Arial" w:hAnsi="Arial"/>
        </w:rPr>
        <w:instrText xml:space="preserve"> SEQ Table \* ARABIC </w:instrText>
      </w:r>
      <w:r w:rsidRPr="00E90989">
        <w:rPr>
          <w:rFonts w:ascii="Arial" w:hAnsi="Arial"/>
        </w:rPr>
        <w:fldChar w:fldCharType="separate"/>
      </w:r>
      <w:r w:rsidR="00C64E51">
        <w:rPr>
          <w:rFonts w:ascii="Arial" w:hAnsi="Arial"/>
          <w:noProof/>
        </w:rPr>
        <w:t>6</w:t>
      </w:r>
      <w:r w:rsidRPr="00E90989">
        <w:rPr>
          <w:rFonts w:ascii="Arial" w:hAnsi="Arial"/>
        </w:rPr>
        <w:fldChar w:fldCharType="end"/>
      </w:r>
      <w:bookmarkEnd w:id="8"/>
      <w:r w:rsidR="006B3DA0" w:rsidRPr="00E90989">
        <w:rPr>
          <w:rFonts w:ascii="Arial" w:eastAsiaTheme="minorHAnsi" w:hAnsi="Arial"/>
          <w:color w:val="000000"/>
        </w:rPr>
        <w:t xml:space="preserve">: </w:t>
      </w:r>
      <w:r w:rsidR="006B3DA0" w:rsidRPr="00E90989">
        <w:rPr>
          <w:rFonts w:ascii="Arial" w:eastAsiaTheme="minorHAnsi" w:hAnsi="Arial"/>
          <w:color w:val="000000"/>
        </w:rPr>
        <w:tab/>
      </w:r>
      <w:r w:rsidR="006B3DA0" w:rsidRPr="00E90989">
        <w:rPr>
          <w:rFonts w:ascii="Arial" w:eastAsiaTheme="minorHAnsi" w:hAnsi="Arial"/>
          <w:color w:val="000000"/>
        </w:rPr>
        <w:tab/>
        <w:t>Results of additional sensitivity analysis</w:t>
      </w: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6 - Shows results of additional sensitivity analysis"/>
      </w:tblPr>
      <w:tblGrid>
        <w:gridCol w:w="2257"/>
        <w:gridCol w:w="752"/>
        <w:gridCol w:w="2769"/>
        <w:gridCol w:w="1406"/>
        <w:gridCol w:w="436"/>
        <w:gridCol w:w="1984"/>
      </w:tblGrid>
      <w:tr w:rsidR="006B3DA0" w:rsidRPr="00E90989" w14:paraId="35B30172" w14:textId="77777777" w:rsidTr="00C563D8">
        <w:trPr>
          <w:trHeight w:val="255"/>
        </w:trPr>
        <w:tc>
          <w:tcPr>
            <w:tcW w:w="2257" w:type="dxa"/>
          </w:tcPr>
          <w:p w14:paraId="634DC3B3"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Sensitivity analysis </w:t>
            </w:r>
          </w:p>
        </w:tc>
        <w:tc>
          <w:tcPr>
            <w:tcW w:w="3521" w:type="dxa"/>
            <w:gridSpan w:val="2"/>
          </w:tcPr>
          <w:p w14:paraId="39599C72"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Rationale </w:t>
            </w:r>
          </w:p>
        </w:tc>
        <w:tc>
          <w:tcPr>
            <w:tcW w:w="1842" w:type="dxa"/>
            <w:gridSpan w:val="2"/>
          </w:tcPr>
          <w:p w14:paraId="3DD382E7"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ICER </w:t>
            </w:r>
          </w:p>
        </w:tc>
        <w:tc>
          <w:tcPr>
            <w:tcW w:w="1984" w:type="dxa"/>
          </w:tcPr>
          <w:p w14:paraId="7651A850" w14:textId="77777777" w:rsidR="006B3DA0" w:rsidRPr="00E90989" w:rsidRDefault="006B3DA0" w:rsidP="003956EE">
            <w:pPr>
              <w:tabs>
                <w:tab w:val="left" w:pos="0"/>
              </w:tabs>
              <w:autoSpaceDE w:val="0"/>
              <w:autoSpaceDN w:val="0"/>
              <w:adjustRightInd w:val="0"/>
              <w:ind w:left="33" w:hanging="33"/>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 change relative to base case </w:t>
            </w:r>
          </w:p>
        </w:tc>
      </w:tr>
      <w:tr w:rsidR="006B3DA0" w:rsidRPr="00E90989" w14:paraId="1DA17B97" w14:textId="77777777" w:rsidTr="00C563D8">
        <w:trPr>
          <w:trHeight w:val="141"/>
        </w:trPr>
        <w:tc>
          <w:tcPr>
            <w:tcW w:w="5778" w:type="dxa"/>
            <w:gridSpan w:val="3"/>
          </w:tcPr>
          <w:p w14:paraId="2F4B39F9"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Base case (10 year time horizon) </w:t>
            </w:r>
          </w:p>
        </w:tc>
        <w:tc>
          <w:tcPr>
            <w:tcW w:w="3826" w:type="dxa"/>
            <w:gridSpan w:val="3"/>
          </w:tcPr>
          <w:p w14:paraId="73FBCAD6"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b/>
                <w:bCs/>
                <w:color w:val="000000"/>
                <w:sz w:val="20"/>
                <w:lang w:eastAsia="en-US"/>
              </w:rPr>
              <w:t xml:space="preserve">$56,495 </w:t>
            </w:r>
          </w:p>
        </w:tc>
      </w:tr>
      <w:tr w:rsidR="006B3DA0" w:rsidRPr="00E90989" w14:paraId="77D15099" w14:textId="77777777" w:rsidTr="00E90989">
        <w:trPr>
          <w:trHeight w:val="257"/>
        </w:trPr>
        <w:tc>
          <w:tcPr>
            <w:tcW w:w="9604" w:type="dxa"/>
            <w:gridSpan w:val="6"/>
          </w:tcPr>
          <w:p w14:paraId="570F0F78"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Univariate sensitivity analysis </w:t>
            </w:r>
          </w:p>
        </w:tc>
      </w:tr>
      <w:tr w:rsidR="006B3DA0" w:rsidRPr="00E90989" w14:paraId="3C9654D9" w14:textId="77777777" w:rsidTr="00C563D8">
        <w:trPr>
          <w:trHeight w:val="252"/>
        </w:trPr>
        <w:tc>
          <w:tcPr>
            <w:tcW w:w="2257" w:type="dxa"/>
          </w:tcPr>
          <w:p w14:paraId="340DEDE7"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(A) Revised relative risk of mortality: 0.91 vs. 0.79</w:t>
            </w:r>
          </w:p>
        </w:tc>
        <w:tc>
          <w:tcPr>
            <w:tcW w:w="3521" w:type="dxa"/>
            <w:gridSpan w:val="2"/>
          </w:tcPr>
          <w:p w14:paraId="156C7530"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Better align mortality improvement with CHAMPION trial</w:t>
            </w:r>
          </w:p>
        </w:tc>
        <w:tc>
          <w:tcPr>
            <w:tcW w:w="1842" w:type="dxa"/>
            <w:gridSpan w:val="2"/>
          </w:tcPr>
          <w:p w14:paraId="7CD863BD"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$99,791</w:t>
            </w:r>
          </w:p>
        </w:tc>
        <w:tc>
          <w:tcPr>
            <w:tcW w:w="1984" w:type="dxa"/>
          </w:tcPr>
          <w:p w14:paraId="1477376F"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76%</w:t>
            </w:r>
          </w:p>
        </w:tc>
      </w:tr>
      <w:tr w:rsidR="006B3DA0" w:rsidRPr="00E90989" w14:paraId="040CB581" w14:textId="77777777" w:rsidTr="00C563D8">
        <w:trPr>
          <w:trHeight w:val="253"/>
        </w:trPr>
        <w:tc>
          <w:tcPr>
            <w:tcW w:w="2257" w:type="dxa"/>
          </w:tcPr>
          <w:p w14:paraId="6E41D329"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(B) Revised utility values: 0.65 vs. 0.69-0.74</w:t>
            </w:r>
          </w:p>
        </w:tc>
        <w:tc>
          <w:tcPr>
            <w:tcW w:w="3521" w:type="dxa"/>
            <w:gridSpan w:val="2"/>
          </w:tcPr>
          <w:p w14:paraId="6E4EACED"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Utility values for older Australian cohort as sourced from literature</w:t>
            </w:r>
          </w:p>
        </w:tc>
        <w:tc>
          <w:tcPr>
            <w:tcW w:w="1842" w:type="dxa"/>
            <w:gridSpan w:val="2"/>
          </w:tcPr>
          <w:p w14:paraId="5B4CE2A1"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$59,504</w:t>
            </w:r>
          </w:p>
        </w:tc>
        <w:tc>
          <w:tcPr>
            <w:tcW w:w="1984" w:type="dxa"/>
          </w:tcPr>
          <w:p w14:paraId="2F9F0EEF"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5%</w:t>
            </w:r>
          </w:p>
        </w:tc>
      </w:tr>
      <w:tr w:rsidR="006B3DA0" w:rsidRPr="00E90989" w14:paraId="74AE3953" w14:textId="77777777" w:rsidTr="00C563D8">
        <w:trPr>
          <w:trHeight w:val="253"/>
        </w:trPr>
        <w:tc>
          <w:tcPr>
            <w:tcW w:w="2257" w:type="dxa"/>
          </w:tcPr>
          <w:p w14:paraId="769BBEB2"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(C) Revised compliance rate: 0.9 </w:t>
            </w:r>
            <w:proofErr w:type="spellStart"/>
            <w:r w:rsidRPr="00E90989">
              <w:rPr>
                <w:rFonts w:ascii="Arial" w:eastAsiaTheme="minorHAnsi" w:hAnsi="Arial" w:cs="Arial"/>
                <w:color w:val="000000"/>
                <w:sz w:val="20"/>
                <w:lang w:eastAsia="en-US"/>
              </w:rPr>
              <w:t>vs</w:t>
            </w:r>
            <w:proofErr w:type="spellEnd"/>
            <w:r w:rsidRPr="00E90989">
              <w:rPr>
                <w:rFonts w:ascii="Arial" w:eastAsiaTheme="minorHAnsi" w:hAnsi="Arial" w:cs="Arial"/>
                <w:color w:val="000000"/>
                <w:sz w:val="20"/>
                <w:lang w:eastAsia="en-US"/>
              </w:rPr>
              <w:t xml:space="preserve"> 1.0</w:t>
            </w:r>
          </w:p>
        </w:tc>
        <w:tc>
          <w:tcPr>
            <w:tcW w:w="3521" w:type="dxa"/>
            <w:gridSpan w:val="2"/>
          </w:tcPr>
          <w:p w14:paraId="4FEFB2A4"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Incorporate some amount of non-compliance</w:t>
            </w:r>
          </w:p>
        </w:tc>
        <w:tc>
          <w:tcPr>
            <w:tcW w:w="1842" w:type="dxa"/>
            <w:gridSpan w:val="2"/>
          </w:tcPr>
          <w:p w14:paraId="39A520B5"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$64,063</w:t>
            </w:r>
          </w:p>
        </w:tc>
        <w:tc>
          <w:tcPr>
            <w:tcW w:w="1984" w:type="dxa"/>
          </w:tcPr>
          <w:p w14:paraId="0EE4A583"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13%</w:t>
            </w:r>
          </w:p>
        </w:tc>
      </w:tr>
      <w:tr w:rsidR="006B3DA0" w:rsidRPr="00E90989" w14:paraId="3AD2A064" w14:textId="77777777" w:rsidTr="00C563D8">
        <w:trPr>
          <w:trHeight w:val="252"/>
        </w:trPr>
        <w:tc>
          <w:tcPr>
            <w:tcW w:w="2257" w:type="dxa"/>
          </w:tcPr>
          <w:p w14:paraId="5ADA21D5"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(D) Revised relative risk of mortality: 0.55 vs. 0.79</w:t>
            </w:r>
          </w:p>
        </w:tc>
        <w:tc>
          <w:tcPr>
            <w:tcW w:w="3521" w:type="dxa"/>
            <w:gridSpan w:val="2"/>
          </w:tcPr>
          <w:p w14:paraId="7D50CBCE"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Best case scenario from CHAMPION trial confidence intervals</w:t>
            </w:r>
          </w:p>
        </w:tc>
        <w:tc>
          <w:tcPr>
            <w:tcW w:w="1842" w:type="dxa"/>
            <w:gridSpan w:val="2"/>
          </w:tcPr>
          <w:p w14:paraId="1FA79F77"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$30,559</w:t>
            </w:r>
          </w:p>
        </w:tc>
        <w:tc>
          <w:tcPr>
            <w:tcW w:w="1984" w:type="dxa"/>
          </w:tcPr>
          <w:p w14:paraId="7C9D54FE" w14:textId="77777777" w:rsidR="006B3DA0" w:rsidRPr="00E90989" w:rsidRDefault="006B3DA0" w:rsidP="00C563D8">
            <w:pPr>
              <w:tabs>
                <w:tab w:val="left" w:pos="0"/>
              </w:tabs>
              <w:autoSpaceDE w:val="0"/>
              <w:autoSpaceDN w:val="0"/>
              <w:adjustRightInd w:val="0"/>
              <w:ind w:left="22" w:hanging="22"/>
              <w:rPr>
                <w:rFonts w:ascii="Arial" w:eastAsiaTheme="minorHAnsi" w:hAnsi="Arial" w:cs="Arial"/>
                <w:color w:val="000000"/>
                <w:sz w:val="20"/>
                <w:lang w:eastAsia="en-US"/>
              </w:rPr>
            </w:pPr>
            <w:r w:rsidRPr="00E90989">
              <w:rPr>
                <w:rFonts w:ascii="Arial" w:eastAsiaTheme="minorHAnsi" w:hAnsi="Arial" w:cs="Arial"/>
                <w:color w:val="000000"/>
                <w:sz w:val="20"/>
                <w:lang w:eastAsia="en-US"/>
              </w:rPr>
              <w:t>-46%</w:t>
            </w:r>
          </w:p>
        </w:tc>
      </w:tr>
      <w:tr w:rsidR="006B3DA0" w:rsidRPr="00E90989" w14:paraId="610A3ED0" w14:textId="77777777" w:rsidTr="00C563D8">
        <w:trPr>
          <w:trHeight w:val="253"/>
        </w:trPr>
        <w:tc>
          <w:tcPr>
            <w:tcW w:w="2257" w:type="dxa"/>
          </w:tcPr>
          <w:p w14:paraId="3D5FE994"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(E) Revised relative risk of mortality: 1.15 vs. 0.79</w:t>
            </w:r>
          </w:p>
        </w:tc>
        <w:tc>
          <w:tcPr>
            <w:tcW w:w="3521" w:type="dxa"/>
            <w:gridSpan w:val="2"/>
          </w:tcPr>
          <w:p w14:paraId="2390B706" w14:textId="77777777" w:rsidR="006B3DA0" w:rsidRPr="00E90989" w:rsidRDefault="006B3DA0" w:rsidP="00C563D8">
            <w:pPr>
              <w:tabs>
                <w:tab w:val="left" w:pos="0"/>
              </w:tabs>
              <w:autoSpaceDE w:val="0"/>
              <w:autoSpaceDN w:val="0"/>
              <w:adjustRightInd w:val="0"/>
              <w:rPr>
                <w:rFonts w:ascii="Arial" w:eastAsiaTheme="minorHAnsi" w:hAnsi="Arial" w:cs="Arial"/>
                <w:color w:val="000000"/>
                <w:sz w:val="20"/>
                <w:lang w:eastAsia="en-US"/>
              </w:rPr>
            </w:pPr>
            <w:r w:rsidRPr="00E90989">
              <w:rPr>
                <w:rFonts w:ascii="Arial" w:eastAsiaTheme="minorHAnsi" w:hAnsi="Arial" w:cs="Arial"/>
                <w:color w:val="000000"/>
                <w:sz w:val="20"/>
                <w:lang w:eastAsia="en-US"/>
              </w:rPr>
              <w:t>Worst case scenario from CHAMPION trial confidence intervals</w:t>
            </w:r>
          </w:p>
        </w:tc>
        <w:tc>
          <w:tcPr>
            <w:tcW w:w="1842" w:type="dxa"/>
            <w:gridSpan w:val="2"/>
          </w:tcPr>
          <w:p w14:paraId="01CA1602" w14:textId="77777777" w:rsidR="006B3DA0" w:rsidRPr="00E90989" w:rsidRDefault="006B3DA0" w:rsidP="00C563D8">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Dominated</w:t>
            </w:r>
          </w:p>
        </w:tc>
        <w:tc>
          <w:tcPr>
            <w:tcW w:w="1984" w:type="dxa"/>
          </w:tcPr>
          <w:p w14:paraId="40BB0060" w14:textId="77777777" w:rsidR="006B3DA0" w:rsidRPr="00E90989" w:rsidRDefault="006B3DA0" w:rsidP="00C563D8">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NA</w:t>
            </w:r>
          </w:p>
        </w:tc>
      </w:tr>
      <w:tr w:rsidR="006B3DA0" w:rsidRPr="00E90989" w14:paraId="086060CC" w14:textId="77777777" w:rsidTr="00C563D8">
        <w:trPr>
          <w:trHeight w:val="141"/>
        </w:trPr>
        <w:tc>
          <w:tcPr>
            <w:tcW w:w="9604" w:type="dxa"/>
            <w:gridSpan w:val="6"/>
          </w:tcPr>
          <w:p w14:paraId="61189D88" w14:textId="77777777" w:rsidR="003956EE" w:rsidRPr="00E90989" w:rsidRDefault="006B3DA0" w:rsidP="00E90989">
            <w:pPr>
              <w:tabs>
                <w:tab w:val="left" w:pos="567"/>
              </w:tabs>
              <w:autoSpaceDE w:val="0"/>
              <w:autoSpaceDN w:val="0"/>
              <w:adjustRightInd w:val="0"/>
              <w:ind w:left="567" w:hanging="567"/>
              <w:rPr>
                <w:rFonts w:ascii="Arial" w:eastAsiaTheme="minorHAnsi" w:hAnsi="Arial" w:cs="Arial"/>
                <w:b/>
                <w:bCs/>
                <w:color w:val="000000"/>
                <w:sz w:val="20"/>
                <w:lang w:eastAsia="en-US"/>
              </w:rPr>
            </w:pPr>
            <w:r w:rsidRPr="00E90989">
              <w:rPr>
                <w:rFonts w:ascii="Arial" w:eastAsiaTheme="minorHAnsi" w:hAnsi="Arial" w:cs="Arial"/>
                <w:b/>
                <w:bCs/>
                <w:color w:val="000000"/>
                <w:sz w:val="20"/>
                <w:lang w:eastAsia="en-US"/>
              </w:rPr>
              <w:t xml:space="preserve">Multivariate sensitivity analysis </w:t>
            </w:r>
          </w:p>
        </w:tc>
      </w:tr>
      <w:tr w:rsidR="006B3DA0" w:rsidRPr="00E90989" w14:paraId="1F27A676" w14:textId="77777777" w:rsidTr="00C563D8">
        <w:trPr>
          <w:trHeight w:val="138"/>
        </w:trPr>
        <w:tc>
          <w:tcPr>
            <w:tcW w:w="3009" w:type="dxa"/>
            <w:gridSpan w:val="2"/>
          </w:tcPr>
          <w:p w14:paraId="746E2548" w14:textId="77777777" w:rsidR="003956EE" w:rsidRPr="00E90989" w:rsidRDefault="006B3DA0" w:rsidP="00E90989">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(A)+(B) </w:t>
            </w:r>
          </w:p>
        </w:tc>
        <w:tc>
          <w:tcPr>
            <w:tcW w:w="4175" w:type="dxa"/>
            <w:gridSpan w:val="2"/>
          </w:tcPr>
          <w:p w14:paraId="40993DAE"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$104,327 </w:t>
            </w:r>
          </w:p>
        </w:tc>
        <w:tc>
          <w:tcPr>
            <w:tcW w:w="2420" w:type="dxa"/>
            <w:gridSpan w:val="2"/>
          </w:tcPr>
          <w:p w14:paraId="51E0263C"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84% </w:t>
            </w:r>
          </w:p>
        </w:tc>
      </w:tr>
      <w:tr w:rsidR="006B3DA0" w:rsidRPr="00E90989" w14:paraId="1A205ED5" w14:textId="77777777" w:rsidTr="00C563D8">
        <w:trPr>
          <w:trHeight w:val="138"/>
        </w:trPr>
        <w:tc>
          <w:tcPr>
            <w:tcW w:w="3009" w:type="dxa"/>
            <w:gridSpan w:val="2"/>
          </w:tcPr>
          <w:p w14:paraId="4F29CE77" w14:textId="77777777" w:rsidR="003956EE" w:rsidRPr="00E90989" w:rsidRDefault="006B3DA0" w:rsidP="00E90989">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(A)+(B)+(C) </w:t>
            </w:r>
          </w:p>
        </w:tc>
        <w:tc>
          <w:tcPr>
            <w:tcW w:w="4175" w:type="dxa"/>
            <w:gridSpan w:val="2"/>
          </w:tcPr>
          <w:p w14:paraId="11E27DA8"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$114,248 </w:t>
            </w:r>
          </w:p>
        </w:tc>
        <w:tc>
          <w:tcPr>
            <w:tcW w:w="2420" w:type="dxa"/>
            <w:gridSpan w:val="2"/>
          </w:tcPr>
          <w:p w14:paraId="38FB4204" w14:textId="77777777" w:rsidR="006B3DA0" w:rsidRPr="00E90989"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E90989">
              <w:rPr>
                <w:rFonts w:ascii="Arial" w:eastAsiaTheme="minorHAnsi" w:hAnsi="Arial" w:cs="Arial"/>
                <w:color w:val="000000"/>
                <w:sz w:val="20"/>
                <w:lang w:eastAsia="en-US"/>
              </w:rPr>
              <w:t xml:space="preserve">101% </w:t>
            </w:r>
          </w:p>
        </w:tc>
      </w:tr>
    </w:tbl>
    <w:p w14:paraId="66E2E0E0" w14:textId="77777777" w:rsidR="00BC1364" w:rsidRPr="006B3DA0" w:rsidRDefault="00BC1364" w:rsidP="005A0D32">
      <w:pPr>
        <w:pStyle w:val="Heading1"/>
      </w:pPr>
      <w:r w:rsidRPr="006B3DA0">
        <w:t>Financial/budgetary impacts</w:t>
      </w:r>
    </w:p>
    <w:p w14:paraId="28D9E6DD" w14:textId="015A7CE1" w:rsidR="006B3DA0" w:rsidRPr="006B3DA0" w:rsidRDefault="006B3DA0" w:rsidP="00FF4E73">
      <w:pPr>
        <w:tabs>
          <w:tab w:val="left" w:pos="0"/>
        </w:tabs>
        <w:autoSpaceDE w:val="0"/>
        <w:autoSpaceDN w:val="0"/>
        <w:adjustRightInd w:val="0"/>
        <w:rPr>
          <w:rFonts w:eastAsiaTheme="minorHAnsi"/>
          <w:color w:val="000000"/>
          <w:szCs w:val="24"/>
          <w:lang w:eastAsia="en-US"/>
        </w:rPr>
      </w:pPr>
      <w:r w:rsidRPr="006B3DA0">
        <w:rPr>
          <w:rFonts w:eastAsiaTheme="minorHAnsi"/>
          <w:color w:val="000000"/>
          <w:szCs w:val="24"/>
          <w:lang w:eastAsia="en-US"/>
        </w:rPr>
        <w:t>The financial implications to the MBS resulting from the proposed li</w:t>
      </w:r>
      <w:r w:rsidR="00FF4E73">
        <w:rPr>
          <w:rFonts w:eastAsiaTheme="minorHAnsi"/>
          <w:color w:val="000000"/>
          <w:szCs w:val="24"/>
          <w:lang w:eastAsia="en-US"/>
        </w:rPr>
        <w:t>sting of the device from the resubmission</w:t>
      </w:r>
      <w:r w:rsidRPr="006B3DA0">
        <w:rPr>
          <w:rFonts w:eastAsiaTheme="minorHAnsi"/>
          <w:color w:val="000000"/>
          <w:szCs w:val="24"/>
          <w:lang w:eastAsia="en-US"/>
        </w:rPr>
        <w:t xml:space="preserve"> are summarised in </w:t>
      </w:r>
      <w:r w:rsidR="00FF4E73">
        <w:rPr>
          <w:rFonts w:eastAsiaTheme="minorHAnsi"/>
          <w:color w:val="000000"/>
          <w:szCs w:val="24"/>
          <w:lang w:eastAsia="en-US"/>
        </w:rPr>
        <w:fldChar w:fldCharType="begin"/>
      </w:r>
      <w:r w:rsidR="00FF4E73">
        <w:rPr>
          <w:rFonts w:eastAsiaTheme="minorHAnsi"/>
          <w:color w:val="000000"/>
          <w:szCs w:val="24"/>
          <w:lang w:eastAsia="en-US"/>
        </w:rPr>
        <w:instrText xml:space="preserve"> REF _Ref469477933 \h  \* MERGEFORMAT </w:instrText>
      </w:r>
      <w:r w:rsidR="00FF4E73">
        <w:rPr>
          <w:rFonts w:eastAsiaTheme="minorHAnsi"/>
          <w:color w:val="000000"/>
          <w:szCs w:val="24"/>
          <w:lang w:eastAsia="en-US"/>
        </w:rPr>
      </w:r>
      <w:r w:rsidR="00FF4E73">
        <w:rPr>
          <w:rFonts w:eastAsiaTheme="minorHAnsi"/>
          <w:color w:val="000000"/>
          <w:szCs w:val="24"/>
          <w:lang w:eastAsia="en-US"/>
        </w:rPr>
        <w:fldChar w:fldCharType="separate"/>
      </w:r>
      <w:r w:rsidR="00C64E51" w:rsidRPr="009D452D">
        <w:rPr>
          <w:rFonts w:eastAsiaTheme="minorHAnsi"/>
          <w:color w:val="000000"/>
          <w:szCs w:val="24"/>
          <w:lang w:eastAsia="en-US"/>
        </w:rPr>
        <w:t>Table 7</w:t>
      </w:r>
      <w:r w:rsidR="00FF4E73">
        <w:rPr>
          <w:rFonts w:eastAsiaTheme="minorHAnsi"/>
          <w:color w:val="000000"/>
          <w:szCs w:val="24"/>
          <w:lang w:eastAsia="en-US"/>
        </w:rPr>
        <w:fldChar w:fldCharType="end"/>
      </w:r>
      <w:r w:rsidRPr="006B3DA0">
        <w:rPr>
          <w:rFonts w:eastAsiaTheme="minorHAnsi"/>
          <w:color w:val="000000"/>
          <w:szCs w:val="24"/>
          <w:lang w:eastAsia="en-US"/>
        </w:rPr>
        <w:t xml:space="preserve">. </w:t>
      </w:r>
    </w:p>
    <w:p w14:paraId="4A7A7EEE" w14:textId="77777777" w:rsidR="006B3DA0" w:rsidRPr="006B3DA0" w:rsidRDefault="006B3DA0" w:rsidP="003956EE">
      <w:pPr>
        <w:tabs>
          <w:tab w:val="left" w:pos="567"/>
        </w:tabs>
        <w:autoSpaceDE w:val="0"/>
        <w:autoSpaceDN w:val="0"/>
        <w:adjustRightInd w:val="0"/>
        <w:ind w:left="567" w:hanging="567"/>
        <w:rPr>
          <w:rFonts w:eastAsiaTheme="minorHAnsi"/>
          <w:color w:val="000000"/>
          <w:szCs w:val="24"/>
          <w:lang w:eastAsia="en-US"/>
        </w:rPr>
      </w:pPr>
    </w:p>
    <w:p w14:paraId="586457B6" w14:textId="77777777" w:rsidR="006B3DA0" w:rsidRPr="00FF4E73" w:rsidRDefault="00FF4E73" w:rsidP="00FF4E73">
      <w:pPr>
        <w:pStyle w:val="Caption"/>
        <w:jc w:val="left"/>
        <w:rPr>
          <w:rFonts w:ascii="Arial" w:hAnsi="Arial"/>
        </w:rPr>
      </w:pPr>
      <w:bookmarkStart w:id="9" w:name="_Ref469477933"/>
      <w:r w:rsidRPr="00FF4E73">
        <w:rPr>
          <w:rFonts w:ascii="Arial" w:hAnsi="Arial"/>
        </w:rPr>
        <w:t xml:space="preserve">Table </w:t>
      </w:r>
      <w:r w:rsidRPr="00FF4E73">
        <w:rPr>
          <w:rFonts w:ascii="Arial" w:hAnsi="Arial"/>
        </w:rPr>
        <w:fldChar w:fldCharType="begin"/>
      </w:r>
      <w:r w:rsidRPr="00FF4E73">
        <w:rPr>
          <w:rFonts w:ascii="Arial" w:hAnsi="Arial"/>
        </w:rPr>
        <w:instrText xml:space="preserve"> SEQ Table \* ARABIC </w:instrText>
      </w:r>
      <w:r w:rsidRPr="00FF4E73">
        <w:rPr>
          <w:rFonts w:ascii="Arial" w:hAnsi="Arial"/>
        </w:rPr>
        <w:fldChar w:fldCharType="separate"/>
      </w:r>
      <w:r w:rsidR="00C64E51">
        <w:rPr>
          <w:rFonts w:ascii="Arial" w:hAnsi="Arial"/>
          <w:noProof/>
        </w:rPr>
        <w:t>7</w:t>
      </w:r>
      <w:r w:rsidRPr="00FF4E73">
        <w:rPr>
          <w:rFonts w:ascii="Arial" w:hAnsi="Arial"/>
        </w:rPr>
        <w:fldChar w:fldCharType="end"/>
      </w:r>
      <w:bookmarkEnd w:id="9"/>
      <w:r w:rsidR="006B3DA0" w:rsidRPr="00FF4E73">
        <w:rPr>
          <w:rFonts w:ascii="Arial" w:eastAsiaTheme="minorHAnsi" w:hAnsi="Arial"/>
          <w:color w:val="000000"/>
        </w:rPr>
        <w:t xml:space="preserve">: </w:t>
      </w:r>
      <w:r w:rsidR="006B3DA0" w:rsidRPr="00FF4E73">
        <w:rPr>
          <w:rFonts w:ascii="Arial" w:eastAsiaTheme="minorHAnsi" w:hAnsi="Arial"/>
          <w:color w:val="000000"/>
        </w:rPr>
        <w:tab/>
        <w:t>Total costs to the MBS as</w:t>
      </w:r>
      <w:r w:rsidRPr="00FF4E73">
        <w:rPr>
          <w:rFonts w:ascii="Arial" w:eastAsiaTheme="minorHAnsi" w:hAnsi="Arial"/>
          <w:bCs w:val="0"/>
          <w:color w:val="000000"/>
        </w:rPr>
        <w:t>sociated with the intervention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7 - Shows total costs to the MBS associated with the intervention"/>
      </w:tblPr>
      <w:tblGrid>
        <w:gridCol w:w="2093"/>
        <w:gridCol w:w="1377"/>
        <w:gridCol w:w="1377"/>
        <w:gridCol w:w="1377"/>
        <w:gridCol w:w="1377"/>
        <w:gridCol w:w="1438"/>
      </w:tblGrid>
      <w:tr w:rsidR="006B3DA0" w:rsidRPr="00FF4E73" w14:paraId="24B7E2C7" w14:textId="77777777" w:rsidTr="00E130FA">
        <w:trPr>
          <w:trHeight w:val="255"/>
        </w:trPr>
        <w:tc>
          <w:tcPr>
            <w:tcW w:w="2093" w:type="dxa"/>
          </w:tcPr>
          <w:p w14:paraId="1C85C67F"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p>
        </w:tc>
        <w:tc>
          <w:tcPr>
            <w:tcW w:w="1377" w:type="dxa"/>
          </w:tcPr>
          <w:p w14:paraId="531CC6C2"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Year 1 </w:t>
            </w:r>
          </w:p>
          <w:p w14:paraId="1201EB67"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2017 </w:t>
            </w:r>
          </w:p>
        </w:tc>
        <w:tc>
          <w:tcPr>
            <w:tcW w:w="1377" w:type="dxa"/>
          </w:tcPr>
          <w:p w14:paraId="6EB0899C"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Year 2 </w:t>
            </w:r>
          </w:p>
          <w:p w14:paraId="059C128C"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2018 </w:t>
            </w:r>
          </w:p>
        </w:tc>
        <w:tc>
          <w:tcPr>
            <w:tcW w:w="1377" w:type="dxa"/>
          </w:tcPr>
          <w:p w14:paraId="4F80357D"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Year 3 </w:t>
            </w:r>
          </w:p>
          <w:p w14:paraId="0490D1D5"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2019 </w:t>
            </w:r>
          </w:p>
        </w:tc>
        <w:tc>
          <w:tcPr>
            <w:tcW w:w="1377" w:type="dxa"/>
          </w:tcPr>
          <w:p w14:paraId="42CE8E8D"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Year 4 </w:t>
            </w:r>
          </w:p>
          <w:p w14:paraId="093F9D94"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2020 </w:t>
            </w:r>
          </w:p>
        </w:tc>
        <w:tc>
          <w:tcPr>
            <w:tcW w:w="1438" w:type="dxa"/>
          </w:tcPr>
          <w:p w14:paraId="688CEEE3"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Year 5 </w:t>
            </w:r>
          </w:p>
          <w:p w14:paraId="01B5562E"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b/>
                <w:bCs/>
                <w:color w:val="000000"/>
                <w:sz w:val="20"/>
                <w:lang w:eastAsia="en-US"/>
              </w:rPr>
              <w:t xml:space="preserve">2021 </w:t>
            </w:r>
          </w:p>
        </w:tc>
      </w:tr>
      <w:tr w:rsidR="006B3DA0" w:rsidRPr="00FF4E73" w14:paraId="785596E7" w14:textId="77777777" w:rsidTr="00E130FA">
        <w:trPr>
          <w:trHeight w:val="255"/>
        </w:trPr>
        <w:tc>
          <w:tcPr>
            <w:tcW w:w="2093" w:type="dxa"/>
          </w:tcPr>
          <w:p w14:paraId="3D83AB63"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color w:val="000000"/>
                <w:sz w:val="20"/>
                <w:lang w:eastAsia="en-US"/>
              </w:rPr>
              <w:t xml:space="preserve">Number of implantation (total number of patients) per year </w:t>
            </w:r>
          </w:p>
        </w:tc>
        <w:tc>
          <w:tcPr>
            <w:tcW w:w="1377" w:type="dxa"/>
          </w:tcPr>
          <w:p w14:paraId="7F52BD31"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color w:val="000000"/>
                <w:sz w:val="20"/>
                <w:lang w:eastAsia="en-US"/>
              </w:rPr>
              <w:t xml:space="preserve">48 </w:t>
            </w:r>
          </w:p>
        </w:tc>
        <w:tc>
          <w:tcPr>
            <w:tcW w:w="1377" w:type="dxa"/>
          </w:tcPr>
          <w:p w14:paraId="243104E7"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color w:val="000000"/>
                <w:sz w:val="20"/>
                <w:lang w:eastAsia="en-US"/>
              </w:rPr>
              <w:t xml:space="preserve">168 </w:t>
            </w:r>
          </w:p>
        </w:tc>
        <w:tc>
          <w:tcPr>
            <w:tcW w:w="1377" w:type="dxa"/>
          </w:tcPr>
          <w:p w14:paraId="0795CE64"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color w:val="000000"/>
                <w:sz w:val="20"/>
                <w:lang w:eastAsia="en-US"/>
              </w:rPr>
              <w:t xml:space="preserve">384 </w:t>
            </w:r>
          </w:p>
        </w:tc>
        <w:tc>
          <w:tcPr>
            <w:tcW w:w="1377" w:type="dxa"/>
          </w:tcPr>
          <w:p w14:paraId="191B75D9"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color w:val="000000"/>
                <w:sz w:val="20"/>
                <w:lang w:eastAsia="en-US"/>
              </w:rPr>
              <w:t xml:space="preserve">672 </w:t>
            </w:r>
          </w:p>
        </w:tc>
        <w:tc>
          <w:tcPr>
            <w:tcW w:w="1438" w:type="dxa"/>
          </w:tcPr>
          <w:p w14:paraId="4D84BD0E"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color w:val="000000"/>
                <w:sz w:val="20"/>
                <w:lang w:eastAsia="en-US"/>
              </w:rPr>
              <w:t xml:space="preserve">960 </w:t>
            </w:r>
          </w:p>
        </w:tc>
      </w:tr>
      <w:tr w:rsidR="006B3DA0" w:rsidRPr="00FF4E73" w14:paraId="32E01BE8" w14:textId="77777777" w:rsidTr="00E130FA">
        <w:trPr>
          <w:trHeight w:val="138"/>
        </w:trPr>
        <w:tc>
          <w:tcPr>
            <w:tcW w:w="2093" w:type="dxa"/>
          </w:tcPr>
          <w:p w14:paraId="068B0D70" w14:textId="5BE93E9E"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color w:val="000000"/>
                <w:sz w:val="20"/>
                <w:lang w:eastAsia="en-US"/>
              </w:rPr>
              <w:t xml:space="preserve">Total MBS cost (full benefit)  </w:t>
            </w:r>
          </w:p>
        </w:tc>
        <w:tc>
          <w:tcPr>
            <w:tcW w:w="1377" w:type="dxa"/>
          </w:tcPr>
          <w:p w14:paraId="1F8F3C5C"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$45,850 </w:t>
            </w:r>
          </w:p>
        </w:tc>
        <w:tc>
          <w:tcPr>
            <w:tcW w:w="1377" w:type="dxa"/>
          </w:tcPr>
          <w:p w14:paraId="550B5183"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$160,474 </w:t>
            </w:r>
          </w:p>
        </w:tc>
        <w:tc>
          <w:tcPr>
            <w:tcW w:w="1377" w:type="dxa"/>
          </w:tcPr>
          <w:p w14:paraId="2E43025B"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$366,797 </w:t>
            </w:r>
          </w:p>
        </w:tc>
        <w:tc>
          <w:tcPr>
            <w:tcW w:w="1377" w:type="dxa"/>
          </w:tcPr>
          <w:p w14:paraId="5BBE28E2"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$641,894 </w:t>
            </w:r>
          </w:p>
        </w:tc>
        <w:tc>
          <w:tcPr>
            <w:tcW w:w="1438" w:type="dxa"/>
          </w:tcPr>
          <w:p w14:paraId="29335F6A"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$916,992 </w:t>
            </w:r>
          </w:p>
        </w:tc>
      </w:tr>
      <w:tr w:rsidR="006B3DA0" w:rsidRPr="00FF4E73" w14:paraId="776B5613" w14:textId="77777777" w:rsidTr="00E130FA">
        <w:trPr>
          <w:trHeight w:val="253"/>
        </w:trPr>
        <w:tc>
          <w:tcPr>
            <w:tcW w:w="2093" w:type="dxa"/>
          </w:tcPr>
          <w:p w14:paraId="5A9B682C"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color w:val="000000"/>
                <w:sz w:val="20"/>
                <w:lang w:eastAsia="en-US"/>
              </w:rPr>
              <w:t>T</w:t>
            </w:r>
            <w:r w:rsidR="00FF4E73">
              <w:rPr>
                <w:rFonts w:ascii="Arial" w:eastAsiaTheme="minorHAnsi" w:hAnsi="Arial" w:cs="Arial"/>
                <w:color w:val="000000"/>
                <w:sz w:val="20"/>
                <w:lang w:eastAsia="en-US"/>
              </w:rPr>
              <w:t xml:space="preserve">otal MBS cost (at 75% benefit) </w:t>
            </w:r>
            <w:r w:rsidRPr="00FF4E73">
              <w:rPr>
                <w:rFonts w:ascii="Arial" w:eastAsiaTheme="minorHAnsi" w:hAnsi="Arial" w:cs="Arial"/>
                <w:color w:val="000000"/>
                <w:sz w:val="20"/>
                <w:lang w:eastAsia="en-US"/>
              </w:rPr>
              <w:t xml:space="preserve"> </w:t>
            </w:r>
          </w:p>
        </w:tc>
        <w:tc>
          <w:tcPr>
            <w:tcW w:w="1377" w:type="dxa"/>
          </w:tcPr>
          <w:p w14:paraId="16F85879" w14:textId="77777777" w:rsidR="006B3DA0" w:rsidRPr="00FF4E73" w:rsidRDefault="006B3DA0" w:rsidP="003956EE">
            <w:pPr>
              <w:tabs>
                <w:tab w:val="left" w:pos="0"/>
              </w:tabs>
              <w:autoSpaceDE w:val="0"/>
              <w:autoSpaceDN w:val="0"/>
              <w:adjustRightInd w:val="0"/>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$34,387 </w:t>
            </w:r>
          </w:p>
        </w:tc>
        <w:tc>
          <w:tcPr>
            <w:tcW w:w="1377" w:type="dxa"/>
          </w:tcPr>
          <w:p w14:paraId="5066D06E"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$120,355 </w:t>
            </w:r>
          </w:p>
        </w:tc>
        <w:tc>
          <w:tcPr>
            <w:tcW w:w="1377" w:type="dxa"/>
          </w:tcPr>
          <w:p w14:paraId="1356E7D3"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$275,098 </w:t>
            </w:r>
          </w:p>
        </w:tc>
        <w:tc>
          <w:tcPr>
            <w:tcW w:w="1377" w:type="dxa"/>
          </w:tcPr>
          <w:p w14:paraId="080857A8"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$481,421 </w:t>
            </w:r>
          </w:p>
        </w:tc>
        <w:tc>
          <w:tcPr>
            <w:tcW w:w="1438" w:type="dxa"/>
          </w:tcPr>
          <w:p w14:paraId="43177EE1" w14:textId="77777777" w:rsidR="006B3DA0" w:rsidRPr="00FF4E73" w:rsidRDefault="006B3DA0" w:rsidP="003956EE">
            <w:pPr>
              <w:tabs>
                <w:tab w:val="left" w:pos="567"/>
              </w:tabs>
              <w:autoSpaceDE w:val="0"/>
              <w:autoSpaceDN w:val="0"/>
              <w:adjustRightInd w:val="0"/>
              <w:ind w:left="567" w:hanging="567"/>
              <w:rPr>
                <w:rFonts w:ascii="Arial" w:eastAsiaTheme="minorHAnsi" w:hAnsi="Arial" w:cs="Arial"/>
                <w:color w:val="000000"/>
                <w:sz w:val="20"/>
                <w:lang w:eastAsia="en-US"/>
              </w:rPr>
            </w:pPr>
            <w:r w:rsidRPr="00FF4E73">
              <w:rPr>
                <w:rFonts w:ascii="Arial" w:eastAsiaTheme="minorHAnsi" w:hAnsi="Arial" w:cs="Arial"/>
                <w:iCs/>
                <w:color w:val="000000"/>
                <w:sz w:val="20"/>
                <w:lang w:eastAsia="en-US"/>
              </w:rPr>
              <w:t xml:space="preserve">$687,744 </w:t>
            </w:r>
          </w:p>
        </w:tc>
      </w:tr>
    </w:tbl>
    <w:p w14:paraId="6BD21D06" w14:textId="77777777" w:rsidR="006A0D97" w:rsidRPr="006B3DA0" w:rsidRDefault="006A0D97" w:rsidP="005A0D32">
      <w:pPr>
        <w:pStyle w:val="Heading1"/>
      </w:pPr>
      <w:r w:rsidRPr="006B3DA0">
        <w:t>Key issues from ESC for MSAC</w:t>
      </w:r>
    </w:p>
    <w:p w14:paraId="76B04E69" w14:textId="77777777" w:rsidR="009C0BF4" w:rsidRPr="006B3DA0" w:rsidRDefault="009C0BF4" w:rsidP="00FF4E73">
      <w:pPr>
        <w:tabs>
          <w:tab w:val="left" w:pos="0"/>
          <w:tab w:val="left" w:pos="709"/>
        </w:tabs>
        <w:spacing w:after="200"/>
        <w:rPr>
          <w:szCs w:val="24"/>
        </w:rPr>
      </w:pPr>
      <w:r w:rsidRPr="006B3DA0">
        <w:rPr>
          <w:szCs w:val="24"/>
        </w:rPr>
        <w:t>ESC advised that there was limited new data from the CHAMPION trial extension study along with the CHAMPION randomised trial evidence presented in the original submission. An updated Economic Model has been provided and that the comparator (standard care) is reasonable and consistent with current practise.</w:t>
      </w:r>
    </w:p>
    <w:p w14:paraId="64BD0D40" w14:textId="77777777" w:rsidR="009C0BF4" w:rsidRPr="006B3DA0" w:rsidRDefault="009C0BF4" w:rsidP="00FF4E73">
      <w:pPr>
        <w:tabs>
          <w:tab w:val="left" w:pos="0"/>
          <w:tab w:val="left" w:pos="709"/>
        </w:tabs>
        <w:spacing w:after="200"/>
        <w:rPr>
          <w:szCs w:val="24"/>
        </w:rPr>
      </w:pPr>
      <w:r w:rsidRPr="006B3DA0">
        <w:rPr>
          <w:szCs w:val="24"/>
        </w:rPr>
        <w:t xml:space="preserve">The CHAMPION trial extension study provided additional information on long term outcomes, up to 31months however, there are serious concerns with patients dropping out from both studies (18% exited in extension phase C, 50% died, and there were uncertain reasons for others). At 31 months only 45% remain in the study. There are significant numbers who remain alive and have dropped out of the study which impacts the interpretation and applicability of the long term results.  </w:t>
      </w:r>
    </w:p>
    <w:p w14:paraId="43B23AE0" w14:textId="77777777" w:rsidR="009C0BF4" w:rsidRPr="006B3DA0" w:rsidRDefault="009C0BF4" w:rsidP="00FF4E73">
      <w:pPr>
        <w:tabs>
          <w:tab w:val="left" w:pos="567"/>
        </w:tabs>
        <w:ind w:left="567" w:hanging="567"/>
        <w:rPr>
          <w:b/>
          <w:szCs w:val="24"/>
        </w:rPr>
      </w:pPr>
      <w:r w:rsidRPr="006B3DA0">
        <w:rPr>
          <w:b/>
          <w:szCs w:val="24"/>
        </w:rPr>
        <w:t>Safety</w:t>
      </w:r>
    </w:p>
    <w:p w14:paraId="07A48CBA" w14:textId="77777777" w:rsidR="00D02318" w:rsidRDefault="009C0BF4" w:rsidP="00D02318">
      <w:pPr>
        <w:tabs>
          <w:tab w:val="left" w:pos="0"/>
        </w:tabs>
        <w:rPr>
          <w:szCs w:val="24"/>
        </w:rPr>
      </w:pPr>
      <w:r w:rsidRPr="006B3DA0">
        <w:rPr>
          <w:szCs w:val="24"/>
        </w:rPr>
        <w:t xml:space="preserve">ESC advised </w:t>
      </w:r>
      <w:r w:rsidR="00FA41E4">
        <w:rPr>
          <w:szCs w:val="24"/>
        </w:rPr>
        <w:t xml:space="preserve">MSAC </w:t>
      </w:r>
      <w:r w:rsidRPr="006B3DA0">
        <w:rPr>
          <w:szCs w:val="24"/>
        </w:rPr>
        <w:t>that clinical uncertainties remain regarding surgical adverse events and/or complications related to both the insertion of the device and the long term placement of the device. In regards to the safe</w:t>
      </w:r>
      <w:r w:rsidR="00FA41E4">
        <w:rPr>
          <w:szCs w:val="24"/>
        </w:rPr>
        <w:t xml:space="preserve">ty data </w:t>
      </w:r>
      <w:r w:rsidRPr="006B3DA0">
        <w:rPr>
          <w:szCs w:val="24"/>
        </w:rPr>
        <w:t>available</w:t>
      </w:r>
      <w:r w:rsidR="00FA41E4">
        <w:rPr>
          <w:szCs w:val="24"/>
        </w:rPr>
        <w:t>,</w:t>
      </w:r>
      <w:r w:rsidRPr="006B3DA0">
        <w:rPr>
          <w:szCs w:val="24"/>
        </w:rPr>
        <w:t xml:space="preserve"> ESC noted that there had been no reported sensor failures in patients implanted with the device and no further device related events were observed during extended follow up period.</w:t>
      </w:r>
    </w:p>
    <w:p w14:paraId="2789690F" w14:textId="4EB7836D" w:rsidR="00D02318" w:rsidRPr="006B3DA0" w:rsidRDefault="00D02318" w:rsidP="00D02318">
      <w:pPr>
        <w:tabs>
          <w:tab w:val="left" w:pos="0"/>
        </w:tabs>
        <w:rPr>
          <w:b/>
          <w:szCs w:val="24"/>
        </w:rPr>
      </w:pPr>
      <w:r w:rsidRPr="006B3DA0">
        <w:rPr>
          <w:b/>
          <w:szCs w:val="24"/>
        </w:rPr>
        <w:t xml:space="preserve"> </w:t>
      </w:r>
    </w:p>
    <w:p w14:paraId="5D903B71" w14:textId="1B753B1F" w:rsidR="009C0BF4" w:rsidRPr="006B3DA0" w:rsidRDefault="009C0BF4" w:rsidP="00FF4E73">
      <w:pPr>
        <w:tabs>
          <w:tab w:val="left" w:pos="0"/>
        </w:tabs>
        <w:spacing w:after="200"/>
        <w:rPr>
          <w:szCs w:val="24"/>
        </w:rPr>
      </w:pPr>
      <w:r w:rsidRPr="006B3DA0">
        <w:rPr>
          <w:b/>
          <w:szCs w:val="24"/>
        </w:rPr>
        <w:t>Effectiveness</w:t>
      </w:r>
      <w:r w:rsidR="003956EE">
        <w:rPr>
          <w:b/>
          <w:szCs w:val="24"/>
        </w:rPr>
        <w:br/>
      </w:r>
      <w:r w:rsidRPr="006B3DA0">
        <w:rPr>
          <w:szCs w:val="24"/>
        </w:rPr>
        <w:t>ESC noted that the results of the extension study supported the clinical claim with outcomes consistently favouring the intervention over the control group in regards to heart failure related hospitalisations. Further the control group who had their device activated in the extension period also made similar gains in terms of effectiveness and the intervention group maintained gains observed in the randomised period.</w:t>
      </w:r>
    </w:p>
    <w:p w14:paraId="01453379" w14:textId="77777777" w:rsidR="009C0BF4" w:rsidRPr="006B3DA0" w:rsidRDefault="009C0BF4" w:rsidP="00FF4E73">
      <w:pPr>
        <w:tabs>
          <w:tab w:val="left" w:pos="0"/>
        </w:tabs>
        <w:spacing w:after="200"/>
        <w:rPr>
          <w:szCs w:val="24"/>
        </w:rPr>
      </w:pPr>
      <w:r w:rsidRPr="006B3DA0">
        <w:rPr>
          <w:szCs w:val="24"/>
        </w:rPr>
        <w:t xml:space="preserve">ESC advised that despite the additional analysis suggesting blinding was maintained and the outcomes not being influenced by physicians being </w:t>
      </w:r>
      <w:proofErr w:type="spellStart"/>
      <w:r w:rsidRPr="006B3DA0">
        <w:rPr>
          <w:szCs w:val="24"/>
        </w:rPr>
        <w:t>unblinded</w:t>
      </w:r>
      <w:proofErr w:type="spellEnd"/>
      <w:r w:rsidRPr="006B3DA0">
        <w:rPr>
          <w:szCs w:val="24"/>
        </w:rPr>
        <w:t xml:space="preserve"> to treatment allocation, clinical uncertainty remains in regards to the impact of the device on overall mortality.  However ESC noted that reducing HF-related hospitalisations is a widely accepted surrogate endpoint in heart failure trials. </w:t>
      </w:r>
    </w:p>
    <w:p w14:paraId="56D45F21" w14:textId="77777777" w:rsidR="009C0BF4" w:rsidRPr="006B3DA0" w:rsidRDefault="009C0BF4" w:rsidP="00FF4E73">
      <w:pPr>
        <w:tabs>
          <w:tab w:val="left" w:pos="0"/>
        </w:tabs>
        <w:rPr>
          <w:szCs w:val="24"/>
        </w:rPr>
      </w:pPr>
      <w:r w:rsidRPr="006B3DA0">
        <w:rPr>
          <w:szCs w:val="24"/>
        </w:rPr>
        <w:t xml:space="preserve">ESC advised that there are issues with the proposed item descriptor. The proposed descriptor includes the combination of insertion, removal and replacement of the device into a single descriptor, exclusion criteria discrepancy between the trial population and target population for MBS listing and a lack of information on who performs the procedure including required qualifications and competencies. </w:t>
      </w:r>
    </w:p>
    <w:p w14:paraId="2C525B58" w14:textId="77777777" w:rsidR="009C0BF4" w:rsidRPr="006B3DA0" w:rsidRDefault="009C0BF4" w:rsidP="00FF4E73">
      <w:pPr>
        <w:tabs>
          <w:tab w:val="left" w:pos="567"/>
        </w:tabs>
        <w:ind w:left="567" w:hanging="567"/>
        <w:rPr>
          <w:szCs w:val="24"/>
        </w:rPr>
      </w:pPr>
    </w:p>
    <w:p w14:paraId="6E87028D" w14:textId="77777777" w:rsidR="009C0BF4" w:rsidRPr="003956EE" w:rsidRDefault="009C0BF4" w:rsidP="00FF4E73">
      <w:pPr>
        <w:tabs>
          <w:tab w:val="left" w:pos="567"/>
        </w:tabs>
        <w:ind w:left="567" w:hanging="567"/>
        <w:rPr>
          <w:b/>
          <w:szCs w:val="24"/>
        </w:rPr>
      </w:pPr>
      <w:r w:rsidRPr="003956EE">
        <w:rPr>
          <w:b/>
          <w:szCs w:val="24"/>
        </w:rPr>
        <w:t>Cost-Effectiveness</w:t>
      </w:r>
    </w:p>
    <w:p w14:paraId="4C79D548" w14:textId="37076B70" w:rsidR="009C0BF4" w:rsidRPr="006B3DA0" w:rsidRDefault="009C0BF4" w:rsidP="00FF4E73">
      <w:pPr>
        <w:tabs>
          <w:tab w:val="left" w:pos="0"/>
        </w:tabs>
        <w:rPr>
          <w:szCs w:val="24"/>
        </w:rPr>
      </w:pPr>
      <w:r w:rsidRPr="006B3DA0">
        <w:rPr>
          <w:szCs w:val="24"/>
        </w:rPr>
        <w:t>ESC advised that Economic uncertainties still exist. The utility scores from Champion are relatively high and the population considerably younger than expected in Australia (at 62 years in the bas</w:t>
      </w:r>
      <w:r w:rsidR="005433AF">
        <w:rPr>
          <w:szCs w:val="24"/>
        </w:rPr>
        <w:t>e model). ESC advised that a 10-</w:t>
      </w:r>
      <w:r w:rsidRPr="006B3DA0">
        <w:rPr>
          <w:szCs w:val="24"/>
        </w:rPr>
        <w:t xml:space="preserve">year model would be more appropriate than </w:t>
      </w:r>
      <w:r w:rsidRPr="006B3DA0">
        <w:rPr>
          <w:szCs w:val="24"/>
        </w:rPr>
        <w:lastRenderedPageBreak/>
        <w:t>the life time (up to 38 years) time-horizon as base model for NYHA Class III patients as the biggest driver of this model is mortality.</w:t>
      </w:r>
    </w:p>
    <w:p w14:paraId="78F800F2" w14:textId="77777777" w:rsidR="009C0BF4" w:rsidRPr="006B3DA0" w:rsidRDefault="009C0BF4" w:rsidP="00FF4E73">
      <w:pPr>
        <w:tabs>
          <w:tab w:val="left" w:pos="0"/>
        </w:tabs>
        <w:rPr>
          <w:szCs w:val="24"/>
        </w:rPr>
      </w:pPr>
    </w:p>
    <w:p w14:paraId="5D49434A" w14:textId="77777777" w:rsidR="009C0BF4" w:rsidRPr="006B3DA0" w:rsidRDefault="009C0BF4" w:rsidP="00FF4E73">
      <w:pPr>
        <w:tabs>
          <w:tab w:val="left" w:pos="0"/>
        </w:tabs>
        <w:rPr>
          <w:szCs w:val="24"/>
        </w:rPr>
      </w:pPr>
      <w:r w:rsidRPr="006B3DA0">
        <w:rPr>
          <w:szCs w:val="24"/>
        </w:rPr>
        <w:t>ESC noted the residual uncertainty in relation to the mortality rate applied in the model given the difference in mortality rates reported between Abrahams (2016) and the Clinical Investigation Report (2011).</w:t>
      </w:r>
    </w:p>
    <w:p w14:paraId="5EA765FE" w14:textId="77777777" w:rsidR="009C0BF4" w:rsidRPr="006B3DA0" w:rsidRDefault="009C0BF4" w:rsidP="00FF4E73">
      <w:pPr>
        <w:tabs>
          <w:tab w:val="left" w:pos="0"/>
        </w:tabs>
        <w:rPr>
          <w:szCs w:val="24"/>
        </w:rPr>
      </w:pPr>
    </w:p>
    <w:p w14:paraId="5700A1A1" w14:textId="77777777" w:rsidR="009C0BF4" w:rsidRPr="006B3DA0" w:rsidRDefault="009C0BF4" w:rsidP="00FF4E73">
      <w:pPr>
        <w:tabs>
          <w:tab w:val="left" w:pos="0"/>
        </w:tabs>
        <w:spacing w:after="200"/>
        <w:rPr>
          <w:szCs w:val="24"/>
        </w:rPr>
      </w:pPr>
      <w:r w:rsidRPr="006B3DA0">
        <w:rPr>
          <w:szCs w:val="24"/>
        </w:rPr>
        <w:t xml:space="preserve">There </w:t>
      </w:r>
      <w:r w:rsidR="00FA41E4">
        <w:rPr>
          <w:szCs w:val="24"/>
        </w:rPr>
        <w:t>were</w:t>
      </w:r>
      <w:r w:rsidRPr="006B3DA0">
        <w:rPr>
          <w:szCs w:val="24"/>
        </w:rPr>
        <w:t xml:space="preserve"> still financial uncertainties; the financial impact only covers between 0.6 and 11.1% of estimated eligible patients using the epidemiological approach. Further uncertainty relates to inclusion of a right heart catheterisation (RHC) fee or co-claiming.  There is a potential for bundling payment options. </w:t>
      </w:r>
      <w:r w:rsidRPr="006B3DA0">
        <w:rPr>
          <w:szCs w:val="24"/>
          <w:lang w:val="en-US"/>
        </w:rPr>
        <w:t>The proposed expansion of the service does not appear to be equally distributed nationally with significant costs appearing to be patient out of pocket or hospital system costs.</w:t>
      </w:r>
    </w:p>
    <w:p w14:paraId="4E458DF5" w14:textId="77777777" w:rsidR="00D90A38" w:rsidRPr="006B3DA0" w:rsidRDefault="00BC1364" w:rsidP="005A0D32">
      <w:pPr>
        <w:pStyle w:val="Heading1"/>
      </w:pPr>
      <w:r w:rsidRPr="006B3DA0">
        <w:t>Other significant factors</w:t>
      </w:r>
    </w:p>
    <w:p w14:paraId="5D63BC21" w14:textId="60193D24" w:rsidR="00BC1364" w:rsidRPr="006B3DA0" w:rsidRDefault="00BC1364" w:rsidP="003956EE">
      <w:pPr>
        <w:tabs>
          <w:tab w:val="left" w:pos="567"/>
        </w:tabs>
        <w:spacing w:after="240"/>
        <w:ind w:left="567" w:hanging="567"/>
        <w:rPr>
          <w:szCs w:val="24"/>
        </w:rPr>
      </w:pPr>
      <w:r w:rsidRPr="006B3DA0">
        <w:rPr>
          <w:szCs w:val="24"/>
        </w:rPr>
        <w:t>Nil</w:t>
      </w:r>
      <w:r w:rsidR="007933E4">
        <w:rPr>
          <w:szCs w:val="24"/>
        </w:rPr>
        <w:t>.</w:t>
      </w:r>
    </w:p>
    <w:p w14:paraId="56352CCE" w14:textId="77777777" w:rsidR="00BC1364" w:rsidRDefault="00BC1364" w:rsidP="005A0D32">
      <w:pPr>
        <w:pStyle w:val="Heading1"/>
      </w:pPr>
      <w:r w:rsidRPr="006B3DA0">
        <w:t xml:space="preserve">Applicant’s comments on MSAC’s </w:t>
      </w:r>
      <w:r w:rsidR="00DA56AA" w:rsidRPr="006B3DA0">
        <w:t>Public Summary Document</w:t>
      </w:r>
    </w:p>
    <w:p w14:paraId="1C70F2BC" w14:textId="77777777" w:rsidR="00C251D4" w:rsidRPr="00E96650" w:rsidRDefault="00C251D4" w:rsidP="00C251D4">
      <w:pPr>
        <w:spacing w:after="240"/>
        <w:rPr>
          <w:iCs/>
          <w:lang w:val="en-US"/>
        </w:rPr>
      </w:pPr>
      <w:r w:rsidRPr="00E96650">
        <w:rPr>
          <w:iCs/>
          <w:lang w:val="en-US"/>
        </w:rPr>
        <w:t xml:space="preserve">The Sponsor is disappointed with MSACs decision and notes many issues raised in the previous submission (application 1398) were addressed in this resubmission (application 1398.1). MSAC has now raised new issues in application 1398.1 which are a major barrier to achieving access to this innovative technology. In particular, the new requirement to present non-US based trial data is not aligned with MSAC Technical Guidelines for Therapeutic Services (v2.0) and sets an unacceptable precedence. The identified issues could instead be addressed more efficiently through translational evidence. The Sponsor agrees that ongoing evaluation of the service is important and local data may be informative. During the recruitment phase of the ex-US post approval study, any Australian site using </w:t>
      </w:r>
      <w:proofErr w:type="spellStart"/>
      <w:r w:rsidRPr="00E96650">
        <w:rPr>
          <w:iCs/>
          <w:lang w:val="en-US"/>
        </w:rPr>
        <w:t>CardioMEMS</w:t>
      </w:r>
      <w:proofErr w:type="spellEnd"/>
      <w:r w:rsidRPr="00E96650">
        <w:rPr>
          <w:iCs/>
          <w:lang w:val="en-US"/>
        </w:rPr>
        <w:t xml:space="preserve"> at their hospital will be invited to join the study. The Sponsor will continue to cover all costs related to training for </w:t>
      </w:r>
      <w:proofErr w:type="spellStart"/>
      <w:r w:rsidRPr="00E96650">
        <w:rPr>
          <w:iCs/>
          <w:lang w:val="en-US"/>
        </w:rPr>
        <w:t>CardioMEMS</w:t>
      </w:r>
      <w:proofErr w:type="spellEnd"/>
      <w:r w:rsidRPr="00E96650">
        <w:rPr>
          <w:iCs/>
          <w:lang w:val="en-US"/>
        </w:rPr>
        <w:t xml:space="preserve"> – and therefore this should not influence MSAC decision making.</w:t>
      </w:r>
    </w:p>
    <w:p w14:paraId="404B97B7" w14:textId="77777777" w:rsidR="00BC1364" w:rsidRPr="006B3DA0" w:rsidRDefault="00271F18" w:rsidP="005A0D32">
      <w:pPr>
        <w:pStyle w:val="Heading1"/>
      </w:pPr>
      <w:r w:rsidRPr="006B3DA0">
        <w:t>Further information on MSAC</w:t>
      </w:r>
    </w:p>
    <w:p w14:paraId="2F080B84" w14:textId="77777777" w:rsidR="00BC1364" w:rsidRPr="006B3DA0" w:rsidRDefault="00271F18" w:rsidP="00F715D1">
      <w:pPr>
        <w:spacing w:after="240"/>
        <w:rPr>
          <w:szCs w:val="24"/>
        </w:rPr>
      </w:pPr>
      <w:r w:rsidRPr="006B3DA0">
        <w:rPr>
          <w:szCs w:val="24"/>
        </w:rPr>
        <w:t xml:space="preserve">MSAC Terms of Reference and other </w:t>
      </w:r>
      <w:r w:rsidR="00BC1364" w:rsidRPr="006B3DA0">
        <w:rPr>
          <w:szCs w:val="24"/>
        </w:rPr>
        <w:t xml:space="preserve">information </w:t>
      </w:r>
      <w:r w:rsidRPr="006B3DA0">
        <w:rPr>
          <w:szCs w:val="24"/>
        </w:rPr>
        <w:t>are</w:t>
      </w:r>
      <w:r w:rsidR="00BC1364" w:rsidRPr="006B3DA0">
        <w:rPr>
          <w:szCs w:val="24"/>
        </w:rPr>
        <w:t xml:space="preserve"> available on the MSAC Website: </w:t>
      </w:r>
      <w:r w:rsidR="00BC2667" w:rsidRPr="006B3DA0">
        <w:rPr>
          <w:szCs w:val="24"/>
        </w:rPr>
        <w:br/>
      </w:r>
      <w:hyperlink r:id="rId11" w:history="1">
        <w:r w:rsidR="00BC2667" w:rsidRPr="006B3DA0">
          <w:rPr>
            <w:rStyle w:val="Hyperlink"/>
            <w:szCs w:val="24"/>
          </w:rPr>
          <w:t>visit the MSAC website</w:t>
        </w:r>
      </w:hyperlink>
    </w:p>
    <w:sectPr w:rsidR="00BC1364" w:rsidRPr="006B3DA0" w:rsidSect="003956EE">
      <w:footerReference w:type="default" r:id="rId12"/>
      <w:pgSz w:w="11906" w:h="16838"/>
      <w:pgMar w:top="851" w:right="1440" w:bottom="426" w:left="1440" w:header="568" w:footer="41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D8F29" w15:done="0"/>
  <w15:commentEx w15:paraId="7DD80B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10B2" w14:textId="77777777" w:rsidR="005078C8" w:rsidRDefault="005078C8" w:rsidP="00065623">
      <w:r>
        <w:separator/>
      </w:r>
    </w:p>
  </w:endnote>
  <w:endnote w:type="continuationSeparator" w:id="0">
    <w:p w14:paraId="3520B01E" w14:textId="77777777" w:rsidR="005078C8" w:rsidRDefault="005078C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2B336AE1" w14:textId="5D28C3D0" w:rsidR="00DA0D12" w:rsidRDefault="00DA0D12">
        <w:pPr>
          <w:pStyle w:val="Footer"/>
          <w:jc w:val="right"/>
        </w:pPr>
        <w:r>
          <w:fldChar w:fldCharType="begin"/>
        </w:r>
        <w:r>
          <w:instrText xml:space="preserve"> PAGE   \* MERGEFORMAT </w:instrText>
        </w:r>
        <w:r>
          <w:fldChar w:fldCharType="separate"/>
        </w:r>
        <w:r w:rsidR="00967FB7">
          <w:rPr>
            <w:noProof/>
          </w:rPr>
          <w:t>1</w:t>
        </w:r>
        <w:r>
          <w:rPr>
            <w:noProof/>
          </w:rPr>
          <w:fldChar w:fldCharType="end"/>
        </w:r>
      </w:p>
    </w:sdtContent>
  </w:sdt>
  <w:p w14:paraId="6E980244" w14:textId="77777777" w:rsidR="00DA0D12" w:rsidRDefault="00DA0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CE3C5" w14:textId="77777777" w:rsidR="005078C8" w:rsidRDefault="005078C8" w:rsidP="00065623">
      <w:r>
        <w:separator/>
      </w:r>
    </w:p>
  </w:footnote>
  <w:footnote w:type="continuationSeparator" w:id="0">
    <w:p w14:paraId="3AC15433" w14:textId="77777777" w:rsidR="005078C8" w:rsidRDefault="005078C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952"/>
    <w:multiLevelType w:val="hybridMultilevel"/>
    <w:tmpl w:val="29E0EA72"/>
    <w:lvl w:ilvl="0" w:tplc="D9D65EEC">
      <w:start w:val="1"/>
      <w:numFmt w:val="bullet"/>
      <w:lvlText w:val=""/>
      <w:lvlJc w:val="left"/>
      <w:pPr>
        <w:tabs>
          <w:tab w:val="num" w:pos="720"/>
        </w:tabs>
        <w:ind w:left="720" w:hanging="360"/>
      </w:pPr>
      <w:rPr>
        <w:rFonts w:ascii="Wingdings" w:hAnsi="Wingdings" w:hint="default"/>
      </w:rPr>
    </w:lvl>
    <w:lvl w:ilvl="1" w:tplc="12049F72">
      <w:start w:val="1"/>
      <w:numFmt w:val="bullet"/>
      <w:lvlText w:val=""/>
      <w:lvlJc w:val="left"/>
      <w:pPr>
        <w:tabs>
          <w:tab w:val="num" w:pos="1440"/>
        </w:tabs>
        <w:ind w:left="1440" w:hanging="360"/>
      </w:pPr>
      <w:rPr>
        <w:rFonts w:ascii="Wingdings" w:hAnsi="Wingdings" w:hint="default"/>
      </w:rPr>
    </w:lvl>
    <w:lvl w:ilvl="2" w:tplc="59CEB9B8" w:tentative="1">
      <w:start w:val="1"/>
      <w:numFmt w:val="bullet"/>
      <w:lvlText w:val=""/>
      <w:lvlJc w:val="left"/>
      <w:pPr>
        <w:tabs>
          <w:tab w:val="num" w:pos="2160"/>
        </w:tabs>
        <w:ind w:left="2160" w:hanging="360"/>
      </w:pPr>
      <w:rPr>
        <w:rFonts w:ascii="Wingdings" w:hAnsi="Wingdings" w:hint="default"/>
      </w:rPr>
    </w:lvl>
    <w:lvl w:ilvl="3" w:tplc="69706D18" w:tentative="1">
      <w:start w:val="1"/>
      <w:numFmt w:val="bullet"/>
      <w:lvlText w:val=""/>
      <w:lvlJc w:val="left"/>
      <w:pPr>
        <w:tabs>
          <w:tab w:val="num" w:pos="2880"/>
        </w:tabs>
        <w:ind w:left="2880" w:hanging="360"/>
      </w:pPr>
      <w:rPr>
        <w:rFonts w:ascii="Wingdings" w:hAnsi="Wingdings" w:hint="default"/>
      </w:rPr>
    </w:lvl>
    <w:lvl w:ilvl="4" w:tplc="A0EA9BFE" w:tentative="1">
      <w:start w:val="1"/>
      <w:numFmt w:val="bullet"/>
      <w:lvlText w:val=""/>
      <w:lvlJc w:val="left"/>
      <w:pPr>
        <w:tabs>
          <w:tab w:val="num" w:pos="3600"/>
        </w:tabs>
        <w:ind w:left="3600" w:hanging="360"/>
      </w:pPr>
      <w:rPr>
        <w:rFonts w:ascii="Wingdings" w:hAnsi="Wingdings" w:hint="default"/>
      </w:rPr>
    </w:lvl>
    <w:lvl w:ilvl="5" w:tplc="FCE444EA" w:tentative="1">
      <w:start w:val="1"/>
      <w:numFmt w:val="bullet"/>
      <w:lvlText w:val=""/>
      <w:lvlJc w:val="left"/>
      <w:pPr>
        <w:tabs>
          <w:tab w:val="num" w:pos="4320"/>
        </w:tabs>
        <w:ind w:left="4320" w:hanging="360"/>
      </w:pPr>
      <w:rPr>
        <w:rFonts w:ascii="Wingdings" w:hAnsi="Wingdings" w:hint="default"/>
      </w:rPr>
    </w:lvl>
    <w:lvl w:ilvl="6" w:tplc="1D4C4DA2" w:tentative="1">
      <w:start w:val="1"/>
      <w:numFmt w:val="bullet"/>
      <w:lvlText w:val=""/>
      <w:lvlJc w:val="left"/>
      <w:pPr>
        <w:tabs>
          <w:tab w:val="num" w:pos="5040"/>
        </w:tabs>
        <w:ind w:left="5040" w:hanging="360"/>
      </w:pPr>
      <w:rPr>
        <w:rFonts w:ascii="Wingdings" w:hAnsi="Wingdings" w:hint="default"/>
      </w:rPr>
    </w:lvl>
    <w:lvl w:ilvl="7" w:tplc="AB045BF0" w:tentative="1">
      <w:start w:val="1"/>
      <w:numFmt w:val="bullet"/>
      <w:lvlText w:val=""/>
      <w:lvlJc w:val="left"/>
      <w:pPr>
        <w:tabs>
          <w:tab w:val="num" w:pos="5760"/>
        </w:tabs>
        <w:ind w:left="5760" w:hanging="360"/>
      </w:pPr>
      <w:rPr>
        <w:rFonts w:ascii="Wingdings" w:hAnsi="Wingdings" w:hint="default"/>
      </w:rPr>
    </w:lvl>
    <w:lvl w:ilvl="8" w:tplc="848EA784" w:tentative="1">
      <w:start w:val="1"/>
      <w:numFmt w:val="bullet"/>
      <w:lvlText w:val=""/>
      <w:lvlJc w:val="left"/>
      <w:pPr>
        <w:tabs>
          <w:tab w:val="num" w:pos="6480"/>
        </w:tabs>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5D7B34"/>
    <w:multiLevelType w:val="hybridMultilevel"/>
    <w:tmpl w:val="7D7215D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E364D6C"/>
    <w:multiLevelType w:val="hybridMultilevel"/>
    <w:tmpl w:val="EB547356"/>
    <w:lvl w:ilvl="0" w:tplc="33CC99E4">
      <w:start w:val="1"/>
      <w:numFmt w:val="bullet"/>
      <w:lvlText w:val=""/>
      <w:lvlJc w:val="left"/>
      <w:pPr>
        <w:tabs>
          <w:tab w:val="num" w:pos="720"/>
        </w:tabs>
        <w:ind w:left="720" w:hanging="360"/>
      </w:pPr>
      <w:rPr>
        <w:rFonts w:ascii="Wingdings" w:hAnsi="Wingdings" w:hint="default"/>
      </w:rPr>
    </w:lvl>
    <w:lvl w:ilvl="1" w:tplc="37344730">
      <w:start w:val="1"/>
      <w:numFmt w:val="bullet"/>
      <w:lvlText w:val=""/>
      <w:lvlJc w:val="left"/>
      <w:pPr>
        <w:tabs>
          <w:tab w:val="num" w:pos="1440"/>
        </w:tabs>
        <w:ind w:left="1440" w:hanging="360"/>
      </w:pPr>
      <w:rPr>
        <w:rFonts w:ascii="Wingdings" w:hAnsi="Wingdings" w:hint="default"/>
      </w:rPr>
    </w:lvl>
    <w:lvl w:ilvl="2" w:tplc="7DC09230" w:tentative="1">
      <w:start w:val="1"/>
      <w:numFmt w:val="bullet"/>
      <w:lvlText w:val=""/>
      <w:lvlJc w:val="left"/>
      <w:pPr>
        <w:tabs>
          <w:tab w:val="num" w:pos="2160"/>
        </w:tabs>
        <w:ind w:left="2160" w:hanging="360"/>
      </w:pPr>
      <w:rPr>
        <w:rFonts w:ascii="Wingdings" w:hAnsi="Wingdings" w:hint="default"/>
      </w:rPr>
    </w:lvl>
    <w:lvl w:ilvl="3" w:tplc="B958F4F4" w:tentative="1">
      <w:start w:val="1"/>
      <w:numFmt w:val="bullet"/>
      <w:lvlText w:val=""/>
      <w:lvlJc w:val="left"/>
      <w:pPr>
        <w:tabs>
          <w:tab w:val="num" w:pos="2880"/>
        </w:tabs>
        <w:ind w:left="2880" w:hanging="360"/>
      </w:pPr>
      <w:rPr>
        <w:rFonts w:ascii="Wingdings" w:hAnsi="Wingdings" w:hint="default"/>
      </w:rPr>
    </w:lvl>
    <w:lvl w:ilvl="4" w:tplc="C82CB438" w:tentative="1">
      <w:start w:val="1"/>
      <w:numFmt w:val="bullet"/>
      <w:lvlText w:val=""/>
      <w:lvlJc w:val="left"/>
      <w:pPr>
        <w:tabs>
          <w:tab w:val="num" w:pos="3600"/>
        </w:tabs>
        <w:ind w:left="3600" w:hanging="360"/>
      </w:pPr>
      <w:rPr>
        <w:rFonts w:ascii="Wingdings" w:hAnsi="Wingdings" w:hint="default"/>
      </w:rPr>
    </w:lvl>
    <w:lvl w:ilvl="5" w:tplc="4E08E3F6" w:tentative="1">
      <w:start w:val="1"/>
      <w:numFmt w:val="bullet"/>
      <w:lvlText w:val=""/>
      <w:lvlJc w:val="left"/>
      <w:pPr>
        <w:tabs>
          <w:tab w:val="num" w:pos="4320"/>
        </w:tabs>
        <w:ind w:left="4320" w:hanging="360"/>
      </w:pPr>
      <w:rPr>
        <w:rFonts w:ascii="Wingdings" w:hAnsi="Wingdings" w:hint="default"/>
      </w:rPr>
    </w:lvl>
    <w:lvl w:ilvl="6" w:tplc="E5EC5294" w:tentative="1">
      <w:start w:val="1"/>
      <w:numFmt w:val="bullet"/>
      <w:lvlText w:val=""/>
      <w:lvlJc w:val="left"/>
      <w:pPr>
        <w:tabs>
          <w:tab w:val="num" w:pos="5040"/>
        </w:tabs>
        <w:ind w:left="5040" w:hanging="360"/>
      </w:pPr>
      <w:rPr>
        <w:rFonts w:ascii="Wingdings" w:hAnsi="Wingdings" w:hint="default"/>
      </w:rPr>
    </w:lvl>
    <w:lvl w:ilvl="7" w:tplc="6B18D462" w:tentative="1">
      <w:start w:val="1"/>
      <w:numFmt w:val="bullet"/>
      <w:lvlText w:val=""/>
      <w:lvlJc w:val="left"/>
      <w:pPr>
        <w:tabs>
          <w:tab w:val="num" w:pos="5760"/>
        </w:tabs>
        <w:ind w:left="5760" w:hanging="360"/>
      </w:pPr>
      <w:rPr>
        <w:rFonts w:ascii="Wingdings" w:hAnsi="Wingdings" w:hint="default"/>
      </w:rPr>
    </w:lvl>
    <w:lvl w:ilvl="8" w:tplc="65FCCB92" w:tentative="1">
      <w:start w:val="1"/>
      <w:numFmt w:val="bullet"/>
      <w:lvlText w:val=""/>
      <w:lvlJc w:val="left"/>
      <w:pPr>
        <w:tabs>
          <w:tab w:val="num" w:pos="6480"/>
        </w:tabs>
        <w:ind w:left="6480" w:hanging="360"/>
      </w:pPr>
      <w:rPr>
        <w:rFonts w:ascii="Wingdings" w:hAnsi="Wingdings" w:hint="default"/>
      </w:rPr>
    </w:lvl>
  </w:abstractNum>
  <w:abstractNum w:abstractNumId="4">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FC65D09"/>
    <w:multiLevelType w:val="hybridMultilevel"/>
    <w:tmpl w:val="03261AE0"/>
    <w:lvl w:ilvl="0" w:tplc="4728388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436816"/>
    <w:multiLevelType w:val="hybridMultilevel"/>
    <w:tmpl w:val="E8DE3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BB173E"/>
    <w:multiLevelType w:val="hybridMultilevel"/>
    <w:tmpl w:val="C95EB4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BC4271F"/>
    <w:multiLevelType w:val="hybridMultilevel"/>
    <w:tmpl w:val="13A27ECA"/>
    <w:lvl w:ilvl="0" w:tplc="0E4605B0">
      <w:start w:val="1"/>
      <w:numFmt w:val="bullet"/>
      <w:pStyle w:val="ListBullet"/>
      <w:lvlText w:val=""/>
      <w:lvlJc w:val="left"/>
      <w:pPr>
        <w:ind w:left="644" w:hanging="360"/>
      </w:pPr>
      <w:rPr>
        <w:rFonts w:ascii="Wingdings 3" w:hAnsi="Wingdings 3" w:hint="default"/>
        <w:b/>
        <w:i w:val="0"/>
        <w:color w:val="4F81BD" w:themeColor="accent1"/>
      </w:rPr>
    </w:lvl>
    <w:lvl w:ilvl="1" w:tplc="850C9BC0">
      <w:start w:val="1"/>
      <w:numFmt w:val="bullet"/>
      <w:lvlText w:val="-"/>
      <w:lvlJc w:val="left"/>
      <w:pPr>
        <w:ind w:left="454" w:firstLine="0"/>
      </w:pPr>
      <w:rPr>
        <w:rFonts w:ascii="Calibri" w:eastAsiaTheme="minorHAnsi" w:hAnsi="Calibri" w:cs="Calibri"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256CB8"/>
    <w:multiLevelType w:val="hybridMultilevel"/>
    <w:tmpl w:val="25E29D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2C727C"/>
    <w:multiLevelType w:val="hybridMultilevel"/>
    <w:tmpl w:val="C1EC3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AD0180"/>
    <w:multiLevelType w:val="hybridMultilevel"/>
    <w:tmpl w:val="62E8CC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3896755"/>
    <w:multiLevelType w:val="hybridMultilevel"/>
    <w:tmpl w:val="0DBE9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6C725A"/>
    <w:multiLevelType w:val="hybridMultilevel"/>
    <w:tmpl w:val="4342A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63E12AC"/>
    <w:multiLevelType w:val="hybridMultilevel"/>
    <w:tmpl w:val="19923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612CA"/>
    <w:multiLevelType w:val="hybridMultilevel"/>
    <w:tmpl w:val="0140403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2"/>
  </w:num>
  <w:num w:numId="3">
    <w:abstractNumId w:val="4"/>
  </w:num>
  <w:num w:numId="4">
    <w:abstractNumId w:val="26"/>
  </w:num>
  <w:num w:numId="5">
    <w:abstractNumId w:val="18"/>
  </w:num>
  <w:num w:numId="6">
    <w:abstractNumId w:val="24"/>
  </w:num>
  <w:num w:numId="7">
    <w:abstractNumId w:val="29"/>
  </w:num>
  <w:num w:numId="8">
    <w:abstractNumId w:val="19"/>
  </w:num>
  <w:num w:numId="9">
    <w:abstractNumId w:val="37"/>
  </w:num>
  <w:num w:numId="10">
    <w:abstractNumId w:val="1"/>
  </w:num>
  <w:num w:numId="11">
    <w:abstractNumId w:val="28"/>
  </w:num>
  <w:num w:numId="12">
    <w:abstractNumId w:val="30"/>
  </w:num>
  <w:num w:numId="13">
    <w:abstractNumId w:val="7"/>
  </w:num>
  <w:num w:numId="14">
    <w:abstractNumId w:val="36"/>
  </w:num>
  <w:num w:numId="15">
    <w:abstractNumId w:val="27"/>
  </w:num>
  <w:num w:numId="16">
    <w:abstractNumId w:val="32"/>
  </w:num>
  <w:num w:numId="17">
    <w:abstractNumId w:val="20"/>
  </w:num>
  <w:num w:numId="18">
    <w:abstractNumId w:val="21"/>
  </w:num>
  <w:num w:numId="19">
    <w:abstractNumId w:val="34"/>
  </w:num>
  <w:num w:numId="20">
    <w:abstractNumId w:val="33"/>
  </w:num>
  <w:num w:numId="21">
    <w:abstractNumId w:val="6"/>
  </w:num>
  <w:num w:numId="22">
    <w:abstractNumId w:val="15"/>
  </w:num>
  <w:num w:numId="23">
    <w:abstractNumId w:val="5"/>
  </w:num>
  <w:num w:numId="24">
    <w:abstractNumId w:val="14"/>
  </w:num>
  <w:num w:numId="25">
    <w:abstractNumId w:val="8"/>
  </w:num>
  <w:num w:numId="26">
    <w:abstractNumId w:val="16"/>
  </w:num>
  <w:num w:numId="27">
    <w:abstractNumId w:val="11"/>
  </w:num>
  <w:num w:numId="28">
    <w:abstractNumId w:val="0"/>
  </w:num>
  <w:num w:numId="29">
    <w:abstractNumId w:val="2"/>
  </w:num>
  <w:num w:numId="30">
    <w:abstractNumId w:val="3"/>
  </w:num>
  <w:num w:numId="31">
    <w:abstractNumId w:val="9"/>
  </w:num>
  <w:num w:numId="32">
    <w:abstractNumId w:val="5"/>
  </w:num>
  <w:num w:numId="33">
    <w:abstractNumId w:val="35"/>
  </w:num>
  <w:num w:numId="34">
    <w:abstractNumId w:val="17"/>
  </w:num>
  <w:num w:numId="35">
    <w:abstractNumId w:val="23"/>
  </w:num>
  <w:num w:numId="36">
    <w:abstractNumId w:val="12"/>
  </w:num>
  <w:num w:numId="37">
    <w:abstractNumId w:val="25"/>
  </w:num>
  <w:num w:numId="38">
    <w:abstractNumId w:val="13"/>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15A"/>
    <w:rsid w:val="00011A36"/>
    <w:rsid w:val="00047606"/>
    <w:rsid w:val="00065623"/>
    <w:rsid w:val="000756B9"/>
    <w:rsid w:val="00096B67"/>
    <w:rsid w:val="00096DAF"/>
    <w:rsid w:val="000C2F47"/>
    <w:rsid w:val="000C61DC"/>
    <w:rsid w:val="000D0D3D"/>
    <w:rsid w:val="000D6C00"/>
    <w:rsid w:val="000E4E04"/>
    <w:rsid w:val="000F14B4"/>
    <w:rsid w:val="000F75DF"/>
    <w:rsid w:val="00110A74"/>
    <w:rsid w:val="001328FA"/>
    <w:rsid w:val="00147AAF"/>
    <w:rsid w:val="001552C0"/>
    <w:rsid w:val="001640B1"/>
    <w:rsid w:val="0018435E"/>
    <w:rsid w:val="002041A1"/>
    <w:rsid w:val="002054F0"/>
    <w:rsid w:val="00230D6B"/>
    <w:rsid w:val="00232068"/>
    <w:rsid w:val="002330F2"/>
    <w:rsid w:val="0023652E"/>
    <w:rsid w:val="00243D9E"/>
    <w:rsid w:val="00253B66"/>
    <w:rsid w:val="00261DF1"/>
    <w:rsid w:val="00266CED"/>
    <w:rsid w:val="00271F18"/>
    <w:rsid w:val="00282779"/>
    <w:rsid w:val="0028334D"/>
    <w:rsid w:val="002A77EC"/>
    <w:rsid w:val="002B7FFA"/>
    <w:rsid w:val="002C2BCF"/>
    <w:rsid w:val="002C6513"/>
    <w:rsid w:val="002F279D"/>
    <w:rsid w:val="002F43B8"/>
    <w:rsid w:val="002F720A"/>
    <w:rsid w:val="0031629D"/>
    <w:rsid w:val="00336856"/>
    <w:rsid w:val="0034554D"/>
    <w:rsid w:val="00352224"/>
    <w:rsid w:val="003671E6"/>
    <w:rsid w:val="00384272"/>
    <w:rsid w:val="00386D67"/>
    <w:rsid w:val="003945B8"/>
    <w:rsid w:val="003956EE"/>
    <w:rsid w:val="00397CAB"/>
    <w:rsid w:val="003A3859"/>
    <w:rsid w:val="003B0D19"/>
    <w:rsid w:val="003D7F29"/>
    <w:rsid w:val="00405A6B"/>
    <w:rsid w:val="00406A72"/>
    <w:rsid w:val="00407B1F"/>
    <w:rsid w:val="00410E92"/>
    <w:rsid w:val="00414C57"/>
    <w:rsid w:val="0041687F"/>
    <w:rsid w:val="0041758C"/>
    <w:rsid w:val="004539DE"/>
    <w:rsid w:val="004A2CF1"/>
    <w:rsid w:val="004B2070"/>
    <w:rsid w:val="004C3035"/>
    <w:rsid w:val="004C307F"/>
    <w:rsid w:val="004E4BA8"/>
    <w:rsid w:val="004F340F"/>
    <w:rsid w:val="004F7B7C"/>
    <w:rsid w:val="005078C8"/>
    <w:rsid w:val="0052243D"/>
    <w:rsid w:val="00532435"/>
    <w:rsid w:val="005433AF"/>
    <w:rsid w:val="00550354"/>
    <w:rsid w:val="00566818"/>
    <w:rsid w:val="00571236"/>
    <w:rsid w:val="005953A1"/>
    <w:rsid w:val="005A0D32"/>
    <w:rsid w:val="005C1C14"/>
    <w:rsid w:val="005D0332"/>
    <w:rsid w:val="005D0D8C"/>
    <w:rsid w:val="00643218"/>
    <w:rsid w:val="00664B11"/>
    <w:rsid w:val="006776AE"/>
    <w:rsid w:val="006A0D97"/>
    <w:rsid w:val="006B0E9A"/>
    <w:rsid w:val="006B1F86"/>
    <w:rsid w:val="006B3241"/>
    <w:rsid w:val="006B3DA0"/>
    <w:rsid w:val="006C0A91"/>
    <w:rsid w:val="006D2535"/>
    <w:rsid w:val="007054BB"/>
    <w:rsid w:val="00707064"/>
    <w:rsid w:val="00730683"/>
    <w:rsid w:val="0075261F"/>
    <w:rsid w:val="0075468E"/>
    <w:rsid w:val="007549B4"/>
    <w:rsid w:val="007665D8"/>
    <w:rsid w:val="00766E36"/>
    <w:rsid w:val="007765F4"/>
    <w:rsid w:val="00776633"/>
    <w:rsid w:val="00784D53"/>
    <w:rsid w:val="007933E4"/>
    <w:rsid w:val="00797797"/>
    <w:rsid w:val="007A63C9"/>
    <w:rsid w:val="007B32D1"/>
    <w:rsid w:val="007B7095"/>
    <w:rsid w:val="007B78A2"/>
    <w:rsid w:val="007D24E1"/>
    <w:rsid w:val="007D2567"/>
    <w:rsid w:val="007D6288"/>
    <w:rsid w:val="007D784D"/>
    <w:rsid w:val="007F0F31"/>
    <w:rsid w:val="007F4CE9"/>
    <w:rsid w:val="007F4E20"/>
    <w:rsid w:val="00822C7E"/>
    <w:rsid w:val="00833C29"/>
    <w:rsid w:val="00840972"/>
    <w:rsid w:val="00843E3F"/>
    <w:rsid w:val="00847060"/>
    <w:rsid w:val="00856A33"/>
    <w:rsid w:val="00892620"/>
    <w:rsid w:val="008B35AF"/>
    <w:rsid w:val="008B6C11"/>
    <w:rsid w:val="008C7D37"/>
    <w:rsid w:val="008D5885"/>
    <w:rsid w:val="008F7EA6"/>
    <w:rsid w:val="00916590"/>
    <w:rsid w:val="00923FA2"/>
    <w:rsid w:val="0094665D"/>
    <w:rsid w:val="00951310"/>
    <w:rsid w:val="00954D3B"/>
    <w:rsid w:val="0096060D"/>
    <w:rsid w:val="00963A12"/>
    <w:rsid w:val="00967FB7"/>
    <w:rsid w:val="00974A50"/>
    <w:rsid w:val="0097585A"/>
    <w:rsid w:val="00982280"/>
    <w:rsid w:val="009921AA"/>
    <w:rsid w:val="009924B0"/>
    <w:rsid w:val="009942C9"/>
    <w:rsid w:val="009A541E"/>
    <w:rsid w:val="009B35C4"/>
    <w:rsid w:val="009C0BF4"/>
    <w:rsid w:val="009C630A"/>
    <w:rsid w:val="009D452D"/>
    <w:rsid w:val="009E0D98"/>
    <w:rsid w:val="009E3F7F"/>
    <w:rsid w:val="00A068A1"/>
    <w:rsid w:val="00A1207D"/>
    <w:rsid w:val="00A12FD8"/>
    <w:rsid w:val="00A346FC"/>
    <w:rsid w:val="00A34F31"/>
    <w:rsid w:val="00A6355B"/>
    <w:rsid w:val="00A679F1"/>
    <w:rsid w:val="00A822AF"/>
    <w:rsid w:val="00A84F93"/>
    <w:rsid w:val="00AB1AC5"/>
    <w:rsid w:val="00AB3BFC"/>
    <w:rsid w:val="00AC4F2E"/>
    <w:rsid w:val="00AD0C37"/>
    <w:rsid w:val="00AD385F"/>
    <w:rsid w:val="00AE134A"/>
    <w:rsid w:val="00AE6E2A"/>
    <w:rsid w:val="00B31E9C"/>
    <w:rsid w:val="00B35595"/>
    <w:rsid w:val="00B51C6D"/>
    <w:rsid w:val="00B86D64"/>
    <w:rsid w:val="00BA4AC5"/>
    <w:rsid w:val="00BC1364"/>
    <w:rsid w:val="00BC2667"/>
    <w:rsid w:val="00BC7DE9"/>
    <w:rsid w:val="00BE5061"/>
    <w:rsid w:val="00BF479B"/>
    <w:rsid w:val="00C02577"/>
    <w:rsid w:val="00C048C1"/>
    <w:rsid w:val="00C07A79"/>
    <w:rsid w:val="00C14051"/>
    <w:rsid w:val="00C204FB"/>
    <w:rsid w:val="00C20BEE"/>
    <w:rsid w:val="00C2158D"/>
    <w:rsid w:val="00C251D4"/>
    <w:rsid w:val="00C563D8"/>
    <w:rsid w:val="00C64E51"/>
    <w:rsid w:val="00C67DD2"/>
    <w:rsid w:val="00C725CB"/>
    <w:rsid w:val="00C76F5C"/>
    <w:rsid w:val="00C96BAD"/>
    <w:rsid w:val="00CA4079"/>
    <w:rsid w:val="00CA6944"/>
    <w:rsid w:val="00CB0F8E"/>
    <w:rsid w:val="00CB2D77"/>
    <w:rsid w:val="00CB7E7D"/>
    <w:rsid w:val="00CC2911"/>
    <w:rsid w:val="00CE58FD"/>
    <w:rsid w:val="00CF0C6D"/>
    <w:rsid w:val="00CF7307"/>
    <w:rsid w:val="00CF7C68"/>
    <w:rsid w:val="00D02318"/>
    <w:rsid w:val="00D0421A"/>
    <w:rsid w:val="00D124FA"/>
    <w:rsid w:val="00D340DE"/>
    <w:rsid w:val="00D55723"/>
    <w:rsid w:val="00D62FAD"/>
    <w:rsid w:val="00D70450"/>
    <w:rsid w:val="00D83BFD"/>
    <w:rsid w:val="00D90A38"/>
    <w:rsid w:val="00D95D73"/>
    <w:rsid w:val="00DA0515"/>
    <w:rsid w:val="00DA0D12"/>
    <w:rsid w:val="00DA171E"/>
    <w:rsid w:val="00DA2054"/>
    <w:rsid w:val="00DA56AA"/>
    <w:rsid w:val="00DB5833"/>
    <w:rsid w:val="00DD2858"/>
    <w:rsid w:val="00DF4E15"/>
    <w:rsid w:val="00E03E33"/>
    <w:rsid w:val="00E059E0"/>
    <w:rsid w:val="00E130FA"/>
    <w:rsid w:val="00E3642A"/>
    <w:rsid w:val="00E37801"/>
    <w:rsid w:val="00E415C4"/>
    <w:rsid w:val="00E46F1D"/>
    <w:rsid w:val="00E50016"/>
    <w:rsid w:val="00E50EAA"/>
    <w:rsid w:val="00E53991"/>
    <w:rsid w:val="00E56207"/>
    <w:rsid w:val="00E656D6"/>
    <w:rsid w:val="00E70BEF"/>
    <w:rsid w:val="00E90989"/>
    <w:rsid w:val="00E96650"/>
    <w:rsid w:val="00E977EE"/>
    <w:rsid w:val="00EA2F24"/>
    <w:rsid w:val="00EA45D4"/>
    <w:rsid w:val="00EA67A2"/>
    <w:rsid w:val="00EB6B6F"/>
    <w:rsid w:val="00EC4F98"/>
    <w:rsid w:val="00EE6E89"/>
    <w:rsid w:val="00F039F9"/>
    <w:rsid w:val="00F12F02"/>
    <w:rsid w:val="00F31EF6"/>
    <w:rsid w:val="00F32E0D"/>
    <w:rsid w:val="00F35134"/>
    <w:rsid w:val="00F41812"/>
    <w:rsid w:val="00F443A8"/>
    <w:rsid w:val="00F715D1"/>
    <w:rsid w:val="00F73333"/>
    <w:rsid w:val="00F82FE8"/>
    <w:rsid w:val="00F95D8F"/>
    <w:rsid w:val="00FA41E4"/>
    <w:rsid w:val="00FB350A"/>
    <w:rsid w:val="00FB4C5D"/>
    <w:rsid w:val="00FD495B"/>
    <w:rsid w:val="00FE731D"/>
    <w:rsid w:val="00FF4E73"/>
    <w:rsid w:val="00FF6DA7"/>
    <w:rsid w:val="00FF6F1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00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List Bullet" w:uiPriority="3"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5A0D32"/>
    <w:pPr>
      <w:keepNext/>
      <w:keepLines/>
      <w:numPr>
        <w:numId w:val="23"/>
      </w:numPr>
      <w:tabs>
        <w:tab w:val="left" w:pos="567"/>
      </w:tabs>
      <w:spacing w:before="240" w:after="240"/>
      <w:ind w:left="567" w:hanging="567"/>
      <w:outlineLvl w:val="0"/>
    </w:pPr>
    <w:rPr>
      <w:rFonts w:ascii="Arial" w:hAnsi="Arial" w:cs="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0D32"/>
    <w:rPr>
      <w:rFonts w:ascii="Arial" w:eastAsia="Times New Roman" w:hAnsi="Arial" w:cs="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uiPriority w:val="34"/>
    <w:rsid w:val="006B3DA0"/>
    <w:rPr>
      <w:rFonts w:eastAsia="Times New Roman"/>
      <w:sz w:val="24"/>
      <w:szCs w:val="20"/>
    </w:rPr>
  </w:style>
  <w:style w:type="paragraph" w:customStyle="1" w:styleId="Tabletext">
    <w:name w:val="Table text"/>
    <w:basedOn w:val="Normal"/>
    <w:link w:val="TabletextChar"/>
    <w:qFormat/>
    <w:rsid w:val="006B3DA0"/>
    <w:rPr>
      <w:rFonts w:ascii="Arial Narrow" w:hAnsi="Arial Narrow"/>
      <w:sz w:val="20"/>
      <w:szCs w:val="24"/>
      <w:lang w:eastAsia="en-US"/>
    </w:rPr>
  </w:style>
  <w:style w:type="character" w:customStyle="1" w:styleId="TabletextChar">
    <w:name w:val="Table text Char"/>
    <w:basedOn w:val="DefaultParagraphFont"/>
    <w:link w:val="Tabletext"/>
    <w:rsid w:val="006B3DA0"/>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6B3DA0"/>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6B3DA0"/>
    <w:rPr>
      <w:rFonts w:ascii="Arial Narrow" w:eastAsia="Times New Roman" w:hAnsi="Arial Narrow" w:cs="Arial"/>
      <w:sz w:val="20"/>
      <w:szCs w:val="20"/>
      <w:lang w:eastAsia="en-US"/>
    </w:rPr>
  </w:style>
  <w:style w:type="paragraph" w:styleId="Caption">
    <w:name w:val="caption"/>
    <w:aliases w:val="Bayer Caption,IB Caption,Medical Caption,CSR Caption,Caption1,Caption2,Caption3,Caption4,Caption5,Caption Char2 Char,Caption Char Char Char2,Caption Char1 Char Char Char1,Caption Char2 Char Char Char1 Char1"/>
    <w:basedOn w:val="Normal"/>
    <w:next w:val="Normal"/>
    <w:link w:val="CaptionChar"/>
    <w:uiPriority w:val="35"/>
    <w:unhideWhenUsed/>
    <w:qFormat/>
    <w:locked/>
    <w:rsid w:val="006B3DA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Caption1 Char,Caption2 Char,Caption3 Char,Caption4 Char,Caption5 Char,Caption Char2 Char Char,Caption Char Char Char2 Char,Caption Char1 Char Char Char1 Char"/>
    <w:basedOn w:val="DefaultParagraphFont"/>
    <w:link w:val="Caption"/>
    <w:uiPriority w:val="35"/>
    <w:rsid w:val="006B3DA0"/>
    <w:rPr>
      <w:rFonts w:ascii="Arial Narrow" w:eastAsia="Times New Roman" w:hAnsi="Arial Narrow" w:cs="Arial"/>
      <w:b/>
      <w:bCs/>
      <w:iCs/>
      <w:sz w:val="20"/>
      <w:szCs w:val="20"/>
      <w:lang w:eastAsia="en-US"/>
    </w:rPr>
  </w:style>
  <w:style w:type="paragraph" w:customStyle="1" w:styleId="Tabletextright">
    <w:name w:val="Table text right"/>
    <w:basedOn w:val="Normal"/>
    <w:link w:val="TabletextrightChar"/>
    <w:qFormat/>
    <w:rsid w:val="006B3DA0"/>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6B3DA0"/>
    <w:rPr>
      <w:rFonts w:ascii="Arial Narrow" w:eastAsia="Times New Roman" w:hAnsi="Arial Narrow" w:cs="Arial"/>
      <w:sz w:val="20"/>
      <w:szCs w:val="20"/>
      <w:lang w:eastAsia="en-US"/>
    </w:rPr>
  </w:style>
  <w:style w:type="paragraph" w:styleId="BodyText">
    <w:name w:val="Body Text"/>
    <w:basedOn w:val="Normal"/>
    <w:link w:val="BodyTextChar"/>
    <w:uiPriority w:val="1"/>
    <w:qFormat/>
    <w:rsid w:val="00FA41E4"/>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FA41E4"/>
    <w:rPr>
      <w:rFonts w:asciiTheme="minorHAnsi" w:eastAsia="Times New Roman" w:hAnsiTheme="minorHAnsi"/>
      <w:sz w:val="20"/>
      <w:szCs w:val="24"/>
    </w:rPr>
  </w:style>
  <w:style w:type="paragraph" w:styleId="ListBullet">
    <w:name w:val="List Bullet"/>
    <w:basedOn w:val="List"/>
    <w:uiPriority w:val="3"/>
    <w:qFormat/>
    <w:rsid w:val="00FA41E4"/>
    <w:pPr>
      <w:keepLines/>
      <w:numPr>
        <w:numId w:val="36"/>
      </w:numPr>
      <w:tabs>
        <w:tab w:val="num" w:pos="360"/>
      </w:tabs>
      <w:spacing w:before="120" w:line="259" w:lineRule="auto"/>
      <w:ind w:left="360"/>
      <w:contextualSpacing w:val="0"/>
    </w:pPr>
    <w:rPr>
      <w:rFonts w:asciiTheme="minorHAnsi" w:hAnsiTheme="minorHAnsi"/>
      <w:sz w:val="20"/>
      <w:szCs w:val="24"/>
    </w:rPr>
  </w:style>
  <w:style w:type="paragraph" w:styleId="List">
    <w:name w:val="List"/>
    <w:basedOn w:val="Normal"/>
    <w:uiPriority w:val="99"/>
    <w:semiHidden/>
    <w:unhideWhenUsed/>
    <w:rsid w:val="00FA41E4"/>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List Bullet" w:uiPriority="3"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5A0D32"/>
    <w:pPr>
      <w:keepNext/>
      <w:keepLines/>
      <w:numPr>
        <w:numId w:val="23"/>
      </w:numPr>
      <w:tabs>
        <w:tab w:val="left" w:pos="567"/>
      </w:tabs>
      <w:spacing w:before="240" w:after="240"/>
      <w:ind w:left="567" w:hanging="567"/>
      <w:outlineLvl w:val="0"/>
    </w:pPr>
    <w:rPr>
      <w:rFonts w:ascii="Arial" w:hAnsi="Arial" w:cs="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0D32"/>
    <w:rPr>
      <w:rFonts w:ascii="Arial" w:eastAsia="Times New Roman" w:hAnsi="Arial" w:cs="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ListParagraphChar">
    <w:name w:val="List Paragraph Char"/>
    <w:basedOn w:val="DefaultParagraphFont"/>
    <w:link w:val="ListParagraph"/>
    <w:uiPriority w:val="34"/>
    <w:rsid w:val="006B3DA0"/>
    <w:rPr>
      <w:rFonts w:eastAsia="Times New Roman"/>
      <w:sz w:val="24"/>
      <w:szCs w:val="20"/>
    </w:rPr>
  </w:style>
  <w:style w:type="paragraph" w:customStyle="1" w:styleId="Tabletext">
    <w:name w:val="Table text"/>
    <w:basedOn w:val="Normal"/>
    <w:link w:val="TabletextChar"/>
    <w:qFormat/>
    <w:rsid w:val="006B3DA0"/>
    <w:rPr>
      <w:rFonts w:ascii="Arial Narrow" w:hAnsi="Arial Narrow"/>
      <w:sz w:val="20"/>
      <w:szCs w:val="24"/>
      <w:lang w:eastAsia="en-US"/>
    </w:rPr>
  </w:style>
  <w:style w:type="character" w:customStyle="1" w:styleId="TabletextChar">
    <w:name w:val="Table text Char"/>
    <w:basedOn w:val="DefaultParagraphFont"/>
    <w:link w:val="Tabletext"/>
    <w:rsid w:val="006B3DA0"/>
    <w:rPr>
      <w:rFonts w:ascii="Arial Narrow" w:eastAsia="Times New Roman" w:hAnsi="Arial Narrow"/>
      <w:sz w:val="20"/>
      <w:szCs w:val="24"/>
      <w:lang w:eastAsia="en-US"/>
    </w:rPr>
  </w:style>
  <w:style w:type="paragraph" w:customStyle="1" w:styleId="Tablecaption">
    <w:name w:val="Table caption"/>
    <w:basedOn w:val="Normal"/>
    <w:link w:val="TablecaptionChar"/>
    <w:qFormat/>
    <w:rsid w:val="006B3DA0"/>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6B3DA0"/>
    <w:rPr>
      <w:rFonts w:ascii="Arial Narrow" w:eastAsia="Times New Roman" w:hAnsi="Arial Narrow" w:cs="Arial"/>
      <w:sz w:val="20"/>
      <w:szCs w:val="20"/>
      <w:lang w:eastAsia="en-US"/>
    </w:rPr>
  </w:style>
  <w:style w:type="paragraph" w:styleId="Caption">
    <w:name w:val="caption"/>
    <w:aliases w:val="Bayer Caption,IB Caption,Medical Caption,CSR Caption,Caption1,Caption2,Caption3,Caption4,Caption5,Caption Char2 Char,Caption Char Char Char2,Caption Char1 Char Char Char1,Caption Char2 Char Char Char1 Char1"/>
    <w:basedOn w:val="Normal"/>
    <w:next w:val="Normal"/>
    <w:link w:val="CaptionChar"/>
    <w:uiPriority w:val="35"/>
    <w:unhideWhenUsed/>
    <w:qFormat/>
    <w:locked/>
    <w:rsid w:val="006B3DA0"/>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Caption1 Char,Caption2 Char,Caption3 Char,Caption4 Char,Caption5 Char,Caption Char2 Char Char,Caption Char Char Char2 Char,Caption Char1 Char Char Char1 Char"/>
    <w:basedOn w:val="DefaultParagraphFont"/>
    <w:link w:val="Caption"/>
    <w:uiPriority w:val="35"/>
    <w:rsid w:val="006B3DA0"/>
    <w:rPr>
      <w:rFonts w:ascii="Arial Narrow" w:eastAsia="Times New Roman" w:hAnsi="Arial Narrow" w:cs="Arial"/>
      <w:b/>
      <w:bCs/>
      <w:iCs/>
      <w:sz w:val="20"/>
      <w:szCs w:val="20"/>
      <w:lang w:eastAsia="en-US"/>
    </w:rPr>
  </w:style>
  <w:style w:type="paragraph" w:customStyle="1" w:styleId="Tabletextright">
    <w:name w:val="Table text right"/>
    <w:basedOn w:val="Normal"/>
    <w:link w:val="TabletextrightChar"/>
    <w:qFormat/>
    <w:rsid w:val="006B3DA0"/>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6B3DA0"/>
    <w:rPr>
      <w:rFonts w:ascii="Arial Narrow" w:eastAsia="Times New Roman" w:hAnsi="Arial Narrow" w:cs="Arial"/>
      <w:sz w:val="20"/>
      <w:szCs w:val="20"/>
      <w:lang w:eastAsia="en-US"/>
    </w:rPr>
  </w:style>
  <w:style w:type="paragraph" w:styleId="BodyText">
    <w:name w:val="Body Text"/>
    <w:basedOn w:val="Normal"/>
    <w:link w:val="BodyTextChar"/>
    <w:uiPriority w:val="1"/>
    <w:qFormat/>
    <w:rsid w:val="00FA41E4"/>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FA41E4"/>
    <w:rPr>
      <w:rFonts w:asciiTheme="minorHAnsi" w:eastAsia="Times New Roman" w:hAnsiTheme="minorHAnsi"/>
      <w:sz w:val="20"/>
      <w:szCs w:val="24"/>
    </w:rPr>
  </w:style>
  <w:style w:type="paragraph" w:styleId="ListBullet">
    <w:name w:val="List Bullet"/>
    <w:basedOn w:val="List"/>
    <w:uiPriority w:val="3"/>
    <w:qFormat/>
    <w:rsid w:val="00FA41E4"/>
    <w:pPr>
      <w:keepLines/>
      <w:numPr>
        <w:numId w:val="36"/>
      </w:numPr>
      <w:tabs>
        <w:tab w:val="num" w:pos="360"/>
      </w:tabs>
      <w:spacing w:before="120" w:line="259" w:lineRule="auto"/>
      <w:ind w:left="360"/>
      <w:contextualSpacing w:val="0"/>
    </w:pPr>
    <w:rPr>
      <w:rFonts w:asciiTheme="minorHAnsi" w:hAnsiTheme="minorHAnsi"/>
      <w:sz w:val="20"/>
      <w:szCs w:val="24"/>
    </w:rPr>
  </w:style>
  <w:style w:type="paragraph" w:styleId="List">
    <w:name w:val="List"/>
    <w:basedOn w:val="Normal"/>
    <w:uiPriority w:val="99"/>
    <w:semiHidden/>
    <w:unhideWhenUsed/>
    <w:rsid w:val="00FA41E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4063">
      <w:bodyDiv w:val="1"/>
      <w:marLeft w:val="0"/>
      <w:marRight w:val="0"/>
      <w:marTop w:val="0"/>
      <w:marBottom w:val="0"/>
      <w:divBdr>
        <w:top w:val="none" w:sz="0" w:space="0" w:color="auto"/>
        <w:left w:val="none" w:sz="0" w:space="0" w:color="auto"/>
        <w:bottom w:val="none" w:sz="0" w:space="0" w:color="auto"/>
        <w:right w:val="none" w:sz="0" w:space="0" w:color="auto"/>
      </w:divBdr>
      <w:divsChild>
        <w:div w:id="1453550313">
          <w:marLeft w:val="1051"/>
          <w:marRight w:val="0"/>
          <w:marTop w:val="115"/>
          <w:marBottom w:val="0"/>
          <w:divBdr>
            <w:top w:val="none" w:sz="0" w:space="0" w:color="auto"/>
            <w:left w:val="none" w:sz="0" w:space="0" w:color="auto"/>
            <w:bottom w:val="none" w:sz="0" w:space="0" w:color="auto"/>
            <w:right w:val="none" w:sz="0" w:space="0" w:color="auto"/>
          </w:divBdr>
        </w:div>
      </w:divsChild>
    </w:div>
    <w:div w:id="724184461">
      <w:bodyDiv w:val="1"/>
      <w:marLeft w:val="0"/>
      <w:marRight w:val="0"/>
      <w:marTop w:val="0"/>
      <w:marBottom w:val="0"/>
      <w:divBdr>
        <w:top w:val="none" w:sz="0" w:space="0" w:color="auto"/>
        <w:left w:val="none" w:sz="0" w:space="0" w:color="auto"/>
        <w:bottom w:val="none" w:sz="0" w:space="0" w:color="auto"/>
        <w:right w:val="none" w:sz="0" w:space="0" w:color="auto"/>
      </w:divBdr>
      <w:divsChild>
        <w:div w:id="383871320">
          <w:marLeft w:val="1051"/>
          <w:marRight w:val="0"/>
          <w:marTop w:val="125"/>
          <w:marBottom w:val="0"/>
          <w:divBdr>
            <w:top w:val="none" w:sz="0" w:space="0" w:color="auto"/>
            <w:left w:val="none" w:sz="0" w:space="0" w:color="auto"/>
            <w:bottom w:val="none" w:sz="0" w:space="0" w:color="auto"/>
            <w:right w:val="none" w:sz="0" w:space="0" w:color="auto"/>
          </w:divBdr>
        </w:div>
        <w:div w:id="640765497">
          <w:marLeft w:val="1051"/>
          <w:marRight w:val="0"/>
          <w:marTop w:val="125"/>
          <w:marBottom w:val="0"/>
          <w:divBdr>
            <w:top w:val="none" w:sz="0" w:space="0" w:color="auto"/>
            <w:left w:val="none" w:sz="0" w:space="0" w:color="auto"/>
            <w:bottom w:val="none" w:sz="0" w:space="0" w:color="auto"/>
            <w:right w:val="none" w:sz="0" w:space="0" w:color="auto"/>
          </w:divBdr>
        </w:div>
        <w:div w:id="755323558">
          <w:marLeft w:val="1051"/>
          <w:marRight w:val="0"/>
          <w:marTop w:val="125"/>
          <w:marBottom w:val="0"/>
          <w:divBdr>
            <w:top w:val="none" w:sz="0" w:space="0" w:color="auto"/>
            <w:left w:val="none" w:sz="0" w:space="0" w:color="auto"/>
            <w:bottom w:val="none" w:sz="0" w:space="0" w:color="auto"/>
            <w:right w:val="none" w:sz="0" w:space="0" w:color="auto"/>
          </w:divBdr>
        </w:div>
        <w:div w:id="1593778320">
          <w:marLeft w:val="1051"/>
          <w:marRight w:val="0"/>
          <w:marTop w:val="125"/>
          <w:marBottom w:val="0"/>
          <w:divBdr>
            <w:top w:val="none" w:sz="0" w:space="0" w:color="auto"/>
            <w:left w:val="none" w:sz="0" w:space="0" w:color="auto"/>
            <w:bottom w:val="none" w:sz="0" w:space="0" w:color="auto"/>
            <w:right w:val="none" w:sz="0" w:space="0" w:color="auto"/>
          </w:divBdr>
        </w:div>
        <w:div w:id="1863934327">
          <w:marLeft w:val="1051"/>
          <w:marRight w:val="0"/>
          <w:marTop w:val="125"/>
          <w:marBottom w:val="0"/>
          <w:divBdr>
            <w:top w:val="none" w:sz="0" w:space="0" w:color="auto"/>
            <w:left w:val="none" w:sz="0" w:space="0" w:color="auto"/>
            <w:bottom w:val="none" w:sz="0" w:space="0" w:color="auto"/>
            <w:right w:val="none" w:sz="0" w:space="0" w:color="auto"/>
          </w:divBdr>
        </w:div>
      </w:divsChild>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0" Type="http://schemas.openxmlformats.org/officeDocument/2006/relationships/hyperlink" Target="http://www.msa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5768-241B-46E3-8A0C-6A26B365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4070</Words>
  <Characters>23219</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Davies Steve</cp:lastModifiedBy>
  <cp:revision>2</cp:revision>
  <cp:lastPrinted>2016-11-23T03:39:00Z</cp:lastPrinted>
  <dcterms:created xsi:type="dcterms:W3CDTF">2017-02-23T05:05:00Z</dcterms:created>
  <dcterms:modified xsi:type="dcterms:W3CDTF">2017-02-23T05:05:00Z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