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69E8DF" w14:textId="77777777" w:rsidR="00772829" w:rsidRPr="00CE28E3" w:rsidRDefault="00772829" w:rsidP="00772829">
      <w:pPr>
        <w:spacing w:after="240"/>
        <w:jc w:val="center"/>
        <w:rPr>
          <w:b/>
          <w:i/>
          <w:szCs w:val="24"/>
          <w:highlight w:val="yellow"/>
        </w:rPr>
      </w:pPr>
      <w:r w:rsidRPr="00CE28E3">
        <w:rPr>
          <w:rFonts w:ascii="Arial" w:hAnsi="Arial" w:cs="Arial"/>
          <w:b/>
          <w:noProof/>
          <w:color w:val="000080"/>
          <w:sz w:val="28"/>
          <w:szCs w:val="28"/>
          <w:lang w:eastAsia="en-AU"/>
        </w:rPr>
        <w:drawing>
          <wp:inline distT="0" distB="0" distL="0" distR="0" wp14:anchorId="6632E2AE" wp14:editId="492F13DD">
            <wp:extent cx="2627630" cy="1078865"/>
            <wp:effectExtent l="0" t="0" r="1270" b="6985"/>
            <wp:docPr id="6" name="Picture 6" descr="Medical Services Advisory Committe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7630" cy="1078865"/>
                    </a:xfrm>
                    <a:prstGeom prst="rect">
                      <a:avLst/>
                    </a:prstGeom>
                    <a:noFill/>
                  </pic:spPr>
                </pic:pic>
              </a:graphicData>
            </a:graphic>
          </wp:inline>
        </w:drawing>
      </w:r>
    </w:p>
    <w:p w14:paraId="196F0008" w14:textId="77777777" w:rsidR="002F7BCB" w:rsidRDefault="002F7BCB" w:rsidP="002F7BCB">
      <w:pPr>
        <w:pStyle w:val="Subtitle"/>
        <w:rPr>
          <w:rFonts w:eastAsiaTheme="majorEastAsia"/>
          <w:i w:val="0"/>
          <w:sz w:val="36"/>
          <w:szCs w:val="36"/>
          <w:lang w:eastAsia="en-US"/>
        </w:rPr>
      </w:pPr>
      <w:r w:rsidRPr="005F6A3D">
        <w:rPr>
          <w:rFonts w:eastAsiaTheme="majorEastAsia"/>
          <w:i w:val="0"/>
          <w:sz w:val="36"/>
          <w:szCs w:val="36"/>
          <w:lang w:eastAsia="en-US"/>
        </w:rPr>
        <w:t xml:space="preserve">Public Summary Document </w:t>
      </w:r>
    </w:p>
    <w:p w14:paraId="7A128FDE" w14:textId="62302F75" w:rsidR="00772829" w:rsidRPr="00CE28E3" w:rsidRDefault="00772829" w:rsidP="00772829">
      <w:pPr>
        <w:pStyle w:val="Subtitle"/>
      </w:pPr>
      <w:r w:rsidRPr="00BA5652">
        <w:t xml:space="preserve">Application No. </w:t>
      </w:r>
      <w:r w:rsidR="005E5618" w:rsidRPr="00BA5652">
        <w:t>1679</w:t>
      </w:r>
      <w:r w:rsidRPr="00BA5652">
        <w:t xml:space="preserve"> – </w:t>
      </w:r>
      <w:r w:rsidR="00BA5652" w:rsidRPr="00BA5652">
        <w:t>Improved medication management for Aboriginal and Torres Strait Islanders Feasibility Study (IMeRSe Feasibility Study)</w:t>
      </w:r>
    </w:p>
    <w:p w14:paraId="35263561" w14:textId="76E12D22" w:rsidR="00772829" w:rsidRPr="002F7BCB" w:rsidRDefault="00772829" w:rsidP="005E5618">
      <w:pPr>
        <w:tabs>
          <w:tab w:val="left" w:pos="3686"/>
        </w:tabs>
        <w:spacing w:after="240"/>
        <w:ind w:left="1440" w:hanging="1440"/>
        <w:rPr>
          <w:rFonts w:ascii="Arial" w:hAnsi="Arial" w:cs="Arial"/>
          <w:b/>
          <w:szCs w:val="24"/>
        </w:rPr>
      </w:pPr>
      <w:r w:rsidRPr="002F7BCB">
        <w:rPr>
          <w:rFonts w:ascii="Arial" w:hAnsi="Arial" w:cs="Arial"/>
          <w:b/>
          <w:szCs w:val="24"/>
        </w:rPr>
        <w:t>Applicant:</w:t>
      </w:r>
      <w:r w:rsidR="002F7BCB">
        <w:rPr>
          <w:rFonts w:ascii="Arial" w:hAnsi="Arial" w:cs="Arial"/>
          <w:b/>
          <w:szCs w:val="24"/>
        </w:rPr>
        <w:tab/>
      </w:r>
      <w:r w:rsidR="002F7BCB">
        <w:rPr>
          <w:rFonts w:ascii="Arial" w:hAnsi="Arial" w:cs="Arial"/>
          <w:b/>
          <w:szCs w:val="24"/>
        </w:rPr>
        <w:tab/>
      </w:r>
      <w:r w:rsidR="005E5618" w:rsidRPr="002F7BCB">
        <w:rPr>
          <w:rFonts w:ascii="Arial" w:hAnsi="Arial" w:cs="Arial"/>
          <w:b/>
          <w:szCs w:val="24"/>
        </w:rPr>
        <w:t>Pharmacy Guild of Australia</w:t>
      </w:r>
    </w:p>
    <w:p w14:paraId="32C8584F" w14:textId="444DB42B" w:rsidR="009B001F" w:rsidRPr="002F7BCB" w:rsidRDefault="00772829" w:rsidP="00772829">
      <w:pPr>
        <w:tabs>
          <w:tab w:val="left" w:pos="3686"/>
        </w:tabs>
        <w:spacing w:after="360"/>
        <w:rPr>
          <w:rFonts w:ascii="Arial" w:hAnsi="Arial" w:cs="Arial"/>
          <w:b/>
          <w:szCs w:val="24"/>
        </w:rPr>
      </w:pPr>
      <w:r w:rsidRPr="002F7BCB">
        <w:rPr>
          <w:rFonts w:ascii="Arial" w:hAnsi="Arial" w:cs="Arial"/>
          <w:b/>
          <w:szCs w:val="24"/>
        </w:rPr>
        <w:t xml:space="preserve">Date of </w:t>
      </w:r>
      <w:r w:rsidR="002F7BCB" w:rsidRPr="002F7BCB">
        <w:rPr>
          <w:rFonts w:ascii="Arial" w:hAnsi="Arial" w:cs="Arial"/>
          <w:b/>
          <w:szCs w:val="24"/>
        </w:rPr>
        <w:t>MSAC</w:t>
      </w:r>
      <w:r w:rsidRPr="002F7BCB">
        <w:rPr>
          <w:rFonts w:ascii="Arial" w:hAnsi="Arial" w:cs="Arial"/>
          <w:b/>
          <w:szCs w:val="24"/>
        </w:rPr>
        <w:t xml:space="preserve"> consideration:</w:t>
      </w:r>
      <w:r w:rsidR="002F7BCB">
        <w:rPr>
          <w:rFonts w:ascii="Arial" w:hAnsi="Arial" w:cs="Arial"/>
          <w:b/>
          <w:szCs w:val="24"/>
        </w:rPr>
        <w:tab/>
      </w:r>
      <w:r w:rsidR="002F7BCB" w:rsidRPr="002F7BCB">
        <w:rPr>
          <w:rFonts w:ascii="Arial" w:hAnsi="Arial" w:cs="Arial"/>
          <w:b/>
        </w:rPr>
        <w:t>31 March – 1 April 2022</w:t>
      </w:r>
    </w:p>
    <w:p w14:paraId="7EAA7262" w14:textId="77335A16" w:rsidR="00772829" w:rsidRPr="00CE28E3" w:rsidRDefault="00C36633" w:rsidP="00C36633">
      <w:pPr>
        <w:pStyle w:val="Heading2"/>
        <w:numPr>
          <w:ilvl w:val="0"/>
          <w:numId w:val="0"/>
        </w:numPr>
      </w:pPr>
      <w:bookmarkStart w:id="0" w:name="_Toc69491415"/>
      <w:r>
        <w:t>1.</w:t>
      </w:r>
      <w:r>
        <w:tab/>
      </w:r>
      <w:r w:rsidR="00772829" w:rsidRPr="00CE28E3">
        <w:t xml:space="preserve">Purpose </w:t>
      </w:r>
      <w:r w:rsidR="00772829" w:rsidRPr="00CE28E3">
        <w:rPr>
          <w:szCs w:val="32"/>
        </w:rPr>
        <w:t>of</w:t>
      </w:r>
      <w:r w:rsidR="00772829" w:rsidRPr="00CE28E3">
        <w:t xml:space="preserve"> application</w:t>
      </w:r>
      <w:bookmarkEnd w:id="0"/>
    </w:p>
    <w:p w14:paraId="1305F83B" w14:textId="6348D5B3" w:rsidR="00772829" w:rsidRDefault="00772829" w:rsidP="00AC0519">
      <w:pPr>
        <w:spacing w:after="240"/>
        <w:rPr>
          <w:iCs/>
        </w:rPr>
      </w:pPr>
      <w:bookmarkStart w:id="1" w:name="_Hlk69734469"/>
      <w:r w:rsidRPr="009A3778">
        <w:rPr>
          <w:iCs/>
        </w:rPr>
        <w:t xml:space="preserve">An application requesting </w:t>
      </w:r>
      <w:r w:rsidRPr="00AC0519">
        <w:rPr>
          <w:iCs/>
        </w:rPr>
        <w:t xml:space="preserve">Medicare Benefits Schedule (MBS) listing </w:t>
      </w:r>
      <w:r w:rsidR="005E5618" w:rsidRPr="00AC0519">
        <w:rPr>
          <w:iCs/>
        </w:rPr>
        <w:t>and</w:t>
      </w:r>
      <w:r w:rsidRPr="00AC0519">
        <w:rPr>
          <w:iCs/>
        </w:rPr>
        <w:t xml:space="preserve"> public funding of </w:t>
      </w:r>
      <w:r w:rsidR="00820A54">
        <w:rPr>
          <w:iCs/>
        </w:rPr>
        <w:t xml:space="preserve">an </w:t>
      </w:r>
      <w:r w:rsidR="003E6C37" w:rsidRPr="00AC0519">
        <w:rPr>
          <w:iCs/>
        </w:rPr>
        <w:t xml:space="preserve">Indigenous Medication Review Service </w:t>
      </w:r>
      <w:bookmarkStart w:id="2" w:name="_Hlk88338084"/>
      <w:r w:rsidR="003E6C37" w:rsidRPr="00AC0519">
        <w:rPr>
          <w:iCs/>
        </w:rPr>
        <w:t>(IMeRSe)</w:t>
      </w:r>
      <w:r w:rsidR="005E5618" w:rsidRPr="00AC0519">
        <w:rPr>
          <w:iCs/>
        </w:rPr>
        <w:t xml:space="preserve"> </w:t>
      </w:r>
      <w:r w:rsidRPr="00AC0519">
        <w:rPr>
          <w:iCs/>
        </w:rPr>
        <w:t xml:space="preserve">for </w:t>
      </w:r>
      <w:r w:rsidR="003E6C37" w:rsidRPr="00AC0519">
        <w:rPr>
          <w:iCs/>
        </w:rPr>
        <w:t>Aboriginal and Torres Strait Islander</w:t>
      </w:r>
      <w:r w:rsidR="003E6C37">
        <w:rPr>
          <w:iCs/>
        </w:rPr>
        <w:t xml:space="preserve"> people</w:t>
      </w:r>
      <w:r w:rsidR="00EE6741">
        <w:rPr>
          <w:iCs/>
        </w:rPr>
        <w:t>s</w:t>
      </w:r>
      <w:r w:rsidR="003E6C37">
        <w:rPr>
          <w:iCs/>
        </w:rPr>
        <w:t xml:space="preserve"> with potential for medication-related problems (MRPs)</w:t>
      </w:r>
      <w:r w:rsidR="005E5618">
        <w:rPr>
          <w:iCs/>
        </w:rPr>
        <w:t xml:space="preserve"> </w:t>
      </w:r>
      <w:bookmarkEnd w:id="2"/>
      <w:r w:rsidRPr="009A3778">
        <w:rPr>
          <w:iCs/>
        </w:rPr>
        <w:t xml:space="preserve">was received from the </w:t>
      </w:r>
      <w:r w:rsidR="005E5618">
        <w:rPr>
          <w:iCs/>
        </w:rPr>
        <w:t>Pharmacy Guild of Australia</w:t>
      </w:r>
      <w:r w:rsidRPr="009A3778">
        <w:rPr>
          <w:iCs/>
        </w:rPr>
        <w:t>.</w:t>
      </w:r>
    </w:p>
    <w:p w14:paraId="371D657F" w14:textId="6320EB74" w:rsidR="002F7BCB" w:rsidRDefault="002F7BCB" w:rsidP="002F7BCB">
      <w:pPr>
        <w:pStyle w:val="Heading2"/>
        <w:numPr>
          <w:ilvl w:val="0"/>
          <w:numId w:val="0"/>
        </w:numPr>
      </w:pPr>
      <w:r w:rsidRPr="002F7BCB">
        <w:t>2.</w:t>
      </w:r>
      <w:r w:rsidRPr="002F7BCB">
        <w:tab/>
        <w:t>MSAC’s advice to the Minister</w:t>
      </w:r>
    </w:p>
    <w:p w14:paraId="0DA9F955" w14:textId="09E3DA1A" w:rsidR="0000238C" w:rsidRDefault="0000238C" w:rsidP="0000238C">
      <w:pPr>
        <w:pStyle w:val="5Bodytext"/>
        <w:rPr>
          <w:rFonts w:ascii="Franklin Gothic Book" w:hAnsi="Franklin Gothic Book"/>
          <w:bCs/>
          <w:sz w:val="22"/>
          <w:szCs w:val="22"/>
        </w:rPr>
      </w:pPr>
      <w:r w:rsidRPr="0000238C">
        <w:rPr>
          <w:rFonts w:ascii="Franklin Gothic Book" w:hAnsi="Franklin Gothic Book"/>
          <w:bCs/>
          <w:sz w:val="22"/>
          <w:szCs w:val="22"/>
        </w:rPr>
        <w:t xml:space="preserve">After considering the strength of the available evidence in relation to comparative safety, clinical effectiveness and cost-effectiveness, MSAC did not support the public funding of the Indigenous Medication Review Service (IMeRSe). MSAC considered the evidence presented did not demonstrate the comparative effectiveness and cost-effectiveness of the proposed service with existing services. MSAC advised that there is an unmet need for culturally appropriate medication review services for </w:t>
      </w:r>
      <w:r w:rsidR="00EE6741">
        <w:rPr>
          <w:rFonts w:ascii="Franklin Gothic Book" w:hAnsi="Franklin Gothic Book"/>
          <w:bCs/>
          <w:sz w:val="22"/>
          <w:szCs w:val="22"/>
        </w:rPr>
        <w:t>Aboriginal and Torres Strait Islander peoples</w:t>
      </w:r>
      <w:r w:rsidRPr="0000238C">
        <w:rPr>
          <w:rFonts w:ascii="Franklin Gothic Book" w:hAnsi="Franklin Gothic Book"/>
          <w:bCs/>
          <w:sz w:val="22"/>
          <w:szCs w:val="22"/>
        </w:rPr>
        <w:t xml:space="preserve"> and that the IMeRSe </w:t>
      </w:r>
      <w:r w:rsidR="00B03B15">
        <w:rPr>
          <w:rFonts w:ascii="Franklin Gothic Book" w:hAnsi="Franklin Gothic Book"/>
          <w:bCs/>
          <w:sz w:val="22"/>
          <w:szCs w:val="22"/>
        </w:rPr>
        <w:t>F</w:t>
      </w:r>
      <w:r w:rsidRPr="0000238C">
        <w:rPr>
          <w:rFonts w:ascii="Franklin Gothic Book" w:hAnsi="Franklin Gothic Book"/>
          <w:bCs/>
          <w:sz w:val="22"/>
          <w:szCs w:val="22"/>
        </w:rPr>
        <w:t xml:space="preserve">easibility </w:t>
      </w:r>
      <w:r w:rsidR="00B03B15">
        <w:rPr>
          <w:rFonts w:ascii="Franklin Gothic Book" w:hAnsi="Franklin Gothic Book"/>
          <w:bCs/>
          <w:sz w:val="22"/>
          <w:szCs w:val="22"/>
        </w:rPr>
        <w:t>S</w:t>
      </w:r>
      <w:r w:rsidRPr="0000238C">
        <w:rPr>
          <w:rFonts w:ascii="Franklin Gothic Book" w:hAnsi="Franklin Gothic Book"/>
          <w:bCs/>
          <w:sz w:val="22"/>
          <w:szCs w:val="22"/>
        </w:rPr>
        <w:t xml:space="preserve">tudy identified limitations and gaps with existing medication review services. MSAC suggested the Department could consider reforms to existing Pharmacy Programs, with a focus on improving access to these programs for </w:t>
      </w:r>
      <w:r w:rsidR="00EE6741">
        <w:rPr>
          <w:rFonts w:ascii="Franklin Gothic Book" w:hAnsi="Franklin Gothic Book"/>
          <w:bCs/>
          <w:sz w:val="22"/>
          <w:szCs w:val="22"/>
        </w:rPr>
        <w:t>Aboriginal and Torres Strait Islander peoples</w:t>
      </w:r>
      <w:r w:rsidRPr="0000238C">
        <w:rPr>
          <w:rFonts w:ascii="Franklin Gothic Book" w:hAnsi="Franklin Gothic Book"/>
          <w:bCs/>
          <w:sz w:val="22"/>
          <w:szCs w:val="22"/>
        </w:rPr>
        <w:t>.</w:t>
      </w:r>
    </w:p>
    <w:tbl>
      <w:tblPr>
        <w:tblStyle w:val="TableGrid"/>
        <w:tblW w:w="0" w:type="auto"/>
        <w:tblLook w:val="04A0" w:firstRow="1" w:lastRow="0" w:firstColumn="1" w:lastColumn="0" w:noHBand="0" w:noVBand="1"/>
        <w:tblDescription w:val="Consumer summary of MSAC consideration"/>
      </w:tblPr>
      <w:tblGrid>
        <w:gridCol w:w="9016"/>
      </w:tblGrid>
      <w:tr w:rsidR="002F7BCB" w:rsidRPr="00EA5B5B" w14:paraId="56775E30" w14:textId="77777777" w:rsidTr="002F7BCB">
        <w:trPr>
          <w:tblHeader/>
        </w:trPr>
        <w:tc>
          <w:tcPr>
            <w:tcW w:w="9016" w:type="dxa"/>
          </w:tcPr>
          <w:p w14:paraId="23ED0220" w14:textId="77777777" w:rsidR="002F7BCB" w:rsidRPr="00EA5B5B" w:rsidRDefault="002F7BCB" w:rsidP="002F7BCB">
            <w:pPr>
              <w:keepNext/>
              <w:keepLines/>
              <w:tabs>
                <w:tab w:val="left" w:pos="851"/>
              </w:tabs>
              <w:spacing w:after="120"/>
              <w:outlineLvl w:val="2"/>
              <w:rPr>
                <w:rFonts w:eastAsia="Calibri"/>
                <w:b/>
                <w:bCs/>
                <w:iCs/>
              </w:rPr>
            </w:pPr>
            <w:r w:rsidRPr="002F7BCB">
              <w:rPr>
                <w:rFonts w:ascii="Franklin Gothic Medium" w:eastAsia="SimSun" w:hAnsi="Franklin Gothic Medium"/>
                <w:b/>
                <w:bCs/>
              </w:rPr>
              <w:t>Consumer</w:t>
            </w:r>
            <w:r w:rsidRPr="00EA5B5B">
              <w:rPr>
                <w:rFonts w:ascii="Franklin Gothic Medium" w:eastAsia="SimSun" w:hAnsi="Franklin Gothic Medium"/>
              </w:rPr>
              <w:t xml:space="preserve"> </w:t>
            </w:r>
            <w:r w:rsidRPr="002F7BCB">
              <w:rPr>
                <w:rFonts w:ascii="Franklin Gothic Medium" w:eastAsia="SimSun" w:hAnsi="Franklin Gothic Medium"/>
                <w:b/>
                <w:bCs/>
              </w:rPr>
              <w:t>summary</w:t>
            </w:r>
          </w:p>
        </w:tc>
      </w:tr>
      <w:tr w:rsidR="002F7BCB" w:rsidRPr="00EA5B5B" w14:paraId="20E3D294" w14:textId="77777777" w:rsidTr="002F7BCB">
        <w:tc>
          <w:tcPr>
            <w:tcW w:w="9016" w:type="dxa"/>
          </w:tcPr>
          <w:p w14:paraId="55E2ACAA" w14:textId="7CC5E4AE" w:rsidR="0000238C" w:rsidRPr="0000238C" w:rsidRDefault="0000238C" w:rsidP="0000238C">
            <w:pPr>
              <w:autoSpaceDE w:val="0"/>
              <w:autoSpaceDN w:val="0"/>
              <w:adjustRightInd w:val="0"/>
              <w:spacing w:after="240"/>
              <w:rPr>
                <w:rFonts w:eastAsia="Calibri"/>
                <w:iCs/>
              </w:rPr>
            </w:pPr>
            <w:r w:rsidRPr="0000238C">
              <w:rPr>
                <w:rFonts w:eastAsia="Calibri"/>
                <w:iCs/>
              </w:rPr>
              <w:t>This is an application from the Pharmacy Guild of Australia</w:t>
            </w:r>
            <w:r w:rsidR="00FE3163">
              <w:rPr>
                <w:rFonts w:eastAsia="Calibri"/>
                <w:iCs/>
              </w:rPr>
              <w:t xml:space="preserve"> (PGA)</w:t>
            </w:r>
            <w:r w:rsidRPr="0000238C">
              <w:rPr>
                <w:rFonts w:eastAsia="Calibri"/>
                <w:iCs/>
              </w:rPr>
              <w:t xml:space="preserve"> requesting Medicare Benefits Schedule (MBS) listing and public funding of an Indigenous Medication Review Service </w:t>
            </w:r>
            <w:r w:rsidR="00FE3163">
              <w:rPr>
                <w:rFonts w:eastAsia="Calibri"/>
                <w:iCs/>
              </w:rPr>
              <w:t xml:space="preserve">(IMeRSe) </w:t>
            </w:r>
            <w:r w:rsidRPr="0000238C">
              <w:rPr>
                <w:rFonts w:eastAsia="Calibri"/>
                <w:iCs/>
              </w:rPr>
              <w:t xml:space="preserve">for </w:t>
            </w:r>
            <w:r w:rsidR="00EE6741">
              <w:rPr>
                <w:rFonts w:eastAsia="Calibri"/>
                <w:iCs/>
              </w:rPr>
              <w:t>Aboriginal and Torres Strait Islander peoples</w:t>
            </w:r>
            <w:r w:rsidRPr="0000238C">
              <w:rPr>
                <w:rFonts w:eastAsia="Calibri"/>
                <w:iCs/>
              </w:rPr>
              <w:t xml:space="preserve"> who may have medication-related problems.</w:t>
            </w:r>
          </w:p>
          <w:p w14:paraId="1C84303D" w14:textId="3A38BF21" w:rsidR="00FE3163" w:rsidRDefault="0056341E" w:rsidP="0056341E">
            <w:pPr>
              <w:autoSpaceDE w:val="0"/>
              <w:autoSpaceDN w:val="0"/>
              <w:adjustRightInd w:val="0"/>
              <w:spacing w:after="240"/>
              <w:rPr>
                <w:rFonts w:eastAsia="Calibri"/>
                <w:iCs/>
              </w:rPr>
            </w:pPr>
            <w:r>
              <w:rPr>
                <w:rFonts w:eastAsia="Calibri"/>
                <w:iCs/>
              </w:rPr>
              <w:t xml:space="preserve">Medication review services are intended to </w:t>
            </w:r>
            <w:r w:rsidRPr="0056341E">
              <w:rPr>
                <w:rFonts w:eastAsia="Calibri"/>
                <w:iCs/>
              </w:rPr>
              <w:t>support the quality use of medicines and reduce</w:t>
            </w:r>
            <w:r>
              <w:rPr>
                <w:rFonts w:eastAsia="Calibri"/>
                <w:iCs/>
              </w:rPr>
              <w:t xml:space="preserve"> </w:t>
            </w:r>
            <w:r w:rsidRPr="0056341E">
              <w:rPr>
                <w:rFonts w:eastAsia="Calibri"/>
                <w:iCs/>
              </w:rPr>
              <w:t xml:space="preserve">medication misadventure, by assisting </w:t>
            </w:r>
            <w:r w:rsidR="0073302C">
              <w:rPr>
                <w:rFonts w:eastAsia="Calibri"/>
                <w:iCs/>
              </w:rPr>
              <w:t>p</w:t>
            </w:r>
            <w:r w:rsidRPr="0056341E">
              <w:rPr>
                <w:rFonts w:eastAsia="Calibri"/>
                <w:iCs/>
              </w:rPr>
              <w:t>atients to better manage and understand their medicines</w:t>
            </w:r>
            <w:r>
              <w:rPr>
                <w:rFonts w:eastAsia="Calibri"/>
                <w:iCs/>
              </w:rPr>
              <w:t xml:space="preserve">. There are different types of medication review services that are publicly funded through </w:t>
            </w:r>
            <w:r w:rsidR="00FE3163">
              <w:rPr>
                <w:rFonts w:eastAsia="Calibri"/>
                <w:iCs/>
              </w:rPr>
              <w:t>a</w:t>
            </w:r>
            <w:r>
              <w:rPr>
                <w:rFonts w:eastAsia="Calibri"/>
                <w:iCs/>
              </w:rPr>
              <w:t xml:space="preserve"> </w:t>
            </w:r>
            <w:hyperlink r:id="rId9" w:history="1">
              <w:r w:rsidRPr="00FE3163">
                <w:rPr>
                  <w:rStyle w:val="Hyperlink"/>
                  <w:rFonts w:eastAsia="Calibri"/>
                  <w:iCs/>
                </w:rPr>
                <w:t>Community Pharmacy Agreement</w:t>
              </w:r>
            </w:hyperlink>
            <w:r>
              <w:rPr>
                <w:rFonts w:eastAsia="Calibri"/>
                <w:iCs/>
              </w:rPr>
              <w:t xml:space="preserve"> between the Commonwealth Government, Pharmacy Guild of Australia and the Pharmaceutical Society of Australia. </w:t>
            </w:r>
            <w:r w:rsidR="00FE3163">
              <w:rPr>
                <w:rFonts w:eastAsia="Calibri"/>
                <w:iCs/>
              </w:rPr>
              <w:t xml:space="preserve">This includes the </w:t>
            </w:r>
            <w:hyperlink r:id="rId10" w:history="1">
              <w:r w:rsidR="00FE3163" w:rsidRPr="00FE3163">
                <w:rPr>
                  <w:rStyle w:val="Hyperlink"/>
                  <w:rFonts w:eastAsia="Calibri"/>
                  <w:iCs/>
                </w:rPr>
                <w:t>Home Medicine Review</w:t>
              </w:r>
            </w:hyperlink>
            <w:r w:rsidR="00FE3163">
              <w:rPr>
                <w:rFonts w:eastAsia="Calibri"/>
                <w:iCs/>
              </w:rPr>
              <w:t xml:space="preserve">, </w:t>
            </w:r>
            <w:hyperlink r:id="rId11" w:history="1">
              <w:r w:rsidR="00FE3163" w:rsidRPr="00FE3163">
                <w:rPr>
                  <w:rStyle w:val="Hyperlink"/>
                  <w:rFonts w:eastAsia="Calibri"/>
                  <w:iCs/>
                </w:rPr>
                <w:t>Residential Medication Management Review</w:t>
              </w:r>
            </w:hyperlink>
            <w:r w:rsidR="00FE3163">
              <w:rPr>
                <w:rFonts w:eastAsia="Calibri"/>
                <w:iCs/>
              </w:rPr>
              <w:t xml:space="preserve">, </w:t>
            </w:r>
            <w:hyperlink r:id="rId12" w:history="1">
              <w:r w:rsidR="00FE3163" w:rsidRPr="00FE3163">
                <w:rPr>
                  <w:rStyle w:val="Hyperlink"/>
                  <w:rFonts w:eastAsia="Calibri"/>
                  <w:iCs/>
                </w:rPr>
                <w:t>MedsCheck and Diabetes MedsCheck</w:t>
              </w:r>
            </w:hyperlink>
            <w:r w:rsidR="00FE3163">
              <w:rPr>
                <w:rFonts w:eastAsia="Calibri"/>
                <w:iCs/>
              </w:rPr>
              <w:t xml:space="preserve">. </w:t>
            </w:r>
          </w:p>
          <w:p w14:paraId="7B072C15" w14:textId="65A6D9E3" w:rsidR="00FE3163" w:rsidRDefault="00FE3163" w:rsidP="0056341E">
            <w:pPr>
              <w:autoSpaceDE w:val="0"/>
              <w:autoSpaceDN w:val="0"/>
              <w:adjustRightInd w:val="0"/>
              <w:spacing w:after="240"/>
              <w:rPr>
                <w:rFonts w:eastAsia="Calibri"/>
                <w:iCs/>
              </w:rPr>
            </w:pPr>
            <w:r>
              <w:rPr>
                <w:rFonts w:eastAsia="Calibri"/>
                <w:iCs/>
              </w:rPr>
              <w:t xml:space="preserve">The IMeRSe </w:t>
            </w:r>
            <w:r w:rsidR="00EE6741">
              <w:rPr>
                <w:rFonts w:eastAsia="Calibri"/>
                <w:iCs/>
              </w:rPr>
              <w:t xml:space="preserve">study </w:t>
            </w:r>
            <w:r>
              <w:rPr>
                <w:rFonts w:eastAsia="Calibri"/>
                <w:iCs/>
              </w:rPr>
              <w:t>was specifically co-designed</w:t>
            </w:r>
            <w:r w:rsidR="00EE6741">
              <w:rPr>
                <w:rFonts w:eastAsia="Calibri"/>
                <w:iCs/>
              </w:rPr>
              <w:t xml:space="preserve"> through a</w:t>
            </w:r>
            <w:r>
              <w:rPr>
                <w:rFonts w:eastAsia="Calibri"/>
                <w:iCs/>
              </w:rPr>
              <w:t xml:space="preserve"> partnership </w:t>
            </w:r>
            <w:r w:rsidR="00EE6741">
              <w:rPr>
                <w:rFonts w:eastAsia="Calibri"/>
                <w:iCs/>
              </w:rPr>
              <w:t>between</w:t>
            </w:r>
            <w:r>
              <w:rPr>
                <w:rFonts w:eastAsia="Calibri"/>
                <w:iCs/>
              </w:rPr>
              <w:t xml:space="preserve"> the PGA and the </w:t>
            </w:r>
            <w:r w:rsidRPr="00FE3163">
              <w:rPr>
                <w:rFonts w:eastAsia="Calibri"/>
                <w:iCs/>
              </w:rPr>
              <w:t>National Aboriginal Community Controlled Health Organisation (NACCHO)</w:t>
            </w:r>
            <w:r>
              <w:rPr>
                <w:rFonts w:eastAsia="Calibri"/>
                <w:iCs/>
              </w:rPr>
              <w:t xml:space="preserve"> </w:t>
            </w:r>
            <w:r w:rsidRPr="00FE3163">
              <w:rPr>
                <w:rFonts w:eastAsia="Calibri"/>
                <w:iCs/>
              </w:rPr>
              <w:t xml:space="preserve">to be a culturally responsive medication review service, delivered </w:t>
            </w:r>
            <w:r w:rsidR="00EE6741">
              <w:rPr>
                <w:rFonts w:eastAsia="Calibri"/>
                <w:iCs/>
              </w:rPr>
              <w:t>by</w:t>
            </w:r>
            <w:r w:rsidRPr="00FE3163">
              <w:rPr>
                <w:rFonts w:eastAsia="Calibri"/>
                <w:iCs/>
              </w:rPr>
              <w:t xml:space="preserve"> community pharmacists in conjunction with local Aboriginal Health Services (AHSs) staff, to address an important gap in the health services delivered to Aboriginal and Torres Strait Islander patients. </w:t>
            </w:r>
          </w:p>
          <w:p w14:paraId="45C401D4" w14:textId="61FB240D" w:rsidR="0000238C" w:rsidRPr="001763F0" w:rsidRDefault="00FE3163" w:rsidP="00212CDB">
            <w:pPr>
              <w:autoSpaceDE w:val="0"/>
              <w:autoSpaceDN w:val="0"/>
              <w:adjustRightInd w:val="0"/>
              <w:spacing w:after="240"/>
              <w:rPr>
                <w:rFonts w:eastAsia="Calibri"/>
                <w:iCs/>
              </w:rPr>
            </w:pPr>
            <w:r>
              <w:rPr>
                <w:rFonts w:eastAsia="Calibri"/>
                <w:iCs/>
              </w:rPr>
              <w:t>MSAC noted</w:t>
            </w:r>
            <w:r w:rsidR="0000238C" w:rsidRPr="0000238C">
              <w:rPr>
                <w:rFonts w:eastAsia="Calibri"/>
                <w:iCs/>
              </w:rPr>
              <w:t xml:space="preserve"> </w:t>
            </w:r>
            <w:r w:rsidR="0073302C">
              <w:rPr>
                <w:rFonts w:eastAsia="Calibri"/>
                <w:iCs/>
              </w:rPr>
              <w:t xml:space="preserve">a single, </w:t>
            </w:r>
            <w:r w:rsidR="0000238C" w:rsidRPr="0000238C">
              <w:rPr>
                <w:rFonts w:eastAsia="Calibri"/>
                <w:iCs/>
              </w:rPr>
              <w:t xml:space="preserve">small </w:t>
            </w:r>
            <w:r>
              <w:rPr>
                <w:rFonts w:eastAsia="Calibri"/>
                <w:iCs/>
              </w:rPr>
              <w:t xml:space="preserve">feasibility </w:t>
            </w:r>
            <w:r w:rsidR="0000238C" w:rsidRPr="0000238C">
              <w:rPr>
                <w:rFonts w:eastAsia="Calibri"/>
                <w:iCs/>
              </w:rPr>
              <w:t xml:space="preserve">study </w:t>
            </w:r>
            <w:r>
              <w:rPr>
                <w:rFonts w:eastAsia="Calibri"/>
                <w:iCs/>
              </w:rPr>
              <w:t xml:space="preserve">tested </w:t>
            </w:r>
            <w:r w:rsidR="00212CDB">
              <w:rPr>
                <w:rFonts w:eastAsia="Calibri"/>
                <w:iCs/>
              </w:rPr>
              <w:t xml:space="preserve">whether </w:t>
            </w:r>
            <w:r w:rsidR="0000238C" w:rsidRPr="0000238C">
              <w:rPr>
                <w:rFonts w:eastAsia="Calibri"/>
                <w:iCs/>
              </w:rPr>
              <w:t xml:space="preserve">this service could be provided in a safe, clinically effective </w:t>
            </w:r>
            <w:r w:rsidR="0000238C" w:rsidRPr="001763F0">
              <w:rPr>
                <w:rFonts w:eastAsia="Calibri"/>
                <w:iCs/>
              </w:rPr>
              <w:t xml:space="preserve">and cost-effective manner. </w:t>
            </w:r>
            <w:r w:rsidR="00212CDB" w:rsidRPr="001763F0">
              <w:rPr>
                <w:rFonts w:eastAsia="Calibri"/>
                <w:iCs/>
              </w:rPr>
              <w:t>The study found that IMeRSe led to improvements in</w:t>
            </w:r>
            <w:r w:rsidR="0000238C" w:rsidRPr="001763F0">
              <w:rPr>
                <w:rFonts w:eastAsia="Calibri"/>
                <w:iCs/>
              </w:rPr>
              <w:t xml:space="preserve"> patient concern with their medicines, medication adherence, growth and empowerment, and treatment satisfaction after participating in the program. However, </w:t>
            </w:r>
            <w:r w:rsidR="00212CDB" w:rsidRPr="001763F0">
              <w:rPr>
                <w:rFonts w:eastAsia="Calibri"/>
                <w:iCs/>
              </w:rPr>
              <w:t>the study reported that IMeRSe did not result in a change (reduction) in</w:t>
            </w:r>
            <w:r w:rsidR="0000238C" w:rsidRPr="001763F0">
              <w:rPr>
                <w:rFonts w:eastAsia="Calibri"/>
                <w:iCs/>
              </w:rPr>
              <w:t xml:space="preserve"> potentially preventable medication-related hospitalisations</w:t>
            </w:r>
            <w:r w:rsidR="00212CDB" w:rsidRPr="001763F0">
              <w:rPr>
                <w:rFonts w:eastAsia="Calibri"/>
                <w:iCs/>
              </w:rPr>
              <w:t xml:space="preserve"> or</w:t>
            </w:r>
            <w:r w:rsidR="0000238C" w:rsidRPr="001763F0">
              <w:rPr>
                <w:rFonts w:eastAsia="Calibri"/>
                <w:iCs/>
              </w:rPr>
              <w:t xml:space="preserve"> serious medication-related problems.</w:t>
            </w:r>
            <w:r w:rsidR="002337E6" w:rsidRPr="001763F0">
              <w:rPr>
                <w:rFonts w:eastAsia="Calibri"/>
                <w:iCs/>
              </w:rPr>
              <w:t xml:space="preserve"> </w:t>
            </w:r>
            <w:r w:rsidR="00705A85" w:rsidRPr="001763F0">
              <w:rPr>
                <w:rFonts w:eastAsia="Calibri"/>
                <w:iCs/>
              </w:rPr>
              <w:t>MSAC consider</w:t>
            </w:r>
            <w:r w:rsidR="00EE6741" w:rsidRPr="001763F0">
              <w:rPr>
                <w:rFonts w:eastAsia="Calibri"/>
                <w:iCs/>
              </w:rPr>
              <w:t>ed</w:t>
            </w:r>
            <w:r w:rsidR="00705A85" w:rsidRPr="001763F0">
              <w:rPr>
                <w:rFonts w:eastAsia="Calibri"/>
                <w:iCs/>
              </w:rPr>
              <w:t xml:space="preserve"> the clinical effectiveness was uncertain and as a result the cost-effectiveness of IMeRSe was uncertain.</w:t>
            </w:r>
          </w:p>
          <w:p w14:paraId="46EE0363" w14:textId="55994577" w:rsidR="002337E6" w:rsidRDefault="002337E6" w:rsidP="002337E6">
            <w:r w:rsidRPr="001763F0">
              <w:rPr>
                <w:rFonts w:eastAsia="Calibri"/>
                <w:iCs/>
              </w:rPr>
              <w:t>Further</w:t>
            </w:r>
            <w:r w:rsidR="00212CDB" w:rsidRPr="001763F0">
              <w:rPr>
                <w:rFonts w:eastAsia="Calibri"/>
                <w:iCs/>
              </w:rPr>
              <w:t xml:space="preserve">, MSAC </w:t>
            </w:r>
            <w:r w:rsidRPr="001763F0">
              <w:rPr>
                <w:rFonts w:eastAsia="Calibri"/>
                <w:iCs/>
              </w:rPr>
              <w:t>raised a number of concerns with the way IMeRSe was proposed to be implemented and was concerned that IMeRSe would not be implemented in a way that</w:t>
            </w:r>
            <w:r>
              <w:rPr>
                <w:rFonts w:eastAsia="Calibri"/>
                <w:iCs/>
              </w:rPr>
              <w:t xml:space="preserve"> would provide </w:t>
            </w:r>
            <w:r w:rsidR="0073302C">
              <w:rPr>
                <w:rFonts w:eastAsia="Calibri"/>
                <w:iCs/>
              </w:rPr>
              <w:t xml:space="preserve">a </w:t>
            </w:r>
            <w:r>
              <w:t xml:space="preserve">coordinated and integrated multidisciplinary medication review service for </w:t>
            </w:r>
            <w:r w:rsidR="00EE6741">
              <w:t>Aboriginal and Torres Strait Islander peoples</w:t>
            </w:r>
            <w:r>
              <w:t xml:space="preserve">. </w:t>
            </w:r>
          </w:p>
          <w:p w14:paraId="023BE589" w14:textId="14F02F40" w:rsidR="00705A85" w:rsidRDefault="00705A85" w:rsidP="0000238C">
            <w:pPr>
              <w:autoSpaceDE w:val="0"/>
              <w:autoSpaceDN w:val="0"/>
              <w:adjustRightInd w:val="0"/>
              <w:spacing w:after="240"/>
              <w:rPr>
                <w:rFonts w:eastAsia="Calibri"/>
                <w:iCs/>
              </w:rPr>
            </w:pPr>
            <w:r>
              <w:t xml:space="preserve">Overall, MSAC did not support MBS listing and funding for IMeRSe. However, MSAC </w:t>
            </w:r>
            <w:r w:rsidRPr="00705A85">
              <w:t xml:space="preserve">considered that there is an unquestionable clinical need for better culturally aware and culturally safe </w:t>
            </w:r>
            <w:r>
              <w:t>medication review</w:t>
            </w:r>
            <w:r w:rsidRPr="00705A85">
              <w:t xml:space="preserve"> services that are delivered to </w:t>
            </w:r>
            <w:r w:rsidR="00EE6741">
              <w:t xml:space="preserve">Aboriginal and Torres Strait Islander </w:t>
            </w:r>
            <w:r w:rsidR="00093F4F">
              <w:t xml:space="preserve">peoples </w:t>
            </w:r>
            <w:r w:rsidR="00093F4F" w:rsidRPr="00705A85">
              <w:t>using</w:t>
            </w:r>
            <w:r w:rsidRPr="00705A85">
              <w:t xml:space="preserve"> an integrated and collaborative multidisciplinary model of care.</w:t>
            </w:r>
            <w:r>
              <w:t xml:space="preserve"> </w:t>
            </w:r>
            <w:r w:rsidRPr="0000238C">
              <w:rPr>
                <w:bCs/>
              </w:rPr>
              <w:t>MSAC suggested the Department could consider reforms to existing Pharmacy Programs, with a focus on improving access</w:t>
            </w:r>
            <w:r w:rsidR="00F36E75">
              <w:rPr>
                <w:bCs/>
              </w:rPr>
              <w:t>,</w:t>
            </w:r>
            <w:r w:rsidR="009332A5">
              <w:rPr>
                <w:bCs/>
              </w:rPr>
              <w:t xml:space="preserve"> applicability</w:t>
            </w:r>
            <w:r w:rsidR="00F36E75">
              <w:rPr>
                <w:bCs/>
              </w:rPr>
              <w:t xml:space="preserve"> and cultural safety</w:t>
            </w:r>
            <w:r w:rsidR="009332A5">
              <w:rPr>
                <w:bCs/>
              </w:rPr>
              <w:t xml:space="preserve"> of </w:t>
            </w:r>
            <w:r w:rsidRPr="0000238C">
              <w:rPr>
                <w:bCs/>
              </w:rPr>
              <w:t xml:space="preserve">these programs for </w:t>
            </w:r>
            <w:r w:rsidR="00EE6741">
              <w:rPr>
                <w:bCs/>
              </w:rPr>
              <w:t>Aboriginal and Torres Strait Islander peoples</w:t>
            </w:r>
            <w:r w:rsidRPr="0000238C">
              <w:rPr>
                <w:bCs/>
              </w:rPr>
              <w:t>.</w:t>
            </w:r>
          </w:p>
          <w:p w14:paraId="56787B36" w14:textId="0013B774" w:rsidR="0000238C" w:rsidRPr="001763F0" w:rsidRDefault="0000238C" w:rsidP="0000238C">
            <w:pPr>
              <w:autoSpaceDE w:val="0"/>
              <w:autoSpaceDN w:val="0"/>
              <w:adjustRightInd w:val="0"/>
              <w:spacing w:after="240"/>
              <w:rPr>
                <w:rFonts w:eastAsia="Calibri"/>
                <w:b/>
                <w:bCs/>
                <w:iCs/>
              </w:rPr>
            </w:pPr>
            <w:bookmarkStart w:id="3" w:name="_Hlk89728710"/>
            <w:r w:rsidRPr="001763F0">
              <w:rPr>
                <w:rFonts w:eastAsia="Calibri"/>
                <w:b/>
                <w:bCs/>
                <w:iCs/>
              </w:rPr>
              <w:t>MSAC’s advice to the Commonwealth Minister for Health</w:t>
            </w:r>
          </w:p>
          <w:bookmarkEnd w:id="3"/>
          <w:p w14:paraId="541ABD7A" w14:textId="27223996" w:rsidR="002F7BCB" w:rsidRPr="00EA5B5B" w:rsidRDefault="0000238C" w:rsidP="002F7BCB">
            <w:pPr>
              <w:autoSpaceDE w:val="0"/>
              <w:autoSpaceDN w:val="0"/>
              <w:adjustRightInd w:val="0"/>
              <w:spacing w:after="240"/>
              <w:rPr>
                <w:rFonts w:eastAsia="Calibri"/>
                <w:iCs/>
              </w:rPr>
            </w:pPr>
            <w:r w:rsidRPr="001763F0">
              <w:rPr>
                <w:rFonts w:eastAsia="Calibri"/>
                <w:iCs/>
              </w:rPr>
              <w:t xml:space="preserve">After considering the strength of the available evidence in relation to comparative safety, clinical effectiveness and cost-effectiveness, MSAC did not support MBS funding of an </w:t>
            </w:r>
            <w:r w:rsidR="00705A85" w:rsidRPr="001763F0">
              <w:rPr>
                <w:rFonts w:eastAsia="Calibri"/>
                <w:iCs/>
              </w:rPr>
              <w:t>IMeRSe</w:t>
            </w:r>
            <w:r w:rsidRPr="001763F0">
              <w:rPr>
                <w:rFonts w:eastAsia="Calibri"/>
                <w:iCs/>
              </w:rPr>
              <w:t xml:space="preserve"> for </w:t>
            </w:r>
            <w:r w:rsidR="00EE6741" w:rsidRPr="001763F0">
              <w:rPr>
                <w:rFonts w:eastAsia="Calibri"/>
                <w:iCs/>
              </w:rPr>
              <w:t>Aboriginal and Torres Strait Islander peoples</w:t>
            </w:r>
            <w:r w:rsidRPr="001763F0">
              <w:rPr>
                <w:rFonts w:eastAsia="Calibri"/>
                <w:iCs/>
              </w:rPr>
              <w:t xml:space="preserve"> with potential for medication-related problems. </w:t>
            </w:r>
            <w:r w:rsidR="00705A85" w:rsidRPr="001763F0">
              <w:rPr>
                <w:rFonts w:eastAsia="Calibri"/>
                <w:iCs/>
              </w:rPr>
              <w:t xml:space="preserve">MSAC considered that there was a need for </w:t>
            </w:r>
            <w:r w:rsidR="00705A85" w:rsidRPr="001763F0">
              <w:t>better culturally aware and culturally safe medication review services</w:t>
            </w:r>
            <w:r w:rsidR="00705A85" w:rsidRPr="001763F0">
              <w:rPr>
                <w:rFonts w:eastAsia="Calibri"/>
                <w:iCs/>
              </w:rPr>
              <w:t xml:space="preserve"> and suggested the Department could consider reforms to existing Pharmacy Programs, with</w:t>
            </w:r>
            <w:r w:rsidR="00705A85" w:rsidRPr="00705A85">
              <w:rPr>
                <w:rFonts w:eastAsia="Calibri"/>
                <w:iCs/>
              </w:rPr>
              <w:t xml:space="preserve"> a focus on improving access</w:t>
            </w:r>
            <w:r w:rsidR="00F36E75">
              <w:rPr>
                <w:rFonts w:eastAsia="Calibri"/>
                <w:iCs/>
              </w:rPr>
              <w:t xml:space="preserve">, </w:t>
            </w:r>
            <w:r w:rsidR="009332A5">
              <w:rPr>
                <w:rFonts w:eastAsia="Calibri"/>
                <w:iCs/>
              </w:rPr>
              <w:t>applicability</w:t>
            </w:r>
            <w:r w:rsidR="00F36E75">
              <w:rPr>
                <w:rFonts w:eastAsia="Calibri"/>
                <w:iCs/>
              </w:rPr>
              <w:t xml:space="preserve"> and cultural safety</w:t>
            </w:r>
            <w:r w:rsidR="009332A5">
              <w:rPr>
                <w:rFonts w:eastAsia="Calibri"/>
                <w:iCs/>
              </w:rPr>
              <w:t xml:space="preserve"> of </w:t>
            </w:r>
            <w:r w:rsidR="00705A85" w:rsidRPr="00705A85">
              <w:rPr>
                <w:rFonts w:eastAsia="Calibri"/>
                <w:iCs/>
              </w:rPr>
              <w:t xml:space="preserve">these programs for </w:t>
            </w:r>
            <w:r w:rsidR="00EE6741">
              <w:rPr>
                <w:rFonts w:eastAsia="Calibri"/>
                <w:iCs/>
              </w:rPr>
              <w:t>Aboriginal and Torres Strait Islander peoples</w:t>
            </w:r>
            <w:r w:rsidR="00705A85" w:rsidRPr="00705A85">
              <w:rPr>
                <w:rFonts w:eastAsia="Calibri"/>
                <w:iCs/>
              </w:rPr>
              <w:t>.</w:t>
            </w:r>
          </w:p>
        </w:tc>
      </w:tr>
    </w:tbl>
    <w:p w14:paraId="08EA14A1" w14:textId="1EB889B4" w:rsidR="00E11EEF" w:rsidRDefault="002F7BCB" w:rsidP="002A18BE">
      <w:pPr>
        <w:pStyle w:val="Heading2"/>
        <w:numPr>
          <w:ilvl w:val="0"/>
          <w:numId w:val="0"/>
        </w:numPr>
      </w:pPr>
      <w:bookmarkStart w:id="4" w:name="_Toc69491416"/>
      <w:bookmarkEnd w:id="1"/>
      <w:r>
        <w:lastRenderedPageBreak/>
        <w:t>3</w:t>
      </w:r>
      <w:r w:rsidR="00C36633">
        <w:t>.</w:t>
      </w:r>
      <w:r w:rsidR="00C36633">
        <w:tab/>
      </w:r>
      <w:r w:rsidR="00E11EEF" w:rsidRPr="00E11EEF">
        <w:t>Summary of consideration and rationale for MSAC’s advice</w:t>
      </w:r>
    </w:p>
    <w:p w14:paraId="2B828B96" w14:textId="31C5CD25" w:rsidR="0000238C" w:rsidRDefault="0000238C" w:rsidP="0000238C">
      <w:r>
        <w:t>MSAC noted th</w:t>
      </w:r>
      <w:r w:rsidR="000C3057">
        <w:t>e</w:t>
      </w:r>
      <w:r>
        <w:t xml:space="preserve"> application </w:t>
      </w:r>
      <w:r w:rsidR="00B03B15">
        <w:t xml:space="preserve">was </w:t>
      </w:r>
      <w:r>
        <w:t xml:space="preserve">from the Pharmacy Guild of Australia (PGA) requesting MBS listing and public funding of IMeRSe for </w:t>
      </w:r>
      <w:r w:rsidR="00EE6741">
        <w:t xml:space="preserve">Aboriginal and Torres Strait Islander </w:t>
      </w:r>
      <w:r w:rsidR="00BB7116">
        <w:t>peoples with</w:t>
      </w:r>
      <w:r>
        <w:t xml:space="preserve"> potential for MRPs.</w:t>
      </w:r>
    </w:p>
    <w:p w14:paraId="07C51AF3" w14:textId="1EF0FAEC" w:rsidR="00267D7D" w:rsidRPr="000432C8" w:rsidRDefault="00267D7D" w:rsidP="00267D7D">
      <w:pPr>
        <w:rPr>
          <w:rFonts w:cs="Times New Roman"/>
        </w:rPr>
      </w:pPr>
      <w:r w:rsidRPr="000432C8">
        <w:rPr>
          <w:rFonts w:cs="Times New Roman"/>
        </w:rPr>
        <w:t xml:space="preserve">MSAC noted that </w:t>
      </w:r>
      <w:r w:rsidR="001B2FD7" w:rsidRPr="000432C8">
        <w:rPr>
          <w:rFonts w:cs="Times New Roman"/>
        </w:rPr>
        <w:t xml:space="preserve">medication management reviews </w:t>
      </w:r>
      <w:r w:rsidR="00B03B15">
        <w:rPr>
          <w:rFonts w:cs="Times New Roman"/>
        </w:rPr>
        <w:t xml:space="preserve">(MMR) </w:t>
      </w:r>
      <w:r w:rsidR="001B2FD7" w:rsidRPr="000432C8">
        <w:rPr>
          <w:rFonts w:cs="Times New Roman"/>
        </w:rPr>
        <w:t xml:space="preserve">for all Australians are currently funded under the </w:t>
      </w:r>
      <w:r w:rsidR="0023703C" w:rsidRPr="000432C8">
        <w:rPr>
          <w:rFonts w:cs="Times New Roman"/>
        </w:rPr>
        <w:t>Seventh</w:t>
      </w:r>
      <w:r w:rsidR="001B2FD7" w:rsidRPr="000432C8">
        <w:rPr>
          <w:rFonts w:cs="Times New Roman"/>
        </w:rPr>
        <w:t xml:space="preserve"> Community Pharmacy Agreement (</w:t>
      </w:r>
      <w:r w:rsidR="0023703C" w:rsidRPr="000432C8">
        <w:rPr>
          <w:rFonts w:cs="Times New Roman"/>
        </w:rPr>
        <w:t>7</w:t>
      </w:r>
      <w:r w:rsidR="001B2FD7" w:rsidRPr="000432C8">
        <w:rPr>
          <w:rFonts w:cs="Times New Roman"/>
        </w:rPr>
        <w:t>CPA) MMR programs: the Home Medic</w:t>
      </w:r>
      <w:r w:rsidR="00EE6741">
        <w:rPr>
          <w:rFonts w:cs="Times New Roman"/>
        </w:rPr>
        <w:t>ines</w:t>
      </w:r>
      <w:r w:rsidR="001B2FD7" w:rsidRPr="000432C8">
        <w:rPr>
          <w:rFonts w:cs="Times New Roman"/>
        </w:rPr>
        <w:t xml:space="preserve"> Review (HMR) program, the Residential Medication Management Review (RMMR) program, and the MedsCheck and Diabetes MedsCheck programs. MSAC recalled that in 2017 it had </w:t>
      </w:r>
      <w:r w:rsidRPr="000432C8">
        <w:rPr>
          <w:rFonts w:cs="Times New Roman"/>
        </w:rPr>
        <w:t xml:space="preserve">appraised </w:t>
      </w:r>
      <w:r w:rsidR="001B2FD7" w:rsidRPr="000432C8">
        <w:rPr>
          <w:rFonts w:cs="Times New Roman"/>
        </w:rPr>
        <w:t xml:space="preserve">the MMR programs </w:t>
      </w:r>
      <w:r w:rsidRPr="000432C8">
        <w:rPr>
          <w:rFonts w:cs="Times New Roman"/>
        </w:rPr>
        <w:t xml:space="preserve">and </w:t>
      </w:r>
      <w:r w:rsidR="001B2FD7" w:rsidRPr="000432C8">
        <w:rPr>
          <w:rFonts w:cs="Times New Roman"/>
        </w:rPr>
        <w:t xml:space="preserve">at that time </w:t>
      </w:r>
      <w:r w:rsidRPr="000432C8">
        <w:rPr>
          <w:rFonts w:cs="Times New Roman"/>
        </w:rPr>
        <w:t xml:space="preserve">considered </w:t>
      </w:r>
      <w:r w:rsidR="001B2FD7" w:rsidRPr="000432C8">
        <w:rPr>
          <w:rFonts w:cs="Times New Roman"/>
        </w:rPr>
        <w:t xml:space="preserve">there was </w:t>
      </w:r>
      <w:r w:rsidRPr="000432C8">
        <w:rPr>
          <w:rFonts w:cs="Times New Roman"/>
        </w:rPr>
        <w:t xml:space="preserve">insufficient evidence </w:t>
      </w:r>
      <w:r w:rsidR="0042717B" w:rsidRPr="000432C8">
        <w:rPr>
          <w:rFonts w:cs="Times New Roman"/>
        </w:rPr>
        <w:t xml:space="preserve">to </w:t>
      </w:r>
      <w:r w:rsidR="0042717B" w:rsidRPr="000432C8">
        <w:rPr>
          <w:rFonts w:cs="Times New Roman"/>
        </w:rPr>
        <w:lastRenderedPageBreak/>
        <w:t xml:space="preserve">determine the </w:t>
      </w:r>
      <w:r w:rsidRPr="000432C8">
        <w:rPr>
          <w:rFonts w:cs="Times New Roman"/>
        </w:rPr>
        <w:t xml:space="preserve">clinical and cost-effectiveness </w:t>
      </w:r>
      <w:r w:rsidR="0042717B" w:rsidRPr="000432C8">
        <w:rPr>
          <w:rFonts w:cs="Times New Roman"/>
        </w:rPr>
        <w:t xml:space="preserve">of the </w:t>
      </w:r>
      <w:r w:rsidRPr="000432C8">
        <w:rPr>
          <w:rFonts w:cs="Times New Roman"/>
        </w:rPr>
        <w:t>MMR program</w:t>
      </w:r>
      <w:r w:rsidR="0042717B" w:rsidRPr="000432C8">
        <w:rPr>
          <w:rFonts w:cs="Times New Roman"/>
        </w:rPr>
        <w:t>s</w:t>
      </w:r>
      <w:r w:rsidRPr="000432C8">
        <w:rPr>
          <w:rFonts w:cs="Times New Roman"/>
        </w:rPr>
        <w:t xml:space="preserve">. MSAC </w:t>
      </w:r>
      <w:r w:rsidR="001B2FD7" w:rsidRPr="000432C8">
        <w:rPr>
          <w:rFonts w:cs="Times New Roman"/>
        </w:rPr>
        <w:t xml:space="preserve">also recalled it had considered </w:t>
      </w:r>
      <w:r w:rsidRPr="000432C8">
        <w:rPr>
          <w:rFonts w:cs="Times New Roman"/>
        </w:rPr>
        <w:t>that the design of these pharmacy service programs could be improved by including formal collaboration with General Practitioners (GPs), by being targeted to appropriate patient populations,</w:t>
      </w:r>
      <w:r w:rsidRPr="000432C8">
        <w:t xml:space="preserve"> </w:t>
      </w:r>
      <w:r w:rsidRPr="000432C8">
        <w:rPr>
          <w:rFonts w:cs="Times New Roman"/>
        </w:rPr>
        <w:t>and by a reduction in the unit cost of providing each pharmacy service coupled with an incentive to increase this cost if adequate evidence can be furnished to justify it. Further enhancement of these programs might better justify the provision of continued funding of these services.</w:t>
      </w:r>
    </w:p>
    <w:p w14:paraId="175A7A6B" w14:textId="7BF675CF" w:rsidR="00070A2A" w:rsidRPr="000432C8" w:rsidRDefault="0023703C" w:rsidP="0000238C">
      <w:r w:rsidRPr="000432C8">
        <w:rPr>
          <w:rFonts w:cs="Times New Roman"/>
        </w:rPr>
        <w:t>M</w:t>
      </w:r>
      <w:r w:rsidR="001855AF" w:rsidRPr="000432C8">
        <w:t xml:space="preserve">SAC </w:t>
      </w:r>
      <w:r w:rsidR="001855AF" w:rsidRPr="000432C8">
        <w:rPr>
          <w:rFonts w:cs="Times New Roman"/>
        </w:rPr>
        <w:t xml:space="preserve">noted that </w:t>
      </w:r>
      <w:r w:rsidR="00862C0B">
        <w:rPr>
          <w:rFonts w:cs="Times New Roman"/>
        </w:rPr>
        <w:t xml:space="preserve">the </w:t>
      </w:r>
      <w:r w:rsidR="001855AF" w:rsidRPr="000432C8">
        <w:rPr>
          <w:rFonts w:cs="Times New Roman"/>
        </w:rPr>
        <w:t xml:space="preserve">IMeRSe </w:t>
      </w:r>
      <w:r w:rsidR="00EE6741">
        <w:rPr>
          <w:rFonts w:cs="Times New Roman"/>
        </w:rPr>
        <w:t xml:space="preserve">study </w:t>
      </w:r>
      <w:r w:rsidR="001855AF" w:rsidRPr="000432C8">
        <w:rPr>
          <w:rFonts w:cs="Times New Roman"/>
        </w:rPr>
        <w:t xml:space="preserve">was </w:t>
      </w:r>
      <w:r w:rsidR="003B600B" w:rsidRPr="000432C8">
        <w:rPr>
          <w:rFonts w:cs="Times New Roman"/>
        </w:rPr>
        <w:t>co-</w:t>
      </w:r>
      <w:r w:rsidR="001855AF" w:rsidRPr="000432C8">
        <w:rPr>
          <w:rFonts w:cs="Times New Roman"/>
        </w:rPr>
        <w:t xml:space="preserve">designed to be a culturally responsive medication review service for Aboriginal and Torres Strait Islander people, delivered </w:t>
      </w:r>
      <w:r w:rsidR="00EE6741">
        <w:rPr>
          <w:rFonts w:cs="Times New Roman"/>
        </w:rPr>
        <w:t>by</w:t>
      </w:r>
      <w:r w:rsidR="001855AF" w:rsidRPr="000432C8">
        <w:rPr>
          <w:rFonts w:cs="Times New Roman"/>
        </w:rPr>
        <w:t xml:space="preserve"> community pharmacists in conjunction with local Aboriginal Health Services (AHSs). </w:t>
      </w:r>
      <w:r w:rsidR="0042717B" w:rsidRPr="000432C8">
        <w:rPr>
          <w:rFonts w:cs="Times New Roman"/>
        </w:rPr>
        <w:t xml:space="preserve">The feasibility of delivering </w:t>
      </w:r>
      <w:r w:rsidR="00E46737" w:rsidRPr="000432C8">
        <w:rPr>
          <w:rFonts w:cs="Times New Roman"/>
        </w:rPr>
        <w:t>IMeRS</w:t>
      </w:r>
      <w:r w:rsidR="00EE6741">
        <w:rPr>
          <w:rFonts w:cs="Times New Roman"/>
        </w:rPr>
        <w:t>e</w:t>
      </w:r>
      <w:r w:rsidR="0042717B" w:rsidRPr="000432C8">
        <w:rPr>
          <w:rFonts w:cs="Times New Roman"/>
        </w:rPr>
        <w:t xml:space="preserve"> was tested in the IMeRSe Feasibility Study</w:t>
      </w:r>
      <w:r w:rsidR="00E46737" w:rsidRPr="000432C8">
        <w:rPr>
          <w:rFonts w:cs="Times New Roman"/>
        </w:rPr>
        <w:t xml:space="preserve">. </w:t>
      </w:r>
      <w:r w:rsidR="00B03B15">
        <w:rPr>
          <w:rFonts w:cs="Times New Roman"/>
        </w:rPr>
        <w:t>However, r</w:t>
      </w:r>
      <w:r w:rsidR="00E46737" w:rsidRPr="000432C8">
        <w:rPr>
          <w:rFonts w:cs="Times New Roman"/>
        </w:rPr>
        <w:t>ather than using the same model of funding as existing MMRs (i.e. under a Community Pharmacy Agreement), the applicant has proposed to</w:t>
      </w:r>
      <w:r w:rsidR="0042717B" w:rsidRPr="000432C8">
        <w:rPr>
          <w:rFonts w:cs="Times New Roman"/>
        </w:rPr>
        <w:t xml:space="preserve"> </w:t>
      </w:r>
      <w:r w:rsidR="00E46737" w:rsidRPr="000432C8">
        <w:rPr>
          <w:rFonts w:cs="Times New Roman"/>
        </w:rPr>
        <w:t xml:space="preserve">implement the IMeRSe </w:t>
      </w:r>
      <w:r w:rsidR="00EE6741">
        <w:rPr>
          <w:rFonts w:cs="Times New Roman"/>
        </w:rPr>
        <w:t xml:space="preserve">intervention </w:t>
      </w:r>
      <w:r w:rsidR="00E46737" w:rsidRPr="000432C8">
        <w:rPr>
          <w:rFonts w:cs="Times New Roman"/>
        </w:rPr>
        <w:t xml:space="preserve">by creating </w:t>
      </w:r>
      <w:r w:rsidR="0000238C" w:rsidRPr="000432C8">
        <w:t>three new MBS item descriptors: one for participating pharmacists (with two follow-ups), one for Aboriginal Health Workers (</w:t>
      </w:r>
      <w:r w:rsidR="00FA503A" w:rsidRPr="000432C8">
        <w:t xml:space="preserve">AHW, </w:t>
      </w:r>
      <w:r w:rsidR="0000238C" w:rsidRPr="000432C8">
        <w:t xml:space="preserve">with two follow-ups) and one for general practitioners (GPs). </w:t>
      </w:r>
    </w:p>
    <w:p w14:paraId="6B07FD4E" w14:textId="67080A01" w:rsidR="008D5CA6" w:rsidRDefault="00591835" w:rsidP="00320CEE">
      <w:r w:rsidRPr="000432C8">
        <w:rPr>
          <w:rFonts w:cs="Times New Roman"/>
        </w:rPr>
        <w:t xml:space="preserve">MSAC </w:t>
      </w:r>
      <w:r w:rsidRPr="001763F0">
        <w:rPr>
          <w:rFonts w:cs="Times New Roman"/>
        </w:rPr>
        <w:t>noted</w:t>
      </w:r>
      <w:r w:rsidR="00304D0E" w:rsidRPr="001763F0">
        <w:rPr>
          <w:rFonts w:cs="Times New Roman"/>
        </w:rPr>
        <w:t xml:space="preserve"> </w:t>
      </w:r>
      <w:r w:rsidRPr="001763F0">
        <w:rPr>
          <w:rFonts w:cs="Times New Roman"/>
        </w:rPr>
        <w:t>the implementation and item descriptor issues raised by ESC</w:t>
      </w:r>
      <w:r w:rsidR="00304D0E" w:rsidRPr="001763F0">
        <w:rPr>
          <w:rFonts w:cs="Times New Roman"/>
        </w:rPr>
        <w:t xml:space="preserve"> and agreed that consequently the proposed approach for implementing IMeRSe does not align with primary health reforms aiming to provide coordinated and integrated multidisciplinary health care.</w:t>
      </w:r>
      <w:r w:rsidR="00304D0E">
        <w:rPr>
          <w:rFonts w:cs="Times New Roman"/>
        </w:rPr>
        <w:t xml:space="preserve"> </w:t>
      </w:r>
      <w:r w:rsidR="00E46737" w:rsidRPr="000432C8">
        <w:rPr>
          <w:rFonts w:cs="Times New Roman"/>
        </w:rPr>
        <w:t xml:space="preserve">MSAC </w:t>
      </w:r>
      <w:r w:rsidR="00FA503A" w:rsidRPr="000432C8">
        <w:rPr>
          <w:rFonts w:cs="Times New Roman"/>
        </w:rPr>
        <w:t>acknowledged the expertise</w:t>
      </w:r>
      <w:r w:rsidR="00DF1C15">
        <w:rPr>
          <w:rFonts w:cs="Times New Roman"/>
        </w:rPr>
        <w:t xml:space="preserve">, </w:t>
      </w:r>
      <w:r w:rsidR="00FA503A" w:rsidRPr="000432C8">
        <w:rPr>
          <w:rFonts w:cs="Times New Roman"/>
        </w:rPr>
        <w:t>knowledge</w:t>
      </w:r>
      <w:r w:rsidR="00DF1C15">
        <w:rPr>
          <w:rFonts w:cs="Times New Roman"/>
        </w:rPr>
        <w:t xml:space="preserve"> and value of</w:t>
      </w:r>
      <w:r w:rsidR="00FA503A" w:rsidRPr="000432C8">
        <w:rPr>
          <w:rFonts w:cs="Times New Roman"/>
        </w:rPr>
        <w:t xml:space="preserve"> </w:t>
      </w:r>
      <w:r w:rsidR="0068280F">
        <w:rPr>
          <w:rFonts w:cs="Times New Roman"/>
        </w:rPr>
        <w:t xml:space="preserve">the </w:t>
      </w:r>
      <w:r w:rsidR="00FA503A" w:rsidRPr="000432C8">
        <w:rPr>
          <w:rFonts w:cs="Times New Roman"/>
        </w:rPr>
        <w:t>pharmacist</w:t>
      </w:r>
      <w:r w:rsidR="0068280F">
        <w:rPr>
          <w:rFonts w:cs="Times New Roman"/>
        </w:rPr>
        <w:t>’</w:t>
      </w:r>
      <w:r w:rsidR="00FA503A" w:rsidRPr="000432C8">
        <w:rPr>
          <w:rFonts w:cs="Times New Roman"/>
        </w:rPr>
        <w:t>s</w:t>
      </w:r>
      <w:r w:rsidR="00DF1C15" w:rsidRPr="00DF1C15">
        <w:rPr>
          <w:rFonts w:cs="Times New Roman"/>
        </w:rPr>
        <w:t xml:space="preserve"> </w:t>
      </w:r>
      <w:r w:rsidR="0068280F">
        <w:rPr>
          <w:rFonts w:cs="Times New Roman"/>
        </w:rPr>
        <w:t xml:space="preserve">role in </w:t>
      </w:r>
      <w:r w:rsidR="00DF1C15" w:rsidRPr="000432C8">
        <w:rPr>
          <w:rFonts w:cs="Times New Roman"/>
        </w:rPr>
        <w:t>provid</w:t>
      </w:r>
      <w:r w:rsidR="00DF1C15">
        <w:rPr>
          <w:rFonts w:cs="Times New Roman"/>
        </w:rPr>
        <w:t>ing</w:t>
      </w:r>
      <w:r w:rsidR="00DF1C15" w:rsidRPr="000432C8">
        <w:rPr>
          <w:rFonts w:cs="Times New Roman"/>
        </w:rPr>
        <w:t xml:space="preserve"> medication reviews</w:t>
      </w:r>
      <w:r w:rsidR="00FA503A" w:rsidRPr="000432C8">
        <w:rPr>
          <w:rFonts w:cs="Times New Roman"/>
        </w:rPr>
        <w:t xml:space="preserve">, </w:t>
      </w:r>
      <w:r>
        <w:rPr>
          <w:rFonts w:cs="Times New Roman"/>
        </w:rPr>
        <w:t>which is</w:t>
      </w:r>
      <w:r w:rsidR="00FA503A" w:rsidRPr="000432C8">
        <w:rPr>
          <w:rFonts w:cs="Times New Roman"/>
        </w:rPr>
        <w:t xml:space="preserve"> enhanced by</w:t>
      </w:r>
      <w:r w:rsidR="00DF1C15">
        <w:rPr>
          <w:rFonts w:cs="Times New Roman"/>
        </w:rPr>
        <w:t xml:space="preserve"> </w:t>
      </w:r>
      <w:r w:rsidR="00FA503A" w:rsidRPr="000432C8">
        <w:rPr>
          <w:rFonts w:cs="Times New Roman"/>
        </w:rPr>
        <w:t>training in medication review and cultural awareness and safety</w:t>
      </w:r>
      <w:r w:rsidRPr="00591835">
        <w:rPr>
          <w:rFonts w:cs="Times New Roman"/>
        </w:rPr>
        <w:t>. MSAC</w:t>
      </w:r>
      <w:r>
        <w:rPr>
          <w:rFonts w:cs="Times New Roman"/>
        </w:rPr>
        <w:t xml:space="preserve"> </w:t>
      </w:r>
      <w:r w:rsidR="0099242E">
        <w:rPr>
          <w:rFonts w:cs="Times New Roman"/>
        </w:rPr>
        <w:t xml:space="preserve">also </w:t>
      </w:r>
      <w:r w:rsidR="0068280F">
        <w:rPr>
          <w:rFonts w:cs="Times New Roman"/>
        </w:rPr>
        <w:t>agreed that</w:t>
      </w:r>
      <w:r w:rsidR="00FA503A" w:rsidRPr="000432C8">
        <w:rPr>
          <w:rFonts w:cs="Times New Roman"/>
        </w:rPr>
        <w:t xml:space="preserve"> </w:t>
      </w:r>
      <w:r w:rsidR="0068280F" w:rsidRPr="0068280F">
        <w:rPr>
          <w:rFonts w:cs="Times New Roman"/>
        </w:rPr>
        <w:t>involvement of an AHW is integral to IMeRSe</w:t>
      </w:r>
      <w:r w:rsidR="00FA503A" w:rsidRPr="000432C8">
        <w:rPr>
          <w:rFonts w:cs="Times New Roman"/>
        </w:rPr>
        <w:t xml:space="preserve">. </w:t>
      </w:r>
      <w:r w:rsidR="0099242E">
        <w:rPr>
          <w:rFonts w:cs="Times New Roman"/>
        </w:rPr>
        <w:t xml:space="preserve">However, </w:t>
      </w:r>
      <w:r w:rsidR="00320CEE">
        <w:rPr>
          <w:rFonts w:cs="Times New Roman"/>
        </w:rPr>
        <w:t>MSAC</w:t>
      </w:r>
      <w:r w:rsidR="006B3111">
        <w:rPr>
          <w:rFonts w:cs="Times New Roman"/>
        </w:rPr>
        <w:t xml:space="preserve"> noted </w:t>
      </w:r>
      <w:r w:rsidR="00767F8F">
        <w:rPr>
          <w:rFonts w:cs="Times New Roman"/>
        </w:rPr>
        <w:t>the</w:t>
      </w:r>
      <w:r w:rsidR="00320CEE">
        <w:rPr>
          <w:rFonts w:cs="Times New Roman"/>
        </w:rPr>
        <w:t xml:space="preserve"> p</w:t>
      </w:r>
      <w:r w:rsidR="00AB5B1F">
        <w:rPr>
          <w:rFonts w:cs="Times New Roman"/>
        </w:rPr>
        <w:t>roposed</w:t>
      </w:r>
      <w:r w:rsidR="00320CEE">
        <w:rPr>
          <w:rFonts w:cs="Times New Roman"/>
        </w:rPr>
        <w:t xml:space="preserve"> model for implementing IMeRSe does not incorporate</w:t>
      </w:r>
      <w:r w:rsidR="006B3111">
        <w:rPr>
          <w:rFonts w:cs="Times New Roman"/>
        </w:rPr>
        <w:t xml:space="preserve"> </w:t>
      </w:r>
      <w:r w:rsidR="0068280F">
        <w:rPr>
          <w:rFonts w:cs="Times New Roman"/>
        </w:rPr>
        <w:t>vital</w:t>
      </w:r>
      <w:r w:rsidR="006B3111">
        <w:rPr>
          <w:rFonts w:cs="Times New Roman"/>
        </w:rPr>
        <w:t xml:space="preserve"> activities </w:t>
      </w:r>
      <w:r w:rsidR="00320CEE">
        <w:rPr>
          <w:rFonts w:cs="Times New Roman"/>
        </w:rPr>
        <w:t xml:space="preserve">from IMeRSe </w:t>
      </w:r>
      <w:r w:rsidR="00320CEE" w:rsidRPr="001763F0">
        <w:rPr>
          <w:rFonts w:cs="Times New Roman"/>
        </w:rPr>
        <w:t xml:space="preserve">Feasibility Study </w:t>
      </w:r>
      <w:r w:rsidR="006B3111" w:rsidRPr="001763F0">
        <w:rPr>
          <w:rFonts w:cs="Times New Roman"/>
        </w:rPr>
        <w:t>that supported training, engagement and collaboration</w:t>
      </w:r>
      <w:r w:rsidR="00320CEE" w:rsidRPr="001763F0">
        <w:rPr>
          <w:rFonts w:cs="Times New Roman"/>
        </w:rPr>
        <w:t>.</w:t>
      </w:r>
      <w:r w:rsidR="0099242E" w:rsidRPr="001763F0">
        <w:t xml:space="preserve"> </w:t>
      </w:r>
      <w:r w:rsidR="00486DB8" w:rsidRPr="001763F0">
        <w:t xml:space="preserve">MSAC noted that the proposed implementation of IMeRSe does not require GP referral. </w:t>
      </w:r>
      <w:r w:rsidR="0099242E" w:rsidRPr="001763F0">
        <w:t xml:space="preserve">MSAC </w:t>
      </w:r>
      <w:r w:rsidR="00CE218F" w:rsidRPr="001763F0">
        <w:t xml:space="preserve">considered that flexibility in referral may reduce access barriers but </w:t>
      </w:r>
      <w:r w:rsidR="00B03B15" w:rsidRPr="001763F0">
        <w:t xml:space="preserve">agreed with ESC’s </w:t>
      </w:r>
      <w:r w:rsidR="00CE218F" w:rsidRPr="001763F0">
        <w:t>concern</w:t>
      </w:r>
      <w:r w:rsidR="00B03B15" w:rsidRPr="001763F0">
        <w:t xml:space="preserve">s </w:t>
      </w:r>
      <w:r w:rsidR="00CE218F" w:rsidRPr="001763F0">
        <w:t>there would be a</w:t>
      </w:r>
      <w:r w:rsidR="00AB5B1F" w:rsidRPr="001763F0">
        <w:t xml:space="preserve"> lack of engagement a</w:t>
      </w:r>
      <w:r w:rsidR="0099242E" w:rsidRPr="001763F0">
        <w:t>nd collaborat</w:t>
      </w:r>
      <w:r w:rsidR="00320CEE" w:rsidRPr="001763F0">
        <w:t xml:space="preserve">ion </w:t>
      </w:r>
      <w:r w:rsidR="0099242E" w:rsidRPr="001763F0">
        <w:t>with GPs</w:t>
      </w:r>
      <w:r w:rsidR="00F532B3" w:rsidRPr="001763F0">
        <w:t xml:space="preserve">. MSAC considered that </w:t>
      </w:r>
      <w:r w:rsidR="00486DB8" w:rsidRPr="001763F0">
        <w:t xml:space="preserve">without referral from and collaboration with a GP the pharmacist </w:t>
      </w:r>
      <w:r w:rsidR="00F532B3" w:rsidRPr="001763F0">
        <w:t xml:space="preserve">may not have the necessary information to understand prescribing intentions. </w:t>
      </w:r>
      <w:r w:rsidR="003B3A6E" w:rsidRPr="001763F0">
        <w:t xml:space="preserve">Furthermore, the lack </w:t>
      </w:r>
      <w:r w:rsidR="003E4432" w:rsidRPr="001763F0">
        <w:t>of referral could impede</w:t>
      </w:r>
      <w:r w:rsidR="006C1AC8" w:rsidRPr="001763F0">
        <w:t xml:space="preserve"> implementation of the</w:t>
      </w:r>
      <w:r w:rsidR="003E4432" w:rsidRPr="001763F0">
        <w:t xml:space="preserve"> actions required from the GP </w:t>
      </w:r>
      <w:r w:rsidR="006C1AC8" w:rsidRPr="001763F0">
        <w:t xml:space="preserve">that arise from the medication review. </w:t>
      </w:r>
      <w:r w:rsidR="00F532B3" w:rsidRPr="001763F0">
        <w:t xml:space="preserve">MSAC noted that the IMeRSe </w:t>
      </w:r>
      <w:r w:rsidR="009332A5" w:rsidRPr="001763F0">
        <w:t>Feasibility</w:t>
      </w:r>
      <w:r w:rsidR="00F532B3" w:rsidRPr="001763F0">
        <w:t xml:space="preserve"> Study relied on shared infrastructure and technology to create a shared clinical record that was accessed by the pharmacist</w:t>
      </w:r>
      <w:r w:rsidR="00BB7116" w:rsidRPr="001763F0">
        <w:t>.</w:t>
      </w:r>
      <w:r w:rsidR="00F532B3" w:rsidRPr="001763F0">
        <w:t xml:space="preserve"> </w:t>
      </w:r>
      <w:r w:rsidR="00BB7116" w:rsidRPr="001763F0">
        <w:t>This infrastructure and technology are not part of current clinical practice and it is unclear whether or how it would be used for implementation of IMeRSe</w:t>
      </w:r>
      <w:r w:rsidR="00F532B3" w:rsidRPr="001763F0">
        <w:t>. MSAC considered this could result in a suboptimal medication review</w:t>
      </w:r>
      <w:r w:rsidR="00CB5BE2" w:rsidRPr="001763F0">
        <w:t xml:space="preserve">, inefficient communication and reduced implementation of its </w:t>
      </w:r>
      <w:r w:rsidR="009332A5" w:rsidRPr="001763F0">
        <w:t>recommendations</w:t>
      </w:r>
      <w:r w:rsidR="00F532B3" w:rsidRPr="001763F0">
        <w:t>. MSAC also considered</w:t>
      </w:r>
      <w:r w:rsidR="00356C14" w:rsidRPr="001763F0">
        <w:t xml:space="preserve"> </w:t>
      </w:r>
      <w:r w:rsidR="006E02BE" w:rsidRPr="001763F0">
        <w:t xml:space="preserve">the proposed MBS fees need </w:t>
      </w:r>
      <w:r w:rsidR="00A00EBE" w:rsidRPr="001763F0">
        <w:t>to be comparable</w:t>
      </w:r>
      <w:r w:rsidR="006E02BE" w:rsidRPr="001763F0">
        <w:t xml:space="preserve"> to existing HMR service fees to avoid </w:t>
      </w:r>
      <w:r w:rsidR="00A00EBE" w:rsidRPr="001763F0">
        <w:t>disincentivising the referral process.</w:t>
      </w:r>
      <w:r w:rsidR="006E02BE" w:rsidRPr="001763F0">
        <w:t xml:space="preserve"> </w:t>
      </w:r>
      <w:r w:rsidR="00DF1C15" w:rsidRPr="001763F0">
        <w:t xml:space="preserve">Overall, MSAC considered that the proposed </w:t>
      </w:r>
      <w:r w:rsidR="00BE2545" w:rsidRPr="001763F0">
        <w:t xml:space="preserve">funding </w:t>
      </w:r>
      <w:r w:rsidR="00DF1C15" w:rsidRPr="001763F0">
        <w:t>model for IMeRSe would not lead to successful implementation of a</w:t>
      </w:r>
      <w:r w:rsidR="00F54EAA" w:rsidRPr="001763F0">
        <w:t xml:space="preserve"> coordinated and</w:t>
      </w:r>
      <w:r w:rsidR="00DF1C15" w:rsidRPr="001763F0">
        <w:t xml:space="preserve"> integrated </w:t>
      </w:r>
      <w:r w:rsidR="00BE2545" w:rsidRPr="001763F0">
        <w:t>medication review service</w:t>
      </w:r>
      <w:r w:rsidR="00F54EAA" w:rsidRPr="001763F0">
        <w:t xml:space="preserve"> for Aboriginal and Torres Strait Islander people.</w:t>
      </w:r>
      <w:r w:rsidR="00611FE3">
        <w:t xml:space="preserve"> </w:t>
      </w:r>
    </w:p>
    <w:p w14:paraId="6363AA1E" w14:textId="10C3DA56" w:rsidR="00D24D26" w:rsidRDefault="001568BE" w:rsidP="0000238C">
      <w:r>
        <w:t xml:space="preserve">MSAC noted consultation feedback was </w:t>
      </w:r>
      <w:r w:rsidR="00EA1DE2" w:rsidRPr="00EA1DE2">
        <w:t xml:space="preserve">generally supportive of the proposed </w:t>
      </w:r>
      <w:r w:rsidR="00EA1DE2">
        <w:t xml:space="preserve">culturally appropriate medication review service but raised </w:t>
      </w:r>
      <w:r w:rsidR="00F40975">
        <w:t xml:space="preserve">a number of </w:t>
      </w:r>
      <w:r w:rsidR="00EA1DE2">
        <w:t>concerns</w:t>
      </w:r>
      <w:r w:rsidR="00F40975">
        <w:t xml:space="preserve">. In particular, the feedback highlighted concerns around the inclusion/availability of AHW to attend; </w:t>
      </w:r>
      <w:r w:rsidR="00F40975" w:rsidRPr="00F40975">
        <w:t>differences in the qualifications for AHW</w:t>
      </w:r>
      <w:r w:rsidR="00F40975">
        <w:t xml:space="preserve"> </w:t>
      </w:r>
      <w:r w:rsidR="00F40975" w:rsidRPr="00F40975">
        <w:t>(Certificate III qualification)</w:t>
      </w:r>
      <w:r w:rsidR="00D24D26">
        <w:t xml:space="preserve"> and </w:t>
      </w:r>
      <w:r w:rsidR="00F40975" w:rsidRPr="00F40975">
        <w:t>A</w:t>
      </w:r>
      <w:r w:rsidR="00F40975">
        <w:t>boriginal Health Practitioners</w:t>
      </w:r>
      <w:r w:rsidR="00F40975" w:rsidRPr="00F40975">
        <w:t xml:space="preserve"> (Certificate IV qualification)</w:t>
      </w:r>
      <w:r w:rsidR="00D24D26">
        <w:t xml:space="preserve"> and</w:t>
      </w:r>
      <w:r w:rsidR="00D24D26" w:rsidRPr="00D24D26">
        <w:t xml:space="preserve"> </w:t>
      </w:r>
      <w:r w:rsidR="00D24D26">
        <w:t xml:space="preserve">the implications of this; the role of GPs and the proposed MBS fees. </w:t>
      </w:r>
    </w:p>
    <w:p w14:paraId="3F6D5527" w14:textId="57522D42" w:rsidR="008D5CA6" w:rsidRPr="001763F0" w:rsidRDefault="008D5CA6" w:rsidP="004C3F46">
      <w:r>
        <w:t xml:space="preserve">MSAC </w:t>
      </w:r>
      <w:r w:rsidR="00BE2545">
        <w:t>noted the nominated comparator was</w:t>
      </w:r>
      <w:r>
        <w:t xml:space="preserve"> usual care (ad-hoc medication management advice from any health professional). MSAC noted that for the identified population (</w:t>
      </w:r>
      <w:r w:rsidR="00EE6741">
        <w:t>Aboriginal and Torres Strait Islander peoples with</w:t>
      </w:r>
      <w:r>
        <w:t xml:space="preserve"> at least one chronic health condition and at risk of MRPs)</w:t>
      </w:r>
      <w:r w:rsidR="00E74450">
        <w:t xml:space="preserve">, </w:t>
      </w:r>
      <w:r w:rsidR="008926E4">
        <w:t xml:space="preserve">the </w:t>
      </w:r>
      <w:r>
        <w:t xml:space="preserve">service most likely to be substituted by </w:t>
      </w:r>
      <w:r w:rsidR="00DF1C15">
        <w:t>IMe</w:t>
      </w:r>
      <w:r w:rsidR="00BE2545">
        <w:t>R</w:t>
      </w:r>
      <w:r w:rsidR="00DF1C15">
        <w:t xml:space="preserve">Se </w:t>
      </w:r>
      <w:r>
        <w:t xml:space="preserve">is a formal </w:t>
      </w:r>
      <w:r w:rsidR="00BE2545">
        <w:t xml:space="preserve">MMR such </w:t>
      </w:r>
      <w:r w:rsidR="00BB7116">
        <w:t xml:space="preserve">as </w:t>
      </w:r>
      <w:r w:rsidR="00BE2545">
        <w:t>an</w:t>
      </w:r>
      <w:r>
        <w:t xml:space="preserve"> HMR</w:t>
      </w:r>
      <w:r w:rsidR="00BE2545">
        <w:t xml:space="preserve">. MSAC considered HMR is a more appropriate comparator </w:t>
      </w:r>
      <w:r w:rsidR="00CE218F">
        <w:t xml:space="preserve">but acknowledged </w:t>
      </w:r>
      <w:r w:rsidR="00BE2545">
        <w:t xml:space="preserve">there are </w:t>
      </w:r>
      <w:r w:rsidR="00BE2545" w:rsidRPr="00BE2545">
        <w:t xml:space="preserve">barriers for Aboriginal and </w:t>
      </w:r>
      <w:r w:rsidR="00BE2545" w:rsidRPr="001763F0">
        <w:t>Torres Strait Islander people to</w:t>
      </w:r>
      <w:r w:rsidR="00CE218F" w:rsidRPr="001763F0">
        <w:t xml:space="preserve"> access</w:t>
      </w:r>
      <w:r w:rsidR="00BE2545" w:rsidRPr="001763F0">
        <w:t xml:space="preserve"> existing MMR services, including HMRs.</w:t>
      </w:r>
    </w:p>
    <w:p w14:paraId="4CE5AB23" w14:textId="7549B39C" w:rsidR="0000238C" w:rsidRPr="001763F0" w:rsidRDefault="0000238C" w:rsidP="00176C3C">
      <w:r w:rsidRPr="001763F0">
        <w:t xml:space="preserve">MSAC noted that the IMeRSe </w:t>
      </w:r>
      <w:r w:rsidR="00A37329" w:rsidRPr="001763F0">
        <w:t>Feasibility Study</w:t>
      </w:r>
      <w:r w:rsidRPr="001763F0">
        <w:t xml:space="preserve"> </w:t>
      </w:r>
      <w:r w:rsidR="00BF0369" w:rsidRPr="001763F0">
        <w:t xml:space="preserve">was </w:t>
      </w:r>
      <w:r w:rsidRPr="001763F0">
        <w:t xml:space="preserve">proposed to obtain the necessary clinical data from which to establish the parameters for a larger randomised controlled trial. MSAC noted </w:t>
      </w:r>
      <w:r w:rsidR="00BF0369" w:rsidRPr="001763F0">
        <w:t xml:space="preserve">the </w:t>
      </w:r>
      <w:r w:rsidR="000C3057" w:rsidRPr="001763F0">
        <w:t xml:space="preserve">pre-post </w:t>
      </w:r>
      <w:r w:rsidR="00BF0369" w:rsidRPr="001763F0">
        <w:t>study</w:t>
      </w:r>
      <w:r w:rsidR="009A357A" w:rsidRPr="001763F0">
        <w:t xml:space="preserve"> </w:t>
      </w:r>
      <w:r w:rsidR="000C3057" w:rsidRPr="001763F0">
        <w:t xml:space="preserve">had no </w:t>
      </w:r>
      <w:r w:rsidR="009A357A" w:rsidRPr="001763F0">
        <w:t>concurrent control group,</w:t>
      </w:r>
      <w:r w:rsidR="00BF0369" w:rsidRPr="001763F0">
        <w:t xml:space="preserve"> a small opportunistic sample size, limited duration of the follow up and was associated with a high degree of bias. MSAC also noted it was uncertain</w:t>
      </w:r>
      <w:r w:rsidRPr="001763F0">
        <w:t xml:space="preserve"> whether the AHS sites, community </w:t>
      </w:r>
      <w:r w:rsidR="00BB7116" w:rsidRPr="001763F0">
        <w:t>pharmacists</w:t>
      </w:r>
      <w:r w:rsidRPr="001763F0">
        <w:t xml:space="preserve"> and participants in the study are representative of the broader intended AHS sites, community </w:t>
      </w:r>
      <w:r w:rsidR="00BB7116" w:rsidRPr="001763F0">
        <w:t>pharmacists</w:t>
      </w:r>
      <w:r w:rsidRPr="001763F0">
        <w:t xml:space="preserve"> and patients expected </w:t>
      </w:r>
      <w:r w:rsidR="00BF0369" w:rsidRPr="001763F0">
        <w:t>if the program is implemented</w:t>
      </w:r>
      <w:r w:rsidR="00EF0CDA" w:rsidRPr="001763F0">
        <w:t>. MSAC noted that these sites undertook significant preparatory and implementation work which was facilitated by a trial coordinator</w:t>
      </w:r>
      <w:r w:rsidR="008C335B" w:rsidRPr="001763F0">
        <w:t>.</w:t>
      </w:r>
      <w:r w:rsidR="00EF0CDA" w:rsidRPr="001763F0">
        <w:t xml:space="preserve"> </w:t>
      </w:r>
      <w:r w:rsidRPr="001763F0">
        <w:t xml:space="preserve"> </w:t>
      </w:r>
    </w:p>
    <w:p w14:paraId="4AE8F498" w14:textId="0CB844B7" w:rsidR="0000238C" w:rsidRPr="001763F0" w:rsidRDefault="0000238C" w:rsidP="0000238C">
      <w:r w:rsidRPr="001763F0">
        <w:t xml:space="preserve">MSAC </w:t>
      </w:r>
      <w:r w:rsidR="00BF0369" w:rsidRPr="001763F0">
        <w:t>considered</w:t>
      </w:r>
      <w:r w:rsidRPr="001763F0">
        <w:t xml:space="preserve"> IMeRSe ha</w:t>
      </w:r>
      <w:r w:rsidR="009A357A" w:rsidRPr="001763F0">
        <w:t>d</w:t>
      </w:r>
      <w:r w:rsidRPr="001763F0">
        <w:t xml:space="preserve"> non-inferior safety relative to usual care. </w:t>
      </w:r>
      <w:r w:rsidR="00BF0369" w:rsidRPr="001763F0">
        <w:t xml:space="preserve">However, </w:t>
      </w:r>
      <w:r w:rsidRPr="001763F0">
        <w:t xml:space="preserve">MSAC noted that there was uncertainty regarding </w:t>
      </w:r>
      <w:r w:rsidR="00BF0369" w:rsidRPr="001763F0">
        <w:t xml:space="preserve">the </w:t>
      </w:r>
      <w:r w:rsidRPr="001763F0">
        <w:t xml:space="preserve">comparative effectiveness </w:t>
      </w:r>
      <w:r w:rsidR="00BF0369" w:rsidRPr="001763F0">
        <w:t>of IMeRSe versus</w:t>
      </w:r>
      <w:r w:rsidRPr="001763F0">
        <w:t xml:space="preserve"> usual care. MSAC noted that there were statistically significant differences, favouring the post-intervention results, in validated surveys regarding concern with medicines, medication adherence, growth and empowerment and treatment satisfaction. However, no differences in potentially preventable medication-related hospitalisations (PPMRHs) and no differences in the primary outcome of serious MRPs (at the 5% level of significance) were observed.</w:t>
      </w:r>
      <w:r w:rsidR="009A357A" w:rsidRPr="001763F0">
        <w:t xml:space="preserve"> Overall,</w:t>
      </w:r>
      <w:r w:rsidR="00176C3C" w:rsidRPr="001763F0">
        <w:t xml:space="preserve"> MSAC considered IMeRSe to have non-inferior safety and uncertain effectiveness compared to usual care</w:t>
      </w:r>
      <w:r w:rsidR="005A618D" w:rsidRPr="001763F0">
        <w:t>.</w:t>
      </w:r>
    </w:p>
    <w:p w14:paraId="31B10BCA" w14:textId="34A57552" w:rsidR="0000238C" w:rsidRDefault="0000238C" w:rsidP="0000238C">
      <w:r w:rsidRPr="001763F0">
        <w:t>MSAC noted</w:t>
      </w:r>
      <w:r w:rsidR="00176C3C" w:rsidRPr="001763F0">
        <w:t xml:space="preserve"> the ADAR presented </w:t>
      </w:r>
      <w:r w:rsidR="00A44887" w:rsidRPr="001763F0">
        <w:t xml:space="preserve">a </w:t>
      </w:r>
      <w:r w:rsidR="00176C3C" w:rsidRPr="001763F0">
        <w:t>cost-effectiveness analysis</w:t>
      </w:r>
      <w:r w:rsidRPr="001763F0">
        <w:t xml:space="preserve"> that</w:t>
      </w:r>
      <w:r w:rsidR="00176C3C" w:rsidRPr="001763F0">
        <w:t xml:space="preserve"> </w:t>
      </w:r>
      <w:r w:rsidR="00A44887" w:rsidRPr="001763F0">
        <w:t xml:space="preserve">focussed on MPR and estimated the </w:t>
      </w:r>
      <w:r w:rsidR="00E75AB8" w:rsidRPr="001763F0">
        <w:t>incremental c</w:t>
      </w:r>
      <w:r w:rsidR="00176C3C" w:rsidRPr="001763F0">
        <w:t xml:space="preserve">ost per MRP avoided (e.g. base case estimated </w:t>
      </w:r>
      <w:r w:rsidR="00E75AB8" w:rsidRPr="001763F0">
        <w:t xml:space="preserve">IMeRSe cost </w:t>
      </w:r>
      <w:r w:rsidR="00176C3C" w:rsidRPr="001763F0">
        <w:t xml:space="preserve">$1,822 per MRP avoided). </w:t>
      </w:r>
      <w:r w:rsidR="004070DA" w:rsidRPr="001763F0">
        <w:t xml:space="preserve">MSAC noted the challenges evaluating the cost-effectiveness of IMeRSe and </w:t>
      </w:r>
      <w:r w:rsidR="00EF6BC0" w:rsidRPr="001763F0">
        <w:t xml:space="preserve">noted </w:t>
      </w:r>
      <w:r w:rsidR="004070DA" w:rsidRPr="001763F0">
        <w:t xml:space="preserve">ESC advice that a cost-consequence analysis that presents all relevant benefits and costs would be more appropriate. </w:t>
      </w:r>
      <w:r w:rsidR="00176C3C" w:rsidRPr="001763F0">
        <w:t xml:space="preserve">MSAC noted that </w:t>
      </w:r>
      <w:r w:rsidR="00E75AB8" w:rsidRPr="001763F0">
        <w:t>the limitations</w:t>
      </w:r>
      <w:r w:rsidR="00176C3C" w:rsidRPr="001763F0">
        <w:t xml:space="preserve"> and uncertainty in the clinical</w:t>
      </w:r>
      <w:r w:rsidR="00E75AB8" w:rsidRPr="001763F0">
        <w:t xml:space="preserve"> evidence</w:t>
      </w:r>
      <w:r w:rsidR="004070DA" w:rsidRPr="001763F0">
        <w:t xml:space="preserve"> </w:t>
      </w:r>
      <w:r w:rsidR="00E75AB8" w:rsidRPr="001763F0">
        <w:t>created uncertainty in</w:t>
      </w:r>
      <w:r w:rsidRPr="001763F0">
        <w:t xml:space="preserve"> the economic analysis.</w:t>
      </w:r>
      <w:r w:rsidR="004070DA" w:rsidRPr="001763F0">
        <w:t xml:space="preserve"> </w:t>
      </w:r>
      <w:r w:rsidRPr="001763F0">
        <w:t xml:space="preserve">MSAC </w:t>
      </w:r>
      <w:r w:rsidR="004070DA" w:rsidRPr="001763F0">
        <w:t xml:space="preserve">also </w:t>
      </w:r>
      <w:r w:rsidRPr="001763F0">
        <w:t xml:space="preserve">noted that </w:t>
      </w:r>
      <w:r w:rsidR="007D071F" w:rsidRPr="001763F0">
        <w:t xml:space="preserve">the ADAR attributed </w:t>
      </w:r>
      <w:r w:rsidRPr="001763F0">
        <w:t xml:space="preserve">cost-offsets in terms of observed reduction in hospital admissions and emergency department (ED) presentations to the intervention </w:t>
      </w:r>
      <w:r w:rsidR="00BD2DFC" w:rsidRPr="001763F0">
        <w:t xml:space="preserve">but that this </w:t>
      </w:r>
      <w:r w:rsidRPr="001763F0">
        <w:t xml:space="preserve">cannot be reasonably justified. </w:t>
      </w:r>
      <w:r w:rsidR="007D071F" w:rsidRPr="001763F0">
        <w:t>MSAC noted that this</w:t>
      </w:r>
      <w:r w:rsidR="00BD2DFC" w:rsidRPr="001763F0">
        <w:t xml:space="preserve"> offset</w:t>
      </w:r>
      <w:r w:rsidR="007D071F" w:rsidRPr="001763F0">
        <w:t xml:space="preserve"> assumed causality </w:t>
      </w:r>
      <w:r w:rsidR="00BD2DFC" w:rsidRPr="001763F0">
        <w:t xml:space="preserve">but this </w:t>
      </w:r>
      <w:r w:rsidR="007D071F" w:rsidRPr="001763F0">
        <w:t>is in direct contradiction to the IMeRSe Feasibility Study which reported zero difference in the pre- and post-intervention rates of PPMRH. Overall, MSAC considered the cost-effectiveness of IMeRSe was highly uncertain</w:t>
      </w:r>
      <w:r w:rsidR="004070DA" w:rsidRPr="001763F0">
        <w:t>.</w:t>
      </w:r>
    </w:p>
    <w:p w14:paraId="4A4FD25C" w14:textId="60F8185B" w:rsidR="0000238C" w:rsidRPr="001763F0" w:rsidRDefault="0000238C" w:rsidP="0000238C">
      <w:r>
        <w:t xml:space="preserve">MSAC </w:t>
      </w:r>
      <w:r w:rsidR="00BD2DFC">
        <w:t xml:space="preserve">noted </w:t>
      </w:r>
      <w:r w:rsidR="00E60EB9" w:rsidRPr="00F93576">
        <w:rPr>
          <w:szCs w:val="24"/>
        </w:rPr>
        <w:t>the ADAR financial estimates predicted that the IMeRSe would be cost-saving</w:t>
      </w:r>
      <w:r w:rsidR="00E60EB9">
        <w:rPr>
          <w:szCs w:val="24"/>
        </w:rPr>
        <w:t xml:space="preserve"> (</w:t>
      </w:r>
      <w:r w:rsidR="00E60EB9" w:rsidRPr="00F93576">
        <w:rPr>
          <w:szCs w:val="24"/>
        </w:rPr>
        <w:t xml:space="preserve">ranging from a saving of </w:t>
      </w:r>
      <w:r w:rsidR="00C847B6" w:rsidRPr="00C847B6">
        <w:rPr>
          <w:szCs w:val="24"/>
        </w:rPr>
        <w:t>$0 to &lt; $10 million</w:t>
      </w:r>
      <w:r w:rsidR="00C847B6">
        <w:rPr>
          <w:szCs w:val="24"/>
        </w:rPr>
        <w:t xml:space="preserve"> </w:t>
      </w:r>
      <w:r w:rsidR="00E60EB9" w:rsidRPr="00F93576">
        <w:rPr>
          <w:szCs w:val="24"/>
        </w:rPr>
        <w:t xml:space="preserve">per year up to </w:t>
      </w:r>
      <w:bookmarkStart w:id="5" w:name="_Hlk106737732"/>
      <w:r w:rsidR="00C847B6" w:rsidRPr="00C847B6">
        <w:rPr>
          <w:szCs w:val="24"/>
        </w:rPr>
        <w:t>$30 million to &lt; $40 million</w:t>
      </w:r>
      <w:bookmarkEnd w:id="5"/>
      <w:r w:rsidR="00C847B6">
        <w:rPr>
          <w:szCs w:val="24"/>
        </w:rPr>
        <w:t xml:space="preserve"> </w:t>
      </w:r>
      <w:r w:rsidR="00E60EB9" w:rsidRPr="00F93576">
        <w:rPr>
          <w:szCs w:val="24"/>
        </w:rPr>
        <w:t>per year</w:t>
      </w:r>
      <w:r w:rsidR="00E60EB9">
        <w:rPr>
          <w:szCs w:val="24"/>
        </w:rPr>
        <w:t>)</w:t>
      </w:r>
      <w:r w:rsidR="00E60EB9" w:rsidRPr="00F93576">
        <w:rPr>
          <w:szCs w:val="24"/>
        </w:rPr>
        <w:t xml:space="preserve"> due to reduction in inpatient and </w:t>
      </w:r>
      <w:r w:rsidR="00BD2DFC">
        <w:rPr>
          <w:szCs w:val="24"/>
        </w:rPr>
        <w:t>ED</w:t>
      </w:r>
      <w:r w:rsidR="00E60EB9" w:rsidRPr="00F93576">
        <w:rPr>
          <w:szCs w:val="24"/>
        </w:rPr>
        <w:t xml:space="preserve"> costs</w:t>
      </w:r>
      <w:r>
        <w:t xml:space="preserve">. </w:t>
      </w:r>
      <w:r w:rsidR="00E60EB9">
        <w:t xml:space="preserve">However, </w:t>
      </w:r>
      <w:r w:rsidR="00BD2DFC">
        <w:t xml:space="preserve">as noted for the economic analysis, </w:t>
      </w:r>
      <w:r w:rsidR="00E60EB9">
        <w:t xml:space="preserve">MSAC </w:t>
      </w:r>
      <w:r w:rsidR="00E60EB9" w:rsidRPr="001763F0">
        <w:t>considered that the estimated cost savings based on hospital i</w:t>
      </w:r>
      <w:r w:rsidR="008C335B" w:rsidRPr="001763F0">
        <w:t>n</w:t>
      </w:r>
      <w:r w:rsidR="00E60EB9" w:rsidRPr="001763F0">
        <w:t xml:space="preserve">patient costs and ED costs </w:t>
      </w:r>
      <w:r w:rsidR="00BD2DFC" w:rsidRPr="001763F0">
        <w:t xml:space="preserve">to be </w:t>
      </w:r>
      <w:r w:rsidR="00E60EB9" w:rsidRPr="001763F0">
        <w:t>unreliable.</w:t>
      </w:r>
      <w:r w:rsidR="00517C7B" w:rsidRPr="001763F0">
        <w:t xml:space="preserve"> MSAC also noted</w:t>
      </w:r>
      <w:r w:rsidR="001F3248" w:rsidRPr="001763F0">
        <w:t xml:space="preserve"> </w:t>
      </w:r>
      <w:r w:rsidR="00517C7B" w:rsidRPr="001763F0">
        <w:t>there are no clear criteria to determine eligibility and therefor</w:t>
      </w:r>
      <w:r w:rsidR="00020F18" w:rsidRPr="001763F0">
        <w:t>e</w:t>
      </w:r>
      <w:r w:rsidR="00517C7B" w:rsidRPr="001763F0">
        <w:t xml:space="preserve"> it is difficult to predict </w:t>
      </w:r>
      <w:r w:rsidR="00020F18" w:rsidRPr="001763F0">
        <w:t>utilisation. MSAC questioned the</w:t>
      </w:r>
      <w:r w:rsidR="00517C7B" w:rsidRPr="001763F0">
        <w:t xml:space="preserve"> </w:t>
      </w:r>
      <w:r w:rsidR="00020F18" w:rsidRPr="001763F0">
        <w:t>5% uptak</w:t>
      </w:r>
      <w:r w:rsidR="00981747" w:rsidRPr="001763F0">
        <w:t>e</w:t>
      </w:r>
      <w:r w:rsidR="00020F18" w:rsidRPr="001763F0">
        <w:t xml:space="preserve"> estimated in the </w:t>
      </w:r>
      <w:r w:rsidRPr="001763F0">
        <w:t>ADAR</w:t>
      </w:r>
      <w:r w:rsidR="00981747" w:rsidRPr="001763F0">
        <w:t xml:space="preserve"> and considered that the actual uptake will depend on implementation. MSAC</w:t>
      </w:r>
      <w:r w:rsidRPr="001763F0">
        <w:t xml:space="preserve"> </w:t>
      </w:r>
      <w:r w:rsidR="00981747" w:rsidRPr="001763F0">
        <w:t>noted the uptake in the</w:t>
      </w:r>
      <w:r w:rsidR="00020F18" w:rsidRPr="001763F0">
        <w:t xml:space="preserve"> IMeRSe Feasibility Study</w:t>
      </w:r>
      <w:r w:rsidR="00981747" w:rsidRPr="001763F0">
        <w:t xml:space="preserve"> was 5% but that the study</w:t>
      </w:r>
      <w:r w:rsidR="00020F18" w:rsidRPr="001763F0">
        <w:t xml:space="preserve"> included intensive support and engagement roles/activities (e.g. study coordinator) </w:t>
      </w:r>
      <w:r w:rsidR="00981747" w:rsidRPr="001763F0">
        <w:t>that are not proposed as part of implementing IMeRSe</w:t>
      </w:r>
      <w:r w:rsidR="00517C7B" w:rsidRPr="001763F0">
        <w:t>.</w:t>
      </w:r>
      <w:r w:rsidRPr="001763F0">
        <w:t xml:space="preserve"> </w:t>
      </w:r>
      <w:r w:rsidR="00981747" w:rsidRPr="001763F0">
        <w:t>Overall, MSAC considered the financial estimates for IMeRSe were highly uncertain.</w:t>
      </w:r>
    </w:p>
    <w:p w14:paraId="7345E744" w14:textId="48C30C10" w:rsidR="0000238C" w:rsidRDefault="00981747" w:rsidP="0000238C">
      <w:r w:rsidRPr="001763F0">
        <w:t>Overall</w:t>
      </w:r>
      <w:r w:rsidR="0000238C" w:rsidRPr="001763F0">
        <w:t xml:space="preserve">, MSAC </w:t>
      </w:r>
      <w:r w:rsidR="003262EC" w:rsidRPr="001763F0">
        <w:t xml:space="preserve">did not support </w:t>
      </w:r>
      <w:r w:rsidRPr="001763F0">
        <w:t xml:space="preserve">MBS listing and </w:t>
      </w:r>
      <w:r w:rsidR="0000238C" w:rsidRPr="001763F0">
        <w:t xml:space="preserve">funding for </w:t>
      </w:r>
      <w:r w:rsidRPr="001763F0">
        <w:t>IMeRSe</w:t>
      </w:r>
      <w:r w:rsidR="0000238C" w:rsidRPr="001763F0">
        <w:t xml:space="preserve"> </w:t>
      </w:r>
      <w:r w:rsidR="00233BDC" w:rsidRPr="001763F0">
        <w:t>on the basis that t</w:t>
      </w:r>
      <w:r w:rsidRPr="001763F0">
        <w:t xml:space="preserve">he evidence presented did not demonstrate the comparative effectiveness and cost-effectiveness of the </w:t>
      </w:r>
      <w:r w:rsidR="00233BDC" w:rsidRPr="001763F0">
        <w:t>IMeRSe</w:t>
      </w:r>
      <w:r w:rsidRPr="001763F0">
        <w:t xml:space="preserve"> with existing services</w:t>
      </w:r>
      <w:r w:rsidR="00233BDC" w:rsidRPr="001763F0">
        <w:t>. Further, MSAC had significant concerns that the proposed approach to funding and implementing IMeRSe</w:t>
      </w:r>
      <w:r w:rsidRPr="001763F0">
        <w:t xml:space="preserve"> </w:t>
      </w:r>
      <w:r w:rsidR="00233BDC" w:rsidRPr="001763F0">
        <w:t xml:space="preserve">would not lead to the successful implementation of a coordinated and integrated multidisciplinary medication review service for Aboriginal and Torres Strait Islander people. </w:t>
      </w:r>
      <w:r w:rsidR="00284EEE" w:rsidRPr="001763F0">
        <w:t>MSA</w:t>
      </w:r>
      <w:r w:rsidR="002D6C8A" w:rsidRPr="001763F0">
        <w:t>C also noted that implementing the proposed IMeRSe could conflict with</w:t>
      </w:r>
      <w:r w:rsidR="005812A2" w:rsidRPr="001763F0">
        <w:t>, confuse</w:t>
      </w:r>
      <w:r w:rsidR="002D6C8A" w:rsidRPr="001763F0">
        <w:t xml:space="preserve"> and duplicate existing HMR services</w:t>
      </w:r>
      <w:r w:rsidR="005812A2" w:rsidRPr="001763F0">
        <w:t>.</w:t>
      </w:r>
      <w:r w:rsidR="005812A2">
        <w:t xml:space="preserve"> </w:t>
      </w:r>
    </w:p>
    <w:p w14:paraId="5FA23431" w14:textId="526DEBEE" w:rsidR="0000238C" w:rsidRPr="002C0431" w:rsidRDefault="00862C0B" w:rsidP="003A5777">
      <w:r>
        <w:t>MSAC considered that the</w:t>
      </w:r>
      <w:r w:rsidR="00A94ED7">
        <w:t>re</w:t>
      </w:r>
      <w:r>
        <w:t xml:space="preserve"> is an unquestionable clinical need for better culturally aware and culturally safe MMR services that </w:t>
      </w:r>
      <w:r w:rsidR="00233BDC">
        <w:t>are</w:t>
      </w:r>
      <w:r>
        <w:t xml:space="preserve"> delivered to </w:t>
      </w:r>
      <w:r w:rsidR="00EE6741">
        <w:t>Aboriginal and Torres Strait Islander peoples using</w:t>
      </w:r>
      <w:r>
        <w:t xml:space="preserve"> an integrated and collaborative multidisciplinary model of care. </w:t>
      </w:r>
      <w:r w:rsidR="00233BDC">
        <w:t xml:space="preserve">Further, </w:t>
      </w:r>
      <w:r w:rsidR="0000238C">
        <w:t xml:space="preserve">MSAC noted that this application highlighted </w:t>
      </w:r>
      <w:r w:rsidR="00233BDC">
        <w:t xml:space="preserve">that there are a number of barriers </w:t>
      </w:r>
      <w:r w:rsidR="00233BDC" w:rsidRPr="00233BDC">
        <w:t xml:space="preserve">for Aboriginal and Torres Strait Islander peoples to </w:t>
      </w:r>
      <w:r w:rsidR="001B03E8">
        <w:t xml:space="preserve">access </w:t>
      </w:r>
      <w:r w:rsidR="00233BDC" w:rsidRPr="00233BDC">
        <w:t>existing MMR services</w:t>
      </w:r>
      <w:r w:rsidR="0000238C">
        <w:t>.</w:t>
      </w:r>
      <w:r w:rsidR="001B03E8">
        <w:t xml:space="preserve"> </w:t>
      </w:r>
      <w:r w:rsidR="001B03E8" w:rsidRPr="0000238C">
        <w:rPr>
          <w:bCs/>
        </w:rPr>
        <w:t xml:space="preserve">MSAC suggested the Department could consider reforms to existing Pharmacy Programs, with a focus on improving access </w:t>
      </w:r>
      <w:r w:rsidR="00266074">
        <w:rPr>
          <w:bCs/>
        </w:rPr>
        <w:t xml:space="preserve">and cultural appropriateness </w:t>
      </w:r>
      <w:r w:rsidR="00A84DAC">
        <w:rPr>
          <w:bCs/>
        </w:rPr>
        <w:t>of</w:t>
      </w:r>
      <w:r w:rsidR="001B03E8" w:rsidRPr="0000238C">
        <w:rPr>
          <w:bCs/>
        </w:rPr>
        <w:t xml:space="preserve"> these programs for Aboriginal and Torres Strait Islander people.</w:t>
      </w:r>
      <w:r w:rsidR="0000238C">
        <w:t xml:space="preserve"> </w:t>
      </w:r>
      <w:r w:rsidR="001B03E8">
        <w:t xml:space="preserve">MSAC noted that some of the barriers </w:t>
      </w:r>
      <w:r w:rsidR="00E14463">
        <w:t>c</w:t>
      </w:r>
      <w:r w:rsidR="001B03E8">
        <w:t>ould be reduced by considering policy reforms to existing MMR services to provid</w:t>
      </w:r>
      <w:r w:rsidR="00E14463">
        <w:t>e</w:t>
      </w:r>
      <w:r w:rsidR="001B03E8">
        <w:t xml:space="preserve"> flexibility in referral pathways and location where the services </w:t>
      </w:r>
      <w:r w:rsidR="00E14463">
        <w:t>are</w:t>
      </w:r>
      <w:r w:rsidR="001B03E8">
        <w:t xml:space="preserve"> conducted</w:t>
      </w:r>
      <w:r w:rsidR="00486DB8">
        <w:t xml:space="preserve"> for Aboriginal and Torres Strait Islander people</w:t>
      </w:r>
      <w:r w:rsidR="001B03E8">
        <w:t xml:space="preserve">. MSAC considered the role of the AHW was integral to IMeRSe and the policy reforms </w:t>
      </w:r>
      <w:r w:rsidR="00786D5F">
        <w:t>c</w:t>
      </w:r>
      <w:r w:rsidR="001B03E8">
        <w:t xml:space="preserve">ould consider how AHW inclusion in MMR services for Aboriginal and Torres Strait Islander peoples can be supported. MSAC also noted that the requirement for pharmacist accreditation was described as a barrier. </w:t>
      </w:r>
      <w:r w:rsidR="00786D5F">
        <w:t xml:space="preserve">MSAC suggested the Department could explore whether pharmacist accreditation is a barrier and consider ways to reduce this barrier. MSAC considered that pharmacists delivering MMR services to </w:t>
      </w:r>
      <w:r w:rsidR="00EE6741">
        <w:t>Aboriginal and Torres Strait Islander peoples should</w:t>
      </w:r>
      <w:r w:rsidR="00786D5F">
        <w:t xml:space="preserve"> be </w:t>
      </w:r>
      <w:r w:rsidR="003A5777">
        <w:t xml:space="preserve">encouraged </w:t>
      </w:r>
      <w:r w:rsidR="00786D5F">
        <w:t xml:space="preserve">to have undertaken cultural awareness and safety training. </w:t>
      </w:r>
    </w:p>
    <w:p w14:paraId="6710B69D" w14:textId="11485383" w:rsidR="00772829" w:rsidRPr="00CE28E3" w:rsidRDefault="00E11EEF" w:rsidP="002A18BE">
      <w:pPr>
        <w:pStyle w:val="Heading2"/>
        <w:numPr>
          <w:ilvl w:val="0"/>
          <w:numId w:val="0"/>
        </w:numPr>
      </w:pPr>
      <w:r>
        <w:t>4.</w:t>
      </w:r>
      <w:r>
        <w:tab/>
      </w:r>
      <w:r w:rsidR="00772829" w:rsidRPr="00CE28E3">
        <w:t>Background</w:t>
      </w:r>
      <w:bookmarkEnd w:id="4"/>
    </w:p>
    <w:p w14:paraId="1D752122" w14:textId="353AE1D9" w:rsidR="003F2014" w:rsidRPr="00AC0519" w:rsidRDefault="003F2014" w:rsidP="00DD6784">
      <w:bookmarkStart w:id="6" w:name="_Hlk69734494"/>
      <w:r w:rsidRPr="00CE6F91">
        <w:t xml:space="preserve">The IMeRSe Feasibility </w:t>
      </w:r>
      <w:r w:rsidR="00820A54">
        <w:t>S</w:t>
      </w:r>
      <w:r w:rsidRPr="00CE6F91">
        <w:t xml:space="preserve">tudy was funded under the Department of Health, Pharmacy Trials Program (PTP, Tranche 2) as part of the Sixth Community Pharmacy Agreement (6CPA) that sought to assess the </w:t>
      </w:r>
      <w:r w:rsidRPr="00F75162">
        <w:rPr>
          <w:shd w:val="clear" w:color="auto" w:fill="FFFFFF"/>
        </w:rPr>
        <w:t>feasibility of a culturally responsive Indigenous Medication Review service, delivered by community pharmacists, supported by cross-cultural training and mentoring integrated (and in conjunction) with local AHSs staff</w:t>
      </w:r>
      <w:r w:rsidRPr="00CE6F91">
        <w:rPr>
          <w:shd w:val="clear" w:color="auto" w:fill="FFFFFF"/>
        </w:rPr>
        <w:t>.</w:t>
      </w:r>
    </w:p>
    <w:p w14:paraId="1EE64CDB" w14:textId="68C9AE26" w:rsidR="003F2014" w:rsidRPr="00DD6784" w:rsidRDefault="003F2014" w:rsidP="003F2014">
      <w:pPr>
        <w:spacing w:after="240"/>
        <w:rPr>
          <w:iCs/>
        </w:rPr>
      </w:pPr>
      <w:r w:rsidRPr="006C3141">
        <w:t>$50 million was provided over the Term of the 6CPA to fund the PTP</w:t>
      </w:r>
      <w:r w:rsidR="00AE53F6">
        <w:t xml:space="preserve"> as a whole</w:t>
      </w:r>
      <w:r w:rsidRPr="006C3141">
        <w:t>. Once finalised, consistent with the 6CPA, the outcomes of each PTP trial were to be evaluated by an independent health technology assessment body to determine the effectiveness and cost-effectiveness of the trial intervention and inform decisions about any broader rollout. A decision to fund any future programs would be a matter for Government</w:t>
      </w:r>
      <w:r w:rsidRPr="003807E7">
        <w:rPr>
          <w:iCs/>
        </w:rPr>
        <w:t xml:space="preserve">. </w:t>
      </w:r>
    </w:p>
    <w:p w14:paraId="69213987" w14:textId="48A5E245" w:rsidR="003F2014" w:rsidRPr="00F84135" w:rsidRDefault="003F2014" w:rsidP="003F2014">
      <w:pPr>
        <w:spacing w:after="240"/>
        <w:rPr>
          <w:b/>
          <w:bCs/>
          <w:iCs/>
          <w:u w:val="single"/>
        </w:rPr>
      </w:pPr>
      <w:r>
        <w:rPr>
          <w:b/>
          <w:bCs/>
          <w:iCs/>
          <w:u w:val="single"/>
        </w:rPr>
        <w:t xml:space="preserve">MSAC review of 6CPA Medication Management Review (MMR) Programs </w:t>
      </w:r>
    </w:p>
    <w:p w14:paraId="647EEF96" w14:textId="3015B3DE" w:rsidR="00E05194" w:rsidRDefault="00E05194" w:rsidP="00E76AE0">
      <w:pPr>
        <w:pStyle w:val="Instructionaltext"/>
        <w:rPr>
          <w:iCs/>
          <w:color w:val="00B050"/>
        </w:rPr>
      </w:pPr>
      <w:r w:rsidRPr="003F2014">
        <w:rPr>
          <w:iCs/>
          <w:color w:val="auto"/>
        </w:rPr>
        <w:t xml:space="preserve">In April 2017, MSAC appraised </w:t>
      </w:r>
      <w:r w:rsidR="003F2014" w:rsidRPr="003F2014">
        <w:rPr>
          <w:iCs/>
          <w:color w:val="auto"/>
        </w:rPr>
        <w:t>the evidence for</w:t>
      </w:r>
      <w:r w:rsidRPr="003F2014">
        <w:rPr>
          <w:iCs/>
          <w:color w:val="auto"/>
        </w:rPr>
        <w:t xml:space="preserve"> </w:t>
      </w:r>
      <w:r w:rsidR="003F2014" w:rsidRPr="003F2014">
        <w:rPr>
          <w:iCs/>
          <w:color w:val="auto"/>
        </w:rPr>
        <w:t xml:space="preserve">MMR </w:t>
      </w:r>
      <w:r w:rsidRPr="003F2014">
        <w:rPr>
          <w:iCs/>
          <w:color w:val="auto"/>
        </w:rPr>
        <w:t xml:space="preserve">Programs: </w:t>
      </w:r>
      <w:r w:rsidR="003F2014" w:rsidRPr="003F2014">
        <w:rPr>
          <w:iCs/>
          <w:color w:val="auto"/>
        </w:rPr>
        <w:t>HMR</w:t>
      </w:r>
      <w:r w:rsidR="00EF6BC0">
        <w:rPr>
          <w:iCs/>
          <w:color w:val="auto"/>
        </w:rPr>
        <w:t xml:space="preserve"> (</w:t>
      </w:r>
      <w:r w:rsidR="00442477">
        <w:rPr>
          <w:iCs/>
          <w:color w:val="auto"/>
        </w:rPr>
        <w:t xml:space="preserve">also referred to as </w:t>
      </w:r>
      <w:r w:rsidR="007661E1" w:rsidRPr="007661E1">
        <w:rPr>
          <w:iCs/>
          <w:color w:val="auto"/>
        </w:rPr>
        <w:t xml:space="preserve">Domiciliary Medication Management Review </w:t>
      </w:r>
      <w:r w:rsidR="007661E1">
        <w:rPr>
          <w:iCs/>
          <w:color w:val="auto"/>
        </w:rPr>
        <w:t>[</w:t>
      </w:r>
      <w:r w:rsidR="007661E1" w:rsidRPr="007661E1">
        <w:rPr>
          <w:iCs/>
          <w:color w:val="auto"/>
        </w:rPr>
        <w:t>DMMR</w:t>
      </w:r>
      <w:r w:rsidR="007661E1">
        <w:rPr>
          <w:iCs/>
          <w:color w:val="auto"/>
        </w:rPr>
        <w:t>]</w:t>
      </w:r>
      <w:r w:rsidR="003F2014" w:rsidRPr="003F2014">
        <w:rPr>
          <w:iCs/>
          <w:color w:val="auto"/>
        </w:rPr>
        <w:t>)</w:t>
      </w:r>
      <w:r w:rsidRPr="003F2014">
        <w:rPr>
          <w:iCs/>
          <w:color w:val="auto"/>
        </w:rPr>
        <w:t xml:space="preserve">, </w:t>
      </w:r>
      <w:r w:rsidR="007661E1">
        <w:rPr>
          <w:iCs/>
          <w:color w:val="auto"/>
        </w:rPr>
        <w:t xml:space="preserve">RMMR </w:t>
      </w:r>
      <w:r w:rsidRPr="003F2014">
        <w:rPr>
          <w:iCs/>
          <w:color w:val="auto"/>
        </w:rPr>
        <w:t xml:space="preserve">and MedsCheck/Diabetes MedsCheck Program (refer to </w:t>
      </w:r>
      <w:hyperlink r:id="rId13" w:history="1">
        <w:r w:rsidRPr="00E05194">
          <w:rPr>
            <w:rStyle w:val="Hyperlink"/>
            <w:iCs/>
          </w:rPr>
          <w:t>MSAC Minutes</w:t>
        </w:r>
      </w:hyperlink>
      <w:r w:rsidRPr="003F2014">
        <w:rPr>
          <w:iCs/>
          <w:color w:val="auto"/>
        </w:rPr>
        <w:t>).</w:t>
      </w:r>
    </w:p>
    <w:p w14:paraId="0DE3D46B" w14:textId="77777777" w:rsidR="003F2014" w:rsidRDefault="003F2014" w:rsidP="003F2014">
      <w:pPr>
        <w:spacing w:after="240"/>
        <w:rPr>
          <w:iCs/>
        </w:rPr>
      </w:pPr>
      <w:r w:rsidRPr="004E1D97">
        <w:rPr>
          <w:iCs/>
        </w:rPr>
        <w:t>MSAC advised that there</w:t>
      </w:r>
      <w:r>
        <w:rPr>
          <w:iCs/>
        </w:rPr>
        <w:t xml:space="preserve"> </w:t>
      </w:r>
      <w:r w:rsidRPr="004E1D97">
        <w:rPr>
          <w:iCs/>
        </w:rPr>
        <w:t>was insufficient evidence to determine the clinical and cost</w:t>
      </w:r>
      <w:r>
        <w:rPr>
          <w:iCs/>
        </w:rPr>
        <w:noBreakHyphen/>
        <w:t>e</w:t>
      </w:r>
      <w:r w:rsidRPr="004E1D97">
        <w:rPr>
          <w:iCs/>
        </w:rPr>
        <w:t>ffectiveness of the continuing 6CPA</w:t>
      </w:r>
      <w:r>
        <w:rPr>
          <w:iCs/>
        </w:rPr>
        <w:t xml:space="preserve"> </w:t>
      </w:r>
      <w:r w:rsidRPr="004E1D97">
        <w:rPr>
          <w:iCs/>
        </w:rPr>
        <w:t>MMR programs, and thus a weak basis upon which to recommend that funding should be supported</w:t>
      </w:r>
      <w:r>
        <w:rPr>
          <w:iCs/>
        </w:rPr>
        <w:t xml:space="preserve"> </w:t>
      </w:r>
      <w:r w:rsidRPr="004E1D97">
        <w:rPr>
          <w:iCs/>
        </w:rPr>
        <w:t>or ceased.</w:t>
      </w:r>
      <w:r w:rsidRPr="004E1D97">
        <w:t xml:space="preserve"> </w:t>
      </w:r>
      <w:r w:rsidRPr="004E1D97">
        <w:rPr>
          <w:iCs/>
        </w:rPr>
        <w:t>MSAC advised that further research would be required to make a more robust assessment of the</w:t>
      </w:r>
      <w:r>
        <w:rPr>
          <w:iCs/>
        </w:rPr>
        <w:t xml:space="preserve"> </w:t>
      </w:r>
      <w:r w:rsidRPr="004E1D97">
        <w:rPr>
          <w:iCs/>
        </w:rPr>
        <w:t>comparative clinical and cost-effectiveness of the MMR programs.</w:t>
      </w:r>
    </w:p>
    <w:p w14:paraId="7858CF7B" w14:textId="77777777" w:rsidR="003F2014" w:rsidRDefault="003F2014" w:rsidP="003F2014">
      <w:pPr>
        <w:spacing w:after="240"/>
        <w:rPr>
          <w:iCs/>
        </w:rPr>
      </w:pPr>
      <w:r>
        <w:rPr>
          <w:iCs/>
        </w:rPr>
        <w:t xml:space="preserve">With respect to the HMRs, </w:t>
      </w:r>
      <w:r w:rsidRPr="004E1D97">
        <w:rPr>
          <w:iCs/>
        </w:rPr>
        <w:t>MSAC advised that there is no clear evidence that HMR</w:t>
      </w:r>
      <w:r>
        <w:rPr>
          <w:iCs/>
        </w:rPr>
        <w:t xml:space="preserve"> </w:t>
      </w:r>
      <w:r w:rsidRPr="004E1D97">
        <w:rPr>
          <w:iCs/>
        </w:rPr>
        <w:t>reduces hospitalisations and mortality or improves quality of life. MSAC also advised that there is</w:t>
      </w:r>
      <w:r>
        <w:rPr>
          <w:iCs/>
        </w:rPr>
        <w:t xml:space="preserve"> </w:t>
      </w:r>
      <w:r w:rsidRPr="004E1D97">
        <w:rPr>
          <w:iCs/>
        </w:rPr>
        <w:t>low level of evidence to suggest that HMR increased time to next hospitalisation, although the</w:t>
      </w:r>
      <w:r>
        <w:rPr>
          <w:iCs/>
        </w:rPr>
        <w:t xml:space="preserve"> </w:t>
      </w:r>
      <w:r w:rsidRPr="004E1D97">
        <w:rPr>
          <w:iCs/>
        </w:rPr>
        <w:t>evidence on the effect of HMR on reduction in health care resource use is conflicting. There is also</w:t>
      </w:r>
      <w:r>
        <w:rPr>
          <w:iCs/>
        </w:rPr>
        <w:t xml:space="preserve"> </w:t>
      </w:r>
      <w:r w:rsidRPr="004E1D97">
        <w:rPr>
          <w:iCs/>
        </w:rPr>
        <w:t xml:space="preserve">insufficient evidence to assess patient satisfaction with pharmacist-led HMR. </w:t>
      </w:r>
    </w:p>
    <w:p w14:paraId="2C87E5FB" w14:textId="60B72DE5" w:rsidR="003F2014" w:rsidRPr="008E49D9" w:rsidRDefault="003F2014" w:rsidP="008E49D9">
      <w:pPr>
        <w:spacing w:after="240"/>
        <w:rPr>
          <w:iCs/>
        </w:rPr>
      </w:pPr>
      <w:r w:rsidRPr="004E1D97">
        <w:rPr>
          <w:iCs/>
        </w:rPr>
        <w:t>MSAC considered that the design and value of these pharmacy service programs could be improved</w:t>
      </w:r>
      <w:r>
        <w:rPr>
          <w:iCs/>
        </w:rPr>
        <w:t xml:space="preserve"> </w:t>
      </w:r>
      <w:r w:rsidRPr="004E1D97">
        <w:rPr>
          <w:iCs/>
        </w:rPr>
        <w:t>by including formal collaboration with GPs and other healthcare networks, by being targeted to</w:t>
      </w:r>
      <w:r>
        <w:rPr>
          <w:iCs/>
        </w:rPr>
        <w:t xml:space="preserve"> </w:t>
      </w:r>
      <w:r w:rsidRPr="004E1D97">
        <w:rPr>
          <w:iCs/>
        </w:rPr>
        <w:t>more appropriate patient populations, and by a reduction in the unit cost of providing each type of</w:t>
      </w:r>
      <w:r>
        <w:rPr>
          <w:iCs/>
        </w:rPr>
        <w:t xml:space="preserve"> </w:t>
      </w:r>
      <w:r w:rsidRPr="004E1D97">
        <w:rPr>
          <w:iCs/>
        </w:rPr>
        <w:t>pharmacy service coupled with an incentive to increase this unit cost if adequate new evidence can</w:t>
      </w:r>
      <w:r>
        <w:rPr>
          <w:iCs/>
        </w:rPr>
        <w:t xml:space="preserve"> </w:t>
      </w:r>
      <w:r w:rsidRPr="004E1D97">
        <w:rPr>
          <w:iCs/>
        </w:rPr>
        <w:t>be furnished to justify an increase. Further enhancement of these programs might better justify the</w:t>
      </w:r>
      <w:r>
        <w:rPr>
          <w:iCs/>
        </w:rPr>
        <w:t xml:space="preserve"> </w:t>
      </w:r>
      <w:r w:rsidRPr="004E1D97">
        <w:rPr>
          <w:iCs/>
        </w:rPr>
        <w:t>provision of continued funding of these services</w:t>
      </w:r>
      <w:r>
        <w:rPr>
          <w:iCs/>
        </w:rPr>
        <w:t xml:space="preserve">. </w:t>
      </w:r>
    </w:p>
    <w:p w14:paraId="6F52500A" w14:textId="26EFDCA6" w:rsidR="00772829" w:rsidRPr="00CE28E3" w:rsidRDefault="000A7080" w:rsidP="002A18BE">
      <w:pPr>
        <w:pStyle w:val="Heading2"/>
        <w:numPr>
          <w:ilvl w:val="0"/>
          <w:numId w:val="0"/>
        </w:numPr>
      </w:pPr>
      <w:bookmarkStart w:id="7" w:name="ColumnTitle_Table1"/>
      <w:bookmarkStart w:id="8" w:name="_Toc69491417"/>
      <w:bookmarkEnd w:id="6"/>
      <w:bookmarkEnd w:id="7"/>
      <w:r>
        <w:t>5</w:t>
      </w:r>
      <w:r w:rsidR="00C36633">
        <w:t>.</w:t>
      </w:r>
      <w:r w:rsidR="00C36633">
        <w:tab/>
      </w:r>
      <w:bookmarkEnd w:id="8"/>
      <w:r w:rsidR="001648EF">
        <w:t>Intervention</w:t>
      </w:r>
    </w:p>
    <w:p w14:paraId="2D827E47" w14:textId="06BD318B" w:rsidR="00E67132" w:rsidRPr="00AC0519" w:rsidRDefault="00312462" w:rsidP="00E76AE0">
      <w:pPr>
        <w:pStyle w:val="Instructionaltext"/>
        <w:rPr>
          <w:color w:val="auto"/>
        </w:rPr>
      </w:pPr>
      <w:r w:rsidRPr="00A030D0">
        <w:rPr>
          <w:color w:val="auto"/>
        </w:rPr>
        <w:t xml:space="preserve">The ADAR described IMeRSe as a six-step collaborative intervention that reflects a primary healthcare team approach involving: the consumer, </w:t>
      </w:r>
      <w:r w:rsidR="00004ACA" w:rsidRPr="00A030D0">
        <w:rPr>
          <w:color w:val="auto"/>
        </w:rPr>
        <w:t>AHS</w:t>
      </w:r>
      <w:r w:rsidRPr="00A030D0">
        <w:rPr>
          <w:color w:val="auto"/>
        </w:rPr>
        <w:t xml:space="preserve"> staff (AHW and/or AHS clinician), community pharmacist and a GP. </w:t>
      </w:r>
      <w:r w:rsidR="008F1A05" w:rsidRPr="00A030D0">
        <w:rPr>
          <w:color w:val="auto"/>
        </w:rPr>
        <w:t>IMeRSe consists of a</w:t>
      </w:r>
      <w:r w:rsidR="00004ACA" w:rsidRPr="00A030D0">
        <w:rPr>
          <w:color w:val="auto"/>
        </w:rPr>
        <w:t xml:space="preserve"> </w:t>
      </w:r>
      <w:r w:rsidR="00004ACA">
        <w:rPr>
          <w:color w:val="auto"/>
        </w:rPr>
        <w:t>community</w:t>
      </w:r>
      <w:r w:rsidR="00004ACA" w:rsidRPr="00AC0519">
        <w:rPr>
          <w:color w:val="auto"/>
        </w:rPr>
        <w:t xml:space="preserve"> pharmacist</w:t>
      </w:r>
      <w:r w:rsidR="00AE53F6">
        <w:rPr>
          <w:color w:val="auto"/>
        </w:rPr>
        <w:noBreakHyphen/>
      </w:r>
      <w:r w:rsidR="00004ACA" w:rsidRPr="00AC0519">
        <w:rPr>
          <w:color w:val="auto"/>
        </w:rPr>
        <w:t>led medication management review</w:t>
      </w:r>
      <w:r w:rsidR="00004ACA">
        <w:rPr>
          <w:color w:val="auto"/>
        </w:rPr>
        <w:t xml:space="preserve"> with a consumer participant, supported by an AHW</w:t>
      </w:r>
      <w:r w:rsidR="00004ACA" w:rsidRPr="00004ACA">
        <w:rPr>
          <w:color w:val="auto"/>
        </w:rPr>
        <w:t>,</w:t>
      </w:r>
      <w:r w:rsidR="008F1A05">
        <w:rPr>
          <w:color w:val="auto"/>
        </w:rPr>
        <w:t xml:space="preserve"> and</w:t>
      </w:r>
      <w:r w:rsidR="00004ACA" w:rsidRPr="00004ACA">
        <w:rPr>
          <w:color w:val="auto"/>
        </w:rPr>
        <w:t xml:space="preserve"> finalised by</w:t>
      </w:r>
      <w:r w:rsidR="008F1A05">
        <w:rPr>
          <w:color w:val="auto"/>
        </w:rPr>
        <w:t xml:space="preserve"> a</w:t>
      </w:r>
      <w:r w:rsidR="00004ACA" w:rsidRPr="00004ACA">
        <w:rPr>
          <w:color w:val="auto"/>
        </w:rPr>
        <w:t xml:space="preserve"> GP</w:t>
      </w:r>
      <w:r w:rsidR="00AE53F6">
        <w:rPr>
          <w:color w:val="auto"/>
        </w:rPr>
        <w:noBreakHyphen/>
      </w:r>
      <w:r w:rsidR="00004ACA" w:rsidRPr="00004ACA">
        <w:rPr>
          <w:color w:val="auto"/>
        </w:rPr>
        <w:t>led medication plan in consultation with the consumer, AHW and community pharmacist</w:t>
      </w:r>
      <w:r w:rsidR="00004ACA">
        <w:rPr>
          <w:color w:val="auto"/>
        </w:rPr>
        <w:t>.</w:t>
      </w:r>
    </w:p>
    <w:p w14:paraId="387913A2" w14:textId="40504C72" w:rsidR="00B95F51" w:rsidRDefault="00B95F51" w:rsidP="00E76AE0">
      <w:pPr>
        <w:pStyle w:val="Instructionaltext"/>
        <w:rPr>
          <w:color w:val="auto"/>
        </w:rPr>
      </w:pPr>
      <w:r w:rsidRPr="00AC0519">
        <w:rPr>
          <w:color w:val="auto"/>
        </w:rPr>
        <w:t xml:space="preserve">Both the intervention in the </w:t>
      </w:r>
      <w:r>
        <w:rPr>
          <w:color w:val="auto"/>
        </w:rPr>
        <w:t xml:space="preserve">IMeRSe </w:t>
      </w:r>
      <w:r w:rsidRPr="00AC0519">
        <w:rPr>
          <w:color w:val="auto"/>
        </w:rPr>
        <w:t xml:space="preserve">Feasibility </w:t>
      </w:r>
      <w:r w:rsidR="00820A54">
        <w:rPr>
          <w:color w:val="auto"/>
        </w:rPr>
        <w:t>S</w:t>
      </w:r>
      <w:r w:rsidRPr="00AC0519">
        <w:rPr>
          <w:color w:val="auto"/>
        </w:rPr>
        <w:t xml:space="preserve">tudy and in the </w:t>
      </w:r>
      <w:r>
        <w:rPr>
          <w:color w:val="auto"/>
        </w:rPr>
        <w:t>ADAR</w:t>
      </w:r>
      <w:r w:rsidRPr="00AC0519">
        <w:rPr>
          <w:color w:val="auto"/>
        </w:rPr>
        <w:t xml:space="preserve"> are described as the same six-step collaborative intervention</w:t>
      </w:r>
      <w:r>
        <w:rPr>
          <w:color w:val="auto"/>
        </w:rPr>
        <w:t>:</w:t>
      </w:r>
    </w:p>
    <w:p w14:paraId="5B62B2F6" w14:textId="216C75F4" w:rsidR="00B95F51" w:rsidRDefault="00B95F51" w:rsidP="00E11EEF">
      <w:pPr>
        <w:pStyle w:val="Instructionaltext"/>
        <w:numPr>
          <w:ilvl w:val="0"/>
          <w:numId w:val="31"/>
        </w:numPr>
        <w:ind w:left="714" w:hanging="357"/>
        <w:contextualSpacing/>
        <w:rPr>
          <w:color w:val="auto"/>
        </w:rPr>
      </w:pPr>
      <w:r w:rsidRPr="00B95F51">
        <w:rPr>
          <w:color w:val="auto"/>
        </w:rPr>
        <w:t>Consumer identification, recruitment and informed consent</w:t>
      </w:r>
    </w:p>
    <w:p w14:paraId="58F5E496" w14:textId="330AF9BD" w:rsidR="00B95F51" w:rsidRDefault="00B95F51" w:rsidP="00E11EEF">
      <w:pPr>
        <w:pStyle w:val="Instructionaltext"/>
        <w:numPr>
          <w:ilvl w:val="0"/>
          <w:numId w:val="31"/>
        </w:numPr>
        <w:ind w:left="714" w:hanging="357"/>
        <w:contextualSpacing/>
        <w:rPr>
          <w:color w:val="auto"/>
        </w:rPr>
      </w:pPr>
      <w:r w:rsidRPr="00B95F51">
        <w:rPr>
          <w:color w:val="auto"/>
        </w:rPr>
        <w:t>Referral, information exchange and appointments</w:t>
      </w:r>
    </w:p>
    <w:p w14:paraId="471B967C" w14:textId="05CE03E9" w:rsidR="00B95F51" w:rsidRDefault="00B95F51" w:rsidP="00E11EEF">
      <w:pPr>
        <w:pStyle w:val="Instructionaltext"/>
        <w:numPr>
          <w:ilvl w:val="0"/>
          <w:numId w:val="31"/>
        </w:numPr>
        <w:ind w:left="714" w:hanging="357"/>
        <w:contextualSpacing/>
        <w:rPr>
          <w:color w:val="auto"/>
        </w:rPr>
      </w:pPr>
      <w:r w:rsidRPr="00B95F51">
        <w:rPr>
          <w:color w:val="auto"/>
        </w:rPr>
        <w:t>Medicines Talk</w:t>
      </w:r>
    </w:p>
    <w:p w14:paraId="0A6B7347" w14:textId="6749FEFA" w:rsidR="00B95F51" w:rsidRDefault="00B95F51" w:rsidP="00E11EEF">
      <w:pPr>
        <w:pStyle w:val="Instructionaltext"/>
        <w:numPr>
          <w:ilvl w:val="0"/>
          <w:numId w:val="31"/>
        </w:numPr>
        <w:ind w:left="714" w:hanging="357"/>
        <w:contextualSpacing/>
        <w:rPr>
          <w:color w:val="auto"/>
        </w:rPr>
      </w:pPr>
      <w:r w:rsidRPr="00B95F51">
        <w:rPr>
          <w:color w:val="auto"/>
        </w:rPr>
        <w:t>Medicines Report</w:t>
      </w:r>
    </w:p>
    <w:p w14:paraId="1CC7B2AF" w14:textId="7E32565E" w:rsidR="00B95F51" w:rsidRDefault="00B95F51" w:rsidP="00E11EEF">
      <w:pPr>
        <w:pStyle w:val="Instructionaltext"/>
        <w:numPr>
          <w:ilvl w:val="0"/>
          <w:numId w:val="31"/>
        </w:numPr>
        <w:ind w:left="714" w:hanging="357"/>
        <w:contextualSpacing/>
        <w:rPr>
          <w:color w:val="auto"/>
        </w:rPr>
      </w:pPr>
      <w:r w:rsidRPr="00B95F51">
        <w:rPr>
          <w:color w:val="auto"/>
        </w:rPr>
        <w:t>My Medicines Plan</w:t>
      </w:r>
    </w:p>
    <w:p w14:paraId="13836257" w14:textId="3FAA660B" w:rsidR="0072652E" w:rsidRPr="0072652E" w:rsidRDefault="00B95F51" w:rsidP="000A7080">
      <w:pPr>
        <w:pStyle w:val="Instructionaltext"/>
        <w:numPr>
          <w:ilvl w:val="0"/>
          <w:numId w:val="31"/>
        </w:numPr>
        <w:spacing w:after="240"/>
        <w:ind w:left="714" w:hanging="357"/>
        <w:rPr>
          <w:color w:val="auto"/>
        </w:rPr>
      </w:pPr>
      <w:r w:rsidRPr="00B95F51">
        <w:rPr>
          <w:color w:val="auto"/>
        </w:rPr>
        <w:t>Structured follow-up and monitoring over the next 6-months</w:t>
      </w:r>
      <w:r>
        <w:rPr>
          <w:color w:val="auto"/>
        </w:rPr>
        <w:t>.</w:t>
      </w:r>
    </w:p>
    <w:p w14:paraId="6B96B8AA" w14:textId="308291B0" w:rsidR="006446B8" w:rsidRPr="001763F0" w:rsidRDefault="0072652E" w:rsidP="000A7080">
      <w:pPr>
        <w:pStyle w:val="Instructionaltext"/>
        <w:spacing w:before="240"/>
        <w:rPr>
          <w:color w:val="auto"/>
        </w:rPr>
      </w:pPr>
      <w:r>
        <w:rPr>
          <w:color w:val="auto"/>
        </w:rPr>
        <w:t xml:space="preserve">The commentary noted that </w:t>
      </w:r>
      <w:r w:rsidRPr="00AC0519">
        <w:rPr>
          <w:color w:val="auto"/>
        </w:rPr>
        <w:t xml:space="preserve">in the </w:t>
      </w:r>
      <w:r>
        <w:rPr>
          <w:color w:val="auto"/>
        </w:rPr>
        <w:t xml:space="preserve">IMeRSe </w:t>
      </w:r>
      <w:r w:rsidRPr="00AC0519">
        <w:rPr>
          <w:color w:val="auto"/>
        </w:rPr>
        <w:t xml:space="preserve">Feasibility </w:t>
      </w:r>
      <w:r w:rsidR="00820A54">
        <w:rPr>
          <w:color w:val="auto"/>
        </w:rPr>
        <w:t>S</w:t>
      </w:r>
      <w:r w:rsidRPr="00AC0519">
        <w:rPr>
          <w:color w:val="auto"/>
        </w:rPr>
        <w:t>tudy</w:t>
      </w:r>
      <w:r>
        <w:rPr>
          <w:color w:val="auto"/>
        </w:rPr>
        <w:t>, prior to step 1,</w:t>
      </w:r>
      <w:r w:rsidRPr="00AC0519">
        <w:rPr>
          <w:color w:val="auto"/>
        </w:rPr>
        <w:t xml:space="preserve"> there was a large degree of community engagement and training of staff in both the AHS (GPs,</w:t>
      </w:r>
      <w:r>
        <w:rPr>
          <w:color w:val="auto"/>
        </w:rPr>
        <w:t xml:space="preserve"> </w:t>
      </w:r>
      <w:r w:rsidRPr="00AC0519">
        <w:rPr>
          <w:color w:val="auto"/>
        </w:rPr>
        <w:t>AHW, AP, administration</w:t>
      </w:r>
      <w:r w:rsidRPr="001763F0">
        <w:rPr>
          <w:color w:val="auto"/>
        </w:rPr>
        <w:t xml:space="preserve">) and the community pharmacy to create a ‘community of practice, relationship and specific recruitment strategies for different communities. </w:t>
      </w:r>
      <w:r w:rsidRPr="001763F0">
        <w:rPr>
          <w:iCs/>
          <w:color w:val="auto"/>
        </w:rPr>
        <w:t>These activities were reported in the IMeRSe Feasibility Study as vital to establishing the relationships to facilitate the intervention. However, none of these activities are described as being part of the intervention</w:t>
      </w:r>
      <w:r w:rsidR="004113F0" w:rsidRPr="001763F0">
        <w:rPr>
          <w:iCs/>
          <w:color w:val="auto"/>
        </w:rPr>
        <w:t xml:space="preserve"> for implementation</w:t>
      </w:r>
      <w:r w:rsidRPr="001763F0">
        <w:rPr>
          <w:iCs/>
          <w:color w:val="auto"/>
        </w:rPr>
        <w:t xml:space="preserve"> in the ADAR.</w:t>
      </w:r>
    </w:p>
    <w:p w14:paraId="051C94E4" w14:textId="2322440A" w:rsidR="0019352E" w:rsidRPr="001763F0" w:rsidRDefault="00987B8D" w:rsidP="00063F9D">
      <w:pPr>
        <w:pStyle w:val="Instructionaltext"/>
        <w:rPr>
          <w:color w:val="auto"/>
        </w:rPr>
      </w:pPr>
      <w:r w:rsidRPr="001763F0">
        <w:rPr>
          <w:color w:val="auto"/>
        </w:rPr>
        <w:t xml:space="preserve">The commentary also noted that in the IMeRSe Feasibility </w:t>
      </w:r>
      <w:r w:rsidR="00820A54" w:rsidRPr="001763F0">
        <w:rPr>
          <w:color w:val="auto"/>
        </w:rPr>
        <w:t>S</w:t>
      </w:r>
      <w:r w:rsidRPr="001763F0">
        <w:rPr>
          <w:color w:val="auto"/>
        </w:rPr>
        <w:t xml:space="preserve">tudy, step 1 of the intervention </w:t>
      </w:r>
      <w:r w:rsidR="001E0805" w:rsidRPr="001763F0">
        <w:rPr>
          <w:color w:val="auto"/>
        </w:rPr>
        <w:t>describe</w:t>
      </w:r>
      <w:r w:rsidR="008F1A05" w:rsidRPr="001763F0">
        <w:rPr>
          <w:color w:val="auto"/>
        </w:rPr>
        <w:t>d</w:t>
      </w:r>
      <w:r w:rsidR="001E0805" w:rsidRPr="001763F0">
        <w:rPr>
          <w:color w:val="auto"/>
        </w:rPr>
        <w:t xml:space="preserve"> a complex team based approach to identifying likely participants </w:t>
      </w:r>
      <w:r w:rsidR="006446B8" w:rsidRPr="001763F0">
        <w:rPr>
          <w:color w:val="auto"/>
        </w:rPr>
        <w:t>that involve</w:t>
      </w:r>
      <w:r w:rsidR="0072652E" w:rsidRPr="001763F0">
        <w:rPr>
          <w:color w:val="auto"/>
        </w:rPr>
        <w:t>d</w:t>
      </w:r>
      <w:r w:rsidR="006446B8" w:rsidRPr="001763F0">
        <w:rPr>
          <w:color w:val="auto"/>
        </w:rPr>
        <w:t xml:space="preserve"> opportunistic recruitment occurring during schedule</w:t>
      </w:r>
      <w:r w:rsidR="00AE53F6" w:rsidRPr="001763F0">
        <w:rPr>
          <w:color w:val="auto"/>
        </w:rPr>
        <w:t>d</w:t>
      </w:r>
      <w:r w:rsidR="006446B8" w:rsidRPr="001763F0">
        <w:rPr>
          <w:color w:val="auto"/>
        </w:rPr>
        <w:t>/unscheduled appointment, at specialist clinics, outreach visits, community barbeques, when dispensing medication and self-referral</w:t>
      </w:r>
      <w:r w:rsidR="0072652E" w:rsidRPr="001763F0">
        <w:rPr>
          <w:color w:val="auto"/>
        </w:rPr>
        <w:t>,</w:t>
      </w:r>
      <w:r w:rsidR="006446B8" w:rsidRPr="001763F0">
        <w:rPr>
          <w:color w:val="auto"/>
        </w:rPr>
        <w:t xml:space="preserve"> as well as targeted identification through review of clinical databases, participants assessing other services and via recall lists. </w:t>
      </w:r>
      <w:r w:rsidR="00B53615" w:rsidRPr="001763F0">
        <w:rPr>
          <w:iCs/>
          <w:color w:val="auto"/>
        </w:rPr>
        <w:t xml:space="preserve">In addition, </w:t>
      </w:r>
      <w:r w:rsidR="00063F9D" w:rsidRPr="001763F0">
        <w:rPr>
          <w:iCs/>
          <w:color w:val="auto"/>
        </w:rPr>
        <w:t>specially trained</w:t>
      </w:r>
      <w:r w:rsidR="00B53615" w:rsidRPr="001763F0">
        <w:rPr>
          <w:iCs/>
          <w:color w:val="auto"/>
        </w:rPr>
        <w:t xml:space="preserve"> Study Coordinators</w:t>
      </w:r>
      <w:r w:rsidR="008A54F6" w:rsidRPr="001763F0">
        <w:rPr>
          <w:iCs/>
          <w:color w:val="auto"/>
        </w:rPr>
        <w:t xml:space="preserve"> (</w:t>
      </w:r>
      <w:r w:rsidR="00B53615" w:rsidRPr="001763F0">
        <w:rPr>
          <w:iCs/>
          <w:color w:val="auto"/>
        </w:rPr>
        <w:t>who were recruited from the AHS</w:t>
      </w:r>
      <w:r w:rsidR="008A54F6" w:rsidRPr="001763F0">
        <w:rPr>
          <w:iCs/>
          <w:color w:val="auto"/>
        </w:rPr>
        <w:t xml:space="preserve">) </w:t>
      </w:r>
      <w:r w:rsidR="00B53615" w:rsidRPr="001763F0">
        <w:rPr>
          <w:iCs/>
          <w:color w:val="auto"/>
        </w:rPr>
        <w:t>were reported to play a critical</w:t>
      </w:r>
      <w:r w:rsidR="004113F0" w:rsidRPr="001763F0">
        <w:rPr>
          <w:iCs/>
          <w:color w:val="auto"/>
        </w:rPr>
        <w:t xml:space="preserve"> role in</w:t>
      </w:r>
      <w:r w:rsidR="00B53615" w:rsidRPr="001763F0">
        <w:rPr>
          <w:iCs/>
          <w:color w:val="auto"/>
        </w:rPr>
        <w:t xml:space="preserve"> the implementation and facilitation of the Intervention. </w:t>
      </w:r>
      <w:r w:rsidR="008A54F6" w:rsidRPr="001763F0">
        <w:rPr>
          <w:iCs/>
          <w:color w:val="auto"/>
        </w:rPr>
        <w:t xml:space="preserve">For example, Study Coordinators facilitated </w:t>
      </w:r>
      <w:r w:rsidR="00063F9D" w:rsidRPr="001763F0">
        <w:rPr>
          <w:iCs/>
          <w:color w:val="auto"/>
        </w:rPr>
        <w:t>consumer consent, access to clinical information for eligibility and sharing with pharmacists.</w:t>
      </w:r>
      <w:r w:rsidR="00DA53B6" w:rsidRPr="001763F0">
        <w:rPr>
          <w:color w:val="auto"/>
        </w:rPr>
        <w:t xml:space="preserve"> </w:t>
      </w:r>
      <w:r w:rsidR="00B968CB" w:rsidRPr="001763F0">
        <w:rPr>
          <w:color w:val="auto"/>
        </w:rPr>
        <w:t xml:space="preserve">The commentary noted </w:t>
      </w:r>
      <w:r w:rsidR="00063F9D" w:rsidRPr="001763F0">
        <w:rPr>
          <w:color w:val="auto"/>
        </w:rPr>
        <w:t xml:space="preserve">it was not demonstrated </w:t>
      </w:r>
      <w:r w:rsidR="00DA53B6" w:rsidRPr="001763F0">
        <w:rPr>
          <w:iCs/>
          <w:color w:val="auto"/>
        </w:rPr>
        <w:t>which approach was most successful at identifying participants</w:t>
      </w:r>
      <w:r w:rsidR="004113F0" w:rsidRPr="001763F0">
        <w:rPr>
          <w:iCs/>
          <w:color w:val="auto"/>
        </w:rPr>
        <w:t>. Further,</w:t>
      </w:r>
      <w:r w:rsidR="00697F7A" w:rsidRPr="001763F0">
        <w:rPr>
          <w:iCs/>
          <w:color w:val="auto"/>
        </w:rPr>
        <w:t xml:space="preserve"> </w:t>
      </w:r>
      <w:r w:rsidR="004113F0" w:rsidRPr="001763F0">
        <w:rPr>
          <w:iCs/>
          <w:color w:val="auto"/>
        </w:rPr>
        <w:t xml:space="preserve">the </w:t>
      </w:r>
      <w:r w:rsidR="00697F7A" w:rsidRPr="001763F0">
        <w:rPr>
          <w:iCs/>
          <w:color w:val="auto"/>
        </w:rPr>
        <w:t xml:space="preserve">complex </w:t>
      </w:r>
      <w:r w:rsidR="007745D5" w:rsidRPr="001763F0">
        <w:rPr>
          <w:iCs/>
          <w:color w:val="auto"/>
        </w:rPr>
        <w:t>team-based</w:t>
      </w:r>
      <w:r w:rsidR="00697F7A" w:rsidRPr="001763F0">
        <w:rPr>
          <w:iCs/>
          <w:color w:val="auto"/>
        </w:rPr>
        <w:t xml:space="preserve"> approach </w:t>
      </w:r>
      <w:r w:rsidR="00063F9D" w:rsidRPr="001763F0">
        <w:rPr>
          <w:iCs/>
          <w:color w:val="auto"/>
        </w:rPr>
        <w:t>does not appear to be supported by the proposed implementation</w:t>
      </w:r>
      <w:r w:rsidR="004113F0" w:rsidRPr="001763F0">
        <w:rPr>
          <w:iCs/>
          <w:color w:val="auto"/>
        </w:rPr>
        <w:t xml:space="preserve"> of IMeRSe</w:t>
      </w:r>
      <w:r w:rsidR="00063F9D" w:rsidRPr="001763F0">
        <w:rPr>
          <w:iCs/>
          <w:color w:val="auto"/>
        </w:rPr>
        <w:t xml:space="preserve"> and there is a lack of clarity on the pathway for identification, referral to a pharmacist and communication of clinical information.</w:t>
      </w:r>
      <w:r w:rsidR="006A3168" w:rsidRPr="001763F0">
        <w:rPr>
          <w:color w:val="auto"/>
        </w:rPr>
        <w:t xml:space="preserve"> </w:t>
      </w:r>
    </w:p>
    <w:p w14:paraId="685B0EE7" w14:textId="39309B76" w:rsidR="006E49A3" w:rsidRDefault="001E2398" w:rsidP="00C0339F">
      <w:pPr>
        <w:pStyle w:val="Instructionaltext"/>
        <w:rPr>
          <w:color w:val="auto"/>
        </w:rPr>
      </w:pPr>
      <w:r w:rsidRPr="001763F0">
        <w:rPr>
          <w:color w:val="auto"/>
        </w:rPr>
        <w:t xml:space="preserve">The </w:t>
      </w:r>
      <w:r w:rsidR="004651DE" w:rsidRPr="001763F0">
        <w:rPr>
          <w:color w:val="auto"/>
        </w:rPr>
        <w:t xml:space="preserve">commentary noted that </w:t>
      </w:r>
      <w:r w:rsidR="00AE53F6" w:rsidRPr="001763F0">
        <w:rPr>
          <w:color w:val="auto"/>
        </w:rPr>
        <w:t xml:space="preserve">the </w:t>
      </w:r>
      <w:r w:rsidR="00723205" w:rsidRPr="001763F0">
        <w:rPr>
          <w:color w:val="auto"/>
        </w:rPr>
        <w:t>ADAR</w:t>
      </w:r>
      <w:r w:rsidRPr="001763F0">
        <w:rPr>
          <w:color w:val="auto"/>
        </w:rPr>
        <w:t xml:space="preserve"> </w:t>
      </w:r>
      <w:r w:rsidR="00BA1333" w:rsidRPr="001763F0">
        <w:rPr>
          <w:color w:val="auto"/>
        </w:rPr>
        <w:t>proposed that it is feasible to implement</w:t>
      </w:r>
      <w:r w:rsidRPr="001763F0">
        <w:rPr>
          <w:color w:val="auto"/>
        </w:rPr>
        <w:t xml:space="preserve"> </w:t>
      </w:r>
      <w:r w:rsidR="00063F9D" w:rsidRPr="001763F0">
        <w:rPr>
          <w:color w:val="auto"/>
        </w:rPr>
        <w:t>IMeRSe</w:t>
      </w:r>
      <w:r w:rsidRPr="001763F0">
        <w:rPr>
          <w:color w:val="auto"/>
        </w:rPr>
        <w:t xml:space="preserve"> across the 247 organisations </w:t>
      </w:r>
      <w:r w:rsidR="00BA1333" w:rsidRPr="001763F0">
        <w:rPr>
          <w:color w:val="auto"/>
        </w:rPr>
        <w:t xml:space="preserve">that provide </w:t>
      </w:r>
      <w:r w:rsidRPr="001763F0">
        <w:rPr>
          <w:color w:val="auto"/>
        </w:rPr>
        <w:t xml:space="preserve">primary health services </w:t>
      </w:r>
      <w:r w:rsidR="009258CA" w:rsidRPr="001763F0">
        <w:rPr>
          <w:color w:val="auto"/>
        </w:rPr>
        <w:t xml:space="preserve">Aboriginal and Torres Strait Islander peoples </w:t>
      </w:r>
      <w:r w:rsidRPr="001763F0">
        <w:rPr>
          <w:color w:val="auto"/>
        </w:rPr>
        <w:t xml:space="preserve">as well as mainstream GP clinics. </w:t>
      </w:r>
      <w:r w:rsidR="00D84AC5" w:rsidRPr="001763F0">
        <w:rPr>
          <w:color w:val="auto"/>
        </w:rPr>
        <w:t>The</w:t>
      </w:r>
      <w:r w:rsidR="00BA1333" w:rsidRPr="001763F0">
        <w:rPr>
          <w:color w:val="auto"/>
        </w:rPr>
        <w:t xml:space="preserve"> commentary considered the</w:t>
      </w:r>
      <w:r w:rsidR="00D84AC5" w:rsidRPr="001763F0">
        <w:rPr>
          <w:color w:val="auto"/>
        </w:rPr>
        <w:t xml:space="preserve"> </w:t>
      </w:r>
      <w:r w:rsidR="00FD44FD" w:rsidRPr="001763F0">
        <w:rPr>
          <w:color w:val="auto"/>
        </w:rPr>
        <w:t xml:space="preserve">IMeRSe </w:t>
      </w:r>
      <w:r w:rsidR="00D84AC5" w:rsidRPr="001763F0">
        <w:rPr>
          <w:color w:val="auto"/>
        </w:rPr>
        <w:t xml:space="preserve">Feasibility Study did not provide evidence </w:t>
      </w:r>
      <w:r w:rsidR="00BA1333" w:rsidRPr="001763F0">
        <w:rPr>
          <w:color w:val="auto"/>
        </w:rPr>
        <w:t>to support this</w:t>
      </w:r>
      <w:r w:rsidR="00D84AC5" w:rsidRPr="001763F0">
        <w:rPr>
          <w:color w:val="auto"/>
        </w:rPr>
        <w:t xml:space="preserve"> assumption</w:t>
      </w:r>
      <w:r w:rsidR="002B3539" w:rsidRPr="001763F0">
        <w:rPr>
          <w:color w:val="auto"/>
        </w:rPr>
        <w:t xml:space="preserve">. </w:t>
      </w:r>
      <w:r w:rsidR="00BA1333" w:rsidRPr="001763F0">
        <w:rPr>
          <w:color w:val="auto"/>
        </w:rPr>
        <w:t>It wa</w:t>
      </w:r>
      <w:r w:rsidR="00012B3A" w:rsidRPr="001763F0">
        <w:rPr>
          <w:color w:val="auto"/>
        </w:rPr>
        <w:t>s</w:t>
      </w:r>
      <w:r w:rsidR="00BA1333" w:rsidRPr="001763F0">
        <w:rPr>
          <w:color w:val="auto"/>
        </w:rPr>
        <w:t xml:space="preserve"> noted that o</w:t>
      </w:r>
      <w:r w:rsidR="002B3539" w:rsidRPr="001763F0">
        <w:rPr>
          <w:color w:val="auto"/>
        </w:rPr>
        <w:t xml:space="preserve">nly one mainstream primary health clinic was included, and as reported in the </w:t>
      </w:r>
      <w:r w:rsidR="004651DE" w:rsidRPr="001763F0">
        <w:rPr>
          <w:color w:val="auto"/>
        </w:rPr>
        <w:t xml:space="preserve">IMeRSe Feasibility </w:t>
      </w:r>
      <w:r w:rsidR="002B3539" w:rsidRPr="001763F0">
        <w:rPr>
          <w:color w:val="auto"/>
        </w:rPr>
        <w:t xml:space="preserve">Study, the 15 Medicines Plans that </w:t>
      </w:r>
      <w:r w:rsidR="004651DE" w:rsidRPr="001763F0">
        <w:rPr>
          <w:color w:val="auto"/>
        </w:rPr>
        <w:t xml:space="preserve">were </w:t>
      </w:r>
      <w:r w:rsidR="002B3539" w:rsidRPr="001763F0">
        <w:rPr>
          <w:color w:val="auto"/>
        </w:rPr>
        <w:t>not reviewed and finalised by GPs came from one study site, where mainstream (private) medical practices were responsible for the clinical care of the participants.</w:t>
      </w:r>
      <w:r w:rsidR="002B3539" w:rsidRPr="00AC0519">
        <w:rPr>
          <w:color w:val="auto"/>
        </w:rPr>
        <w:t xml:space="preserve"> </w:t>
      </w:r>
      <w:r w:rsidR="00D84AC5" w:rsidRPr="00AC0519">
        <w:rPr>
          <w:color w:val="auto"/>
        </w:rPr>
        <w:t xml:space="preserve"> </w:t>
      </w:r>
    </w:p>
    <w:p w14:paraId="6E5DBAD6" w14:textId="58CB0997" w:rsidR="00517B67" w:rsidRDefault="00517B67" w:rsidP="00517B67">
      <w:pPr>
        <w:pStyle w:val="Instructionaltext"/>
        <w:rPr>
          <w:color w:val="auto"/>
        </w:rPr>
      </w:pPr>
      <w:r>
        <w:rPr>
          <w:color w:val="auto"/>
        </w:rPr>
        <w:t>The pre-ESC response clarified that t</w:t>
      </w:r>
      <w:r w:rsidRPr="006E49A3">
        <w:rPr>
          <w:color w:val="auto"/>
        </w:rPr>
        <w:t xml:space="preserve">here are a number of ways that a consumer’s clinical information could be provided to the pharmacist prior to an IMeRSe service, for example, an </w:t>
      </w:r>
      <w:r w:rsidR="00EF6BC0">
        <w:rPr>
          <w:color w:val="auto"/>
        </w:rPr>
        <w:t>AHW</w:t>
      </w:r>
      <w:r w:rsidRPr="006E49A3">
        <w:rPr>
          <w:color w:val="auto"/>
        </w:rPr>
        <w:t>, nurse, or GP could provide the information, or arrangements could be made for the pharmacist to have access to clinical records at the health service</w:t>
      </w:r>
      <w:r>
        <w:rPr>
          <w:color w:val="auto"/>
        </w:rPr>
        <w:t xml:space="preserve">. The pre-ESC response noted that </w:t>
      </w:r>
      <w:r w:rsidRPr="005F6683">
        <w:rPr>
          <w:color w:val="auto"/>
        </w:rPr>
        <w:t>this may not necessarily require an MBS Item number but could be possible via access through the new Indigenous Health Services Pharmacy Support Program (which was introduced after this MSAC submission).</w:t>
      </w:r>
      <w:r w:rsidR="00563B8F">
        <w:rPr>
          <w:color w:val="auto"/>
        </w:rPr>
        <w:t xml:space="preserve"> It was also claimed that</w:t>
      </w:r>
      <w:r w:rsidR="00563B8F" w:rsidRPr="00517B67">
        <w:rPr>
          <w:color w:val="auto"/>
        </w:rPr>
        <w:t xml:space="preserve"> </w:t>
      </w:r>
      <w:r w:rsidR="00563B8F">
        <w:rPr>
          <w:color w:val="auto"/>
        </w:rPr>
        <w:t xml:space="preserve">failure for GPs to follow up can occur with existing MMR services and </w:t>
      </w:r>
      <w:r w:rsidR="00430134">
        <w:rPr>
          <w:color w:val="auto"/>
        </w:rPr>
        <w:t>therefore referral by a GP</w:t>
      </w:r>
      <w:r w:rsidR="00563B8F" w:rsidRPr="006E49A3">
        <w:rPr>
          <w:color w:val="auto"/>
        </w:rPr>
        <w:t xml:space="preserve"> does not guarantee any subsequent pharmacist report will be reviewed by the doctor.</w:t>
      </w:r>
      <w:r w:rsidR="007F1132">
        <w:rPr>
          <w:color w:val="auto"/>
        </w:rPr>
        <w:t xml:space="preserve"> The pre-MSAC response reiterated that GP referral is a barrier for </w:t>
      </w:r>
      <w:r w:rsidR="00EE6741">
        <w:rPr>
          <w:color w:val="auto"/>
        </w:rPr>
        <w:t xml:space="preserve">Aboriginal and Torres Strait Islander </w:t>
      </w:r>
      <w:r w:rsidR="00BB7116">
        <w:rPr>
          <w:color w:val="auto"/>
        </w:rPr>
        <w:t>peoples to</w:t>
      </w:r>
      <w:r w:rsidR="007F1132">
        <w:rPr>
          <w:color w:val="auto"/>
        </w:rPr>
        <w:t xml:space="preserve"> access existing MMR programs and that the IMeRSe was specifically designed with flexibility in the referral process to address this barrier. </w:t>
      </w:r>
    </w:p>
    <w:p w14:paraId="41A691E7" w14:textId="18C8D490" w:rsidR="001A3597" w:rsidRPr="004B5A9D" w:rsidRDefault="00EF6BC0" w:rsidP="00517B67">
      <w:pPr>
        <w:pStyle w:val="Instructionaltext"/>
        <w:rPr>
          <w:color w:val="auto"/>
        </w:rPr>
      </w:pPr>
      <w:r w:rsidRPr="003A5777">
        <w:rPr>
          <w:color w:val="auto"/>
        </w:rPr>
        <w:t xml:space="preserve">MSAC considered that flexibility in referral may reduce </w:t>
      </w:r>
      <w:r w:rsidRPr="001763F0">
        <w:rPr>
          <w:color w:val="auto"/>
        </w:rPr>
        <w:t>access barriers but agreed with ESC’s concerns there would be a lack of engagement and collaboration with GPs and that it is important to</w:t>
      </w:r>
      <w:r w:rsidR="001A3597" w:rsidRPr="001763F0">
        <w:rPr>
          <w:color w:val="auto"/>
        </w:rPr>
        <w:t xml:space="preserve"> ensure the proposed service aligned with primary health reforms aiming to provide coordinated and integrated multidisciplinary health care.</w:t>
      </w:r>
    </w:p>
    <w:p w14:paraId="30961200" w14:textId="4CA1608F" w:rsidR="00FC6BAC" w:rsidRPr="00723205" w:rsidRDefault="000A7080" w:rsidP="00723205">
      <w:pPr>
        <w:pStyle w:val="Heading2"/>
        <w:numPr>
          <w:ilvl w:val="0"/>
          <w:numId w:val="0"/>
        </w:numPr>
        <w:rPr>
          <w:color w:val="auto"/>
        </w:rPr>
      </w:pPr>
      <w:bookmarkStart w:id="9" w:name="_Toc69491418"/>
      <w:r>
        <w:t>6</w:t>
      </w:r>
      <w:r w:rsidR="00C36633" w:rsidRPr="00723205">
        <w:t>.</w:t>
      </w:r>
      <w:r w:rsidR="00C36633" w:rsidRPr="00723205">
        <w:tab/>
      </w:r>
      <w:r w:rsidR="00772829" w:rsidRPr="00723205">
        <w:t>Proposal for public funding</w:t>
      </w:r>
      <w:bookmarkEnd w:id="9"/>
    </w:p>
    <w:p w14:paraId="4E1F92F5" w14:textId="1E503DC7" w:rsidR="00A84F5E" w:rsidRDefault="00702294" w:rsidP="00071317">
      <w:pPr>
        <w:pStyle w:val="Instructionaltext"/>
        <w:rPr>
          <w:color w:val="auto"/>
        </w:rPr>
      </w:pPr>
      <w:r>
        <w:rPr>
          <w:color w:val="auto"/>
        </w:rPr>
        <w:t>The ADAR request</w:t>
      </w:r>
      <w:r w:rsidR="00A030D0">
        <w:rPr>
          <w:color w:val="auto"/>
        </w:rPr>
        <w:t>ed</w:t>
      </w:r>
      <w:r>
        <w:rPr>
          <w:color w:val="auto"/>
        </w:rPr>
        <w:t xml:space="preserve"> funding </w:t>
      </w:r>
      <w:r w:rsidR="00071317">
        <w:rPr>
          <w:color w:val="auto"/>
        </w:rPr>
        <w:t>for IMeRSe by proposing t</w:t>
      </w:r>
      <w:r w:rsidR="00FC6BAC" w:rsidRPr="00723205">
        <w:rPr>
          <w:color w:val="auto"/>
        </w:rPr>
        <w:t>hree new MBS item descriptor</w:t>
      </w:r>
      <w:r w:rsidR="00495C36">
        <w:rPr>
          <w:color w:val="auto"/>
        </w:rPr>
        <w:t>s</w:t>
      </w:r>
      <w:r w:rsidR="00071317">
        <w:rPr>
          <w:color w:val="auto"/>
        </w:rPr>
        <w:t>:</w:t>
      </w:r>
      <w:r w:rsidR="00FC6BAC" w:rsidRPr="00723205">
        <w:rPr>
          <w:color w:val="auto"/>
        </w:rPr>
        <w:t xml:space="preserve"> one for participating pharmacists</w:t>
      </w:r>
      <w:r w:rsidR="00FD7497">
        <w:rPr>
          <w:color w:val="auto"/>
        </w:rPr>
        <w:t xml:space="preserve"> (with two follow-ups)</w:t>
      </w:r>
      <w:r w:rsidR="00FC6BAC" w:rsidRPr="00723205">
        <w:rPr>
          <w:color w:val="auto"/>
        </w:rPr>
        <w:t>, one for AHWs</w:t>
      </w:r>
      <w:r w:rsidR="00FD7497">
        <w:rPr>
          <w:color w:val="auto"/>
        </w:rPr>
        <w:t xml:space="preserve"> (with two follow-ups)</w:t>
      </w:r>
      <w:r w:rsidR="00FC6BAC" w:rsidRPr="00723205">
        <w:rPr>
          <w:color w:val="auto"/>
        </w:rPr>
        <w:t xml:space="preserve"> and one for GPs. In addition, block funding </w:t>
      </w:r>
      <w:r w:rsidR="00071317">
        <w:rPr>
          <w:color w:val="auto"/>
        </w:rPr>
        <w:t>was</w:t>
      </w:r>
      <w:r w:rsidR="00FC6BAC" w:rsidRPr="00723205">
        <w:rPr>
          <w:color w:val="auto"/>
        </w:rPr>
        <w:t xml:space="preserve"> proposed to support the training and mentoring of all health practitioners and support staff involved in the delivery of IMeRSe and clinical mentoring of participating pharmacists,</w:t>
      </w:r>
      <w:r w:rsidR="000D6F34">
        <w:rPr>
          <w:color w:val="auto"/>
        </w:rPr>
        <w:t xml:space="preserve"> similar to that</w:t>
      </w:r>
      <w:r w:rsidR="00FC6BAC" w:rsidRPr="00723205">
        <w:rPr>
          <w:color w:val="auto"/>
        </w:rPr>
        <w:t xml:space="preserve"> undertaken in the </w:t>
      </w:r>
      <w:r w:rsidR="007A5B95">
        <w:rPr>
          <w:color w:val="auto"/>
        </w:rPr>
        <w:t xml:space="preserve">IMeRSe </w:t>
      </w:r>
      <w:r w:rsidR="00FC6BAC" w:rsidRPr="00723205">
        <w:rPr>
          <w:color w:val="auto"/>
        </w:rPr>
        <w:t>Feasibility Study</w:t>
      </w:r>
      <w:r w:rsidR="00A84F5E" w:rsidRPr="00723205">
        <w:rPr>
          <w:color w:val="auto"/>
        </w:rPr>
        <w:t>.</w:t>
      </w:r>
      <w:r w:rsidR="007C7618" w:rsidRPr="00723205">
        <w:rPr>
          <w:color w:val="auto"/>
        </w:rPr>
        <w:t xml:space="preserve"> </w:t>
      </w:r>
    </w:p>
    <w:p w14:paraId="6E64203F" w14:textId="34EEF9A9" w:rsidR="00724FA4" w:rsidRPr="00ED3E59" w:rsidRDefault="00724FA4" w:rsidP="00071317">
      <w:pPr>
        <w:pStyle w:val="Instructionaltext"/>
        <w:rPr>
          <w:iCs/>
          <w:color w:val="auto"/>
        </w:rPr>
      </w:pPr>
      <w:r>
        <w:rPr>
          <w:color w:val="auto"/>
        </w:rPr>
        <w:t xml:space="preserve">The proposed MBS item and block funding are presented </w:t>
      </w:r>
      <w:r w:rsidRPr="007C620E">
        <w:rPr>
          <w:color w:val="auto"/>
        </w:rPr>
        <w:t xml:space="preserve">in </w:t>
      </w:r>
      <w:r w:rsidRPr="007C620E">
        <w:rPr>
          <w:color w:val="auto"/>
        </w:rPr>
        <w:fldChar w:fldCharType="begin"/>
      </w:r>
      <w:r w:rsidRPr="007C620E">
        <w:rPr>
          <w:color w:val="auto"/>
        </w:rPr>
        <w:instrText xml:space="preserve"> REF _Ref96704556 \h </w:instrText>
      </w:r>
      <w:r w:rsidRPr="007C620E">
        <w:rPr>
          <w:color w:val="auto"/>
        </w:rPr>
      </w:r>
      <w:r w:rsidRPr="007C620E">
        <w:rPr>
          <w:color w:val="auto"/>
        </w:rPr>
        <w:fldChar w:fldCharType="separate"/>
      </w:r>
      <w:r w:rsidR="00A45EE3" w:rsidRPr="007C620E">
        <w:rPr>
          <w:color w:val="auto"/>
        </w:rPr>
        <w:t>Table </w:t>
      </w:r>
      <w:r w:rsidR="00A45EE3" w:rsidRPr="007C620E">
        <w:rPr>
          <w:noProof/>
          <w:color w:val="auto"/>
        </w:rPr>
        <w:t>1</w:t>
      </w:r>
      <w:r w:rsidRPr="007C620E">
        <w:rPr>
          <w:color w:val="auto"/>
        </w:rPr>
        <w:fldChar w:fldCharType="end"/>
      </w:r>
      <w:r w:rsidRPr="00ED3E59">
        <w:rPr>
          <w:color w:val="auto"/>
        </w:rPr>
        <w:t>.</w:t>
      </w:r>
    </w:p>
    <w:p w14:paraId="39392CFD" w14:textId="194D7C5E" w:rsidR="003328A9" w:rsidRDefault="00310C3F" w:rsidP="00ED3E59">
      <w:pPr>
        <w:pStyle w:val="Caption"/>
        <w:keepNext w:val="0"/>
        <w:rPr>
          <w:rFonts w:cs="Arial"/>
        </w:rPr>
      </w:pPr>
      <w:bookmarkStart w:id="10" w:name="_Ref69481033"/>
      <w:bookmarkStart w:id="11" w:name="_Ref96704556"/>
      <w:r>
        <w:t>Table</w:t>
      </w:r>
      <w:r w:rsidR="004A4FDF">
        <w:t> </w:t>
      </w:r>
      <w:r w:rsidR="00791FAA">
        <w:fldChar w:fldCharType="begin"/>
      </w:r>
      <w:r w:rsidR="00791FAA">
        <w:instrText xml:space="preserve"> SEQ Table \* ARABIC </w:instrText>
      </w:r>
      <w:r w:rsidR="00791FAA">
        <w:fldChar w:fldCharType="separate"/>
      </w:r>
      <w:r w:rsidR="00A45EE3">
        <w:rPr>
          <w:noProof/>
        </w:rPr>
        <w:t>1</w:t>
      </w:r>
      <w:r w:rsidR="00791FAA">
        <w:rPr>
          <w:noProof/>
        </w:rPr>
        <w:fldChar w:fldCharType="end"/>
      </w:r>
      <w:bookmarkEnd w:id="10"/>
      <w:bookmarkEnd w:id="11"/>
      <w:r w:rsidR="003328A9" w:rsidRPr="00CE28E3">
        <w:rPr>
          <w:rFonts w:cs="Arial"/>
        </w:rPr>
        <w:tab/>
      </w:r>
      <w:r w:rsidR="00F27295">
        <w:rPr>
          <w:rFonts w:cs="Arial"/>
        </w:rPr>
        <w:t>N</w:t>
      </w:r>
      <w:r w:rsidR="00B26622" w:rsidRPr="00CE28E3">
        <w:rPr>
          <w:rFonts w:cs="Arial"/>
        </w:rPr>
        <w:t>ewly proposed MBS item</w:t>
      </w:r>
      <w:r w:rsidR="003328A9" w:rsidRPr="00CE28E3">
        <w:rPr>
          <w:rFonts w:cs="Arial"/>
        </w:rPr>
        <w:t xml:space="preserve"> </w:t>
      </w:r>
    </w:p>
    <w:tbl>
      <w:tblPr>
        <w:tblStyle w:val="TableGrid1"/>
        <w:tblpPr w:leftFromText="180" w:rightFromText="180" w:vertAnchor="text" w:tblpY="1"/>
        <w:tblOverlap w:val="neve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Table 11 Proposed MBS item descriptor"/>
        <w:tblDescription w:val="This table provides the proposed description of the requested Medicare Benefits Schedule item."/>
      </w:tblPr>
      <w:tblGrid>
        <w:gridCol w:w="9016"/>
      </w:tblGrid>
      <w:tr w:rsidR="00FC6BAC" w:rsidRPr="00183E4D" w:rsidDel="00A134DA" w14:paraId="1CD0243B" w14:textId="77777777" w:rsidTr="000D7826">
        <w:trPr>
          <w:cnfStyle w:val="100000000000" w:firstRow="1" w:lastRow="0" w:firstColumn="0" w:lastColumn="0" w:oddVBand="0" w:evenVBand="0" w:oddHBand="0" w:evenHBand="0" w:firstRowFirstColumn="0" w:firstRowLastColumn="0" w:lastRowFirstColumn="0" w:lastRowLastColumn="0"/>
          <w:cantSplit/>
          <w:trHeight w:val="351"/>
        </w:trPr>
        <w:tc>
          <w:tcPr>
            <w:tcW w:w="5000" w:type="pct"/>
            <w:tcBorders>
              <w:top w:val="single" w:sz="4" w:space="0" w:color="000000"/>
              <w:left w:val="single" w:sz="4" w:space="0" w:color="000000"/>
              <w:bottom w:val="single" w:sz="4" w:space="0" w:color="000000"/>
              <w:right w:val="single" w:sz="4" w:space="0" w:color="000000"/>
            </w:tcBorders>
            <w:hideMark/>
          </w:tcPr>
          <w:p w14:paraId="4D7EE50F" w14:textId="660221DE" w:rsidR="004C4B0C" w:rsidRDefault="00FC6BAC" w:rsidP="000A7080">
            <w:pPr>
              <w:pStyle w:val="Tabletext0"/>
              <w:tabs>
                <w:tab w:val="left" w:pos="324"/>
                <w:tab w:val="left" w:pos="891"/>
                <w:tab w:val="left" w:pos="6330"/>
              </w:tabs>
              <w:ind w:left="41"/>
              <w:jc w:val="right"/>
              <w:rPr>
                <w:rFonts w:eastAsiaTheme="minorHAnsi" w:cstheme="minorBidi"/>
                <w:szCs w:val="22"/>
                <w:lang w:eastAsia="en-US"/>
              </w:rPr>
            </w:pPr>
            <w:r w:rsidRPr="00FC6BAC" w:rsidDel="00A134DA">
              <w:rPr>
                <w:rFonts w:eastAsiaTheme="minorHAnsi" w:cstheme="minorBidi"/>
                <w:szCs w:val="22"/>
                <w:lang w:eastAsia="en-US"/>
              </w:rPr>
              <w:t xml:space="preserve">Category </w:t>
            </w:r>
            <w:r w:rsidR="004C4B0C">
              <w:rPr>
                <w:rFonts w:eastAsiaTheme="minorHAnsi" w:cstheme="minorBidi"/>
                <w:szCs w:val="22"/>
                <w:lang w:eastAsia="en-US"/>
              </w:rPr>
              <w:t>8</w:t>
            </w:r>
            <w:r w:rsidRPr="00FC6BAC" w:rsidDel="00A134DA">
              <w:rPr>
                <w:rFonts w:eastAsiaTheme="minorHAnsi" w:cstheme="minorBidi"/>
                <w:szCs w:val="22"/>
                <w:lang w:eastAsia="en-US"/>
              </w:rPr>
              <w:t xml:space="preserve"> – </w:t>
            </w:r>
            <w:r w:rsidR="004C4B0C">
              <w:rPr>
                <w:rFonts w:eastAsiaTheme="minorHAnsi" w:cstheme="minorBidi"/>
                <w:szCs w:val="22"/>
                <w:lang w:eastAsia="en-US"/>
              </w:rPr>
              <w:t xml:space="preserve">Miscellaneous Services </w:t>
            </w:r>
          </w:p>
          <w:p w14:paraId="6DDEF0FE" w14:textId="04D018CB" w:rsidR="00FC6BAC" w:rsidRPr="00FC6BAC" w:rsidDel="00A134DA" w:rsidRDefault="004C4B0C" w:rsidP="000A7080">
            <w:pPr>
              <w:pStyle w:val="Tabletext0"/>
              <w:tabs>
                <w:tab w:val="left" w:pos="324"/>
                <w:tab w:val="left" w:pos="891"/>
              </w:tabs>
              <w:ind w:left="183"/>
              <w:jc w:val="right"/>
              <w:rPr>
                <w:rFonts w:eastAsiaTheme="minorHAnsi" w:cstheme="minorBidi"/>
                <w:szCs w:val="22"/>
                <w:lang w:eastAsia="en-US"/>
              </w:rPr>
            </w:pPr>
            <w:r>
              <w:rPr>
                <w:rFonts w:eastAsiaTheme="minorHAnsi" w:cstheme="minorBidi"/>
                <w:szCs w:val="22"/>
                <w:lang w:eastAsia="en-US"/>
              </w:rPr>
              <w:t xml:space="preserve">Group-M3- </w:t>
            </w:r>
            <w:r w:rsidRPr="00FC6BAC">
              <w:rPr>
                <w:rFonts w:eastAsiaTheme="minorHAnsi" w:cstheme="minorBidi"/>
                <w:szCs w:val="22"/>
                <w:lang w:eastAsia="en-US"/>
              </w:rPr>
              <w:t>Allied Health Services</w:t>
            </w:r>
          </w:p>
        </w:tc>
      </w:tr>
      <w:tr w:rsidR="00FC6BAC" w:rsidRPr="00183E4D" w:rsidDel="00A134DA" w14:paraId="4C4B0DA0" w14:textId="77777777" w:rsidTr="000D7826">
        <w:trPr>
          <w:cantSplit/>
          <w:trHeight w:val="351"/>
        </w:trPr>
        <w:tc>
          <w:tcPr>
            <w:tcW w:w="5000" w:type="pct"/>
            <w:tcBorders>
              <w:top w:val="single" w:sz="4" w:space="0" w:color="000000"/>
              <w:left w:val="single" w:sz="4" w:space="0" w:color="000000"/>
              <w:bottom w:val="single" w:sz="4" w:space="0" w:color="000000"/>
              <w:right w:val="single" w:sz="4" w:space="0" w:color="000000"/>
            </w:tcBorders>
            <w:hideMark/>
          </w:tcPr>
          <w:p w14:paraId="780AAAE5" w14:textId="77777777" w:rsidR="00FC6BAC" w:rsidRPr="00183E4D" w:rsidDel="00A134DA" w:rsidRDefault="00FC6BAC" w:rsidP="00724FA4">
            <w:pPr>
              <w:pStyle w:val="TableText"/>
            </w:pPr>
            <w:r>
              <w:t>Aboriginal and Torres Strait Islander medication review service (IMeRSe)</w:t>
            </w:r>
          </w:p>
        </w:tc>
      </w:tr>
      <w:tr w:rsidR="00FC6BAC" w:rsidRPr="00183E4D" w:rsidDel="00A134DA" w14:paraId="0B80C8FD" w14:textId="77777777" w:rsidTr="000D7826">
        <w:trPr>
          <w:cantSplit/>
          <w:trHeight w:val="351"/>
        </w:trPr>
        <w:tc>
          <w:tcPr>
            <w:tcW w:w="5000" w:type="pct"/>
            <w:tcBorders>
              <w:top w:val="single" w:sz="4" w:space="0" w:color="000000"/>
              <w:left w:val="single" w:sz="4" w:space="0" w:color="000000"/>
              <w:bottom w:val="single" w:sz="4" w:space="0" w:color="000000"/>
              <w:right w:val="single" w:sz="4" w:space="0" w:color="000000"/>
            </w:tcBorders>
            <w:hideMark/>
          </w:tcPr>
          <w:p w14:paraId="76568578" w14:textId="77777777" w:rsidR="00FC6BAC" w:rsidRDefault="00FC6BAC" w:rsidP="00724FA4">
            <w:pPr>
              <w:pStyle w:val="TableText"/>
            </w:pPr>
            <w:r>
              <w:t xml:space="preserve">Participation by a </w:t>
            </w:r>
            <w:r w:rsidRPr="00FC6BAC">
              <w:t>pharmacis</w:t>
            </w:r>
            <w:r>
              <w:t xml:space="preserve">t in a culturally responsive medication management review with a consumer living in a community setting, in which the pharmacist, with the consumer’s consent: </w:t>
            </w:r>
          </w:p>
          <w:p w14:paraId="704B3E55" w14:textId="77777777" w:rsidR="00FC6BAC" w:rsidRPr="00FC6BAC" w:rsidRDefault="00FC6BAC" w:rsidP="00E11EEF">
            <w:pPr>
              <w:pStyle w:val="Tabletext0"/>
              <w:numPr>
                <w:ilvl w:val="0"/>
                <w:numId w:val="11"/>
              </w:numPr>
              <w:jc w:val="left"/>
              <w:rPr>
                <w:rFonts w:eastAsiaTheme="minorHAnsi" w:cstheme="minorBidi"/>
                <w:szCs w:val="22"/>
                <w:lang w:eastAsia="en-US"/>
              </w:rPr>
            </w:pPr>
            <w:r w:rsidRPr="00FC6BAC">
              <w:rPr>
                <w:rFonts w:eastAsiaTheme="minorHAnsi" w:cstheme="minorBidi"/>
                <w:szCs w:val="22"/>
                <w:lang w:eastAsia="en-US"/>
              </w:rPr>
              <w:t>assesses and confirms the consumer is:</w:t>
            </w:r>
          </w:p>
          <w:p w14:paraId="11A338E5" w14:textId="77777777" w:rsidR="00FC6BAC" w:rsidRPr="00FC6BAC" w:rsidRDefault="00FC6BAC" w:rsidP="00E11EEF">
            <w:pPr>
              <w:pStyle w:val="Tabletext0"/>
              <w:numPr>
                <w:ilvl w:val="0"/>
                <w:numId w:val="12"/>
              </w:numPr>
              <w:jc w:val="left"/>
              <w:rPr>
                <w:rFonts w:eastAsiaTheme="minorHAnsi" w:cstheme="minorBidi"/>
                <w:szCs w:val="22"/>
                <w:lang w:eastAsia="en-US"/>
              </w:rPr>
            </w:pPr>
            <w:r w:rsidRPr="00FC6BAC">
              <w:rPr>
                <w:rFonts w:eastAsiaTheme="minorHAnsi" w:cstheme="minorBidi"/>
                <w:szCs w:val="22"/>
                <w:lang w:eastAsia="en-US"/>
              </w:rPr>
              <w:t xml:space="preserve"> a self-identified Aboriginal or Torres Strait Islander Australian;</w:t>
            </w:r>
          </w:p>
          <w:p w14:paraId="3DCA5FF7" w14:textId="77777777" w:rsidR="00FC6BAC" w:rsidRPr="00FC6BAC" w:rsidRDefault="00FC6BAC" w:rsidP="00E11EEF">
            <w:pPr>
              <w:pStyle w:val="Tabletext0"/>
              <w:numPr>
                <w:ilvl w:val="0"/>
                <w:numId w:val="12"/>
              </w:numPr>
              <w:jc w:val="left"/>
              <w:rPr>
                <w:rFonts w:eastAsiaTheme="minorHAnsi" w:cstheme="minorBidi"/>
                <w:szCs w:val="22"/>
                <w:lang w:eastAsia="en-US"/>
              </w:rPr>
            </w:pPr>
            <w:r w:rsidRPr="00FC6BAC">
              <w:rPr>
                <w:rFonts w:eastAsiaTheme="minorHAnsi" w:cstheme="minorBidi"/>
                <w:szCs w:val="22"/>
                <w:lang w:eastAsia="en-US"/>
              </w:rPr>
              <w:t>aged 18 years or over;</w:t>
            </w:r>
          </w:p>
          <w:p w14:paraId="17D0581B" w14:textId="77777777" w:rsidR="00FC6BAC" w:rsidRPr="00FC6BAC" w:rsidRDefault="00FC6BAC" w:rsidP="00E11EEF">
            <w:pPr>
              <w:pStyle w:val="Tabletext0"/>
              <w:numPr>
                <w:ilvl w:val="0"/>
                <w:numId w:val="12"/>
              </w:numPr>
              <w:jc w:val="left"/>
              <w:rPr>
                <w:rFonts w:eastAsiaTheme="minorHAnsi" w:cstheme="minorBidi"/>
                <w:szCs w:val="22"/>
                <w:lang w:eastAsia="en-US"/>
              </w:rPr>
            </w:pPr>
            <w:r w:rsidRPr="00FC6BAC">
              <w:rPr>
                <w:rFonts w:eastAsiaTheme="minorHAnsi" w:cstheme="minorBidi"/>
                <w:szCs w:val="22"/>
                <w:lang w:eastAsia="en-US"/>
              </w:rPr>
              <w:t xml:space="preserve">at risk of medication-related problems (as identified by any treating health professional, or family member, or self-identified) including but not limited to: </w:t>
            </w:r>
          </w:p>
          <w:p w14:paraId="2ED0C153" w14:textId="77777777" w:rsidR="00FC6BAC" w:rsidRPr="00FC6BAC" w:rsidRDefault="00FC6BAC" w:rsidP="00E11EEF">
            <w:pPr>
              <w:pStyle w:val="ListParagraph"/>
              <w:numPr>
                <w:ilvl w:val="2"/>
                <w:numId w:val="10"/>
              </w:numPr>
              <w:spacing w:before="40"/>
              <w:ind w:left="1797" w:hanging="357"/>
              <w:contextualSpacing w:val="0"/>
              <w:rPr>
                <w:rFonts w:ascii="Arial Narrow" w:hAnsi="Arial Narrow"/>
              </w:rPr>
            </w:pPr>
            <w:r w:rsidRPr="00FC6BAC">
              <w:rPr>
                <w:rFonts w:ascii="Arial Narrow" w:hAnsi="Arial Narrow"/>
              </w:rPr>
              <w:t xml:space="preserve">being diagnosed with at least one chronic condition, which is current, and/or is pregnant, and/or is within 2 years post partum; </w:t>
            </w:r>
          </w:p>
          <w:p w14:paraId="19956BDD" w14:textId="77777777" w:rsidR="00FC6BAC" w:rsidRPr="00FC6BAC" w:rsidRDefault="00FC6BAC" w:rsidP="00E11EEF">
            <w:pPr>
              <w:pStyle w:val="ListParagraph"/>
              <w:numPr>
                <w:ilvl w:val="2"/>
                <w:numId w:val="10"/>
              </w:numPr>
              <w:spacing w:before="0" w:after="0" w:line="276" w:lineRule="auto"/>
              <w:ind w:left="1797" w:hanging="357"/>
              <w:contextualSpacing w:val="0"/>
              <w:rPr>
                <w:rFonts w:ascii="Arial Narrow" w:hAnsi="Arial Narrow"/>
              </w:rPr>
            </w:pPr>
            <w:r w:rsidRPr="00FC6BAC">
              <w:rPr>
                <w:rFonts w:ascii="Arial Narrow" w:hAnsi="Arial Narrow"/>
              </w:rPr>
              <w:t xml:space="preserve">instability of health status and/or medication therapy; </w:t>
            </w:r>
          </w:p>
          <w:p w14:paraId="1457C78B" w14:textId="77777777" w:rsidR="00FC6BAC" w:rsidRPr="00FC6BAC" w:rsidRDefault="00FC6BAC" w:rsidP="00E11EEF">
            <w:pPr>
              <w:pStyle w:val="ListParagraph"/>
              <w:numPr>
                <w:ilvl w:val="2"/>
                <w:numId w:val="10"/>
              </w:numPr>
              <w:spacing w:before="0" w:after="0" w:line="276" w:lineRule="auto"/>
              <w:ind w:left="1797" w:hanging="357"/>
              <w:jc w:val="both"/>
              <w:rPr>
                <w:rFonts w:ascii="Arial Narrow" w:hAnsi="Arial Narrow"/>
              </w:rPr>
            </w:pPr>
            <w:r w:rsidRPr="00FC6BAC">
              <w:rPr>
                <w:rFonts w:ascii="Arial Narrow" w:hAnsi="Arial Narrow"/>
              </w:rPr>
              <w:t xml:space="preserve">using high-risk medication(s); </w:t>
            </w:r>
          </w:p>
          <w:p w14:paraId="068ED333" w14:textId="77777777" w:rsidR="00FC6BAC" w:rsidRPr="00FC6BAC" w:rsidRDefault="00FC6BAC" w:rsidP="00E11EEF">
            <w:pPr>
              <w:pStyle w:val="ListParagraph"/>
              <w:numPr>
                <w:ilvl w:val="2"/>
                <w:numId w:val="10"/>
              </w:numPr>
              <w:spacing w:before="0" w:after="0" w:line="276" w:lineRule="auto"/>
              <w:jc w:val="both"/>
              <w:rPr>
                <w:rFonts w:ascii="Arial Narrow" w:hAnsi="Arial Narrow"/>
              </w:rPr>
            </w:pPr>
            <w:r w:rsidRPr="00FC6BAC">
              <w:rPr>
                <w:rFonts w:ascii="Arial Narrow" w:hAnsi="Arial Narrow"/>
              </w:rPr>
              <w:t xml:space="preserve">likelihood of compromised adherence; </w:t>
            </w:r>
          </w:p>
          <w:p w14:paraId="30490BBE" w14:textId="77777777" w:rsidR="00FC6BAC" w:rsidRPr="00FC6BAC" w:rsidRDefault="00FC6BAC" w:rsidP="00E11EEF">
            <w:pPr>
              <w:pStyle w:val="ListParagraph"/>
              <w:numPr>
                <w:ilvl w:val="2"/>
                <w:numId w:val="10"/>
              </w:numPr>
              <w:spacing w:before="0" w:after="0" w:line="276" w:lineRule="auto"/>
              <w:jc w:val="both"/>
              <w:rPr>
                <w:rFonts w:ascii="Arial Narrow" w:hAnsi="Arial Narrow"/>
              </w:rPr>
            </w:pPr>
            <w:r w:rsidRPr="00FC6BAC">
              <w:rPr>
                <w:rFonts w:ascii="Arial Narrow" w:hAnsi="Arial Narrow"/>
              </w:rPr>
              <w:t xml:space="preserve">new therapeutic goals; </w:t>
            </w:r>
          </w:p>
          <w:p w14:paraId="7D54450C" w14:textId="77777777" w:rsidR="00FC6BAC" w:rsidRPr="00FC6BAC" w:rsidRDefault="00FC6BAC" w:rsidP="00E11EEF">
            <w:pPr>
              <w:pStyle w:val="ListParagraph"/>
              <w:numPr>
                <w:ilvl w:val="2"/>
                <w:numId w:val="10"/>
              </w:numPr>
              <w:spacing w:before="0" w:after="0" w:line="276" w:lineRule="auto"/>
              <w:jc w:val="both"/>
              <w:rPr>
                <w:rFonts w:ascii="Arial Narrow" w:hAnsi="Arial Narrow"/>
              </w:rPr>
            </w:pPr>
            <w:r w:rsidRPr="00FC6BAC">
              <w:rPr>
                <w:rFonts w:ascii="Arial Narrow" w:hAnsi="Arial Narrow"/>
              </w:rPr>
              <w:t>potentially incomplete understanding of medication use; or</w:t>
            </w:r>
          </w:p>
          <w:p w14:paraId="24E9D313" w14:textId="77777777" w:rsidR="00FC6BAC" w:rsidRPr="00FC6BAC" w:rsidRDefault="00FC6BAC" w:rsidP="00E11EEF">
            <w:pPr>
              <w:pStyle w:val="ListParagraph"/>
              <w:numPr>
                <w:ilvl w:val="2"/>
                <w:numId w:val="10"/>
              </w:numPr>
              <w:spacing w:before="0" w:after="0" w:line="276" w:lineRule="auto"/>
              <w:jc w:val="both"/>
              <w:rPr>
                <w:rFonts w:ascii="Arial Narrow" w:hAnsi="Arial Narrow"/>
              </w:rPr>
            </w:pPr>
            <w:r w:rsidRPr="00FC6BAC">
              <w:rPr>
                <w:rFonts w:ascii="Arial Narrow" w:hAnsi="Arial Narrow"/>
              </w:rPr>
              <w:t>failure to respond to treatment in an expected way</w:t>
            </w:r>
          </w:p>
          <w:p w14:paraId="3953412A" w14:textId="77777777" w:rsidR="00FC6BAC" w:rsidRPr="00FC6BAC" w:rsidRDefault="00FC6BAC" w:rsidP="00E11EEF">
            <w:pPr>
              <w:pStyle w:val="Tabletext0"/>
              <w:numPr>
                <w:ilvl w:val="0"/>
                <w:numId w:val="11"/>
              </w:numPr>
              <w:jc w:val="left"/>
              <w:rPr>
                <w:rFonts w:eastAsiaTheme="minorHAnsi" w:cstheme="minorBidi"/>
                <w:szCs w:val="22"/>
                <w:lang w:eastAsia="en-US"/>
              </w:rPr>
            </w:pPr>
            <w:r w:rsidRPr="00FC6BAC">
              <w:rPr>
                <w:rFonts w:eastAsiaTheme="minorHAnsi" w:cstheme="minorBidi"/>
                <w:szCs w:val="22"/>
                <w:lang w:eastAsia="en-US"/>
              </w:rPr>
              <w:t>following assessment, undertakes a medication management review (Tier 1), at a location agreed upon by the consumer, in conjunction with a recognised support worker (AHW or other clinic staff), and family member or carer as requested by the consumer;</w:t>
            </w:r>
          </w:p>
          <w:p w14:paraId="49F7CA1D" w14:textId="77777777" w:rsidR="00FC6BAC" w:rsidRPr="00FC6BAC" w:rsidRDefault="00FC6BAC" w:rsidP="00E11EEF">
            <w:pPr>
              <w:pStyle w:val="Tabletext0"/>
              <w:numPr>
                <w:ilvl w:val="0"/>
                <w:numId w:val="11"/>
              </w:numPr>
              <w:jc w:val="left"/>
              <w:rPr>
                <w:rFonts w:eastAsiaTheme="minorHAnsi" w:cstheme="minorBidi"/>
                <w:szCs w:val="22"/>
                <w:lang w:eastAsia="en-US"/>
              </w:rPr>
            </w:pPr>
            <w:r w:rsidRPr="00FC6BAC">
              <w:rPr>
                <w:rFonts w:eastAsiaTheme="minorHAnsi" w:cstheme="minorBidi"/>
                <w:szCs w:val="22"/>
                <w:lang w:eastAsia="en-US"/>
              </w:rPr>
              <w:t>develops a written medication report for submission to the consumer’s usual GP within 2 weeks of undertaking the medication review;</w:t>
            </w:r>
          </w:p>
          <w:p w14:paraId="42119CEB" w14:textId="77777777" w:rsidR="00FC6BAC" w:rsidRPr="00FC6BAC" w:rsidRDefault="00FC6BAC" w:rsidP="00E11EEF">
            <w:pPr>
              <w:pStyle w:val="Tabletext0"/>
              <w:numPr>
                <w:ilvl w:val="0"/>
                <w:numId w:val="11"/>
              </w:numPr>
              <w:jc w:val="left"/>
              <w:rPr>
                <w:rFonts w:eastAsiaTheme="minorHAnsi" w:cstheme="minorBidi"/>
                <w:szCs w:val="22"/>
                <w:lang w:eastAsia="en-US"/>
              </w:rPr>
            </w:pPr>
            <w:r w:rsidRPr="00FC6BAC">
              <w:rPr>
                <w:rFonts w:eastAsiaTheme="minorHAnsi" w:cstheme="minorBidi"/>
                <w:szCs w:val="22"/>
                <w:lang w:eastAsia="en-US"/>
              </w:rPr>
              <w:t>undertakes any follow-up (Tier 2) required by the consumer or GP, with up to 2 interactions in the subsequent 12 month period.</w:t>
            </w:r>
          </w:p>
          <w:p w14:paraId="5F2813C8" w14:textId="77777777" w:rsidR="00FC6BAC" w:rsidRDefault="00FC6BAC" w:rsidP="007C620E">
            <w:pPr>
              <w:pStyle w:val="TableText"/>
              <w:spacing w:before="240"/>
            </w:pPr>
            <w:r>
              <w:t xml:space="preserve">For any particular consumer – applicable not more than once in each 12 month period, except if there has been a significant change in the consumer’s condition or medication regimen requiring a new medication plan. Ineligible if a Domiciliary Medication Management Review (DMMR), Residential Medication Management Review (RMMR), or MedsCheck service has been provided in the previous 12 months.  </w:t>
            </w:r>
          </w:p>
          <w:p w14:paraId="5300F923" w14:textId="77777777" w:rsidR="00FC6BAC" w:rsidRDefault="00FC6BAC" w:rsidP="007C620E">
            <w:pPr>
              <w:pStyle w:val="TableText"/>
              <w:spacing w:before="240"/>
            </w:pPr>
            <w:r w:rsidRPr="00FC6BAC">
              <w:t>Fee:</w:t>
            </w:r>
            <w:r>
              <w:t xml:space="preserve"> </w:t>
            </w:r>
            <w:r w:rsidRPr="00171D0D">
              <w:t xml:space="preserve">$ 222.77 </w:t>
            </w:r>
            <w:r w:rsidRPr="00FC6BAC">
              <w:t>Benefit</w:t>
            </w:r>
            <w:r>
              <w:t xml:space="preserve">: 100% </w:t>
            </w:r>
            <w:r w:rsidRPr="00171D0D">
              <w:t>= $222.77</w:t>
            </w:r>
          </w:p>
          <w:p w14:paraId="67629D36" w14:textId="77777777" w:rsidR="00FC6BAC" w:rsidRDefault="00FC6BAC" w:rsidP="00724FA4">
            <w:pPr>
              <w:pStyle w:val="TableText"/>
            </w:pPr>
            <w:r>
              <w:t>First follow-up service</w:t>
            </w:r>
          </w:p>
          <w:p w14:paraId="4D36173A" w14:textId="77777777" w:rsidR="00FC6BAC" w:rsidRDefault="00FC6BAC" w:rsidP="00724FA4">
            <w:pPr>
              <w:pStyle w:val="TableText"/>
            </w:pPr>
            <w:r w:rsidRPr="00FC6BAC">
              <w:t>Fee:</w:t>
            </w:r>
            <w:r>
              <w:t xml:space="preserve"> </w:t>
            </w:r>
            <w:r w:rsidRPr="00171D0D">
              <w:t xml:space="preserve">$ </w:t>
            </w:r>
            <w:r>
              <w:t>111.39</w:t>
            </w:r>
            <w:r w:rsidRPr="00171D0D">
              <w:t xml:space="preserve"> </w:t>
            </w:r>
            <w:r w:rsidRPr="00FC6BAC">
              <w:t>Benefit:</w:t>
            </w:r>
            <w:r>
              <w:t xml:space="preserve"> 100% </w:t>
            </w:r>
            <w:r w:rsidRPr="00171D0D">
              <w:t>= $</w:t>
            </w:r>
            <w:r>
              <w:t>111.39</w:t>
            </w:r>
          </w:p>
          <w:p w14:paraId="2F25FA84" w14:textId="77777777" w:rsidR="00FC6BAC" w:rsidRDefault="00FC6BAC" w:rsidP="00724FA4">
            <w:pPr>
              <w:pStyle w:val="TableText"/>
            </w:pPr>
            <w:r>
              <w:t>Second follow-up service</w:t>
            </w:r>
          </w:p>
          <w:p w14:paraId="5F0869C0" w14:textId="77777777" w:rsidR="00FC6BAC" w:rsidRDefault="00FC6BAC" w:rsidP="00724FA4">
            <w:pPr>
              <w:pStyle w:val="TableText"/>
            </w:pPr>
            <w:r w:rsidRPr="00FC6BAC">
              <w:t>Fee:</w:t>
            </w:r>
            <w:r>
              <w:t xml:space="preserve"> </w:t>
            </w:r>
            <w:r w:rsidRPr="00171D0D">
              <w:t xml:space="preserve">$ </w:t>
            </w:r>
            <w:r>
              <w:t>55.70</w:t>
            </w:r>
            <w:r w:rsidRPr="00171D0D">
              <w:t xml:space="preserve"> </w:t>
            </w:r>
            <w:r w:rsidRPr="00FC6BAC">
              <w:t>Benefit:</w:t>
            </w:r>
            <w:r>
              <w:t xml:space="preserve"> 100% </w:t>
            </w:r>
            <w:r w:rsidRPr="00171D0D">
              <w:t>= $</w:t>
            </w:r>
            <w:r>
              <w:t>55.70</w:t>
            </w:r>
          </w:p>
          <w:p w14:paraId="538DE8E9" w14:textId="77777777" w:rsidR="00FC6BAC" w:rsidRPr="00FC6BAC" w:rsidRDefault="00FC6BAC" w:rsidP="007C620E">
            <w:pPr>
              <w:pStyle w:val="TableText"/>
              <w:spacing w:before="240"/>
            </w:pPr>
            <w:r w:rsidRPr="00FC6BAC">
              <w:t xml:space="preserve">Rural loading allowance </w:t>
            </w:r>
          </w:p>
          <w:p w14:paraId="062D1B66" w14:textId="77777777" w:rsidR="00FC6BAC" w:rsidRPr="009000B6" w:rsidDel="00A134DA" w:rsidRDefault="00FC6BAC" w:rsidP="00724FA4">
            <w:pPr>
              <w:pStyle w:val="TableText"/>
            </w:pPr>
            <w:r>
              <w:t xml:space="preserve">Up to $125 – to contribute to travel costs or the cost of locum hire as required, to allow participation by the pharmacist. </w:t>
            </w:r>
          </w:p>
        </w:tc>
      </w:tr>
      <w:tr w:rsidR="00FC6BAC" w:rsidRPr="00183E4D" w:rsidDel="00A134DA" w14:paraId="5155B25F" w14:textId="77777777" w:rsidTr="000D7826">
        <w:trPr>
          <w:cantSplit/>
          <w:trHeight w:val="351"/>
        </w:trPr>
        <w:tc>
          <w:tcPr>
            <w:tcW w:w="5000" w:type="pct"/>
            <w:tcBorders>
              <w:top w:val="single" w:sz="4" w:space="0" w:color="000000"/>
              <w:left w:val="single" w:sz="4" w:space="0" w:color="000000"/>
              <w:bottom w:val="single" w:sz="4" w:space="0" w:color="000000"/>
              <w:right w:val="single" w:sz="4" w:space="0" w:color="000000"/>
            </w:tcBorders>
            <w:hideMark/>
          </w:tcPr>
          <w:p w14:paraId="016CD0F2" w14:textId="77777777" w:rsidR="00C42F79" w:rsidRPr="00C42F79" w:rsidRDefault="00C42F79" w:rsidP="000D7826">
            <w:pPr>
              <w:pStyle w:val="Tabletext0"/>
              <w:keepNext/>
              <w:ind w:left="360"/>
              <w:jc w:val="right"/>
              <w:rPr>
                <w:rFonts w:eastAsiaTheme="minorHAnsi" w:cstheme="minorBidi"/>
                <w:szCs w:val="22"/>
                <w:lang w:eastAsia="en-US"/>
              </w:rPr>
            </w:pPr>
            <w:r w:rsidRPr="00C42F79">
              <w:rPr>
                <w:rFonts w:eastAsiaTheme="minorHAnsi" w:cstheme="minorBidi"/>
                <w:szCs w:val="22"/>
                <w:lang w:eastAsia="en-US"/>
              </w:rPr>
              <w:t xml:space="preserve">Category 8 – Miscellaneous Services </w:t>
            </w:r>
          </w:p>
          <w:p w14:paraId="66AB3679" w14:textId="631B8075" w:rsidR="00FC6BAC" w:rsidRPr="00FC6BAC" w:rsidDel="00A134DA" w:rsidRDefault="00C42F79" w:rsidP="007C620E">
            <w:pPr>
              <w:pStyle w:val="Tabletext0"/>
              <w:keepNext/>
              <w:ind w:left="360"/>
              <w:jc w:val="right"/>
              <w:rPr>
                <w:rFonts w:eastAsiaTheme="minorHAnsi" w:cstheme="minorBidi"/>
                <w:szCs w:val="22"/>
                <w:lang w:eastAsia="en-US"/>
              </w:rPr>
            </w:pPr>
            <w:r w:rsidRPr="00C42F79">
              <w:rPr>
                <w:rFonts w:eastAsiaTheme="minorHAnsi" w:cstheme="minorBidi"/>
                <w:szCs w:val="22"/>
                <w:lang w:eastAsia="en-US"/>
              </w:rPr>
              <w:t>Group-M3- Allied Health</w:t>
            </w:r>
            <w:r>
              <w:rPr>
                <w:rFonts w:eastAsiaTheme="minorHAnsi" w:cstheme="minorBidi"/>
                <w:szCs w:val="22"/>
                <w:lang w:eastAsia="en-US"/>
              </w:rPr>
              <w:t xml:space="preserve"> </w:t>
            </w:r>
            <w:r w:rsidRPr="00C42F79">
              <w:rPr>
                <w:rFonts w:eastAsiaTheme="minorHAnsi" w:cstheme="minorBidi"/>
                <w:szCs w:val="22"/>
                <w:lang w:eastAsia="en-US"/>
              </w:rPr>
              <w:t>Services</w:t>
            </w:r>
          </w:p>
        </w:tc>
      </w:tr>
      <w:tr w:rsidR="00FC6BAC" w:rsidRPr="00183E4D" w:rsidDel="00A134DA" w14:paraId="6A01962E" w14:textId="77777777" w:rsidTr="000D7826">
        <w:trPr>
          <w:cantSplit/>
          <w:trHeight w:val="351"/>
        </w:trPr>
        <w:tc>
          <w:tcPr>
            <w:tcW w:w="5000" w:type="pct"/>
            <w:tcBorders>
              <w:top w:val="single" w:sz="4" w:space="0" w:color="000000"/>
              <w:left w:val="single" w:sz="4" w:space="0" w:color="000000"/>
              <w:bottom w:val="single" w:sz="4" w:space="0" w:color="000000"/>
              <w:right w:val="single" w:sz="4" w:space="0" w:color="000000"/>
            </w:tcBorders>
            <w:hideMark/>
          </w:tcPr>
          <w:p w14:paraId="5FA8CE5C" w14:textId="77777777" w:rsidR="00FC6BAC" w:rsidRPr="00183E4D" w:rsidDel="00A134DA" w:rsidRDefault="00FC6BAC" w:rsidP="000D7826">
            <w:pPr>
              <w:pStyle w:val="TableText"/>
              <w:keepNext/>
            </w:pPr>
            <w:r>
              <w:t>Aboriginal and Torres Strait Islander medication review service (IMeRSe)</w:t>
            </w:r>
          </w:p>
        </w:tc>
      </w:tr>
      <w:tr w:rsidR="00FC6BAC" w:rsidRPr="00183E4D" w:rsidDel="00A134DA" w14:paraId="7BD1F4C9" w14:textId="77777777" w:rsidTr="000D7826">
        <w:trPr>
          <w:cantSplit/>
          <w:trHeight w:val="351"/>
        </w:trPr>
        <w:tc>
          <w:tcPr>
            <w:tcW w:w="5000" w:type="pct"/>
            <w:tcBorders>
              <w:top w:val="single" w:sz="4" w:space="0" w:color="000000"/>
              <w:left w:val="single" w:sz="4" w:space="0" w:color="000000"/>
              <w:bottom w:val="single" w:sz="4" w:space="0" w:color="000000"/>
              <w:right w:val="single" w:sz="4" w:space="0" w:color="000000"/>
            </w:tcBorders>
            <w:hideMark/>
          </w:tcPr>
          <w:p w14:paraId="59EB5F17" w14:textId="77777777" w:rsidR="00FC6BAC" w:rsidRDefault="00FC6BAC" w:rsidP="00724FA4">
            <w:pPr>
              <w:pStyle w:val="TableText"/>
            </w:pPr>
            <w:r>
              <w:t xml:space="preserve">Participation by an </w:t>
            </w:r>
            <w:r w:rsidRPr="00FC6BAC">
              <w:t>Aboriginal Health Worker</w:t>
            </w:r>
            <w:r>
              <w:t xml:space="preserve"> (AHW) in a culturally responsive medication management review for a consumer living in a community setting, in which the AHW, in conjunction with a pharmacist, with the consumer’s consent, </w:t>
            </w:r>
          </w:p>
          <w:p w14:paraId="35ABE347" w14:textId="77777777" w:rsidR="00FC6BAC" w:rsidRPr="00FC6BAC" w:rsidRDefault="00FC6BAC" w:rsidP="00E11EEF">
            <w:pPr>
              <w:pStyle w:val="Tabletext0"/>
              <w:numPr>
                <w:ilvl w:val="0"/>
                <w:numId w:val="20"/>
              </w:numPr>
              <w:jc w:val="left"/>
              <w:rPr>
                <w:rFonts w:eastAsiaTheme="minorHAnsi" w:cstheme="minorBidi"/>
                <w:szCs w:val="22"/>
                <w:lang w:eastAsia="en-US"/>
              </w:rPr>
            </w:pPr>
            <w:r w:rsidRPr="00FC6BAC">
              <w:rPr>
                <w:rFonts w:eastAsiaTheme="minorHAnsi" w:cstheme="minorBidi"/>
                <w:szCs w:val="22"/>
                <w:lang w:eastAsia="en-US"/>
              </w:rPr>
              <w:t>assesses and confirms the consumer is:</w:t>
            </w:r>
          </w:p>
          <w:p w14:paraId="1E3AE02E" w14:textId="77777777" w:rsidR="00FC6BAC" w:rsidRPr="00FC6BAC" w:rsidRDefault="00FC6BAC" w:rsidP="00E11EEF">
            <w:pPr>
              <w:pStyle w:val="Tabletext0"/>
              <w:numPr>
                <w:ilvl w:val="0"/>
                <w:numId w:val="15"/>
              </w:numPr>
              <w:jc w:val="left"/>
              <w:rPr>
                <w:rFonts w:eastAsiaTheme="minorHAnsi" w:cstheme="minorBidi"/>
                <w:szCs w:val="22"/>
                <w:lang w:eastAsia="en-US"/>
              </w:rPr>
            </w:pPr>
            <w:r w:rsidRPr="00FC6BAC">
              <w:rPr>
                <w:rFonts w:eastAsiaTheme="minorHAnsi" w:cstheme="minorBidi"/>
                <w:szCs w:val="22"/>
                <w:lang w:eastAsia="en-US"/>
              </w:rPr>
              <w:t>a self-identified Aboriginal or Torres Strait Islander Australian;</w:t>
            </w:r>
          </w:p>
          <w:p w14:paraId="53B6FFD4" w14:textId="77777777" w:rsidR="00FC6BAC" w:rsidRPr="00FC6BAC" w:rsidRDefault="00FC6BAC" w:rsidP="00E11EEF">
            <w:pPr>
              <w:pStyle w:val="Tabletext0"/>
              <w:numPr>
                <w:ilvl w:val="0"/>
                <w:numId w:val="15"/>
              </w:numPr>
              <w:jc w:val="left"/>
              <w:rPr>
                <w:rFonts w:eastAsiaTheme="minorHAnsi" w:cstheme="minorBidi"/>
                <w:szCs w:val="22"/>
                <w:lang w:eastAsia="en-US"/>
              </w:rPr>
            </w:pPr>
            <w:r w:rsidRPr="00FC6BAC">
              <w:rPr>
                <w:rFonts w:eastAsiaTheme="minorHAnsi" w:cstheme="minorBidi"/>
                <w:szCs w:val="22"/>
                <w:lang w:eastAsia="en-US"/>
              </w:rPr>
              <w:t>aged 18 years or over;</w:t>
            </w:r>
          </w:p>
          <w:p w14:paraId="2E814DEB" w14:textId="77777777" w:rsidR="00FC6BAC" w:rsidRPr="00FC6BAC" w:rsidRDefault="00FC6BAC" w:rsidP="00E11EEF">
            <w:pPr>
              <w:pStyle w:val="Tabletext0"/>
              <w:numPr>
                <w:ilvl w:val="0"/>
                <w:numId w:val="15"/>
              </w:numPr>
              <w:jc w:val="left"/>
              <w:rPr>
                <w:rFonts w:eastAsiaTheme="minorHAnsi" w:cstheme="minorBidi"/>
                <w:szCs w:val="22"/>
                <w:lang w:eastAsia="en-US"/>
              </w:rPr>
            </w:pPr>
            <w:r w:rsidRPr="00FC6BAC">
              <w:rPr>
                <w:rFonts w:eastAsiaTheme="minorHAnsi" w:cstheme="minorBidi"/>
                <w:szCs w:val="22"/>
                <w:lang w:eastAsia="en-US"/>
              </w:rPr>
              <w:t xml:space="preserve">at risk of medication-related problems (as identified by any treating health professional, or family member, or self-identified) including but not limited to: </w:t>
            </w:r>
          </w:p>
          <w:p w14:paraId="31970B69" w14:textId="77777777" w:rsidR="00FC6BAC" w:rsidRPr="00FC6BAC" w:rsidRDefault="00FC6BAC" w:rsidP="00E11EEF">
            <w:pPr>
              <w:pStyle w:val="ListParagraph"/>
              <w:numPr>
                <w:ilvl w:val="2"/>
                <w:numId w:val="16"/>
              </w:numPr>
              <w:spacing w:before="40"/>
              <w:ind w:left="1741" w:hanging="284"/>
              <w:contextualSpacing w:val="0"/>
              <w:rPr>
                <w:rFonts w:ascii="Arial Narrow" w:hAnsi="Arial Narrow"/>
              </w:rPr>
            </w:pPr>
            <w:r w:rsidRPr="00FC6BAC">
              <w:rPr>
                <w:rFonts w:ascii="Arial Narrow" w:hAnsi="Arial Narrow"/>
              </w:rPr>
              <w:t xml:space="preserve">being diagnosed with at least one chronic condition, which is current, and/or is pregnant, and/or is within 2 years post partum; </w:t>
            </w:r>
          </w:p>
          <w:p w14:paraId="0A9D8939" w14:textId="77777777" w:rsidR="00FC6BAC" w:rsidRPr="00FC6BAC" w:rsidRDefault="00FC6BAC" w:rsidP="00E11EEF">
            <w:pPr>
              <w:pStyle w:val="ListParagraph"/>
              <w:numPr>
                <w:ilvl w:val="2"/>
                <w:numId w:val="10"/>
              </w:numPr>
              <w:spacing w:before="0" w:after="0" w:line="276" w:lineRule="auto"/>
              <w:ind w:left="1797" w:hanging="357"/>
              <w:contextualSpacing w:val="0"/>
              <w:rPr>
                <w:rFonts w:ascii="Arial Narrow" w:hAnsi="Arial Narrow"/>
              </w:rPr>
            </w:pPr>
            <w:r w:rsidRPr="00FC6BAC">
              <w:rPr>
                <w:rFonts w:ascii="Arial Narrow" w:hAnsi="Arial Narrow"/>
              </w:rPr>
              <w:t xml:space="preserve">instability of health status and/or medication therapy; </w:t>
            </w:r>
          </w:p>
          <w:p w14:paraId="58A60D86" w14:textId="77777777" w:rsidR="00FC6BAC" w:rsidRPr="00FC6BAC" w:rsidRDefault="00FC6BAC" w:rsidP="00E11EEF">
            <w:pPr>
              <w:pStyle w:val="ListParagraph"/>
              <w:numPr>
                <w:ilvl w:val="2"/>
                <w:numId w:val="10"/>
              </w:numPr>
              <w:spacing w:before="0" w:after="0" w:line="276" w:lineRule="auto"/>
              <w:ind w:left="1797" w:hanging="357"/>
              <w:jc w:val="both"/>
              <w:rPr>
                <w:rFonts w:ascii="Arial Narrow" w:hAnsi="Arial Narrow"/>
              </w:rPr>
            </w:pPr>
            <w:r w:rsidRPr="00FC6BAC">
              <w:rPr>
                <w:rFonts w:ascii="Arial Narrow" w:hAnsi="Arial Narrow"/>
              </w:rPr>
              <w:t xml:space="preserve">using high-risk medication(s); </w:t>
            </w:r>
          </w:p>
          <w:p w14:paraId="7561A1E5" w14:textId="77777777" w:rsidR="00FC6BAC" w:rsidRPr="00FC6BAC" w:rsidRDefault="00FC6BAC" w:rsidP="00E11EEF">
            <w:pPr>
              <w:pStyle w:val="ListParagraph"/>
              <w:numPr>
                <w:ilvl w:val="2"/>
                <w:numId w:val="10"/>
              </w:numPr>
              <w:spacing w:before="0" w:after="0" w:line="276" w:lineRule="auto"/>
              <w:ind w:left="1797" w:hanging="357"/>
              <w:jc w:val="both"/>
              <w:rPr>
                <w:rFonts w:ascii="Arial Narrow" w:hAnsi="Arial Narrow"/>
              </w:rPr>
            </w:pPr>
            <w:r w:rsidRPr="00FC6BAC">
              <w:rPr>
                <w:rFonts w:ascii="Arial Narrow" w:hAnsi="Arial Narrow"/>
              </w:rPr>
              <w:t xml:space="preserve">likelihood of compromised adherence; </w:t>
            </w:r>
          </w:p>
          <w:p w14:paraId="3D8CD4B0" w14:textId="77777777" w:rsidR="00FC6BAC" w:rsidRPr="00FC6BAC" w:rsidRDefault="00FC6BAC" w:rsidP="00E11EEF">
            <w:pPr>
              <w:pStyle w:val="ListParagraph"/>
              <w:numPr>
                <w:ilvl w:val="2"/>
                <w:numId w:val="10"/>
              </w:numPr>
              <w:spacing w:before="0" w:after="0" w:line="276" w:lineRule="auto"/>
              <w:ind w:left="1797" w:hanging="357"/>
              <w:jc w:val="both"/>
              <w:rPr>
                <w:rFonts w:ascii="Arial Narrow" w:hAnsi="Arial Narrow"/>
              </w:rPr>
            </w:pPr>
            <w:r w:rsidRPr="00FC6BAC">
              <w:rPr>
                <w:rFonts w:ascii="Arial Narrow" w:hAnsi="Arial Narrow"/>
              </w:rPr>
              <w:t xml:space="preserve">new therapeutic goals; </w:t>
            </w:r>
          </w:p>
          <w:p w14:paraId="5EC83F93" w14:textId="77777777" w:rsidR="00FC6BAC" w:rsidRPr="00FC6BAC" w:rsidRDefault="00FC6BAC" w:rsidP="00E11EEF">
            <w:pPr>
              <w:pStyle w:val="ListParagraph"/>
              <w:numPr>
                <w:ilvl w:val="2"/>
                <w:numId w:val="10"/>
              </w:numPr>
              <w:spacing w:before="0" w:after="0" w:line="276" w:lineRule="auto"/>
              <w:ind w:left="1797" w:hanging="357"/>
              <w:jc w:val="both"/>
              <w:rPr>
                <w:rFonts w:ascii="Arial Narrow" w:hAnsi="Arial Narrow"/>
              </w:rPr>
            </w:pPr>
            <w:r w:rsidRPr="00FC6BAC">
              <w:rPr>
                <w:rFonts w:ascii="Arial Narrow" w:hAnsi="Arial Narrow"/>
              </w:rPr>
              <w:t>potentially incomplete understanding of medication use; or</w:t>
            </w:r>
          </w:p>
          <w:p w14:paraId="433BC9DC" w14:textId="77777777" w:rsidR="00FC6BAC" w:rsidRPr="00FC6BAC" w:rsidRDefault="00FC6BAC" w:rsidP="00E11EEF">
            <w:pPr>
              <w:pStyle w:val="ListParagraph"/>
              <w:numPr>
                <w:ilvl w:val="2"/>
                <w:numId w:val="10"/>
              </w:numPr>
              <w:spacing w:before="0" w:after="0" w:line="276" w:lineRule="auto"/>
              <w:ind w:left="1797" w:hanging="357"/>
              <w:jc w:val="both"/>
              <w:rPr>
                <w:rFonts w:ascii="Arial Narrow" w:hAnsi="Arial Narrow"/>
              </w:rPr>
            </w:pPr>
            <w:r w:rsidRPr="00FC6BAC">
              <w:rPr>
                <w:rFonts w:ascii="Arial Narrow" w:hAnsi="Arial Narrow"/>
              </w:rPr>
              <w:t>failure to respond to treatment in an expected way</w:t>
            </w:r>
          </w:p>
          <w:p w14:paraId="67BBE67E" w14:textId="77777777" w:rsidR="00FC6BAC" w:rsidRPr="00FC6BAC" w:rsidRDefault="00FC6BAC" w:rsidP="00E11EEF">
            <w:pPr>
              <w:pStyle w:val="Tabletext0"/>
              <w:numPr>
                <w:ilvl w:val="0"/>
                <w:numId w:val="20"/>
              </w:numPr>
              <w:jc w:val="left"/>
              <w:rPr>
                <w:rFonts w:eastAsiaTheme="minorHAnsi" w:cstheme="minorBidi"/>
                <w:szCs w:val="22"/>
                <w:lang w:eastAsia="en-US"/>
              </w:rPr>
            </w:pPr>
            <w:r w:rsidRPr="00FC6BAC">
              <w:rPr>
                <w:rFonts w:eastAsiaTheme="minorHAnsi" w:cstheme="minorBidi"/>
                <w:szCs w:val="22"/>
                <w:lang w:eastAsia="en-US"/>
              </w:rPr>
              <w:t>following assessment, participates in a medication management review, at a location agreed upon by the consumer, in conjunction with the AHW (or other clinic staff), and family member or carer as requested by the consumer;</w:t>
            </w:r>
          </w:p>
          <w:p w14:paraId="2E866D5B" w14:textId="77777777" w:rsidR="00FC6BAC" w:rsidRPr="00FC6BAC" w:rsidRDefault="00FC6BAC" w:rsidP="00E11EEF">
            <w:pPr>
              <w:pStyle w:val="Tabletext0"/>
              <w:numPr>
                <w:ilvl w:val="0"/>
                <w:numId w:val="20"/>
              </w:numPr>
              <w:jc w:val="left"/>
              <w:rPr>
                <w:rFonts w:eastAsiaTheme="minorHAnsi" w:cstheme="minorBidi"/>
                <w:szCs w:val="22"/>
                <w:lang w:eastAsia="en-US"/>
              </w:rPr>
            </w:pPr>
            <w:r w:rsidRPr="00FC6BAC">
              <w:rPr>
                <w:rFonts w:eastAsiaTheme="minorHAnsi" w:cstheme="minorBidi"/>
                <w:szCs w:val="22"/>
                <w:lang w:eastAsia="en-US"/>
              </w:rPr>
              <w:t>participates in a subsequent review with the consumer and GP and assists with finalisation of a medication plan for the consumer, as requested by the consumer.</w:t>
            </w:r>
          </w:p>
          <w:p w14:paraId="761E0004" w14:textId="77777777" w:rsidR="00FC6BAC" w:rsidRPr="00FC6BAC" w:rsidRDefault="00FC6BAC" w:rsidP="00E11EEF">
            <w:pPr>
              <w:pStyle w:val="ListParagraph"/>
              <w:numPr>
                <w:ilvl w:val="0"/>
                <w:numId w:val="20"/>
              </w:numPr>
              <w:spacing w:before="0" w:after="240" w:line="312" w:lineRule="auto"/>
              <w:contextualSpacing w:val="0"/>
              <w:rPr>
                <w:rFonts w:ascii="Arial Narrow" w:hAnsi="Arial Narrow"/>
              </w:rPr>
            </w:pPr>
            <w:r w:rsidRPr="00FC6BAC">
              <w:rPr>
                <w:rFonts w:ascii="Arial Narrow" w:hAnsi="Arial Narrow"/>
              </w:rPr>
              <w:t>participates in any follow-up (Tier 2) required by the consumer or GP, with up to 2 interactions in the subsequent 12 month period.</w:t>
            </w:r>
          </w:p>
          <w:p w14:paraId="376B9DB4" w14:textId="77777777" w:rsidR="00FC6BAC" w:rsidRDefault="00FC6BAC" w:rsidP="00724FA4">
            <w:pPr>
              <w:pStyle w:val="TableText"/>
            </w:pPr>
            <w:r>
              <w:t xml:space="preserve">For any particular consumer – applicable not more than once in each 12 month period, except if there has been a significant change in the consumer’s condition or medication regimen requiring a new medication plan. Ineligible if a Domiciliary Medication Management Review (DMMR), Residential Medication Management Review (RMMR), or MedsCheck service has been provided in the previous 12 months.  </w:t>
            </w:r>
          </w:p>
          <w:p w14:paraId="77D9DC8C" w14:textId="77777777" w:rsidR="00FC6BAC" w:rsidRDefault="00FC6BAC" w:rsidP="007C620E">
            <w:pPr>
              <w:pStyle w:val="TableText"/>
              <w:spacing w:before="240"/>
            </w:pPr>
            <w:r w:rsidRPr="00FC6BAC">
              <w:t>Fee:</w:t>
            </w:r>
            <w:r>
              <w:t xml:space="preserve"> </w:t>
            </w:r>
            <w:r w:rsidRPr="00AF0DBC">
              <w:t xml:space="preserve">$50.00 </w:t>
            </w:r>
            <w:r w:rsidRPr="00FC6BAC">
              <w:t>Benefit:</w:t>
            </w:r>
            <w:r w:rsidRPr="00AF0DBC">
              <w:t xml:space="preserve"> 100% = </w:t>
            </w:r>
            <w:r>
              <w:t>$</w:t>
            </w:r>
            <w:r w:rsidRPr="00AF0DBC">
              <w:t>50.00</w:t>
            </w:r>
          </w:p>
          <w:p w14:paraId="7BEEDD8B" w14:textId="77777777" w:rsidR="00FC6BAC" w:rsidRDefault="00FC6BAC" w:rsidP="00724FA4">
            <w:pPr>
              <w:pStyle w:val="TableText"/>
            </w:pPr>
            <w:r>
              <w:t>First follow-up service</w:t>
            </w:r>
          </w:p>
          <w:p w14:paraId="15B612E9" w14:textId="77777777" w:rsidR="00FC6BAC" w:rsidRDefault="00FC6BAC" w:rsidP="00724FA4">
            <w:pPr>
              <w:pStyle w:val="TableText"/>
            </w:pPr>
            <w:r w:rsidRPr="00FC6BAC">
              <w:t>Fee:</w:t>
            </w:r>
            <w:r>
              <w:t xml:space="preserve"> $25 </w:t>
            </w:r>
            <w:r w:rsidRPr="00FC6BAC">
              <w:t>Benefit:</w:t>
            </w:r>
            <w:r>
              <w:t xml:space="preserve"> 100% = $25</w:t>
            </w:r>
          </w:p>
          <w:p w14:paraId="05004067" w14:textId="77777777" w:rsidR="00FC6BAC" w:rsidRDefault="00FC6BAC" w:rsidP="00724FA4">
            <w:pPr>
              <w:pStyle w:val="TableText"/>
            </w:pPr>
            <w:r>
              <w:t>Second follow-up service</w:t>
            </w:r>
          </w:p>
          <w:p w14:paraId="75B35507" w14:textId="77777777" w:rsidR="00FC6BAC" w:rsidRPr="009000B6" w:rsidDel="00A134DA" w:rsidRDefault="00FC6BAC" w:rsidP="00724FA4">
            <w:pPr>
              <w:pStyle w:val="TableText"/>
            </w:pPr>
            <w:r w:rsidRPr="00FC6BAC">
              <w:t>Fee:</w:t>
            </w:r>
            <w:r>
              <w:t xml:space="preserve"> $12.50 </w:t>
            </w:r>
            <w:r w:rsidRPr="00FC6BAC">
              <w:t>Benefit:</w:t>
            </w:r>
            <w:r>
              <w:t xml:space="preserve"> 100% = $12.50</w:t>
            </w:r>
          </w:p>
        </w:tc>
      </w:tr>
      <w:tr w:rsidR="00FC6BAC" w:rsidRPr="00183E4D" w:rsidDel="00A134DA" w14:paraId="248CFC82" w14:textId="77777777" w:rsidTr="000D7826">
        <w:trPr>
          <w:cantSplit/>
          <w:trHeight w:val="351"/>
        </w:trPr>
        <w:tc>
          <w:tcPr>
            <w:tcW w:w="5000" w:type="pct"/>
            <w:tcBorders>
              <w:top w:val="single" w:sz="4" w:space="0" w:color="000000"/>
              <w:left w:val="single" w:sz="4" w:space="0" w:color="000000"/>
              <w:bottom w:val="single" w:sz="4" w:space="0" w:color="000000"/>
              <w:right w:val="single" w:sz="4" w:space="0" w:color="000000"/>
            </w:tcBorders>
            <w:hideMark/>
          </w:tcPr>
          <w:p w14:paraId="5364ECA4" w14:textId="77777777" w:rsidR="00C42F79" w:rsidRDefault="00FC6BAC" w:rsidP="00724FA4">
            <w:pPr>
              <w:pStyle w:val="Tabletext0"/>
              <w:ind w:left="41"/>
              <w:jc w:val="right"/>
              <w:rPr>
                <w:rFonts w:eastAsiaTheme="minorHAnsi" w:cstheme="minorBidi"/>
                <w:szCs w:val="22"/>
                <w:lang w:eastAsia="en-US"/>
              </w:rPr>
            </w:pPr>
            <w:r w:rsidRPr="00FC6BAC" w:rsidDel="00A134DA">
              <w:rPr>
                <w:rFonts w:eastAsiaTheme="minorHAnsi" w:cstheme="minorBidi"/>
                <w:szCs w:val="22"/>
                <w:lang w:eastAsia="en-US"/>
              </w:rPr>
              <w:t>Category</w:t>
            </w:r>
            <w:r w:rsidR="00C42F79">
              <w:rPr>
                <w:rFonts w:eastAsiaTheme="minorHAnsi" w:cstheme="minorBidi"/>
                <w:szCs w:val="22"/>
                <w:lang w:eastAsia="en-US"/>
              </w:rPr>
              <w:t>1 – Professional Attendances</w:t>
            </w:r>
          </w:p>
          <w:p w14:paraId="40A8BDFA" w14:textId="4ABE3E4E" w:rsidR="00FC6BAC" w:rsidRPr="00FC6BAC" w:rsidDel="00A134DA" w:rsidRDefault="00C42F79" w:rsidP="00724FA4">
            <w:pPr>
              <w:pStyle w:val="Tabletext0"/>
              <w:ind w:left="41"/>
              <w:jc w:val="right"/>
              <w:rPr>
                <w:rFonts w:eastAsiaTheme="minorHAnsi" w:cstheme="minorBidi"/>
                <w:szCs w:val="22"/>
                <w:lang w:eastAsia="en-US"/>
              </w:rPr>
            </w:pPr>
            <w:r>
              <w:rPr>
                <w:rFonts w:eastAsiaTheme="minorHAnsi" w:cstheme="minorBidi"/>
                <w:szCs w:val="22"/>
                <w:lang w:eastAsia="en-US"/>
              </w:rPr>
              <w:t xml:space="preserve">Group </w:t>
            </w:r>
            <w:r w:rsidR="00FC6BAC" w:rsidRPr="00FC6BAC" w:rsidDel="00A134DA">
              <w:rPr>
                <w:rFonts w:eastAsiaTheme="minorHAnsi" w:cstheme="minorBidi"/>
                <w:szCs w:val="22"/>
                <w:lang w:eastAsia="en-US"/>
              </w:rPr>
              <w:t xml:space="preserve"> </w:t>
            </w:r>
            <w:r w:rsidR="00FC6BAC" w:rsidRPr="00FC6BAC">
              <w:rPr>
                <w:rFonts w:eastAsiaTheme="minorHAnsi" w:cstheme="minorBidi"/>
                <w:szCs w:val="22"/>
                <w:lang w:eastAsia="en-US"/>
              </w:rPr>
              <w:t>A17</w:t>
            </w:r>
            <w:r w:rsidR="00FC6BAC" w:rsidRPr="00FC6BAC" w:rsidDel="00A134DA">
              <w:rPr>
                <w:rFonts w:eastAsiaTheme="minorHAnsi" w:cstheme="minorBidi"/>
                <w:szCs w:val="22"/>
                <w:lang w:eastAsia="en-US"/>
              </w:rPr>
              <w:t xml:space="preserve"> – </w:t>
            </w:r>
            <w:r w:rsidR="00FC6BAC" w:rsidRPr="00FC6BAC">
              <w:rPr>
                <w:rFonts w:eastAsiaTheme="minorHAnsi" w:cstheme="minorBidi"/>
                <w:szCs w:val="22"/>
                <w:lang w:eastAsia="en-US"/>
              </w:rPr>
              <w:t>Domiciliary and residential medication management reviews</w:t>
            </w:r>
          </w:p>
        </w:tc>
      </w:tr>
      <w:tr w:rsidR="00FC6BAC" w:rsidRPr="00183E4D" w:rsidDel="00A134DA" w14:paraId="0D610F6A" w14:textId="77777777" w:rsidTr="000D7826">
        <w:trPr>
          <w:cantSplit/>
          <w:trHeight w:val="351"/>
        </w:trPr>
        <w:tc>
          <w:tcPr>
            <w:tcW w:w="5000" w:type="pct"/>
            <w:tcBorders>
              <w:top w:val="single" w:sz="4" w:space="0" w:color="000000"/>
              <w:left w:val="single" w:sz="4" w:space="0" w:color="000000"/>
              <w:bottom w:val="single" w:sz="4" w:space="0" w:color="000000"/>
              <w:right w:val="single" w:sz="4" w:space="0" w:color="000000"/>
            </w:tcBorders>
            <w:hideMark/>
          </w:tcPr>
          <w:p w14:paraId="4FBFD527" w14:textId="77777777" w:rsidR="00FC6BAC" w:rsidRPr="00183E4D" w:rsidDel="00A134DA" w:rsidRDefault="00FC6BAC" w:rsidP="00724FA4">
            <w:pPr>
              <w:pStyle w:val="TableText"/>
            </w:pPr>
            <w:r>
              <w:t>Aboriginal and Torres Strait Islander medication review service (IMeRSe)</w:t>
            </w:r>
          </w:p>
        </w:tc>
      </w:tr>
      <w:tr w:rsidR="00FC6BAC" w:rsidRPr="00183E4D" w:rsidDel="00A134DA" w14:paraId="1690E53E" w14:textId="77777777" w:rsidTr="000D7826">
        <w:trPr>
          <w:cantSplit/>
          <w:trHeight w:val="351"/>
        </w:trPr>
        <w:tc>
          <w:tcPr>
            <w:tcW w:w="5000" w:type="pct"/>
            <w:tcBorders>
              <w:top w:val="single" w:sz="4" w:space="0" w:color="000000"/>
              <w:left w:val="single" w:sz="4" w:space="0" w:color="000000"/>
              <w:bottom w:val="single" w:sz="4" w:space="0" w:color="000000"/>
              <w:right w:val="single" w:sz="4" w:space="0" w:color="000000"/>
            </w:tcBorders>
            <w:hideMark/>
          </w:tcPr>
          <w:p w14:paraId="5F990B9B" w14:textId="77777777" w:rsidR="00FC6BAC" w:rsidRDefault="00FC6BAC" w:rsidP="00724FA4">
            <w:pPr>
              <w:pStyle w:val="TableText"/>
            </w:pPr>
            <w:r>
              <w:t xml:space="preserve">Participation by a </w:t>
            </w:r>
            <w:r w:rsidRPr="00FC6BAC">
              <w:t>general practitioner</w:t>
            </w:r>
            <w:r>
              <w:t xml:space="preserve"> (GP) in a culturally responsive medication management review for a consumer living in a community setting, in which the pharmacist, with the consumer’s consent, </w:t>
            </w:r>
          </w:p>
          <w:p w14:paraId="0D5F18B2" w14:textId="77777777" w:rsidR="00FC6BAC" w:rsidRPr="00FC6BAC" w:rsidRDefault="00FC6BAC" w:rsidP="00E11EEF">
            <w:pPr>
              <w:pStyle w:val="Tabletext0"/>
              <w:numPr>
                <w:ilvl w:val="0"/>
                <w:numId w:val="14"/>
              </w:numPr>
              <w:jc w:val="left"/>
              <w:rPr>
                <w:rFonts w:eastAsiaTheme="minorHAnsi" w:cstheme="minorBidi"/>
                <w:szCs w:val="22"/>
                <w:lang w:eastAsia="en-US"/>
              </w:rPr>
            </w:pPr>
            <w:r w:rsidRPr="00FC6BAC">
              <w:rPr>
                <w:rFonts w:eastAsiaTheme="minorHAnsi" w:cstheme="minorBidi"/>
                <w:szCs w:val="22"/>
                <w:lang w:eastAsia="en-US"/>
              </w:rPr>
              <w:t>assesses and confirms the consumer is:</w:t>
            </w:r>
          </w:p>
          <w:p w14:paraId="144320E9" w14:textId="77777777" w:rsidR="00FC6BAC" w:rsidRPr="00FC6BAC" w:rsidRDefault="00FC6BAC" w:rsidP="00E11EEF">
            <w:pPr>
              <w:pStyle w:val="Tabletext0"/>
              <w:numPr>
                <w:ilvl w:val="0"/>
                <w:numId w:val="13"/>
              </w:numPr>
              <w:jc w:val="left"/>
              <w:rPr>
                <w:rFonts w:eastAsiaTheme="minorHAnsi" w:cstheme="minorBidi"/>
                <w:szCs w:val="22"/>
                <w:lang w:eastAsia="en-US"/>
              </w:rPr>
            </w:pPr>
            <w:r w:rsidRPr="00FC6BAC">
              <w:rPr>
                <w:rFonts w:eastAsiaTheme="minorHAnsi" w:cstheme="minorBidi"/>
                <w:szCs w:val="22"/>
                <w:lang w:eastAsia="en-US"/>
              </w:rPr>
              <w:t>a self-identified Aboriginal or Torres Strait Islander Australian;</w:t>
            </w:r>
          </w:p>
          <w:p w14:paraId="6E523F9E" w14:textId="77777777" w:rsidR="00FC6BAC" w:rsidRPr="00FC6BAC" w:rsidRDefault="00FC6BAC" w:rsidP="00E11EEF">
            <w:pPr>
              <w:pStyle w:val="Tabletext0"/>
              <w:numPr>
                <w:ilvl w:val="0"/>
                <w:numId w:val="13"/>
              </w:numPr>
              <w:jc w:val="left"/>
              <w:rPr>
                <w:rFonts w:eastAsiaTheme="minorHAnsi" w:cstheme="minorBidi"/>
                <w:szCs w:val="22"/>
                <w:lang w:eastAsia="en-US"/>
              </w:rPr>
            </w:pPr>
            <w:r w:rsidRPr="00FC6BAC">
              <w:rPr>
                <w:rFonts w:eastAsiaTheme="minorHAnsi" w:cstheme="minorBidi"/>
                <w:szCs w:val="22"/>
                <w:lang w:eastAsia="en-US"/>
              </w:rPr>
              <w:t>aged 18 years or over;</w:t>
            </w:r>
          </w:p>
          <w:p w14:paraId="645F7A58" w14:textId="77777777" w:rsidR="00FC6BAC" w:rsidRPr="00FC6BAC" w:rsidRDefault="00FC6BAC" w:rsidP="00E11EEF">
            <w:pPr>
              <w:pStyle w:val="Tabletext0"/>
              <w:numPr>
                <w:ilvl w:val="0"/>
                <w:numId w:val="13"/>
              </w:numPr>
              <w:jc w:val="left"/>
              <w:rPr>
                <w:rFonts w:eastAsiaTheme="minorHAnsi" w:cstheme="minorBidi"/>
                <w:szCs w:val="22"/>
                <w:lang w:eastAsia="en-US"/>
              </w:rPr>
            </w:pPr>
            <w:r w:rsidRPr="00FC6BAC">
              <w:rPr>
                <w:rFonts w:eastAsiaTheme="minorHAnsi" w:cstheme="minorBidi"/>
                <w:szCs w:val="22"/>
                <w:lang w:eastAsia="en-US"/>
              </w:rPr>
              <w:t xml:space="preserve">at risk of medication-related problems (as identified by any treating health professional, or family member, or self-identified) including but not limited to: </w:t>
            </w:r>
          </w:p>
          <w:p w14:paraId="3DE57C2D" w14:textId="77777777" w:rsidR="00FC6BAC" w:rsidRPr="00FC6BAC" w:rsidRDefault="00FC6BAC" w:rsidP="00E11EEF">
            <w:pPr>
              <w:pStyle w:val="ListParagraph"/>
              <w:numPr>
                <w:ilvl w:val="2"/>
                <w:numId w:val="21"/>
              </w:numPr>
              <w:spacing w:before="40"/>
              <w:ind w:left="1741" w:hanging="284"/>
              <w:contextualSpacing w:val="0"/>
              <w:rPr>
                <w:rFonts w:ascii="Arial Narrow" w:hAnsi="Arial Narrow"/>
              </w:rPr>
            </w:pPr>
            <w:r w:rsidRPr="00FC6BAC">
              <w:rPr>
                <w:rFonts w:ascii="Arial Narrow" w:hAnsi="Arial Narrow"/>
              </w:rPr>
              <w:t xml:space="preserve">being diagnosed with at least one chronic condition, which is current, and/or is pregnant, and/or is within 2 years post partum; </w:t>
            </w:r>
          </w:p>
          <w:p w14:paraId="27D9AE01" w14:textId="77777777" w:rsidR="00FC6BAC" w:rsidRPr="00FC6BAC" w:rsidRDefault="00FC6BAC" w:rsidP="00E11EEF">
            <w:pPr>
              <w:pStyle w:val="ListParagraph"/>
              <w:numPr>
                <w:ilvl w:val="2"/>
                <w:numId w:val="10"/>
              </w:numPr>
              <w:spacing w:before="0" w:after="0" w:line="276" w:lineRule="auto"/>
              <w:ind w:left="1797" w:hanging="357"/>
              <w:contextualSpacing w:val="0"/>
              <w:rPr>
                <w:rFonts w:ascii="Arial Narrow" w:hAnsi="Arial Narrow"/>
              </w:rPr>
            </w:pPr>
            <w:r w:rsidRPr="00FC6BAC">
              <w:rPr>
                <w:rFonts w:ascii="Arial Narrow" w:hAnsi="Arial Narrow"/>
              </w:rPr>
              <w:t xml:space="preserve">instability of health status and/or medication therapy; </w:t>
            </w:r>
          </w:p>
          <w:p w14:paraId="64F5262A" w14:textId="77777777" w:rsidR="00FC6BAC" w:rsidRPr="00FC6BAC" w:rsidRDefault="00FC6BAC" w:rsidP="00E11EEF">
            <w:pPr>
              <w:pStyle w:val="ListParagraph"/>
              <w:numPr>
                <w:ilvl w:val="2"/>
                <w:numId w:val="10"/>
              </w:numPr>
              <w:spacing w:before="0" w:after="0" w:line="276" w:lineRule="auto"/>
              <w:ind w:left="1797" w:hanging="357"/>
              <w:jc w:val="both"/>
              <w:rPr>
                <w:rFonts w:ascii="Arial Narrow" w:hAnsi="Arial Narrow"/>
              </w:rPr>
            </w:pPr>
            <w:r w:rsidRPr="00FC6BAC">
              <w:rPr>
                <w:rFonts w:ascii="Arial Narrow" w:hAnsi="Arial Narrow"/>
              </w:rPr>
              <w:t xml:space="preserve">using high-risk medication(s); </w:t>
            </w:r>
          </w:p>
          <w:p w14:paraId="2BC6163D" w14:textId="77777777" w:rsidR="00FC6BAC" w:rsidRPr="00FC6BAC" w:rsidRDefault="00FC6BAC" w:rsidP="00E11EEF">
            <w:pPr>
              <w:pStyle w:val="ListParagraph"/>
              <w:numPr>
                <w:ilvl w:val="2"/>
                <w:numId w:val="10"/>
              </w:numPr>
              <w:spacing w:before="0" w:after="0" w:line="276" w:lineRule="auto"/>
              <w:ind w:left="1797" w:hanging="357"/>
              <w:jc w:val="both"/>
              <w:rPr>
                <w:rFonts w:ascii="Arial Narrow" w:hAnsi="Arial Narrow"/>
              </w:rPr>
            </w:pPr>
            <w:r w:rsidRPr="00FC6BAC">
              <w:rPr>
                <w:rFonts w:ascii="Arial Narrow" w:hAnsi="Arial Narrow"/>
              </w:rPr>
              <w:t xml:space="preserve">likelihood of compromised adherence; </w:t>
            </w:r>
          </w:p>
          <w:p w14:paraId="694FFB19" w14:textId="77777777" w:rsidR="00FC6BAC" w:rsidRPr="00FC6BAC" w:rsidRDefault="00FC6BAC" w:rsidP="00E11EEF">
            <w:pPr>
              <w:pStyle w:val="ListParagraph"/>
              <w:numPr>
                <w:ilvl w:val="2"/>
                <w:numId w:val="10"/>
              </w:numPr>
              <w:spacing w:before="0" w:after="0" w:line="276" w:lineRule="auto"/>
              <w:ind w:left="1797" w:hanging="357"/>
              <w:jc w:val="both"/>
              <w:rPr>
                <w:rFonts w:ascii="Arial Narrow" w:hAnsi="Arial Narrow"/>
              </w:rPr>
            </w:pPr>
            <w:r w:rsidRPr="00FC6BAC">
              <w:rPr>
                <w:rFonts w:ascii="Arial Narrow" w:hAnsi="Arial Narrow"/>
              </w:rPr>
              <w:t xml:space="preserve">new therapeutic goals; </w:t>
            </w:r>
          </w:p>
          <w:p w14:paraId="3C60DF39" w14:textId="77777777" w:rsidR="00FC6BAC" w:rsidRPr="00FC6BAC" w:rsidRDefault="00FC6BAC" w:rsidP="00E11EEF">
            <w:pPr>
              <w:pStyle w:val="ListParagraph"/>
              <w:numPr>
                <w:ilvl w:val="2"/>
                <w:numId w:val="10"/>
              </w:numPr>
              <w:spacing w:before="0" w:after="0" w:line="276" w:lineRule="auto"/>
              <w:ind w:left="1797" w:hanging="357"/>
              <w:jc w:val="both"/>
              <w:rPr>
                <w:rFonts w:ascii="Arial Narrow" w:hAnsi="Arial Narrow"/>
              </w:rPr>
            </w:pPr>
            <w:r w:rsidRPr="00FC6BAC">
              <w:rPr>
                <w:rFonts w:ascii="Arial Narrow" w:hAnsi="Arial Narrow"/>
              </w:rPr>
              <w:t>potentially incomplete understanding of medication use; or</w:t>
            </w:r>
          </w:p>
          <w:p w14:paraId="6B60722F" w14:textId="77777777" w:rsidR="00FC6BAC" w:rsidRPr="00FC6BAC" w:rsidRDefault="00FC6BAC" w:rsidP="00E11EEF">
            <w:pPr>
              <w:pStyle w:val="ListParagraph"/>
              <w:numPr>
                <w:ilvl w:val="2"/>
                <w:numId w:val="10"/>
              </w:numPr>
              <w:spacing w:before="0" w:after="0" w:line="276" w:lineRule="auto"/>
              <w:ind w:left="1797" w:hanging="357"/>
              <w:jc w:val="both"/>
              <w:rPr>
                <w:rFonts w:ascii="Arial Narrow" w:hAnsi="Arial Narrow"/>
              </w:rPr>
            </w:pPr>
            <w:r w:rsidRPr="00FC6BAC">
              <w:rPr>
                <w:rFonts w:ascii="Arial Narrow" w:hAnsi="Arial Narrow"/>
              </w:rPr>
              <w:t>failure to respond to treatment in an expected way</w:t>
            </w:r>
          </w:p>
          <w:p w14:paraId="6E09652A" w14:textId="77777777" w:rsidR="00FC6BAC" w:rsidRPr="00FC6BAC" w:rsidRDefault="00FC6BAC" w:rsidP="00E11EEF">
            <w:pPr>
              <w:pStyle w:val="Tabletext0"/>
              <w:numPr>
                <w:ilvl w:val="0"/>
                <w:numId w:val="14"/>
              </w:numPr>
              <w:jc w:val="left"/>
              <w:rPr>
                <w:rFonts w:eastAsiaTheme="minorHAnsi" w:cstheme="minorBidi"/>
                <w:szCs w:val="22"/>
                <w:lang w:eastAsia="en-US"/>
              </w:rPr>
            </w:pPr>
            <w:r w:rsidRPr="00FC6BAC">
              <w:rPr>
                <w:rFonts w:eastAsiaTheme="minorHAnsi" w:cstheme="minorBidi"/>
                <w:szCs w:val="22"/>
                <w:lang w:eastAsia="en-US"/>
              </w:rPr>
              <w:t>following assessment and submission of the medication management review by the pharmacist, develops a medication plan in consultation with the consumer, including the AHW, and family member or carer as appropriate, within 2 weeks of receiving the medication review; and</w:t>
            </w:r>
          </w:p>
          <w:p w14:paraId="797AF244" w14:textId="77777777" w:rsidR="00FC6BAC" w:rsidRPr="00FC6BAC" w:rsidRDefault="00FC6BAC" w:rsidP="00E11EEF">
            <w:pPr>
              <w:pStyle w:val="Tabletext0"/>
              <w:numPr>
                <w:ilvl w:val="0"/>
                <w:numId w:val="14"/>
              </w:numPr>
              <w:jc w:val="left"/>
              <w:rPr>
                <w:rFonts w:eastAsiaTheme="minorHAnsi" w:cstheme="minorBidi"/>
                <w:szCs w:val="22"/>
                <w:lang w:eastAsia="en-US"/>
              </w:rPr>
            </w:pPr>
            <w:r w:rsidRPr="00FC6BAC">
              <w:rPr>
                <w:rFonts w:eastAsiaTheme="minorHAnsi" w:cstheme="minorBidi"/>
                <w:szCs w:val="22"/>
                <w:lang w:eastAsia="en-US"/>
              </w:rPr>
              <w:t xml:space="preserve">submits the medication plan to the pharmacist who undertook the medication review, with suggestions for further follow up as deemed appropriate; </w:t>
            </w:r>
          </w:p>
          <w:p w14:paraId="7CAD1E33" w14:textId="77777777" w:rsidR="00FC6BAC" w:rsidRPr="00FC6BAC" w:rsidRDefault="00FC6BAC" w:rsidP="00E11EEF">
            <w:pPr>
              <w:pStyle w:val="Tabletext0"/>
              <w:numPr>
                <w:ilvl w:val="0"/>
                <w:numId w:val="14"/>
              </w:numPr>
              <w:jc w:val="left"/>
              <w:rPr>
                <w:rFonts w:eastAsiaTheme="minorHAnsi" w:cstheme="minorBidi"/>
                <w:szCs w:val="22"/>
                <w:lang w:eastAsia="en-US"/>
              </w:rPr>
            </w:pPr>
            <w:r w:rsidRPr="00FC6BAC">
              <w:rPr>
                <w:rFonts w:eastAsiaTheme="minorHAnsi" w:cstheme="minorBidi"/>
                <w:szCs w:val="22"/>
                <w:lang w:eastAsia="en-US"/>
              </w:rPr>
              <w:t xml:space="preserve">reviews any documented follow-up actions submitted by the pharmacist (up to 2 interactions in the subsequent 12 month period) and updates the medication plan as required. </w:t>
            </w:r>
          </w:p>
          <w:p w14:paraId="15D1082B" w14:textId="77777777" w:rsidR="00FC6BAC" w:rsidRDefault="00FC6BAC" w:rsidP="007C620E">
            <w:pPr>
              <w:pStyle w:val="TableText"/>
              <w:spacing w:before="240"/>
            </w:pPr>
            <w:r>
              <w:t xml:space="preserve">For any particular consumer – applicable not more than once in each 12 month period, except if there has been a significant change in the consumer’s condition or medication regimen requiring a new medication plan. Ineligible if a Domiciliary Medication Management Review (DMMR), Residential Medication Management Review (RMMR), or MedsCheck service has been provided in the previous 12 months.  </w:t>
            </w:r>
          </w:p>
          <w:p w14:paraId="35B25C6F" w14:textId="77777777" w:rsidR="00FC6BAC" w:rsidRPr="009000B6" w:rsidDel="00A134DA" w:rsidRDefault="00FC6BAC" w:rsidP="007C620E">
            <w:pPr>
              <w:pStyle w:val="TableText"/>
              <w:spacing w:before="240"/>
            </w:pPr>
            <w:r w:rsidRPr="00FC6BAC">
              <w:t>Fee</w:t>
            </w:r>
            <w:r>
              <w:t xml:space="preserve">: </w:t>
            </w:r>
            <w:r w:rsidRPr="00507282">
              <w:t xml:space="preserve">$ </w:t>
            </w:r>
            <w:r>
              <w:t>75.05</w:t>
            </w:r>
            <w:r w:rsidRPr="00507282">
              <w:t xml:space="preserve">  </w:t>
            </w:r>
            <w:r w:rsidRPr="00FC6BAC">
              <w:t>Benefit:</w:t>
            </w:r>
            <w:r w:rsidRPr="00507282">
              <w:t xml:space="preserve"> 100% = $</w:t>
            </w:r>
            <w:r>
              <w:t>75.05</w:t>
            </w:r>
          </w:p>
        </w:tc>
      </w:tr>
      <w:tr w:rsidR="00FC6BAC" w:rsidRPr="00183E4D" w:rsidDel="00A134DA" w14:paraId="459DB61D" w14:textId="77777777" w:rsidTr="000D7826">
        <w:trPr>
          <w:cantSplit/>
          <w:trHeight w:val="351"/>
        </w:trPr>
        <w:tc>
          <w:tcPr>
            <w:tcW w:w="5000" w:type="pct"/>
            <w:tcBorders>
              <w:top w:val="single" w:sz="4" w:space="0" w:color="000000"/>
              <w:left w:val="single" w:sz="4" w:space="0" w:color="000000"/>
              <w:bottom w:val="single" w:sz="4" w:space="0" w:color="000000"/>
              <w:right w:val="single" w:sz="4" w:space="0" w:color="000000"/>
            </w:tcBorders>
            <w:hideMark/>
          </w:tcPr>
          <w:p w14:paraId="4FB749F9" w14:textId="77777777" w:rsidR="00FC6BAC" w:rsidRPr="00FC6BAC" w:rsidDel="00A134DA" w:rsidRDefault="00FC6BAC" w:rsidP="00E11EEF">
            <w:pPr>
              <w:pStyle w:val="Tabletext0"/>
              <w:numPr>
                <w:ilvl w:val="0"/>
                <w:numId w:val="21"/>
              </w:numPr>
              <w:ind w:left="316" w:hanging="283"/>
              <w:jc w:val="left"/>
              <w:rPr>
                <w:rFonts w:eastAsiaTheme="minorHAnsi" w:cstheme="minorBidi"/>
                <w:szCs w:val="22"/>
                <w:lang w:eastAsia="en-US"/>
              </w:rPr>
            </w:pPr>
            <w:r w:rsidRPr="00FC6BAC">
              <w:rPr>
                <w:rFonts w:eastAsiaTheme="minorHAnsi" w:cstheme="minorBidi"/>
                <w:szCs w:val="22"/>
                <w:lang w:eastAsia="en-US"/>
              </w:rPr>
              <w:t>Additional block funding to support implementation in Years 1-5</w:t>
            </w:r>
          </w:p>
        </w:tc>
      </w:tr>
      <w:tr w:rsidR="00FC6BAC" w:rsidRPr="00183E4D" w:rsidDel="00A134DA" w14:paraId="61C9EF98" w14:textId="77777777" w:rsidTr="000D7826">
        <w:trPr>
          <w:cantSplit/>
          <w:trHeight w:val="351"/>
        </w:trPr>
        <w:tc>
          <w:tcPr>
            <w:tcW w:w="5000" w:type="pct"/>
            <w:tcBorders>
              <w:top w:val="single" w:sz="4" w:space="0" w:color="000000"/>
              <w:left w:val="single" w:sz="4" w:space="0" w:color="000000"/>
              <w:bottom w:val="single" w:sz="4" w:space="0" w:color="000000"/>
              <w:right w:val="single" w:sz="4" w:space="0" w:color="000000"/>
            </w:tcBorders>
            <w:hideMark/>
          </w:tcPr>
          <w:p w14:paraId="4E605C83" w14:textId="77777777" w:rsidR="00FC6BAC" w:rsidRPr="00183E4D" w:rsidDel="00A134DA" w:rsidRDefault="00FC6BAC" w:rsidP="00724FA4">
            <w:pPr>
              <w:pStyle w:val="TableText"/>
            </w:pPr>
            <w:r>
              <w:t>Aboriginal and Torres Strait Islander medication review service (IMeRSe)</w:t>
            </w:r>
          </w:p>
        </w:tc>
      </w:tr>
      <w:tr w:rsidR="00FC6BAC" w:rsidRPr="00183E4D" w:rsidDel="00A134DA" w14:paraId="082406ED" w14:textId="77777777" w:rsidTr="000D7826">
        <w:trPr>
          <w:cantSplit/>
          <w:trHeight w:val="351"/>
        </w:trPr>
        <w:tc>
          <w:tcPr>
            <w:tcW w:w="5000" w:type="pct"/>
            <w:tcBorders>
              <w:top w:val="single" w:sz="4" w:space="0" w:color="000000"/>
              <w:left w:val="single" w:sz="4" w:space="0" w:color="000000"/>
              <w:bottom w:val="single" w:sz="4" w:space="0" w:color="000000"/>
              <w:right w:val="single" w:sz="4" w:space="0" w:color="000000"/>
            </w:tcBorders>
            <w:hideMark/>
          </w:tcPr>
          <w:p w14:paraId="1AF98A8A" w14:textId="77777777" w:rsidR="00FC6BAC" w:rsidRDefault="00FC6BAC" w:rsidP="00724FA4">
            <w:pPr>
              <w:pStyle w:val="TableText"/>
            </w:pPr>
            <w:r>
              <w:t xml:space="preserve">To support the implementation of IMeRSe for Years 1-5, the following services will be provided, subject to the identification of a suitable provider: </w:t>
            </w:r>
          </w:p>
          <w:p w14:paraId="72448E52" w14:textId="77777777" w:rsidR="00FC6BAC" w:rsidRPr="00FC6BAC" w:rsidRDefault="00FC6BAC" w:rsidP="00E11EEF">
            <w:pPr>
              <w:pStyle w:val="Tabletext0"/>
              <w:numPr>
                <w:ilvl w:val="0"/>
                <w:numId w:val="17"/>
              </w:numPr>
              <w:jc w:val="left"/>
              <w:rPr>
                <w:rFonts w:eastAsiaTheme="minorHAnsi" w:cstheme="minorBidi"/>
                <w:szCs w:val="22"/>
                <w:lang w:eastAsia="en-US"/>
              </w:rPr>
            </w:pPr>
            <w:r w:rsidRPr="00FC6BAC">
              <w:rPr>
                <w:rFonts w:eastAsiaTheme="minorHAnsi" w:cstheme="minorBidi"/>
                <w:szCs w:val="22"/>
                <w:lang w:eastAsia="en-US"/>
              </w:rPr>
              <w:t>provide cultural capability training for pharmacists, pharmacy staff and mainstream health clinic staff involved in the delivery of IMeRSe, consisting of:</w:t>
            </w:r>
          </w:p>
          <w:p w14:paraId="4B14D6DA" w14:textId="77777777" w:rsidR="00FC6BAC" w:rsidRPr="00FC6BAC" w:rsidRDefault="00FC6BAC" w:rsidP="00E11EEF">
            <w:pPr>
              <w:pStyle w:val="Tabletext0"/>
              <w:numPr>
                <w:ilvl w:val="0"/>
                <w:numId w:val="18"/>
              </w:numPr>
              <w:jc w:val="left"/>
              <w:rPr>
                <w:rFonts w:eastAsiaTheme="minorHAnsi" w:cstheme="minorBidi"/>
                <w:szCs w:val="22"/>
                <w:lang w:eastAsia="en-US"/>
              </w:rPr>
            </w:pPr>
            <w:r w:rsidRPr="00FC6BAC">
              <w:rPr>
                <w:rFonts w:eastAsiaTheme="minorHAnsi" w:cstheme="minorBidi"/>
                <w:szCs w:val="22"/>
                <w:lang w:eastAsia="en-US"/>
              </w:rPr>
              <w:t>an online training module (already developed and accredited); and</w:t>
            </w:r>
          </w:p>
          <w:p w14:paraId="798334CB" w14:textId="77777777" w:rsidR="00FC6BAC" w:rsidRPr="00FC6BAC" w:rsidRDefault="00FC6BAC" w:rsidP="00E11EEF">
            <w:pPr>
              <w:pStyle w:val="Tabletext0"/>
              <w:numPr>
                <w:ilvl w:val="0"/>
                <w:numId w:val="18"/>
              </w:numPr>
              <w:jc w:val="left"/>
              <w:rPr>
                <w:rFonts w:eastAsiaTheme="minorHAnsi" w:cstheme="minorBidi"/>
                <w:szCs w:val="22"/>
                <w:lang w:eastAsia="en-US"/>
              </w:rPr>
            </w:pPr>
            <w:r w:rsidRPr="00FC6BAC">
              <w:rPr>
                <w:rFonts w:eastAsiaTheme="minorHAnsi" w:cstheme="minorBidi"/>
                <w:szCs w:val="22"/>
                <w:lang w:eastAsia="en-US"/>
              </w:rPr>
              <w:t xml:space="preserve">a face-to-face or video-conference interactive session with an appropriate provider of cross-cultural training; </w:t>
            </w:r>
          </w:p>
          <w:p w14:paraId="398D5A84" w14:textId="77777777" w:rsidR="00FC6BAC" w:rsidRPr="00FC6BAC" w:rsidRDefault="00FC6BAC" w:rsidP="00E11EEF">
            <w:pPr>
              <w:pStyle w:val="Tabletext0"/>
              <w:numPr>
                <w:ilvl w:val="0"/>
                <w:numId w:val="19"/>
              </w:numPr>
              <w:jc w:val="left"/>
              <w:rPr>
                <w:rFonts w:eastAsiaTheme="minorHAnsi" w:cstheme="minorBidi"/>
                <w:szCs w:val="22"/>
                <w:lang w:eastAsia="en-US"/>
              </w:rPr>
            </w:pPr>
            <w:r w:rsidRPr="00FC6BAC">
              <w:rPr>
                <w:rFonts w:eastAsiaTheme="minorHAnsi" w:cstheme="minorBidi"/>
                <w:szCs w:val="22"/>
                <w:lang w:eastAsia="en-US"/>
              </w:rPr>
              <w:t>an ongoing support line for cultural mentoring of any health practitioners or support staff involved in delivering the IMeRSe service, to be provided by a suitably qualified Aboriginal and Torres Strait Islander person/people;</w:t>
            </w:r>
          </w:p>
          <w:p w14:paraId="7ED63CB6" w14:textId="77777777" w:rsidR="00FC6BAC" w:rsidRPr="00FC6BAC" w:rsidRDefault="00FC6BAC" w:rsidP="00E11EEF">
            <w:pPr>
              <w:pStyle w:val="Tabletext0"/>
              <w:numPr>
                <w:ilvl w:val="0"/>
                <w:numId w:val="19"/>
              </w:numPr>
              <w:jc w:val="left"/>
              <w:rPr>
                <w:rFonts w:eastAsiaTheme="minorHAnsi" w:cstheme="minorBidi"/>
                <w:szCs w:val="22"/>
                <w:lang w:eastAsia="en-US"/>
              </w:rPr>
            </w:pPr>
            <w:r w:rsidRPr="00FC6BAC">
              <w:rPr>
                <w:rFonts w:eastAsiaTheme="minorHAnsi" w:cstheme="minorBidi"/>
                <w:szCs w:val="22"/>
                <w:lang w:eastAsia="en-US"/>
              </w:rPr>
              <w:t>an ongoing clinical support line for pharmacists, provided by a clinical pharmacist with extensive medication review expertise;</w:t>
            </w:r>
          </w:p>
          <w:p w14:paraId="7BE40C3F" w14:textId="77777777" w:rsidR="00FC6BAC" w:rsidRPr="00FC6BAC" w:rsidRDefault="00FC6BAC" w:rsidP="00E11EEF">
            <w:pPr>
              <w:pStyle w:val="Tabletext0"/>
              <w:numPr>
                <w:ilvl w:val="0"/>
                <w:numId w:val="19"/>
              </w:numPr>
              <w:jc w:val="left"/>
              <w:rPr>
                <w:rFonts w:eastAsiaTheme="minorHAnsi" w:cstheme="minorBidi"/>
                <w:szCs w:val="22"/>
                <w:lang w:eastAsia="en-US"/>
              </w:rPr>
            </w:pPr>
            <w:r w:rsidRPr="00FC6BAC">
              <w:rPr>
                <w:rFonts w:eastAsiaTheme="minorHAnsi" w:cstheme="minorBidi"/>
                <w:szCs w:val="22"/>
                <w:lang w:eastAsia="en-US"/>
              </w:rPr>
              <w:t xml:space="preserve">development and moderation of a secure chat line for pharmacists and other health professionals involved in the delivery of IMeRSe; </w:t>
            </w:r>
          </w:p>
          <w:p w14:paraId="76B6D015" w14:textId="77777777" w:rsidR="00FC6BAC" w:rsidRPr="00FC6BAC" w:rsidRDefault="00FC6BAC" w:rsidP="00E11EEF">
            <w:pPr>
              <w:pStyle w:val="Tabletext0"/>
              <w:numPr>
                <w:ilvl w:val="0"/>
                <w:numId w:val="19"/>
              </w:numPr>
              <w:jc w:val="left"/>
              <w:rPr>
                <w:rFonts w:eastAsiaTheme="minorHAnsi" w:cstheme="minorBidi"/>
                <w:szCs w:val="22"/>
                <w:lang w:eastAsia="en-US"/>
              </w:rPr>
            </w:pPr>
            <w:r w:rsidRPr="00FC6BAC">
              <w:rPr>
                <w:rFonts w:eastAsiaTheme="minorHAnsi" w:cstheme="minorBidi"/>
                <w:szCs w:val="22"/>
                <w:lang w:eastAsia="en-US"/>
              </w:rPr>
              <w:t xml:space="preserve">documentation of all services provided for the purpose of external evaluation. </w:t>
            </w:r>
          </w:p>
          <w:p w14:paraId="32F1FA81" w14:textId="77777777" w:rsidR="00FC6BAC" w:rsidRPr="009000B6" w:rsidDel="00A134DA" w:rsidRDefault="00FC6BAC" w:rsidP="007C620E">
            <w:pPr>
              <w:pStyle w:val="TableText"/>
              <w:spacing w:before="240"/>
            </w:pPr>
            <w:r w:rsidRPr="00FC6BAC">
              <w:t>Total</w:t>
            </w:r>
            <w:r w:rsidRPr="00A34618">
              <w:t>: $ 1,179,550 ($235,910 per year for 5 years)</w:t>
            </w:r>
          </w:p>
        </w:tc>
      </w:tr>
    </w:tbl>
    <w:p w14:paraId="6268FBEE" w14:textId="41D02B67" w:rsidR="005A1E6B" w:rsidRDefault="009D70D7" w:rsidP="00495C36">
      <w:pPr>
        <w:pStyle w:val="Tablenotes0"/>
      </w:pPr>
      <w:r>
        <w:t>Source: Table 1, p8 of the ADAR</w:t>
      </w:r>
    </w:p>
    <w:p w14:paraId="3E58C4B3" w14:textId="605F84C0" w:rsidR="007C7618" w:rsidRDefault="00071317" w:rsidP="007C7618">
      <w:pPr>
        <w:pStyle w:val="Instructionaltext"/>
        <w:rPr>
          <w:iCs/>
          <w:color w:val="auto"/>
        </w:rPr>
      </w:pPr>
      <w:r w:rsidRPr="001763F0">
        <w:rPr>
          <w:iCs/>
          <w:color w:val="auto"/>
        </w:rPr>
        <w:t xml:space="preserve">The </w:t>
      </w:r>
      <w:r w:rsidR="00FF7949" w:rsidRPr="001763F0">
        <w:rPr>
          <w:iCs/>
          <w:color w:val="auto"/>
        </w:rPr>
        <w:t xml:space="preserve">commentary noted that the IMeRSe intervention reflected in the </w:t>
      </w:r>
      <w:r w:rsidRPr="001763F0">
        <w:rPr>
          <w:iCs/>
          <w:color w:val="auto"/>
        </w:rPr>
        <w:t xml:space="preserve">requested funding </w:t>
      </w:r>
      <w:r w:rsidR="00FF7949" w:rsidRPr="001763F0">
        <w:rPr>
          <w:iCs/>
          <w:color w:val="auto"/>
        </w:rPr>
        <w:t>appears to be</w:t>
      </w:r>
      <w:r w:rsidRPr="001763F0">
        <w:rPr>
          <w:iCs/>
          <w:color w:val="auto"/>
        </w:rPr>
        <w:t xml:space="preserve"> </w:t>
      </w:r>
      <w:r w:rsidR="00FF7949" w:rsidRPr="001763F0">
        <w:rPr>
          <w:iCs/>
          <w:color w:val="auto"/>
        </w:rPr>
        <w:t xml:space="preserve">a </w:t>
      </w:r>
      <w:r w:rsidRPr="001763F0">
        <w:rPr>
          <w:iCs/>
          <w:color w:val="auto"/>
        </w:rPr>
        <w:t xml:space="preserve">reduced intervention compared to what was delivered in the </w:t>
      </w:r>
      <w:r w:rsidR="00B676EA" w:rsidRPr="001763F0">
        <w:rPr>
          <w:iCs/>
          <w:color w:val="auto"/>
        </w:rPr>
        <w:t xml:space="preserve">IMeRSe </w:t>
      </w:r>
      <w:r w:rsidRPr="001763F0">
        <w:rPr>
          <w:iCs/>
          <w:color w:val="auto"/>
        </w:rPr>
        <w:t xml:space="preserve">Feasibility Study. That is, the proposed intervention will provide for a </w:t>
      </w:r>
      <w:r w:rsidR="00495C36" w:rsidRPr="001763F0">
        <w:rPr>
          <w:iCs/>
          <w:color w:val="auto"/>
        </w:rPr>
        <w:t>pharmacist-</w:t>
      </w:r>
      <w:r w:rsidRPr="001763F0">
        <w:rPr>
          <w:iCs/>
          <w:color w:val="auto"/>
        </w:rPr>
        <w:t xml:space="preserve">initiated </w:t>
      </w:r>
      <w:r w:rsidR="00495C36" w:rsidRPr="001763F0">
        <w:rPr>
          <w:iCs/>
          <w:color w:val="auto"/>
        </w:rPr>
        <w:t>MMR</w:t>
      </w:r>
      <w:r w:rsidRPr="001763F0">
        <w:rPr>
          <w:iCs/>
          <w:color w:val="auto"/>
        </w:rPr>
        <w:t xml:space="preserve">, with an AHW support service and a follow-up GP service for review of the pharmacist’s report. The collaborative </w:t>
      </w:r>
      <w:r w:rsidR="005C1737" w:rsidRPr="001763F0">
        <w:rPr>
          <w:iCs/>
          <w:color w:val="auto"/>
        </w:rPr>
        <w:t xml:space="preserve">and preparatory </w:t>
      </w:r>
      <w:r w:rsidRPr="001763F0">
        <w:rPr>
          <w:iCs/>
          <w:color w:val="auto"/>
        </w:rPr>
        <w:t xml:space="preserve">aspects of IMeRSe in the </w:t>
      </w:r>
      <w:r w:rsidR="00B676EA" w:rsidRPr="001763F0">
        <w:rPr>
          <w:iCs/>
          <w:color w:val="auto"/>
        </w:rPr>
        <w:t xml:space="preserve">IMeRSe </w:t>
      </w:r>
      <w:r w:rsidRPr="001763F0">
        <w:rPr>
          <w:iCs/>
          <w:color w:val="auto"/>
        </w:rPr>
        <w:t>Feasibility Study are not included.</w:t>
      </w:r>
    </w:p>
    <w:p w14:paraId="297F608B" w14:textId="74442B94" w:rsidR="00377FDA" w:rsidRDefault="00377FDA" w:rsidP="007C7618">
      <w:pPr>
        <w:pStyle w:val="Instructionaltext"/>
        <w:rPr>
          <w:iCs/>
          <w:color w:val="auto"/>
        </w:rPr>
      </w:pPr>
      <w:r>
        <w:rPr>
          <w:iCs/>
          <w:color w:val="auto"/>
        </w:rPr>
        <w:t xml:space="preserve">The pre-MSAC response </w:t>
      </w:r>
      <w:r w:rsidR="007F1132">
        <w:rPr>
          <w:iCs/>
          <w:color w:val="auto"/>
        </w:rPr>
        <w:t xml:space="preserve">noted </w:t>
      </w:r>
      <w:r>
        <w:rPr>
          <w:iCs/>
          <w:color w:val="auto"/>
        </w:rPr>
        <w:t>th</w:t>
      </w:r>
      <w:r w:rsidR="007F1132">
        <w:rPr>
          <w:iCs/>
          <w:color w:val="auto"/>
        </w:rPr>
        <w:t xml:space="preserve">ere could be an argument for </w:t>
      </w:r>
      <w:r w:rsidRPr="00377FDA">
        <w:rPr>
          <w:iCs/>
          <w:color w:val="auto"/>
        </w:rPr>
        <w:t xml:space="preserve">IMeRSe </w:t>
      </w:r>
      <w:r w:rsidR="007F1132">
        <w:rPr>
          <w:iCs/>
          <w:color w:val="auto"/>
        </w:rPr>
        <w:t>to</w:t>
      </w:r>
      <w:r w:rsidR="00AE53F6">
        <w:rPr>
          <w:iCs/>
          <w:color w:val="auto"/>
        </w:rPr>
        <w:t xml:space="preserve"> </w:t>
      </w:r>
      <w:r w:rsidR="007F1132">
        <w:rPr>
          <w:iCs/>
          <w:color w:val="auto"/>
        </w:rPr>
        <w:t>b</w:t>
      </w:r>
      <w:r w:rsidR="00AE53F6">
        <w:rPr>
          <w:iCs/>
          <w:color w:val="auto"/>
        </w:rPr>
        <w:t>e</w:t>
      </w:r>
      <w:r w:rsidR="007F1132">
        <w:rPr>
          <w:iCs/>
          <w:color w:val="auto"/>
        </w:rPr>
        <w:t xml:space="preserve"> </w:t>
      </w:r>
      <w:r w:rsidRPr="00377FDA">
        <w:rPr>
          <w:iCs/>
          <w:color w:val="auto"/>
        </w:rPr>
        <w:t xml:space="preserve">delivered as an HMR, </w:t>
      </w:r>
      <w:r w:rsidR="007F1132">
        <w:rPr>
          <w:iCs/>
          <w:color w:val="auto"/>
        </w:rPr>
        <w:t>provided there was</w:t>
      </w:r>
      <w:r w:rsidRPr="00377FDA">
        <w:rPr>
          <w:iCs/>
          <w:color w:val="auto"/>
        </w:rPr>
        <w:t xml:space="preserve"> relaxation of the </w:t>
      </w:r>
      <w:r w:rsidR="007F1132">
        <w:rPr>
          <w:iCs/>
          <w:color w:val="auto"/>
        </w:rPr>
        <w:t xml:space="preserve">HMR </w:t>
      </w:r>
      <w:r w:rsidRPr="00377FDA">
        <w:rPr>
          <w:iCs/>
          <w:color w:val="auto"/>
        </w:rPr>
        <w:t>requirements for Aboriginal and Torres Strait Islander peoples</w:t>
      </w:r>
      <w:r w:rsidR="007F1132">
        <w:rPr>
          <w:iCs/>
          <w:color w:val="auto"/>
        </w:rPr>
        <w:t xml:space="preserve"> to allow the follo</w:t>
      </w:r>
      <w:r w:rsidR="00C82437">
        <w:rPr>
          <w:iCs/>
          <w:color w:val="auto"/>
        </w:rPr>
        <w:t>wing conditions</w:t>
      </w:r>
      <w:r w:rsidRPr="00377FDA">
        <w:rPr>
          <w:iCs/>
          <w:color w:val="auto"/>
        </w:rPr>
        <w:t>:</w:t>
      </w:r>
    </w:p>
    <w:p w14:paraId="5E313DD8" w14:textId="3EB0A1E7" w:rsidR="00377FDA" w:rsidRDefault="00377FDA" w:rsidP="007E1FD5">
      <w:pPr>
        <w:pStyle w:val="Instructionaltext"/>
        <w:numPr>
          <w:ilvl w:val="0"/>
          <w:numId w:val="36"/>
        </w:numPr>
        <w:ind w:hanging="720"/>
        <w:rPr>
          <w:color w:val="auto"/>
        </w:rPr>
      </w:pPr>
      <w:r>
        <w:rPr>
          <w:color w:val="auto"/>
        </w:rPr>
        <w:t xml:space="preserve">the service is </w:t>
      </w:r>
      <w:r w:rsidRPr="00377FDA">
        <w:rPr>
          <w:color w:val="auto"/>
        </w:rPr>
        <w:t>conducted at a mutually agreed location according to consumer preference</w:t>
      </w:r>
    </w:p>
    <w:p w14:paraId="193B0BBB" w14:textId="0A18BBA5" w:rsidR="007F1132" w:rsidRDefault="007F1132" w:rsidP="007E1FD5">
      <w:pPr>
        <w:pStyle w:val="Instructionaltext"/>
        <w:numPr>
          <w:ilvl w:val="0"/>
          <w:numId w:val="36"/>
        </w:numPr>
        <w:ind w:hanging="720"/>
        <w:rPr>
          <w:color w:val="auto"/>
        </w:rPr>
      </w:pPr>
      <w:r w:rsidRPr="007F1132">
        <w:rPr>
          <w:color w:val="auto"/>
        </w:rPr>
        <w:t>a more flexible referral pathway (with an established referral relationship between pharmacist and health service to support access to clinical records)</w:t>
      </w:r>
    </w:p>
    <w:p w14:paraId="7435B166" w14:textId="26923647" w:rsidR="007F1132" w:rsidRDefault="007F1132" w:rsidP="007E1FD5">
      <w:pPr>
        <w:pStyle w:val="Instructionaltext"/>
        <w:numPr>
          <w:ilvl w:val="0"/>
          <w:numId w:val="36"/>
        </w:numPr>
        <w:ind w:hanging="720"/>
        <w:rPr>
          <w:color w:val="auto"/>
        </w:rPr>
      </w:pPr>
      <w:r w:rsidRPr="007F1132">
        <w:rPr>
          <w:color w:val="auto"/>
        </w:rPr>
        <w:t>the involvement of an AHW according to consumer preference</w:t>
      </w:r>
    </w:p>
    <w:p w14:paraId="05E9A86F" w14:textId="1CFB3B0A" w:rsidR="00377FDA" w:rsidRPr="00723205" w:rsidRDefault="007F1132" w:rsidP="00C82437">
      <w:pPr>
        <w:pStyle w:val="Instructionaltext"/>
        <w:numPr>
          <w:ilvl w:val="0"/>
          <w:numId w:val="36"/>
        </w:numPr>
        <w:ind w:hanging="720"/>
        <w:rPr>
          <w:color w:val="auto"/>
        </w:rPr>
      </w:pPr>
      <w:r>
        <w:rPr>
          <w:color w:val="auto"/>
        </w:rPr>
        <w:t>mandating a</w:t>
      </w:r>
      <w:r w:rsidRPr="007F1132">
        <w:rPr>
          <w:color w:val="auto"/>
        </w:rPr>
        <w:t xml:space="preserve">ll pharmacists providing IMeRSe are required to have undertaken an accredited cross-cultural training program (rather than </w:t>
      </w:r>
      <w:r w:rsidR="00AE53F6" w:rsidRPr="00AE53F6">
        <w:rPr>
          <w:color w:val="auto"/>
        </w:rPr>
        <w:t>Australian Association of Consultant Pharmac</w:t>
      </w:r>
      <w:r w:rsidR="00AE53F6">
        <w:rPr>
          <w:color w:val="auto"/>
        </w:rPr>
        <w:t>y</w:t>
      </w:r>
      <w:r w:rsidRPr="007F1132">
        <w:rPr>
          <w:color w:val="auto"/>
        </w:rPr>
        <w:t xml:space="preserve"> requirements)</w:t>
      </w:r>
      <w:r>
        <w:rPr>
          <w:color w:val="auto"/>
        </w:rPr>
        <w:t>.</w:t>
      </w:r>
    </w:p>
    <w:p w14:paraId="4ACC6706" w14:textId="6C4198BD" w:rsidR="00FB6D20" w:rsidRPr="009D70D7" w:rsidRDefault="00B676EA" w:rsidP="00686A14">
      <w:pPr>
        <w:pStyle w:val="Instructionaltext"/>
        <w:rPr>
          <w:color w:val="auto"/>
        </w:rPr>
      </w:pPr>
      <w:r w:rsidRPr="009D70D7">
        <w:rPr>
          <w:color w:val="auto"/>
        </w:rPr>
        <w:t>The commentary not</w:t>
      </w:r>
      <w:r w:rsidR="009D70D7" w:rsidRPr="009D70D7">
        <w:rPr>
          <w:color w:val="auto"/>
        </w:rPr>
        <w:t>e</w:t>
      </w:r>
      <w:r w:rsidRPr="009D70D7">
        <w:rPr>
          <w:color w:val="auto"/>
        </w:rPr>
        <w:t>d the following points regarding the proposed</w:t>
      </w:r>
      <w:r w:rsidR="00FB6D20" w:rsidRPr="009D70D7">
        <w:rPr>
          <w:color w:val="auto"/>
        </w:rPr>
        <w:t xml:space="preserve"> MBS item pharmacist </w:t>
      </w:r>
      <w:r w:rsidRPr="009D70D7">
        <w:rPr>
          <w:color w:val="auto"/>
        </w:rPr>
        <w:t>participation</w:t>
      </w:r>
      <w:r w:rsidR="00FB6D20" w:rsidRPr="009D70D7">
        <w:rPr>
          <w:color w:val="auto"/>
        </w:rPr>
        <w:t xml:space="preserve"> in IMeRSe:</w:t>
      </w:r>
    </w:p>
    <w:p w14:paraId="04FBB19A" w14:textId="2B8D8D90" w:rsidR="00E67132" w:rsidRPr="009D70D7" w:rsidRDefault="009D70D7" w:rsidP="00E11EEF">
      <w:pPr>
        <w:pStyle w:val="Instructionaltext"/>
        <w:numPr>
          <w:ilvl w:val="0"/>
          <w:numId w:val="24"/>
        </w:numPr>
        <w:ind w:left="284" w:hanging="284"/>
        <w:contextualSpacing/>
        <w:rPr>
          <w:color w:val="auto"/>
        </w:rPr>
      </w:pPr>
      <w:r w:rsidRPr="009D70D7">
        <w:rPr>
          <w:color w:val="auto"/>
        </w:rPr>
        <w:t>The proposed MBS item</w:t>
      </w:r>
      <w:r w:rsidR="00B676EA" w:rsidRPr="009D70D7">
        <w:rPr>
          <w:color w:val="auto"/>
        </w:rPr>
        <w:t xml:space="preserve"> </w:t>
      </w:r>
      <w:r w:rsidR="00FB6D20" w:rsidRPr="009D70D7">
        <w:rPr>
          <w:color w:val="auto"/>
        </w:rPr>
        <w:t>does not specify any further training for the pharmacist either to be accredited to deliver a</w:t>
      </w:r>
      <w:r w:rsidR="007A5B95">
        <w:rPr>
          <w:color w:val="auto"/>
        </w:rPr>
        <w:t>n</w:t>
      </w:r>
      <w:r w:rsidR="00FB6D20" w:rsidRPr="009D70D7">
        <w:rPr>
          <w:color w:val="auto"/>
        </w:rPr>
        <w:t xml:space="preserve"> MMR or to have complete</w:t>
      </w:r>
      <w:r w:rsidR="00981D25" w:rsidRPr="009D70D7">
        <w:rPr>
          <w:color w:val="auto"/>
        </w:rPr>
        <w:t>d</w:t>
      </w:r>
      <w:r w:rsidR="00FB6D20" w:rsidRPr="009D70D7">
        <w:rPr>
          <w:color w:val="auto"/>
        </w:rPr>
        <w:t xml:space="preserve"> cross-cultural training</w:t>
      </w:r>
      <w:r w:rsidR="000F735C">
        <w:rPr>
          <w:color w:val="auto"/>
        </w:rPr>
        <w:t>.</w:t>
      </w:r>
    </w:p>
    <w:p w14:paraId="33DB2373" w14:textId="2FC1E157" w:rsidR="00FB6D20" w:rsidRPr="009D70D7" w:rsidRDefault="009D70D7" w:rsidP="00E11EEF">
      <w:pPr>
        <w:pStyle w:val="Instructionaltext"/>
        <w:numPr>
          <w:ilvl w:val="0"/>
          <w:numId w:val="24"/>
        </w:numPr>
        <w:ind w:left="284" w:hanging="284"/>
        <w:contextualSpacing/>
        <w:rPr>
          <w:color w:val="auto"/>
        </w:rPr>
      </w:pPr>
      <w:r w:rsidRPr="009D70D7">
        <w:rPr>
          <w:color w:val="auto"/>
        </w:rPr>
        <w:t xml:space="preserve">The proposed MBS item </w:t>
      </w:r>
      <w:r w:rsidR="00FB6D20" w:rsidRPr="009D70D7">
        <w:rPr>
          <w:color w:val="auto"/>
        </w:rPr>
        <w:t xml:space="preserve">is requesting the same fee ($222.77) as is received by an accredited pharmacist for doing a </w:t>
      </w:r>
      <w:r w:rsidR="00255603" w:rsidRPr="009D70D7">
        <w:rPr>
          <w:color w:val="auto"/>
        </w:rPr>
        <w:t>HMR</w:t>
      </w:r>
      <w:r w:rsidR="00FB6D20" w:rsidRPr="009D70D7">
        <w:rPr>
          <w:color w:val="auto"/>
        </w:rPr>
        <w:t xml:space="preserve"> and not the fee that was provided in the </w:t>
      </w:r>
      <w:r w:rsidR="007A5B95">
        <w:rPr>
          <w:color w:val="auto"/>
        </w:rPr>
        <w:t xml:space="preserve">IMeRSe </w:t>
      </w:r>
      <w:r w:rsidR="00FB6D20" w:rsidRPr="009D70D7">
        <w:rPr>
          <w:color w:val="auto"/>
        </w:rPr>
        <w:t xml:space="preserve">Feasibility </w:t>
      </w:r>
      <w:r w:rsidR="004D2377" w:rsidRPr="009D70D7">
        <w:rPr>
          <w:color w:val="auto"/>
        </w:rPr>
        <w:t>S</w:t>
      </w:r>
      <w:r w:rsidR="00FB6D20" w:rsidRPr="009D70D7">
        <w:rPr>
          <w:color w:val="auto"/>
        </w:rPr>
        <w:t xml:space="preserve">tudy ($128). </w:t>
      </w:r>
      <w:r w:rsidR="00E02610" w:rsidRPr="009D70D7">
        <w:rPr>
          <w:color w:val="auto"/>
        </w:rPr>
        <w:t>The ADAR</w:t>
      </w:r>
      <w:r w:rsidR="00FB6D20" w:rsidRPr="009D70D7">
        <w:rPr>
          <w:color w:val="auto"/>
        </w:rPr>
        <w:t xml:space="preserve"> argue</w:t>
      </w:r>
      <w:r w:rsidR="00746C20" w:rsidRPr="009D70D7">
        <w:rPr>
          <w:color w:val="auto"/>
        </w:rPr>
        <w:t>d</w:t>
      </w:r>
      <w:r w:rsidR="00FB6D20" w:rsidRPr="009D70D7">
        <w:rPr>
          <w:color w:val="auto"/>
        </w:rPr>
        <w:t xml:space="preserve"> that if there is not an equivalent fee</w:t>
      </w:r>
      <w:r w:rsidR="00981D25" w:rsidRPr="009D70D7">
        <w:rPr>
          <w:color w:val="auto"/>
        </w:rPr>
        <w:t xml:space="preserve"> a perverse incentive may exist to pharmacists to preferentially undertake HMR services rather than IMeRSe, and the time taken to do the Medicines Talk would be similar to a</w:t>
      </w:r>
      <w:r w:rsidR="000F735C">
        <w:rPr>
          <w:color w:val="auto"/>
        </w:rPr>
        <w:t>n</w:t>
      </w:r>
      <w:r w:rsidR="00981D25" w:rsidRPr="009D70D7">
        <w:rPr>
          <w:color w:val="auto"/>
        </w:rPr>
        <w:t xml:space="preserve"> </w:t>
      </w:r>
      <w:r w:rsidR="00255603" w:rsidRPr="009D70D7">
        <w:rPr>
          <w:color w:val="auto"/>
        </w:rPr>
        <w:t>HMR</w:t>
      </w:r>
      <w:r w:rsidR="00981D25" w:rsidRPr="009D70D7">
        <w:rPr>
          <w:color w:val="auto"/>
        </w:rPr>
        <w:t xml:space="preserve">. </w:t>
      </w:r>
    </w:p>
    <w:p w14:paraId="04B40D41" w14:textId="4A10FB98" w:rsidR="00981D25" w:rsidRPr="009D70D7" w:rsidRDefault="00981D25" w:rsidP="00E11EEF">
      <w:pPr>
        <w:pStyle w:val="Instructionaltext"/>
        <w:numPr>
          <w:ilvl w:val="0"/>
          <w:numId w:val="24"/>
        </w:numPr>
        <w:ind w:left="284" w:hanging="284"/>
        <w:contextualSpacing/>
        <w:rPr>
          <w:color w:val="auto"/>
        </w:rPr>
      </w:pPr>
      <w:r w:rsidRPr="009D70D7">
        <w:rPr>
          <w:color w:val="auto"/>
        </w:rPr>
        <w:t xml:space="preserve">The proposed MBS item has a limit of three services per patient per calendar year (two follow-up services are provided). </w:t>
      </w:r>
      <w:r w:rsidR="005714F2" w:rsidRPr="009D70D7">
        <w:rPr>
          <w:iCs/>
          <w:color w:val="auto"/>
        </w:rPr>
        <w:t xml:space="preserve">It does not provide a cap on the number of medication reviews able to be performed by the pharmacists unlike what currently exists with </w:t>
      </w:r>
      <w:r w:rsidR="00255603" w:rsidRPr="009D70D7">
        <w:rPr>
          <w:iCs/>
          <w:color w:val="auto"/>
        </w:rPr>
        <w:t xml:space="preserve">HMR </w:t>
      </w:r>
      <w:r w:rsidR="001E7B4E" w:rsidRPr="009D70D7">
        <w:rPr>
          <w:iCs/>
          <w:color w:val="auto"/>
        </w:rPr>
        <w:t>(30 per month)</w:t>
      </w:r>
      <w:r w:rsidR="005714F2" w:rsidRPr="009D70D7">
        <w:rPr>
          <w:iCs/>
          <w:color w:val="auto"/>
        </w:rPr>
        <w:t>. Only one item is applicable once in 12 months</w:t>
      </w:r>
      <w:r w:rsidR="005714F2" w:rsidRPr="009D70D7">
        <w:rPr>
          <w:color w:val="auto"/>
        </w:rPr>
        <w:t xml:space="preserve">. </w:t>
      </w:r>
    </w:p>
    <w:p w14:paraId="57B0FF8A" w14:textId="24D08DF1" w:rsidR="005714F2" w:rsidRPr="009D70D7" w:rsidRDefault="009D70D7" w:rsidP="00E11EEF">
      <w:pPr>
        <w:pStyle w:val="Instructionaltext"/>
        <w:numPr>
          <w:ilvl w:val="0"/>
          <w:numId w:val="24"/>
        </w:numPr>
        <w:ind w:left="284" w:hanging="284"/>
        <w:contextualSpacing/>
        <w:rPr>
          <w:iCs/>
          <w:color w:val="auto"/>
        </w:rPr>
      </w:pPr>
      <w:r w:rsidRPr="009D70D7">
        <w:rPr>
          <w:color w:val="auto"/>
        </w:rPr>
        <w:t>The proposed MBS item</w:t>
      </w:r>
      <w:r w:rsidR="005714F2" w:rsidRPr="009D70D7">
        <w:rPr>
          <w:iCs/>
          <w:color w:val="auto"/>
        </w:rPr>
        <w:t xml:space="preserve"> </w:t>
      </w:r>
      <w:r w:rsidRPr="009D70D7">
        <w:rPr>
          <w:iCs/>
          <w:color w:val="auto"/>
        </w:rPr>
        <w:t>includes</w:t>
      </w:r>
      <w:r w:rsidR="005714F2" w:rsidRPr="009D70D7">
        <w:rPr>
          <w:iCs/>
          <w:color w:val="auto"/>
        </w:rPr>
        <w:t xml:space="preserve"> travel allowance but provides no specifics on how this will be calculated or triggered in the MBS item. This cost is not usually a separate provision in an MBS item.</w:t>
      </w:r>
    </w:p>
    <w:p w14:paraId="0CCC22F2" w14:textId="6FE2255F" w:rsidR="001E7B4E" w:rsidRPr="009D70D7" w:rsidRDefault="001E7B4E" w:rsidP="00E11EEF">
      <w:pPr>
        <w:pStyle w:val="Instructionaltext"/>
        <w:numPr>
          <w:ilvl w:val="0"/>
          <w:numId w:val="24"/>
        </w:numPr>
        <w:ind w:left="284" w:hanging="284"/>
        <w:contextualSpacing/>
        <w:rPr>
          <w:iCs/>
          <w:color w:val="auto"/>
        </w:rPr>
      </w:pPr>
      <w:r w:rsidRPr="009D70D7">
        <w:rPr>
          <w:iCs/>
          <w:color w:val="auto"/>
        </w:rPr>
        <w:t xml:space="preserve">It does not require a formal referral for the pharmacist to conduct the </w:t>
      </w:r>
      <w:r w:rsidR="000F735C">
        <w:rPr>
          <w:iCs/>
          <w:color w:val="auto"/>
        </w:rPr>
        <w:t>IMeRSe.</w:t>
      </w:r>
    </w:p>
    <w:p w14:paraId="76A745B1" w14:textId="458B1770" w:rsidR="00255603" w:rsidRDefault="00255603" w:rsidP="007C620E">
      <w:pPr>
        <w:pStyle w:val="Instructionaltext"/>
        <w:numPr>
          <w:ilvl w:val="0"/>
          <w:numId w:val="24"/>
        </w:numPr>
        <w:spacing w:after="240"/>
        <w:ind w:left="284" w:hanging="284"/>
        <w:rPr>
          <w:iCs/>
          <w:color w:val="auto"/>
        </w:rPr>
      </w:pPr>
      <w:r w:rsidRPr="009D70D7">
        <w:rPr>
          <w:iCs/>
          <w:color w:val="auto"/>
        </w:rPr>
        <w:t>Currently, pharmacists are not considered eligible health professionals able to provide services under the MBS</w:t>
      </w:r>
      <w:r w:rsidR="000F735C">
        <w:rPr>
          <w:iCs/>
          <w:color w:val="auto"/>
        </w:rPr>
        <w:t>.</w:t>
      </w:r>
    </w:p>
    <w:p w14:paraId="76365F78" w14:textId="51C0B103" w:rsidR="005714F2" w:rsidRPr="00723205" w:rsidRDefault="007A5B95" w:rsidP="007C620E">
      <w:pPr>
        <w:pStyle w:val="Instructionaltext"/>
        <w:spacing w:before="240"/>
        <w:rPr>
          <w:color w:val="auto"/>
        </w:rPr>
      </w:pPr>
      <w:r w:rsidRPr="009D70D7">
        <w:rPr>
          <w:color w:val="auto"/>
        </w:rPr>
        <w:t xml:space="preserve">The commentary noted the following points regarding </w:t>
      </w:r>
      <w:r>
        <w:rPr>
          <w:color w:val="auto"/>
        </w:rPr>
        <w:t>t</w:t>
      </w:r>
      <w:r w:rsidR="005714F2" w:rsidRPr="00723205">
        <w:rPr>
          <w:color w:val="auto"/>
        </w:rPr>
        <w:t>he MBS item proposed for the AHW to participate in IMeRSe:</w:t>
      </w:r>
    </w:p>
    <w:p w14:paraId="37844DB6" w14:textId="68539189" w:rsidR="005714F2" w:rsidRPr="00471185" w:rsidRDefault="005714F2" w:rsidP="00E11EEF">
      <w:pPr>
        <w:pStyle w:val="Instructionaltext"/>
        <w:numPr>
          <w:ilvl w:val="0"/>
          <w:numId w:val="25"/>
        </w:numPr>
        <w:ind w:left="284" w:hanging="284"/>
        <w:contextualSpacing/>
        <w:rPr>
          <w:color w:val="auto"/>
        </w:rPr>
      </w:pPr>
      <w:r w:rsidRPr="00471185">
        <w:rPr>
          <w:color w:val="auto"/>
        </w:rPr>
        <w:t>A payment will be triggered for participating in a</w:t>
      </w:r>
      <w:r w:rsidR="007A5B95">
        <w:rPr>
          <w:color w:val="auto"/>
        </w:rPr>
        <w:t xml:space="preserve">n </w:t>
      </w:r>
      <w:r w:rsidRPr="00471185">
        <w:rPr>
          <w:color w:val="auto"/>
        </w:rPr>
        <w:t xml:space="preserve">MMR. Any prior activities to determine a patient’s eligibility for IMeRSe will not trigger a payment. The fee requested is the same as what was paid in the </w:t>
      </w:r>
      <w:r w:rsidR="007A5B95">
        <w:rPr>
          <w:color w:val="auto"/>
        </w:rPr>
        <w:t xml:space="preserve">IMeRSe </w:t>
      </w:r>
      <w:r w:rsidRPr="00471185">
        <w:rPr>
          <w:color w:val="auto"/>
        </w:rPr>
        <w:t>Feasibility Study</w:t>
      </w:r>
      <w:r w:rsidR="00453332" w:rsidRPr="00471185">
        <w:rPr>
          <w:color w:val="auto"/>
        </w:rPr>
        <w:t>.</w:t>
      </w:r>
    </w:p>
    <w:p w14:paraId="36C5E83C" w14:textId="7CD07F37" w:rsidR="00686A14" w:rsidRPr="007C620E" w:rsidRDefault="005714F2" w:rsidP="007C620E">
      <w:pPr>
        <w:pStyle w:val="Instructionaltext"/>
        <w:numPr>
          <w:ilvl w:val="0"/>
          <w:numId w:val="25"/>
        </w:numPr>
        <w:spacing w:after="240"/>
        <w:ind w:left="284" w:hanging="284"/>
        <w:rPr>
          <w:color w:val="auto"/>
        </w:rPr>
      </w:pPr>
      <w:r w:rsidRPr="00471185">
        <w:rPr>
          <w:color w:val="auto"/>
        </w:rPr>
        <w:t>MBS items for AHW currently require</w:t>
      </w:r>
      <w:r w:rsidR="00164B86" w:rsidRPr="00471185">
        <w:rPr>
          <w:color w:val="auto"/>
        </w:rPr>
        <w:t xml:space="preserve"> the</w:t>
      </w:r>
      <w:r w:rsidRPr="00471185">
        <w:rPr>
          <w:color w:val="auto"/>
        </w:rPr>
        <w:t xml:space="preserve"> AHW to provide a service under the direction of the Medical Practitioner, of if a practice client has an Extended Care Plan. </w:t>
      </w:r>
      <w:r w:rsidR="00164B86" w:rsidRPr="00471185">
        <w:rPr>
          <w:color w:val="auto"/>
        </w:rPr>
        <w:t>This item implies that the AHW will be operating outside these constraints. It will need to be determined if this meets their terms of registration</w:t>
      </w:r>
      <w:r w:rsidR="00F17968" w:rsidRPr="00471185">
        <w:rPr>
          <w:color w:val="auto"/>
        </w:rPr>
        <w:t xml:space="preserve"> as an eligible health professional for MBS purposes</w:t>
      </w:r>
      <w:r w:rsidR="00164B86" w:rsidRPr="00723205">
        <w:rPr>
          <w:color w:val="auto"/>
        </w:rPr>
        <w:t xml:space="preserve">. </w:t>
      </w:r>
    </w:p>
    <w:p w14:paraId="0793AA68" w14:textId="0DE582AE" w:rsidR="00F17968" w:rsidRPr="000F735C" w:rsidRDefault="000F735C" w:rsidP="00686A14">
      <w:pPr>
        <w:pStyle w:val="Instructionaltext"/>
        <w:rPr>
          <w:color w:val="auto"/>
        </w:rPr>
      </w:pPr>
      <w:r w:rsidRPr="009D70D7">
        <w:rPr>
          <w:color w:val="auto"/>
        </w:rPr>
        <w:t xml:space="preserve">The commentary noted the following points regarding </w:t>
      </w:r>
      <w:r>
        <w:rPr>
          <w:color w:val="auto"/>
        </w:rPr>
        <w:t>t</w:t>
      </w:r>
      <w:r w:rsidR="0086668C" w:rsidRPr="00723205">
        <w:rPr>
          <w:color w:val="auto"/>
        </w:rPr>
        <w:t xml:space="preserve">he MBS item proposed for the GP to </w:t>
      </w:r>
      <w:r w:rsidR="0086668C" w:rsidRPr="000F735C">
        <w:rPr>
          <w:color w:val="auto"/>
        </w:rPr>
        <w:t>participate in IMeRSe:</w:t>
      </w:r>
    </w:p>
    <w:p w14:paraId="4D4C2333" w14:textId="668FD4C2" w:rsidR="000F735C" w:rsidRPr="004807CE" w:rsidRDefault="0086668C" w:rsidP="00E11EEF">
      <w:pPr>
        <w:pStyle w:val="Instructionaltext"/>
        <w:numPr>
          <w:ilvl w:val="0"/>
          <w:numId w:val="26"/>
        </w:numPr>
        <w:ind w:left="284" w:hanging="284"/>
        <w:contextualSpacing/>
        <w:rPr>
          <w:iCs/>
          <w:color w:val="auto"/>
        </w:rPr>
      </w:pPr>
      <w:r w:rsidRPr="004807CE">
        <w:rPr>
          <w:iCs/>
          <w:color w:val="auto"/>
        </w:rPr>
        <w:t>The fee is equivalent to a Level C consult</w:t>
      </w:r>
      <w:r w:rsidR="00AE53F6">
        <w:rPr>
          <w:iCs/>
          <w:color w:val="auto"/>
        </w:rPr>
        <w:t>ation</w:t>
      </w:r>
      <w:r w:rsidR="00453332" w:rsidRPr="004807CE">
        <w:rPr>
          <w:iCs/>
          <w:color w:val="auto"/>
        </w:rPr>
        <w:t>.</w:t>
      </w:r>
    </w:p>
    <w:p w14:paraId="7D926284" w14:textId="2AD0078D" w:rsidR="000F735C" w:rsidRPr="001763F0" w:rsidRDefault="00AB1F92" w:rsidP="00E11EEF">
      <w:pPr>
        <w:pStyle w:val="Instructionaltext"/>
        <w:numPr>
          <w:ilvl w:val="0"/>
          <w:numId w:val="26"/>
        </w:numPr>
        <w:ind w:left="284" w:hanging="284"/>
        <w:contextualSpacing/>
        <w:rPr>
          <w:iCs/>
          <w:color w:val="auto"/>
        </w:rPr>
      </w:pPr>
      <w:r w:rsidRPr="000F735C">
        <w:rPr>
          <w:color w:val="auto"/>
        </w:rPr>
        <w:t xml:space="preserve">The </w:t>
      </w:r>
      <w:r w:rsidR="000F735C" w:rsidRPr="000F735C">
        <w:rPr>
          <w:color w:val="auto"/>
        </w:rPr>
        <w:t xml:space="preserve">proposed </w:t>
      </w:r>
      <w:r w:rsidRPr="000F735C">
        <w:rPr>
          <w:color w:val="auto"/>
        </w:rPr>
        <w:t xml:space="preserve">MBS item </w:t>
      </w:r>
      <w:r w:rsidR="0086668C" w:rsidRPr="001763F0">
        <w:rPr>
          <w:color w:val="auto"/>
        </w:rPr>
        <w:t xml:space="preserve">requires that the GP develop </w:t>
      </w:r>
      <w:r w:rsidR="000840D3" w:rsidRPr="001763F0">
        <w:rPr>
          <w:color w:val="auto"/>
        </w:rPr>
        <w:t>a medication plan within two weeks of receiving the medication review from the pharmacist</w:t>
      </w:r>
      <w:r w:rsidR="000840D3" w:rsidRPr="001763F0">
        <w:rPr>
          <w:iCs/>
          <w:color w:val="auto"/>
        </w:rPr>
        <w:t xml:space="preserve">. The </w:t>
      </w:r>
      <w:r w:rsidR="000F735C" w:rsidRPr="001763F0">
        <w:rPr>
          <w:iCs/>
          <w:color w:val="auto"/>
        </w:rPr>
        <w:t xml:space="preserve">IMeRSe </w:t>
      </w:r>
      <w:r w:rsidR="000840D3" w:rsidRPr="001763F0">
        <w:rPr>
          <w:iCs/>
          <w:color w:val="auto"/>
        </w:rPr>
        <w:t xml:space="preserve">Feasibility Study reported that the average time between the </w:t>
      </w:r>
      <w:r w:rsidR="00081281" w:rsidRPr="001763F0">
        <w:rPr>
          <w:iCs/>
          <w:color w:val="auto"/>
        </w:rPr>
        <w:t xml:space="preserve">pharmacist </w:t>
      </w:r>
      <w:r w:rsidR="000840D3" w:rsidRPr="001763F0">
        <w:rPr>
          <w:iCs/>
          <w:color w:val="auto"/>
        </w:rPr>
        <w:t xml:space="preserve">submitting their Medicines Report and the GP submitting the corresponding Medicines Plan was </w:t>
      </w:r>
      <w:r w:rsidR="000840D3" w:rsidRPr="001763F0">
        <w:rPr>
          <w:color w:val="auto"/>
        </w:rPr>
        <w:t>89.4</w:t>
      </w:r>
      <w:r w:rsidR="000840D3" w:rsidRPr="001763F0">
        <w:rPr>
          <w:iCs/>
          <w:color w:val="auto"/>
        </w:rPr>
        <w:t xml:space="preserve"> days. Th</w:t>
      </w:r>
      <w:r w:rsidR="00E679FB" w:rsidRPr="001763F0">
        <w:rPr>
          <w:iCs/>
          <w:color w:val="auto"/>
        </w:rPr>
        <w:t>e two</w:t>
      </w:r>
      <w:r w:rsidR="00081281" w:rsidRPr="001763F0">
        <w:rPr>
          <w:iCs/>
          <w:color w:val="auto"/>
        </w:rPr>
        <w:t xml:space="preserve"> </w:t>
      </w:r>
      <w:r w:rsidR="00E679FB" w:rsidRPr="001763F0">
        <w:rPr>
          <w:iCs/>
          <w:color w:val="auto"/>
        </w:rPr>
        <w:t>week</w:t>
      </w:r>
      <w:r w:rsidR="000840D3" w:rsidRPr="001763F0">
        <w:rPr>
          <w:iCs/>
          <w:color w:val="auto"/>
        </w:rPr>
        <w:t xml:space="preserve"> requirement is unlikely to be met based on the results from the </w:t>
      </w:r>
      <w:r w:rsidR="000F735C" w:rsidRPr="001763F0">
        <w:rPr>
          <w:iCs/>
          <w:color w:val="auto"/>
        </w:rPr>
        <w:t xml:space="preserve">IMeRSe </w:t>
      </w:r>
      <w:r w:rsidR="00ED4CC0" w:rsidRPr="001763F0">
        <w:rPr>
          <w:iCs/>
          <w:color w:val="auto"/>
        </w:rPr>
        <w:t xml:space="preserve">Feasibility </w:t>
      </w:r>
      <w:r w:rsidR="000840D3" w:rsidRPr="001763F0">
        <w:rPr>
          <w:iCs/>
          <w:color w:val="auto"/>
        </w:rPr>
        <w:t xml:space="preserve">Study. </w:t>
      </w:r>
      <w:r w:rsidR="000F735C" w:rsidRPr="001763F0">
        <w:rPr>
          <w:iCs/>
          <w:color w:val="auto"/>
        </w:rPr>
        <w:t xml:space="preserve">The ADAR does not indicate what the consequence </w:t>
      </w:r>
      <w:r w:rsidR="00AE53F6" w:rsidRPr="001763F0">
        <w:rPr>
          <w:iCs/>
          <w:color w:val="auto"/>
        </w:rPr>
        <w:t xml:space="preserve">would be </w:t>
      </w:r>
      <w:r w:rsidR="000F735C" w:rsidRPr="001763F0">
        <w:rPr>
          <w:iCs/>
          <w:color w:val="auto"/>
        </w:rPr>
        <w:t>for the patient if the GP does not follow-up the Medicines Report. It was unclear whether this will mean that a patient will not be able to access other formal MMR in the current 12</w:t>
      </w:r>
      <w:r w:rsidR="00081281" w:rsidRPr="001763F0">
        <w:rPr>
          <w:iCs/>
          <w:color w:val="auto"/>
        </w:rPr>
        <w:t>-</w:t>
      </w:r>
      <w:r w:rsidR="000F735C" w:rsidRPr="001763F0">
        <w:rPr>
          <w:iCs/>
          <w:color w:val="auto"/>
        </w:rPr>
        <w:t>month period.</w:t>
      </w:r>
    </w:p>
    <w:p w14:paraId="30DA49DC" w14:textId="06B062B8" w:rsidR="000840D3" w:rsidRPr="001763F0" w:rsidRDefault="000F735C" w:rsidP="007C620E">
      <w:pPr>
        <w:pStyle w:val="Instructionaltext"/>
        <w:numPr>
          <w:ilvl w:val="0"/>
          <w:numId w:val="26"/>
        </w:numPr>
        <w:spacing w:after="240"/>
        <w:ind w:left="284" w:hanging="284"/>
        <w:rPr>
          <w:iCs/>
          <w:color w:val="auto"/>
        </w:rPr>
      </w:pPr>
      <w:r w:rsidRPr="001763F0">
        <w:rPr>
          <w:iCs/>
          <w:color w:val="auto"/>
        </w:rPr>
        <w:t>The proposed MBS item suggest the GP will d</w:t>
      </w:r>
      <w:r w:rsidR="00C264EC" w:rsidRPr="001763F0">
        <w:rPr>
          <w:iCs/>
          <w:color w:val="auto"/>
        </w:rPr>
        <w:t xml:space="preserve">ocument and update the medication plan in response to follow-up actions from the pharmacist, but no fee </w:t>
      </w:r>
      <w:r w:rsidR="00AB1F92" w:rsidRPr="001763F0">
        <w:rPr>
          <w:iCs/>
          <w:color w:val="auto"/>
        </w:rPr>
        <w:t xml:space="preserve">for the GP </w:t>
      </w:r>
      <w:r w:rsidR="00C264EC" w:rsidRPr="001763F0">
        <w:rPr>
          <w:iCs/>
          <w:color w:val="auto"/>
        </w:rPr>
        <w:t>is proposed for this service</w:t>
      </w:r>
      <w:r w:rsidR="00686A14" w:rsidRPr="001763F0">
        <w:rPr>
          <w:iCs/>
          <w:color w:val="auto"/>
        </w:rPr>
        <w:t>.</w:t>
      </w:r>
    </w:p>
    <w:p w14:paraId="58368860" w14:textId="4D4E3404" w:rsidR="00C264EC" w:rsidRPr="001763F0" w:rsidRDefault="00984BAD" w:rsidP="00C264EC">
      <w:pPr>
        <w:pStyle w:val="Instructionaltext"/>
        <w:rPr>
          <w:color w:val="auto"/>
        </w:rPr>
      </w:pPr>
      <w:r w:rsidRPr="001763F0">
        <w:rPr>
          <w:color w:val="auto"/>
        </w:rPr>
        <w:t>The commentary noted the following points regarding the proposed b</w:t>
      </w:r>
      <w:r w:rsidR="00C264EC" w:rsidRPr="001763F0">
        <w:rPr>
          <w:color w:val="auto"/>
        </w:rPr>
        <w:t>lock funding</w:t>
      </w:r>
      <w:r w:rsidRPr="001763F0">
        <w:rPr>
          <w:color w:val="auto"/>
        </w:rPr>
        <w:t>:</w:t>
      </w:r>
    </w:p>
    <w:p w14:paraId="705C4E4A" w14:textId="09BE6971" w:rsidR="00984BAD" w:rsidRPr="001763F0" w:rsidRDefault="00984BAD" w:rsidP="00E11EEF">
      <w:pPr>
        <w:pStyle w:val="Instructionaltext"/>
        <w:numPr>
          <w:ilvl w:val="0"/>
          <w:numId w:val="33"/>
        </w:numPr>
        <w:ind w:left="284" w:hanging="284"/>
        <w:contextualSpacing/>
        <w:rPr>
          <w:color w:val="auto"/>
        </w:rPr>
      </w:pPr>
      <w:r w:rsidRPr="001763F0">
        <w:rPr>
          <w:color w:val="auto"/>
        </w:rPr>
        <w:t xml:space="preserve">The request for block funding to support the delivery of the MBS items may be problematic as the MBS items are ongoing whereas block funding will need to be requested again in another five years’ time. This could leave the intervention, if it is successful in getting listed, without the requested support. </w:t>
      </w:r>
    </w:p>
    <w:p w14:paraId="5275A37F" w14:textId="77777777" w:rsidR="008366E3" w:rsidRPr="001763F0" w:rsidRDefault="008366E3" w:rsidP="00E11EEF">
      <w:pPr>
        <w:pStyle w:val="Instructionaltext"/>
        <w:numPr>
          <w:ilvl w:val="0"/>
          <w:numId w:val="33"/>
        </w:numPr>
        <w:ind w:left="284" w:hanging="284"/>
        <w:contextualSpacing/>
        <w:rPr>
          <w:color w:val="auto"/>
        </w:rPr>
      </w:pPr>
      <w:r w:rsidRPr="001763F0">
        <w:rPr>
          <w:color w:val="auto"/>
        </w:rPr>
        <w:t>The block funding item is subject to the identification of a suitable provider.</w:t>
      </w:r>
    </w:p>
    <w:p w14:paraId="065646C1" w14:textId="33825CF0" w:rsidR="00984BAD" w:rsidRPr="001763F0" w:rsidRDefault="008366E3" w:rsidP="00E11EEF">
      <w:pPr>
        <w:pStyle w:val="Instructionaltext"/>
        <w:numPr>
          <w:ilvl w:val="0"/>
          <w:numId w:val="33"/>
        </w:numPr>
        <w:ind w:left="284" w:hanging="284"/>
        <w:rPr>
          <w:color w:val="auto"/>
        </w:rPr>
      </w:pPr>
      <w:r w:rsidRPr="001763F0">
        <w:rPr>
          <w:color w:val="auto"/>
        </w:rPr>
        <w:t xml:space="preserve"> </w:t>
      </w:r>
      <w:r w:rsidR="00984BAD" w:rsidRPr="001763F0">
        <w:rPr>
          <w:color w:val="auto"/>
        </w:rPr>
        <w:t>Due to inconsistencies in the description of the block funding, there was uncertainty whether and how the activities</w:t>
      </w:r>
      <w:r w:rsidRPr="001763F0">
        <w:rPr>
          <w:color w:val="auto"/>
        </w:rPr>
        <w:t>/support</w:t>
      </w:r>
      <w:r w:rsidR="00984BAD" w:rsidRPr="001763F0">
        <w:rPr>
          <w:color w:val="auto"/>
        </w:rPr>
        <w:t xml:space="preserve"> listed in the item would be </w:t>
      </w:r>
      <w:r w:rsidRPr="001763F0">
        <w:rPr>
          <w:color w:val="auto"/>
        </w:rPr>
        <w:t xml:space="preserve">delivered with this funding, the role of primary health clinics and whether there may be barriers to AHS accessing these activities/support. </w:t>
      </w:r>
    </w:p>
    <w:p w14:paraId="2D72539E" w14:textId="68DFD6E2" w:rsidR="007A3787" w:rsidRDefault="00984BAD" w:rsidP="00BA4808">
      <w:pPr>
        <w:pStyle w:val="Instructionaltext"/>
        <w:rPr>
          <w:color w:val="auto"/>
        </w:rPr>
      </w:pPr>
      <w:r w:rsidRPr="001763F0">
        <w:rPr>
          <w:color w:val="auto"/>
        </w:rPr>
        <w:t>Overall, the commentary</w:t>
      </w:r>
      <w:r w:rsidRPr="001763F0">
        <w:rPr>
          <w:i/>
          <w:iCs/>
          <w:color w:val="auto"/>
        </w:rPr>
        <w:t xml:space="preserve"> </w:t>
      </w:r>
      <w:r w:rsidRPr="001763F0">
        <w:rPr>
          <w:color w:val="auto"/>
        </w:rPr>
        <w:t>noted that</w:t>
      </w:r>
      <w:r w:rsidRPr="001763F0">
        <w:rPr>
          <w:i/>
          <w:iCs/>
          <w:color w:val="auto"/>
        </w:rPr>
        <w:t xml:space="preserve"> </w:t>
      </w:r>
      <w:r w:rsidRPr="001763F0">
        <w:rPr>
          <w:color w:val="auto"/>
        </w:rPr>
        <w:t>t</w:t>
      </w:r>
      <w:r w:rsidR="007A3787" w:rsidRPr="001763F0">
        <w:rPr>
          <w:color w:val="auto"/>
        </w:rPr>
        <w:t>he requested MBS items and block funding d</w:t>
      </w:r>
      <w:r w:rsidR="00081281" w:rsidRPr="001763F0">
        <w:rPr>
          <w:color w:val="auto"/>
        </w:rPr>
        <w:t>id</w:t>
      </w:r>
      <w:r w:rsidR="007A3787" w:rsidRPr="001763F0">
        <w:rPr>
          <w:color w:val="auto"/>
        </w:rPr>
        <w:t xml:space="preserve"> not appear sufficient to replicate the primarily institutional training and relationships required to deliver the requested intervention similar to what occurred in the </w:t>
      </w:r>
      <w:r w:rsidR="00081281" w:rsidRPr="001763F0">
        <w:rPr>
          <w:color w:val="auto"/>
        </w:rPr>
        <w:t xml:space="preserve">IMeRSe </w:t>
      </w:r>
      <w:r w:rsidR="007A3787" w:rsidRPr="001763F0">
        <w:rPr>
          <w:color w:val="auto"/>
        </w:rPr>
        <w:t xml:space="preserve">Feasibility Study to other primary health clinics nationally. </w:t>
      </w:r>
      <w:r w:rsidR="00A80492" w:rsidRPr="001763F0">
        <w:rPr>
          <w:color w:val="auto"/>
        </w:rPr>
        <w:t>The commentary considered that i</w:t>
      </w:r>
      <w:r w:rsidR="007A3787" w:rsidRPr="001763F0">
        <w:rPr>
          <w:color w:val="auto"/>
        </w:rPr>
        <w:t xml:space="preserve">t is unlikely that a service-for-fee model is the appropriate funding model, even with the addition of some block funding for mentoring primarily for </w:t>
      </w:r>
      <w:r w:rsidR="000B2412" w:rsidRPr="001763F0">
        <w:rPr>
          <w:color w:val="auto"/>
        </w:rPr>
        <w:t xml:space="preserve">pharmacists </w:t>
      </w:r>
      <w:r w:rsidR="007A3787" w:rsidRPr="001763F0">
        <w:rPr>
          <w:color w:val="auto"/>
        </w:rPr>
        <w:t xml:space="preserve">and delivery of a cross-cultural module. As noted from the </w:t>
      </w:r>
      <w:r w:rsidR="000B2412" w:rsidRPr="001763F0">
        <w:rPr>
          <w:color w:val="auto"/>
        </w:rPr>
        <w:t xml:space="preserve">IMeRSe </w:t>
      </w:r>
      <w:r w:rsidR="007A3787" w:rsidRPr="001763F0">
        <w:rPr>
          <w:color w:val="auto"/>
        </w:rPr>
        <w:t>Feasibility Study over half of the Medicines Talk</w:t>
      </w:r>
      <w:r w:rsidR="00AE53F6" w:rsidRPr="001763F0">
        <w:rPr>
          <w:color w:val="auto"/>
        </w:rPr>
        <w:t>s</w:t>
      </w:r>
      <w:r w:rsidR="007A3787" w:rsidRPr="001763F0">
        <w:rPr>
          <w:color w:val="auto"/>
        </w:rPr>
        <w:t xml:space="preserve"> occurred at the AHS. This is not provided for under this funding model.</w:t>
      </w:r>
    </w:p>
    <w:p w14:paraId="11242A95" w14:textId="541EC8A5" w:rsidR="008C70D9" w:rsidRPr="00DD6784" w:rsidRDefault="008C70D9" w:rsidP="00BA4808">
      <w:pPr>
        <w:pStyle w:val="Instructionaltext"/>
        <w:rPr>
          <w:iCs/>
          <w:color w:val="auto"/>
        </w:rPr>
      </w:pPr>
      <w:r w:rsidRPr="00DD6784">
        <w:rPr>
          <w:iCs/>
          <w:color w:val="auto"/>
        </w:rPr>
        <w:t>The pre-ESC response clarified that block funding will facilitate training delivery and access to cultural and clinical mentoring in the initial five-year period when IMeRSe is new and limited pharmacy workforce are delivering the service. A cultural capability training package has been developed and accredited. Initial block funding is likely to facilitate more rapid implementation and creation of a workforce that can support or mentor others. The need for additional block funding can then be mitigated through a growing workforce, policy, and health education strategies</w:t>
      </w:r>
      <w:r w:rsidR="000B2412">
        <w:rPr>
          <w:iCs/>
          <w:color w:val="auto"/>
        </w:rPr>
        <w:t>.</w:t>
      </w:r>
    </w:p>
    <w:p w14:paraId="6DCFB624" w14:textId="19CA0E62" w:rsidR="00442D98" w:rsidRPr="00294841" w:rsidRDefault="00442D98" w:rsidP="00DD6784">
      <w:pPr>
        <w:pStyle w:val="Instructionaltext"/>
        <w:keepNext/>
        <w:outlineLvl w:val="2"/>
        <w:rPr>
          <w:i/>
          <w:iCs/>
          <w:color w:val="auto"/>
        </w:rPr>
      </w:pPr>
      <w:r w:rsidRPr="00294841">
        <w:rPr>
          <w:i/>
          <w:iCs/>
          <w:color w:val="auto"/>
        </w:rPr>
        <w:t>Comparison of IMeRSe structure and funding with existing formal MMR</w:t>
      </w:r>
    </w:p>
    <w:p w14:paraId="4882BAE3" w14:textId="3174AA48" w:rsidR="000D7826" w:rsidRDefault="00442D98" w:rsidP="006961DE">
      <w:pPr>
        <w:spacing w:before="0"/>
        <w:rPr>
          <w:rFonts w:ascii="Arial Narrow" w:eastAsia="Times New Roman" w:hAnsi="Arial Narrow" w:cs="Times New Roman"/>
          <w:b/>
          <w:bCs/>
          <w:sz w:val="20"/>
          <w:szCs w:val="20"/>
        </w:rPr>
      </w:pPr>
      <w:r>
        <w:t>The</w:t>
      </w:r>
      <w:r w:rsidRPr="00723205">
        <w:t xml:space="preserve"> </w:t>
      </w:r>
      <w:r>
        <w:t>ADAR</w:t>
      </w:r>
      <w:r w:rsidRPr="00723205">
        <w:t xml:space="preserve"> </w:t>
      </w:r>
      <w:r>
        <w:t>argued a</w:t>
      </w:r>
      <w:r w:rsidRPr="00723205">
        <w:t xml:space="preserve">lthough </w:t>
      </w:r>
      <w:r>
        <w:t xml:space="preserve">IMeRSe </w:t>
      </w:r>
      <w:r w:rsidRPr="00723205">
        <w:t>has similarit</w:t>
      </w:r>
      <w:r w:rsidR="00923A5E">
        <w:t>ies</w:t>
      </w:r>
      <w:r w:rsidRPr="00723205">
        <w:t xml:space="preserve"> to formal </w:t>
      </w:r>
      <w:r>
        <w:t xml:space="preserve">MMR, IMeRSe is unique in its application providing a culturally responsive </w:t>
      </w:r>
      <w:r w:rsidR="000F735C">
        <w:t>MMR</w:t>
      </w:r>
      <w:r w:rsidRPr="00723205">
        <w:t xml:space="preserve"> to facilitate </w:t>
      </w:r>
      <w:r w:rsidRPr="005326CF">
        <w:t>interaction with Aboriginal and Torres Strait Islander people.</w:t>
      </w:r>
      <w:r w:rsidRPr="00294841">
        <w:rPr>
          <w:iCs/>
        </w:rPr>
        <w:t xml:space="preserve"> </w:t>
      </w:r>
      <w:r w:rsidR="00DC3947">
        <w:rPr>
          <w:iCs/>
        </w:rPr>
        <w:t>The ADAR stated that f</w:t>
      </w:r>
      <w:r w:rsidR="00DC3947" w:rsidRPr="00DC3947">
        <w:rPr>
          <w:iCs/>
        </w:rPr>
        <w:t>rom a consumer perspective</w:t>
      </w:r>
      <w:r w:rsidR="00DC3947">
        <w:rPr>
          <w:iCs/>
        </w:rPr>
        <w:t>,</w:t>
      </w:r>
      <w:r w:rsidR="00DC3947" w:rsidRPr="00DC3947">
        <w:rPr>
          <w:iCs/>
        </w:rPr>
        <w:t xml:space="preserve"> the biggest difference lies in the cultural safety aspects</w:t>
      </w:r>
      <w:r w:rsidR="00DC3947">
        <w:rPr>
          <w:iCs/>
        </w:rPr>
        <w:t xml:space="preserve"> of IMeRSe. The pre-ESC response reiterated that </w:t>
      </w:r>
      <w:r w:rsidR="00DC3947" w:rsidRPr="00DC3947">
        <w:rPr>
          <w:iCs/>
        </w:rPr>
        <w:t>IMeRSe is a strengths-based, culturally responsive medication review service developed in recognition of the limitations of a ‘one-size fits all’ approach and sustained access barriers for Aboriginal and Torres Strait Islander peoples to mainstream medication management programs, e.g.</w:t>
      </w:r>
      <w:r w:rsidR="00064D59">
        <w:rPr>
          <w:iCs/>
        </w:rPr>
        <w:t>,</w:t>
      </w:r>
      <w:r w:rsidR="00DC3947" w:rsidRPr="00DC3947">
        <w:rPr>
          <w:iCs/>
        </w:rPr>
        <w:t xml:space="preserve"> Home Medicines Review (HMR)</w:t>
      </w:r>
      <w:r w:rsidR="00DC3947">
        <w:rPr>
          <w:iCs/>
        </w:rPr>
        <w:t xml:space="preserve">. </w:t>
      </w:r>
      <w:r w:rsidR="000F735C">
        <w:rPr>
          <w:iCs/>
        </w:rPr>
        <w:t>A comparison of</w:t>
      </w:r>
      <w:r w:rsidR="00CE70E1" w:rsidRPr="00294841">
        <w:rPr>
          <w:iCs/>
        </w:rPr>
        <w:t xml:space="preserve"> IMeRSe and </w:t>
      </w:r>
      <w:r w:rsidR="00A83B15" w:rsidRPr="00294841">
        <w:rPr>
          <w:iCs/>
        </w:rPr>
        <w:t xml:space="preserve">HMR is presented in </w:t>
      </w:r>
      <w:bookmarkStart w:id="12" w:name="_Ref96699636"/>
      <w:r w:rsidR="006961DE">
        <w:rPr>
          <w:iCs/>
        </w:rPr>
        <w:fldChar w:fldCharType="begin"/>
      </w:r>
      <w:r w:rsidR="006961DE">
        <w:rPr>
          <w:iCs/>
        </w:rPr>
        <w:instrText xml:space="preserve"> REF _Ref97733757 \h </w:instrText>
      </w:r>
      <w:r w:rsidR="006961DE">
        <w:rPr>
          <w:iCs/>
        </w:rPr>
      </w:r>
      <w:r w:rsidR="006961DE">
        <w:rPr>
          <w:iCs/>
        </w:rPr>
        <w:fldChar w:fldCharType="separate"/>
      </w:r>
      <w:r w:rsidR="00A45EE3">
        <w:t xml:space="preserve">Table </w:t>
      </w:r>
      <w:r w:rsidR="00A45EE3">
        <w:rPr>
          <w:noProof/>
        </w:rPr>
        <w:t>2</w:t>
      </w:r>
      <w:r w:rsidR="006961DE">
        <w:rPr>
          <w:iCs/>
        </w:rPr>
        <w:fldChar w:fldCharType="end"/>
      </w:r>
      <w:r w:rsidR="006961DE">
        <w:rPr>
          <w:iCs/>
        </w:rPr>
        <w:t>.</w:t>
      </w:r>
    </w:p>
    <w:p w14:paraId="23730085" w14:textId="17FD437A" w:rsidR="005326CF" w:rsidRPr="00294841" w:rsidRDefault="005326CF" w:rsidP="00294841">
      <w:pPr>
        <w:pStyle w:val="Caption"/>
        <w:rPr>
          <w:iCs/>
        </w:rPr>
      </w:pPr>
      <w:bookmarkStart w:id="13" w:name="_Ref97733706"/>
      <w:bookmarkStart w:id="14" w:name="_Ref97733757"/>
      <w:r>
        <w:t xml:space="preserve">Table </w:t>
      </w:r>
      <w:r w:rsidR="00791FAA">
        <w:fldChar w:fldCharType="begin"/>
      </w:r>
      <w:r w:rsidR="00791FAA">
        <w:instrText xml:space="preserve"> SEQ Table \* ARABIC </w:instrText>
      </w:r>
      <w:r w:rsidR="00791FAA">
        <w:fldChar w:fldCharType="separate"/>
      </w:r>
      <w:r w:rsidR="00A45EE3">
        <w:rPr>
          <w:noProof/>
        </w:rPr>
        <w:t>2</w:t>
      </w:r>
      <w:r w:rsidR="00791FAA">
        <w:rPr>
          <w:noProof/>
        </w:rPr>
        <w:fldChar w:fldCharType="end"/>
      </w:r>
      <w:bookmarkEnd w:id="12"/>
      <w:bookmarkEnd w:id="13"/>
      <w:bookmarkEnd w:id="14"/>
      <w:r>
        <w:t xml:space="preserve"> Comparison of IMeRSe and HMR</w:t>
      </w:r>
    </w:p>
    <w:tbl>
      <w:tblPr>
        <w:tblStyle w:val="TableGrid"/>
        <w:tblW w:w="9209" w:type="dxa"/>
        <w:tblLook w:val="04A0" w:firstRow="1" w:lastRow="0" w:firstColumn="1" w:lastColumn="0" w:noHBand="0" w:noVBand="1"/>
      </w:tblPr>
      <w:tblGrid>
        <w:gridCol w:w="1580"/>
        <w:gridCol w:w="3741"/>
        <w:gridCol w:w="3888"/>
      </w:tblGrid>
      <w:tr w:rsidR="005326CF" w:rsidRPr="005326CF" w14:paraId="50A21BA7" w14:textId="77777777" w:rsidTr="008D0AFE">
        <w:tc>
          <w:tcPr>
            <w:tcW w:w="1580" w:type="dxa"/>
          </w:tcPr>
          <w:p w14:paraId="4E6AE5D0" w14:textId="77777777" w:rsidR="00A83B15" w:rsidRPr="00294841" w:rsidRDefault="00A83B15" w:rsidP="00294841">
            <w:pPr>
              <w:pStyle w:val="TableHeadingCA"/>
              <w:jc w:val="left"/>
            </w:pPr>
          </w:p>
        </w:tc>
        <w:tc>
          <w:tcPr>
            <w:tcW w:w="3741" w:type="dxa"/>
          </w:tcPr>
          <w:p w14:paraId="75FF4396" w14:textId="49BB10DE" w:rsidR="00A83B15" w:rsidRPr="00294841" w:rsidRDefault="00A83B15" w:rsidP="00294841">
            <w:pPr>
              <w:pStyle w:val="TableHeadingCA"/>
              <w:jc w:val="left"/>
            </w:pPr>
            <w:r w:rsidRPr="00294841">
              <w:t>IMeRSe</w:t>
            </w:r>
          </w:p>
        </w:tc>
        <w:tc>
          <w:tcPr>
            <w:tcW w:w="3888" w:type="dxa"/>
          </w:tcPr>
          <w:p w14:paraId="5CD0C854" w14:textId="533C1EC3" w:rsidR="00A83B15" w:rsidRPr="00294841" w:rsidRDefault="00A83B15" w:rsidP="00294841">
            <w:pPr>
              <w:pStyle w:val="TableHeadingCA"/>
              <w:jc w:val="left"/>
            </w:pPr>
            <w:r w:rsidRPr="00294841">
              <w:t>HMR</w:t>
            </w:r>
          </w:p>
        </w:tc>
      </w:tr>
      <w:tr w:rsidR="005326CF" w:rsidRPr="005326CF" w14:paraId="28613199" w14:textId="77777777" w:rsidTr="008D0AFE">
        <w:trPr>
          <w:trHeight w:val="540"/>
        </w:trPr>
        <w:tc>
          <w:tcPr>
            <w:tcW w:w="1580" w:type="dxa"/>
          </w:tcPr>
          <w:p w14:paraId="760BA70A" w14:textId="00B6F003" w:rsidR="00A83B15" w:rsidRPr="00294841" w:rsidRDefault="00A83B15" w:rsidP="00294841">
            <w:pPr>
              <w:pStyle w:val="TableText"/>
            </w:pPr>
            <w:r w:rsidRPr="00294841">
              <w:t>Funding source(s)</w:t>
            </w:r>
          </w:p>
        </w:tc>
        <w:tc>
          <w:tcPr>
            <w:tcW w:w="3741" w:type="dxa"/>
          </w:tcPr>
          <w:p w14:paraId="7741C0BF" w14:textId="77777777" w:rsidR="00A83B15" w:rsidRPr="00294841" w:rsidRDefault="00A83B15" w:rsidP="00294841">
            <w:pPr>
              <w:pStyle w:val="TableText"/>
            </w:pPr>
            <w:r w:rsidRPr="00294841">
              <w:t>MBS funding only</w:t>
            </w:r>
          </w:p>
          <w:p w14:paraId="38140E83" w14:textId="0632F85F" w:rsidR="00A83B15" w:rsidRPr="00294841" w:rsidRDefault="00A83B15" w:rsidP="00294841">
            <w:pPr>
              <w:pStyle w:val="TableText"/>
            </w:pPr>
          </w:p>
        </w:tc>
        <w:tc>
          <w:tcPr>
            <w:tcW w:w="3888" w:type="dxa"/>
          </w:tcPr>
          <w:p w14:paraId="747D965F" w14:textId="62B568C1" w:rsidR="00A83B15" w:rsidRPr="00294841" w:rsidRDefault="00A83B15" w:rsidP="00294841">
            <w:pPr>
              <w:pStyle w:val="TableText"/>
            </w:pPr>
            <w:r w:rsidRPr="00294841">
              <w:t xml:space="preserve">Combination of MBS </w:t>
            </w:r>
            <w:r w:rsidR="00C758E2" w:rsidRPr="00294841">
              <w:t xml:space="preserve">(referring medical practitioner) </w:t>
            </w:r>
            <w:r w:rsidRPr="00294841">
              <w:t xml:space="preserve">and 7CPA </w:t>
            </w:r>
            <w:r w:rsidR="00C758E2" w:rsidRPr="00294841">
              <w:t xml:space="preserve">(pharmacist) </w:t>
            </w:r>
            <w:r w:rsidRPr="00294841">
              <w:t>funding.</w:t>
            </w:r>
          </w:p>
        </w:tc>
      </w:tr>
      <w:tr w:rsidR="005326CF" w:rsidRPr="005326CF" w14:paraId="35471D50" w14:textId="77777777" w:rsidTr="008D0AFE">
        <w:tc>
          <w:tcPr>
            <w:tcW w:w="1580" w:type="dxa"/>
          </w:tcPr>
          <w:p w14:paraId="5FC7D3AC" w14:textId="0E399BD1" w:rsidR="00A83B15" w:rsidRPr="00294841" w:rsidRDefault="00A83B15" w:rsidP="00294841">
            <w:pPr>
              <w:pStyle w:val="TableText"/>
              <w:ind w:left="315"/>
            </w:pPr>
            <w:r w:rsidRPr="00294841">
              <w:t>Pharmacist</w:t>
            </w:r>
          </w:p>
        </w:tc>
        <w:tc>
          <w:tcPr>
            <w:tcW w:w="3741" w:type="dxa"/>
          </w:tcPr>
          <w:p w14:paraId="1F6FBC5C" w14:textId="77777777" w:rsidR="00A83B15" w:rsidRPr="00294841" w:rsidRDefault="00A83B15" w:rsidP="00294841">
            <w:pPr>
              <w:pStyle w:val="TableText"/>
            </w:pPr>
            <w:r w:rsidRPr="00294841">
              <w:t xml:space="preserve">$222.77 </w:t>
            </w:r>
          </w:p>
          <w:p w14:paraId="1C99D317" w14:textId="77777777" w:rsidR="00A83B15" w:rsidRPr="00294841" w:rsidRDefault="00A83B15" w:rsidP="00294841">
            <w:pPr>
              <w:pStyle w:val="TableText"/>
            </w:pPr>
            <w:r w:rsidRPr="00294841">
              <w:t>$111.39 for first follow-up service</w:t>
            </w:r>
          </w:p>
          <w:p w14:paraId="101052CA" w14:textId="2F29DD9F" w:rsidR="00A83B15" w:rsidRPr="00294841" w:rsidRDefault="00A83B15" w:rsidP="00294841">
            <w:pPr>
              <w:pStyle w:val="TableText"/>
            </w:pPr>
            <w:r w:rsidRPr="00294841">
              <w:t>$55.70 for second follow-up service</w:t>
            </w:r>
          </w:p>
        </w:tc>
        <w:tc>
          <w:tcPr>
            <w:tcW w:w="3888" w:type="dxa"/>
          </w:tcPr>
          <w:p w14:paraId="17836489" w14:textId="1D43DE22" w:rsidR="00C758E2" w:rsidRPr="00294841" w:rsidRDefault="00C758E2" w:rsidP="00294841">
            <w:pPr>
              <w:pStyle w:val="TableText"/>
            </w:pPr>
            <w:r w:rsidRPr="00294841">
              <w:t>$222.77 for initial HMR</w:t>
            </w:r>
          </w:p>
          <w:p w14:paraId="3DEE1BD8" w14:textId="77777777" w:rsidR="00C758E2" w:rsidRPr="00294841" w:rsidRDefault="00C758E2" w:rsidP="00294841">
            <w:pPr>
              <w:pStyle w:val="TableText"/>
            </w:pPr>
            <w:r w:rsidRPr="00294841">
              <w:t>$111.30 first follow-up service</w:t>
            </w:r>
          </w:p>
          <w:p w14:paraId="5D44D909" w14:textId="100F81AA" w:rsidR="00A83B15" w:rsidRPr="00294841" w:rsidRDefault="00C758E2" w:rsidP="00294841">
            <w:pPr>
              <w:pStyle w:val="TableText"/>
            </w:pPr>
            <w:r w:rsidRPr="00294841">
              <w:t>$55.70 second follow up service</w:t>
            </w:r>
          </w:p>
        </w:tc>
      </w:tr>
      <w:tr w:rsidR="005326CF" w:rsidRPr="005326CF" w14:paraId="25C4DD83" w14:textId="77777777" w:rsidTr="008D0AFE">
        <w:tc>
          <w:tcPr>
            <w:tcW w:w="1580" w:type="dxa"/>
          </w:tcPr>
          <w:p w14:paraId="5063EEE2" w14:textId="3E036687" w:rsidR="00A83B15" w:rsidRPr="00294841" w:rsidRDefault="00A83B15" w:rsidP="00294841">
            <w:pPr>
              <w:pStyle w:val="TableText"/>
              <w:ind w:left="315"/>
            </w:pPr>
            <w:r w:rsidRPr="00294841">
              <w:t>GP</w:t>
            </w:r>
          </w:p>
        </w:tc>
        <w:tc>
          <w:tcPr>
            <w:tcW w:w="3741" w:type="dxa"/>
          </w:tcPr>
          <w:p w14:paraId="24D03AAE" w14:textId="185140F9" w:rsidR="00A83B15" w:rsidRPr="00294841" w:rsidRDefault="00A83B15" w:rsidP="00294841">
            <w:pPr>
              <w:pStyle w:val="TableText"/>
            </w:pPr>
            <w:r w:rsidRPr="00294841">
              <w:t>$75.05</w:t>
            </w:r>
          </w:p>
        </w:tc>
        <w:tc>
          <w:tcPr>
            <w:tcW w:w="3888" w:type="dxa"/>
          </w:tcPr>
          <w:p w14:paraId="6367F23C" w14:textId="6FB861CD" w:rsidR="00A83B15" w:rsidRPr="00CE6F91" w:rsidRDefault="00C758E2" w:rsidP="00CE6F91">
            <w:pPr>
              <w:pStyle w:val="TableText"/>
            </w:pPr>
            <w:r w:rsidRPr="00DD6784">
              <w:t>$161.10 (MBS Item 900)</w:t>
            </w:r>
          </w:p>
        </w:tc>
      </w:tr>
      <w:tr w:rsidR="005326CF" w:rsidRPr="005326CF" w14:paraId="1D1E574B" w14:textId="77777777" w:rsidTr="008D0AFE">
        <w:tc>
          <w:tcPr>
            <w:tcW w:w="1580" w:type="dxa"/>
          </w:tcPr>
          <w:p w14:paraId="40F29622" w14:textId="2D15C8DA" w:rsidR="00A83B15" w:rsidRPr="00294841" w:rsidRDefault="00A83B15" w:rsidP="00294841">
            <w:pPr>
              <w:pStyle w:val="TableText"/>
              <w:ind w:left="315"/>
            </w:pPr>
            <w:r w:rsidRPr="00294841">
              <w:t>AHW</w:t>
            </w:r>
          </w:p>
        </w:tc>
        <w:tc>
          <w:tcPr>
            <w:tcW w:w="3741" w:type="dxa"/>
          </w:tcPr>
          <w:p w14:paraId="0474BCB5" w14:textId="77777777" w:rsidR="00A83B15" w:rsidRPr="00294841" w:rsidRDefault="00A83B15" w:rsidP="00294841">
            <w:pPr>
              <w:pStyle w:val="TableText"/>
            </w:pPr>
            <w:r w:rsidRPr="00294841">
              <w:t xml:space="preserve">$50 </w:t>
            </w:r>
          </w:p>
          <w:p w14:paraId="0D782B85" w14:textId="3E840604" w:rsidR="00A83B15" w:rsidRPr="00294841" w:rsidRDefault="00A83B15" w:rsidP="00294841">
            <w:pPr>
              <w:pStyle w:val="TableText"/>
            </w:pPr>
            <w:r w:rsidRPr="00294841">
              <w:t>$25 for first follow-up service</w:t>
            </w:r>
          </w:p>
          <w:p w14:paraId="35767BE1" w14:textId="7D8FEDAC" w:rsidR="00A83B15" w:rsidRPr="00294841" w:rsidRDefault="00A83B15" w:rsidP="00294841">
            <w:pPr>
              <w:pStyle w:val="TableText"/>
            </w:pPr>
            <w:r w:rsidRPr="00294841">
              <w:t>$12.50 for second follow-up service</w:t>
            </w:r>
          </w:p>
        </w:tc>
        <w:tc>
          <w:tcPr>
            <w:tcW w:w="3888" w:type="dxa"/>
          </w:tcPr>
          <w:p w14:paraId="1D7B454D" w14:textId="0163F2D0" w:rsidR="00A83B15" w:rsidRPr="00294841" w:rsidRDefault="00A83B15" w:rsidP="00294841">
            <w:pPr>
              <w:pStyle w:val="TableText"/>
            </w:pPr>
            <w:r w:rsidRPr="00294841">
              <w:t>N/A</w:t>
            </w:r>
          </w:p>
        </w:tc>
      </w:tr>
      <w:tr w:rsidR="005326CF" w:rsidRPr="005326CF" w14:paraId="6AD87EB4" w14:textId="77777777" w:rsidTr="008D0AFE">
        <w:tc>
          <w:tcPr>
            <w:tcW w:w="1580" w:type="dxa"/>
          </w:tcPr>
          <w:p w14:paraId="6BBC4D5B" w14:textId="529DFF04" w:rsidR="00A83B15" w:rsidRPr="00294841" w:rsidRDefault="005326CF" w:rsidP="00294841">
            <w:pPr>
              <w:pStyle w:val="TableText"/>
            </w:pPr>
            <w:r w:rsidRPr="00294841">
              <w:t>Referral</w:t>
            </w:r>
          </w:p>
        </w:tc>
        <w:tc>
          <w:tcPr>
            <w:tcW w:w="3741" w:type="dxa"/>
          </w:tcPr>
          <w:p w14:paraId="31F09931" w14:textId="131E87F9" w:rsidR="00A83B15" w:rsidRPr="00294841" w:rsidRDefault="00294841" w:rsidP="00294841">
            <w:pPr>
              <w:pStyle w:val="TableText"/>
            </w:pPr>
            <w:r>
              <w:t>I</w:t>
            </w:r>
            <w:r w:rsidRPr="00294841">
              <w:t>dentified by any treating health professional, or family member, or self-identified</w:t>
            </w:r>
          </w:p>
        </w:tc>
        <w:tc>
          <w:tcPr>
            <w:tcW w:w="3888" w:type="dxa"/>
          </w:tcPr>
          <w:p w14:paraId="7631AD76" w14:textId="7877816F" w:rsidR="00A83B15" w:rsidRPr="00294841" w:rsidRDefault="005326CF" w:rsidP="00294841">
            <w:pPr>
              <w:pStyle w:val="TableText"/>
            </w:pPr>
            <w:r w:rsidRPr="00294841">
              <w:t xml:space="preserve">Referral by </w:t>
            </w:r>
            <w:r w:rsidR="000F735C">
              <w:t>a medical practitioner</w:t>
            </w:r>
          </w:p>
        </w:tc>
      </w:tr>
      <w:tr w:rsidR="005326CF" w:rsidRPr="005326CF" w14:paraId="6D708490" w14:textId="77777777" w:rsidTr="008D0AFE">
        <w:tc>
          <w:tcPr>
            <w:tcW w:w="1580" w:type="dxa"/>
          </w:tcPr>
          <w:p w14:paraId="0E819C88" w14:textId="558F5C30" w:rsidR="00A83B15" w:rsidRPr="00294841" w:rsidRDefault="005326CF" w:rsidP="00294841">
            <w:pPr>
              <w:pStyle w:val="TableText"/>
            </w:pPr>
            <w:r w:rsidRPr="00294841">
              <w:t xml:space="preserve">Pharmacist accreditation </w:t>
            </w:r>
          </w:p>
        </w:tc>
        <w:tc>
          <w:tcPr>
            <w:tcW w:w="3741" w:type="dxa"/>
          </w:tcPr>
          <w:p w14:paraId="1D5EB87E" w14:textId="77D073E7" w:rsidR="00A83B15" w:rsidRPr="00294841" w:rsidRDefault="005326CF" w:rsidP="00294841">
            <w:pPr>
              <w:pStyle w:val="TableText"/>
            </w:pPr>
            <w:r w:rsidRPr="00294841">
              <w:t>No</w:t>
            </w:r>
            <w:r w:rsidR="000F735C">
              <w:t>t required</w:t>
            </w:r>
          </w:p>
        </w:tc>
        <w:tc>
          <w:tcPr>
            <w:tcW w:w="3888" w:type="dxa"/>
          </w:tcPr>
          <w:p w14:paraId="55D87E42" w14:textId="12FB564A" w:rsidR="00A83B15" w:rsidRPr="00294841" w:rsidRDefault="000F735C" w:rsidP="00294841">
            <w:pPr>
              <w:pStyle w:val="TableText"/>
            </w:pPr>
            <w:r>
              <w:t>Required</w:t>
            </w:r>
          </w:p>
        </w:tc>
      </w:tr>
      <w:tr w:rsidR="00023269" w:rsidRPr="005326CF" w14:paraId="2CD993D5" w14:textId="77777777" w:rsidTr="008D0AFE">
        <w:tc>
          <w:tcPr>
            <w:tcW w:w="1580" w:type="dxa"/>
          </w:tcPr>
          <w:p w14:paraId="0D4F6985" w14:textId="732E8126" w:rsidR="00023269" w:rsidRPr="00294841" w:rsidRDefault="00023269" w:rsidP="00294841">
            <w:pPr>
              <w:pStyle w:val="TableText"/>
            </w:pPr>
            <w:r>
              <w:t>Pharmacist cross-cultural training</w:t>
            </w:r>
          </w:p>
        </w:tc>
        <w:tc>
          <w:tcPr>
            <w:tcW w:w="3741" w:type="dxa"/>
          </w:tcPr>
          <w:p w14:paraId="3A8FD57B" w14:textId="2AF0F95D" w:rsidR="00023269" w:rsidRPr="00294841" w:rsidRDefault="00023269" w:rsidP="00294841">
            <w:pPr>
              <w:pStyle w:val="TableText"/>
            </w:pPr>
            <w:r>
              <w:t xml:space="preserve">Was a requirement for the IMeRSe Feasibility </w:t>
            </w:r>
            <w:r w:rsidR="00820A54">
              <w:t>S</w:t>
            </w:r>
            <w:r>
              <w:t>tudy but not included as a requirement in the proposed MBS items</w:t>
            </w:r>
          </w:p>
        </w:tc>
        <w:tc>
          <w:tcPr>
            <w:tcW w:w="3888" w:type="dxa"/>
          </w:tcPr>
          <w:p w14:paraId="3AFD9212" w14:textId="7964D860" w:rsidR="00023269" w:rsidRPr="00294841" w:rsidDel="000F735C" w:rsidRDefault="00023269" w:rsidP="00294841">
            <w:pPr>
              <w:pStyle w:val="TableText"/>
            </w:pPr>
            <w:r>
              <w:t>Not required</w:t>
            </w:r>
          </w:p>
        </w:tc>
      </w:tr>
      <w:tr w:rsidR="00DF6634" w:rsidRPr="005326CF" w14:paraId="4DB5D8FB" w14:textId="77777777" w:rsidTr="008D0AFE">
        <w:tc>
          <w:tcPr>
            <w:tcW w:w="1580" w:type="dxa"/>
          </w:tcPr>
          <w:p w14:paraId="40D2FF6B" w14:textId="6BE63124" w:rsidR="00DF6634" w:rsidRDefault="00DF6634" w:rsidP="005326CF">
            <w:pPr>
              <w:pStyle w:val="TableText"/>
            </w:pPr>
            <w:r>
              <w:t>Location of medicine review</w:t>
            </w:r>
          </w:p>
        </w:tc>
        <w:tc>
          <w:tcPr>
            <w:tcW w:w="3741" w:type="dxa"/>
          </w:tcPr>
          <w:p w14:paraId="799D7ED0" w14:textId="631FEBF4" w:rsidR="00DF6634" w:rsidRPr="00294841" w:rsidRDefault="00DF6634" w:rsidP="005326CF">
            <w:pPr>
              <w:pStyle w:val="TableText"/>
            </w:pPr>
            <w:r>
              <w:t>At</w:t>
            </w:r>
            <w:r w:rsidRPr="00DF6634">
              <w:t xml:space="preserve"> a mutually agreed location between the pharmacist and the client</w:t>
            </w:r>
          </w:p>
        </w:tc>
        <w:tc>
          <w:tcPr>
            <w:tcW w:w="3888" w:type="dxa"/>
          </w:tcPr>
          <w:p w14:paraId="4B6C4288" w14:textId="76F710B1" w:rsidR="009C7228" w:rsidRDefault="009C7228" w:rsidP="009C7228">
            <w:pPr>
              <w:pStyle w:val="TableText"/>
              <w:contextualSpacing/>
            </w:pPr>
            <w:r>
              <w:t>Occur in patient’s home except in the following circumstances if a Program Variation request has been submitted and approved:</w:t>
            </w:r>
          </w:p>
          <w:p w14:paraId="45DB781F" w14:textId="77777777" w:rsidR="009C7228" w:rsidRDefault="009C7228" w:rsidP="00E11EEF">
            <w:pPr>
              <w:pStyle w:val="TableText"/>
              <w:numPr>
                <w:ilvl w:val="0"/>
                <w:numId w:val="35"/>
              </w:numPr>
              <w:ind w:left="383"/>
              <w:contextualSpacing/>
            </w:pPr>
            <w:r>
              <w:t>For cultural reasons as specified by the Patient</w:t>
            </w:r>
          </w:p>
          <w:p w14:paraId="2A16F4B0" w14:textId="4D522C98" w:rsidR="009C7228" w:rsidRPr="00294841" w:rsidRDefault="009C7228" w:rsidP="00E11EEF">
            <w:pPr>
              <w:pStyle w:val="TableText"/>
              <w:numPr>
                <w:ilvl w:val="0"/>
                <w:numId w:val="35"/>
              </w:numPr>
              <w:ind w:left="383"/>
              <w:contextualSpacing/>
            </w:pPr>
            <w:r>
              <w:t>If there are concerns about the safety of the Pharmacist relating to being inside the Patient’s home.</w:t>
            </w:r>
          </w:p>
        </w:tc>
      </w:tr>
      <w:tr w:rsidR="00294841" w:rsidRPr="005326CF" w14:paraId="615705EB" w14:textId="77777777" w:rsidTr="008D0AFE">
        <w:tc>
          <w:tcPr>
            <w:tcW w:w="1580" w:type="dxa"/>
          </w:tcPr>
          <w:p w14:paraId="501B75F8" w14:textId="4F4D4954" w:rsidR="00294841" w:rsidRDefault="00294841" w:rsidP="005326CF">
            <w:pPr>
              <w:pStyle w:val="TableText"/>
            </w:pPr>
            <w:r>
              <w:t>Service claiming</w:t>
            </w:r>
          </w:p>
        </w:tc>
        <w:tc>
          <w:tcPr>
            <w:tcW w:w="3741" w:type="dxa"/>
          </w:tcPr>
          <w:p w14:paraId="2CCA005F" w14:textId="77777777" w:rsidR="00294841" w:rsidRDefault="00294841" w:rsidP="005326CF">
            <w:pPr>
              <w:pStyle w:val="TableText"/>
            </w:pPr>
            <w:r w:rsidRPr="00294841">
              <w:t>No cap on the maximum number of services per pharmacist or service.</w:t>
            </w:r>
          </w:p>
          <w:p w14:paraId="144CCB69" w14:textId="43871326" w:rsidR="00294841" w:rsidRDefault="00B676EA" w:rsidP="005326CF">
            <w:pPr>
              <w:pStyle w:val="TableText"/>
            </w:pPr>
            <w:r>
              <w:t>T</w:t>
            </w:r>
            <w:r w:rsidR="00294841" w:rsidRPr="00294841">
              <w:t>wo follow-up services are provided.</w:t>
            </w:r>
          </w:p>
          <w:p w14:paraId="48898768" w14:textId="19B8F940" w:rsidR="00294841" w:rsidRPr="00294841" w:rsidRDefault="00294841" w:rsidP="00294841">
            <w:pPr>
              <w:pStyle w:val="TableText"/>
            </w:pPr>
            <w:r>
              <w:t>If a HMR, RMMR, Diabetes MedsChecks or MedsChecks have been provided in the past 12 months, the consumer will be ineligible for IMeRSe.</w:t>
            </w:r>
          </w:p>
        </w:tc>
        <w:tc>
          <w:tcPr>
            <w:tcW w:w="3888" w:type="dxa"/>
          </w:tcPr>
          <w:p w14:paraId="28719006" w14:textId="77777777" w:rsidR="00294841" w:rsidRDefault="00294841" w:rsidP="00294841">
            <w:pPr>
              <w:pStyle w:val="TableText"/>
            </w:pPr>
            <w:r w:rsidRPr="00294841">
              <w:t>Maximum of 30 HMR service claims per calendar month (applies to individual accredited pharmacist, and the Service Provider).</w:t>
            </w:r>
          </w:p>
          <w:p w14:paraId="5F1C723A" w14:textId="7148EADE" w:rsidR="00B676EA" w:rsidRDefault="00B676EA" w:rsidP="00294841">
            <w:pPr>
              <w:pStyle w:val="TableText"/>
            </w:pPr>
            <w:r>
              <w:t>T</w:t>
            </w:r>
            <w:r w:rsidRPr="00294841">
              <w:t>wo follow-up services are provided.</w:t>
            </w:r>
          </w:p>
        </w:tc>
      </w:tr>
      <w:tr w:rsidR="00294841" w:rsidRPr="005326CF" w14:paraId="17959A04" w14:textId="77777777" w:rsidTr="008D0AFE">
        <w:tc>
          <w:tcPr>
            <w:tcW w:w="1580" w:type="dxa"/>
          </w:tcPr>
          <w:p w14:paraId="4840E51B" w14:textId="428CE010" w:rsidR="00294841" w:rsidRPr="00294841" w:rsidRDefault="00294841" w:rsidP="005326CF">
            <w:pPr>
              <w:pStyle w:val="TableText"/>
            </w:pPr>
            <w:r>
              <w:t>Activities</w:t>
            </w:r>
          </w:p>
        </w:tc>
        <w:tc>
          <w:tcPr>
            <w:tcW w:w="3741" w:type="dxa"/>
          </w:tcPr>
          <w:p w14:paraId="38225E34" w14:textId="3654A072" w:rsidR="00294841" w:rsidRDefault="00294841" w:rsidP="00E11EEF">
            <w:pPr>
              <w:pStyle w:val="TableText"/>
              <w:numPr>
                <w:ilvl w:val="0"/>
                <w:numId w:val="32"/>
              </w:numPr>
            </w:pPr>
            <w:r>
              <w:t>Recruitment and consent</w:t>
            </w:r>
          </w:p>
          <w:p w14:paraId="1984C09E" w14:textId="679C110D" w:rsidR="00294841" w:rsidRDefault="00294841" w:rsidP="00E11EEF">
            <w:pPr>
              <w:pStyle w:val="TableText"/>
              <w:numPr>
                <w:ilvl w:val="0"/>
                <w:numId w:val="32"/>
              </w:numPr>
            </w:pPr>
            <w:r>
              <w:t>Collection of baseline data and referral for Medicines Talk</w:t>
            </w:r>
          </w:p>
          <w:p w14:paraId="14DE2B11" w14:textId="6946FF2E" w:rsidR="00294841" w:rsidRDefault="00294841" w:rsidP="00E11EEF">
            <w:pPr>
              <w:pStyle w:val="TableText"/>
              <w:numPr>
                <w:ilvl w:val="0"/>
                <w:numId w:val="32"/>
              </w:numPr>
            </w:pPr>
            <w:r>
              <w:t>Medicines Talk with participant and involving an Aboriginal Health Worker (AHW)/support person</w:t>
            </w:r>
          </w:p>
          <w:p w14:paraId="2A26F176" w14:textId="63B87148" w:rsidR="00294841" w:rsidRDefault="00294841" w:rsidP="00E11EEF">
            <w:pPr>
              <w:pStyle w:val="TableText"/>
              <w:numPr>
                <w:ilvl w:val="0"/>
                <w:numId w:val="32"/>
              </w:numPr>
            </w:pPr>
            <w:r>
              <w:t>Completion of Medicines Report</w:t>
            </w:r>
          </w:p>
          <w:p w14:paraId="3309FDE1" w14:textId="35DED4BD" w:rsidR="00294841" w:rsidRDefault="00294841" w:rsidP="00E11EEF">
            <w:pPr>
              <w:pStyle w:val="TableText"/>
              <w:numPr>
                <w:ilvl w:val="0"/>
                <w:numId w:val="32"/>
              </w:numPr>
            </w:pPr>
            <w:r>
              <w:t>Response from GP and completion of My Medicines Plan with participant and/or AHW/support person</w:t>
            </w:r>
          </w:p>
          <w:p w14:paraId="7CA20B2E" w14:textId="69E81875" w:rsidR="00294841" w:rsidRPr="00294841" w:rsidRDefault="00294841" w:rsidP="00E11EEF">
            <w:pPr>
              <w:pStyle w:val="TableText"/>
              <w:numPr>
                <w:ilvl w:val="0"/>
                <w:numId w:val="32"/>
              </w:numPr>
            </w:pPr>
            <w:r>
              <w:t>Structured clinical follow-up and monitoring</w:t>
            </w:r>
          </w:p>
        </w:tc>
        <w:tc>
          <w:tcPr>
            <w:tcW w:w="3888" w:type="dxa"/>
          </w:tcPr>
          <w:p w14:paraId="4D0631DF" w14:textId="77777777" w:rsidR="00294841" w:rsidRDefault="00294841" w:rsidP="00E11EEF">
            <w:pPr>
              <w:pStyle w:val="TableText"/>
              <w:numPr>
                <w:ilvl w:val="0"/>
                <w:numId w:val="25"/>
              </w:numPr>
              <w:ind w:left="374"/>
            </w:pPr>
            <w:r>
              <w:t xml:space="preserve">Identification of patient </w:t>
            </w:r>
            <w:r w:rsidRPr="00294841">
              <w:t>requiring a medication management review</w:t>
            </w:r>
            <w:r>
              <w:t xml:space="preserve"> and referral by GP </w:t>
            </w:r>
          </w:p>
          <w:p w14:paraId="045FCC7D" w14:textId="06C8BE82" w:rsidR="00294841" w:rsidRDefault="00294841" w:rsidP="00E11EEF">
            <w:pPr>
              <w:pStyle w:val="TableText"/>
              <w:numPr>
                <w:ilvl w:val="0"/>
                <w:numId w:val="25"/>
              </w:numPr>
              <w:ind w:left="374"/>
            </w:pPr>
            <w:r>
              <w:t>Patient interview</w:t>
            </w:r>
          </w:p>
          <w:p w14:paraId="03DAD93A" w14:textId="77777777" w:rsidR="008D0AFE" w:rsidRDefault="00294841" w:rsidP="00E11EEF">
            <w:pPr>
              <w:pStyle w:val="TableText"/>
              <w:numPr>
                <w:ilvl w:val="0"/>
                <w:numId w:val="25"/>
              </w:numPr>
              <w:ind w:left="374"/>
            </w:pPr>
            <w:r>
              <w:t>Clinical assessment</w:t>
            </w:r>
          </w:p>
          <w:p w14:paraId="26FFC292" w14:textId="58244E40" w:rsidR="00294841" w:rsidRDefault="00294841" w:rsidP="00E11EEF">
            <w:pPr>
              <w:pStyle w:val="TableText"/>
              <w:numPr>
                <w:ilvl w:val="0"/>
                <w:numId w:val="25"/>
              </w:numPr>
              <w:ind w:left="374"/>
            </w:pPr>
            <w:r>
              <w:t>Written initial HMR report to referring doctor and nominated community pharmacy</w:t>
            </w:r>
          </w:p>
          <w:p w14:paraId="6F93E3C3" w14:textId="3CD82598" w:rsidR="00C15A8C" w:rsidRPr="00294841" w:rsidRDefault="00C15A8C" w:rsidP="00E11EEF">
            <w:pPr>
              <w:pStyle w:val="TableText"/>
              <w:numPr>
                <w:ilvl w:val="0"/>
                <w:numId w:val="25"/>
              </w:numPr>
              <w:ind w:left="374"/>
            </w:pPr>
            <w:r>
              <w:t>Structured clinical follow-up and monitoring</w:t>
            </w:r>
          </w:p>
        </w:tc>
      </w:tr>
    </w:tbl>
    <w:p w14:paraId="5B9D8026" w14:textId="62428ADA" w:rsidR="00A83B15" w:rsidRDefault="00FF7949" w:rsidP="00D44FD2">
      <w:pPr>
        <w:pStyle w:val="Tablenotes0"/>
      </w:pPr>
      <w:r>
        <w:t xml:space="preserve">Source: </w:t>
      </w:r>
      <w:r w:rsidR="00483FD1">
        <w:t>Compiled for the ESC report.</w:t>
      </w:r>
    </w:p>
    <w:p w14:paraId="2DD5A9BC" w14:textId="3653C9BF" w:rsidR="00064D59" w:rsidRDefault="00064D59" w:rsidP="00D44FD2">
      <w:pPr>
        <w:pStyle w:val="Tablenotes0"/>
      </w:pPr>
      <w:r>
        <w:t>Abbreviations: AHW=Aboriginal Health Worker; HMR=</w:t>
      </w:r>
      <w:r w:rsidRPr="00064D59">
        <w:t>Home Medicines Review</w:t>
      </w:r>
      <w:r>
        <w:t>; IMeRSe=</w:t>
      </w:r>
      <w:r w:rsidRPr="00064D59">
        <w:t>Indigenous Medication Review Service</w:t>
      </w:r>
      <w:r>
        <w:t>; GP=General Practitioner; MBS=Medicare Benefits Schedule’ RMMR=</w:t>
      </w:r>
      <w:r w:rsidRPr="00064D59">
        <w:t>Residential Medication Management Review</w:t>
      </w:r>
      <w:r>
        <w:t>; 7CPA=</w:t>
      </w:r>
      <w:r w:rsidRPr="00064D59">
        <w:t>Seventh Community Pharmacy Agreement</w:t>
      </w:r>
    </w:p>
    <w:p w14:paraId="34E0B08F" w14:textId="055C48AE" w:rsidR="00772829" w:rsidRPr="00CE28E3" w:rsidRDefault="007C620E" w:rsidP="002A18BE">
      <w:pPr>
        <w:pStyle w:val="Heading2"/>
        <w:numPr>
          <w:ilvl w:val="0"/>
          <w:numId w:val="0"/>
        </w:numPr>
      </w:pPr>
      <w:bookmarkStart w:id="15" w:name="_Toc69491419"/>
      <w:r>
        <w:t>7</w:t>
      </w:r>
      <w:r w:rsidR="00C36633">
        <w:t>.</w:t>
      </w:r>
      <w:r w:rsidR="00C36633">
        <w:tab/>
      </w:r>
      <w:r w:rsidR="00772829" w:rsidRPr="00CE28E3">
        <w:t>Population</w:t>
      </w:r>
      <w:bookmarkEnd w:id="15"/>
      <w:r w:rsidR="00772829" w:rsidRPr="00CE28E3">
        <w:t xml:space="preserve"> </w:t>
      </w:r>
    </w:p>
    <w:p w14:paraId="15BC967D" w14:textId="77777777" w:rsidR="008D1261" w:rsidRPr="00453332" w:rsidRDefault="008D1261" w:rsidP="008D1261">
      <w:pPr>
        <w:pStyle w:val="Instructionaltext"/>
        <w:rPr>
          <w:color w:val="auto"/>
        </w:rPr>
      </w:pPr>
      <w:r w:rsidRPr="00453332">
        <w:rPr>
          <w:color w:val="auto"/>
        </w:rPr>
        <w:t>The proposed population is:</w:t>
      </w:r>
    </w:p>
    <w:p w14:paraId="7EE5FDE4" w14:textId="64CA8A6D" w:rsidR="008D1261" w:rsidRPr="00453332" w:rsidRDefault="008D1261" w:rsidP="00E11EEF">
      <w:pPr>
        <w:pStyle w:val="Instructionaltext"/>
        <w:numPr>
          <w:ilvl w:val="0"/>
          <w:numId w:val="22"/>
        </w:numPr>
        <w:ind w:left="284" w:hanging="284"/>
        <w:contextualSpacing/>
        <w:rPr>
          <w:color w:val="auto"/>
        </w:rPr>
      </w:pPr>
      <w:r w:rsidRPr="00453332">
        <w:rPr>
          <w:color w:val="auto"/>
        </w:rPr>
        <w:t xml:space="preserve">self-identified Aboriginal or Torres Strait Islander </w:t>
      </w:r>
      <w:r w:rsidR="00F433A2" w:rsidRPr="00F433A2">
        <w:rPr>
          <w:color w:val="auto"/>
        </w:rPr>
        <w:t>Australians</w:t>
      </w:r>
    </w:p>
    <w:p w14:paraId="584A14C7" w14:textId="492D7567" w:rsidR="008D1261" w:rsidRPr="00453332" w:rsidRDefault="008D1261" w:rsidP="00E11EEF">
      <w:pPr>
        <w:pStyle w:val="Instructionaltext"/>
        <w:numPr>
          <w:ilvl w:val="0"/>
          <w:numId w:val="22"/>
        </w:numPr>
        <w:ind w:left="284" w:hanging="284"/>
        <w:contextualSpacing/>
        <w:rPr>
          <w:color w:val="auto"/>
        </w:rPr>
      </w:pPr>
      <w:r w:rsidRPr="00453332">
        <w:rPr>
          <w:color w:val="auto"/>
        </w:rPr>
        <w:t xml:space="preserve">aged 18 years and over and living in the </w:t>
      </w:r>
      <w:r w:rsidR="00F433A2" w:rsidRPr="00F433A2">
        <w:rPr>
          <w:color w:val="auto"/>
        </w:rPr>
        <w:t>community</w:t>
      </w:r>
      <w:r w:rsidRPr="00453332">
        <w:rPr>
          <w:color w:val="auto"/>
        </w:rPr>
        <w:t xml:space="preserve"> </w:t>
      </w:r>
    </w:p>
    <w:p w14:paraId="2D0C075C" w14:textId="5FFCA869" w:rsidR="008D1261" w:rsidRPr="00453332" w:rsidRDefault="008D1261" w:rsidP="00E11EEF">
      <w:pPr>
        <w:pStyle w:val="Instructionaltext"/>
        <w:numPr>
          <w:ilvl w:val="0"/>
          <w:numId w:val="22"/>
        </w:numPr>
        <w:ind w:left="284" w:hanging="284"/>
        <w:contextualSpacing/>
        <w:rPr>
          <w:color w:val="auto"/>
        </w:rPr>
      </w:pPr>
      <w:r w:rsidRPr="00453332">
        <w:rPr>
          <w:color w:val="auto"/>
        </w:rPr>
        <w:t xml:space="preserve">at risk of medication-related problems (as identified by any treating health professional, family member or self-identified) including but not limited to: </w:t>
      </w:r>
    </w:p>
    <w:p w14:paraId="418331EF" w14:textId="6FFDC948" w:rsidR="008D1261" w:rsidRPr="00453332" w:rsidRDefault="008D1261" w:rsidP="00E11EEF">
      <w:pPr>
        <w:pStyle w:val="Instructionaltext"/>
        <w:numPr>
          <w:ilvl w:val="1"/>
          <w:numId w:val="22"/>
        </w:numPr>
        <w:ind w:left="567" w:hanging="283"/>
        <w:contextualSpacing/>
        <w:rPr>
          <w:color w:val="auto"/>
        </w:rPr>
      </w:pPr>
      <w:r w:rsidRPr="00453332">
        <w:rPr>
          <w:color w:val="auto"/>
        </w:rPr>
        <w:t xml:space="preserve">being diagnosed with at least one chronic condition and/or is pregnant and /or is within 2 years </w:t>
      </w:r>
      <w:r w:rsidR="00F433A2" w:rsidRPr="00453332">
        <w:rPr>
          <w:color w:val="auto"/>
        </w:rPr>
        <w:t>post-partum</w:t>
      </w:r>
      <w:r w:rsidRPr="00453332">
        <w:rPr>
          <w:color w:val="auto"/>
        </w:rPr>
        <w:t xml:space="preserve"> </w:t>
      </w:r>
    </w:p>
    <w:p w14:paraId="611F6BAC" w14:textId="761FB954" w:rsidR="008D1261" w:rsidRPr="00453332" w:rsidRDefault="008D1261" w:rsidP="00E11EEF">
      <w:pPr>
        <w:pStyle w:val="Instructionaltext"/>
        <w:numPr>
          <w:ilvl w:val="1"/>
          <w:numId w:val="22"/>
        </w:numPr>
        <w:ind w:left="567" w:hanging="283"/>
        <w:contextualSpacing/>
        <w:rPr>
          <w:color w:val="auto"/>
        </w:rPr>
      </w:pPr>
      <w:r w:rsidRPr="00453332">
        <w:rPr>
          <w:color w:val="auto"/>
        </w:rPr>
        <w:t xml:space="preserve">instability of health status and/or medication </w:t>
      </w:r>
      <w:r w:rsidR="00F433A2" w:rsidRPr="00453332">
        <w:rPr>
          <w:color w:val="auto"/>
        </w:rPr>
        <w:t>therapy</w:t>
      </w:r>
      <w:r w:rsidRPr="00453332">
        <w:rPr>
          <w:color w:val="auto"/>
        </w:rPr>
        <w:t xml:space="preserve"> </w:t>
      </w:r>
    </w:p>
    <w:p w14:paraId="0D729B20" w14:textId="3A15B431" w:rsidR="008D1261" w:rsidRPr="00453332" w:rsidRDefault="008D1261" w:rsidP="00E11EEF">
      <w:pPr>
        <w:pStyle w:val="Instructionaltext"/>
        <w:numPr>
          <w:ilvl w:val="1"/>
          <w:numId w:val="22"/>
        </w:numPr>
        <w:ind w:left="567" w:hanging="283"/>
        <w:contextualSpacing/>
        <w:rPr>
          <w:color w:val="auto"/>
        </w:rPr>
      </w:pPr>
      <w:r w:rsidRPr="00453332">
        <w:rPr>
          <w:color w:val="auto"/>
        </w:rPr>
        <w:t xml:space="preserve">using high-risk medication(s) </w:t>
      </w:r>
    </w:p>
    <w:p w14:paraId="00B5D4D9" w14:textId="6DAE8C32" w:rsidR="008D1261" w:rsidRPr="00453332" w:rsidRDefault="008D1261" w:rsidP="00E11EEF">
      <w:pPr>
        <w:pStyle w:val="Instructionaltext"/>
        <w:numPr>
          <w:ilvl w:val="1"/>
          <w:numId w:val="22"/>
        </w:numPr>
        <w:ind w:left="567" w:hanging="283"/>
        <w:contextualSpacing/>
        <w:rPr>
          <w:color w:val="auto"/>
        </w:rPr>
      </w:pPr>
      <w:r w:rsidRPr="00453332">
        <w:rPr>
          <w:color w:val="auto"/>
        </w:rPr>
        <w:t xml:space="preserve">likelihood of compromised </w:t>
      </w:r>
      <w:r w:rsidR="00F433A2" w:rsidRPr="00453332">
        <w:rPr>
          <w:color w:val="auto"/>
        </w:rPr>
        <w:t>adherence</w:t>
      </w:r>
      <w:r w:rsidRPr="00453332">
        <w:rPr>
          <w:color w:val="auto"/>
        </w:rPr>
        <w:t xml:space="preserve"> </w:t>
      </w:r>
    </w:p>
    <w:p w14:paraId="5AB3417A" w14:textId="5C45568B" w:rsidR="008D1261" w:rsidRPr="00453332" w:rsidRDefault="008D1261" w:rsidP="00E11EEF">
      <w:pPr>
        <w:pStyle w:val="Instructionaltext"/>
        <w:numPr>
          <w:ilvl w:val="1"/>
          <w:numId w:val="22"/>
        </w:numPr>
        <w:ind w:left="567" w:hanging="283"/>
        <w:contextualSpacing/>
        <w:rPr>
          <w:color w:val="auto"/>
        </w:rPr>
      </w:pPr>
      <w:r w:rsidRPr="00453332">
        <w:rPr>
          <w:color w:val="auto"/>
        </w:rPr>
        <w:t xml:space="preserve">new therapeutic </w:t>
      </w:r>
      <w:r w:rsidR="00F433A2" w:rsidRPr="00453332">
        <w:rPr>
          <w:color w:val="auto"/>
        </w:rPr>
        <w:t>goals</w:t>
      </w:r>
      <w:r w:rsidRPr="00453332">
        <w:rPr>
          <w:color w:val="auto"/>
        </w:rPr>
        <w:t xml:space="preserve"> </w:t>
      </w:r>
    </w:p>
    <w:p w14:paraId="29E3CB73" w14:textId="6B16006A" w:rsidR="008D1261" w:rsidRPr="00453332" w:rsidRDefault="008D1261" w:rsidP="00E11EEF">
      <w:pPr>
        <w:pStyle w:val="Instructionaltext"/>
        <w:numPr>
          <w:ilvl w:val="1"/>
          <w:numId w:val="22"/>
        </w:numPr>
        <w:ind w:left="567" w:hanging="283"/>
        <w:contextualSpacing/>
        <w:rPr>
          <w:color w:val="auto"/>
        </w:rPr>
      </w:pPr>
      <w:r w:rsidRPr="00453332">
        <w:rPr>
          <w:color w:val="auto"/>
        </w:rPr>
        <w:t>potentially incomplete understanding of medication use or</w:t>
      </w:r>
    </w:p>
    <w:p w14:paraId="223B46AC" w14:textId="41039C83" w:rsidR="008D1261" w:rsidRPr="00453332" w:rsidRDefault="008D1261" w:rsidP="007C620E">
      <w:pPr>
        <w:pStyle w:val="Instructionaltext"/>
        <w:numPr>
          <w:ilvl w:val="1"/>
          <w:numId w:val="22"/>
        </w:numPr>
        <w:spacing w:after="240"/>
        <w:ind w:left="568" w:hanging="284"/>
        <w:rPr>
          <w:color w:val="auto"/>
        </w:rPr>
      </w:pPr>
      <w:r w:rsidRPr="00453332">
        <w:rPr>
          <w:color w:val="auto"/>
        </w:rPr>
        <w:t>failure to respond to treatment in an expected way.</w:t>
      </w:r>
    </w:p>
    <w:p w14:paraId="1133941B" w14:textId="71FF2594" w:rsidR="0033632D" w:rsidRPr="00D632E6" w:rsidRDefault="000F735C" w:rsidP="007C620E">
      <w:pPr>
        <w:pStyle w:val="Instructionaltext"/>
        <w:spacing w:before="240" w:after="240"/>
        <w:rPr>
          <w:i/>
          <w:iCs/>
          <w:color w:val="00B050"/>
        </w:rPr>
      </w:pPr>
      <w:r w:rsidRPr="001763F0">
        <w:rPr>
          <w:color w:val="auto"/>
        </w:rPr>
        <w:t xml:space="preserve">The commentary noted </w:t>
      </w:r>
      <w:r w:rsidR="00157259" w:rsidRPr="001763F0">
        <w:rPr>
          <w:color w:val="auto"/>
        </w:rPr>
        <w:t>as the proposed population is not limited to the listed criteria</w:t>
      </w:r>
      <w:r w:rsidR="00CE6F91" w:rsidRPr="001763F0">
        <w:rPr>
          <w:color w:val="auto"/>
        </w:rPr>
        <w:t xml:space="preserve"> from the IMeRSe Feasibility </w:t>
      </w:r>
      <w:r w:rsidR="00820A54" w:rsidRPr="001763F0">
        <w:rPr>
          <w:color w:val="auto"/>
        </w:rPr>
        <w:t>S</w:t>
      </w:r>
      <w:r w:rsidR="00CE6F91" w:rsidRPr="001763F0">
        <w:rPr>
          <w:color w:val="auto"/>
        </w:rPr>
        <w:t>tudy</w:t>
      </w:r>
      <w:r w:rsidR="00157259" w:rsidRPr="001763F0">
        <w:rPr>
          <w:color w:val="auto"/>
        </w:rPr>
        <w:t xml:space="preserve">, </w:t>
      </w:r>
      <w:r w:rsidRPr="001763F0">
        <w:rPr>
          <w:color w:val="auto"/>
        </w:rPr>
        <w:t xml:space="preserve">this </w:t>
      </w:r>
      <w:r w:rsidR="0033632D" w:rsidRPr="001763F0">
        <w:rPr>
          <w:color w:val="auto"/>
        </w:rPr>
        <w:t>implies that the population may be greater than those that meet the nominated criteria.</w:t>
      </w:r>
    </w:p>
    <w:p w14:paraId="43871459" w14:textId="4E5D2026" w:rsidR="008D1261" w:rsidRPr="000D7826" w:rsidRDefault="00623BE9" w:rsidP="0000109A">
      <w:pPr>
        <w:pStyle w:val="Instructionaltext"/>
        <w:rPr>
          <w:color w:val="auto"/>
        </w:rPr>
      </w:pPr>
      <w:r w:rsidRPr="00D44FD2">
        <w:rPr>
          <w:color w:val="auto"/>
        </w:rPr>
        <w:t xml:space="preserve">The commentary also noted that the </w:t>
      </w:r>
      <w:r w:rsidRPr="00C978D7">
        <w:rPr>
          <w:color w:val="auto"/>
        </w:rPr>
        <w:t>IMeRSe</w:t>
      </w:r>
      <w:r w:rsidR="008D1261" w:rsidRPr="00C978D7">
        <w:rPr>
          <w:color w:val="auto"/>
        </w:rPr>
        <w:t xml:space="preserve"> Feasibility Study relie</w:t>
      </w:r>
      <w:r w:rsidRPr="00C978D7">
        <w:rPr>
          <w:color w:val="auto"/>
        </w:rPr>
        <w:t>d</w:t>
      </w:r>
      <w:r w:rsidR="008D1261" w:rsidRPr="00C978D7">
        <w:rPr>
          <w:color w:val="auto"/>
        </w:rPr>
        <w:t xml:space="preserve"> on two definitions of medication-related problems (MRPs)</w:t>
      </w:r>
      <w:r w:rsidRPr="00C978D7">
        <w:rPr>
          <w:color w:val="auto"/>
        </w:rPr>
        <w:t xml:space="preserve"> and suggested it should</w:t>
      </w:r>
      <w:r w:rsidR="0033632D" w:rsidRPr="00C978D7">
        <w:rPr>
          <w:color w:val="auto"/>
        </w:rPr>
        <w:t xml:space="preserve"> be clarified in the proposed MBS item which definition will be relevant to triggering the need for the MMR</w:t>
      </w:r>
      <w:r w:rsidR="0033632D" w:rsidRPr="00623BE9">
        <w:rPr>
          <w:color w:val="auto"/>
        </w:rPr>
        <w:t xml:space="preserve">. </w:t>
      </w:r>
    </w:p>
    <w:p w14:paraId="66BDFCC1" w14:textId="45472EC1" w:rsidR="00772829" w:rsidRPr="00CE28E3" w:rsidRDefault="007C620E" w:rsidP="002A18BE">
      <w:pPr>
        <w:pStyle w:val="Heading2"/>
        <w:numPr>
          <w:ilvl w:val="0"/>
          <w:numId w:val="0"/>
        </w:numPr>
      </w:pPr>
      <w:bookmarkStart w:id="16" w:name="_Toc69491420"/>
      <w:r>
        <w:rPr>
          <w:color w:val="auto"/>
        </w:rPr>
        <w:t>8</w:t>
      </w:r>
      <w:r w:rsidR="00C36633" w:rsidRPr="006E59A5">
        <w:rPr>
          <w:color w:val="auto"/>
        </w:rPr>
        <w:t>.</w:t>
      </w:r>
      <w:r w:rsidR="00C36633" w:rsidRPr="006E59A5">
        <w:rPr>
          <w:color w:val="auto"/>
        </w:rPr>
        <w:tab/>
      </w:r>
      <w:r w:rsidR="00772829" w:rsidRPr="006E59A5">
        <w:rPr>
          <w:color w:val="auto"/>
        </w:rPr>
        <w:t>Comparator</w:t>
      </w:r>
      <w:bookmarkEnd w:id="16"/>
    </w:p>
    <w:p w14:paraId="56C1F728" w14:textId="03E46A2D" w:rsidR="00D25263" w:rsidRDefault="00D25263" w:rsidP="00E76AE0">
      <w:pPr>
        <w:pStyle w:val="Instructionaltext"/>
        <w:rPr>
          <w:color w:val="auto"/>
        </w:rPr>
      </w:pPr>
      <w:r w:rsidRPr="00453332">
        <w:rPr>
          <w:color w:val="auto"/>
        </w:rPr>
        <w:t xml:space="preserve">The </w:t>
      </w:r>
      <w:r w:rsidR="00453332">
        <w:rPr>
          <w:color w:val="auto"/>
        </w:rPr>
        <w:t>ADAR</w:t>
      </w:r>
      <w:r w:rsidRPr="00453332">
        <w:rPr>
          <w:color w:val="auto"/>
        </w:rPr>
        <w:t xml:space="preserve"> nominate</w:t>
      </w:r>
      <w:r w:rsidR="00FD44FD">
        <w:rPr>
          <w:color w:val="auto"/>
        </w:rPr>
        <w:t>d</w:t>
      </w:r>
      <w:r w:rsidRPr="00453332">
        <w:rPr>
          <w:color w:val="auto"/>
        </w:rPr>
        <w:t xml:space="preserve"> usual care as the comparator</w:t>
      </w:r>
      <w:r w:rsidR="00FD44FD">
        <w:rPr>
          <w:color w:val="auto"/>
        </w:rPr>
        <w:t xml:space="preserve"> which was</w:t>
      </w:r>
      <w:r w:rsidRPr="00453332">
        <w:rPr>
          <w:color w:val="auto"/>
        </w:rPr>
        <w:t xml:space="preserve"> define</w:t>
      </w:r>
      <w:r w:rsidR="00FD44FD">
        <w:rPr>
          <w:color w:val="auto"/>
        </w:rPr>
        <w:t>d</w:t>
      </w:r>
      <w:r w:rsidRPr="00453332">
        <w:rPr>
          <w:color w:val="auto"/>
        </w:rPr>
        <w:t xml:space="preserve"> as </w:t>
      </w:r>
      <w:r w:rsidRPr="00D632E6">
        <w:rPr>
          <w:i/>
          <w:color w:val="auto"/>
        </w:rPr>
        <w:t>ad-hoc</w:t>
      </w:r>
      <w:r w:rsidRPr="00D632E6">
        <w:rPr>
          <w:color w:val="auto"/>
        </w:rPr>
        <w:t xml:space="preserve"> </w:t>
      </w:r>
      <w:r w:rsidRPr="00453332">
        <w:rPr>
          <w:color w:val="auto"/>
        </w:rPr>
        <w:t xml:space="preserve">medication management advice by a range of health practitioners involved in the consumer’s care. </w:t>
      </w:r>
      <w:r w:rsidR="009411CB">
        <w:rPr>
          <w:color w:val="auto"/>
        </w:rPr>
        <w:t xml:space="preserve">Further, usual care, as defined in the </w:t>
      </w:r>
      <w:r w:rsidR="000B2844">
        <w:rPr>
          <w:color w:val="auto"/>
        </w:rPr>
        <w:t>ADAR</w:t>
      </w:r>
      <w:r w:rsidR="009411CB">
        <w:rPr>
          <w:color w:val="auto"/>
        </w:rPr>
        <w:t>,</w:t>
      </w:r>
      <w:r w:rsidR="00FD44FD">
        <w:rPr>
          <w:color w:val="auto"/>
        </w:rPr>
        <w:t xml:space="preserve"> </w:t>
      </w:r>
      <w:r w:rsidRPr="00453332">
        <w:rPr>
          <w:color w:val="auto"/>
        </w:rPr>
        <w:t>specifically exclude</w:t>
      </w:r>
      <w:r w:rsidR="00FD44FD">
        <w:rPr>
          <w:color w:val="auto"/>
        </w:rPr>
        <w:t>d</w:t>
      </w:r>
      <w:r w:rsidRPr="00453332">
        <w:rPr>
          <w:color w:val="auto"/>
        </w:rPr>
        <w:t xml:space="preserve"> formal </w:t>
      </w:r>
      <w:r w:rsidR="009411CB" w:rsidRPr="009411CB">
        <w:rPr>
          <w:color w:val="auto"/>
        </w:rPr>
        <w:t>MMR services such as HMR</w:t>
      </w:r>
      <w:r w:rsidR="000B2844">
        <w:rPr>
          <w:color w:val="auto"/>
        </w:rPr>
        <w:t>/DMMR</w:t>
      </w:r>
      <w:r w:rsidR="009411CB" w:rsidRPr="009411CB">
        <w:rPr>
          <w:color w:val="auto"/>
        </w:rPr>
        <w:t>, RMMR, Diabetes MedsChecks or MedsChecks</w:t>
      </w:r>
      <w:r w:rsidRPr="00453332">
        <w:rPr>
          <w:color w:val="auto"/>
        </w:rPr>
        <w:t xml:space="preserve">. </w:t>
      </w:r>
    </w:p>
    <w:p w14:paraId="4B846E20" w14:textId="6E439D33" w:rsidR="00F01062" w:rsidRPr="00AB1A49" w:rsidRDefault="00D25263" w:rsidP="00E76AE0">
      <w:pPr>
        <w:pStyle w:val="Instructionaltext"/>
        <w:rPr>
          <w:iCs/>
          <w:color w:val="auto"/>
        </w:rPr>
      </w:pPr>
      <w:r w:rsidRPr="00C37556">
        <w:rPr>
          <w:iCs/>
          <w:color w:val="auto"/>
        </w:rPr>
        <w:t xml:space="preserve">The </w:t>
      </w:r>
      <w:r w:rsidR="009411CB" w:rsidRPr="00C37556">
        <w:rPr>
          <w:iCs/>
          <w:color w:val="auto"/>
        </w:rPr>
        <w:t xml:space="preserve">commentary highlighted that the most </w:t>
      </w:r>
      <w:r w:rsidRPr="00C37556">
        <w:rPr>
          <w:iCs/>
          <w:color w:val="auto"/>
        </w:rPr>
        <w:t xml:space="preserve">relevant comparator </w:t>
      </w:r>
      <w:r w:rsidR="009411CB" w:rsidRPr="00C37556">
        <w:rPr>
          <w:iCs/>
          <w:color w:val="auto"/>
        </w:rPr>
        <w:t>for IMeRSe is the medical service(s)</w:t>
      </w:r>
      <w:r w:rsidRPr="00C37556">
        <w:rPr>
          <w:iCs/>
          <w:color w:val="auto"/>
        </w:rPr>
        <w:t xml:space="preserve"> that is most likely to be substituted if IMeRSe is listed on the MBS</w:t>
      </w:r>
      <w:r w:rsidR="009411CB" w:rsidRPr="00C37556">
        <w:rPr>
          <w:iCs/>
          <w:color w:val="auto"/>
        </w:rPr>
        <w:t>. The commentary considered that in the proposed population, patients</w:t>
      </w:r>
      <w:r w:rsidR="000B2844">
        <w:rPr>
          <w:iCs/>
          <w:color w:val="auto"/>
        </w:rPr>
        <w:t xml:space="preserve"> identified as</w:t>
      </w:r>
      <w:r w:rsidR="009411CB" w:rsidRPr="00AB1A49">
        <w:rPr>
          <w:iCs/>
          <w:color w:val="auto"/>
        </w:rPr>
        <w:t xml:space="preserve"> </w:t>
      </w:r>
      <w:r w:rsidRPr="00AB1A49">
        <w:rPr>
          <w:iCs/>
          <w:color w:val="auto"/>
        </w:rPr>
        <w:t>requiring a</w:t>
      </w:r>
      <w:r w:rsidR="008D0AFE">
        <w:rPr>
          <w:iCs/>
          <w:color w:val="auto"/>
        </w:rPr>
        <w:t>n</w:t>
      </w:r>
      <w:r w:rsidRPr="00AB1A49">
        <w:rPr>
          <w:iCs/>
          <w:color w:val="auto"/>
        </w:rPr>
        <w:t xml:space="preserve"> </w:t>
      </w:r>
      <w:r w:rsidR="009411CB" w:rsidRPr="00AB1A49">
        <w:rPr>
          <w:iCs/>
          <w:color w:val="auto"/>
        </w:rPr>
        <w:t xml:space="preserve">MMR, the appropriate comparator is </w:t>
      </w:r>
      <w:r w:rsidRPr="00AB1A49">
        <w:rPr>
          <w:iCs/>
          <w:color w:val="auto"/>
        </w:rPr>
        <w:t xml:space="preserve">the currently available </w:t>
      </w:r>
      <w:r w:rsidR="00F01062" w:rsidRPr="00AB1A49">
        <w:rPr>
          <w:iCs/>
          <w:color w:val="auto"/>
        </w:rPr>
        <w:t xml:space="preserve">formal </w:t>
      </w:r>
      <w:r w:rsidR="009411CB" w:rsidRPr="00AB1A49">
        <w:rPr>
          <w:iCs/>
          <w:color w:val="auto"/>
        </w:rPr>
        <w:t>MMR</w:t>
      </w:r>
      <w:r w:rsidR="00F01062" w:rsidRPr="00AB1A49">
        <w:rPr>
          <w:iCs/>
          <w:color w:val="auto"/>
        </w:rPr>
        <w:t xml:space="preserve">. </w:t>
      </w:r>
      <w:r w:rsidR="00B774EF" w:rsidRPr="00AB1A49">
        <w:rPr>
          <w:iCs/>
          <w:color w:val="auto"/>
        </w:rPr>
        <w:t>The</w:t>
      </w:r>
      <w:r w:rsidR="009411CB" w:rsidRPr="00AB1A49">
        <w:rPr>
          <w:iCs/>
          <w:color w:val="auto"/>
        </w:rPr>
        <w:t xml:space="preserve"> commentary also considered the</w:t>
      </w:r>
      <w:r w:rsidR="00B774EF" w:rsidRPr="00AB1A49">
        <w:rPr>
          <w:iCs/>
          <w:color w:val="auto"/>
        </w:rPr>
        <w:t xml:space="preserve"> fact that a pharmacist does not need to be accredited to </w:t>
      </w:r>
      <w:r w:rsidR="009411CB" w:rsidRPr="00AB1A49">
        <w:rPr>
          <w:iCs/>
          <w:color w:val="auto"/>
        </w:rPr>
        <w:t xml:space="preserve">conduct an </w:t>
      </w:r>
      <w:r w:rsidR="00B774EF" w:rsidRPr="00AB1A49">
        <w:rPr>
          <w:iCs/>
          <w:color w:val="auto"/>
        </w:rPr>
        <w:t xml:space="preserve">IMeRSe does not preclude the identified population from being able to access formal </w:t>
      </w:r>
      <w:r w:rsidR="009411CB" w:rsidRPr="00AB1A49">
        <w:rPr>
          <w:iCs/>
          <w:color w:val="auto"/>
        </w:rPr>
        <w:t>MMR</w:t>
      </w:r>
      <w:r w:rsidR="00B774EF" w:rsidRPr="00AB1A49">
        <w:rPr>
          <w:iCs/>
          <w:color w:val="auto"/>
        </w:rPr>
        <w:t xml:space="preserve">, if they are identified as requiring a medication management review. </w:t>
      </w:r>
    </w:p>
    <w:p w14:paraId="2B0220F8" w14:textId="2FFD6103" w:rsidR="00F01062" w:rsidRPr="00AB1A49" w:rsidRDefault="00FD44FD" w:rsidP="00E76AE0">
      <w:pPr>
        <w:pStyle w:val="Instructionaltext"/>
        <w:rPr>
          <w:iCs/>
          <w:color w:val="auto"/>
        </w:rPr>
      </w:pPr>
      <w:r w:rsidRPr="00AB1A49">
        <w:rPr>
          <w:iCs/>
          <w:color w:val="auto"/>
        </w:rPr>
        <w:t>The commentary consider</w:t>
      </w:r>
      <w:r w:rsidR="000B2844" w:rsidRPr="00AB1A49">
        <w:rPr>
          <w:iCs/>
          <w:color w:val="auto"/>
        </w:rPr>
        <w:t>ed</w:t>
      </w:r>
      <w:r w:rsidRPr="00AB1A49">
        <w:rPr>
          <w:iCs/>
          <w:color w:val="auto"/>
        </w:rPr>
        <w:t xml:space="preserve"> that </w:t>
      </w:r>
      <w:r w:rsidR="00AE53F6">
        <w:rPr>
          <w:iCs/>
          <w:color w:val="auto"/>
        </w:rPr>
        <w:t xml:space="preserve">the type of </w:t>
      </w:r>
      <w:r w:rsidR="00F01062" w:rsidRPr="00AB1A49">
        <w:rPr>
          <w:iCs/>
          <w:color w:val="auto"/>
        </w:rPr>
        <w:t xml:space="preserve">formal </w:t>
      </w:r>
      <w:r w:rsidR="000B2844" w:rsidRPr="00AB1A49">
        <w:rPr>
          <w:iCs/>
          <w:color w:val="auto"/>
        </w:rPr>
        <w:t>MMR</w:t>
      </w:r>
      <w:r w:rsidR="00F01062" w:rsidRPr="00AB1A49">
        <w:rPr>
          <w:iCs/>
          <w:color w:val="auto"/>
        </w:rPr>
        <w:t xml:space="preserve"> </w:t>
      </w:r>
      <w:r w:rsidRPr="00AB1A49">
        <w:rPr>
          <w:iCs/>
          <w:color w:val="auto"/>
        </w:rPr>
        <w:t xml:space="preserve">that </w:t>
      </w:r>
      <w:r w:rsidR="00F01062" w:rsidRPr="00AB1A49">
        <w:rPr>
          <w:iCs/>
          <w:color w:val="auto"/>
        </w:rPr>
        <w:t xml:space="preserve">is likely to be substituted </w:t>
      </w:r>
      <w:r w:rsidRPr="00AB1A49">
        <w:rPr>
          <w:iCs/>
          <w:color w:val="auto"/>
        </w:rPr>
        <w:t xml:space="preserve">would </w:t>
      </w:r>
      <w:r w:rsidR="00AE53F6">
        <w:rPr>
          <w:iCs/>
          <w:color w:val="auto"/>
        </w:rPr>
        <w:t>depend on</w:t>
      </w:r>
      <w:r w:rsidR="00F01062" w:rsidRPr="00AB1A49">
        <w:rPr>
          <w:iCs/>
          <w:color w:val="auto"/>
        </w:rPr>
        <w:t xml:space="preserve"> who identifie</w:t>
      </w:r>
      <w:r w:rsidRPr="00AB1A49">
        <w:rPr>
          <w:iCs/>
          <w:color w:val="auto"/>
        </w:rPr>
        <w:t>d</w:t>
      </w:r>
      <w:r w:rsidR="00F01062" w:rsidRPr="00AB1A49">
        <w:rPr>
          <w:iCs/>
          <w:color w:val="auto"/>
        </w:rPr>
        <w:t xml:space="preserve"> the patient/client as potentially being at risk of a MRP</w:t>
      </w:r>
      <w:r w:rsidR="00337FE5" w:rsidRPr="00AB1A49">
        <w:rPr>
          <w:iCs/>
          <w:color w:val="auto"/>
        </w:rPr>
        <w:t xml:space="preserve"> and requiring a medication management review</w:t>
      </w:r>
      <w:r w:rsidR="00F01062" w:rsidRPr="00AB1A49">
        <w:rPr>
          <w:iCs/>
          <w:color w:val="auto"/>
        </w:rPr>
        <w:t xml:space="preserve"> and what options are available to them:</w:t>
      </w:r>
    </w:p>
    <w:p w14:paraId="7ABC9FD0" w14:textId="7D502236" w:rsidR="00607FB1" w:rsidRPr="00AB1A49" w:rsidRDefault="00F01062" w:rsidP="00E11EEF">
      <w:pPr>
        <w:pStyle w:val="Instructionaltext"/>
        <w:numPr>
          <w:ilvl w:val="0"/>
          <w:numId w:val="23"/>
        </w:numPr>
        <w:ind w:left="284" w:hanging="284"/>
        <w:contextualSpacing/>
        <w:rPr>
          <w:iCs/>
          <w:color w:val="auto"/>
        </w:rPr>
      </w:pPr>
      <w:r w:rsidRPr="00AB1A49">
        <w:rPr>
          <w:iCs/>
          <w:color w:val="auto"/>
        </w:rPr>
        <w:t>If it’s the patient’s GP</w:t>
      </w:r>
      <w:r w:rsidR="00607FB1" w:rsidRPr="00AB1A49">
        <w:rPr>
          <w:iCs/>
          <w:color w:val="auto"/>
        </w:rPr>
        <w:t>, and the patient resides in the community,</w:t>
      </w:r>
      <w:r w:rsidRPr="00AB1A49">
        <w:rPr>
          <w:iCs/>
          <w:color w:val="auto"/>
        </w:rPr>
        <w:t xml:space="preserve"> then usual care is MBS item 900, a</w:t>
      </w:r>
      <w:r w:rsidR="00095FBF">
        <w:rPr>
          <w:iCs/>
          <w:color w:val="auto"/>
        </w:rPr>
        <w:t>n</w:t>
      </w:r>
      <w:r w:rsidRPr="00AB1A49">
        <w:rPr>
          <w:iCs/>
          <w:color w:val="auto"/>
        </w:rPr>
        <w:t xml:space="preserve"> </w:t>
      </w:r>
      <w:r w:rsidR="00CE5397">
        <w:rPr>
          <w:iCs/>
          <w:color w:val="auto"/>
        </w:rPr>
        <w:t>HMR/</w:t>
      </w:r>
      <w:r w:rsidR="000B2844" w:rsidRPr="00AB1A49">
        <w:rPr>
          <w:iCs/>
          <w:color w:val="auto"/>
        </w:rPr>
        <w:t>DMMR</w:t>
      </w:r>
      <w:r w:rsidRPr="00AB1A49">
        <w:rPr>
          <w:iCs/>
          <w:color w:val="auto"/>
        </w:rPr>
        <w:t>.</w:t>
      </w:r>
    </w:p>
    <w:p w14:paraId="4DCE81B3" w14:textId="1E31E192" w:rsidR="00F01062" w:rsidRPr="00AB1A49" w:rsidRDefault="00F01062" w:rsidP="00E11EEF">
      <w:pPr>
        <w:pStyle w:val="Instructionaltext"/>
        <w:numPr>
          <w:ilvl w:val="0"/>
          <w:numId w:val="23"/>
        </w:numPr>
        <w:ind w:left="284" w:hanging="284"/>
        <w:contextualSpacing/>
        <w:rPr>
          <w:iCs/>
          <w:color w:val="auto"/>
        </w:rPr>
      </w:pPr>
      <w:r w:rsidRPr="00AB1A49">
        <w:rPr>
          <w:iCs/>
          <w:color w:val="auto"/>
        </w:rPr>
        <w:t xml:space="preserve">If it is the </w:t>
      </w:r>
      <w:r w:rsidR="00607FB1" w:rsidRPr="00AB1A49">
        <w:rPr>
          <w:iCs/>
          <w:color w:val="auto"/>
        </w:rPr>
        <w:t xml:space="preserve">community </w:t>
      </w:r>
      <w:r w:rsidR="003B5865" w:rsidRPr="00AB1A49">
        <w:rPr>
          <w:iCs/>
          <w:color w:val="auto"/>
        </w:rPr>
        <w:t>pharmacist,</w:t>
      </w:r>
      <w:r w:rsidRPr="00AB1A49">
        <w:rPr>
          <w:iCs/>
          <w:color w:val="auto"/>
        </w:rPr>
        <w:t xml:space="preserve"> then usual care is a MedsCheck or Diabetes MedsCheck</w:t>
      </w:r>
      <w:r w:rsidR="00607FB1" w:rsidRPr="00AB1A49">
        <w:rPr>
          <w:iCs/>
          <w:color w:val="auto"/>
        </w:rPr>
        <w:t xml:space="preserve"> or an Indigenous Dose Administration Aid</w:t>
      </w:r>
      <w:r w:rsidR="003B5865" w:rsidRPr="00AB1A49">
        <w:rPr>
          <w:iCs/>
          <w:color w:val="auto"/>
        </w:rPr>
        <w:t xml:space="preserve"> (funded under the </w:t>
      </w:r>
      <w:r w:rsidR="00095FBF" w:rsidRPr="00095FBF">
        <w:rPr>
          <w:iCs/>
          <w:color w:val="auto"/>
        </w:rPr>
        <w:t xml:space="preserve">Seventh Community Pharmacy Agreement </w:t>
      </w:r>
      <w:r w:rsidR="00095FBF">
        <w:rPr>
          <w:iCs/>
          <w:color w:val="auto"/>
        </w:rPr>
        <w:t>[</w:t>
      </w:r>
      <w:r w:rsidR="003B5865" w:rsidRPr="00AB1A49">
        <w:rPr>
          <w:iCs/>
          <w:color w:val="auto"/>
        </w:rPr>
        <w:t>7CPA</w:t>
      </w:r>
      <w:r w:rsidR="00095FBF">
        <w:rPr>
          <w:iCs/>
          <w:color w:val="auto"/>
        </w:rPr>
        <w:t>]</w:t>
      </w:r>
      <w:r w:rsidR="003B5865" w:rsidRPr="00AB1A49">
        <w:rPr>
          <w:iCs/>
          <w:color w:val="auto"/>
        </w:rPr>
        <w:t>)</w:t>
      </w:r>
      <w:r w:rsidR="00607FB1" w:rsidRPr="00AB1A49">
        <w:rPr>
          <w:iCs/>
          <w:color w:val="auto"/>
        </w:rPr>
        <w:t xml:space="preserve">. If a more formal review is </w:t>
      </w:r>
      <w:r w:rsidR="003B5865" w:rsidRPr="00AB1A49">
        <w:rPr>
          <w:iCs/>
          <w:color w:val="auto"/>
        </w:rPr>
        <w:t>required,</w:t>
      </w:r>
      <w:r w:rsidR="00607FB1" w:rsidRPr="00AB1A49">
        <w:rPr>
          <w:iCs/>
          <w:color w:val="auto"/>
        </w:rPr>
        <w:t xml:space="preserve"> then the pharmacist could recommend the GP refer the patient for a</w:t>
      </w:r>
      <w:r w:rsidR="00095FBF">
        <w:rPr>
          <w:iCs/>
          <w:color w:val="auto"/>
        </w:rPr>
        <w:t>n</w:t>
      </w:r>
      <w:r w:rsidR="00607FB1" w:rsidRPr="00AB1A49">
        <w:rPr>
          <w:iCs/>
          <w:color w:val="auto"/>
        </w:rPr>
        <w:t xml:space="preserve"> </w:t>
      </w:r>
      <w:r w:rsidR="00CE5397">
        <w:rPr>
          <w:iCs/>
          <w:color w:val="auto"/>
        </w:rPr>
        <w:t>HMR/</w:t>
      </w:r>
      <w:r w:rsidR="00607FB1" w:rsidRPr="00AB1A49">
        <w:rPr>
          <w:iCs/>
          <w:color w:val="auto"/>
        </w:rPr>
        <w:t>DMMR.</w:t>
      </w:r>
    </w:p>
    <w:p w14:paraId="621BFFE5" w14:textId="063D7A37" w:rsidR="00FD44FD" w:rsidRDefault="00607FB1" w:rsidP="007C620E">
      <w:pPr>
        <w:pStyle w:val="Instructionaltext"/>
        <w:numPr>
          <w:ilvl w:val="0"/>
          <w:numId w:val="23"/>
        </w:numPr>
        <w:spacing w:after="240"/>
        <w:ind w:left="284" w:hanging="284"/>
        <w:rPr>
          <w:iCs/>
          <w:color w:val="auto"/>
        </w:rPr>
      </w:pPr>
      <w:r w:rsidRPr="00AB1A49">
        <w:rPr>
          <w:iCs/>
          <w:color w:val="auto"/>
        </w:rPr>
        <w:t>If a patient self-identifies or a carer identifies or if another health professional identifies, then usual care will be determined by whether they take their concerns to the GP or the primary health clinic</w:t>
      </w:r>
      <w:r w:rsidR="00ED1850" w:rsidRPr="00AB1A49">
        <w:rPr>
          <w:iCs/>
          <w:color w:val="auto"/>
        </w:rPr>
        <w:t xml:space="preserve"> or the community pharmacy</w:t>
      </w:r>
      <w:r w:rsidRPr="00AB1A49">
        <w:rPr>
          <w:iCs/>
          <w:color w:val="auto"/>
        </w:rPr>
        <w:t>.</w:t>
      </w:r>
    </w:p>
    <w:p w14:paraId="62F3B1DB" w14:textId="50219CEF" w:rsidR="00F45ADE" w:rsidRDefault="00805FE4" w:rsidP="006E49A3">
      <w:pPr>
        <w:pStyle w:val="Instructionaltext"/>
        <w:contextualSpacing/>
        <w:rPr>
          <w:iCs/>
          <w:color w:val="auto"/>
        </w:rPr>
      </w:pPr>
      <w:r>
        <w:rPr>
          <w:iCs/>
          <w:color w:val="auto"/>
        </w:rPr>
        <w:t>The pre-MSAC response</w:t>
      </w:r>
      <w:r w:rsidR="00C82437">
        <w:rPr>
          <w:iCs/>
          <w:color w:val="auto"/>
        </w:rPr>
        <w:t xml:space="preserve"> reiterated that IMeRSe is a unique </w:t>
      </w:r>
      <w:r w:rsidR="00AE53F6">
        <w:rPr>
          <w:iCs/>
          <w:color w:val="auto"/>
        </w:rPr>
        <w:t>culturally</w:t>
      </w:r>
      <w:r w:rsidR="00C82437">
        <w:rPr>
          <w:iCs/>
          <w:color w:val="auto"/>
        </w:rPr>
        <w:t xml:space="preserve"> responsive medication review service and </w:t>
      </w:r>
      <w:r w:rsidR="005A618D">
        <w:rPr>
          <w:iCs/>
          <w:color w:val="auto"/>
        </w:rPr>
        <w:t>the</w:t>
      </w:r>
      <w:r w:rsidR="00C82437">
        <w:rPr>
          <w:iCs/>
          <w:color w:val="auto"/>
        </w:rPr>
        <w:t xml:space="preserve"> choice to nominate usual care instead of HMR </w:t>
      </w:r>
      <w:r w:rsidR="00AE53F6">
        <w:rPr>
          <w:iCs/>
          <w:color w:val="auto"/>
        </w:rPr>
        <w:t xml:space="preserve">was </w:t>
      </w:r>
      <w:r w:rsidR="00F45ADE">
        <w:rPr>
          <w:iCs/>
          <w:color w:val="auto"/>
        </w:rPr>
        <w:t>due to</w:t>
      </w:r>
      <w:r w:rsidR="000B1887">
        <w:rPr>
          <w:iCs/>
          <w:color w:val="auto"/>
        </w:rPr>
        <w:t>:</w:t>
      </w:r>
    </w:p>
    <w:p w14:paraId="43A1AD65" w14:textId="6ED9F5F4" w:rsidR="00D769A7" w:rsidRDefault="00F45ADE" w:rsidP="00F45ADE">
      <w:pPr>
        <w:pStyle w:val="Instructionaltext"/>
        <w:numPr>
          <w:ilvl w:val="0"/>
          <w:numId w:val="41"/>
        </w:numPr>
        <w:contextualSpacing/>
        <w:rPr>
          <w:iCs/>
          <w:color w:val="auto"/>
        </w:rPr>
      </w:pPr>
      <w:r w:rsidRPr="00805FE4">
        <w:rPr>
          <w:iCs/>
          <w:color w:val="auto"/>
        </w:rPr>
        <w:t xml:space="preserve">evidence of significant access barriers for Aboriginal and Torres Strait Islander peoples to existing mainstream </w:t>
      </w:r>
      <w:r>
        <w:rPr>
          <w:iCs/>
          <w:color w:val="auto"/>
        </w:rPr>
        <w:t>MMR</w:t>
      </w:r>
      <w:r w:rsidRPr="00805FE4">
        <w:rPr>
          <w:iCs/>
          <w:color w:val="auto"/>
        </w:rPr>
        <w:t xml:space="preserve"> services, including HMRs</w:t>
      </w:r>
      <w:r>
        <w:rPr>
          <w:iCs/>
          <w:color w:val="auto"/>
        </w:rPr>
        <w:t xml:space="preserve">; </w:t>
      </w:r>
    </w:p>
    <w:p w14:paraId="2BF65D83" w14:textId="3ABD8BB3" w:rsidR="00F45ADE" w:rsidRDefault="00F45ADE" w:rsidP="00F45ADE">
      <w:pPr>
        <w:pStyle w:val="Instructionaltext"/>
        <w:numPr>
          <w:ilvl w:val="0"/>
          <w:numId w:val="41"/>
        </w:numPr>
        <w:contextualSpacing/>
        <w:rPr>
          <w:iCs/>
          <w:color w:val="auto"/>
        </w:rPr>
      </w:pPr>
      <w:r w:rsidRPr="00D769A7">
        <w:rPr>
          <w:iCs/>
          <w:color w:val="auto"/>
        </w:rPr>
        <w:t>a disconnect between the population need for HMR services and the current level of service provision</w:t>
      </w:r>
      <w:r>
        <w:rPr>
          <w:iCs/>
          <w:color w:val="auto"/>
        </w:rPr>
        <w:t xml:space="preserve"> which is exacerbated in rural and remote areas; </w:t>
      </w:r>
    </w:p>
    <w:p w14:paraId="2346EC23" w14:textId="06166F14" w:rsidR="00D769A7" w:rsidRDefault="00F45ADE" w:rsidP="00F45ADE">
      <w:pPr>
        <w:pStyle w:val="Instructionaltext"/>
        <w:numPr>
          <w:ilvl w:val="0"/>
          <w:numId w:val="41"/>
        </w:numPr>
        <w:contextualSpacing/>
        <w:rPr>
          <w:iCs/>
          <w:color w:val="auto"/>
        </w:rPr>
      </w:pPr>
      <w:r w:rsidRPr="00F45ADE">
        <w:rPr>
          <w:iCs/>
          <w:color w:val="auto"/>
        </w:rPr>
        <w:t xml:space="preserve">the </w:t>
      </w:r>
      <w:r>
        <w:rPr>
          <w:iCs/>
          <w:color w:val="auto"/>
        </w:rPr>
        <w:t xml:space="preserve">differences between </w:t>
      </w:r>
      <w:r w:rsidR="005A618D">
        <w:rPr>
          <w:iCs/>
          <w:color w:val="auto"/>
        </w:rPr>
        <w:t xml:space="preserve">IMeRSe and </w:t>
      </w:r>
      <w:r>
        <w:rPr>
          <w:iCs/>
          <w:color w:val="auto"/>
        </w:rPr>
        <w:t>HMRs including:</w:t>
      </w:r>
    </w:p>
    <w:p w14:paraId="264CD70D" w14:textId="37F6CDD7" w:rsidR="00F45ADE" w:rsidRDefault="00F45ADE" w:rsidP="00F45ADE">
      <w:pPr>
        <w:pStyle w:val="Instructionaltext"/>
        <w:numPr>
          <w:ilvl w:val="1"/>
          <w:numId w:val="41"/>
        </w:numPr>
        <w:contextualSpacing/>
        <w:rPr>
          <w:iCs/>
          <w:color w:val="auto"/>
        </w:rPr>
      </w:pPr>
      <w:r>
        <w:rPr>
          <w:iCs/>
          <w:color w:val="auto"/>
        </w:rPr>
        <w:t xml:space="preserve">no requirement for GP referral, </w:t>
      </w:r>
    </w:p>
    <w:p w14:paraId="12437418" w14:textId="2D850B7C" w:rsidR="00F45ADE" w:rsidRDefault="00F45ADE" w:rsidP="00F45ADE">
      <w:pPr>
        <w:pStyle w:val="Instructionaltext"/>
        <w:numPr>
          <w:ilvl w:val="1"/>
          <w:numId w:val="41"/>
        </w:numPr>
        <w:contextualSpacing/>
        <w:rPr>
          <w:iCs/>
          <w:color w:val="auto"/>
        </w:rPr>
      </w:pPr>
      <w:r>
        <w:rPr>
          <w:iCs/>
          <w:color w:val="auto"/>
        </w:rPr>
        <w:t xml:space="preserve">different eligibility criteria, </w:t>
      </w:r>
    </w:p>
    <w:p w14:paraId="641653F6" w14:textId="2703C282" w:rsidR="00F45ADE" w:rsidRDefault="00F45ADE" w:rsidP="00F45ADE">
      <w:pPr>
        <w:pStyle w:val="Instructionaltext"/>
        <w:numPr>
          <w:ilvl w:val="1"/>
          <w:numId w:val="41"/>
        </w:numPr>
        <w:contextualSpacing/>
        <w:rPr>
          <w:iCs/>
          <w:color w:val="auto"/>
        </w:rPr>
      </w:pPr>
      <w:r>
        <w:rPr>
          <w:iCs/>
          <w:color w:val="auto"/>
        </w:rPr>
        <w:t xml:space="preserve">use of a share clinical record system, </w:t>
      </w:r>
    </w:p>
    <w:p w14:paraId="5649C639" w14:textId="04A63121" w:rsidR="00F45ADE" w:rsidRPr="00F45ADE" w:rsidRDefault="00F45ADE" w:rsidP="004B5A9D">
      <w:pPr>
        <w:pStyle w:val="Instructionaltext"/>
        <w:numPr>
          <w:ilvl w:val="1"/>
          <w:numId w:val="41"/>
        </w:numPr>
        <w:contextualSpacing/>
        <w:rPr>
          <w:iCs/>
          <w:color w:val="auto"/>
        </w:rPr>
      </w:pPr>
      <w:r>
        <w:rPr>
          <w:iCs/>
          <w:color w:val="auto"/>
        </w:rPr>
        <w:t xml:space="preserve">no requirement for the service to be conducted by an accredited pharmacist. </w:t>
      </w:r>
    </w:p>
    <w:p w14:paraId="6F5C8540" w14:textId="348E66B3" w:rsidR="00C82437" w:rsidRPr="00AE53F6" w:rsidRDefault="00C82437" w:rsidP="00AE53F6">
      <w:r>
        <w:t xml:space="preserve">MSAC considered HMR is a more appropriate comparator but acknowledged there are </w:t>
      </w:r>
      <w:r w:rsidRPr="00BE2545">
        <w:t>barriers for Aboriginal and Torres Strait Islander peoples to</w:t>
      </w:r>
      <w:r>
        <w:t xml:space="preserve"> access</w:t>
      </w:r>
      <w:r w:rsidRPr="00BE2545">
        <w:t xml:space="preserve"> existing MMR services, including HMRs</w:t>
      </w:r>
      <w:r>
        <w:t>.</w:t>
      </w:r>
    </w:p>
    <w:p w14:paraId="47BC3A84" w14:textId="54318A66" w:rsidR="00772829" w:rsidRPr="00CE28E3" w:rsidRDefault="007C620E" w:rsidP="002A18BE">
      <w:pPr>
        <w:pStyle w:val="Heading2"/>
        <w:numPr>
          <w:ilvl w:val="0"/>
          <w:numId w:val="0"/>
        </w:numPr>
      </w:pPr>
      <w:bookmarkStart w:id="17" w:name="_Toc69491421"/>
      <w:r>
        <w:t>9</w:t>
      </w:r>
      <w:r w:rsidR="00C36633">
        <w:t>.</w:t>
      </w:r>
      <w:r w:rsidR="00C36633">
        <w:tab/>
      </w:r>
      <w:r w:rsidR="00772829" w:rsidRPr="00CE28E3">
        <w:t xml:space="preserve">Summary of public consultation </w:t>
      </w:r>
      <w:r w:rsidR="0052575D">
        <w:t>input</w:t>
      </w:r>
      <w:bookmarkEnd w:id="17"/>
    </w:p>
    <w:p w14:paraId="660CBD09" w14:textId="77777777" w:rsidR="0074032A" w:rsidRPr="0074032A" w:rsidRDefault="0074032A" w:rsidP="0074032A">
      <w:pPr>
        <w:pStyle w:val="Instructionaltext"/>
        <w:rPr>
          <w:color w:val="auto"/>
        </w:rPr>
      </w:pPr>
      <w:r w:rsidRPr="0074032A">
        <w:rPr>
          <w:color w:val="auto"/>
        </w:rPr>
        <w:t xml:space="preserve">Prior to MSAC consideration, consultation feedback was received from eight organisations, and one health professional individual (pharmacist). The seven organisations that provided input on the application were: </w:t>
      </w:r>
    </w:p>
    <w:p w14:paraId="11BCEA0C" w14:textId="306FA1E9" w:rsidR="0074032A" w:rsidRPr="0074032A" w:rsidRDefault="0074032A" w:rsidP="0074032A">
      <w:pPr>
        <w:pStyle w:val="Instructionaltext"/>
        <w:numPr>
          <w:ilvl w:val="0"/>
          <w:numId w:val="43"/>
        </w:numPr>
        <w:ind w:left="357" w:hanging="357"/>
        <w:contextualSpacing/>
        <w:rPr>
          <w:color w:val="auto"/>
        </w:rPr>
      </w:pPr>
      <w:r w:rsidRPr="0074032A">
        <w:rPr>
          <w:color w:val="auto"/>
        </w:rPr>
        <w:t>Australian Indigenous Doctors’ Association (AIDA)</w:t>
      </w:r>
    </w:p>
    <w:p w14:paraId="176B97CB" w14:textId="45A34228" w:rsidR="0074032A" w:rsidRPr="0074032A" w:rsidRDefault="0074032A" w:rsidP="0074032A">
      <w:pPr>
        <w:pStyle w:val="Instructionaltext"/>
        <w:numPr>
          <w:ilvl w:val="0"/>
          <w:numId w:val="43"/>
        </w:numPr>
        <w:ind w:left="357" w:hanging="357"/>
        <w:contextualSpacing/>
        <w:rPr>
          <w:color w:val="auto"/>
        </w:rPr>
      </w:pPr>
      <w:r w:rsidRPr="0074032A">
        <w:rPr>
          <w:color w:val="auto"/>
        </w:rPr>
        <w:t>Australian Pharmacy Council</w:t>
      </w:r>
    </w:p>
    <w:p w14:paraId="15AAFA86" w14:textId="232DE28F" w:rsidR="0074032A" w:rsidRPr="0074032A" w:rsidRDefault="0074032A" w:rsidP="0074032A">
      <w:pPr>
        <w:pStyle w:val="Instructionaltext"/>
        <w:numPr>
          <w:ilvl w:val="0"/>
          <w:numId w:val="43"/>
        </w:numPr>
        <w:ind w:left="357" w:hanging="357"/>
        <w:contextualSpacing/>
        <w:rPr>
          <w:color w:val="auto"/>
        </w:rPr>
      </w:pPr>
      <w:r w:rsidRPr="0074032A">
        <w:rPr>
          <w:color w:val="auto"/>
        </w:rPr>
        <w:t>Australian Medical Association (AMA)</w:t>
      </w:r>
    </w:p>
    <w:p w14:paraId="5B59ADDC" w14:textId="246934D9" w:rsidR="0074032A" w:rsidRPr="0074032A" w:rsidRDefault="0074032A" w:rsidP="0074032A">
      <w:pPr>
        <w:pStyle w:val="Instructionaltext"/>
        <w:numPr>
          <w:ilvl w:val="0"/>
          <w:numId w:val="43"/>
        </w:numPr>
        <w:ind w:left="357" w:hanging="357"/>
        <w:contextualSpacing/>
        <w:rPr>
          <w:color w:val="auto"/>
        </w:rPr>
      </w:pPr>
      <w:r w:rsidRPr="0074032A">
        <w:rPr>
          <w:color w:val="auto"/>
        </w:rPr>
        <w:t>National Association of Aboriginal and Torres Strait Islander Health Workers and Practitioners (NAATSIHWP)</w:t>
      </w:r>
    </w:p>
    <w:p w14:paraId="1A6FC031" w14:textId="731D3B40" w:rsidR="0074032A" w:rsidRPr="0074032A" w:rsidRDefault="0074032A" w:rsidP="0074032A">
      <w:pPr>
        <w:pStyle w:val="Instructionaltext"/>
        <w:numPr>
          <w:ilvl w:val="0"/>
          <w:numId w:val="43"/>
        </w:numPr>
        <w:ind w:left="357" w:hanging="357"/>
        <w:contextualSpacing/>
        <w:rPr>
          <w:color w:val="auto"/>
        </w:rPr>
      </w:pPr>
      <w:r w:rsidRPr="0074032A">
        <w:rPr>
          <w:color w:val="auto"/>
        </w:rPr>
        <w:t>National Rural Health Alliance (NRHA)</w:t>
      </w:r>
    </w:p>
    <w:p w14:paraId="4C2CE786" w14:textId="4376FEF6" w:rsidR="0074032A" w:rsidRPr="0074032A" w:rsidRDefault="0074032A" w:rsidP="0074032A">
      <w:pPr>
        <w:pStyle w:val="Instructionaltext"/>
        <w:numPr>
          <w:ilvl w:val="0"/>
          <w:numId w:val="43"/>
        </w:numPr>
        <w:ind w:left="357" w:hanging="357"/>
        <w:contextualSpacing/>
        <w:rPr>
          <w:color w:val="auto"/>
        </w:rPr>
      </w:pPr>
      <w:r w:rsidRPr="0074032A">
        <w:rPr>
          <w:color w:val="auto"/>
        </w:rPr>
        <w:t>Northern Territory Department of Health (NT Health)</w:t>
      </w:r>
    </w:p>
    <w:p w14:paraId="71BAE3B5" w14:textId="50D0D31F" w:rsidR="0074032A" w:rsidRPr="0074032A" w:rsidRDefault="0074032A" w:rsidP="0074032A">
      <w:pPr>
        <w:pStyle w:val="Instructionaltext"/>
        <w:numPr>
          <w:ilvl w:val="0"/>
          <w:numId w:val="43"/>
        </w:numPr>
        <w:ind w:left="357" w:hanging="357"/>
        <w:contextualSpacing/>
        <w:rPr>
          <w:color w:val="auto"/>
        </w:rPr>
      </w:pPr>
      <w:r w:rsidRPr="0074032A">
        <w:rPr>
          <w:color w:val="auto"/>
        </w:rPr>
        <w:t>Pharmaceutical Society of Australia (PSA)</w:t>
      </w:r>
    </w:p>
    <w:p w14:paraId="0CC3C895" w14:textId="0C61DD00" w:rsidR="0074032A" w:rsidRDefault="0074032A" w:rsidP="009B2398">
      <w:pPr>
        <w:pStyle w:val="Instructionaltext"/>
        <w:numPr>
          <w:ilvl w:val="0"/>
          <w:numId w:val="43"/>
        </w:numPr>
        <w:spacing w:after="240"/>
        <w:ind w:left="357" w:hanging="357"/>
        <w:rPr>
          <w:color w:val="auto"/>
        </w:rPr>
      </w:pPr>
      <w:r w:rsidRPr="0074032A">
        <w:rPr>
          <w:color w:val="auto"/>
        </w:rPr>
        <w:t>Rural Doctors Association of Australia (RDAA).</w:t>
      </w:r>
    </w:p>
    <w:p w14:paraId="4DF2BE84" w14:textId="77777777" w:rsidR="0074032A" w:rsidRPr="0074032A" w:rsidRDefault="0074032A" w:rsidP="009B2398">
      <w:pPr>
        <w:pStyle w:val="Instructionaltext"/>
        <w:spacing w:before="240"/>
        <w:rPr>
          <w:color w:val="auto"/>
        </w:rPr>
      </w:pPr>
      <w:r w:rsidRPr="0074032A">
        <w:rPr>
          <w:color w:val="auto"/>
        </w:rPr>
        <w:t>Consultation feedback was generally supportive of the of the proposed service. The AMA expressed mixed concerns related to pharmacy services but also acknowledged the need for culturally appropriate medication management reviews for Aboriginal and Torres Strait Islander people. The RDAA was supportive of the service but expressed concerns about implementation in rural areas.</w:t>
      </w:r>
    </w:p>
    <w:p w14:paraId="7483A53E" w14:textId="77777777" w:rsidR="0074032A" w:rsidRPr="00F633F8" w:rsidRDefault="0074032A" w:rsidP="0074032A">
      <w:pPr>
        <w:pStyle w:val="Instructionaltext"/>
        <w:rPr>
          <w:i/>
          <w:iCs/>
          <w:color w:val="auto"/>
        </w:rPr>
      </w:pPr>
      <w:r w:rsidRPr="00F633F8">
        <w:rPr>
          <w:i/>
          <w:iCs/>
          <w:color w:val="auto"/>
        </w:rPr>
        <w:t xml:space="preserve">Proposed service model </w:t>
      </w:r>
    </w:p>
    <w:p w14:paraId="79672CD0" w14:textId="7B6FBF6C" w:rsidR="0074032A" w:rsidRPr="0074032A" w:rsidRDefault="0074032A" w:rsidP="00F633F8">
      <w:pPr>
        <w:pStyle w:val="Instructionaltext"/>
        <w:numPr>
          <w:ilvl w:val="0"/>
          <w:numId w:val="45"/>
        </w:numPr>
        <w:ind w:left="357" w:hanging="357"/>
        <w:contextualSpacing/>
        <w:rPr>
          <w:color w:val="auto"/>
        </w:rPr>
      </w:pPr>
      <w:r w:rsidRPr="0074032A">
        <w:rPr>
          <w:color w:val="auto"/>
        </w:rPr>
        <w:t xml:space="preserve">PSA and the pharmacist were supportive of removing the age restriction limiting the service to adults. </w:t>
      </w:r>
    </w:p>
    <w:p w14:paraId="062F19FB" w14:textId="090F96B6" w:rsidR="0074032A" w:rsidRPr="0074032A" w:rsidRDefault="0074032A" w:rsidP="00F633F8">
      <w:pPr>
        <w:pStyle w:val="Instructionaltext"/>
        <w:numPr>
          <w:ilvl w:val="0"/>
          <w:numId w:val="45"/>
        </w:numPr>
        <w:ind w:left="357" w:hanging="357"/>
        <w:contextualSpacing/>
        <w:rPr>
          <w:color w:val="auto"/>
        </w:rPr>
      </w:pPr>
      <w:r w:rsidRPr="0074032A">
        <w:rPr>
          <w:color w:val="auto"/>
        </w:rPr>
        <w:t xml:space="preserve">NT Health considered transitions of care should be included as a key area of risk for medication misadventure. </w:t>
      </w:r>
    </w:p>
    <w:p w14:paraId="580473BF" w14:textId="36157CFD" w:rsidR="0074032A" w:rsidRPr="0074032A" w:rsidRDefault="0074032A" w:rsidP="00F633F8">
      <w:pPr>
        <w:pStyle w:val="Instructionaltext"/>
        <w:numPr>
          <w:ilvl w:val="0"/>
          <w:numId w:val="45"/>
        </w:numPr>
        <w:ind w:left="357" w:hanging="357"/>
        <w:contextualSpacing/>
        <w:rPr>
          <w:color w:val="auto"/>
        </w:rPr>
      </w:pPr>
      <w:r w:rsidRPr="0074032A">
        <w:rPr>
          <w:color w:val="auto"/>
        </w:rPr>
        <w:t>NT Health considered the service should not exclude people who have received other medication management reviews in the past 12 months. The reason for this was that there is no mechanism to ensure a review under alternate programs has been conducted in a culturally appropriate way, which may limit the direct outcomes for a consumer.</w:t>
      </w:r>
    </w:p>
    <w:p w14:paraId="3DD93DC1" w14:textId="7168CA94" w:rsidR="0074032A" w:rsidRPr="0074032A" w:rsidRDefault="0074032A" w:rsidP="00F633F8">
      <w:pPr>
        <w:pStyle w:val="Instructionaltext"/>
        <w:numPr>
          <w:ilvl w:val="0"/>
          <w:numId w:val="45"/>
        </w:numPr>
        <w:ind w:left="357" w:hanging="357"/>
        <w:contextualSpacing/>
        <w:rPr>
          <w:color w:val="auto"/>
        </w:rPr>
      </w:pPr>
      <w:r w:rsidRPr="0074032A">
        <w:rPr>
          <w:color w:val="auto"/>
        </w:rPr>
        <w:t>PSA considered fee-for-service models were not always appropriate and can be a barrier to access in rural and remote areas. NT Health also considered that for this program to be viable, sustainable and incorporated into practice, particularly in the remote setting, there needs to be consideration of how a fee for service can allow a pharmacist to integrate into a care team.</w:t>
      </w:r>
    </w:p>
    <w:p w14:paraId="5222E702" w14:textId="5C307358" w:rsidR="0074032A" w:rsidRPr="0074032A" w:rsidRDefault="0074032A" w:rsidP="00F633F8">
      <w:pPr>
        <w:pStyle w:val="Instructionaltext"/>
        <w:numPr>
          <w:ilvl w:val="0"/>
          <w:numId w:val="45"/>
        </w:numPr>
        <w:ind w:left="357" w:hanging="357"/>
        <w:contextualSpacing/>
        <w:rPr>
          <w:color w:val="auto"/>
        </w:rPr>
      </w:pPr>
      <w:r w:rsidRPr="0074032A">
        <w:rPr>
          <w:color w:val="auto"/>
        </w:rPr>
        <w:t xml:space="preserve">NAATSIHWP considered opportunistic availability of the service would be acceptable to patients. </w:t>
      </w:r>
    </w:p>
    <w:p w14:paraId="20052606" w14:textId="49C5E03E" w:rsidR="0074032A" w:rsidRPr="0074032A" w:rsidRDefault="0074032A" w:rsidP="00F633F8">
      <w:pPr>
        <w:pStyle w:val="Instructionaltext"/>
        <w:numPr>
          <w:ilvl w:val="0"/>
          <w:numId w:val="45"/>
        </w:numPr>
        <w:ind w:left="357" w:hanging="357"/>
        <w:contextualSpacing/>
        <w:rPr>
          <w:color w:val="auto"/>
        </w:rPr>
      </w:pPr>
      <w:r w:rsidRPr="0074032A">
        <w:rPr>
          <w:color w:val="auto"/>
        </w:rPr>
        <w:t xml:space="preserve">PSA considered other models, such as an integrated model and may be more suitable in setting where Aboriginal Community Controlled Health Services (ACCHSs) are available. </w:t>
      </w:r>
    </w:p>
    <w:p w14:paraId="0090760C" w14:textId="47388C3B" w:rsidR="0074032A" w:rsidRPr="0074032A" w:rsidRDefault="0074032A" w:rsidP="00F633F8">
      <w:pPr>
        <w:pStyle w:val="Instructionaltext"/>
        <w:numPr>
          <w:ilvl w:val="0"/>
          <w:numId w:val="45"/>
        </w:numPr>
        <w:ind w:left="357" w:hanging="357"/>
        <w:contextualSpacing/>
        <w:rPr>
          <w:color w:val="auto"/>
        </w:rPr>
      </w:pPr>
      <w:r w:rsidRPr="0074032A">
        <w:rPr>
          <w:color w:val="auto"/>
        </w:rPr>
        <w:t xml:space="preserve">PSA considered the flexibility to deliver the service using technology should be considered. </w:t>
      </w:r>
    </w:p>
    <w:p w14:paraId="410D50DF" w14:textId="5F6887E0" w:rsidR="0074032A" w:rsidRPr="0074032A" w:rsidRDefault="0074032A" w:rsidP="00F633F8">
      <w:pPr>
        <w:pStyle w:val="Instructionaltext"/>
        <w:numPr>
          <w:ilvl w:val="0"/>
          <w:numId w:val="45"/>
        </w:numPr>
        <w:ind w:left="357" w:hanging="357"/>
        <w:contextualSpacing/>
        <w:rPr>
          <w:color w:val="auto"/>
        </w:rPr>
      </w:pPr>
      <w:r w:rsidRPr="0074032A">
        <w:rPr>
          <w:color w:val="auto"/>
        </w:rPr>
        <w:t>RDAA considered that the proposed service will have limited applicability in rural areas unless underlying workforce challenges in rural areas are addressed. RDAA considered that there is a significant risk that this type of service could become metro centric and not address the significant need in rural areas. RDAA highlighted that it was not clear how the service would operate in areas where outreach into communities is necessary.</w:t>
      </w:r>
    </w:p>
    <w:p w14:paraId="36E462CA" w14:textId="4831916A" w:rsidR="0074032A" w:rsidRPr="0074032A" w:rsidRDefault="0074032A" w:rsidP="00F633F8">
      <w:pPr>
        <w:pStyle w:val="Instructionaltext"/>
        <w:numPr>
          <w:ilvl w:val="0"/>
          <w:numId w:val="45"/>
        </w:numPr>
        <w:ind w:left="357" w:hanging="357"/>
        <w:contextualSpacing/>
        <w:rPr>
          <w:color w:val="auto"/>
        </w:rPr>
      </w:pPr>
      <w:r w:rsidRPr="0074032A">
        <w:rPr>
          <w:color w:val="auto"/>
        </w:rPr>
        <w:t>RDAA considered there are a broad range of factors, beyond economic factors and cost analysis, that should be considered to develop and implement a program successfully in rural Australia. This includes access to the broader health, social and community services, workforce issues (not just pharmacy workforce), physical and technological infrastructure, and what other programs and services may be impacted.</w:t>
      </w:r>
    </w:p>
    <w:p w14:paraId="72AEB446" w14:textId="07FC5814" w:rsidR="0074032A" w:rsidRDefault="0074032A" w:rsidP="009B2398">
      <w:pPr>
        <w:pStyle w:val="Instructionaltext"/>
        <w:numPr>
          <w:ilvl w:val="0"/>
          <w:numId w:val="45"/>
        </w:numPr>
        <w:spacing w:after="240"/>
        <w:ind w:left="357" w:hanging="357"/>
        <w:rPr>
          <w:color w:val="auto"/>
        </w:rPr>
      </w:pPr>
      <w:r w:rsidRPr="0074032A">
        <w:rPr>
          <w:color w:val="auto"/>
        </w:rPr>
        <w:t>NT Health considered the term ‘community pharmacist’ should be replaced with ‘pharmacist’ as professional registration does not differentiate by location of practice. NT Health considered the focus should be the training required by a pharmacist to undertake culturally responsive medication management reviews.</w:t>
      </w:r>
    </w:p>
    <w:p w14:paraId="3346D9EA" w14:textId="77777777" w:rsidR="0074032A" w:rsidRPr="00F633F8" w:rsidRDefault="0074032A" w:rsidP="0074032A">
      <w:pPr>
        <w:pStyle w:val="Instructionaltext"/>
        <w:rPr>
          <w:i/>
          <w:iCs/>
          <w:color w:val="auto"/>
        </w:rPr>
      </w:pPr>
      <w:r w:rsidRPr="00F633F8">
        <w:rPr>
          <w:i/>
          <w:iCs/>
          <w:color w:val="auto"/>
        </w:rPr>
        <w:t xml:space="preserve">Cultural awareness and safety </w:t>
      </w:r>
    </w:p>
    <w:p w14:paraId="4022C2D8" w14:textId="3F1FFC5E" w:rsidR="0074032A" w:rsidRPr="0074032A" w:rsidRDefault="0074032A" w:rsidP="00F633F8">
      <w:pPr>
        <w:pStyle w:val="Instructionaltext"/>
        <w:numPr>
          <w:ilvl w:val="0"/>
          <w:numId w:val="46"/>
        </w:numPr>
        <w:ind w:left="357" w:hanging="357"/>
        <w:contextualSpacing/>
        <w:rPr>
          <w:color w:val="auto"/>
        </w:rPr>
      </w:pPr>
      <w:r w:rsidRPr="0074032A">
        <w:rPr>
          <w:color w:val="auto"/>
        </w:rPr>
        <w:t xml:space="preserve">Most respondents supported the values of empowerment, self-determination, and culturally safe health care underpinning the study and the proposed intervention. </w:t>
      </w:r>
    </w:p>
    <w:p w14:paraId="1099B456" w14:textId="492168F5" w:rsidR="0074032A" w:rsidRPr="0074032A" w:rsidRDefault="0074032A" w:rsidP="00F633F8">
      <w:pPr>
        <w:pStyle w:val="Instructionaltext"/>
        <w:numPr>
          <w:ilvl w:val="0"/>
          <w:numId w:val="46"/>
        </w:numPr>
        <w:ind w:left="357" w:hanging="357"/>
        <w:contextualSpacing/>
        <w:rPr>
          <w:color w:val="auto"/>
        </w:rPr>
      </w:pPr>
      <w:r w:rsidRPr="0074032A">
        <w:rPr>
          <w:color w:val="auto"/>
        </w:rPr>
        <w:t xml:space="preserve">Australian Pharmacy Council and PSA discussed the importance of cultural safety training and other initiatives to provide culturally appropriate health services. </w:t>
      </w:r>
    </w:p>
    <w:p w14:paraId="73A7EEE0" w14:textId="21C44B6F" w:rsidR="0074032A" w:rsidRPr="0074032A" w:rsidRDefault="0074032A" w:rsidP="00F633F8">
      <w:pPr>
        <w:pStyle w:val="Instructionaltext"/>
        <w:numPr>
          <w:ilvl w:val="0"/>
          <w:numId w:val="46"/>
        </w:numPr>
        <w:ind w:left="357" w:hanging="357"/>
        <w:contextualSpacing/>
        <w:rPr>
          <w:color w:val="auto"/>
        </w:rPr>
      </w:pPr>
      <w:r w:rsidRPr="0074032A">
        <w:rPr>
          <w:color w:val="auto"/>
        </w:rPr>
        <w:t xml:space="preserve">AMA and NT Health expressed support for cultural awareness training to be required for pharmacists providing the service. RDAA considered it was critical that all health professionals involved in the intervention are trained in culturally aware, safe and responsive care. NT Health considered additional requirements should include ongoing reflective cultural learning and quality assessment of medication review reports. </w:t>
      </w:r>
    </w:p>
    <w:p w14:paraId="0C840AF4" w14:textId="028E9F4B" w:rsidR="0074032A" w:rsidRPr="0074032A" w:rsidRDefault="0074032A" w:rsidP="00F633F8">
      <w:pPr>
        <w:pStyle w:val="Instructionaltext"/>
        <w:numPr>
          <w:ilvl w:val="0"/>
          <w:numId w:val="46"/>
        </w:numPr>
        <w:ind w:left="357" w:hanging="357"/>
        <w:contextualSpacing/>
        <w:rPr>
          <w:color w:val="auto"/>
        </w:rPr>
      </w:pPr>
      <w:r w:rsidRPr="0074032A">
        <w:rPr>
          <w:color w:val="auto"/>
        </w:rPr>
        <w:t xml:space="preserve">AIDA and PSA emphasised the importance of the community controlled health sector. </w:t>
      </w:r>
    </w:p>
    <w:p w14:paraId="40A4E49E" w14:textId="3481BC0A" w:rsidR="0074032A" w:rsidRPr="0074032A" w:rsidRDefault="0074032A" w:rsidP="00F633F8">
      <w:pPr>
        <w:pStyle w:val="Instructionaltext"/>
        <w:numPr>
          <w:ilvl w:val="0"/>
          <w:numId w:val="46"/>
        </w:numPr>
        <w:ind w:left="357" w:hanging="357"/>
        <w:contextualSpacing/>
        <w:rPr>
          <w:color w:val="auto"/>
        </w:rPr>
      </w:pPr>
      <w:r w:rsidRPr="0074032A">
        <w:rPr>
          <w:color w:val="auto"/>
        </w:rPr>
        <w:t>NT Health noted that family member structures are not always the same as the western family units and as such family member could be a very broad definition not reflected in the item descriptor.</w:t>
      </w:r>
    </w:p>
    <w:p w14:paraId="10E36129" w14:textId="7017A386" w:rsidR="0074032A" w:rsidRPr="0074032A" w:rsidRDefault="0074032A" w:rsidP="00F633F8">
      <w:pPr>
        <w:pStyle w:val="Instructionaltext"/>
        <w:numPr>
          <w:ilvl w:val="0"/>
          <w:numId w:val="46"/>
        </w:numPr>
        <w:ind w:left="357" w:hanging="357"/>
        <w:contextualSpacing/>
        <w:rPr>
          <w:color w:val="auto"/>
        </w:rPr>
      </w:pPr>
      <w:r w:rsidRPr="0074032A">
        <w:rPr>
          <w:color w:val="auto"/>
        </w:rPr>
        <w:t>RDAA highlighted that rural communities are diverse and have additional geographic, socio-economic, demographic, climatic and cultural factors that can make the delivery of health, social and community services more difficult than in more urban areas.</w:t>
      </w:r>
    </w:p>
    <w:p w14:paraId="4A9906B4" w14:textId="36DD585C" w:rsidR="009B2398" w:rsidRPr="009B2398" w:rsidRDefault="0074032A" w:rsidP="009B2398">
      <w:pPr>
        <w:pStyle w:val="Instructionaltext"/>
        <w:numPr>
          <w:ilvl w:val="0"/>
          <w:numId w:val="46"/>
        </w:numPr>
        <w:spacing w:after="240"/>
        <w:ind w:left="357" w:hanging="357"/>
        <w:rPr>
          <w:color w:val="auto"/>
        </w:rPr>
      </w:pPr>
      <w:r w:rsidRPr="0074032A">
        <w:rPr>
          <w:color w:val="auto"/>
        </w:rPr>
        <w:t>NT Health proposed a safe and confidential mechanism for Aboriginal and Torres Strait Islanders to identify practice which was conducted in a manner that did not make the participants feel cultural</w:t>
      </w:r>
      <w:r w:rsidR="00AE53F6">
        <w:rPr>
          <w:color w:val="auto"/>
        </w:rPr>
        <w:t>ly</w:t>
      </w:r>
      <w:r w:rsidRPr="0074032A">
        <w:rPr>
          <w:color w:val="auto"/>
        </w:rPr>
        <w:t xml:space="preserve"> safe.</w:t>
      </w:r>
      <w:r w:rsidR="009B2398" w:rsidRPr="009B2398">
        <w:rPr>
          <w:i/>
          <w:iCs/>
        </w:rPr>
        <w:br w:type="page"/>
      </w:r>
    </w:p>
    <w:p w14:paraId="3DF0E622" w14:textId="02567A28" w:rsidR="0074032A" w:rsidRPr="00F633F8" w:rsidRDefault="0074032A" w:rsidP="0074032A">
      <w:pPr>
        <w:pStyle w:val="Instructionaltext"/>
        <w:rPr>
          <w:i/>
          <w:iCs/>
          <w:color w:val="auto"/>
        </w:rPr>
      </w:pPr>
      <w:r w:rsidRPr="00F633F8">
        <w:rPr>
          <w:i/>
          <w:iCs/>
          <w:color w:val="auto"/>
        </w:rPr>
        <w:t xml:space="preserve">Existing services </w:t>
      </w:r>
    </w:p>
    <w:p w14:paraId="5DB96BCF" w14:textId="7AF7AF28" w:rsidR="0074032A" w:rsidRPr="0074032A" w:rsidRDefault="0074032A" w:rsidP="00F633F8">
      <w:pPr>
        <w:pStyle w:val="Instructionaltext"/>
        <w:numPr>
          <w:ilvl w:val="0"/>
          <w:numId w:val="47"/>
        </w:numPr>
        <w:ind w:left="357" w:hanging="357"/>
        <w:contextualSpacing/>
        <w:rPr>
          <w:color w:val="auto"/>
        </w:rPr>
      </w:pPr>
      <w:r w:rsidRPr="0074032A">
        <w:rPr>
          <w:color w:val="auto"/>
        </w:rPr>
        <w:t xml:space="preserve">PSA considered Home Medicines Review Program rules such as prior approval to provide the service outside the patient’s home compound cultural and geographical barriers and do not allow for opportunistic service provision when needed.  </w:t>
      </w:r>
    </w:p>
    <w:p w14:paraId="2D69CCA7" w14:textId="0B077ACF" w:rsidR="0074032A" w:rsidRPr="0074032A" w:rsidRDefault="0074032A" w:rsidP="00F633F8">
      <w:pPr>
        <w:pStyle w:val="Instructionaltext"/>
        <w:numPr>
          <w:ilvl w:val="0"/>
          <w:numId w:val="47"/>
        </w:numPr>
        <w:ind w:left="357" w:hanging="357"/>
        <w:contextualSpacing/>
        <w:rPr>
          <w:color w:val="auto"/>
        </w:rPr>
      </w:pPr>
      <w:r w:rsidRPr="0074032A">
        <w:rPr>
          <w:color w:val="auto"/>
        </w:rPr>
        <w:t xml:space="preserve">PSA expressed concerns that the IHSPS program had reduced funding provided for remote area health services. </w:t>
      </w:r>
    </w:p>
    <w:p w14:paraId="4EDCDE16" w14:textId="46E7BAD4" w:rsidR="0074032A" w:rsidRDefault="0074032A" w:rsidP="009B2398">
      <w:pPr>
        <w:pStyle w:val="Instructionaltext"/>
        <w:numPr>
          <w:ilvl w:val="0"/>
          <w:numId w:val="47"/>
        </w:numPr>
        <w:spacing w:after="240"/>
        <w:ind w:left="357" w:hanging="357"/>
        <w:rPr>
          <w:color w:val="auto"/>
        </w:rPr>
      </w:pPr>
      <w:r w:rsidRPr="0074032A">
        <w:rPr>
          <w:color w:val="auto"/>
        </w:rPr>
        <w:t>RDAA considered rural health is complex and characterised by fragmented and siloed approaches where health care is provided by a complicated network of public, private and non-government professionals and services providing health, social and community services.</w:t>
      </w:r>
    </w:p>
    <w:p w14:paraId="0A40CD69" w14:textId="77777777" w:rsidR="0074032A" w:rsidRPr="00F633F8" w:rsidRDefault="0074032A" w:rsidP="0074032A">
      <w:pPr>
        <w:pStyle w:val="Instructionaltext"/>
        <w:rPr>
          <w:i/>
          <w:iCs/>
          <w:color w:val="auto"/>
        </w:rPr>
      </w:pPr>
      <w:r w:rsidRPr="00F633F8">
        <w:rPr>
          <w:i/>
          <w:iCs/>
          <w:color w:val="auto"/>
        </w:rPr>
        <w:t>Aboriginal Health Worker/Aboriginal Health Practitioner involvement</w:t>
      </w:r>
    </w:p>
    <w:p w14:paraId="7314D955" w14:textId="26B5665B" w:rsidR="0074032A" w:rsidRPr="0074032A" w:rsidRDefault="0074032A" w:rsidP="00F633F8">
      <w:pPr>
        <w:pStyle w:val="Instructionaltext"/>
        <w:numPr>
          <w:ilvl w:val="0"/>
          <w:numId w:val="45"/>
        </w:numPr>
        <w:ind w:left="357" w:hanging="357"/>
        <w:contextualSpacing/>
        <w:rPr>
          <w:color w:val="auto"/>
        </w:rPr>
      </w:pPr>
      <w:r w:rsidRPr="0074032A">
        <w:rPr>
          <w:color w:val="auto"/>
        </w:rPr>
        <w:t>Most respondents were supportive of collaboration between pharmacists and Aboriginal Health Workers (AHWs)/Aboriginal Health Practitioners (AHPs) and considered this would improve cultural appropriateness of the service. The pharmacist highlighted the importance of AHWs where English was not a client’s strongest language and the follow-up care performed by AHWs.</w:t>
      </w:r>
    </w:p>
    <w:p w14:paraId="01E287D2" w14:textId="182471E0" w:rsidR="0074032A" w:rsidRPr="0074032A" w:rsidRDefault="0074032A" w:rsidP="00F633F8">
      <w:pPr>
        <w:pStyle w:val="Instructionaltext"/>
        <w:numPr>
          <w:ilvl w:val="0"/>
          <w:numId w:val="45"/>
        </w:numPr>
        <w:ind w:left="357" w:hanging="357"/>
        <w:contextualSpacing/>
        <w:rPr>
          <w:color w:val="auto"/>
        </w:rPr>
      </w:pPr>
      <w:r w:rsidRPr="0074032A">
        <w:rPr>
          <w:color w:val="auto"/>
        </w:rPr>
        <w:t xml:space="preserve">PSA and the pharmacist raised concerns about the availability of AHWs/AHPs to participate due to competing demands for their time. PSA noted that it was unclear what the model would look like in the absence of AHW/AHP attendance. </w:t>
      </w:r>
    </w:p>
    <w:p w14:paraId="6A81332A" w14:textId="4931566C" w:rsidR="0074032A" w:rsidRPr="0074032A" w:rsidRDefault="0074032A" w:rsidP="00F633F8">
      <w:pPr>
        <w:pStyle w:val="Instructionaltext"/>
        <w:numPr>
          <w:ilvl w:val="0"/>
          <w:numId w:val="45"/>
        </w:numPr>
        <w:ind w:left="357" w:hanging="357"/>
        <w:contextualSpacing/>
        <w:rPr>
          <w:color w:val="auto"/>
        </w:rPr>
      </w:pPr>
      <w:r w:rsidRPr="0074032A">
        <w:rPr>
          <w:color w:val="auto"/>
        </w:rPr>
        <w:t xml:space="preserve">NAATSIHWP highlighted differences in the qualifications for AHW(Certificate III qualification) and AHP (Certificate IV qualification). AHWs undertake training to work under instructions to support safe use of medications, whereas AHPs undertake training to administer medications and support the safe use of medications. </w:t>
      </w:r>
    </w:p>
    <w:p w14:paraId="7994D515" w14:textId="3892C850" w:rsidR="0074032A" w:rsidRDefault="0074032A" w:rsidP="009B2398">
      <w:pPr>
        <w:pStyle w:val="Instructionaltext"/>
        <w:numPr>
          <w:ilvl w:val="0"/>
          <w:numId w:val="45"/>
        </w:numPr>
        <w:spacing w:after="240"/>
        <w:ind w:left="357" w:hanging="357"/>
        <w:rPr>
          <w:color w:val="auto"/>
        </w:rPr>
      </w:pPr>
      <w:r w:rsidRPr="0074032A">
        <w:rPr>
          <w:color w:val="auto"/>
        </w:rPr>
        <w:t xml:space="preserve">NAATSIHWP suggested lifting the criteria for AHWs to have a Medicare provider number to include Certificate IV qualification and training to support the safe use of medications. </w:t>
      </w:r>
    </w:p>
    <w:p w14:paraId="5DBF7D04" w14:textId="77777777" w:rsidR="0074032A" w:rsidRPr="00B53174" w:rsidRDefault="0074032A" w:rsidP="0074032A">
      <w:pPr>
        <w:pStyle w:val="Instructionaltext"/>
        <w:rPr>
          <w:i/>
          <w:iCs/>
          <w:color w:val="auto"/>
        </w:rPr>
      </w:pPr>
      <w:r w:rsidRPr="00B53174">
        <w:rPr>
          <w:i/>
          <w:iCs/>
          <w:color w:val="auto"/>
        </w:rPr>
        <w:t>Role of GPs</w:t>
      </w:r>
    </w:p>
    <w:p w14:paraId="162BDBFF" w14:textId="3E7097E9" w:rsidR="0074032A" w:rsidRPr="0074032A" w:rsidRDefault="0074032A" w:rsidP="00F633F8">
      <w:pPr>
        <w:pStyle w:val="Instructionaltext"/>
        <w:numPr>
          <w:ilvl w:val="0"/>
          <w:numId w:val="45"/>
        </w:numPr>
        <w:ind w:left="357" w:hanging="357"/>
        <w:contextualSpacing/>
        <w:rPr>
          <w:color w:val="auto"/>
        </w:rPr>
      </w:pPr>
      <w:r w:rsidRPr="0074032A">
        <w:rPr>
          <w:color w:val="auto"/>
        </w:rPr>
        <w:t>AMA expressed the importance of the prescriber being the ultimate decision maker for their patient’s care. NT Health proposed the inclusion of remote medical practitioners.</w:t>
      </w:r>
    </w:p>
    <w:p w14:paraId="2BA37B70" w14:textId="02C25293" w:rsidR="0074032A" w:rsidRPr="0074032A" w:rsidRDefault="0074032A" w:rsidP="00F633F8">
      <w:pPr>
        <w:pStyle w:val="Instructionaltext"/>
        <w:numPr>
          <w:ilvl w:val="0"/>
          <w:numId w:val="45"/>
        </w:numPr>
        <w:ind w:left="357" w:hanging="357"/>
        <w:contextualSpacing/>
        <w:rPr>
          <w:color w:val="auto"/>
        </w:rPr>
      </w:pPr>
      <w:r w:rsidRPr="0074032A">
        <w:rPr>
          <w:color w:val="auto"/>
        </w:rPr>
        <w:t>The pharmacist considered not needing a GP referral was helpful, but may reduce GP engagement as this can be difficult for HMRs where GP referral is required.</w:t>
      </w:r>
    </w:p>
    <w:p w14:paraId="39C33B33" w14:textId="2EF07DB6" w:rsidR="0074032A" w:rsidRDefault="0074032A" w:rsidP="009B2398">
      <w:pPr>
        <w:pStyle w:val="Instructionaltext"/>
        <w:numPr>
          <w:ilvl w:val="0"/>
          <w:numId w:val="45"/>
        </w:numPr>
        <w:spacing w:after="240"/>
        <w:ind w:left="357" w:hanging="357"/>
        <w:rPr>
          <w:color w:val="auto"/>
        </w:rPr>
      </w:pPr>
      <w:r w:rsidRPr="0074032A">
        <w:rPr>
          <w:color w:val="auto"/>
        </w:rPr>
        <w:t xml:space="preserve">PSA considered GPs may not be able to complete follow-up within two weeks of receiving the pharmacist report. </w:t>
      </w:r>
    </w:p>
    <w:p w14:paraId="11C2E042" w14:textId="77777777" w:rsidR="0074032A" w:rsidRPr="00B53174" w:rsidRDefault="0074032A" w:rsidP="0074032A">
      <w:pPr>
        <w:pStyle w:val="Instructionaltext"/>
        <w:rPr>
          <w:i/>
          <w:iCs/>
          <w:color w:val="auto"/>
        </w:rPr>
      </w:pPr>
      <w:r w:rsidRPr="00B53174">
        <w:rPr>
          <w:i/>
          <w:iCs/>
          <w:color w:val="auto"/>
        </w:rPr>
        <w:t xml:space="preserve">Reimbursement </w:t>
      </w:r>
    </w:p>
    <w:p w14:paraId="7C21F773" w14:textId="721B7E73" w:rsidR="0074032A" w:rsidRPr="0074032A" w:rsidRDefault="0074032A" w:rsidP="00F633F8">
      <w:pPr>
        <w:pStyle w:val="Instructionaltext"/>
        <w:numPr>
          <w:ilvl w:val="2"/>
          <w:numId w:val="51"/>
        </w:numPr>
        <w:ind w:left="357" w:hanging="357"/>
        <w:contextualSpacing/>
        <w:rPr>
          <w:color w:val="auto"/>
        </w:rPr>
      </w:pPr>
      <w:r w:rsidRPr="0074032A">
        <w:rPr>
          <w:color w:val="auto"/>
        </w:rPr>
        <w:t>RDAA raised several concerns related to funding. RDAA considered the overall level of investment, structure and allocation of funding, and mechanisms to ensure equitable distribution of funding were important to ensure funding allocated to rural programs is actually spent on rural programs.</w:t>
      </w:r>
    </w:p>
    <w:p w14:paraId="3E1EEED0" w14:textId="627CD1D1" w:rsidR="0074032A" w:rsidRPr="0074032A" w:rsidRDefault="0074032A" w:rsidP="00F633F8">
      <w:pPr>
        <w:pStyle w:val="Instructionaltext"/>
        <w:numPr>
          <w:ilvl w:val="2"/>
          <w:numId w:val="51"/>
        </w:numPr>
        <w:ind w:left="357" w:hanging="357"/>
        <w:contextualSpacing/>
        <w:rPr>
          <w:color w:val="auto"/>
        </w:rPr>
      </w:pPr>
      <w:r w:rsidRPr="0074032A">
        <w:rPr>
          <w:color w:val="auto"/>
        </w:rPr>
        <w:t>NT Health emphasised the need for rural and remote loading to be sufficient determine</w:t>
      </w:r>
      <w:r w:rsidR="00AE53F6">
        <w:rPr>
          <w:color w:val="auto"/>
        </w:rPr>
        <w:t>d</w:t>
      </w:r>
      <w:r w:rsidRPr="0074032A">
        <w:rPr>
          <w:color w:val="auto"/>
        </w:rPr>
        <w:t xml:space="preserve"> if this program will be available for Aboriginal and Torres Strait Islanders residing outside of the urban setting. NT </w:t>
      </w:r>
      <w:r w:rsidR="00AE53F6">
        <w:rPr>
          <w:color w:val="auto"/>
        </w:rPr>
        <w:t>H</w:t>
      </w:r>
      <w:r w:rsidRPr="0074032A">
        <w:rPr>
          <w:color w:val="auto"/>
        </w:rPr>
        <w:t xml:space="preserve">ealth proposed </w:t>
      </w:r>
      <w:r w:rsidR="00AE53F6">
        <w:rPr>
          <w:color w:val="auto"/>
        </w:rPr>
        <w:t xml:space="preserve">an </w:t>
      </w:r>
      <w:r w:rsidRPr="0074032A">
        <w:rPr>
          <w:color w:val="auto"/>
        </w:rPr>
        <w:t>allowance for accommodation as a subset of rural loading allowance.</w:t>
      </w:r>
    </w:p>
    <w:p w14:paraId="43BC7B1A" w14:textId="10876DBD" w:rsidR="0074032A" w:rsidRPr="0074032A" w:rsidRDefault="0074032A" w:rsidP="00F633F8">
      <w:pPr>
        <w:pStyle w:val="Instructionaltext"/>
        <w:numPr>
          <w:ilvl w:val="2"/>
          <w:numId w:val="51"/>
        </w:numPr>
        <w:ind w:left="357" w:hanging="357"/>
        <w:contextualSpacing/>
        <w:rPr>
          <w:color w:val="auto"/>
        </w:rPr>
      </w:pPr>
      <w:r w:rsidRPr="0074032A">
        <w:rPr>
          <w:color w:val="auto"/>
        </w:rPr>
        <w:t xml:space="preserve">AMA stated it was supportive of pharmacy services being funded in ways that are more consistent with other primary health services but was not supportive of MBS funding. Other organisations were supportive of MBS as a mechanism for accessing health services. </w:t>
      </w:r>
    </w:p>
    <w:p w14:paraId="405D254F" w14:textId="77777777" w:rsidR="00F633F8" w:rsidRDefault="0074032A" w:rsidP="00F633F8">
      <w:pPr>
        <w:pStyle w:val="Instructionaltext"/>
        <w:numPr>
          <w:ilvl w:val="2"/>
          <w:numId w:val="51"/>
        </w:numPr>
        <w:ind w:left="357" w:hanging="357"/>
        <w:contextualSpacing/>
        <w:rPr>
          <w:color w:val="auto"/>
        </w:rPr>
      </w:pPr>
      <w:r w:rsidRPr="0074032A">
        <w:rPr>
          <w:color w:val="auto"/>
        </w:rPr>
        <w:t xml:space="preserve">PSA noted the lower reimbursement for general practitioners (GPs) than for HMRs. PSA considered the required GP output could be similar to HMRs. PSA considered clarity is needed where there are different fees provided for different services. </w:t>
      </w:r>
    </w:p>
    <w:p w14:paraId="03A9F3F5" w14:textId="77777777" w:rsidR="00F633F8" w:rsidRDefault="0074032A" w:rsidP="00F633F8">
      <w:pPr>
        <w:pStyle w:val="Instructionaltext"/>
        <w:numPr>
          <w:ilvl w:val="2"/>
          <w:numId w:val="51"/>
        </w:numPr>
        <w:ind w:left="357" w:hanging="357"/>
        <w:contextualSpacing/>
        <w:rPr>
          <w:color w:val="auto"/>
        </w:rPr>
      </w:pPr>
      <w:r w:rsidRPr="00F633F8">
        <w:rPr>
          <w:color w:val="auto"/>
        </w:rPr>
        <w:t>The pharmacist and NT Health supported separate funding support for AHWs to attend a medication review. NT Health considered AHWs receives the same benefit as the GP subsidy with a fee of $75.</w:t>
      </w:r>
    </w:p>
    <w:p w14:paraId="03C7A1F1" w14:textId="32BCB238" w:rsidR="00772829" w:rsidRPr="00CE28E3" w:rsidRDefault="007C620E" w:rsidP="002A18BE">
      <w:pPr>
        <w:pStyle w:val="Heading2"/>
        <w:numPr>
          <w:ilvl w:val="0"/>
          <w:numId w:val="0"/>
        </w:numPr>
      </w:pPr>
      <w:bookmarkStart w:id="18" w:name="_Toc69491422"/>
      <w:r>
        <w:t>10</w:t>
      </w:r>
      <w:r w:rsidR="00C36633">
        <w:t>.</w:t>
      </w:r>
      <w:r w:rsidR="00C36633">
        <w:tab/>
      </w:r>
      <w:r w:rsidR="00772829" w:rsidRPr="00CE28E3">
        <w:t>Characteristics of the evidence base</w:t>
      </w:r>
      <w:bookmarkEnd w:id="18"/>
    </w:p>
    <w:p w14:paraId="41E3B2BD" w14:textId="458E5D8B" w:rsidR="00635C10" w:rsidRDefault="00635C10" w:rsidP="000B2844">
      <w:pPr>
        <w:pStyle w:val="Instructionaltext"/>
        <w:rPr>
          <w:color w:val="auto"/>
        </w:rPr>
      </w:pPr>
      <w:r>
        <w:rPr>
          <w:color w:val="auto"/>
        </w:rPr>
        <w:t>The ADAR included a single study, the IMeRSe Feasibility Study</w:t>
      </w:r>
      <w:r w:rsidR="000B2844">
        <w:rPr>
          <w:color w:val="auto"/>
        </w:rPr>
        <w:t>,</w:t>
      </w:r>
      <w:r w:rsidRPr="00635C10">
        <w:rPr>
          <w:color w:val="auto"/>
        </w:rPr>
        <w:t xml:space="preserve"> a non-randomised, pre-post experimental </w:t>
      </w:r>
      <w:r w:rsidR="000B2844">
        <w:rPr>
          <w:color w:val="auto"/>
        </w:rPr>
        <w:t>trial</w:t>
      </w:r>
      <w:r w:rsidRPr="00635C10">
        <w:rPr>
          <w:color w:val="auto"/>
        </w:rPr>
        <w:t xml:space="preserve">. Participants, investigators and assessors were not blinded to the treatment allocation. The IMeRSe Feasibility Study was designed to develop and test the feasibility of both the intervention and use of the selected study outcome measures across a range of settings, to inform a future </w:t>
      </w:r>
      <w:r w:rsidR="00B03B15">
        <w:rPr>
          <w:color w:val="auto"/>
        </w:rPr>
        <w:t>randomised clinical trial</w:t>
      </w:r>
      <w:r w:rsidRPr="00635C10">
        <w:rPr>
          <w:color w:val="auto"/>
        </w:rPr>
        <w:t>.</w:t>
      </w:r>
    </w:p>
    <w:p w14:paraId="0AE3B900" w14:textId="698A18EA" w:rsidR="00635C10" w:rsidRPr="001763F0" w:rsidRDefault="00635C10" w:rsidP="00635C10">
      <w:pPr>
        <w:pStyle w:val="Instructionaltext"/>
        <w:rPr>
          <w:color w:val="auto"/>
        </w:rPr>
      </w:pPr>
      <w:r w:rsidRPr="00635C10">
        <w:rPr>
          <w:color w:val="auto"/>
        </w:rPr>
        <w:t xml:space="preserve">The primary outcome, serious </w:t>
      </w:r>
      <w:r w:rsidR="00C13670">
        <w:rPr>
          <w:color w:val="auto"/>
        </w:rPr>
        <w:t>MRPs (</w:t>
      </w:r>
      <w:r w:rsidRPr="00635C10">
        <w:rPr>
          <w:color w:val="auto"/>
        </w:rPr>
        <w:t xml:space="preserve">medication-related problems) and one of the secondary outcomes, </w:t>
      </w:r>
      <w:r w:rsidR="00C13670" w:rsidRPr="001763F0">
        <w:rPr>
          <w:color w:val="auto"/>
        </w:rPr>
        <w:t>PPMRHS (</w:t>
      </w:r>
      <w:r w:rsidRPr="001763F0">
        <w:rPr>
          <w:color w:val="auto"/>
        </w:rPr>
        <w:t xml:space="preserve">potentially preventable medication-related hospitalisations), used administrative claims data from the Pharmaceutical Benefits Scheme (PBS) and MBS sourced from Services Australia. Although data was matched for 250 of the 255 participants who completed the intervention, no PBS records were available for 43 participants and no MBS data for three of these participants. The majority of these participants (n=41) were in remote sites, suggesting that PBS </w:t>
      </w:r>
      <w:r w:rsidR="002E48E7" w:rsidRPr="001763F0">
        <w:rPr>
          <w:color w:val="auto"/>
        </w:rPr>
        <w:t xml:space="preserve">medicines </w:t>
      </w:r>
      <w:r w:rsidRPr="001763F0">
        <w:rPr>
          <w:color w:val="auto"/>
        </w:rPr>
        <w:t xml:space="preserve">had been </w:t>
      </w:r>
      <w:r w:rsidR="002E48E7" w:rsidRPr="001763F0">
        <w:rPr>
          <w:color w:val="auto"/>
        </w:rPr>
        <w:t xml:space="preserve">provided through the </w:t>
      </w:r>
      <w:r w:rsidRPr="001763F0">
        <w:rPr>
          <w:color w:val="auto"/>
        </w:rPr>
        <w:t xml:space="preserve">Section 100 Remote Area Aboriginal Health Service program. Therefore, results for the primary outcome (serious MRPs), and secondary outcomes (PPMRH and adherence) could be biased by </w:t>
      </w:r>
      <w:r w:rsidR="00797934" w:rsidRPr="001763F0">
        <w:rPr>
          <w:color w:val="auto"/>
        </w:rPr>
        <w:t xml:space="preserve">these </w:t>
      </w:r>
      <w:r w:rsidRPr="001763F0">
        <w:rPr>
          <w:color w:val="auto"/>
        </w:rPr>
        <w:t xml:space="preserve">data limitations. </w:t>
      </w:r>
    </w:p>
    <w:p w14:paraId="799C7F5F" w14:textId="6F938D12" w:rsidR="00635C10" w:rsidRPr="001763F0" w:rsidRDefault="00686A14" w:rsidP="00686A14">
      <w:pPr>
        <w:pStyle w:val="Instructionaltext"/>
        <w:rPr>
          <w:iCs/>
          <w:color w:val="auto"/>
        </w:rPr>
      </w:pPr>
      <w:r w:rsidRPr="001763F0">
        <w:rPr>
          <w:iCs/>
          <w:color w:val="auto"/>
        </w:rPr>
        <w:t>The commentary considered that it was i</w:t>
      </w:r>
      <w:r w:rsidR="00635C10" w:rsidRPr="001763F0">
        <w:rPr>
          <w:iCs/>
          <w:color w:val="auto"/>
        </w:rPr>
        <w:t>nappropriate</w:t>
      </w:r>
      <w:r w:rsidRPr="001763F0">
        <w:rPr>
          <w:iCs/>
          <w:color w:val="auto"/>
        </w:rPr>
        <w:t xml:space="preserve"> that</w:t>
      </w:r>
      <w:r w:rsidR="00635C10" w:rsidRPr="001763F0">
        <w:rPr>
          <w:iCs/>
          <w:color w:val="auto"/>
        </w:rPr>
        <w:t xml:space="preserve"> the ADAR did not conduct a risk of bias assessment of the IMeRSe Feasibility Study using an appropriate tool. During the evaluation, a risk of bias assessment using the NIH Quality Assessment Tool for Before-After (Pre-Post) Studies With No Control Group was conducted</w:t>
      </w:r>
      <w:r w:rsidR="002E48E7" w:rsidRPr="001763F0">
        <w:rPr>
          <w:iCs/>
          <w:color w:val="auto"/>
        </w:rPr>
        <w:t>.</w:t>
      </w:r>
      <w:r w:rsidR="00635C10" w:rsidRPr="001763F0">
        <w:rPr>
          <w:iCs/>
          <w:color w:val="auto"/>
        </w:rPr>
        <w:t xml:space="preserve"> </w:t>
      </w:r>
    </w:p>
    <w:p w14:paraId="125920C2" w14:textId="26AB5D83" w:rsidR="00635C10" w:rsidRPr="001763F0" w:rsidRDefault="00686A14" w:rsidP="00686A14">
      <w:pPr>
        <w:pStyle w:val="Instructionaltext"/>
        <w:rPr>
          <w:iCs/>
          <w:color w:val="auto"/>
        </w:rPr>
      </w:pPr>
      <w:r w:rsidRPr="001763F0">
        <w:rPr>
          <w:iCs/>
          <w:color w:val="auto"/>
        </w:rPr>
        <w:t>The commentary considered t</w:t>
      </w:r>
      <w:r w:rsidR="00635C10" w:rsidRPr="001763F0">
        <w:rPr>
          <w:iCs/>
          <w:color w:val="auto"/>
        </w:rPr>
        <w:t xml:space="preserve">he </w:t>
      </w:r>
      <w:r w:rsidR="00C13670" w:rsidRPr="001763F0">
        <w:rPr>
          <w:iCs/>
          <w:color w:val="auto"/>
        </w:rPr>
        <w:t xml:space="preserve">IMeRSe Feasibility </w:t>
      </w:r>
      <w:r w:rsidR="00820A54" w:rsidRPr="001763F0">
        <w:rPr>
          <w:iCs/>
          <w:color w:val="auto"/>
        </w:rPr>
        <w:t>S</w:t>
      </w:r>
      <w:r w:rsidR="00635C10" w:rsidRPr="001763F0">
        <w:rPr>
          <w:iCs/>
          <w:color w:val="auto"/>
        </w:rPr>
        <w:t xml:space="preserve">tudy to be at a high risk of bias </w:t>
      </w:r>
      <w:r w:rsidRPr="001763F0">
        <w:rPr>
          <w:iCs/>
          <w:color w:val="auto"/>
        </w:rPr>
        <w:t>for the following reasons</w:t>
      </w:r>
      <w:r w:rsidR="00635C10" w:rsidRPr="001763F0">
        <w:rPr>
          <w:iCs/>
          <w:color w:val="auto"/>
        </w:rPr>
        <w:t>:</w:t>
      </w:r>
    </w:p>
    <w:p w14:paraId="004A5D7D" w14:textId="172F34C6" w:rsidR="00635C10" w:rsidRPr="001763F0" w:rsidRDefault="00635C10" w:rsidP="00E11EEF">
      <w:pPr>
        <w:pStyle w:val="ListParagraph"/>
        <w:numPr>
          <w:ilvl w:val="0"/>
          <w:numId w:val="29"/>
        </w:numPr>
        <w:tabs>
          <w:tab w:val="left" w:pos="284"/>
        </w:tabs>
        <w:spacing w:afterLines="160" w:after="384"/>
        <w:ind w:left="284" w:hanging="284"/>
        <w:rPr>
          <w:rFonts w:cstheme="minorHAnsi"/>
          <w:iCs/>
        </w:rPr>
      </w:pPr>
      <w:r w:rsidRPr="001763F0">
        <w:rPr>
          <w:rFonts w:cstheme="minorHAnsi"/>
          <w:iCs/>
        </w:rPr>
        <w:t>Although the objectives of the study were well defined, it was designed as a feasibility study to inform a randomised controlled trial and not a study to estimate the effectiveness of IMeRSe</w:t>
      </w:r>
      <w:r w:rsidR="00686A14" w:rsidRPr="001763F0">
        <w:rPr>
          <w:rFonts w:cstheme="minorHAnsi"/>
          <w:iCs/>
        </w:rPr>
        <w:t>.</w:t>
      </w:r>
    </w:p>
    <w:p w14:paraId="3FF141ED" w14:textId="1C0C0A18" w:rsidR="00635C10" w:rsidRPr="001763F0" w:rsidRDefault="00635C10" w:rsidP="00E11EEF">
      <w:pPr>
        <w:pStyle w:val="ListParagraph"/>
        <w:numPr>
          <w:ilvl w:val="0"/>
          <w:numId w:val="29"/>
        </w:numPr>
        <w:tabs>
          <w:tab w:val="left" w:pos="284"/>
        </w:tabs>
        <w:spacing w:afterLines="160" w:after="384"/>
        <w:ind w:left="284" w:hanging="284"/>
        <w:rPr>
          <w:rFonts w:cstheme="minorHAnsi"/>
          <w:iCs/>
        </w:rPr>
      </w:pPr>
      <w:r w:rsidRPr="001763F0">
        <w:rPr>
          <w:rFonts w:cstheme="minorHAnsi"/>
          <w:iCs/>
        </w:rPr>
        <w:t xml:space="preserve">Eligibility criteria for AHSs and community pharmacies </w:t>
      </w:r>
      <w:r w:rsidR="002E48E7" w:rsidRPr="001763F0">
        <w:rPr>
          <w:rFonts w:cstheme="minorHAnsi"/>
          <w:iCs/>
        </w:rPr>
        <w:t>was not clearly defined</w:t>
      </w:r>
      <w:r w:rsidRPr="001763F0">
        <w:rPr>
          <w:rFonts w:cstheme="minorHAnsi"/>
          <w:iCs/>
        </w:rPr>
        <w:t>, with the exception that the AHS shared electronic clinical records and that the pharmacies had existing relationships with an AHS</w:t>
      </w:r>
      <w:r w:rsidR="00686A14" w:rsidRPr="001763F0">
        <w:rPr>
          <w:rFonts w:cstheme="minorHAnsi"/>
          <w:iCs/>
        </w:rPr>
        <w:t>.</w:t>
      </w:r>
    </w:p>
    <w:p w14:paraId="7AB480D6" w14:textId="14EC0760" w:rsidR="00635C10" w:rsidRPr="001763F0" w:rsidRDefault="00635C10" w:rsidP="00E11EEF">
      <w:pPr>
        <w:pStyle w:val="ListParagraph"/>
        <w:numPr>
          <w:ilvl w:val="0"/>
          <w:numId w:val="29"/>
        </w:numPr>
        <w:tabs>
          <w:tab w:val="left" w:pos="284"/>
        </w:tabs>
        <w:spacing w:afterLines="160" w:after="384"/>
        <w:ind w:left="284" w:hanging="284"/>
        <w:rPr>
          <w:rFonts w:cstheme="minorHAnsi"/>
          <w:iCs/>
        </w:rPr>
      </w:pPr>
      <w:r w:rsidRPr="001763F0">
        <w:rPr>
          <w:rFonts w:cstheme="minorHAnsi"/>
          <w:iCs/>
        </w:rPr>
        <w:t>Not all eligible patients were enrolled (sites recruited 311 consumers, of whom 291 consented)</w:t>
      </w:r>
      <w:r w:rsidR="00686A14" w:rsidRPr="001763F0">
        <w:rPr>
          <w:rFonts w:cstheme="minorHAnsi"/>
          <w:iCs/>
        </w:rPr>
        <w:t>.</w:t>
      </w:r>
    </w:p>
    <w:p w14:paraId="79BF8D5F" w14:textId="3DE39A62" w:rsidR="00635C10" w:rsidRPr="001763F0" w:rsidRDefault="00635C10" w:rsidP="00E11EEF">
      <w:pPr>
        <w:pStyle w:val="ListParagraph"/>
        <w:numPr>
          <w:ilvl w:val="0"/>
          <w:numId w:val="29"/>
        </w:numPr>
        <w:tabs>
          <w:tab w:val="left" w:pos="284"/>
        </w:tabs>
        <w:spacing w:afterLines="160" w:after="384"/>
        <w:ind w:left="284" w:hanging="284"/>
        <w:rPr>
          <w:rFonts w:cstheme="minorHAnsi"/>
          <w:iCs/>
        </w:rPr>
      </w:pPr>
      <w:r w:rsidRPr="001763F0">
        <w:rPr>
          <w:rFonts w:cstheme="minorHAnsi"/>
          <w:iCs/>
        </w:rPr>
        <w:t>The number enrolled (n=291) fell short of the required sample size (n=540)</w:t>
      </w:r>
      <w:r w:rsidR="00686A14" w:rsidRPr="001763F0">
        <w:rPr>
          <w:rFonts w:cstheme="minorHAnsi"/>
          <w:iCs/>
        </w:rPr>
        <w:t>.</w:t>
      </w:r>
    </w:p>
    <w:p w14:paraId="449F6AA0" w14:textId="5FA67765" w:rsidR="00635C10" w:rsidRPr="001763F0" w:rsidRDefault="00635C10" w:rsidP="00E11EEF">
      <w:pPr>
        <w:pStyle w:val="ListParagraph"/>
        <w:numPr>
          <w:ilvl w:val="0"/>
          <w:numId w:val="29"/>
        </w:numPr>
        <w:tabs>
          <w:tab w:val="left" w:pos="284"/>
        </w:tabs>
        <w:spacing w:afterLines="160" w:after="384"/>
        <w:ind w:left="284" w:hanging="284"/>
        <w:rPr>
          <w:rFonts w:cstheme="minorHAnsi"/>
          <w:iCs/>
        </w:rPr>
      </w:pPr>
      <w:r w:rsidRPr="001763F0">
        <w:rPr>
          <w:rFonts w:cstheme="minorHAnsi"/>
          <w:iCs/>
        </w:rPr>
        <w:t>The outcome measures were prespecified, clearly defined, and apparently reliable and assessed consistently across all study participants. However, the ADAR does not report whether the outcomes were validated</w:t>
      </w:r>
      <w:r w:rsidR="00686A14" w:rsidRPr="001763F0">
        <w:rPr>
          <w:rFonts w:cstheme="minorHAnsi"/>
          <w:iCs/>
        </w:rPr>
        <w:t>.</w:t>
      </w:r>
      <w:r w:rsidRPr="001763F0">
        <w:rPr>
          <w:rFonts w:cstheme="minorHAnsi"/>
          <w:iCs/>
        </w:rPr>
        <w:t xml:space="preserve"> </w:t>
      </w:r>
    </w:p>
    <w:p w14:paraId="32CA525E" w14:textId="77777777" w:rsidR="00635C10" w:rsidRPr="001763F0" w:rsidRDefault="00635C10" w:rsidP="007C620E">
      <w:pPr>
        <w:pStyle w:val="ListParagraph"/>
        <w:numPr>
          <w:ilvl w:val="0"/>
          <w:numId w:val="29"/>
        </w:numPr>
        <w:tabs>
          <w:tab w:val="left" w:pos="284"/>
        </w:tabs>
        <w:spacing w:afterLines="100" w:after="240" w:line="240" w:lineRule="auto"/>
        <w:ind w:left="284" w:hanging="284"/>
        <w:contextualSpacing w:val="0"/>
        <w:rPr>
          <w:rFonts w:cstheme="minorHAnsi"/>
          <w:iCs/>
        </w:rPr>
      </w:pPr>
      <w:r w:rsidRPr="001763F0">
        <w:rPr>
          <w:rFonts w:cstheme="minorHAnsi"/>
          <w:iCs/>
        </w:rPr>
        <w:t>Outcome assessors were not blinded to participants’ exposures/interventions.</w:t>
      </w:r>
    </w:p>
    <w:p w14:paraId="4913BADE" w14:textId="28F03DE9" w:rsidR="00635C10" w:rsidRPr="00AB1A49" w:rsidRDefault="00635C10" w:rsidP="00635C10">
      <w:pPr>
        <w:pStyle w:val="Instructionaltext"/>
        <w:rPr>
          <w:iCs/>
          <w:color w:val="auto"/>
        </w:rPr>
      </w:pPr>
      <w:r w:rsidRPr="001763F0">
        <w:rPr>
          <w:iCs/>
          <w:color w:val="auto"/>
        </w:rPr>
        <w:t>Additionally, as the IMeRSe Feasibility Study did not have a concurrent control group, the attribution of any differences to the intervention alone is uncertain (there may have been temporal changes, other changes in treatment, etc).</w:t>
      </w:r>
    </w:p>
    <w:p w14:paraId="6A7A993D" w14:textId="3E5F189B" w:rsidR="003908A8" w:rsidRPr="00686A14" w:rsidRDefault="003908A8" w:rsidP="00635C10">
      <w:pPr>
        <w:pStyle w:val="Instructionaltext"/>
        <w:rPr>
          <w:snapToGrid w:val="0"/>
          <w:color w:val="auto"/>
        </w:rPr>
      </w:pPr>
      <w:r w:rsidRPr="00AB1A49">
        <w:rPr>
          <w:iCs/>
          <w:snapToGrid w:val="0"/>
          <w:color w:val="auto"/>
        </w:rPr>
        <w:t xml:space="preserve">The ADAR did not provide any assessment of the comparability of the AHS sites, community </w:t>
      </w:r>
      <w:r w:rsidR="00DF6A5D">
        <w:rPr>
          <w:iCs/>
          <w:snapToGrid w:val="0"/>
          <w:color w:val="auto"/>
        </w:rPr>
        <w:t>pharmacists</w:t>
      </w:r>
      <w:r w:rsidRPr="00AB1A49">
        <w:rPr>
          <w:iCs/>
          <w:snapToGrid w:val="0"/>
          <w:color w:val="auto"/>
        </w:rPr>
        <w:t xml:space="preserve"> and consumers participating in the Feasibility Study to a broader Australian context, other than stating</w:t>
      </w:r>
      <w:r w:rsidRPr="00686A14">
        <w:rPr>
          <w:snapToGrid w:val="0"/>
          <w:color w:val="auto"/>
        </w:rPr>
        <w:t xml:space="preserve"> </w:t>
      </w:r>
      <w:r w:rsidRPr="00AB1A49">
        <w:rPr>
          <w:snapToGrid w:val="0"/>
          <w:color w:val="auto"/>
        </w:rPr>
        <w:t>“[the study] only included one site (of nine included sites) where consumers accessed a mainstream general practice, rather than an AHS.</w:t>
      </w:r>
      <w:r w:rsidR="00C13670">
        <w:rPr>
          <w:snapToGrid w:val="0"/>
          <w:color w:val="auto"/>
        </w:rPr>
        <w:t xml:space="preserve"> The commentary considered t</w:t>
      </w:r>
      <w:r w:rsidRPr="00AB1A49">
        <w:rPr>
          <w:snapToGrid w:val="0"/>
          <w:color w:val="auto"/>
        </w:rPr>
        <w:t>his</w:t>
      </w:r>
      <w:r w:rsidR="008D0AFE">
        <w:rPr>
          <w:snapToGrid w:val="0"/>
          <w:color w:val="auto"/>
        </w:rPr>
        <w:t xml:space="preserve"> </w:t>
      </w:r>
      <w:r w:rsidR="00C13670">
        <w:rPr>
          <w:snapToGrid w:val="0"/>
          <w:color w:val="auto"/>
        </w:rPr>
        <w:t xml:space="preserve">to be </w:t>
      </w:r>
      <w:r w:rsidRPr="00AB1A49">
        <w:rPr>
          <w:snapToGrid w:val="0"/>
          <w:color w:val="auto"/>
        </w:rPr>
        <w:t xml:space="preserve">important as not all </w:t>
      </w:r>
      <w:r w:rsidR="00EE6741">
        <w:rPr>
          <w:snapToGrid w:val="0"/>
          <w:color w:val="auto"/>
        </w:rPr>
        <w:t xml:space="preserve">Aboriginal and Torres Strait Islander </w:t>
      </w:r>
      <w:r w:rsidR="00E50A36">
        <w:rPr>
          <w:snapToGrid w:val="0"/>
          <w:color w:val="auto"/>
        </w:rPr>
        <w:t>peoples</w:t>
      </w:r>
      <w:r w:rsidR="00E50A36" w:rsidRPr="00AB1A49">
        <w:rPr>
          <w:snapToGrid w:val="0"/>
          <w:color w:val="auto"/>
        </w:rPr>
        <w:t xml:space="preserve"> have</w:t>
      </w:r>
      <w:r w:rsidRPr="00AB1A49">
        <w:rPr>
          <w:snapToGrid w:val="0"/>
          <w:color w:val="auto"/>
        </w:rPr>
        <w:t xml:space="preserve"> access to AHSs. As such, there is limited evidence of the success of IMeRSe in mainstream general practice settings”.</w:t>
      </w:r>
    </w:p>
    <w:p w14:paraId="109D7C27" w14:textId="0224D90D" w:rsidR="003908A8" w:rsidRPr="00AB1A49" w:rsidRDefault="003908A8" w:rsidP="00635C10">
      <w:pPr>
        <w:pStyle w:val="Instructionaltext"/>
        <w:rPr>
          <w:iCs/>
          <w:snapToGrid w:val="0"/>
          <w:color w:val="auto"/>
        </w:rPr>
      </w:pPr>
      <w:r w:rsidRPr="00AB1A49">
        <w:rPr>
          <w:iCs/>
          <w:color w:val="auto"/>
        </w:rPr>
        <w:t>Thus,</w:t>
      </w:r>
      <w:r w:rsidR="00C13670">
        <w:rPr>
          <w:iCs/>
          <w:color w:val="auto"/>
        </w:rPr>
        <w:t xml:space="preserve"> the commentary considered that</w:t>
      </w:r>
      <w:r w:rsidRPr="00AB1A49">
        <w:rPr>
          <w:iCs/>
          <w:color w:val="auto"/>
        </w:rPr>
        <w:t xml:space="preserve"> </w:t>
      </w:r>
      <w:r w:rsidR="00C13670">
        <w:rPr>
          <w:iCs/>
          <w:color w:val="auto"/>
        </w:rPr>
        <w:t>it was</w:t>
      </w:r>
      <w:r w:rsidRPr="00AB1A49">
        <w:rPr>
          <w:iCs/>
          <w:color w:val="auto"/>
        </w:rPr>
        <w:t xml:space="preserve"> unknown whether the AHS sites, community pharmacies</w:t>
      </w:r>
      <w:r w:rsidR="00DF6A5D">
        <w:rPr>
          <w:iCs/>
          <w:color w:val="auto"/>
        </w:rPr>
        <w:t xml:space="preserve"> (and pharmacists)</w:t>
      </w:r>
      <w:r w:rsidRPr="00AB1A49">
        <w:rPr>
          <w:iCs/>
          <w:color w:val="auto"/>
        </w:rPr>
        <w:t xml:space="preserve"> and consumers participating in IMeRSe are representative of the intended Australian population and whether the results reported for the study would be generalisable to th</w:t>
      </w:r>
      <w:r w:rsidR="00C13670">
        <w:rPr>
          <w:iCs/>
          <w:color w:val="auto"/>
        </w:rPr>
        <w:t>e</w:t>
      </w:r>
      <w:r w:rsidRPr="00AB1A49">
        <w:rPr>
          <w:iCs/>
          <w:color w:val="auto"/>
        </w:rPr>
        <w:t xml:space="preserve"> broader population and setting.</w:t>
      </w:r>
    </w:p>
    <w:p w14:paraId="3B9FC2AD" w14:textId="673D3716" w:rsidR="00772829" w:rsidRDefault="007C620E" w:rsidP="002A18BE">
      <w:pPr>
        <w:pStyle w:val="Heading2"/>
        <w:numPr>
          <w:ilvl w:val="0"/>
          <w:numId w:val="0"/>
        </w:numPr>
      </w:pPr>
      <w:bookmarkStart w:id="19" w:name="_Toc69491423"/>
      <w:r>
        <w:t>11</w:t>
      </w:r>
      <w:r w:rsidR="00C36633">
        <w:t>.</w:t>
      </w:r>
      <w:r w:rsidR="00C36633">
        <w:tab/>
      </w:r>
      <w:r w:rsidR="00772829" w:rsidRPr="00CE28E3">
        <w:t>Comparative safety</w:t>
      </w:r>
      <w:bookmarkEnd w:id="19"/>
    </w:p>
    <w:p w14:paraId="34A2C836" w14:textId="77777777" w:rsidR="00F9510D" w:rsidRDefault="00F9510D" w:rsidP="00F9510D">
      <w:r>
        <w:t>Four participants died during the study period – one prior to receiving the intervention and three after. All deaths were assessed for any possible association with the IMeRSe intervention and found not to be associated. All deaths were reported to the relevant Human Research Ethics Committee (depending on the jurisdiction of the participant) as well as to the clinical trials registry.</w:t>
      </w:r>
    </w:p>
    <w:p w14:paraId="3C1A5B4C" w14:textId="04D966B9" w:rsidR="00F9510D" w:rsidRPr="002114F8" w:rsidRDefault="001763F0" w:rsidP="00F9510D">
      <w:r w:rsidRPr="0041066E">
        <w:rPr>
          <w:b/>
          <w:bCs/>
        </w:rPr>
        <w:t>Redacted</w:t>
      </w:r>
      <w:r>
        <w:t>.</w:t>
      </w:r>
      <w:r w:rsidR="00F9510D">
        <w:t xml:space="preserve"> No other safety concerns were identified during the IMeRSe Feasibility Study.</w:t>
      </w:r>
    </w:p>
    <w:p w14:paraId="3717AA01" w14:textId="23666CAF" w:rsidR="00772829" w:rsidRPr="00CE28E3" w:rsidRDefault="00C36633" w:rsidP="002A18BE">
      <w:pPr>
        <w:pStyle w:val="Heading2"/>
        <w:numPr>
          <w:ilvl w:val="0"/>
          <w:numId w:val="0"/>
        </w:numPr>
      </w:pPr>
      <w:bookmarkStart w:id="20" w:name="_Toc69491424"/>
      <w:r>
        <w:t>1</w:t>
      </w:r>
      <w:r w:rsidR="007C620E">
        <w:t>2</w:t>
      </w:r>
      <w:r>
        <w:t>.</w:t>
      </w:r>
      <w:r>
        <w:tab/>
      </w:r>
      <w:r w:rsidR="00772829" w:rsidRPr="00CE28E3">
        <w:t>Comparative effectiveness</w:t>
      </w:r>
      <w:bookmarkEnd w:id="20"/>
    </w:p>
    <w:p w14:paraId="534E7D04" w14:textId="41337398" w:rsidR="004E31BF" w:rsidRDefault="004E31BF" w:rsidP="007C620E">
      <w:pPr>
        <w:spacing w:before="0"/>
      </w:pPr>
      <w:r>
        <w:t>The results of the IMeRSe</w:t>
      </w:r>
      <w:r w:rsidR="00686A14">
        <w:t xml:space="preserve"> </w:t>
      </w:r>
      <w:r w:rsidR="00800755">
        <w:t>Feasibility</w:t>
      </w:r>
      <w:r>
        <w:t xml:space="preserve"> </w:t>
      </w:r>
      <w:r w:rsidR="00820A54">
        <w:t>S</w:t>
      </w:r>
      <w:r>
        <w:t xml:space="preserve">tudy are presented in </w:t>
      </w:r>
      <w:r>
        <w:fldChar w:fldCharType="begin"/>
      </w:r>
      <w:r>
        <w:instrText xml:space="preserve"> REF _Ref88812036 \h </w:instrText>
      </w:r>
      <w:r>
        <w:fldChar w:fldCharType="separate"/>
      </w:r>
      <w:r w:rsidR="00A45EE3">
        <w:t xml:space="preserve">Table </w:t>
      </w:r>
      <w:r w:rsidR="00A45EE3">
        <w:rPr>
          <w:noProof/>
        </w:rPr>
        <w:t>3</w:t>
      </w:r>
      <w:r>
        <w:fldChar w:fldCharType="end"/>
      </w:r>
      <w:r>
        <w:t xml:space="preserve"> and</w:t>
      </w:r>
      <w:r w:rsidR="00BC3655">
        <w:t xml:space="preserve"> </w:t>
      </w:r>
      <w:r w:rsidR="00BC3655">
        <w:fldChar w:fldCharType="begin"/>
      </w:r>
      <w:r w:rsidR="00BC3655">
        <w:instrText xml:space="preserve"> REF _Ref97733794 \h </w:instrText>
      </w:r>
      <w:r w:rsidR="00BC3655">
        <w:fldChar w:fldCharType="separate"/>
      </w:r>
      <w:r w:rsidR="00A45EE3">
        <w:t xml:space="preserve">Table </w:t>
      </w:r>
      <w:r w:rsidR="00A45EE3">
        <w:rPr>
          <w:noProof/>
        </w:rPr>
        <w:t>4</w:t>
      </w:r>
      <w:r w:rsidR="00BC3655">
        <w:fldChar w:fldCharType="end"/>
      </w:r>
      <w:r w:rsidR="00BC3655">
        <w:t xml:space="preserve">. </w:t>
      </w:r>
    </w:p>
    <w:p w14:paraId="0AA2CA2F" w14:textId="66B3668F" w:rsidR="004E31BF" w:rsidRDefault="004E31BF" w:rsidP="004E31BF">
      <w:pPr>
        <w:pStyle w:val="Caption"/>
      </w:pPr>
      <w:bookmarkStart w:id="21" w:name="_Ref88812036"/>
      <w:r>
        <w:t xml:space="preserve">Table </w:t>
      </w:r>
      <w:r w:rsidR="00791FAA">
        <w:fldChar w:fldCharType="begin"/>
      </w:r>
      <w:r w:rsidR="00791FAA">
        <w:instrText xml:space="preserve"> SEQ Table \* ARABIC </w:instrText>
      </w:r>
      <w:r w:rsidR="00791FAA">
        <w:fldChar w:fldCharType="separate"/>
      </w:r>
      <w:r w:rsidR="00A45EE3">
        <w:rPr>
          <w:noProof/>
        </w:rPr>
        <w:t>3</w:t>
      </w:r>
      <w:r w:rsidR="00791FAA">
        <w:rPr>
          <w:noProof/>
        </w:rPr>
        <w:fldChar w:fldCharType="end"/>
      </w:r>
      <w:bookmarkEnd w:id="21"/>
      <w:r>
        <w:tab/>
        <w:t>Results of serious MRP</w:t>
      </w:r>
      <w:r w:rsidR="00A87092">
        <w:t xml:space="preserve"> (</w:t>
      </w:r>
      <w:r>
        <w:t>primary outcome) and PPMRHs from IMeRSe</w:t>
      </w:r>
    </w:p>
    <w:tbl>
      <w:tblPr>
        <w:tblStyle w:val="TableGrid1"/>
        <w:tblW w:w="5000" w:type="pct"/>
        <w:tblCellMar>
          <w:left w:w="28" w:type="dxa"/>
          <w:right w:w="28" w:type="dxa"/>
        </w:tblCellMar>
        <w:tblLook w:val="04A0" w:firstRow="1" w:lastRow="0" w:firstColumn="1" w:lastColumn="0" w:noHBand="0" w:noVBand="1"/>
        <w:tblCaption w:val="Table 14 Key features of the included evidence comparing intervention with comparator"/>
        <w:tblDescription w:val="This table provides a summary of the key features of each study included in the evidence base - including the study authors, sample size, study design and duration, risk of bias in the results, patient population characteristics, key outcomes measured, and whether the results were used in the economic evaluation in the report."/>
      </w:tblPr>
      <w:tblGrid>
        <w:gridCol w:w="906"/>
        <w:gridCol w:w="509"/>
        <w:gridCol w:w="849"/>
        <w:gridCol w:w="992"/>
        <w:gridCol w:w="1700"/>
        <w:gridCol w:w="1702"/>
        <w:gridCol w:w="1702"/>
        <w:gridCol w:w="656"/>
      </w:tblGrid>
      <w:tr w:rsidR="004E31BF" w:rsidRPr="00183E4D" w14:paraId="58488D71" w14:textId="77777777" w:rsidTr="004E31BF">
        <w:trPr>
          <w:cnfStyle w:val="100000000000" w:firstRow="1" w:lastRow="0" w:firstColumn="0" w:lastColumn="0" w:oddVBand="0" w:evenVBand="0" w:oddHBand="0" w:evenHBand="0" w:firstRowFirstColumn="0" w:firstRowLastColumn="0" w:lastRowFirstColumn="0" w:lastRowLastColumn="0"/>
        </w:trPr>
        <w:tc>
          <w:tcPr>
            <w:tcW w:w="502" w:type="pct"/>
            <w:shd w:val="clear" w:color="auto" w:fill="auto"/>
            <w:vAlign w:val="center"/>
          </w:tcPr>
          <w:p w14:paraId="1BDF9EEA" w14:textId="22CE172F" w:rsidR="004E31BF" w:rsidRPr="00183E4D" w:rsidRDefault="004E31BF" w:rsidP="004E31BF">
            <w:pPr>
              <w:pStyle w:val="TableHeading"/>
              <w:rPr>
                <w:snapToGrid w:val="0"/>
              </w:rPr>
            </w:pPr>
            <w:r>
              <w:rPr>
                <w:snapToGrid w:val="0"/>
              </w:rPr>
              <w:t xml:space="preserve">Outcome </w:t>
            </w:r>
          </w:p>
        </w:tc>
        <w:tc>
          <w:tcPr>
            <w:tcW w:w="282" w:type="pct"/>
            <w:shd w:val="clear" w:color="auto" w:fill="auto"/>
            <w:vAlign w:val="center"/>
          </w:tcPr>
          <w:p w14:paraId="6CE04335" w14:textId="77777777" w:rsidR="004E31BF" w:rsidRPr="00183E4D" w:rsidRDefault="004E31BF" w:rsidP="004E31BF">
            <w:pPr>
              <w:pStyle w:val="TableHeading"/>
              <w:jc w:val="center"/>
              <w:rPr>
                <w:snapToGrid w:val="0"/>
              </w:rPr>
            </w:pPr>
            <w:r w:rsidRPr="00183E4D">
              <w:rPr>
                <w:snapToGrid w:val="0"/>
              </w:rPr>
              <w:t>N</w:t>
            </w:r>
          </w:p>
        </w:tc>
        <w:tc>
          <w:tcPr>
            <w:tcW w:w="471" w:type="pct"/>
            <w:shd w:val="clear" w:color="auto" w:fill="auto"/>
            <w:vAlign w:val="center"/>
          </w:tcPr>
          <w:p w14:paraId="727F3E0A" w14:textId="77777777" w:rsidR="004E31BF" w:rsidRPr="00183E4D" w:rsidRDefault="004E31BF" w:rsidP="004E31BF">
            <w:pPr>
              <w:pStyle w:val="TableHeading"/>
              <w:jc w:val="center"/>
              <w:rPr>
                <w:snapToGrid w:val="0"/>
              </w:rPr>
            </w:pPr>
            <w:r>
              <w:rPr>
                <w:snapToGrid w:val="0"/>
              </w:rPr>
              <w:t>Count pre</w:t>
            </w:r>
          </w:p>
        </w:tc>
        <w:tc>
          <w:tcPr>
            <w:tcW w:w="550" w:type="pct"/>
            <w:shd w:val="clear" w:color="auto" w:fill="auto"/>
            <w:vAlign w:val="center"/>
          </w:tcPr>
          <w:p w14:paraId="167BF428" w14:textId="77777777" w:rsidR="004E31BF" w:rsidRPr="00183E4D" w:rsidRDefault="004E31BF" w:rsidP="004E31BF">
            <w:pPr>
              <w:pStyle w:val="TableHeading"/>
              <w:jc w:val="center"/>
              <w:rPr>
                <w:snapToGrid w:val="0"/>
              </w:rPr>
            </w:pPr>
            <w:r>
              <w:rPr>
                <w:snapToGrid w:val="0"/>
              </w:rPr>
              <w:t>Count post</w:t>
            </w:r>
          </w:p>
        </w:tc>
        <w:tc>
          <w:tcPr>
            <w:tcW w:w="943" w:type="pct"/>
            <w:shd w:val="clear" w:color="auto" w:fill="auto"/>
            <w:vAlign w:val="center"/>
          </w:tcPr>
          <w:p w14:paraId="2C525303" w14:textId="77777777" w:rsidR="004E31BF" w:rsidRPr="00183E4D" w:rsidRDefault="004E31BF" w:rsidP="004E31BF">
            <w:pPr>
              <w:pStyle w:val="TableHeading"/>
              <w:jc w:val="center"/>
              <w:rPr>
                <w:snapToGrid w:val="0"/>
              </w:rPr>
            </w:pPr>
            <w:r>
              <w:rPr>
                <w:snapToGrid w:val="0"/>
              </w:rPr>
              <w:t>Rate pre (95% CI)</w:t>
            </w:r>
          </w:p>
        </w:tc>
        <w:tc>
          <w:tcPr>
            <w:tcW w:w="944" w:type="pct"/>
            <w:shd w:val="clear" w:color="auto" w:fill="auto"/>
            <w:vAlign w:val="center"/>
          </w:tcPr>
          <w:p w14:paraId="6D476192" w14:textId="77777777" w:rsidR="004E31BF" w:rsidRPr="00183E4D" w:rsidRDefault="004E31BF" w:rsidP="004E31BF">
            <w:pPr>
              <w:pStyle w:val="TableHeading"/>
              <w:jc w:val="center"/>
              <w:rPr>
                <w:snapToGrid w:val="0"/>
              </w:rPr>
            </w:pPr>
            <w:r>
              <w:rPr>
                <w:snapToGrid w:val="0"/>
              </w:rPr>
              <w:t>Rate post (95% CI)</w:t>
            </w:r>
          </w:p>
        </w:tc>
        <w:tc>
          <w:tcPr>
            <w:tcW w:w="944" w:type="pct"/>
            <w:shd w:val="clear" w:color="auto" w:fill="auto"/>
            <w:vAlign w:val="center"/>
          </w:tcPr>
          <w:p w14:paraId="667702D1" w14:textId="77777777" w:rsidR="004E31BF" w:rsidRPr="00183E4D" w:rsidRDefault="004E31BF" w:rsidP="004E31BF">
            <w:pPr>
              <w:pStyle w:val="TableHeading"/>
              <w:jc w:val="center"/>
              <w:rPr>
                <w:snapToGrid w:val="0"/>
              </w:rPr>
            </w:pPr>
            <w:r>
              <w:rPr>
                <w:snapToGrid w:val="0"/>
              </w:rPr>
              <w:t>IRR (95% CI)</w:t>
            </w:r>
          </w:p>
        </w:tc>
        <w:tc>
          <w:tcPr>
            <w:tcW w:w="364" w:type="pct"/>
            <w:vAlign w:val="center"/>
          </w:tcPr>
          <w:p w14:paraId="7EB3F19A" w14:textId="77777777" w:rsidR="004E31BF" w:rsidRDefault="004E31BF" w:rsidP="004E31BF">
            <w:pPr>
              <w:pStyle w:val="TableHeading"/>
              <w:jc w:val="center"/>
              <w:rPr>
                <w:snapToGrid w:val="0"/>
              </w:rPr>
            </w:pPr>
            <w:r>
              <w:rPr>
                <w:snapToGrid w:val="0"/>
              </w:rPr>
              <w:t>p value</w:t>
            </w:r>
          </w:p>
        </w:tc>
      </w:tr>
      <w:tr w:rsidR="004E31BF" w:rsidRPr="001763F0" w14:paraId="1026466B" w14:textId="77777777" w:rsidTr="004E31BF">
        <w:tc>
          <w:tcPr>
            <w:tcW w:w="502" w:type="pct"/>
            <w:shd w:val="clear" w:color="auto" w:fill="auto"/>
            <w:vAlign w:val="center"/>
          </w:tcPr>
          <w:p w14:paraId="7267027D" w14:textId="6CA71E4C" w:rsidR="004E31BF" w:rsidRPr="001763F0" w:rsidRDefault="004E31BF" w:rsidP="004E31BF">
            <w:pPr>
              <w:pStyle w:val="TableText"/>
              <w:rPr>
                <w:rFonts w:cstheme="minorHAnsi"/>
                <w:snapToGrid w:val="0"/>
              </w:rPr>
            </w:pPr>
            <w:r w:rsidRPr="001763F0">
              <w:rPr>
                <w:rFonts w:cstheme="minorHAnsi"/>
                <w:snapToGrid w:val="0"/>
              </w:rPr>
              <w:t>Serious MRPs</w:t>
            </w:r>
          </w:p>
        </w:tc>
        <w:tc>
          <w:tcPr>
            <w:tcW w:w="282" w:type="pct"/>
            <w:shd w:val="clear" w:color="auto" w:fill="auto"/>
            <w:vAlign w:val="center"/>
          </w:tcPr>
          <w:p w14:paraId="74D75876" w14:textId="77777777" w:rsidR="004E31BF" w:rsidRPr="001763F0" w:rsidRDefault="004E31BF" w:rsidP="004E31BF">
            <w:pPr>
              <w:pStyle w:val="TableText"/>
              <w:jc w:val="center"/>
              <w:rPr>
                <w:rFonts w:cstheme="minorHAnsi"/>
                <w:snapToGrid w:val="0"/>
              </w:rPr>
            </w:pPr>
            <w:r w:rsidRPr="001763F0">
              <w:rPr>
                <w:rFonts w:cstheme="minorHAnsi"/>
                <w:snapToGrid w:val="0"/>
              </w:rPr>
              <w:t>207</w:t>
            </w:r>
          </w:p>
        </w:tc>
        <w:tc>
          <w:tcPr>
            <w:tcW w:w="471" w:type="pct"/>
            <w:shd w:val="clear" w:color="auto" w:fill="auto"/>
            <w:vAlign w:val="center"/>
          </w:tcPr>
          <w:p w14:paraId="0469AC2B" w14:textId="77777777" w:rsidR="004E31BF" w:rsidRPr="001763F0" w:rsidRDefault="004E31BF" w:rsidP="004E31BF">
            <w:pPr>
              <w:pStyle w:val="TableText"/>
              <w:jc w:val="center"/>
              <w:rPr>
                <w:rFonts w:cstheme="minorHAnsi"/>
                <w:snapToGrid w:val="0"/>
              </w:rPr>
            </w:pPr>
            <w:r w:rsidRPr="001763F0">
              <w:rPr>
                <w:rFonts w:cstheme="minorHAnsi"/>
                <w:snapToGrid w:val="0"/>
              </w:rPr>
              <w:t>1,267</w:t>
            </w:r>
          </w:p>
        </w:tc>
        <w:tc>
          <w:tcPr>
            <w:tcW w:w="550" w:type="pct"/>
            <w:shd w:val="clear" w:color="auto" w:fill="auto"/>
            <w:vAlign w:val="center"/>
          </w:tcPr>
          <w:p w14:paraId="64FEA67D" w14:textId="77777777" w:rsidR="004E31BF" w:rsidRPr="001763F0" w:rsidRDefault="004E31BF" w:rsidP="004E31BF">
            <w:pPr>
              <w:pStyle w:val="TableText"/>
              <w:jc w:val="center"/>
              <w:rPr>
                <w:rFonts w:cstheme="minorHAnsi"/>
                <w:snapToGrid w:val="0"/>
              </w:rPr>
            </w:pPr>
            <w:r w:rsidRPr="001763F0">
              <w:rPr>
                <w:rFonts w:cstheme="minorHAnsi"/>
                <w:snapToGrid w:val="0"/>
              </w:rPr>
              <w:t>1,184</w:t>
            </w:r>
          </w:p>
        </w:tc>
        <w:tc>
          <w:tcPr>
            <w:tcW w:w="943" w:type="pct"/>
            <w:shd w:val="clear" w:color="auto" w:fill="auto"/>
            <w:vAlign w:val="center"/>
          </w:tcPr>
          <w:p w14:paraId="18460472" w14:textId="77777777" w:rsidR="004E31BF" w:rsidRPr="001763F0" w:rsidRDefault="004E31BF" w:rsidP="004E31BF">
            <w:pPr>
              <w:pStyle w:val="TableText"/>
              <w:jc w:val="center"/>
              <w:rPr>
                <w:rFonts w:cstheme="minorHAnsi"/>
                <w:snapToGrid w:val="0"/>
              </w:rPr>
            </w:pPr>
            <w:r w:rsidRPr="001763F0">
              <w:rPr>
                <w:rFonts w:cstheme="minorHAnsi"/>
                <w:snapToGrid w:val="0"/>
              </w:rPr>
              <w:t>4.11 (3.14-5.38)</w:t>
            </w:r>
          </w:p>
        </w:tc>
        <w:tc>
          <w:tcPr>
            <w:tcW w:w="944" w:type="pct"/>
            <w:shd w:val="clear" w:color="auto" w:fill="auto"/>
            <w:vAlign w:val="center"/>
          </w:tcPr>
          <w:p w14:paraId="512546A1" w14:textId="77777777" w:rsidR="004E31BF" w:rsidRPr="001763F0" w:rsidRDefault="004E31BF" w:rsidP="004E31BF">
            <w:pPr>
              <w:pStyle w:val="TableText"/>
              <w:jc w:val="center"/>
              <w:rPr>
                <w:rFonts w:cstheme="minorHAnsi"/>
                <w:snapToGrid w:val="0"/>
              </w:rPr>
            </w:pPr>
            <w:r w:rsidRPr="001763F0">
              <w:rPr>
                <w:rFonts w:cstheme="minorHAnsi"/>
                <w:snapToGrid w:val="0"/>
              </w:rPr>
              <w:t>3.85 (2.93-5.03)</w:t>
            </w:r>
          </w:p>
        </w:tc>
        <w:tc>
          <w:tcPr>
            <w:tcW w:w="944" w:type="pct"/>
            <w:shd w:val="clear" w:color="auto" w:fill="auto"/>
            <w:vAlign w:val="center"/>
          </w:tcPr>
          <w:p w14:paraId="1E1377B1" w14:textId="77777777" w:rsidR="004E31BF" w:rsidRPr="001763F0" w:rsidRDefault="004E31BF" w:rsidP="004E31BF">
            <w:pPr>
              <w:pStyle w:val="TableText"/>
              <w:jc w:val="center"/>
              <w:rPr>
                <w:rFonts w:cstheme="minorHAnsi"/>
                <w:snapToGrid w:val="0"/>
              </w:rPr>
            </w:pPr>
            <w:r w:rsidRPr="001763F0">
              <w:rPr>
                <w:rFonts w:cstheme="minorHAnsi"/>
                <w:snapToGrid w:val="0"/>
              </w:rPr>
              <w:t>0.93 (0.86-1.01)</w:t>
            </w:r>
          </w:p>
        </w:tc>
        <w:tc>
          <w:tcPr>
            <w:tcW w:w="364" w:type="pct"/>
            <w:vAlign w:val="center"/>
          </w:tcPr>
          <w:p w14:paraId="6BE375AC" w14:textId="77777777" w:rsidR="004E31BF" w:rsidRPr="001763F0" w:rsidRDefault="004E31BF" w:rsidP="004E31BF">
            <w:pPr>
              <w:pStyle w:val="TableText"/>
              <w:jc w:val="center"/>
              <w:rPr>
                <w:rFonts w:cstheme="minorHAnsi"/>
                <w:snapToGrid w:val="0"/>
              </w:rPr>
            </w:pPr>
            <w:r w:rsidRPr="001763F0">
              <w:rPr>
                <w:rFonts w:cstheme="minorHAnsi"/>
                <w:snapToGrid w:val="0"/>
              </w:rPr>
              <w:t>0.09</w:t>
            </w:r>
          </w:p>
        </w:tc>
      </w:tr>
      <w:tr w:rsidR="004E31BF" w:rsidRPr="001763F0" w14:paraId="23110D21" w14:textId="77777777" w:rsidTr="004E31BF">
        <w:tc>
          <w:tcPr>
            <w:tcW w:w="502" w:type="pct"/>
            <w:shd w:val="clear" w:color="auto" w:fill="auto"/>
            <w:vAlign w:val="center"/>
          </w:tcPr>
          <w:p w14:paraId="27681EF6" w14:textId="2FBF816E" w:rsidR="004E31BF" w:rsidRPr="001763F0" w:rsidRDefault="004E31BF" w:rsidP="004E31BF">
            <w:pPr>
              <w:pStyle w:val="TableText"/>
              <w:rPr>
                <w:rFonts w:cstheme="minorHAnsi"/>
                <w:snapToGrid w:val="0"/>
              </w:rPr>
            </w:pPr>
            <w:r w:rsidRPr="001763F0">
              <w:rPr>
                <w:rFonts w:cstheme="minorHAnsi"/>
                <w:snapToGrid w:val="0"/>
              </w:rPr>
              <w:t>Serious MRPs Sensitivity*</w:t>
            </w:r>
          </w:p>
        </w:tc>
        <w:tc>
          <w:tcPr>
            <w:tcW w:w="282" w:type="pct"/>
            <w:shd w:val="clear" w:color="auto" w:fill="auto"/>
            <w:vAlign w:val="center"/>
          </w:tcPr>
          <w:p w14:paraId="60787DA9" w14:textId="77777777" w:rsidR="004E31BF" w:rsidRPr="001763F0" w:rsidRDefault="004E31BF" w:rsidP="004E31BF">
            <w:pPr>
              <w:pStyle w:val="TableText"/>
              <w:jc w:val="center"/>
              <w:rPr>
                <w:rFonts w:cstheme="minorHAnsi"/>
                <w:snapToGrid w:val="0"/>
              </w:rPr>
            </w:pPr>
            <w:r w:rsidRPr="001763F0">
              <w:rPr>
                <w:rFonts w:cstheme="minorHAnsi"/>
                <w:snapToGrid w:val="0"/>
              </w:rPr>
              <w:t>122</w:t>
            </w:r>
          </w:p>
        </w:tc>
        <w:tc>
          <w:tcPr>
            <w:tcW w:w="471" w:type="pct"/>
            <w:shd w:val="clear" w:color="auto" w:fill="auto"/>
            <w:vAlign w:val="center"/>
          </w:tcPr>
          <w:p w14:paraId="0979A260" w14:textId="77777777" w:rsidR="004E31BF" w:rsidRPr="001763F0" w:rsidRDefault="004E31BF" w:rsidP="004E31BF">
            <w:pPr>
              <w:pStyle w:val="TableText"/>
              <w:jc w:val="center"/>
              <w:rPr>
                <w:rFonts w:cstheme="minorHAnsi"/>
                <w:snapToGrid w:val="0"/>
              </w:rPr>
            </w:pPr>
            <w:r w:rsidRPr="001763F0">
              <w:rPr>
                <w:rFonts w:cstheme="minorHAnsi"/>
                <w:snapToGrid w:val="0"/>
              </w:rPr>
              <w:t>766</w:t>
            </w:r>
          </w:p>
        </w:tc>
        <w:tc>
          <w:tcPr>
            <w:tcW w:w="550" w:type="pct"/>
            <w:shd w:val="clear" w:color="auto" w:fill="auto"/>
            <w:vAlign w:val="center"/>
          </w:tcPr>
          <w:p w14:paraId="1A56F885" w14:textId="77777777" w:rsidR="004E31BF" w:rsidRPr="001763F0" w:rsidRDefault="004E31BF" w:rsidP="004E31BF">
            <w:pPr>
              <w:pStyle w:val="TableText"/>
              <w:jc w:val="center"/>
              <w:rPr>
                <w:rFonts w:cstheme="minorHAnsi"/>
                <w:snapToGrid w:val="0"/>
              </w:rPr>
            </w:pPr>
            <w:r w:rsidRPr="001763F0">
              <w:rPr>
                <w:rFonts w:cstheme="minorHAnsi"/>
                <w:snapToGrid w:val="0"/>
              </w:rPr>
              <w:t>725</w:t>
            </w:r>
          </w:p>
        </w:tc>
        <w:tc>
          <w:tcPr>
            <w:tcW w:w="943" w:type="pct"/>
            <w:shd w:val="clear" w:color="auto" w:fill="auto"/>
            <w:vAlign w:val="center"/>
          </w:tcPr>
          <w:p w14:paraId="1588D046" w14:textId="77777777" w:rsidR="004E31BF" w:rsidRPr="001763F0" w:rsidRDefault="004E31BF" w:rsidP="004E31BF">
            <w:pPr>
              <w:pStyle w:val="TableText"/>
              <w:jc w:val="center"/>
              <w:rPr>
                <w:rFonts w:cstheme="minorHAnsi"/>
                <w:snapToGrid w:val="0"/>
              </w:rPr>
            </w:pPr>
            <w:r w:rsidRPr="001763F0">
              <w:rPr>
                <w:rFonts w:cstheme="minorHAnsi"/>
                <w:snapToGrid w:val="0"/>
              </w:rPr>
              <w:t>4.75 (3.44-6.54)</w:t>
            </w:r>
          </w:p>
        </w:tc>
        <w:tc>
          <w:tcPr>
            <w:tcW w:w="944" w:type="pct"/>
            <w:shd w:val="clear" w:color="auto" w:fill="auto"/>
            <w:vAlign w:val="center"/>
          </w:tcPr>
          <w:p w14:paraId="3CAACB9F" w14:textId="77777777" w:rsidR="004E31BF" w:rsidRPr="001763F0" w:rsidRDefault="004E31BF" w:rsidP="004E31BF">
            <w:pPr>
              <w:pStyle w:val="TableText"/>
              <w:jc w:val="center"/>
              <w:rPr>
                <w:rFonts w:cstheme="minorHAnsi"/>
                <w:snapToGrid w:val="0"/>
              </w:rPr>
            </w:pPr>
            <w:r w:rsidRPr="001763F0">
              <w:rPr>
                <w:rFonts w:cstheme="minorHAnsi"/>
                <w:snapToGrid w:val="0"/>
              </w:rPr>
              <w:t>4.49 (3.25-6.19)</w:t>
            </w:r>
          </w:p>
        </w:tc>
        <w:tc>
          <w:tcPr>
            <w:tcW w:w="944" w:type="pct"/>
            <w:shd w:val="clear" w:color="auto" w:fill="auto"/>
            <w:vAlign w:val="center"/>
          </w:tcPr>
          <w:p w14:paraId="7F526375" w14:textId="77777777" w:rsidR="004E31BF" w:rsidRPr="001763F0" w:rsidRDefault="004E31BF" w:rsidP="004E31BF">
            <w:pPr>
              <w:pStyle w:val="TableText"/>
              <w:jc w:val="center"/>
              <w:rPr>
                <w:rFonts w:cstheme="minorHAnsi"/>
                <w:snapToGrid w:val="0"/>
              </w:rPr>
            </w:pPr>
            <w:r w:rsidRPr="001763F0">
              <w:rPr>
                <w:rFonts w:cstheme="minorHAnsi"/>
                <w:snapToGrid w:val="0"/>
              </w:rPr>
              <w:t>0.95 (0.86-1.05)</w:t>
            </w:r>
          </w:p>
        </w:tc>
        <w:tc>
          <w:tcPr>
            <w:tcW w:w="364" w:type="pct"/>
            <w:vAlign w:val="center"/>
          </w:tcPr>
          <w:p w14:paraId="16BE7166" w14:textId="77777777" w:rsidR="004E31BF" w:rsidRPr="001763F0" w:rsidRDefault="004E31BF" w:rsidP="004E31BF">
            <w:pPr>
              <w:pStyle w:val="TableText"/>
              <w:jc w:val="center"/>
              <w:rPr>
                <w:rFonts w:cstheme="minorHAnsi"/>
                <w:snapToGrid w:val="0"/>
              </w:rPr>
            </w:pPr>
            <w:r w:rsidRPr="001763F0">
              <w:rPr>
                <w:rFonts w:cstheme="minorHAnsi"/>
                <w:snapToGrid w:val="0"/>
              </w:rPr>
              <w:t>0.29</w:t>
            </w:r>
          </w:p>
        </w:tc>
      </w:tr>
      <w:tr w:rsidR="004E31BF" w:rsidRPr="001763F0" w14:paraId="2197E92E" w14:textId="77777777" w:rsidTr="004E31BF">
        <w:tc>
          <w:tcPr>
            <w:tcW w:w="502" w:type="pct"/>
            <w:tcBorders>
              <w:top w:val="single" w:sz="4" w:space="0" w:color="auto"/>
              <w:left w:val="single" w:sz="4" w:space="0" w:color="auto"/>
              <w:bottom w:val="single" w:sz="4" w:space="0" w:color="auto"/>
              <w:right w:val="single" w:sz="4" w:space="0" w:color="auto"/>
            </w:tcBorders>
            <w:shd w:val="clear" w:color="auto" w:fill="auto"/>
            <w:vAlign w:val="center"/>
          </w:tcPr>
          <w:p w14:paraId="07B90D68" w14:textId="6D54C737" w:rsidR="004E31BF" w:rsidRPr="001763F0" w:rsidRDefault="004E31BF" w:rsidP="004E31BF">
            <w:pPr>
              <w:pStyle w:val="TableText"/>
              <w:rPr>
                <w:rFonts w:cstheme="minorHAnsi"/>
                <w:snapToGrid w:val="0"/>
              </w:rPr>
            </w:pPr>
            <w:r w:rsidRPr="001763F0">
              <w:rPr>
                <w:rFonts w:cstheme="minorHAnsi"/>
                <w:snapToGrid w:val="0"/>
              </w:rPr>
              <w:t>PPMRH</w:t>
            </w: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14:paraId="61440122" w14:textId="77777777" w:rsidR="004E31BF" w:rsidRPr="001763F0" w:rsidRDefault="004E31BF" w:rsidP="004E31BF">
            <w:pPr>
              <w:pStyle w:val="TableText"/>
              <w:jc w:val="center"/>
              <w:rPr>
                <w:rFonts w:cstheme="minorHAnsi"/>
                <w:snapToGrid w:val="0"/>
              </w:rPr>
            </w:pPr>
            <w:r w:rsidRPr="001763F0">
              <w:rPr>
                <w:rFonts w:cstheme="minorHAnsi"/>
                <w:snapToGrid w:val="0"/>
              </w:rPr>
              <w:t>207</w:t>
            </w:r>
          </w:p>
        </w:tc>
        <w:tc>
          <w:tcPr>
            <w:tcW w:w="471" w:type="pct"/>
            <w:tcBorders>
              <w:top w:val="single" w:sz="4" w:space="0" w:color="auto"/>
              <w:left w:val="single" w:sz="4" w:space="0" w:color="auto"/>
              <w:bottom w:val="single" w:sz="4" w:space="0" w:color="auto"/>
              <w:right w:val="single" w:sz="4" w:space="0" w:color="auto"/>
            </w:tcBorders>
            <w:shd w:val="clear" w:color="auto" w:fill="auto"/>
            <w:vAlign w:val="center"/>
          </w:tcPr>
          <w:p w14:paraId="08EC5198" w14:textId="77777777" w:rsidR="004E31BF" w:rsidRPr="001763F0" w:rsidRDefault="004E31BF" w:rsidP="004E31BF">
            <w:pPr>
              <w:pStyle w:val="TableText"/>
              <w:jc w:val="center"/>
              <w:rPr>
                <w:rFonts w:cstheme="minorHAnsi"/>
                <w:snapToGrid w:val="0"/>
              </w:rPr>
            </w:pPr>
            <w:r w:rsidRPr="001763F0">
              <w:rPr>
                <w:rFonts w:cstheme="minorHAnsi"/>
                <w:snapToGrid w:val="0"/>
              </w:rPr>
              <w:t>21</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tcPr>
          <w:p w14:paraId="6D02D855" w14:textId="77777777" w:rsidR="004E31BF" w:rsidRPr="001763F0" w:rsidRDefault="004E31BF" w:rsidP="004E31BF">
            <w:pPr>
              <w:pStyle w:val="TableText"/>
              <w:jc w:val="center"/>
              <w:rPr>
                <w:rFonts w:cstheme="minorHAnsi"/>
                <w:snapToGrid w:val="0"/>
              </w:rPr>
            </w:pPr>
            <w:r w:rsidRPr="001763F0">
              <w:rPr>
                <w:rFonts w:cstheme="minorHAnsi"/>
                <w:snapToGrid w:val="0"/>
              </w:rPr>
              <w:t>21</w:t>
            </w:r>
          </w:p>
        </w:tc>
        <w:tc>
          <w:tcPr>
            <w:tcW w:w="943" w:type="pct"/>
            <w:tcBorders>
              <w:top w:val="single" w:sz="4" w:space="0" w:color="auto"/>
              <w:left w:val="single" w:sz="4" w:space="0" w:color="auto"/>
              <w:bottom w:val="single" w:sz="4" w:space="0" w:color="auto"/>
              <w:right w:val="single" w:sz="4" w:space="0" w:color="auto"/>
            </w:tcBorders>
            <w:shd w:val="clear" w:color="auto" w:fill="auto"/>
            <w:vAlign w:val="center"/>
          </w:tcPr>
          <w:p w14:paraId="213223DA" w14:textId="77777777" w:rsidR="004E31BF" w:rsidRPr="001763F0" w:rsidRDefault="004E31BF" w:rsidP="004E31BF">
            <w:pPr>
              <w:pStyle w:val="TableText"/>
              <w:jc w:val="center"/>
              <w:rPr>
                <w:rFonts w:cstheme="minorHAnsi"/>
                <w:snapToGrid w:val="0"/>
              </w:rPr>
            </w:pPr>
            <w:r w:rsidRPr="001763F0">
              <w:rPr>
                <w:rFonts w:cstheme="minorHAnsi"/>
                <w:snapToGrid w:val="0"/>
              </w:rPr>
              <w:t>0.06 (0.02-0.15)</w:t>
            </w: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1B961620" w14:textId="77777777" w:rsidR="004E31BF" w:rsidRPr="001763F0" w:rsidRDefault="004E31BF" w:rsidP="004E31BF">
            <w:pPr>
              <w:pStyle w:val="TableText"/>
              <w:jc w:val="center"/>
              <w:rPr>
                <w:rFonts w:cstheme="minorHAnsi"/>
                <w:snapToGrid w:val="0"/>
              </w:rPr>
            </w:pPr>
            <w:r w:rsidRPr="001763F0">
              <w:rPr>
                <w:rFonts w:cstheme="minorHAnsi"/>
                <w:snapToGrid w:val="0"/>
              </w:rPr>
              <w:t>0.06 (0.02-0.15)</w:t>
            </w: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67DB7861" w14:textId="77777777" w:rsidR="004E31BF" w:rsidRPr="001763F0" w:rsidRDefault="004E31BF" w:rsidP="004E31BF">
            <w:pPr>
              <w:pStyle w:val="TableText"/>
              <w:jc w:val="center"/>
              <w:rPr>
                <w:rFonts w:cstheme="minorHAnsi"/>
                <w:snapToGrid w:val="0"/>
              </w:rPr>
            </w:pPr>
            <w:r w:rsidRPr="001763F0">
              <w:rPr>
                <w:rFonts w:cstheme="minorHAnsi"/>
                <w:snapToGrid w:val="0"/>
              </w:rPr>
              <w:t>1.00 (0.55-1.83)</w:t>
            </w:r>
          </w:p>
        </w:tc>
        <w:tc>
          <w:tcPr>
            <w:tcW w:w="364" w:type="pct"/>
            <w:tcBorders>
              <w:top w:val="single" w:sz="4" w:space="0" w:color="auto"/>
              <w:left w:val="single" w:sz="4" w:space="0" w:color="auto"/>
              <w:bottom w:val="single" w:sz="4" w:space="0" w:color="auto"/>
              <w:right w:val="single" w:sz="4" w:space="0" w:color="auto"/>
            </w:tcBorders>
            <w:vAlign w:val="center"/>
          </w:tcPr>
          <w:p w14:paraId="69A60843" w14:textId="77777777" w:rsidR="004E31BF" w:rsidRPr="001763F0" w:rsidRDefault="004E31BF" w:rsidP="004E31BF">
            <w:pPr>
              <w:pStyle w:val="TableText"/>
              <w:jc w:val="center"/>
              <w:rPr>
                <w:rFonts w:cstheme="minorHAnsi"/>
                <w:snapToGrid w:val="0"/>
              </w:rPr>
            </w:pPr>
            <w:r w:rsidRPr="001763F0">
              <w:rPr>
                <w:rFonts w:cstheme="minorHAnsi"/>
                <w:snapToGrid w:val="0"/>
              </w:rPr>
              <w:t>1.00</w:t>
            </w:r>
          </w:p>
        </w:tc>
      </w:tr>
      <w:tr w:rsidR="004E31BF" w:rsidRPr="001763F0" w14:paraId="12387320" w14:textId="77777777" w:rsidTr="004E31BF">
        <w:tc>
          <w:tcPr>
            <w:tcW w:w="502" w:type="pct"/>
            <w:tcBorders>
              <w:top w:val="single" w:sz="4" w:space="0" w:color="auto"/>
              <w:left w:val="single" w:sz="4" w:space="0" w:color="auto"/>
              <w:bottom w:val="single" w:sz="4" w:space="0" w:color="auto"/>
              <w:right w:val="single" w:sz="4" w:space="0" w:color="auto"/>
            </w:tcBorders>
            <w:shd w:val="clear" w:color="auto" w:fill="auto"/>
            <w:vAlign w:val="center"/>
          </w:tcPr>
          <w:p w14:paraId="5BD94055" w14:textId="18902882" w:rsidR="004E31BF" w:rsidRPr="001763F0" w:rsidRDefault="004E31BF" w:rsidP="004E31BF">
            <w:pPr>
              <w:pStyle w:val="TableText"/>
              <w:rPr>
                <w:rFonts w:cstheme="minorHAnsi"/>
                <w:snapToGrid w:val="0"/>
              </w:rPr>
            </w:pPr>
            <w:r w:rsidRPr="001763F0">
              <w:rPr>
                <w:rFonts w:cstheme="minorHAnsi"/>
                <w:snapToGrid w:val="0"/>
              </w:rPr>
              <w:t>PPMRH Sensitivity*</w:t>
            </w: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14:paraId="3885E6AE" w14:textId="77777777" w:rsidR="004E31BF" w:rsidRPr="001763F0" w:rsidRDefault="004E31BF" w:rsidP="004E31BF">
            <w:pPr>
              <w:pStyle w:val="TableText"/>
              <w:jc w:val="center"/>
              <w:rPr>
                <w:rFonts w:cstheme="minorHAnsi"/>
                <w:snapToGrid w:val="0"/>
              </w:rPr>
            </w:pPr>
            <w:r w:rsidRPr="001763F0">
              <w:rPr>
                <w:rFonts w:cstheme="minorHAnsi"/>
                <w:snapToGrid w:val="0"/>
              </w:rPr>
              <w:t>122</w:t>
            </w:r>
          </w:p>
        </w:tc>
        <w:tc>
          <w:tcPr>
            <w:tcW w:w="471" w:type="pct"/>
            <w:tcBorders>
              <w:top w:val="single" w:sz="4" w:space="0" w:color="auto"/>
              <w:left w:val="single" w:sz="4" w:space="0" w:color="auto"/>
              <w:bottom w:val="single" w:sz="4" w:space="0" w:color="auto"/>
              <w:right w:val="single" w:sz="4" w:space="0" w:color="auto"/>
            </w:tcBorders>
            <w:shd w:val="clear" w:color="auto" w:fill="auto"/>
            <w:vAlign w:val="center"/>
          </w:tcPr>
          <w:p w14:paraId="03EF66F9" w14:textId="77777777" w:rsidR="004E31BF" w:rsidRPr="001763F0" w:rsidRDefault="004E31BF" w:rsidP="004E31BF">
            <w:pPr>
              <w:pStyle w:val="TableText"/>
              <w:jc w:val="center"/>
              <w:rPr>
                <w:rFonts w:cstheme="minorHAnsi"/>
                <w:snapToGrid w:val="0"/>
              </w:rPr>
            </w:pPr>
            <w:r w:rsidRPr="001763F0">
              <w:rPr>
                <w:rFonts w:cstheme="minorHAnsi"/>
                <w:snapToGrid w:val="0"/>
              </w:rPr>
              <w:t>13</w:t>
            </w:r>
          </w:p>
        </w:tc>
        <w:tc>
          <w:tcPr>
            <w:tcW w:w="550" w:type="pct"/>
            <w:tcBorders>
              <w:top w:val="single" w:sz="4" w:space="0" w:color="auto"/>
              <w:left w:val="single" w:sz="4" w:space="0" w:color="auto"/>
              <w:bottom w:val="single" w:sz="4" w:space="0" w:color="auto"/>
              <w:right w:val="single" w:sz="4" w:space="0" w:color="auto"/>
            </w:tcBorders>
            <w:shd w:val="clear" w:color="auto" w:fill="auto"/>
            <w:vAlign w:val="center"/>
          </w:tcPr>
          <w:p w14:paraId="124E160F" w14:textId="77777777" w:rsidR="004E31BF" w:rsidRPr="001763F0" w:rsidRDefault="004E31BF" w:rsidP="004E31BF">
            <w:pPr>
              <w:pStyle w:val="TableText"/>
              <w:jc w:val="center"/>
              <w:rPr>
                <w:rFonts w:cstheme="minorHAnsi"/>
                <w:snapToGrid w:val="0"/>
              </w:rPr>
            </w:pPr>
            <w:r w:rsidRPr="001763F0">
              <w:rPr>
                <w:rFonts w:cstheme="minorHAnsi"/>
                <w:snapToGrid w:val="0"/>
              </w:rPr>
              <w:t>10</w:t>
            </w:r>
          </w:p>
        </w:tc>
        <w:tc>
          <w:tcPr>
            <w:tcW w:w="943" w:type="pct"/>
            <w:tcBorders>
              <w:top w:val="single" w:sz="4" w:space="0" w:color="auto"/>
              <w:left w:val="single" w:sz="4" w:space="0" w:color="auto"/>
              <w:bottom w:val="single" w:sz="4" w:space="0" w:color="auto"/>
              <w:right w:val="single" w:sz="4" w:space="0" w:color="auto"/>
            </w:tcBorders>
            <w:shd w:val="clear" w:color="auto" w:fill="auto"/>
            <w:vAlign w:val="center"/>
          </w:tcPr>
          <w:p w14:paraId="58B0E862" w14:textId="77777777" w:rsidR="004E31BF" w:rsidRPr="001763F0" w:rsidRDefault="004E31BF" w:rsidP="004E31BF">
            <w:pPr>
              <w:pStyle w:val="TableText"/>
              <w:jc w:val="center"/>
              <w:rPr>
                <w:rFonts w:cstheme="minorHAnsi"/>
                <w:snapToGrid w:val="0"/>
              </w:rPr>
            </w:pPr>
            <w:r w:rsidRPr="001763F0">
              <w:rPr>
                <w:rFonts w:cstheme="minorHAnsi"/>
                <w:snapToGrid w:val="0"/>
              </w:rPr>
              <w:t>0.08 (0.03-0.21)</w:t>
            </w: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15CFD484" w14:textId="77777777" w:rsidR="004E31BF" w:rsidRPr="001763F0" w:rsidRDefault="004E31BF" w:rsidP="004E31BF">
            <w:pPr>
              <w:pStyle w:val="TableText"/>
              <w:jc w:val="center"/>
              <w:rPr>
                <w:rFonts w:cstheme="minorHAnsi"/>
                <w:snapToGrid w:val="0"/>
              </w:rPr>
            </w:pPr>
            <w:r w:rsidRPr="001763F0">
              <w:rPr>
                <w:rFonts w:cstheme="minorHAnsi"/>
                <w:snapToGrid w:val="0"/>
              </w:rPr>
              <w:t>0.06 (0.02-0.17)</w:t>
            </w: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6118886B" w14:textId="77777777" w:rsidR="004E31BF" w:rsidRPr="001763F0" w:rsidRDefault="004E31BF" w:rsidP="004E31BF">
            <w:pPr>
              <w:pStyle w:val="TableText"/>
              <w:jc w:val="center"/>
              <w:rPr>
                <w:rFonts w:cstheme="minorHAnsi"/>
                <w:snapToGrid w:val="0"/>
              </w:rPr>
            </w:pPr>
            <w:r w:rsidRPr="001763F0">
              <w:rPr>
                <w:rFonts w:cstheme="minorHAnsi"/>
                <w:snapToGrid w:val="0"/>
              </w:rPr>
              <w:t>0.77 (0.33-1.75)</w:t>
            </w:r>
          </w:p>
        </w:tc>
        <w:tc>
          <w:tcPr>
            <w:tcW w:w="364" w:type="pct"/>
            <w:tcBorders>
              <w:top w:val="single" w:sz="4" w:space="0" w:color="auto"/>
              <w:left w:val="single" w:sz="4" w:space="0" w:color="auto"/>
              <w:bottom w:val="single" w:sz="4" w:space="0" w:color="auto"/>
              <w:right w:val="single" w:sz="4" w:space="0" w:color="auto"/>
            </w:tcBorders>
            <w:vAlign w:val="center"/>
          </w:tcPr>
          <w:p w14:paraId="0536611E" w14:textId="77777777" w:rsidR="004E31BF" w:rsidRPr="001763F0" w:rsidRDefault="004E31BF" w:rsidP="004E31BF">
            <w:pPr>
              <w:pStyle w:val="TableText"/>
              <w:jc w:val="center"/>
              <w:rPr>
                <w:rFonts w:cstheme="minorHAnsi"/>
                <w:snapToGrid w:val="0"/>
              </w:rPr>
            </w:pPr>
            <w:r w:rsidRPr="001763F0">
              <w:rPr>
                <w:rFonts w:cstheme="minorHAnsi"/>
                <w:snapToGrid w:val="0"/>
              </w:rPr>
              <w:t>0.53</w:t>
            </w:r>
          </w:p>
        </w:tc>
      </w:tr>
    </w:tbl>
    <w:p w14:paraId="671A1E06" w14:textId="76855D90" w:rsidR="00686A14" w:rsidRPr="001763F0" w:rsidRDefault="00686A14" w:rsidP="00AB1A49">
      <w:pPr>
        <w:tabs>
          <w:tab w:val="left" w:pos="284"/>
        </w:tabs>
        <w:spacing w:before="0" w:line="240" w:lineRule="auto"/>
        <w:ind w:left="284" w:hanging="284"/>
        <w:contextualSpacing/>
        <w:rPr>
          <w:rStyle w:val="TablenotesChar"/>
          <w:rFonts w:eastAsiaTheme="minorHAnsi"/>
        </w:rPr>
      </w:pPr>
      <w:r w:rsidRPr="001763F0">
        <w:rPr>
          <w:rStyle w:val="TablenotesChar"/>
          <w:rFonts w:eastAsiaTheme="minorHAnsi"/>
        </w:rPr>
        <w:t>Source:</w:t>
      </w:r>
      <w:r w:rsidR="00640F84" w:rsidRPr="001763F0">
        <w:rPr>
          <w:rStyle w:val="TablenotesChar"/>
          <w:rFonts w:eastAsiaTheme="minorHAnsi"/>
        </w:rPr>
        <w:t xml:space="preserve"> Adapted from Table 11 and 12 of the ADAR. </w:t>
      </w:r>
    </w:p>
    <w:p w14:paraId="040D180E" w14:textId="6A1EB823" w:rsidR="00800755" w:rsidRPr="001763F0" w:rsidRDefault="00800755" w:rsidP="00800755">
      <w:pPr>
        <w:tabs>
          <w:tab w:val="left" w:pos="284"/>
        </w:tabs>
        <w:spacing w:before="0" w:line="240" w:lineRule="auto"/>
        <w:ind w:left="284" w:hanging="284"/>
        <w:contextualSpacing/>
        <w:rPr>
          <w:rFonts w:ascii="Arial Narrow" w:hAnsi="Arial Narrow"/>
          <w:sz w:val="18"/>
          <w:szCs w:val="18"/>
        </w:rPr>
      </w:pPr>
      <w:r w:rsidRPr="001763F0">
        <w:rPr>
          <w:rFonts w:ascii="Arial Narrow" w:hAnsi="Arial Narrow" w:cs="Arial"/>
          <w:snapToGrid w:val="0"/>
          <w:sz w:val="18"/>
        </w:rPr>
        <w:t>Abbreviations: CI=confidence interval; IRR=incidence rate ratio; MRP=medication-related problems; PPMRH=preventable medication-related hospitalisations</w:t>
      </w:r>
    </w:p>
    <w:p w14:paraId="350B9EE1" w14:textId="6DE67398" w:rsidR="00686A14" w:rsidRPr="001763F0" w:rsidRDefault="004E31BF" w:rsidP="007C620E">
      <w:pPr>
        <w:tabs>
          <w:tab w:val="left" w:pos="284"/>
        </w:tabs>
        <w:spacing w:before="0" w:after="240" w:line="240" w:lineRule="auto"/>
        <w:ind w:left="284" w:hanging="284"/>
        <w:rPr>
          <w:rFonts w:ascii="Arial Narrow" w:hAnsi="Arial Narrow" w:cs="Arial"/>
          <w:snapToGrid w:val="0"/>
          <w:sz w:val="18"/>
        </w:rPr>
      </w:pPr>
      <w:r w:rsidRPr="001763F0">
        <w:rPr>
          <w:rStyle w:val="TablenotesChar"/>
          <w:rFonts w:eastAsiaTheme="minorHAnsi"/>
        </w:rPr>
        <w:t>*</w:t>
      </w:r>
      <w:r w:rsidRPr="001763F0">
        <w:rPr>
          <w:rStyle w:val="TablenotesChar"/>
          <w:rFonts w:eastAsiaTheme="minorHAnsi"/>
        </w:rPr>
        <w:tab/>
        <w:t xml:space="preserve">Sensitivity analysis was performed using urban and rural participants only to test the sensitivity of the primary outcome to incomplete PBS for remote participants due to </w:t>
      </w:r>
      <w:r w:rsidRPr="001763F0">
        <w:rPr>
          <w:rFonts w:ascii="Arial Narrow" w:hAnsi="Arial Narrow" w:cs="Arial"/>
          <w:snapToGrid w:val="0"/>
          <w:sz w:val="18"/>
          <w:lang w:val="en-GB"/>
        </w:rPr>
        <w:t xml:space="preserve">Section 100 Remote Area Aboriginal Health Service supply. </w:t>
      </w:r>
      <w:r w:rsidRPr="001763F0">
        <w:rPr>
          <w:rFonts w:ascii="Arial Narrow" w:hAnsi="Arial Narrow" w:cs="Arial"/>
          <w:snapToGrid w:val="0"/>
          <w:sz w:val="18"/>
        </w:rPr>
        <w:t xml:space="preserve"> </w:t>
      </w:r>
    </w:p>
    <w:p w14:paraId="4400B5AF" w14:textId="3596BCCF" w:rsidR="00ED4CC0" w:rsidRPr="00AB1A49" w:rsidRDefault="00640F84" w:rsidP="002114F8">
      <w:pPr>
        <w:tabs>
          <w:tab w:val="left" w:pos="720"/>
          <w:tab w:val="left" w:pos="1140"/>
        </w:tabs>
        <w:spacing w:before="240" w:after="120"/>
        <w:rPr>
          <w:iCs/>
        </w:rPr>
      </w:pPr>
      <w:r w:rsidRPr="001763F0">
        <w:rPr>
          <w:iCs/>
        </w:rPr>
        <w:t>The commentary noted that n</w:t>
      </w:r>
      <w:r w:rsidR="00ED4CC0" w:rsidRPr="001763F0">
        <w:rPr>
          <w:iCs/>
        </w:rPr>
        <w:t xml:space="preserve">o statistically significant differences were observed for MRPs </w:t>
      </w:r>
      <w:r w:rsidR="00F9510D" w:rsidRPr="001763F0">
        <w:rPr>
          <w:iCs/>
        </w:rPr>
        <w:t xml:space="preserve">(primary outcome) </w:t>
      </w:r>
      <w:r w:rsidR="00ED4CC0" w:rsidRPr="001763F0">
        <w:rPr>
          <w:iCs/>
        </w:rPr>
        <w:t xml:space="preserve">and PPMRH </w:t>
      </w:r>
      <w:r w:rsidR="00F9510D" w:rsidRPr="001763F0">
        <w:rPr>
          <w:iCs/>
        </w:rPr>
        <w:t xml:space="preserve">(secondary outcome) </w:t>
      </w:r>
      <w:r w:rsidR="00ED4CC0" w:rsidRPr="001763F0">
        <w:rPr>
          <w:iCs/>
        </w:rPr>
        <w:t>post-intervention compared with pre-intervention</w:t>
      </w:r>
      <w:r w:rsidR="00F9510D" w:rsidRPr="001763F0">
        <w:rPr>
          <w:iCs/>
        </w:rPr>
        <w:t xml:space="preserve"> at the conventional 5% level, although a reduction in serious MRPs was statistically significant at the 10% level</w:t>
      </w:r>
      <w:r w:rsidR="009B2398" w:rsidRPr="001763F0">
        <w:rPr>
          <w:iCs/>
        </w:rPr>
        <w:t>.</w:t>
      </w:r>
    </w:p>
    <w:p w14:paraId="41D8743D" w14:textId="339279F7" w:rsidR="00F9510D" w:rsidRPr="00AB1A49" w:rsidRDefault="00F9510D" w:rsidP="002114F8">
      <w:pPr>
        <w:tabs>
          <w:tab w:val="left" w:pos="720"/>
          <w:tab w:val="left" w:pos="1140"/>
        </w:tabs>
        <w:spacing w:before="240" w:after="120"/>
        <w:rPr>
          <w:iCs/>
        </w:rPr>
      </w:pPr>
      <w:r w:rsidRPr="001763F0">
        <w:rPr>
          <w:iCs/>
        </w:rPr>
        <w:t>Although the ADAR claim</w:t>
      </w:r>
      <w:r w:rsidR="00640F84" w:rsidRPr="001763F0">
        <w:rPr>
          <w:iCs/>
        </w:rPr>
        <w:t>ed</w:t>
      </w:r>
      <w:r w:rsidRPr="001763F0">
        <w:rPr>
          <w:iCs/>
        </w:rPr>
        <w:t xml:space="preserve"> that “A reduction in serious MRPs is clinically significant as it represents the preventable criteria for PPMRHs”, </w:t>
      </w:r>
      <w:r w:rsidR="00640F84" w:rsidRPr="001763F0">
        <w:rPr>
          <w:iCs/>
        </w:rPr>
        <w:t>the commentary noted that</w:t>
      </w:r>
      <w:r w:rsidRPr="001763F0">
        <w:rPr>
          <w:iCs/>
        </w:rPr>
        <w:t xml:space="preserve"> there is no clinical meaning in the MRP metric </w:t>
      </w:r>
      <w:r w:rsidRPr="001763F0">
        <w:rPr>
          <w:i/>
          <w:iCs/>
        </w:rPr>
        <w:t>per se</w:t>
      </w:r>
      <w:r w:rsidRPr="001763F0">
        <w:rPr>
          <w:iCs/>
        </w:rPr>
        <w:t>. A serious MRP was constructed for study purposes as meeting the criteria of sub-optimal patterns of care with or without causing a hospitalisation; a secondary outcome - PPMRH is the sub-set of MRPs for which a hospitalisation is realised. Therefore, the MRP metric is relevant to patient management (e.g.</w:t>
      </w:r>
      <w:r w:rsidR="00800755" w:rsidRPr="001763F0">
        <w:rPr>
          <w:iCs/>
        </w:rPr>
        <w:t>,</w:t>
      </w:r>
      <w:r w:rsidRPr="001763F0">
        <w:rPr>
          <w:iCs/>
        </w:rPr>
        <w:t xml:space="preserve"> quality of medication prescription assessed with the risk of hospitalisation) and is not a substitute for the measurements that directly relate to a clinical condition (e.g.</w:t>
      </w:r>
      <w:r w:rsidR="00800755" w:rsidRPr="001763F0">
        <w:rPr>
          <w:iCs/>
        </w:rPr>
        <w:t>,</w:t>
      </w:r>
      <w:r w:rsidRPr="001763F0">
        <w:rPr>
          <w:iCs/>
        </w:rPr>
        <w:t xml:space="preserve"> blood pressure, blood sugar level etc.) and for which established, meaningful clinical thresholds exist.</w:t>
      </w:r>
    </w:p>
    <w:p w14:paraId="53F3A739" w14:textId="4A786A99" w:rsidR="004E31BF" w:rsidRDefault="004E31BF" w:rsidP="004E31BF">
      <w:pPr>
        <w:pStyle w:val="Caption"/>
      </w:pPr>
      <w:bookmarkStart w:id="22" w:name="_Ref88812290"/>
      <w:bookmarkStart w:id="23" w:name="_Ref97733794"/>
      <w:r>
        <w:t xml:space="preserve">Table </w:t>
      </w:r>
      <w:r w:rsidR="00791FAA">
        <w:fldChar w:fldCharType="begin"/>
      </w:r>
      <w:r w:rsidR="00791FAA">
        <w:instrText xml:space="preserve"> SEQ Table \* ARABIC </w:instrText>
      </w:r>
      <w:r w:rsidR="00791FAA">
        <w:fldChar w:fldCharType="separate"/>
      </w:r>
      <w:r w:rsidR="00A45EE3">
        <w:rPr>
          <w:noProof/>
        </w:rPr>
        <w:t>4</w:t>
      </w:r>
      <w:r w:rsidR="00791FAA">
        <w:rPr>
          <w:noProof/>
        </w:rPr>
        <w:fldChar w:fldCharType="end"/>
      </w:r>
      <w:bookmarkEnd w:id="22"/>
      <w:bookmarkEnd w:id="23"/>
      <w:r>
        <w:tab/>
        <w:t>Results of secondary outcomes from IMeRSe</w:t>
      </w:r>
    </w:p>
    <w:tbl>
      <w:tblPr>
        <w:tblStyle w:val="TableGrid1"/>
        <w:tblW w:w="4871" w:type="pct"/>
        <w:tblCellMar>
          <w:left w:w="28" w:type="dxa"/>
          <w:right w:w="28" w:type="dxa"/>
        </w:tblCellMar>
        <w:tblLook w:val="04A0" w:firstRow="1" w:lastRow="0" w:firstColumn="1" w:lastColumn="0" w:noHBand="0" w:noVBand="1"/>
        <w:tblDescription w:val="Results of secondary outcomes from IMeRSe"/>
      </w:tblPr>
      <w:tblGrid>
        <w:gridCol w:w="1040"/>
        <w:gridCol w:w="1040"/>
        <w:gridCol w:w="2120"/>
        <w:gridCol w:w="2057"/>
        <w:gridCol w:w="1737"/>
        <w:gridCol w:w="789"/>
      </w:tblGrid>
      <w:tr w:rsidR="004E31BF" w14:paraId="4493C81F" w14:textId="77777777" w:rsidTr="004E31BF">
        <w:trPr>
          <w:cnfStyle w:val="100000000000" w:firstRow="1" w:lastRow="0" w:firstColumn="0" w:lastColumn="0" w:oddVBand="0" w:evenVBand="0" w:oddHBand="0" w:evenHBand="0" w:firstRowFirstColumn="0" w:firstRowLastColumn="0" w:lastRowFirstColumn="0" w:lastRowLastColumn="0"/>
          <w:tblHeader/>
        </w:trPr>
        <w:tc>
          <w:tcPr>
            <w:tcW w:w="592" w:type="pct"/>
          </w:tcPr>
          <w:p w14:paraId="09CDDA53" w14:textId="77777777" w:rsidR="004E31BF" w:rsidRPr="00183E4D" w:rsidRDefault="004E31BF" w:rsidP="004E31BF">
            <w:pPr>
              <w:pStyle w:val="TableHeading"/>
              <w:jc w:val="center"/>
              <w:rPr>
                <w:snapToGrid w:val="0"/>
              </w:rPr>
            </w:pPr>
            <w:r>
              <w:t>Outcome</w:t>
            </w:r>
          </w:p>
        </w:tc>
        <w:tc>
          <w:tcPr>
            <w:tcW w:w="592" w:type="pct"/>
            <w:shd w:val="clear" w:color="auto" w:fill="auto"/>
            <w:vAlign w:val="center"/>
          </w:tcPr>
          <w:p w14:paraId="393D55B4" w14:textId="77777777" w:rsidR="004E31BF" w:rsidRPr="00183E4D" w:rsidRDefault="004E31BF" w:rsidP="004E31BF">
            <w:pPr>
              <w:pStyle w:val="TableHeading"/>
              <w:jc w:val="center"/>
              <w:rPr>
                <w:snapToGrid w:val="0"/>
              </w:rPr>
            </w:pPr>
            <w:r w:rsidRPr="00183E4D">
              <w:rPr>
                <w:snapToGrid w:val="0"/>
              </w:rPr>
              <w:t>N</w:t>
            </w:r>
          </w:p>
        </w:tc>
        <w:tc>
          <w:tcPr>
            <w:tcW w:w="1207" w:type="pct"/>
            <w:shd w:val="clear" w:color="auto" w:fill="auto"/>
            <w:vAlign w:val="center"/>
          </w:tcPr>
          <w:p w14:paraId="010DB309" w14:textId="77777777" w:rsidR="004E31BF" w:rsidRPr="00183E4D" w:rsidRDefault="004E31BF" w:rsidP="004E31BF">
            <w:pPr>
              <w:pStyle w:val="TableHeading"/>
              <w:jc w:val="center"/>
              <w:rPr>
                <w:snapToGrid w:val="0"/>
              </w:rPr>
            </w:pPr>
            <w:r>
              <w:rPr>
                <w:snapToGrid w:val="0"/>
              </w:rPr>
              <w:t>Pre-score mean (SD)</w:t>
            </w:r>
          </w:p>
        </w:tc>
        <w:tc>
          <w:tcPr>
            <w:tcW w:w="1171" w:type="pct"/>
            <w:shd w:val="clear" w:color="auto" w:fill="auto"/>
            <w:vAlign w:val="center"/>
          </w:tcPr>
          <w:p w14:paraId="059A0F2E" w14:textId="77777777" w:rsidR="004E31BF" w:rsidRPr="00183E4D" w:rsidRDefault="004E31BF" w:rsidP="004E31BF">
            <w:pPr>
              <w:pStyle w:val="TableHeading"/>
              <w:jc w:val="center"/>
              <w:rPr>
                <w:snapToGrid w:val="0"/>
              </w:rPr>
            </w:pPr>
            <w:r>
              <w:rPr>
                <w:snapToGrid w:val="0"/>
              </w:rPr>
              <w:t>Post-score mean (SD)</w:t>
            </w:r>
          </w:p>
        </w:tc>
        <w:tc>
          <w:tcPr>
            <w:tcW w:w="989" w:type="pct"/>
            <w:shd w:val="clear" w:color="auto" w:fill="auto"/>
            <w:vAlign w:val="center"/>
          </w:tcPr>
          <w:p w14:paraId="0244FFF4" w14:textId="77777777" w:rsidR="004E31BF" w:rsidRPr="00183E4D" w:rsidRDefault="004E31BF" w:rsidP="004E31BF">
            <w:pPr>
              <w:pStyle w:val="TableHeading"/>
              <w:jc w:val="center"/>
              <w:rPr>
                <w:snapToGrid w:val="0"/>
              </w:rPr>
            </w:pPr>
            <w:r>
              <w:rPr>
                <w:snapToGrid w:val="0"/>
              </w:rPr>
              <w:t>Difference (95% CI)</w:t>
            </w:r>
          </w:p>
        </w:tc>
        <w:tc>
          <w:tcPr>
            <w:tcW w:w="449" w:type="pct"/>
            <w:vAlign w:val="center"/>
          </w:tcPr>
          <w:p w14:paraId="2C1BE102" w14:textId="77777777" w:rsidR="004E31BF" w:rsidRDefault="004E31BF" w:rsidP="004E31BF">
            <w:pPr>
              <w:pStyle w:val="TableHeading"/>
              <w:jc w:val="center"/>
              <w:rPr>
                <w:snapToGrid w:val="0"/>
              </w:rPr>
            </w:pPr>
            <w:r>
              <w:rPr>
                <w:snapToGrid w:val="0"/>
              </w:rPr>
              <w:t>p value</w:t>
            </w:r>
          </w:p>
        </w:tc>
      </w:tr>
      <w:tr w:rsidR="004E31BF" w:rsidRPr="00442CC0" w14:paraId="67220A33" w14:textId="77777777" w:rsidTr="004E31BF">
        <w:tc>
          <w:tcPr>
            <w:tcW w:w="592" w:type="pct"/>
            <w:vAlign w:val="center"/>
          </w:tcPr>
          <w:p w14:paraId="747123BA" w14:textId="77777777" w:rsidR="004E31BF" w:rsidRDefault="004E31BF" w:rsidP="004E31BF">
            <w:pPr>
              <w:pStyle w:val="TableText"/>
              <w:rPr>
                <w:snapToGrid w:val="0"/>
              </w:rPr>
            </w:pPr>
            <w:r>
              <w:rPr>
                <w:snapToGrid w:val="0"/>
              </w:rPr>
              <w:t>BMQ-necessity</w:t>
            </w:r>
          </w:p>
        </w:tc>
        <w:tc>
          <w:tcPr>
            <w:tcW w:w="592" w:type="pct"/>
            <w:shd w:val="clear" w:color="auto" w:fill="auto"/>
            <w:vAlign w:val="center"/>
          </w:tcPr>
          <w:p w14:paraId="337487F0" w14:textId="77777777" w:rsidR="004E31BF" w:rsidRPr="002A6DEA" w:rsidRDefault="004E31BF" w:rsidP="004E31BF">
            <w:pPr>
              <w:pStyle w:val="TableText"/>
              <w:jc w:val="center"/>
              <w:rPr>
                <w:snapToGrid w:val="0"/>
              </w:rPr>
            </w:pPr>
            <w:r w:rsidRPr="002A6DEA">
              <w:rPr>
                <w:snapToGrid w:val="0"/>
              </w:rPr>
              <w:t>215</w:t>
            </w:r>
          </w:p>
        </w:tc>
        <w:tc>
          <w:tcPr>
            <w:tcW w:w="1207" w:type="pct"/>
            <w:shd w:val="clear" w:color="auto" w:fill="auto"/>
            <w:vAlign w:val="center"/>
          </w:tcPr>
          <w:p w14:paraId="188FD549" w14:textId="77777777" w:rsidR="004E31BF" w:rsidRPr="002A6DEA" w:rsidRDefault="004E31BF" w:rsidP="004E31BF">
            <w:pPr>
              <w:pStyle w:val="TableText"/>
              <w:jc w:val="center"/>
              <w:rPr>
                <w:snapToGrid w:val="0"/>
              </w:rPr>
            </w:pPr>
            <w:r w:rsidRPr="002A6DEA">
              <w:t>20.68 (3.62)</w:t>
            </w:r>
          </w:p>
        </w:tc>
        <w:tc>
          <w:tcPr>
            <w:tcW w:w="1171" w:type="pct"/>
            <w:shd w:val="clear" w:color="auto" w:fill="auto"/>
            <w:vAlign w:val="center"/>
          </w:tcPr>
          <w:p w14:paraId="60F615DA" w14:textId="77777777" w:rsidR="004E31BF" w:rsidRPr="002A6DEA" w:rsidRDefault="004E31BF" w:rsidP="004E31BF">
            <w:pPr>
              <w:pStyle w:val="TableText"/>
              <w:jc w:val="center"/>
              <w:rPr>
                <w:snapToGrid w:val="0"/>
              </w:rPr>
            </w:pPr>
            <w:r w:rsidRPr="002A6DEA">
              <w:t>20.56 (3.57)</w:t>
            </w:r>
          </w:p>
        </w:tc>
        <w:tc>
          <w:tcPr>
            <w:tcW w:w="989" w:type="pct"/>
            <w:shd w:val="clear" w:color="auto" w:fill="auto"/>
            <w:vAlign w:val="center"/>
          </w:tcPr>
          <w:p w14:paraId="5BB13F35" w14:textId="0169B2D6" w:rsidR="004E31BF" w:rsidRPr="002A6DEA" w:rsidRDefault="004E31BF" w:rsidP="004E31BF">
            <w:pPr>
              <w:pStyle w:val="TableText"/>
              <w:jc w:val="center"/>
              <w:rPr>
                <w:snapToGrid w:val="0"/>
                <w:vertAlign w:val="superscript"/>
              </w:rPr>
            </w:pPr>
            <w:r w:rsidRPr="002A6DEA">
              <w:t>0.12 (-0.40, 0.65)</w:t>
            </w:r>
            <w:r w:rsidR="001E739E" w:rsidRPr="002A6DEA">
              <w:t xml:space="preserve"> </w:t>
            </w:r>
            <w:r w:rsidR="001E739E" w:rsidRPr="002A6DEA">
              <w:rPr>
                <w:vertAlign w:val="superscript"/>
              </w:rPr>
              <w:t>a</w:t>
            </w:r>
          </w:p>
        </w:tc>
        <w:tc>
          <w:tcPr>
            <w:tcW w:w="449" w:type="pct"/>
            <w:vAlign w:val="center"/>
          </w:tcPr>
          <w:p w14:paraId="39D2CD7D" w14:textId="77777777" w:rsidR="004E31BF" w:rsidRPr="002A6DEA" w:rsidRDefault="004E31BF" w:rsidP="004E31BF">
            <w:pPr>
              <w:pStyle w:val="TableText"/>
              <w:jc w:val="center"/>
              <w:rPr>
                <w:snapToGrid w:val="0"/>
              </w:rPr>
            </w:pPr>
            <w:r w:rsidRPr="002A6DEA">
              <w:t>0.65</w:t>
            </w:r>
          </w:p>
        </w:tc>
      </w:tr>
      <w:tr w:rsidR="004E31BF" w14:paraId="5E8BDAF5" w14:textId="77777777" w:rsidTr="004E31BF">
        <w:tc>
          <w:tcPr>
            <w:tcW w:w="592" w:type="pct"/>
            <w:vAlign w:val="center"/>
          </w:tcPr>
          <w:p w14:paraId="1FEE45E8" w14:textId="77777777" w:rsidR="004E31BF" w:rsidRDefault="004E31BF" w:rsidP="004E31BF">
            <w:pPr>
              <w:pStyle w:val="TableText"/>
              <w:rPr>
                <w:snapToGrid w:val="0"/>
              </w:rPr>
            </w:pPr>
            <w:r>
              <w:rPr>
                <w:snapToGrid w:val="0"/>
              </w:rPr>
              <w:t>BMQ-concern</w:t>
            </w:r>
          </w:p>
        </w:tc>
        <w:tc>
          <w:tcPr>
            <w:tcW w:w="592" w:type="pct"/>
            <w:shd w:val="clear" w:color="auto" w:fill="auto"/>
            <w:vAlign w:val="center"/>
          </w:tcPr>
          <w:p w14:paraId="12FCA708" w14:textId="77777777" w:rsidR="004E31BF" w:rsidRPr="002A6DEA" w:rsidRDefault="004E31BF" w:rsidP="004E31BF">
            <w:pPr>
              <w:pStyle w:val="TableText"/>
              <w:jc w:val="center"/>
              <w:rPr>
                <w:snapToGrid w:val="0"/>
              </w:rPr>
            </w:pPr>
            <w:r w:rsidRPr="002A6DEA">
              <w:rPr>
                <w:snapToGrid w:val="0"/>
              </w:rPr>
              <w:t>215</w:t>
            </w:r>
          </w:p>
        </w:tc>
        <w:tc>
          <w:tcPr>
            <w:tcW w:w="1207" w:type="pct"/>
            <w:shd w:val="clear" w:color="auto" w:fill="auto"/>
            <w:vAlign w:val="center"/>
          </w:tcPr>
          <w:p w14:paraId="01A097E8" w14:textId="77777777" w:rsidR="004E31BF" w:rsidRPr="002A6DEA" w:rsidRDefault="004E31BF" w:rsidP="004E31BF">
            <w:pPr>
              <w:pStyle w:val="TableText"/>
              <w:jc w:val="center"/>
              <w:rPr>
                <w:snapToGrid w:val="0"/>
              </w:rPr>
            </w:pPr>
            <w:r w:rsidRPr="002A6DEA">
              <w:t>13.80 (4.54)</w:t>
            </w:r>
          </w:p>
        </w:tc>
        <w:tc>
          <w:tcPr>
            <w:tcW w:w="1171" w:type="pct"/>
            <w:shd w:val="clear" w:color="auto" w:fill="auto"/>
            <w:vAlign w:val="center"/>
          </w:tcPr>
          <w:p w14:paraId="08F04307" w14:textId="77777777" w:rsidR="004E31BF" w:rsidRPr="002A6DEA" w:rsidRDefault="004E31BF" w:rsidP="004E31BF">
            <w:pPr>
              <w:pStyle w:val="TableText"/>
              <w:jc w:val="center"/>
              <w:rPr>
                <w:snapToGrid w:val="0"/>
              </w:rPr>
            </w:pPr>
            <w:r w:rsidRPr="002A6DEA">
              <w:t>13.00 (3.79)</w:t>
            </w:r>
          </w:p>
        </w:tc>
        <w:tc>
          <w:tcPr>
            <w:tcW w:w="989" w:type="pct"/>
            <w:shd w:val="clear" w:color="auto" w:fill="auto"/>
            <w:vAlign w:val="center"/>
          </w:tcPr>
          <w:p w14:paraId="04480950" w14:textId="1184CE74" w:rsidR="004E31BF" w:rsidRPr="002A6DEA" w:rsidRDefault="004E31BF" w:rsidP="004E31BF">
            <w:pPr>
              <w:pStyle w:val="TableText"/>
              <w:jc w:val="center"/>
              <w:rPr>
                <w:snapToGrid w:val="0"/>
              </w:rPr>
            </w:pPr>
            <w:r w:rsidRPr="002A6DEA">
              <w:t>0.8 (0.18, 1.42)</w:t>
            </w:r>
            <w:r w:rsidR="001E739E" w:rsidRPr="002A6DEA">
              <w:t xml:space="preserve"> </w:t>
            </w:r>
            <w:r w:rsidR="001E739E" w:rsidRPr="002A6DEA">
              <w:rPr>
                <w:vertAlign w:val="superscript"/>
              </w:rPr>
              <w:t>a</w:t>
            </w:r>
          </w:p>
        </w:tc>
        <w:tc>
          <w:tcPr>
            <w:tcW w:w="449" w:type="pct"/>
            <w:vAlign w:val="center"/>
          </w:tcPr>
          <w:p w14:paraId="5A99EFA8" w14:textId="77777777" w:rsidR="004E31BF" w:rsidRPr="002A6DEA" w:rsidRDefault="004E31BF" w:rsidP="004E31BF">
            <w:pPr>
              <w:pStyle w:val="TableText"/>
              <w:jc w:val="center"/>
              <w:rPr>
                <w:snapToGrid w:val="0"/>
              </w:rPr>
            </w:pPr>
            <w:r w:rsidRPr="002A6DEA">
              <w:t>0.01*</w:t>
            </w:r>
          </w:p>
        </w:tc>
      </w:tr>
      <w:tr w:rsidR="004E31BF" w14:paraId="2CFDC902" w14:textId="77777777" w:rsidTr="004E31BF">
        <w:tc>
          <w:tcPr>
            <w:tcW w:w="592" w:type="pct"/>
            <w:vAlign w:val="center"/>
          </w:tcPr>
          <w:p w14:paraId="365BBFC6" w14:textId="77777777" w:rsidR="004E31BF" w:rsidRDefault="004E31BF" w:rsidP="004E31BF">
            <w:pPr>
              <w:pStyle w:val="TableText"/>
              <w:rPr>
                <w:snapToGrid w:val="0"/>
              </w:rPr>
            </w:pPr>
            <w:r>
              <w:rPr>
                <w:snapToGrid w:val="0"/>
              </w:rPr>
              <w:t>RAM</w:t>
            </w:r>
          </w:p>
        </w:tc>
        <w:tc>
          <w:tcPr>
            <w:tcW w:w="592" w:type="pct"/>
            <w:shd w:val="clear" w:color="auto" w:fill="auto"/>
            <w:vAlign w:val="center"/>
          </w:tcPr>
          <w:p w14:paraId="78D8CF71" w14:textId="77777777" w:rsidR="004E31BF" w:rsidRPr="002A6DEA" w:rsidRDefault="004E31BF" w:rsidP="004E31BF">
            <w:pPr>
              <w:pStyle w:val="TableText"/>
              <w:jc w:val="center"/>
              <w:rPr>
                <w:snapToGrid w:val="0"/>
              </w:rPr>
            </w:pPr>
            <w:r w:rsidRPr="002A6DEA">
              <w:rPr>
                <w:snapToGrid w:val="0"/>
              </w:rPr>
              <w:t>215</w:t>
            </w:r>
          </w:p>
        </w:tc>
        <w:tc>
          <w:tcPr>
            <w:tcW w:w="1207" w:type="pct"/>
            <w:shd w:val="clear" w:color="auto" w:fill="auto"/>
            <w:vAlign w:val="center"/>
          </w:tcPr>
          <w:p w14:paraId="309B0AF4" w14:textId="77777777" w:rsidR="004E31BF" w:rsidRPr="002A6DEA" w:rsidRDefault="004E31BF" w:rsidP="004E31BF">
            <w:pPr>
              <w:pStyle w:val="TableText"/>
              <w:jc w:val="center"/>
              <w:rPr>
                <w:snapToGrid w:val="0"/>
              </w:rPr>
            </w:pPr>
            <w:r w:rsidRPr="002A6DEA">
              <w:t>15.27 (3.29)</w:t>
            </w:r>
          </w:p>
        </w:tc>
        <w:tc>
          <w:tcPr>
            <w:tcW w:w="1171" w:type="pct"/>
            <w:shd w:val="clear" w:color="auto" w:fill="auto"/>
            <w:vAlign w:val="center"/>
          </w:tcPr>
          <w:p w14:paraId="46FFF181" w14:textId="77777777" w:rsidR="004E31BF" w:rsidRPr="002A6DEA" w:rsidRDefault="004E31BF" w:rsidP="004E31BF">
            <w:pPr>
              <w:pStyle w:val="TableText"/>
              <w:jc w:val="center"/>
              <w:rPr>
                <w:snapToGrid w:val="0"/>
              </w:rPr>
            </w:pPr>
            <w:r w:rsidRPr="002A6DEA">
              <w:t>15.84 (3.09)</w:t>
            </w:r>
          </w:p>
        </w:tc>
        <w:tc>
          <w:tcPr>
            <w:tcW w:w="989" w:type="pct"/>
            <w:shd w:val="clear" w:color="auto" w:fill="auto"/>
            <w:vAlign w:val="center"/>
          </w:tcPr>
          <w:p w14:paraId="63E0CAE9" w14:textId="2EF0E3E6" w:rsidR="004E31BF" w:rsidRPr="002A6DEA" w:rsidRDefault="004E31BF" w:rsidP="004E31BF">
            <w:pPr>
              <w:pStyle w:val="TableText"/>
              <w:jc w:val="center"/>
              <w:rPr>
                <w:snapToGrid w:val="0"/>
              </w:rPr>
            </w:pPr>
            <w:r w:rsidRPr="002A6DEA">
              <w:t>-0.57 (-1.04, -0.09)</w:t>
            </w:r>
            <w:r w:rsidR="001E739E" w:rsidRPr="002A6DEA">
              <w:t xml:space="preserve"> </w:t>
            </w:r>
            <w:r w:rsidR="001E739E" w:rsidRPr="002A6DEA">
              <w:rPr>
                <w:vertAlign w:val="superscript"/>
              </w:rPr>
              <w:t>a</w:t>
            </w:r>
          </w:p>
        </w:tc>
        <w:tc>
          <w:tcPr>
            <w:tcW w:w="449" w:type="pct"/>
            <w:vAlign w:val="center"/>
          </w:tcPr>
          <w:p w14:paraId="41D53FCF" w14:textId="77777777" w:rsidR="004E31BF" w:rsidRPr="002A6DEA" w:rsidRDefault="004E31BF" w:rsidP="004E31BF">
            <w:pPr>
              <w:pStyle w:val="TableText"/>
              <w:jc w:val="center"/>
              <w:rPr>
                <w:snapToGrid w:val="0"/>
              </w:rPr>
            </w:pPr>
            <w:r w:rsidRPr="002A6DEA">
              <w:t>0.02*</w:t>
            </w:r>
          </w:p>
        </w:tc>
      </w:tr>
      <w:tr w:rsidR="004E31BF" w14:paraId="01901341" w14:textId="77777777" w:rsidTr="004E31BF">
        <w:tc>
          <w:tcPr>
            <w:tcW w:w="592" w:type="pct"/>
            <w:vAlign w:val="center"/>
          </w:tcPr>
          <w:p w14:paraId="218CA3DD" w14:textId="4F67CBBF" w:rsidR="004E31BF" w:rsidRDefault="004E31BF" w:rsidP="004E31BF">
            <w:pPr>
              <w:pStyle w:val="TableText"/>
              <w:rPr>
                <w:snapToGrid w:val="0"/>
              </w:rPr>
            </w:pPr>
            <w:r w:rsidRPr="000E26E3">
              <w:rPr>
                <w:rFonts w:cstheme="minorHAnsi"/>
                <w:snapToGrid w:val="0"/>
              </w:rPr>
              <w:t>MPR</w:t>
            </w:r>
          </w:p>
        </w:tc>
        <w:tc>
          <w:tcPr>
            <w:tcW w:w="592" w:type="pct"/>
            <w:shd w:val="clear" w:color="auto" w:fill="auto"/>
            <w:vAlign w:val="center"/>
          </w:tcPr>
          <w:p w14:paraId="2B772037" w14:textId="5C0035E7" w:rsidR="004E31BF" w:rsidRPr="002A6DEA" w:rsidRDefault="004E31BF" w:rsidP="004E31BF">
            <w:pPr>
              <w:pStyle w:val="TableText"/>
              <w:jc w:val="center"/>
              <w:rPr>
                <w:snapToGrid w:val="0"/>
              </w:rPr>
            </w:pPr>
            <w:r w:rsidRPr="002A6DEA">
              <w:rPr>
                <w:rFonts w:cstheme="minorHAnsi"/>
              </w:rPr>
              <w:t>599</w:t>
            </w:r>
          </w:p>
        </w:tc>
        <w:tc>
          <w:tcPr>
            <w:tcW w:w="1207" w:type="pct"/>
            <w:shd w:val="clear" w:color="auto" w:fill="auto"/>
            <w:vAlign w:val="center"/>
          </w:tcPr>
          <w:p w14:paraId="141BAA09" w14:textId="0F20BEC1" w:rsidR="004E31BF" w:rsidRPr="002A6DEA" w:rsidRDefault="004E31BF" w:rsidP="004E31BF">
            <w:pPr>
              <w:pStyle w:val="TableText"/>
              <w:jc w:val="center"/>
            </w:pPr>
            <w:r w:rsidRPr="002A6DEA">
              <w:rPr>
                <w:rFonts w:cstheme="minorHAnsi"/>
              </w:rPr>
              <w:t>0.83 (0.59-0.99)</w:t>
            </w:r>
          </w:p>
        </w:tc>
        <w:tc>
          <w:tcPr>
            <w:tcW w:w="1171" w:type="pct"/>
            <w:shd w:val="clear" w:color="auto" w:fill="auto"/>
            <w:vAlign w:val="center"/>
          </w:tcPr>
          <w:p w14:paraId="0456DCC3" w14:textId="7642B1CD" w:rsidR="004E31BF" w:rsidRPr="002A6DEA" w:rsidRDefault="004E31BF" w:rsidP="004E31BF">
            <w:pPr>
              <w:pStyle w:val="TableText"/>
              <w:jc w:val="center"/>
            </w:pPr>
            <w:r w:rsidRPr="002A6DEA">
              <w:rPr>
                <w:rFonts w:cstheme="minorHAnsi"/>
              </w:rPr>
              <w:t>0.92 (0.62-1.02)</w:t>
            </w:r>
          </w:p>
        </w:tc>
        <w:tc>
          <w:tcPr>
            <w:tcW w:w="989" w:type="pct"/>
            <w:shd w:val="clear" w:color="auto" w:fill="auto"/>
            <w:vAlign w:val="center"/>
          </w:tcPr>
          <w:p w14:paraId="135FCEE1" w14:textId="46626D21" w:rsidR="004E31BF" w:rsidRPr="002A6DEA" w:rsidRDefault="004E31BF" w:rsidP="004E31BF">
            <w:pPr>
              <w:pStyle w:val="TableText"/>
              <w:jc w:val="center"/>
            </w:pPr>
            <w:r w:rsidRPr="002A6DEA">
              <w:t>NR</w:t>
            </w:r>
          </w:p>
        </w:tc>
        <w:tc>
          <w:tcPr>
            <w:tcW w:w="449" w:type="pct"/>
            <w:vAlign w:val="center"/>
          </w:tcPr>
          <w:p w14:paraId="5D903D64" w14:textId="635559B3" w:rsidR="004E31BF" w:rsidRPr="002A6DEA" w:rsidRDefault="004E31BF" w:rsidP="004E31BF">
            <w:pPr>
              <w:pStyle w:val="TableText"/>
              <w:jc w:val="center"/>
            </w:pPr>
            <w:r w:rsidRPr="002A6DEA">
              <w:rPr>
                <w:rFonts w:cstheme="minorHAnsi"/>
              </w:rPr>
              <w:t>0.03*</w:t>
            </w:r>
          </w:p>
        </w:tc>
      </w:tr>
      <w:tr w:rsidR="004E31BF" w14:paraId="4B77A3CC" w14:textId="77777777" w:rsidTr="004E31BF">
        <w:tc>
          <w:tcPr>
            <w:tcW w:w="592" w:type="pct"/>
            <w:vAlign w:val="center"/>
          </w:tcPr>
          <w:p w14:paraId="70D71B87" w14:textId="62518DA8" w:rsidR="004E31BF" w:rsidRDefault="004E31BF" w:rsidP="004E31BF">
            <w:pPr>
              <w:pStyle w:val="TableText"/>
              <w:rPr>
                <w:snapToGrid w:val="0"/>
              </w:rPr>
            </w:pPr>
            <w:r w:rsidRPr="000E26E3">
              <w:rPr>
                <w:rFonts w:cstheme="minorHAnsi"/>
                <w:snapToGrid w:val="0"/>
              </w:rPr>
              <w:t>MPR</w:t>
            </w:r>
            <w:r w:rsidR="00A141EB">
              <w:rPr>
                <w:rFonts w:cstheme="minorHAnsi"/>
                <w:snapToGrid w:val="0"/>
              </w:rPr>
              <w:t xml:space="preserve"> </w:t>
            </w:r>
            <w:r w:rsidR="00A141EB" w:rsidRPr="000E26E3">
              <w:rPr>
                <w:rFonts w:cstheme="minorHAnsi"/>
                <w:snapToGrid w:val="0"/>
              </w:rPr>
              <w:t>Sensitivity</w:t>
            </w:r>
            <w:r w:rsidR="00A141EB">
              <w:rPr>
                <w:rFonts w:cstheme="minorHAnsi"/>
                <w:snapToGrid w:val="0"/>
              </w:rPr>
              <w:t>*</w:t>
            </w:r>
          </w:p>
        </w:tc>
        <w:tc>
          <w:tcPr>
            <w:tcW w:w="592" w:type="pct"/>
            <w:shd w:val="clear" w:color="auto" w:fill="auto"/>
            <w:vAlign w:val="center"/>
          </w:tcPr>
          <w:p w14:paraId="0748017C" w14:textId="5FE7608B" w:rsidR="004E31BF" w:rsidRPr="002A6DEA" w:rsidRDefault="004E31BF" w:rsidP="004E31BF">
            <w:pPr>
              <w:pStyle w:val="TableText"/>
              <w:jc w:val="center"/>
              <w:rPr>
                <w:snapToGrid w:val="0"/>
              </w:rPr>
            </w:pPr>
            <w:r w:rsidRPr="002A6DEA">
              <w:rPr>
                <w:rFonts w:cstheme="minorHAnsi"/>
              </w:rPr>
              <w:t>368</w:t>
            </w:r>
          </w:p>
        </w:tc>
        <w:tc>
          <w:tcPr>
            <w:tcW w:w="1207" w:type="pct"/>
            <w:shd w:val="clear" w:color="auto" w:fill="auto"/>
            <w:vAlign w:val="center"/>
          </w:tcPr>
          <w:p w14:paraId="706D93D6" w14:textId="4A6FAAE2" w:rsidR="004E31BF" w:rsidRPr="002A6DEA" w:rsidRDefault="004E31BF" w:rsidP="004E31BF">
            <w:pPr>
              <w:pStyle w:val="TableText"/>
              <w:jc w:val="center"/>
            </w:pPr>
            <w:r w:rsidRPr="002A6DEA">
              <w:rPr>
                <w:rFonts w:cstheme="minorHAnsi"/>
              </w:rPr>
              <w:t>0.83 (0.50-0.99)</w:t>
            </w:r>
          </w:p>
        </w:tc>
        <w:tc>
          <w:tcPr>
            <w:tcW w:w="1171" w:type="pct"/>
            <w:shd w:val="clear" w:color="auto" w:fill="auto"/>
            <w:vAlign w:val="center"/>
          </w:tcPr>
          <w:p w14:paraId="36CD75E0" w14:textId="38FB79A4" w:rsidR="004E31BF" w:rsidRPr="002A6DEA" w:rsidRDefault="004E31BF" w:rsidP="004E31BF">
            <w:pPr>
              <w:pStyle w:val="TableText"/>
              <w:jc w:val="center"/>
            </w:pPr>
            <w:r w:rsidRPr="002A6DEA">
              <w:rPr>
                <w:rFonts w:cstheme="minorHAnsi"/>
              </w:rPr>
              <w:t>0.92 (0.57-1.05)</w:t>
            </w:r>
          </w:p>
        </w:tc>
        <w:tc>
          <w:tcPr>
            <w:tcW w:w="989" w:type="pct"/>
            <w:shd w:val="clear" w:color="auto" w:fill="auto"/>
            <w:vAlign w:val="center"/>
          </w:tcPr>
          <w:p w14:paraId="032FD30B" w14:textId="58268C6D" w:rsidR="004E31BF" w:rsidRPr="002A6DEA" w:rsidRDefault="004E31BF" w:rsidP="004E31BF">
            <w:pPr>
              <w:pStyle w:val="TableText"/>
              <w:jc w:val="center"/>
            </w:pPr>
            <w:r w:rsidRPr="002A6DEA">
              <w:t>NR</w:t>
            </w:r>
          </w:p>
        </w:tc>
        <w:tc>
          <w:tcPr>
            <w:tcW w:w="449" w:type="pct"/>
            <w:vAlign w:val="center"/>
          </w:tcPr>
          <w:p w14:paraId="5CBFF71B" w14:textId="5C5F1D97" w:rsidR="004E31BF" w:rsidRPr="002A6DEA" w:rsidRDefault="004E31BF" w:rsidP="004E31BF">
            <w:pPr>
              <w:pStyle w:val="TableText"/>
              <w:jc w:val="center"/>
            </w:pPr>
            <w:r w:rsidRPr="002A6DEA">
              <w:rPr>
                <w:rFonts w:cstheme="minorHAnsi"/>
              </w:rPr>
              <w:t>&lt;0.01*</w:t>
            </w:r>
          </w:p>
        </w:tc>
      </w:tr>
      <w:tr w:rsidR="004E31BF" w:rsidRPr="00442CC0" w14:paraId="5F1C6833" w14:textId="77777777" w:rsidTr="004E31BF">
        <w:tc>
          <w:tcPr>
            <w:tcW w:w="592" w:type="pct"/>
            <w:tcBorders>
              <w:top w:val="single" w:sz="4" w:space="0" w:color="auto"/>
              <w:left w:val="single" w:sz="4" w:space="0" w:color="auto"/>
              <w:bottom w:val="single" w:sz="4" w:space="0" w:color="auto"/>
              <w:right w:val="single" w:sz="4" w:space="0" w:color="auto"/>
            </w:tcBorders>
            <w:vAlign w:val="center"/>
          </w:tcPr>
          <w:p w14:paraId="29FCC39F" w14:textId="77777777" w:rsidR="004E31BF" w:rsidRPr="004E31BF" w:rsidRDefault="004E31BF" w:rsidP="004E31BF">
            <w:pPr>
              <w:pStyle w:val="TableText"/>
              <w:rPr>
                <w:rFonts w:cstheme="minorHAnsi"/>
                <w:snapToGrid w:val="0"/>
              </w:rPr>
            </w:pPr>
            <w:r w:rsidRPr="004E31BF">
              <w:rPr>
                <w:rFonts w:cstheme="minorHAnsi"/>
                <w:snapToGrid w:val="0"/>
              </w:rPr>
              <w:t>GEM total</w:t>
            </w:r>
          </w:p>
        </w:tc>
        <w:tc>
          <w:tcPr>
            <w:tcW w:w="592" w:type="pct"/>
            <w:tcBorders>
              <w:top w:val="single" w:sz="4" w:space="0" w:color="auto"/>
              <w:left w:val="single" w:sz="4" w:space="0" w:color="auto"/>
              <w:bottom w:val="single" w:sz="4" w:space="0" w:color="auto"/>
              <w:right w:val="single" w:sz="4" w:space="0" w:color="auto"/>
            </w:tcBorders>
            <w:shd w:val="clear" w:color="auto" w:fill="auto"/>
            <w:vAlign w:val="center"/>
          </w:tcPr>
          <w:p w14:paraId="60E97F34" w14:textId="77777777" w:rsidR="004E31BF" w:rsidRPr="002A6DEA" w:rsidRDefault="004E31BF" w:rsidP="004E31BF">
            <w:pPr>
              <w:pStyle w:val="TableText"/>
              <w:jc w:val="center"/>
              <w:rPr>
                <w:rFonts w:cstheme="minorHAnsi"/>
              </w:rPr>
            </w:pPr>
            <w:r w:rsidRPr="002A6DEA">
              <w:rPr>
                <w:rFonts w:cstheme="minorHAnsi"/>
              </w:rPr>
              <w:t>96</w:t>
            </w:r>
          </w:p>
        </w:tc>
        <w:tc>
          <w:tcPr>
            <w:tcW w:w="1207" w:type="pct"/>
            <w:tcBorders>
              <w:top w:val="single" w:sz="4" w:space="0" w:color="auto"/>
              <w:left w:val="single" w:sz="4" w:space="0" w:color="auto"/>
              <w:bottom w:val="single" w:sz="4" w:space="0" w:color="auto"/>
              <w:right w:val="single" w:sz="4" w:space="0" w:color="auto"/>
            </w:tcBorders>
            <w:shd w:val="clear" w:color="auto" w:fill="auto"/>
            <w:vAlign w:val="center"/>
          </w:tcPr>
          <w:p w14:paraId="78C1E2ED" w14:textId="77777777" w:rsidR="004E31BF" w:rsidRPr="002A6DEA" w:rsidRDefault="004E31BF" w:rsidP="004E31BF">
            <w:pPr>
              <w:pStyle w:val="TableText"/>
              <w:jc w:val="center"/>
              <w:rPr>
                <w:rFonts w:cstheme="minorHAnsi"/>
              </w:rPr>
            </w:pPr>
            <w:r w:rsidRPr="002A6DEA">
              <w:rPr>
                <w:rFonts w:cstheme="minorHAnsi"/>
              </w:rPr>
              <w:t>88.83 (16.93)</w:t>
            </w:r>
          </w:p>
        </w:tc>
        <w:tc>
          <w:tcPr>
            <w:tcW w:w="1171" w:type="pct"/>
            <w:tcBorders>
              <w:top w:val="single" w:sz="4" w:space="0" w:color="auto"/>
              <w:left w:val="single" w:sz="4" w:space="0" w:color="auto"/>
              <w:bottom w:val="single" w:sz="4" w:space="0" w:color="auto"/>
              <w:right w:val="single" w:sz="4" w:space="0" w:color="auto"/>
            </w:tcBorders>
            <w:shd w:val="clear" w:color="auto" w:fill="auto"/>
            <w:vAlign w:val="center"/>
          </w:tcPr>
          <w:p w14:paraId="412B93A9" w14:textId="77777777" w:rsidR="004E31BF" w:rsidRPr="002A6DEA" w:rsidRDefault="004E31BF" w:rsidP="004E31BF">
            <w:pPr>
              <w:pStyle w:val="TableText"/>
              <w:jc w:val="center"/>
              <w:rPr>
                <w:rFonts w:cstheme="minorHAnsi"/>
              </w:rPr>
            </w:pPr>
            <w:r w:rsidRPr="002A6DEA">
              <w:rPr>
                <w:rFonts w:cstheme="minorHAnsi"/>
              </w:rPr>
              <w:t>92.96 (16.22)</w:t>
            </w:r>
          </w:p>
        </w:tc>
        <w:tc>
          <w:tcPr>
            <w:tcW w:w="989" w:type="pct"/>
            <w:tcBorders>
              <w:top w:val="single" w:sz="4" w:space="0" w:color="auto"/>
              <w:left w:val="single" w:sz="4" w:space="0" w:color="auto"/>
              <w:bottom w:val="single" w:sz="4" w:space="0" w:color="auto"/>
              <w:right w:val="single" w:sz="4" w:space="0" w:color="auto"/>
            </w:tcBorders>
            <w:shd w:val="clear" w:color="auto" w:fill="auto"/>
            <w:vAlign w:val="center"/>
          </w:tcPr>
          <w:p w14:paraId="3FCC9416" w14:textId="6A63CB63" w:rsidR="004E31BF" w:rsidRPr="002A6DEA" w:rsidRDefault="004E31BF" w:rsidP="004E31BF">
            <w:pPr>
              <w:pStyle w:val="TableText"/>
              <w:jc w:val="center"/>
            </w:pPr>
            <w:r w:rsidRPr="002A6DEA">
              <w:t>-4.13 (-7.19, -1.06)</w:t>
            </w:r>
            <w:r w:rsidR="001E739E" w:rsidRPr="002A6DEA">
              <w:t xml:space="preserve"> </w:t>
            </w:r>
            <w:r w:rsidR="001E739E" w:rsidRPr="002A6DEA">
              <w:rPr>
                <w:vertAlign w:val="superscript"/>
              </w:rPr>
              <w:t>a</w:t>
            </w:r>
          </w:p>
        </w:tc>
        <w:tc>
          <w:tcPr>
            <w:tcW w:w="449" w:type="pct"/>
            <w:tcBorders>
              <w:top w:val="single" w:sz="4" w:space="0" w:color="auto"/>
              <w:left w:val="single" w:sz="4" w:space="0" w:color="auto"/>
              <w:bottom w:val="single" w:sz="4" w:space="0" w:color="auto"/>
              <w:right w:val="single" w:sz="4" w:space="0" w:color="auto"/>
            </w:tcBorders>
            <w:vAlign w:val="center"/>
          </w:tcPr>
          <w:p w14:paraId="2659D3BB" w14:textId="77777777" w:rsidR="004E31BF" w:rsidRPr="002A6DEA" w:rsidRDefault="004E31BF" w:rsidP="004E31BF">
            <w:pPr>
              <w:pStyle w:val="TableText"/>
              <w:jc w:val="center"/>
              <w:rPr>
                <w:rFonts w:cstheme="minorHAnsi"/>
              </w:rPr>
            </w:pPr>
            <w:r w:rsidRPr="002A6DEA">
              <w:rPr>
                <w:rFonts w:cstheme="minorHAnsi"/>
              </w:rPr>
              <w:t>0.009*</w:t>
            </w:r>
          </w:p>
        </w:tc>
      </w:tr>
      <w:tr w:rsidR="004E31BF" w14:paraId="6CE87CC3" w14:textId="77777777" w:rsidTr="004E31BF">
        <w:tc>
          <w:tcPr>
            <w:tcW w:w="592" w:type="pct"/>
            <w:tcBorders>
              <w:top w:val="single" w:sz="4" w:space="0" w:color="auto"/>
              <w:left w:val="single" w:sz="4" w:space="0" w:color="auto"/>
              <w:bottom w:val="single" w:sz="4" w:space="0" w:color="auto"/>
              <w:right w:val="single" w:sz="4" w:space="0" w:color="auto"/>
            </w:tcBorders>
            <w:vAlign w:val="center"/>
          </w:tcPr>
          <w:p w14:paraId="5FD6605D" w14:textId="269A20AA" w:rsidR="004E31BF" w:rsidRPr="004E31BF" w:rsidRDefault="00A141EB" w:rsidP="004E31BF">
            <w:pPr>
              <w:pStyle w:val="TableText"/>
              <w:rPr>
                <w:rFonts w:cstheme="minorHAnsi"/>
                <w:snapToGrid w:val="0"/>
              </w:rPr>
            </w:pPr>
            <w:r>
              <w:rPr>
                <w:rFonts w:cstheme="minorHAnsi"/>
                <w:snapToGrid w:val="0"/>
              </w:rPr>
              <w:t xml:space="preserve">GEM - </w:t>
            </w:r>
            <w:r w:rsidR="004E31BF" w:rsidRPr="004E31BF">
              <w:rPr>
                <w:rFonts w:cstheme="minorHAnsi"/>
                <w:snapToGrid w:val="0"/>
              </w:rPr>
              <w:t>Inner peace</w:t>
            </w:r>
          </w:p>
        </w:tc>
        <w:tc>
          <w:tcPr>
            <w:tcW w:w="592" w:type="pct"/>
            <w:tcBorders>
              <w:top w:val="single" w:sz="4" w:space="0" w:color="auto"/>
              <w:left w:val="single" w:sz="4" w:space="0" w:color="auto"/>
              <w:bottom w:val="single" w:sz="4" w:space="0" w:color="auto"/>
              <w:right w:val="single" w:sz="4" w:space="0" w:color="auto"/>
            </w:tcBorders>
            <w:shd w:val="clear" w:color="auto" w:fill="auto"/>
            <w:vAlign w:val="center"/>
          </w:tcPr>
          <w:p w14:paraId="3E3BC8F2" w14:textId="77777777" w:rsidR="004E31BF" w:rsidRPr="002A6DEA" w:rsidRDefault="004E31BF" w:rsidP="004E31BF">
            <w:pPr>
              <w:pStyle w:val="TableText"/>
              <w:jc w:val="center"/>
              <w:rPr>
                <w:rFonts w:cstheme="minorHAnsi"/>
              </w:rPr>
            </w:pPr>
            <w:r w:rsidRPr="002A6DEA">
              <w:rPr>
                <w:rFonts w:cstheme="minorHAnsi"/>
              </w:rPr>
              <w:t>96</w:t>
            </w:r>
          </w:p>
        </w:tc>
        <w:tc>
          <w:tcPr>
            <w:tcW w:w="1207" w:type="pct"/>
            <w:tcBorders>
              <w:top w:val="single" w:sz="4" w:space="0" w:color="auto"/>
              <w:left w:val="single" w:sz="4" w:space="0" w:color="auto"/>
              <w:bottom w:val="single" w:sz="4" w:space="0" w:color="auto"/>
              <w:right w:val="single" w:sz="4" w:space="0" w:color="auto"/>
            </w:tcBorders>
            <w:shd w:val="clear" w:color="auto" w:fill="auto"/>
            <w:vAlign w:val="center"/>
          </w:tcPr>
          <w:p w14:paraId="1698BABE" w14:textId="77777777" w:rsidR="004E31BF" w:rsidRPr="002A6DEA" w:rsidRDefault="004E31BF" w:rsidP="004E31BF">
            <w:pPr>
              <w:pStyle w:val="TableText"/>
              <w:jc w:val="center"/>
              <w:rPr>
                <w:rFonts w:cstheme="minorHAnsi"/>
              </w:rPr>
            </w:pPr>
            <w:r w:rsidRPr="002A6DEA">
              <w:rPr>
                <w:rFonts w:cstheme="minorHAnsi"/>
              </w:rPr>
              <w:t>31.5 (6.41)</w:t>
            </w:r>
          </w:p>
        </w:tc>
        <w:tc>
          <w:tcPr>
            <w:tcW w:w="1171" w:type="pct"/>
            <w:tcBorders>
              <w:top w:val="single" w:sz="4" w:space="0" w:color="auto"/>
              <w:left w:val="single" w:sz="4" w:space="0" w:color="auto"/>
              <w:bottom w:val="single" w:sz="4" w:space="0" w:color="auto"/>
              <w:right w:val="single" w:sz="4" w:space="0" w:color="auto"/>
            </w:tcBorders>
            <w:shd w:val="clear" w:color="auto" w:fill="auto"/>
            <w:vAlign w:val="center"/>
          </w:tcPr>
          <w:p w14:paraId="7C40C1CB" w14:textId="77777777" w:rsidR="004E31BF" w:rsidRPr="002A6DEA" w:rsidRDefault="004E31BF" w:rsidP="004E31BF">
            <w:pPr>
              <w:pStyle w:val="TableText"/>
              <w:jc w:val="center"/>
              <w:rPr>
                <w:rFonts w:cstheme="minorHAnsi"/>
              </w:rPr>
            </w:pPr>
            <w:r w:rsidRPr="002A6DEA">
              <w:rPr>
                <w:rFonts w:cstheme="minorHAnsi"/>
              </w:rPr>
              <w:t>33.03 (6.09)</w:t>
            </w:r>
          </w:p>
        </w:tc>
        <w:tc>
          <w:tcPr>
            <w:tcW w:w="989" w:type="pct"/>
            <w:tcBorders>
              <w:top w:val="single" w:sz="4" w:space="0" w:color="auto"/>
              <w:left w:val="single" w:sz="4" w:space="0" w:color="auto"/>
              <w:bottom w:val="single" w:sz="4" w:space="0" w:color="auto"/>
              <w:right w:val="single" w:sz="4" w:space="0" w:color="auto"/>
            </w:tcBorders>
            <w:shd w:val="clear" w:color="auto" w:fill="auto"/>
            <w:vAlign w:val="center"/>
          </w:tcPr>
          <w:p w14:paraId="5B57807B" w14:textId="117E9732" w:rsidR="004E31BF" w:rsidRPr="002A6DEA" w:rsidRDefault="004E31BF" w:rsidP="004E31BF">
            <w:pPr>
              <w:pStyle w:val="TableText"/>
              <w:jc w:val="center"/>
            </w:pPr>
            <w:r w:rsidRPr="002A6DEA">
              <w:t>-1.53 (-2.82,-0.24)</w:t>
            </w:r>
            <w:r w:rsidR="001E739E" w:rsidRPr="002A6DEA">
              <w:t xml:space="preserve"> </w:t>
            </w:r>
            <w:r w:rsidR="001E739E" w:rsidRPr="002A6DEA">
              <w:rPr>
                <w:vertAlign w:val="superscript"/>
              </w:rPr>
              <w:t>a</w:t>
            </w:r>
          </w:p>
        </w:tc>
        <w:tc>
          <w:tcPr>
            <w:tcW w:w="449" w:type="pct"/>
            <w:tcBorders>
              <w:top w:val="single" w:sz="4" w:space="0" w:color="auto"/>
              <w:left w:val="single" w:sz="4" w:space="0" w:color="auto"/>
              <w:bottom w:val="single" w:sz="4" w:space="0" w:color="auto"/>
              <w:right w:val="single" w:sz="4" w:space="0" w:color="auto"/>
            </w:tcBorders>
            <w:vAlign w:val="center"/>
          </w:tcPr>
          <w:p w14:paraId="46E8D2B6" w14:textId="77777777" w:rsidR="004E31BF" w:rsidRPr="002A6DEA" w:rsidRDefault="004E31BF" w:rsidP="004E31BF">
            <w:pPr>
              <w:pStyle w:val="TableText"/>
              <w:jc w:val="center"/>
              <w:rPr>
                <w:rFonts w:cstheme="minorHAnsi"/>
              </w:rPr>
            </w:pPr>
            <w:r w:rsidRPr="002A6DEA">
              <w:rPr>
                <w:rFonts w:cstheme="minorHAnsi"/>
              </w:rPr>
              <w:t>0.02*</w:t>
            </w:r>
          </w:p>
        </w:tc>
      </w:tr>
      <w:tr w:rsidR="004E31BF" w14:paraId="19F8481D" w14:textId="77777777" w:rsidTr="004E31BF">
        <w:tc>
          <w:tcPr>
            <w:tcW w:w="592" w:type="pct"/>
            <w:tcBorders>
              <w:top w:val="single" w:sz="4" w:space="0" w:color="auto"/>
              <w:left w:val="single" w:sz="4" w:space="0" w:color="auto"/>
              <w:bottom w:val="single" w:sz="4" w:space="0" w:color="auto"/>
              <w:right w:val="single" w:sz="4" w:space="0" w:color="auto"/>
            </w:tcBorders>
            <w:vAlign w:val="center"/>
          </w:tcPr>
          <w:p w14:paraId="2E072D37" w14:textId="17E37E8F" w:rsidR="004E31BF" w:rsidRPr="004E31BF" w:rsidRDefault="00A141EB" w:rsidP="004E31BF">
            <w:pPr>
              <w:pStyle w:val="TableText"/>
              <w:rPr>
                <w:rFonts w:cstheme="minorHAnsi"/>
                <w:snapToGrid w:val="0"/>
              </w:rPr>
            </w:pPr>
            <w:r>
              <w:rPr>
                <w:rFonts w:cstheme="minorHAnsi"/>
                <w:snapToGrid w:val="0"/>
              </w:rPr>
              <w:t xml:space="preserve">GEM - </w:t>
            </w:r>
            <w:r w:rsidR="004E31BF" w:rsidRPr="004E31BF">
              <w:rPr>
                <w:rFonts w:cstheme="minorHAnsi"/>
                <w:snapToGrid w:val="0"/>
              </w:rPr>
              <w:t>Self-capacity</w:t>
            </w:r>
          </w:p>
        </w:tc>
        <w:tc>
          <w:tcPr>
            <w:tcW w:w="592" w:type="pct"/>
            <w:tcBorders>
              <w:top w:val="single" w:sz="4" w:space="0" w:color="auto"/>
              <w:left w:val="single" w:sz="4" w:space="0" w:color="auto"/>
              <w:bottom w:val="single" w:sz="4" w:space="0" w:color="auto"/>
              <w:right w:val="single" w:sz="4" w:space="0" w:color="auto"/>
            </w:tcBorders>
            <w:shd w:val="clear" w:color="auto" w:fill="auto"/>
            <w:vAlign w:val="center"/>
          </w:tcPr>
          <w:p w14:paraId="645E71DE" w14:textId="77777777" w:rsidR="004E31BF" w:rsidRPr="002A6DEA" w:rsidRDefault="004E31BF" w:rsidP="004E31BF">
            <w:pPr>
              <w:pStyle w:val="TableText"/>
              <w:jc w:val="center"/>
              <w:rPr>
                <w:rFonts w:cstheme="minorHAnsi"/>
              </w:rPr>
            </w:pPr>
            <w:r w:rsidRPr="002A6DEA">
              <w:rPr>
                <w:rFonts w:cstheme="minorHAnsi"/>
              </w:rPr>
              <w:t>96</w:t>
            </w:r>
          </w:p>
        </w:tc>
        <w:tc>
          <w:tcPr>
            <w:tcW w:w="1207" w:type="pct"/>
            <w:tcBorders>
              <w:top w:val="single" w:sz="4" w:space="0" w:color="auto"/>
              <w:left w:val="single" w:sz="4" w:space="0" w:color="auto"/>
              <w:bottom w:val="single" w:sz="4" w:space="0" w:color="auto"/>
              <w:right w:val="single" w:sz="4" w:space="0" w:color="auto"/>
            </w:tcBorders>
            <w:shd w:val="clear" w:color="auto" w:fill="auto"/>
            <w:vAlign w:val="center"/>
          </w:tcPr>
          <w:p w14:paraId="16433827" w14:textId="77777777" w:rsidR="004E31BF" w:rsidRPr="002A6DEA" w:rsidRDefault="004E31BF" w:rsidP="004E31BF">
            <w:pPr>
              <w:pStyle w:val="TableText"/>
              <w:jc w:val="center"/>
              <w:rPr>
                <w:rFonts w:cstheme="minorHAnsi"/>
              </w:rPr>
            </w:pPr>
            <w:r w:rsidRPr="002A6DEA">
              <w:rPr>
                <w:rFonts w:cstheme="minorHAnsi"/>
              </w:rPr>
              <w:t>20.1 (4.35)</w:t>
            </w:r>
          </w:p>
        </w:tc>
        <w:tc>
          <w:tcPr>
            <w:tcW w:w="1171" w:type="pct"/>
            <w:tcBorders>
              <w:top w:val="single" w:sz="4" w:space="0" w:color="auto"/>
              <w:left w:val="single" w:sz="4" w:space="0" w:color="auto"/>
              <w:bottom w:val="single" w:sz="4" w:space="0" w:color="auto"/>
              <w:right w:val="single" w:sz="4" w:space="0" w:color="auto"/>
            </w:tcBorders>
            <w:shd w:val="clear" w:color="auto" w:fill="auto"/>
            <w:vAlign w:val="center"/>
          </w:tcPr>
          <w:p w14:paraId="2BCDF63A" w14:textId="77777777" w:rsidR="004E31BF" w:rsidRPr="002A6DEA" w:rsidRDefault="004E31BF" w:rsidP="004E31BF">
            <w:pPr>
              <w:pStyle w:val="TableText"/>
              <w:jc w:val="center"/>
              <w:rPr>
                <w:rFonts w:cstheme="minorHAnsi"/>
              </w:rPr>
            </w:pPr>
            <w:r w:rsidRPr="002A6DEA">
              <w:rPr>
                <w:rFonts w:cstheme="minorHAnsi"/>
              </w:rPr>
              <w:t>21.04 (4.22)</w:t>
            </w:r>
          </w:p>
        </w:tc>
        <w:tc>
          <w:tcPr>
            <w:tcW w:w="989" w:type="pct"/>
            <w:tcBorders>
              <w:top w:val="single" w:sz="4" w:space="0" w:color="auto"/>
              <w:left w:val="single" w:sz="4" w:space="0" w:color="auto"/>
              <w:bottom w:val="single" w:sz="4" w:space="0" w:color="auto"/>
              <w:right w:val="single" w:sz="4" w:space="0" w:color="auto"/>
            </w:tcBorders>
            <w:shd w:val="clear" w:color="auto" w:fill="auto"/>
            <w:vAlign w:val="center"/>
          </w:tcPr>
          <w:p w14:paraId="176BE28B" w14:textId="407B00CD" w:rsidR="004E31BF" w:rsidRPr="002A6DEA" w:rsidRDefault="004E31BF" w:rsidP="004E31BF">
            <w:pPr>
              <w:pStyle w:val="TableText"/>
              <w:jc w:val="center"/>
            </w:pPr>
            <w:r w:rsidRPr="002A6DEA">
              <w:t>-0.94 (-1.82,-0.05)</w:t>
            </w:r>
            <w:r w:rsidR="001E739E" w:rsidRPr="002A6DEA">
              <w:t xml:space="preserve"> </w:t>
            </w:r>
            <w:r w:rsidR="001E739E" w:rsidRPr="002A6DEA">
              <w:rPr>
                <w:vertAlign w:val="superscript"/>
              </w:rPr>
              <w:t>a</w:t>
            </w:r>
          </w:p>
        </w:tc>
        <w:tc>
          <w:tcPr>
            <w:tcW w:w="449" w:type="pct"/>
            <w:tcBorders>
              <w:top w:val="single" w:sz="4" w:space="0" w:color="auto"/>
              <w:left w:val="single" w:sz="4" w:space="0" w:color="auto"/>
              <w:bottom w:val="single" w:sz="4" w:space="0" w:color="auto"/>
              <w:right w:val="single" w:sz="4" w:space="0" w:color="auto"/>
            </w:tcBorders>
            <w:vAlign w:val="center"/>
          </w:tcPr>
          <w:p w14:paraId="20DEAF50" w14:textId="77777777" w:rsidR="004E31BF" w:rsidRPr="002A6DEA" w:rsidRDefault="004E31BF" w:rsidP="004E31BF">
            <w:pPr>
              <w:pStyle w:val="TableText"/>
              <w:jc w:val="center"/>
              <w:rPr>
                <w:rFonts w:cstheme="minorHAnsi"/>
              </w:rPr>
            </w:pPr>
            <w:r w:rsidRPr="002A6DEA">
              <w:rPr>
                <w:rFonts w:cstheme="minorHAnsi"/>
              </w:rPr>
              <w:t>0.04*</w:t>
            </w:r>
          </w:p>
        </w:tc>
      </w:tr>
      <w:tr w:rsidR="004E31BF" w:rsidRPr="00A73AF6" w14:paraId="59E461FB" w14:textId="77777777" w:rsidTr="004E31BF">
        <w:tc>
          <w:tcPr>
            <w:tcW w:w="592" w:type="pct"/>
            <w:tcBorders>
              <w:top w:val="single" w:sz="4" w:space="0" w:color="auto"/>
              <w:left w:val="single" w:sz="4" w:space="0" w:color="auto"/>
              <w:bottom w:val="single" w:sz="4" w:space="0" w:color="auto"/>
              <w:right w:val="single" w:sz="4" w:space="0" w:color="auto"/>
            </w:tcBorders>
            <w:vAlign w:val="center"/>
          </w:tcPr>
          <w:p w14:paraId="64F32EEA" w14:textId="3A6F9875" w:rsidR="004E31BF" w:rsidRPr="004E31BF" w:rsidRDefault="00A141EB" w:rsidP="004E31BF">
            <w:pPr>
              <w:pStyle w:val="TableText"/>
              <w:rPr>
                <w:rFonts w:cstheme="minorHAnsi"/>
                <w:snapToGrid w:val="0"/>
              </w:rPr>
            </w:pPr>
            <w:r>
              <w:rPr>
                <w:rFonts w:cstheme="minorHAnsi"/>
                <w:snapToGrid w:val="0"/>
              </w:rPr>
              <w:t xml:space="preserve">GEM - </w:t>
            </w:r>
            <w:r w:rsidR="004E31BF" w:rsidRPr="004E31BF">
              <w:rPr>
                <w:rFonts w:cstheme="minorHAnsi"/>
                <w:snapToGrid w:val="0"/>
              </w:rPr>
              <w:t>Healing &amp; growth</w:t>
            </w:r>
          </w:p>
        </w:tc>
        <w:tc>
          <w:tcPr>
            <w:tcW w:w="592" w:type="pct"/>
            <w:tcBorders>
              <w:top w:val="single" w:sz="4" w:space="0" w:color="auto"/>
              <w:left w:val="single" w:sz="4" w:space="0" w:color="auto"/>
              <w:bottom w:val="single" w:sz="4" w:space="0" w:color="auto"/>
              <w:right w:val="single" w:sz="4" w:space="0" w:color="auto"/>
            </w:tcBorders>
            <w:shd w:val="clear" w:color="auto" w:fill="auto"/>
            <w:vAlign w:val="center"/>
          </w:tcPr>
          <w:p w14:paraId="605BB18E" w14:textId="77777777" w:rsidR="004E31BF" w:rsidRPr="002A6DEA" w:rsidRDefault="004E31BF" w:rsidP="004E31BF">
            <w:pPr>
              <w:pStyle w:val="TableText"/>
              <w:jc w:val="center"/>
              <w:rPr>
                <w:rFonts w:cstheme="minorHAnsi"/>
              </w:rPr>
            </w:pPr>
            <w:r w:rsidRPr="002A6DEA">
              <w:rPr>
                <w:rFonts w:cstheme="minorHAnsi"/>
              </w:rPr>
              <w:t>96</w:t>
            </w:r>
          </w:p>
        </w:tc>
        <w:tc>
          <w:tcPr>
            <w:tcW w:w="1207" w:type="pct"/>
            <w:tcBorders>
              <w:top w:val="single" w:sz="4" w:space="0" w:color="auto"/>
              <w:left w:val="single" w:sz="4" w:space="0" w:color="auto"/>
              <w:bottom w:val="single" w:sz="4" w:space="0" w:color="auto"/>
              <w:right w:val="single" w:sz="4" w:space="0" w:color="auto"/>
            </w:tcBorders>
            <w:shd w:val="clear" w:color="auto" w:fill="auto"/>
            <w:vAlign w:val="center"/>
          </w:tcPr>
          <w:p w14:paraId="38B779AA" w14:textId="77777777" w:rsidR="004E31BF" w:rsidRPr="002A6DEA" w:rsidRDefault="004E31BF" w:rsidP="004E31BF">
            <w:pPr>
              <w:pStyle w:val="TableText"/>
              <w:jc w:val="center"/>
              <w:rPr>
                <w:rFonts w:cstheme="minorHAnsi"/>
              </w:rPr>
            </w:pPr>
            <w:r w:rsidRPr="002A6DEA">
              <w:rPr>
                <w:rFonts w:cstheme="minorHAnsi"/>
              </w:rPr>
              <w:t>21.33 (5.72)</w:t>
            </w:r>
          </w:p>
        </w:tc>
        <w:tc>
          <w:tcPr>
            <w:tcW w:w="1171" w:type="pct"/>
            <w:tcBorders>
              <w:top w:val="single" w:sz="4" w:space="0" w:color="auto"/>
              <w:left w:val="single" w:sz="4" w:space="0" w:color="auto"/>
              <w:bottom w:val="single" w:sz="4" w:space="0" w:color="auto"/>
              <w:right w:val="single" w:sz="4" w:space="0" w:color="auto"/>
            </w:tcBorders>
            <w:shd w:val="clear" w:color="auto" w:fill="auto"/>
            <w:vAlign w:val="center"/>
          </w:tcPr>
          <w:p w14:paraId="71C349DE" w14:textId="77777777" w:rsidR="004E31BF" w:rsidRPr="002A6DEA" w:rsidRDefault="004E31BF" w:rsidP="004E31BF">
            <w:pPr>
              <w:pStyle w:val="TableText"/>
              <w:jc w:val="center"/>
              <w:rPr>
                <w:rFonts w:cstheme="minorHAnsi"/>
              </w:rPr>
            </w:pPr>
            <w:r w:rsidRPr="002A6DEA">
              <w:rPr>
                <w:rFonts w:cstheme="minorHAnsi"/>
              </w:rPr>
              <w:t>22.61 (4.81)</w:t>
            </w:r>
          </w:p>
        </w:tc>
        <w:tc>
          <w:tcPr>
            <w:tcW w:w="989" w:type="pct"/>
            <w:tcBorders>
              <w:top w:val="single" w:sz="4" w:space="0" w:color="auto"/>
              <w:left w:val="single" w:sz="4" w:space="0" w:color="auto"/>
              <w:bottom w:val="single" w:sz="4" w:space="0" w:color="auto"/>
              <w:right w:val="single" w:sz="4" w:space="0" w:color="auto"/>
            </w:tcBorders>
            <w:shd w:val="clear" w:color="auto" w:fill="auto"/>
            <w:vAlign w:val="center"/>
          </w:tcPr>
          <w:p w14:paraId="6BF5C50E" w14:textId="49DA95AF" w:rsidR="004E31BF" w:rsidRPr="002A6DEA" w:rsidRDefault="004E31BF" w:rsidP="004E31BF">
            <w:pPr>
              <w:pStyle w:val="TableText"/>
              <w:jc w:val="center"/>
            </w:pPr>
            <w:r w:rsidRPr="002A6DEA">
              <w:t>-1.28 (-2.39, -0.17)</w:t>
            </w:r>
            <w:r w:rsidR="001E739E" w:rsidRPr="002A6DEA">
              <w:t xml:space="preserve"> </w:t>
            </w:r>
            <w:r w:rsidR="001E739E" w:rsidRPr="002A6DEA">
              <w:rPr>
                <w:vertAlign w:val="superscript"/>
              </w:rPr>
              <w:t>a</w:t>
            </w:r>
          </w:p>
        </w:tc>
        <w:tc>
          <w:tcPr>
            <w:tcW w:w="449" w:type="pct"/>
            <w:tcBorders>
              <w:top w:val="single" w:sz="4" w:space="0" w:color="auto"/>
              <w:left w:val="single" w:sz="4" w:space="0" w:color="auto"/>
              <w:bottom w:val="single" w:sz="4" w:space="0" w:color="auto"/>
              <w:right w:val="single" w:sz="4" w:space="0" w:color="auto"/>
            </w:tcBorders>
            <w:vAlign w:val="center"/>
          </w:tcPr>
          <w:p w14:paraId="4E958A38" w14:textId="77777777" w:rsidR="004E31BF" w:rsidRPr="002A6DEA" w:rsidRDefault="004E31BF" w:rsidP="004E31BF">
            <w:pPr>
              <w:pStyle w:val="TableText"/>
              <w:jc w:val="center"/>
              <w:rPr>
                <w:rFonts w:cstheme="minorHAnsi"/>
              </w:rPr>
            </w:pPr>
            <w:r w:rsidRPr="002A6DEA">
              <w:rPr>
                <w:rFonts w:cstheme="minorHAnsi"/>
              </w:rPr>
              <w:t>0.02*</w:t>
            </w:r>
          </w:p>
        </w:tc>
      </w:tr>
      <w:tr w:rsidR="004E31BF" w:rsidRPr="00A73AF6" w14:paraId="5B52C86A" w14:textId="77777777" w:rsidTr="004E31BF">
        <w:tc>
          <w:tcPr>
            <w:tcW w:w="592" w:type="pct"/>
            <w:tcBorders>
              <w:top w:val="single" w:sz="4" w:space="0" w:color="auto"/>
              <w:left w:val="single" w:sz="4" w:space="0" w:color="auto"/>
              <w:bottom w:val="single" w:sz="4" w:space="0" w:color="auto"/>
              <w:right w:val="single" w:sz="4" w:space="0" w:color="auto"/>
            </w:tcBorders>
            <w:vAlign w:val="center"/>
          </w:tcPr>
          <w:p w14:paraId="298FB9A5" w14:textId="3A76A6BE" w:rsidR="004E31BF" w:rsidRPr="004E31BF" w:rsidRDefault="00A141EB" w:rsidP="004E31BF">
            <w:pPr>
              <w:pStyle w:val="TableText"/>
              <w:rPr>
                <w:rFonts w:cstheme="minorHAnsi"/>
                <w:snapToGrid w:val="0"/>
              </w:rPr>
            </w:pPr>
            <w:r>
              <w:rPr>
                <w:rFonts w:cstheme="minorHAnsi"/>
                <w:snapToGrid w:val="0"/>
              </w:rPr>
              <w:t xml:space="preserve">GEM - </w:t>
            </w:r>
            <w:r w:rsidR="004E31BF" w:rsidRPr="004E31BF">
              <w:rPr>
                <w:rFonts w:cstheme="minorHAnsi"/>
                <w:snapToGrid w:val="0"/>
              </w:rPr>
              <w:t>Connection &amp; purpose</w:t>
            </w:r>
          </w:p>
        </w:tc>
        <w:tc>
          <w:tcPr>
            <w:tcW w:w="592" w:type="pct"/>
            <w:tcBorders>
              <w:top w:val="single" w:sz="4" w:space="0" w:color="auto"/>
              <w:left w:val="single" w:sz="4" w:space="0" w:color="auto"/>
              <w:bottom w:val="single" w:sz="4" w:space="0" w:color="auto"/>
              <w:right w:val="single" w:sz="4" w:space="0" w:color="auto"/>
            </w:tcBorders>
            <w:shd w:val="clear" w:color="auto" w:fill="auto"/>
            <w:vAlign w:val="center"/>
          </w:tcPr>
          <w:p w14:paraId="09D1B228" w14:textId="77777777" w:rsidR="004E31BF" w:rsidRPr="002A6DEA" w:rsidRDefault="004E31BF" w:rsidP="004E31BF">
            <w:pPr>
              <w:pStyle w:val="TableText"/>
              <w:jc w:val="center"/>
              <w:rPr>
                <w:rFonts w:cstheme="minorHAnsi"/>
              </w:rPr>
            </w:pPr>
            <w:r w:rsidRPr="002A6DEA">
              <w:rPr>
                <w:rFonts w:cstheme="minorHAnsi"/>
              </w:rPr>
              <w:t>96</w:t>
            </w:r>
          </w:p>
        </w:tc>
        <w:tc>
          <w:tcPr>
            <w:tcW w:w="1207" w:type="pct"/>
            <w:tcBorders>
              <w:top w:val="single" w:sz="4" w:space="0" w:color="auto"/>
              <w:left w:val="single" w:sz="4" w:space="0" w:color="auto"/>
              <w:bottom w:val="single" w:sz="4" w:space="0" w:color="auto"/>
              <w:right w:val="single" w:sz="4" w:space="0" w:color="auto"/>
            </w:tcBorders>
            <w:shd w:val="clear" w:color="auto" w:fill="auto"/>
            <w:vAlign w:val="center"/>
          </w:tcPr>
          <w:p w14:paraId="4CAC5962" w14:textId="77777777" w:rsidR="004E31BF" w:rsidRPr="002A6DEA" w:rsidRDefault="004E31BF" w:rsidP="004E31BF">
            <w:pPr>
              <w:pStyle w:val="TableText"/>
              <w:jc w:val="center"/>
              <w:rPr>
                <w:rFonts w:cstheme="minorHAnsi"/>
              </w:rPr>
            </w:pPr>
            <w:r w:rsidRPr="002A6DEA">
              <w:rPr>
                <w:rFonts w:cstheme="minorHAnsi"/>
              </w:rPr>
              <w:t>11.57 (2.73)</w:t>
            </w:r>
          </w:p>
        </w:tc>
        <w:tc>
          <w:tcPr>
            <w:tcW w:w="1171" w:type="pct"/>
            <w:tcBorders>
              <w:top w:val="single" w:sz="4" w:space="0" w:color="auto"/>
              <w:left w:val="single" w:sz="4" w:space="0" w:color="auto"/>
              <w:bottom w:val="single" w:sz="4" w:space="0" w:color="auto"/>
              <w:right w:val="single" w:sz="4" w:space="0" w:color="auto"/>
            </w:tcBorders>
            <w:shd w:val="clear" w:color="auto" w:fill="auto"/>
            <w:vAlign w:val="center"/>
          </w:tcPr>
          <w:p w14:paraId="0AEDEEEE" w14:textId="77777777" w:rsidR="004E31BF" w:rsidRPr="002A6DEA" w:rsidRDefault="004E31BF" w:rsidP="004E31BF">
            <w:pPr>
              <w:pStyle w:val="TableText"/>
              <w:jc w:val="center"/>
              <w:rPr>
                <w:rFonts w:cstheme="minorHAnsi"/>
              </w:rPr>
            </w:pPr>
            <w:r w:rsidRPr="002A6DEA">
              <w:rPr>
                <w:rFonts w:cstheme="minorHAnsi"/>
              </w:rPr>
              <w:t>11.95 (2.56)</w:t>
            </w:r>
          </w:p>
        </w:tc>
        <w:tc>
          <w:tcPr>
            <w:tcW w:w="989" w:type="pct"/>
            <w:tcBorders>
              <w:top w:val="single" w:sz="4" w:space="0" w:color="auto"/>
              <w:left w:val="single" w:sz="4" w:space="0" w:color="auto"/>
              <w:bottom w:val="single" w:sz="4" w:space="0" w:color="auto"/>
              <w:right w:val="single" w:sz="4" w:space="0" w:color="auto"/>
            </w:tcBorders>
            <w:shd w:val="clear" w:color="auto" w:fill="auto"/>
            <w:vAlign w:val="center"/>
          </w:tcPr>
          <w:p w14:paraId="64F3CA45" w14:textId="61AD32EA" w:rsidR="004E31BF" w:rsidRPr="002A6DEA" w:rsidRDefault="004E31BF" w:rsidP="004E31BF">
            <w:pPr>
              <w:pStyle w:val="TableText"/>
              <w:jc w:val="center"/>
            </w:pPr>
            <w:r w:rsidRPr="002A6DEA">
              <w:t>-0.38 (-0.95, 0.20)</w:t>
            </w:r>
            <w:r w:rsidR="001E739E" w:rsidRPr="002A6DEA">
              <w:t xml:space="preserve"> </w:t>
            </w:r>
            <w:r w:rsidR="001E739E" w:rsidRPr="002A6DEA">
              <w:rPr>
                <w:vertAlign w:val="superscript"/>
              </w:rPr>
              <w:t>a</w:t>
            </w:r>
          </w:p>
        </w:tc>
        <w:tc>
          <w:tcPr>
            <w:tcW w:w="449" w:type="pct"/>
            <w:tcBorders>
              <w:top w:val="single" w:sz="4" w:space="0" w:color="auto"/>
              <w:left w:val="single" w:sz="4" w:space="0" w:color="auto"/>
              <w:bottom w:val="single" w:sz="4" w:space="0" w:color="auto"/>
              <w:right w:val="single" w:sz="4" w:space="0" w:color="auto"/>
            </w:tcBorders>
            <w:vAlign w:val="center"/>
          </w:tcPr>
          <w:p w14:paraId="77A3A08A" w14:textId="77777777" w:rsidR="004E31BF" w:rsidRPr="002A6DEA" w:rsidRDefault="004E31BF" w:rsidP="004E31BF">
            <w:pPr>
              <w:pStyle w:val="TableText"/>
              <w:jc w:val="center"/>
              <w:rPr>
                <w:rFonts w:cstheme="minorHAnsi"/>
              </w:rPr>
            </w:pPr>
            <w:r w:rsidRPr="002A6DEA">
              <w:rPr>
                <w:rFonts w:cstheme="minorHAnsi"/>
              </w:rPr>
              <w:t>0.20</w:t>
            </w:r>
          </w:p>
        </w:tc>
      </w:tr>
      <w:tr w:rsidR="004E31BF" w:rsidRPr="000E26E3" w14:paraId="2D384DBF" w14:textId="77777777" w:rsidTr="004E31BF">
        <w:tc>
          <w:tcPr>
            <w:tcW w:w="592" w:type="pct"/>
            <w:tcBorders>
              <w:top w:val="single" w:sz="4" w:space="0" w:color="auto"/>
              <w:left w:val="single" w:sz="4" w:space="0" w:color="auto"/>
              <w:bottom w:val="single" w:sz="4" w:space="0" w:color="auto"/>
              <w:right w:val="single" w:sz="4" w:space="0" w:color="auto"/>
            </w:tcBorders>
            <w:vAlign w:val="center"/>
          </w:tcPr>
          <w:p w14:paraId="1E2B39AA" w14:textId="77777777" w:rsidR="004E31BF" w:rsidRPr="004E31BF" w:rsidRDefault="004E31BF" w:rsidP="004E31BF">
            <w:pPr>
              <w:pStyle w:val="TableText"/>
              <w:rPr>
                <w:rFonts w:cstheme="minorHAnsi"/>
                <w:snapToGrid w:val="0"/>
              </w:rPr>
            </w:pPr>
            <w:r w:rsidRPr="004E31BF">
              <w:rPr>
                <w:rFonts w:cstheme="minorHAnsi"/>
                <w:snapToGrid w:val="0"/>
              </w:rPr>
              <w:t>K10 total score</w:t>
            </w:r>
          </w:p>
        </w:tc>
        <w:tc>
          <w:tcPr>
            <w:tcW w:w="592" w:type="pct"/>
            <w:tcBorders>
              <w:top w:val="single" w:sz="4" w:space="0" w:color="auto"/>
              <w:left w:val="single" w:sz="4" w:space="0" w:color="auto"/>
              <w:bottom w:val="single" w:sz="4" w:space="0" w:color="auto"/>
              <w:right w:val="single" w:sz="4" w:space="0" w:color="auto"/>
            </w:tcBorders>
            <w:shd w:val="clear" w:color="auto" w:fill="auto"/>
            <w:vAlign w:val="center"/>
          </w:tcPr>
          <w:p w14:paraId="7B4FE47A" w14:textId="77777777" w:rsidR="004E31BF" w:rsidRPr="002A6DEA" w:rsidRDefault="004E31BF" w:rsidP="004E31BF">
            <w:pPr>
              <w:pStyle w:val="TableText"/>
              <w:jc w:val="center"/>
              <w:rPr>
                <w:rFonts w:cstheme="minorHAnsi"/>
              </w:rPr>
            </w:pPr>
            <w:r w:rsidRPr="002A6DEA">
              <w:rPr>
                <w:rFonts w:cstheme="minorHAnsi"/>
              </w:rPr>
              <w:t>94</w:t>
            </w:r>
          </w:p>
        </w:tc>
        <w:tc>
          <w:tcPr>
            <w:tcW w:w="1207" w:type="pct"/>
            <w:tcBorders>
              <w:top w:val="single" w:sz="4" w:space="0" w:color="auto"/>
              <w:left w:val="single" w:sz="4" w:space="0" w:color="auto"/>
              <w:bottom w:val="single" w:sz="4" w:space="0" w:color="auto"/>
              <w:right w:val="single" w:sz="4" w:space="0" w:color="auto"/>
            </w:tcBorders>
            <w:shd w:val="clear" w:color="auto" w:fill="auto"/>
            <w:vAlign w:val="center"/>
          </w:tcPr>
          <w:p w14:paraId="42FD2597" w14:textId="77777777" w:rsidR="004E31BF" w:rsidRPr="002A6DEA" w:rsidRDefault="004E31BF" w:rsidP="004E31BF">
            <w:pPr>
              <w:pStyle w:val="TableText"/>
              <w:jc w:val="center"/>
              <w:rPr>
                <w:rFonts w:cstheme="minorHAnsi"/>
              </w:rPr>
            </w:pPr>
            <w:r w:rsidRPr="002A6DEA">
              <w:rPr>
                <w:rFonts w:cstheme="minorHAnsi"/>
              </w:rPr>
              <w:t>19.04 (9.01)</w:t>
            </w:r>
          </w:p>
        </w:tc>
        <w:tc>
          <w:tcPr>
            <w:tcW w:w="1171" w:type="pct"/>
            <w:tcBorders>
              <w:top w:val="single" w:sz="4" w:space="0" w:color="auto"/>
              <w:left w:val="single" w:sz="4" w:space="0" w:color="auto"/>
              <w:bottom w:val="single" w:sz="4" w:space="0" w:color="auto"/>
              <w:right w:val="single" w:sz="4" w:space="0" w:color="auto"/>
            </w:tcBorders>
            <w:shd w:val="clear" w:color="auto" w:fill="auto"/>
            <w:vAlign w:val="center"/>
          </w:tcPr>
          <w:p w14:paraId="0497E2B5" w14:textId="77777777" w:rsidR="004E31BF" w:rsidRPr="002A6DEA" w:rsidRDefault="004E31BF" w:rsidP="004E31BF">
            <w:pPr>
              <w:pStyle w:val="TableText"/>
              <w:jc w:val="center"/>
              <w:rPr>
                <w:rFonts w:cstheme="minorHAnsi"/>
              </w:rPr>
            </w:pPr>
            <w:r w:rsidRPr="002A6DEA">
              <w:rPr>
                <w:rFonts w:cstheme="minorHAnsi"/>
              </w:rPr>
              <w:t>17.80 (7.95)</w:t>
            </w:r>
          </w:p>
        </w:tc>
        <w:tc>
          <w:tcPr>
            <w:tcW w:w="989" w:type="pct"/>
            <w:tcBorders>
              <w:top w:val="single" w:sz="4" w:space="0" w:color="auto"/>
              <w:left w:val="single" w:sz="4" w:space="0" w:color="auto"/>
              <w:bottom w:val="single" w:sz="4" w:space="0" w:color="auto"/>
              <w:right w:val="single" w:sz="4" w:space="0" w:color="auto"/>
            </w:tcBorders>
            <w:shd w:val="clear" w:color="auto" w:fill="auto"/>
            <w:vAlign w:val="center"/>
          </w:tcPr>
          <w:p w14:paraId="51E0ECDB" w14:textId="4C871AC4" w:rsidR="004E31BF" w:rsidRPr="002A6DEA" w:rsidRDefault="004E31BF" w:rsidP="004E31BF">
            <w:pPr>
              <w:pStyle w:val="TableText"/>
              <w:jc w:val="center"/>
            </w:pPr>
            <w:r w:rsidRPr="002A6DEA">
              <w:t>1.24 (-0.47, 2.96)</w:t>
            </w:r>
            <w:r w:rsidR="001E739E" w:rsidRPr="002A6DEA">
              <w:t xml:space="preserve"> </w:t>
            </w:r>
            <w:r w:rsidR="001E739E" w:rsidRPr="002A6DEA">
              <w:rPr>
                <w:vertAlign w:val="superscript"/>
              </w:rPr>
              <w:t>a</w:t>
            </w:r>
          </w:p>
        </w:tc>
        <w:tc>
          <w:tcPr>
            <w:tcW w:w="449" w:type="pct"/>
            <w:tcBorders>
              <w:top w:val="single" w:sz="4" w:space="0" w:color="auto"/>
              <w:left w:val="single" w:sz="4" w:space="0" w:color="auto"/>
              <w:bottom w:val="single" w:sz="4" w:space="0" w:color="auto"/>
              <w:right w:val="single" w:sz="4" w:space="0" w:color="auto"/>
            </w:tcBorders>
            <w:vAlign w:val="center"/>
          </w:tcPr>
          <w:p w14:paraId="3CEB62C1" w14:textId="77777777" w:rsidR="004E31BF" w:rsidRPr="002A6DEA" w:rsidRDefault="004E31BF" w:rsidP="004E31BF">
            <w:pPr>
              <w:pStyle w:val="TableText"/>
              <w:jc w:val="center"/>
              <w:rPr>
                <w:rFonts w:cstheme="minorHAnsi"/>
              </w:rPr>
            </w:pPr>
            <w:r w:rsidRPr="002A6DEA">
              <w:rPr>
                <w:rFonts w:cstheme="minorHAnsi"/>
              </w:rPr>
              <w:t>0.15</w:t>
            </w:r>
          </w:p>
        </w:tc>
      </w:tr>
      <w:tr w:rsidR="004E31BF" w:rsidRPr="000E26E3" w14:paraId="4B7D07BA" w14:textId="77777777" w:rsidTr="004E31BF">
        <w:tc>
          <w:tcPr>
            <w:tcW w:w="592" w:type="pct"/>
            <w:tcBorders>
              <w:top w:val="single" w:sz="4" w:space="0" w:color="auto"/>
              <w:left w:val="single" w:sz="4" w:space="0" w:color="auto"/>
              <w:bottom w:val="single" w:sz="4" w:space="0" w:color="auto"/>
              <w:right w:val="single" w:sz="4" w:space="0" w:color="auto"/>
            </w:tcBorders>
            <w:vAlign w:val="center"/>
          </w:tcPr>
          <w:p w14:paraId="0394F15C" w14:textId="0DA5DBD9" w:rsidR="004E31BF" w:rsidRPr="004E31BF" w:rsidRDefault="004E31BF" w:rsidP="004E31BF">
            <w:pPr>
              <w:pStyle w:val="TableText"/>
              <w:rPr>
                <w:rFonts w:cstheme="minorHAnsi"/>
                <w:snapToGrid w:val="0"/>
              </w:rPr>
            </w:pPr>
            <w:r>
              <w:rPr>
                <w:rFonts w:cstheme="minorHAnsi"/>
                <w:snapToGrid w:val="0"/>
              </w:rPr>
              <w:t>TSQ -</w:t>
            </w:r>
            <w:r w:rsidRPr="004E31BF">
              <w:rPr>
                <w:rFonts w:cstheme="minorHAnsi"/>
                <w:snapToGrid w:val="0"/>
              </w:rPr>
              <w:t>Effectiveness</w:t>
            </w:r>
          </w:p>
        </w:tc>
        <w:tc>
          <w:tcPr>
            <w:tcW w:w="592" w:type="pct"/>
            <w:tcBorders>
              <w:top w:val="single" w:sz="4" w:space="0" w:color="auto"/>
              <w:left w:val="single" w:sz="4" w:space="0" w:color="auto"/>
              <w:bottom w:val="single" w:sz="4" w:space="0" w:color="auto"/>
              <w:right w:val="single" w:sz="4" w:space="0" w:color="auto"/>
            </w:tcBorders>
            <w:shd w:val="clear" w:color="auto" w:fill="auto"/>
            <w:vAlign w:val="center"/>
          </w:tcPr>
          <w:p w14:paraId="03FC1464" w14:textId="77777777" w:rsidR="004E31BF" w:rsidRPr="002A6DEA" w:rsidRDefault="004E31BF" w:rsidP="004E31BF">
            <w:pPr>
              <w:pStyle w:val="TableText"/>
              <w:jc w:val="center"/>
              <w:rPr>
                <w:rFonts w:cstheme="minorHAnsi"/>
              </w:rPr>
            </w:pPr>
            <w:r w:rsidRPr="002A6DEA">
              <w:rPr>
                <w:rFonts w:cstheme="minorHAnsi"/>
              </w:rPr>
              <w:t>220</w:t>
            </w:r>
          </w:p>
        </w:tc>
        <w:tc>
          <w:tcPr>
            <w:tcW w:w="1207" w:type="pct"/>
            <w:tcBorders>
              <w:top w:val="single" w:sz="4" w:space="0" w:color="auto"/>
              <w:left w:val="single" w:sz="4" w:space="0" w:color="auto"/>
              <w:bottom w:val="single" w:sz="4" w:space="0" w:color="auto"/>
              <w:right w:val="single" w:sz="4" w:space="0" w:color="auto"/>
            </w:tcBorders>
            <w:shd w:val="clear" w:color="auto" w:fill="auto"/>
            <w:vAlign w:val="center"/>
          </w:tcPr>
          <w:p w14:paraId="78A6FC1E" w14:textId="77777777" w:rsidR="004E31BF" w:rsidRPr="002A6DEA" w:rsidRDefault="004E31BF" w:rsidP="004E31BF">
            <w:pPr>
              <w:pStyle w:val="TableText"/>
              <w:jc w:val="center"/>
              <w:rPr>
                <w:rFonts w:cstheme="minorHAnsi"/>
              </w:rPr>
            </w:pPr>
            <w:r w:rsidRPr="002A6DEA">
              <w:rPr>
                <w:rFonts w:cstheme="minorHAnsi"/>
              </w:rPr>
              <w:t>80.51 (20.7)</w:t>
            </w:r>
          </w:p>
        </w:tc>
        <w:tc>
          <w:tcPr>
            <w:tcW w:w="1171" w:type="pct"/>
            <w:tcBorders>
              <w:top w:val="single" w:sz="4" w:space="0" w:color="auto"/>
              <w:left w:val="single" w:sz="4" w:space="0" w:color="auto"/>
              <w:bottom w:val="single" w:sz="4" w:space="0" w:color="auto"/>
              <w:right w:val="single" w:sz="4" w:space="0" w:color="auto"/>
            </w:tcBorders>
            <w:shd w:val="clear" w:color="auto" w:fill="auto"/>
            <w:vAlign w:val="center"/>
          </w:tcPr>
          <w:p w14:paraId="39230927" w14:textId="77777777" w:rsidR="004E31BF" w:rsidRPr="002A6DEA" w:rsidRDefault="004E31BF" w:rsidP="004E31BF">
            <w:pPr>
              <w:pStyle w:val="TableText"/>
              <w:jc w:val="center"/>
              <w:rPr>
                <w:rFonts w:cstheme="minorHAnsi"/>
              </w:rPr>
            </w:pPr>
            <w:r w:rsidRPr="002A6DEA">
              <w:rPr>
                <w:rFonts w:cstheme="minorHAnsi"/>
              </w:rPr>
              <w:t>86.74 (15.93)</w:t>
            </w:r>
          </w:p>
        </w:tc>
        <w:tc>
          <w:tcPr>
            <w:tcW w:w="989" w:type="pct"/>
            <w:tcBorders>
              <w:top w:val="single" w:sz="4" w:space="0" w:color="auto"/>
              <w:left w:val="single" w:sz="4" w:space="0" w:color="auto"/>
              <w:bottom w:val="single" w:sz="4" w:space="0" w:color="auto"/>
              <w:right w:val="single" w:sz="4" w:space="0" w:color="auto"/>
            </w:tcBorders>
            <w:shd w:val="clear" w:color="auto" w:fill="auto"/>
            <w:vAlign w:val="center"/>
          </w:tcPr>
          <w:p w14:paraId="1022F98F" w14:textId="761AB049" w:rsidR="004E31BF" w:rsidRPr="002A6DEA" w:rsidRDefault="004E31BF" w:rsidP="004E31BF">
            <w:pPr>
              <w:pStyle w:val="TableText"/>
              <w:jc w:val="center"/>
            </w:pPr>
            <w:r w:rsidRPr="002A6DEA">
              <w:t>-6.24 (-9.24, -3.23)</w:t>
            </w:r>
            <w:r w:rsidR="001E739E" w:rsidRPr="002A6DEA">
              <w:t xml:space="preserve"> </w:t>
            </w:r>
            <w:r w:rsidR="001E739E" w:rsidRPr="002A6DEA">
              <w:rPr>
                <w:vertAlign w:val="superscript"/>
              </w:rPr>
              <w:t>a</w:t>
            </w:r>
          </w:p>
        </w:tc>
        <w:tc>
          <w:tcPr>
            <w:tcW w:w="449" w:type="pct"/>
            <w:tcBorders>
              <w:top w:val="single" w:sz="4" w:space="0" w:color="auto"/>
              <w:left w:val="single" w:sz="4" w:space="0" w:color="auto"/>
              <w:bottom w:val="single" w:sz="4" w:space="0" w:color="auto"/>
              <w:right w:val="single" w:sz="4" w:space="0" w:color="auto"/>
            </w:tcBorders>
            <w:vAlign w:val="center"/>
          </w:tcPr>
          <w:p w14:paraId="28CC9501" w14:textId="77777777" w:rsidR="004E31BF" w:rsidRPr="002A6DEA" w:rsidRDefault="004E31BF" w:rsidP="004E31BF">
            <w:pPr>
              <w:pStyle w:val="TableText"/>
              <w:jc w:val="center"/>
              <w:rPr>
                <w:rFonts w:cstheme="minorHAnsi"/>
              </w:rPr>
            </w:pPr>
            <w:r w:rsidRPr="002A6DEA">
              <w:rPr>
                <w:rFonts w:cstheme="minorHAnsi"/>
              </w:rPr>
              <w:t>&lt;0.001*</w:t>
            </w:r>
          </w:p>
        </w:tc>
      </w:tr>
      <w:tr w:rsidR="004E31BF" w:rsidRPr="000E26E3" w14:paraId="53EA9294" w14:textId="77777777" w:rsidTr="004E31BF">
        <w:tc>
          <w:tcPr>
            <w:tcW w:w="592" w:type="pct"/>
            <w:tcBorders>
              <w:top w:val="single" w:sz="4" w:space="0" w:color="auto"/>
              <w:left w:val="single" w:sz="4" w:space="0" w:color="auto"/>
              <w:bottom w:val="single" w:sz="4" w:space="0" w:color="auto"/>
              <w:right w:val="single" w:sz="4" w:space="0" w:color="auto"/>
            </w:tcBorders>
            <w:vAlign w:val="center"/>
          </w:tcPr>
          <w:p w14:paraId="169E4589" w14:textId="1C812374" w:rsidR="004E31BF" w:rsidRPr="000E26E3" w:rsidRDefault="004E31BF" w:rsidP="004E31BF">
            <w:pPr>
              <w:pStyle w:val="TableText"/>
              <w:rPr>
                <w:rFonts w:cstheme="minorHAnsi"/>
                <w:snapToGrid w:val="0"/>
              </w:rPr>
            </w:pPr>
            <w:r>
              <w:rPr>
                <w:rFonts w:cstheme="minorHAnsi"/>
                <w:snapToGrid w:val="0"/>
              </w:rPr>
              <w:t xml:space="preserve">TSQ - </w:t>
            </w:r>
            <w:r w:rsidRPr="004E31BF">
              <w:rPr>
                <w:rFonts w:cstheme="minorHAnsi"/>
                <w:snapToGrid w:val="0"/>
              </w:rPr>
              <w:t>Side effects</w:t>
            </w:r>
          </w:p>
        </w:tc>
        <w:tc>
          <w:tcPr>
            <w:tcW w:w="592" w:type="pct"/>
            <w:tcBorders>
              <w:top w:val="single" w:sz="4" w:space="0" w:color="auto"/>
              <w:left w:val="single" w:sz="4" w:space="0" w:color="auto"/>
              <w:bottom w:val="single" w:sz="4" w:space="0" w:color="auto"/>
              <w:right w:val="single" w:sz="4" w:space="0" w:color="auto"/>
            </w:tcBorders>
            <w:shd w:val="clear" w:color="auto" w:fill="auto"/>
            <w:vAlign w:val="center"/>
          </w:tcPr>
          <w:p w14:paraId="50DE5FE0" w14:textId="77777777" w:rsidR="004E31BF" w:rsidRPr="002A6DEA" w:rsidRDefault="004E31BF" w:rsidP="004E31BF">
            <w:pPr>
              <w:pStyle w:val="TableText"/>
              <w:jc w:val="center"/>
              <w:rPr>
                <w:rFonts w:cstheme="minorHAnsi"/>
              </w:rPr>
            </w:pPr>
            <w:r w:rsidRPr="002A6DEA">
              <w:rPr>
                <w:rFonts w:cstheme="minorHAnsi"/>
              </w:rPr>
              <w:t>10</w:t>
            </w:r>
          </w:p>
        </w:tc>
        <w:tc>
          <w:tcPr>
            <w:tcW w:w="1207" w:type="pct"/>
            <w:tcBorders>
              <w:top w:val="single" w:sz="4" w:space="0" w:color="auto"/>
              <w:left w:val="single" w:sz="4" w:space="0" w:color="auto"/>
              <w:bottom w:val="single" w:sz="4" w:space="0" w:color="auto"/>
              <w:right w:val="single" w:sz="4" w:space="0" w:color="auto"/>
            </w:tcBorders>
            <w:shd w:val="clear" w:color="auto" w:fill="auto"/>
            <w:vAlign w:val="center"/>
          </w:tcPr>
          <w:p w14:paraId="7E10FCAC" w14:textId="77777777" w:rsidR="004E31BF" w:rsidRPr="002A6DEA" w:rsidRDefault="004E31BF" w:rsidP="004E31BF">
            <w:pPr>
              <w:pStyle w:val="TableText"/>
              <w:jc w:val="center"/>
              <w:rPr>
                <w:rFonts w:cstheme="minorHAnsi"/>
              </w:rPr>
            </w:pPr>
            <w:r w:rsidRPr="002A6DEA">
              <w:rPr>
                <w:rFonts w:cstheme="minorHAnsi"/>
              </w:rPr>
              <w:t>81.88 (28.02)</w:t>
            </w:r>
          </w:p>
        </w:tc>
        <w:tc>
          <w:tcPr>
            <w:tcW w:w="1171" w:type="pct"/>
            <w:tcBorders>
              <w:top w:val="single" w:sz="4" w:space="0" w:color="auto"/>
              <w:left w:val="single" w:sz="4" w:space="0" w:color="auto"/>
              <w:bottom w:val="single" w:sz="4" w:space="0" w:color="auto"/>
              <w:right w:val="single" w:sz="4" w:space="0" w:color="auto"/>
            </w:tcBorders>
            <w:shd w:val="clear" w:color="auto" w:fill="auto"/>
            <w:vAlign w:val="center"/>
          </w:tcPr>
          <w:p w14:paraId="6CBA4CB1" w14:textId="77777777" w:rsidR="004E31BF" w:rsidRPr="002A6DEA" w:rsidRDefault="004E31BF" w:rsidP="004E31BF">
            <w:pPr>
              <w:pStyle w:val="TableText"/>
              <w:jc w:val="center"/>
              <w:rPr>
                <w:rFonts w:cstheme="minorHAnsi"/>
              </w:rPr>
            </w:pPr>
            <w:r w:rsidRPr="002A6DEA">
              <w:rPr>
                <w:rFonts w:cstheme="minorHAnsi"/>
              </w:rPr>
              <w:t>75.63 (31.52)</w:t>
            </w:r>
          </w:p>
        </w:tc>
        <w:tc>
          <w:tcPr>
            <w:tcW w:w="989" w:type="pct"/>
            <w:tcBorders>
              <w:top w:val="single" w:sz="4" w:space="0" w:color="auto"/>
              <w:left w:val="single" w:sz="4" w:space="0" w:color="auto"/>
              <w:bottom w:val="single" w:sz="4" w:space="0" w:color="auto"/>
              <w:right w:val="single" w:sz="4" w:space="0" w:color="auto"/>
            </w:tcBorders>
            <w:shd w:val="clear" w:color="auto" w:fill="auto"/>
            <w:vAlign w:val="center"/>
          </w:tcPr>
          <w:p w14:paraId="421D0608" w14:textId="78E9CD9D" w:rsidR="004E31BF" w:rsidRPr="002A6DEA" w:rsidRDefault="004E31BF" w:rsidP="004E31BF">
            <w:pPr>
              <w:pStyle w:val="TableText"/>
              <w:jc w:val="center"/>
            </w:pPr>
            <w:r w:rsidRPr="002A6DEA">
              <w:t>6.25 (-21.23, 33.73)</w:t>
            </w:r>
            <w:r w:rsidR="001E739E" w:rsidRPr="002A6DEA">
              <w:t xml:space="preserve"> </w:t>
            </w:r>
            <w:r w:rsidR="001E739E" w:rsidRPr="002A6DEA">
              <w:rPr>
                <w:vertAlign w:val="superscript"/>
              </w:rPr>
              <w:t>a</w:t>
            </w:r>
          </w:p>
        </w:tc>
        <w:tc>
          <w:tcPr>
            <w:tcW w:w="449" w:type="pct"/>
            <w:tcBorders>
              <w:top w:val="single" w:sz="4" w:space="0" w:color="auto"/>
              <w:left w:val="single" w:sz="4" w:space="0" w:color="auto"/>
              <w:bottom w:val="single" w:sz="4" w:space="0" w:color="auto"/>
              <w:right w:val="single" w:sz="4" w:space="0" w:color="auto"/>
            </w:tcBorders>
            <w:vAlign w:val="center"/>
          </w:tcPr>
          <w:p w14:paraId="6E7D31C0" w14:textId="77777777" w:rsidR="004E31BF" w:rsidRPr="002A6DEA" w:rsidRDefault="004E31BF" w:rsidP="004E31BF">
            <w:pPr>
              <w:pStyle w:val="TableText"/>
              <w:jc w:val="center"/>
              <w:rPr>
                <w:rFonts w:cstheme="minorHAnsi"/>
              </w:rPr>
            </w:pPr>
            <w:r w:rsidRPr="002A6DEA">
              <w:rPr>
                <w:rFonts w:cstheme="minorHAnsi"/>
              </w:rPr>
              <w:t>0.62</w:t>
            </w:r>
          </w:p>
        </w:tc>
      </w:tr>
      <w:tr w:rsidR="004E31BF" w:rsidRPr="000E26E3" w14:paraId="2C62A71E" w14:textId="77777777" w:rsidTr="004E31BF">
        <w:tc>
          <w:tcPr>
            <w:tcW w:w="592" w:type="pct"/>
            <w:tcBorders>
              <w:top w:val="single" w:sz="4" w:space="0" w:color="auto"/>
              <w:left w:val="single" w:sz="4" w:space="0" w:color="auto"/>
              <w:bottom w:val="single" w:sz="4" w:space="0" w:color="auto"/>
              <w:right w:val="single" w:sz="4" w:space="0" w:color="auto"/>
            </w:tcBorders>
            <w:vAlign w:val="center"/>
          </w:tcPr>
          <w:p w14:paraId="69060D1B" w14:textId="0A488B14" w:rsidR="004E31BF" w:rsidRPr="000E26E3" w:rsidRDefault="004E31BF" w:rsidP="004E31BF">
            <w:pPr>
              <w:pStyle w:val="TableText"/>
              <w:rPr>
                <w:rFonts w:cstheme="minorHAnsi"/>
                <w:snapToGrid w:val="0"/>
              </w:rPr>
            </w:pPr>
            <w:r>
              <w:rPr>
                <w:rFonts w:cstheme="minorHAnsi"/>
                <w:snapToGrid w:val="0"/>
              </w:rPr>
              <w:t xml:space="preserve">TSQ - </w:t>
            </w:r>
            <w:r w:rsidRPr="004E31BF">
              <w:rPr>
                <w:rFonts w:cstheme="minorHAnsi"/>
                <w:snapToGrid w:val="0"/>
              </w:rPr>
              <w:t>Convenience</w:t>
            </w:r>
          </w:p>
        </w:tc>
        <w:tc>
          <w:tcPr>
            <w:tcW w:w="592" w:type="pct"/>
            <w:tcBorders>
              <w:top w:val="single" w:sz="4" w:space="0" w:color="auto"/>
              <w:left w:val="single" w:sz="4" w:space="0" w:color="auto"/>
              <w:bottom w:val="single" w:sz="4" w:space="0" w:color="auto"/>
              <w:right w:val="single" w:sz="4" w:space="0" w:color="auto"/>
            </w:tcBorders>
            <w:shd w:val="clear" w:color="auto" w:fill="auto"/>
            <w:vAlign w:val="center"/>
          </w:tcPr>
          <w:p w14:paraId="2831C0BE" w14:textId="77777777" w:rsidR="004E31BF" w:rsidRPr="002A6DEA" w:rsidRDefault="004E31BF" w:rsidP="004E31BF">
            <w:pPr>
              <w:pStyle w:val="TableText"/>
              <w:jc w:val="center"/>
              <w:rPr>
                <w:rFonts w:cstheme="minorHAnsi"/>
              </w:rPr>
            </w:pPr>
            <w:r w:rsidRPr="002A6DEA">
              <w:rPr>
                <w:rFonts w:cstheme="minorHAnsi"/>
              </w:rPr>
              <w:t>220</w:t>
            </w:r>
          </w:p>
        </w:tc>
        <w:tc>
          <w:tcPr>
            <w:tcW w:w="1207" w:type="pct"/>
            <w:tcBorders>
              <w:top w:val="single" w:sz="4" w:space="0" w:color="auto"/>
              <w:left w:val="single" w:sz="4" w:space="0" w:color="auto"/>
              <w:bottom w:val="single" w:sz="4" w:space="0" w:color="auto"/>
              <w:right w:val="single" w:sz="4" w:space="0" w:color="auto"/>
            </w:tcBorders>
            <w:shd w:val="clear" w:color="auto" w:fill="auto"/>
            <w:vAlign w:val="center"/>
          </w:tcPr>
          <w:p w14:paraId="17BBFD23" w14:textId="77777777" w:rsidR="004E31BF" w:rsidRPr="002A6DEA" w:rsidRDefault="004E31BF" w:rsidP="004E31BF">
            <w:pPr>
              <w:pStyle w:val="TableText"/>
              <w:jc w:val="center"/>
              <w:rPr>
                <w:rFonts w:cstheme="minorHAnsi"/>
              </w:rPr>
            </w:pPr>
            <w:r w:rsidRPr="002A6DEA">
              <w:rPr>
                <w:rFonts w:cstheme="minorHAnsi"/>
              </w:rPr>
              <w:t>82.88 (22.76)</w:t>
            </w:r>
          </w:p>
        </w:tc>
        <w:tc>
          <w:tcPr>
            <w:tcW w:w="1171" w:type="pct"/>
            <w:tcBorders>
              <w:top w:val="single" w:sz="4" w:space="0" w:color="auto"/>
              <w:left w:val="single" w:sz="4" w:space="0" w:color="auto"/>
              <w:bottom w:val="single" w:sz="4" w:space="0" w:color="auto"/>
              <w:right w:val="single" w:sz="4" w:space="0" w:color="auto"/>
            </w:tcBorders>
            <w:shd w:val="clear" w:color="auto" w:fill="auto"/>
            <w:vAlign w:val="center"/>
          </w:tcPr>
          <w:p w14:paraId="21EADF77" w14:textId="77777777" w:rsidR="004E31BF" w:rsidRPr="002A6DEA" w:rsidRDefault="004E31BF" w:rsidP="004E31BF">
            <w:pPr>
              <w:pStyle w:val="TableText"/>
              <w:jc w:val="center"/>
              <w:rPr>
                <w:rFonts w:cstheme="minorHAnsi"/>
              </w:rPr>
            </w:pPr>
            <w:r w:rsidRPr="002A6DEA">
              <w:rPr>
                <w:rFonts w:cstheme="minorHAnsi"/>
              </w:rPr>
              <w:t>89.72 (15.18)</w:t>
            </w:r>
          </w:p>
        </w:tc>
        <w:tc>
          <w:tcPr>
            <w:tcW w:w="989" w:type="pct"/>
            <w:tcBorders>
              <w:top w:val="single" w:sz="4" w:space="0" w:color="auto"/>
              <w:left w:val="single" w:sz="4" w:space="0" w:color="auto"/>
              <w:bottom w:val="single" w:sz="4" w:space="0" w:color="auto"/>
              <w:right w:val="single" w:sz="4" w:space="0" w:color="auto"/>
            </w:tcBorders>
            <w:shd w:val="clear" w:color="auto" w:fill="auto"/>
            <w:vAlign w:val="center"/>
          </w:tcPr>
          <w:p w14:paraId="4A8B911A" w14:textId="3C81EBDC" w:rsidR="004E31BF" w:rsidRPr="002A6DEA" w:rsidRDefault="004E31BF" w:rsidP="004E31BF">
            <w:pPr>
              <w:pStyle w:val="TableText"/>
              <w:jc w:val="center"/>
            </w:pPr>
            <w:r w:rsidRPr="002A6DEA">
              <w:t>-6.84 (-9.73, -3.96)</w:t>
            </w:r>
            <w:r w:rsidR="001E739E" w:rsidRPr="002A6DEA">
              <w:t xml:space="preserve"> </w:t>
            </w:r>
            <w:r w:rsidR="001E739E" w:rsidRPr="002A6DEA">
              <w:rPr>
                <w:vertAlign w:val="superscript"/>
              </w:rPr>
              <w:t>a</w:t>
            </w:r>
          </w:p>
        </w:tc>
        <w:tc>
          <w:tcPr>
            <w:tcW w:w="449" w:type="pct"/>
            <w:tcBorders>
              <w:top w:val="single" w:sz="4" w:space="0" w:color="auto"/>
              <w:left w:val="single" w:sz="4" w:space="0" w:color="auto"/>
              <w:bottom w:val="single" w:sz="4" w:space="0" w:color="auto"/>
              <w:right w:val="single" w:sz="4" w:space="0" w:color="auto"/>
            </w:tcBorders>
            <w:vAlign w:val="center"/>
          </w:tcPr>
          <w:p w14:paraId="674A671D" w14:textId="77777777" w:rsidR="004E31BF" w:rsidRPr="002A6DEA" w:rsidRDefault="004E31BF" w:rsidP="004E31BF">
            <w:pPr>
              <w:pStyle w:val="TableText"/>
              <w:jc w:val="center"/>
              <w:rPr>
                <w:rFonts w:cstheme="minorHAnsi"/>
              </w:rPr>
            </w:pPr>
            <w:r w:rsidRPr="002A6DEA">
              <w:rPr>
                <w:rFonts w:cstheme="minorHAnsi"/>
              </w:rPr>
              <w:t>&lt;0.001*</w:t>
            </w:r>
          </w:p>
        </w:tc>
      </w:tr>
      <w:tr w:rsidR="004E31BF" w:rsidRPr="000E26E3" w14:paraId="1A8D865D" w14:textId="77777777" w:rsidTr="004E31BF">
        <w:tc>
          <w:tcPr>
            <w:tcW w:w="592" w:type="pct"/>
            <w:tcBorders>
              <w:top w:val="single" w:sz="4" w:space="0" w:color="auto"/>
              <w:left w:val="single" w:sz="4" w:space="0" w:color="auto"/>
              <w:bottom w:val="single" w:sz="4" w:space="0" w:color="auto"/>
              <w:right w:val="single" w:sz="4" w:space="0" w:color="auto"/>
            </w:tcBorders>
            <w:vAlign w:val="center"/>
          </w:tcPr>
          <w:p w14:paraId="5FB1ECBC" w14:textId="22BBF5C5" w:rsidR="004E31BF" w:rsidRPr="000E26E3" w:rsidRDefault="004E31BF" w:rsidP="004E31BF">
            <w:pPr>
              <w:pStyle w:val="TableText"/>
              <w:rPr>
                <w:rFonts w:cstheme="minorHAnsi"/>
                <w:snapToGrid w:val="0"/>
              </w:rPr>
            </w:pPr>
            <w:r>
              <w:rPr>
                <w:rFonts w:cstheme="minorHAnsi"/>
                <w:snapToGrid w:val="0"/>
              </w:rPr>
              <w:t xml:space="preserve">TSQ - </w:t>
            </w:r>
            <w:r w:rsidRPr="004E31BF">
              <w:rPr>
                <w:rFonts w:cstheme="minorHAnsi"/>
                <w:snapToGrid w:val="0"/>
              </w:rPr>
              <w:t>Global satisfaction</w:t>
            </w:r>
          </w:p>
        </w:tc>
        <w:tc>
          <w:tcPr>
            <w:tcW w:w="592" w:type="pct"/>
            <w:tcBorders>
              <w:top w:val="single" w:sz="4" w:space="0" w:color="auto"/>
              <w:left w:val="single" w:sz="4" w:space="0" w:color="auto"/>
              <w:bottom w:val="single" w:sz="4" w:space="0" w:color="auto"/>
              <w:right w:val="single" w:sz="4" w:space="0" w:color="auto"/>
            </w:tcBorders>
            <w:shd w:val="clear" w:color="auto" w:fill="auto"/>
            <w:vAlign w:val="center"/>
          </w:tcPr>
          <w:p w14:paraId="47D3C309" w14:textId="77777777" w:rsidR="004E31BF" w:rsidRPr="002A6DEA" w:rsidRDefault="004E31BF" w:rsidP="004E31BF">
            <w:pPr>
              <w:pStyle w:val="TableText"/>
              <w:jc w:val="center"/>
              <w:rPr>
                <w:rFonts w:cstheme="minorHAnsi"/>
              </w:rPr>
            </w:pPr>
            <w:r w:rsidRPr="002A6DEA">
              <w:rPr>
                <w:rFonts w:cstheme="minorHAnsi"/>
              </w:rPr>
              <w:t>220</w:t>
            </w:r>
          </w:p>
        </w:tc>
        <w:tc>
          <w:tcPr>
            <w:tcW w:w="1207" w:type="pct"/>
            <w:tcBorders>
              <w:top w:val="single" w:sz="4" w:space="0" w:color="auto"/>
              <w:left w:val="single" w:sz="4" w:space="0" w:color="auto"/>
              <w:bottom w:val="single" w:sz="4" w:space="0" w:color="auto"/>
              <w:right w:val="single" w:sz="4" w:space="0" w:color="auto"/>
            </w:tcBorders>
            <w:shd w:val="clear" w:color="auto" w:fill="auto"/>
            <w:vAlign w:val="center"/>
          </w:tcPr>
          <w:p w14:paraId="21EE08D6" w14:textId="77777777" w:rsidR="004E31BF" w:rsidRPr="002A6DEA" w:rsidRDefault="004E31BF" w:rsidP="004E31BF">
            <w:pPr>
              <w:pStyle w:val="TableText"/>
              <w:jc w:val="center"/>
              <w:rPr>
                <w:rFonts w:cstheme="minorHAnsi"/>
              </w:rPr>
            </w:pPr>
            <w:r w:rsidRPr="002A6DEA">
              <w:rPr>
                <w:rFonts w:cstheme="minorHAnsi"/>
              </w:rPr>
              <w:t>110.44 (30.5)</w:t>
            </w:r>
          </w:p>
        </w:tc>
        <w:tc>
          <w:tcPr>
            <w:tcW w:w="1171" w:type="pct"/>
            <w:tcBorders>
              <w:top w:val="single" w:sz="4" w:space="0" w:color="auto"/>
              <w:left w:val="single" w:sz="4" w:space="0" w:color="auto"/>
              <w:bottom w:val="single" w:sz="4" w:space="0" w:color="auto"/>
              <w:right w:val="single" w:sz="4" w:space="0" w:color="auto"/>
            </w:tcBorders>
            <w:shd w:val="clear" w:color="auto" w:fill="auto"/>
            <w:vAlign w:val="center"/>
          </w:tcPr>
          <w:p w14:paraId="43D5C80B" w14:textId="77777777" w:rsidR="004E31BF" w:rsidRPr="002A6DEA" w:rsidRDefault="004E31BF" w:rsidP="004E31BF">
            <w:pPr>
              <w:pStyle w:val="TableText"/>
              <w:jc w:val="center"/>
              <w:rPr>
                <w:rFonts w:cstheme="minorHAnsi"/>
              </w:rPr>
            </w:pPr>
            <w:r w:rsidRPr="002A6DEA">
              <w:rPr>
                <w:rFonts w:cstheme="minorHAnsi"/>
              </w:rPr>
              <w:t>118.87 (20.28)</w:t>
            </w:r>
          </w:p>
        </w:tc>
        <w:tc>
          <w:tcPr>
            <w:tcW w:w="989" w:type="pct"/>
            <w:tcBorders>
              <w:top w:val="single" w:sz="4" w:space="0" w:color="auto"/>
              <w:left w:val="single" w:sz="4" w:space="0" w:color="auto"/>
              <w:bottom w:val="single" w:sz="4" w:space="0" w:color="auto"/>
              <w:right w:val="single" w:sz="4" w:space="0" w:color="auto"/>
            </w:tcBorders>
            <w:shd w:val="clear" w:color="auto" w:fill="auto"/>
            <w:vAlign w:val="center"/>
          </w:tcPr>
          <w:p w14:paraId="7B6820B7" w14:textId="5F421915" w:rsidR="004E31BF" w:rsidRPr="002A6DEA" w:rsidRDefault="004E31BF" w:rsidP="004E31BF">
            <w:pPr>
              <w:pStyle w:val="TableText"/>
              <w:jc w:val="center"/>
            </w:pPr>
            <w:r w:rsidRPr="002A6DEA">
              <w:t>-8.43 (-12.48, -4.38)</w:t>
            </w:r>
            <w:r w:rsidR="001E739E" w:rsidRPr="002A6DEA">
              <w:t xml:space="preserve"> </w:t>
            </w:r>
            <w:r w:rsidR="001E739E" w:rsidRPr="002A6DEA">
              <w:rPr>
                <w:vertAlign w:val="superscript"/>
              </w:rPr>
              <w:t>a</w:t>
            </w:r>
          </w:p>
        </w:tc>
        <w:tc>
          <w:tcPr>
            <w:tcW w:w="449" w:type="pct"/>
            <w:tcBorders>
              <w:top w:val="single" w:sz="4" w:space="0" w:color="auto"/>
              <w:left w:val="single" w:sz="4" w:space="0" w:color="auto"/>
              <w:bottom w:val="single" w:sz="4" w:space="0" w:color="auto"/>
              <w:right w:val="single" w:sz="4" w:space="0" w:color="auto"/>
            </w:tcBorders>
            <w:vAlign w:val="center"/>
          </w:tcPr>
          <w:p w14:paraId="64BBFAB3" w14:textId="77777777" w:rsidR="004E31BF" w:rsidRPr="002A6DEA" w:rsidRDefault="004E31BF" w:rsidP="004E31BF">
            <w:pPr>
              <w:pStyle w:val="TableText"/>
              <w:jc w:val="center"/>
              <w:rPr>
                <w:rFonts w:cstheme="minorHAnsi"/>
              </w:rPr>
            </w:pPr>
            <w:r w:rsidRPr="002A6DEA">
              <w:rPr>
                <w:rFonts w:cstheme="minorHAnsi"/>
              </w:rPr>
              <w:t>&lt;0.001*</w:t>
            </w:r>
          </w:p>
        </w:tc>
      </w:tr>
    </w:tbl>
    <w:p w14:paraId="52012653" w14:textId="61B93EF8" w:rsidR="00640F84" w:rsidRDefault="00640F84" w:rsidP="00A141EB">
      <w:pPr>
        <w:tabs>
          <w:tab w:val="left" w:pos="284"/>
        </w:tabs>
        <w:spacing w:before="0" w:after="0" w:line="240" w:lineRule="auto"/>
        <w:ind w:left="284" w:hanging="284"/>
        <w:rPr>
          <w:rStyle w:val="TablenotesChar"/>
          <w:rFonts w:eastAsiaTheme="minorHAnsi"/>
        </w:rPr>
      </w:pPr>
      <w:r>
        <w:rPr>
          <w:rStyle w:val="TablenotesChar"/>
          <w:rFonts w:eastAsiaTheme="minorHAnsi"/>
        </w:rPr>
        <w:t>Source: Adapted from Table 13, 14, 15, 16 and 17 of the ADAR.</w:t>
      </w:r>
    </w:p>
    <w:p w14:paraId="025BBE0C" w14:textId="64A09D00" w:rsidR="00800755" w:rsidRPr="004E31BF" w:rsidRDefault="00800755" w:rsidP="00800755">
      <w:pPr>
        <w:tabs>
          <w:tab w:val="left" w:pos="0"/>
        </w:tabs>
        <w:spacing w:before="0" w:line="240" w:lineRule="auto"/>
        <w:contextualSpacing/>
        <w:rPr>
          <w:rFonts w:ascii="Arial Narrow" w:hAnsi="Arial Narrow"/>
          <w:sz w:val="18"/>
          <w:szCs w:val="18"/>
        </w:rPr>
      </w:pPr>
      <w:r>
        <w:rPr>
          <w:rStyle w:val="TablenotesChar"/>
          <w:rFonts w:eastAsiaTheme="minorHAnsi"/>
        </w:rPr>
        <w:t xml:space="preserve">Abbreviations: </w:t>
      </w:r>
      <w:r>
        <w:rPr>
          <w:rFonts w:ascii="Arial Narrow" w:hAnsi="Arial Narrow"/>
          <w:sz w:val="18"/>
          <w:szCs w:val="18"/>
        </w:rPr>
        <w:t>BMQ=</w:t>
      </w:r>
      <w:r w:rsidRPr="00A141EB">
        <w:rPr>
          <w:rFonts w:ascii="Arial Narrow" w:hAnsi="Arial Narrow"/>
          <w:sz w:val="18"/>
          <w:szCs w:val="18"/>
        </w:rPr>
        <w:t>Beliefs about Medicines Questionnaire</w:t>
      </w:r>
      <w:r>
        <w:rPr>
          <w:rFonts w:ascii="Arial Narrow" w:hAnsi="Arial Narrow"/>
          <w:sz w:val="18"/>
          <w:szCs w:val="18"/>
        </w:rPr>
        <w:t>; CI=confidence interval; GEM=</w:t>
      </w:r>
      <w:r w:rsidRPr="00A141EB">
        <w:rPr>
          <w:rFonts w:ascii="Arial Narrow" w:hAnsi="Arial Narrow"/>
          <w:sz w:val="18"/>
          <w:szCs w:val="18"/>
        </w:rPr>
        <w:t>Growth and Empowerment Measure</w:t>
      </w:r>
      <w:r>
        <w:rPr>
          <w:rFonts w:ascii="Arial Narrow" w:hAnsi="Arial Narrow"/>
          <w:sz w:val="18"/>
          <w:szCs w:val="18"/>
        </w:rPr>
        <w:t>; K10=</w:t>
      </w:r>
      <w:r w:rsidRPr="00A141EB">
        <w:rPr>
          <w:rFonts w:ascii="Arial Narrow" w:hAnsi="Arial Narrow"/>
          <w:sz w:val="18"/>
          <w:szCs w:val="18"/>
        </w:rPr>
        <w:t xml:space="preserve">Kessler 10-item scale </w:t>
      </w:r>
      <w:r>
        <w:rPr>
          <w:rFonts w:ascii="Arial Narrow" w:hAnsi="Arial Narrow"/>
          <w:sz w:val="18"/>
          <w:szCs w:val="18"/>
        </w:rPr>
        <w:t>for psychological distress; MRP=</w:t>
      </w:r>
      <w:r w:rsidRPr="00A141EB">
        <w:rPr>
          <w:rFonts w:ascii="Arial Narrow" w:hAnsi="Arial Narrow"/>
          <w:sz w:val="18"/>
          <w:szCs w:val="18"/>
        </w:rPr>
        <w:t>Medication Possession Ratio</w:t>
      </w:r>
      <w:r>
        <w:rPr>
          <w:rFonts w:ascii="Arial Narrow" w:hAnsi="Arial Narrow"/>
          <w:sz w:val="18"/>
          <w:szCs w:val="18"/>
        </w:rPr>
        <w:t>; RAM=</w:t>
      </w:r>
      <w:r w:rsidRPr="00A141EB">
        <w:rPr>
          <w:rFonts w:ascii="Arial Narrow" w:hAnsi="Arial Narrow"/>
          <w:sz w:val="18"/>
          <w:szCs w:val="18"/>
        </w:rPr>
        <w:t>Reported Adherence to Medicine</w:t>
      </w:r>
      <w:r>
        <w:rPr>
          <w:rFonts w:ascii="Arial Narrow" w:hAnsi="Arial Narrow"/>
          <w:sz w:val="18"/>
          <w:szCs w:val="18"/>
        </w:rPr>
        <w:t>; SD=standard deviation;</w:t>
      </w:r>
      <w:r w:rsidRPr="00A141EB">
        <w:rPr>
          <w:rFonts w:ascii="Arial Narrow" w:hAnsi="Arial Narrow"/>
          <w:sz w:val="18"/>
          <w:szCs w:val="18"/>
        </w:rPr>
        <w:t xml:space="preserve"> </w:t>
      </w:r>
      <w:r>
        <w:rPr>
          <w:rFonts w:ascii="Arial Narrow" w:hAnsi="Arial Narrow"/>
          <w:sz w:val="18"/>
          <w:szCs w:val="18"/>
        </w:rPr>
        <w:t>TSQ=Treatment Satisfaction Questionnaire</w:t>
      </w:r>
    </w:p>
    <w:p w14:paraId="44D7DF40" w14:textId="7D4D8E85" w:rsidR="00A141EB" w:rsidRDefault="00A141EB" w:rsidP="00A141EB">
      <w:pPr>
        <w:tabs>
          <w:tab w:val="left" w:pos="284"/>
        </w:tabs>
        <w:spacing w:before="0" w:after="0" w:line="240" w:lineRule="auto"/>
        <w:ind w:left="284" w:hanging="284"/>
        <w:rPr>
          <w:rFonts w:ascii="Arial Narrow" w:hAnsi="Arial Narrow" w:cs="Arial"/>
          <w:snapToGrid w:val="0"/>
          <w:sz w:val="18"/>
        </w:rPr>
      </w:pPr>
      <w:r>
        <w:rPr>
          <w:rStyle w:val="TablenotesChar"/>
          <w:rFonts w:eastAsiaTheme="minorHAnsi"/>
        </w:rPr>
        <w:t>*</w:t>
      </w:r>
      <w:r>
        <w:rPr>
          <w:rStyle w:val="TablenotesChar"/>
          <w:rFonts w:eastAsiaTheme="minorHAnsi"/>
        </w:rPr>
        <w:tab/>
        <w:t xml:space="preserve">Sensitivity analysis was performed using urban and rural participants only to test the sensitivity of the primary outcome to incomplete PBS for remote participants due to </w:t>
      </w:r>
      <w:r w:rsidRPr="00706296">
        <w:rPr>
          <w:rFonts w:ascii="Arial Narrow" w:hAnsi="Arial Narrow" w:cs="Arial"/>
          <w:snapToGrid w:val="0"/>
          <w:sz w:val="18"/>
          <w:lang w:val="en-GB"/>
        </w:rPr>
        <w:t>Section 100 Remote Area Aboriginal Health Service supply</w:t>
      </w:r>
      <w:r>
        <w:rPr>
          <w:rFonts w:ascii="Arial Narrow" w:hAnsi="Arial Narrow" w:cs="Arial"/>
          <w:snapToGrid w:val="0"/>
          <w:sz w:val="18"/>
          <w:lang w:val="en-GB"/>
        </w:rPr>
        <w:t xml:space="preserve">. </w:t>
      </w:r>
      <w:r w:rsidRPr="00706296">
        <w:rPr>
          <w:rFonts w:ascii="Arial Narrow" w:hAnsi="Arial Narrow" w:cs="Arial"/>
          <w:snapToGrid w:val="0"/>
          <w:sz w:val="18"/>
        </w:rPr>
        <w:t xml:space="preserve"> </w:t>
      </w:r>
    </w:p>
    <w:p w14:paraId="23618160" w14:textId="6366FFA1" w:rsidR="001E739E" w:rsidRPr="004E31BF" w:rsidRDefault="001E739E" w:rsidP="00A141EB">
      <w:pPr>
        <w:tabs>
          <w:tab w:val="left" w:pos="284"/>
        </w:tabs>
        <w:spacing w:before="0" w:after="0" w:line="240" w:lineRule="auto"/>
        <w:ind w:left="284" w:hanging="284"/>
        <w:rPr>
          <w:rFonts w:ascii="Arial Narrow" w:hAnsi="Arial Narrow"/>
          <w:sz w:val="18"/>
          <w:szCs w:val="18"/>
        </w:rPr>
      </w:pPr>
      <w:r w:rsidRPr="001E739E">
        <w:rPr>
          <w:rFonts w:ascii="Arial Narrow" w:hAnsi="Arial Narrow"/>
          <w:sz w:val="18"/>
          <w:szCs w:val="18"/>
          <w:vertAlign w:val="superscript"/>
        </w:rPr>
        <w:t>a</w:t>
      </w:r>
      <w:r w:rsidRPr="001E739E">
        <w:rPr>
          <w:rFonts w:ascii="Arial Narrow" w:hAnsi="Arial Narrow"/>
          <w:sz w:val="18"/>
          <w:szCs w:val="18"/>
        </w:rPr>
        <w:t xml:space="preserve"> </w:t>
      </w:r>
      <w:r w:rsidRPr="001E739E">
        <w:rPr>
          <w:rFonts w:ascii="Arial Narrow" w:hAnsi="Arial Narrow"/>
          <w:sz w:val="18"/>
          <w:szCs w:val="18"/>
        </w:rPr>
        <w:tab/>
        <w:t xml:space="preserve">As reported in the ADAR. The directionality of the reported results was not consistent with the pre study and post study values.  </w:t>
      </w:r>
    </w:p>
    <w:p w14:paraId="77F26375" w14:textId="1EC0B1B3" w:rsidR="002114F8" w:rsidRDefault="002114F8" w:rsidP="002114F8">
      <w:pPr>
        <w:tabs>
          <w:tab w:val="left" w:pos="720"/>
          <w:tab w:val="left" w:pos="1140"/>
        </w:tabs>
        <w:spacing w:before="240" w:after="120"/>
      </w:pPr>
      <w:r w:rsidRPr="002114F8">
        <w:t xml:space="preserve">Other consumer-relevant secondary outcomes showed </w:t>
      </w:r>
      <w:r w:rsidRPr="002A6DEA">
        <w:t>statistically significant improvements</w:t>
      </w:r>
      <w:r w:rsidRPr="002114F8">
        <w:t xml:space="preserve"> including the Growth and Empowerment measure, beliefs about medicines, self-assessed and objective measures of medication adherence (RAM and medication possession ratio) and treatment satisfaction. </w:t>
      </w:r>
    </w:p>
    <w:p w14:paraId="3909AC7A" w14:textId="527FE190" w:rsidR="002114F8" w:rsidRDefault="002114F8" w:rsidP="002114F8">
      <w:pPr>
        <w:tabs>
          <w:tab w:val="left" w:pos="720"/>
          <w:tab w:val="left" w:pos="1140"/>
        </w:tabs>
        <w:spacing w:before="240" w:after="120"/>
        <w:rPr>
          <w:iCs/>
        </w:rPr>
      </w:pPr>
      <w:r w:rsidRPr="002A6DEA">
        <w:t>Overall, the evidence suggest</w:t>
      </w:r>
      <w:r w:rsidR="00640F84" w:rsidRPr="002A6DEA">
        <w:t>ed</w:t>
      </w:r>
      <w:r w:rsidRPr="002A6DEA">
        <w:t xml:space="preserve"> that participants in the IMeRSe Feasibility </w:t>
      </w:r>
      <w:r w:rsidR="00820A54" w:rsidRPr="002A6DEA">
        <w:t>S</w:t>
      </w:r>
      <w:r w:rsidRPr="002A6DEA">
        <w:t xml:space="preserve">tudy felt more empowered, had fewer concerns about their medicines, showed improved medicines adherence and improved treatment satisfaction. </w:t>
      </w:r>
      <w:r w:rsidR="00F9510D" w:rsidRPr="002A6DEA">
        <w:rPr>
          <w:iCs/>
        </w:rPr>
        <w:t xml:space="preserve">The </w:t>
      </w:r>
      <w:r w:rsidR="00640F84" w:rsidRPr="002A6DEA">
        <w:rPr>
          <w:iCs/>
        </w:rPr>
        <w:t xml:space="preserve">commentary noted that the </w:t>
      </w:r>
      <w:r w:rsidR="00F9510D" w:rsidRPr="002A6DEA">
        <w:rPr>
          <w:iCs/>
        </w:rPr>
        <w:t xml:space="preserve">ADAR </w:t>
      </w:r>
      <w:r w:rsidR="00640F84" w:rsidRPr="002A6DEA">
        <w:rPr>
          <w:iCs/>
        </w:rPr>
        <w:t xml:space="preserve">did not provide </w:t>
      </w:r>
      <w:r w:rsidR="00F9510D" w:rsidRPr="002A6DEA">
        <w:rPr>
          <w:iCs/>
        </w:rPr>
        <w:t>information regarding whether scores above or below a certain value represent “good” or “bad” results; there</w:t>
      </w:r>
      <w:r w:rsidR="00640F84" w:rsidRPr="002A6DEA">
        <w:rPr>
          <w:iCs/>
        </w:rPr>
        <w:t xml:space="preserve"> was</w:t>
      </w:r>
      <w:r w:rsidR="00F9510D" w:rsidRPr="002A6DEA">
        <w:rPr>
          <w:iCs/>
        </w:rPr>
        <w:t xml:space="preserve"> also no information provided regarding what magnitude of change would be clinically significant. Additionally, results reported for each of these outcomes, being self-reported, may have been subject to bias given participants were not blinded to the intervention received.</w:t>
      </w:r>
    </w:p>
    <w:p w14:paraId="1DD2C88D" w14:textId="3D8AA6B1" w:rsidR="00A87092" w:rsidRDefault="00A87092" w:rsidP="00A87092">
      <w:pPr>
        <w:spacing w:after="0" w:line="276" w:lineRule="auto"/>
      </w:pPr>
      <w:r w:rsidRPr="00BF2FEB">
        <w:t xml:space="preserve">The summary of key findings is shown in </w:t>
      </w:r>
      <w:r>
        <w:rPr>
          <w:vanish/>
          <w:color w:val="C00000"/>
        </w:rPr>
        <w:fldChar w:fldCharType="begin"/>
      </w:r>
      <w:r>
        <w:rPr>
          <w:vanish/>
          <w:color w:val="C00000"/>
        </w:rPr>
        <w:instrText xml:space="preserve"> REF _Ref421184437 \h  \* MERGEFORMAT </w:instrText>
      </w:r>
      <w:r>
        <w:rPr>
          <w:vanish/>
          <w:color w:val="C00000"/>
        </w:rPr>
      </w:r>
      <w:r>
        <w:rPr>
          <w:vanish/>
          <w:color w:val="C00000"/>
        </w:rPr>
        <w:fldChar w:fldCharType="separate"/>
      </w:r>
      <w:r w:rsidR="00A45EE3" w:rsidRPr="00A45EE3">
        <w:t xml:space="preserve">Table </w:t>
      </w:r>
      <w:r w:rsidR="00A45EE3" w:rsidRPr="00A45EE3">
        <w:rPr>
          <w:noProof/>
        </w:rPr>
        <w:t>5</w:t>
      </w:r>
      <w:r>
        <w:rPr>
          <w:vanish/>
          <w:color w:val="C00000"/>
        </w:rPr>
        <w:fldChar w:fldCharType="end"/>
      </w:r>
      <w:r w:rsidRPr="004A1A89">
        <w:t xml:space="preserve">. </w:t>
      </w:r>
    </w:p>
    <w:p w14:paraId="1D44BDDD" w14:textId="67A629CD" w:rsidR="00A87092" w:rsidRPr="003615DE" w:rsidRDefault="00A87092" w:rsidP="00A87092">
      <w:pPr>
        <w:pStyle w:val="Caption"/>
        <w:tabs>
          <w:tab w:val="left" w:pos="851"/>
        </w:tabs>
        <w:ind w:left="720" w:hanging="720"/>
        <w:rPr>
          <w:rFonts w:cstheme="minorHAnsi"/>
          <w:snapToGrid w:val="0"/>
        </w:rPr>
      </w:pPr>
      <w:bookmarkStart w:id="24" w:name="_Ref421184437"/>
      <w:bookmarkStart w:id="25" w:name="_Toc56970789"/>
      <w:r w:rsidRPr="003615DE">
        <w:rPr>
          <w:rFonts w:cstheme="minorHAnsi"/>
        </w:rPr>
        <w:t xml:space="preserve">Table </w:t>
      </w:r>
      <w:r w:rsidRPr="003615DE">
        <w:rPr>
          <w:rFonts w:cstheme="minorHAnsi"/>
        </w:rPr>
        <w:fldChar w:fldCharType="begin"/>
      </w:r>
      <w:r w:rsidRPr="003615DE">
        <w:rPr>
          <w:rFonts w:cstheme="minorHAnsi"/>
        </w:rPr>
        <w:instrText xml:space="preserve"> SEQ Table \* ARABIC </w:instrText>
      </w:r>
      <w:r w:rsidRPr="003615DE">
        <w:rPr>
          <w:rFonts w:cstheme="minorHAnsi"/>
        </w:rPr>
        <w:fldChar w:fldCharType="separate"/>
      </w:r>
      <w:r w:rsidR="00A45EE3">
        <w:rPr>
          <w:rFonts w:cstheme="minorHAnsi"/>
          <w:noProof/>
        </w:rPr>
        <w:t>5</w:t>
      </w:r>
      <w:r w:rsidRPr="003615DE">
        <w:rPr>
          <w:rFonts w:cstheme="minorHAnsi"/>
          <w:noProof/>
        </w:rPr>
        <w:fldChar w:fldCharType="end"/>
      </w:r>
      <w:bookmarkEnd w:id="24"/>
      <w:r w:rsidRPr="003615DE">
        <w:rPr>
          <w:rFonts w:cstheme="minorHAnsi"/>
          <w:noProof/>
        </w:rPr>
        <w:tab/>
      </w:r>
      <w:r w:rsidRPr="003615DE">
        <w:rPr>
          <w:rFonts w:cstheme="minorHAnsi"/>
          <w:snapToGrid w:val="0"/>
        </w:rPr>
        <w:t xml:space="preserve">Balance of Clinical Benefits and Harms of IMeRSe, Relative to Usual Care, and as Measured by the </w:t>
      </w:r>
      <w:r w:rsidRPr="003615DE">
        <w:rPr>
          <w:rFonts w:cstheme="minorHAnsi"/>
          <w:snapToGrid w:val="0"/>
          <w:u w:val="single"/>
        </w:rPr>
        <w:t>Critical</w:t>
      </w:r>
      <w:r w:rsidRPr="003615DE">
        <w:rPr>
          <w:rFonts w:cstheme="minorHAnsi"/>
          <w:snapToGrid w:val="0"/>
        </w:rPr>
        <w:t xml:space="preserve"> Patient-Relevant Outcomes in the Key Studies</w:t>
      </w:r>
      <w:bookmarkEnd w:id="25"/>
      <w:r w:rsidRPr="003615DE">
        <w:rPr>
          <w:rFonts w:cstheme="minorHAnsi"/>
          <w:snapToGrid w:val="0"/>
        </w:rPr>
        <w:t xml:space="preserve"> </w:t>
      </w:r>
    </w:p>
    <w:tbl>
      <w:tblPr>
        <w:tblStyle w:val="TableGrid1"/>
        <w:tblW w:w="0" w:type="auto"/>
        <w:tblLook w:val="04A0" w:firstRow="1" w:lastRow="0" w:firstColumn="1" w:lastColumn="0" w:noHBand="0" w:noVBand="1"/>
        <w:tblDescription w:val="Summary of findings table"/>
      </w:tblPr>
      <w:tblGrid>
        <w:gridCol w:w="1696"/>
        <w:gridCol w:w="1276"/>
        <w:gridCol w:w="1276"/>
        <w:gridCol w:w="1134"/>
        <w:gridCol w:w="1276"/>
        <w:gridCol w:w="1275"/>
        <w:gridCol w:w="1083"/>
      </w:tblGrid>
      <w:tr w:rsidR="001D4186" w:rsidRPr="002A6DEA" w14:paraId="2D92BCE1" w14:textId="77777777" w:rsidTr="008E49D9">
        <w:trPr>
          <w:cnfStyle w:val="100000000000" w:firstRow="1" w:lastRow="0" w:firstColumn="0" w:lastColumn="0" w:oddVBand="0" w:evenVBand="0" w:oddHBand="0" w:evenHBand="0" w:firstRowFirstColumn="0" w:firstRowLastColumn="0" w:lastRowFirstColumn="0" w:lastRowLastColumn="0"/>
        </w:trPr>
        <w:tc>
          <w:tcPr>
            <w:tcW w:w="1696" w:type="dxa"/>
            <w:tcBorders>
              <w:top w:val="single" w:sz="4" w:space="0" w:color="auto"/>
              <w:left w:val="single" w:sz="4" w:space="0" w:color="auto"/>
              <w:bottom w:val="single" w:sz="4" w:space="0" w:color="auto"/>
              <w:right w:val="single" w:sz="4" w:space="0" w:color="auto"/>
            </w:tcBorders>
          </w:tcPr>
          <w:p w14:paraId="7109D571" w14:textId="77777777" w:rsidR="001D4186" w:rsidRPr="002A6DEA" w:rsidRDefault="001D4186" w:rsidP="008E49D9">
            <w:pPr>
              <w:pStyle w:val="TableHeading"/>
            </w:pPr>
            <w:r w:rsidRPr="002A6DEA">
              <w:t xml:space="preserve">Outcomes </w:t>
            </w:r>
          </w:p>
          <w:p w14:paraId="214E38A7" w14:textId="77777777" w:rsidR="001D4186" w:rsidRPr="002A6DEA" w:rsidRDefault="001D4186" w:rsidP="008E49D9">
            <w:pPr>
              <w:pStyle w:val="TableHeading"/>
            </w:pPr>
          </w:p>
        </w:tc>
        <w:tc>
          <w:tcPr>
            <w:tcW w:w="1276" w:type="dxa"/>
            <w:tcBorders>
              <w:top w:val="single" w:sz="4" w:space="0" w:color="auto"/>
              <w:left w:val="single" w:sz="4" w:space="0" w:color="auto"/>
              <w:bottom w:val="single" w:sz="4" w:space="0" w:color="auto"/>
              <w:right w:val="single" w:sz="4" w:space="0" w:color="auto"/>
            </w:tcBorders>
          </w:tcPr>
          <w:p w14:paraId="50E02806" w14:textId="77777777" w:rsidR="001D4186" w:rsidRPr="002A6DEA" w:rsidRDefault="001D4186" w:rsidP="008E49D9">
            <w:pPr>
              <w:pStyle w:val="TableHeading"/>
            </w:pPr>
            <w:r w:rsidRPr="002A6DEA">
              <w:t>Participants (studies)</w:t>
            </w:r>
          </w:p>
          <w:p w14:paraId="426C415A" w14:textId="77777777" w:rsidR="001D4186" w:rsidRPr="002A6DEA" w:rsidRDefault="001D4186" w:rsidP="008E49D9">
            <w:pPr>
              <w:pStyle w:val="TableHeading"/>
            </w:pPr>
          </w:p>
        </w:tc>
        <w:tc>
          <w:tcPr>
            <w:tcW w:w="1276" w:type="dxa"/>
            <w:tcBorders>
              <w:top w:val="single" w:sz="4" w:space="0" w:color="auto"/>
              <w:left w:val="single" w:sz="4" w:space="0" w:color="auto"/>
              <w:bottom w:val="single" w:sz="4" w:space="0" w:color="auto"/>
              <w:right w:val="single" w:sz="4" w:space="0" w:color="auto"/>
            </w:tcBorders>
          </w:tcPr>
          <w:p w14:paraId="4E13E4FF" w14:textId="77777777" w:rsidR="001D4186" w:rsidRPr="002A6DEA" w:rsidRDefault="001D4186" w:rsidP="008E49D9">
            <w:pPr>
              <w:pStyle w:val="TableHeading"/>
            </w:pPr>
            <w:r w:rsidRPr="002A6DEA">
              <w:t>Quality of evidence (GRADE) a</w:t>
            </w:r>
          </w:p>
        </w:tc>
        <w:tc>
          <w:tcPr>
            <w:tcW w:w="1134" w:type="dxa"/>
            <w:tcBorders>
              <w:top w:val="single" w:sz="4" w:space="0" w:color="auto"/>
              <w:left w:val="single" w:sz="4" w:space="0" w:color="auto"/>
              <w:bottom w:val="single" w:sz="4" w:space="0" w:color="auto"/>
              <w:right w:val="single" w:sz="4" w:space="0" w:color="auto"/>
            </w:tcBorders>
          </w:tcPr>
          <w:p w14:paraId="6C44F987" w14:textId="77777777" w:rsidR="001D4186" w:rsidRPr="002A6DEA" w:rsidRDefault="001D4186" w:rsidP="008E49D9">
            <w:pPr>
              <w:pStyle w:val="TableHeading"/>
            </w:pPr>
            <w:r w:rsidRPr="002A6DEA">
              <w:t>Incidence rate ratio (95%CI)</w:t>
            </w:r>
          </w:p>
        </w:tc>
        <w:tc>
          <w:tcPr>
            <w:tcW w:w="1276" w:type="dxa"/>
            <w:tcBorders>
              <w:top w:val="single" w:sz="4" w:space="0" w:color="auto"/>
              <w:left w:val="single" w:sz="4" w:space="0" w:color="auto"/>
              <w:bottom w:val="single" w:sz="4" w:space="0" w:color="auto"/>
              <w:right w:val="single" w:sz="4" w:space="0" w:color="auto"/>
            </w:tcBorders>
          </w:tcPr>
          <w:p w14:paraId="2D25A9A7" w14:textId="77777777" w:rsidR="001D4186" w:rsidRPr="002A6DEA" w:rsidRDefault="001D4186" w:rsidP="008E49D9">
            <w:pPr>
              <w:pStyle w:val="TableHeading"/>
            </w:pPr>
            <w:r w:rsidRPr="002A6DEA">
              <w:t>Pre rate/score (95%CI/SD)</w:t>
            </w:r>
          </w:p>
        </w:tc>
        <w:tc>
          <w:tcPr>
            <w:tcW w:w="1275" w:type="dxa"/>
            <w:tcBorders>
              <w:top w:val="single" w:sz="4" w:space="0" w:color="auto"/>
              <w:left w:val="single" w:sz="4" w:space="0" w:color="auto"/>
              <w:bottom w:val="single" w:sz="4" w:space="0" w:color="auto"/>
              <w:right w:val="single" w:sz="4" w:space="0" w:color="auto"/>
            </w:tcBorders>
          </w:tcPr>
          <w:p w14:paraId="18EA3E04" w14:textId="77777777" w:rsidR="001D4186" w:rsidRPr="002A6DEA" w:rsidRDefault="001D4186" w:rsidP="008E49D9">
            <w:pPr>
              <w:pStyle w:val="TableHeading"/>
            </w:pPr>
            <w:r w:rsidRPr="002A6DEA">
              <w:t>Post rate/score (95%CI/SD)</w:t>
            </w:r>
          </w:p>
        </w:tc>
        <w:tc>
          <w:tcPr>
            <w:tcW w:w="1083" w:type="dxa"/>
            <w:tcBorders>
              <w:top w:val="single" w:sz="4" w:space="0" w:color="auto"/>
              <w:left w:val="single" w:sz="4" w:space="0" w:color="auto"/>
              <w:bottom w:val="single" w:sz="4" w:space="0" w:color="auto"/>
              <w:right w:val="single" w:sz="4" w:space="0" w:color="auto"/>
            </w:tcBorders>
          </w:tcPr>
          <w:p w14:paraId="6D59EAD4" w14:textId="77777777" w:rsidR="001D4186" w:rsidRPr="002A6DEA" w:rsidRDefault="001D4186" w:rsidP="008E49D9">
            <w:pPr>
              <w:pStyle w:val="TableHeading"/>
            </w:pPr>
            <w:r w:rsidRPr="002A6DEA">
              <w:t>Comments</w:t>
            </w:r>
          </w:p>
        </w:tc>
      </w:tr>
      <w:tr w:rsidR="001D4186" w:rsidRPr="002A6DEA" w14:paraId="22E51B8B" w14:textId="77777777" w:rsidTr="008E49D9">
        <w:trPr>
          <w:trHeight w:val="263"/>
        </w:trPr>
        <w:tc>
          <w:tcPr>
            <w:tcW w:w="1696" w:type="dxa"/>
            <w:tcBorders>
              <w:top w:val="single" w:sz="4" w:space="0" w:color="auto"/>
              <w:left w:val="single" w:sz="4" w:space="0" w:color="auto"/>
              <w:bottom w:val="single" w:sz="4" w:space="0" w:color="auto"/>
              <w:right w:val="single" w:sz="4" w:space="0" w:color="auto"/>
            </w:tcBorders>
          </w:tcPr>
          <w:p w14:paraId="7164D2EF" w14:textId="77777777" w:rsidR="001D4186" w:rsidRPr="002A6DEA" w:rsidRDefault="001D4186" w:rsidP="008E49D9">
            <w:pPr>
              <w:spacing w:before="40"/>
              <w:rPr>
                <w:rFonts w:ascii="Arial Narrow" w:hAnsi="Arial Narrow" w:cs="Arial"/>
              </w:rPr>
            </w:pPr>
            <w:r w:rsidRPr="002A6DEA">
              <w:rPr>
                <w:rFonts w:ascii="Arial Narrow" w:hAnsi="Arial Narrow" w:cs="Arial"/>
              </w:rPr>
              <w:t>Serious medication related problems (count/rate)</w:t>
            </w:r>
          </w:p>
        </w:tc>
        <w:tc>
          <w:tcPr>
            <w:tcW w:w="1276" w:type="dxa"/>
            <w:tcBorders>
              <w:top w:val="single" w:sz="4" w:space="0" w:color="auto"/>
              <w:left w:val="single" w:sz="4" w:space="0" w:color="auto"/>
              <w:bottom w:val="single" w:sz="4" w:space="0" w:color="auto"/>
              <w:right w:val="single" w:sz="4" w:space="0" w:color="auto"/>
            </w:tcBorders>
          </w:tcPr>
          <w:p w14:paraId="43FD1ACD" w14:textId="77777777" w:rsidR="001D4186" w:rsidRPr="002A6DEA" w:rsidRDefault="001D4186" w:rsidP="008E49D9">
            <w:pPr>
              <w:spacing w:before="40"/>
              <w:rPr>
                <w:rFonts w:ascii="Arial Narrow" w:hAnsi="Arial Narrow" w:cs="Arial"/>
              </w:rPr>
            </w:pPr>
            <w:r w:rsidRPr="002A6DEA">
              <w:rPr>
                <w:rFonts w:ascii="Arial Narrow" w:hAnsi="Arial Narrow" w:cs="Arial"/>
              </w:rPr>
              <w:t>IMeRSe (2020), n=207</w:t>
            </w:r>
          </w:p>
        </w:tc>
        <w:tc>
          <w:tcPr>
            <w:tcW w:w="1276" w:type="dxa"/>
            <w:tcBorders>
              <w:top w:val="single" w:sz="4" w:space="0" w:color="auto"/>
              <w:left w:val="single" w:sz="4" w:space="0" w:color="auto"/>
              <w:bottom w:val="single" w:sz="4" w:space="0" w:color="auto"/>
              <w:right w:val="single" w:sz="4" w:space="0" w:color="auto"/>
            </w:tcBorders>
          </w:tcPr>
          <w:p w14:paraId="5FFA0D9A" w14:textId="77777777" w:rsidR="001D4186" w:rsidRPr="002A6DEA" w:rsidRDefault="001D4186" w:rsidP="008E49D9">
            <w:pPr>
              <w:spacing w:before="40"/>
              <w:rPr>
                <w:rFonts w:ascii="Arial Narrow" w:hAnsi="Arial Narrow" w:cs="Arial"/>
              </w:rPr>
            </w:pPr>
            <w:r w:rsidRPr="002A6DEA">
              <w:rPr>
                <w:rFonts w:ascii="Cambria Math" w:hAnsi="Cambria Math"/>
                <w:color w:val="00B050"/>
              </w:rPr>
              <w:t>⨁⨁⨁</w:t>
            </w:r>
            <w:r w:rsidRPr="002A6DEA">
              <w:rPr>
                <w:rFonts w:ascii="Cambria Math" w:hAnsi="Cambria Math" w:cs="Cambria Math"/>
                <w:color w:val="C00000"/>
              </w:rPr>
              <w:t>⨀</w:t>
            </w:r>
          </w:p>
        </w:tc>
        <w:tc>
          <w:tcPr>
            <w:tcW w:w="1134" w:type="dxa"/>
            <w:tcBorders>
              <w:top w:val="single" w:sz="4" w:space="0" w:color="auto"/>
              <w:left w:val="single" w:sz="4" w:space="0" w:color="auto"/>
              <w:bottom w:val="single" w:sz="4" w:space="0" w:color="auto"/>
              <w:right w:val="single" w:sz="4" w:space="0" w:color="auto"/>
            </w:tcBorders>
          </w:tcPr>
          <w:p w14:paraId="16E8B2B3" w14:textId="77777777" w:rsidR="001D4186" w:rsidRPr="002A6DEA" w:rsidRDefault="001D4186" w:rsidP="008E49D9">
            <w:pPr>
              <w:spacing w:before="40"/>
              <w:rPr>
                <w:rFonts w:ascii="Arial Narrow" w:hAnsi="Arial Narrow" w:cs="Arial"/>
              </w:rPr>
            </w:pPr>
            <w:r w:rsidRPr="002A6DEA">
              <w:rPr>
                <w:rFonts w:ascii="Arial Narrow" w:hAnsi="Arial Narrow" w:cs="Arial"/>
              </w:rPr>
              <w:t>0.93 (0.86-1.01)</w:t>
            </w:r>
          </w:p>
        </w:tc>
        <w:tc>
          <w:tcPr>
            <w:tcW w:w="1276" w:type="dxa"/>
            <w:tcBorders>
              <w:top w:val="single" w:sz="4" w:space="0" w:color="auto"/>
              <w:left w:val="single" w:sz="4" w:space="0" w:color="auto"/>
              <w:bottom w:val="single" w:sz="4" w:space="0" w:color="auto"/>
              <w:right w:val="single" w:sz="4" w:space="0" w:color="auto"/>
            </w:tcBorders>
          </w:tcPr>
          <w:p w14:paraId="781C4A20" w14:textId="77777777" w:rsidR="001D4186" w:rsidRPr="002A6DEA" w:rsidRDefault="001D4186" w:rsidP="008E49D9">
            <w:pPr>
              <w:spacing w:before="40"/>
              <w:rPr>
                <w:rFonts w:ascii="Arial Narrow" w:hAnsi="Arial Narrow" w:cs="Arial"/>
              </w:rPr>
            </w:pPr>
            <w:r w:rsidRPr="002A6DEA">
              <w:rPr>
                <w:rFonts w:ascii="Arial Narrow" w:hAnsi="Arial Narrow" w:cs="Arial"/>
              </w:rPr>
              <w:t xml:space="preserve">4.11 (3.14 – 5.39) </w:t>
            </w:r>
          </w:p>
        </w:tc>
        <w:tc>
          <w:tcPr>
            <w:tcW w:w="1275" w:type="dxa"/>
            <w:tcBorders>
              <w:top w:val="single" w:sz="4" w:space="0" w:color="auto"/>
              <w:left w:val="single" w:sz="4" w:space="0" w:color="auto"/>
              <w:bottom w:val="single" w:sz="4" w:space="0" w:color="auto"/>
              <w:right w:val="single" w:sz="4" w:space="0" w:color="auto"/>
            </w:tcBorders>
          </w:tcPr>
          <w:p w14:paraId="7054AA4E" w14:textId="77777777" w:rsidR="001D4186" w:rsidRPr="002A6DEA" w:rsidRDefault="001D4186" w:rsidP="008E49D9">
            <w:pPr>
              <w:spacing w:before="40"/>
              <w:rPr>
                <w:rFonts w:ascii="Arial Narrow" w:hAnsi="Arial Narrow" w:cs="Arial"/>
              </w:rPr>
            </w:pPr>
            <w:r w:rsidRPr="002A6DEA">
              <w:rPr>
                <w:rFonts w:ascii="Arial Narrow" w:hAnsi="Arial Narrow" w:cs="Arial"/>
              </w:rPr>
              <w:t>3.85 (2.94-5.04)</w:t>
            </w:r>
          </w:p>
        </w:tc>
        <w:tc>
          <w:tcPr>
            <w:tcW w:w="1083" w:type="dxa"/>
            <w:tcBorders>
              <w:top w:val="single" w:sz="4" w:space="0" w:color="auto"/>
              <w:left w:val="single" w:sz="4" w:space="0" w:color="auto"/>
              <w:bottom w:val="single" w:sz="4" w:space="0" w:color="auto"/>
              <w:right w:val="single" w:sz="4" w:space="0" w:color="auto"/>
            </w:tcBorders>
          </w:tcPr>
          <w:p w14:paraId="7B1655C3" w14:textId="77777777" w:rsidR="001D4186" w:rsidRPr="002A6DEA" w:rsidRDefault="001D4186" w:rsidP="008E49D9">
            <w:pPr>
              <w:spacing w:before="40"/>
              <w:rPr>
                <w:rFonts w:ascii="Arial Narrow" w:hAnsi="Arial Narrow" w:cs="Arial"/>
              </w:rPr>
            </w:pPr>
            <w:r w:rsidRPr="002A6DEA">
              <w:rPr>
                <w:rFonts w:ascii="Arial Narrow" w:hAnsi="Arial Narrow" w:cs="Arial"/>
              </w:rPr>
              <w:t xml:space="preserve">p=0.09 </w:t>
            </w:r>
          </w:p>
        </w:tc>
      </w:tr>
      <w:tr w:rsidR="001D4186" w:rsidRPr="002A6DEA" w14:paraId="433E0E4C" w14:textId="77777777" w:rsidTr="008E49D9">
        <w:trPr>
          <w:trHeight w:val="263"/>
        </w:trPr>
        <w:tc>
          <w:tcPr>
            <w:tcW w:w="1696" w:type="dxa"/>
            <w:tcBorders>
              <w:top w:val="single" w:sz="4" w:space="0" w:color="auto"/>
              <w:left w:val="single" w:sz="4" w:space="0" w:color="auto"/>
              <w:bottom w:val="single" w:sz="4" w:space="0" w:color="auto"/>
              <w:right w:val="single" w:sz="4" w:space="0" w:color="auto"/>
            </w:tcBorders>
          </w:tcPr>
          <w:p w14:paraId="4A5E6728" w14:textId="77777777" w:rsidR="001D4186" w:rsidRPr="002A6DEA" w:rsidRDefault="001D4186" w:rsidP="008E49D9">
            <w:pPr>
              <w:spacing w:before="40"/>
              <w:rPr>
                <w:rFonts w:ascii="Arial Narrow" w:hAnsi="Arial Narrow" w:cs="Arial"/>
              </w:rPr>
            </w:pPr>
            <w:r w:rsidRPr="002A6DEA">
              <w:rPr>
                <w:rFonts w:ascii="Arial Narrow" w:hAnsi="Arial Narrow" w:cs="Arial"/>
              </w:rPr>
              <w:t>Potentially preventable medication-related hospitalisations (count/rate)</w:t>
            </w:r>
          </w:p>
        </w:tc>
        <w:tc>
          <w:tcPr>
            <w:tcW w:w="1276" w:type="dxa"/>
            <w:tcBorders>
              <w:top w:val="single" w:sz="4" w:space="0" w:color="auto"/>
              <w:left w:val="single" w:sz="4" w:space="0" w:color="auto"/>
              <w:bottom w:val="single" w:sz="4" w:space="0" w:color="auto"/>
              <w:right w:val="single" w:sz="4" w:space="0" w:color="auto"/>
            </w:tcBorders>
          </w:tcPr>
          <w:p w14:paraId="22A84432" w14:textId="77777777" w:rsidR="001D4186" w:rsidRPr="002A6DEA" w:rsidRDefault="001D4186" w:rsidP="008E49D9">
            <w:pPr>
              <w:spacing w:before="40"/>
              <w:rPr>
                <w:rFonts w:ascii="Arial Narrow" w:hAnsi="Arial Narrow" w:cs="Arial"/>
              </w:rPr>
            </w:pPr>
            <w:r w:rsidRPr="002A6DEA">
              <w:rPr>
                <w:rFonts w:ascii="Arial Narrow" w:hAnsi="Arial Narrow" w:cs="Arial"/>
              </w:rPr>
              <w:t>IMeRSe (2020), n=207</w:t>
            </w:r>
          </w:p>
        </w:tc>
        <w:tc>
          <w:tcPr>
            <w:tcW w:w="1276" w:type="dxa"/>
            <w:tcBorders>
              <w:top w:val="single" w:sz="4" w:space="0" w:color="auto"/>
              <w:left w:val="single" w:sz="4" w:space="0" w:color="auto"/>
              <w:bottom w:val="single" w:sz="4" w:space="0" w:color="auto"/>
              <w:right w:val="single" w:sz="4" w:space="0" w:color="auto"/>
            </w:tcBorders>
          </w:tcPr>
          <w:p w14:paraId="2C4D03C3" w14:textId="77777777" w:rsidR="001D4186" w:rsidRPr="002A6DEA" w:rsidRDefault="001D4186" w:rsidP="008E49D9">
            <w:pPr>
              <w:spacing w:before="40"/>
              <w:rPr>
                <w:rFonts w:ascii="Cambria Math" w:hAnsi="Cambria Math"/>
                <w:color w:val="00B050"/>
              </w:rPr>
            </w:pPr>
            <w:r w:rsidRPr="002A6DEA">
              <w:rPr>
                <w:rFonts w:ascii="Cambria Math" w:hAnsi="Cambria Math"/>
                <w:color w:val="00B050"/>
              </w:rPr>
              <w:t>⨁⨁⨁</w:t>
            </w:r>
            <w:r w:rsidRPr="002A6DEA">
              <w:rPr>
                <w:rFonts w:ascii="Cambria Math" w:hAnsi="Cambria Math" w:cs="Cambria Math"/>
                <w:color w:val="C00000"/>
              </w:rPr>
              <w:t>⨀</w:t>
            </w:r>
          </w:p>
        </w:tc>
        <w:tc>
          <w:tcPr>
            <w:tcW w:w="1134" w:type="dxa"/>
            <w:tcBorders>
              <w:top w:val="single" w:sz="4" w:space="0" w:color="auto"/>
              <w:left w:val="single" w:sz="4" w:space="0" w:color="auto"/>
              <w:bottom w:val="single" w:sz="4" w:space="0" w:color="auto"/>
              <w:right w:val="single" w:sz="4" w:space="0" w:color="auto"/>
            </w:tcBorders>
          </w:tcPr>
          <w:p w14:paraId="21962243" w14:textId="77777777" w:rsidR="001D4186" w:rsidRPr="002A6DEA" w:rsidRDefault="001D4186" w:rsidP="008E49D9">
            <w:pPr>
              <w:spacing w:before="40"/>
              <w:rPr>
                <w:rFonts w:ascii="Arial Narrow" w:hAnsi="Arial Narrow" w:cs="Arial"/>
              </w:rPr>
            </w:pPr>
            <w:r w:rsidRPr="002A6DEA">
              <w:rPr>
                <w:rFonts w:ascii="Arial Narrow" w:hAnsi="Arial Narrow" w:cs="Arial"/>
              </w:rPr>
              <w:t>1.00 (0.55-1.83)</w:t>
            </w:r>
          </w:p>
        </w:tc>
        <w:tc>
          <w:tcPr>
            <w:tcW w:w="1276" w:type="dxa"/>
            <w:tcBorders>
              <w:top w:val="single" w:sz="4" w:space="0" w:color="auto"/>
              <w:left w:val="single" w:sz="4" w:space="0" w:color="auto"/>
              <w:bottom w:val="single" w:sz="4" w:space="0" w:color="auto"/>
              <w:right w:val="single" w:sz="4" w:space="0" w:color="auto"/>
            </w:tcBorders>
          </w:tcPr>
          <w:p w14:paraId="17AD36B0" w14:textId="77777777" w:rsidR="001D4186" w:rsidRPr="002A6DEA" w:rsidRDefault="001D4186" w:rsidP="008E49D9">
            <w:pPr>
              <w:spacing w:before="40"/>
              <w:rPr>
                <w:rFonts w:ascii="Arial Narrow" w:hAnsi="Arial Narrow" w:cs="Arial"/>
              </w:rPr>
            </w:pPr>
            <w:r w:rsidRPr="002A6DEA">
              <w:rPr>
                <w:rFonts w:ascii="Arial Narrow" w:hAnsi="Arial Narrow" w:cs="Arial"/>
              </w:rPr>
              <w:t>0.06 (0.02-0.15)</w:t>
            </w:r>
          </w:p>
        </w:tc>
        <w:tc>
          <w:tcPr>
            <w:tcW w:w="1275" w:type="dxa"/>
            <w:tcBorders>
              <w:top w:val="single" w:sz="4" w:space="0" w:color="auto"/>
              <w:left w:val="single" w:sz="4" w:space="0" w:color="auto"/>
              <w:bottom w:val="single" w:sz="4" w:space="0" w:color="auto"/>
              <w:right w:val="single" w:sz="4" w:space="0" w:color="auto"/>
            </w:tcBorders>
          </w:tcPr>
          <w:p w14:paraId="6B17C950" w14:textId="77777777" w:rsidR="001D4186" w:rsidRPr="002A6DEA" w:rsidRDefault="001D4186" w:rsidP="008E49D9">
            <w:pPr>
              <w:spacing w:before="40"/>
              <w:rPr>
                <w:rFonts w:ascii="Arial Narrow" w:hAnsi="Arial Narrow" w:cs="Arial"/>
              </w:rPr>
            </w:pPr>
            <w:r w:rsidRPr="002A6DEA">
              <w:rPr>
                <w:rFonts w:ascii="Arial Narrow" w:hAnsi="Arial Narrow" w:cs="Arial"/>
              </w:rPr>
              <w:t>0.06 (0.02-0.15)</w:t>
            </w:r>
          </w:p>
        </w:tc>
        <w:tc>
          <w:tcPr>
            <w:tcW w:w="1083" w:type="dxa"/>
            <w:tcBorders>
              <w:top w:val="single" w:sz="4" w:space="0" w:color="auto"/>
              <w:left w:val="single" w:sz="4" w:space="0" w:color="auto"/>
              <w:bottom w:val="single" w:sz="4" w:space="0" w:color="auto"/>
              <w:right w:val="single" w:sz="4" w:space="0" w:color="auto"/>
            </w:tcBorders>
          </w:tcPr>
          <w:p w14:paraId="0A92F7EE" w14:textId="77777777" w:rsidR="001D4186" w:rsidRPr="002A6DEA" w:rsidRDefault="001D4186" w:rsidP="008E49D9">
            <w:pPr>
              <w:spacing w:before="40"/>
              <w:rPr>
                <w:rFonts w:ascii="Arial Narrow" w:hAnsi="Arial Narrow" w:cs="Arial"/>
              </w:rPr>
            </w:pPr>
            <w:r w:rsidRPr="002A6DEA">
              <w:rPr>
                <w:rFonts w:ascii="Arial Narrow" w:hAnsi="Arial Narrow" w:cs="Arial"/>
              </w:rPr>
              <w:t>P=1.00</w:t>
            </w:r>
          </w:p>
        </w:tc>
      </w:tr>
      <w:tr w:rsidR="001D4186" w:rsidRPr="002A6DEA" w14:paraId="550E5BF1" w14:textId="77777777" w:rsidTr="008E49D9">
        <w:trPr>
          <w:trHeight w:val="25"/>
        </w:trPr>
        <w:tc>
          <w:tcPr>
            <w:tcW w:w="1696" w:type="dxa"/>
            <w:tcBorders>
              <w:top w:val="single" w:sz="4" w:space="0" w:color="auto"/>
              <w:left w:val="single" w:sz="4" w:space="0" w:color="auto"/>
              <w:bottom w:val="single" w:sz="4" w:space="0" w:color="auto"/>
              <w:right w:val="single" w:sz="4" w:space="0" w:color="auto"/>
            </w:tcBorders>
          </w:tcPr>
          <w:p w14:paraId="3EB75339" w14:textId="77777777" w:rsidR="001D4186" w:rsidRPr="002A6DEA" w:rsidRDefault="001D4186" w:rsidP="008E49D9">
            <w:pPr>
              <w:spacing w:before="40"/>
              <w:rPr>
                <w:rFonts w:ascii="Arial Narrow" w:hAnsi="Arial Narrow" w:cs="Arial"/>
              </w:rPr>
            </w:pPr>
            <w:r w:rsidRPr="002A6DEA">
              <w:rPr>
                <w:rFonts w:ascii="Arial Narrow" w:hAnsi="Arial Narrow" w:cs="Arial"/>
              </w:rPr>
              <w:t>Medication adherence (MPR)</w:t>
            </w:r>
          </w:p>
        </w:tc>
        <w:tc>
          <w:tcPr>
            <w:tcW w:w="1276" w:type="dxa"/>
            <w:tcBorders>
              <w:top w:val="single" w:sz="4" w:space="0" w:color="auto"/>
              <w:left w:val="single" w:sz="4" w:space="0" w:color="auto"/>
              <w:bottom w:val="single" w:sz="4" w:space="0" w:color="auto"/>
              <w:right w:val="single" w:sz="4" w:space="0" w:color="auto"/>
            </w:tcBorders>
          </w:tcPr>
          <w:p w14:paraId="1A0094D7" w14:textId="77777777" w:rsidR="001D4186" w:rsidRPr="002A6DEA" w:rsidRDefault="001D4186" w:rsidP="008E49D9">
            <w:pPr>
              <w:spacing w:before="40"/>
              <w:rPr>
                <w:rFonts w:ascii="Arial Narrow" w:hAnsi="Arial Narrow" w:cs="Arial"/>
              </w:rPr>
            </w:pPr>
            <w:r w:rsidRPr="002A6DEA">
              <w:rPr>
                <w:rFonts w:ascii="Arial Narrow" w:hAnsi="Arial Narrow" w:cs="Arial"/>
              </w:rPr>
              <w:t>IMeRSe b (2020), n=599</w:t>
            </w:r>
          </w:p>
        </w:tc>
        <w:tc>
          <w:tcPr>
            <w:tcW w:w="1276" w:type="dxa"/>
            <w:tcBorders>
              <w:top w:val="single" w:sz="4" w:space="0" w:color="auto"/>
              <w:left w:val="single" w:sz="4" w:space="0" w:color="auto"/>
              <w:bottom w:val="single" w:sz="4" w:space="0" w:color="auto"/>
              <w:right w:val="single" w:sz="4" w:space="0" w:color="auto"/>
            </w:tcBorders>
          </w:tcPr>
          <w:p w14:paraId="235ABB7F" w14:textId="77777777" w:rsidR="001D4186" w:rsidRPr="002A6DEA" w:rsidRDefault="001D4186" w:rsidP="008E49D9">
            <w:pPr>
              <w:spacing w:before="40"/>
              <w:rPr>
                <w:rFonts w:ascii="Arial Narrow" w:hAnsi="Arial Narrow" w:cs="Arial"/>
              </w:rPr>
            </w:pPr>
            <w:r w:rsidRPr="002A6DEA">
              <w:rPr>
                <w:rFonts w:ascii="Cambria Math" w:hAnsi="Cambria Math"/>
                <w:color w:val="00B050"/>
              </w:rPr>
              <w:t>⨁⨁⨁</w:t>
            </w:r>
            <w:r w:rsidRPr="002A6DEA">
              <w:rPr>
                <w:rFonts w:ascii="Cambria Math" w:hAnsi="Cambria Math" w:cs="Cambria Math"/>
                <w:color w:val="C00000"/>
              </w:rPr>
              <w:t>⨀</w:t>
            </w:r>
          </w:p>
        </w:tc>
        <w:tc>
          <w:tcPr>
            <w:tcW w:w="1134" w:type="dxa"/>
            <w:tcBorders>
              <w:top w:val="single" w:sz="4" w:space="0" w:color="auto"/>
              <w:left w:val="single" w:sz="4" w:space="0" w:color="auto"/>
              <w:bottom w:val="single" w:sz="4" w:space="0" w:color="auto"/>
              <w:right w:val="single" w:sz="4" w:space="0" w:color="auto"/>
            </w:tcBorders>
          </w:tcPr>
          <w:p w14:paraId="6AD7C43C" w14:textId="77777777" w:rsidR="001D4186" w:rsidRPr="002A6DEA" w:rsidRDefault="001D4186" w:rsidP="008E49D9">
            <w:pPr>
              <w:spacing w:before="40"/>
              <w:rPr>
                <w:rFonts w:ascii="Arial Narrow" w:hAnsi="Arial Narrow" w:cs="Arial"/>
              </w:rPr>
            </w:pPr>
          </w:p>
        </w:tc>
        <w:tc>
          <w:tcPr>
            <w:tcW w:w="1276" w:type="dxa"/>
            <w:tcBorders>
              <w:top w:val="single" w:sz="4" w:space="0" w:color="auto"/>
              <w:left w:val="single" w:sz="4" w:space="0" w:color="auto"/>
              <w:bottom w:val="single" w:sz="4" w:space="0" w:color="auto"/>
              <w:right w:val="single" w:sz="4" w:space="0" w:color="auto"/>
            </w:tcBorders>
          </w:tcPr>
          <w:p w14:paraId="72902E7A" w14:textId="77777777" w:rsidR="001D4186" w:rsidRPr="002A6DEA" w:rsidRDefault="001D4186" w:rsidP="008E49D9">
            <w:pPr>
              <w:spacing w:before="40"/>
              <w:rPr>
                <w:rFonts w:ascii="Arial Narrow" w:hAnsi="Arial Narrow" w:cs="Arial"/>
              </w:rPr>
            </w:pPr>
            <w:r w:rsidRPr="002A6DEA">
              <w:rPr>
                <w:rFonts w:ascii="Arial Narrow" w:hAnsi="Arial Narrow" w:cs="Arial"/>
              </w:rPr>
              <w:t>0.83 (0.55-0.99)</w:t>
            </w:r>
          </w:p>
        </w:tc>
        <w:tc>
          <w:tcPr>
            <w:tcW w:w="1275" w:type="dxa"/>
            <w:tcBorders>
              <w:top w:val="single" w:sz="4" w:space="0" w:color="auto"/>
              <w:left w:val="single" w:sz="4" w:space="0" w:color="auto"/>
              <w:bottom w:val="single" w:sz="4" w:space="0" w:color="auto"/>
              <w:right w:val="single" w:sz="4" w:space="0" w:color="auto"/>
            </w:tcBorders>
          </w:tcPr>
          <w:p w14:paraId="2053E1C1" w14:textId="77777777" w:rsidR="001D4186" w:rsidRPr="002A6DEA" w:rsidRDefault="001D4186" w:rsidP="008E49D9">
            <w:pPr>
              <w:spacing w:before="40"/>
              <w:rPr>
                <w:rFonts w:ascii="Arial Narrow" w:hAnsi="Arial Narrow" w:cs="Arial"/>
              </w:rPr>
            </w:pPr>
            <w:r w:rsidRPr="002A6DEA">
              <w:rPr>
                <w:rFonts w:ascii="Arial Narrow" w:hAnsi="Arial Narrow" w:cs="Arial"/>
              </w:rPr>
              <w:t>0.92 (0.62-1.02)</w:t>
            </w:r>
          </w:p>
        </w:tc>
        <w:tc>
          <w:tcPr>
            <w:tcW w:w="1083" w:type="dxa"/>
            <w:tcBorders>
              <w:top w:val="single" w:sz="4" w:space="0" w:color="auto"/>
              <w:left w:val="single" w:sz="4" w:space="0" w:color="auto"/>
              <w:bottom w:val="single" w:sz="4" w:space="0" w:color="auto"/>
              <w:right w:val="single" w:sz="4" w:space="0" w:color="auto"/>
            </w:tcBorders>
          </w:tcPr>
          <w:p w14:paraId="4D085E16" w14:textId="77777777" w:rsidR="001D4186" w:rsidRPr="002A6DEA" w:rsidRDefault="001D4186" w:rsidP="008E49D9">
            <w:pPr>
              <w:spacing w:before="40"/>
              <w:rPr>
                <w:rFonts w:ascii="Arial Narrow" w:hAnsi="Arial Narrow" w:cs="Arial"/>
              </w:rPr>
            </w:pPr>
            <w:r w:rsidRPr="002A6DEA">
              <w:rPr>
                <w:rFonts w:ascii="Arial Narrow" w:hAnsi="Arial Narrow" w:cs="Arial"/>
              </w:rPr>
              <w:t>p=0.03</w:t>
            </w:r>
          </w:p>
        </w:tc>
      </w:tr>
      <w:tr w:rsidR="001D4186" w:rsidRPr="002A6DEA" w14:paraId="20AECC52" w14:textId="77777777" w:rsidTr="008E49D9">
        <w:tc>
          <w:tcPr>
            <w:tcW w:w="1696" w:type="dxa"/>
            <w:tcBorders>
              <w:top w:val="single" w:sz="4" w:space="0" w:color="auto"/>
              <w:left w:val="single" w:sz="4" w:space="0" w:color="auto"/>
              <w:bottom w:val="single" w:sz="4" w:space="0" w:color="auto"/>
              <w:right w:val="single" w:sz="4" w:space="0" w:color="auto"/>
            </w:tcBorders>
          </w:tcPr>
          <w:p w14:paraId="22EA003F" w14:textId="77777777" w:rsidR="001D4186" w:rsidRPr="002A6DEA" w:rsidRDefault="001D4186" w:rsidP="008E49D9">
            <w:pPr>
              <w:spacing w:before="40"/>
              <w:rPr>
                <w:rFonts w:ascii="Arial Narrow" w:hAnsi="Arial Narrow" w:cs="Arial"/>
              </w:rPr>
            </w:pPr>
            <w:r w:rsidRPr="002A6DEA">
              <w:rPr>
                <w:rFonts w:ascii="Arial Narrow" w:hAnsi="Arial Narrow" w:cs="Arial"/>
              </w:rPr>
              <w:t>Empowerment (GEM)</w:t>
            </w:r>
          </w:p>
        </w:tc>
        <w:tc>
          <w:tcPr>
            <w:tcW w:w="1276" w:type="dxa"/>
            <w:tcBorders>
              <w:top w:val="single" w:sz="4" w:space="0" w:color="auto"/>
              <w:left w:val="single" w:sz="4" w:space="0" w:color="auto"/>
              <w:bottom w:val="single" w:sz="4" w:space="0" w:color="auto"/>
              <w:right w:val="single" w:sz="4" w:space="0" w:color="auto"/>
            </w:tcBorders>
          </w:tcPr>
          <w:p w14:paraId="0618469C" w14:textId="620CED35" w:rsidR="001D4186" w:rsidRPr="002A6DEA" w:rsidRDefault="001D4186" w:rsidP="008E49D9">
            <w:pPr>
              <w:spacing w:before="40"/>
              <w:rPr>
                <w:rFonts w:ascii="Arial Narrow" w:hAnsi="Arial Narrow" w:cs="Arial"/>
              </w:rPr>
            </w:pPr>
            <w:r w:rsidRPr="002A6DEA">
              <w:rPr>
                <w:rFonts w:ascii="Arial Narrow" w:hAnsi="Arial Narrow" w:cs="Arial"/>
              </w:rPr>
              <w:t>IMeRSe (2020), n=96</w:t>
            </w:r>
          </w:p>
        </w:tc>
        <w:tc>
          <w:tcPr>
            <w:tcW w:w="1276" w:type="dxa"/>
            <w:tcBorders>
              <w:top w:val="single" w:sz="4" w:space="0" w:color="auto"/>
              <w:left w:val="single" w:sz="4" w:space="0" w:color="auto"/>
              <w:bottom w:val="single" w:sz="4" w:space="0" w:color="auto"/>
              <w:right w:val="single" w:sz="4" w:space="0" w:color="auto"/>
            </w:tcBorders>
          </w:tcPr>
          <w:p w14:paraId="6C597A5A" w14:textId="77777777" w:rsidR="001D4186" w:rsidRPr="002A6DEA" w:rsidRDefault="001D4186" w:rsidP="008E49D9">
            <w:pPr>
              <w:spacing w:before="40"/>
              <w:rPr>
                <w:rFonts w:ascii="Arial Narrow" w:hAnsi="Arial Narrow" w:cs="Arial"/>
              </w:rPr>
            </w:pPr>
            <w:r w:rsidRPr="002A6DEA">
              <w:rPr>
                <w:rFonts w:ascii="Cambria Math" w:hAnsi="Cambria Math"/>
                <w:color w:val="00B050"/>
              </w:rPr>
              <w:t>⨁⨁⨁</w:t>
            </w:r>
            <w:r w:rsidRPr="002A6DEA">
              <w:rPr>
                <w:rFonts w:ascii="Cambria Math" w:hAnsi="Cambria Math" w:cs="Cambria Math"/>
                <w:color w:val="C00000"/>
              </w:rPr>
              <w:t>⨀</w:t>
            </w:r>
          </w:p>
        </w:tc>
        <w:tc>
          <w:tcPr>
            <w:tcW w:w="1134" w:type="dxa"/>
            <w:tcBorders>
              <w:top w:val="single" w:sz="4" w:space="0" w:color="auto"/>
              <w:left w:val="single" w:sz="4" w:space="0" w:color="auto"/>
              <w:bottom w:val="single" w:sz="4" w:space="0" w:color="auto"/>
              <w:right w:val="single" w:sz="4" w:space="0" w:color="auto"/>
            </w:tcBorders>
          </w:tcPr>
          <w:p w14:paraId="3FB7CAED" w14:textId="77777777" w:rsidR="001D4186" w:rsidRPr="002A6DEA" w:rsidRDefault="001D4186" w:rsidP="008E49D9">
            <w:pPr>
              <w:spacing w:before="40"/>
              <w:rPr>
                <w:rFonts w:ascii="Arial Narrow" w:hAnsi="Arial Narrow" w:cs="Arial"/>
              </w:rPr>
            </w:pPr>
          </w:p>
        </w:tc>
        <w:tc>
          <w:tcPr>
            <w:tcW w:w="1276" w:type="dxa"/>
            <w:tcBorders>
              <w:top w:val="single" w:sz="4" w:space="0" w:color="auto"/>
              <w:left w:val="single" w:sz="4" w:space="0" w:color="auto"/>
              <w:bottom w:val="single" w:sz="4" w:space="0" w:color="auto"/>
              <w:right w:val="single" w:sz="4" w:space="0" w:color="auto"/>
            </w:tcBorders>
          </w:tcPr>
          <w:p w14:paraId="08F0C63C" w14:textId="77777777" w:rsidR="001D4186" w:rsidRPr="002A6DEA" w:rsidRDefault="001D4186" w:rsidP="008E49D9">
            <w:pPr>
              <w:spacing w:before="40"/>
              <w:rPr>
                <w:rFonts w:ascii="Arial Narrow" w:hAnsi="Arial Narrow" w:cs="Arial"/>
              </w:rPr>
            </w:pPr>
            <w:r w:rsidRPr="002A6DEA">
              <w:rPr>
                <w:rFonts w:ascii="Arial Narrow" w:hAnsi="Arial Narrow" w:cs="Arial"/>
              </w:rPr>
              <w:t>88.83 (16.93)</w:t>
            </w:r>
          </w:p>
        </w:tc>
        <w:tc>
          <w:tcPr>
            <w:tcW w:w="1275" w:type="dxa"/>
            <w:tcBorders>
              <w:top w:val="single" w:sz="4" w:space="0" w:color="auto"/>
              <w:left w:val="single" w:sz="4" w:space="0" w:color="auto"/>
              <w:bottom w:val="single" w:sz="4" w:space="0" w:color="auto"/>
              <w:right w:val="single" w:sz="4" w:space="0" w:color="auto"/>
            </w:tcBorders>
          </w:tcPr>
          <w:p w14:paraId="17F1A100" w14:textId="77777777" w:rsidR="001D4186" w:rsidRPr="002A6DEA" w:rsidRDefault="001D4186" w:rsidP="008E49D9">
            <w:pPr>
              <w:spacing w:before="40"/>
              <w:rPr>
                <w:rFonts w:ascii="Arial Narrow" w:hAnsi="Arial Narrow" w:cs="Arial"/>
              </w:rPr>
            </w:pPr>
            <w:r w:rsidRPr="002A6DEA">
              <w:rPr>
                <w:rFonts w:ascii="Arial Narrow" w:hAnsi="Arial Narrow" w:cs="Arial"/>
              </w:rPr>
              <w:t>92.96 (16.22)</w:t>
            </w:r>
          </w:p>
        </w:tc>
        <w:tc>
          <w:tcPr>
            <w:tcW w:w="1083" w:type="dxa"/>
            <w:tcBorders>
              <w:top w:val="single" w:sz="4" w:space="0" w:color="auto"/>
              <w:left w:val="single" w:sz="4" w:space="0" w:color="auto"/>
              <w:bottom w:val="single" w:sz="4" w:space="0" w:color="auto"/>
              <w:right w:val="single" w:sz="4" w:space="0" w:color="auto"/>
            </w:tcBorders>
          </w:tcPr>
          <w:p w14:paraId="2BBA2F21" w14:textId="77777777" w:rsidR="001D4186" w:rsidRPr="002A6DEA" w:rsidRDefault="001D4186" w:rsidP="008E49D9">
            <w:pPr>
              <w:spacing w:before="40"/>
              <w:rPr>
                <w:rFonts w:ascii="Arial Narrow" w:hAnsi="Arial Narrow" w:cs="Arial"/>
              </w:rPr>
            </w:pPr>
            <w:r w:rsidRPr="002A6DEA">
              <w:rPr>
                <w:rFonts w:ascii="Arial Narrow" w:hAnsi="Arial Narrow" w:cs="Arial"/>
              </w:rPr>
              <w:t>p=0.01</w:t>
            </w:r>
          </w:p>
        </w:tc>
      </w:tr>
    </w:tbl>
    <w:p w14:paraId="5A9E0742" w14:textId="330FB5D2" w:rsidR="001D4186" w:rsidRPr="002A6DEA" w:rsidRDefault="001D4186" w:rsidP="001D4186">
      <w:pPr>
        <w:spacing w:after="0" w:line="240" w:lineRule="auto"/>
        <w:contextualSpacing/>
        <w:rPr>
          <w:rFonts w:ascii="Arial Narrow" w:hAnsi="Arial Narrow" w:cs="Arial"/>
          <w:sz w:val="20"/>
          <w:szCs w:val="20"/>
        </w:rPr>
      </w:pPr>
      <w:r w:rsidRPr="002A6DEA">
        <w:rPr>
          <w:rFonts w:ascii="Arial Narrow" w:hAnsi="Arial Narrow" w:cs="Arial"/>
          <w:sz w:val="20"/>
          <w:szCs w:val="20"/>
        </w:rPr>
        <w:t>Source: Table 2, p15 of the ADAR.</w:t>
      </w:r>
    </w:p>
    <w:p w14:paraId="6CE13CA1" w14:textId="07E79724" w:rsidR="001D4186" w:rsidRPr="002A6DEA" w:rsidRDefault="001D4186" w:rsidP="00C15803">
      <w:pPr>
        <w:spacing w:after="0" w:line="240" w:lineRule="auto"/>
        <w:contextualSpacing/>
        <w:rPr>
          <w:rFonts w:ascii="Arial Narrow" w:hAnsi="Arial Narrow" w:cs="Arial"/>
          <w:color w:val="FF0000"/>
          <w:sz w:val="18"/>
          <w:szCs w:val="18"/>
        </w:rPr>
      </w:pPr>
      <w:r w:rsidRPr="002A6DEA">
        <w:rPr>
          <w:rFonts w:ascii="Arial Narrow" w:hAnsi="Arial Narrow" w:cs="Arial"/>
          <w:sz w:val="20"/>
          <w:szCs w:val="20"/>
        </w:rPr>
        <w:t xml:space="preserve">a </w:t>
      </w:r>
      <w:r w:rsidRPr="002A6DEA">
        <w:rPr>
          <w:rFonts w:ascii="Arial Narrow" w:hAnsi="Arial Narrow" w:cs="Arial"/>
          <w:sz w:val="18"/>
          <w:szCs w:val="18"/>
        </w:rPr>
        <w:t xml:space="preserve">GRADE Working Group grades of evidence </w:t>
      </w:r>
      <w:r w:rsidRPr="002A6DEA">
        <w:rPr>
          <w:rFonts w:ascii="Arial Narrow" w:hAnsi="Arial Narrow" w:cs="Arial"/>
          <w:noProof/>
          <w:sz w:val="18"/>
          <w:szCs w:val="18"/>
        </w:rPr>
        <w:t>[1]</w:t>
      </w:r>
      <w:r w:rsidRPr="002A6DEA">
        <w:rPr>
          <w:rFonts w:ascii="Arial Narrow" w:hAnsi="Arial Narrow" w:cs="Arial"/>
          <w:sz w:val="18"/>
          <w:szCs w:val="18"/>
        </w:rPr>
        <w:t xml:space="preserve"> </w:t>
      </w:r>
    </w:p>
    <w:p w14:paraId="17DFDA56" w14:textId="77777777" w:rsidR="001D4186" w:rsidRPr="002A6DEA" w:rsidRDefault="001D4186" w:rsidP="00C15803">
      <w:pPr>
        <w:spacing w:after="0" w:line="240" w:lineRule="auto"/>
        <w:contextualSpacing/>
        <w:rPr>
          <w:rFonts w:ascii="Arial Narrow" w:hAnsi="Arial Narrow" w:cs="Arial"/>
          <w:sz w:val="18"/>
          <w:szCs w:val="18"/>
        </w:rPr>
      </w:pPr>
      <w:r w:rsidRPr="002A6DEA">
        <w:rPr>
          <w:rFonts w:ascii="Arial Narrow" w:hAnsi="Arial Narrow" w:cs="Arial"/>
          <w:sz w:val="18"/>
          <w:szCs w:val="18"/>
        </w:rPr>
        <w:t>b n = 599 is the number of paired comparisons for a particular medicine and individual from 207 participants with available data.</w:t>
      </w:r>
    </w:p>
    <w:p w14:paraId="01C7D3D0" w14:textId="77777777" w:rsidR="001D4186" w:rsidRPr="00D23573" w:rsidRDefault="001D4186" w:rsidP="007C620E">
      <w:pPr>
        <w:spacing w:after="360" w:line="240" w:lineRule="auto"/>
        <w:rPr>
          <w:rFonts w:ascii="Arial Narrow" w:hAnsi="Arial Narrow" w:cs="Arial"/>
          <w:sz w:val="18"/>
          <w:szCs w:val="18"/>
        </w:rPr>
      </w:pPr>
      <w:r w:rsidRPr="002A6DEA">
        <w:rPr>
          <w:rFonts w:ascii="Arial Narrow" w:hAnsi="Arial Narrow" w:cs="Arial"/>
          <w:sz w:val="18"/>
          <w:szCs w:val="18"/>
        </w:rPr>
        <w:t xml:space="preserve">GEM=Growth and Empowerment; MPR=medication possession ratio; CI=confidence interval; SD=standard deviation </w:t>
      </w:r>
      <w:r w:rsidRPr="002A6DEA">
        <w:rPr>
          <w:rFonts w:ascii="Arial Narrow" w:hAnsi="Arial Narrow" w:cs="Arial"/>
          <w:sz w:val="20"/>
          <w:szCs w:val="20"/>
        </w:rPr>
        <w:br/>
      </w:r>
      <w:r w:rsidRPr="002A6DEA">
        <w:rPr>
          <w:rFonts w:ascii="Cambria Math" w:hAnsi="Cambria Math"/>
          <w:color w:val="00B050"/>
        </w:rPr>
        <w:t xml:space="preserve">⨁⨁⨁⨁ </w:t>
      </w:r>
      <w:r w:rsidRPr="002A6DEA">
        <w:rPr>
          <w:rFonts w:ascii="Arial Narrow" w:hAnsi="Arial Narrow" w:cs="Arial"/>
          <w:b/>
          <w:bCs/>
          <w:sz w:val="18"/>
          <w:szCs w:val="18"/>
        </w:rPr>
        <w:t>High quality:</w:t>
      </w:r>
      <w:r w:rsidRPr="002A6DEA">
        <w:rPr>
          <w:rFonts w:ascii="Arial Narrow" w:hAnsi="Arial Narrow" w:cs="Arial"/>
          <w:sz w:val="18"/>
          <w:szCs w:val="18"/>
        </w:rPr>
        <w:t xml:space="preserve"> We are very confident that</w:t>
      </w:r>
      <w:r>
        <w:rPr>
          <w:rFonts w:ascii="Arial Narrow" w:hAnsi="Arial Narrow" w:cs="Arial"/>
          <w:sz w:val="18"/>
          <w:szCs w:val="18"/>
        </w:rPr>
        <w:t xml:space="preserve"> the true effect lies close to that of the estimate of effect.</w:t>
      </w:r>
      <w:r w:rsidRPr="00E10B76">
        <w:rPr>
          <w:rFonts w:ascii="Arial Narrow" w:hAnsi="Arial Narrow" w:cs="Arial"/>
          <w:sz w:val="18"/>
          <w:szCs w:val="18"/>
        </w:rPr>
        <w:t xml:space="preserve"> </w:t>
      </w:r>
      <w:r w:rsidRPr="00E10B76">
        <w:rPr>
          <w:rFonts w:ascii="Arial Narrow" w:hAnsi="Arial Narrow" w:cs="Arial"/>
          <w:sz w:val="18"/>
          <w:szCs w:val="18"/>
        </w:rPr>
        <w:br/>
      </w:r>
      <w:r w:rsidRPr="00D4733A">
        <w:rPr>
          <w:rFonts w:ascii="Cambria Math" w:hAnsi="Cambria Math"/>
          <w:color w:val="00B050"/>
        </w:rPr>
        <w:t>⨁⨁⨁</w:t>
      </w:r>
      <w:r w:rsidRPr="00D4733A">
        <w:rPr>
          <w:rFonts w:ascii="Cambria Math" w:hAnsi="Cambria Math" w:cs="Cambria Math"/>
          <w:color w:val="C00000"/>
        </w:rPr>
        <w:t>⨀</w:t>
      </w:r>
      <w:r>
        <w:rPr>
          <w:rFonts w:ascii="Cambria Math" w:hAnsi="Cambria Math" w:cs="Cambria Math"/>
          <w:color w:val="C00000"/>
        </w:rPr>
        <w:t xml:space="preserve"> </w:t>
      </w:r>
      <w:r w:rsidRPr="00E10B76">
        <w:rPr>
          <w:rFonts w:ascii="Arial Narrow" w:hAnsi="Arial Narrow" w:cs="Arial"/>
          <w:b/>
          <w:bCs/>
          <w:sz w:val="18"/>
          <w:szCs w:val="18"/>
        </w:rPr>
        <w:t>Moderate quality:</w:t>
      </w:r>
      <w:r w:rsidRPr="00E10B76">
        <w:rPr>
          <w:rFonts w:ascii="Arial Narrow" w:hAnsi="Arial Narrow" w:cs="Arial"/>
          <w:sz w:val="18"/>
          <w:szCs w:val="18"/>
        </w:rPr>
        <w:t xml:space="preserve"> </w:t>
      </w:r>
      <w:r>
        <w:rPr>
          <w:rFonts w:ascii="Arial Narrow" w:hAnsi="Arial Narrow" w:cs="Arial"/>
          <w:sz w:val="18"/>
          <w:szCs w:val="18"/>
        </w:rPr>
        <w:t xml:space="preserve">We are moderately confident in the effect estimate: The true effect is likely to be close to the estimate of the effect, but there is a possibility that it is substantially different. </w:t>
      </w:r>
      <w:r w:rsidRPr="00E10B76">
        <w:rPr>
          <w:rFonts w:ascii="Arial Narrow" w:hAnsi="Arial Narrow" w:cs="Arial"/>
          <w:sz w:val="18"/>
          <w:szCs w:val="18"/>
        </w:rPr>
        <w:br/>
      </w:r>
      <w:r>
        <w:rPr>
          <w:rFonts w:ascii="Cambria Math" w:hAnsi="Cambria Math"/>
          <w:color w:val="00B050"/>
        </w:rPr>
        <w:t>⨁⨁</w:t>
      </w:r>
      <w:r w:rsidRPr="00D4733A">
        <w:rPr>
          <w:rFonts w:ascii="Cambria Math" w:hAnsi="Cambria Math" w:cs="Cambria Math"/>
          <w:color w:val="C00000"/>
        </w:rPr>
        <w:t>⨀⨀</w:t>
      </w:r>
      <w:r>
        <w:rPr>
          <w:rFonts w:ascii="Cambria Math" w:hAnsi="Cambria Math" w:cs="Cambria Math"/>
          <w:color w:val="C00000"/>
        </w:rPr>
        <w:t xml:space="preserve"> </w:t>
      </w:r>
      <w:r w:rsidRPr="00E10B76">
        <w:rPr>
          <w:rFonts w:ascii="Arial Narrow" w:hAnsi="Arial Narrow" w:cs="Arial"/>
          <w:b/>
          <w:bCs/>
          <w:sz w:val="18"/>
          <w:szCs w:val="18"/>
        </w:rPr>
        <w:t>Low quality:</w:t>
      </w:r>
      <w:r w:rsidRPr="00E10B76">
        <w:rPr>
          <w:rFonts w:ascii="Arial Narrow" w:hAnsi="Arial Narrow" w:cs="Arial"/>
          <w:sz w:val="18"/>
          <w:szCs w:val="18"/>
        </w:rPr>
        <w:t xml:space="preserve"> </w:t>
      </w:r>
      <w:r>
        <w:rPr>
          <w:rFonts w:ascii="Arial Narrow" w:hAnsi="Arial Narrow" w:cs="Arial"/>
          <w:sz w:val="18"/>
          <w:szCs w:val="18"/>
        </w:rPr>
        <w:t>Our confidence in the effect estimate is limited: The true effect may be substantially different from the estimate of the effect.</w:t>
      </w:r>
      <w:r w:rsidRPr="00E10B76">
        <w:rPr>
          <w:rFonts w:ascii="Arial Narrow" w:hAnsi="Arial Narrow" w:cs="Arial"/>
          <w:sz w:val="18"/>
          <w:szCs w:val="18"/>
        </w:rPr>
        <w:br/>
      </w:r>
      <w:r>
        <w:rPr>
          <w:rFonts w:ascii="Cambria Math" w:hAnsi="Cambria Math"/>
          <w:color w:val="00B050"/>
        </w:rPr>
        <w:t>⨁</w:t>
      </w:r>
      <w:r w:rsidRPr="00D4733A">
        <w:rPr>
          <w:rFonts w:ascii="Cambria Math" w:hAnsi="Cambria Math" w:cs="Cambria Math"/>
          <w:color w:val="C00000"/>
        </w:rPr>
        <w:t>⨀⨀⨀</w:t>
      </w:r>
      <w:r>
        <w:rPr>
          <w:rFonts w:ascii="Cambria Math" w:hAnsi="Cambria Math" w:cs="Cambria Math"/>
          <w:color w:val="C00000"/>
        </w:rPr>
        <w:t xml:space="preserve"> </w:t>
      </w:r>
      <w:r w:rsidRPr="00E10B76">
        <w:rPr>
          <w:rFonts w:ascii="Arial Narrow" w:hAnsi="Arial Narrow" w:cs="Arial"/>
          <w:b/>
          <w:bCs/>
          <w:sz w:val="18"/>
          <w:szCs w:val="18"/>
        </w:rPr>
        <w:t>Very low quality:</w:t>
      </w:r>
      <w:r w:rsidRPr="00E10B76">
        <w:rPr>
          <w:rFonts w:ascii="Arial Narrow" w:hAnsi="Arial Narrow" w:cs="Arial"/>
          <w:sz w:val="18"/>
          <w:szCs w:val="18"/>
        </w:rPr>
        <w:t xml:space="preserve"> </w:t>
      </w:r>
      <w:r>
        <w:rPr>
          <w:rFonts w:ascii="Arial Narrow" w:hAnsi="Arial Narrow" w:cs="Arial"/>
          <w:sz w:val="18"/>
          <w:szCs w:val="18"/>
        </w:rPr>
        <w:t>We have very little confidence in the effect estimate: The true effect is likely to be substantially different from the estimate of effect</w:t>
      </w:r>
    </w:p>
    <w:p w14:paraId="213924C6" w14:textId="4721B748" w:rsidR="00772829" w:rsidRDefault="00772829" w:rsidP="004B5A9D">
      <w:pPr>
        <w:pStyle w:val="Heading3"/>
      </w:pPr>
      <w:r w:rsidRPr="00223664">
        <w:t>Clinical claim</w:t>
      </w:r>
    </w:p>
    <w:p w14:paraId="2EA709FA" w14:textId="71EAA89D" w:rsidR="002114F8" w:rsidRDefault="002114F8" w:rsidP="00223664">
      <w:pPr>
        <w:tabs>
          <w:tab w:val="left" w:pos="720"/>
          <w:tab w:val="left" w:pos="1140"/>
        </w:tabs>
        <w:spacing w:before="240" w:after="120"/>
      </w:pPr>
      <w:r w:rsidRPr="002114F8">
        <w:t xml:space="preserve">On the basis of the evidence profile (summarised </w:t>
      </w:r>
      <w:r w:rsidR="00C15803">
        <w:t xml:space="preserve">above </w:t>
      </w:r>
      <w:r w:rsidRPr="002114F8">
        <w:t xml:space="preserve">in </w:t>
      </w:r>
      <w:r w:rsidR="00A87092">
        <w:fldChar w:fldCharType="begin"/>
      </w:r>
      <w:r w:rsidR="00A87092">
        <w:instrText xml:space="preserve"> REF _Ref421184437 \h </w:instrText>
      </w:r>
      <w:r w:rsidR="00A87092">
        <w:fldChar w:fldCharType="separate"/>
      </w:r>
      <w:r w:rsidR="00A45EE3" w:rsidRPr="003615DE">
        <w:rPr>
          <w:rFonts w:cstheme="minorHAnsi"/>
        </w:rPr>
        <w:t xml:space="preserve">Table </w:t>
      </w:r>
      <w:r w:rsidR="00A45EE3">
        <w:rPr>
          <w:rFonts w:cstheme="minorHAnsi"/>
          <w:noProof/>
        </w:rPr>
        <w:t>5</w:t>
      </w:r>
      <w:r w:rsidR="00A87092">
        <w:fldChar w:fldCharType="end"/>
      </w:r>
      <w:r w:rsidRPr="002114F8">
        <w:t xml:space="preserve">), </w:t>
      </w:r>
      <w:r w:rsidR="00A87092">
        <w:t>the ADAR</w:t>
      </w:r>
      <w:r w:rsidRPr="002114F8">
        <w:t xml:space="preserve"> suggested that, relative to usual care</w:t>
      </w:r>
      <w:r w:rsidR="00844040">
        <w:t xml:space="preserve"> (</w:t>
      </w:r>
      <w:r w:rsidR="00844040" w:rsidRPr="00D632E6">
        <w:rPr>
          <w:i/>
        </w:rPr>
        <w:t>ah-hoc</w:t>
      </w:r>
      <w:r w:rsidR="00844040" w:rsidRPr="00D632E6">
        <w:rPr>
          <w:iCs/>
        </w:rPr>
        <w:t xml:space="preserve"> </w:t>
      </w:r>
      <w:r w:rsidR="00844040">
        <w:t>medication review)</w:t>
      </w:r>
      <w:r w:rsidRPr="002114F8">
        <w:t>, IMeRSe ha</w:t>
      </w:r>
      <w:r w:rsidR="00A87092">
        <w:t>d</w:t>
      </w:r>
      <w:r w:rsidRPr="002114F8">
        <w:t xml:space="preserve"> non-inferior safety and uncertain effectiveness</w:t>
      </w:r>
      <w:r w:rsidR="00C15803">
        <w:t xml:space="preserve"> based on the primary outcome (serious MRPs)</w:t>
      </w:r>
      <w:r w:rsidRPr="002114F8">
        <w:t xml:space="preserve">. </w:t>
      </w:r>
      <w:r w:rsidR="00C15803">
        <w:t>Due to the o</w:t>
      </w:r>
      <w:r w:rsidRPr="002114F8">
        <w:t xml:space="preserve">verall confidence in the effect estimate for the reduction in the primary outcome, </w:t>
      </w:r>
      <w:r w:rsidR="00C15803">
        <w:t xml:space="preserve">the evidence for </w:t>
      </w:r>
      <w:r w:rsidRPr="002114F8">
        <w:t xml:space="preserve">serious MRPs </w:t>
      </w:r>
      <w:r w:rsidR="00C15803">
        <w:t>was</w:t>
      </w:r>
      <w:r w:rsidR="00C15803" w:rsidRPr="002114F8">
        <w:t xml:space="preserve"> </w:t>
      </w:r>
      <w:r w:rsidRPr="002114F8">
        <w:t xml:space="preserve">classified as moderate quality. </w:t>
      </w:r>
      <w:r w:rsidR="00C15803">
        <w:t xml:space="preserve">The ADAR also suggested </w:t>
      </w:r>
      <w:r w:rsidR="00C15803" w:rsidRPr="00C15803">
        <w:t>IMeRSe had a superior outcome compared to usual care for medication adherence and empowerment</w:t>
      </w:r>
      <w:r w:rsidR="00C15803">
        <w:t>.</w:t>
      </w:r>
    </w:p>
    <w:p w14:paraId="7A1B0C0E" w14:textId="02CC6EAC" w:rsidR="002114F8" w:rsidRPr="00DD6784" w:rsidRDefault="00A87092" w:rsidP="002114F8">
      <w:pPr>
        <w:tabs>
          <w:tab w:val="left" w:pos="720"/>
          <w:tab w:val="left" w:pos="1140"/>
        </w:tabs>
        <w:spacing w:before="240" w:after="120"/>
        <w:rPr>
          <w:iCs/>
        </w:rPr>
      </w:pPr>
      <w:r w:rsidRPr="00DD6784">
        <w:rPr>
          <w:iCs/>
        </w:rPr>
        <w:t>The commentary considered that t</w:t>
      </w:r>
      <w:r w:rsidR="002114F8" w:rsidRPr="00DD6784">
        <w:rPr>
          <w:iCs/>
        </w:rPr>
        <w:t xml:space="preserve">he non-inferiority claim regarding comparative safety is reasonable, but to the extent that the IMeRSe intervention demonstrates improved adherence to medications, then it will be superior to usual care. </w:t>
      </w:r>
    </w:p>
    <w:p w14:paraId="75E930D5" w14:textId="0AD74311" w:rsidR="002114F8" w:rsidRPr="002A6DEA" w:rsidRDefault="002114F8" w:rsidP="002114F8">
      <w:pPr>
        <w:tabs>
          <w:tab w:val="left" w:pos="720"/>
          <w:tab w:val="left" w:pos="1140"/>
        </w:tabs>
        <w:spacing w:before="240" w:after="120"/>
        <w:rPr>
          <w:iCs/>
        </w:rPr>
      </w:pPr>
      <w:r w:rsidRPr="00DD6784">
        <w:rPr>
          <w:iCs/>
        </w:rPr>
        <w:t xml:space="preserve">The </w:t>
      </w:r>
      <w:r w:rsidR="00A87092" w:rsidRPr="00DD6784">
        <w:rPr>
          <w:iCs/>
        </w:rPr>
        <w:t xml:space="preserve">commentary also considered the </w:t>
      </w:r>
      <w:r w:rsidRPr="00DD6784">
        <w:rPr>
          <w:iCs/>
        </w:rPr>
        <w:t xml:space="preserve">claim regarding uncertain comparative effectiveness </w:t>
      </w:r>
      <w:r w:rsidR="00A87092" w:rsidRPr="00DD6784">
        <w:rPr>
          <w:iCs/>
        </w:rPr>
        <w:t>to be</w:t>
      </w:r>
      <w:r w:rsidRPr="00DD6784">
        <w:rPr>
          <w:iCs/>
        </w:rPr>
        <w:t xml:space="preserve"> reasonable</w:t>
      </w:r>
      <w:r w:rsidRPr="002A6DEA">
        <w:rPr>
          <w:iCs/>
        </w:rPr>
        <w:t xml:space="preserve">. Statistically significant differences, favouring the post-intervention results, in validated surveys regarding concern with medicines, medication adherence, growth and empowerment and treatment satisfaction were observed. However, no statistically significant differences in PPMRHs were observed, nor were any differences in the primary outcome of MRPs (at the 5% level of significance). </w:t>
      </w:r>
      <w:bookmarkStart w:id="26" w:name="_Hlk88811211"/>
      <w:r w:rsidR="00A87092" w:rsidRPr="002A6DEA">
        <w:rPr>
          <w:iCs/>
        </w:rPr>
        <w:t>However, the commentary considered that the results should</w:t>
      </w:r>
      <w:r w:rsidRPr="002A6DEA">
        <w:rPr>
          <w:iCs/>
        </w:rPr>
        <w:t xml:space="preserve"> be interpreted with the study aim (feasibility)</w:t>
      </w:r>
      <w:r w:rsidR="003908A8" w:rsidRPr="002A6DEA">
        <w:rPr>
          <w:iCs/>
        </w:rPr>
        <w:t>,</w:t>
      </w:r>
      <w:r w:rsidRPr="002A6DEA">
        <w:rPr>
          <w:iCs/>
        </w:rPr>
        <w:t xml:space="preserve"> study design (lack of a concurrent control group)</w:t>
      </w:r>
      <w:r w:rsidR="00375212" w:rsidRPr="002A6DEA">
        <w:rPr>
          <w:iCs/>
        </w:rPr>
        <w:t>, short study duration, small sample size</w:t>
      </w:r>
      <w:r w:rsidR="003908A8" w:rsidRPr="002A6DEA">
        <w:rPr>
          <w:iCs/>
        </w:rPr>
        <w:t xml:space="preserve"> and lack of information regarding the representativeness of the AHSs, community </w:t>
      </w:r>
      <w:r w:rsidR="00DF6A5D" w:rsidRPr="002A6DEA">
        <w:rPr>
          <w:iCs/>
        </w:rPr>
        <w:t>pharmacists</w:t>
      </w:r>
      <w:r w:rsidR="003908A8" w:rsidRPr="002A6DEA">
        <w:rPr>
          <w:iCs/>
        </w:rPr>
        <w:t xml:space="preserve"> and study participants to the intended population, </w:t>
      </w:r>
      <w:r w:rsidRPr="002A6DEA">
        <w:rPr>
          <w:iCs/>
        </w:rPr>
        <w:t>in mind.</w:t>
      </w:r>
      <w:bookmarkEnd w:id="26"/>
    </w:p>
    <w:p w14:paraId="1586169D" w14:textId="52102F53" w:rsidR="00C15803" w:rsidRPr="009D60EB" w:rsidRDefault="00C15803" w:rsidP="002114F8">
      <w:pPr>
        <w:tabs>
          <w:tab w:val="left" w:pos="720"/>
          <w:tab w:val="left" w:pos="1140"/>
        </w:tabs>
        <w:spacing w:before="240" w:after="120"/>
        <w:rPr>
          <w:i/>
        </w:rPr>
      </w:pPr>
      <w:r w:rsidRPr="002A6DEA">
        <w:rPr>
          <w:iCs/>
        </w:rPr>
        <w:t>ESC considered that the lack of statistically significant differences in clinical outcomes were problematic, but considered a focus on this for an intervention like IMeRSe with other health benefits to be inappropriately narrow. ESC noted that the service resulted in positive patient-reported outcomes, and ESC agreed with the pre-ESC response that these outcomes are valuable for a service such as the one proposed.</w:t>
      </w:r>
      <w:r w:rsidRPr="002A6DEA">
        <w:rPr>
          <w:i/>
        </w:rPr>
        <w:t xml:space="preserve"> </w:t>
      </w:r>
      <w:r w:rsidR="005A618D" w:rsidRPr="002A6DEA">
        <w:rPr>
          <w:iCs/>
        </w:rPr>
        <w:t xml:space="preserve">MSAC agreed with ESC and </w:t>
      </w:r>
      <w:r w:rsidRPr="002A6DEA">
        <w:rPr>
          <w:iCs/>
        </w:rPr>
        <w:t>considered IMeRSe to have non-inferior safety</w:t>
      </w:r>
      <w:r w:rsidR="00371664" w:rsidRPr="002A6DEA">
        <w:rPr>
          <w:iCs/>
        </w:rPr>
        <w:t>,</w:t>
      </w:r>
      <w:r w:rsidRPr="002A6DEA">
        <w:rPr>
          <w:iCs/>
        </w:rPr>
        <w:t xml:space="preserve"> uncertain effectiveness compared</w:t>
      </w:r>
      <w:r w:rsidRPr="004B5A9D">
        <w:rPr>
          <w:iCs/>
        </w:rPr>
        <w:t xml:space="preserve"> to usual care but could have superior medication adherence and empowerment.</w:t>
      </w:r>
    </w:p>
    <w:p w14:paraId="0D09C9E4" w14:textId="656A5A23" w:rsidR="00772829" w:rsidRPr="00CE28E3" w:rsidRDefault="00C36633" w:rsidP="002A18BE">
      <w:pPr>
        <w:pStyle w:val="Heading2"/>
        <w:numPr>
          <w:ilvl w:val="0"/>
          <w:numId w:val="0"/>
        </w:numPr>
      </w:pPr>
      <w:bookmarkStart w:id="27" w:name="_Toc69491425"/>
      <w:r>
        <w:t>1</w:t>
      </w:r>
      <w:r w:rsidR="007C620E">
        <w:t>3</w:t>
      </w:r>
      <w:r>
        <w:t>.</w:t>
      </w:r>
      <w:r>
        <w:tab/>
      </w:r>
      <w:r w:rsidR="00772829" w:rsidRPr="00CE28E3">
        <w:t>Economic evaluation</w:t>
      </w:r>
      <w:bookmarkEnd w:id="27"/>
    </w:p>
    <w:p w14:paraId="15752785" w14:textId="25CFF704" w:rsidR="00453332" w:rsidDel="00FE0AFA" w:rsidRDefault="00453332" w:rsidP="00453332">
      <w:pPr>
        <w:pStyle w:val="Instructionaltext"/>
        <w:rPr>
          <w:color w:val="auto"/>
        </w:rPr>
      </w:pPr>
      <w:bookmarkStart w:id="28" w:name="_Toc69491426"/>
      <w:r w:rsidRPr="009758A8">
        <w:rPr>
          <w:color w:val="auto"/>
        </w:rPr>
        <w:t xml:space="preserve">The </w:t>
      </w:r>
      <w:r>
        <w:rPr>
          <w:color w:val="auto"/>
        </w:rPr>
        <w:t xml:space="preserve">ADAR presented an economic evaluation </w:t>
      </w:r>
      <w:r w:rsidR="00710293">
        <w:rPr>
          <w:color w:val="auto"/>
        </w:rPr>
        <w:t xml:space="preserve">estimating the </w:t>
      </w:r>
      <w:r w:rsidR="00417A4F">
        <w:rPr>
          <w:color w:val="auto"/>
        </w:rPr>
        <w:t xml:space="preserve">incremental </w:t>
      </w:r>
      <w:r w:rsidR="00710293" w:rsidRPr="00710293">
        <w:rPr>
          <w:color w:val="auto"/>
        </w:rPr>
        <w:t xml:space="preserve">cost per serious MRP avoided </w:t>
      </w:r>
      <w:r w:rsidR="00417A4F">
        <w:rPr>
          <w:color w:val="auto"/>
        </w:rPr>
        <w:t>(i.e., a cost-effectiveness analysis)</w:t>
      </w:r>
      <w:r w:rsidR="0026121A">
        <w:rPr>
          <w:color w:val="auto"/>
        </w:rPr>
        <w:t xml:space="preserve"> </w:t>
      </w:r>
      <w:r>
        <w:rPr>
          <w:color w:val="auto"/>
        </w:rPr>
        <w:t xml:space="preserve">using the cost and effectiveness data collected during implementation of IMeRSe </w:t>
      </w:r>
      <w:r w:rsidR="00375212">
        <w:rPr>
          <w:color w:val="auto"/>
        </w:rPr>
        <w:t>Feasibility S</w:t>
      </w:r>
      <w:r>
        <w:rPr>
          <w:color w:val="auto"/>
        </w:rPr>
        <w:t xml:space="preserve">tudy </w:t>
      </w:r>
      <w:r w:rsidRPr="002E0DC4">
        <w:rPr>
          <w:color w:val="auto"/>
        </w:rPr>
        <w:t>and also obtained from the PBS, MBS, hospital and emergency admission administrative datasets</w:t>
      </w:r>
      <w:r>
        <w:rPr>
          <w:color w:val="auto"/>
        </w:rPr>
        <w:t>. The economic evaluation was undertaken from the Australian government perspective and did not include patient out-of-pocket costs (e.g.</w:t>
      </w:r>
      <w:r w:rsidR="00722649">
        <w:rPr>
          <w:color w:val="auto"/>
        </w:rPr>
        <w:t>,</w:t>
      </w:r>
      <w:r>
        <w:rPr>
          <w:color w:val="auto"/>
        </w:rPr>
        <w:t xml:space="preserve"> travel and over-the-counter medications). </w:t>
      </w:r>
    </w:p>
    <w:p w14:paraId="37C70725" w14:textId="7743DBDF" w:rsidR="00EA43B7" w:rsidRDefault="0026121A" w:rsidP="00EA43B7">
      <w:r w:rsidRPr="00CE362A">
        <w:t xml:space="preserve">A summary of the economic evaluation is presented in </w:t>
      </w:r>
      <w:r w:rsidR="00EA43B7">
        <w:fldChar w:fldCharType="begin"/>
      </w:r>
      <w:r w:rsidR="00EA43B7">
        <w:instrText xml:space="preserve"> REF _Ref97733821 \h </w:instrText>
      </w:r>
      <w:r w:rsidR="00EA43B7">
        <w:fldChar w:fldCharType="separate"/>
      </w:r>
      <w:r w:rsidR="00A45EE3" w:rsidRPr="00CE28E3">
        <w:t>Table</w:t>
      </w:r>
      <w:r w:rsidR="00A45EE3">
        <w:t> </w:t>
      </w:r>
      <w:r w:rsidR="00A45EE3">
        <w:rPr>
          <w:noProof/>
        </w:rPr>
        <w:t>6</w:t>
      </w:r>
      <w:r w:rsidR="00EA43B7">
        <w:fldChar w:fldCharType="end"/>
      </w:r>
      <w:r w:rsidR="00EA43B7">
        <w:t xml:space="preserve">. </w:t>
      </w:r>
    </w:p>
    <w:p w14:paraId="123A2E6E" w14:textId="5D13DFAA" w:rsidR="009B2398" w:rsidRPr="009B2398" w:rsidRDefault="0026121A" w:rsidP="009B2398">
      <w:r>
        <w:t xml:space="preserve">The </w:t>
      </w:r>
      <w:r w:rsidRPr="002A6DEA">
        <w:t xml:space="preserve">commentary noted that the ADAR indicated that IMeRSe had uncertain comparative effectiveness but </w:t>
      </w:r>
      <w:r w:rsidR="00722649" w:rsidRPr="002A6DEA">
        <w:t>also claimed IMeRSe would</w:t>
      </w:r>
      <w:r w:rsidRPr="002A6DEA">
        <w:t xml:space="preserve"> provide cost-savings,</w:t>
      </w:r>
      <w:r w:rsidR="00722649" w:rsidRPr="002A6DEA">
        <w:t xml:space="preserve"> which </w:t>
      </w:r>
      <w:r w:rsidRPr="002A6DEA">
        <w:t>would suggest a cost-minimisation approach would be appropriate.</w:t>
      </w:r>
      <w:r w:rsidR="0048542B" w:rsidRPr="002A6DEA">
        <w:t xml:space="preserve"> </w:t>
      </w:r>
      <w:r w:rsidR="005A618D" w:rsidRPr="002A6DEA">
        <w:t>M</w:t>
      </w:r>
      <w:r w:rsidR="00486DB8" w:rsidRPr="002A6DEA">
        <w:t>S</w:t>
      </w:r>
      <w:r w:rsidR="005A618D" w:rsidRPr="002A6DEA">
        <w:t xml:space="preserve">AC noted and agreed with ESC advice that </w:t>
      </w:r>
      <w:r w:rsidR="0048542B" w:rsidRPr="002A6DEA">
        <w:t xml:space="preserve">cost-minimisation analysis </w:t>
      </w:r>
      <w:r w:rsidR="005A618D" w:rsidRPr="002A6DEA">
        <w:t xml:space="preserve">was not considered </w:t>
      </w:r>
      <w:r w:rsidR="0048542B" w:rsidRPr="002A6DEA">
        <w:t>appropriate</w:t>
      </w:r>
      <w:r w:rsidR="005A618D" w:rsidRPr="002A6DEA">
        <w:t xml:space="preserve">, </w:t>
      </w:r>
      <w:r w:rsidRPr="002A6DEA">
        <w:rPr>
          <w:szCs w:val="24"/>
        </w:rPr>
        <w:t>that cost per MRP avoided does not fully capture the health benefits of the IMeRSe</w:t>
      </w:r>
      <w:r w:rsidR="005A618D" w:rsidRPr="002A6DEA">
        <w:rPr>
          <w:szCs w:val="24"/>
        </w:rPr>
        <w:t xml:space="preserve"> and that</w:t>
      </w:r>
      <w:r w:rsidRPr="002A6DEA">
        <w:rPr>
          <w:szCs w:val="24"/>
        </w:rPr>
        <w:t xml:space="preserve"> a cost-consequence analysis would be more appropriate to handle multiple complex outcome measures (e.g.</w:t>
      </w:r>
      <w:r w:rsidR="00722649" w:rsidRPr="002A6DEA">
        <w:rPr>
          <w:szCs w:val="24"/>
        </w:rPr>
        <w:t>,</w:t>
      </w:r>
      <w:r w:rsidRPr="002A6DEA">
        <w:rPr>
          <w:szCs w:val="24"/>
        </w:rPr>
        <w:t xml:space="preserve"> adherence, hospitalisation, medication errors).</w:t>
      </w:r>
      <w:r w:rsidR="00450DA0">
        <w:rPr>
          <w:i/>
          <w:iCs/>
          <w:szCs w:val="24"/>
        </w:rPr>
        <w:t xml:space="preserve"> </w:t>
      </w:r>
      <w:bookmarkStart w:id="29" w:name="_Ref69725820"/>
      <w:bookmarkStart w:id="30" w:name="_Ref97733821"/>
      <w:r w:rsidR="009B2398">
        <w:br w:type="page"/>
      </w:r>
    </w:p>
    <w:p w14:paraId="16CB0286" w14:textId="0F7B8F6E" w:rsidR="009B789A" w:rsidRPr="00CE28E3" w:rsidRDefault="009B789A" w:rsidP="009B789A">
      <w:pPr>
        <w:pStyle w:val="Caption"/>
        <w:tabs>
          <w:tab w:val="left" w:pos="1134"/>
        </w:tabs>
        <w:ind w:left="1134" w:hanging="1134"/>
      </w:pPr>
      <w:r w:rsidRPr="00CE28E3">
        <w:t>Table</w:t>
      </w:r>
      <w:r>
        <w:t> </w:t>
      </w:r>
      <w:r w:rsidRPr="00CE28E3">
        <w:rPr>
          <w:noProof/>
        </w:rPr>
        <w:fldChar w:fldCharType="begin"/>
      </w:r>
      <w:r w:rsidRPr="00CE28E3">
        <w:rPr>
          <w:noProof/>
        </w:rPr>
        <w:instrText xml:space="preserve"> SEQ Table \* ARABIC </w:instrText>
      </w:r>
      <w:r w:rsidRPr="00CE28E3">
        <w:rPr>
          <w:noProof/>
        </w:rPr>
        <w:fldChar w:fldCharType="separate"/>
      </w:r>
      <w:r w:rsidR="00A45EE3">
        <w:rPr>
          <w:noProof/>
        </w:rPr>
        <w:t>6</w:t>
      </w:r>
      <w:r w:rsidRPr="00CE28E3">
        <w:rPr>
          <w:noProof/>
        </w:rPr>
        <w:fldChar w:fldCharType="end"/>
      </w:r>
      <w:bookmarkEnd w:id="29"/>
      <w:bookmarkEnd w:id="30"/>
      <w:r w:rsidRPr="00CE28E3">
        <w:tab/>
        <w:t xml:space="preserve">Summary of the economic evaluation </w:t>
      </w:r>
    </w:p>
    <w:tbl>
      <w:tblPr>
        <w:tblStyle w:val="TableGrid1"/>
        <w:tblpPr w:leftFromText="180" w:rightFromText="180" w:vertAnchor="text" w:tblpY="1"/>
        <w:tblOverlap w:val="never"/>
        <w:tblW w:w="9067" w:type="dxa"/>
        <w:tblLook w:val="04A0" w:firstRow="1" w:lastRow="0" w:firstColumn="1" w:lastColumn="0" w:noHBand="0" w:noVBand="1"/>
        <w:tblCaption w:val="Summary of the economic evaluation "/>
        <w:tblDescription w:val="This table describes the key constructs of the economic evaluation that is provided in the assessment report."/>
      </w:tblPr>
      <w:tblGrid>
        <w:gridCol w:w="2003"/>
        <w:gridCol w:w="7064"/>
      </w:tblGrid>
      <w:tr w:rsidR="009B789A" w:rsidRPr="00CE28E3" w14:paraId="2539D1DB" w14:textId="77777777" w:rsidTr="00984D52">
        <w:trPr>
          <w:cnfStyle w:val="100000000000" w:firstRow="1" w:lastRow="0" w:firstColumn="0" w:lastColumn="0" w:oddVBand="0" w:evenVBand="0" w:oddHBand="0" w:evenHBand="0" w:firstRowFirstColumn="0" w:firstRowLastColumn="0" w:lastRowFirstColumn="0" w:lastRowLastColumn="0"/>
        </w:trPr>
        <w:tc>
          <w:tcPr>
            <w:tcW w:w="2003" w:type="dxa"/>
          </w:tcPr>
          <w:p w14:paraId="052C95A4" w14:textId="77777777" w:rsidR="009B789A" w:rsidRPr="000449D1" w:rsidRDefault="009B789A" w:rsidP="00984D52">
            <w:pPr>
              <w:pStyle w:val="TableHeading"/>
            </w:pPr>
            <w:r w:rsidRPr="000449D1">
              <w:t>Component</w:t>
            </w:r>
          </w:p>
        </w:tc>
        <w:tc>
          <w:tcPr>
            <w:tcW w:w="7064" w:type="dxa"/>
          </w:tcPr>
          <w:p w14:paraId="1A756895" w14:textId="77777777" w:rsidR="009B789A" w:rsidRPr="000449D1" w:rsidRDefault="009B789A" w:rsidP="00984D52">
            <w:pPr>
              <w:pStyle w:val="TableHeading"/>
            </w:pPr>
            <w:r w:rsidRPr="000449D1">
              <w:t>Description</w:t>
            </w:r>
          </w:p>
        </w:tc>
      </w:tr>
      <w:tr w:rsidR="009B789A" w:rsidRPr="000449D1" w14:paraId="7E31C7B5" w14:textId="77777777" w:rsidTr="00984D52">
        <w:tc>
          <w:tcPr>
            <w:tcW w:w="2003" w:type="dxa"/>
          </w:tcPr>
          <w:p w14:paraId="36347B1A" w14:textId="77777777" w:rsidR="009B789A" w:rsidRPr="000449D1" w:rsidRDefault="009B789A" w:rsidP="00984D52">
            <w:pPr>
              <w:pStyle w:val="TableText"/>
              <w:keepNext/>
            </w:pPr>
            <w:r w:rsidRPr="000449D1">
              <w:t>Perspective</w:t>
            </w:r>
          </w:p>
        </w:tc>
        <w:tc>
          <w:tcPr>
            <w:tcW w:w="7064" w:type="dxa"/>
          </w:tcPr>
          <w:p w14:paraId="1663654C" w14:textId="77777777" w:rsidR="009B789A" w:rsidRPr="000449D1" w:rsidRDefault="009B789A" w:rsidP="00984D52">
            <w:pPr>
              <w:pStyle w:val="TableText"/>
              <w:keepNext/>
            </w:pPr>
            <w:r>
              <w:t>Australian government</w:t>
            </w:r>
          </w:p>
        </w:tc>
      </w:tr>
      <w:tr w:rsidR="009B789A" w:rsidRPr="000449D1" w14:paraId="131EA2E4" w14:textId="77777777" w:rsidTr="00984D52">
        <w:tc>
          <w:tcPr>
            <w:tcW w:w="2003" w:type="dxa"/>
          </w:tcPr>
          <w:p w14:paraId="56C7664F" w14:textId="77777777" w:rsidR="009B789A" w:rsidRPr="000449D1" w:rsidRDefault="009B789A" w:rsidP="00984D52">
            <w:pPr>
              <w:pStyle w:val="TableText"/>
              <w:keepNext/>
            </w:pPr>
            <w:r w:rsidRPr="000449D1">
              <w:t>Population</w:t>
            </w:r>
          </w:p>
        </w:tc>
        <w:tc>
          <w:tcPr>
            <w:tcW w:w="7064" w:type="dxa"/>
          </w:tcPr>
          <w:p w14:paraId="3AACD2C5" w14:textId="77777777" w:rsidR="009B789A" w:rsidRPr="000449D1" w:rsidRDefault="009B789A" w:rsidP="00984D52">
            <w:pPr>
              <w:pStyle w:val="TableText"/>
              <w:keepNext/>
            </w:pPr>
            <w:r>
              <w:t xml:space="preserve">Indigenous population </w:t>
            </w:r>
            <w:r w:rsidRPr="00E52EC0">
              <w:t>aged 18 years and over and living in the community</w:t>
            </w:r>
            <w:r>
              <w:t xml:space="preserve"> and identified (including self-identified) </w:t>
            </w:r>
            <w:r w:rsidRPr="00E52EC0">
              <w:t>at risk of medication-related problems</w:t>
            </w:r>
          </w:p>
        </w:tc>
      </w:tr>
      <w:tr w:rsidR="009B789A" w:rsidRPr="000449D1" w14:paraId="0BE888FF" w14:textId="77777777" w:rsidTr="00984D52">
        <w:tc>
          <w:tcPr>
            <w:tcW w:w="2003" w:type="dxa"/>
          </w:tcPr>
          <w:p w14:paraId="195BB7B5" w14:textId="77777777" w:rsidR="009B789A" w:rsidRPr="000449D1" w:rsidRDefault="009B789A" w:rsidP="00984D52">
            <w:pPr>
              <w:pStyle w:val="TableText"/>
              <w:keepNext/>
            </w:pPr>
            <w:r w:rsidRPr="000449D1">
              <w:t>Comparator</w:t>
            </w:r>
          </w:p>
        </w:tc>
        <w:tc>
          <w:tcPr>
            <w:tcW w:w="7064" w:type="dxa"/>
          </w:tcPr>
          <w:p w14:paraId="6EA35B0A" w14:textId="2DC2B74E" w:rsidR="009B789A" w:rsidRPr="000449D1" w:rsidRDefault="009B789A" w:rsidP="00984D52">
            <w:pPr>
              <w:pStyle w:val="TableText"/>
              <w:keepNext/>
            </w:pPr>
            <w:r w:rsidRPr="00E52EC0">
              <w:t xml:space="preserve">Usual care, </w:t>
            </w:r>
            <w:r w:rsidR="00C63169" w:rsidRPr="00E65882">
              <w:rPr>
                <w:i/>
                <w:iCs/>
              </w:rPr>
              <w:t>ad-hoc medication advice provided by health care professionals</w:t>
            </w:r>
          </w:p>
        </w:tc>
      </w:tr>
      <w:tr w:rsidR="009B789A" w:rsidRPr="000449D1" w14:paraId="70B72FDA" w14:textId="77777777" w:rsidTr="00984D52">
        <w:tc>
          <w:tcPr>
            <w:tcW w:w="2003" w:type="dxa"/>
          </w:tcPr>
          <w:p w14:paraId="72DC4393" w14:textId="77777777" w:rsidR="009B789A" w:rsidRPr="000449D1" w:rsidRDefault="009B789A" w:rsidP="00984D52">
            <w:pPr>
              <w:pStyle w:val="TableText"/>
              <w:keepNext/>
            </w:pPr>
            <w:r w:rsidRPr="000449D1">
              <w:t>Type(s) of analysis</w:t>
            </w:r>
          </w:p>
        </w:tc>
        <w:tc>
          <w:tcPr>
            <w:tcW w:w="7064" w:type="dxa"/>
          </w:tcPr>
          <w:p w14:paraId="07194D4D" w14:textId="4808A4CD" w:rsidR="009B789A" w:rsidRPr="00E65882" w:rsidRDefault="00445C2A" w:rsidP="00984D52">
            <w:pPr>
              <w:pStyle w:val="TableText"/>
              <w:keepNext/>
              <w:rPr>
                <w:i/>
                <w:iCs/>
              </w:rPr>
            </w:pPr>
            <w:r w:rsidRPr="00E65882">
              <w:rPr>
                <w:i/>
                <w:iCs/>
                <w:strike/>
              </w:rPr>
              <w:t>Cost-consequence</w:t>
            </w:r>
            <w:r w:rsidRPr="00E65882">
              <w:rPr>
                <w:i/>
                <w:iCs/>
              </w:rPr>
              <w:t xml:space="preserve">. </w:t>
            </w:r>
            <w:r w:rsidR="009B789A" w:rsidRPr="00E65882">
              <w:rPr>
                <w:i/>
                <w:iCs/>
              </w:rPr>
              <w:t>Cost-effectiveness analysis</w:t>
            </w:r>
          </w:p>
        </w:tc>
      </w:tr>
      <w:tr w:rsidR="009B789A" w:rsidRPr="000449D1" w14:paraId="4EDE51BE" w14:textId="77777777" w:rsidTr="00984D52">
        <w:tc>
          <w:tcPr>
            <w:tcW w:w="2003" w:type="dxa"/>
          </w:tcPr>
          <w:p w14:paraId="3EB3B6D5" w14:textId="77777777" w:rsidR="009B789A" w:rsidRPr="000449D1" w:rsidRDefault="009B789A" w:rsidP="00984D52">
            <w:pPr>
              <w:pStyle w:val="TableText"/>
              <w:keepNext/>
            </w:pPr>
            <w:r w:rsidRPr="000449D1">
              <w:t>Outcomes</w:t>
            </w:r>
          </w:p>
        </w:tc>
        <w:tc>
          <w:tcPr>
            <w:tcW w:w="7064" w:type="dxa"/>
          </w:tcPr>
          <w:p w14:paraId="0F79CDF1" w14:textId="77777777" w:rsidR="009B789A" w:rsidRPr="000449D1" w:rsidRDefault="009B789A" w:rsidP="00984D52">
            <w:pPr>
              <w:pStyle w:val="TableText"/>
              <w:keepNext/>
            </w:pPr>
            <w:r w:rsidRPr="00E52EC0">
              <w:t>Serious medication-related problems avoided</w:t>
            </w:r>
          </w:p>
        </w:tc>
      </w:tr>
      <w:tr w:rsidR="009B789A" w:rsidRPr="000449D1" w14:paraId="35D36A9F" w14:textId="77777777" w:rsidTr="00984D52">
        <w:tc>
          <w:tcPr>
            <w:tcW w:w="2003" w:type="dxa"/>
          </w:tcPr>
          <w:p w14:paraId="41F2D2E5" w14:textId="77777777" w:rsidR="009B789A" w:rsidRPr="000449D1" w:rsidRDefault="009B789A" w:rsidP="00984D52">
            <w:pPr>
              <w:pStyle w:val="TableText"/>
              <w:keepNext/>
            </w:pPr>
            <w:r w:rsidRPr="000449D1">
              <w:t>Time horizon</w:t>
            </w:r>
          </w:p>
        </w:tc>
        <w:tc>
          <w:tcPr>
            <w:tcW w:w="7064" w:type="dxa"/>
          </w:tcPr>
          <w:p w14:paraId="1B91721C" w14:textId="48E0CB02" w:rsidR="009B789A" w:rsidRPr="000449D1" w:rsidRDefault="007C4DAF" w:rsidP="00984D52">
            <w:pPr>
              <w:pStyle w:val="TableText"/>
              <w:keepNext/>
            </w:pPr>
            <w:r w:rsidRPr="007C4DAF">
              <w:rPr>
                <w:i/>
                <w:iCs/>
              </w:rPr>
              <w:t>12</w:t>
            </w:r>
            <w:r w:rsidR="00260D9A" w:rsidRPr="00710293">
              <w:t>-</w:t>
            </w:r>
            <w:r w:rsidR="00260D9A" w:rsidRPr="00CD055E">
              <w:t>months (trial-based analysis)</w:t>
            </w:r>
            <w:r w:rsidR="00260D9A">
              <w:t xml:space="preserve">, </w:t>
            </w:r>
            <w:r w:rsidR="00260D9A" w:rsidRPr="00E65882">
              <w:rPr>
                <w:i/>
              </w:rPr>
              <w:t>^</w:t>
            </w:r>
          </w:p>
        </w:tc>
      </w:tr>
      <w:tr w:rsidR="009B789A" w:rsidRPr="000449D1" w14:paraId="0AAA42D8" w14:textId="77777777" w:rsidTr="00984D52">
        <w:tc>
          <w:tcPr>
            <w:tcW w:w="2003" w:type="dxa"/>
          </w:tcPr>
          <w:p w14:paraId="0AAE366C" w14:textId="77777777" w:rsidR="009B789A" w:rsidRPr="000449D1" w:rsidRDefault="009B789A" w:rsidP="00984D52">
            <w:pPr>
              <w:pStyle w:val="TableText"/>
              <w:keepNext/>
            </w:pPr>
            <w:r w:rsidRPr="000449D1">
              <w:t>Computational method</w:t>
            </w:r>
          </w:p>
        </w:tc>
        <w:tc>
          <w:tcPr>
            <w:tcW w:w="7064" w:type="dxa"/>
          </w:tcPr>
          <w:p w14:paraId="586A8CD9" w14:textId="77777777" w:rsidR="009B789A" w:rsidRPr="000449D1" w:rsidRDefault="009B789A" w:rsidP="00984D52">
            <w:pPr>
              <w:pStyle w:val="TableText"/>
              <w:keepNext/>
            </w:pPr>
            <w:r w:rsidRPr="00E52EC0">
              <w:t xml:space="preserve">Statistical modelling of the </w:t>
            </w:r>
            <w:r>
              <w:t>number of MRPs pre- and post IMeRSe</w:t>
            </w:r>
          </w:p>
        </w:tc>
      </w:tr>
      <w:tr w:rsidR="009B789A" w:rsidRPr="000449D1" w14:paraId="70E51C6A" w14:textId="77777777" w:rsidTr="00984D52">
        <w:tc>
          <w:tcPr>
            <w:tcW w:w="2003" w:type="dxa"/>
          </w:tcPr>
          <w:p w14:paraId="40D2FC0F" w14:textId="77777777" w:rsidR="009B789A" w:rsidRPr="000449D1" w:rsidRDefault="009B789A" w:rsidP="00984D52">
            <w:pPr>
              <w:pStyle w:val="TableText"/>
              <w:keepNext/>
            </w:pPr>
            <w:r w:rsidRPr="000449D1">
              <w:t>Generation of the base case</w:t>
            </w:r>
          </w:p>
        </w:tc>
        <w:tc>
          <w:tcPr>
            <w:tcW w:w="7064" w:type="dxa"/>
          </w:tcPr>
          <w:p w14:paraId="5C98E70F" w14:textId="28EC2F3F" w:rsidR="009B789A" w:rsidRPr="000449D1" w:rsidRDefault="00260D9A" w:rsidP="00984D52">
            <w:pPr>
              <w:pStyle w:val="TableText"/>
              <w:keepNext/>
            </w:pPr>
            <w:r w:rsidRPr="00E65882">
              <w:rPr>
                <w:i/>
              </w:rPr>
              <w:t>Statistical modelling of</w:t>
            </w:r>
            <w:r w:rsidRPr="00E65882">
              <w:rPr>
                <w:iCs/>
              </w:rPr>
              <w:t xml:space="preserve"> </w:t>
            </w:r>
            <w:r w:rsidR="009B789A" w:rsidRPr="000449D1">
              <w:t xml:space="preserve">trial based </w:t>
            </w:r>
            <w:r w:rsidRPr="00E65882">
              <w:rPr>
                <w:i/>
              </w:rPr>
              <w:t>data</w:t>
            </w:r>
          </w:p>
        </w:tc>
      </w:tr>
      <w:tr w:rsidR="009B789A" w:rsidRPr="000449D1" w14:paraId="1CFB0257" w14:textId="77777777" w:rsidTr="00984D52">
        <w:tc>
          <w:tcPr>
            <w:tcW w:w="2003" w:type="dxa"/>
          </w:tcPr>
          <w:p w14:paraId="207FF2EA" w14:textId="77777777" w:rsidR="009B789A" w:rsidRPr="000449D1" w:rsidRDefault="009B789A" w:rsidP="00984D52">
            <w:pPr>
              <w:pStyle w:val="TableText"/>
              <w:keepNext/>
            </w:pPr>
            <w:r w:rsidRPr="000449D1">
              <w:t>Discount rate</w:t>
            </w:r>
          </w:p>
        </w:tc>
        <w:tc>
          <w:tcPr>
            <w:tcW w:w="7064" w:type="dxa"/>
          </w:tcPr>
          <w:p w14:paraId="6796BDC4" w14:textId="77777777" w:rsidR="009B789A" w:rsidRPr="000449D1" w:rsidRDefault="009B789A" w:rsidP="00984D52">
            <w:pPr>
              <w:pStyle w:val="TableText"/>
              <w:keepNext/>
            </w:pPr>
            <w:r w:rsidRPr="00CD055E">
              <w:t>Not applicable (</w:t>
            </w:r>
            <w:r>
              <w:t>one year</w:t>
            </w:r>
            <w:r w:rsidRPr="00CD055E">
              <w:t xml:space="preserve"> time horizon)</w:t>
            </w:r>
          </w:p>
        </w:tc>
      </w:tr>
      <w:tr w:rsidR="009B789A" w:rsidRPr="000449D1" w14:paraId="48384535" w14:textId="77777777" w:rsidTr="00984D52">
        <w:tc>
          <w:tcPr>
            <w:tcW w:w="2003" w:type="dxa"/>
          </w:tcPr>
          <w:p w14:paraId="649579ED" w14:textId="77777777" w:rsidR="009B789A" w:rsidRPr="000449D1" w:rsidRDefault="009B789A" w:rsidP="00984D52">
            <w:pPr>
              <w:pStyle w:val="TableText"/>
              <w:keepNext/>
            </w:pPr>
            <w:r w:rsidRPr="000449D1">
              <w:t>Software</w:t>
            </w:r>
          </w:p>
        </w:tc>
        <w:tc>
          <w:tcPr>
            <w:tcW w:w="7064" w:type="dxa"/>
          </w:tcPr>
          <w:p w14:paraId="55736D63" w14:textId="703EF4E1" w:rsidR="009B789A" w:rsidRPr="000449D1" w:rsidRDefault="009B789A" w:rsidP="00984D52">
            <w:pPr>
              <w:pStyle w:val="TableText"/>
              <w:keepNext/>
            </w:pPr>
            <w:r w:rsidRPr="000449D1">
              <w:t xml:space="preserve">Excel, </w:t>
            </w:r>
            <w:r w:rsidR="00C63169" w:rsidRPr="00E65882">
              <w:rPr>
                <w:i/>
              </w:rPr>
              <w:t>STATA</w:t>
            </w:r>
          </w:p>
        </w:tc>
      </w:tr>
    </w:tbl>
    <w:p w14:paraId="31C3DEB7" w14:textId="72D8D4B4" w:rsidR="009B789A" w:rsidRDefault="009B789A" w:rsidP="005B6EDF">
      <w:pPr>
        <w:pStyle w:val="TableFigureFooter"/>
        <w:spacing w:before="0" w:after="0"/>
      </w:pPr>
      <w:r>
        <w:t>Source:</w:t>
      </w:r>
      <w:r w:rsidR="00445C2A">
        <w:t xml:space="preserve"> Table</w:t>
      </w:r>
      <w:r w:rsidR="00397F27">
        <w:t xml:space="preserve"> 3, p16</w:t>
      </w:r>
      <w:r w:rsidR="00445C2A">
        <w:t>of the ADAR</w:t>
      </w:r>
      <w:r w:rsidR="00E65882">
        <w:t xml:space="preserve"> with commentary in italics</w:t>
      </w:r>
    </w:p>
    <w:p w14:paraId="4243F1DD" w14:textId="2F2DCF86" w:rsidR="009B789A" w:rsidRDefault="00CE5B83" w:rsidP="00445C2A">
      <w:pPr>
        <w:pStyle w:val="TableFigureFooter"/>
        <w:spacing w:before="0" w:after="0"/>
      </w:pPr>
      <w:r>
        <w:t xml:space="preserve">Abbreviations: </w:t>
      </w:r>
      <w:r w:rsidR="009B789A">
        <w:t>MRP=medication-related problem; IMeRSe=</w:t>
      </w:r>
      <w:r w:rsidR="009B789A" w:rsidRPr="00E549F3">
        <w:t xml:space="preserve"> Indigenous Medication Review Service</w:t>
      </w:r>
    </w:p>
    <w:p w14:paraId="504F555D" w14:textId="24307A6F" w:rsidR="009B789A" w:rsidRPr="00FE0AFA" w:rsidRDefault="00445C2A" w:rsidP="00445C2A">
      <w:pPr>
        <w:tabs>
          <w:tab w:val="left" w:pos="284"/>
        </w:tabs>
        <w:spacing w:before="0" w:after="0" w:line="240" w:lineRule="auto"/>
        <w:ind w:left="284" w:hanging="284"/>
        <w:jc w:val="both"/>
        <w:rPr>
          <w:rFonts w:ascii="Arial Narrow" w:hAnsi="Arial Narrow"/>
          <w:iCs/>
          <w:sz w:val="20"/>
          <w:szCs w:val="20"/>
        </w:rPr>
      </w:pPr>
      <w:r w:rsidRPr="00FE0AFA">
        <w:rPr>
          <w:rFonts w:ascii="Arial Narrow" w:hAnsi="Arial Narrow"/>
          <w:iCs/>
          <w:sz w:val="20"/>
          <w:szCs w:val="20"/>
        </w:rPr>
        <w:t>^</w:t>
      </w:r>
      <w:r w:rsidRPr="00FE0AFA">
        <w:rPr>
          <w:rFonts w:ascii="Arial Narrow" w:hAnsi="Arial Narrow"/>
          <w:iCs/>
          <w:sz w:val="20"/>
          <w:szCs w:val="20"/>
        </w:rPr>
        <w:tab/>
      </w:r>
      <w:r w:rsidR="00710293">
        <w:rPr>
          <w:rFonts w:ascii="Arial Narrow" w:hAnsi="Arial Narrow"/>
          <w:iCs/>
          <w:sz w:val="20"/>
          <w:szCs w:val="20"/>
        </w:rPr>
        <w:t xml:space="preserve">The commentary noted </w:t>
      </w:r>
      <w:r w:rsidRPr="00FE0AFA">
        <w:rPr>
          <w:rFonts w:ascii="Arial Narrow" w:hAnsi="Arial Narrow"/>
          <w:iCs/>
          <w:sz w:val="20"/>
          <w:szCs w:val="20"/>
        </w:rPr>
        <w:t xml:space="preserve">that the statistical analysis converted the observed 6-month MRP data into an annual per-person rate, </w:t>
      </w:r>
      <w:r w:rsidR="00710293">
        <w:rPr>
          <w:rFonts w:ascii="Arial Narrow" w:hAnsi="Arial Narrow"/>
          <w:iCs/>
          <w:sz w:val="20"/>
          <w:szCs w:val="20"/>
        </w:rPr>
        <w:t>thus</w:t>
      </w:r>
      <w:r w:rsidRPr="00FE0AFA">
        <w:rPr>
          <w:rFonts w:ascii="Arial Narrow" w:hAnsi="Arial Narrow"/>
          <w:iCs/>
          <w:sz w:val="20"/>
          <w:szCs w:val="20"/>
        </w:rPr>
        <w:t xml:space="preserve"> the corresponding time horizon is one year. The evaluation-conducted cost effectiveness analysis for the cohort of 291 patients assumed a 12</w:t>
      </w:r>
      <w:r w:rsidR="007C4DAF">
        <w:rPr>
          <w:rFonts w:ascii="Arial Narrow" w:hAnsi="Arial Narrow"/>
          <w:iCs/>
          <w:sz w:val="20"/>
          <w:szCs w:val="20"/>
        </w:rPr>
        <w:t>-</w:t>
      </w:r>
      <w:r w:rsidRPr="00FE0AFA">
        <w:rPr>
          <w:rFonts w:ascii="Arial Narrow" w:hAnsi="Arial Narrow"/>
          <w:iCs/>
          <w:sz w:val="20"/>
          <w:szCs w:val="20"/>
        </w:rPr>
        <w:t xml:space="preserve">month horizon. </w:t>
      </w:r>
    </w:p>
    <w:p w14:paraId="1711304E" w14:textId="2C92C0FE" w:rsidR="00CE362A" w:rsidRPr="007C4DAF" w:rsidRDefault="00CE362A" w:rsidP="009B2398">
      <w:pPr>
        <w:pStyle w:val="Instructionaltext"/>
        <w:spacing w:before="240"/>
        <w:rPr>
          <w:iCs/>
          <w:color w:val="auto"/>
        </w:rPr>
      </w:pPr>
      <w:r w:rsidRPr="007C4DAF">
        <w:rPr>
          <w:iCs/>
          <w:color w:val="auto"/>
        </w:rPr>
        <w:t>The commentary raised the following concerns with the inputs to the economic analysis:</w:t>
      </w:r>
    </w:p>
    <w:p w14:paraId="5F9ACE6C" w14:textId="0D75C867" w:rsidR="00CE362A" w:rsidRPr="00DD6784" w:rsidRDefault="0026121A" w:rsidP="00E11EEF">
      <w:pPr>
        <w:pStyle w:val="Instructionaltext"/>
        <w:numPr>
          <w:ilvl w:val="0"/>
          <w:numId w:val="34"/>
        </w:numPr>
        <w:ind w:left="426"/>
        <w:rPr>
          <w:color w:val="auto"/>
        </w:rPr>
      </w:pPr>
      <w:r w:rsidRPr="007C4DAF" w:rsidDel="00FE0AFA">
        <w:rPr>
          <w:iCs/>
          <w:color w:val="auto"/>
        </w:rPr>
        <w:t>The difference in pre-post study health care resources was estimated using</w:t>
      </w:r>
      <w:r w:rsidR="00CE5B83">
        <w:rPr>
          <w:iCs/>
          <w:color w:val="auto"/>
        </w:rPr>
        <w:t xml:space="preserve"> data</w:t>
      </w:r>
      <w:r w:rsidRPr="007C4DAF" w:rsidDel="00FE0AFA">
        <w:rPr>
          <w:iCs/>
          <w:color w:val="auto"/>
        </w:rPr>
        <w:t xml:space="preserve"> from the PBS, MBS, hospital and emergency admission administrative datasets, which raise</w:t>
      </w:r>
      <w:r w:rsidR="00CE5B83">
        <w:rPr>
          <w:iCs/>
          <w:color w:val="auto"/>
        </w:rPr>
        <w:t>d</w:t>
      </w:r>
      <w:r w:rsidRPr="007C4DAF" w:rsidDel="00FE0AFA">
        <w:rPr>
          <w:iCs/>
          <w:color w:val="auto"/>
        </w:rPr>
        <w:t xml:space="preserve"> serious attribution concerns. </w:t>
      </w:r>
    </w:p>
    <w:p w14:paraId="73FCA7A9" w14:textId="7A95C3FF" w:rsidR="0026121A" w:rsidRPr="007C4DAF" w:rsidDel="00FE0AFA" w:rsidRDefault="00CE362A" w:rsidP="00E11EEF">
      <w:pPr>
        <w:pStyle w:val="Instructionaltext"/>
        <w:numPr>
          <w:ilvl w:val="0"/>
          <w:numId w:val="34"/>
        </w:numPr>
        <w:ind w:left="426"/>
        <w:rPr>
          <w:color w:val="auto"/>
        </w:rPr>
      </w:pPr>
      <w:r w:rsidRPr="007C4DAF">
        <w:rPr>
          <w:iCs/>
          <w:color w:val="auto"/>
        </w:rPr>
        <w:t>T</w:t>
      </w:r>
      <w:r w:rsidR="0026121A" w:rsidRPr="007C4DAF" w:rsidDel="00FE0AFA">
        <w:rPr>
          <w:iCs/>
          <w:color w:val="auto"/>
        </w:rPr>
        <w:t>he fluctuations in the number of medication prescriptions, investigative services and GP attendances could be influenced by multiple confounding factors over and above the pharmacist-initiated medication reviews</w:t>
      </w:r>
      <w:r w:rsidR="0026121A" w:rsidRPr="007C4DAF" w:rsidDel="00FE0AFA">
        <w:rPr>
          <w:color w:val="auto"/>
        </w:rPr>
        <w:t xml:space="preserve"> </w:t>
      </w:r>
    </w:p>
    <w:p w14:paraId="5AEF1B30" w14:textId="5253868C" w:rsidR="0026121A" w:rsidRPr="002A6DEA" w:rsidDel="00FE0AFA" w:rsidRDefault="00CE362A" w:rsidP="00E11EEF">
      <w:pPr>
        <w:pStyle w:val="Instructionaltext"/>
        <w:numPr>
          <w:ilvl w:val="0"/>
          <w:numId w:val="34"/>
        </w:numPr>
        <w:ind w:left="426"/>
        <w:rPr>
          <w:color w:val="auto"/>
        </w:rPr>
      </w:pPr>
      <w:r w:rsidRPr="002A6DEA">
        <w:rPr>
          <w:iCs/>
          <w:color w:val="auto"/>
        </w:rPr>
        <w:t>A</w:t>
      </w:r>
      <w:r w:rsidR="0026121A" w:rsidRPr="002A6DEA" w:rsidDel="00FE0AFA">
        <w:rPr>
          <w:iCs/>
          <w:color w:val="auto"/>
        </w:rPr>
        <w:t xml:space="preserve">ttributing cost-offsets in terms of the observed reduction in hospital admissions and emergency department presentations to the intervention cannot be reasonably justified. Irrespective of the difference in health care resource use, it can be argued that the lack of statistical significance in the primary outcome at the pre-set level of 0.05 is entirely due to the study being underpowered and in the anticipated large cluster-randomised trial the difference in per-person rates of MRPs might have attained the required degree of statistical significance. </w:t>
      </w:r>
    </w:p>
    <w:p w14:paraId="249F53F6" w14:textId="695D77E8" w:rsidR="00CE362A" w:rsidRPr="002A6DEA" w:rsidRDefault="00CE362A" w:rsidP="00E11EEF">
      <w:pPr>
        <w:pStyle w:val="Instructionaltext"/>
        <w:numPr>
          <w:ilvl w:val="0"/>
          <w:numId w:val="34"/>
        </w:numPr>
        <w:ind w:left="426"/>
        <w:rPr>
          <w:iCs/>
          <w:color w:val="auto"/>
        </w:rPr>
      </w:pPr>
      <w:r w:rsidRPr="002A6DEA">
        <w:rPr>
          <w:iCs/>
          <w:color w:val="auto"/>
        </w:rPr>
        <w:t>R</w:t>
      </w:r>
      <w:r w:rsidR="0026121A" w:rsidRPr="002A6DEA" w:rsidDel="00FE0AFA">
        <w:rPr>
          <w:iCs/>
          <w:color w:val="auto"/>
        </w:rPr>
        <w:t>esults of the pharmacists’ review</w:t>
      </w:r>
      <w:r w:rsidR="00AE53F6" w:rsidRPr="002A6DEA">
        <w:rPr>
          <w:iCs/>
          <w:color w:val="auto"/>
        </w:rPr>
        <w:t>s</w:t>
      </w:r>
      <w:r w:rsidR="0026121A" w:rsidRPr="002A6DEA" w:rsidDel="00FE0AFA">
        <w:rPr>
          <w:iCs/>
          <w:color w:val="auto"/>
        </w:rPr>
        <w:t xml:space="preserve"> of medications recorded in Medicines Reports (N=255), which produced recommendations to review, or change, pharmacotherapy (</w:t>
      </w:r>
      <w:r w:rsidR="0026121A" w:rsidRPr="002A6DEA" w:rsidDel="00FE0AFA">
        <w:rPr>
          <w:color w:val="auto"/>
        </w:rPr>
        <w:t>44.4%);</w:t>
      </w:r>
      <w:r w:rsidR="0026121A" w:rsidRPr="002A6DEA" w:rsidDel="00FE0AFA">
        <w:rPr>
          <w:iCs/>
          <w:color w:val="auto"/>
        </w:rPr>
        <w:t xml:space="preserve"> were not costed. Unlike the change in the PBS and MBS counts, that could not be unequivocally associated with intervention, the pharmacists’ recommendations that were accepted by GPs (</w:t>
      </w:r>
      <w:r w:rsidR="0026121A" w:rsidRPr="002A6DEA" w:rsidDel="00FE0AFA">
        <w:rPr>
          <w:color w:val="auto"/>
        </w:rPr>
        <w:t>84.1%</w:t>
      </w:r>
      <w:r w:rsidR="0026121A" w:rsidRPr="002A6DEA" w:rsidDel="00FE0AFA">
        <w:rPr>
          <w:iCs/>
          <w:color w:val="auto"/>
        </w:rPr>
        <w:t xml:space="preserve">) (IMeRSe Report, p.xviii) are directly attributable to the intervention and should have been added to the total cost. </w:t>
      </w:r>
    </w:p>
    <w:p w14:paraId="619255C9" w14:textId="215F866A" w:rsidR="007C4DAF" w:rsidRPr="002A6DEA" w:rsidRDefault="00CE362A" w:rsidP="00E11EEF">
      <w:pPr>
        <w:pStyle w:val="Instructionaltext"/>
        <w:numPr>
          <w:ilvl w:val="0"/>
          <w:numId w:val="34"/>
        </w:numPr>
        <w:ind w:left="426"/>
        <w:rPr>
          <w:iCs/>
          <w:color w:val="auto"/>
        </w:rPr>
      </w:pPr>
      <w:r w:rsidRPr="002A6DEA">
        <w:rPr>
          <w:iCs/>
          <w:color w:val="auto"/>
        </w:rPr>
        <w:t>I</w:t>
      </w:r>
      <w:r w:rsidR="0026121A" w:rsidRPr="002A6DEA" w:rsidDel="00FE0AFA">
        <w:rPr>
          <w:iCs/>
          <w:color w:val="auto"/>
        </w:rPr>
        <w:t>n some instances</w:t>
      </w:r>
      <w:r w:rsidR="007C4DAF" w:rsidRPr="002A6DEA">
        <w:rPr>
          <w:iCs/>
          <w:color w:val="auto"/>
        </w:rPr>
        <w:t>,</w:t>
      </w:r>
      <w:r w:rsidR="0026121A" w:rsidRPr="002A6DEA" w:rsidDel="00FE0AFA">
        <w:rPr>
          <w:iCs/>
          <w:color w:val="auto"/>
        </w:rPr>
        <w:t xml:space="preserve"> </w:t>
      </w:r>
      <w:r w:rsidRPr="002A6DEA">
        <w:rPr>
          <w:iCs/>
          <w:color w:val="auto"/>
        </w:rPr>
        <w:t xml:space="preserve">the calculations of the total cost of intervention </w:t>
      </w:r>
      <w:r w:rsidR="0026121A" w:rsidRPr="002A6DEA" w:rsidDel="00FE0AFA">
        <w:rPr>
          <w:iCs/>
          <w:color w:val="auto"/>
        </w:rPr>
        <w:t xml:space="preserve">included the observed use of health care resources with trial-based unit costs, while in other instances, universal participation was assumed with the proposed MBS item fees used as unit costs. </w:t>
      </w:r>
    </w:p>
    <w:p w14:paraId="7B7C979C" w14:textId="41CDF153" w:rsidR="00453332" w:rsidRPr="002A6DEA" w:rsidRDefault="00FD411B" w:rsidP="00E11EEF">
      <w:pPr>
        <w:pStyle w:val="Instructionaltext"/>
        <w:numPr>
          <w:ilvl w:val="0"/>
          <w:numId w:val="34"/>
        </w:numPr>
        <w:ind w:left="426"/>
        <w:rPr>
          <w:color w:val="auto"/>
        </w:rPr>
      </w:pPr>
      <w:r w:rsidRPr="002A6DEA">
        <w:rPr>
          <w:iCs/>
          <w:color w:val="auto"/>
        </w:rPr>
        <w:t>The size of the cohort</w:t>
      </w:r>
      <w:r w:rsidR="00FA2AD2" w:rsidRPr="002A6DEA">
        <w:rPr>
          <w:iCs/>
          <w:color w:val="auto"/>
        </w:rPr>
        <w:t xml:space="preserve"> was</w:t>
      </w:r>
      <w:r w:rsidRPr="002A6DEA">
        <w:rPr>
          <w:iCs/>
          <w:color w:val="auto"/>
        </w:rPr>
        <w:t xml:space="preserve"> inconsistent throughout </w:t>
      </w:r>
      <w:r w:rsidR="00FA2AD2" w:rsidRPr="002A6DEA">
        <w:rPr>
          <w:iCs/>
          <w:color w:val="auto"/>
        </w:rPr>
        <w:t xml:space="preserve">the </w:t>
      </w:r>
      <w:r w:rsidRPr="002A6DEA">
        <w:rPr>
          <w:iCs/>
          <w:color w:val="auto"/>
        </w:rPr>
        <w:t>calculation</w:t>
      </w:r>
      <w:r w:rsidR="00FA2AD2" w:rsidRPr="002A6DEA">
        <w:rPr>
          <w:iCs/>
          <w:color w:val="auto"/>
        </w:rPr>
        <w:t>s</w:t>
      </w:r>
      <w:r w:rsidRPr="002A6DEA">
        <w:rPr>
          <w:iCs/>
          <w:color w:val="auto"/>
        </w:rPr>
        <w:t xml:space="preserve">. In some </w:t>
      </w:r>
      <w:r w:rsidR="00FA2AD2" w:rsidRPr="002A6DEA">
        <w:rPr>
          <w:iCs/>
          <w:color w:val="auto"/>
        </w:rPr>
        <w:t>instances,</w:t>
      </w:r>
      <w:r w:rsidRPr="002A6DEA">
        <w:rPr>
          <w:iCs/>
          <w:color w:val="auto"/>
        </w:rPr>
        <w:t xml:space="preserve"> the ITT sample of 291 </w:t>
      </w:r>
      <w:r w:rsidR="00A60FC6" w:rsidRPr="002A6DEA">
        <w:rPr>
          <w:iCs/>
          <w:color w:val="auto"/>
        </w:rPr>
        <w:t>was</w:t>
      </w:r>
      <w:r w:rsidRPr="002A6DEA">
        <w:rPr>
          <w:iCs/>
          <w:color w:val="auto"/>
        </w:rPr>
        <w:t xml:space="preserve"> used as the denominator, while in other instances the 255 of IMeRSe “in-study” cohort </w:t>
      </w:r>
      <w:r w:rsidR="00F41760" w:rsidRPr="002A6DEA">
        <w:rPr>
          <w:iCs/>
          <w:color w:val="auto"/>
        </w:rPr>
        <w:t>applied, or, alternatively,</w:t>
      </w:r>
      <w:r w:rsidRPr="002A6DEA">
        <w:rPr>
          <w:iCs/>
          <w:color w:val="auto"/>
        </w:rPr>
        <w:t xml:space="preserve"> 207</w:t>
      </w:r>
      <w:r w:rsidR="00F41760" w:rsidRPr="002A6DEA">
        <w:rPr>
          <w:iCs/>
          <w:color w:val="auto"/>
        </w:rPr>
        <w:t xml:space="preserve"> participants</w:t>
      </w:r>
      <w:r w:rsidR="00F41760" w:rsidRPr="00DD6784">
        <w:rPr>
          <w:iCs/>
          <w:color w:val="auto"/>
        </w:rPr>
        <w:t xml:space="preserve"> with complete pre- and post- data were</w:t>
      </w:r>
      <w:r w:rsidRPr="00DD6784">
        <w:rPr>
          <w:iCs/>
          <w:color w:val="auto"/>
        </w:rPr>
        <w:t xml:space="preserve"> used in the statistical modelling to estimate the rate of MRP per person per year. </w:t>
      </w:r>
      <w:r w:rsidR="007C4DAF" w:rsidRPr="007C4DAF">
        <w:rPr>
          <w:iCs/>
          <w:color w:val="auto"/>
        </w:rPr>
        <w:t>T</w:t>
      </w:r>
      <w:r w:rsidR="00562999" w:rsidRPr="00DD6784">
        <w:rPr>
          <w:iCs/>
          <w:color w:val="auto"/>
        </w:rPr>
        <w:t xml:space="preserve">he evaluators </w:t>
      </w:r>
      <w:r w:rsidR="00453332" w:rsidRPr="00DD6784">
        <w:rPr>
          <w:iCs/>
          <w:color w:val="auto"/>
        </w:rPr>
        <w:t xml:space="preserve">revised the calculations in the </w:t>
      </w:r>
      <w:r w:rsidR="00562999" w:rsidRPr="002A6DEA">
        <w:rPr>
          <w:iCs/>
          <w:color w:val="auto"/>
        </w:rPr>
        <w:t>ADAR</w:t>
      </w:r>
      <w:r w:rsidR="00453332" w:rsidRPr="002A6DEA">
        <w:rPr>
          <w:iCs/>
          <w:color w:val="auto"/>
        </w:rPr>
        <w:t xml:space="preserve"> </w:t>
      </w:r>
      <w:r w:rsidR="007C4DAF" w:rsidRPr="002A6DEA">
        <w:rPr>
          <w:iCs/>
          <w:color w:val="auto"/>
        </w:rPr>
        <w:t>using the ITT (i.e.</w:t>
      </w:r>
      <w:r w:rsidR="00CE5B83" w:rsidRPr="002A6DEA">
        <w:rPr>
          <w:iCs/>
          <w:color w:val="auto"/>
        </w:rPr>
        <w:t>,</w:t>
      </w:r>
      <w:r w:rsidR="007C4DAF" w:rsidRPr="002A6DEA">
        <w:rPr>
          <w:iCs/>
          <w:color w:val="auto"/>
        </w:rPr>
        <w:t xml:space="preserve"> </w:t>
      </w:r>
      <w:r w:rsidR="00453332" w:rsidRPr="002A6DEA">
        <w:rPr>
          <w:iCs/>
          <w:color w:val="auto"/>
        </w:rPr>
        <w:t>291 clients</w:t>
      </w:r>
      <w:r w:rsidR="007C4DAF" w:rsidRPr="002A6DEA">
        <w:rPr>
          <w:iCs/>
          <w:color w:val="auto"/>
        </w:rPr>
        <w:t>)</w:t>
      </w:r>
      <w:r w:rsidR="0028755B" w:rsidRPr="002A6DEA">
        <w:rPr>
          <w:iCs/>
          <w:color w:val="auto"/>
        </w:rPr>
        <w:t>.</w:t>
      </w:r>
      <w:r w:rsidR="00453332" w:rsidRPr="002A6DEA">
        <w:rPr>
          <w:iCs/>
          <w:color w:val="auto"/>
        </w:rPr>
        <w:t xml:space="preserve"> </w:t>
      </w:r>
    </w:p>
    <w:p w14:paraId="69A286FA" w14:textId="77777777" w:rsidR="006857FF" w:rsidRPr="006857FF" w:rsidRDefault="006857FF" w:rsidP="00E11EEF">
      <w:pPr>
        <w:pStyle w:val="Instructionaltext"/>
        <w:numPr>
          <w:ilvl w:val="0"/>
          <w:numId w:val="34"/>
        </w:numPr>
        <w:ind w:left="426"/>
        <w:rPr>
          <w:color w:val="auto"/>
        </w:rPr>
      </w:pPr>
      <w:r w:rsidRPr="002A6DEA">
        <w:rPr>
          <w:color w:val="auto"/>
        </w:rPr>
        <w:t>The statistical analysis converted the observed 6-month MRP data into an annual per-person rate, thus the corresponding time horizon is one year. The evaluation-conducted cost effectiveness analysis for the cohort of 291 patients assumed a 12-month horizon. However, since the intervention is limited to one per person per year, the cost estimates are not significantly affected (with exception of ongoing cost of pharmacist</w:t>
      </w:r>
      <w:r w:rsidRPr="007C4DAF">
        <w:rPr>
          <w:color w:val="auto"/>
        </w:rPr>
        <w:t xml:space="preserve"> mentoring and the number of the observed follow-ups, which could have been larger over the extended time interval).</w:t>
      </w:r>
    </w:p>
    <w:bookmarkStart w:id="31" w:name="_Hlk68276459"/>
    <w:p w14:paraId="2E8350CF" w14:textId="32C89AF3" w:rsidR="00453332" w:rsidRDefault="00E27998" w:rsidP="008D0AFE">
      <w:pPr>
        <w:pStyle w:val="Instructionaltext"/>
        <w:rPr>
          <w:color w:val="auto"/>
        </w:rPr>
      </w:pPr>
      <w:r w:rsidRPr="009A34D2">
        <w:rPr>
          <w:color w:val="auto"/>
        </w:rPr>
        <w:fldChar w:fldCharType="begin"/>
      </w:r>
      <w:r w:rsidRPr="00E27998">
        <w:rPr>
          <w:color w:val="auto"/>
        </w:rPr>
        <w:instrText xml:space="preserve"> REF _Ref88809135 \h </w:instrText>
      </w:r>
      <w:r w:rsidRPr="00DD6784">
        <w:rPr>
          <w:color w:val="auto"/>
        </w:rPr>
        <w:instrText xml:space="preserve"> \* MERGEFORMAT </w:instrText>
      </w:r>
      <w:r w:rsidRPr="009A34D2">
        <w:rPr>
          <w:color w:val="auto"/>
        </w:rPr>
      </w:r>
      <w:r w:rsidRPr="009A34D2">
        <w:rPr>
          <w:color w:val="auto"/>
        </w:rPr>
        <w:fldChar w:fldCharType="separate"/>
      </w:r>
      <w:r w:rsidR="00A45EE3" w:rsidRPr="00A45EE3">
        <w:rPr>
          <w:color w:val="auto"/>
        </w:rPr>
        <w:t>Table 7</w:t>
      </w:r>
      <w:r w:rsidRPr="009A34D2">
        <w:rPr>
          <w:color w:val="auto"/>
        </w:rPr>
        <w:fldChar w:fldCharType="end"/>
      </w:r>
      <w:r w:rsidRPr="009A34D2">
        <w:rPr>
          <w:color w:val="auto"/>
        </w:rPr>
        <w:t xml:space="preserve"> </w:t>
      </w:r>
      <w:r w:rsidR="00453332" w:rsidRPr="006857FF">
        <w:rPr>
          <w:color w:val="auto"/>
        </w:rPr>
        <w:t xml:space="preserve">shows cost-estimates presented in the </w:t>
      </w:r>
      <w:r w:rsidR="00562999" w:rsidRPr="006857FF">
        <w:rPr>
          <w:color w:val="auto"/>
        </w:rPr>
        <w:t>ADAR</w:t>
      </w:r>
      <w:r w:rsidR="00453332" w:rsidRPr="006857FF">
        <w:rPr>
          <w:color w:val="auto"/>
        </w:rPr>
        <w:t xml:space="preserve"> </w:t>
      </w:r>
      <w:r w:rsidR="006857FF" w:rsidRPr="00C978D7">
        <w:rPr>
          <w:iCs/>
          <w:color w:val="auto"/>
        </w:rPr>
        <w:t>with the commentary’s</w:t>
      </w:r>
      <w:r w:rsidR="00453332" w:rsidRPr="00C978D7">
        <w:rPr>
          <w:iCs/>
          <w:color w:val="auto"/>
        </w:rPr>
        <w:t xml:space="preserve"> </w:t>
      </w:r>
      <w:r w:rsidR="007C4DAF" w:rsidRPr="00C978D7">
        <w:rPr>
          <w:iCs/>
          <w:color w:val="auto"/>
        </w:rPr>
        <w:t xml:space="preserve">revised </w:t>
      </w:r>
      <w:r w:rsidR="00453332" w:rsidRPr="00C978D7">
        <w:rPr>
          <w:iCs/>
          <w:color w:val="auto"/>
        </w:rPr>
        <w:t xml:space="preserve">cost-estimates </w:t>
      </w:r>
      <w:r w:rsidR="006857FF" w:rsidRPr="00C978D7">
        <w:rPr>
          <w:iCs/>
          <w:color w:val="auto"/>
        </w:rPr>
        <w:t>in italics</w:t>
      </w:r>
      <w:r w:rsidR="00453332" w:rsidRPr="006857FF">
        <w:rPr>
          <w:color w:val="auto"/>
        </w:rPr>
        <w:t xml:space="preserve">. </w:t>
      </w:r>
      <w:bookmarkStart w:id="32" w:name="_Hlk88239263"/>
      <w:r w:rsidR="00453332" w:rsidRPr="006857FF">
        <w:rPr>
          <w:color w:val="auto"/>
        </w:rPr>
        <w:t>The total costs per person per year are firstly, reported with average overheads across the areas (e.g.</w:t>
      </w:r>
      <w:r>
        <w:rPr>
          <w:color w:val="auto"/>
        </w:rPr>
        <w:t>,</w:t>
      </w:r>
      <w:r w:rsidR="00453332" w:rsidRPr="006857FF">
        <w:rPr>
          <w:color w:val="auto"/>
        </w:rPr>
        <w:t xml:space="preserve"> across urban rural, and remote areas) and secondly, separately for each of these areas.</w:t>
      </w:r>
      <w:bookmarkEnd w:id="32"/>
    </w:p>
    <w:p w14:paraId="643EDD4E" w14:textId="43B510DC" w:rsidR="00A60FC6" w:rsidRPr="008D0AFE" w:rsidRDefault="00453332" w:rsidP="008D0AFE">
      <w:pPr>
        <w:pStyle w:val="Caption"/>
        <w:keepLines/>
      </w:pPr>
      <w:bookmarkStart w:id="33" w:name="_Ref88809135"/>
      <w:r w:rsidRPr="00CE28E3">
        <w:t>Table</w:t>
      </w:r>
      <w:r>
        <w:t> </w:t>
      </w:r>
      <w:r w:rsidR="00791FAA">
        <w:fldChar w:fldCharType="begin"/>
      </w:r>
      <w:r w:rsidR="00791FAA">
        <w:instrText xml:space="preserve"> SEQ Table \* ARABIC </w:instrText>
      </w:r>
      <w:r w:rsidR="00791FAA">
        <w:fldChar w:fldCharType="separate"/>
      </w:r>
      <w:r w:rsidR="00A45EE3">
        <w:rPr>
          <w:noProof/>
        </w:rPr>
        <w:t>7</w:t>
      </w:r>
      <w:r w:rsidR="00791FAA">
        <w:rPr>
          <w:noProof/>
        </w:rPr>
        <w:fldChar w:fldCharType="end"/>
      </w:r>
      <w:bookmarkEnd w:id="33"/>
      <w:r w:rsidRPr="006857FF">
        <w:tab/>
        <w:t>Cost estimates (</w:t>
      </w:r>
      <w:r w:rsidRPr="006857FF">
        <w:rPr>
          <w:rFonts w:cstheme="minorHAnsi"/>
        </w:rPr>
        <w:t>per person per year)</w:t>
      </w:r>
      <w:r w:rsidRPr="006857FF">
        <w:t xml:space="preserve"> produced in the economic evaluation presented in the submission </w:t>
      </w:r>
      <w:r w:rsidR="004A042B" w:rsidRPr="006857FF">
        <w:t>(</w:t>
      </w:r>
      <w:r w:rsidR="006857FF" w:rsidRPr="006857FF">
        <w:rPr>
          <w:iCs/>
        </w:rPr>
        <w:t>with the commentary’s revised cost-estimates in italics</w:t>
      </w:r>
      <w:r w:rsidR="004A042B" w:rsidRPr="006857FF">
        <w:t>)</w:t>
      </w:r>
      <w:r w:rsidRPr="006857FF">
        <w:t xml:space="preserve"> </w:t>
      </w:r>
    </w:p>
    <w:tbl>
      <w:tblPr>
        <w:tblStyle w:val="TableGrid"/>
        <w:tblW w:w="8647" w:type="dxa"/>
        <w:tblInd w:w="-5" w:type="dxa"/>
        <w:tblCellMar>
          <w:left w:w="28" w:type="dxa"/>
          <w:right w:w="28" w:type="dxa"/>
        </w:tblCellMar>
        <w:tblLook w:val="04A0" w:firstRow="1" w:lastRow="0" w:firstColumn="1" w:lastColumn="0" w:noHBand="0" w:noVBand="1"/>
      </w:tblPr>
      <w:tblGrid>
        <w:gridCol w:w="3686"/>
        <w:gridCol w:w="1701"/>
        <w:gridCol w:w="1559"/>
        <w:gridCol w:w="1701"/>
      </w:tblGrid>
      <w:tr w:rsidR="00A60FC6" w:rsidRPr="00302988" w14:paraId="3297E455" w14:textId="77777777" w:rsidTr="00DD6784">
        <w:tc>
          <w:tcPr>
            <w:tcW w:w="3686" w:type="dxa"/>
          </w:tcPr>
          <w:p w14:paraId="619BE9CA" w14:textId="77777777" w:rsidR="00A60FC6" w:rsidRPr="005B6EDF" w:rsidRDefault="00A60FC6" w:rsidP="00505F8B">
            <w:pPr>
              <w:widowControl w:val="0"/>
              <w:tabs>
                <w:tab w:val="left" w:pos="851"/>
              </w:tabs>
              <w:spacing w:before="40" w:after="40"/>
              <w:jc w:val="both"/>
              <w:rPr>
                <w:rFonts w:ascii="Arial Narrow" w:hAnsi="Arial Narrow"/>
                <w:b/>
                <w:bCs/>
                <w:sz w:val="20"/>
                <w:szCs w:val="20"/>
              </w:rPr>
            </w:pPr>
            <w:r w:rsidRPr="005B6EDF">
              <w:rPr>
                <w:rFonts w:ascii="Arial Narrow" w:hAnsi="Arial Narrow"/>
                <w:b/>
                <w:bCs/>
                <w:sz w:val="20"/>
                <w:szCs w:val="20"/>
              </w:rPr>
              <w:t>Cost item</w:t>
            </w:r>
          </w:p>
        </w:tc>
        <w:tc>
          <w:tcPr>
            <w:tcW w:w="1701" w:type="dxa"/>
          </w:tcPr>
          <w:p w14:paraId="3564DD8C" w14:textId="77777777" w:rsidR="00A60FC6" w:rsidRPr="006857FF" w:rsidRDefault="00A60FC6" w:rsidP="00505F8B">
            <w:pPr>
              <w:spacing w:before="40" w:after="40"/>
              <w:jc w:val="center"/>
              <w:rPr>
                <w:rFonts w:ascii="Arial Narrow" w:hAnsi="Arial Narrow"/>
                <w:b/>
                <w:bCs/>
                <w:sz w:val="20"/>
                <w:szCs w:val="20"/>
              </w:rPr>
            </w:pPr>
            <w:r w:rsidRPr="006857FF">
              <w:rPr>
                <w:rFonts w:ascii="Arial Narrow" w:hAnsi="Arial Narrow"/>
                <w:b/>
                <w:bCs/>
                <w:sz w:val="20"/>
                <w:szCs w:val="20"/>
              </w:rPr>
              <w:t>Cost per year</w:t>
            </w:r>
          </w:p>
          <w:p w14:paraId="799424AA" w14:textId="77777777" w:rsidR="00A60FC6" w:rsidRPr="006857FF" w:rsidRDefault="00A60FC6" w:rsidP="00505F8B">
            <w:pPr>
              <w:spacing w:before="40" w:after="40"/>
              <w:jc w:val="center"/>
              <w:rPr>
                <w:rFonts w:ascii="Arial Narrow" w:hAnsi="Arial Narrow"/>
                <w:b/>
                <w:bCs/>
                <w:sz w:val="20"/>
                <w:szCs w:val="20"/>
              </w:rPr>
            </w:pPr>
            <w:r w:rsidRPr="006857FF">
              <w:rPr>
                <w:rFonts w:ascii="Arial Narrow" w:hAnsi="Arial Narrow"/>
                <w:b/>
                <w:bCs/>
                <w:sz w:val="20"/>
                <w:szCs w:val="20"/>
              </w:rPr>
              <w:t>(IMeRSe in-trial)</w:t>
            </w:r>
          </w:p>
          <w:p w14:paraId="434F81AC" w14:textId="77777777" w:rsidR="00A60FC6" w:rsidRPr="006857FF" w:rsidRDefault="00A60FC6" w:rsidP="00505F8B">
            <w:pPr>
              <w:spacing w:before="40" w:after="40"/>
              <w:jc w:val="center"/>
              <w:rPr>
                <w:rFonts w:ascii="Arial Narrow" w:hAnsi="Arial Narrow"/>
                <w:b/>
                <w:bCs/>
                <w:i/>
                <w:iCs/>
                <w:sz w:val="20"/>
                <w:szCs w:val="20"/>
              </w:rPr>
            </w:pPr>
            <w:r w:rsidRPr="006857FF">
              <w:rPr>
                <w:rFonts w:ascii="Arial Narrow" w:hAnsi="Arial Narrow"/>
                <w:b/>
                <w:bCs/>
                <w:iCs/>
                <w:sz w:val="20"/>
                <w:szCs w:val="20"/>
              </w:rPr>
              <w:t>($)</w:t>
            </w:r>
          </w:p>
        </w:tc>
        <w:tc>
          <w:tcPr>
            <w:tcW w:w="1559" w:type="dxa"/>
          </w:tcPr>
          <w:p w14:paraId="5C2E7D52" w14:textId="77777777" w:rsidR="00A60FC6" w:rsidRPr="006857FF" w:rsidRDefault="00A60FC6" w:rsidP="00505F8B">
            <w:pPr>
              <w:spacing w:before="40" w:after="40"/>
              <w:jc w:val="center"/>
              <w:rPr>
                <w:rFonts w:ascii="Arial Narrow" w:hAnsi="Arial Narrow"/>
                <w:b/>
                <w:bCs/>
                <w:i/>
                <w:sz w:val="20"/>
                <w:szCs w:val="20"/>
              </w:rPr>
            </w:pPr>
            <w:r w:rsidRPr="006857FF">
              <w:rPr>
                <w:rFonts w:ascii="Arial Narrow" w:hAnsi="Arial Narrow"/>
                <w:b/>
                <w:bCs/>
                <w:i/>
                <w:sz w:val="20"/>
                <w:szCs w:val="20"/>
              </w:rPr>
              <w:t>Cost per year ($)</w:t>
            </w:r>
          </w:p>
          <w:p w14:paraId="7E8AAAD2" w14:textId="77777777" w:rsidR="00A60FC6" w:rsidRPr="006857FF" w:rsidRDefault="00A60FC6" w:rsidP="00505F8B">
            <w:pPr>
              <w:spacing w:before="40" w:after="40"/>
              <w:jc w:val="center"/>
              <w:rPr>
                <w:rFonts w:ascii="Arial Narrow" w:hAnsi="Arial Narrow"/>
                <w:b/>
                <w:bCs/>
                <w:i/>
                <w:sz w:val="20"/>
                <w:szCs w:val="20"/>
              </w:rPr>
            </w:pPr>
            <w:r w:rsidRPr="006857FF">
              <w:rPr>
                <w:rFonts w:ascii="Arial Narrow" w:hAnsi="Arial Narrow"/>
                <w:b/>
                <w:bCs/>
                <w:i/>
                <w:sz w:val="20"/>
                <w:szCs w:val="20"/>
              </w:rPr>
              <w:t>(commentary’s corrections**)</w:t>
            </w:r>
          </w:p>
        </w:tc>
        <w:tc>
          <w:tcPr>
            <w:tcW w:w="1701" w:type="dxa"/>
            <w:vAlign w:val="center"/>
          </w:tcPr>
          <w:p w14:paraId="28C83A0B" w14:textId="77777777" w:rsidR="00A60FC6" w:rsidRPr="006857FF" w:rsidRDefault="00A60FC6" w:rsidP="00505F8B">
            <w:pPr>
              <w:spacing w:before="40" w:after="40"/>
              <w:jc w:val="center"/>
              <w:rPr>
                <w:rFonts w:ascii="Arial Narrow" w:hAnsi="Arial Narrow"/>
                <w:b/>
                <w:bCs/>
                <w:i/>
                <w:sz w:val="20"/>
                <w:szCs w:val="20"/>
              </w:rPr>
            </w:pPr>
            <w:r w:rsidRPr="006857FF">
              <w:rPr>
                <w:rFonts w:ascii="Arial Narrow" w:hAnsi="Arial Narrow"/>
                <w:b/>
                <w:bCs/>
                <w:i/>
                <w:sz w:val="20"/>
                <w:szCs w:val="20"/>
              </w:rPr>
              <w:t>Cost per year ($)</w:t>
            </w:r>
          </w:p>
          <w:p w14:paraId="2467864C" w14:textId="77777777" w:rsidR="00A60FC6" w:rsidRPr="006857FF" w:rsidRDefault="00A60FC6" w:rsidP="00505F8B">
            <w:pPr>
              <w:spacing w:before="40" w:after="40"/>
              <w:jc w:val="center"/>
              <w:rPr>
                <w:rFonts w:ascii="Arial Narrow" w:hAnsi="Arial Narrow"/>
                <w:b/>
                <w:bCs/>
                <w:i/>
                <w:sz w:val="20"/>
                <w:szCs w:val="20"/>
              </w:rPr>
            </w:pPr>
            <w:r w:rsidRPr="006857FF">
              <w:rPr>
                <w:rFonts w:ascii="Arial Narrow" w:hAnsi="Arial Narrow"/>
                <w:b/>
                <w:bCs/>
                <w:i/>
                <w:sz w:val="20"/>
                <w:szCs w:val="20"/>
              </w:rPr>
              <w:t>(commentary’s corrections***)</w:t>
            </w:r>
          </w:p>
        </w:tc>
      </w:tr>
      <w:tr w:rsidR="00A60FC6" w:rsidRPr="002A6DEA" w14:paraId="22208E5C" w14:textId="77777777" w:rsidTr="00DD6784">
        <w:tc>
          <w:tcPr>
            <w:tcW w:w="3686" w:type="dxa"/>
            <w:vAlign w:val="center"/>
          </w:tcPr>
          <w:p w14:paraId="081F58BD" w14:textId="77777777" w:rsidR="00A60FC6" w:rsidRPr="002A6DEA" w:rsidRDefault="00A60FC6" w:rsidP="00505F8B">
            <w:pPr>
              <w:spacing w:before="40" w:after="40"/>
              <w:rPr>
                <w:rFonts w:ascii="Arial Narrow" w:hAnsi="Arial Narrow" w:cstheme="minorHAnsi"/>
                <w:b/>
                <w:bCs/>
                <w:sz w:val="20"/>
                <w:szCs w:val="20"/>
              </w:rPr>
            </w:pPr>
            <w:r w:rsidRPr="002A6DEA">
              <w:rPr>
                <w:rFonts w:ascii="Arial Narrow" w:hAnsi="Arial Narrow" w:cstheme="minorHAnsi"/>
                <w:sz w:val="20"/>
                <w:szCs w:val="20"/>
              </w:rPr>
              <w:t>Software, training and implementation (annuitised)*</w:t>
            </w:r>
          </w:p>
        </w:tc>
        <w:tc>
          <w:tcPr>
            <w:tcW w:w="1701" w:type="dxa"/>
            <w:vAlign w:val="center"/>
          </w:tcPr>
          <w:p w14:paraId="359C058E" w14:textId="77777777" w:rsidR="00A60FC6" w:rsidRPr="002A6DEA" w:rsidRDefault="00A60FC6" w:rsidP="00505F8B">
            <w:pPr>
              <w:spacing w:before="40" w:after="40"/>
              <w:jc w:val="center"/>
              <w:rPr>
                <w:rFonts w:ascii="Arial Narrow" w:hAnsi="Arial Narrow" w:cstheme="minorHAnsi"/>
                <w:sz w:val="20"/>
                <w:szCs w:val="20"/>
              </w:rPr>
            </w:pPr>
            <w:r w:rsidRPr="002A6DEA">
              <w:rPr>
                <w:rFonts w:ascii="Arial Narrow" w:hAnsi="Arial Narrow" w:cstheme="minorHAnsi"/>
                <w:sz w:val="20"/>
                <w:szCs w:val="20"/>
              </w:rPr>
              <w:t>46,509</w:t>
            </w:r>
          </w:p>
        </w:tc>
        <w:tc>
          <w:tcPr>
            <w:tcW w:w="1559" w:type="dxa"/>
            <w:vAlign w:val="center"/>
          </w:tcPr>
          <w:p w14:paraId="3D8DE995" w14:textId="77777777" w:rsidR="00A60FC6" w:rsidRPr="002A6DEA" w:rsidRDefault="00A60FC6" w:rsidP="00505F8B">
            <w:pPr>
              <w:spacing w:before="40" w:after="40"/>
              <w:jc w:val="center"/>
              <w:rPr>
                <w:rFonts w:ascii="Arial Narrow" w:hAnsi="Arial Narrow" w:cstheme="minorHAnsi"/>
                <w:i/>
                <w:sz w:val="20"/>
                <w:szCs w:val="20"/>
              </w:rPr>
            </w:pPr>
            <w:r w:rsidRPr="002A6DEA">
              <w:rPr>
                <w:rFonts w:ascii="Arial Narrow" w:hAnsi="Arial Narrow" w:cstheme="minorHAnsi"/>
                <w:i/>
                <w:sz w:val="20"/>
                <w:szCs w:val="20"/>
              </w:rPr>
              <w:t>62,159</w:t>
            </w:r>
          </w:p>
        </w:tc>
        <w:tc>
          <w:tcPr>
            <w:tcW w:w="1701" w:type="dxa"/>
            <w:vAlign w:val="center"/>
          </w:tcPr>
          <w:p w14:paraId="0846E089" w14:textId="77777777" w:rsidR="00A60FC6" w:rsidRPr="002A6DEA" w:rsidRDefault="00A60FC6" w:rsidP="00505F8B">
            <w:pPr>
              <w:spacing w:before="40" w:after="40"/>
              <w:jc w:val="center"/>
              <w:rPr>
                <w:rFonts w:ascii="Arial Narrow" w:hAnsi="Arial Narrow" w:cstheme="minorHAnsi"/>
                <w:i/>
                <w:sz w:val="20"/>
                <w:szCs w:val="20"/>
              </w:rPr>
            </w:pPr>
            <w:r w:rsidRPr="002A6DEA">
              <w:rPr>
                <w:rFonts w:ascii="Arial Narrow" w:hAnsi="Arial Narrow" w:cs="Calibri"/>
                <w:i/>
                <w:sz w:val="20"/>
                <w:szCs w:val="20"/>
              </w:rPr>
              <w:t>62,159</w:t>
            </w:r>
          </w:p>
        </w:tc>
      </w:tr>
      <w:tr w:rsidR="00A60FC6" w:rsidRPr="002A6DEA" w14:paraId="46AAFE6C" w14:textId="77777777" w:rsidTr="00DD6784">
        <w:tc>
          <w:tcPr>
            <w:tcW w:w="3686" w:type="dxa"/>
            <w:vAlign w:val="center"/>
          </w:tcPr>
          <w:p w14:paraId="560227CD" w14:textId="77777777" w:rsidR="00A60FC6" w:rsidRPr="002A6DEA" w:rsidRDefault="00A60FC6" w:rsidP="00505F8B">
            <w:pPr>
              <w:spacing w:before="40" w:after="40"/>
              <w:rPr>
                <w:rFonts w:ascii="Arial Narrow" w:hAnsi="Arial Narrow" w:cstheme="minorHAnsi"/>
                <w:b/>
                <w:bCs/>
                <w:sz w:val="20"/>
                <w:szCs w:val="20"/>
              </w:rPr>
            </w:pPr>
            <w:r w:rsidRPr="002A6DEA">
              <w:rPr>
                <w:rFonts w:ascii="Arial Narrow" w:hAnsi="Arial Narrow" w:cstheme="minorHAnsi"/>
                <w:sz w:val="20"/>
                <w:szCs w:val="20"/>
              </w:rPr>
              <w:t>Pharmacist mentoring</w:t>
            </w:r>
          </w:p>
        </w:tc>
        <w:tc>
          <w:tcPr>
            <w:tcW w:w="1701" w:type="dxa"/>
            <w:vAlign w:val="center"/>
          </w:tcPr>
          <w:p w14:paraId="2BBDCF25" w14:textId="77777777" w:rsidR="00A60FC6" w:rsidRPr="002A6DEA" w:rsidRDefault="00A60FC6" w:rsidP="00505F8B">
            <w:pPr>
              <w:spacing w:before="40" w:after="40"/>
              <w:jc w:val="center"/>
              <w:rPr>
                <w:rFonts w:ascii="Arial Narrow" w:hAnsi="Arial Narrow" w:cstheme="minorHAnsi"/>
                <w:sz w:val="20"/>
                <w:szCs w:val="20"/>
              </w:rPr>
            </w:pPr>
            <w:r w:rsidRPr="002A6DEA">
              <w:rPr>
                <w:rFonts w:ascii="Arial Narrow" w:hAnsi="Arial Narrow" w:cstheme="minorHAnsi"/>
                <w:sz w:val="20"/>
                <w:szCs w:val="20"/>
              </w:rPr>
              <w:t>18,766</w:t>
            </w:r>
          </w:p>
        </w:tc>
        <w:tc>
          <w:tcPr>
            <w:tcW w:w="1559" w:type="dxa"/>
          </w:tcPr>
          <w:p w14:paraId="2BC098F5" w14:textId="77777777" w:rsidR="00A60FC6" w:rsidRPr="002A6DEA" w:rsidRDefault="00A60FC6" w:rsidP="00505F8B">
            <w:pPr>
              <w:spacing w:before="40" w:after="40"/>
              <w:jc w:val="center"/>
              <w:rPr>
                <w:rFonts w:ascii="Arial Narrow" w:hAnsi="Arial Narrow" w:cstheme="minorHAnsi"/>
                <w:i/>
                <w:sz w:val="20"/>
                <w:szCs w:val="20"/>
              </w:rPr>
            </w:pPr>
            <w:r w:rsidRPr="002A6DEA">
              <w:rPr>
                <w:rFonts w:ascii="Arial Narrow" w:hAnsi="Arial Narrow" w:cstheme="minorHAnsi"/>
                <w:i/>
                <w:sz w:val="20"/>
                <w:szCs w:val="20"/>
              </w:rPr>
              <w:t>18,766</w:t>
            </w:r>
          </w:p>
        </w:tc>
        <w:tc>
          <w:tcPr>
            <w:tcW w:w="1701" w:type="dxa"/>
            <w:vAlign w:val="center"/>
          </w:tcPr>
          <w:p w14:paraId="16B8B2AB" w14:textId="77777777" w:rsidR="00A60FC6" w:rsidRPr="002A6DEA" w:rsidRDefault="00A60FC6" w:rsidP="00505F8B">
            <w:pPr>
              <w:spacing w:before="40" w:after="40"/>
              <w:jc w:val="center"/>
              <w:rPr>
                <w:rFonts w:ascii="Arial Narrow" w:hAnsi="Arial Narrow" w:cstheme="minorHAnsi"/>
                <w:i/>
                <w:sz w:val="20"/>
                <w:szCs w:val="20"/>
              </w:rPr>
            </w:pPr>
            <w:r w:rsidRPr="002A6DEA">
              <w:rPr>
                <w:rFonts w:ascii="Arial Narrow" w:hAnsi="Arial Narrow" w:cs="Calibri"/>
                <w:i/>
                <w:sz w:val="20"/>
                <w:szCs w:val="20"/>
              </w:rPr>
              <w:t>18,766</w:t>
            </w:r>
          </w:p>
        </w:tc>
      </w:tr>
      <w:tr w:rsidR="00A60FC6" w:rsidRPr="002A6DEA" w14:paraId="2F4AD77E" w14:textId="77777777" w:rsidTr="00DD6784">
        <w:tc>
          <w:tcPr>
            <w:tcW w:w="3686" w:type="dxa"/>
            <w:vAlign w:val="center"/>
          </w:tcPr>
          <w:p w14:paraId="28EF46D5" w14:textId="77777777" w:rsidR="00A60FC6" w:rsidRPr="002A6DEA" w:rsidRDefault="00A60FC6" w:rsidP="00505F8B">
            <w:pPr>
              <w:spacing w:before="40" w:after="40"/>
              <w:rPr>
                <w:rFonts w:ascii="Arial Narrow" w:hAnsi="Arial Narrow" w:cstheme="minorHAnsi"/>
                <w:b/>
                <w:bCs/>
                <w:sz w:val="20"/>
                <w:szCs w:val="20"/>
              </w:rPr>
            </w:pPr>
            <w:r w:rsidRPr="002A6DEA">
              <w:rPr>
                <w:rFonts w:ascii="Arial Narrow" w:hAnsi="Arial Narrow" w:cstheme="minorHAnsi"/>
                <w:sz w:val="20"/>
                <w:szCs w:val="20"/>
              </w:rPr>
              <w:t>Pharmacist service fees – medicines review</w:t>
            </w:r>
          </w:p>
        </w:tc>
        <w:tc>
          <w:tcPr>
            <w:tcW w:w="1701" w:type="dxa"/>
            <w:vAlign w:val="center"/>
          </w:tcPr>
          <w:p w14:paraId="7E7D2BCC" w14:textId="77777777" w:rsidR="00A60FC6" w:rsidRPr="002A6DEA" w:rsidRDefault="00A60FC6" w:rsidP="00505F8B">
            <w:pPr>
              <w:spacing w:before="40" w:after="40"/>
              <w:jc w:val="center"/>
              <w:rPr>
                <w:rFonts w:ascii="Arial Narrow" w:hAnsi="Arial Narrow" w:cstheme="minorHAnsi"/>
                <w:sz w:val="20"/>
                <w:szCs w:val="20"/>
              </w:rPr>
            </w:pPr>
            <w:r w:rsidRPr="002A6DEA">
              <w:rPr>
                <w:rFonts w:ascii="Arial Narrow" w:hAnsi="Arial Narrow" w:cstheme="minorHAnsi"/>
                <w:sz w:val="20"/>
                <w:szCs w:val="20"/>
              </w:rPr>
              <w:t>32,640</w:t>
            </w:r>
          </w:p>
        </w:tc>
        <w:tc>
          <w:tcPr>
            <w:tcW w:w="1559" w:type="dxa"/>
          </w:tcPr>
          <w:p w14:paraId="230629D2" w14:textId="77777777" w:rsidR="00A60FC6" w:rsidRPr="002A6DEA" w:rsidRDefault="00A60FC6" w:rsidP="00505F8B">
            <w:pPr>
              <w:spacing w:before="40" w:after="40"/>
              <w:jc w:val="center"/>
              <w:rPr>
                <w:rFonts w:ascii="Arial Narrow" w:hAnsi="Arial Narrow" w:cstheme="minorHAnsi"/>
                <w:i/>
                <w:sz w:val="20"/>
                <w:szCs w:val="20"/>
              </w:rPr>
            </w:pPr>
            <w:r w:rsidRPr="002A6DEA">
              <w:rPr>
                <w:rFonts w:ascii="Arial Narrow" w:hAnsi="Arial Narrow" w:cstheme="minorHAnsi"/>
                <w:i/>
                <w:sz w:val="20"/>
                <w:szCs w:val="20"/>
              </w:rPr>
              <w:t>37,248</w:t>
            </w:r>
          </w:p>
        </w:tc>
        <w:tc>
          <w:tcPr>
            <w:tcW w:w="1701" w:type="dxa"/>
            <w:vAlign w:val="center"/>
          </w:tcPr>
          <w:p w14:paraId="3E7F28BE" w14:textId="77777777" w:rsidR="00A60FC6" w:rsidRPr="002A6DEA" w:rsidRDefault="00A60FC6" w:rsidP="00505F8B">
            <w:pPr>
              <w:spacing w:before="40" w:after="40"/>
              <w:jc w:val="center"/>
              <w:rPr>
                <w:rFonts w:ascii="Arial Narrow" w:hAnsi="Arial Narrow" w:cstheme="minorHAnsi"/>
                <w:i/>
                <w:sz w:val="20"/>
                <w:szCs w:val="20"/>
              </w:rPr>
            </w:pPr>
            <w:r w:rsidRPr="002A6DEA">
              <w:rPr>
                <w:rFonts w:ascii="Arial Narrow" w:hAnsi="Arial Narrow" w:cs="Calibri"/>
                <w:i/>
                <w:sz w:val="20"/>
                <w:szCs w:val="20"/>
              </w:rPr>
              <w:t>64,826</w:t>
            </w:r>
          </w:p>
        </w:tc>
      </w:tr>
      <w:tr w:rsidR="00A60FC6" w:rsidRPr="002A6DEA" w14:paraId="43A1FCAF" w14:textId="77777777" w:rsidTr="00DD6784">
        <w:tc>
          <w:tcPr>
            <w:tcW w:w="3686" w:type="dxa"/>
            <w:vAlign w:val="center"/>
          </w:tcPr>
          <w:p w14:paraId="6539C7C6" w14:textId="77777777" w:rsidR="00A60FC6" w:rsidRPr="002A6DEA" w:rsidRDefault="00A60FC6" w:rsidP="00505F8B">
            <w:pPr>
              <w:spacing w:before="40" w:after="40"/>
              <w:rPr>
                <w:rFonts w:ascii="Arial Narrow" w:hAnsi="Arial Narrow" w:cstheme="minorHAnsi"/>
                <w:sz w:val="20"/>
                <w:szCs w:val="20"/>
              </w:rPr>
            </w:pPr>
            <w:r w:rsidRPr="002A6DEA">
              <w:rPr>
                <w:rFonts w:ascii="Arial Narrow" w:hAnsi="Arial Narrow" w:cstheme="minorHAnsi"/>
                <w:sz w:val="20"/>
                <w:szCs w:val="20"/>
              </w:rPr>
              <w:t>Pharmacist services fees – follow-up</w:t>
            </w:r>
          </w:p>
        </w:tc>
        <w:tc>
          <w:tcPr>
            <w:tcW w:w="1701" w:type="dxa"/>
            <w:vAlign w:val="center"/>
          </w:tcPr>
          <w:p w14:paraId="74B1F050" w14:textId="77777777" w:rsidR="00A60FC6" w:rsidRPr="002A6DEA" w:rsidRDefault="00A60FC6" w:rsidP="00505F8B">
            <w:pPr>
              <w:spacing w:before="40" w:after="40"/>
              <w:jc w:val="center"/>
              <w:rPr>
                <w:rFonts w:ascii="Arial Narrow" w:hAnsi="Arial Narrow" w:cstheme="minorHAnsi"/>
                <w:sz w:val="20"/>
                <w:szCs w:val="20"/>
              </w:rPr>
            </w:pPr>
            <w:r w:rsidRPr="002A6DEA">
              <w:rPr>
                <w:rFonts w:ascii="Arial Narrow" w:hAnsi="Arial Narrow" w:cstheme="minorHAnsi"/>
                <w:sz w:val="20"/>
                <w:szCs w:val="20"/>
              </w:rPr>
              <w:t>6,784</w:t>
            </w:r>
          </w:p>
        </w:tc>
        <w:tc>
          <w:tcPr>
            <w:tcW w:w="1559" w:type="dxa"/>
          </w:tcPr>
          <w:p w14:paraId="695D10CA" w14:textId="77777777" w:rsidR="00A60FC6" w:rsidRPr="002A6DEA" w:rsidRDefault="00A60FC6" w:rsidP="00505F8B">
            <w:pPr>
              <w:spacing w:before="40" w:after="40"/>
              <w:jc w:val="center"/>
              <w:rPr>
                <w:rFonts w:ascii="Arial Narrow" w:hAnsi="Arial Narrow" w:cstheme="minorHAnsi"/>
                <w:i/>
                <w:sz w:val="20"/>
                <w:szCs w:val="20"/>
              </w:rPr>
            </w:pPr>
            <w:r w:rsidRPr="002A6DEA">
              <w:rPr>
                <w:rFonts w:ascii="Arial Narrow" w:hAnsi="Arial Narrow" w:cstheme="minorHAnsi"/>
                <w:i/>
                <w:sz w:val="20"/>
                <w:szCs w:val="20"/>
              </w:rPr>
              <w:t>7,742</w:t>
            </w:r>
          </w:p>
        </w:tc>
        <w:tc>
          <w:tcPr>
            <w:tcW w:w="1701" w:type="dxa"/>
            <w:vAlign w:val="center"/>
          </w:tcPr>
          <w:p w14:paraId="325A0C98" w14:textId="77777777" w:rsidR="00A60FC6" w:rsidRPr="002A6DEA" w:rsidRDefault="00A60FC6" w:rsidP="00505F8B">
            <w:pPr>
              <w:spacing w:before="40" w:after="40"/>
              <w:jc w:val="center"/>
              <w:rPr>
                <w:rFonts w:ascii="Arial Narrow" w:hAnsi="Arial Narrow" w:cstheme="minorHAnsi"/>
                <w:i/>
                <w:sz w:val="20"/>
                <w:szCs w:val="20"/>
              </w:rPr>
            </w:pPr>
            <w:r w:rsidRPr="002A6DEA">
              <w:rPr>
                <w:rFonts w:ascii="Arial Narrow" w:hAnsi="Arial Narrow" w:cs="Calibri"/>
                <w:i/>
                <w:sz w:val="20"/>
                <w:szCs w:val="20"/>
              </w:rPr>
              <w:t>32,416</w:t>
            </w:r>
          </w:p>
        </w:tc>
      </w:tr>
      <w:tr w:rsidR="00A60FC6" w:rsidRPr="002A6DEA" w14:paraId="555FD14E" w14:textId="77777777" w:rsidTr="00DD6784">
        <w:tc>
          <w:tcPr>
            <w:tcW w:w="3686" w:type="dxa"/>
            <w:vAlign w:val="center"/>
          </w:tcPr>
          <w:p w14:paraId="38679AC5" w14:textId="77777777" w:rsidR="00A60FC6" w:rsidRPr="002A6DEA" w:rsidRDefault="00A60FC6" w:rsidP="00505F8B">
            <w:pPr>
              <w:spacing w:before="40" w:after="40"/>
              <w:rPr>
                <w:rFonts w:ascii="Arial Narrow" w:hAnsi="Arial Narrow" w:cstheme="minorHAnsi"/>
                <w:sz w:val="20"/>
                <w:szCs w:val="20"/>
              </w:rPr>
            </w:pPr>
            <w:r w:rsidRPr="002A6DEA">
              <w:rPr>
                <w:rFonts w:ascii="Arial Narrow" w:hAnsi="Arial Narrow" w:cstheme="minorHAnsi"/>
                <w:sz w:val="20"/>
                <w:szCs w:val="20"/>
              </w:rPr>
              <w:t>Pharmacist services fees travel</w:t>
            </w:r>
          </w:p>
        </w:tc>
        <w:tc>
          <w:tcPr>
            <w:tcW w:w="1701" w:type="dxa"/>
            <w:vAlign w:val="center"/>
          </w:tcPr>
          <w:p w14:paraId="79A93F32" w14:textId="77777777" w:rsidR="00A60FC6" w:rsidRPr="002A6DEA" w:rsidRDefault="00A60FC6" w:rsidP="00505F8B">
            <w:pPr>
              <w:spacing w:before="40" w:after="40"/>
              <w:jc w:val="center"/>
              <w:rPr>
                <w:rFonts w:ascii="Arial Narrow" w:hAnsi="Arial Narrow" w:cstheme="minorHAnsi"/>
                <w:sz w:val="20"/>
                <w:szCs w:val="20"/>
              </w:rPr>
            </w:pPr>
            <w:r w:rsidRPr="002A6DEA">
              <w:rPr>
                <w:rFonts w:ascii="Arial Narrow" w:hAnsi="Arial Narrow" w:cstheme="minorHAnsi"/>
                <w:sz w:val="20"/>
                <w:szCs w:val="20"/>
              </w:rPr>
              <w:t>1,482</w:t>
            </w:r>
          </w:p>
        </w:tc>
        <w:tc>
          <w:tcPr>
            <w:tcW w:w="1559" w:type="dxa"/>
          </w:tcPr>
          <w:p w14:paraId="6CEA53E0" w14:textId="77777777" w:rsidR="00A60FC6" w:rsidRPr="002A6DEA" w:rsidRDefault="00A60FC6" w:rsidP="00505F8B">
            <w:pPr>
              <w:spacing w:before="40" w:after="40"/>
              <w:jc w:val="center"/>
              <w:rPr>
                <w:rFonts w:ascii="Arial Narrow" w:hAnsi="Arial Narrow" w:cstheme="minorHAnsi"/>
                <w:i/>
                <w:sz w:val="20"/>
                <w:szCs w:val="20"/>
              </w:rPr>
            </w:pPr>
            <w:r w:rsidRPr="002A6DEA">
              <w:rPr>
                <w:rFonts w:ascii="Arial Narrow" w:hAnsi="Arial Narrow" w:cstheme="minorHAnsi"/>
                <w:i/>
                <w:sz w:val="20"/>
                <w:szCs w:val="20"/>
              </w:rPr>
              <w:t>1,482</w:t>
            </w:r>
          </w:p>
        </w:tc>
        <w:tc>
          <w:tcPr>
            <w:tcW w:w="1701" w:type="dxa"/>
            <w:vAlign w:val="center"/>
          </w:tcPr>
          <w:p w14:paraId="74A0BC2C" w14:textId="77777777" w:rsidR="00A60FC6" w:rsidRPr="002A6DEA" w:rsidRDefault="00A60FC6" w:rsidP="00505F8B">
            <w:pPr>
              <w:spacing w:before="40" w:after="40"/>
              <w:jc w:val="center"/>
              <w:rPr>
                <w:rFonts w:ascii="Arial Narrow" w:hAnsi="Arial Narrow" w:cstheme="minorHAnsi"/>
                <w:i/>
                <w:sz w:val="20"/>
                <w:szCs w:val="20"/>
              </w:rPr>
            </w:pPr>
            <w:r w:rsidRPr="002A6DEA">
              <w:rPr>
                <w:rFonts w:ascii="Arial Narrow" w:hAnsi="Arial Narrow" w:cs="Calibri"/>
                <w:i/>
                <w:sz w:val="20"/>
                <w:szCs w:val="20"/>
              </w:rPr>
              <w:t>1,482</w:t>
            </w:r>
          </w:p>
        </w:tc>
      </w:tr>
      <w:tr w:rsidR="00A60FC6" w:rsidRPr="002A6DEA" w14:paraId="5D4C7063" w14:textId="77777777" w:rsidTr="00DD6784">
        <w:tc>
          <w:tcPr>
            <w:tcW w:w="3686" w:type="dxa"/>
            <w:vAlign w:val="center"/>
          </w:tcPr>
          <w:p w14:paraId="57ED77C6" w14:textId="77777777" w:rsidR="00A60FC6" w:rsidRPr="002A6DEA" w:rsidRDefault="00A60FC6" w:rsidP="00505F8B">
            <w:pPr>
              <w:widowControl w:val="0"/>
              <w:tabs>
                <w:tab w:val="left" w:pos="851"/>
              </w:tabs>
              <w:spacing w:before="40" w:after="40"/>
              <w:rPr>
                <w:rFonts w:ascii="Arial Narrow" w:hAnsi="Arial Narrow" w:cstheme="minorHAnsi"/>
                <w:sz w:val="20"/>
                <w:szCs w:val="20"/>
              </w:rPr>
            </w:pPr>
            <w:r w:rsidRPr="002A6DEA">
              <w:rPr>
                <w:rFonts w:ascii="Arial Narrow" w:hAnsi="Arial Narrow" w:cstheme="minorHAnsi"/>
                <w:sz w:val="20"/>
                <w:szCs w:val="20"/>
              </w:rPr>
              <w:t xml:space="preserve">Aboriginal Health Worker service fees </w:t>
            </w:r>
          </w:p>
        </w:tc>
        <w:tc>
          <w:tcPr>
            <w:tcW w:w="1701" w:type="dxa"/>
            <w:vAlign w:val="center"/>
          </w:tcPr>
          <w:p w14:paraId="4C18C9FC" w14:textId="77777777" w:rsidR="00A60FC6" w:rsidRPr="002A6DEA" w:rsidRDefault="00A60FC6" w:rsidP="00505F8B">
            <w:pPr>
              <w:spacing w:before="40" w:after="40"/>
              <w:jc w:val="center"/>
              <w:rPr>
                <w:rFonts w:ascii="Arial Narrow" w:hAnsi="Arial Narrow" w:cstheme="minorHAnsi"/>
                <w:sz w:val="20"/>
                <w:szCs w:val="20"/>
              </w:rPr>
            </w:pPr>
            <w:r w:rsidRPr="002A6DEA">
              <w:rPr>
                <w:rFonts w:ascii="Arial Narrow" w:hAnsi="Arial Narrow" w:cstheme="minorHAnsi"/>
                <w:sz w:val="20"/>
                <w:szCs w:val="20"/>
              </w:rPr>
              <w:t>6,250</w:t>
            </w:r>
          </w:p>
        </w:tc>
        <w:tc>
          <w:tcPr>
            <w:tcW w:w="1559" w:type="dxa"/>
          </w:tcPr>
          <w:p w14:paraId="6E09A754" w14:textId="77777777" w:rsidR="00A60FC6" w:rsidRPr="002A6DEA" w:rsidRDefault="00A60FC6" w:rsidP="00505F8B">
            <w:pPr>
              <w:spacing w:before="40" w:after="40"/>
              <w:jc w:val="center"/>
              <w:rPr>
                <w:rFonts w:ascii="Arial Narrow" w:hAnsi="Arial Narrow" w:cstheme="minorHAnsi"/>
                <w:i/>
                <w:sz w:val="20"/>
                <w:szCs w:val="20"/>
              </w:rPr>
            </w:pPr>
            <w:r w:rsidRPr="002A6DEA">
              <w:rPr>
                <w:rFonts w:ascii="Arial Narrow" w:hAnsi="Arial Narrow" w:cstheme="minorHAnsi"/>
                <w:i/>
                <w:sz w:val="20"/>
                <w:szCs w:val="20"/>
              </w:rPr>
              <w:t>7,132</w:t>
            </w:r>
          </w:p>
        </w:tc>
        <w:tc>
          <w:tcPr>
            <w:tcW w:w="1701" w:type="dxa"/>
            <w:vAlign w:val="center"/>
          </w:tcPr>
          <w:p w14:paraId="0365391B" w14:textId="77777777" w:rsidR="00A60FC6" w:rsidRPr="002A6DEA" w:rsidRDefault="00A60FC6" w:rsidP="00505F8B">
            <w:pPr>
              <w:spacing w:before="40" w:after="40"/>
              <w:jc w:val="center"/>
              <w:rPr>
                <w:rFonts w:ascii="Arial Narrow" w:hAnsi="Arial Narrow" w:cstheme="minorHAnsi"/>
                <w:i/>
                <w:sz w:val="20"/>
                <w:szCs w:val="20"/>
              </w:rPr>
            </w:pPr>
            <w:r w:rsidRPr="002A6DEA">
              <w:rPr>
                <w:rFonts w:ascii="Arial Narrow" w:hAnsi="Arial Narrow" w:cs="Calibri"/>
                <w:i/>
                <w:sz w:val="20"/>
                <w:szCs w:val="20"/>
              </w:rPr>
              <w:t>7,132</w:t>
            </w:r>
          </w:p>
        </w:tc>
      </w:tr>
      <w:tr w:rsidR="00A60FC6" w:rsidRPr="002A6DEA" w14:paraId="4061A187" w14:textId="77777777" w:rsidTr="00DD6784">
        <w:tc>
          <w:tcPr>
            <w:tcW w:w="3686" w:type="dxa"/>
            <w:vAlign w:val="center"/>
          </w:tcPr>
          <w:p w14:paraId="58806CEA" w14:textId="77777777" w:rsidR="00A60FC6" w:rsidRPr="002A6DEA" w:rsidRDefault="00A60FC6" w:rsidP="00505F8B">
            <w:pPr>
              <w:spacing w:before="40" w:after="40"/>
              <w:rPr>
                <w:rFonts w:ascii="Arial Narrow" w:hAnsi="Arial Narrow" w:cstheme="minorHAnsi"/>
                <w:sz w:val="20"/>
                <w:szCs w:val="20"/>
              </w:rPr>
            </w:pPr>
            <w:r w:rsidRPr="002A6DEA">
              <w:rPr>
                <w:rFonts w:ascii="Arial Narrow" w:hAnsi="Arial Narrow" w:cstheme="minorHAnsi"/>
                <w:sz w:val="20"/>
                <w:szCs w:val="20"/>
              </w:rPr>
              <w:t>General Practitioner fees</w:t>
            </w:r>
          </w:p>
        </w:tc>
        <w:tc>
          <w:tcPr>
            <w:tcW w:w="1701" w:type="dxa"/>
            <w:vAlign w:val="center"/>
          </w:tcPr>
          <w:p w14:paraId="51DF3CE0" w14:textId="77777777" w:rsidR="00A60FC6" w:rsidRPr="002A6DEA" w:rsidRDefault="00A60FC6" w:rsidP="00505F8B">
            <w:pPr>
              <w:spacing w:before="40" w:after="40"/>
              <w:jc w:val="center"/>
              <w:rPr>
                <w:rFonts w:ascii="Arial Narrow" w:hAnsi="Arial Narrow" w:cstheme="minorHAnsi"/>
                <w:sz w:val="20"/>
                <w:szCs w:val="20"/>
              </w:rPr>
            </w:pPr>
            <w:r w:rsidRPr="002A6DEA">
              <w:rPr>
                <w:rFonts w:ascii="Arial Narrow" w:hAnsi="Arial Narrow" w:cstheme="minorHAnsi"/>
                <w:sz w:val="20"/>
                <w:szCs w:val="20"/>
              </w:rPr>
              <w:t xml:space="preserve">21,840 </w:t>
            </w:r>
            <w:r w:rsidRPr="002A6DEA">
              <w:rPr>
                <w:rFonts w:ascii="Arial Narrow" w:hAnsi="Arial Narrow" w:cstheme="minorHAnsi"/>
                <w:sz w:val="20"/>
                <w:szCs w:val="20"/>
                <w:vertAlign w:val="superscript"/>
              </w:rPr>
              <w:t>3</w:t>
            </w:r>
          </w:p>
        </w:tc>
        <w:tc>
          <w:tcPr>
            <w:tcW w:w="1559" w:type="dxa"/>
          </w:tcPr>
          <w:p w14:paraId="7C2F3E7B" w14:textId="77777777" w:rsidR="00A60FC6" w:rsidRPr="002A6DEA" w:rsidRDefault="00A60FC6" w:rsidP="00505F8B">
            <w:pPr>
              <w:spacing w:before="40" w:after="40"/>
              <w:jc w:val="center"/>
              <w:rPr>
                <w:rFonts w:ascii="Arial Narrow" w:hAnsi="Arial Narrow" w:cstheme="minorHAnsi"/>
                <w:i/>
                <w:sz w:val="20"/>
                <w:szCs w:val="20"/>
              </w:rPr>
            </w:pPr>
            <w:r w:rsidRPr="002A6DEA">
              <w:rPr>
                <w:rFonts w:ascii="Arial Narrow" w:hAnsi="Arial Narrow" w:cstheme="minorHAnsi"/>
                <w:i/>
                <w:sz w:val="20"/>
                <w:szCs w:val="20"/>
              </w:rPr>
              <w:t>21,840</w:t>
            </w:r>
          </w:p>
        </w:tc>
        <w:tc>
          <w:tcPr>
            <w:tcW w:w="1701" w:type="dxa"/>
            <w:vAlign w:val="center"/>
          </w:tcPr>
          <w:p w14:paraId="3B7CDE1C" w14:textId="77777777" w:rsidR="00A60FC6" w:rsidRPr="002A6DEA" w:rsidRDefault="00A60FC6" w:rsidP="00505F8B">
            <w:pPr>
              <w:spacing w:before="40" w:after="40"/>
              <w:jc w:val="center"/>
              <w:rPr>
                <w:rFonts w:ascii="Arial Narrow" w:hAnsi="Arial Narrow" w:cstheme="minorHAnsi"/>
                <w:i/>
                <w:sz w:val="20"/>
                <w:szCs w:val="20"/>
              </w:rPr>
            </w:pPr>
            <w:r w:rsidRPr="002A6DEA">
              <w:rPr>
                <w:rFonts w:ascii="Arial Narrow" w:hAnsi="Arial Narrow" w:cs="Calibri"/>
                <w:i/>
                <w:sz w:val="20"/>
                <w:szCs w:val="20"/>
              </w:rPr>
              <w:t>46,458</w:t>
            </w:r>
          </w:p>
        </w:tc>
      </w:tr>
      <w:tr w:rsidR="00A60FC6" w:rsidRPr="002A6DEA" w14:paraId="2DF6E042" w14:textId="77777777" w:rsidTr="00DD6784">
        <w:tc>
          <w:tcPr>
            <w:tcW w:w="3686" w:type="dxa"/>
            <w:vAlign w:val="center"/>
          </w:tcPr>
          <w:p w14:paraId="7C7E8B36" w14:textId="77777777" w:rsidR="00A60FC6" w:rsidRPr="002A6DEA" w:rsidRDefault="00A60FC6" w:rsidP="00505F8B">
            <w:pPr>
              <w:spacing w:before="40" w:after="40"/>
              <w:rPr>
                <w:rFonts w:ascii="Arial Narrow" w:hAnsi="Arial Narrow" w:cstheme="minorHAnsi"/>
                <w:b/>
                <w:bCs/>
                <w:iCs/>
                <w:sz w:val="20"/>
                <w:szCs w:val="20"/>
              </w:rPr>
            </w:pPr>
            <w:r w:rsidRPr="002A6DEA">
              <w:rPr>
                <w:rFonts w:ascii="Arial Narrow" w:hAnsi="Arial Narrow" w:cstheme="minorHAnsi"/>
                <w:b/>
                <w:bCs/>
                <w:sz w:val="20"/>
                <w:szCs w:val="20"/>
              </w:rPr>
              <w:t xml:space="preserve">Sub-total </w:t>
            </w:r>
            <w:r w:rsidRPr="002A6DEA">
              <w:rPr>
                <w:rFonts w:ascii="Arial Narrow" w:hAnsi="Arial Narrow" w:cstheme="minorHAnsi"/>
                <w:b/>
                <w:bCs/>
                <w:iCs/>
                <w:sz w:val="20"/>
                <w:szCs w:val="20"/>
              </w:rPr>
              <w:t>($)</w:t>
            </w:r>
          </w:p>
        </w:tc>
        <w:tc>
          <w:tcPr>
            <w:tcW w:w="1701" w:type="dxa"/>
            <w:vAlign w:val="center"/>
          </w:tcPr>
          <w:p w14:paraId="1DAF8849" w14:textId="77777777" w:rsidR="00A60FC6" w:rsidRPr="002A6DEA" w:rsidRDefault="00A60FC6" w:rsidP="00505F8B">
            <w:pPr>
              <w:spacing w:before="40" w:after="40"/>
              <w:jc w:val="center"/>
              <w:rPr>
                <w:rFonts w:ascii="Arial Narrow" w:hAnsi="Arial Narrow" w:cstheme="minorHAnsi"/>
                <w:sz w:val="20"/>
                <w:szCs w:val="20"/>
              </w:rPr>
            </w:pPr>
            <w:r w:rsidRPr="002A6DEA">
              <w:rPr>
                <w:rFonts w:ascii="Arial Narrow" w:hAnsi="Arial Narrow" w:cstheme="minorHAnsi"/>
                <w:sz w:val="20"/>
                <w:szCs w:val="20"/>
              </w:rPr>
              <w:t>134,271</w:t>
            </w:r>
          </w:p>
        </w:tc>
        <w:tc>
          <w:tcPr>
            <w:tcW w:w="1559" w:type="dxa"/>
          </w:tcPr>
          <w:p w14:paraId="720C211F" w14:textId="77777777" w:rsidR="00A60FC6" w:rsidRPr="002A6DEA" w:rsidRDefault="00A60FC6" w:rsidP="00505F8B">
            <w:pPr>
              <w:spacing w:before="40" w:after="40"/>
              <w:jc w:val="center"/>
              <w:rPr>
                <w:rFonts w:ascii="Arial Narrow" w:hAnsi="Arial Narrow" w:cstheme="minorHAnsi"/>
                <w:i/>
                <w:sz w:val="20"/>
                <w:szCs w:val="20"/>
              </w:rPr>
            </w:pPr>
            <w:r w:rsidRPr="002A6DEA">
              <w:rPr>
                <w:rFonts w:ascii="Arial Narrow" w:hAnsi="Arial Narrow" w:cstheme="minorHAnsi"/>
                <w:i/>
                <w:sz w:val="20"/>
                <w:szCs w:val="20"/>
              </w:rPr>
              <w:t>156,370</w:t>
            </w:r>
          </w:p>
        </w:tc>
        <w:tc>
          <w:tcPr>
            <w:tcW w:w="1701" w:type="dxa"/>
          </w:tcPr>
          <w:p w14:paraId="565FA2D6" w14:textId="77777777" w:rsidR="00A60FC6" w:rsidRPr="002A6DEA" w:rsidRDefault="00A60FC6" w:rsidP="00505F8B">
            <w:pPr>
              <w:spacing w:before="40" w:after="40"/>
              <w:jc w:val="center"/>
              <w:rPr>
                <w:rFonts w:ascii="Arial Narrow" w:hAnsi="Arial Narrow" w:cstheme="minorHAnsi"/>
                <w:i/>
                <w:sz w:val="20"/>
                <w:szCs w:val="20"/>
              </w:rPr>
            </w:pPr>
            <w:r w:rsidRPr="002A6DEA">
              <w:rPr>
                <w:rFonts w:ascii="Arial Narrow" w:hAnsi="Arial Narrow" w:cstheme="minorHAnsi"/>
                <w:i/>
                <w:sz w:val="20"/>
                <w:szCs w:val="20"/>
              </w:rPr>
              <w:t>233,240</w:t>
            </w:r>
          </w:p>
        </w:tc>
      </w:tr>
      <w:tr w:rsidR="00A60FC6" w:rsidRPr="002A6DEA" w14:paraId="60ABC087" w14:textId="77777777" w:rsidTr="00DD6784">
        <w:tc>
          <w:tcPr>
            <w:tcW w:w="3686" w:type="dxa"/>
            <w:vAlign w:val="center"/>
          </w:tcPr>
          <w:p w14:paraId="730608C2" w14:textId="77777777" w:rsidR="00A60FC6" w:rsidRPr="002A6DEA" w:rsidRDefault="00A60FC6" w:rsidP="00505F8B">
            <w:pPr>
              <w:spacing w:before="40" w:after="40"/>
              <w:rPr>
                <w:rFonts w:ascii="Arial Narrow" w:hAnsi="Arial Narrow" w:cstheme="minorHAnsi"/>
                <w:color w:val="00B050"/>
                <w:sz w:val="20"/>
                <w:szCs w:val="20"/>
              </w:rPr>
            </w:pPr>
            <w:r w:rsidRPr="002A6DEA">
              <w:rPr>
                <w:rFonts w:ascii="Arial Narrow" w:hAnsi="Arial Narrow" w:cstheme="minorHAnsi"/>
                <w:sz w:val="20"/>
                <w:szCs w:val="20"/>
              </w:rPr>
              <w:t>Services</w:t>
            </w:r>
            <w:r w:rsidRPr="002A6DEA">
              <w:rPr>
                <w:rFonts w:ascii="Arial Narrow" w:hAnsi="Arial Narrow" w:cstheme="minorHAnsi"/>
                <w:color w:val="00B050"/>
                <w:sz w:val="20"/>
                <w:szCs w:val="20"/>
              </w:rPr>
              <w:t xml:space="preserve"> </w:t>
            </w:r>
            <w:r w:rsidRPr="002A6DEA">
              <w:rPr>
                <w:rFonts w:ascii="Arial Narrow" w:hAnsi="Arial Narrow" w:cstheme="minorHAnsi"/>
                <w:i/>
                <w:sz w:val="20"/>
                <w:szCs w:val="20"/>
              </w:rPr>
              <w:t>(number of participants in the cohort)</w:t>
            </w:r>
          </w:p>
        </w:tc>
        <w:tc>
          <w:tcPr>
            <w:tcW w:w="1701" w:type="dxa"/>
            <w:vAlign w:val="center"/>
          </w:tcPr>
          <w:p w14:paraId="498AF0F0" w14:textId="77777777" w:rsidR="00A60FC6" w:rsidRPr="002A6DEA" w:rsidRDefault="00A60FC6" w:rsidP="00505F8B">
            <w:pPr>
              <w:spacing w:before="40" w:after="40"/>
              <w:jc w:val="center"/>
              <w:rPr>
                <w:rFonts w:ascii="Arial Narrow" w:hAnsi="Arial Narrow" w:cstheme="minorHAnsi"/>
                <w:color w:val="00B050"/>
                <w:sz w:val="20"/>
                <w:szCs w:val="20"/>
              </w:rPr>
            </w:pPr>
            <w:r w:rsidRPr="002A6DEA">
              <w:rPr>
                <w:rFonts w:ascii="Arial Narrow" w:hAnsi="Arial Narrow" w:cstheme="minorHAnsi"/>
                <w:sz w:val="20"/>
                <w:szCs w:val="20"/>
              </w:rPr>
              <w:t>291</w:t>
            </w:r>
          </w:p>
        </w:tc>
        <w:tc>
          <w:tcPr>
            <w:tcW w:w="1559" w:type="dxa"/>
          </w:tcPr>
          <w:p w14:paraId="724A07C4" w14:textId="77777777" w:rsidR="00A60FC6" w:rsidRPr="002A6DEA" w:rsidRDefault="00A60FC6" w:rsidP="00505F8B">
            <w:pPr>
              <w:spacing w:before="40" w:after="40"/>
              <w:jc w:val="center"/>
              <w:rPr>
                <w:rFonts w:ascii="Arial Narrow" w:hAnsi="Arial Narrow" w:cstheme="minorHAnsi"/>
                <w:i/>
                <w:sz w:val="20"/>
                <w:szCs w:val="20"/>
              </w:rPr>
            </w:pPr>
            <w:r w:rsidRPr="002A6DEA">
              <w:rPr>
                <w:rFonts w:ascii="Arial Narrow" w:hAnsi="Arial Narrow" w:cstheme="minorHAnsi"/>
                <w:i/>
                <w:sz w:val="20"/>
                <w:szCs w:val="20"/>
              </w:rPr>
              <w:t>291</w:t>
            </w:r>
          </w:p>
        </w:tc>
        <w:tc>
          <w:tcPr>
            <w:tcW w:w="1701" w:type="dxa"/>
          </w:tcPr>
          <w:p w14:paraId="1D18EF94" w14:textId="77777777" w:rsidR="00A60FC6" w:rsidRPr="002A6DEA" w:rsidRDefault="00A60FC6" w:rsidP="00505F8B">
            <w:pPr>
              <w:spacing w:before="40" w:after="40"/>
              <w:jc w:val="center"/>
              <w:rPr>
                <w:rFonts w:ascii="Arial Narrow" w:hAnsi="Arial Narrow" w:cstheme="minorHAnsi"/>
                <w:i/>
                <w:sz w:val="20"/>
                <w:szCs w:val="20"/>
              </w:rPr>
            </w:pPr>
            <w:r w:rsidRPr="002A6DEA">
              <w:rPr>
                <w:rFonts w:ascii="Arial Narrow" w:hAnsi="Arial Narrow" w:cstheme="minorHAnsi"/>
                <w:i/>
                <w:sz w:val="20"/>
                <w:szCs w:val="20"/>
              </w:rPr>
              <w:t>291</w:t>
            </w:r>
          </w:p>
        </w:tc>
      </w:tr>
      <w:tr w:rsidR="00A60FC6" w:rsidRPr="002A6DEA" w14:paraId="16563723" w14:textId="77777777" w:rsidTr="00DD6784">
        <w:tc>
          <w:tcPr>
            <w:tcW w:w="3686" w:type="dxa"/>
            <w:vAlign w:val="center"/>
          </w:tcPr>
          <w:p w14:paraId="3805EAFD" w14:textId="77777777" w:rsidR="00A60FC6" w:rsidRPr="002A6DEA" w:rsidRDefault="00A60FC6" w:rsidP="00505F8B">
            <w:pPr>
              <w:spacing w:before="40" w:after="40"/>
              <w:rPr>
                <w:rFonts w:ascii="Arial Narrow" w:hAnsi="Arial Narrow" w:cstheme="minorHAnsi"/>
                <w:i/>
                <w:sz w:val="20"/>
                <w:szCs w:val="20"/>
              </w:rPr>
            </w:pPr>
            <w:r w:rsidRPr="002A6DEA">
              <w:rPr>
                <w:rFonts w:ascii="Arial Narrow" w:hAnsi="Arial Narrow" w:cstheme="minorHAnsi"/>
                <w:b/>
                <w:bCs/>
                <w:i/>
                <w:sz w:val="20"/>
                <w:szCs w:val="20"/>
              </w:rPr>
              <w:t>Cost per person per year (less overheads)</w:t>
            </w:r>
          </w:p>
        </w:tc>
        <w:tc>
          <w:tcPr>
            <w:tcW w:w="1701" w:type="dxa"/>
            <w:vAlign w:val="center"/>
          </w:tcPr>
          <w:p w14:paraId="5614AD9F" w14:textId="77777777" w:rsidR="00A60FC6" w:rsidRPr="002A6DEA" w:rsidRDefault="00A60FC6" w:rsidP="00505F8B">
            <w:pPr>
              <w:spacing w:before="40" w:after="40"/>
              <w:jc w:val="center"/>
              <w:rPr>
                <w:rFonts w:ascii="Arial Narrow" w:hAnsi="Arial Narrow" w:cstheme="minorHAnsi"/>
                <w:i/>
                <w:sz w:val="20"/>
                <w:szCs w:val="20"/>
              </w:rPr>
            </w:pPr>
            <w:r w:rsidRPr="002A6DEA">
              <w:rPr>
                <w:rFonts w:ascii="Arial Narrow" w:hAnsi="Arial Narrow" w:cstheme="minorHAnsi"/>
                <w:i/>
                <w:sz w:val="20"/>
                <w:szCs w:val="20"/>
              </w:rPr>
              <w:t>461</w:t>
            </w:r>
          </w:p>
        </w:tc>
        <w:tc>
          <w:tcPr>
            <w:tcW w:w="1559" w:type="dxa"/>
          </w:tcPr>
          <w:p w14:paraId="72559210" w14:textId="77777777" w:rsidR="00A60FC6" w:rsidRPr="002A6DEA" w:rsidRDefault="00A60FC6" w:rsidP="00505F8B">
            <w:pPr>
              <w:spacing w:before="40" w:after="40"/>
              <w:jc w:val="center"/>
              <w:rPr>
                <w:rFonts w:ascii="Arial Narrow" w:hAnsi="Arial Narrow" w:cstheme="minorHAnsi"/>
                <w:i/>
                <w:sz w:val="20"/>
                <w:szCs w:val="20"/>
              </w:rPr>
            </w:pPr>
            <w:r w:rsidRPr="002A6DEA">
              <w:rPr>
                <w:rFonts w:ascii="Arial Narrow" w:hAnsi="Arial Narrow" w:cstheme="minorHAnsi"/>
                <w:i/>
                <w:sz w:val="20"/>
                <w:szCs w:val="20"/>
              </w:rPr>
              <w:t>537</w:t>
            </w:r>
          </w:p>
        </w:tc>
        <w:tc>
          <w:tcPr>
            <w:tcW w:w="1701" w:type="dxa"/>
          </w:tcPr>
          <w:p w14:paraId="57D15FD4" w14:textId="77777777" w:rsidR="00A60FC6" w:rsidRPr="002A6DEA" w:rsidRDefault="00A60FC6" w:rsidP="00505F8B">
            <w:pPr>
              <w:spacing w:before="40" w:after="40"/>
              <w:jc w:val="center"/>
              <w:rPr>
                <w:rFonts w:ascii="Arial Narrow" w:hAnsi="Arial Narrow" w:cstheme="minorHAnsi"/>
                <w:i/>
                <w:sz w:val="20"/>
                <w:szCs w:val="20"/>
              </w:rPr>
            </w:pPr>
            <w:r w:rsidRPr="002A6DEA">
              <w:rPr>
                <w:rFonts w:ascii="Arial Narrow" w:hAnsi="Arial Narrow" w:cstheme="minorHAnsi"/>
                <w:i/>
                <w:sz w:val="20"/>
                <w:szCs w:val="20"/>
              </w:rPr>
              <w:t>801</w:t>
            </w:r>
          </w:p>
        </w:tc>
      </w:tr>
      <w:tr w:rsidR="00A60FC6" w:rsidRPr="002A6DEA" w14:paraId="3B425A2E" w14:textId="77777777" w:rsidTr="00DD6784">
        <w:tc>
          <w:tcPr>
            <w:tcW w:w="3686" w:type="dxa"/>
            <w:vAlign w:val="center"/>
          </w:tcPr>
          <w:p w14:paraId="048DFB81" w14:textId="77777777" w:rsidR="00A60FC6" w:rsidRPr="002A6DEA" w:rsidRDefault="00A60FC6" w:rsidP="00505F8B">
            <w:pPr>
              <w:spacing w:before="40" w:after="40"/>
              <w:rPr>
                <w:rFonts w:ascii="Arial Narrow" w:hAnsi="Arial Narrow" w:cstheme="minorHAnsi"/>
                <w:b/>
                <w:bCs/>
                <w:i/>
                <w:sz w:val="20"/>
                <w:szCs w:val="20"/>
              </w:rPr>
            </w:pPr>
            <w:r w:rsidRPr="002A6DEA">
              <w:rPr>
                <w:rFonts w:ascii="Arial Narrow" w:hAnsi="Arial Narrow" w:cstheme="minorHAnsi"/>
                <w:b/>
                <w:bCs/>
                <w:i/>
                <w:sz w:val="20"/>
                <w:szCs w:val="20"/>
              </w:rPr>
              <w:t>Overhead costs (per person)</w:t>
            </w:r>
          </w:p>
        </w:tc>
        <w:tc>
          <w:tcPr>
            <w:tcW w:w="1701" w:type="dxa"/>
            <w:vAlign w:val="center"/>
          </w:tcPr>
          <w:p w14:paraId="55F649C5" w14:textId="77777777" w:rsidR="00A60FC6" w:rsidRPr="002A6DEA" w:rsidRDefault="00A60FC6" w:rsidP="00505F8B">
            <w:pPr>
              <w:spacing w:before="40" w:after="40"/>
              <w:jc w:val="center"/>
              <w:rPr>
                <w:rFonts w:ascii="Arial Narrow" w:hAnsi="Arial Narrow" w:cstheme="minorHAnsi"/>
                <w:i/>
                <w:sz w:val="20"/>
                <w:szCs w:val="20"/>
              </w:rPr>
            </w:pPr>
          </w:p>
        </w:tc>
        <w:tc>
          <w:tcPr>
            <w:tcW w:w="1559" w:type="dxa"/>
          </w:tcPr>
          <w:p w14:paraId="6478F676" w14:textId="77777777" w:rsidR="00A60FC6" w:rsidRPr="002A6DEA" w:rsidRDefault="00A60FC6" w:rsidP="00505F8B">
            <w:pPr>
              <w:spacing w:before="40" w:after="40"/>
              <w:jc w:val="center"/>
              <w:rPr>
                <w:rFonts w:ascii="Arial Narrow" w:hAnsi="Arial Narrow" w:cstheme="minorHAnsi"/>
                <w:i/>
                <w:sz w:val="20"/>
                <w:szCs w:val="20"/>
              </w:rPr>
            </w:pPr>
          </w:p>
        </w:tc>
        <w:tc>
          <w:tcPr>
            <w:tcW w:w="1701" w:type="dxa"/>
          </w:tcPr>
          <w:p w14:paraId="0F93FC4A" w14:textId="77777777" w:rsidR="00A60FC6" w:rsidRPr="002A6DEA" w:rsidRDefault="00A60FC6" w:rsidP="00505F8B">
            <w:pPr>
              <w:spacing w:before="40" w:after="40"/>
              <w:jc w:val="center"/>
              <w:rPr>
                <w:rFonts w:ascii="Arial Narrow" w:hAnsi="Arial Narrow" w:cstheme="minorHAnsi"/>
                <w:i/>
                <w:sz w:val="20"/>
                <w:szCs w:val="20"/>
              </w:rPr>
            </w:pPr>
          </w:p>
        </w:tc>
      </w:tr>
      <w:tr w:rsidR="00A60FC6" w:rsidRPr="002A6DEA" w14:paraId="6C18CC8D" w14:textId="77777777" w:rsidTr="00DD6784">
        <w:tc>
          <w:tcPr>
            <w:tcW w:w="3686" w:type="dxa"/>
            <w:vAlign w:val="center"/>
          </w:tcPr>
          <w:p w14:paraId="7B8A727F" w14:textId="77777777" w:rsidR="00A60FC6" w:rsidRPr="002A6DEA" w:rsidRDefault="00A60FC6" w:rsidP="00505F8B">
            <w:pPr>
              <w:spacing w:before="40" w:after="40"/>
              <w:rPr>
                <w:rFonts w:ascii="Arial Narrow" w:hAnsi="Arial Narrow" w:cstheme="minorHAnsi"/>
                <w:i/>
                <w:sz w:val="20"/>
                <w:szCs w:val="20"/>
              </w:rPr>
            </w:pPr>
            <w:r w:rsidRPr="002A6DEA">
              <w:rPr>
                <w:rFonts w:ascii="Arial Narrow" w:hAnsi="Arial Narrow" w:cstheme="minorHAnsi"/>
                <w:i/>
                <w:sz w:val="20"/>
                <w:szCs w:val="20"/>
              </w:rPr>
              <w:t>urban</w:t>
            </w:r>
          </w:p>
        </w:tc>
        <w:tc>
          <w:tcPr>
            <w:tcW w:w="1701" w:type="dxa"/>
            <w:vAlign w:val="center"/>
          </w:tcPr>
          <w:p w14:paraId="09575F89" w14:textId="77777777" w:rsidR="00A60FC6" w:rsidRPr="002A6DEA" w:rsidRDefault="00A60FC6" w:rsidP="00505F8B">
            <w:pPr>
              <w:spacing w:before="40" w:after="40"/>
              <w:jc w:val="center"/>
              <w:rPr>
                <w:rFonts w:ascii="Arial Narrow" w:hAnsi="Arial Narrow" w:cstheme="minorHAnsi"/>
                <w:i/>
                <w:sz w:val="20"/>
                <w:szCs w:val="20"/>
              </w:rPr>
            </w:pPr>
            <w:r w:rsidRPr="002A6DEA">
              <w:rPr>
                <w:rFonts w:ascii="Arial Narrow" w:hAnsi="Arial Narrow" w:cstheme="minorHAnsi"/>
                <w:i/>
                <w:sz w:val="20"/>
                <w:szCs w:val="20"/>
              </w:rPr>
              <w:t>16</w:t>
            </w:r>
          </w:p>
        </w:tc>
        <w:tc>
          <w:tcPr>
            <w:tcW w:w="1559" w:type="dxa"/>
            <w:vAlign w:val="center"/>
          </w:tcPr>
          <w:p w14:paraId="77F8C5BC" w14:textId="77777777" w:rsidR="00A60FC6" w:rsidRPr="002A6DEA" w:rsidRDefault="00A60FC6" w:rsidP="00505F8B">
            <w:pPr>
              <w:spacing w:before="40" w:after="40"/>
              <w:jc w:val="center"/>
              <w:rPr>
                <w:rFonts w:ascii="Arial Narrow" w:hAnsi="Arial Narrow" w:cstheme="minorHAnsi"/>
                <w:i/>
                <w:sz w:val="20"/>
                <w:szCs w:val="20"/>
              </w:rPr>
            </w:pPr>
            <w:r w:rsidRPr="002A6DEA">
              <w:rPr>
                <w:rFonts w:ascii="Arial Narrow" w:hAnsi="Arial Narrow" w:cstheme="minorHAnsi"/>
                <w:i/>
                <w:sz w:val="20"/>
                <w:szCs w:val="20"/>
              </w:rPr>
              <w:t>16</w:t>
            </w:r>
          </w:p>
        </w:tc>
        <w:tc>
          <w:tcPr>
            <w:tcW w:w="1701" w:type="dxa"/>
            <w:vAlign w:val="center"/>
          </w:tcPr>
          <w:p w14:paraId="1DC6BBA1" w14:textId="77777777" w:rsidR="00A60FC6" w:rsidRPr="002A6DEA" w:rsidRDefault="00A60FC6" w:rsidP="00505F8B">
            <w:pPr>
              <w:spacing w:before="40" w:after="40"/>
              <w:jc w:val="center"/>
              <w:rPr>
                <w:rFonts w:ascii="Arial Narrow" w:hAnsi="Arial Narrow" w:cstheme="minorHAnsi"/>
                <w:i/>
                <w:sz w:val="20"/>
                <w:szCs w:val="20"/>
              </w:rPr>
            </w:pPr>
            <w:r w:rsidRPr="002A6DEA">
              <w:rPr>
                <w:rFonts w:ascii="Arial Narrow" w:hAnsi="Arial Narrow" w:cstheme="minorHAnsi"/>
                <w:i/>
                <w:sz w:val="20"/>
                <w:szCs w:val="20"/>
              </w:rPr>
              <w:t>16</w:t>
            </w:r>
          </w:p>
        </w:tc>
      </w:tr>
      <w:tr w:rsidR="00A60FC6" w:rsidRPr="002A6DEA" w14:paraId="1411EC1B" w14:textId="77777777" w:rsidTr="00DD6784">
        <w:tc>
          <w:tcPr>
            <w:tcW w:w="3686" w:type="dxa"/>
            <w:vAlign w:val="center"/>
          </w:tcPr>
          <w:p w14:paraId="0E6C3EDA" w14:textId="77777777" w:rsidR="00A60FC6" w:rsidRPr="002A6DEA" w:rsidRDefault="00A60FC6" w:rsidP="00505F8B">
            <w:pPr>
              <w:spacing w:before="40" w:after="40"/>
              <w:rPr>
                <w:rFonts w:ascii="Arial Narrow" w:hAnsi="Arial Narrow" w:cstheme="minorHAnsi"/>
                <w:i/>
                <w:sz w:val="20"/>
                <w:szCs w:val="20"/>
              </w:rPr>
            </w:pPr>
            <w:r w:rsidRPr="002A6DEA">
              <w:rPr>
                <w:rFonts w:ascii="Arial Narrow" w:hAnsi="Arial Narrow" w:cstheme="minorHAnsi"/>
                <w:i/>
                <w:sz w:val="20"/>
                <w:szCs w:val="20"/>
              </w:rPr>
              <w:t>rural</w:t>
            </w:r>
          </w:p>
        </w:tc>
        <w:tc>
          <w:tcPr>
            <w:tcW w:w="1701" w:type="dxa"/>
            <w:vAlign w:val="center"/>
          </w:tcPr>
          <w:p w14:paraId="69B3EDF6" w14:textId="77777777" w:rsidR="00A60FC6" w:rsidRPr="002A6DEA" w:rsidRDefault="00A60FC6" w:rsidP="00505F8B">
            <w:pPr>
              <w:spacing w:before="40" w:after="40"/>
              <w:jc w:val="center"/>
              <w:rPr>
                <w:rFonts w:ascii="Arial Narrow" w:hAnsi="Arial Narrow" w:cstheme="minorHAnsi"/>
                <w:i/>
                <w:sz w:val="20"/>
                <w:szCs w:val="20"/>
              </w:rPr>
            </w:pPr>
            <w:r w:rsidRPr="002A6DEA">
              <w:rPr>
                <w:rFonts w:ascii="Arial Narrow" w:hAnsi="Arial Narrow" w:cstheme="minorHAnsi"/>
                <w:i/>
                <w:sz w:val="20"/>
                <w:szCs w:val="20"/>
              </w:rPr>
              <w:t>36</w:t>
            </w:r>
          </w:p>
        </w:tc>
        <w:tc>
          <w:tcPr>
            <w:tcW w:w="1559" w:type="dxa"/>
            <w:vAlign w:val="center"/>
          </w:tcPr>
          <w:p w14:paraId="36BCDC1F" w14:textId="77777777" w:rsidR="00A60FC6" w:rsidRPr="002A6DEA" w:rsidRDefault="00A60FC6" w:rsidP="00505F8B">
            <w:pPr>
              <w:spacing w:before="40" w:after="40"/>
              <w:jc w:val="center"/>
              <w:rPr>
                <w:rFonts w:ascii="Arial Narrow" w:hAnsi="Arial Narrow" w:cstheme="minorHAnsi"/>
                <w:i/>
                <w:sz w:val="20"/>
                <w:szCs w:val="20"/>
              </w:rPr>
            </w:pPr>
            <w:r w:rsidRPr="002A6DEA">
              <w:rPr>
                <w:rFonts w:ascii="Arial Narrow" w:hAnsi="Arial Narrow" w:cstheme="minorHAnsi"/>
                <w:i/>
                <w:sz w:val="20"/>
                <w:szCs w:val="20"/>
              </w:rPr>
              <w:t>36</w:t>
            </w:r>
          </w:p>
        </w:tc>
        <w:tc>
          <w:tcPr>
            <w:tcW w:w="1701" w:type="dxa"/>
            <w:vAlign w:val="center"/>
          </w:tcPr>
          <w:p w14:paraId="06555E5E" w14:textId="77777777" w:rsidR="00A60FC6" w:rsidRPr="002A6DEA" w:rsidRDefault="00A60FC6" w:rsidP="00505F8B">
            <w:pPr>
              <w:spacing w:before="40" w:after="40"/>
              <w:jc w:val="center"/>
              <w:rPr>
                <w:rFonts w:ascii="Arial Narrow" w:hAnsi="Arial Narrow" w:cstheme="minorHAnsi"/>
                <w:i/>
                <w:sz w:val="20"/>
                <w:szCs w:val="20"/>
              </w:rPr>
            </w:pPr>
            <w:r w:rsidRPr="002A6DEA">
              <w:rPr>
                <w:rFonts w:ascii="Arial Narrow" w:hAnsi="Arial Narrow" w:cstheme="minorHAnsi"/>
                <w:i/>
                <w:sz w:val="20"/>
                <w:szCs w:val="20"/>
              </w:rPr>
              <w:t>36</w:t>
            </w:r>
          </w:p>
        </w:tc>
      </w:tr>
      <w:tr w:rsidR="00A60FC6" w:rsidRPr="002A6DEA" w14:paraId="51ECE366" w14:textId="77777777" w:rsidTr="00DD6784">
        <w:tc>
          <w:tcPr>
            <w:tcW w:w="3686" w:type="dxa"/>
            <w:vAlign w:val="center"/>
          </w:tcPr>
          <w:p w14:paraId="0E9B84E1" w14:textId="77777777" w:rsidR="00A60FC6" w:rsidRPr="002A6DEA" w:rsidRDefault="00A60FC6" w:rsidP="00505F8B">
            <w:pPr>
              <w:spacing w:before="40" w:after="40"/>
              <w:rPr>
                <w:rFonts w:ascii="Arial Narrow" w:hAnsi="Arial Narrow" w:cstheme="minorHAnsi"/>
                <w:i/>
                <w:sz w:val="20"/>
                <w:szCs w:val="20"/>
              </w:rPr>
            </w:pPr>
            <w:r w:rsidRPr="002A6DEA">
              <w:rPr>
                <w:rFonts w:ascii="Arial Narrow" w:hAnsi="Arial Narrow" w:cstheme="minorHAnsi"/>
                <w:i/>
                <w:sz w:val="20"/>
                <w:szCs w:val="20"/>
              </w:rPr>
              <w:t>remote</w:t>
            </w:r>
          </w:p>
        </w:tc>
        <w:tc>
          <w:tcPr>
            <w:tcW w:w="1701" w:type="dxa"/>
            <w:vAlign w:val="center"/>
          </w:tcPr>
          <w:p w14:paraId="7F4560A2" w14:textId="77777777" w:rsidR="00A60FC6" w:rsidRPr="002A6DEA" w:rsidRDefault="00A60FC6" w:rsidP="00505F8B">
            <w:pPr>
              <w:spacing w:before="40" w:after="40"/>
              <w:jc w:val="center"/>
              <w:rPr>
                <w:rFonts w:ascii="Arial Narrow" w:hAnsi="Arial Narrow" w:cstheme="minorHAnsi"/>
                <w:i/>
                <w:sz w:val="20"/>
                <w:szCs w:val="20"/>
              </w:rPr>
            </w:pPr>
            <w:r w:rsidRPr="002A6DEA">
              <w:rPr>
                <w:rFonts w:ascii="Arial Narrow" w:hAnsi="Arial Narrow" w:cstheme="minorHAnsi"/>
                <w:i/>
                <w:sz w:val="20"/>
                <w:szCs w:val="20"/>
              </w:rPr>
              <w:t>40</w:t>
            </w:r>
          </w:p>
        </w:tc>
        <w:tc>
          <w:tcPr>
            <w:tcW w:w="1559" w:type="dxa"/>
            <w:vAlign w:val="center"/>
          </w:tcPr>
          <w:p w14:paraId="23993032" w14:textId="77777777" w:rsidR="00A60FC6" w:rsidRPr="002A6DEA" w:rsidRDefault="00A60FC6" w:rsidP="00505F8B">
            <w:pPr>
              <w:spacing w:before="40" w:after="40"/>
              <w:jc w:val="center"/>
              <w:rPr>
                <w:rFonts w:ascii="Arial Narrow" w:hAnsi="Arial Narrow" w:cstheme="minorHAnsi"/>
                <w:i/>
                <w:sz w:val="20"/>
                <w:szCs w:val="20"/>
              </w:rPr>
            </w:pPr>
            <w:r w:rsidRPr="002A6DEA">
              <w:rPr>
                <w:rFonts w:ascii="Arial Narrow" w:hAnsi="Arial Narrow" w:cstheme="minorHAnsi"/>
                <w:i/>
                <w:sz w:val="20"/>
                <w:szCs w:val="20"/>
              </w:rPr>
              <w:t>40</w:t>
            </w:r>
          </w:p>
        </w:tc>
        <w:tc>
          <w:tcPr>
            <w:tcW w:w="1701" w:type="dxa"/>
            <w:vAlign w:val="center"/>
          </w:tcPr>
          <w:p w14:paraId="46DAC60E" w14:textId="77777777" w:rsidR="00A60FC6" w:rsidRPr="002A6DEA" w:rsidRDefault="00A60FC6" w:rsidP="00505F8B">
            <w:pPr>
              <w:spacing w:before="40" w:after="40"/>
              <w:jc w:val="center"/>
              <w:rPr>
                <w:rFonts w:ascii="Arial Narrow" w:hAnsi="Arial Narrow" w:cstheme="minorHAnsi"/>
                <w:i/>
                <w:sz w:val="20"/>
                <w:szCs w:val="20"/>
              </w:rPr>
            </w:pPr>
            <w:r w:rsidRPr="002A6DEA">
              <w:rPr>
                <w:rFonts w:ascii="Arial Narrow" w:hAnsi="Arial Narrow" w:cstheme="minorHAnsi"/>
                <w:i/>
                <w:sz w:val="20"/>
                <w:szCs w:val="20"/>
              </w:rPr>
              <w:t>40</w:t>
            </w:r>
          </w:p>
        </w:tc>
      </w:tr>
      <w:tr w:rsidR="00A60FC6" w:rsidRPr="002A6DEA" w14:paraId="0E1ADC55" w14:textId="77777777" w:rsidTr="00DD6784">
        <w:tc>
          <w:tcPr>
            <w:tcW w:w="3686" w:type="dxa"/>
            <w:vAlign w:val="center"/>
          </w:tcPr>
          <w:p w14:paraId="07DC9181" w14:textId="77777777" w:rsidR="00A60FC6" w:rsidRPr="002A6DEA" w:rsidRDefault="00A60FC6" w:rsidP="00505F8B">
            <w:pPr>
              <w:spacing w:before="40" w:after="40"/>
              <w:rPr>
                <w:rFonts w:ascii="Arial Narrow" w:hAnsi="Arial Narrow" w:cstheme="minorHAnsi"/>
                <w:b/>
                <w:bCs/>
                <w:i/>
                <w:sz w:val="20"/>
                <w:szCs w:val="20"/>
              </w:rPr>
            </w:pPr>
            <w:r w:rsidRPr="002A6DEA">
              <w:rPr>
                <w:rFonts w:ascii="Arial Narrow" w:hAnsi="Arial Narrow" w:cstheme="minorHAnsi"/>
                <w:b/>
                <w:bCs/>
                <w:i/>
                <w:sz w:val="20"/>
                <w:szCs w:val="20"/>
              </w:rPr>
              <w:t>Cost per person per year (average)</w:t>
            </w:r>
          </w:p>
        </w:tc>
        <w:tc>
          <w:tcPr>
            <w:tcW w:w="1701" w:type="dxa"/>
            <w:vAlign w:val="center"/>
          </w:tcPr>
          <w:p w14:paraId="33C6C659" w14:textId="77777777" w:rsidR="00A60FC6" w:rsidRPr="002A6DEA" w:rsidRDefault="00A60FC6" w:rsidP="00505F8B">
            <w:pPr>
              <w:spacing w:before="40" w:after="40"/>
              <w:jc w:val="center"/>
              <w:rPr>
                <w:rFonts w:ascii="Arial Narrow" w:hAnsi="Arial Narrow" w:cstheme="minorHAnsi"/>
                <w:b/>
                <w:i/>
                <w:sz w:val="20"/>
                <w:szCs w:val="20"/>
              </w:rPr>
            </w:pPr>
            <w:r w:rsidRPr="002A6DEA">
              <w:rPr>
                <w:rFonts w:ascii="Arial Narrow" w:hAnsi="Arial Narrow" w:cstheme="minorHAnsi"/>
                <w:b/>
                <w:i/>
                <w:sz w:val="20"/>
                <w:szCs w:val="20"/>
              </w:rPr>
              <w:t>492</w:t>
            </w:r>
          </w:p>
        </w:tc>
        <w:tc>
          <w:tcPr>
            <w:tcW w:w="1559" w:type="dxa"/>
          </w:tcPr>
          <w:p w14:paraId="6BB41EEB" w14:textId="77777777" w:rsidR="00A60FC6" w:rsidRPr="002A6DEA" w:rsidRDefault="00A60FC6" w:rsidP="00505F8B">
            <w:pPr>
              <w:spacing w:before="40" w:after="40"/>
              <w:jc w:val="center"/>
              <w:rPr>
                <w:rFonts w:ascii="Arial Narrow" w:hAnsi="Arial Narrow" w:cstheme="minorHAnsi"/>
                <w:b/>
                <w:i/>
                <w:sz w:val="20"/>
                <w:szCs w:val="20"/>
              </w:rPr>
            </w:pPr>
            <w:r w:rsidRPr="002A6DEA">
              <w:rPr>
                <w:rFonts w:ascii="Arial Narrow" w:hAnsi="Arial Narrow" w:cstheme="minorHAnsi"/>
                <w:b/>
                <w:i/>
                <w:sz w:val="20"/>
                <w:szCs w:val="20"/>
              </w:rPr>
              <w:t>568</w:t>
            </w:r>
          </w:p>
        </w:tc>
        <w:tc>
          <w:tcPr>
            <w:tcW w:w="1701" w:type="dxa"/>
          </w:tcPr>
          <w:p w14:paraId="78130E5C" w14:textId="77777777" w:rsidR="00A60FC6" w:rsidRPr="002A6DEA" w:rsidRDefault="00A60FC6" w:rsidP="00505F8B">
            <w:pPr>
              <w:spacing w:before="40" w:after="40"/>
              <w:jc w:val="center"/>
              <w:rPr>
                <w:rFonts w:ascii="Arial Narrow" w:hAnsi="Arial Narrow" w:cstheme="minorHAnsi"/>
                <w:b/>
                <w:i/>
                <w:sz w:val="20"/>
                <w:szCs w:val="20"/>
              </w:rPr>
            </w:pPr>
            <w:r w:rsidRPr="002A6DEA">
              <w:rPr>
                <w:rFonts w:ascii="Arial Narrow" w:hAnsi="Arial Narrow" w:cstheme="minorHAnsi"/>
                <w:b/>
                <w:i/>
                <w:sz w:val="20"/>
                <w:szCs w:val="20"/>
              </w:rPr>
              <w:t>832</w:t>
            </w:r>
          </w:p>
        </w:tc>
      </w:tr>
      <w:tr w:rsidR="00A60FC6" w:rsidRPr="002A6DEA" w14:paraId="5C43D39D" w14:textId="77777777" w:rsidTr="00DD6784">
        <w:tc>
          <w:tcPr>
            <w:tcW w:w="3686" w:type="dxa"/>
            <w:vAlign w:val="center"/>
          </w:tcPr>
          <w:p w14:paraId="37835490" w14:textId="77777777" w:rsidR="00A60FC6" w:rsidRPr="002A6DEA" w:rsidRDefault="00A60FC6" w:rsidP="00505F8B">
            <w:pPr>
              <w:spacing w:before="40" w:after="40"/>
              <w:ind w:left="317" w:hanging="142"/>
              <w:rPr>
                <w:rFonts w:ascii="Arial Narrow" w:hAnsi="Arial Narrow"/>
                <w:i/>
                <w:sz w:val="20"/>
                <w:szCs w:val="20"/>
              </w:rPr>
            </w:pPr>
            <w:r w:rsidRPr="002A6DEA">
              <w:rPr>
                <w:rFonts w:ascii="Arial Narrow" w:hAnsi="Arial Narrow"/>
                <w:i/>
                <w:sz w:val="20"/>
                <w:szCs w:val="20"/>
              </w:rPr>
              <w:t>urban</w:t>
            </w:r>
          </w:p>
        </w:tc>
        <w:tc>
          <w:tcPr>
            <w:tcW w:w="1701" w:type="dxa"/>
            <w:vAlign w:val="center"/>
          </w:tcPr>
          <w:p w14:paraId="444FEE2E" w14:textId="77777777" w:rsidR="00A60FC6" w:rsidRPr="002A6DEA" w:rsidRDefault="00A60FC6" w:rsidP="00505F8B">
            <w:pPr>
              <w:spacing w:before="40" w:after="40"/>
              <w:jc w:val="center"/>
              <w:rPr>
                <w:rFonts w:ascii="Arial Narrow" w:hAnsi="Arial Narrow"/>
                <w:i/>
                <w:sz w:val="20"/>
                <w:szCs w:val="20"/>
              </w:rPr>
            </w:pPr>
            <w:r w:rsidRPr="002A6DEA">
              <w:rPr>
                <w:rFonts w:ascii="Arial Narrow" w:hAnsi="Arial Narrow"/>
                <w:i/>
                <w:sz w:val="20"/>
                <w:szCs w:val="20"/>
              </w:rPr>
              <w:t>477</w:t>
            </w:r>
          </w:p>
        </w:tc>
        <w:tc>
          <w:tcPr>
            <w:tcW w:w="1559" w:type="dxa"/>
          </w:tcPr>
          <w:p w14:paraId="49713AB2" w14:textId="77777777" w:rsidR="00A60FC6" w:rsidRPr="002A6DEA" w:rsidRDefault="00A60FC6" w:rsidP="00505F8B">
            <w:pPr>
              <w:spacing w:before="40" w:after="40"/>
              <w:jc w:val="center"/>
              <w:rPr>
                <w:rFonts w:ascii="Arial Narrow" w:hAnsi="Arial Narrow"/>
                <w:i/>
                <w:sz w:val="20"/>
                <w:szCs w:val="20"/>
              </w:rPr>
            </w:pPr>
            <w:r w:rsidRPr="002A6DEA">
              <w:rPr>
                <w:rFonts w:ascii="Arial Narrow" w:hAnsi="Arial Narrow" w:cstheme="minorHAnsi"/>
                <w:i/>
                <w:sz w:val="20"/>
                <w:szCs w:val="20"/>
              </w:rPr>
              <w:t>553</w:t>
            </w:r>
          </w:p>
        </w:tc>
        <w:tc>
          <w:tcPr>
            <w:tcW w:w="1701" w:type="dxa"/>
          </w:tcPr>
          <w:p w14:paraId="17E58C4B" w14:textId="77777777" w:rsidR="00A60FC6" w:rsidRPr="002A6DEA" w:rsidRDefault="00A60FC6" w:rsidP="00505F8B">
            <w:pPr>
              <w:spacing w:before="40" w:after="40"/>
              <w:jc w:val="center"/>
              <w:rPr>
                <w:rFonts w:ascii="Arial Narrow" w:hAnsi="Arial Narrow"/>
                <w:i/>
                <w:sz w:val="20"/>
                <w:szCs w:val="20"/>
              </w:rPr>
            </w:pPr>
            <w:r w:rsidRPr="002A6DEA">
              <w:rPr>
                <w:rFonts w:ascii="Arial Narrow" w:hAnsi="Arial Narrow"/>
                <w:i/>
                <w:sz w:val="20"/>
                <w:szCs w:val="20"/>
              </w:rPr>
              <w:t>817</w:t>
            </w:r>
          </w:p>
        </w:tc>
      </w:tr>
      <w:tr w:rsidR="00A60FC6" w:rsidRPr="002A6DEA" w14:paraId="35F663AB" w14:textId="77777777" w:rsidTr="00DD6784">
        <w:tc>
          <w:tcPr>
            <w:tcW w:w="3686" w:type="dxa"/>
            <w:vAlign w:val="center"/>
          </w:tcPr>
          <w:p w14:paraId="311A1AFB" w14:textId="77777777" w:rsidR="00A60FC6" w:rsidRPr="002A6DEA" w:rsidRDefault="00A60FC6" w:rsidP="00505F8B">
            <w:pPr>
              <w:spacing w:before="40" w:after="40"/>
              <w:ind w:left="317" w:hanging="142"/>
              <w:rPr>
                <w:rFonts w:ascii="Arial Narrow" w:hAnsi="Arial Narrow"/>
                <w:i/>
                <w:sz w:val="20"/>
                <w:szCs w:val="20"/>
              </w:rPr>
            </w:pPr>
            <w:r w:rsidRPr="002A6DEA">
              <w:rPr>
                <w:rFonts w:ascii="Arial Narrow" w:hAnsi="Arial Narrow"/>
                <w:i/>
                <w:sz w:val="20"/>
                <w:szCs w:val="20"/>
              </w:rPr>
              <w:t>rural</w:t>
            </w:r>
          </w:p>
        </w:tc>
        <w:tc>
          <w:tcPr>
            <w:tcW w:w="1701" w:type="dxa"/>
            <w:vAlign w:val="center"/>
          </w:tcPr>
          <w:p w14:paraId="5189ED11" w14:textId="77777777" w:rsidR="00A60FC6" w:rsidRPr="002A6DEA" w:rsidRDefault="00A60FC6" w:rsidP="00505F8B">
            <w:pPr>
              <w:spacing w:before="40" w:after="40"/>
              <w:jc w:val="center"/>
              <w:rPr>
                <w:rFonts w:ascii="Arial Narrow" w:hAnsi="Arial Narrow"/>
                <w:i/>
                <w:sz w:val="20"/>
                <w:szCs w:val="20"/>
              </w:rPr>
            </w:pPr>
            <w:r w:rsidRPr="002A6DEA">
              <w:rPr>
                <w:rFonts w:ascii="Arial Narrow" w:hAnsi="Arial Narrow"/>
                <w:i/>
                <w:sz w:val="20"/>
                <w:szCs w:val="20"/>
              </w:rPr>
              <w:t>498</w:t>
            </w:r>
          </w:p>
        </w:tc>
        <w:tc>
          <w:tcPr>
            <w:tcW w:w="1559" w:type="dxa"/>
          </w:tcPr>
          <w:p w14:paraId="335895DE" w14:textId="77777777" w:rsidR="00A60FC6" w:rsidRPr="002A6DEA" w:rsidRDefault="00A60FC6" w:rsidP="00505F8B">
            <w:pPr>
              <w:spacing w:before="40" w:after="40"/>
              <w:jc w:val="center"/>
              <w:rPr>
                <w:rFonts w:ascii="Arial Narrow" w:hAnsi="Arial Narrow"/>
                <w:i/>
                <w:sz w:val="20"/>
                <w:szCs w:val="20"/>
              </w:rPr>
            </w:pPr>
            <w:r w:rsidRPr="002A6DEA">
              <w:rPr>
                <w:rFonts w:ascii="Arial Narrow" w:hAnsi="Arial Narrow"/>
                <w:i/>
                <w:sz w:val="20"/>
                <w:szCs w:val="20"/>
              </w:rPr>
              <w:t>573</w:t>
            </w:r>
          </w:p>
        </w:tc>
        <w:tc>
          <w:tcPr>
            <w:tcW w:w="1701" w:type="dxa"/>
          </w:tcPr>
          <w:p w14:paraId="687A46AE" w14:textId="77777777" w:rsidR="00A60FC6" w:rsidRPr="002A6DEA" w:rsidRDefault="00A60FC6" w:rsidP="00505F8B">
            <w:pPr>
              <w:spacing w:before="40" w:after="40"/>
              <w:jc w:val="center"/>
              <w:rPr>
                <w:rFonts w:ascii="Arial Narrow" w:hAnsi="Arial Narrow"/>
                <w:i/>
                <w:sz w:val="20"/>
                <w:szCs w:val="20"/>
              </w:rPr>
            </w:pPr>
            <w:r w:rsidRPr="002A6DEA">
              <w:rPr>
                <w:rFonts w:ascii="Arial Narrow" w:hAnsi="Arial Narrow"/>
                <w:i/>
                <w:sz w:val="20"/>
                <w:szCs w:val="20"/>
              </w:rPr>
              <w:t>837</w:t>
            </w:r>
          </w:p>
        </w:tc>
      </w:tr>
      <w:tr w:rsidR="00A60FC6" w:rsidRPr="002A6DEA" w14:paraId="7311DA6D" w14:textId="77777777" w:rsidTr="00DD6784">
        <w:tc>
          <w:tcPr>
            <w:tcW w:w="3686" w:type="dxa"/>
            <w:vAlign w:val="center"/>
          </w:tcPr>
          <w:p w14:paraId="485A6486" w14:textId="77777777" w:rsidR="00A60FC6" w:rsidRPr="002A6DEA" w:rsidRDefault="00A60FC6" w:rsidP="00505F8B">
            <w:pPr>
              <w:spacing w:before="40" w:after="40"/>
              <w:ind w:left="317" w:hanging="142"/>
              <w:rPr>
                <w:rFonts w:ascii="Arial Narrow" w:hAnsi="Arial Narrow"/>
                <w:i/>
                <w:sz w:val="20"/>
                <w:szCs w:val="20"/>
              </w:rPr>
            </w:pPr>
            <w:r w:rsidRPr="002A6DEA">
              <w:rPr>
                <w:rFonts w:ascii="Arial Narrow" w:hAnsi="Arial Narrow"/>
                <w:i/>
                <w:sz w:val="20"/>
                <w:szCs w:val="20"/>
              </w:rPr>
              <w:t>remote</w:t>
            </w:r>
          </w:p>
        </w:tc>
        <w:tc>
          <w:tcPr>
            <w:tcW w:w="1701" w:type="dxa"/>
            <w:vAlign w:val="center"/>
          </w:tcPr>
          <w:p w14:paraId="4ECF3482" w14:textId="77777777" w:rsidR="00A60FC6" w:rsidRPr="002A6DEA" w:rsidRDefault="00A60FC6" w:rsidP="00505F8B">
            <w:pPr>
              <w:spacing w:before="40" w:after="40"/>
              <w:jc w:val="center"/>
              <w:rPr>
                <w:rFonts w:ascii="Arial Narrow" w:hAnsi="Arial Narrow"/>
                <w:i/>
                <w:sz w:val="20"/>
                <w:szCs w:val="20"/>
              </w:rPr>
            </w:pPr>
            <w:r w:rsidRPr="002A6DEA">
              <w:rPr>
                <w:rFonts w:ascii="Arial Narrow" w:hAnsi="Arial Narrow"/>
                <w:i/>
                <w:sz w:val="20"/>
                <w:szCs w:val="20"/>
              </w:rPr>
              <w:t>501</w:t>
            </w:r>
          </w:p>
        </w:tc>
        <w:tc>
          <w:tcPr>
            <w:tcW w:w="1559" w:type="dxa"/>
          </w:tcPr>
          <w:p w14:paraId="7E1E322B" w14:textId="77777777" w:rsidR="00A60FC6" w:rsidRPr="002A6DEA" w:rsidRDefault="00A60FC6" w:rsidP="00505F8B">
            <w:pPr>
              <w:spacing w:before="40" w:after="40"/>
              <w:jc w:val="center"/>
              <w:rPr>
                <w:rFonts w:ascii="Arial Narrow" w:hAnsi="Arial Narrow"/>
                <w:i/>
                <w:sz w:val="20"/>
                <w:szCs w:val="20"/>
              </w:rPr>
            </w:pPr>
            <w:r w:rsidRPr="002A6DEA">
              <w:rPr>
                <w:rFonts w:ascii="Arial Narrow" w:hAnsi="Arial Narrow" w:cstheme="minorHAnsi"/>
                <w:i/>
                <w:sz w:val="20"/>
                <w:szCs w:val="20"/>
              </w:rPr>
              <w:t>577</w:t>
            </w:r>
          </w:p>
        </w:tc>
        <w:tc>
          <w:tcPr>
            <w:tcW w:w="1701" w:type="dxa"/>
          </w:tcPr>
          <w:p w14:paraId="67779EBE" w14:textId="77777777" w:rsidR="00A60FC6" w:rsidRPr="002A6DEA" w:rsidRDefault="00A60FC6" w:rsidP="00505F8B">
            <w:pPr>
              <w:spacing w:before="40" w:after="40"/>
              <w:jc w:val="center"/>
              <w:rPr>
                <w:rFonts w:ascii="Arial Narrow" w:hAnsi="Arial Narrow"/>
                <w:i/>
                <w:sz w:val="20"/>
                <w:szCs w:val="20"/>
              </w:rPr>
            </w:pPr>
            <w:r w:rsidRPr="002A6DEA">
              <w:rPr>
                <w:rFonts w:ascii="Arial Narrow" w:hAnsi="Arial Narrow"/>
                <w:i/>
                <w:sz w:val="20"/>
                <w:szCs w:val="20"/>
              </w:rPr>
              <w:t>841</w:t>
            </w:r>
          </w:p>
        </w:tc>
      </w:tr>
    </w:tbl>
    <w:p w14:paraId="7CF56BBA" w14:textId="5389A8FF" w:rsidR="006857FF" w:rsidRPr="002A6DEA" w:rsidRDefault="006857FF" w:rsidP="00F822DB">
      <w:pPr>
        <w:pStyle w:val="FootnoteText"/>
        <w:spacing w:before="0"/>
        <w:rPr>
          <w:rFonts w:ascii="Arial Narrow" w:hAnsi="Arial Narrow"/>
          <w:iCs/>
          <w:szCs w:val="18"/>
          <w:lang w:eastAsia="ja-JP" w:bidi="en-US"/>
        </w:rPr>
      </w:pPr>
      <w:r w:rsidRPr="002A6DEA">
        <w:rPr>
          <w:rFonts w:ascii="Arial Narrow" w:hAnsi="Arial Narrow"/>
          <w:iCs/>
          <w:szCs w:val="18"/>
          <w:lang w:eastAsia="ja-JP" w:bidi="en-US"/>
        </w:rPr>
        <w:t>Source: Adapted from Table 24, p54 of the ADAR with commentary revisions in italics</w:t>
      </w:r>
    </w:p>
    <w:p w14:paraId="6B1EBF97" w14:textId="466A741E" w:rsidR="00F822DB" w:rsidRPr="002A6DEA" w:rsidRDefault="00F822DB" w:rsidP="00F822DB">
      <w:pPr>
        <w:pStyle w:val="FootnoteText"/>
        <w:spacing w:before="0"/>
        <w:rPr>
          <w:rFonts w:ascii="Arial Narrow" w:hAnsi="Arial Narrow"/>
          <w:iCs/>
          <w:szCs w:val="18"/>
          <w:lang w:eastAsia="ja-JP" w:bidi="en-US"/>
        </w:rPr>
      </w:pPr>
      <w:r w:rsidRPr="002A6DEA">
        <w:rPr>
          <w:rFonts w:ascii="Arial Narrow" w:hAnsi="Arial Narrow"/>
          <w:iCs/>
          <w:szCs w:val="18"/>
          <w:lang w:eastAsia="ja-JP" w:bidi="en-US"/>
        </w:rPr>
        <w:t>* Annuity factor = (1/r) – (1/r(1+r)t)) and assuming no salvage value at the end of the time horizon</w:t>
      </w:r>
    </w:p>
    <w:p w14:paraId="15A8FF7D" w14:textId="77777777" w:rsidR="00F822DB" w:rsidRPr="002A6DEA" w:rsidRDefault="00F822DB" w:rsidP="00F822DB">
      <w:pPr>
        <w:pStyle w:val="FootnoteText"/>
        <w:spacing w:before="0"/>
        <w:rPr>
          <w:rFonts w:ascii="Arial Narrow" w:hAnsi="Arial Narrow"/>
          <w:iCs/>
          <w:szCs w:val="18"/>
          <w:lang w:eastAsia="ja-JP" w:bidi="en-US"/>
        </w:rPr>
      </w:pPr>
      <w:r w:rsidRPr="002A6DEA">
        <w:rPr>
          <w:rFonts w:ascii="Arial Narrow" w:hAnsi="Arial Narrow"/>
          <w:iCs/>
          <w:szCs w:val="18"/>
          <w:lang w:eastAsia="ja-JP" w:bidi="en-US"/>
        </w:rPr>
        <w:t xml:space="preserve">1 The rate of follow-up from IMeRSe has been assumed, that is 77/255 (30.2%) participants had a follow-up; 50.6% of those that did had one follow-up and 49.4% had two or more follow-ups. </w:t>
      </w:r>
    </w:p>
    <w:p w14:paraId="0F5E2D2A" w14:textId="77777777" w:rsidR="00F822DB" w:rsidRPr="002A6DEA" w:rsidRDefault="00F822DB" w:rsidP="00F822DB">
      <w:pPr>
        <w:pStyle w:val="FootnoteText"/>
        <w:spacing w:before="0"/>
        <w:rPr>
          <w:rFonts w:ascii="Arial Narrow" w:hAnsi="Arial Narrow"/>
          <w:iCs/>
          <w:szCs w:val="18"/>
          <w:lang w:eastAsia="ja-JP" w:bidi="en-US"/>
        </w:rPr>
      </w:pPr>
      <w:r w:rsidRPr="002A6DEA">
        <w:rPr>
          <w:rFonts w:ascii="Arial Narrow" w:hAnsi="Arial Narrow"/>
          <w:iCs/>
          <w:szCs w:val="18"/>
          <w:lang w:eastAsia="ja-JP" w:bidi="en-US"/>
        </w:rPr>
        <w:t xml:space="preserve">2 The travel cost per participant from IMeRSe was used (i.e. $1,482/291 participants) and applied to the MSAC funding scenario. </w:t>
      </w:r>
    </w:p>
    <w:p w14:paraId="2AF75410" w14:textId="77777777" w:rsidR="00F822DB" w:rsidRPr="002A6DEA" w:rsidRDefault="00F822DB" w:rsidP="00F822DB">
      <w:pPr>
        <w:pStyle w:val="FootnoteText"/>
        <w:spacing w:before="0"/>
        <w:rPr>
          <w:rFonts w:ascii="Arial Narrow" w:hAnsi="Arial Narrow"/>
          <w:iCs/>
          <w:szCs w:val="18"/>
          <w:lang w:eastAsia="ja-JP" w:bidi="en-US"/>
        </w:rPr>
      </w:pPr>
      <w:r w:rsidRPr="002A6DEA">
        <w:rPr>
          <w:rFonts w:ascii="Arial Narrow" w:hAnsi="Arial Narrow"/>
          <w:iCs/>
          <w:szCs w:val="18"/>
          <w:lang w:eastAsia="ja-JP" w:bidi="en-US"/>
        </w:rPr>
        <w:t>3 Assumes an MBS Item 36 Level C consultation fee ($75.05).</w:t>
      </w:r>
    </w:p>
    <w:p w14:paraId="6D60BF4E" w14:textId="26EC4374" w:rsidR="00F822DB" w:rsidRPr="002A5B11" w:rsidRDefault="00F822DB" w:rsidP="005B6EDF">
      <w:pPr>
        <w:pStyle w:val="FootnoteText"/>
        <w:tabs>
          <w:tab w:val="left" w:pos="426"/>
        </w:tabs>
        <w:spacing w:before="0"/>
        <w:ind w:left="426" w:hanging="426"/>
        <w:rPr>
          <w:rFonts w:ascii="Arial Narrow" w:hAnsi="Arial Narrow"/>
          <w:iCs/>
          <w:szCs w:val="18"/>
          <w:lang w:eastAsia="ja-JP" w:bidi="en-US"/>
        </w:rPr>
      </w:pPr>
      <w:r w:rsidRPr="002A6DEA">
        <w:rPr>
          <w:rFonts w:ascii="Arial Narrow" w:hAnsi="Arial Narrow"/>
          <w:iCs/>
          <w:szCs w:val="18"/>
          <w:lang w:eastAsia="ja-JP" w:bidi="en-US"/>
        </w:rPr>
        <w:t xml:space="preserve">** </w:t>
      </w:r>
      <w:r w:rsidR="00302988" w:rsidRPr="002A6DEA">
        <w:rPr>
          <w:rFonts w:ascii="Arial Narrow" w:hAnsi="Arial Narrow"/>
          <w:iCs/>
          <w:szCs w:val="18"/>
          <w:lang w:eastAsia="ja-JP" w:bidi="en-US"/>
        </w:rPr>
        <w:tab/>
      </w:r>
      <w:r w:rsidRPr="002A6DEA">
        <w:rPr>
          <w:rFonts w:ascii="Arial Narrow" w:hAnsi="Arial Narrow"/>
          <w:iCs/>
          <w:szCs w:val="18"/>
          <w:lang w:eastAsia="ja-JP" w:bidi="en-US"/>
        </w:rPr>
        <w:t>corrected for ITT sample, which applied consistently as a denominator; capital service</w:t>
      </w:r>
      <w:r w:rsidRPr="002A5B11">
        <w:rPr>
          <w:rFonts w:ascii="Arial Narrow" w:hAnsi="Arial Narrow"/>
          <w:iCs/>
          <w:szCs w:val="18"/>
          <w:lang w:eastAsia="ja-JP" w:bidi="en-US"/>
        </w:rPr>
        <w:t xml:space="preserve"> time assumed at 5 rather than 7 years, in-trial unit costs used</w:t>
      </w:r>
    </w:p>
    <w:p w14:paraId="3397F6D7" w14:textId="5F8C5AFB" w:rsidR="00F822DB" w:rsidRPr="002A5B11" w:rsidRDefault="00F822DB" w:rsidP="005B6EDF">
      <w:pPr>
        <w:pStyle w:val="FootnoteText"/>
        <w:tabs>
          <w:tab w:val="left" w:pos="426"/>
        </w:tabs>
        <w:spacing w:before="0"/>
        <w:ind w:left="426" w:hanging="426"/>
        <w:rPr>
          <w:rFonts w:ascii="Arial Narrow" w:hAnsi="Arial Narrow"/>
          <w:iCs/>
          <w:szCs w:val="18"/>
          <w:lang w:eastAsia="ja-JP" w:bidi="en-US"/>
        </w:rPr>
      </w:pPr>
      <w:r w:rsidRPr="002A5B11">
        <w:rPr>
          <w:rFonts w:ascii="Arial Narrow" w:hAnsi="Arial Narrow"/>
          <w:iCs/>
          <w:szCs w:val="18"/>
          <w:lang w:eastAsia="ja-JP" w:bidi="en-US"/>
        </w:rPr>
        <w:t xml:space="preserve">*** </w:t>
      </w:r>
      <w:r w:rsidR="00302988" w:rsidRPr="002A5B11">
        <w:rPr>
          <w:rFonts w:ascii="Arial Narrow" w:hAnsi="Arial Narrow"/>
          <w:iCs/>
          <w:szCs w:val="18"/>
          <w:lang w:eastAsia="ja-JP" w:bidi="en-US"/>
        </w:rPr>
        <w:tab/>
      </w:r>
      <w:r w:rsidRPr="002A5B11">
        <w:rPr>
          <w:rFonts w:ascii="Arial Narrow" w:hAnsi="Arial Narrow"/>
          <w:iCs/>
          <w:szCs w:val="18"/>
          <w:lang w:eastAsia="ja-JP" w:bidi="en-US"/>
        </w:rPr>
        <w:t>corrected for ITT sample, capital service time assumed at 5 rather than 7 years, MBS/6PCA unit costs were used</w:t>
      </w:r>
    </w:p>
    <w:p w14:paraId="48FF68B5" w14:textId="6178486A" w:rsidR="00453332" w:rsidRPr="002A6DEA" w:rsidRDefault="00302988" w:rsidP="007C620E">
      <w:pPr>
        <w:spacing w:before="240" w:after="120" w:line="276" w:lineRule="auto"/>
        <w:rPr>
          <w:iCs/>
        </w:rPr>
      </w:pPr>
      <w:r w:rsidRPr="002A6DEA">
        <w:fldChar w:fldCharType="begin"/>
      </w:r>
      <w:r w:rsidRPr="002A6DEA">
        <w:instrText xml:space="preserve"> REF _Ref69726284 \h </w:instrText>
      </w:r>
      <w:r w:rsidR="006857FF" w:rsidRPr="002A6DEA">
        <w:instrText xml:space="preserve"> \* MERGEFORMAT </w:instrText>
      </w:r>
      <w:r w:rsidRPr="002A6DEA">
        <w:fldChar w:fldCharType="separate"/>
      </w:r>
      <w:r w:rsidR="00A45EE3" w:rsidRPr="002A6DEA">
        <w:t>Table 8</w:t>
      </w:r>
      <w:r w:rsidRPr="002A6DEA">
        <w:fldChar w:fldCharType="end"/>
      </w:r>
      <w:r w:rsidR="006857FF" w:rsidRPr="002A6DEA">
        <w:t xml:space="preserve"> </w:t>
      </w:r>
      <w:r w:rsidR="00453332" w:rsidRPr="002A6DEA">
        <w:t xml:space="preserve">shows results of the economic evaluation presented in the </w:t>
      </w:r>
      <w:r w:rsidR="00562999" w:rsidRPr="002A6DEA">
        <w:t xml:space="preserve">ADAR </w:t>
      </w:r>
      <w:r w:rsidR="002A5B11" w:rsidRPr="002A6DEA">
        <w:rPr>
          <w:iCs/>
        </w:rPr>
        <w:t xml:space="preserve">along with the commentary’s revised CEA </w:t>
      </w:r>
      <w:r w:rsidR="00453332" w:rsidRPr="002A6DEA">
        <w:rPr>
          <w:iCs/>
        </w:rPr>
        <w:t>result</w:t>
      </w:r>
      <w:r w:rsidR="00453332" w:rsidRPr="002A6DEA">
        <w:t>. The estimate</w:t>
      </w:r>
      <w:r w:rsidR="002A5B11" w:rsidRPr="002A6DEA">
        <w:t>d</w:t>
      </w:r>
      <w:r w:rsidR="00453332" w:rsidRPr="002A6DEA">
        <w:t xml:space="preserve"> decrease in serious MRPs</w:t>
      </w:r>
      <w:r w:rsidR="002A5B11" w:rsidRPr="002A6DEA">
        <w:t xml:space="preserve"> (primary outcome)</w:t>
      </w:r>
      <w:r w:rsidR="00453332" w:rsidRPr="002A6DEA">
        <w:t xml:space="preserve"> from 1,267 to 1,184 post-intervention observed in 207/255 (81.2%) participants was translated into a 7% reduction in the modelled rate of serious MRPs per person per year (risk reduction from 4.11 to 3.85) and remained unchanged. The costs were as in </w:t>
      </w:r>
      <w:r w:rsidR="00E50738" w:rsidRPr="002A6DEA">
        <w:t xml:space="preserve"> </w:t>
      </w:r>
      <w:r w:rsidRPr="002A6DEA">
        <w:fldChar w:fldCharType="begin"/>
      </w:r>
      <w:r w:rsidRPr="002A6DEA">
        <w:instrText xml:space="preserve"> REF _Ref88809135 \h </w:instrText>
      </w:r>
      <w:r w:rsidR="002A6DEA">
        <w:instrText xml:space="preserve"> \* MERGEFORMAT </w:instrText>
      </w:r>
      <w:r w:rsidRPr="002A6DEA">
        <w:fldChar w:fldCharType="separate"/>
      </w:r>
      <w:r w:rsidR="00A45EE3" w:rsidRPr="002A6DEA">
        <w:t>Table </w:t>
      </w:r>
      <w:r w:rsidR="00A45EE3" w:rsidRPr="002A6DEA">
        <w:rPr>
          <w:noProof/>
        </w:rPr>
        <w:t>7</w:t>
      </w:r>
      <w:r w:rsidRPr="002A6DEA">
        <w:fldChar w:fldCharType="end"/>
      </w:r>
      <w:r w:rsidR="002A5B11" w:rsidRPr="002A6DEA">
        <w:t xml:space="preserve"> </w:t>
      </w:r>
      <w:r w:rsidR="00453332" w:rsidRPr="002A6DEA">
        <w:t xml:space="preserve">for the </w:t>
      </w:r>
      <w:r w:rsidR="00562999" w:rsidRPr="002A6DEA">
        <w:t>ADAR</w:t>
      </w:r>
      <w:r w:rsidR="00453332" w:rsidRPr="002A6DEA">
        <w:t xml:space="preserve"> and </w:t>
      </w:r>
      <w:r w:rsidR="002A5B11" w:rsidRPr="002A6DEA">
        <w:t>revised</w:t>
      </w:r>
      <w:r w:rsidR="00453332" w:rsidRPr="002A6DEA">
        <w:t xml:space="preserve"> cost-effectiveness analyses respectively.</w:t>
      </w:r>
      <w:r w:rsidR="002006F3" w:rsidRPr="002A6DEA">
        <w:t xml:space="preserve"> </w:t>
      </w:r>
      <w:r w:rsidR="00E27998" w:rsidRPr="002A6DEA">
        <w:rPr>
          <w:iCs/>
        </w:rPr>
        <w:t>F</w:t>
      </w:r>
      <w:r w:rsidR="002006F3" w:rsidRPr="002A6DEA">
        <w:rPr>
          <w:iCs/>
        </w:rPr>
        <w:t>or completeness</w:t>
      </w:r>
      <w:r w:rsidR="009F7B7E" w:rsidRPr="002A6DEA">
        <w:rPr>
          <w:iCs/>
        </w:rPr>
        <w:t>,</w:t>
      </w:r>
      <w:r w:rsidR="002006F3" w:rsidRPr="002A6DEA">
        <w:rPr>
          <w:iCs/>
        </w:rPr>
        <w:t xml:space="preserve"> the CEA conducted during the commentary is replicated using the </w:t>
      </w:r>
      <w:r w:rsidRPr="002A6DEA">
        <w:rPr>
          <w:iCs/>
        </w:rPr>
        <w:t>requested</w:t>
      </w:r>
      <w:r w:rsidR="002006F3" w:rsidRPr="002A6DEA">
        <w:rPr>
          <w:iCs/>
        </w:rPr>
        <w:t xml:space="preserve"> unit costs rather than the unit costs used in </w:t>
      </w:r>
      <w:r w:rsidRPr="002A6DEA">
        <w:rPr>
          <w:iCs/>
        </w:rPr>
        <w:t xml:space="preserve">the </w:t>
      </w:r>
      <w:r w:rsidR="00820A54" w:rsidRPr="002A6DEA">
        <w:rPr>
          <w:iCs/>
        </w:rPr>
        <w:t xml:space="preserve">IMeRSe </w:t>
      </w:r>
      <w:r w:rsidRPr="002A6DEA">
        <w:rPr>
          <w:iCs/>
        </w:rPr>
        <w:t>F</w:t>
      </w:r>
      <w:r w:rsidR="002006F3" w:rsidRPr="002A6DEA">
        <w:rPr>
          <w:iCs/>
        </w:rPr>
        <w:t xml:space="preserve">easibility </w:t>
      </w:r>
      <w:r w:rsidRPr="002A6DEA">
        <w:rPr>
          <w:iCs/>
        </w:rPr>
        <w:t>S</w:t>
      </w:r>
      <w:r w:rsidR="002006F3" w:rsidRPr="002A6DEA">
        <w:rPr>
          <w:iCs/>
        </w:rPr>
        <w:t>tudy.</w:t>
      </w:r>
    </w:p>
    <w:p w14:paraId="3501064F" w14:textId="714D91A9" w:rsidR="00453332" w:rsidRPr="002A6DEA" w:rsidRDefault="00562999" w:rsidP="00820A54">
      <w:pPr>
        <w:pStyle w:val="Caption"/>
        <w:rPr>
          <w:color w:val="00B050"/>
        </w:rPr>
      </w:pPr>
      <w:bookmarkStart w:id="34" w:name="_Ref69726284"/>
      <w:bookmarkStart w:id="35" w:name="_Ref88809333"/>
      <w:bookmarkEnd w:id="31"/>
      <w:r w:rsidRPr="002A6DEA">
        <w:t xml:space="preserve">Table </w:t>
      </w:r>
      <w:r w:rsidR="00791FAA">
        <w:fldChar w:fldCharType="begin"/>
      </w:r>
      <w:r w:rsidR="00791FAA">
        <w:instrText xml:space="preserve"> SEQ Table \* ARABIC </w:instrText>
      </w:r>
      <w:r w:rsidR="00791FAA">
        <w:fldChar w:fldCharType="separate"/>
      </w:r>
      <w:r w:rsidR="00A45EE3" w:rsidRPr="002A6DEA">
        <w:rPr>
          <w:noProof/>
        </w:rPr>
        <w:t>8</w:t>
      </w:r>
      <w:r w:rsidR="00791FAA">
        <w:rPr>
          <w:noProof/>
        </w:rPr>
        <w:fldChar w:fldCharType="end"/>
      </w:r>
      <w:bookmarkEnd w:id="34"/>
      <w:bookmarkEnd w:id="35"/>
      <w:r w:rsidRPr="002A6DEA">
        <w:tab/>
      </w:r>
      <w:r w:rsidR="00E50738" w:rsidRPr="002A6DEA">
        <w:t xml:space="preserve"> </w:t>
      </w:r>
      <w:bookmarkStart w:id="36" w:name="_Hlk57366428"/>
      <w:r w:rsidR="00E50738" w:rsidRPr="002A6DEA">
        <w:t>Cost Effectiveness Analysis for One Serious Medication-Related Problem Avoided (</w:t>
      </w:r>
      <w:r w:rsidR="00B520FC" w:rsidRPr="002A6DEA">
        <w:t xml:space="preserve">with commentary revised estimates in italics) </w:t>
      </w:r>
      <w:bookmarkStart w:id="37" w:name="_Hlk68276600"/>
      <w:bookmarkEnd w:id="36"/>
    </w:p>
    <w:tbl>
      <w:tblPr>
        <w:tblStyle w:val="TableGrid"/>
        <w:tblW w:w="0" w:type="auto"/>
        <w:tblLayout w:type="fixed"/>
        <w:tblCellMar>
          <w:left w:w="28" w:type="dxa"/>
          <w:right w:w="28" w:type="dxa"/>
        </w:tblCellMar>
        <w:tblLook w:val="04A0" w:firstRow="1" w:lastRow="0" w:firstColumn="1" w:lastColumn="0" w:noHBand="0" w:noVBand="1"/>
      </w:tblPr>
      <w:tblGrid>
        <w:gridCol w:w="1271"/>
        <w:gridCol w:w="851"/>
        <w:gridCol w:w="1134"/>
        <w:gridCol w:w="1275"/>
        <w:gridCol w:w="709"/>
        <w:gridCol w:w="851"/>
        <w:gridCol w:w="992"/>
        <w:gridCol w:w="1843"/>
      </w:tblGrid>
      <w:tr w:rsidR="00656D1C" w:rsidRPr="002A6DEA" w14:paraId="7CC43C6F" w14:textId="77777777" w:rsidTr="005B6EDF">
        <w:tc>
          <w:tcPr>
            <w:tcW w:w="1271" w:type="dxa"/>
            <w:tcBorders>
              <w:bottom w:val="single" w:sz="4" w:space="0" w:color="auto"/>
            </w:tcBorders>
            <w:vAlign w:val="center"/>
          </w:tcPr>
          <w:bookmarkEnd w:id="37"/>
          <w:p w14:paraId="2AF56541" w14:textId="77777777" w:rsidR="00656D1C" w:rsidRPr="002A6DEA" w:rsidRDefault="00656D1C" w:rsidP="00505F8B">
            <w:pPr>
              <w:widowControl w:val="0"/>
              <w:tabs>
                <w:tab w:val="left" w:pos="851"/>
              </w:tabs>
              <w:spacing w:before="40" w:after="40"/>
              <w:rPr>
                <w:rFonts w:ascii="Arial Narrow" w:hAnsi="Arial Narrow"/>
                <w:b/>
                <w:bCs/>
                <w:sz w:val="20"/>
                <w:szCs w:val="20"/>
              </w:rPr>
            </w:pPr>
            <w:r w:rsidRPr="002A6DEA">
              <w:rPr>
                <w:rFonts w:ascii="Arial Narrow" w:hAnsi="Arial Narrow"/>
                <w:b/>
                <w:bCs/>
                <w:sz w:val="20"/>
                <w:szCs w:val="20"/>
              </w:rPr>
              <w:t>Scenario</w:t>
            </w:r>
          </w:p>
        </w:tc>
        <w:tc>
          <w:tcPr>
            <w:tcW w:w="851" w:type="dxa"/>
            <w:tcBorders>
              <w:bottom w:val="single" w:sz="4" w:space="0" w:color="auto"/>
            </w:tcBorders>
            <w:shd w:val="clear" w:color="auto" w:fill="auto"/>
            <w:vAlign w:val="center"/>
          </w:tcPr>
          <w:p w14:paraId="233A3918" w14:textId="77777777" w:rsidR="00656D1C" w:rsidRPr="002A6DEA" w:rsidRDefault="00656D1C" w:rsidP="00505F8B">
            <w:pPr>
              <w:widowControl w:val="0"/>
              <w:tabs>
                <w:tab w:val="left" w:pos="851"/>
              </w:tabs>
              <w:spacing w:before="40" w:after="40"/>
              <w:jc w:val="center"/>
              <w:rPr>
                <w:rFonts w:ascii="Arial Narrow" w:hAnsi="Arial Narrow"/>
                <w:b/>
                <w:bCs/>
                <w:sz w:val="20"/>
                <w:szCs w:val="20"/>
              </w:rPr>
            </w:pPr>
            <w:r w:rsidRPr="002A6DEA">
              <w:rPr>
                <w:rFonts w:ascii="Arial Narrow" w:hAnsi="Arial Narrow"/>
                <w:b/>
                <w:bCs/>
                <w:sz w:val="20"/>
                <w:szCs w:val="20"/>
              </w:rPr>
              <w:t>Pre-rate (95%CI)</w:t>
            </w:r>
          </w:p>
        </w:tc>
        <w:tc>
          <w:tcPr>
            <w:tcW w:w="1134" w:type="dxa"/>
            <w:tcBorders>
              <w:bottom w:val="single" w:sz="4" w:space="0" w:color="auto"/>
            </w:tcBorders>
            <w:shd w:val="clear" w:color="auto" w:fill="auto"/>
            <w:vAlign w:val="center"/>
          </w:tcPr>
          <w:p w14:paraId="0BAD1654" w14:textId="77777777" w:rsidR="00656D1C" w:rsidRPr="002A6DEA" w:rsidRDefault="00656D1C" w:rsidP="00505F8B">
            <w:pPr>
              <w:widowControl w:val="0"/>
              <w:tabs>
                <w:tab w:val="left" w:pos="851"/>
              </w:tabs>
              <w:spacing w:before="40" w:after="40"/>
              <w:jc w:val="center"/>
              <w:rPr>
                <w:rFonts w:ascii="Arial Narrow" w:hAnsi="Arial Narrow"/>
                <w:b/>
                <w:bCs/>
                <w:sz w:val="20"/>
                <w:szCs w:val="20"/>
              </w:rPr>
            </w:pPr>
            <w:r w:rsidRPr="002A6DEA">
              <w:rPr>
                <w:rFonts w:ascii="Arial Narrow" w:hAnsi="Arial Narrow"/>
                <w:b/>
                <w:bCs/>
                <w:sz w:val="20"/>
                <w:szCs w:val="20"/>
              </w:rPr>
              <w:t>Post-rate (95%CI)</w:t>
            </w:r>
          </w:p>
        </w:tc>
        <w:tc>
          <w:tcPr>
            <w:tcW w:w="1275" w:type="dxa"/>
            <w:tcBorders>
              <w:bottom w:val="single" w:sz="4" w:space="0" w:color="auto"/>
            </w:tcBorders>
            <w:shd w:val="clear" w:color="auto" w:fill="auto"/>
            <w:vAlign w:val="center"/>
          </w:tcPr>
          <w:p w14:paraId="0A3E485F" w14:textId="77777777" w:rsidR="00656D1C" w:rsidRPr="002A6DEA" w:rsidRDefault="00656D1C" w:rsidP="00505F8B">
            <w:pPr>
              <w:widowControl w:val="0"/>
              <w:tabs>
                <w:tab w:val="left" w:pos="851"/>
              </w:tabs>
              <w:spacing w:before="40" w:after="40"/>
              <w:jc w:val="center"/>
              <w:rPr>
                <w:rFonts w:ascii="Arial Narrow" w:hAnsi="Arial Narrow"/>
                <w:b/>
                <w:bCs/>
                <w:sz w:val="20"/>
                <w:szCs w:val="20"/>
              </w:rPr>
            </w:pPr>
            <w:r w:rsidRPr="002A6DEA">
              <w:rPr>
                <w:rFonts w:ascii="Arial Narrow" w:hAnsi="Arial Narrow"/>
                <w:b/>
                <w:bCs/>
                <w:sz w:val="20"/>
                <w:szCs w:val="20"/>
              </w:rPr>
              <w:t>Difference</w:t>
            </w:r>
          </w:p>
          <w:p w14:paraId="126B0C4D" w14:textId="77777777" w:rsidR="00656D1C" w:rsidRPr="002A6DEA" w:rsidRDefault="00656D1C" w:rsidP="00505F8B">
            <w:pPr>
              <w:widowControl w:val="0"/>
              <w:tabs>
                <w:tab w:val="left" w:pos="851"/>
              </w:tabs>
              <w:spacing w:before="40" w:after="40"/>
              <w:jc w:val="center"/>
              <w:rPr>
                <w:rFonts w:ascii="Arial Narrow" w:hAnsi="Arial Narrow"/>
                <w:b/>
                <w:bCs/>
                <w:sz w:val="20"/>
                <w:szCs w:val="20"/>
              </w:rPr>
            </w:pPr>
            <w:r w:rsidRPr="002A6DEA">
              <w:rPr>
                <w:rFonts w:ascii="Arial Narrow" w:hAnsi="Arial Narrow"/>
                <w:b/>
                <w:bCs/>
                <w:sz w:val="20"/>
                <w:szCs w:val="20"/>
              </w:rPr>
              <w:t>(95% CI)</w:t>
            </w:r>
          </w:p>
        </w:tc>
        <w:tc>
          <w:tcPr>
            <w:tcW w:w="709" w:type="dxa"/>
            <w:tcBorders>
              <w:bottom w:val="single" w:sz="4" w:space="0" w:color="auto"/>
            </w:tcBorders>
            <w:shd w:val="clear" w:color="auto" w:fill="auto"/>
            <w:vAlign w:val="center"/>
          </w:tcPr>
          <w:p w14:paraId="2FC3AAC2" w14:textId="77777777" w:rsidR="00656D1C" w:rsidRPr="002A6DEA" w:rsidRDefault="00656D1C" w:rsidP="00505F8B">
            <w:pPr>
              <w:widowControl w:val="0"/>
              <w:tabs>
                <w:tab w:val="left" w:pos="851"/>
              </w:tabs>
              <w:spacing w:before="40" w:after="40"/>
              <w:jc w:val="center"/>
              <w:rPr>
                <w:rFonts w:ascii="Arial Narrow" w:hAnsi="Arial Narrow"/>
                <w:b/>
                <w:bCs/>
                <w:sz w:val="20"/>
                <w:szCs w:val="20"/>
              </w:rPr>
            </w:pPr>
            <w:r w:rsidRPr="002A6DEA">
              <w:rPr>
                <w:rFonts w:ascii="Arial Narrow" w:hAnsi="Arial Narrow"/>
                <w:b/>
                <w:bCs/>
                <w:sz w:val="20"/>
                <w:szCs w:val="20"/>
              </w:rPr>
              <w:t>p-value</w:t>
            </w:r>
          </w:p>
        </w:tc>
        <w:tc>
          <w:tcPr>
            <w:tcW w:w="851" w:type="dxa"/>
            <w:tcBorders>
              <w:bottom w:val="single" w:sz="4" w:space="0" w:color="auto"/>
            </w:tcBorders>
            <w:vAlign w:val="center"/>
          </w:tcPr>
          <w:p w14:paraId="007AA494" w14:textId="77777777" w:rsidR="00656D1C" w:rsidRPr="002A6DEA" w:rsidRDefault="00656D1C" w:rsidP="00505F8B">
            <w:pPr>
              <w:widowControl w:val="0"/>
              <w:tabs>
                <w:tab w:val="left" w:pos="851"/>
              </w:tabs>
              <w:spacing w:before="40" w:after="40"/>
              <w:jc w:val="center"/>
              <w:rPr>
                <w:rFonts w:ascii="Arial Narrow" w:hAnsi="Arial Narrow"/>
                <w:b/>
                <w:bCs/>
                <w:sz w:val="20"/>
                <w:szCs w:val="20"/>
              </w:rPr>
            </w:pPr>
            <w:r w:rsidRPr="002A6DEA">
              <w:rPr>
                <w:rFonts w:ascii="Arial Narrow" w:hAnsi="Arial Narrow"/>
                <w:b/>
                <w:bCs/>
                <w:sz w:val="20"/>
                <w:szCs w:val="20"/>
              </w:rPr>
              <w:t>Cost per person</w:t>
            </w:r>
          </w:p>
        </w:tc>
        <w:tc>
          <w:tcPr>
            <w:tcW w:w="992" w:type="dxa"/>
            <w:tcBorders>
              <w:bottom w:val="single" w:sz="4" w:space="0" w:color="auto"/>
            </w:tcBorders>
            <w:vAlign w:val="center"/>
          </w:tcPr>
          <w:p w14:paraId="7C087BE8" w14:textId="77777777" w:rsidR="00656D1C" w:rsidRPr="002A6DEA" w:rsidRDefault="00656D1C" w:rsidP="00505F8B">
            <w:pPr>
              <w:widowControl w:val="0"/>
              <w:tabs>
                <w:tab w:val="left" w:pos="851"/>
              </w:tabs>
              <w:spacing w:before="40" w:after="40"/>
              <w:jc w:val="center"/>
              <w:rPr>
                <w:rFonts w:ascii="Arial Narrow" w:hAnsi="Arial Narrow"/>
                <w:b/>
                <w:bCs/>
                <w:sz w:val="20"/>
                <w:szCs w:val="20"/>
              </w:rPr>
            </w:pPr>
            <w:r w:rsidRPr="002A6DEA">
              <w:rPr>
                <w:rFonts w:ascii="Arial Narrow" w:hAnsi="Arial Narrow"/>
                <w:b/>
                <w:bCs/>
                <w:sz w:val="20"/>
                <w:szCs w:val="20"/>
              </w:rPr>
              <w:t>Cost per MRP avoided</w:t>
            </w:r>
          </w:p>
        </w:tc>
        <w:tc>
          <w:tcPr>
            <w:tcW w:w="1843" w:type="dxa"/>
            <w:tcBorders>
              <w:bottom w:val="single" w:sz="4" w:space="0" w:color="auto"/>
            </w:tcBorders>
            <w:vAlign w:val="center"/>
          </w:tcPr>
          <w:p w14:paraId="6C8671AF" w14:textId="77777777" w:rsidR="00656D1C" w:rsidRPr="002A6DEA" w:rsidRDefault="00656D1C" w:rsidP="00505F8B">
            <w:pPr>
              <w:widowControl w:val="0"/>
              <w:tabs>
                <w:tab w:val="left" w:pos="851"/>
              </w:tabs>
              <w:spacing w:before="40" w:after="40"/>
              <w:jc w:val="center"/>
              <w:rPr>
                <w:rFonts w:ascii="Arial Narrow" w:hAnsi="Arial Narrow"/>
                <w:b/>
                <w:bCs/>
                <w:sz w:val="20"/>
                <w:szCs w:val="20"/>
              </w:rPr>
            </w:pPr>
            <w:r w:rsidRPr="002A6DEA">
              <w:rPr>
                <w:rFonts w:ascii="Arial Narrow" w:hAnsi="Arial Narrow"/>
                <w:b/>
                <w:bCs/>
                <w:sz w:val="20"/>
                <w:szCs w:val="20"/>
              </w:rPr>
              <w:t>Assumption</w:t>
            </w:r>
          </w:p>
        </w:tc>
      </w:tr>
      <w:tr w:rsidR="002A5B11" w:rsidRPr="002A6DEA" w14:paraId="1618BA70" w14:textId="77777777" w:rsidTr="005B6EDF">
        <w:tc>
          <w:tcPr>
            <w:tcW w:w="1271" w:type="dxa"/>
            <w:tcBorders>
              <w:top w:val="single" w:sz="4" w:space="0" w:color="auto"/>
              <w:bottom w:val="single" w:sz="4" w:space="0" w:color="auto"/>
            </w:tcBorders>
            <w:shd w:val="clear" w:color="auto" w:fill="auto"/>
          </w:tcPr>
          <w:p w14:paraId="31CCFF18" w14:textId="52848247" w:rsidR="002A5B11" w:rsidRPr="002A6DEA" w:rsidRDefault="002A5B11" w:rsidP="00505F8B">
            <w:pPr>
              <w:widowControl w:val="0"/>
              <w:tabs>
                <w:tab w:val="left" w:pos="851"/>
              </w:tabs>
              <w:spacing w:before="40" w:after="40"/>
              <w:rPr>
                <w:rFonts w:ascii="Arial Narrow" w:hAnsi="Arial Narrow" w:cstheme="minorHAnsi"/>
                <w:b/>
                <w:bCs/>
                <w:sz w:val="20"/>
                <w:szCs w:val="20"/>
              </w:rPr>
            </w:pPr>
            <w:r w:rsidRPr="002A6DEA">
              <w:rPr>
                <w:rFonts w:ascii="Arial Narrow" w:hAnsi="Arial Narrow" w:cstheme="minorHAnsi"/>
                <w:b/>
                <w:bCs/>
                <w:sz w:val="20"/>
                <w:szCs w:val="20"/>
              </w:rPr>
              <w:t>ADAR base case CEA</w:t>
            </w:r>
          </w:p>
        </w:tc>
        <w:tc>
          <w:tcPr>
            <w:tcW w:w="851" w:type="dxa"/>
            <w:tcBorders>
              <w:top w:val="single" w:sz="4" w:space="0" w:color="auto"/>
              <w:bottom w:val="single" w:sz="4" w:space="0" w:color="auto"/>
            </w:tcBorders>
            <w:shd w:val="clear" w:color="auto" w:fill="auto"/>
            <w:vAlign w:val="center"/>
          </w:tcPr>
          <w:p w14:paraId="2063102A" w14:textId="231E8F76" w:rsidR="002A5B11" w:rsidRPr="002A6DEA" w:rsidRDefault="00B520FC" w:rsidP="00505F8B">
            <w:pPr>
              <w:widowControl w:val="0"/>
              <w:tabs>
                <w:tab w:val="left" w:pos="851"/>
              </w:tabs>
              <w:spacing w:before="40" w:after="40"/>
              <w:jc w:val="center"/>
              <w:rPr>
                <w:rFonts w:ascii="Arial Narrow" w:hAnsi="Arial Narrow" w:cstheme="minorHAnsi"/>
                <w:sz w:val="20"/>
                <w:szCs w:val="20"/>
              </w:rPr>
            </w:pPr>
            <w:r w:rsidRPr="002A6DEA">
              <w:rPr>
                <w:rFonts w:ascii="Arial Narrow" w:hAnsi="Arial Narrow" w:cstheme="minorHAnsi"/>
                <w:sz w:val="20"/>
                <w:szCs w:val="20"/>
              </w:rPr>
              <w:t>4.11 (3.14,5.39)</w:t>
            </w:r>
          </w:p>
        </w:tc>
        <w:tc>
          <w:tcPr>
            <w:tcW w:w="1134" w:type="dxa"/>
            <w:tcBorders>
              <w:top w:val="single" w:sz="4" w:space="0" w:color="auto"/>
              <w:bottom w:val="single" w:sz="4" w:space="0" w:color="auto"/>
            </w:tcBorders>
            <w:shd w:val="clear" w:color="auto" w:fill="auto"/>
            <w:vAlign w:val="center"/>
          </w:tcPr>
          <w:p w14:paraId="136FE9F0" w14:textId="0AC10430" w:rsidR="002A5B11" w:rsidRPr="002A6DEA" w:rsidRDefault="00B520FC" w:rsidP="00505F8B">
            <w:pPr>
              <w:widowControl w:val="0"/>
              <w:tabs>
                <w:tab w:val="left" w:pos="851"/>
              </w:tabs>
              <w:spacing w:before="40" w:after="40"/>
              <w:jc w:val="center"/>
              <w:rPr>
                <w:rFonts w:ascii="Arial Narrow" w:hAnsi="Arial Narrow" w:cstheme="minorHAnsi"/>
                <w:sz w:val="20"/>
                <w:szCs w:val="20"/>
              </w:rPr>
            </w:pPr>
            <w:r w:rsidRPr="002A6DEA">
              <w:rPr>
                <w:rFonts w:ascii="Arial Narrow" w:hAnsi="Arial Narrow" w:cstheme="minorHAnsi"/>
                <w:sz w:val="20"/>
                <w:szCs w:val="20"/>
              </w:rPr>
              <w:t>3.85 (2.94,5.04)</w:t>
            </w:r>
          </w:p>
        </w:tc>
        <w:tc>
          <w:tcPr>
            <w:tcW w:w="1275" w:type="dxa"/>
            <w:tcBorders>
              <w:top w:val="single" w:sz="4" w:space="0" w:color="auto"/>
              <w:bottom w:val="single" w:sz="4" w:space="0" w:color="auto"/>
            </w:tcBorders>
            <w:shd w:val="clear" w:color="auto" w:fill="auto"/>
            <w:vAlign w:val="center"/>
          </w:tcPr>
          <w:p w14:paraId="5A0F5FA4" w14:textId="77777777" w:rsidR="00B520FC" w:rsidRPr="002A6DEA" w:rsidRDefault="00B520FC" w:rsidP="00B520FC">
            <w:pPr>
              <w:widowControl w:val="0"/>
              <w:tabs>
                <w:tab w:val="left" w:pos="851"/>
              </w:tabs>
              <w:spacing w:before="40" w:after="40"/>
              <w:jc w:val="center"/>
              <w:rPr>
                <w:rFonts w:ascii="Arial Narrow" w:hAnsi="Arial Narrow" w:cstheme="minorHAnsi"/>
                <w:sz w:val="20"/>
                <w:szCs w:val="20"/>
              </w:rPr>
            </w:pPr>
            <w:r w:rsidRPr="002A6DEA">
              <w:rPr>
                <w:rFonts w:ascii="Arial Narrow" w:hAnsi="Arial Narrow" w:cstheme="minorHAnsi"/>
                <w:sz w:val="20"/>
                <w:szCs w:val="20"/>
              </w:rPr>
              <w:t>0.27</w:t>
            </w:r>
          </w:p>
          <w:p w14:paraId="476E4506" w14:textId="1AD4FD75" w:rsidR="002A5B11" w:rsidRPr="002A6DEA" w:rsidRDefault="00B520FC" w:rsidP="00B520FC">
            <w:pPr>
              <w:widowControl w:val="0"/>
              <w:tabs>
                <w:tab w:val="left" w:pos="851"/>
              </w:tabs>
              <w:spacing w:before="40" w:after="40"/>
              <w:jc w:val="center"/>
              <w:rPr>
                <w:rFonts w:ascii="Arial Narrow" w:hAnsi="Arial Narrow" w:cstheme="minorHAnsi"/>
                <w:sz w:val="20"/>
                <w:szCs w:val="20"/>
              </w:rPr>
            </w:pPr>
            <w:r w:rsidRPr="002A6DEA">
              <w:rPr>
                <w:rFonts w:ascii="Arial Narrow" w:hAnsi="Arial Narrow" w:cstheme="minorHAnsi"/>
                <w:sz w:val="20"/>
                <w:szCs w:val="20"/>
              </w:rPr>
              <w:t>(-0.05,0.59)</w:t>
            </w:r>
          </w:p>
        </w:tc>
        <w:tc>
          <w:tcPr>
            <w:tcW w:w="709" w:type="dxa"/>
            <w:tcBorders>
              <w:top w:val="single" w:sz="4" w:space="0" w:color="auto"/>
              <w:bottom w:val="single" w:sz="4" w:space="0" w:color="auto"/>
            </w:tcBorders>
            <w:shd w:val="clear" w:color="auto" w:fill="auto"/>
            <w:vAlign w:val="center"/>
          </w:tcPr>
          <w:p w14:paraId="6C5AD0CB" w14:textId="234992BE" w:rsidR="002A5B11" w:rsidRPr="002A6DEA" w:rsidRDefault="00B520FC" w:rsidP="00505F8B">
            <w:pPr>
              <w:widowControl w:val="0"/>
              <w:tabs>
                <w:tab w:val="left" w:pos="851"/>
              </w:tabs>
              <w:spacing w:before="40" w:after="40"/>
              <w:jc w:val="center"/>
              <w:rPr>
                <w:rFonts w:ascii="Arial Narrow" w:hAnsi="Arial Narrow" w:cstheme="minorHAnsi"/>
                <w:sz w:val="20"/>
                <w:szCs w:val="20"/>
              </w:rPr>
            </w:pPr>
            <w:r w:rsidRPr="002A6DEA">
              <w:rPr>
                <w:rFonts w:ascii="Arial Narrow" w:hAnsi="Arial Narrow" w:cstheme="minorHAnsi"/>
                <w:sz w:val="20"/>
                <w:szCs w:val="20"/>
              </w:rPr>
              <w:t>0.10</w:t>
            </w:r>
          </w:p>
        </w:tc>
        <w:tc>
          <w:tcPr>
            <w:tcW w:w="851" w:type="dxa"/>
            <w:tcBorders>
              <w:top w:val="single" w:sz="4" w:space="0" w:color="auto"/>
              <w:bottom w:val="single" w:sz="4" w:space="0" w:color="auto"/>
            </w:tcBorders>
            <w:vAlign w:val="center"/>
          </w:tcPr>
          <w:p w14:paraId="7308DEE0" w14:textId="460039C6" w:rsidR="002A5B11" w:rsidRPr="002A6DEA" w:rsidRDefault="00B520FC" w:rsidP="00505F8B">
            <w:pPr>
              <w:widowControl w:val="0"/>
              <w:tabs>
                <w:tab w:val="left" w:pos="851"/>
              </w:tabs>
              <w:spacing w:before="40" w:after="40"/>
              <w:jc w:val="center"/>
              <w:rPr>
                <w:rFonts w:ascii="Arial Narrow" w:hAnsi="Arial Narrow" w:cstheme="minorHAnsi"/>
                <w:sz w:val="20"/>
                <w:szCs w:val="20"/>
              </w:rPr>
            </w:pPr>
            <w:r w:rsidRPr="002A6DEA">
              <w:rPr>
                <w:rFonts w:ascii="Arial Narrow" w:hAnsi="Arial Narrow" w:cstheme="minorHAnsi"/>
                <w:sz w:val="20"/>
                <w:szCs w:val="20"/>
              </w:rPr>
              <w:t>$432</w:t>
            </w:r>
          </w:p>
        </w:tc>
        <w:tc>
          <w:tcPr>
            <w:tcW w:w="992" w:type="dxa"/>
            <w:tcBorders>
              <w:top w:val="single" w:sz="4" w:space="0" w:color="auto"/>
              <w:bottom w:val="single" w:sz="4" w:space="0" w:color="auto"/>
            </w:tcBorders>
            <w:vAlign w:val="center"/>
          </w:tcPr>
          <w:p w14:paraId="365B1D34" w14:textId="02163947" w:rsidR="002A5B11" w:rsidRPr="002A6DEA" w:rsidRDefault="00B520FC" w:rsidP="00505F8B">
            <w:pPr>
              <w:widowControl w:val="0"/>
              <w:tabs>
                <w:tab w:val="left" w:pos="851"/>
              </w:tabs>
              <w:spacing w:before="40" w:after="40"/>
              <w:jc w:val="center"/>
              <w:rPr>
                <w:rFonts w:ascii="Arial Narrow" w:hAnsi="Arial Narrow" w:cstheme="minorHAnsi"/>
                <w:sz w:val="20"/>
                <w:szCs w:val="20"/>
              </w:rPr>
            </w:pPr>
            <w:r w:rsidRPr="002A6DEA">
              <w:rPr>
                <w:rFonts w:ascii="Arial Narrow" w:hAnsi="Arial Narrow" w:cstheme="minorHAnsi"/>
                <w:sz w:val="20"/>
                <w:szCs w:val="20"/>
              </w:rPr>
              <w:t>$1,598</w:t>
            </w:r>
          </w:p>
        </w:tc>
        <w:tc>
          <w:tcPr>
            <w:tcW w:w="1843" w:type="dxa"/>
            <w:tcBorders>
              <w:top w:val="single" w:sz="4" w:space="0" w:color="auto"/>
              <w:bottom w:val="single" w:sz="4" w:space="0" w:color="auto"/>
            </w:tcBorders>
            <w:vAlign w:val="center"/>
          </w:tcPr>
          <w:p w14:paraId="607C2809" w14:textId="12F6FF36" w:rsidR="002A5B11" w:rsidRPr="002A6DEA" w:rsidRDefault="00B520FC" w:rsidP="005B6EDF">
            <w:pPr>
              <w:widowControl w:val="0"/>
              <w:tabs>
                <w:tab w:val="left" w:pos="851"/>
              </w:tabs>
              <w:spacing w:before="40" w:after="40"/>
              <w:jc w:val="center"/>
              <w:rPr>
                <w:rFonts w:ascii="Arial Narrow" w:hAnsi="Arial Narrow" w:cstheme="minorHAnsi"/>
                <w:sz w:val="20"/>
                <w:szCs w:val="20"/>
              </w:rPr>
            </w:pPr>
            <w:r w:rsidRPr="002A6DEA">
              <w:rPr>
                <w:rFonts w:ascii="Arial Narrow" w:hAnsi="Arial Narrow" w:cstheme="minorHAnsi"/>
                <w:sz w:val="20"/>
                <w:szCs w:val="20"/>
              </w:rPr>
              <w:t>IMeRSe cost at MSAC fees; no cost usual care</w:t>
            </w:r>
          </w:p>
        </w:tc>
      </w:tr>
      <w:tr w:rsidR="00656D1C" w:rsidRPr="002A6DEA" w14:paraId="478E1405" w14:textId="77777777" w:rsidTr="005B6EDF">
        <w:tc>
          <w:tcPr>
            <w:tcW w:w="1271" w:type="dxa"/>
            <w:tcBorders>
              <w:top w:val="single" w:sz="4" w:space="0" w:color="auto"/>
              <w:bottom w:val="single" w:sz="4" w:space="0" w:color="auto"/>
            </w:tcBorders>
            <w:shd w:val="clear" w:color="auto" w:fill="auto"/>
          </w:tcPr>
          <w:p w14:paraId="0BBEF2F8" w14:textId="7EEAC8BF" w:rsidR="00656D1C" w:rsidRPr="002A6DEA" w:rsidDel="00DD2A16" w:rsidRDefault="002A5B11" w:rsidP="00505F8B">
            <w:pPr>
              <w:widowControl w:val="0"/>
              <w:tabs>
                <w:tab w:val="left" w:pos="851"/>
              </w:tabs>
              <w:spacing w:before="40" w:after="40"/>
              <w:rPr>
                <w:rFonts w:ascii="Arial Narrow" w:hAnsi="Arial Narrow" w:cstheme="minorHAnsi"/>
                <w:b/>
                <w:bCs/>
                <w:i/>
                <w:iCs/>
                <w:sz w:val="20"/>
                <w:szCs w:val="20"/>
              </w:rPr>
            </w:pPr>
            <w:r w:rsidRPr="002A6DEA">
              <w:rPr>
                <w:rFonts w:ascii="Arial Narrow" w:hAnsi="Arial Narrow" w:cstheme="minorHAnsi"/>
                <w:b/>
                <w:bCs/>
                <w:i/>
                <w:iCs/>
                <w:sz w:val="20"/>
                <w:szCs w:val="20"/>
              </w:rPr>
              <w:t xml:space="preserve">Corrected </w:t>
            </w:r>
            <w:r w:rsidR="00656D1C" w:rsidRPr="002A6DEA">
              <w:rPr>
                <w:rFonts w:ascii="Arial Narrow" w:hAnsi="Arial Narrow" w:cstheme="minorHAnsi"/>
                <w:b/>
                <w:bCs/>
                <w:i/>
                <w:iCs/>
                <w:sz w:val="20"/>
                <w:szCs w:val="20"/>
              </w:rPr>
              <w:t xml:space="preserve">ADAR </w:t>
            </w:r>
            <w:r w:rsidR="00302988" w:rsidRPr="002A6DEA">
              <w:rPr>
                <w:rFonts w:ascii="Arial Narrow" w:hAnsi="Arial Narrow" w:cstheme="minorHAnsi"/>
                <w:b/>
                <w:bCs/>
                <w:i/>
                <w:iCs/>
                <w:sz w:val="20"/>
                <w:szCs w:val="20"/>
              </w:rPr>
              <w:t>study</w:t>
            </w:r>
            <w:r w:rsidR="00656D1C" w:rsidRPr="002A6DEA">
              <w:rPr>
                <w:rFonts w:ascii="Arial Narrow" w:hAnsi="Arial Narrow" w:cstheme="minorHAnsi"/>
                <w:b/>
                <w:bCs/>
                <w:i/>
                <w:iCs/>
                <w:sz w:val="20"/>
                <w:szCs w:val="20"/>
              </w:rPr>
              <w:t>-based CEA</w:t>
            </w:r>
            <w:r w:rsidR="00B520FC" w:rsidRPr="002A6DEA">
              <w:rPr>
                <w:rFonts w:ascii="Arial Narrow" w:hAnsi="Arial Narrow" w:cstheme="minorHAnsi"/>
                <w:b/>
                <w:bCs/>
                <w:i/>
                <w:iCs/>
                <w:sz w:val="20"/>
                <w:szCs w:val="20"/>
                <w:vertAlign w:val="superscript"/>
              </w:rPr>
              <w:t>1</w:t>
            </w:r>
            <w:r w:rsidR="00656D1C" w:rsidRPr="002A6DEA">
              <w:rPr>
                <w:rFonts w:ascii="Arial Narrow" w:hAnsi="Arial Narrow" w:cstheme="minorHAnsi"/>
                <w:b/>
                <w:bCs/>
                <w:i/>
                <w:iCs/>
                <w:sz w:val="20"/>
                <w:szCs w:val="20"/>
              </w:rPr>
              <w:t xml:space="preserve"> </w:t>
            </w:r>
          </w:p>
        </w:tc>
        <w:tc>
          <w:tcPr>
            <w:tcW w:w="851" w:type="dxa"/>
            <w:tcBorders>
              <w:top w:val="single" w:sz="4" w:space="0" w:color="auto"/>
              <w:bottom w:val="single" w:sz="4" w:space="0" w:color="auto"/>
            </w:tcBorders>
            <w:shd w:val="clear" w:color="auto" w:fill="auto"/>
            <w:vAlign w:val="center"/>
          </w:tcPr>
          <w:p w14:paraId="377BCCBE" w14:textId="77777777" w:rsidR="00656D1C" w:rsidRPr="002A6DEA" w:rsidRDefault="00656D1C" w:rsidP="00505F8B">
            <w:pPr>
              <w:widowControl w:val="0"/>
              <w:tabs>
                <w:tab w:val="left" w:pos="851"/>
              </w:tabs>
              <w:spacing w:before="40" w:after="40"/>
              <w:jc w:val="center"/>
              <w:rPr>
                <w:rFonts w:ascii="Arial Narrow" w:hAnsi="Arial Narrow" w:cstheme="minorHAnsi"/>
                <w:b/>
                <w:i/>
                <w:sz w:val="20"/>
                <w:szCs w:val="20"/>
              </w:rPr>
            </w:pPr>
            <w:r w:rsidRPr="002A6DEA">
              <w:rPr>
                <w:rFonts w:ascii="Arial Narrow" w:hAnsi="Arial Narrow" w:cstheme="minorHAnsi"/>
                <w:i/>
                <w:sz w:val="20"/>
                <w:szCs w:val="20"/>
              </w:rPr>
              <w:t>4.11 (3.14,5.39)</w:t>
            </w:r>
          </w:p>
        </w:tc>
        <w:tc>
          <w:tcPr>
            <w:tcW w:w="1134" w:type="dxa"/>
            <w:tcBorders>
              <w:top w:val="single" w:sz="4" w:space="0" w:color="auto"/>
              <w:bottom w:val="single" w:sz="4" w:space="0" w:color="auto"/>
            </w:tcBorders>
            <w:shd w:val="clear" w:color="auto" w:fill="auto"/>
            <w:vAlign w:val="center"/>
          </w:tcPr>
          <w:p w14:paraId="236A6BC8" w14:textId="77777777" w:rsidR="00656D1C" w:rsidRPr="002A6DEA" w:rsidRDefault="00656D1C" w:rsidP="00505F8B">
            <w:pPr>
              <w:widowControl w:val="0"/>
              <w:tabs>
                <w:tab w:val="left" w:pos="851"/>
              </w:tabs>
              <w:spacing w:before="40" w:after="40"/>
              <w:jc w:val="center"/>
              <w:rPr>
                <w:rFonts w:ascii="Arial Narrow" w:hAnsi="Arial Narrow" w:cstheme="minorHAnsi"/>
                <w:b/>
                <w:i/>
                <w:sz w:val="20"/>
                <w:szCs w:val="20"/>
              </w:rPr>
            </w:pPr>
            <w:r w:rsidRPr="002A6DEA">
              <w:rPr>
                <w:rFonts w:ascii="Arial Narrow" w:hAnsi="Arial Narrow" w:cstheme="minorHAnsi"/>
                <w:i/>
                <w:sz w:val="20"/>
                <w:szCs w:val="20"/>
              </w:rPr>
              <w:t>3.85 (2.94,5.04)</w:t>
            </w:r>
          </w:p>
        </w:tc>
        <w:tc>
          <w:tcPr>
            <w:tcW w:w="1275" w:type="dxa"/>
            <w:tcBorders>
              <w:top w:val="single" w:sz="4" w:space="0" w:color="auto"/>
              <w:bottom w:val="single" w:sz="4" w:space="0" w:color="auto"/>
            </w:tcBorders>
            <w:shd w:val="clear" w:color="auto" w:fill="auto"/>
            <w:vAlign w:val="center"/>
          </w:tcPr>
          <w:p w14:paraId="44B5AF3F" w14:textId="77777777" w:rsidR="00656D1C" w:rsidRPr="002A6DEA" w:rsidRDefault="00656D1C" w:rsidP="00505F8B">
            <w:pPr>
              <w:widowControl w:val="0"/>
              <w:tabs>
                <w:tab w:val="left" w:pos="851"/>
              </w:tabs>
              <w:spacing w:before="40" w:after="40"/>
              <w:jc w:val="center"/>
              <w:rPr>
                <w:rFonts w:ascii="Arial Narrow" w:hAnsi="Arial Narrow" w:cstheme="minorHAnsi"/>
                <w:i/>
                <w:sz w:val="20"/>
                <w:szCs w:val="20"/>
              </w:rPr>
            </w:pPr>
            <w:r w:rsidRPr="002A6DEA">
              <w:rPr>
                <w:rFonts w:ascii="Arial Narrow" w:hAnsi="Arial Narrow" w:cstheme="minorHAnsi"/>
                <w:i/>
                <w:sz w:val="20"/>
                <w:szCs w:val="20"/>
              </w:rPr>
              <w:t>0.27</w:t>
            </w:r>
          </w:p>
          <w:p w14:paraId="0910EAB1" w14:textId="77777777" w:rsidR="00656D1C" w:rsidRPr="002A6DEA" w:rsidRDefault="00656D1C" w:rsidP="00505F8B">
            <w:pPr>
              <w:widowControl w:val="0"/>
              <w:tabs>
                <w:tab w:val="left" w:pos="851"/>
              </w:tabs>
              <w:spacing w:before="40" w:after="40"/>
              <w:jc w:val="center"/>
              <w:rPr>
                <w:rFonts w:ascii="Arial Narrow" w:hAnsi="Arial Narrow" w:cstheme="minorHAnsi"/>
                <w:b/>
                <w:i/>
                <w:sz w:val="20"/>
                <w:szCs w:val="20"/>
              </w:rPr>
            </w:pPr>
            <w:r w:rsidRPr="002A6DEA">
              <w:rPr>
                <w:rFonts w:ascii="Arial Narrow" w:hAnsi="Arial Narrow" w:cstheme="minorHAnsi"/>
                <w:i/>
                <w:sz w:val="20"/>
                <w:szCs w:val="20"/>
              </w:rPr>
              <w:t>(-0.05,0.59)</w:t>
            </w:r>
          </w:p>
        </w:tc>
        <w:tc>
          <w:tcPr>
            <w:tcW w:w="709" w:type="dxa"/>
            <w:tcBorders>
              <w:top w:val="single" w:sz="4" w:space="0" w:color="auto"/>
              <w:bottom w:val="single" w:sz="4" w:space="0" w:color="auto"/>
            </w:tcBorders>
            <w:shd w:val="clear" w:color="auto" w:fill="auto"/>
            <w:vAlign w:val="center"/>
          </w:tcPr>
          <w:p w14:paraId="690843DE" w14:textId="77777777" w:rsidR="00656D1C" w:rsidRPr="002A6DEA" w:rsidRDefault="00656D1C" w:rsidP="00505F8B">
            <w:pPr>
              <w:widowControl w:val="0"/>
              <w:tabs>
                <w:tab w:val="left" w:pos="851"/>
              </w:tabs>
              <w:spacing w:before="40" w:after="40"/>
              <w:jc w:val="center"/>
              <w:rPr>
                <w:rFonts w:ascii="Arial Narrow" w:hAnsi="Arial Narrow" w:cstheme="minorHAnsi"/>
                <w:b/>
                <w:i/>
                <w:sz w:val="20"/>
                <w:szCs w:val="20"/>
              </w:rPr>
            </w:pPr>
            <w:r w:rsidRPr="002A6DEA">
              <w:rPr>
                <w:rFonts w:ascii="Arial Narrow" w:hAnsi="Arial Narrow" w:cstheme="minorHAnsi"/>
                <w:i/>
                <w:sz w:val="20"/>
                <w:szCs w:val="20"/>
              </w:rPr>
              <w:t>0.10</w:t>
            </w:r>
          </w:p>
        </w:tc>
        <w:tc>
          <w:tcPr>
            <w:tcW w:w="851" w:type="dxa"/>
            <w:tcBorders>
              <w:top w:val="single" w:sz="4" w:space="0" w:color="auto"/>
              <w:bottom w:val="single" w:sz="4" w:space="0" w:color="auto"/>
            </w:tcBorders>
            <w:vAlign w:val="center"/>
          </w:tcPr>
          <w:p w14:paraId="7D2084FF" w14:textId="77777777" w:rsidR="00656D1C" w:rsidRPr="002A6DEA" w:rsidRDefault="00656D1C" w:rsidP="00505F8B">
            <w:pPr>
              <w:widowControl w:val="0"/>
              <w:tabs>
                <w:tab w:val="left" w:pos="851"/>
              </w:tabs>
              <w:spacing w:before="40" w:after="40"/>
              <w:jc w:val="center"/>
              <w:rPr>
                <w:rFonts w:ascii="Arial Narrow" w:hAnsi="Arial Narrow" w:cstheme="minorHAnsi"/>
                <w:i/>
                <w:sz w:val="20"/>
                <w:szCs w:val="20"/>
              </w:rPr>
            </w:pPr>
            <w:r w:rsidRPr="002A6DEA">
              <w:rPr>
                <w:rFonts w:ascii="Arial Narrow" w:hAnsi="Arial Narrow" w:cstheme="minorHAnsi"/>
                <w:i/>
                <w:sz w:val="20"/>
                <w:szCs w:val="20"/>
              </w:rPr>
              <w:t>$492</w:t>
            </w:r>
          </w:p>
        </w:tc>
        <w:tc>
          <w:tcPr>
            <w:tcW w:w="992" w:type="dxa"/>
            <w:tcBorders>
              <w:top w:val="single" w:sz="4" w:space="0" w:color="auto"/>
              <w:bottom w:val="single" w:sz="4" w:space="0" w:color="auto"/>
            </w:tcBorders>
            <w:vAlign w:val="center"/>
          </w:tcPr>
          <w:p w14:paraId="639B134F" w14:textId="77777777" w:rsidR="00656D1C" w:rsidRPr="002A6DEA" w:rsidRDefault="00656D1C" w:rsidP="00505F8B">
            <w:pPr>
              <w:widowControl w:val="0"/>
              <w:tabs>
                <w:tab w:val="left" w:pos="851"/>
              </w:tabs>
              <w:spacing w:before="40" w:after="40"/>
              <w:jc w:val="center"/>
              <w:rPr>
                <w:rFonts w:ascii="Arial Narrow" w:hAnsi="Arial Narrow" w:cstheme="minorHAnsi"/>
                <w:i/>
                <w:sz w:val="20"/>
                <w:szCs w:val="20"/>
              </w:rPr>
            </w:pPr>
            <w:r w:rsidRPr="002A6DEA">
              <w:rPr>
                <w:rFonts w:ascii="Arial Narrow" w:hAnsi="Arial Narrow" w:cstheme="minorHAnsi"/>
                <w:i/>
                <w:sz w:val="20"/>
                <w:szCs w:val="20"/>
              </w:rPr>
              <w:t>$1,822</w:t>
            </w:r>
          </w:p>
        </w:tc>
        <w:tc>
          <w:tcPr>
            <w:tcW w:w="1843" w:type="dxa"/>
            <w:tcBorders>
              <w:top w:val="single" w:sz="4" w:space="0" w:color="auto"/>
              <w:bottom w:val="single" w:sz="4" w:space="0" w:color="auto"/>
            </w:tcBorders>
            <w:vAlign w:val="center"/>
          </w:tcPr>
          <w:p w14:paraId="4F40B476" w14:textId="77777777" w:rsidR="00656D1C" w:rsidRPr="002A6DEA" w:rsidRDefault="00656D1C" w:rsidP="005B6EDF">
            <w:pPr>
              <w:widowControl w:val="0"/>
              <w:tabs>
                <w:tab w:val="left" w:pos="851"/>
              </w:tabs>
              <w:spacing w:before="40" w:after="40"/>
              <w:jc w:val="center"/>
              <w:rPr>
                <w:rFonts w:ascii="Arial Narrow" w:hAnsi="Arial Narrow" w:cstheme="minorHAnsi"/>
                <w:i/>
                <w:sz w:val="20"/>
                <w:szCs w:val="20"/>
              </w:rPr>
            </w:pPr>
            <w:r w:rsidRPr="002A6DEA">
              <w:rPr>
                <w:rFonts w:ascii="Arial Narrow" w:hAnsi="Arial Narrow" w:cstheme="minorHAnsi"/>
                <w:i/>
                <w:sz w:val="20"/>
                <w:szCs w:val="20"/>
              </w:rPr>
              <w:t>IMeRSe in-trial costs</w:t>
            </w:r>
          </w:p>
          <w:p w14:paraId="0057E8E4" w14:textId="46F106FD" w:rsidR="00656D1C" w:rsidRPr="002A6DEA" w:rsidRDefault="00656D1C" w:rsidP="005B6EDF">
            <w:pPr>
              <w:widowControl w:val="0"/>
              <w:tabs>
                <w:tab w:val="left" w:pos="851"/>
              </w:tabs>
              <w:spacing w:before="40" w:after="40"/>
              <w:jc w:val="center"/>
              <w:rPr>
                <w:rFonts w:ascii="Arial Narrow" w:hAnsi="Arial Narrow" w:cstheme="minorHAnsi"/>
                <w:b/>
                <w:i/>
                <w:sz w:val="20"/>
                <w:szCs w:val="20"/>
              </w:rPr>
            </w:pPr>
            <w:r w:rsidRPr="002A6DEA">
              <w:rPr>
                <w:rFonts w:ascii="Arial Narrow" w:hAnsi="Arial Narrow" w:cstheme="minorHAnsi"/>
                <w:i/>
                <w:sz w:val="20"/>
                <w:szCs w:val="20"/>
              </w:rPr>
              <w:t>Sample size varies,</w:t>
            </w:r>
            <w:r w:rsidRPr="002A6DEA">
              <w:rPr>
                <w:rFonts w:ascii="Arial Narrow" w:hAnsi="Arial Narrow" w:cstheme="minorHAnsi"/>
                <w:b/>
                <w:i/>
                <w:sz w:val="20"/>
                <w:szCs w:val="20"/>
              </w:rPr>
              <w:t xml:space="preserve"> </w:t>
            </w:r>
            <w:r w:rsidRPr="002A6DEA">
              <w:rPr>
                <w:rFonts w:ascii="Arial Narrow" w:hAnsi="Arial Narrow" w:cstheme="minorHAnsi"/>
                <w:i/>
                <w:sz w:val="20"/>
                <w:szCs w:val="20"/>
              </w:rPr>
              <w:t xml:space="preserve">useful service life of initial capital outlay </w:t>
            </w:r>
            <w:r w:rsidR="005B6EDF" w:rsidRPr="002A6DEA">
              <w:rPr>
                <w:rFonts w:ascii="Arial Narrow" w:hAnsi="Arial Narrow" w:cstheme="minorHAnsi"/>
                <w:i/>
                <w:sz w:val="20"/>
                <w:szCs w:val="20"/>
              </w:rPr>
              <w:t>is 7</w:t>
            </w:r>
            <w:r w:rsidR="00433C20" w:rsidRPr="002A6DEA">
              <w:rPr>
                <w:rFonts w:ascii="Arial Narrow" w:hAnsi="Arial Narrow" w:cstheme="minorHAnsi"/>
                <w:i/>
                <w:sz w:val="20"/>
                <w:szCs w:val="20"/>
              </w:rPr>
              <w:t xml:space="preserve"> years</w:t>
            </w:r>
          </w:p>
        </w:tc>
      </w:tr>
      <w:tr w:rsidR="00656D1C" w:rsidRPr="002A6DEA" w14:paraId="0D5B6E63" w14:textId="77777777" w:rsidTr="005B6EDF">
        <w:tc>
          <w:tcPr>
            <w:tcW w:w="1271" w:type="dxa"/>
            <w:tcBorders>
              <w:top w:val="single" w:sz="4" w:space="0" w:color="auto"/>
              <w:bottom w:val="single" w:sz="4" w:space="0" w:color="auto"/>
            </w:tcBorders>
            <w:shd w:val="clear" w:color="auto" w:fill="auto"/>
            <w:vAlign w:val="center"/>
          </w:tcPr>
          <w:p w14:paraId="30A2EF91" w14:textId="479CAAA6" w:rsidR="00656D1C" w:rsidRPr="002A6DEA" w:rsidRDefault="00302988" w:rsidP="00505F8B">
            <w:pPr>
              <w:widowControl w:val="0"/>
              <w:tabs>
                <w:tab w:val="left" w:pos="851"/>
              </w:tabs>
              <w:spacing w:before="40" w:after="40"/>
              <w:rPr>
                <w:rFonts w:ascii="Arial Narrow" w:hAnsi="Arial Narrow" w:cstheme="minorHAnsi"/>
                <w:b/>
                <w:bCs/>
                <w:i/>
                <w:iCs/>
                <w:sz w:val="20"/>
                <w:szCs w:val="20"/>
              </w:rPr>
            </w:pPr>
            <w:r w:rsidRPr="002A6DEA">
              <w:rPr>
                <w:rFonts w:ascii="Arial Narrow" w:hAnsi="Arial Narrow" w:cstheme="minorHAnsi"/>
                <w:b/>
                <w:bCs/>
                <w:i/>
                <w:iCs/>
                <w:sz w:val="20"/>
                <w:szCs w:val="20"/>
              </w:rPr>
              <w:t>Study-</w:t>
            </w:r>
            <w:r w:rsidR="00656D1C" w:rsidRPr="002A6DEA">
              <w:rPr>
                <w:rFonts w:ascii="Arial Narrow" w:hAnsi="Arial Narrow" w:cstheme="minorHAnsi"/>
                <w:b/>
                <w:bCs/>
                <w:i/>
                <w:iCs/>
                <w:sz w:val="20"/>
                <w:szCs w:val="20"/>
              </w:rPr>
              <w:t xml:space="preserve">based </w:t>
            </w:r>
            <w:r w:rsidRPr="002A6DEA">
              <w:rPr>
                <w:rFonts w:ascii="Arial Narrow" w:hAnsi="Arial Narrow" w:cstheme="minorHAnsi"/>
                <w:b/>
                <w:bCs/>
                <w:i/>
                <w:iCs/>
                <w:sz w:val="20"/>
                <w:szCs w:val="20"/>
              </w:rPr>
              <w:t>c</w:t>
            </w:r>
            <w:r w:rsidR="00656D1C" w:rsidRPr="002A6DEA">
              <w:rPr>
                <w:rFonts w:ascii="Arial Narrow" w:hAnsi="Arial Narrow" w:cstheme="minorHAnsi"/>
                <w:b/>
                <w:bCs/>
                <w:i/>
                <w:iCs/>
                <w:sz w:val="20"/>
                <w:szCs w:val="20"/>
              </w:rPr>
              <w:t>ommentary’s CEA</w:t>
            </w:r>
          </w:p>
        </w:tc>
        <w:tc>
          <w:tcPr>
            <w:tcW w:w="851" w:type="dxa"/>
            <w:tcBorders>
              <w:top w:val="single" w:sz="4" w:space="0" w:color="auto"/>
              <w:bottom w:val="single" w:sz="4" w:space="0" w:color="auto"/>
            </w:tcBorders>
            <w:shd w:val="clear" w:color="auto" w:fill="auto"/>
            <w:vAlign w:val="center"/>
          </w:tcPr>
          <w:p w14:paraId="75CD572D" w14:textId="77777777" w:rsidR="00656D1C" w:rsidRPr="002A6DEA" w:rsidRDefault="00656D1C" w:rsidP="00505F8B">
            <w:pPr>
              <w:widowControl w:val="0"/>
              <w:tabs>
                <w:tab w:val="left" w:pos="851"/>
              </w:tabs>
              <w:spacing w:before="40" w:after="40"/>
              <w:jc w:val="center"/>
              <w:rPr>
                <w:rFonts w:ascii="Arial Narrow" w:hAnsi="Arial Narrow" w:cstheme="minorHAnsi"/>
                <w:i/>
                <w:sz w:val="20"/>
                <w:szCs w:val="20"/>
              </w:rPr>
            </w:pPr>
            <w:r w:rsidRPr="002A6DEA">
              <w:rPr>
                <w:rFonts w:ascii="Arial Narrow" w:hAnsi="Arial Narrow" w:cstheme="minorHAnsi"/>
                <w:i/>
                <w:sz w:val="20"/>
                <w:szCs w:val="20"/>
              </w:rPr>
              <w:t>4.11 (3.14,5.39)</w:t>
            </w:r>
          </w:p>
        </w:tc>
        <w:tc>
          <w:tcPr>
            <w:tcW w:w="1134" w:type="dxa"/>
            <w:tcBorders>
              <w:top w:val="single" w:sz="4" w:space="0" w:color="auto"/>
              <w:bottom w:val="single" w:sz="4" w:space="0" w:color="auto"/>
            </w:tcBorders>
            <w:shd w:val="clear" w:color="auto" w:fill="auto"/>
            <w:vAlign w:val="center"/>
          </w:tcPr>
          <w:p w14:paraId="619660D1" w14:textId="77777777" w:rsidR="00656D1C" w:rsidRPr="002A6DEA" w:rsidRDefault="00656D1C" w:rsidP="00505F8B">
            <w:pPr>
              <w:widowControl w:val="0"/>
              <w:tabs>
                <w:tab w:val="left" w:pos="851"/>
              </w:tabs>
              <w:spacing w:before="40" w:after="40"/>
              <w:jc w:val="center"/>
              <w:rPr>
                <w:rFonts w:ascii="Arial Narrow" w:hAnsi="Arial Narrow" w:cstheme="minorHAnsi"/>
                <w:i/>
                <w:sz w:val="20"/>
                <w:szCs w:val="20"/>
              </w:rPr>
            </w:pPr>
            <w:r w:rsidRPr="002A6DEA">
              <w:rPr>
                <w:rFonts w:ascii="Arial Narrow" w:hAnsi="Arial Narrow" w:cstheme="minorHAnsi"/>
                <w:i/>
                <w:sz w:val="20"/>
                <w:szCs w:val="20"/>
              </w:rPr>
              <w:t>3.85 (2.94,5.04)</w:t>
            </w:r>
          </w:p>
        </w:tc>
        <w:tc>
          <w:tcPr>
            <w:tcW w:w="1275" w:type="dxa"/>
            <w:tcBorders>
              <w:top w:val="single" w:sz="4" w:space="0" w:color="auto"/>
              <w:bottom w:val="single" w:sz="4" w:space="0" w:color="auto"/>
            </w:tcBorders>
            <w:shd w:val="clear" w:color="auto" w:fill="auto"/>
            <w:vAlign w:val="center"/>
          </w:tcPr>
          <w:p w14:paraId="610D1B59" w14:textId="77777777" w:rsidR="00656D1C" w:rsidRPr="002A6DEA" w:rsidRDefault="00656D1C" w:rsidP="00505F8B">
            <w:pPr>
              <w:widowControl w:val="0"/>
              <w:tabs>
                <w:tab w:val="left" w:pos="851"/>
              </w:tabs>
              <w:spacing w:before="40" w:after="40"/>
              <w:jc w:val="center"/>
              <w:rPr>
                <w:rFonts w:ascii="Arial Narrow" w:hAnsi="Arial Narrow" w:cstheme="minorHAnsi"/>
                <w:i/>
                <w:sz w:val="20"/>
                <w:szCs w:val="20"/>
              </w:rPr>
            </w:pPr>
            <w:r w:rsidRPr="002A6DEA">
              <w:rPr>
                <w:rFonts w:ascii="Arial Narrow" w:hAnsi="Arial Narrow" w:cstheme="minorHAnsi"/>
                <w:i/>
                <w:sz w:val="20"/>
                <w:szCs w:val="20"/>
              </w:rPr>
              <w:t>0.27</w:t>
            </w:r>
          </w:p>
          <w:p w14:paraId="4EDF14F9" w14:textId="77777777" w:rsidR="00656D1C" w:rsidRPr="002A6DEA" w:rsidRDefault="00656D1C" w:rsidP="00505F8B">
            <w:pPr>
              <w:widowControl w:val="0"/>
              <w:tabs>
                <w:tab w:val="left" w:pos="851"/>
              </w:tabs>
              <w:spacing w:before="40" w:after="40"/>
              <w:jc w:val="center"/>
              <w:rPr>
                <w:rFonts w:ascii="Arial Narrow" w:hAnsi="Arial Narrow" w:cstheme="minorHAnsi"/>
                <w:i/>
                <w:sz w:val="20"/>
                <w:szCs w:val="20"/>
              </w:rPr>
            </w:pPr>
            <w:r w:rsidRPr="002A6DEA">
              <w:rPr>
                <w:rFonts w:ascii="Arial Narrow" w:hAnsi="Arial Narrow" w:cstheme="minorHAnsi"/>
                <w:i/>
                <w:sz w:val="20"/>
                <w:szCs w:val="20"/>
              </w:rPr>
              <w:t>(-0.05,0.59)</w:t>
            </w:r>
          </w:p>
        </w:tc>
        <w:tc>
          <w:tcPr>
            <w:tcW w:w="709" w:type="dxa"/>
            <w:tcBorders>
              <w:top w:val="single" w:sz="4" w:space="0" w:color="auto"/>
              <w:bottom w:val="single" w:sz="4" w:space="0" w:color="auto"/>
            </w:tcBorders>
            <w:shd w:val="clear" w:color="auto" w:fill="auto"/>
            <w:vAlign w:val="center"/>
          </w:tcPr>
          <w:p w14:paraId="5F348705" w14:textId="77777777" w:rsidR="00656D1C" w:rsidRPr="002A6DEA" w:rsidRDefault="00656D1C" w:rsidP="00505F8B">
            <w:pPr>
              <w:widowControl w:val="0"/>
              <w:tabs>
                <w:tab w:val="left" w:pos="851"/>
              </w:tabs>
              <w:spacing w:before="40" w:after="40"/>
              <w:jc w:val="center"/>
              <w:rPr>
                <w:rFonts w:ascii="Arial Narrow" w:hAnsi="Arial Narrow" w:cstheme="minorHAnsi"/>
                <w:i/>
                <w:sz w:val="20"/>
                <w:szCs w:val="20"/>
              </w:rPr>
            </w:pPr>
            <w:r w:rsidRPr="002A6DEA">
              <w:rPr>
                <w:rFonts w:ascii="Arial Narrow" w:hAnsi="Arial Narrow" w:cstheme="minorHAnsi"/>
                <w:i/>
                <w:sz w:val="20"/>
                <w:szCs w:val="20"/>
              </w:rPr>
              <w:t>0.10</w:t>
            </w:r>
          </w:p>
        </w:tc>
        <w:tc>
          <w:tcPr>
            <w:tcW w:w="851" w:type="dxa"/>
            <w:tcBorders>
              <w:top w:val="single" w:sz="4" w:space="0" w:color="auto"/>
              <w:bottom w:val="single" w:sz="4" w:space="0" w:color="auto"/>
            </w:tcBorders>
            <w:vAlign w:val="center"/>
          </w:tcPr>
          <w:p w14:paraId="7D2CC09A" w14:textId="77777777" w:rsidR="00656D1C" w:rsidRPr="002A6DEA" w:rsidRDefault="00656D1C" w:rsidP="00505F8B">
            <w:pPr>
              <w:widowControl w:val="0"/>
              <w:tabs>
                <w:tab w:val="left" w:pos="851"/>
              </w:tabs>
              <w:spacing w:before="40" w:after="40"/>
              <w:jc w:val="center"/>
              <w:rPr>
                <w:rFonts w:ascii="Arial Narrow" w:hAnsi="Arial Narrow" w:cstheme="minorHAnsi"/>
                <w:i/>
                <w:sz w:val="20"/>
                <w:szCs w:val="20"/>
              </w:rPr>
            </w:pPr>
            <w:r w:rsidRPr="002A6DEA">
              <w:rPr>
                <w:rFonts w:ascii="Arial Narrow" w:hAnsi="Arial Narrow" w:cstheme="minorHAnsi"/>
                <w:i/>
                <w:sz w:val="20"/>
                <w:szCs w:val="20"/>
              </w:rPr>
              <w:t>$568</w:t>
            </w:r>
          </w:p>
        </w:tc>
        <w:tc>
          <w:tcPr>
            <w:tcW w:w="992" w:type="dxa"/>
            <w:tcBorders>
              <w:top w:val="single" w:sz="4" w:space="0" w:color="auto"/>
              <w:bottom w:val="single" w:sz="4" w:space="0" w:color="auto"/>
            </w:tcBorders>
            <w:vAlign w:val="center"/>
          </w:tcPr>
          <w:p w14:paraId="38E5C277" w14:textId="77777777" w:rsidR="00656D1C" w:rsidRPr="002A6DEA" w:rsidRDefault="00656D1C" w:rsidP="00505F8B">
            <w:pPr>
              <w:widowControl w:val="0"/>
              <w:tabs>
                <w:tab w:val="left" w:pos="851"/>
              </w:tabs>
              <w:spacing w:before="40" w:after="40"/>
              <w:jc w:val="center"/>
              <w:rPr>
                <w:rFonts w:ascii="Arial Narrow" w:hAnsi="Arial Narrow" w:cstheme="minorHAnsi"/>
                <w:i/>
                <w:sz w:val="20"/>
                <w:szCs w:val="20"/>
              </w:rPr>
            </w:pPr>
            <w:r w:rsidRPr="002A6DEA">
              <w:rPr>
                <w:rFonts w:ascii="Arial Narrow" w:hAnsi="Arial Narrow" w:cstheme="minorHAnsi"/>
                <w:i/>
                <w:sz w:val="20"/>
                <w:szCs w:val="20"/>
              </w:rPr>
              <w:t>$2,104</w:t>
            </w:r>
          </w:p>
        </w:tc>
        <w:tc>
          <w:tcPr>
            <w:tcW w:w="1843" w:type="dxa"/>
            <w:tcBorders>
              <w:top w:val="single" w:sz="4" w:space="0" w:color="auto"/>
              <w:bottom w:val="single" w:sz="4" w:space="0" w:color="auto"/>
            </w:tcBorders>
            <w:vAlign w:val="center"/>
          </w:tcPr>
          <w:p w14:paraId="61622612" w14:textId="187ED508" w:rsidR="00656D1C" w:rsidRPr="002A6DEA" w:rsidRDefault="00656D1C" w:rsidP="005B6EDF">
            <w:pPr>
              <w:widowControl w:val="0"/>
              <w:tabs>
                <w:tab w:val="left" w:pos="851"/>
              </w:tabs>
              <w:spacing w:before="40" w:after="40"/>
              <w:jc w:val="center"/>
              <w:rPr>
                <w:rFonts w:ascii="Arial Narrow" w:hAnsi="Arial Narrow" w:cstheme="minorHAnsi"/>
                <w:i/>
                <w:sz w:val="20"/>
                <w:szCs w:val="20"/>
              </w:rPr>
            </w:pPr>
            <w:r w:rsidRPr="002A6DEA">
              <w:rPr>
                <w:rFonts w:ascii="Arial Narrow" w:hAnsi="Arial Narrow" w:cstheme="minorHAnsi"/>
                <w:i/>
                <w:sz w:val="20"/>
                <w:szCs w:val="20"/>
              </w:rPr>
              <w:t>ITT sample of 291 participants; useful service life of initial capital outlay is 5 years, unit costs as in the trial</w:t>
            </w:r>
          </w:p>
        </w:tc>
      </w:tr>
      <w:tr w:rsidR="00656D1C" w:rsidRPr="002A6DEA" w14:paraId="01D7E114" w14:textId="77777777" w:rsidTr="005B6EDF">
        <w:tc>
          <w:tcPr>
            <w:tcW w:w="1271" w:type="dxa"/>
            <w:tcBorders>
              <w:top w:val="single" w:sz="4" w:space="0" w:color="auto"/>
              <w:bottom w:val="single" w:sz="4" w:space="0" w:color="auto"/>
            </w:tcBorders>
            <w:shd w:val="clear" w:color="auto" w:fill="auto"/>
            <w:vAlign w:val="center"/>
          </w:tcPr>
          <w:p w14:paraId="07A68A62" w14:textId="605E7F15" w:rsidR="00656D1C" w:rsidRPr="002A6DEA" w:rsidDel="00DD2A16" w:rsidRDefault="00656D1C" w:rsidP="00505F8B">
            <w:pPr>
              <w:widowControl w:val="0"/>
              <w:tabs>
                <w:tab w:val="left" w:pos="851"/>
              </w:tabs>
              <w:spacing w:before="40" w:after="40"/>
              <w:rPr>
                <w:rFonts w:ascii="Arial Narrow" w:hAnsi="Arial Narrow" w:cstheme="minorHAnsi"/>
                <w:b/>
                <w:bCs/>
                <w:i/>
                <w:iCs/>
                <w:sz w:val="20"/>
                <w:szCs w:val="20"/>
              </w:rPr>
            </w:pPr>
            <w:r w:rsidRPr="002A6DEA">
              <w:rPr>
                <w:rFonts w:ascii="Arial Narrow" w:hAnsi="Arial Narrow" w:cstheme="minorHAnsi"/>
                <w:b/>
                <w:bCs/>
                <w:i/>
                <w:iCs/>
                <w:sz w:val="20"/>
                <w:szCs w:val="20"/>
              </w:rPr>
              <w:t xml:space="preserve">Alternative unit costs in </w:t>
            </w:r>
            <w:r w:rsidR="00302988" w:rsidRPr="002A6DEA">
              <w:rPr>
                <w:rFonts w:ascii="Arial Narrow" w:hAnsi="Arial Narrow" w:cstheme="minorHAnsi"/>
                <w:b/>
                <w:bCs/>
                <w:i/>
                <w:iCs/>
                <w:sz w:val="20"/>
                <w:szCs w:val="20"/>
              </w:rPr>
              <w:t>c</w:t>
            </w:r>
            <w:r w:rsidRPr="002A6DEA">
              <w:rPr>
                <w:rFonts w:ascii="Arial Narrow" w:hAnsi="Arial Narrow" w:cstheme="minorHAnsi"/>
                <w:b/>
                <w:bCs/>
                <w:i/>
                <w:iCs/>
                <w:sz w:val="20"/>
                <w:szCs w:val="20"/>
              </w:rPr>
              <w:t>ommentary’s CEA</w:t>
            </w:r>
          </w:p>
        </w:tc>
        <w:tc>
          <w:tcPr>
            <w:tcW w:w="851" w:type="dxa"/>
            <w:tcBorders>
              <w:top w:val="single" w:sz="4" w:space="0" w:color="auto"/>
              <w:bottom w:val="single" w:sz="4" w:space="0" w:color="auto"/>
            </w:tcBorders>
            <w:shd w:val="clear" w:color="auto" w:fill="auto"/>
            <w:vAlign w:val="center"/>
          </w:tcPr>
          <w:p w14:paraId="1B1790D8" w14:textId="77777777" w:rsidR="00656D1C" w:rsidRPr="002A6DEA" w:rsidRDefault="00656D1C" w:rsidP="00505F8B">
            <w:pPr>
              <w:widowControl w:val="0"/>
              <w:tabs>
                <w:tab w:val="left" w:pos="851"/>
              </w:tabs>
              <w:spacing w:before="40" w:after="40"/>
              <w:jc w:val="center"/>
              <w:rPr>
                <w:rFonts w:ascii="Arial Narrow" w:hAnsi="Arial Narrow" w:cstheme="minorHAnsi"/>
                <w:b/>
                <w:i/>
                <w:sz w:val="20"/>
                <w:szCs w:val="20"/>
              </w:rPr>
            </w:pPr>
            <w:r w:rsidRPr="002A6DEA">
              <w:rPr>
                <w:rFonts w:ascii="Arial Narrow" w:hAnsi="Arial Narrow" w:cstheme="minorHAnsi"/>
                <w:i/>
                <w:sz w:val="20"/>
                <w:szCs w:val="20"/>
              </w:rPr>
              <w:t>4.11 (3.14,5.39)</w:t>
            </w:r>
          </w:p>
        </w:tc>
        <w:tc>
          <w:tcPr>
            <w:tcW w:w="1134" w:type="dxa"/>
            <w:tcBorders>
              <w:top w:val="single" w:sz="4" w:space="0" w:color="auto"/>
              <w:bottom w:val="single" w:sz="4" w:space="0" w:color="auto"/>
            </w:tcBorders>
            <w:shd w:val="clear" w:color="auto" w:fill="auto"/>
            <w:vAlign w:val="center"/>
          </w:tcPr>
          <w:p w14:paraId="721C6DA1" w14:textId="77777777" w:rsidR="00656D1C" w:rsidRPr="002A6DEA" w:rsidRDefault="00656D1C" w:rsidP="00505F8B">
            <w:pPr>
              <w:widowControl w:val="0"/>
              <w:tabs>
                <w:tab w:val="left" w:pos="851"/>
              </w:tabs>
              <w:spacing w:before="40" w:after="40"/>
              <w:jc w:val="center"/>
              <w:rPr>
                <w:rFonts w:ascii="Arial Narrow" w:hAnsi="Arial Narrow" w:cstheme="minorHAnsi"/>
                <w:b/>
                <w:i/>
                <w:sz w:val="20"/>
                <w:szCs w:val="20"/>
              </w:rPr>
            </w:pPr>
            <w:r w:rsidRPr="002A6DEA">
              <w:rPr>
                <w:rFonts w:ascii="Arial Narrow" w:hAnsi="Arial Narrow" w:cstheme="minorHAnsi"/>
                <w:i/>
                <w:sz w:val="20"/>
                <w:szCs w:val="20"/>
              </w:rPr>
              <w:t>3.85 (2.94,5.04)</w:t>
            </w:r>
          </w:p>
        </w:tc>
        <w:tc>
          <w:tcPr>
            <w:tcW w:w="1275" w:type="dxa"/>
            <w:tcBorders>
              <w:top w:val="single" w:sz="4" w:space="0" w:color="auto"/>
              <w:bottom w:val="single" w:sz="4" w:space="0" w:color="auto"/>
            </w:tcBorders>
            <w:shd w:val="clear" w:color="auto" w:fill="auto"/>
            <w:vAlign w:val="center"/>
          </w:tcPr>
          <w:p w14:paraId="47A6BE69" w14:textId="77777777" w:rsidR="00656D1C" w:rsidRPr="002A6DEA" w:rsidRDefault="00656D1C" w:rsidP="00505F8B">
            <w:pPr>
              <w:widowControl w:val="0"/>
              <w:tabs>
                <w:tab w:val="left" w:pos="851"/>
              </w:tabs>
              <w:spacing w:before="40" w:after="40"/>
              <w:jc w:val="center"/>
              <w:rPr>
                <w:rFonts w:ascii="Arial Narrow" w:hAnsi="Arial Narrow" w:cstheme="minorHAnsi"/>
                <w:i/>
                <w:sz w:val="20"/>
                <w:szCs w:val="20"/>
              </w:rPr>
            </w:pPr>
            <w:r w:rsidRPr="002A6DEA">
              <w:rPr>
                <w:rFonts w:ascii="Arial Narrow" w:hAnsi="Arial Narrow" w:cstheme="minorHAnsi"/>
                <w:i/>
                <w:sz w:val="20"/>
                <w:szCs w:val="20"/>
              </w:rPr>
              <w:t>0.27</w:t>
            </w:r>
          </w:p>
          <w:p w14:paraId="62E3A4F9" w14:textId="77777777" w:rsidR="00656D1C" w:rsidRPr="002A6DEA" w:rsidRDefault="00656D1C" w:rsidP="00505F8B">
            <w:pPr>
              <w:widowControl w:val="0"/>
              <w:tabs>
                <w:tab w:val="left" w:pos="851"/>
              </w:tabs>
              <w:spacing w:before="40" w:after="40"/>
              <w:jc w:val="center"/>
              <w:rPr>
                <w:rFonts w:ascii="Arial Narrow" w:hAnsi="Arial Narrow" w:cstheme="minorHAnsi"/>
                <w:b/>
                <w:i/>
                <w:sz w:val="20"/>
                <w:szCs w:val="20"/>
              </w:rPr>
            </w:pPr>
            <w:r w:rsidRPr="002A6DEA">
              <w:rPr>
                <w:rFonts w:ascii="Arial Narrow" w:hAnsi="Arial Narrow" w:cstheme="minorHAnsi"/>
                <w:i/>
                <w:sz w:val="20"/>
                <w:szCs w:val="20"/>
              </w:rPr>
              <w:t>(-0.05,0.59)</w:t>
            </w:r>
          </w:p>
        </w:tc>
        <w:tc>
          <w:tcPr>
            <w:tcW w:w="709" w:type="dxa"/>
            <w:tcBorders>
              <w:top w:val="single" w:sz="4" w:space="0" w:color="auto"/>
              <w:bottom w:val="single" w:sz="4" w:space="0" w:color="auto"/>
            </w:tcBorders>
            <w:shd w:val="clear" w:color="auto" w:fill="auto"/>
            <w:vAlign w:val="center"/>
          </w:tcPr>
          <w:p w14:paraId="523CD4B3" w14:textId="77777777" w:rsidR="00656D1C" w:rsidRPr="002A6DEA" w:rsidRDefault="00656D1C" w:rsidP="00505F8B">
            <w:pPr>
              <w:widowControl w:val="0"/>
              <w:tabs>
                <w:tab w:val="left" w:pos="851"/>
              </w:tabs>
              <w:spacing w:before="40" w:after="40"/>
              <w:jc w:val="center"/>
              <w:rPr>
                <w:rFonts w:ascii="Arial Narrow" w:hAnsi="Arial Narrow" w:cstheme="minorHAnsi"/>
                <w:b/>
                <w:i/>
                <w:sz w:val="20"/>
                <w:szCs w:val="20"/>
              </w:rPr>
            </w:pPr>
            <w:r w:rsidRPr="002A6DEA">
              <w:rPr>
                <w:rFonts w:ascii="Arial Narrow" w:hAnsi="Arial Narrow" w:cstheme="minorHAnsi"/>
                <w:i/>
                <w:sz w:val="20"/>
                <w:szCs w:val="20"/>
              </w:rPr>
              <w:t>0.10</w:t>
            </w:r>
          </w:p>
        </w:tc>
        <w:tc>
          <w:tcPr>
            <w:tcW w:w="851" w:type="dxa"/>
            <w:tcBorders>
              <w:top w:val="single" w:sz="4" w:space="0" w:color="auto"/>
              <w:bottom w:val="single" w:sz="4" w:space="0" w:color="auto"/>
            </w:tcBorders>
            <w:vAlign w:val="center"/>
          </w:tcPr>
          <w:p w14:paraId="02B8B49E" w14:textId="77777777" w:rsidR="00656D1C" w:rsidRPr="002A6DEA" w:rsidRDefault="00656D1C" w:rsidP="00505F8B">
            <w:pPr>
              <w:widowControl w:val="0"/>
              <w:tabs>
                <w:tab w:val="left" w:pos="851"/>
              </w:tabs>
              <w:spacing w:before="40" w:after="40"/>
              <w:jc w:val="center"/>
              <w:rPr>
                <w:rFonts w:ascii="Arial Narrow" w:hAnsi="Arial Narrow" w:cstheme="minorHAnsi"/>
                <w:i/>
                <w:sz w:val="20"/>
                <w:szCs w:val="20"/>
              </w:rPr>
            </w:pPr>
            <w:r w:rsidRPr="002A6DEA">
              <w:rPr>
                <w:rFonts w:ascii="Arial Narrow" w:hAnsi="Arial Narrow" w:cstheme="minorHAnsi"/>
                <w:i/>
                <w:sz w:val="20"/>
                <w:szCs w:val="20"/>
              </w:rPr>
              <w:t>$832</w:t>
            </w:r>
          </w:p>
        </w:tc>
        <w:tc>
          <w:tcPr>
            <w:tcW w:w="992" w:type="dxa"/>
            <w:tcBorders>
              <w:top w:val="single" w:sz="4" w:space="0" w:color="auto"/>
              <w:bottom w:val="single" w:sz="4" w:space="0" w:color="auto"/>
            </w:tcBorders>
            <w:vAlign w:val="center"/>
          </w:tcPr>
          <w:p w14:paraId="02F5BFDC" w14:textId="77777777" w:rsidR="00656D1C" w:rsidRPr="002A6DEA" w:rsidRDefault="00656D1C" w:rsidP="00505F8B">
            <w:pPr>
              <w:widowControl w:val="0"/>
              <w:tabs>
                <w:tab w:val="left" w:pos="851"/>
              </w:tabs>
              <w:spacing w:before="40" w:after="40"/>
              <w:jc w:val="center"/>
              <w:rPr>
                <w:rFonts w:ascii="Arial Narrow" w:hAnsi="Arial Narrow" w:cstheme="minorHAnsi"/>
                <w:i/>
                <w:sz w:val="20"/>
                <w:szCs w:val="20"/>
              </w:rPr>
            </w:pPr>
            <w:r w:rsidRPr="002A6DEA">
              <w:rPr>
                <w:rFonts w:ascii="Arial Narrow" w:hAnsi="Arial Narrow" w:cstheme="minorHAnsi"/>
                <w:i/>
                <w:sz w:val="20"/>
                <w:szCs w:val="20"/>
              </w:rPr>
              <w:t>$3,082</w:t>
            </w:r>
          </w:p>
        </w:tc>
        <w:tc>
          <w:tcPr>
            <w:tcW w:w="1843" w:type="dxa"/>
            <w:tcBorders>
              <w:top w:val="single" w:sz="4" w:space="0" w:color="auto"/>
              <w:bottom w:val="single" w:sz="4" w:space="0" w:color="auto"/>
            </w:tcBorders>
            <w:vAlign w:val="center"/>
          </w:tcPr>
          <w:p w14:paraId="28CDFFB7" w14:textId="54BF53E5" w:rsidR="00656D1C" w:rsidRPr="002A6DEA" w:rsidRDefault="00656D1C" w:rsidP="005B6EDF">
            <w:pPr>
              <w:widowControl w:val="0"/>
              <w:tabs>
                <w:tab w:val="left" w:pos="851"/>
              </w:tabs>
              <w:spacing w:before="40" w:after="40"/>
              <w:jc w:val="center"/>
              <w:rPr>
                <w:rFonts w:ascii="Arial Narrow" w:hAnsi="Arial Narrow" w:cstheme="minorHAnsi"/>
                <w:b/>
                <w:i/>
                <w:sz w:val="20"/>
                <w:szCs w:val="20"/>
              </w:rPr>
            </w:pPr>
            <w:r w:rsidRPr="002A6DEA">
              <w:rPr>
                <w:rFonts w:ascii="Arial Narrow" w:hAnsi="Arial Narrow" w:cstheme="minorHAnsi"/>
                <w:i/>
                <w:sz w:val="20"/>
                <w:szCs w:val="20"/>
              </w:rPr>
              <w:t>ITT sample 291 participants; useful service life of initial capital outlay is 5 years, MBS/6PCA unit costs</w:t>
            </w:r>
          </w:p>
        </w:tc>
      </w:tr>
    </w:tbl>
    <w:p w14:paraId="06EF0AED" w14:textId="77777777" w:rsidR="00B520FC" w:rsidRPr="002A6DEA" w:rsidRDefault="00B520FC" w:rsidP="00B520FC">
      <w:pPr>
        <w:pStyle w:val="Instructionaltext-bullet"/>
        <w:numPr>
          <w:ilvl w:val="0"/>
          <w:numId w:val="0"/>
        </w:numPr>
        <w:contextualSpacing/>
        <w:rPr>
          <w:rFonts w:ascii="Arial Narrow" w:hAnsi="Arial Narrow"/>
          <w:color w:val="auto"/>
          <w:sz w:val="18"/>
          <w:szCs w:val="18"/>
        </w:rPr>
      </w:pPr>
      <w:r w:rsidRPr="002A6DEA">
        <w:rPr>
          <w:rFonts w:ascii="Arial Narrow" w:hAnsi="Arial Narrow"/>
          <w:color w:val="auto"/>
          <w:sz w:val="18"/>
          <w:szCs w:val="18"/>
        </w:rPr>
        <w:t>Source: Adapted from Table 4, p16 of the ADAR with commentary in italics</w:t>
      </w:r>
    </w:p>
    <w:p w14:paraId="1B82DFF2" w14:textId="3277428B" w:rsidR="00B520FC" w:rsidRPr="002A6DEA" w:rsidRDefault="00B520FC" w:rsidP="00B520FC">
      <w:pPr>
        <w:pStyle w:val="Tablenotes"/>
        <w:spacing w:before="0" w:after="0"/>
        <w:rPr>
          <w:szCs w:val="18"/>
        </w:rPr>
      </w:pPr>
      <w:r w:rsidRPr="002A6DEA">
        <w:rPr>
          <w:szCs w:val="18"/>
        </w:rPr>
        <w:t xml:space="preserve">Abbreviations: ADAR=applicant developed assessment report; CEA=cost-effectiveness analysis; CI=confidence interval; ED=emergency department; </w:t>
      </w:r>
      <w:r w:rsidR="000F7122" w:rsidRPr="002A6DEA">
        <w:t>IMeRSe= Indigenous Medication Review Service</w:t>
      </w:r>
      <w:r w:rsidR="000F7122" w:rsidRPr="002A6DEA">
        <w:rPr>
          <w:szCs w:val="18"/>
        </w:rPr>
        <w:t xml:space="preserve">; </w:t>
      </w:r>
      <w:r w:rsidRPr="002A6DEA">
        <w:rPr>
          <w:szCs w:val="18"/>
        </w:rPr>
        <w:t>ITT=intention to treat; MBS=Medicare Benefits Schedule; MRP=medication-related problems; 6CPA=Sixth Community Pharmacy Agreement</w:t>
      </w:r>
    </w:p>
    <w:p w14:paraId="3CA64751" w14:textId="25AA276F" w:rsidR="00B520FC" w:rsidRPr="002A6DEA" w:rsidRDefault="00B520FC" w:rsidP="007C620E">
      <w:pPr>
        <w:pStyle w:val="Tablenotes"/>
        <w:spacing w:before="0" w:after="240"/>
        <w:contextualSpacing w:val="0"/>
        <w:rPr>
          <w:szCs w:val="18"/>
        </w:rPr>
      </w:pPr>
      <w:r w:rsidRPr="002A6DEA">
        <w:rPr>
          <w:szCs w:val="18"/>
        </w:rPr>
        <w:t xml:space="preserve">Note: The rate is reported as a rate per person per 6 months, estimated using a mixed effects Poisson model. Although the incidence rate ratio was found to be statistically significant at the 10% level, the difference between rates, computed using the Stata nlcom command (for on-linear combinations of estimators) was not statistically significant. </w:t>
      </w:r>
    </w:p>
    <w:p w14:paraId="178383A0" w14:textId="456D16DD" w:rsidR="009F7B7E" w:rsidRDefault="009F7B7E" w:rsidP="00453332">
      <w:pPr>
        <w:pStyle w:val="Instructionaltext-bullet"/>
        <w:numPr>
          <w:ilvl w:val="0"/>
          <w:numId w:val="0"/>
        </w:numPr>
        <w:rPr>
          <w:iCs/>
          <w:color w:val="auto"/>
        </w:rPr>
      </w:pPr>
      <w:r w:rsidRPr="002A6DEA">
        <w:rPr>
          <w:iCs/>
          <w:color w:val="auto"/>
        </w:rPr>
        <w:t>Using in-</w:t>
      </w:r>
      <w:r w:rsidR="00302988" w:rsidRPr="002A6DEA">
        <w:rPr>
          <w:iCs/>
          <w:color w:val="auto"/>
        </w:rPr>
        <w:t>study</w:t>
      </w:r>
      <w:r w:rsidRPr="002A6DEA">
        <w:rPr>
          <w:iCs/>
          <w:color w:val="auto"/>
        </w:rPr>
        <w:t xml:space="preserve"> unit costs</w:t>
      </w:r>
      <w:r w:rsidR="00311DDF" w:rsidRPr="002A6DEA">
        <w:rPr>
          <w:iCs/>
          <w:color w:val="auto"/>
        </w:rPr>
        <w:t>, the</w:t>
      </w:r>
      <w:r w:rsidR="00425AD1" w:rsidRPr="002A6DEA">
        <w:rPr>
          <w:iCs/>
          <w:color w:val="auto"/>
        </w:rPr>
        <w:t xml:space="preserve"> various denominators </w:t>
      </w:r>
      <w:r w:rsidR="00311DDF" w:rsidRPr="002A6DEA">
        <w:rPr>
          <w:iCs/>
          <w:color w:val="auto"/>
        </w:rPr>
        <w:t xml:space="preserve">as in the original calculations </w:t>
      </w:r>
      <w:r w:rsidR="00073AD3" w:rsidRPr="002A6DEA">
        <w:rPr>
          <w:iCs/>
          <w:color w:val="auto"/>
        </w:rPr>
        <w:t xml:space="preserve">and </w:t>
      </w:r>
      <w:r w:rsidR="00311DDF" w:rsidRPr="002A6DEA">
        <w:rPr>
          <w:iCs/>
          <w:color w:val="auto"/>
        </w:rPr>
        <w:t xml:space="preserve">an </w:t>
      </w:r>
      <w:r w:rsidR="00425AD1" w:rsidRPr="002A6DEA">
        <w:rPr>
          <w:iCs/>
          <w:color w:val="auto"/>
        </w:rPr>
        <w:t xml:space="preserve">assumption of </w:t>
      </w:r>
      <w:r w:rsidR="00C25FE3" w:rsidRPr="002A6DEA">
        <w:rPr>
          <w:iCs/>
          <w:color w:val="auto"/>
        </w:rPr>
        <w:t>7</w:t>
      </w:r>
      <w:r w:rsidR="00425AD1" w:rsidRPr="002A6DEA">
        <w:rPr>
          <w:iCs/>
          <w:color w:val="auto"/>
        </w:rPr>
        <w:t xml:space="preserve"> years of useful life of the initial investment</w:t>
      </w:r>
      <w:r w:rsidR="00311DDF" w:rsidRPr="002A6DEA">
        <w:rPr>
          <w:iCs/>
          <w:color w:val="auto"/>
        </w:rPr>
        <w:t xml:space="preserve">, </w:t>
      </w:r>
      <w:r w:rsidRPr="002A6DEA">
        <w:rPr>
          <w:iCs/>
          <w:color w:val="auto"/>
        </w:rPr>
        <w:t>the</w:t>
      </w:r>
      <w:r w:rsidR="00311DDF" w:rsidRPr="002A6DEA">
        <w:rPr>
          <w:iCs/>
          <w:color w:val="auto"/>
        </w:rPr>
        <w:t xml:space="preserve"> ADAR estimated the</w:t>
      </w:r>
      <w:r w:rsidRPr="002A6DEA">
        <w:rPr>
          <w:iCs/>
          <w:color w:val="auto"/>
        </w:rPr>
        <w:t xml:space="preserve"> incremental cost per additional serious MRP avoided at </w:t>
      </w:r>
      <w:r w:rsidRPr="002A6DEA">
        <w:rPr>
          <w:color w:val="auto"/>
        </w:rPr>
        <w:t>$</w:t>
      </w:r>
      <w:r w:rsidR="00425AD1" w:rsidRPr="002A6DEA">
        <w:rPr>
          <w:color w:val="auto"/>
        </w:rPr>
        <w:t>1,822</w:t>
      </w:r>
      <w:r w:rsidR="00311DDF" w:rsidRPr="002A6DEA">
        <w:rPr>
          <w:iCs/>
          <w:color w:val="auto"/>
        </w:rPr>
        <w:t>.</w:t>
      </w:r>
      <w:r w:rsidR="00433C20" w:rsidRPr="002A6DEA">
        <w:rPr>
          <w:iCs/>
          <w:color w:val="auto"/>
        </w:rPr>
        <w:t xml:space="preserve"> </w:t>
      </w:r>
      <w:r w:rsidRPr="002A6DEA">
        <w:rPr>
          <w:iCs/>
          <w:color w:val="auto"/>
        </w:rPr>
        <w:t>After</w:t>
      </w:r>
      <w:r w:rsidR="00311DDF" w:rsidRPr="002A6DEA">
        <w:rPr>
          <w:iCs/>
          <w:color w:val="auto"/>
        </w:rPr>
        <w:t xml:space="preserve"> </w:t>
      </w:r>
      <w:r w:rsidR="00073AD3" w:rsidRPr="002A6DEA">
        <w:rPr>
          <w:iCs/>
          <w:color w:val="auto"/>
        </w:rPr>
        <w:t xml:space="preserve">adjusting for the size of the ITT cohort, </w:t>
      </w:r>
      <w:r w:rsidR="00311DDF" w:rsidRPr="002A6DEA">
        <w:rPr>
          <w:iCs/>
          <w:color w:val="auto"/>
        </w:rPr>
        <w:t xml:space="preserve">and under the more conservative assumption of 5 years of useful life of the initial investment, </w:t>
      </w:r>
      <w:r w:rsidRPr="002A6DEA">
        <w:rPr>
          <w:iCs/>
          <w:color w:val="auto"/>
        </w:rPr>
        <w:t xml:space="preserve">the incremental cost per additional serious MRP avoided is estimated at </w:t>
      </w:r>
      <w:r w:rsidRPr="002A6DEA">
        <w:rPr>
          <w:color w:val="auto"/>
        </w:rPr>
        <w:t>$2,104</w:t>
      </w:r>
      <w:r w:rsidRPr="002A6DEA">
        <w:rPr>
          <w:iCs/>
          <w:color w:val="auto"/>
        </w:rPr>
        <w:t xml:space="preserve">. Applying the MBS/6PCA unit costs to the resource use as recorded in the IMeRSe </w:t>
      </w:r>
      <w:r w:rsidR="005526CA" w:rsidRPr="002A6DEA">
        <w:rPr>
          <w:iCs/>
          <w:color w:val="auto"/>
        </w:rPr>
        <w:t>F</w:t>
      </w:r>
      <w:r w:rsidRPr="002A6DEA">
        <w:rPr>
          <w:iCs/>
          <w:color w:val="auto"/>
        </w:rPr>
        <w:t xml:space="preserve">easibility </w:t>
      </w:r>
      <w:r w:rsidR="005526CA" w:rsidRPr="002A6DEA">
        <w:rPr>
          <w:iCs/>
          <w:color w:val="auto"/>
        </w:rPr>
        <w:t>S</w:t>
      </w:r>
      <w:r w:rsidRPr="002A6DEA">
        <w:rPr>
          <w:iCs/>
          <w:color w:val="auto"/>
        </w:rPr>
        <w:t xml:space="preserve">tudy produced even a higher ICER estimate of </w:t>
      </w:r>
      <w:r w:rsidRPr="002A6DEA">
        <w:rPr>
          <w:color w:val="auto"/>
        </w:rPr>
        <w:t>$3,082</w:t>
      </w:r>
      <w:r w:rsidRPr="002A6DEA">
        <w:rPr>
          <w:iCs/>
          <w:color w:val="auto"/>
        </w:rPr>
        <w:t>.</w:t>
      </w:r>
    </w:p>
    <w:p w14:paraId="50F1041E" w14:textId="1D954CCB" w:rsidR="000F7122" w:rsidRPr="000F7122" w:rsidRDefault="000F7122" w:rsidP="007C620E">
      <w:pPr>
        <w:pStyle w:val="Instructionaltext-bullet"/>
        <w:numPr>
          <w:ilvl w:val="0"/>
          <w:numId w:val="0"/>
        </w:numPr>
        <w:spacing w:before="240"/>
        <w:rPr>
          <w:color w:val="auto"/>
        </w:rPr>
      </w:pPr>
      <w:r>
        <w:rPr>
          <w:iCs/>
          <w:color w:val="auto"/>
        </w:rPr>
        <w:t xml:space="preserve">The key drivers of model are summaries </w:t>
      </w:r>
      <w:r w:rsidRPr="009A34D2">
        <w:rPr>
          <w:color w:val="auto"/>
        </w:rPr>
        <w:t xml:space="preserve">in </w:t>
      </w:r>
      <w:r w:rsidRPr="009A34D2">
        <w:rPr>
          <w:color w:val="auto"/>
        </w:rPr>
        <w:fldChar w:fldCharType="begin"/>
      </w:r>
      <w:r w:rsidRPr="00DD6784">
        <w:rPr>
          <w:color w:val="auto"/>
        </w:rPr>
        <w:instrText xml:space="preserve"> REF _Ref69726321 \h </w:instrText>
      </w:r>
      <w:r w:rsidR="00E27998" w:rsidRPr="00DD6784">
        <w:rPr>
          <w:color w:val="auto"/>
        </w:rPr>
        <w:instrText xml:space="preserve"> \* MERGEFORMAT </w:instrText>
      </w:r>
      <w:r w:rsidRPr="009A34D2">
        <w:rPr>
          <w:color w:val="auto"/>
        </w:rPr>
      </w:r>
      <w:r w:rsidRPr="009A34D2">
        <w:rPr>
          <w:color w:val="auto"/>
        </w:rPr>
        <w:fldChar w:fldCharType="separate"/>
      </w:r>
      <w:r w:rsidR="00A45EE3" w:rsidRPr="00A45EE3">
        <w:rPr>
          <w:color w:val="auto"/>
        </w:rPr>
        <w:t>Table 9</w:t>
      </w:r>
      <w:r w:rsidRPr="009A34D2">
        <w:rPr>
          <w:color w:val="auto"/>
        </w:rPr>
        <w:fldChar w:fldCharType="end"/>
      </w:r>
      <w:r w:rsidRPr="009A34D2">
        <w:rPr>
          <w:color w:val="auto"/>
        </w:rPr>
        <w:t>.</w:t>
      </w:r>
    </w:p>
    <w:p w14:paraId="4AAF9834" w14:textId="3FD87B02" w:rsidR="00453332" w:rsidRPr="00CE28E3" w:rsidRDefault="00453332" w:rsidP="00453332">
      <w:pPr>
        <w:pStyle w:val="Caption"/>
      </w:pPr>
      <w:bookmarkStart w:id="38" w:name="_Ref69726321"/>
      <w:r w:rsidRPr="00CE28E3">
        <w:t>Table</w:t>
      </w:r>
      <w:r>
        <w:t> </w:t>
      </w:r>
      <w:r w:rsidR="00791FAA">
        <w:fldChar w:fldCharType="begin"/>
      </w:r>
      <w:r w:rsidR="00791FAA">
        <w:instrText xml:space="preserve"> SEQ Table \* ARABIC </w:instrText>
      </w:r>
      <w:r w:rsidR="00791FAA">
        <w:fldChar w:fldCharType="separate"/>
      </w:r>
      <w:r w:rsidR="00A45EE3">
        <w:rPr>
          <w:noProof/>
        </w:rPr>
        <w:t>9</w:t>
      </w:r>
      <w:r w:rsidR="00791FAA">
        <w:rPr>
          <w:noProof/>
        </w:rPr>
        <w:fldChar w:fldCharType="end"/>
      </w:r>
      <w:bookmarkEnd w:id="38"/>
      <w:r w:rsidRPr="00CE28E3">
        <w:tab/>
        <w:t>Key drivers of the model</w:t>
      </w:r>
      <w:r>
        <w:t xml:space="preserve"> (</w:t>
      </w:r>
      <w:r w:rsidR="000F7122">
        <w:t>with commentary revisions in italics</w:t>
      </w:r>
      <w:r>
        <w:t>)</w:t>
      </w:r>
    </w:p>
    <w:tbl>
      <w:tblPr>
        <w:tblStyle w:val="TableGrid1"/>
        <w:tblW w:w="5000" w:type="pct"/>
        <w:tblLayout w:type="fixed"/>
        <w:tblCellMar>
          <w:left w:w="28" w:type="dxa"/>
          <w:right w:w="28" w:type="dxa"/>
        </w:tblCellMar>
        <w:tblLook w:val="04A0" w:firstRow="1" w:lastRow="0" w:firstColumn="1" w:lastColumn="0" w:noHBand="0" w:noVBand="1"/>
        <w:tblDescription w:val="Key drivers of the model "/>
      </w:tblPr>
      <w:tblGrid>
        <w:gridCol w:w="1414"/>
        <w:gridCol w:w="3826"/>
        <w:gridCol w:w="3776"/>
      </w:tblGrid>
      <w:tr w:rsidR="00453332" w:rsidRPr="002A6DEA" w14:paraId="35309040" w14:textId="77777777" w:rsidTr="00996135">
        <w:trPr>
          <w:cnfStyle w:val="100000000000" w:firstRow="1" w:lastRow="0" w:firstColumn="0" w:lastColumn="0" w:oddVBand="0" w:evenVBand="0" w:oddHBand="0" w:evenHBand="0" w:firstRowFirstColumn="0" w:firstRowLastColumn="0" w:lastRowFirstColumn="0" w:lastRowLastColumn="0"/>
          <w:tblHeader/>
        </w:trPr>
        <w:tc>
          <w:tcPr>
            <w:tcW w:w="784" w:type="pct"/>
            <w:shd w:val="clear" w:color="auto" w:fill="auto"/>
            <w:vAlign w:val="center"/>
          </w:tcPr>
          <w:p w14:paraId="4D6EE918" w14:textId="77777777" w:rsidR="00453332" w:rsidRPr="002A6DEA" w:rsidRDefault="00453332" w:rsidP="00996135">
            <w:pPr>
              <w:pStyle w:val="In-tableHeading"/>
              <w:jc w:val="center"/>
            </w:pPr>
            <w:bookmarkStart w:id="39" w:name="Title_Table10" w:colFirst="0" w:colLast="0"/>
            <w:bookmarkStart w:id="40" w:name="_Hlk68276626"/>
            <w:r w:rsidRPr="002A6DEA">
              <w:t>Description</w:t>
            </w:r>
          </w:p>
        </w:tc>
        <w:tc>
          <w:tcPr>
            <w:tcW w:w="2122" w:type="pct"/>
            <w:shd w:val="clear" w:color="auto" w:fill="auto"/>
            <w:vAlign w:val="center"/>
          </w:tcPr>
          <w:p w14:paraId="32F10E45" w14:textId="77777777" w:rsidR="00453332" w:rsidRPr="002A6DEA" w:rsidRDefault="00453332" w:rsidP="00996135">
            <w:pPr>
              <w:pStyle w:val="In-tableHeading"/>
              <w:jc w:val="center"/>
            </w:pPr>
            <w:r w:rsidRPr="002A6DEA">
              <w:t>Method/Value</w:t>
            </w:r>
          </w:p>
        </w:tc>
        <w:tc>
          <w:tcPr>
            <w:tcW w:w="2094" w:type="pct"/>
            <w:shd w:val="clear" w:color="auto" w:fill="auto"/>
            <w:vAlign w:val="center"/>
          </w:tcPr>
          <w:p w14:paraId="64BD2AA8" w14:textId="77777777" w:rsidR="00453332" w:rsidRPr="002A6DEA" w:rsidRDefault="00453332" w:rsidP="00996135">
            <w:pPr>
              <w:pStyle w:val="In-tableHeading"/>
              <w:jc w:val="center"/>
            </w:pPr>
            <w:r w:rsidRPr="002A6DEA">
              <w:t>Impact</w:t>
            </w:r>
          </w:p>
          <w:p w14:paraId="481A54B5" w14:textId="77777777" w:rsidR="00453332" w:rsidRPr="002A6DEA" w:rsidRDefault="00453332" w:rsidP="00996135">
            <w:pPr>
              <w:pStyle w:val="In-tableHeading"/>
              <w:spacing w:after="160"/>
              <w:jc w:val="center"/>
            </w:pPr>
            <w:r w:rsidRPr="002A6DEA">
              <w:rPr>
                <w:rFonts w:cs="Arial"/>
                <w:szCs w:val="20"/>
              </w:rPr>
              <w:t>Base case: $2,104 per MRP prevented</w:t>
            </w:r>
          </w:p>
        </w:tc>
      </w:tr>
      <w:bookmarkEnd w:id="39"/>
      <w:tr w:rsidR="00453332" w:rsidRPr="002A6DEA" w14:paraId="1842EE6E" w14:textId="77777777" w:rsidTr="00996135">
        <w:tc>
          <w:tcPr>
            <w:tcW w:w="784" w:type="pct"/>
            <w:shd w:val="clear" w:color="auto" w:fill="auto"/>
            <w:vAlign w:val="center"/>
          </w:tcPr>
          <w:p w14:paraId="231AC1B1" w14:textId="77777777" w:rsidR="00453332" w:rsidRPr="002A6DEA" w:rsidRDefault="00453332" w:rsidP="00996135">
            <w:pPr>
              <w:pStyle w:val="TableText"/>
              <w:jc w:val="center"/>
              <w:rPr>
                <w:lang w:val="en-US"/>
              </w:rPr>
            </w:pPr>
            <w:r w:rsidRPr="002A6DEA">
              <w:rPr>
                <w:lang w:val="en-US"/>
              </w:rPr>
              <w:t>Variation around the effectiveness estimate</w:t>
            </w:r>
          </w:p>
        </w:tc>
        <w:tc>
          <w:tcPr>
            <w:tcW w:w="2122" w:type="pct"/>
            <w:shd w:val="clear" w:color="auto" w:fill="auto"/>
            <w:vAlign w:val="center"/>
          </w:tcPr>
          <w:p w14:paraId="54855FFE" w14:textId="77777777" w:rsidR="00453332" w:rsidRPr="002A6DEA" w:rsidRDefault="00453332" w:rsidP="00996135">
            <w:pPr>
              <w:pStyle w:val="TableText"/>
              <w:rPr>
                <w:lang w:val="en-US"/>
              </w:rPr>
            </w:pPr>
            <w:r w:rsidRPr="002A6DEA">
              <w:rPr>
                <w:lang w:val="en-US"/>
              </w:rPr>
              <w:t>95% CI values (-0.05,0.59) in the estimated difference in the per-person per year rate of MRPs of 0.27 were used as point estimates in the sensitivity analysis.</w:t>
            </w:r>
          </w:p>
        </w:tc>
        <w:tc>
          <w:tcPr>
            <w:tcW w:w="2094" w:type="pct"/>
            <w:shd w:val="clear" w:color="auto" w:fill="auto"/>
            <w:vAlign w:val="center"/>
          </w:tcPr>
          <w:p w14:paraId="1BC0720F" w14:textId="77777777" w:rsidR="00453332" w:rsidRPr="002A6DEA" w:rsidRDefault="00453332" w:rsidP="00996135">
            <w:pPr>
              <w:pStyle w:val="TableText"/>
              <w:rPr>
                <w:i/>
                <w:lang w:val="en-US"/>
              </w:rPr>
            </w:pPr>
            <w:r w:rsidRPr="002A6DEA">
              <w:rPr>
                <w:i/>
                <w:lang w:val="en-US"/>
              </w:rPr>
              <w:t xml:space="preserve">High, but uncertain, since the 95% CI is large and includes zero. </w:t>
            </w:r>
            <w:r w:rsidRPr="002A6DEA">
              <w:rPr>
                <w:rFonts w:cs="Arial"/>
                <w:i/>
              </w:rPr>
              <w:br/>
            </w:r>
            <w:r w:rsidRPr="002A6DEA">
              <w:rPr>
                <w:i/>
                <w:lang w:val="en-US"/>
              </w:rPr>
              <w:t>Application of -0.05 means that the comparator is a dominant alternative;</w:t>
            </w:r>
          </w:p>
          <w:p w14:paraId="40E47AAC" w14:textId="77777777" w:rsidR="00453332" w:rsidRPr="002A6DEA" w:rsidRDefault="00453332" w:rsidP="00996135">
            <w:pPr>
              <w:pStyle w:val="TableText"/>
              <w:rPr>
                <w:i/>
                <w:lang w:val="en-US"/>
              </w:rPr>
            </w:pPr>
            <w:r w:rsidRPr="002A6DEA">
              <w:rPr>
                <w:i/>
                <w:lang w:val="en-US"/>
              </w:rPr>
              <w:t>Application of 0.59 decreases ICER to per MRP prevented to $963</w:t>
            </w:r>
          </w:p>
        </w:tc>
      </w:tr>
      <w:tr w:rsidR="00453332" w:rsidRPr="002A6DEA" w14:paraId="0FEFA8B6" w14:textId="77777777" w:rsidTr="00996135">
        <w:tc>
          <w:tcPr>
            <w:tcW w:w="784" w:type="pct"/>
            <w:shd w:val="clear" w:color="auto" w:fill="auto"/>
            <w:vAlign w:val="center"/>
          </w:tcPr>
          <w:p w14:paraId="5AC1B28C" w14:textId="77777777" w:rsidR="00453332" w:rsidRPr="002A6DEA" w:rsidRDefault="00453332" w:rsidP="00996135">
            <w:pPr>
              <w:pStyle w:val="TableText"/>
              <w:jc w:val="center"/>
              <w:rPr>
                <w:lang w:val="en-US"/>
              </w:rPr>
            </w:pPr>
            <w:r w:rsidRPr="002A6DEA">
              <w:rPr>
                <w:lang w:val="en-US"/>
              </w:rPr>
              <w:t>Assumption</w:t>
            </w:r>
            <w:r w:rsidRPr="002A6DEA">
              <w:t xml:space="preserve"> </w:t>
            </w:r>
            <w:r w:rsidRPr="002A6DEA">
              <w:rPr>
                <w:lang w:val="en-US"/>
              </w:rPr>
              <w:t>about the useful life of the initial investment into IMeRSe</w:t>
            </w:r>
          </w:p>
        </w:tc>
        <w:tc>
          <w:tcPr>
            <w:tcW w:w="2122" w:type="pct"/>
            <w:shd w:val="clear" w:color="auto" w:fill="auto"/>
            <w:vAlign w:val="center"/>
          </w:tcPr>
          <w:p w14:paraId="53EB94BA" w14:textId="77777777" w:rsidR="00453332" w:rsidRPr="002A6DEA" w:rsidRDefault="00453332" w:rsidP="00996135">
            <w:pPr>
              <w:pStyle w:val="TableText"/>
              <w:rPr>
                <w:lang w:val="en-US"/>
              </w:rPr>
            </w:pPr>
            <w:r w:rsidRPr="002A6DEA">
              <w:rPr>
                <w:lang w:val="en-US"/>
              </w:rPr>
              <w:t>Increasing the useful life of the initial investment into IMeRSe from 5 to 7 years</w:t>
            </w:r>
          </w:p>
        </w:tc>
        <w:tc>
          <w:tcPr>
            <w:tcW w:w="2094" w:type="pct"/>
            <w:shd w:val="clear" w:color="auto" w:fill="auto"/>
            <w:vAlign w:val="center"/>
          </w:tcPr>
          <w:p w14:paraId="0FB584AE" w14:textId="77777777" w:rsidR="00453332" w:rsidRPr="002A6DEA" w:rsidRDefault="00453332" w:rsidP="00996135">
            <w:pPr>
              <w:pStyle w:val="TableText"/>
              <w:rPr>
                <w:i/>
                <w:lang w:val="en-US"/>
              </w:rPr>
            </w:pPr>
            <w:r w:rsidRPr="002A6DEA">
              <w:rPr>
                <w:i/>
                <w:lang w:val="en-US"/>
              </w:rPr>
              <w:t xml:space="preserve">High, favors intervention </w:t>
            </w:r>
          </w:p>
          <w:p w14:paraId="41AFCA46" w14:textId="77777777" w:rsidR="00453332" w:rsidRPr="002A6DEA" w:rsidRDefault="00453332" w:rsidP="00996135">
            <w:pPr>
              <w:pStyle w:val="TableText"/>
              <w:spacing w:after="160"/>
              <w:rPr>
                <w:i/>
                <w:lang w:val="en-US"/>
              </w:rPr>
            </w:pPr>
            <w:r w:rsidRPr="002A6DEA">
              <w:rPr>
                <w:i/>
                <w:lang w:val="en-US"/>
              </w:rPr>
              <w:t>Increasing the useful life of the initial investment into IMeRSe from 5 to 7 years decreased the ICER to $1,791</w:t>
            </w:r>
          </w:p>
        </w:tc>
      </w:tr>
    </w:tbl>
    <w:p w14:paraId="642EEE78" w14:textId="7B6B041C" w:rsidR="000F7122" w:rsidRPr="002A6DEA" w:rsidRDefault="000F7122" w:rsidP="00453332">
      <w:pPr>
        <w:pStyle w:val="TableFigureFooter"/>
        <w:spacing w:before="0" w:after="0"/>
      </w:pPr>
      <w:bookmarkStart w:id="41" w:name="_Hlk68276635"/>
      <w:bookmarkEnd w:id="40"/>
      <w:r w:rsidRPr="002A6DEA">
        <w:t xml:space="preserve">Source: Compiled from p56 &amp; 57 of the ADAR with commentary in italics. </w:t>
      </w:r>
    </w:p>
    <w:p w14:paraId="78281A51" w14:textId="10E0C8A4" w:rsidR="00453332" w:rsidRPr="002A6DEA" w:rsidRDefault="000F7122" w:rsidP="00453332">
      <w:pPr>
        <w:pStyle w:val="TableFigureFooter"/>
        <w:spacing w:before="0" w:after="0"/>
      </w:pPr>
      <w:r w:rsidRPr="002A6DEA">
        <w:t xml:space="preserve">Abbreviations: CI=confidence interval; </w:t>
      </w:r>
      <w:r w:rsidR="00453332" w:rsidRPr="002A6DEA">
        <w:t xml:space="preserve">ICER = incremental cost-effectiveness ratio; </w:t>
      </w:r>
      <w:r w:rsidR="00453332" w:rsidRPr="002A6DEA">
        <w:rPr>
          <w:szCs w:val="18"/>
        </w:rPr>
        <w:t>MRP = medication-related problems;</w:t>
      </w:r>
      <w:r w:rsidR="00453332" w:rsidRPr="002A6DEA">
        <w:t xml:space="preserve"> IMeRSe= Indigenous Medication Review Service</w:t>
      </w:r>
    </w:p>
    <w:bookmarkEnd w:id="41"/>
    <w:p w14:paraId="05978524" w14:textId="05B4ACDE" w:rsidR="00453332" w:rsidRPr="000F7122" w:rsidRDefault="000F7122" w:rsidP="007C620E">
      <w:pPr>
        <w:pStyle w:val="Instructionaltext-bullet"/>
        <w:numPr>
          <w:ilvl w:val="0"/>
          <w:numId w:val="0"/>
        </w:numPr>
        <w:spacing w:before="240"/>
        <w:rPr>
          <w:iCs/>
          <w:color w:val="auto"/>
        </w:rPr>
      </w:pPr>
      <w:r w:rsidRPr="002A6DEA">
        <w:rPr>
          <w:iCs/>
          <w:color w:val="auto"/>
        </w:rPr>
        <w:t xml:space="preserve">The </w:t>
      </w:r>
      <w:r w:rsidR="00397F27" w:rsidRPr="002A6DEA">
        <w:rPr>
          <w:iCs/>
          <w:color w:val="auto"/>
        </w:rPr>
        <w:t>commentary</w:t>
      </w:r>
      <w:r w:rsidRPr="002A6DEA">
        <w:rPr>
          <w:iCs/>
          <w:color w:val="auto"/>
        </w:rPr>
        <w:t xml:space="preserve"> noted that the results of the revised </w:t>
      </w:r>
      <w:r w:rsidR="00453332" w:rsidRPr="002A6DEA">
        <w:rPr>
          <w:iCs/>
          <w:color w:val="auto"/>
        </w:rPr>
        <w:t xml:space="preserve">CEA are likely to underestimate the actual cost and should be interpreted with caution. Omitted from the total costs were </w:t>
      </w:r>
      <w:r w:rsidR="00FA62C6" w:rsidRPr="002A6DEA">
        <w:rPr>
          <w:iCs/>
          <w:color w:val="auto"/>
        </w:rPr>
        <w:t xml:space="preserve">not just </w:t>
      </w:r>
      <w:r w:rsidR="00453332" w:rsidRPr="002A6DEA">
        <w:rPr>
          <w:iCs/>
          <w:color w:val="auto"/>
        </w:rPr>
        <w:t>the GP</w:t>
      </w:r>
      <w:r w:rsidR="00296654" w:rsidRPr="002A6DEA">
        <w:rPr>
          <w:iCs/>
          <w:color w:val="auto"/>
        </w:rPr>
        <w:t xml:space="preserve"> approved</w:t>
      </w:r>
      <w:r w:rsidR="00453332" w:rsidRPr="002A6DEA">
        <w:rPr>
          <w:iCs/>
          <w:color w:val="auto"/>
        </w:rPr>
        <w:t xml:space="preserve"> changes in the medication prescriptions, </w:t>
      </w:r>
      <w:r w:rsidR="00FA62C6" w:rsidRPr="002A6DEA">
        <w:rPr>
          <w:iCs/>
          <w:color w:val="auto"/>
        </w:rPr>
        <w:t xml:space="preserve">as discussed above, but also </w:t>
      </w:r>
      <w:r w:rsidR="00453332" w:rsidRPr="002A6DEA">
        <w:rPr>
          <w:iCs/>
          <w:color w:val="auto"/>
        </w:rPr>
        <w:t xml:space="preserve">laboratory investigations and referrals to other health professionals. The extension of the time horizon from 6 months to one year would not affect the per-person cost of intervention (it is limited to one per-person per year) but may nevertheless underestimate the ongoing cost of pharmacist mentoring and the number of the observed follow-ups per person conducted by the pharmacists. Also, as discussed above the successful implementation of IMeRSe would require a special funding of the role that was performed by </w:t>
      </w:r>
      <w:r w:rsidR="00996135" w:rsidRPr="002A6DEA">
        <w:rPr>
          <w:iCs/>
          <w:color w:val="auto"/>
        </w:rPr>
        <w:t>study</w:t>
      </w:r>
      <w:r w:rsidR="00453332" w:rsidRPr="002A6DEA">
        <w:rPr>
          <w:iCs/>
          <w:color w:val="auto"/>
        </w:rPr>
        <w:t xml:space="preserve"> coordinators selected from </w:t>
      </w:r>
      <w:r w:rsidR="00996135" w:rsidRPr="002A6DEA">
        <w:rPr>
          <w:iCs/>
          <w:color w:val="auto"/>
        </w:rPr>
        <w:t>AHS</w:t>
      </w:r>
      <w:r w:rsidR="00453332" w:rsidRPr="002A6DEA">
        <w:rPr>
          <w:iCs/>
          <w:color w:val="auto"/>
        </w:rPr>
        <w:t xml:space="preserve"> staff. The </w:t>
      </w:r>
      <w:r w:rsidR="00996135" w:rsidRPr="002A6DEA">
        <w:rPr>
          <w:iCs/>
          <w:color w:val="auto"/>
        </w:rPr>
        <w:t xml:space="preserve">value </w:t>
      </w:r>
      <w:r w:rsidR="00453332" w:rsidRPr="002A6DEA">
        <w:rPr>
          <w:iCs/>
          <w:color w:val="auto"/>
        </w:rPr>
        <w:t>of th</w:t>
      </w:r>
      <w:r w:rsidR="00996135" w:rsidRPr="002A6DEA">
        <w:rPr>
          <w:iCs/>
          <w:color w:val="auto"/>
        </w:rPr>
        <w:t xml:space="preserve">is </w:t>
      </w:r>
      <w:r w:rsidR="00453332" w:rsidRPr="002A6DEA">
        <w:rPr>
          <w:iCs/>
          <w:color w:val="auto"/>
        </w:rPr>
        <w:t>cost outlay is uncertain. Finally, there is uncertainty in relation to the appropriateness of exclusion of IT devices, considered as research-related costs. Laptops and mobile devices may be needed to maintain the exchange of information between pharmacists, AHW and GPs and assist during the ongoing training, this is particularly relevant in the context of the magnitude of the technological problems, particularly with respect to the GuildCare NG™ software.</w:t>
      </w:r>
    </w:p>
    <w:p w14:paraId="19C2D42C" w14:textId="60352267" w:rsidR="00453332" w:rsidRDefault="00453332" w:rsidP="007C620E">
      <w:pPr>
        <w:spacing w:before="240"/>
      </w:pPr>
      <w:r w:rsidRPr="00CE28E3">
        <w:t xml:space="preserve">The results of key sensitivity analyses are summarised </w:t>
      </w:r>
      <w:r w:rsidR="008D66D4">
        <w:t>i</w:t>
      </w:r>
      <w:r>
        <w:t xml:space="preserve">n </w:t>
      </w:r>
      <w:r w:rsidR="00996135">
        <w:fldChar w:fldCharType="begin"/>
      </w:r>
      <w:r w:rsidR="00996135">
        <w:instrText xml:space="preserve"> REF _Ref69726347 \h </w:instrText>
      </w:r>
      <w:r w:rsidR="00996135">
        <w:fldChar w:fldCharType="separate"/>
      </w:r>
      <w:r w:rsidR="00A45EE3" w:rsidRPr="00CE28E3">
        <w:t>Table</w:t>
      </w:r>
      <w:r w:rsidR="00A45EE3">
        <w:t> </w:t>
      </w:r>
      <w:r w:rsidR="00A45EE3">
        <w:rPr>
          <w:noProof/>
        </w:rPr>
        <w:t>10</w:t>
      </w:r>
      <w:r w:rsidR="00996135">
        <w:fldChar w:fldCharType="end"/>
      </w:r>
      <w:r w:rsidRPr="00CE28E3">
        <w:t xml:space="preserve">. </w:t>
      </w:r>
    </w:p>
    <w:p w14:paraId="625252D5" w14:textId="11A19923" w:rsidR="00453332" w:rsidRPr="00CE28E3" w:rsidRDefault="00453332" w:rsidP="00996135">
      <w:pPr>
        <w:pStyle w:val="Caption"/>
      </w:pPr>
      <w:bookmarkStart w:id="42" w:name="_Ref69726347"/>
      <w:r w:rsidRPr="00CE28E3">
        <w:t>Table</w:t>
      </w:r>
      <w:r>
        <w:t> </w:t>
      </w:r>
      <w:r w:rsidR="00791FAA">
        <w:fldChar w:fldCharType="begin"/>
      </w:r>
      <w:r w:rsidR="00791FAA">
        <w:instrText xml:space="preserve"> SEQ Table \* ARABIC </w:instrText>
      </w:r>
      <w:r w:rsidR="00791FAA">
        <w:fldChar w:fldCharType="separate"/>
      </w:r>
      <w:r w:rsidR="00A45EE3">
        <w:rPr>
          <w:noProof/>
        </w:rPr>
        <w:t>10</w:t>
      </w:r>
      <w:r w:rsidR="00791FAA">
        <w:rPr>
          <w:noProof/>
        </w:rPr>
        <w:fldChar w:fldCharType="end"/>
      </w:r>
      <w:bookmarkEnd w:id="42"/>
      <w:r w:rsidRPr="00CE28E3">
        <w:tab/>
        <w:t>Sensitivity analyses</w:t>
      </w:r>
    </w:p>
    <w:tbl>
      <w:tblPr>
        <w:tblStyle w:val="TableGrid"/>
        <w:tblW w:w="9209" w:type="dxa"/>
        <w:tblLayout w:type="fixed"/>
        <w:tblLook w:val="04A0" w:firstRow="1" w:lastRow="0" w:firstColumn="1" w:lastColumn="0" w:noHBand="0" w:noVBand="1"/>
      </w:tblPr>
      <w:tblGrid>
        <w:gridCol w:w="1271"/>
        <w:gridCol w:w="1134"/>
        <w:gridCol w:w="1134"/>
        <w:gridCol w:w="1275"/>
        <w:gridCol w:w="709"/>
        <w:gridCol w:w="851"/>
        <w:gridCol w:w="1134"/>
        <w:gridCol w:w="1701"/>
      </w:tblGrid>
      <w:tr w:rsidR="00453332" w:rsidRPr="006C04AC" w14:paraId="3DE98983" w14:textId="77777777" w:rsidTr="00996135">
        <w:tc>
          <w:tcPr>
            <w:tcW w:w="1271" w:type="dxa"/>
            <w:tcBorders>
              <w:bottom w:val="single" w:sz="4" w:space="0" w:color="auto"/>
            </w:tcBorders>
            <w:vAlign w:val="center"/>
          </w:tcPr>
          <w:p w14:paraId="0B408DB9" w14:textId="77777777" w:rsidR="00453332" w:rsidRPr="006C04AC" w:rsidRDefault="00453332" w:rsidP="00996135">
            <w:pPr>
              <w:keepNext/>
              <w:widowControl w:val="0"/>
              <w:tabs>
                <w:tab w:val="left" w:pos="851"/>
              </w:tabs>
              <w:spacing w:before="40" w:after="40"/>
              <w:rPr>
                <w:rFonts w:ascii="Arial Narrow" w:hAnsi="Arial Narrow"/>
                <w:b/>
                <w:bCs/>
                <w:sz w:val="20"/>
                <w:szCs w:val="20"/>
              </w:rPr>
            </w:pPr>
            <w:r w:rsidRPr="006C04AC">
              <w:rPr>
                <w:rFonts w:ascii="Arial Narrow" w:hAnsi="Arial Narrow"/>
                <w:b/>
                <w:bCs/>
                <w:sz w:val="20"/>
                <w:szCs w:val="20"/>
              </w:rPr>
              <w:t>Scenario</w:t>
            </w:r>
          </w:p>
        </w:tc>
        <w:tc>
          <w:tcPr>
            <w:tcW w:w="1134" w:type="dxa"/>
            <w:tcBorders>
              <w:bottom w:val="single" w:sz="4" w:space="0" w:color="auto"/>
            </w:tcBorders>
            <w:shd w:val="clear" w:color="auto" w:fill="auto"/>
            <w:vAlign w:val="center"/>
          </w:tcPr>
          <w:p w14:paraId="4689AB9A" w14:textId="77777777" w:rsidR="00453332" w:rsidRPr="006C04AC" w:rsidRDefault="00453332" w:rsidP="00996135">
            <w:pPr>
              <w:keepNext/>
              <w:widowControl w:val="0"/>
              <w:tabs>
                <w:tab w:val="left" w:pos="851"/>
              </w:tabs>
              <w:spacing w:before="40" w:after="40"/>
              <w:jc w:val="center"/>
              <w:rPr>
                <w:rFonts w:ascii="Arial Narrow" w:hAnsi="Arial Narrow"/>
                <w:b/>
                <w:bCs/>
                <w:sz w:val="20"/>
                <w:szCs w:val="20"/>
              </w:rPr>
            </w:pPr>
            <w:r w:rsidRPr="006C04AC">
              <w:rPr>
                <w:rFonts w:ascii="Arial Narrow" w:hAnsi="Arial Narrow"/>
                <w:b/>
                <w:bCs/>
                <w:sz w:val="20"/>
                <w:szCs w:val="20"/>
              </w:rPr>
              <w:t>Pre-rate (95%CI)</w:t>
            </w:r>
          </w:p>
        </w:tc>
        <w:tc>
          <w:tcPr>
            <w:tcW w:w="1134" w:type="dxa"/>
            <w:tcBorders>
              <w:bottom w:val="single" w:sz="4" w:space="0" w:color="auto"/>
            </w:tcBorders>
            <w:shd w:val="clear" w:color="auto" w:fill="auto"/>
            <w:vAlign w:val="center"/>
          </w:tcPr>
          <w:p w14:paraId="2A891208" w14:textId="77777777" w:rsidR="00453332" w:rsidRPr="006C04AC" w:rsidRDefault="00453332" w:rsidP="00996135">
            <w:pPr>
              <w:keepNext/>
              <w:widowControl w:val="0"/>
              <w:tabs>
                <w:tab w:val="left" w:pos="851"/>
              </w:tabs>
              <w:spacing w:before="40" w:after="40"/>
              <w:jc w:val="center"/>
              <w:rPr>
                <w:rFonts w:ascii="Arial Narrow" w:hAnsi="Arial Narrow"/>
                <w:b/>
                <w:bCs/>
                <w:sz w:val="20"/>
                <w:szCs w:val="20"/>
              </w:rPr>
            </w:pPr>
            <w:r w:rsidRPr="006C04AC">
              <w:rPr>
                <w:rFonts w:ascii="Arial Narrow" w:hAnsi="Arial Narrow"/>
                <w:b/>
                <w:bCs/>
                <w:sz w:val="20"/>
                <w:szCs w:val="20"/>
              </w:rPr>
              <w:t>Post-rate (95%CI)</w:t>
            </w:r>
          </w:p>
        </w:tc>
        <w:tc>
          <w:tcPr>
            <w:tcW w:w="1275" w:type="dxa"/>
            <w:tcBorders>
              <w:bottom w:val="single" w:sz="4" w:space="0" w:color="auto"/>
            </w:tcBorders>
            <w:shd w:val="clear" w:color="auto" w:fill="auto"/>
            <w:vAlign w:val="center"/>
          </w:tcPr>
          <w:p w14:paraId="678583A3" w14:textId="77777777" w:rsidR="00453332" w:rsidRPr="006C04AC" w:rsidRDefault="00453332" w:rsidP="00996135">
            <w:pPr>
              <w:keepNext/>
              <w:widowControl w:val="0"/>
              <w:tabs>
                <w:tab w:val="left" w:pos="851"/>
              </w:tabs>
              <w:spacing w:before="40" w:after="40"/>
              <w:jc w:val="center"/>
              <w:rPr>
                <w:rFonts w:ascii="Arial Narrow" w:hAnsi="Arial Narrow"/>
                <w:b/>
                <w:bCs/>
                <w:sz w:val="20"/>
                <w:szCs w:val="20"/>
              </w:rPr>
            </w:pPr>
            <w:r w:rsidRPr="006C04AC">
              <w:rPr>
                <w:rFonts w:ascii="Arial Narrow" w:hAnsi="Arial Narrow"/>
                <w:b/>
                <w:bCs/>
                <w:sz w:val="20"/>
                <w:szCs w:val="20"/>
              </w:rPr>
              <w:t>Difference</w:t>
            </w:r>
          </w:p>
          <w:p w14:paraId="0817F00A" w14:textId="77777777" w:rsidR="00453332" w:rsidRPr="006C04AC" w:rsidRDefault="00453332" w:rsidP="00996135">
            <w:pPr>
              <w:keepNext/>
              <w:widowControl w:val="0"/>
              <w:tabs>
                <w:tab w:val="left" w:pos="851"/>
              </w:tabs>
              <w:spacing w:before="40" w:after="40"/>
              <w:jc w:val="center"/>
              <w:rPr>
                <w:rFonts w:ascii="Arial Narrow" w:hAnsi="Arial Narrow"/>
                <w:b/>
                <w:bCs/>
                <w:sz w:val="20"/>
                <w:szCs w:val="20"/>
              </w:rPr>
            </w:pPr>
            <w:r w:rsidRPr="006C04AC">
              <w:rPr>
                <w:rFonts w:ascii="Arial Narrow" w:hAnsi="Arial Narrow"/>
                <w:b/>
                <w:bCs/>
                <w:sz w:val="20"/>
                <w:szCs w:val="20"/>
              </w:rPr>
              <w:t>(95% CI)</w:t>
            </w:r>
          </w:p>
        </w:tc>
        <w:tc>
          <w:tcPr>
            <w:tcW w:w="709" w:type="dxa"/>
            <w:tcBorders>
              <w:bottom w:val="single" w:sz="4" w:space="0" w:color="auto"/>
            </w:tcBorders>
            <w:shd w:val="clear" w:color="auto" w:fill="auto"/>
            <w:vAlign w:val="center"/>
          </w:tcPr>
          <w:p w14:paraId="196071B9" w14:textId="77777777" w:rsidR="00453332" w:rsidRPr="006C04AC" w:rsidRDefault="00453332" w:rsidP="00996135">
            <w:pPr>
              <w:keepNext/>
              <w:widowControl w:val="0"/>
              <w:tabs>
                <w:tab w:val="left" w:pos="851"/>
              </w:tabs>
              <w:spacing w:before="40" w:after="40"/>
              <w:jc w:val="center"/>
              <w:rPr>
                <w:rFonts w:ascii="Arial Narrow" w:hAnsi="Arial Narrow"/>
                <w:b/>
                <w:bCs/>
                <w:sz w:val="20"/>
                <w:szCs w:val="20"/>
              </w:rPr>
            </w:pPr>
            <w:r w:rsidRPr="006C04AC">
              <w:rPr>
                <w:rFonts w:ascii="Arial Narrow" w:hAnsi="Arial Narrow"/>
                <w:b/>
                <w:bCs/>
                <w:sz w:val="20"/>
                <w:szCs w:val="20"/>
              </w:rPr>
              <w:t>p-value</w:t>
            </w:r>
          </w:p>
        </w:tc>
        <w:tc>
          <w:tcPr>
            <w:tcW w:w="851" w:type="dxa"/>
            <w:tcBorders>
              <w:bottom w:val="single" w:sz="4" w:space="0" w:color="auto"/>
            </w:tcBorders>
            <w:vAlign w:val="center"/>
          </w:tcPr>
          <w:p w14:paraId="23F781A1" w14:textId="77777777" w:rsidR="00453332" w:rsidRPr="006C04AC" w:rsidRDefault="00453332" w:rsidP="00996135">
            <w:pPr>
              <w:keepNext/>
              <w:widowControl w:val="0"/>
              <w:tabs>
                <w:tab w:val="left" w:pos="851"/>
              </w:tabs>
              <w:spacing w:before="40" w:after="40"/>
              <w:jc w:val="center"/>
              <w:rPr>
                <w:rFonts w:ascii="Arial Narrow" w:hAnsi="Arial Narrow"/>
                <w:b/>
                <w:bCs/>
                <w:sz w:val="20"/>
                <w:szCs w:val="20"/>
              </w:rPr>
            </w:pPr>
            <w:r w:rsidRPr="006C04AC">
              <w:rPr>
                <w:rFonts w:ascii="Arial Narrow" w:hAnsi="Arial Narrow"/>
                <w:b/>
                <w:bCs/>
                <w:sz w:val="20"/>
                <w:szCs w:val="20"/>
              </w:rPr>
              <w:t>Cost per person</w:t>
            </w:r>
          </w:p>
        </w:tc>
        <w:tc>
          <w:tcPr>
            <w:tcW w:w="1134" w:type="dxa"/>
            <w:tcBorders>
              <w:bottom w:val="single" w:sz="4" w:space="0" w:color="auto"/>
            </w:tcBorders>
            <w:vAlign w:val="center"/>
          </w:tcPr>
          <w:p w14:paraId="6934B289" w14:textId="77777777" w:rsidR="00453332" w:rsidRPr="006C04AC" w:rsidRDefault="00453332" w:rsidP="00996135">
            <w:pPr>
              <w:keepNext/>
              <w:widowControl w:val="0"/>
              <w:tabs>
                <w:tab w:val="left" w:pos="851"/>
              </w:tabs>
              <w:spacing w:before="40" w:after="40"/>
              <w:jc w:val="center"/>
              <w:rPr>
                <w:rFonts w:ascii="Arial Narrow" w:hAnsi="Arial Narrow"/>
                <w:b/>
                <w:bCs/>
                <w:sz w:val="20"/>
                <w:szCs w:val="20"/>
              </w:rPr>
            </w:pPr>
            <w:r>
              <w:rPr>
                <w:rFonts w:ascii="Arial Narrow" w:hAnsi="Arial Narrow"/>
                <w:b/>
                <w:bCs/>
                <w:sz w:val="20"/>
                <w:szCs w:val="20"/>
              </w:rPr>
              <w:t>Δ</w:t>
            </w:r>
            <w:r w:rsidRPr="006C04AC">
              <w:rPr>
                <w:rFonts w:ascii="Arial Narrow" w:hAnsi="Arial Narrow"/>
                <w:b/>
                <w:bCs/>
                <w:sz w:val="20"/>
                <w:szCs w:val="20"/>
              </w:rPr>
              <w:t xml:space="preserve"> Cost per MRP avoided</w:t>
            </w:r>
          </w:p>
        </w:tc>
        <w:tc>
          <w:tcPr>
            <w:tcW w:w="1701" w:type="dxa"/>
            <w:tcBorders>
              <w:bottom w:val="single" w:sz="4" w:space="0" w:color="auto"/>
            </w:tcBorders>
            <w:vAlign w:val="center"/>
          </w:tcPr>
          <w:p w14:paraId="25B222B0" w14:textId="77777777" w:rsidR="00453332" w:rsidRPr="006C04AC" w:rsidRDefault="00453332" w:rsidP="00996135">
            <w:pPr>
              <w:keepNext/>
              <w:widowControl w:val="0"/>
              <w:tabs>
                <w:tab w:val="left" w:pos="851"/>
              </w:tabs>
              <w:spacing w:before="40" w:after="40"/>
              <w:jc w:val="center"/>
              <w:rPr>
                <w:rFonts w:ascii="Arial Narrow" w:hAnsi="Arial Narrow"/>
                <w:b/>
                <w:bCs/>
                <w:sz w:val="20"/>
                <w:szCs w:val="20"/>
              </w:rPr>
            </w:pPr>
            <w:r w:rsidRPr="006C04AC">
              <w:rPr>
                <w:rFonts w:ascii="Arial Narrow" w:hAnsi="Arial Narrow"/>
                <w:b/>
                <w:bCs/>
                <w:sz w:val="20"/>
                <w:szCs w:val="20"/>
              </w:rPr>
              <w:t>Assumption</w:t>
            </w:r>
          </w:p>
        </w:tc>
      </w:tr>
      <w:tr w:rsidR="00453332" w:rsidRPr="006C04AC" w14:paraId="6BAA9481" w14:textId="77777777" w:rsidTr="00996135">
        <w:tc>
          <w:tcPr>
            <w:tcW w:w="1271" w:type="dxa"/>
            <w:tcBorders>
              <w:top w:val="single" w:sz="4" w:space="0" w:color="auto"/>
              <w:bottom w:val="single" w:sz="4" w:space="0" w:color="auto"/>
            </w:tcBorders>
            <w:shd w:val="clear" w:color="auto" w:fill="auto"/>
            <w:vAlign w:val="center"/>
          </w:tcPr>
          <w:p w14:paraId="434D3CAF" w14:textId="53FD8103" w:rsidR="00453332" w:rsidRPr="006C04AC" w:rsidRDefault="00996135" w:rsidP="00996135">
            <w:pPr>
              <w:keepNext/>
              <w:widowControl w:val="0"/>
              <w:tabs>
                <w:tab w:val="left" w:pos="851"/>
              </w:tabs>
              <w:spacing w:before="40" w:after="40"/>
              <w:jc w:val="center"/>
              <w:rPr>
                <w:rFonts w:ascii="Arial Narrow" w:hAnsi="Arial Narrow" w:cstheme="minorHAnsi"/>
                <w:b/>
                <w:bCs/>
                <w:sz w:val="20"/>
                <w:szCs w:val="20"/>
              </w:rPr>
            </w:pPr>
            <w:r>
              <w:rPr>
                <w:rFonts w:ascii="Arial Narrow" w:hAnsi="Arial Narrow" w:cstheme="minorHAnsi"/>
                <w:b/>
                <w:bCs/>
                <w:sz w:val="20"/>
                <w:szCs w:val="20"/>
              </w:rPr>
              <w:t>Evaluator-</w:t>
            </w:r>
            <w:r w:rsidR="00453332" w:rsidRPr="006C04AC">
              <w:rPr>
                <w:rFonts w:ascii="Arial Narrow" w:hAnsi="Arial Narrow" w:cstheme="minorHAnsi"/>
                <w:b/>
                <w:bCs/>
                <w:sz w:val="20"/>
                <w:szCs w:val="20"/>
              </w:rPr>
              <w:t>conducted CEA</w:t>
            </w:r>
          </w:p>
        </w:tc>
        <w:tc>
          <w:tcPr>
            <w:tcW w:w="1134" w:type="dxa"/>
            <w:tcBorders>
              <w:top w:val="single" w:sz="4" w:space="0" w:color="auto"/>
              <w:bottom w:val="single" w:sz="4" w:space="0" w:color="auto"/>
            </w:tcBorders>
            <w:shd w:val="clear" w:color="auto" w:fill="auto"/>
            <w:vAlign w:val="center"/>
          </w:tcPr>
          <w:p w14:paraId="051DD41A" w14:textId="77777777" w:rsidR="00453332" w:rsidRPr="002A6DEA" w:rsidRDefault="00453332" w:rsidP="00996135">
            <w:pPr>
              <w:keepNext/>
              <w:widowControl w:val="0"/>
              <w:tabs>
                <w:tab w:val="left" w:pos="851"/>
              </w:tabs>
              <w:spacing w:before="40" w:after="40"/>
              <w:jc w:val="center"/>
              <w:rPr>
                <w:rFonts w:ascii="Arial Narrow" w:hAnsi="Arial Narrow" w:cstheme="minorHAnsi"/>
                <w:sz w:val="20"/>
                <w:szCs w:val="20"/>
              </w:rPr>
            </w:pPr>
            <w:r w:rsidRPr="002A6DEA">
              <w:rPr>
                <w:rFonts w:ascii="Arial Narrow" w:hAnsi="Arial Narrow" w:cstheme="minorHAnsi"/>
                <w:sz w:val="20"/>
                <w:szCs w:val="20"/>
              </w:rPr>
              <w:t>4.11 (3.14,5.39)</w:t>
            </w:r>
          </w:p>
        </w:tc>
        <w:tc>
          <w:tcPr>
            <w:tcW w:w="1134" w:type="dxa"/>
            <w:tcBorders>
              <w:top w:val="single" w:sz="4" w:space="0" w:color="auto"/>
              <w:bottom w:val="single" w:sz="4" w:space="0" w:color="auto"/>
            </w:tcBorders>
            <w:shd w:val="clear" w:color="auto" w:fill="auto"/>
            <w:vAlign w:val="center"/>
          </w:tcPr>
          <w:p w14:paraId="645EAAB5" w14:textId="77777777" w:rsidR="00453332" w:rsidRPr="002A6DEA" w:rsidRDefault="00453332" w:rsidP="00996135">
            <w:pPr>
              <w:keepNext/>
              <w:widowControl w:val="0"/>
              <w:tabs>
                <w:tab w:val="left" w:pos="851"/>
              </w:tabs>
              <w:spacing w:before="40" w:after="40"/>
              <w:jc w:val="center"/>
              <w:rPr>
                <w:rFonts w:ascii="Arial Narrow" w:hAnsi="Arial Narrow" w:cstheme="minorHAnsi"/>
                <w:sz w:val="20"/>
                <w:szCs w:val="20"/>
              </w:rPr>
            </w:pPr>
            <w:r w:rsidRPr="002A6DEA">
              <w:rPr>
                <w:rFonts w:ascii="Arial Narrow" w:hAnsi="Arial Narrow" w:cstheme="minorHAnsi"/>
                <w:sz w:val="20"/>
                <w:szCs w:val="20"/>
              </w:rPr>
              <w:t>3.85 (2.94,5.04)</w:t>
            </w:r>
          </w:p>
        </w:tc>
        <w:tc>
          <w:tcPr>
            <w:tcW w:w="1275" w:type="dxa"/>
            <w:tcBorders>
              <w:top w:val="single" w:sz="4" w:space="0" w:color="auto"/>
              <w:bottom w:val="single" w:sz="4" w:space="0" w:color="auto"/>
            </w:tcBorders>
            <w:shd w:val="clear" w:color="auto" w:fill="auto"/>
            <w:vAlign w:val="center"/>
          </w:tcPr>
          <w:p w14:paraId="1EC7C39D" w14:textId="77777777" w:rsidR="00453332" w:rsidRPr="002A6DEA" w:rsidRDefault="00453332" w:rsidP="00996135">
            <w:pPr>
              <w:keepNext/>
              <w:widowControl w:val="0"/>
              <w:tabs>
                <w:tab w:val="left" w:pos="851"/>
              </w:tabs>
              <w:spacing w:before="40" w:after="40"/>
              <w:jc w:val="center"/>
              <w:rPr>
                <w:rFonts w:ascii="Arial Narrow" w:hAnsi="Arial Narrow" w:cstheme="minorHAnsi"/>
                <w:sz w:val="20"/>
                <w:szCs w:val="20"/>
              </w:rPr>
            </w:pPr>
            <w:r w:rsidRPr="002A6DEA">
              <w:rPr>
                <w:rFonts w:ascii="Arial Narrow" w:hAnsi="Arial Narrow" w:cstheme="minorHAnsi"/>
                <w:sz w:val="20"/>
                <w:szCs w:val="20"/>
              </w:rPr>
              <w:t>0.27</w:t>
            </w:r>
          </w:p>
          <w:p w14:paraId="70A81A0D" w14:textId="77777777" w:rsidR="00453332" w:rsidRPr="002A6DEA" w:rsidRDefault="00453332" w:rsidP="00996135">
            <w:pPr>
              <w:keepNext/>
              <w:widowControl w:val="0"/>
              <w:tabs>
                <w:tab w:val="left" w:pos="851"/>
              </w:tabs>
              <w:spacing w:before="40" w:after="40"/>
              <w:jc w:val="center"/>
              <w:rPr>
                <w:rFonts w:ascii="Arial Narrow" w:hAnsi="Arial Narrow" w:cstheme="minorHAnsi"/>
                <w:sz w:val="20"/>
                <w:szCs w:val="20"/>
              </w:rPr>
            </w:pPr>
            <w:r w:rsidRPr="002A6DEA">
              <w:rPr>
                <w:rFonts w:ascii="Arial Narrow" w:hAnsi="Arial Narrow" w:cstheme="minorHAnsi"/>
                <w:sz w:val="20"/>
                <w:szCs w:val="20"/>
              </w:rPr>
              <w:t>(-0.05,0.59)</w:t>
            </w:r>
          </w:p>
        </w:tc>
        <w:tc>
          <w:tcPr>
            <w:tcW w:w="709" w:type="dxa"/>
            <w:tcBorders>
              <w:top w:val="single" w:sz="4" w:space="0" w:color="auto"/>
              <w:bottom w:val="single" w:sz="4" w:space="0" w:color="auto"/>
            </w:tcBorders>
            <w:shd w:val="clear" w:color="auto" w:fill="auto"/>
            <w:vAlign w:val="center"/>
          </w:tcPr>
          <w:p w14:paraId="7BFC5184" w14:textId="77777777" w:rsidR="00453332" w:rsidRPr="002A6DEA" w:rsidRDefault="00453332" w:rsidP="00996135">
            <w:pPr>
              <w:keepNext/>
              <w:widowControl w:val="0"/>
              <w:tabs>
                <w:tab w:val="left" w:pos="851"/>
              </w:tabs>
              <w:spacing w:before="40" w:after="40"/>
              <w:jc w:val="center"/>
              <w:rPr>
                <w:rFonts w:ascii="Arial Narrow" w:hAnsi="Arial Narrow" w:cstheme="minorHAnsi"/>
                <w:sz w:val="20"/>
                <w:szCs w:val="20"/>
              </w:rPr>
            </w:pPr>
            <w:r w:rsidRPr="002A6DEA">
              <w:rPr>
                <w:rFonts w:ascii="Arial Narrow" w:hAnsi="Arial Narrow" w:cstheme="minorHAnsi"/>
                <w:sz w:val="20"/>
                <w:szCs w:val="20"/>
              </w:rPr>
              <w:t>0.10</w:t>
            </w:r>
          </w:p>
        </w:tc>
        <w:tc>
          <w:tcPr>
            <w:tcW w:w="851" w:type="dxa"/>
            <w:tcBorders>
              <w:top w:val="single" w:sz="4" w:space="0" w:color="auto"/>
              <w:bottom w:val="single" w:sz="4" w:space="0" w:color="auto"/>
            </w:tcBorders>
            <w:vAlign w:val="center"/>
          </w:tcPr>
          <w:p w14:paraId="19D02B44" w14:textId="77777777" w:rsidR="00453332" w:rsidRPr="002A6DEA" w:rsidRDefault="00453332" w:rsidP="00996135">
            <w:pPr>
              <w:keepNext/>
              <w:widowControl w:val="0"/>
              <w:tabs>
                <w:tab w:val="left" w:pos="851"/>
              </w:tabs>
              <w:spacing w:before="40" w:after="40"/>
              <w:jc w:val="center"/>
              <w:rPr>
                <w:rFonts w:ascii="Arial Narrow" w:hAnsi="Arial Narrow" w:cstheme="minorHAnsi"/>
                <w:sz w:val="20"/>
                <w:szCs w:val="20"/>
              </w:rPr>
            </w:pPr>
            <w:r w:rsidRPr="002A6DEA">
              <w:rPr>
                <w:rFonts w:ascii="Arial Narrow" w:hAnsi="Arial Narrow" w:cstheme="minorHAnsi"/>
                <w:sz w:val="20"/>
                <w:szCs w:val="20"/>
              </w:rPr>
              <w:t>$568</w:t>
            </w:r>
          </w:p>
        </w:tc>
        <w:tc>
          <w:tcPr>
            <w:tcW w:w="1134" w:type="dxa"/>
            <w:tcBorders>
              <w:top w:val="single" w:sz="4" w:space="0" w:color="auto"/>
              <w:bottom w:val="single" w:sz="4" w:space="0" w:color="auto"/>
            </w:tcBorders>
            <w:vAlign w:val="center"/>
          </w:tcPr>
          <w:p w14:paraId="6218A259" w14:textId="77777777" w:rsidR="00453332" w:rsidRPr="002A6DEA" w:rsidRDefault="00453332" w:rsidP="00996135">
            <w:pPr>
              <w:keepNext/>
              <w:widowControl w:val="0"/>
              <w:tabs>
                <w:tab w:val="left" w:pos="851"/>
              </w:tabs>
              <w:spacing w:before="40" w:after="40"/>
              <w:jc w:val="center"/>
              <w:rPr>
                <w:rFonts w:ascii="Arial Narrow" w:hAnsi="Arial Narrow" w:cstheme="minorHAnsi"/>
                <w:sz w:val="20"/>
                <w:szCs w:val="20"/>
              </w:rPr>
            </w:pPr>
            <w:r w:rsidRPr="002A6DEA">
              <w:rPr>
                <w:rFonts w:ascii="Arial Narrow" w:hAnsi="Arial Narrow" w:cstheme="minorHAnsi"/>
                <w:sz w:val="20"/>
                <w:szCs w:val="20"/>
              </w:rPr>
              <w:t>$2,104</w:t>
            </w:r>
          </w:p>
        </w:tc>
        <w:tc>
          <w:tcPr>
            <w:tcW w:w="1701" w:type="dxa"/>
            <w:tcBorders>
              <w:top w:val="single" w:sz="4" w:space="0" w:color="auto"/>
              <w:bottom w:val="single" w:sz="4" w:space="0" w:color="auto"/>
            </w:tcBorders>
            <w:vAlign w:val="center"/>
          </w:tcPr>
          <w:p w14:paraId="66191795" w14:textId="77777777" w:rsidR="00453332" w:rsidRPr="002A6DEA" w:rsidRDefault="00453332" w:rsidP="00996135">
            <w:pPr>
              <w:keepNext/>
              <w:widowControl w:val="0"/>
              <w:tabs>
                <w:tab w:val="left" w:pos="851"/>
              </w:tabs>
              <w:spacing w:before="40" w:after="40"/>
              <w:jc w:val="center"/>
              <w:rPr>
                <w:rFonts w:ascii="Arial Narrow" w:hAnsi="Arial Narrow" w:cstheme="minorHAnsi"/>
                <w:sz w:val="20"/>
                <w:szCs w:val="20"/>
              </w:rPr>
            </w:pPr>
            <w:r w:rsidRPr="002A6DEA">
              <w:rPr>
                <w:rFonts w:ascii="Arial Narrow" w:hAnsi="Arial Narrow" w:cstheme="minorHAnsi"/>
                <w:sz w:val="20"/>
                <w:szCs w:val="20"/>
              </w:rPr>
              <w:t xml:space="preserve">Cohort of 291 participants; useful life of initial outlay is </w:t>
            </w:r>
            <w:r w:rsidRPr="002A6DEA">
              <w:rPr>
                <w:rFonts w:ascii="Arial Narrow" w:hAnsi="Arial Narrow" w:cstheme="minorHAnsi"/>
                <w:b/>
                <w:sz w:val="20"/>
                <w:szCs w:val="20"/>
              </w:rPr>
              <w:t>five</w:t>
            </w:r>
            <w:r w:rsidRPr="002A6DEA">
              <w:rPr>
                <w:rFonts w:ascii="Arial Narrow" w:hAnsi="Arial Narrow" w:cstheme="minorHAnsi"/>
                <w:sz w:val="20"/>
                <w:szCs w:val="20"/>
              </w:rPr>
              <w:t xml:space="preserve"> years </w:t>
            </w:r>
          </w:p>
        </w:tc>
      </w:tr>
      <w:tr w:rsidR="00453332" w:rsidRPr="006C04AC" w14:paraId="15BC6B81" w14:textId="77777777" w:rsidTr="00996135">
        <w:tc>
          <w:tcPr>
            <w:tcW w:w="1271" w:type="dxa"/>
            <w:tcBorders>
              <w:top w:val="single" w:sz="4" w:space="0" w:color="auto"/>
              <w:bottom w:val="single" w:sz="4" w:space="0" w:color="auto"/>
            </w:tcBorders>
            <w:shd w:val="clear" w:color="auto" w:fill="auto"/>
            <w:vAlign w:val="center"/>
          </w:tcPr>
          <w:p w14:paraId="0A100FDA" w14:textId="77777777" w:rsidR="00453332" w:rsidRPr="006C04AC" w:rsidRDefault="00453332" w:rsidP="00996135">
            <w:pPr>
              <w:keepNext/>
              <w:widowControl w:val="0"/>
              <w:tabs>
                <w:tab w:val="left" w:pos="851"/>
              </w:tabs>
              <w:spacing w:before="40" w:after="40"/>
              <w:jc w:val="center"/>
              <w:rPr>
                <w:rFonts w:ascii="Arial Narrow" w:hAnsi="Arial Narrow" w:cstheme="minorHAnsi"/>
                <w:b/>
                <w:bCs/>
                <w:sz w:val="20"/>
                <w:szCs w:val="20"/>
              </w:rPr>
            </w:pPr>
            <w:r w:rsidRPr="006C04AC">
              <w:rPr>
                <w:rFonts w:ascii="Arial Narrow" w:hAnsi="Arial Narrow" w:cstheme="minorHAnsi"/>
                <w:b/>
                <w:bCs/>
                <w:sz w:val="20"/>
                <w:szCs w:val="20"/>
              </w:rPr>
              <w:t>1</w:t>
            </w:r>
          </w:p>
        </w:tc>
        <w:tc>
          <w:tcPr>
            <w:tcW w:w="1134" w:type="dxa"/>
            <w:tcBorders>
              <w:top w:val="single" w:sz="4" w:space="0" w:color="auto"/>
              <w:bottom w:val="single" w:sz="4" w:space="0" w:color="auto"/>
            </w:tcBorders>
            <w:shd w:val="clear" w:color="auto" w:fill="auto"/>
            <w:vAlign w:val="center"/>
          </w:tcPr>
          <w:p w14:paraId="253CE2C2" w14:textId="77777777" w:rsidR="00453332" w:rsidRPr="002A6DEA" w:rsidRDefault="00453332" w:rsidP="00996135">
            <w:pPr>
              <w:keepNext/>
              <w:widowControl w:val="0"/>
              <w:tabs>
                <w:tab w:val="left" w:pos="851"/>
              </w:tabs>
              <w:spacing w:before="40" w:after="40"/>
              <w:jc w:val="center"/>
              <w:rPr>
                <w:rFonts w:ascii="Arial Narrow" w:hAnsi="Arial Narrow" w:cstheme="minorHAnsi"/>
                <w:b/>
                <w:sz w:val="20"/>
                <w:szCs w:val="20"/>
              </w:rPr>
            </w:pPr>
            <w:r w:rsidRPr="002A6DEA">
              <w:rPr>
                <w:rFonts w:ascii="Arial Narrow" w:hAnsi="Arial Narrow" w:cstheme="minorHAnsi"/>
                <w:sz w:val="20"/>
                <w:szCs w:val="20"/>
              </w:rPr>
              <w:t>4.11 (3.14,5.39)</w:t>
            </w:r>
          </w:p>
        </w:tc>
        <w:tc>
          <w:tcPr>
            <w:tcW w:w="1134" w:type="dxa"/>
            <w:tcBorders>
              <w:top w:val="single" w:sz="4" w:space="0" w:color="auto"/>
              <w:bottom w:val="single" w:sz="4" w:space="0" w:color="auto"/>
            </w:tcBorders>
            <w:shd w:val="clear" w:color="auto" w:fill="auto"/>
            <w:vAlign w:val="center"/>
          </w:tcPr>
          <w:p w14:paraId="2BD3E7AC" w14:textId="77777777" w:rsidR="00453332" w:rsidRPr="002A6DEA" w:rsidRDefault="00453332" w:rsidP="00996135">
            <w:pPr>
              <w:keepNext/>
              <w:widowControl w:val="0"/>
              <w:tabs>
                <w:tab w:val="left" w:pos="851"/>
              </w:tabs>
              <w:spacing w:before="40" w:after="40"/>
              <w:jc w:val="center"/>
              <w:rPr>
                <w:rFonts w:ascii="Arial Narrow" w:hAnsi="Arial Narrow" w:cstheme="minorHAnsi"/>
                <w:b/>
                <w:sz w:val="20"/>
                <w:szCs w:val="20"/>
              </w:rPr>
            </w:pPr>
            <w:r w:rsidRPr="002A6DEA">
              <w:rPr>
                <w:rFonts w:ascii="Arial Narrow" w:hAnsi="Arial Narrow" w:cstheme="minorHAnsi"/>
                <w:sz w:val="20"/>
                <w:szCs w:val="20"/>
              </w:rPr>
              <w:t>3.85 (2.94,5.04)</w:t>
            </w:r>
          </w:p>
        </w:tc>
        <w:tc>
          <w:tcPr>
            <w:tcW w:w="1275" w:type="dxa"/>
            <w:tcBorders>
              <w:top w:val="single" w:sz="4" w:space="0" w:color="auto"/>
              <w:bottom w:val="single" w:sz="4" w:space="0" w:color="auto"/>
            </w:tcBorders>
            <w:shd w:val="clear" w:color="auto" w:fill="auto"/>
            <w:vAlign w:val="center"/>
          </w:tcPr>
          <w:p w14:paraId="7B6B77FD" w14:textId="77777777" w:rsidR="00453332" w:rsidRPr="002A6DEA" w:rsidRDefault="00453332" w:rsidP="00996135">
            <w:pPr>
              <w:keepNext/>
              <w:widowControl w:val="0"/>
              <w:tabs>
                <w:tab w:val="left" w:pos="851"/>
              </w:tabs>
              <w:spacing w:before="40" w:after="40"/>
              <w:jc w:val="center"/>
              <w:rPr>
                <w:rFonts w:ascii="Arial Narrow" w:hAnsi="Arial Narrow" w:cstheme="minorHAnsi"/>
                <w:sz w:val="20"/>
                <w:szCs w:val="20"/>
              </w:rPr>
            </w:pPr>
            <w:r w:rsidRPr="002A6DEA">
              <w:rPr>
                <w:rFonts w:ascii="Arial Narrow" w:hAnsi="Arial Narrow" w:cstheme="minorHAnsi"/>
                <w:sz w:val="20"/>
                <w:szCs w:val="20"/>
              </w:rPr>
              <w:t>0.27</w:t>
            </w:r>
          </w:p>
          <w:p w14:paraId="64E72230" w14:textId="77777777" w:rsidR="00453332" w:rsidRPr="002A6DEA" w:rsidRDefault="00453332" w:rsidP="00996135">
            <w:pPr>
              <w:keepNext/>
              <w:widowControl w:val="0"/>
              <w:tabs>
                <w:tab w:val="left" w:pos="851"/>
              </w:tabs>
              <w:spacing w:before="40" w:after="40"/>
              <w:jc w:val="center"/>
              <w:rPr>
                <w:rFonts w:ascii="Arial Narrow" w:hAnsi="Arial Narrow" w:cstheme="minorHAnsi"/>
                <w:b/>
                <w:sz w:val="20"/>
                <w:szCs w:val="20"/>
              </w:rPr>
            </w:pPr>
            <w:r w:rsidRPr="002A6DEA">
              <w:rPr>
                <w:rFonts w:ascii="Arial Narrow" w:hAnsi="Arial Narrow" w:cstheme="minorHAnsi"/>
                <w:sz w:val="20"/>
                <w:szCs w:val="20"/>
              </w:rPr>
              <w:t>(-0.05,0.59)</w:t>
            </w:r>
          </w:p>
        </w:tc>
        <w:tc>
          <w:tcPr>
            <w:tcW w:w="709" w:type="dxa"/>
            <w:tcBorders>
              <w:top w:val="single" w:sz="4" w:space="0" w:color="auto"/>
              <w:bottom w:val="single" w:sz="4" w:space="0" w:color="auto"/>
            </w:tcBorders>
            <w:shd w:val="clear" w:color="auto" w:fill="auto"/>
            <w:vAlign w:val="center"/>
          </w:tcPr>
          <w:p w14:paraId="12178041" w14:textId="77777777" w:rsidR="00453332" w:rsidRPr="002A6DEA" w:rsidRDefault="00453332" w:rsidP="00996135">
            <w:pPr>
              <w:keepNext/>
              <w:widowControl w:val="0"/>
              <w:tabs>
                <w:tab w:val="left" w:pos="851"/>
              </w:tabs>
              <w:spacing w:before="40" w:after="40"/>
              <w:jc w:val="center"/>
              <w:rPr>
                <w:rFonts w:ascii="Arial Narrow" w:hAnsi="Arial Narrow" w:cstheme="minorHAnsi"/>
                <w:b/>
                <w:sz w:val="20"/>
                <w:szCs w:val="20"/>
              </w:rPr>
            </w:pPr>
            <w:r w:rsidRPr="002A6DEA">
              <w:rPr>
                <w:rFonts w:ascii="Arial Narrow" w:hAnsi="Arial Narrow" w:cstheme="minorHAnsi"/>
                <w:sz w:val="20"/>
                <w:szCs w:val="20"/>
              </w:rPr>
              <w:t>0.10</w:t>
            </w:r>
          </w:p>
        </w:tc>
        <w:tc>
          <w:tcPr>
            <w:tcW w:w="851" w:type="dxa"/>
            <w:tcBorders>
              <w:top w:val="single" w:sz="4" w:space="0" w:color="auto"/>
              <w:bottom w:val="single" w:sz="4" w:space="0" w:color="auto"/>
            </w:tcBorders>
            <w:vAlign w:val="center"/>
          </w:tcPr>
          <w:p w14:paraId="2A9FF7E9" w14:textId="77777777" w:rsidR="00453332" w:rsidRPr="002A6DEA" w:rsidRDefault="00453332" w:rsidP="00996135">
            <w:pPr>
              <w:keepNext/>
              <w:widowControl w:val="0"/>
              <w:tabs>
                <w:tab w:val="left" w:pos="851"/>
              </w:tabs>
              <w:spacing w:before="40" w:after="40"/>
              <w:jc w:val="center"/>
              <w:rPr>
                <w:rFonts w:ascii="Arial Narrow" w:hAnsi="Arial Narrow" w:cstheme="minorHAnsi"/>
                <w:sz w:val="20"/>
                <w:szCs w:val="20"/>
              </w:rPr>
            </w:pPr>
            <w:r w:rsidRPr="002A6DEA">
              <w:rPr>
                <w:rFonts w:ascii="Arial Narrow" w:hAnsi="Arial Narrow" w:cstheme="minorHAnsi"/>
                <w:sz w:val="20"/>
                <w:szCs w:val="20"/>
              </w:rPr>
              <w:t>$484</w:t>
            </w:r>
          </w:p>
        </w:tc>
        <w:tc>
          <w:tcPr>
            <w:tcW w:w="1134" w:type="dxa"/>
            <w:tcBorders>
              <w:top w:val="single" w:sz="4" w:space="0" w:color="auto"/>
              <w:bottom w:val="single" w:sz="4" w:space="0" w:color="auto"/>
            </w:tcBorders>
            <w:vAlign w:val="center"/>
          </w:tcPr>
          <w:p w14:paraId="55F66542" w14:textId="77777777" w:rsidR="00453332" w:rsidRPr="002A6DEA" w:rsidRDefault="00453332" w:rsidP="00996135">
            <w:pPr>
              <w:keepNext/>
              <w:widowControl w:val="0"/>
              <w:tabs>
                <w:tab w:val="left" w:pos="851"/>
              </w:tabs>
              <w:spacing w:before="40" w:after="40"/>
              <w:jc w:val="center"/>
              <w:rPr>
                <w:rFonts w:ascii="Arial Narrow" w:hAnsi="Arial Narrow" w:cstheme="minorHAnsi"/>
                <w:sz w:val="20"/>
                <w:szCs w:val="20"/>
              </w:rPr>
            </w:pPr>
            <w:r w:rsidRPr="002A6DEA">
              <w:rPr>
                <w:rFonts w:ascii="Arial Narrow" w:hAnsi="Arial Narrow" w:cstheme="minorHAnsi"/>
                <w:sz w:val="20"/>
                <w:szCs w:val="20"/>
              </w:rPr>
              <w:t>$1,791</w:t>
            </w:r>
          </w:p>
        </w:tc>
        <w:tc>
          <w:tcPr>
            <w:tcW w:w="1701" w:type="dxa"/>
            <w:tcBorders>
              <w:top w:val="single" w:sz="4" w:space="0" w:color="auto"/>
              <w:bottom w:val="single" w:sz="4" w:space="0" w:color="auto"/>
            </w:tcBorders>
            <w:vAlign w:val="center"/>
          </w:tcPr>
          <w:p w14:paraId="689776FB" w14:textId="77777777" w:rsidR="00453332" w:rsidRPr="002A6DEA" w:rsidRDefault="00453332" w:rsidP="00996135">
            <w:pPr>
              <w:keepNext/>
              <w:widowControl w:val="0"/>
              <w:tabs>
                <w:tab w:val="left" w:pos="851"/>
              </w:tabs>
              <w:spacing w:before="40" w:after="40"/>
              <w:jc w:val="center"/>
              <w:rPr>
                <w:rFonts w:ascii="Arial Narrow" w:hAnsi="Arial Narrow" w:cstheme="minorHAnsi"/>
                <w:b/>
                <w:sz w:val="20"/>
                <w:szCs w:val="20"/>
              </w:rPr>
            </w:pPr>
            <w:r w:rsidRPr="002A6DEA">
              <w:rPr>
                <w:rFonts w:ascii="Arial Narrow" w:hAnsi="Arial Narrow" w:cstheme="minorHAnsi"/>
                <w:sz w:val="20"/>
                <w:szCs w:val="20"/>
              </w:rPr>
              <w:t xml:space="preserve">Cohort of 291 participants; useful life of initial outlay is </w:t>
            </w:r>
            <w:r w:rsidRPr="002A6DEA">
              <w:rPr>
                <w:rFonts w:ascii="Arial Narrow" w:hAnsi="Arial Narrow" w:cstheme="minorHAnsi"/>
                <w:b/>
                <w:sz w:val="20"/>
                <w:szCs w:val="20"/>
              </w:rPr>
              <w:t>seven</w:t>
            </w:r>
            <w:r w:rsidRPr="002A6DEA">
              <w:rPr>
                <w:rFonts w:ascii="Arial Narrow" w:hAnsi="Arial Narrow" w:cstheme="minorHAnsi"/>
                <w:sz w:val="20"/>
                <w:szCs w:val="20"/>
              </w:rPr>
              <w:t xml:space="preserve"> years</w:t>
            </w:r>
          </w:p>
        </w:tc>
      </w:tr>
      <w:tr w:rsidR="00453332" w:rsidRPr="006C04AC" w14:paraId="5FF9C762" w14:textId="77777777" w:rsidTr="00996135">
        <w:tc>
          <w:tcPr>
            <w:tcW w:w="1271" w:type="dxa"/>
            <w:tcBorders>
              <w:top w:val="single" w:sz="4" w:space="0" w:color="auto"/>
              <w:bottom w:val="single" w:sz="4" w:space="0" w:color="auto"/>
            </w:tcBorders>
            <w:shd w:val="clear" w:color="auto" w:fill="auto"/>
            <w:vAlign w:val="center"/>
          </w:tcPr>
          <w:p w14:paraId="7874F20D" w14:textId="77777777" w:rsidR="00453332" w:rsidRPr="006C04AC" w:rsidRDefault="00453332" w:rsidP="00996135">
            <w:pPr>
              <w:keepNext/>
              <w:widowControl w:val="0"/>
              <w:tabs>
                <w:tab w:val="left" w:pos="851"/>
              </w:tabs>
              <w:spacing w:before="40" w:after="40"/>
              <w:jc w:val="center"/>
              <w:rPr>
                <w:rFonts w:ascii="Arial Narrow" w:hAnsi="Arial Narrow" w:cstheme="minorHAnsi"/>
                <w:b/>
                <w:bCs/>
                <w:sz w:val="20"/>
                <w:szCs w:val="20"/>
              </w:rPr>
            </w:pPr>
            <w:r w:rsidRPr="006C04AC">
              <w:rPr>
                <w:rFonts w:ascii="Arial Narrow" w:hAnsi="Arial Narrow" w:cstheme="minorHAnsi"/>
                <w:b/>
                <w:bCs/>
                <w:sz w:val="20"/>
                <w:szCs w:val="20"/>
              </w:rPr>
              <w:t>2</w:t>
            </w:r>
          </w:p>
        </w:tc>
        <w:tc>
          <w:tcPr>
            <w:tcW w:w="1134" w:type="dxa"/>
            <w:tcBorders>
              <w:top w:val="single" w:sz="4" w:space="0" w:color="auto"/>
              <w:bottom w:val="single" w:sz="4" w:space="0" w:color="auto"/>
            </w:tcBorders>
            <w:shd w:val="clear" w:color="auto" w:fill="auto"/>
            <w:vAlign w:val="center"/>
          </w:tcPr>
          <w:p w14:paraId="3976D3C9" w14:textId="77777777" w:rsidR="00453332" w:rsidRPr="002A6DEA" w:rsidRDefault="00453332" w:rsidP="00996135">
            <w:pPr>
              <w:keepNext/>
              <w:widowControl w:val="0"/>
              <w:tabs>
                <w:tab w:val="left" w:pos="851"/>
              </w:tabs>
              <w:spacing w:before="40" w:after="40"/>
              <w:jc w:val="center"/>
              <w:rPr>
                <w:rFonts w:ascii="Arial Narrow" w:hAnsi="Arial Narrow" w:cstheme="minorHAnsi"/>
                <w:sz w:val="20"/>
                <w:szCs w:val="20"/>
              </w:rPr>
            </w:pPr>
            <w:r w:rsidRPr="002A6DEA">
              <w:rPr>
                <w:rFonts w:ascii="Arial Narrow" w:hAnsi="Arial Narrow" w:cstheme="minorHAnsi"/>
                <w:sz w:val="20"/>
                <w:szCs w:val="20"/>
              </w:rPr>
              <w:t>4.11 (3.14,5.39)</w:t>
            </w:r>
          </w:p>
        </w:tc>
        <w:tc>
          <w:tcPr>
            <w:tcW w:w="1134" w:type="dxa"/>
            <w:tcBorders>
              <w:top w:val="single" w:sz="4" w:space="0" w:color="auto"/>
              <w:bottom w:val="single" w:sz="4" w:space="0" w:color="auto"/>
            </w:tcBorders>
            <w:shd w:val="clear" w:color="auto" w:fill="auto"/>
            <w:vAlign w:val="center"/>
          </w:tcPr>
          <w:p w14:paraId="1EA791A0" w14:textId="77777777" w:rsidR="00453332" w:rsidRPr="002A6DEA" w:rsidRDefault="00453332" w:rsidP="00996135">
            <w:pPr>
              <w:keepNext/>
              <w:widowControl w:val="0"/>
              <w:tabs>
                <w:tab w:val="left" w:pos="851"/>
              </w:tabs>
              <w:spacing w:before="40" w:after="40"/>
              <w:jc w:val="center"/>
              <w:rPr>
                <w:rFonts w:ascii="Arial Narrow" w:hAnsi="Arial Narrow" w:cstheme="minorHAnsi"/>
                <w:sz w:val="20"/>
                <w:szCs w:val="20"/>
              </w:rPr>
            </w:pPr>
            <w:r w:rsidRPr="002A6DEA">
              <w:rPr>
                <w:rFonts w:ascii="Arial Narrow" w:hAnsi="Arial Narrow" w:cstheme="minorHAnsi"/>
                <w:sz w:val="20"/>
                <w:szCs w:val="20"/>
              </w:rPr>
              <w:t>3.85 (2.94,5.04)</w:t>
            </w:r>
          </w:p>
        </w:tc>
        <w:tc>
          <w:tcPr>
            <w:tcW w:w="1275" w:type="dxa"/>
            <w:tcBorders>
              <w:top w:val="single" w:sz="4" w:space="0" w:color="auto"/>
              <w:bottom w:val="single" w:sz="4" w:space="0" w:color="auto"/>
            </w:tcBorders>
            <w:shd w:val="clear" w:color="auto" w:fill="auto"/>
            <w:vAlign w:val="center"/>
          </w:tcPr>
          <w:p w14:paraId="1D8A652B" w14:textId="77777777" w:rsidR="00453332" w:rsidRPr="002A6DEA" w:rsidRDefault="00453332" w:rsidP="00996135">
            <w:pPr>
              <w:keepNext/>
              <w:widowControl w:val="0"/>
              <w:tabs>
                <w:tab w:val="left" w:pos="851"/>
              </w:tabs>
              <w:spacing w:before="40" w:after="40"/>
              <w:jc w:val="center"/>
              <w:rPr>
                <w:rFonts w:ascii="Arial Narrow" w:hAnsi="Arial Narrow" w:cstheme="minorHAnsi"/>
                <w:sz w:val="20"/>
                <w:szCs w:val="20"/>
              </w:rPr>
            </w:pPr>
            <w:r w:rsidRPr="002A6DEA">
              <w:rPr>
                <w:rFonts w:ascii="Arial Narrow" w:hAnsi="Arial Narrow" w:cstheme="minorHAnsi"/>
                <w:sz w:val="20"/>
                <w:szCs w:val="20"/>
              </w:rPr>
              <w:t>-0.05</w:t>
            </w:r>
          </w:p>
        </w:tc>
        <w:tc>
          <w:tcPr>
            <w:tcW w:w="709" w:type="dxa"/>
            <w:tcBorders>
              <w:top w:val="single" w:sz="4" w:space="0" w:color="auto"/>
              <w:bottom w:val="single" w:sz="4" w:space="0" w:color="auto"/>
            </w:tcBorders>
            <w:shd w:val="clear" w:color="auto" w:fill="auto"/>
            <w:vAlign w:val="center"/>
          </w:tcPr>
          <w:p w14:paraId="6157E561" w14:textId="77777777" w:rsidR="00453332" w:rsidRPr="002A6DEA" w:rsidRDefault="00453332" w:rsidP="00996135">
            <w:pPr>
              <w:keepNext/>
              <w:widowControl w:val="0"/>
              <w:tabs>
                <w:tab w:val="left" w:pos="851"/>
              </w:tabs>
              <w:spacing w:before="40" w:after="40"/>
              <w:jc w:val="center"/>
              <w:rPr>
                <w:rFonts w:ascii="Arial Narrow" w:hAnsi="Arial Narrow" w:cstheme="minorHAnsi"/>
                <w:sz w:val="20"/>
                <w:szCs w:val="20"/>
              </w:rPr>
            </w:pPr>
            <w:r w:rsidRPr="002A6DEA">
              <w:rPr>
                <w:rFonts w:ascii="Arial Narrow" w:hAnsi="Arial Narrow" w:cstheme="minorHAnsi"/>
                <w:sz w:val="20"/>
                <w:szCs w:val="20"/>
              </w:rPr>
              <w:t>0.10</w:t>
            </w:r>
          </w:p>
        </w:tc>
        <w:tc>
          <w:tcPr>
            <w:tcW w:w="851" w:type="dxa"/>
            <w:tcBorders>
              <w:top w:val="single" w:sz="4" w:space="0" w:color="auto"/>
              <w:bottom w:val="single" w:sz="4" w:space="0" w:color="auto"/>
            </w:tcBorders>
            <w:vAlign w:val="center"/>
          </w:tcPr>
          <w:p w14:paraId="0407B460" w14:textId="77777777" w:rsidR="00453332" w:rsidRPr="002A6DEA" w:rsidRDefault="00453332" w:rsidP="00996135">
            <w:pPr>
              <w:keepNext/>
              <w:widowControl w:val="0"/>
              <w:tabs>
                <w:tab w:val="left" w:pos="851"/>
              </w:tabs>
              <w:spacing w:before="40" w:after="40"/>
              <w:jc w:val="center"/>
              <w:rPr>
                <w:rFonts w:ascii="Arial Narrow" w:hAnsi="Arial Narrow" w:cstheme="minorHAnsi"/>
                <w:sz w:val="20"/>
                <w:szCs w:val="20"/>
              </w:rPr>
            </w:pPr>
            <w:r w:rsidRPr="002A6DEA">
              <w:rPr>
                <w:rFonts w:ascii="Arial Narrow" w:hAnsi="Arial Narrow" w:cstheme="minorHAnsi"/>
                <w:sz w:val="20"/>
                <w:szCs w:val="20"/>
              </w:rPr>
              <w:t>$568</w:t>
            </w:r>
          </w:p>
        </w:tc>
        <w:tc>
          <w:tcPr>
            <w:tcW w:w="1134" w:type="dxa"/>
            <w:tcBorders>
              <w:top w:val="single" w:sz="4" w:space="0" w:color="auto"/>
              <w:bottom w:val="single" w:sz="4" w:space="0" w:color="auto"/>
            </w:tcBorders>
            <w:vAlign w:val="center"/>
          </w:tcPr>
          <w:p w14:paraId="369F7D33" w14:textId="77777777" w:rsidR="00453332" w:rsidRPr="002A6DEA" w:rsidRDefault="00453332" w:rsidP="00996135">
            <w:pPr>
              <w:keepNext/>
              <w:widowControl w:val="0"/>
              <w:tabs>
                <w:tab w:val="left" w:pos="851"/>
              </w:tabs>
              <w:spacing w:before="40" w:after="40"/>
              <w:jc w:val="center"/>
              <w:rPr>
                <w:rFonts w:ascii="Arial Narrow" w:hAnsi="Arial Narrow" w:cstheme="minorHAnsi"/>
                <w:sz w:val="20"/>
                <w:szCs w:val="20"/>
              </w:rPr>
            </w:pPr>
            <w:r w:rsidRPr="002A6DEA">
              <w:rPr>
                <w:rFonts w:ascii="Arial Narrow" w:hAnsi="Arial Narrow" w:cstheme="minorHAnsi"/>
                <w:sz w:val="20"/>
                <w:szCs w:val="20"/>
              </w:rPr>
              <w:t>Comparator dominates</w:t>
            </w:r>
          </w:p>
        </w:tc>
        <w:tc>
          <w:tcPr>
            <w:tcW w:w="1701" w:type="dxa"/>
            <w:tcBorders>
              <w:top w:val="single" w:sz="4" w:space="0" w:color="auto"/>
              <w:bottom w:val="single" w:sz="4" w:space="0" w:color="auto"/>
            </w:tcBorders>
            <w:vAlign w:val="center"/>
          </w:tcPr>
          <w:p w14:paraId="1F92DB74" w14:textId="77777777" w:rsidR="00453332" w:rsidRPr="002A6DEA" w:rsidRDefault="00453332" w:rsidP="00996135">
            <w:pPr>
              <w:keepNext/>
              <w:widowControl w:val="0"/>
              <w:tabs>
                <w:tab w:val="left" w:pos="851"/>
              </w:tabs>
              <w:spacing w:before="40" w:after="40"/>
              <w:jc w:val="center"/>
              <w:rPr>
                <w:rFonts w:ascii="Arial Narrow" w:hAnsi="Arial Narrow" w:cstheme="minorHAnsi"/>
                <w:sz w:val="20"/>
                <w:szCs w:val="20"/>
              </w:rPr>
            </w:pPr>
            <w:r w:rsidRPr="002A6DEA">
              <w:rPr>
                <w:rFonts w:ascii="Arial Narrow" w:hAnsi="Arial Narrow" w:cstheme="minorHAnsi"/>
                <w:sz w:val="20"/>
                <w:szCs w:val="20"/>
              </w:rPr>
              <w:t>The comparator is both more effective and less expensive</w:t>
            </w:r>
          </w:p>
        </w:tc>
      </w:tr>
      <w:tr w:rsidR="00453332" w:rsidRPr="006C04AC" w14:paraId="7A6E227D" w14:textId="77777777" w:rsidTr="00996135">
        <w:tc>
          <w:tcPr>
            <w:tcW w:w="1271" w:type="dxa"/>
            <w:tcBorders>
              <w:top w:val="single" w:sz="4" w:space="0" w:color="auto"/>
              <w:bottom w:val="single" w:sz="4" w:space="0" w:color="auto"/>
            </w:tcBorders>
            <w:shd w:val="clear" w:color="auto" w:fill="auto"/>
            <w:vAlign w:val="center"/>
          </w:tcPr>
          <w:p w14:paraId="0C62D711" w14:textId="77777777" w:rsidR="00453332" w:rsidRPr="006C04AC" w:rsidRDefault="00453332" w:rsidP="00996135">
            <w:pPr>
              <w:keepNext/>
              <w:widowControl w:val="0"/>
              <w:tabs>
                <w:tab w:val="left" w:pos="851"/>
              </w:tabs>
              <w:spacing w:before="40" w:after="40"/>
              <w:jc w:val="center"/>
              <w:rPr>
                <w:rFonts w:ascii="Arial Narrow" w:hAnsi="Arial Narrow" w:cstheme="minorHAnsi"/>
                <w:b/>
                <w:bCs/>
                <w:sz w:val="20"/>
                <w:szCs w:val="20"/>
              </w:rPr>
            </w:pPr>
            <w:r w:rsidRPr="006C04AC">
              <w:rPr>
                <w:rFonts w:ascii="Arial Narrow" w:hAnsi="Arial Narrow" w:cstheme="minorHAnsi"/>
                <w:b/>
                <w:bCs/>
                <w:sz w:val="20"/>
                <w:szCs w:val="20"/>
              </w:rPr>
              <w:t>3</w:t>
            </w:r>
          </w:p>
        </w:tc>
        <w:tc>
          <w:tcPr>
            <w:tcW w:w="1134" w:type="dxa"/>
            <w:tcBorders>
              <w:top w:val="single" w:sz="4" w:space="0" w:color="auto"/>
              <w:bottom w:val="single" w:sz="4" w:space="0" w:color="auto"/>
            </w:tcBorders>
            <w:shd w:val="clear" w:color="auto" w:fill="auto"/>
            <w:vAlign w:val="center"/>
          </w:tcPr>
          <w:p w14:paraId="46E16032" w14:textId="77777777" w:rsidR="00453332" w:rsidRPr="002A6DEA" w:rsidRDefault="00453332" w:rsidP="00996135">
            <w:pPr>
              <w:keepNext/>
              <w:widowControl w:val="0"/>
              <w:tabs>
                <w:tab w:val="left" w:pos="851"/>
              </w:tabs>
              <w:spacing w:before="40" w:after="40"/>
              <w:jc w:val="center"/>
              <w:rPr>
                <w:rFonts w:ascii="Arial Narrow" w:hAnsi="Arial Narrow" w:cstheme="minorHAnsi"/>
                <w:b/>
                <w:sz w:val="20"/>
                <w:szCs w:val="20"/>
              </w:rPr>
            </w:pPr>
            <w:r w:rsidRPr="002A6DEA">
              <w:rPr>
                <w:rFonts w:ascii="Arial Narrow" w:hAnsi="Arial Narrow" w:cstheme="minorHAnsi"/>
                <w:sz w:val="20"/>
                <w:szCs w:val="20"/>
              </w:rPr>
              <w:t>4.11 (3.14,5.39)</w:t>
            </w:r>
          </w:p>
        </w:tc>
        <w:tc>
          <w:tcPr>
            <w:tcW w:w="1134" w:type="dxa"/>
            <w:tcBorders>
              <w:top w:val="single" w:sz="4" w:space="0" w:color="auto"/>
              <w:bottom w:val="single" w:sz="4" w:space="0" w:color="auto"/>
            </w:tcBorders>
            <w:shd w:val="clear" w:color="auto" w:fill="auto"/>
            <w:vAlign w:val="center"/>
          </w:tcPr>
          <w:p w14:paraId="4F3440C5" w14:textId="77777777" w:rsidR="00453332" w:rsidRPr="002A6DEA" w:rsidRDefault="00453332" w:rsidP="00996135">
            <w:pPr>
              <w:keepNext/>
              <w:widowControl w:val="0"/>
              <w:tabs>
                <w:tab w:val="left" w:pos="851"/>
              </w:tabs>
              <w:spacing w:before="40" w:after="40"/>
              <w:jc w:val="center"/>
              <w:rPr>
                <w:rFonts w:ascii="Arial Narrow" w:hAnsi="Arial Narrow" w:cstheme="minorHAnsi"/>
                <w:b/>
                <w:sz w:val="20"/>
                <w:szCs w:val="20"/>
              </w:rPr>
            </w:pPr>
            <w:r w:rsidRPr="002A6DEA">
              <w:rPr>
                <w:rFonts w:ascii="Arial Narrow" w:hAnsi="Arial Narrow" w:cstheme="minorHAnsi"/>
                <w:sz w:val="20"/>
                <w:szCs w:val="20"/>
              </w:rPr>
              <w:t>3.85 (2.94,5.04)</w:t>
            </w:r>
          </w:p>
        </w:tc>
        <w:tc>
          <w:tcPr>
            <w:tcW w:w="1275" w:type="dxa"/>
            <w:tcBorders>
              <w:top w:val="single" w:sz="4" w:space="0" w:color="auto"/>
              <w:bottom w:val="single" w:sz="4" w:space="0" w:color="auto"/>
            </w:tcBorders>
            <w:shd w:val="clear" w:color="auto" w:fill="auto"/>
            <w:vAlign w:val="center"/>
          </w:tcPr>
          <w:p w14:paraId="22A5A0E8" w14:textId="77777777" w:rsidR="00453332" w:rsidRPr="002A6DEA" w:rsidRDefault="00453332" w:rsidP="00996135">
            <w:pPr>
              <w:keepNext/>
              <w:widowControl w:val="0"/>
              <w:tabs>
                <w:tab w:val="left" w:pos="851"/>
              </w:tabs>
              <w:spacing w:before="40" w:after="40"/>
              <w:jc w:val="center"/>
              <w:rPr>
                <w:rFonts w:ascii="Arial Narrow" w:hAnsi="Arial Narrow" w:cstheme="minorHAnsi"/>
                <w:b/>
                <w:sz w:val="20"/>
                <w:szCs w:val="20"/>
              </w:rPr>
            </w:pPr>
            <w:r w:rsidRPr="002A6DEA">
              <w:rPr>
                <w:rFonts w:ascii="Arial Narrow" w:hAnsi="Arial Narrow" w:cstheme="minorHAnsi"/>
                <w:sz w:val="20"/>
                <w:szCs w:val="20"/>
              </w:rPr>
              <w:t>0.59</w:t>
            </w:r>
          </w:p>
        </w:tc>
        <w:tc>
          <w:tcPr>
            <w:tcW w:w="709" w:type="dxa"/>
            <w:tcBorders>
              <w:top w:val="single" w:sz="4" w:space="0" w:color="auto"/>
              <w:bottom w:val="single" w:sz="4" w:space="0" w:color="auto"/>
            </w:tcBorders>
            <w:shd w:val="clear" w:color="auto" w:fill="auto"/>
            <w:vAlign w:val="center"/>
          </w:tcPr>
          <w:p w14:paraId="471AA7DE" w14:textId="77777777" w:rsidR="00453332" w:rsidRPr="002A6DEA" w:rsidRDefault="00453332" w:rsidP="00996135">
            <w:pPr>
              <w:keepNext/>
              <w:widowControl w:val="0"/>
              <w:tabs>
                <w:tab w:val="left" w:pos="851"/>
              </w:tabs>
              <w:spacing w:before="40" w:after="40"/>
              <w:jc w:val="center"/>
              <w:rPr>
                <w:rFonts w:ascii="Arial Narrow" w:hAnsi="Arial Narrow" w:cstheme="minorHAnsi"/>
                <w:b/>
                <w:sz w:val="20"/>
                <w:szCs w:val="20"/>
              </w:rPr>
            </w:pPr>
            <w:r w:rsidRPr="002A6DEA">
              <w:rPr>
                <w:rFonts w:ascii="Arial Narrow" w:hAnsi="Arial Narrow" w:cstheme="minorHAnsi"/>
                <w:sz w:val="20"/>
                <w:szCs w:val="20"/>
              </w:rPr>
              <w:t>0.10</w:t>
            </w:r>
          </w:p>
        </w:tc>
        <w:tc>
          <w:tcPr>
            <w:tcW w:w="851" w:type="dxa"/>
            <w:tcBorders>
              <w:top w:val="single" w:sz="4" w:space="0" w:color="auto"/>
              <w:bottom w:val="single" w:sz="4" w:space="0" w:color="auto"/>
            </w:tcBorders>
            <w:vAlign w:val="center"/>
          </w:tcPr>
          <w:p w14:paraId="64A6C357" w14:textId="77777777" w:rsidR="00453332" w:rsidRPr="002A6DEA" w:rsidRDefault="00453332" w:rsidP="00996135">
            <w:pPr>
              <w:keepNext/>
              <w:widowControl w:val="0"/>
              <w:tabs>
                <w:tab w:val="left" w:pos="851"/>
              </w:tabs>
              <w:spacing w:before="40" w:after="40"/>
              <w:jc w:val="center"/>
              <w:rPr>
                <w:rFonts w:ascii="Arial Narrow" w:hAnsi="Arial Narrow" w:cstheme="minorHAnsi"/>
                <w:b/>
                <w:sz w:val="20"/>
                <w:szCs w:val="20"/>
              </w:rPr>
            </w:pPr>
            <w:r w:rsidRPr="002A6DEA">
              <w:rPr>
                <w:rFonts w:ascii="Arial Narrow" w:hAnsi="Arial Narrow" w:cstheme="minorHAnsi"/>
                <w:sz w:val="20"/>
                <w:szCs w:val="20"/>
              </w:rPr>
              <w:t>$568</w:t>
            </w:r>
          </w:p>
        </w:tc>
        <w:tc>
          <w:tcPr>
            <w:tcW w:w="1134" w:type="dxa"/>
            <w:tcBorders>
              <w:top w:val="single" w:sz="4" w:space="0" w:color="auto"/>
              <w:bottom w:val="single" w:sz="4" w:space="0" w:color="auto"/>
            </w:tcBorders>
            <w:vAlign w:val="center"/>
          </w:tcPr>
          <w:p w14:paraId="6CA0DCAF" w14:textId="77777777" w:rsidR="00453332" w:rsidRPr="002A6DEA" w:rsidRDefault="00453332" w:rsidP="00996135">
            <w:pPr>
              <w:keepNext/>
              <w:widowControl w:val="0"/>
              <w:tabs>
                <w:tab w:val="left" w:pos="851"/>
              </w:tabs>
              <w:spacing w:before="40" w:after="40"/>
              <w:jc w:val="center"/>
              <w:rPr>
                <w:rFonts w:ascii="Arial Narrow" w:hAnsi="Arial Narrow" w:cstheme="minorHAnsi"/>
                <w:sz w:val="20"/>
                <w:szCs w:val="20"/>
              </w:rPr>
            </w:pPr>
            <w:r w:rsidRPr="002A6DEA">
              <w:rPr>
                <w:rFonts w:ascii="Arial Narrow" w:hAnsi="Arial Narrow" w:cstheme="minorHAnsi"/>
                <w:sz w:val="20"/>
                <w:szCs w:val="20"/>
              </w:rPr>
              <w:t>$963</w:t>
            </w:r>
          </w:p>
        </w:tc>
        <w:tc>
          <w:tcPr>
            <w:tcW w:w="1701" w:type="dxa"/>
            <w:tcBorders>
              <w:top w:val="single" w:sz="4" w:space="0" w:color="auto"/>
              <w:bottom w:val="single" w:sz="4" w:space="0" w:color="auto"/>
            </w:tcBorders>
            <w:vAlign w:val="center"/>
          </w:tcPr>
          <w:p w14:paraId="723F1DFB" w14:textId="77777777" w:rsidR="00453332" w:rsidRPr="002A6DEA" w:rsidRDefault="00453332" w:rsidP="00996135">
            <w:pPr>
              <w:keepNext/>
              <w:widowControl w:val="0"/>
              <w:tabs>
                <w:tab w:val="left" w:pos="851"/>
              </w:tabs>
              <w:spacing w:before="40" w:after="40"/>
              <w:jc w:val="center"/>
              <w:rPr>
                <w:rFonts w:ascii="Arial Narrow" w:hAnsi="Arial Narrow" w:cstheme="minorHAnsi"/>
                <w:sz w:val="20"/>
                <w:szCs w:val="20"/>
              </w:rPr>
            </w:pPr>
            <w:r w:rsidRPr="002A6DEA">
              <w:rPr>
                <w:rFonts w:ascii="Arial Narrow" w:hAnsi="Arial Narrow" w:cstheme="minorHAnsi"/>
                <w:sz w:val="20"/>
                <w:szCs w:val="20"/>
              </w:rPr>
              <w:t>Results are sensitive to the variations in the incremental rate of MRPs</w:t>
            </w:r>
          </w:p>
        </w:tc>
      </w:tr>
    </w:tbl>
    <w:p w14:paraId="376B2F2F" w14:textId="25BA696B" w:rsidR="00397F27" w:rsidRDefault="00397F27" w:rsidP="00996135">
      <w:pPr>
        <w:pStyle w:val="TableFigureFooter"/>
        <w:keepNext/>
        <w:spacing w:before="0" w:after="0"/>
        <w:rPr>
          <w:szCs w:val="18"/>
        </w:rPr>
      </w:pPr>
      <w:r>
        <w:rPr>
          <w:szCs w:val="18"/>
        </w:rPr>
        <w:t>Source: Table 28A, p90 of the commentary</w:t>
      </w:r>
    </w:p>
    <w:p w14:paraId="6E2DFC6F" w14:textId="4EA72EB8" w:rsidR="00453332" w:rsidRDefault="00397F27" w:rsidP="00996135">
      <w:pPr>
        <w:pStyle w:val="TableFigureFooter"/>
        <w:keepNext/>
        <w:spacing w:before="0" w:after="0"/>
        <w:rPr>
          <w:color w:val="258221"/>
        </w:rPr>
      </w:pPr>
      <w:r>
        <w:rPr>
          <w:szCs w:val="18"/>
        </w:rPr>
        <w:t xml:space="preserve">Abbreviations: </w:t>
      </w:r>
      <w:r>
        <w:t xml:space="preserve">CI=confidence interval; </w:t>
      </w:r>
      <w:r w:rsidR="00453332">
        <w:t>CEA=cost-effectiveness analysis</w:t>
      </w:r>
      <w:r>
        <w:t xml:space="preserve">; </w:t>
      </w:r>
      <w:r>
        <w:rPr>
          <w:szCs w:val="18"/>
        </w:rPr>
        <w:t>MRP=medication-related problems;</w:t>
      </w:r>
    </w:p>
    <w:p w14:paraId="25AE2BAC" w14:textId="5790C218" w:rsidR="00772829" w:rsidRPr="00CE28E3" w:rsidRDefault="00C36633" w:rsidP="002A18BE">
      <w:pPr>
        <w:pStyle w:val="Heading2"/>
        <w:numPr>
          <w:ilvl w:val="0"/>
          <w:numId w:val="0"/>
        </w:numPr>
      </w:pPr>
      <w:r>
        <w:t>1</w:t>
      </w:r>
      <w:r w:rsidR="007C620E">
        <w:t>4</w:t>
      </w:r>
      <w:r>
        <w:t>.</w:t>
      </w:r>
      <w:r>
        <w:tab/>
      </w:r>
      <w:r w:rsidR="00772829" w:rsidRPr="00CE28E3">
        <w:t>Financial/budgetary impacts</w:t>
      </w:r>
      <w:bookmarkEnd w:id="28"/>
    </w:p>
    <w:p w14:paraId="4ADDA480" w14:textId="54AE3F23" w:rsidR="00D428B9" w:rsidRPr="00996135" w:rsidRDefault="00DD48B8" w:rsidP="00330A0A">
      <w:r>
        <w:t>The ADAR used an</w:t>
      </w:r>
      <w:r w:rsidR="006C74B4" w:rsidRPr="006C74B4">
        <w:t xml:space="preserve"> epidemiological approach to estimate the financial implication of the introduction of </w:t>
      </w:r>
      <w:r w:rsidR="003419E3">
        <w:t xml:space="preserve">the </w:t>
      </w:r>
      <w:r w:rsidR="006C74B4" w:rsidRPr="006C74B4">
        <w:t xml:space="preserve">IMeRSe for adult </w:t>
      </w:r>
      <w:r w:rsidR="00EE6741">
        <w:t xml:space="preserve">Aboriginal and Torres Strait Islander </w:t>
      </w:r>
      <w:r w:rsidR="002813B0">
        <w:t>peoples</w:t>
      </w:r>
      <w:r w:rsidR="002813B0" w:rsidRPr="006C74B4">
        <w:t xml:space="preserve"> with</w:t>
      </w:r>
      <w:r w:rsidR="006C74B4" w:rsidRPr="006C74B4">
        <w:t xml:space="preserve"> chronic illness </w:t>
      </w:r>
      <w:r w:rsidR="006C74B4" w:rsidRPr="002A6DEA">
        <w:t xml:space="preserve">at risk of an MRP. As noted in the </w:t>
      </w:r>
      <w:r w:rsidR="00996135" w:rsidRPr="002A6DEA">
        <w:t>ADAR</w:t>
      </w:r>
      <w:r w:rsidR="006C74B4" w:rsidRPr="002A6DEA">
        <w:t xml:space="preserve">, ‘at risk of MRP’ is a subjective measure. </w:t>
      </w:r>
      <w:r w:rsidR="009E6095" w:rsidRPr="002A6DEA">
        <w:t>The</w:t>
      </w:r>
      <w:r w:rsidR="006C74B4" w:rsidRPr="002A6DEA">
        <w:t xml:space="preserve"> </w:t>
      </w:r>
      <w:r w:rsidR="00996135" w:rsidRPr="002A6DEA">
        <w:t>ADAR</w:t>
      </w:r>
      <w:r w:rsidR="006C74B4" w:rsidRPr="002A6DEA">
        <w:t xml:space="preserve"> </w:t>
      </w:r>
      <w:r w:rsidR="009E6095" w:rsidRPr="002A6DEA">
        <w:t>financial estimates used</w:t>
      </w:r>
      <w:r w:rsidR="006C74B4" w:rsidRPr="002A6DEA">
        <w:t xml:space="preserve"> the level of polypharmacy as a proxy for the definition of MRP, but this was not the definition used in the </w:t>
      </w:r>
      <w:r w:rsidR="007A502F" w:rsidRPr="002A6DEA">
        <w:t>IMe</w:t>
      </w:r>
      <w:r w:rsidR="003419E3" w:rsidRPr="002A6DEA">
        <w:t>R</w:t>
      </w:r>
      <w:r w:rsidR="007A502F" w:rsidRPr="002A6DEA">
        <w:t xml:space="preserve">Se </w:t>
      </w:r>
      <w:r w:rsidR="006C74B4" w:rsidRPr="002A6DEA">
        <w:t xml:space="preserve">Feasibility Study. </w:t>
      </w:r>
      <w:r w:rsidR="007A502F" w:rsidRPr="002A6DEA">
        <w:t>The commentary noted that i</w:t>
      </w:r>
      <w:r w:rsidR="006C74B4" w:rsidRPr="002A6DEA">
        <w:t xml:space="preserve">t is not possible to estimate whether using this definition is likely to over or underestimate the eligible population. </w:t>
      </w:r>
      <w:r w:rsidR="00D428B9" w:rsidRPr="002A6DEA">
        <w:t>The</w:t>
      </w:r>
      <w:r w:rsidR="00856776" w:rsidRPr="002A6DEA">
        <w:t xml:space="preserve"> net</w:t>
      </w:r>
      <w:r w:rsidR="00D428B9" w:rsidRPr="002A6DEA">
        <w:t xml:space="preserve"> financial</w:t>
      </w:r>
      <w:r w:rsidR="00D428B9" w:rsidRPr="00CE28E3">
        <w:t xml:space="preserve"> implications to </w:t>
      </w:r>
      <w:r w:rsidR="00D428B9" w:rsidRPr="00996135">
        <w:t>the MBS/other funding source</w:t>
      </w:r>
      <w:r w:rsidR="00D428B9" w:rsidRPr="00CE28E3">
        <w:t xml:space="preserve"> resulting from the proposed listing of </w:t>
      </w:r>
      <w:r w:rsidR="006C74B4" w:rsidRPr="006C74B4">
        <w:t xml:space="preserve">IMeRSe for </w:t>
      </w:r>
      <w:r w:rsidR="00EE6741">
        <w:t xml:space="preserve">Aboriginal and Torres Strait Islander </w:t>
      </w:r>
      <w:r w:rsidR="002813B0">
        <w:t>peoples</w:t>
      </w:r>
      <w:r w:rsidR="002813B0" w:rsidRPr="006C74B4">
        <w:t xml:space="preserve"> with</w:t>
      </w:r>
      <w:r w:rsidR="006C74B4" w:rsidRPr="006C74B4">
        <w:t xml:space="preserve"> potential for MRPs </w:t>
      </w:r>
      <w:r w:rsidR="00D428B9" w:rsidRPr="00CE28E3">
        <w:t xml:space="preserve">are summarised in </w:t>
      </w:r>
      <w:r w:rsidR="003571C2" w:rsidRPr="00996135">
        <w:fldChar w:fldCharType="begin"/>
      </w:r>
      <w:r w:rsidR="003571C2" w:rsidRPr="00996135">
        <w:instrText xml:space="preserve"> REF _Ref69726382 \h </w:instrText>
      </w:r>
      <w:r w:rsidR="003571C2" w:rsidRPr="00996135">
        <w:fldChar w:fldCharType="separate"/>
      </w:r>
      <w:r w:rsidR="00A45EE3" w:rsidRPr="00CE28E3">
        <w:t>Table</w:t>
      </w:r>
      <w:r w:rsidR="00A45EE3">
        <w:t> </w:t>
      </w:r>
      <w:r w:rsidR="00A45EE3">
        <w:rPr>
          <w:noProof/>
        </w:rPr>
        <w:t>11</w:t>
      </w:r>
      <w:r w:rsidR="003571C2" w:rsidRPr="00996135">
        <w:fldChar w:fldCharType="end"/>
      </w:r>
      <w:r w:rsidR="00D428B9" w:rsidRPr="00996135">
        <w:t xml:space="preserve">. </w:t>
      </w:r>
    </w:p>
    <w:p w14:paraId="33FCA9D4" w14:textId="3AEF998A" w:rsidR="00D428B9" w:rsidRPr="00CE28E3" w:rsidRDefault="00D428B9" w:rsidP="00215AFB">
      <w:pPr>
        <w:pStyle w:val="Caption"/>
      </w:pPr>
      <w:bookmarkStart w:id="43" w:name="_Ref69726382"/>
      <w:r w:rsidRPr="00CE28E3">
        <w:t>Table</w:t>
      </w:r>
      <w:r w:rsidR="003571C2">
        <w:t> </w:t>
      </w:r>
      <w:r w:rsidR="00791FAA">
        <w:fldChar w:fldCharType="begin"/>
      </w:r>
      <w:r w:rsidR="00791FAA">
        <w:instrText xml:space="preserve"> SEQ Table \* ARABIC </w:instrText>
      </w:r>
      <w:r w:rsidR="00791FAA">
        <w:fldChar w:fldCharType="separate"/>
      </w:r>
      <w:r w:rsidR="00A45EE3">
        <w:rPr>
          <w:noProof/>
        </w:rPr>
        <w:t>11</w:t>
      </w:r>
      <w:r w:rsidR="00791FAA">
        <w:rPr>
          <w:noProof/>
        </w:rPr>
        <w:fldChar w:fldCharType="end"/>
      </w:r>
      <w:bookmarkEnd w:id="43"/>
      <w:r w:rsidRPr="00CE28E3">
        <w:tab/>
        <w:t xml:space="preserve">Net financial implications of </w:t>
      </w:r>
      <w:r w:rsidR="00B67980">
        <w:t xml:space="preserve">IMeRSe </w:t>
      </w:r>
      <w:r w:rsidRPr="00CE28E3">
        <w:t xml:space="preserve">to the </w:t>
      </w:r>
      <w:r w:rsidR="00B67980">
        <w:t>MBS and other government agencies</w:t>
      </w:r>
    </w:p>
    <w:tbl>
      <w:tblPr>
        <w:tblStyle w:val="TableGrid1"/>
        <w:tblW w:w="0" w:type="auto"/>
        <w:tblCellMar>
          <w:left w:w="0" w:type="dxa"/>
          <w:right w:w="0" w:type="dxa"/>
        </w:tblCellMar>
        <w:tblLook w:val="04A0" w:firstRow="1" w:lastRow="0" w:firstColumn="1" w:lastColumn="0" w:noHBand="0" w:noVBand="1"/>
        <w:tblDescription w:val="Net financial implications of IMeRSe to the MBS and other government agencies"/>
      </w:tblPr>
      <w:tblGrid>
        <w:gridCol w:w="2635"/>
        <w:gridCol w:w="1293"/>
        <w:gridCol w:w="1307"/>
        <w:gridCol w:w="1276"/>
        <w:gridCol w:w="1276"/>
        <w:gridCol w:w="1219"/>
      </w:tblGrid>
      <w:tr w:rsidR="00DD4AD2" w:rsidRPr="00CE28E3" w14:paraId="10C955A8" w14:textId="77777777" w:rsidTr="00996135">
        <w:trPr>
          <w:cnfStyle w:val="100000000000" w:firstRow="1" w:lastRow="0" w:firstColumn="0" w:lastColumn="0" w:oddVBand="0" w:evenVBand="0" w:oddHBand="0" w:evenHBand="0" w:firstRowFirstColumn="0" w:firstRowLastColumn="0" w:lastRowFirstColumn="0" w:lastRowLastColumn="0"/>
          <w:tblHeader/>
        </w:trPr>
        <w:tc>
          <w:tcPr>
            <w:tcW w:w="26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F0BEFFF" w14:textId="130CD43F" w:rsidR="00423C82" w:rsidRPr="00CE28E3" w:rsidRDefault="00423C82" w:rsidP="00215AFB">
            <w:pPr>
              <w:pStyle w:val="TableText"/>
              <w:keepNext/>
              <w:rPr>
                <w:b/>
                <w:bCs/>
              </w:rPr>
            </w:pPr>
            <w:bookmarkStart w:id="44" w:name="Title_Table12" w:colFirst="0" w:colLast="0"/>
            <w:bookmarkStart w:id="45" w:name="_Hlk68276802"/>
            <w:r>
              <w:rPr>
                <w:b/>
                <w:bCs/>
              </w:rPr>
              <w:t xml:space="preserve">Parameter </w:t>
            </w:r>
          </w:p>
        </w:tc>
        <w:tc>
          <w:tcPr>
            <w:tcW w:w="129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802FC81" w14:textId="7CA648BD" w:rsidR="00423C82" w:rsidRPr="00CE28E3" w:rsidRDefault="00423C82" w:rsidP="00996135">
            <w:pPr>
              <w:pStyle w:val="TableText"/>
              <w:keepNext/>
              <w:jc w:val="center"/>
              <w:rPr>
                <w:b/>
                <w:bCs/>
              </w:rPr>
            </w:pPr>
            <w:r>
              <w:rPr>
                <w:b/>
                <w:bCs/>
              </w:rPr>
              <w:t>2021-22</w:t>
            </w:r>
          </w:p>
        </w:tc>
        <w:tc>
          <w:tcPr>
            <w:tcW w:w="130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59DA5DF" w14:textId="7310B91B" w:rsidR="00423C82" w:rsidRPr="00CE28E3" w:rsidRDefault="00423C82" w:rsidP="00996135">
            <w:pPr>
              <w:pStyle w:val="TableText"/>
              <w:keepNext/>
              <w:jc w:val="center"/>
              <w:rPr>
                <w:b/>
                <w:bCs/>
              </w:rPr>
            </w:pPr>
            <w:r>
              <w:rPr>
                <w:b/>
                <w:bCs/>
              </w:rPr>
              <w:t>2022-23</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BF14104" w14:textId="639A22F6" w:rsidR="00423C82" w:rsidRPr="00CE28E3" w:rsidRDefault="00423C82" w:rsidP="00996135">
            <w:pPr>
              <w:pStyle w:val="TableText"/>
              <w:keepNext/>
              <w:jc w:val="center"/>
              <w:rPr>
                <w:b/>
                <w:bCs/>
              </w:rPr>
            </w:pPr>
            <w:r>
              <w:rPr>
                <w:b/>
                <w:bCs/>
              </w:rPr>
              <w:t>2023-24</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1580A99" w14:textId="2B3C35C6" w:rsidR="00423C82" w:rsidRPr="00CE28E3" w:rsidRDefault="00423C82" w:rsidP="00996135">
            <w:pPr>
              <w:pStyle w:val="TableText"/>
              <w:keepNext/>
              <w:jc w:val="center"/>
              <w:rPr>
                <w:b/>
                <w:bCs/>
              </w:rPr>
            </w:pPr>
            <w:r>
              <w:rPr>
                <w:b/>
                <w:bCs/>
              </w:rPr>
              <w:t>2024-25</w:t>
            </w:r>
          </w:p>
        </w:tc>
        <w:tc>
          <w:tcPr>
            <w:tcW w:w="12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99B68C0" w14:textId="3FE7B0D1" w:rsidR="00423C82" w:rsidRPr="00CE28E3" w:rsidRDefault="00423C82" w:rsidP="00996135">
            <w:pPr>
              <w:pStyle w:val="TableText"/>
              <w:keepNext/>
              <w:jc w:val="center"/>
              <w:rPr>
                <w:b/>
                <w:bCs/>
              </w:rPr>
            </w:pPr>
            <w:r>
              <w:rPr>
                <w:b/>
                <w:bCs/>
              </w:rPr>
              <w:t>2025-26</w:t>
            </w:r>
          </w:p>
        </w:tc>
      </w:tr>
      <w:bookmarkEnd w:id="44"/>
      <w:tr w:rsidR="00D428B9" w:rsidRPr="00CE28E3" w14:paraId="5778418C" w14:textId="77777777" w:rsidTr="003B61B7">
        <w:tc>
          <w:tcPr>
            <w:tcW w:w="9006"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E7D8E3" w14:textId="77777777" w:rsidR="00D428B9" w:rsidRPr="00CE28E3" w:rsidRDefault="00D428B9" w:rsidP="00215AFB">
            <w:pPr>
              <w:pStyle w:val="TableText"/>
              <w:keepNext/>
              <w:rPr>
                <w:b/>
                <w:bCs/>
              </w:rPr>
            </w:pPr>
            <w:r w:rsidRPr="00CE28E3">
              <w:rPr>
                <w:b/>
                <w:bCs/>
              </w:rPr>
              <w:t>Estimated use and cost of the proposed health technology</w:t>
            </w:r>
          </w:p>
        </w:tc>
      </w:tr>
      <w:tr w:rsidR="00DD4AD2" w:rsidRPr="00CE28E3" w14:paraId="16C50CDA" w14:textId="77777777" w:rsidTr="00996135">
        <w:tc>
          <w:tcPr>
            <w:tcW w:w="26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7783D5" w14:textId="73053A09" w:rsidR="00423C82" w:rsidRPr="00CE28E3" w:rsidRDefault="00423C82" w:rsidP="00215AFB">
            <w:pPr>
              <w:pStyle w:val="TableText"/>
              <w:keepNext/>
            </w:pPr>
            <w:r w:rsidRPr="00CE28E3">
              <w:t xml:space="preserve">Number of people eligible for </w:t>
            </w:r>
            <w:r w:rsidR="002263E7">
              <w:t>IMeRSe</w:t>
            </w:r>
          </w:p>
        </w:tc>
        <w:tc>
          <w:tcPr>
            <w:tcW w:w="1293" w:type="dxa"/>
            <w:tcBorders>
              <w:top w:val="nil"/>
              <w:left w:val="nil"/>
              <w:bottom w:val="single" w:sz="8" w:space="0" w:color="auto"/>
              <w:right w:val="single" w:sz="8" w:space="0" w:color="auto"/>
            </w:tcBorders>
            <w:tcMar>
              <w:top w:w="0" w:type="dxa"/>
              <w:left w:w="108" w:type="dxa"/>
              <w:bottom w:w="0" w:type="dxa"/>
              <w:right w:w="108" w:type="dxa"/>
            </w:tcMar>
            <w:vAlign w:val="center"/>
          </w:tcPr>
          <w:p w14:paraId="73095266" w14:textId="7BF1E6B7" w:rsidR="00423C82" w:rsidRPr="002A6DEA" w:rsidRDefault="00423C82" w:rsidP="00996135">
            <w:pPr>
              <w:pStyle w:val="TableText"/>
              <w:keepNext/>
              <w:jc w:val="center"/>
            </w:pPr>
            <w:r w:rsidRPr="002A6DEA">
              <w:t>96,597</w:t>
            </w:r>
          </w:p>
        </w:tc>
        <w:tc>
          <w:tcPr>
            <w:tcW w:w="1307" w:type="dxa"/>
            <w:tcBorders>
              <w:top w:val="nil"/>
              <w:left w:val="nil"/>
              <w:bottom w:val="single" w:sz="8" w:space="0" w:color="auto"/>
              <w:right w:val="single" w:sz="8" w:space="0" w:color="auto"/>
            </w:tcBorders>
            <w:tcMar>
              <w:top w:w="0" w:type="dxa"/>
              <w:left w:w="108" w:type="dxa"/>
              <w:bottom w:w="0" w:type="dxa"/>
              <w:right w:w="108" w:type="dxa"/>
            </w:tcMar>
            <w:vAlign w:val="center"/>
          </w:tcPr>
          <w:p w14:paraId="47AB12F5" w14:textId="56F85224" w:rsidR="00423C82" w:rsidRPr="002A6DEA" w:rsidRDefault="00423C82" w:rsidP="00996135">
            <w:pPr>
              <w:pStyle w:val="TableText"/>
              <w:keepNext/>
              <w:jc w:val="center"/>
            </w:pPr>
            <w:r w:rsidRPr="002A6DEA">
              <w:t>99,654</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tcPr>
          <w:p w14:paraId="09031D3F" w14:textId="39AFB548" w:rsidR="00423C82" w:rsidRPr="002A6DEA" w:rsidRDefault="00423C82" w:rsidP="00996135">
            <w:pPr>
              <w:pStyle w:val="TableText"/>
              <w:keepNext/>
              <w:jc w:val="center"/>
            </w:pPr>
            <w:r w:rsidRPr="002A6DEA">
              <w:t>102,773</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tcPr>
          <w:p w14:paraId="57859E00" w14:textId="640E0181" w:rsidR="00423C82" w:rsidRPr="002A6DEA" w:rsidRDefault="00423C82" w:rsidP="00996135">
            <w:pPr>
              <w:pStyle w:val="TableText"/>
              <w:keepNext/>
              <w:jc w:val="center"/>
            </w:pPr>
            <w:r w:rsidRPr="002A6DEA">
              <w:t>106,016</w:t>
            </w:r>
          </w:p>
        </w:tc>
        <w:tc>
          <w:tcPr>
            <w:tcW w:w="1219" w:type="dxa"/>
            <w:tcBorders>
              <w:top w:val="nil"/>
              <w:left w:val="nil"/>
              <w:bottom w:val="single" w:sz="8" w:space="0" w:color="auto"/>
              <w:right w:val="single" w:sz="8" w:space="0" w:color="auto"/>
            </w:tcBorders>
            <w:tcMar>
              <w:top w:w="0" w:type="dxa"/>
              <w:left w:w="108" w:type="dxa"/>
              <w:bottom w:w="0" w:type="dxa"/>
              <w:right w:w="108" w:type="dxa"/>
            </w:tcMar>
            <w:vAlign w:val="center"/>
          </w:tcPr>
          <w:p w14:paraId="3C0B54F8" w14:textId="5CA86AD2" w:rsidR="00423C82" w:rsidRPr="002A6DEA" w:rsidRDefault="00423C82" w:rsidP="00996135">
            <w:pPr>
              <w:pStyle w:val="TableText"/>
              <w:keepNext/>
              <w:jc w:val="center"/>
            </w:pPr>
            <w:r w:rsidRPr="002A6DEA">
              <w:t>109,324</w:t>
            </w:r>
          </w:p>
        </w:tc>
      </w:tr>
      <w:tr w:rsidR="00DD4AD2" w:rsidRPr="00CE28E3" w14:paraId="755DEAF4" w14:textId="77777777" w:rsidTr="00996135">
        <w:tc>
          <w:tcPr>
            <w:tcW w:w="26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8ACBFB" w14:textId="1C9453F9" w:rsidR="00423C82" w:rsidRPr="00CE28E3" w:rsidRDefault="00423C82" w:rsidP="00215AFB">
            <w:pPr>
              <w:pStyle w:val="TableText"/>
              <w:keepNext/>
            </w:pPr>
            <w:r w:rsidRPr="00CE28E3">
              <w:t xml:space="preserve">Number of people who receive </w:t>
            </w:r>
            <w:r w:rsidR="002263E7">
              <w:t>IMeRSe</w:t>
            </w:r>
          </w:p>
        </w:tc>
        <w:tc>
          <w:tcPr>
            <w:tcW w:w="1293" w:type="dxa"/>
            <w:tcBorders>
              <w:top w:val="nil"/>
              <w:left w:val="nil"/>
              <w:bottom w:val="single" w:sz="8" w:space="0" w:color="auto"/>
              <w:right w:val="single" w:sz="8" w:space="0" w:color="auto"/>
            </w:tcBorders>
            <w:tcMar>
              <w:top w:w="0" w:type="dxa"/>
              <w:left w:w="108" w:type="dxa"/>
              <w:bottom w:w="0" w:type="dxa"/>
              <w:right w:w="108" w:type="dxa"/>
            </w:tcMar>
            <w:vAlign w:val="center"/>
          </w:tcPr>
          <w:p w14:paraId="07C02C49" w14:textId="3BB909F1" w:rsidR="00423C82" w:rsidRPr="002A6DEA" w:rsidRDefault="0079290E" w:rsidP="00996135">
            <w:pPr>
              <w:pStyle w:val="TableText"/>
              <w:keepNext/>
              <w:jc w:val="center"/>
            </w:pPr>
            <w:r w:rsidRPr="002A6DEA">
              <w:rPr>
                <w:b/>
                <w:bCs/>
              </w:rPr>
              <w:t>redacted</w:t>
            </w:r>
          </w:p>
        </w:tc>
        <w:tc>
          <w:tcPr>
            <w:tcW w:w="1307" w:type="dxa"/>
            <w:tcBorders>
              <w:top w:val="nil"/>
              <w:left w:val="nil"/>
              <w:bottom w:val="single" w:sz="8" w:space="0" w:color="auto"/>
              <w:right w:val="single" w:sz="8" w:space="0" w:color="auto"/>
            </w:tcBorders>
            <w:tcMar>
              <w:top w:w="0" w:type="dxa"/>
              <w:left w:w="108" w:type="dxa"/>
              <w:bottom w:w="0" w:type="dxa"/>
              <w:right w:w="108" w:type="dxa"/>
            </w:tcMar>
            <w:vAlign w:val="center"/>
          </w:tcPr>
          <w:p w14:paraId="726FA6A9" w14:textId="44BF3D4A" w:rsidR="00423C82" w:rsidRPr="002A6DEA" w:rsidRDefault="0079290E" w:rsidP="00996135">
            <w:pPr>
              <w:pStyle w:val="TableText"/>
              <w:keepNext/>
              <w:jc w:val="center"/>
            </w:pPr>
            <w:r w:rsidRPr="002A6DEA">
              <w:rPr>
                <w:b/>
                <w:bCs/>
              </w:rPr>
              <w:t>redacted</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tcPr>
          <w:p w14:paraId="40599FCD" w14:textId="779F1872" w:rsidR="00423C82" w:rsidRPr="002A6DEA" w:rsidRDefault="0079290E" w:rsidP="00996135">
            <w:pPr>
              <w:pStyle w:val="TableText"/>
              <w:keepNext/>
              <w:jc w:val="center"/>
            </w:pPr>
            <w:r w:rsidRPr="002A6DEA">
              <w:rPr>
                <w:b/>
                <w:bCs/>
              </w:rPr>
              <w:t>redacted</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tcPr>
          <w:p w14:paraId="49543F6F" w14:textId="2D79C214" w:rsidR="00423C82" w:rsidRPr="002A6DEA" w:rsidRDefault="0079290E" w:rsidP="00996135">
            <w:pPr>
              <w:pStyle w:val="TableText"/>
              <w:keepNext/>
              <w:jc w:val="center"/>
            </w:pPr>
            <w:r w:rsidRPr="002A6DEA">
              <w:rPr>
                <w:b/>
                <w:bCs/>
              </w:rPr>
              <w:t>redacted</w:t>
            </w:r>
          </w:p>
        </w:tc>
        <w:tc>
          <w:tcPr>
            <w:tcW w:w="1219" w:type="dxa"/>
            <w:tcBorders>
              <w:top w:val="nil"/>
              <w:left w:val="nil"/>
              <w:bottom w:val="single" w:sz="8" w:space="0" w:color="auto"/>
              <w:right w:val="single" w:sz="8" w:space="0" w:color="auto"/>
            </w:tcBorders>
            <w:tcMar>
              <w:top w:w="0" w:type="dxa"/>
              <w:left w:w="108" w:type="dxa"/>
              <w:bottom w:w="0" w:type="dxa"/>
              <w:right w:w="108" w:type="dxa"/>
            </w:tcMar>
            <w:vAlign w:val="center"/>
          </w:tcPr>
          <w:p w14:paraId="4012557F" w14:textId="33174C10" w:rsidR="00423C82" w:rsidRPr="002A6DEA" w:rsidRDefault="0079290E" w:rsidP="00996135">
            <w:pPr>
              <w:pStyle w:val="TableText"/>
              <w:keepNext/>
              <w:jc w:val="center"/>
            </w:pPr>
            <w:r w:rsidRPr="002A6DEA">
              <w:rPr>
                <w:b/>
                <w:bCs/>
              </w:rPr>
              <w:t>redacted</w:t>
            </w:r>
          </w:p>
        </w:tc>
      </w:tr>
      <w:tr w:rsidR="00247DD1" w:rsidRPr="00CE28E3" w14:paraId="03E1629E" w14:textId="77777777" w:rsidTr="00996135">
        <w:tc>
          <w:tcPr>
            <w:tcW w:w="263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3E5532C" w14:textId="38BB71CC" w:rsidR="00247DD1" w:rsidRPr="00CE28E3" w:rsidRDefault="00247DD1" w:rsidP="00215AFB">
            <w:pPr>
              <w:pStyle w:val="TableText"/>
              <w:keepNext/>
            </w:pPr>
            <w:r>
              <w:t>Number of services ADAR</w:t>
            </w:r>
          </w:p>
        </w:tc>
        <w:tc>
          <w:tcPr>
            <w:tcW w:w="1293" w:type="dxa"/>
            <w:tcBorders>
              <w:top w:val="nil"/>
              <w:left w:val="nil"/>
              <w:bottom w:val="single" w:sz="8" w:space="0" w:color="auto"/>
              <w:right w:val="single" w:sz="8" w:space="0" w:color="auto"/>
            </w:tcBorders>
            <w:tcMar>
              <w:top w:w="0" w:type="dxa"/>
              <w:left w:w="108" w:type="dxa"/>
              <w:bottom w:w="0" w:type="dxa"/>
              <w:right w:w="108" w:type="dxa"/>
            </w:tcMar>
            <w:vAlign w:val="center"/>
          </w:tcPr>
          <w:p w14:paraId="3FB4C628" w14:textId="1FCDD0A4" w:rsidR="00247DD1" w:rsidRPr="002A6DEA" w:rsidRDefault="0079290E" w:rsidP="00996135">
            <w:pPr>
              <w:pStyle w:val="TableText"/>
              <w:keepNext/>
              <w:jc w:val="center"/>
            </w:pPr>
            <w:r w:rsidRPr="002A6DEA">
              <w:rPr>
                <w:b/>
                <w:bCs/>
              </w:rPr>
              <w:t>redacted</w:t>
            </w:r>
          </w:p>
        </w:tc>
        <w:tc>
          <w:tcPr>
            <w:tcW w:w="1307" w:type="dxa"/>
            <w:tcBorders>
              <w:top w:val="nil"/>
              <w:left w:val="nil"/>
              <w:bottom w:val="single" w:sz="8" w:space="0" w:color="auto"/>
              <w:right w:val="single" w:sz="8" w:space="0" w:color="auto"/>
            </w:tcBorders>
            <w:tcMar>
              <w:top w:w="0" w:type="dxa"/>
              <w:left w:w="108" w:type="dxa"/>
              <w:bottom w:w="0" w:type="dxa"/>
              <w:right w:w="108" w:type="dxa"/>
            </w:tcMar>
            <w:vAlign w:val="center"/>
          </w:tcPr>
          <w:p w14:paraId="1522BA16" w14:textId="35C9DA5A" w:rsidR="00247DD1" w:rsidRPr="002A6DEA" w:rsidRDefault="0079290E" w:rsidP="00996135">
            <w:pPr>
              <w:pStyle w:val="TableText"/>
              <w:keepNext/>
              <w:jc w:val="center"/>
            </w:pPr>
            <w:r w:rsidRPr="002A6DEA">
              <w:rPr>
                <w:b/>
                <w:bCs/>
              </w:rPr>
              <w:t>redacted</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tcPr>
          <w:p w14:paraId="70499164" w14:textId="1BCA8012" w:rsidR="00247DD1" w:rsidRPr="002A6DEA" w:rsidRDefault="0079290E" w:rsidP="00996135">
            <w:pPr>
              <w:pStyle w:val="TableText"/>
              <w:keepNext/>
              <w:jc w:val="center"/>
            </w:pPr>
            <w:r w:rsidRPr="002A6DEA">
              <w:rPr>
                <w:b/>
                <w:bCs/>
              </w:rPr>
              <w:t>redacted</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tcPr>
          <w:p w14:paraId="515B9A65" w14:textId="429FF00E" w:rsidR="00247DD1" w:rsidRPr="002A6DEA" w:rsidRDefault="0079290E" w:rsidP="00996135">
            <w:pPr>
              <w:pStyle w:val="TableText"/>
              <w:keepNext/>
              <w:jc w:val="center"/>
            </w:pPr>
            <w:r w:rsidRPr="002A6DEA">
              <w:rPr>
                <w:b/>
                <w:bCs/>
              </w:rPr>
              <w:t>redacted</w:t>
            </w:r>
          </w:p>
        </w:tc>
        <w:tc>
          <w:tcPr>
            <w:tcW w:w="1219" w:type="dxa"/>
            <w:tcBorders>
              <w:top w:val="nil"/>
              <w:left w:val="nil"/>
              <w:bottom w:val="single" w:sz="8" w:space="0" w:color="auto"/>
              <w:right w:val="single" w:sz="8" w:space="0" w:color="auto"/>
            </w:tcBorders>
            <w:tcMar>
              <w:top w:w="0" w:type="dxa"/>
              <w:left w:w="108" w:type="dxa"/>
              <w:bottom w:w="0" w:type="dxa"/>
              <w:right w:w="108" w:type="dxa"/>
            </w:tcMar>
            <w:vAlign w:val="center"/>
          </w:tcPr>
          <w:p w14:paraId="423EF247" w14:textId="0CC927CC" w:rsidR="00247DD1" w:rsidRPr="002A6DEA" w:rsidRDefault="0079290E" w:rsidP="00996135">
            <w:pPr>
              <w:pStyle w:val="TableText"/>
              <w:keepNext/>
              <w:jc w:val="center"/>
            </w:pPr>
            <w:r w:rsidRPr="002A6DEA">
              <w:rPr>
                <w:b/>
                <w:bCs/>
              </w:rPr>
              <w:t>redacted</w:t>
            </w:r>
          </w:p>
        </w:tc>
      </w:tr>
      <w:tr w:rsidR="00DD4AD2" w:rsidRPr="00D632E6" w14:paraId="55A6176D" w14:textId="77777777" w:rsidTr="00996135">
        <w:tc>
          <w:tcPr>
            <w:tcW w:w="26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0B7D44" w14:textId="71BDB943" w:rsidR="00423C82" w:rsidRPr="00DD6784" w:rsidRDefault="00423C82" w:rsidP="00215AFB">
            <w:pPr>
              <w:pStyle w:val="TableText"/>
              <w:keepNext/>
              <w:rPr>
                <w:i/>
              </w:rPr>
            </w:pPr>
            <w:r w:rsidRPr="00DD6784">
              <w:rPr>
                <w:i/>
              </w:rPr>
              <w:t xml:space="preserve">Number of services of </w:t>
            </w:r>
            <w:r w:rsidR="002263E7" w:rsidRPr="00DD6784">
              <w:rPr>
                <w:i/>
              </w:rPr>
              <w:t xml:space="preserve">MMR </w:t>
            </w:r>
            <w:r w:rsidR="008507BC" w:rsidRPr="00DD6784">
              <w:rPr>
                <w:i/>
              </w:rPr>
              <w:t>[</w:t>
            </w:r>
            <w:r w:rsidR="002263E7" w:rsidRPr="00DD6784">
              <w:rPr>
                <w:i/>
              </w:rPr>
              <w:t>multiple health professionals deliver the service</w:t>
            </w:r>
            <w:r w:rsidRPr="00DD6784">
              <w:rPr>
                <w:i/>
              </w:rPr>
              <w:t>] (</w:t>
            </w:r>
            <w:r w:rsidR="004D7EB8" w:rsidRPr="00DD6784">
              <w:rPr>
                <w:i/>
              </w:rPr>
              <w:t>average 2.792 services per person</w:t>
            </w:r>
            <w:r w:rsidRPr="00DD6784">
              <w:rPr>
                <w:i/>
              </w:rPr>
              <w:t>)</w:t>
            </w:r>
          </w:p>
        </w:tc>
        <w:tc>
          <w:tcPr>
            <w:tcW w:w="1293" w:type="dxa"/>
            <w:tcBorders>
              <w:top w:val="nil"/>
              <w:left w:val="nil"/>
              <w:bottom w:val="single" w:sz="8" w:space="0" w:color="auto"/>
              <w:right w:val="single" w:sz="8" w:space="0" w:color="auto"/>
            </w:tcBorders>
            <w:tcMar>
              <w:top w:w="0" w:type="dxa"/>
              <w:left w:w="108" w:type="dxa"/>
              <w:bottom w:w="0" w:type="dxa"/>
              <w:right w:w="108" w:type="dxa"/>
            </w:tcMar>
            <w:vAlign w:val="center"/>
          </w:tcPr>
          <w:p w14:paraId="66D15F76" w14:textId="1C08875E" w:rsidR="00423C82" w:rsidRPr="002A6DEA" w:rsidRDefault="0079290E" w:rsidP="00996135">
            <w:pPr>
              <w:pStyle w:val="TableText"/>
              <w:keepNext/>
              <w:jc w:val="center"/>
              <w:rPr>
                <w:i/>
              </w:rPr>
            </w:pPr>
            <w:r w:rsidRPr="002A6DEA">
              <w:rPr>
                <w:b/>
                <w:bCs/>
              </w:rPr>
              <w:t>redacted</w:t>
            </w:r>
          </w:p>
        </w:tc>
        <w:tc>
          <w:tcPr>
            <w:tcW w:w="1307" w:type="dxa"/>
            <w:tcBorders>
              <w:top w:val="nil"/>
              <w:left w:val="nil"/>
              <w:bottom w:val="single" w:sz="8" w:space="0" w:color="auto"/>
              <w:right w:val="single" w:sz="8" w:space="0" w:color="auto"/>
            </w:tcBorders>
            <w:tcMar>
              <w:top w:w="0" w:type="dxa"/>
              <w:left w:w="108" w:type="dxa"/>
              <w:bottom w:w="0" w:type="dxa"/>
              <w:right w:w="108" w:type="dxa"/>
            </w:tcMar>
            <w:vAlign w:val="center"/>
          </w:tcPr>
          <w:p w14:paraId="09480FD5" w14:textId="0E3DD4DA" w:rsidR="00423C82" w:rsidRPr="002A6DEA" w:rsidRDefault="0079290E" w:rsidP="00996135">
            <w:pPr>
              <w:pStyle w:val="TableText"/>
              <w:keepNext/>
              <w:jc w:val="center"/>
              <w:rPr>
                <w:i/>
              </w:rPr>
            </w:pPr>
            <w:r w:rsidRPr="002A6DEA">
              <w:rPr>
                <w:b/>
                <w:bCs/>
              </w:rPr>
              <w:t>redacted</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tcPr>
          <w:p w14:paraId="2C940950" w14:textId="751B6F68" w:rsidR="00423C82" w:rsidRPr="002A6DEA" w:rsidRDefault="0079290E" w:rsidP="00996135">
            <w:pPr>
              <w:pStyle w:val="TableText"/>
              <w:keepNext/>
              <w:jc w:val="center"/>
              <w:rPr>
                <w:i/>
              </w:rPr>
            </w:pPr>
            <w:r w:rsidRPr="002A6DEA">
              <w:rPr>
                <w:b/>
                <w:bCs/>
              </w:rPr>
              <w:t>redacted</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tcPr>
          <w:p w14:paraId="46361EF9" w14:textId="388DDC2C" w:rsidR="00423C82" w:rsidRPr="002A6DEA" w:rsidRDefault="0079290E" w:rsidP="00996135">
            <w:pPr>
              <w:pStyle w:val="TableText"/>
              <w:keepNext/>
              <w:jc w:val="center"/>
              <w:rPr>
                <w:i/>
              </w:rPr>
            </w:pPr>
            <w:r w:rsidRPr="002A6DEA">
              <w:rPr>
                <w:b/>
                <w:bCs/>
              </w:rPr>
              <w:t>redacted</w:t>
            </w:r>
          </w:p>
        </w:tc>
        <w:tc>
          <w:tcPr>
            <w:tcW w:w="1219" w:type="dxa"/>
            <w:tcBorders>
              <w:top w:val="nil"/>
              <w:left w:val="nil"/>
              <w:bottom w:val="single" w:sz="8" w:space="0" w:color="auto"/>
              <w:right w:val="single" w:sz="8" w:space="0" w:color="auto"/>
            </w:tcBorders>
            <w:tcMar>
              <w:top w:w="0" w:type="dxa"/>
              <w:left w:w="108" w:type="dxa"/>
              <w:bottom w:w="0" w:type="dxa"/>
              <w:right w:w="108" w:type="dxa"/>
            </w:tcMar>
            <w:vAlign w:val="center"/>
          </w:tcPr>
          <w:p w14:paraId="254F194A" w14:textId="35445356" w:rsidR="00423C82" w:rsidRPr="002A6DEA" w:rsidRDefault="0079290E" w:rsidP="00996135">
            <w:pPr>
              <w:pStyle w:val="TableText"/>
              <w:keepNext/>
              <w:jc w:val="center"/>
              <w:rPr>
                <w:i/>
              </w:rPr>
            </w:pPr>
            <w:r w:rsidRPr="002A6DEA">
              <w:rPr>
                <w:b/>
                <w:bCs/>
              </w:rPr>
              <w:t>redacted</w:t>
            </w:r>
          </w:p>
        </w:tc>
      </w:tr>
      <w:tr w:rsidR="00DD4AD2" w:rsidRPr="00CE28E3" w14:paraId="17BAD6C0" w14:textId="77777777" w:rsidTr="00996135">
        <w:tc>
          <w:tcPr>
            <w:tcW w:w="26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DD856A" w14:textId="14AFC22A" w:rsidR="00423C82" w:rsidRPr="00CE28E3" w:rsidRDefault="00423C82" w:rsidP="00215AFB">
            <w:pPr>
              <w:pStyle w:val="TableText"/>
              <w:keepNext/>
            </w:pPr>
            <w:r w:rsidRPr="00CE28E3">
              <w:t>Cost to the [</w:t>
            </w:r>
            <w:r w:rsidR="002263E7">
              <w:t xml:space="preserve">MBS and government </w:t>
            </w:r>
            <w:r w:rsidRPr="00CE28E3">
              <w:t>program</w:t>
            </w:r>
            <w:r w:rsidR="002263E7">
              <w:t>*</w:t>
            </w:r>
            <w:r w:rsidRPr="00CE28E3">
              <w:t>] (with appropriate co</w:t>
            </w:r>
            <w:r w:rsidR="00AE53F6">
              <w:noBreakHyphen/>
            </w:r>
            <w:r w:rsidRPr="00CE28E3">
              <w:t>payments excluded)</w:t>
            </w:r>
          </w:p>
        </w:tc>
        <w:tc>
          <w:tcPr>
            <w:tcW w:w="1293" w:type="dxa"/>
            <w:tcBorders>
              <w:top w:val="nil"/>
              <w:left w:val="nil"/>
              <w:bottom w:val="single" w:sz="8" w:space="0" w:color="auto"/>
              <w:right w:val="single" w:sz="8" w:space="0" w:color="auto"/>
            </w:tcBorders>
            <w:tcMar>
              <w:top w:w="0" w:type="dxa"/>
              <w:left w:w="108" w:type="dxa"/>
              <w:bottom w:w="0" w:type="dxa"/>
              <w:right w:w="108" w:type="dxa"/>
            </w:tcMar>
            <w:vAlign w:val="center"/>
          </w:tcPr>
          <w:p w14:paraId="50542506" w14:textId="72B215D9" w:rsidR="00423C82" w:rsidRPr="002A6DEA" w:rsidRDefault="0079290E" w:rsidP="00996135">
            <w:pPr>
              <w:pStyle w:val="TableText"/>
              <w:keepNext/>
              <w:jc w:val="center"/>
            </w:pPr>
            <w:r w:rsidRPr="002A6DEA">
              <w:rPr>
                <w:b/>
                <w:bCs/>
              </w:rPr>
              <w:t xml:space="preserve">$redacted </w:t>
            </w:r>
          </w:p>
        </w:tc>
        <w:tc>
          <w:tcPr>
            <w:tcW w:w="1307" w:type="dxa"/>
            <w:tcBorders>
              <w:top w:val="nil"/>
              <w:left w:val="nil"/>
              <w:bottom w:val="single" w:sz="8" w:space="0" w:color="auto"/>
              <w:right w:val="single" w:sz="8" w:space="0" w:color="auto"/>
            </w:tcBorders>
            <w:tcMar>
              <w:top w:w="0" w:type="dxa"/>
              <w:left w:w="108" w:type="dxa"/>
              <w:bottom w:w="0" w:type="dxa"/>
              <w:right w:w="108" w:type="dxa"/>
            </w:tcMar>
            <w:vAlign w:val="center"/>
          </w:tcPr>
          <w:p w14:paraId="471D3823" w14:textId="6ACF054C" w:rsidR="00423C82" w:rsidRPr="002A6DEA" w:rsidRDefault="0079290E" w:rsidP="00996135">
            <w:pPr>
              <w:pStyle w:val="TableText"/>
              <w:keepNext/>
              <w:jc w:val="center"/>
            </w:pPr>
            <w:r w:rsidRPr="002A6DEA">
              <w:rPr>
                <w:b/>
                <w:bCs/>
              </w:rPr>
              <w:t xml:space="preserve">$redacted </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tcPr>
          <w:p w14:paraId="46FF7234" w14:textId="7F018C60" w:rsidR="00423C82" w:rsidRPr="002A6DEA" w:rsidRDefault="0079290E" w:rsidP="00996135">
            <w:pPr>
              <w:pStyle w:val="TableText"/>
              <w:keepNext/>
              <w:jc w:val="center"/>
            </w:pPr>
            <w:r w:rsidRPr="002A6DEA">
              <w:rPr>
                <w:b/>
                <w:bCs/>
              </w:rPr>
              <w:t xml:space="preserve">$redacted </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tcPr>
          <w:p w14:paraId="50CD0669" w14:textId="524DF65C" w:rsidR="00423C82" w:rsidRPr="002A6DEA" w:rsidRDefault="0079290E" w:rsidP="00996135">
            <w:pPr>
              <w:pStyle w:val="TableText"/>
              <w:keepNext/>
              <w:jc w:val="center"/>
            </w:pPr>
            <w:r w:rsidRPr="002A6DEA">
              <w:rPr>
                <w:b/>
                <w:bCs/>
              </w:rPr>
              <w:t xml:space="preserve">$redacted </w:t>
            </w:r>
          </w:p>
        </w:tc>
        <w:tc>
          <w:tcPr>
            <w:tcW w:w="1219" w:type="dxa"/>
            <w:tcBorders>
              <w:top w:val="nil"/>
              <w:left w:val="nil"/>
              <w:bottom w:val="single" w:sz="8" w:space="0" w:color="auto"/>
              <w:right w:val="single" w:sz="8" w:space="0" w:color="auto"/>
            </w:tcBorders>
            <w:tcMar>
              <w:top w:w="0" w:type="dxa"/>
              <w:left w:w="108" w:type="dxa"/>
              <w:bottom w:w="0" w:type="dxa"/>
              <w:right w:w="108" w:type="dxa"/>
            </w:tcMar>
            <w:vAlign w:val="center"/>
          </w:tcPr>
          <w:p w14:paraId="647BDBF5" w14:textId="1EC1C4E9" w:rsidR="00423C82" w:rsidRPr="002A6DEA" w:rsidRDefault="0079290E" w:rsidP="00996135">
            <w:pPr>
              <w:pStyle w:val="TableText"/>
              <w:keepNext/>
              <w:jc w:val="center"/>
            </w:pPr>
            <w:r w:rsidRPr="002A6DEA">
              <w:rPr>
                <w:b/>
                <w:bCs/>
              </w:rPr>
              <w:t xml:space="preserve">$redacted </w:t>
            </w:r>
          </w:p>
        </w:tc>
      </w:tr>
      <w:tr w:rsidR="00247DD1" w:rsidRPr="00D632E6" w14:paraId="44BAD462" w14:textId="77777777" w:rsidTr="005B6EDF">
        <w:tc>
          <w:tcPr>
            <w:tcW w:w="263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428C93C" w14:textId="665B9229" w:rsidR="00247DD1" w:rsidRPr="00AE53F6" w:rsidRDefault="00247DD1" w:rsidP="00247DD1">
            <w:pPr>
              <w:pStyle w:val="TableText"/>
              <w:keepNext/>
              <w:rPr>
                <w:iCs/>
              </w:rPr>
            </w:pPr>
            <w:r w:rsidRPr="00AE53F6">
              <w:rPr>
                <w:iCs/>
              </w:rPr>
              <w:t>Corrected costs for first year to the MBS**</w:t>
            </w:r>
            <w:r w:rsidR="00ED1850" w:rsidRPr="00AE53F6">
              <w:rPr>
                <w:iCs/>
              </w:rPr>
              <w:t xml:space="preserve"> block funding excluded</w:t>
            </w:r>
          </w:p>
        </w:tc>
        <w:tc>
          <w:tcPr>
            <w:tcW w:w="1293" w:type="dxa"/>
            <w:tcBorders>
              <w:top w:val="nil"/>
              <w:left w:val="nil"/>
              <w:bottom w:val="single" w:sz="8" w:space="0" w:color="auto"/>
              <w:right w:val="single" w:sz="8" w:space="0" w:color="auto"/>
            </w:tcBorders>
            <w:tcMar>
              <w:top w:w="0" w:type="dxa"/>
              <w:left w:w="108" w:type="dxa"/>
              <w:bottom w:w="0" w:type="dxa"/>
              <w:right w:w="108" w:type="dxa"/>
            </w:tcMar>
            <w:vAlign w:val="center"/>
          </w:tcPr>
          <w:p w14:paraId="0BBCE482" w14:textId="01AAC742" w:rsidR="00247DD1" w:rsidRPr="002A6DEA" w:rsidRDefault="0079290E" w:rsidP="00247DD1">
            <w:pPr>
              <w:pStyle w:val="TableText"/>
              <w:keepNext/>
              <w:jc w:val="center"/>
            </w:pPr>
            <w:r w:rsidRPr="002A6DEA">
              <w:rPr>
                <w:b/>
                <w:bCs/>
              </w:rPr>
              <w:t xml:space="preserve">$redacted </w:t>
            </w:r>
          </w:p>
        </w:tc>
        <w:tc>
          <w:tcPr>
            <w:tcW w:w="1307" w:type="dxa"/>
            <w:tcBorders>
              <w:top w:val="nil"/>
              <w:left w:val="nil"/>
              <w:bottom w:val="single" w:sz="8" w:space="0" w:color="auto"/>
              <w:right w:val="single" w:sz="8" w:space="0" w:color="auto"/>
            </w:tcBorders>
            <w:tcMar>
              <w:top w:w="0" w:type="dxa"/>
              <w:left w:w="108" w:type="dxa"/>
              <w:bottom w:w="0" w:type="dxa"/>
              <w:right w:w="108" w:type="dxa"/>
            </w:tcMar>
            <w:vAlign w:val="center"/>
          </w:tcPr>
          <w:p w14:paraId="6896FD4E" w14:textId="2A3148A5" w:rsidR="00247DD1" w:rsidRPr="002A6DEA" w:rsidRDefault="0079290E" w:rsidP="00247DD1">
            <w:pPr>
              <w:pStyle w:val="TableText"/>
              <w:keepNext/>
              <w:jc w:val="center"/>
            </w:pPr>
            <w:r w:rsidRPr="002A6DEA">
              <w:rPr>
                <w:b/>
                <w:bCs/>
              </w:rPr>
              <w:t xml:space="preserve">$redacted </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tcPr>
          <w:p w14:paraId="03808E61" w14:textId="42694846" w:rsidR="00247DD1" w:rsidRPr="002A6DEA" w:rsidRDefault="0079290E" w:rsidP="00247DD1">
            <w:pPr>
              <w:pStyle w:val="TableText"/>
              <w:keepNext/>
              <w:jc w:val="center"/>
            </w:pPr>
            <w:r w:rsidRPr="002A6DEA">
              <w:rPr>
                <w:b/>
                <w:bCs/>
              </w:rPr>
              <w:t xml:space="preserve">$redacted </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tcPr>
          <w:p w14:paraId="75E2C812" w14:textId="00336CE8" w:rsidR="00247DD1" w:rsidRPr="002A6DEA" w:rsidRDefault="0079290E" w:rsidP="00247DD1">
            <w:pPr>
              <w:pStyle w:val="TableText"/>
              <w:keepNext/>
              <w:jc w:val="center"/>
            </w:pPr>
            <w:r w:rsidRPr="002A6DEA">
              <w:rPr>
                <w:b/>
                <w:bCs/>
              </w:rPr>
              <w:t xml:space="preserve">$redacted </w:t>
            </w:r>
          </w:p>
        </w:tc>
        <w:tc>
          <w:tcPr>
            <w:tcW w:w="1219" w:type="dxa"/>
            <w:tcBorders>
              <w:top w:val="nil"/>
              <w:left w:val="nil"/>
              <w:bottom w:val="single" w:sz="8" w:space="0" w:color="auto"/>
              <w:right w:val="single" w:sz="8" w:space="0" w:color="auto"/>
            </w:tcBorders>
            <w:tcMar>
              <w:top w:w="0" w:type="dxa"/>
              <w:left w:w="108" w:type="dxa"/>
              <w:bottom w:w="0" w:type="dxa"/>
              <w:right w:w="108" w:type="dxa"/>
            </w:tcMar>
            <w:vAlign w:val="center"/>
          </w:tcPr>
          <w:p w14:paraId="18225A85" w14:textId="39EBCE20" w:rsidR="00247DD1" w:rsidRPr="002A6DEA" w:rsidRDefault="0079290E" w:rsidP="00247DD1">
            <w:pPr>
              <w:pStyle w:val="TableText"/>
              <w:keepNext/>
              <w:jc w:val="center"/>
            </w:pPr>
            <w:r w:rsidRPr="002A6DEA">
              <w:rPr>
                <w:b/>
                <w:bCs/>
              </w:rPr>
              <w:t xml:space="preserve">$redacted </w:t>
            </w:r>
          </w:p>
        </w:tc>
      </w:tr>
      <w:tr w:rsidR="00D428B9" w:rsidRPr="00CE28E3" w14:paraId="5BC9C961" w14:textId="77777777" w:rsidTr="003B61B7">
        <w:tc>
          <w:tcPr>
            <w:tcW w:w="9006"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CD307B" w14:textId="77777777" w:rsidR="00D428B9" w:rsidRPr="002A6DEA" w:rsidRDefault="00D428B9" w:rsidP="00215AFB">
            <w:pPr>
              <w:pStyle w:val="TableText"/>
              <w:keepNext/>
              <w:rPr>
                <w:b/>
                <w:bCs/>
              </w:rPr>
            </w:pPr>
            <w:r w:rsidRPr="002A6DEA">
              <w:rPr>
                <w:b/>
                <w:bCs/>
              </w:rPr>
              <w:t>Change in use and cost of other health technologies</w:t>
            </w:r>
          </w:p>
        </w:tc>
      </w:tr>
      <w:tr w:rsidR="00DD4AD2" w:rsidRPr="00CE28E3" w14:paraId="141B431A" w14:textId="77777777" w:rsidTr="00996135">
        <w:tc>
          <w:tcPr>
            <w:tcW w:w="26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3F8140" w14:textId="7AC32B7C" w:rsidR="00423C82" w:rsidRPr="00CE28E3" w:rsidRDefault="0057188E" w:rsidP="00215AFB">
            <w:pPr>
              <w:pStyle w:val="TableText"/>
              <w:keepNext/>
            </w:pPr>
            <w:r>
              <w:t xml:space="preserve">Block Funding </w:t>
            </w:r>
            <w:r w:rsidR="00247DD1">
              <w:t>*</w:t>
            </w:r>
          </w:p>
        </w:tc>
        <w:tc>
          <w:tcPr>
            <w:tcW w:w="1293" w:type="dxa"/>
            <w:tcBorders>
              <w:top w:val="nil"/>
              <w:left w:val="nil"/>
              <w:bottom w:val="single" w:sz="8" w:space="0" w:color="auto"/>
              <w:right w:val="single" w:sz="8" w:space="0" w:color="auto"/>
            </w:tcBorders>
            <w:tcMar>
              <w:top w:w="0" w:type="dxa"/>
              <w:left w:w="108" w:type="dxa"/>
              <w:bottom w:w="0" w:type="dxa"/>
              <w:right w:w="108" w:type="dxa"/>
            </w:tcMar>
            <w:vAlign w:val="center"/>
          </w:tcPr>
          <w:p w14:paraId="0A4E6D7D" w14:textId="6BCB2F99" w:rsidR="00423C82" w:rsidRPr="002A6DEA" w:rsidRDefault="0079290E" w:rsidP="00996135">
            <w:pPr>
              <w:pStyle w:val="TableText"/>
              <w:keepNext/>
              <w:jc w:val="center"/>
            </w:pPr>
            <w:r w:rsidRPr="002A6DEA">
              <w:rPr>
                <w:b/>
                <w:bCs/>
              </w:rPr>
              <w:t xml:space="preserve">$redacted </w:t>
            </w:r>
          </w:p>
        </w:tc>
        <w:tc>
          <w:tcPr>
            <w:tcW w:w="1307" w:type="dxa"/>
            <w:tcBorders>
              <w:top w:val="nil"/>
              <w:left w:val="nil"/>
              <w:bottom w:val="single" w:sz="8" w:space="0" w:color="auto"/>
              <w:right w:val="single" w:sz="8" w:space="0" w:color="auto"/>
            </w:tcBorders>
            <w:tcMar>
              <w:top w:w="0" w:type="dxa"/>
              <w:left w:w="108" w:type="dxa"/>
              <w:bottom w:w="0" w:type="dxa"/>
              <w:right w:w="108" w:type="dxa"/>
            </w:tcMar>
            <w:vAlign w:val="center"/>
          </w:tcPr>
          <w:p w14:paraId="7DCB03D6" w14:textId="4B8D4F12" w:rsidR="00423C82" w:rsidRPr="002A6DEA" w:rsidRDefault="0079290E" w:rsidP="00996135">
            <w:pPr>
              <w:pStyle w:val="TableText"/>
              <w:keepNext/>
              <w:jc w:val="center"/>
            </w:pPr>
            <w:r w:rsidRPr="002A6DEA">
              <w:rPr>
                <w:b/>
                <w:bCs/>
              </w:rPr>
              <w:t xml:space="preserve">$redacted </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tcPr>
          <w:p w14:paraId="705F281E" w14:textId="605F793B" w:rsidR="00423C82" w:rsidRPr="002A6DEA" w:rsidRDefault="0079290E" w:rsidP="00996135">
            <w:pPr>
              <w:pStyle w:val="TableText"/>
              <w:keepNext/>
              <w:jc w:val="center"/>
            </w:pPr>
            <w:r w:rsidRPr="002A6DEA">
              <w:rPr>
                <w:b/>
                <w:bCs/>
              </w:rPr>
              <w:t xml:space="preserve">$redacted </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tcPr>
          <w:p w14:paraId="0D92FF03" w14:textId="20DBF51E" w:rsidR="00423C82" w:rsidRPr="002A6DEA" w:rsidRDefault="0079290E" w:rsidP="00996135">
            <w:pPr>
              <w:pStyle w:val="TableText"/>
              <w:keepNext/>
              <w:jc w:val="center"/>
            </w:pPr>
            <w:r w:rsidRPr="002A6DEA">
              <w:rPr>
                <w:b/>
                <w:bCs/>
              </w:rPr>
              <w:t xml:space="preserve">$redacted </w:t>
            </w:r>
          </w:p>
        </w:tc>
        <w:tc>
          <w:tcPr>
            <w:tcW w:w="1219" w:type="dxa"/>
            <w:tcBorders>
              <w:top w:val="nil"/>
              <w:left w:val="nil"/>
              <w:bottom w:val="single" w:sz="8" w:space="0" w:color="auto"/>
              <w:right w:val="single" w:sz="8" w:space="0" w:color="auto"/>
            </w:tcBorders>
            <w:tcMar>
              <w:top w:w="0" w:type="dxa"/>
              <w:left w:w="108" w:type="dxa"/>
              <w:bottom w:w="0" w:type="dxa"/>
              <w:right w:w="108" w:type="dxa"/>
            </w:tcMar>
            <w:vAlign w:val="center"/>
          </w:tcPr>
          <w:p w14:paraId="5B4DD028" w14:textId="2638308C" w:rsidR="00423C82" w:rsidRPr="002A6DEA" w:rsidRDefault="0079290E" w:rsidP="00996135">
            <w:pPr>
              <w:pStyle w:val="TableText"/>
              <w:keepNext/>
              <w:jc w:val="center"/>
            </w:pPr>
            <w:r w:rsidRPr="002A6DEA">
              <w:rPr>
                <w:b/>
                <w:bCs/>
              </w:rPr>
              <w:t xml:space="preserve">$redacted </w:t>
            </w:r>
          </w:p>
        </w:tc>
      </w:tr>
      <w:tr w:rsidR="00DD4AD2" w:rsidRPr="00CE28E3" w14:paraId="3D0475C2" w14:textId="77777777" w:rsidTr="00996135">
        <w:tc>
          <w:tcPr>
            <w:tcW w:w="26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EA0546" w14:textId="269FF7C8" w:rsidR="00DD4AD2" w:rsidRPr="00496A2B" w:rsidRDefault="00DD4AD2" w:rsidP="00DD4AD2">
            <w:pPr>
              <w:pStyle w:val="TableText"/>
              <w:keepNext/>
              <w:rPr>
                <w:highlight w:val="magenta"/>
              </w:rPr>
            </w:pPr>
            <w:r w:rsidRPr="00F80AD8">
              <w:t>Change in use of hospital inpatient services Costs</w:t>
            </w:r>
          </w:p>
        </w:tc>
        <w:tc>
          <w:tcPr>
            <w:tcW w:w="1293" w:type="dxa"/>
            <w:tcBorders>
              <w:top w:val="nil"/>
              <w:left w:val="nil"/>
              <w:bottom w:val="single" w:sz="8" w:space="0" w:color="auto"/>
              <w:right w:val="single" w:sz="8" w:space="0" w:color="auto"/>
            </w:tcBorders>
            <w:tcMar>
              <w:top w:w="0" w:type="dxa"/>
              <w:left w:w="108" w:type="dxa"/>
              <w:bottom w:w="0" w:type="dxa"/>
              <w:right w:w="108" w:type="dxa"/>
            </w:tcMar>
            <w:vAlign w:val="center"/>
          </w:tcPr>
          <w:p w14:paraId="50D93D8C" w14:textId="449D9091" w:rsidR="00DD4AD2" w:rsidRPr="002A6DEA" w:rsidRDefault="0079290E" w:rsidP="00996135">
            <w:pPr>
              <w:pStyle w:val="TableText"/>
              <w:keepNext/>
              <w:jc w:val="center"/>
            </w:pPr>
            <w:r w:rsidRPr="002A6DEA">
              <w:rPr>
                <w:b/>
                <w:bCs/>
              </w:rPr>
              <w:t xml:space="preserve">$redacted </w:t>
            </w:r>
          </w:p>
        </w:tc>
        <w:tc>
          <w:tcPr>
            <w:tcW w:w="1307" w:type="dxa"/>
            <w:tcBorders>
              <w:top w:val="nil"/>
              <w:left w:val="nil"/>
              <w:bottom w:val="single" w:sz="8" w:space="0" w:color="auto"/>
              <w:right w:val="single" w:sz="8" w:space="0" w:color="auto"/>
            </w:tcBorders>
            <w:tcMar>
              <w:top w:w="0" w:type="dxa"/>
              <w:left w:w="108" w:type="dxa"/>
              <w:bottom w:w="0" w:type="dxa"/>
              <w:right w:w="108" w:type="dxa"/>
            </w:tcMar>
            <w:vAlign w:val="center"/>
          </w:tcPr>
          <w:p w14:paraId="391B0C16" w14:textId="3DF31380" w:rsidR="00DD4AD2" w:rsidRPr="002A6DEA" w:rsidRDefault="0079290E" w:rsidP="00996135">
            <w:pPr>
              <w:pStyle w:val="TableText"/>
              <w:keepNext/>
              <w:jc w:val="center"/>
            </w:pPr>
            <w:r w:rsidRPr="002A6DEA">
              <w:rPr>
                <w:b/>
                <w:bCs/>
              </w:rPr>
              <w:t xml:space="preserve">$redacted </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tcPr>
          <w:p w14:paraId="5DAB74DE" w14:textId="7E771B22" w:rsidR="00DD4AD2" w:rsidRPr="002A6DEA" w:rsidRDefault="0079290E" w:rsidP="00996135">
            <w:pPr>
              <w:pStyle w:val="TableText"/>
              <w:keepNext/>
              <w:jc w:val="center"/>
            </w:pPr>
            <w:r w:rsidRPr="002A6DEA">
              <w:rPr>
                <w:b/>
                <w:bCs/>
              </w:rPr>
              <w:t xml:space="preserve">$redacted </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tcPr>
          <w:p w14:paraId="15AF506D" w14:textId="003C3E63" w:rsidR="00DD4AD2" w:rsidRPr="002A6DEA" w:rsidRDefault="0079290E" w:rsidP="00996135">
            <w:pPr>
              <w:pStyle w:val="TableText"/>
              <w:keepNext/>
              <w:jc w:val="center"/>
            </w:pPr>
            <w:r w:rsidRPr="002A6DEA">
              <w:rPr>
                <w:b/>
                <w:bCs/>
              </w:rPr>
              <w:t xml:space="preserve">$redacted </w:t>
            </w:r>
          </w:p>
        </w:tc>
        <w:tc>
          <w:tcPr>
            <w:tcW w:w="1219" w:type="dxa"/>
            <w:tcBorders>
              <w:top w:val="nil"/>
              <w:left w:val="nil"/>
              <w:bottom w:val="single" w:sz="8" w:space="0" w:color="auto"/>
              <w:right w:val="single" w:sz="8" w:space="0" w:color="auto"/>
            </w:tcBorders>
            <w:tcMar>
              <w:top w:w="0" w:type="dxa"/>
              <w:left w:w="108" w:type="dxa"/>
              <w:bottom w:w="0" w:type="dxa"/>
              <w:right w:w="108" w:type="dxa"/>
            </w:tcMar>
            <w:vAlign w:val="center"/>
          </w:tcPr>
          <w:p w14:paraId="01AD2F08" w14:textId="76D78497" w:rsidR="00DD4AD2" w:rsidRPr="002A6DEA" w:rsidRDefault="0079290E" w:rsidP="00996135">
            <w:pPr>
              <w:pStyle w:val="TableText"/>
              <w:keepNext/>
              <w:jc w:val="center"/>
            </w:pPr>
            <w:r w:rsidRPr="002A6DEA">
              <w:rPr>
                <w:b/>
                <w:bCs/>
              </w:rPr>
              <w:t xml:space="preserve">$redacted </w:t>
            </w:r>
          </w:p>
        </w:tc>
      </w:tr>
      <w:tr w:rsidR="00DD4AD2" w:rsidRPr="00CE28E3" w14:paraId="3CD44076" w14:textId="77777777" w:rsidTr="00996135">
        <w:tc>
          <w:tcPr>
            <w:tcW w:w="263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3F8CE85" w14:textId="221124CE" w:rsidR="00DD4AD2" w:rsidRPr="00496A2B" w:rsidRDefault="002263E7" w:rsidP="00DD4AD2">
            <w:pPr>
              <w:pStyle w:val="TableText"/>
              <w:keepNext/>
              <w:rPr>
                <w:highlight w:val="magenta"/>
              </w:rPr>
            </w:pPr>
            <w:r w:rsidRPr="00F80AD8">
              <w:t xml:space="preserve">Net financial impact to government </w:t>
            </w:r>
            <w:r w:rsidR="004D7EB8" w:rsidRPr="00F80AD8">
              <w:t>budgets (</w:t>
            </w:r>
            <w:r w:rsidR="00DD4AD2" w:rsidRPr="00F80AD8">
              <w:t>Sensitivity 1)</w:t>
            </w:r>
          </w:p>
        </w:tc>
        <w:tc>
          <w:tcPr>
            <w:tcW w:w="1293" w:type="dxa"/>
            <w:tcBorders>
              <w:top w:val="nil"/>
              <w:left w:val="nil"/>
              <w:bottom w:val="single" w:sz="8" w:space="0" w:color="auto"/>
              <w:right w:val="single" w:sz="8" w:space="0" w:color="auto"/>
            </w:tcBorders>
            <w:tcMar>
              <w:top w:w="0" w:type="dxa"/>
              <w:left w:w="108" w:type="dxa"/>
              <w:bottom w:w="0" w:type="dxa"/>
              <w:right w:w="108" w:type="dxa"/>
            </w:tcMar>
            <w:vAlign w:val="center"/>
          </w:tcPr>
          <w:p w14:paraId="3B179444" w14:textId="27635FDA" w:rsidR="00DD4AD2" w:rsidRPr="002A6DEA" w:rsidRDefault="00DD4AD2" w:rsidP="00996135">
            <w:pPr>
              <w:pStyle w:val="TableText"/>
              <w:keepNext/>
              <w:jc w:val="center"/>
            </w:pPr>
            <w:r w:rsidRPr="002A6DEA">
              <w:t>-</w:t>
            </w:r>
            <w:r w:rsidR="0079290E" w:rsidRPr="002A6DEA">
              <w:rPr>
                <w:b/>
                <w:bCs/>
              </w:rPr>
              <w:t xml:space="preserve">$redacted </w:t>
            </w:r>
          </w:p>
        </w:tc>
        <w:tc>
          <w:tcPr>
            <w:tcW w:w="1307" w:type="dxa"/>
            <w:tcBorders>
              <w:top w:val="nil"/>
              <w:left w:val="nil"/>
              <w:bottom w:val="single" w:sz="8" w:space="0" w:color="auto"/>
              <w:right w:val="single" w:sz="8" w:space="0" w:color="auto"/>
            </w:tcBorders>
            <w:tcMar>
              <w:top w:w="0" w:type="dxa"/>
              <w:left w:w="108" w:type="dxa"/>
              <w:bottom w:w="0" w:type="dxa"/>
              <w:right w:w="108" w:type="dxa"/>
            </w:tcMar>
            <w:vAlign w:val="center"/>
          </w:tcPr>
          <w:p w14:paraId="129FC747" w14:textId="655ECB62" w:rsidR="00DD4AD2" w:rsidRPr="002A6DEA" w:rsidRDefault="00DD4AD2" w:rsidP="00996135">
            <w:pPr>
              <w:pStyle w:val="TableText"/>
              <w:keepNext/>
              <w:jc w:val="center"/>
            </w:pPr>
            <w:r w:rsidRPr="002A6DEA">
              <w:t>-</w:t>
            </w:r>
            <w:r w:rsidR="0079290E" w:rsidRPr="002A6DEA">
              <w:rPr>
                <w:b/>
                <w:bCs/>
              </w:rPr>
              <w:t xml:space="preserve">$redacted </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tcPr>
          <w:p w14:paraId="16ACA8B7" w14:textId="146D3575" w:rsidR="00DD4AD2" w:rsidRPr="002A6DEA" w:rsidRDefault="00DD4AD2" w:rsidP="00996135">
            <w:pPr>
              <w:pStyle w:val="TableText"/>
              <w:keepNext/>
              <w:jc w:val="center"/>
            </w:pPr>
            <w:r w:rsidRPr="002A6DEA">
              <w:t>-</w:t>
            </w:r>
            <w:r w:rsidR="0079290E" w:rsidRPr="002A6DEA">
              <w:rPr>
                <w:b/>
                <w:bCs/>
              </w:rPr>
              <w:t xml:space="preserve">$redacted </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tcPr>
          <w:p w14:paraId="78D1379D" w14:textId="26B5A786" w:rsidR="00DD4AD2" w:rsidRPr="002A6DEA" w:rsidRDefault="00DD4AD2" w:rsidP="00996135">
            <w:pPr>
              <w:pStyle w:val="TableText"/>
              <w:keepNext/>
              <w:jc w:val="center"/>
            </w:pPr>
            <w:r w:rsidRPr="002A6DEA">
              <w:t>-</w:t>
            </w:r>
            <w:r w:rsidR="0079290E" w:rsidRPr="002A6DEA">
              <w:rPr>
                <w:b/>
                <w:bCs/>
              </w:rPr>
              <w:t xml:space="preserve">$redacted </w:t>
            </w:r>
          </w:p>
        </w:tc>
        <w:tc>
          <w:tcPr>
            <w:tcW w:w="1219" w:type="dxa"/>
            <w:tcBorders>
              <w:top w:val="nil"/>
              <w:left w:val="nil"/>
              <w:bottom w:val="single" w:sz="8" w:space="0" w:color="auto"/>
              <w:right w:val="single" w:sz="8" w:space="0" w:color="auto"/>
            </w:tcBorders>
            <w:tcMar>
              <w:top w:w="0" w:type="dxa"/>
              <w:left w:w="108" w:type="dxa"/>
              <w:bottom w:w="0" w:type="dxa"/>
              <w:right w:w="108" w:type="dxa"/>
            </w:tcMar>
            <w:vAlign w:val="center"/>
          </w:tcPr>
          <w:p w14:paraId="0D4F78A6" w14:textId="6F87E0D4" w:rsidR="00DD4AD2" w:rsidRPr="002A6DEA" w:rsidRDefault="00DD4AD2" w:rsidP="00996135">
            <w:pPr>
              <w:pStyle w:val="TableText"/>
              <w:keepNext/>
              <w:jc w:val="center"/>
            </w:pPr>
            <w:r w:rsidRPr="002A6DEA">
              <w:t>-</w:t>
            </w:r>
            <w:r w:rsidR="0079290E" w:rsidRPr="002A6DEA">
              <w:rPr>
                <w:b/>
                <w:bCs/>
              </w:rPr>
              <w:t xml:space="preserve">$redacted </w:t>
            </w:r>
          </w:p>
        </w:tc>
      </w:tr>
      <w:tr w:rsidR="00DD4AD2" w:rsidRPr="00CE28E3" w14:paraId="43C8D626" w14:textId="77777777" w:rsidTr="00996135">
        <w:tc>
          <w:tcPr>
            <w:tcW w:w="263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EE1D203" w14:textId="26119943" w:rsidR="00DD4AD2" w:rsidRPr="00496A2B" w:rsidRDefault="00DD4AD2" w:rsidP="00DD4AD2">
            <w:pPr>
              <w:pStyle w:val="TableText"/>
              <w:keepNext/>
              <w:rPr>
                <w:highlight w:val="magenta"/>
              </w:rPr>
            </w:pPr>
            <w:r w:rsidRPr="00F80AD8">
              <w:t xml:space="preserve">Change in use and costs of ED visits </w:t>
            </w:r>
          </w:p>
        </w:tc>
        <w:tc>
          <w:tcPr>
            <w:tcW w:w="1293" w:type="dxa"/>
            <w:tcBorders>
              <w:top w:val="nil"/>
              <w:left w:val="nil"/>
              <w:bottom w:val="single" w:sz="8" w:space="0" w:color="auto"/>
              <w:right w:val="single" w:sz="8" w:space="0" w:color="auto"/>
            </w:tcBorders>
            <w:tcMar>
              <w:top w:w="0" w:type="dxa"/>
              <w:left w:w="108" w:type="dxa"/>
              <w:bottom w:w="0" w:type="dxa"/>
              <w:right w:w="108" w:type="dxa"/>
            </w:tcMar>
            <w:vAlign w:val="center"/>
          </w:tcPr>
          <w:p w14:paraId="6842BE1D" w14:textId="1E38EE9D" w:rsidR="00DD4AD2" w:rsidRPr="002A6DEA" w:rsidRDefault="0079290E" w:rsidP="00996135">
            <w:pPr>
              <w:pStyle w:val="TableText"/>
              <w:keepNext/>
              <w:jc w:val="center"/>
            </w:pPr>
            <w:r w:rsidRPr="002A6DEA">
              <w:rPr>
                <w:b/>
                <w:bCs/>
              </w:rPr>
              <w:t xml:space="preserve">$redacted </w:t>
            </w:r>
          </w:p>
        </w:tc>
        <w:tc>
          <w:tcPr>
            <w:tcW w:w="1307" w:type="dxa"/>
            <w:tcBorders>
              <w:top w:val="nil"/>
              <w:left w:val="nil"/>
              <w:bottom w:val="single" w:sz="8" w:space="0" w:color="auto"/>
              <w:right w:val="single" w:sz="8" w:space="0" w:color="auto"/>
            </w:tcBorders>
            <w:tcMar>
              <w:top w:w="0" w:type="dxa"/>
              <w:left w:w="108" w:type="dxa"/>
              <w:bottom w:w="0" w:type="dxa"/>
              <w:right w:w="108" w:type="dxa"/>
            </w:tcMar>
            <w:vAlign w:val="center"/>
          </w:tcPr>
          <w:p w14:paraId="638456A5" w14:textId="2CF7FBA2" w:rsidR="00DD4AD2" w:rsidRPr="002A6DEA" w:rsidRDefault="0079290E" w:rsidP="00996135">
            <w:pPr>
              <w:pStyle w:val="TableText"/>
              <w:keepNext/>
              <w:jc w:val="center"/>
            </w:pPr>
            <w:r w:rsidRPr="002A6DEA">
              <w:rPr>
                <w:b/>
                <w:bCs/>
              </w:rPr>
              <w:t xml:space="preserve">$redacted </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tcPr>
          <w:p w14:paraId="66FCD84C" w14:textId="20648220" w:rsidR="00DD4AD2" w:rsidRPr="002A6DEA" w:rsidRDefault="0079290E" w:rsidP="00996135">
            <w:pPr>
              <w:pStyle w:val="TableText"/>
              <w:keepNext/>
              <w:jc w:val="center"/>
            </w:pPr>
            <w:r w:rsidRPr="002A6DEA">
              <w:rPr>
                <w:b/>
                <w:bCs/>
              </w:rPr>
              <w:t xml:space="preserve">$redacted </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tcPr>
          <w:p w14:paraId="0D02CC15" w14:textId="2B68FDC3" w:rsidR="00DD4AD2" w:rsidRPr="002A6DEA" w:rsidRDefault="0079290E" w:rsidP="00996135">
            <w:pPr>
              <w:pStyle w:val="TableText"/>
              <w:keepNext/>
              <w:jc w:val="center"/>
            </w:pPr>
            <w:r w:rsidRPr="002A6DEA">
              <w:rPr>
                <w:b/>
                <w:bCs/>
              </w:rPr>
              <w:t xml:space="preserve">$redacted </w:t>
            </w:r>
          </w:p>
        </w:tc>
        <w:tc>
          <w:tcPr>
            <w:tcW w:w="1219" w:type="dxa"/>
            <w:tcBorders>
              <w:top w:val="nil"/>
              <w:left w:val="nil"/>
              <w:bottom w:val="single" w:sz="8" w:space="0" w:color="auto"/>
              <w:right w:val="single" w:sz="8" w:space="0" w:color="auto"/>
            </w:tcBorders>
            <w:tcMar>
              <w:top w:w="0" w:type="dxa"/>
              <w:left w:w="108" w:type="dxa"/>
              <w:bottom w:w="0" w:type="dxa"/>
              <w:right w:w="108" w:type="dxa"/>
            </w:tcMar>
            <w:vAlign w:val="center"/>
          </w:tcPr>
          <w:p w14:paraId="3F5BE765" w14:textId="13B1EF9E" w:rsidR="00DD4AD2" w:rsidRPr="002A6DEA" w:rsidRDefault="0079290E" w:rsidP="00996135">
            <w:pPr>
              <w:pStyle w:val="TableText"/>
              <w:keepNext/>
              <w:jc w:val="center"/>
            </w:pPr>
            <w:r w:rsidRPr="002A6DEA">
              <w:rPr>
                <w:b/>
                <w:bCs/>
              </w:rPr>
              <w:t xml:space="preserve">$redacted </w:t>
            </w:r>
          </w:p>
        </w:tc>
      </w:tr>
      <w:tr w:rsidR="00DD4AD2" w:rsidRPr="00CE28E3" w14:paraId="60D22B91" w14:textId="77777777" w:rsidTr="00996135">
        <w:tc>
          <w:tcPr>
            <w:tcW w:w="263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7969690" w14:textId="3C536598" w:rsidR="00DD4AD2" w:rsidRPr="00496A2B" w:rsidRDefault="002263E7" w:rsidP="00DD4AD2">
            <w:pPr>
              <w:pStyle w:val="TableText"/>
              <w:keepNext/>
              <w:rPr>
                <w:highlight w:val="magenta"/>
              </w:rPr>
            </w:pPr>
            <w:r w:rsidRPr="00F80AD8">
              <w:t xml:space="preserve">Net financial </w:t>
            </w:r>
            <w:r w:rsidR="004D7EB8" w:rsidRPr="00F80AD8">
              <w:t>impact (</w:t>
            </w:r>
            <w:r w:rsidR="00DD4AD2" w:rsidRPr="00F80AD8">
              <w:t>Sensitivity 2)</w:t>
            </w:r>
            <w:r w:rsidRPr="00F80AD8">
              <w:t xml:space="preserve"> to government budgets</w:t>
            </w:r>
          </w:p>
        </w:tc>
        <w:tc>
          <w:tcPr>
            <w:tcW w:w="1293" w:type="dxa"/>
            <w:tcBorders>
              <w:top w:val="nil"/>
              <w:left w:val="nil"/>
              <w:bottom w:val="single" w:sz="8" w:space="0" w:color="auto"/>
              <w:right w:val="single" w:sz="8" w:space="0" w:color="auto"/>
            </w:tcBorders>
            <w:tcMar>
              <w:top w:w="0" w:type="dxa"/>
              <w:left w:w="108" w:type="dxa"/>
              <w:bottom w:w="0" w:type="dxa"/>
              <w:right w:w="108" w:type="dxa"/>
            </w:tcMar>
            <w:vAlign w:val="center"/>
          </w:tcPr>
          <w:p w14:paraId="371ACFC1" w14:textId="055C4C90" w:rsidR="00DD4AD2" w:rsidRPr="002A6DEA" w:rsidRDefault="00DD4AD2" w:rsidP="00996135">
            <w:pPr>
              <w:pStyle w:val="TableText"/>
              <w:keepNext/>
              <w:jc w:val="center"/>
            </w:pPr>
            <w:r w:rsidRPr="002A6DEA">
              <w:t>-</w:t>
            </w:r>
            <w:r w:rsidR="0079290E" w:rsidRPr="002A6DEA">
              <w:rPr>
                <w:b/>
                <w:bCs/>
              </w:rPr>
              <w:t xml:space="preserve">$redacted </w:t>
            </w:r>
          </w:p>
        </w:tc>
        <w:tc>
          <w:tcPr>
            <w:tcW w:w="1307" w:type="dxa"/>
            <w:tcBorders>
              <w:top w:val="nil"/>
              <w:left w:val="nil"/>
              <w:bottom w:val="single" w:sz="8" w:space="0" w:color="auto"/>
              <w:right w:val="single" w:sz="8" w:space="0" w:color="auto"/>
            </w:tcBorders>
            <w:tcMar>
              <w:top w:w="0" w:type="dxa"/>
              <w:left w:w="108" w:type="dxa"/>
              <w:bottom w:w="0" w:type="dxa"/>
              <w:right w:w="108" w:type="dxa"/>
            </w:tcMar>
            <w:vAlign w:val="center"/>
          </w:tcPr>
          <w:p w14:paraId="1AA0F6DB" w14:textId="1D96AD35" w:rsidR="00DD4AD2" w:rsidRPr="002A6DEA" w:rsidRDefault="00DD4AD2" w:rsidP="00996135">
            <w:pPr>
              <w:pStyle w:val="TableText"/>
              <w:keepNext/>
              <w:jc w:val="center"/>
            </w:pPr>
            <w:r w:rsidRPr="002A6DEA">
              <w:t>-</w:t>
            </w:r>
            <w:r w:rsidR="0079290E" w:rsidRPr="002A6DEA">
              <w:rPr>
                <w:b/>
                <w:bCs/>
              </w:rPr>
              <w:t xml:space="preserve">$redacted </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tcPr>
          <w:p w14:paraId="2C2AFDEF" w14:textId="1212120D" w:rsidR="00DD4AD2" w:rsidRPr="002A6DEA" w:rsidRDefault="00DD4AD2" w:rsidP="00996135">
            <w:pPr>
              <w:pStyle w:val="TableText"/>
              <w:keepNext/>
              <w:jc w:val="center"/>
            </w:pPr>
            <w:r w:rsidRPr="002A6DEA">
              <w:t>-</w:t>
            </w:r>
            <w:r w:rsidR="0079290E" w:rsidRPr="002A6DEA">
              <w:rPr>
                <w:b/>
                <w:bCs/>
              </w:rPr>
              <w:t xml:space="preserve">$redacted </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tcPr>
          <w:p w14:paraId="085C9384" w14:textId="13569140" w:rsidR="00DD4AD2" w:rsidRPr="002A6DEA" w:rsidRDefault="00DD4AD2" w:rsidP="00996135">
            <w:pPr>
              <w:pStyle w:val="TableText"/>
              <w:keepNext/>
              <w:jc w:val="center"/>
            </w:pPr>
            <w:r w:rsidRPr="002A6DEA">
              <w:t>-</w:t>
            </w:r>
            <w:r w:rsidR="0079290E" w:rsidRPr="002A6DEA">
              <w:rPr>
                <w:b/>
                <w:bCs/>
              </w:rPr>
              <w:t xml:space="preserve">$redacted </w:t>
            </w:r>
          </w:p>
        </w:tc>
        <w:tc>
          <w:tcPr>
            <w:tcW w:w="1219" w:type="dxa"/>
            <w:tcBorders>
              <w:top w:val="nil"/>
              <w:left w:val="nil"/>
              <w:bottom w:val="single" w:sz="8" w:space="0" w:color="auto"/>
              <w:right w:val="single" w:sz="8" w:space="0" w:color="auto"/>
            </w:tcBorders>
            <w:tcMar>
              <w:top w:w="0" w:type="dxa"/>
              <w:left w:w="108" w:type="dxa"/>
              <w:bottom w:w="0" w:type="dxa"/>
              <w:right w:w="108" w:type="dxa"/>
            </w:tcMar>
            <w:vAlign w:val="center"/>
          </w:tcPr>
          <w:p w14:paraId="6293F2B0" w14:textId="0BA0C573" w:rsidR="00DD4AD2" w:rsidRPr="002A6DEA" w:rsidRDefault="00DD4AD2" w:rsidP="00996135">
            <w:pPr>
              <w:pStyle w:val="TableText"/>
              <w:keepNext/>
              <w:jc w:val="center"/>
            </w:pPr>
            <w:r w:rsidRPr="002A6DEA">
              <w:t>-</w:t>
            </w:r>
            <w:r w:rsidR="0079290E" w:rsidRPr="002A6DEA">
              <w:rPr>
                <w:b/>
                <w:bCs/>
              </w:rPr>
              <w:t xml:space="preserve">$redacted </w:t>
            </w:r>
          </w:p>
        </w:tc>
      </w:tr>
    </w:tbl>
    <w:p w14:paraId="76BF528F" w14:textId="64C0D753" w:rsidR="00AF6D95" w:rsidRDefault="00AF6D95" w:rsidP="004F06D7">
      <w:pPr>
        <w:pStyle w:val="TableFigureFooter"/>
        <w:spacing w:after="0"/>
      </w:pPr>
      <w:bookmarkStart w:id="46" w:name="_Hlk68276814"/>
      <w:bookmarkEnd w:id="45"/>
      <w:r>
        <w:t xml:space="preserve">Source: </w:t>
      </w:r>
      <w:r w:rsidR="007A502F">
        <w:t xml:space="preserve">Compiled from </w:t>
      </w:r>
      <w:r w:rsidR="00247DD1">
        <w:t xml:space="preserve">Tables 29-33 of ADAR, </w:t>
      </w:r>
      <w:r w:rsidR="007A502F">
        <w:t>with commentary</w:t>
      </w:r>
      <w:r w:rsidR="00247DD1">
        <w:t xml:space="preserve"> in italics.</w:t>
      </w:r>
    </w:p>
    <w:p w14:paraId="2A852272" w14:textId="77777777" w:rsidR="003419E3" w:rsidRPr="00996135" w:rsidRDefault="003419E3" w:rsidP="003419E3">
      <w:pPr>
        <w:pStyle w:val="TableFigureFooter"/>
        <w:spacing w:before="0"/>
        <w:contextualSpacing/>
      </w:pPr>
      <w:r>
        <w:t xml:space="preserve">Abbreviations: ADAR=Applicant developed assessment report: </w:t>
      </w:r>
      <w:r w:rsidRPr="00996135">
        <w:t>ED=emergency departmen</w:t>
      </w:r>
      <w:r>
        <w:t>t; MBS=Medicare Benefits Schedule; MMR=medication management review</w:t>
      </w:r>
    </w:p>
    <w:p w14:paraId="1FE50650" w14:textId="77777777" w:rsidR="00247DD1" w:rsidRDefault="002263E7">
      <w:pPr>
        <w:pStyle w:val="TableFigureFooter"/>
        <w:spacing w:before="0" w:after="0"/>
      </w:pPr>
      <w:r w:rsidRPr="00996135">
        <w:t>*block funding will need to be provided by an government agency other than the MBS.</w:t>
      </w:r>
    </w:p>
    <w:p w14:paraId="603056F5" w14:textId="5511824A" w:rsidR="004F06D7" w:rsidRDefault="00247DD1" w:rsidP="005B6EDF">
      <w:pPr>
        <w:pStyle w:val="TableFigureFooter"/>
        <w:spacing w:before="0" w:after="0"/>
      </w:pPr>
      <w:r>
        <w:t xml:space="preserve">**these costs are corrected for the appropriate number of services required to deliver the MMR, the correct </w:t>
      </w:r>
      <w:r w:rsidR="001C6987">
        <w:t xml:space="preserve">requested </w:t>
      </w:r>
      <w:r>
        <w:t>item fee for GP of $75</w:t>
      </w:r>
      <w:r w:rsidR="001C6987">
        <w:t xml:space="preserve"> (which substantially reduced the estimated costs), some errors in the excel spreadsheet and the exclusion of travel costs and block funding.</w:t>
      </w:r>
      <w:r w:rsidR="002263E7" w:rsidRPr="00996135">
        <w:t xml:space="preserve"> </w:t>
      </w:r>
    </w:p>
    <w:bookmarkEnd w:id="46"/>
    <w:p w14:paraId="416FE112" w14:textId="742EBDD1" w:rsidR="004D7EB8" w:rsidRPr="007E039D" w:rsidRDefault="007E039D" w:rsidP="007C620E">
      <w:pPr>
        <w:pStyle w:val="Instructionaltext"/>
        <w:spacing w:before="240"/>
        <w:rPr>
          <w:color w:val="auto"/>
        </w:rPr>
      </w:pPr>
      <w:r w:rsidRPr="007E039D">
        <w:rPr>
          <w:color w:val="auto"/>
        </w:rPr>
        <w:t xml:space="preserve">The commentary noted the following regarding the </w:t>
      </w:r>
      <w:r w:rsidR="004D7EB8" w:rsidRPr="007E039D">
        <w:rPr>
          <w:color w:val="auto"/>
        </w:rPr>
        <w:t xml:space="preserve">financial </w:t>
      </w:r>
      <w:r w:rsidRPr="007E039D">
        <w:rPr>
          <w:color w:val="auto"/>
        </w:rPr>
        <w:t>estimates</w:t>
      </w:r>
      <w:r w:rsidR="004D7EB8" w:rsidRPr="007E039D">
        <w:rPr>
          <w:color w:val="auto"/>
        </w:rPr>
        <w:t>:</w:t>
      </w:r>
    </w:p>
    <w:p w14:paraId="0AF37842" w14:textId="20757118" w:rsidR="004D7EB8" w:rsidRPr="00866756" w:rsidRDefault="004D7EB8" w:rsidP="00E11EEF">
      <w:pPr>
        <w:pStyle w:val="Instructionaltext"/>
        <w:numPr>
          <w:ilvl w:val="0"/>
          <w:numId w:val="27"/>
        </w:numPr>
        <w:ind w:left="284" w:hanging="284"/>
        <w:rPr>
          <w:iCs/>
          <w:color w:val="auto"/>
        </w:rPr>
      </w:pPr>
      <w:r w:rsidRPr="007E039D">
        <w:rPr>
          <w:iCs/>
          <w:color w:val="auto"/>
        </w:rPr>
        <w:t xml:space="preserve">The </w:t>
      </w:r>
      <w:r w:rsidR="003419E3">
        <w:rPr>
          <w:iCs/>
          <w:color w:val="auto"/>
        </w:rPr>
        <w:t xml:space="preserve">commentary revised </w:t>
      </w:r>
      <w:r w:rsidRPr="007E039D">
        <w:rPr>
          <w:iCs/>
          <w:color w:val="auto"/>
        </w:rPr>
        <w:t xml:space="preserve">average cost of IMeRSe is </w:t>
      </w:r>
      <w:r w:rsidR="00CA1DBF" w:rsidRPr="00866756">
        <w:rPr>
          <w:b/>
          <w:bCs/>
          <w:color w:val="auto"/>
        </w:rPr>
        <w:t xml:space="preserve">$redacted </w:t>
      </w:r>
      <w:r w:rsidRPr="00866756">
        <w:rPr>
          <w:iCs/>
          <w:color w:val="auto"/>
        </w:rPr>
        <w:t xml:space="preserve">per client per year to the MBS. This is a lower figure than estimated by the </w:t>
      </w:r>
      <w:r w:rsidR="00996135" w:rsidRPr="00866756">
        <w:rPr>
          <w:iCs/>
          <w:color w:val="auto"/>
        </w:rPr>
        <w:t>ADAR</w:t>
      </w:r>
      <w:r w:rsidR="00A1097F" w:rsidRPr="00866756">
        <w:rPr>
          <w:iCs/>
          <w:color w:val="auto"/>
        </w:rPr>
        <w:t xml:space="preserve">, </w:t>
      </w:r>
      <w:r w:rsidR="00CA1DBF" w:rsidRPr="00866756">
        <w:rPr>
          <w:b/>
          <w:bCs/>
          <w:color w:val="auto"/>
        </w:rPr>
        <w:t xml:space="preserve">$redacted </w:t>
      </w:r>
      <w:r w:rsidR="00A1097F" w:rsidRPr="00866756">
        <w:rPr>
          <w:iCs/>
          <w:color w:val="auto"/>
        </w:rPr>
        <w:t>,</w:t>
      </w:r>
      <w:r w:rsidRPr="00866756">
        <w:rPr>
          <w:iCs/>
          <w:color w:val="auto"/>
        </w:rPr>
        <w:t xml:space="preserve"> because it excludes </w:t>
      </w:r>
      <w:r w:rsidR="00A1097F" w:rsidRPr="00866756">
        <w:rPr>
          <w:iCs/>
          <w:color w:val="auto"/>
        </w:rPr>
        <w:t>the requested block funding, travel costs for pharmacists, and only estimates the costs for a GP service at $</w:t>
      </w:r>
      <w:r w:rsidR="00A1097F" w:rsidRPr="00866756">
        <w:rPr>
          <w:color w:val="auto"/>
        </w:rPr>
        <w:t>75</w:t>
      </w:r>
      <w:r w:rsidR="00A1097F" w:rsidRPr="00866756">
        <w:rPr>
          <w:iCs/>
          <w:color w:val="auto"/>
        </w:rPr>
        <w:t xml:space="preserve">, which is the </w:t>
      </w:r>
      <w:r w:rsidR="00AE4522" w:rsidRPr="00866756">
        <w:rPr>
          <w:iCs/>
          <w:color w:val="auto"/>
        </w:rPr>
        <w:t xml:space="preserve">MBS item </w:t>
      </w:r>
      <w:r w:rsidR="00A1097F" w:rsidRPr="00866756">
        <w:rPr>
          <w:iCs/>
          <w:color w:val="auto"/>
        </w:rPr>
        <w:t xml:space="preserve">fee requested in the </w:t>
      </w:r>
      <w:r w:rsidR="00996135" w:rsidRPr="00866756">
        <w:rPr>
          <w:iCs/>
          <w:color w:val="auto"/>
        </w:rPr>
        <w:t>ADAR</w:t>
      </w:r>
      <w:r w:rsidR="00A1097F" w:rsidRPr="00866756">
        <w:rPr>
          <w:iCs/>
          <w:color w:val="auto"/>
        </w:rPr>
        <w:t xml:space="preserve"> (and not the MBS item 900 fee)</w:t>
      </w:r>
      <w:r w:rsidR="00AE4522" w:rsidRPr="00866756">
        <w:rPr>
          <w:iCs/>
          <w:color w:val="auto"/>
        </w:rPr>
        <w:t xml:space="preserve"> and which the GPs that participated in the </w:t>
      </w:r>
      <w:r w:rsidR="003419E3" w:rsidRPr="00866756">
        <w:rPr>
          <w:iCs/>
          <w:color w:val="auto"/>
        </w:rPr>
        <w:t xml:space="preserve">IMeRSe </w:t>
      </w:r>
      <w:r w:rsidR="00AE4522" w:rsidRPr="00866756">
        <w:rPr>
          <w:iCs/>
          <w:color w:val="auto"/>
        </w:rPr>
        <w:t>Feasibility Study had stated was the fee they charged; a Level C consult</w:t>
      </w:r>
      <w:r w:rsidR="00A1097F" w:rsidRPr="00866756">
        <w:rPr>
          <w:iCs/>
          <w:color w:val="auto"/>
        </w:rPr>
        <w:t xml:space="preserve">. </w:t>
      </w:r>
    </w:p>
    <w:p w14:paraId="2AD39530" w14:textId="2F3AF4B7" w:rsidR="00A1097F" w:rsidRPr="007E039D" w:rsidRDefault="00A1097F" w:rsidP="00E11EEF">
      <w:pPr>
        <w:pStyle w:val="Instructionaltext"/>
        <w:numPr>
          <w:ilvl w:val="0"/>
          <w:numId w:val="27"/>
        </w:numPr>
        <w:ind w:left="284" w:hanging="284"/>
        <w:rPr>
          <w:iCs/>
          <w:color w:val="auto"/>
        </w:rPr>
      </w:pPr>
      <w:r w:rsidRPr="00866756">
        <w:rPr>
          <w:iCs/>
          <w:color w:val="auto"/>
        </w:rPr>
        <w:t xml:space="preserve">The </w:t>
      </w:r>
      <w:r w:rsidR="003419E3" w:rsidRPr="00866756">
        <w:rPr>
          <w:iCs/>
          <w:color w:val="auto"/>
        </w:rPr>
        <w:t xml:space="preserve">commentary revised </w:t>
      </w:r>
      <w:r w:rsidRPr="00866756">
        <w:rPr>
          <w:iCs/>
          <w:color w:val="auto"/>
        </w:rPr>
        <w:t>average number of service</w:t>
      </w:r>
      <w:r w:rsidR="00AD52CC" w:rsidRPr="00866756">
        <w:rPr>
          <w:iCs/>
          <w:color w:val="auto"/>
        </w:rPr>
        <w:t>s</w:t>
      </w:r>
      <w:r w:rsidRPr="00866756">
        <w:rPr>
          <w:iCs/>
          <w:color w:val="auto"/>
        </w:rPr>
        <w:t xml:space="preserve"> per person receiving IMeRSe is </w:t>
      </w:r>
      <w:r w:rsidR="00CA1DBF" w:rsidRPr="00866756">
        <w:rPr>
          <w:b/>
          <w:bCs/>
          <w:color w:val="auto"/>
        </w:rPr>
        <w:t>redacted</w:t>
      </w:r>
      <w:r w:rsidRPr="00866756">
        <w:rPr>
          <w:iCs/>
          <w:color w:val="auto"/>
        </w:rPr>
        <w:t xml:space="preserve">, a total of </w:t>
      </w:r>
      <w:r w:rsidR="00CA1DBF" w:rsidRPr="00866756">
        <w:rPr>
          <w:b/>
          <w:bCs/>
          <w:color w:val="auto"/>
        </w:rPr>
        <w:t xml:space="preserve">redacted </w:t>
      </w:r>
      <w:r w:rsidRPr="00866756">
        <w:rPr>
          <w:iCs/>
          <w:color w:val="auto"/>
        </w:rPr>
        <w:t>for Year 1</w:t>
      </w:r>
      <w:r w:rsidR="0047793A" w:rsidRPr="00866756">
        <w:rPr>
          <w:iCs/>
          <w:color w:val="auto"/>
        </w:rPr>
        <w:t xml:space="preserve"> increasing to </w:t>
      </w:r>
      <w:r w:rsidR="00CA1DBF" w:rsidRPr="00866756">
        <w:rPr>
          <w:b/>
          <w:bCs/>
          <w:color w:val="auto"/>
        </w:rPr>
        <w:t xml:space="preserve">redacted </w:t>
      </w:r>
      <w:r w:rsidR="0047793A" w:rsidRPr="00866756">
        <w:rPr>
          <w:iCs/>
          <w:color w:val="auto"/>
        </w:rPr>
        <w:t xml:space="preserve">by </w:t>
      </w:r>
      <w:r w:rsidR="0047793A" w:rsidRPr="00335D5F">
        <w:rPr>
          <w:iCs/>
          <w:color w:val="auto"/>
        </w:rPr>
        <w:t>Year 5</w:t>
      </w:r>
      <w:r w:rsidRPr="00335D5F">
        <w:rPr>
          <w:iCs/>
          <w:color w:val="auto"/>
        </w:rPr>
        <w:t>.</w:t>
      </w:r>
      <w:r w:rsidR="001C6987" w:rsidRPr="00335D5F">
        <w:rPr>
          <w:iCs/>
          <w:color w:val="auto"/>
        </w:rPr>
        <w:t xml:space="preserve"> This is higher than estimated in </w:t>
      </w:r>
      <w:r w:rsidR="002855E6" w:rsidRPr="00335D5F">
        <w:rPr>
          <w:iCs/>
          <w:color w:val="auto"/>
        </w:rPr>
        <w:t>t</w:t>
      </w:r>
      <w:r w:rsidRPr="00335D5F">
        <w:rPr>
          <w:iCs/>
          <w:color w:val="auto"/>
        </w:rPr>
        <w:t xml:space="preserve">he </w:t>
      </w:r>
      <w:r w:rsidR="00996135" w:rsidRPr="00866756">
        <w:rPr>
          <w:iCs/>
          <w:color w:val="auto"/>
        </w:rPr>
        <w:t>ADAR</w:t>
      </w:r>
      <w:r w:rsidR="003419E3" w:rsidRPr="00866756">
        <w:rPr>
          <w:iCs/>
          <w:color w:val="auto"/>
        </w:rPr>
        <w:t xml:space="preserve"> (</w:t>
      </w:r>
      <w:r w:rsidR="00CA1DBF" w:rsidRPr="00866756">
        <w:rPr>
          <w:b/>
          <w:bCs/>
          <w:color w:val="auto"/>
        </w:rPr>
        <w:t>redacted</w:t>
      </w:r>
      <w:r w:rsidR="003419E3" w:rsidRPr="00866756">
        <w:rPr>
          <w:iCs/>
          <w:color w:val="auto"/>
        </w:rPr>
        <w:t>)</w:t>
      </w:r>
      <w:r w:rsidR="005B6EDF" w:rsidRPr="00866756">
        <w:rPr>
          <w:iCs/>
          <w:color w:val="auto"/>
        </w:rPr>
        <w:t xml:space="preserve"> which</w:t>
      </w:r>
      <w:r w:rsidRPr="00866756">
        <w:rPr>
          <w:iCs/>
          <w:color w:val="auto"/>
        </w:rPr>
        <w:t xml:space="preserve"> </w:t>
      </w:r>
      <w:r w:rsidRPr="00335D5F">
        <w:rPr>
          <w:iCs/>
          <w:color w:val="auto"/>
        </w:rPr>
        <w:t xml:space="preserve">is the number of services for the </w:t>
      </w:r>
      <w:r w:rsidR="00A037F8" w:rsidRPr="00335D5F">
        <w:rPr>
          <w:iCs/>
          <w:color w:val="auto"/>
        </w:rPr>
        <w:t>pharmacist but</w:t>
      </w:r>
      <w:r w:rsidRPr="00335D5F">
        <w:rPr>
          <w:iCs/>
          <w:color w:val="auto"/>
        </w:rPr>
        <w:t xml:space="preserve"> </w:t>
      </w:r>
      <w:r w:rsidR="00A037F8" w:rsidRPr="00335D5F">
        <w:rPr>
          <w:iCs/>
          <w:color w:val="auto"/>
        </w:rPr>
        <w:t>excludes</w:t>
      </w:r>
      <w:r w:rsidR="00CB1A6F" w:rsidRPr="00335D5F">
        <w:rPr>
          <w:iCs/>
          <w:color w:val="auto"/>
        </w:rPr>
        <w:t xml:space="preserve"> the</w:t>
      </w:r>
      <w:r w:rsidRPr="00335D5F">
        <w:rPr>
          <w:iCs/>
          <w:color w:val="auto"/>
        </w:rPr>
        <w:t xml:space="preserve"> </w:t>
      </w:r>
      <w:r w:rsidR="002855E6" w:rsidRPr="00335D5F">
        <w:rPr>
          <w:iCs/>
          <w:color w:val="auto"/>
        </w:rPr>
        <w:t xml:space="preserve">additional </w:t>
      </w:r>
      <w:r w:rsidRPr="00335D5F">
        <w:rPr>
          <w:iCs/>
          <w:color w:val="auto"/>
        </w:rPr>
        <w:t xml:space="preserve">services </w:t>
      </w:r>
      <w:r w:rsidR="002855E6" w:rsidRPr="00335D5F">
        <w:rPr>
          <w:iCs/>
          <w:color w:val="auto"/>
        </w:rPr>
        <w:t xml:space="preserve">by </w:t>
      </w:r>
      <w:r w:rsidRPr="00335D5F">
        <w:rPr>
          <w:iCs/>
          <w:color w:val="auto"/>
        </w:rPr>
        <w:t>the AHW and</w:t>
      </w:r>
      <w:r w:rsidRPr="007E039D">
        <w:rPr>
          <w:iCs/>
          <w:color w:val="auto"/>
        </w:rPr>
        <w:t xml:space="preserve"> GP that also are required to deliver the service.  </w:t>
      </w:r>
    </w:p>
    <w:p w14:paraId="237D97CE" w14:textId="348E4584" w:rsidR="00A1097F" w:rsidRPr="007E039D" w:rsidRDefault="002855E6" w:rsidP="00E11EEF">
      <w:pPr>
        <w:pStyle w:val="Instructionaltext"/>
        <w:numPr>
          <w:ilvl w:val="0"/>
          <w:numId w:val="27"/>
        </w:numPr>
        <w:ind w:left="284" w:hanging="284"/>
        <w:rPr>
          <w:iCs/>
          <w:color w:val="auto"/>
        </w:rPr>
      </w:pPr>
      <w:r w:rsidRPr="007E039D">
        <w:rPr>
          <w:iCs/>
          <w:color w:val="auto"/>
        </w:rPr>
        <w:t xml:space="preserve">If the requested </w:t>
      </w:r>
      <w:r w:rsidR="00A1097F" w:rsidRPr="007E039D">
        <w:rPr>
          <w:iCs/>
          <w:color w:val="auto"/>
        </w:rPr>
        <w:t xml:space="preserve">MBS fee reimbursement </w:t>
      </w:r>
      <w:r w:rsidRPr="007E039D">
        <w:rPr>
          <w:iCs/>
          <w:color w:val="auto"/>
        </w:rPr>
        <w:t>is</w:t>
      </w:r>
      <w:r w:rsidR="00A1097F" w:rsidRPr="007E039D">
        <w:rPr>
          <w:iCs/>
          <w:color w:val="auto"/>
        </w:rPr>
        <w:t xml:space="preserve"> </w:t>
      </w:r>
      <w:r w:rsidR="00715975" w:rsidRPr="007E039D">
        <w:rPr>
          <w:iCs/>
          <w:color w:val="auto"/>
        </w:rPr>
        <w:t>consistent with MBS Item 900</w:t>
      </w:r>
      <w:r w:rsidRPr="007E039D">
        <w:rPr>
          <w:iCs/>
          <w:color w:val="auto"/>
        </w:rPr>
        <w:t xml:space="preserve"> then patients are unlikely to have out-of-pocket costs for the delivery of this service.</w:t>
      </w:r>
    </w:p>
    <w:p w14:paraId="0074FE60" w14:textId="238604E4" w:rsidR="00715975" w:rsidRPr="007E039D" w:rsidRDefault="00715975" w:rsidP="00E11EEF">
      <w:pPr>
        <w:pStyle w:val="Instructionaltext"/>
        <w:numPr>
          <w:ilvl w:val="0"/>
          <w:numId w:val="27"/>
        </w:numPr>
        <w:ind w:left="284" w:hanging="284"/>
        <w:rPr>
          <w:iCs/>
          <w:color w:val="auto"/>
        </w:rPr>
      </w:pPr>
      <w:r w:rsidRPr="007E039D">
        <w:rPr>
          <w:iCs/>
          <w:color w:val="auto"/>
        </w:rPr>
        <w:t>The requested block funding will need to be sourced f</w:t>
      </w:r>
      <w:r w:rsidR="00CB1A6F" w:rsidRPr="007E039D">
        <w:rPr>
          <w:iCs/>
          <w:color w:val="auto"/>
        </w:rPr>
        <w:t>rom</w:t>
      </w:r>
      <w:r w:rsidRPr="007E039D">
        <w:rPr>
          <w:iCs/>
          <w:color w:val="auto"/>
        </w:rPr>
        <w:t xml:space="preserve"> a government agency other than the MBS.</w:t>
      </w:r>
    </w:p>
    <w:p w14:paraId="14DB2CD6" w14:textId="5598FE06" w:rsidR="00C27F33" w:rsidRPr="00855E9A" w:rsidRDefault="00F4441B" w:rsidP="00DF39E9">
      <w:pPr>
        <w:pStyle w:val="Instructionaltext"/>
        <w:rPr>
          <w:iCs/>
          <w:color w:val="00B050"/>
        </w:rPr>
      </w:pPr>
      <w:r w:rsidRPr="00996135">
        <w:rPr>
          <w:color w:val="auto"/>
        </w:rPr>
        <w:t xml:space="preserve">The </w:t>
      </w:r>
      <w:r w:rsidR="00996135">
        <w:rPr>
          <w:color w:val="auto"/>
        </w:rPr>
        <w:t>ADAR</w:t>
      </w:r>
      <w:r w:rsidRPr="00996135">
        <w:rPr>
          <w:color w:val="auto"/>
        </w:rPr>
        <w:t xml:space="preserve"> report</w:t>
      </w:r>
      <w:r w:rsidR="007E039D">
        <w:rPr>
          <w:color w:val="auto"/>
        </w:rPr>
        <w:t>ed</w:t>
      </w:r>
      <w:r w:rsidRPr="00996135">
        <w:rPr>
          <w:color w:val="auto"/>
        </w:rPr>
        <w:t xml:space="preserve"> that the uptake of the IMeRSe in the </w:t>
      </w:r>
      <w:r w:rsidR="007E039D">
        <w:rPr>
          <w:color w:val="auto"/>
        </w:rPr>
        <w:t xml:space="preserve">IMeRSe </w:t>
      </w:r>
      <w:r w:rsidRPr="00996135">
        <w:rPr>
          <w:color w:val="auto"/>
        </w:rPr>
        <w:t xml:space="preserve">Feasibility Study </w:t>
      </w:r>
      <w:r w:rsidR="007E039D">
        <w:rPr>
          <w:color w:val="auto"/>
        </w:rPr>
        <w:t>was</w:t>
      </w:r>
      <w:r w:rsidR="007E039D" w:rsidRPr="00996135">
        <w:rPr>
          <w:color w:val="auto"/>
        </w:rPr>
        <w:t xml:space="preserve"> </w:t>
      </w:r>
      <w:r w:rsidRPr="00996135">
        <w:rPr>
          <w:color w:val="auto"/>
        </w:rPr>
        <w:t xml:space="preserve">only 5%, which </w:t>
      </w:r>
      <w:r w:rsidR="003419E3">
        <w:rPr>
          <w:color w:val="auto"/>
        </w:rPr>
        <w:t>the commentary considered to be</w:t>
      </w:r>
      <w:r w:rsidR="003419E3" w:rsidRPr="007E039D">
        <w:rPr>
          <w:color w:val="auto"/>
        </w:rPr>
        <w:t xml:space="preserve"> </w:t>
      </w:r>
      <w:r w:rsidRPr="007E039D">
        <w:rPr>
          <w:color w:val="auto"/>
        </w:rPr>
        <w:t xml:space="preserve">low given the intensive support provided to implement the program. </w:t>
      </w:r>
      <w:r w:rsidR="007E039D" w:rsidRPr="00C978D7">
        <w:rPr>
          <w:iCs/>
          <w:color w:val="auto"/>
        </w:rPr>
        <w:t>When</w:t>
      </w:r>
      <w:r w:rsidR="000D50A7" w:rsidRPr="00C978D7">
        <w:rPr>
          <w:iCs/>
          <w:color w:val="auto"/>
        </w:rPr>
        <w:t xml:space="preserve"> this uptake </w:t>
      </w:r>
      <w:r w:rsidR="007E039D" w:rsidRPr="00C978D7">
        <w:rPr>
          <w:iCs/>
          <w:color w:val="auto"/>
        </w:rPr>
        <w:t>it is increased</w:t>
      </w:r>
      <w:r w:rsidR="000D50A7" w:rsidRPr="00C978D7">
        <w:rPr>
          <w:iCs/>
          <w:color w:val="auto"/>
        </w:rPr>
        <w:t xml:space="preserve"> to 10%</w:t>
      </w:r>
      <w:r w:rsidR="007E039D" w:rsidRPr="00C978D7">
        <w:rPr>
          <w:iCs/>
          <w:color w:val="auto"/>
        </w:rPr>
        <w:t xml:space="preserve">, it </w:t>
      </w:r>
      <w:r w:rsidR="000D50A7" w:rsidRPr="00C978D7">
        <w:rPr>
          <w:iCs/>
          <w:color w:val="auto"/>
        </w:rPr>
        <w:t xml:space="preserve">results in a doubling of patient numbers, and almost a </w:t>
      </w:r>
      <w:r w:rsidR="000D50A7" w:rsidRPr="00855E9A">
        <w:rPr>
          <w:iCs/>
          <w:color w:val="auto"/>
        </w:rPr>
        <w:t xml:space="preserve">doubling of cost. </w:t>
      </w:r>
    </w:p>
    <w:p w14:paraId="27663B98" w14:textId="6A23C521" w:rsidR="00423C82" w:rsidRPr="007E039D" w:rsidRDefault="007E039D" w:rsidP="007E039D">
      <w:pPr>
        <w:pStyle w:val="Instructionaltext"/>
        <w:rPr>
          <w:iCs/>
          <w:color w:val="auto"/>
        </w:rPr>
      </w:pPr>
      <w:r w:rsidRPr="00855E9A">
        <w:rPr>
          <w:iCs/>
          <w:color w:val="auto"/>
        </w:rPr>
        <w:t>The commentary also noted that t</w:t>
      </w:r>
      <w:r w:rsidR="00423C82" w:rsidRPr="00855E9A">
        <w:rPr>
          <w:iCs/>
          <w:color w:val="auto"/>
        </w:rPr>
        <w:t xml:space="preserve">he </w:t>
      </w:r>
      <w:r w:rsidR="00635C10" w:rsidRPr="00855E9A">
        <w:rPr>
          <w:iCs/>
          <w:color w:val="auto"/>
        </w:rPr>
        <w:t>ADAR</w:t>
      </w:r>
      <w:r w:rsidR="00423C82" w:rsidRPr="00855E9A">
        <w:rPr>
          <w:iCs/>
          <w:color w:val="auto"/>
        </w:rPr>
        <w:t xml:space="preserve"> report</w:t>
      </w:r>
      <w:r w:rsidRPr="00855E9A">
        <w:rPr>
          <w:iCs/>
          <w:color w:val="auto"/>
        </w:rPr>
        <w:t>ed</w:t>
      </w:r>
      <w:r w:rsidR="00423C82" w:rsidRPr="00855E9A">
        <w:rPr>
          <w:iCs/>
          <w:color w:val="auto"/>
        </w:rPr>
        <w:t xml:space="preserve"> that the </w:t>
      </w:r>
      <w:r w:rsidRPr="00855E9A">
        <w:rPr>
          <w:iCs/>
          <w:color w:val="auto"/>
        </w:rPr>
        <w:t xml:space="preserve">IMeRSe </w:t>
      </w:r>
      <w:r w:rsidR="00423C82" w:rsidRPr="00855E9A">
        <w:rPr>
          <w:iCs/>
          <w:color w:val="auto"/>
        </w:rPr>
        <w:t>Feasibility Study showed no statistically significant differences in MBS or PBS use pre- and post-intervention</w:t>
      </w:r>
      <w:r w:rsidRPr="00855E9A">
        <w:rPr>
          <w:iCs/>
          <w:color w:val="auto"/>
        </w:rPr>
        <w:t>, and</w:t>
      </w:r>
      <w:r w:rsidR="00423C82" w:rsidRPr="00855E9A">
        <w:rPr>
          <w:iCs/>
          <w:color w:val="auto"/>
        </w:rPr>
        <w:t xml:space="preserve"> reported no difference between pre-and post-intervention in the number of medication related hospitalisations. </w:t>
      </w:r>
      <w:r w:rsidR="00F906EA" w:rsidRPr="00855E9A">
        <w:rPr>
          <w:iCs/>
          <w:color w:val="auto"/>
        </w:rPr>
        <w:t>However, t</w:t>
      </w:r>
      <w:r w:rsidR="00423C82" w:rsidRPr="00855E9A">
        <w:rPr>
          <w:iCs/>
          <w:color w:val="auto"/>
        </w:rPr>
        <w:t xml:space="preserve">he </w:t>
      </w:r>
      <w:r w:rsidR="00635C10" w:rsidRPr="00855E9A">
        <w:rPr>
          <w:iCs/>
          <w:color w:val="auto"/>
        </w:rPr>
        <w:t>ADAR</w:t>
      </w:r>
      <w:r w:rsidRPr="00855E9A">
        <w:rPr>
          <w:iCs/>
          <w:color w:val="auto"/>
        </w:rPr>
        <w:t xml:space="preserve"> </w:t>
      </w:r>
      <w:r w:rsidR="00423C82" w:rsidRPr="00855E9A">
        <w:rPr>
          <w:iCs/>
          <w:color w:val="auto"/>
        </w:rPr>
        <w:t xml:space="preserve">included hospital cost savings based on the inpatient costs of a subgroup of study participants in NSW. The costs are based on </w:t>
      </w:r>
      <w:r w:rsidRPr="00855E9A">
        <w:rPr>
          <w:iCs/>
          <w:color w:val="auto"/>
        </w:rPr>
        <w:t>e</w:t>
      </w:r>
      <w:r w:rsidR="00423C82" w:rsidRPr="00855E9A">
        <w:rPr>
          <w:iCs/>
          <w:color w:val="auto"/>
        </w:rPr>
        <w:t xml:space="preserve">mergency </w:t>
      </w:r>
      <w:r w:rsidRPr="00855E9A">
        <w:rPr>
          <w:iCs/>
          <w:color w:val="auto"/>
        </w:rPr>
        <w:t>d</w:t>
      </w:r>
      <w:r w:rsidR="00423C82" w:rsidRPr="00855E9A">
        <w:rPr>
          <w:iCs/>
          <w:color w:val="auto"/>
        </w:rPr>
        <w:t>epartment use</w:t>
      </w:r>
      <w:r w:rsidR="008E3B2E" w:rsidRPr="00855E9A">
        <w:rPr>
          <w:iCs/>
          <w:color w:val="auto"/>
        </w:rPr>
        <w:t xml:space="preserve"> and inpatient hospitalisations. Although for the MBS, PBS and </w:t>
      </w:r>
      <w:r w:rsidRPr="00855E9A">
        <w:rPr>
          <w:iCs/>
          <w:color w:val="auto"/>
        </w:rPr>
        <w:t>emergency department</w:t>
      </w:r>
      <w:r w:rsidR="008E3B2E" w:rsidRPr="00855E9A">
        <w:rPr>
          <w:iCs/>
          <w:color w:val="auto"/>
        </w:rPr>
        <w:t xml:space="preserve"> use, costs increase with increasing numbers or decrease with decreasing numbers </w:t>
      </w:r>
      <w:r w:rsidR="00E51437" w:rsidRPr="00855E9A">
        <w:rPr>
          <w:iCs/>
          <w:color w:val="auto"/>
        </w:rPr>
        <w:t xml:space="preserve">this does not occur with </w:t>
      </w:r>
      <w:r w:rsidR="008E3B2E" w:rsidRPr="00855E9A">
        <w:rPr>
          <w:iCs/>
          <w:color w:val="auto"/>
        </w:rPr>
        <w:t>the hospital inpatient costs</w:t>
      </w:r>
      <w:r w:rsidR="00E51437" w:rsidRPr="00855E9A">
        <w:rPr>
          <w:iCs/>
          <w:color w:val="auto"/>
        </w:rPr>
        <w:t>. The</w:t>
      </w:r>
      <w:r w:rsidR="008E3B2E" w:rsidRPr="00855E9A">
        <w:rPr>
          <w:iCs/>
          <w:color w:val="auto"/>
        </w:rPr>
        <w:t xml:space="preserve"> increased number </w:t>
      </w:r>
      <w:r w:rsidR="008E3B2E" w:rsidRPr="00335D5F">
        <w:rPr>
          <w:iCs/>
          <w:color w:val="auto"/>
        </w:rPr>
        <w:t>of admissions post-intervention (</w:t>
      </w:r>
      <w:r w:rsidR="008E3B2E" w:rsidRPr="00335D5F">
        <w:rPr>
          <w:color w:val="auto"/>
        </w:rPr>
        <w:t>555 vs 581</w:t>
      </w:r>
      <w:r w:rsidR="008E3B2E" w:rsidRPr="00335D5F">
        <w:rPr>
          <w:iCs/>
          <w:color w:val="auto"/>
        </w:rPr>
        <w:t>) have resulted in lower costs</w:t>
      </w:r>
      <w:r w:rsidR="00E51437" w:rsidRPr="00335D5F">
        <w:rPr>
          <w:iCs/>
          <w:color w:val="auto"/>
        </w:rPr>
        <w:t xml:space="preserve"> (</w:t>
      </w:r>
      <w:r w:rsidR="00CA1DBF" w:rsidRPr="00866756">
        <w:rPr>
          <w:b/>
          <w:bCs/>
          <w:color w:val="auto"/>
        </w:rPr>
        <w:t xml:space="preserve">redacted </w:t>
      </w:r>
      <w:r w:rsidR="00174925" w:rsidRPr="00866756">
        <w:rPr>
          <w:color w:val="auto"/>
        </w:rPr>
        <w:t xml:space="preserve">vs </w:t>
      </w:r>
      <w:r w:rsidR="00CA1DBF" w:rsidRPr="00866756">
        <w:rPr>
          <w:b/>
          <w:bCs/>
          <w:color w:val="auto"/>
        </w:rPr>
        <w:t>redacted</w:t>
      </w:r>
      <w:r w:rsidR="00174925" w:rsidRPr="00866756">
        <w:rPr>
          <w:iCs/>
          <w:color w:val="auto"/>
        </w:rPr>
        <w:t>). Th</w:t>
      </w:r>
      <w:r w:rsidR="0057188E" w:rsidRPr="00866756">
        <w:rPr>
          <w:iCs/>
          <w:color w:val="auto"/>
        </w:rPr>
        <w:t>ese</w:t>
      </w:r>
      <w:r w:rsidR="00F906EA" w:rsidRPr="00866756">
        <w:rPr>
          <w:iCs/>
          <w:color w:val="auto"/>
        </w:rPr>
        <w:t xml:space="preserve"> costs </w:t>
      </w:r>
      <w:r w:rsidR="00174925" w:rsidRPr="00866756">
        <w:rPr>
          <w:iCs/>
          <w:color w:val="auto"/>
        </w:rPr>
        <w:t>ha</w:t>
      </w:r>
      <w:r w:rsidR="0057188E" w:rsidRPr="00866756">
        <w:rPr>
          <w:iCs/>
          <w:color w:val="auto"/>
        </w:rPr>
        <w:t>ve</w:t>
      </w:r>
      <w:r w:rsidR="00174925" w:rsidRPr="00866756">
        <w:rPr>
          <w:iCs/>
          <w:color w:val="auto"/>
        </w:rPr>
        <w:t xml:space="preserve"> been included as a “saving” to the government of </w:t>
      </w:r>
      <w:r w:rsidR="00CA1DBF" w:rsidRPr="00866756">
        <w:rPr>
          <w:b/>
          <w:bCs/>
          <w:color w:val="auto"/>
        </w:rPr>
        <w:t xml:space="preserve">$redacted </w:t>
      </w:r>
      <w:r w:rsidR="00000CE0" w:rsidRPr="00866756">
        <w:rPr>
          <w:iCs/>
          <w:color w:val="auto"/>
        </w:rPr>
        <w:t xml:space="preserve">per </w:t>
      </w:r>
      <w:r w:rsidR="00000CE0" w:rsidRPr="00335D5F">
        <w:rPr>
          <w:iCs/>
          <w:color w:val="auto"/>
        </w:rPr>
        <w:t>person</w:t>
      </w:r>
      <w:r w:rsidR="00174925" w:rsidRPr="00335D5F">
        <w:rPr>
          <w:iCs/>
          <w:color w:val="auto"/>
        </w:rPr>
        <w:t xml:space="preserve"> per year. However, the </w:t>
      </w:r>
      <w:r w:rsidRPr="00335D5F">
        <w:rPr>
          <w:iCs/>
          <w:color w:val="auto"/>
        </w:rPr>
        <w:t xml:space="preserve">IMeRSe </w:t>
      </w:r>
      <w:r w:rsidR="00174925" w:rsidRPr="00335D5F">
        <w:rPr>
          <w:iCs/>
          <w:color w:val="auto"/>
        </w:rPr>
        <w:t>Feasibility Study report</w:t>
      </w:r>
      <w:r w:rsidRPr="00335D5F">
        <w:rPr>
          <w:iCs/>
          <w:color w:val="auto"/>
        </w:rPr>
        <w:t xml:space="preserve">ed </w:t>
      </w:r>
      <w:r w:rsidR="00000CE0" w:rsidRPr="00335D5F">
        <w:rPr>
          <w:iCs/>
          <w:color w:val="auto"/>
        </w:rPr>
        <w:t>that it is unclear if the IMeRSe intervention</w:t>
      </w:r>
      <w:r w:rsidR="00000CE0" w:rsidRPr="007E039D">
        <w:rPr>
          <w:iCs/>
          <w:color w:val="auto"/>
        </w:rPr>
        <w:t xml:space="preserve"> will result in a net cost or a net saving to government health budgets</w:t>
      </w:r>
      <w:r w:rsidRPr="007E039D">
        <w:rPr>
          <w:iCs/>
          <w:color w:val="auto"/>
        </w:rPr>
        <w:t xml:space="preserve"> due to limitations of the study and the data available on hospitalisations and emergency department use</w:t>
      </w:r>
      <w:r w:rsidR="00000CE0" w:rsidRPr="007E039D">
        <w:rPr>
          <w:iCs/>
          <w:color w:val="auto"/>
        </w:rPr>
        <w:t xml:space="preserve">. </w:t>
      </w:r>
      <w:r w:rsidR="003A7A95" w:rsidRPr="007E039D">
        <w:rPr>
          <w:iCs/>
          <w:color w:val="auto"/>
        </w:rPr>
        <w:t xml:space="preserve">Therefore, the estimated cost savings are </w:t>
      </w:r>
      <w:r w:rsidRPr="007E039D">
        <w:rPr>
          <w:iCs/>
          <w:color w:val="auto"/>
        </w:rPr>
        <w:t>uncertain</w:t>
      </w:r>
      <w:r w:rsidR="003A7A95" w:rsidRPr="007E039D">
        <w:rPr>
          <w:iCs/>
          <w:color w:val="auto"/>
        </w:rPr>
        <w:t>.</w:t>
      </w:r>
    </w:p>
    <w:p w14:paraId="7838A9FF" w14:textId="4D693EEA" w:rsidR="00772829" w:rsidRDefault="00C36633" w:rsidP="002A18BE">
      <w:pPr>
        <w:pStyle w:val="Heading2"/>
        <w:numPr>
          <w:ilvl w:val="0"/>
          <w:numId w:val="0"/>
        </w:numPr>
      </w:pPr>
      <w:bookmarkStart w:id="47" w:name="_Toc69491427"/>
      <w:r>
        <w:t>1</w:t>
      </w:r>
      <w:r w:rsidR="007C620E">
        <w:t>5</w:t>
      </w:r>
      <w:r>
        <w:t>.</w:t>
      </w:r>
      <w:r>
        <w:tab/>
      </w:r>
      <w:r w:rsidR="00772829" w:rsidRPr="00CE28E3">
        <w:t xml:space="preserve">Other relevant </w:t>
      </w:r>
      <w:bookmarkEnd w:id="47"/>
      <w:r w:rsidR="00FA5766">
        <w:t>information</w:t>
      </w:r>
    </w:p>
    <w:p w14:paraId="11E0A79D" w14:textId="21CD6393" w:rsidR="00635C10" w:rsidRDefault="00635C10" w:rsidP="00635C10">
      <w:r>
        <w:t>The ADAR provide</w:t>
      </w:r>
      <w:r w:rsidR="00023269">
        <w:t>d</w:t>
      </w:r>
      <w:r>
        <w:t xml:space="preserve"> some information around:</w:t>
      </w:r>
    </w:p>
    <w:p w14:paraId="4DDD9F19" w14:textId="4B70AF6A" w:rsidR="00635C10" w:rsidRDefault="00635C10" w:rsidP="00E11EEF">
      <w:pPr>
        <w:pStyle w:val="ListParagraph"/>
        <w:numPr>
          <w:ilvl w:val="0"/>
          <w:numId w:val="28"/>
        </w:numPr>
        <w:ind w:left="284" w:hanging="284"/>
      </w:pPr>
      <w:r>
        <w:t>Equitable access to healthcare.</w:t>
      </w:r>
    </w:p>
    <w:p w14:paraId="3D0648AE" w14:textId="570F4078" w:rsidR="00635C10" w:rsidRDefault="00635C10" w:rsidP="00E11EEF">
      <w:pPr>
        <w:pStyle w:val="ListParagraph"/>
        <w:numPr>
          <w:ilvl w:val="0"/>
          <w:numId w:val="28"/>
        </w:numPr>
        <w:ind w:left="284" w:hanging="284"/>
      </w:pPr>
      <w:r w:rsidRPr="00635C10">
        <w:t>Comparison between IMeRSe and the existing Domiciliary Medication Management Review Service (MBS Item number 900)</w:t>
      </w:r>
      <w:r>
        <w:t>.</w:t>
      </w:r>
    </w:p>
    <w:p w14:paraId="7F2924F0" w14:textId="2A059357" w:rsidR="00635C10" w:rsidRDefault="00635C10" w:rsidP="00E11EEF">
      <w:pPr>
        <w:pStyle w:val="ListParagraph"/>
        <w:numPr>
          <w:ilvl w:val="0"/>
          <w:numId w:val="28"/>
        </w:numPr>
        <w:ind w:left="284" w:hanging="284"/>
      </w:pPr>
      <w:r w:rsidRPr="00635C10">
        <w:t>Pharmacy workforce considerations</w:t>
      </w:r>
      <w:r>
        <w:t>.</w:t>
      </w:r>
    </w:p>
    <w:p w14:paraId="4CB16DC9" w14:textId="5D2EE8BB" w:rsidR="002F7BCB" w:rsidRPr="007C620E" w:rsidRDefault="00487C85" w:rsidP="007C620E">
      <w:pPr>
        <w:pStyle w:val="Heading2"/>
        <w:numPr>
          <w:ilvl w:val="0"/>
          <w:numId w:val="0"/>
        </w:numPr>
      </w:pPr>
      <w:bookmarkStart w:id="48" w:name="_Toc69491428"/>
      <w:r>
        <w:t>1</w:t>
      </w:r>
      <w:r w:rsidR="007C620E">
        <w:t>6</w:t>
      </w:r>
      <w:r>
        <w:t>.</w:t>
      </w:r>
      <w:r>
        <w:tab/>
      </w:r>
      <w:bookmarkEnd w:id="48"/>
      <w:r w:rsidR="007C620E" w:rsidRPr="007C620E">
        <w:t>Key issues from ESC to MSAC</w:t>
      </w:r>
    </w:p>
    <w:tbl>
      <w:tblPr>
        <w:tblStyle w:val="TableGrid"/>
        <w:tblpPr w:leftFromText="180" w:rightFromText="180" w:vertAnchor="text" w:tblpY="1"/>
        <w:tblOverlap w:val="never"/>
        <w:tblW w:w="0" w:type="auto"/>
        <w:tblLook w:val="04A0" w:firstRow="1" w:lastRow="0" w:firstColumn="1" w:lastColumn="0" w:noHBand="0" w:noVBand="1"/>
      </w:tblPr>
      <w:tblGrid>
        <w:gridCol w:w="2093"/>
        <w:gridCol w:w="6923"/>
      </w:tblGrid>
      <w:tr w:rsidR="002F7BCB" w:rsidRPr="00F93576" w14:paraId="203A1127" w14:textId="77777777" w:rsidTr="002F7BCB">
        <w:trPr>
          <w:cantSplit/>
        </w:trPr>
        <w:tc>
          <w:tcPr>
            <w:tcW w:w="2093" w:type="dxa"/>
            <w:tcBorders>
              <w:top w:val="single" w:sz="4" w:space="0" w:color="auto"/>
              <w:left w:val="single" w:sz="4" w:space="0" w:color="auto"/>
              <w:bottom w:val="single" w:sz="4" w:space="0" w:color="auto"/>
              <w:right w:val="single" w:sz="4" w:space="0" w:color="auto"/>
            </w:tcBorders>
            <w:hideMark/>
          </w:tcPr>
          <w:p w14:paraId="4DCDA8C9" w14:textId="77777777" w:rsidR="002F7BCB" w:rsidRPr="00F93576" w:rsidRDefault="002F7BCB" w:rsidP="002F7BCB">
            <w:pPr>
              <w:pStyle w:val="TableHeading"/>
              <w:rPr>
                <w:rFonts w:ascii="Franklin Gothic Book" w:hAnsi="Franklin Gothic Book" w:cs="Times New Roman"/>
                <w:sz w:val="21"/>
                <w:szCs w:val="21"/>
              </w:rPr>
            </w:pPr>
            <w:r w:rsidRPr="00F93576">
              <w:rPr>
                <w:rFonts w:ascii="Franklin Gothic Book" w:hAnsi="Franklin Gothic Book" w:cs="Times New Roman"/>
                <w:sz w:val="21"/>
                <w:szCs w:val="21"/>
              </w:rPr>
              <w:t>ESC key issue</w:t>
            </w:r>
          </w:p>
        </w:tc>
        <w:tc>
          <w:tcPr>
            <w:tcW w:w="6923" w:type="dxa"/>
            <w:tcBorders>
              <w:top w:val="single" w:sz="4" w:space="0" w:color="auto"/>
              <w:left w:val="single" w:sz="4" w:space="0" w:color="auto"/>
              <w:bottom w:val="single" w:sz="4" w:space="0" w:color="auto"/>
              <w:right w:val="single" w:sz="4" w:space="0" w:color="auto"/>
            </w:tcBorders>
            <w:hideMark/>
          </w:tcPr>
          <w:p w14:paraId="65D10F05" w14:textId="77777777" w:rsidR="002F7BCB" w:rsidRPr="00F93576" w:rsidRDefault="002F7BCB" w:rsidP="002F7BCB">
            <w:pPr>
              <w:pStyle w:val="TableHeading"/>
              <w:rPr>
                <w:rFonts w:ascii="Franklin Gothic Book" w:hAnsi="Franklin Gothic Book" w:cs="Times New Roman"/>
                <w:sz w:val="21"/>
                <w:szCs w:val="21"/>
              </w:rPr>
            </w:pPr>
            <w:r w:rsidRPr="00F93576">
              <w:rPr>
                <w:rFonts w:ascii="Franklin Gothic Book" w:hAnsi="Franklin Gothic Book" w:cs="Times New Roman"/>
                <w:sz w:val="21"/>
                <w:szCs w:val="21"/>
              </w:rPr>
              <w:t>ESC advice to MSAC</w:t>
            </w:r>
          </w:p>
        </w:tc>
      </w:tr>
      <w:tr w:rsidR="002F7BCB" w:rsidRPr="00F93576" w14:paraId="658D871F" w14:textId="77777777" w:rsidTr="002F7BCB">
        <w:trPr>
          <w:cantSplit/>
        </w:trPr>
        <w:tc>
          <w:tcPr>
            <w:tcW w:w="2093" w:type="dxa"/>
            <w:tcBorders>
              <w:top w:val="single" w:sz="4" w:space="0" w:color="auto"/>
              <w:left w:val="single" w:sz="4" w:space="0" w:color="auto"/>
              <w:bottom w:val="single" w:sz="4" w:space="0" w:color="auto"/>
              <w:right w:val="single" w:sz="4" w:space="0" w:color="auto"/>
            </w:tcBorders>
            <w:hideMark/>
          </w:tcPr>
          <w:p w14:paraId="6EB0D2F1" w14:textId="77777777" w:rsidR="002F7BCB" w:rsidRPr="00F93576" w:rsidRDefault="002F7BCB" w:rsidP="002F7BCB">
            <w:pPr>
              <w:pStyle w:val="TableText1"/>
              <w:jc w:val="left"/>
              <w:rPr>
                <w:rFonts w:ascii="Franklin Gothic Book" w:hAnsi="Franklin Gothic Book" w:cs="Times New Roman"/>
                <w:sz w:val="21"/>
                <w:szCs w:val="21"/>
              </w:rPr>
            </w:pPr>
            <w:r w:rsidRPr="00F93576">
              <w:rPr>
                <w:rFonts w:ascii="Franklin Gothic Book" w:hAnsi="Franklin Gothic Book" w:cs="Times New Roman"/>
                <w:sz w:val="21"/>
                <w:szCs w:val="21"/>
              </w:rPr>
              <w:t>Claim of cost saving to the Australian health system</w:t>
            </w:r>
          </w:p>
        </w:tc>
        <w:tc>
          <w:tcPr>
            <w:tcW w:w="6923" w:type="dxa"/>
            <w:tcBorders>
              <w:top w:val="single" w:sz="4" w:space="0" w:color="auto"/>
              <w:left w:val="single" w:sz="4" w:space="0" w:color="auto"/>
              <w:bottom w:val="single" w:sz="4" w:space="0" w:color="auto"/>
              <w:right w:val="single" w:sz="4" w:space="0" w:color="auto"/>
            </w:tcBorders>
            <w:hideMark/>
          </w:tcPr>
          <w:p w14:paraId="10995639" w14:textId="77777777" w:rsidR="002F7BCB" w:rsidRPr="00F93576" w:rsidRDefault="002F7BCB" w:rsidP="002F7BCB">
            <w:pPr>
              <w:pStyle w:val="TableText1"/>
              <w:jc w:val="left"/>
              <w:rPr>
                <w:rFonts w:ascii="Franklin Gothic Book" w:hAnsi="Franklin Gothic Book" w:cs="Times New Roman"/>
                <w:sz w:val="21"/>
                <w:szCs w:val="21"/>
              </w:rPr>
            </w:pPr>
            <w:r w:rsidRPr="00F93576">
              <w:rPr>
                <w:rFonts w:ascii="Franklin Gothic Book" w:hAnsi="Franklin Gothic Book" w:cs="Times New Roman"/>
                <w:sz w:val="21"/>
                <w:szCs w:val="21"/>
              </w:rPr>
              <w:t>There potentially is a cost saving to the Australian health system, but the estimates are uncertain because of assumptions in costs used, effects on resource use (hospitalisation, PBS, MBS), and uptake of the program including substitution of HMR. ESC advises that the applicant provides a more accurate estimate of the proposed cost savings.</w:t>
            </w:r>
          </w:p>
        </w:tc>
      </w:tr>
      <w:tr w:rsidR="002F7BCB" w:rsidRPr="00F93576" w14:paraId="4B381E1F" w14:textId="77777777" w:rsidTr="002F7BCB">
        <w:trPr>
          <w:cantSplit/>
        </w:trPr>
        <w:tc>
          <w:tcPr>
            <w:tcW w:w="2093" w:type="dxa"/>
            <w:tcBorders>
              <w:top w:val="single" w:sz="4" w:space="0" w:color="auto"/>
              <w:left w:val="single" w:sz="4" w:space="0" w:color="auto"/>
              <w:bottom w:val="single" w:sz="4" w:space="0" w:color="auto"/>
              <w:right w:val="single" w:sz="4" w:space="0" w:color="auto"/>
            </w:tcBorders>
            <w:hideMark/>
          </w:tcPr>
          <w:p w14:paraId="018595DE" w14:textId="77777777" w:rsidR="002F7BCB" w:rsidRPr="00F93576" w:rsidRDefault="002F7BCB" w:rsidP="002F7BCB">
            <w:pPr>
              <w:pStyle w:val="TableText1"/>
              <w:jc w:val="left"/>
              <w:rPr>
                <w:rFonts w:ascii="Franklin Gothic Book" w:hAnsi="Franklin Gothic Book" w:cs="Times New Roman"/>
                <w:sz w:val="21"/>
                <w:szCs w:val="21"/>
              </w:rPr>
            </w:pPr>
            <w:r w:rsidRPr="00F93576">
              <w:rPr>
                <w:rFonts w:ascii="Franklin Gothic Book" w:hAnsi="Franklin Gothic Book" w:cs="Times New Roman"/>
                <w:sz w:val="21"/>
                <w:szCs w:val="21"/>
              </w:rPr>
              <w:t>Appropriateness of economic evaluation for program evaluations</w:t>
            </w:r>
          </w:p>
        </w:tc>
        <w:tc>
          <w:tcPr>
            <w:tcW w:w="6923" w:type="dxa"/>
            <w:tcBorders>
              <w:top w:val="single" w:sz="4" w:space="0" w:color="auto"/>
              <w:left w:val="single" w:sz="4" w:space="0" w:color="auto"/>
              <w:bottom w:val="single" w:sz="4" w:space="0" w:color="auto"/>
              <w:right w:val="single" w:sz="4" w:space="0" w:color="auto"/>
            </w:tcBorders>
            <w:hideMark/>
          </w:tcPr>
          <w:p w14:paraId="7CD324CF" w14:textId="77777777" w:rsidR="002F7BCB" w:rsidRPr="00F93576" w:rsidRDefault="002F7BCB" w:rsidP="002F7BCB">
            <w:pPr>
              <w:pStyle w:val="TableText1"/>
              <w:jc w:val="left"/>
              <w:rPr>
                <w:rFonts w:ascii="Franklin Gothic Book" w:hAnsi="Franklin Gothic Book" w:cs="Times New Roman"/>
                <w:sz w:val="21"/>
                <w:szCs w:val="21"/>
              </w:rPr>
            </w:pPr>
            <w:r w:rsidRPr="00F93576">
              <w:rPr>
                <w:rFonts w:ascii="Franklin Gothic Book" w:hAnsi="Franklin Gothic Book" w:cs="Times New Roman"/>
                <w:sz w:val="21"/>
                <w:szCs w:val="21"/>
              </w:rPr>
              <w:t>The proposed cost-effectiveness analysis does not sufficiently capture the benefits of IMeRSe, as it only focuses on MRPs avoided for which the IMeRSe Feasibility Study did not demonstrate sufficient evidence. ESC considered that a cost-consequence analysis that presents all relevant benefits and costs would be more appropriate.</w:t>
            </w:r>
          </w:p>
        </w:tc>
      </w:tr>
      <w:tr w:rsidR="002F7BCB" w:rsidRPr="00F93576" w14:paraId="0C26A28D" w14:textId="77777777" w:rsidTr="002F7BCB">
        <w:trPr>
          <w:cantSplit/>
        </w:trPr>
        <w:tc>
          <w:tcPr>
            <w:tcW w:w="2093" w:type="dxa"/>
            <w:tcBorders>
              <w:top w:val="single" w:sz="4" w:space="0" w:color="auto"/>
              <w:left w:val="single" w:sz="4" w:space="0" w:color="auto"/>
              <w:bottom w:val="single" w:sz="4" w:space="0" w:color="auto"/>
              <w:right w:val="single" w:sz="4" w:space="0" w:color="auto"/>
            </w:tcBorders>
          </w:tcPr>
          <w:p w14:paraId="42E8797B" w14:textId="77777777" w:rsidR="002F7BCB" w:rsidRPr="00F93576" w:rsidRDefault="002F7BCB" w:rsidP="002F7BCB">
            <w:pPr>
              <w:pStyle w:val="TableText1"/>
              <w:jc w:val="left"/>
              <w:rPr>
                <w:rFonts w:ascii="Franklin Gothic Book" w:hAnsi="Franklin Gothic Book" w:cs="Times New Roman"/>
                <w:sz w:val="21"/>
                <w:szCs w:val="21"/>
              </w:rPr>
            </w:pPr>
            <w:r w:rsidRPr="00F93576">
              <w:rPr>
                <w:rFonts w:ascii="Franklin Gothic Book" w:hAnsi="Franklin Gothic Book" w:cs="Times New Roman"/>
                <w:sz w:val="21"/>
                <w:szCs w:val="21"/>
              </w:rPr>
              <w:t>Uncertainty that proposed implementation will provide integrated healthcare</w:t>
            </w:r>
            <w:r w:rsidRPr="00F93576" w:rsidDel="004F6DC9">
              <w:rPr>
                <w:rFonts w:ascii="Franklin Gothic Book" w:hAnsi="Franklin Gothic Book" w:cs="Times New Roman"/>
                <w:sz w:val="21"/>
                <w:szCs w:val="21"/>
              </w:rPr>
              <w:t xml:space="preserve"> </w:t>
            </w:r>
          </w:p>
        </w:tc>
        <w:tc>
          <w:tcPr>
            <w:tcW w:w="6923" w:type="dxa"/>
            <w:tcBorders>
              <w:top w:val="single" w:sz="4" w:space="0" w:color="auto"/>
              <w:left w:val="single" w:sz="4" w:space="0" w:color="auto"/>
              <w:bottom w:val="single" w:sz="4" w:space="0" w:color="auto"/>
              <w:right w:val="single" w:sz="4" w:space="0" w:color="auto"/>
            </w:tcBorders>
          </w:tcPr>
          <w:p w14:paraId="6B8944F0" w14:textId="77777777" w:rsidR="002F7BCB" w:rsidRPr="00855E9A" w:rsidRDefault="002F7BCB" w:rsidP="002F7BCB">
            <w:pPr>
              <w:pStyle w:val="TableText1"/>
              <w:jc w:val="left"/>
              <w:rPr>
                <w:rFonts w:ascii="Franklin Gothic Book" w:hAnsi="Franklin Gothic Book" w:cs="Times New Roman"/>
                <w:sz w:val="21"/>
                <w:szCs w:val="21"/>
              </w:rPr>
            </w:pPr>
            <w:r w:rsidRPr="00855E9A">
              <w:rPr>
                <w:rFonts w:ascii="Franklin Gothic Book" w:hAnsi="Franklin Gothic Book" w:cs="Times New Roman"/>
                <w:sz w:val="21"/>
                <w:szCs w:val="21"/>
              </w:rPr>
              <w:t xml:space="preserve">Realising the program benefits largely depends on the program implementation. ESC considered the involvement of an AHW is integral to the IMeRSe. ESC noted engagement and coordination activities from the trial are not included in the implementation of IMeRSe. ESC also considered the lack of GP involvement in the referral process to be problematic. ESC considered this may not align with primary health reforms aiming to provide coordinated and integrated multidisciplinary health care team. ESC considered that MSAC could benefit from advice on how IMeRSe could be implemented successfully to provide coordinated and integrated multidisciplinary health care without duplicating existing services. </w:t>
            </w:r>
          </w:p>
        </w:tc>
      </w:tr>
      <w:tr w:rsidR="002F7BCB" w:rsidRPr="00F93576" w14:paraId="255A2685" w14:textId="77777777" w:rsidTr="002F7BCB">
        <w:trPr>
          <w:cantSplit/>
        </w:trPr>
        <w:tc>
          <w:tcPr>
            <w:tcW w:w="2093" w:type="dxa"/>
            <w:tcBorders>
              <w:top w:val="single" w:sz="4" w:space="0" w:color="auto"/>
              <w:left w:val="single" w:sz="4" w:space="0" w:color="auto"/>
              <w:bottom w:val="single" w:sz="4" w:space="0" w:color="auto"/>
              <w:right w:val="single" w:sz="4" w:space="0" w:color="auto"/>
            </w:tcBorders>
            <w:hideMark/>
          </w:tcPr>
          <w:p w14:paraId="4136BC56" w14:textId="77777777" w:rsidR="002F7BCB" w:rsidRPr="00F93576" w:rsidRDefault="002F7BCB" w:rsidP="002F7BCB">
            <w:pPr>
              <w:pStyle w:val="TableText1"/>
              <w:jc w:val="left"/>
              <w:rPr>
                <w:rFonts w:ascii="Franklin Gothic Book" w:hAnsi="Franklin Gothic Book" w:cs="Times New Roman"/>
                <w:sz w:val="21"/>
                <w:szCs w:val="21"/>
              </w:rPr>
            </w:pPr>
            <w:r w:rsidRPr="00F93576">
              <w:rPr>
                <w:rFonts w:ascii="Franklin Gothic Book" w:hAnsi="Franklin Gothic Book" w:cs="Times New Roman"/>
                <w:sz w:val="21"/>
                <w:szCs w:val="21"/>
              </w:rPr>
              <w:t xml:space="preserve">Proposed MBS item claiming and fee </w:t>
            </w:r>
          </w:p>
        </w:tc>
        <w:tc>
          <w:tcPr>
            <w:tcW w:w="6923" w:type="dxa"/>
            <w:tcBorders>
              <w:top w:val="single" w:sz="4" w:space="0" w:color="auto"/>
              <w:left w:val="single" w:sz="4" w:space="0" w:color="auto"/>
              <w:bottom w:val="single" w:sz="4" w:space="0" w:color="auto"/>
              <w:right w:val="single" w:sz="4" w:space="0" w:color="auto"/>
            </w:tcBorders>
            <w:hideMark/>
          </w:tcPr>
          <w:p w14:paraId="6BE40329" w14:textId="77777777" w:rsidR="002F7BCB" w:rsidRPr="00855E9A" w:rsidRDefault="002F7BCB" w:rsidP="002F7BCB">
            <w:pPr>
              <w:pStyle w:val="TableText1"/>
              <w:jc w:val="left"/>
              <w:rPr>
                <w:rFonts w:ascii="Franklin Gothic Book" w:hAnsi="Franklin Gothic Book" w:cs="Times New Roman"/>
                <w:sz w:val="21"/>
                <w:szCs w:val="21"/>
              </w:rPr>
            </w:pPr>
            <w:r w:rsidRPr="00855E9A">
              <w:rPr>
                <w:rFonts w:ascii="Franklin Gothic Book" w:hAnsi="Franklin Gothic Book" w:cs="Times New Roman"/>
                <w:sz w:val="21"/>
                <w:szCs w:val="21"/>
              </w:rPr>
              <w:t>The proposed fee for GP involvement in the IMeRSe is lower than GP involvement in other MMR services (i.e., HMR). The proposed MBS fees need to be compared to HMR service fees to avoid unwanted (dis-) incentives to request the appropriate service. </w:t>
            </w:r>
          </w:p>
        </w:tc>
      </w:tr>
      <w:tr w:rsidR="002F7BCB" w:rsidRPr="00F93576" w14:paraId="7CEB1F94" w14:textId="77777777" w:rsidTr="002F7BCB">
        <w:trPr>
          <w:cantSplit/>
        </w:trPr>
        <w:tc>
          <w:tcPr>
            <w:tcW w:w="2093" w:type="dxa"/>
            <w:tcBorders>
              <w:top w:val="single" w:sz="4" w:space="0" w:color="auto"/>
              <w:left w:val="single" w:sz="4" w:space="0" w:color="auto"/>
              <w:bottom w:val="single" w:sz="4" w:space="0" w:color="auto"/>
              <w:right w:val="single" w:sz="4" w:space="0" w:color="auto"/>
            </w:tcBorders>
          </w:tcPr>
          <w:p w14:paraId="0E848214" w14:textId="77777777" w:rsidR="002F7BCB" w:rsidRPr="00F93576" w:rsidRDefault="002F7BCB" w:rsidP="002F7BCB">
            <w:pPr>
              <w:pStyle w:val="TableText1"/>
              <w:jc w:val="left"/>
              <w:rPr>
                <w:rFonts w:ascii="Franklin Gothic Book" w:hAnsi="Franklin Gothic Book" w:cs="Times New Roman"/>
                <w:sz w:val="21"/>
                <w:szCs w:val="21"/>
              </w:rPr>
            </w:pPr>
            <w:r w:rsidRPr="00F93576">
              <w:rPr>
                <w:rFonts w:ascii="Franklin Gothic Book" w:hAnsi="Franklin Gothic Book" w:cs="Times New Roman"/>
                <w:sz w:val="21"/>
                <w:szCs w:val="21"/>
              </w:rPr>
              <w:t>Population</w:t>
            </w:r>
          </w:p>
        </w:tc>
        <w:tc>
          <w:tcPr>
            <w:tcW w:w="6923" w:type="dxa"/>
            <w:tcBorders>
              <w:top w:val="single" w:sz="4" w:space="0" w:color="auto"/>
              <w:left w:val="single" w:sz="4" w:space="0" w:color="auto"/>
              <w:bottom w:val="single" w:sz="4" w:space="0" w:color="auto"/>
              <w:right w:val="single" w:sz="4" w:space="0" w:color="auto"/>
            </w:tcBorders>
          </w:tcPr>
          <w:p w14:paraId="0C7EF0DE" w14:textId="77777777" w:rsidR="002F7BCB" w:rsidRPr="00855E9A" w:rsidRDefault="002F7BCB" w:rsidP="002F7BCB">
            <w:pPr>
              <w:pStyle w:val="TableText1"/>
              <w:jc w:val="left"/>
              <w:rPr>
                <w:rFonts w:ascii="Franklin Gothic Book" w:hAnsi="Franklin Gothic Book" w:cs="Times New Roman"/>
                <w:sz w:val="21"/>
                <w:szCs w:val="21"/>
              </w:rPr>
            </w:pPr>
            <w:r w:rsidRPr="00855E9A">
              <w:rPr>
                <w:rFonts w:ascii="Franklin Gothic Book" w:hAnsi="Franklin Gothic Book" w:cs="Times New Roman"/>
                <w:sz w:val="21"/>
                <w:szCs w:val="21"/>
              </w:rPr>
              <w:t xml:space="preserve">The population needs to be better defined. The population is likely to be greater than anticipated as eligibility is not limited to the listed study criteria and creates uncertainty in the size of eligible population, estimated uptake and financial estimates.  </w:t>
            </w:r>
          </w:p>
        </w:tc>
      </w:tr>
      <w:tr w:rsidR="002F7BCB" w:rsidRPr="00F93576" w14:paraId="18824D1D" w14:textId="77777777" w:rsidTr="002F7BCB">
        <w:trPr>
          <w:cantSplit/>
        </w:trPr>
        <w:tc>
          <w:tcPr>
            <w:tcW w:w="2093" w:type="dxa"/>
            <w:tcBorders>
              <w:top w:val="single" w:sz="4" w:space="0" w:color="auto"/>
              <w:left w:val="single" w:sz="4" w:space="0" w:color="auto"/>
              <w:bottom w:val="single" w:sz="4" w:space="0" w:color="auto"/>
              <w:right w:val="single" w:sz="4" w:space="0" w:color="auto"/>
            </w:tcBorders>
          </w:tcPr>
          <w:p w14:paraId="6327740A" w14:textId="77777777" w:rsidR="002F7BCB" w:rsidRPr="00F93576" w:rsidRDefault="002F7BCB" w:rsidP="002F7BCB">
            <w:pPr>
              <w:pStyle w:val="TableText1"/>
              <w:jc w:val="left"/>
              <w:rPr>
                <w:rFonts w:ascii="Franklin Gothic Book" w:hAnsi="Franklin Gothic Book" w:cs="Times New Roman"/>
                <w:sz w:val="21"/>
                <w:szCs w:val="21"/>
              </w:rPr>
            </w:pPr>
            <w:r w:rsidRPr="00F93576">
              <w:rPr>
                <w:rFonts w:ascii="Franklin Gothic Book" w:hAnsi="Franklin Gothic Book" w:cs="Times New Roman"/>
                <w:sz w:val="21"/>
                <w:szCs w:val="21"/>
              </w:rPr>
              <w:t>Comparator</w:t>
            </w:r>
          </w:p>
        </w:tc>
        <w:tc>
          <w:tcPr>
            <w:tcW w:w="6923" w:type="dxa"/>
            <w:tcBorders>
              <w:top w:val="single" w:sz="4" w:space="0" w:color="auto"/>
              <w:left w:val="single" w:sz="4" w:space="0" w:color="auto"/>
              <w:bottom w:val="single" w:sz="4" w:space="0" w:color="auto"/>
              <w:right w:val="single" w:sz="4" w:space="0" w:color="auto"/>
            </w:tcBorders>
          </w:tcPr>
          <w:p w14:paraId="7B9B8676" w14:textId="77777777" w:rsidR="002F7BCB" w:rsidRPr="00F93576" w:rsidRDefault="002F7BCB" w:rsidP="002F7BCB">
            <w:pPr>
              <w:pStyle w:val="TableText1"/>
              <w:jc w:val="left"/>
              <w:rPr>
                <w:rFonts w:ascii="Franklin Gothic Book" w:hAnsi="Franklin Gothic Book" w:cs="Times New Roman"/>
                <w:sz w:val="21"/>
                <w:szCs w:val="21"/>
              </w:rPr>
            </w:pPr>
            <w:r w:rsidRPr="00F93576">
              <w:rPr>
                <w:rFonts w:ascii="Franklin Gothic Book" w:hAnsi="Franklin Gothic Book" w:cs="Times New Roman"/>
                <w:sz w:val="21"/>
                <w:szCs w:val="21"/>
              </w:rPr>
              <w:t>The proposed comparator is usual care, which was described as “ad-hoc medication management advice from any health professional”; however, ESC considered that an HMR is a more appropriate comparator. Comparison with the incorrect comparator has flow on consequences that potentially result in overestimating the incremental costs of the IMeRSe.</w:t>
            </w:r>
          </w:p>
        </w:tc>
      </w:tr>
    </w:tbl>
    <w:p w14:paraId="5CC38F09" w14:textId="77777777" w:rsidR="002F7BCB" w:rsidRPr="00F93576" w:rsidRDefault="002F7BCB" w:rsidP="002F7BCB">
      <w:pPr>
        <w:pStyle w:val="Heading2"/>
        <w:numPr>
          <w:ilvl w:val="0"/>
          <w:numId w:val="0"/>
        </w:numPr>
        <w:rPr>
          <w:rFonts w:ascii="Franklin Gothic Book" w:hAnsi="Franklin Gothic Book" w:cs="Arial"/>
          <w:b/>
          <w:bCs/>
          <w:sz w:val="24"/>
          <w:szCs w:val="24"/>
        </w:rPr>
      </w:pPr>
      <w:r w:rsidRPr="00F93576">
        <w:rPr>
          <w:rFonts w:ascii="Franklin Gothic Book" w:hAnsi="Franklin Gothic Book" w:cs="Arial"/>
          <w:b/>
          <w:bCs/>
          <w:sz w:val="24"/>
          <w:szCs w:val="24"/>
        </w:rPr>
        <w:t>ESC discussion</w:t>
      </w:r>
    </w:p>
    <w:p w14:paraId="5553358B" w14:textId="080B24A7" w:rsidR="002F7BCB" w:rsidRPr="009B2398" w:rsidRDefault="002F7BCB" w:rsidP="002F7BCB">
      <w:pPr>
        <w:rPr>
          <w:rFonts w:cs="Times New Roman"/>
        </w:rPr>
      </w:pPr>
      <w:r w:rsidRPr="009B2398">
        <w:rPr>
          <w:rFonts w:cs="Times New Roman"/>
        </w:rPr>
        <w:t xml:space="preserve">ESC noted that this was a new application from the Pharmacy Guild of Australia (PGA) for Medicare Benefits Schedule (MBS) listing and public funding of an Indigenous Medication Review Service (IMeRSe) for </w:t>
      </w:r>
      <w:r w:rsidR="00EE6741" w:rsidRPr="009B2398">
        <w:rPr>
          <w:rFonts w:cs="Times New Roman"/>
        </w:rPr>
        <w:t xml:space="preserve">Aboriginal and Torres Strait Islander peoples </w:t>
      </w:r>
      <w:r w:rsidRPr="009B2398">
        <w:rPr>
          <w:rFonts w:cs="Times New Roman"/>
        </w:rPr>
        <w:t>with potential for medication-related problems (MRP).</w:t>
      </w:r>
    </w:p>
    <w:p w14:paraId="7439F733" w14:textId="076C2C1D" w:rsidR="002F7BCB" w:rsidRPr="009B2398" w:rsidRDefault="002F7BCB" w:rsidP="002F7BCB">
      <w:pPr>
        <w:rPr>
          <w:rFonts w:cs="Times New Roman"/>
        </w:rPr>
      </w:pPr>
      <w:r w:rsidRPr="009B2398">
        <w:rPr>
          <w:rFonts w:cs="Times New Roman"/>
        </w:rPr>
        <w:t>ESC recalled that in 2017, MSAC appraised the Sixth Community Pharmacy Agreement (6CPA) Medication Management Review (MMR) programs: the Home Medic</w:t>
      </w:r>
      <w:r w:rsidR="00EE6741" w:rsidRPr="009B2398">
        <w:rPr>
          <w:rFonts w:cs="Times New Roman"/>
        </w:rPr>
        <w:t xml:space="preserve">ines </w:t>
      </w:r>
      <w:r w:rsidRPr="009B2398">
        <w:rPr>
          <w:rFonts w:cs="Times New Roman"/>
        </w:rPr>
        <w:t xml:space="preserve">Review (HMR) program, the Residential Medication Management Review (RMMR) program, and the MedsCheck and Diabetes MedsCheck programs. At that time, MSAC considered that there was insufficient evidence to determine the clinical and cost-effectiveness of the continuing 6CPA MMR programs, </w:t>
      </w:r>
      <w:r w:rsidRPr="009B2398">
        <w:rPr>
          <w:rFonts w:cs="Times New Roman"/>
          <w:lang w:val="en-US"/>
        </w:rPr>
        <w:t>and thus a weak basis to recommend that funding should be supported or ceased</w:t>
      </w:r>
      <w:r w:rsidRPr="009B2398">
        <w:rPr>
          <w:rFonts w:cs="Times New Roman"/>
        </w:rPr>
        <w:t>. MSAC considered that the design of these pharmacy service programs could be improved by including formal collaboration with General Practitioners (GPs), by being targeted to appropriate patient populations,</w:t>
      </w:r>
      <w:r w:rsidRPr="009B2398">
        <w:t xml:space="preserve"> </w:t>
      </w:r>
      <w:r w:rsidRPr="009B2398">
        <w:rPr>
          <w:rFonts w:cs="Times New Roman"/>
        </w:rPr>
        <w:t>and by a reduction in the unit cost of providing each pharmacy service coupled with an incentive to increase this cost if adequate evidence can be furnished to justify it. Further enhancement of these programs might better justify the provision of continued funding of these services.</w:t>
      </w:r>
    </w:p>
    <w:p w14:paraId="6ECD5A55" w14:textId="77777777" w:rsidR="002F7BCB" w:rsidRPr="009B2398" w:rsidRDefault="002F7BCB" w:rsidP="002F7BCB">
      <w:pPr>
        <w:rPr>
          <w:rFonts w:cs="Times New Roman"/>
        </w:rPr>
      </w:pPr>
      <w:r w:rsidRPr="009B2398">
        <w:rPr>
          <w:rFonts w:cs="Times New Roman"/>
        </w:rPr>
        <w:t xml:space="preserve">ESC noted that the IMeRSe was designed to be a culturally responsive medication review service, delivered through community pharmacists in conjunction with local Aboriginal Health Services (AHSs) staff, to address an important gap in the health services delivered to </w:t>
      </w:r>
      <w:bookmarkStart w:id="49" w:name="_Hlk96520198"/>
      <w:r w:rsidRPr="009B2398">
        <w:rPr>
          <w:rFonts w:cs="Times New Roman"/>
        </w:rPr>
        <w:t xml:space="preserve">Aboriginal and Torres Strait Islander </w:t>
      </w:r>
      <w:bookmarkEnd w:id="49"/>
      <w:r w:rsidRPr="009B2398">
        <w:rPr>
          <w:rFonts w:cs="Times New Roman"/>
        </w:rPr>
        <w:t xml:space="preserve">patients. </w:t>
      </w:r>
    </w:p>
    <w:p w14:paraId="570F63FE" w14:textId="79683F95" w:rsidR="002F7BCB" w:rsidRPr="009B2398" w:rsidRDefault="002F7BCB" w:rsidP="002F7BCB">
      <w:pPr>
        <w:rPr>
          <w:rFonts w:cs="Times New Roman"/>
        </w:rPr>
      </w:pPr>
      <w:r w:rsidRPr="009B2398">
        <w:rPr>
          <w:rFonts w:cs="Times New Roman"/>
        </w:rPr>
        <w:t xml:space="preserve">ESC considered a culturally responsive medication review service could be very beneficial for Aboriginal and Torres Strait Islander people. ESC considered that it was important for that the service is provided in a culturally acceptable manner and not doing so could have adverse impacts. ESC considered a better service could be provided to </w:t>
      </w:r>
      <w:r w:rsidR="00EE6741" w:rsidRPr="009B2398">
        <w:rPr>
          <w:rFonts w:cs="Times New Roman"/>
        </w:rPr>
        <w:t xml:space="preserve">Aboriginal and Torres Strait Islander peoples </w:t>
      </w:r>
      <w:r w:rsidRPr="009B2398">
        <w:rPr>
          <w:rFonts w:cs="Times New Roman"/>
        </w:rPr>
        <w:t xml:space="preserve">if cultural awareness training was a requirement. ESC considered that for successful implementation in remote areas there would need to be adequate funding for fuel, flights, and potentially accommodation.  </w:t>
      </w:r>
    </w:p>
    <w:p w14:paraId="047BDD85" w14:textId="77777777" w:rsidR="002F7BCB" w:rsidRPr="00855E9A" w:rsidRDefault="002F7BCB" w:rsidP="002F7BCB">
      <w:pPr>
        <w:rPr>
          <w:rFonts w:cs="Times New Roman"/>
        </w:rPr>
      </w:pPr>
      <w:r w:rsidRPr="009B2398">
        <w:rPr>
          <w:rFonts w:cs="Times New Roman"/>
        </w:rPr>
        <w:t>ESC also noted that the IMeRSe Feasibility Study was a non-randomised, pre-post experimental trial co-designed and conducted by PGA in partnership with</w:t>
      </w:r>
      <w:r w:rsidRPr="009B2398">
        <w:t xml:space="preserve"> </w:t>
      </w:r>
      <w:r w:rsidRPr="009B2398">
        <w:rPr>
          <w:rFonts w:cs="Times New Roman"/>
        </w:rPr>
        <w:t>the National Aboriginal Community Controlled Health Organisation (</w:t>
      </w:r>
      <w:r w:rsidRPr="00855E9A">
        <w:rPr>
          <w:rFonts w:cs="Times New Roman"/>
        </w:rPr>
        <w:t xml:space="preserve">NACCHO). However, ESC was concerned that the way IMeRSe was proposed for implementation may fail to achieve coordinated and integrated medication management for Aboriginal and Torres Strait Islander patients. </w:t>
      </w:r>
    </w:p>
    <w:p w14:paraId="1EEDED6B" w14:textId="77777777" w:rsidR="002F7BCB" w:rsidRPr="009B2398" w:rsidRDefault="002F7BCB" w:rsidP="002F7BCB">
      <w:pPr>
        <w:rPr>
          <w:rFonts w:cs="Times New Roman"/>
        </w:rPr>
      </w:pPr>
      <w:r w:rsidRPr="00855E9A">
        <w:rPr>
          <w:rFonts w:cs="Times New Roman"/>
        </w:rPr>
        <w:t>ESC considered that the involvement of an Aboriginal Health Worker (AHW) is clearly an integral component of the IMeRSe Feasibility Study and for successful implementation. However, ESC noted that engagement and coordination activities in the IMeRSe Feasibility Study that appeared vital to the study, and that would also be important for achieving integrated healthcare in the real world, do not appear to be supported in the proposed implementation of IMeRSe. ESC noted that it cannot be guaranteed that the IMeRSe will be implemented in all 247 Indigenous primary health services, or in GP clinics. Further, ESC noted that a referral from a General Practitioner (GP) is not required (as with other MMR programs) but a GP is required to finalise a Medication Plan within 2 weeks of receiving a Medicines Report from a pharmacist. ESC considered 2 weeks is not feasible given the IMeRSe Feasibility Study reported the average time for finalising a Medication Plan was 89 days and it was unclear what the consequences are for a patient are if the GP does not follow-up. In addition, ESC noted that clinical information would need to be provided to the pharmacist and that the pre-ESC response stated that there were several ways for a pharmacist to receive this information without GP referral. However, ESC considered the lack of GP involvement in the referral process to be problematic as it could lead to disengagement of GPs who are responsible for the patient’s treatment. ESC</w:t>
      </w:r>
      <w:r w:rsidRPr="009B2398">
        <w:rPr>
          <w:rFonts w:cs="Times New Roman"/>
        </w:rPr>
        <w:t xml:space="preserve"> considered it appropriate to include a GP in the referral process for the IMeRSe; however, ESC noted that the resulting service would then be similar to the existing HMR service, but with the option of reimbursed AHW involvement. However, ESC considered GP referral would ensure the proposed service aligned with primary health reforms</w:t>
      </w:r>
      <w:r w:rsidRPr="009B2398">
        <w:rPr>
          <w:rStyle w:val="FootnoteReference"/>
          <w:rFonts w:cs="Times New Roman"/>
        </w:rPr>
        <w:footnoteReference w:id="2"/>
      </w:r>
      <w:r w:rsidRPr="009B2398">
        <w:rPr>
          <w:rFonts w:cs="Times New Roman"/>
        </w:rPr>
        <w:t xml:space="preserve"> aiming to provide coordinated and integrated multidisciplinary health care team.  </w:t>
      </w:r>
    </w:p>
    <w:p w14:paraId="28B9DAE5" w14:textId="77777777" w:rsidR="002F7BCB" w:rsidRPr="009B2398" w:rsidRDefault="002F7BCB" w:rsidP="002F7BCB">
      <w:pPr>
        <w:rPr>
          <w:rFonts w:cs="Times New Roman"/>
        </w:rPr>
      </w:pPr>
      <w:r w:rsidRPr="009B2398">
        <w:rPr>
          <w:rFonts w:cs="Times New Roman"/>
        </w:rPr>
        <w:t>ESC noted the three proposed MBS item descriptors for participation of a pharmacist, AHW and a GP in the proposed Aboriginal and Torres Strait Islander medication review service. ESC noted that pharmacists are not currently eligible to claim on the MBS and that the proposed MBS item descriptor for the pharmacist participation does not specify any further training for the pharmacist, either to be accredited to deliver an MMR or to have completed cultural awareness training, and considered that this should be included. ESC noted that the number of services a pharmacist may perform is not capped (as it is for the HMR; capped at 30 per month). ESC also noted that it was not clear how the “Rural loading allowance” would be claimed, as this is not usually a separate cost.</w:t>
      </w:r>
    </w:p>
    <w:p w14:paraId="7D0F3F6E" w14:textId="77777777" w:rsidR="002F7BCB" w:rsidRPr="009B2398" w:rsidRDefault="002F7BCB" w:rsidP="002F7BCB">
      <w:pPr>
        <w:rPr>
          <w:rFonts w:cs="Times New Roman"/>
        </w:rPr>
      </w:pPr>
      <w:r w:rsidRPr="009B2398">
        <w:rPr>
          <w:rFonts w:cs="Times New Roman"/>
        </w:rPr>
        <w:t>ESC noted that current MBS items for AHWs require the AHW to provide a service under the direction of the medical practitioner if a client has an extended care plan. ESC noted that the proposed MBS item for the AHW participation in IMeRSe implies that the AHW could be operating outside these constraints. ESC considered that it will need to be determined if the proposed item meets the AHW terms of registration as an eligible health professional for MBS claiming purposes.</w:t>
      </w:r>
    </w:p>
    <w:p w14:paraId="4D0160A9" w14:textId="77777777" w:rsidR="002F7BCB" w:rsidRPr="009B2398" w:rsidDel="0043787B" w:rsidRDefault="002F7BCB" w:rsidP="002F7BCB">
      <w:pPr>
        <w:rPr>
          <w:rFonts w:cs="Times New Roman"/>
        </w:rPr>
      </w:pPr>
      <w:r w:rsidRPr="009B2398">
        <w:rPr>
          <w:rFonts w:cs="Times New Roman"/>
        </w:rPr>
        <w:t>ESC noted that the proposed reimbursement for GP participation (equivalent to a Level C consultation) is lower than the MBS fee for GP involvement in other MMR services (i.e., HMR), and considered that the proposed MBS fees need to be compared to existing HMR service fees to avoid unwanted (dis-) incentives to request the appropriate service. </w:t>
      </w:r>
    </w:p>
    <w:p w14:paraId="48E61D6B" w14:textId="7E6D78F0" w:rsidR="002F7BCB" w:rsidRPr="009B2398" w:rsidRDefault="002F7BCB" w:rsidP="002F7BCB">
      <w:pPr>
        <w:rPr>
          <w:rFonts w:cs="Times New Roman"/>
        </w:rPr>
      </w:pPr>
      <w:r w:rsidRPr="009B2398">
        <w:rPr>
          <w:rFonts w:cs="Times New Roman"/>
        </w:rPr>
        <w:t xml:space="preserve">ESC noted that there was little consumer feedback for ESC consideration and considered it crucial that input from </w:t>
      </w:r>
      <w:r w:rsidR="00EE6741" w:rsidRPr="009B2398">
        <w:rPr>
          <w:rFonts w:cs="Times New Roman"/>
        </w:rPr>
        <w:t xml:space="preserve">Aboriginal and Torres Strait Islander peoples </w:t>
      </w:r>
      <w:r w:rsidRPr="009B2398">
        <w:rPr>
          <w:rFonts w:cs="Times New Roman"/>
        </w:rPr>
        <w:t>or relevant organisations should be sought. ESC noted the consultation responses expressed support for IMeRSe highlighting the essential role of involving AHWs and suggesting that the community pharmacists conducting the MMR would need access to a support line. ESC also noted that one consultation response expressed that while referral without a GP is helpful there was concern this may lead to difficulties in engagement and communication with GPs.</w:t>
      </w:r>
    </w:p>
    <w:p w14:paraId="3F036C89" w14:textId="77777777" w:rsidR="002F7BCB" w:rsidRPr="00855E9A" w:rsidRDefault="002F7BCB" w:rsidP="002F7BCB">
      <w:pPr>
        <w:rPr>
          <w:rFonts w:cs="Times New Roman"/>
        </w:rPr>
      </w:pPr>
      <w:r w:rsidRPr="009B2398">
        <w:rPr>
          <w:rFonts w:cs="Times New Roman"/>
        </w:rPr>
        <w:t xml:space="preserve">ESC noted the proposed population was “Aboriginal and Torres Strait Islander patients (aged 18 years and over) identified as at risk of MRPs by a </w:t>
      </w:r>
      <w:r w:rsidRPr="00855E9A">
        <w:rPr>
          <w:rFonts w:cs="Times New Roman"/>
        </w:rPr>
        <w:t>treating health professional, family member or self-identified who meet the listed criteria but are not limited by these criteria”. ESC queried the age restriction to adults only and noted that MRP is not well defined. ESC considered that due to the current wording of the proposed population, the service may not be targeted to those most likely to benefit and the population may be greater than anticipated as</w:t>
      </w:r>
      <w:r w:rsidRPr="00855E9A">
        <w:t xml:space="preserve"> </w:t>
      </w:r>
      <w:r w:rsidRPr="00855E9A">
        <w:rPr>
          <w:rFonts w:cs="Times New Roman"/>
        </w:rPr>
        <w:t xml:space="preserve">eligibility is not limited to the listed criteria.  </w:t>
      </w:r>
    </w:p>
    <w:p w14:paraId="0167955F" w14:textId="77777777" w:rsidR="002F7BCB" w:rsidRPr="00855E9A" w:rsidRDefault="002F7BCB" w:rsidP="002F7BCB">
      <w:pPr>
        <w:rPr>
          <w:rFonts w:cs="Times New Roman"/>
        </w:rPr>
      </w:pPr>
      <w:r w:rsidRPr="00855E9A">
        <w:rPr>
          <w:rFonts w:cs="Times New Roman"/>
        </w:rPr>
        <w:t>ESC noted that the proposed comparator was usual care, which was described as “ad-hoc medication management advice from any health professional” and that participants in the IMeRSe Feasibility Study had not received any formal MMR service. However, ESC considered that an HMR is a more appropriate comparator due to the structural similarities between the proposed services and as the proposed population was eligible to access this service.</w:t>
      </w:r>
    </w:p>
    <w:p w14:paraId="7DDA0991" w14:textId="77777777" w:rsidR="002F7BCB" w:rsidRPr="00855E9A" w:rsidRDefault="002F7BCB" w:rsidP="002F7BCB">
      <w:pPr>
        <w:rPr>
          <w:rFonts w:cs="Times New Roman"/>
        </w:rPr>
      </w:pPr>
      <w:r w:rsidRPr="00855E9A">
        <w:rPr>
          <w:rFonts w:cs="Times New Roman"/>
        </w:rPr>
        <w:t xml:space="preserve">ESC noted that the IMeRSe Feasibility Study was designed as a feasibility study to inform a randomised controlled trial. ESC noted 23 pharmacies participated in the study, integrated across nine AHS sites throughout Queensland, New South Wales and the Northern Territory. ESC noted it was unknown whether the AHS sites, community pharmacies and participants are representative of proposed population and therefore whether study results are generalisable. ESC considered one of the strengths of the IMeRSe study was that it was co-designed with input from Aboriginal and Torres Strait Islander communities. ESC also noted that the number of participants was relatively low (n = 255 received the intervention) and there was no concurrent control group instead the trial provided pre and post intervention comparison. </w:t>
      </w:r>
    </w:p>
    <w:p w14:paraId="30ADF863" w14:textId="77777777" w:rsidR="002F7BCB" w:rsidRPr="00335D5F" w:rsidRDefault="002F7BCB" w:rsidP="002F7BCB">
      <w:pPr>
        <w:rPr>
          <w:rFonts w:cs="Times New Roman"/>
        </w:rPr>
      </w:pPr>
      <w:r w:rsidRPr="00855E9A">
        <w:rPr>
          <w:rFonts w:cs="Times New Roman"/>
        </w:rPr>
        <w:t>ESC noted the primary outcome was a difference in the incidence of serious MRPs for the six months after IMeRSe introduction (post-intervention) compared with six months before (pre-intervention). ESC also noted the secondary outcomes across several person-centred factors, including confidence, satisfaction, psychosocial wellbeing, beliefs about use of medicines, adherence with medication regimens, empowerment and psychological stress. ESC noted that there was a 7% reduction in the modelled rate of serious MRPs per person per year, which was not statistically significant (</w:t>
      </w:r>
      <w:r w:rsidRPr="00855E9A">
        <w:rPr>
          <w:rFonts w:cs="Times New Roman"/>
          <w:i/>
          <w:iCs/>
        </w:rPr>
        <w:t>P</w:t>
      </w:r>
      <w:r w:rsidRPr="00855E9A">
        <w:rPr>
          <w:rFonts w:cs="Times New Roman"/>
        </w:rPr>
        <w:t xml:space="preserve"> = 0.09), and that there was no reduction in</w:t>
      </w:r>
      <w:r w:rsidRPr="009B2398">
        <w:rPr>
          <w:rFonts w:cs="Times New Roman"/>
        </w:rPr>
        <w:t xml:space="preserve"> medication-related hospitalisation rates. However, ESC noted that study participants reported decreased concern about their medicines and superior medication adherence and considered these to be valuable outcomes that were not considered. ESC noted that for some of the medication use outcomes and the Growth and Empowerment scale, the reported direction of change did not align with the baseline </w:t>
      </w:r>
      <w:r w:rsidRPr="00335D5F">
        <w:rPr>
          <w:rFonts w:cs="Times New Roman"/>
        </w:rPr>
        <w:t xml:space="preserve">and post-intervention outcomes (such as a negative change when scores increased). ESC considered that the lack of statistically significant differences in clinical outcomes was problematic, but considered a focus on this for an intervention like IMeRSe with other health benefits to be inappropriately narrow. ESC noted that the service resulted in positive patient-reported outcomes, and ESC agreed with the pre-ESC response that these outcomes are valuable for a service such as the one proposed. Overall, ESC considered IMeRSe to have non-inferior safety, uncertain effectiveness compared to usual care but that it could have superior medication adherence and empowerment. </w:t>
      </w:r>
    </w:p>
    <w:p w14:paraId="1D1EC4F6" w14:textId="77777777" w:rsidR="002F7BCB" w:rsidRPr="00335D5F" w:rsidRDefault="002F7BCB" w:rsidP="002F7BCB">
      <w:pPr>
        <w:rPr>
          <w:rFonts w:cs="Times New Roman"/>
        </w:rPr>
      </w:pPr>
      <w:r w:rsidRPr="00335D5F">
        <w:rPr>
          <w:rFonts w:cs="Times New Roman"/>
        </w:rPr>
        <w:t>ESC noted that a similar program, the Integrating Pharmacists within Aboriginal Community Controlled Health Services (ACCHS) to Improve Chronic Disease Management (the IPAC Project), will be considered at the same MSAC meeting as this application for IMeRSe. ESC also noted that the Department had information on common outcomes from IPAC and IMeRSe which ESC recommended the Department include for MSAC’s consideration.</w:t>
      </w:r>
    </w:p>
    <w:p w14:paraId="4076C06C" w14:textId="77777777" w:rsidR="002F7BCB" w:rsidRPr="009B2398" w:rsidRDefault="002F7BCB" w:rsidP="002F7BCB">
      <w:pPr>
        <w:pStyle w:val="NormalBeforeBullet0"/>
        <w:spacing w:before="120" w:after="160" w:line="259" w:lineRule="auto"/>
        <w:rPr>
          <w:rFonts w:ascii="Franklin Gothic Book" w:hAnsi="Franklin Gothic Book"/>
          <w:sz w:val="22"/>
          <w:szCs w:val="22"/>
        </w:rPr>
      </w:pPr>
      <w:r w:rsidRPr="00335D5F">
        <w:rPr>
          <w:rFonts w:ascii="Franklin Gothic Book" w:hAnsi="Franklin Gothic Book"/>
          <w:sz w:val="22"/>
          <w:szCs w:val="22"/>
        </w:rPr>
        <w:t>ESC noted that the applicant-derived assessment report (ADAR) estimated the cost-effectiveness of IMeRSe as a cost per MRP avoided (e.g. base case estimated $1,822 per</w:t>
      </w:r>
      <w:r w:rsidRPr="009B2398">
        <w:rPr>
          <w:rFonts w:ascii="Franklin Gothic Book" w:hAnsi="Franklin Gothic Book"/>
          <w:sz w:val="22"/>
          <w:szCs w:val="22"/>
        </w:rPr>
        <w:t xml:space="preserve"> MRP avoided). ESC considered that cost per MRP avoided does not fully capture the health benefits of IMeRSe. ESC disagreed with the commentary’s statement that uncertain effectiveness and cost-savings would suggest a cost-minimisation analysis would be appropriate, as ESC noted that uncertain effectiveness does not equate to non-inferiority. ESC considered that a cost-consequence analysis would be more appropriate to handle multiple complex outcome measures (e.g. adherence, hospitalisation, medication errors). ESC noted that an implication of using the incorrect comparator meant the incremental costs of IMeRSe in the cost-effectiveness analysis would be overestimated because the comparator group did not incur costs or benefits from an intervention. </w:t>
      </w:r>
    </w:p>
    <w:p w14:paraId="7E914A18" w14:textId="0E98B2B3" w:rsidR="00FB562F" w:rsidRPr="00AA797B" w:rsidRDefault="002F7BCB" w:rsidP="00AA797B">
      <w:pPr>
        <w:pStyle w:val="NormalBeforeBullet0"/>
        <w:spacing w:before="120" w:after="160" w:line="259" w:lineRule="auto"/>
        <w:rPr>
          <w:rFonts w:ascii="Franklin Gothic Book" w:hAnsi="Franklin Gothic Book"/>
          <w:sz w:val="22"/>
          <w:szCs w:val="22"/>
        </w:rPr>
      </w:pPr>
      <w:r w:rsidRPr="009B2398">
        <w:rPr>
          <w:rFonts w:ascii="Franklin Gothic Book" w:hAnsi="Franklin Gothic Book"/>
          <w:sz w:val="22"/>
          <w:szCs w:val="22"/>
        </w:rPr>
        <w:t xml:space="preserve">ESC noted that the ADAR financial </w:t>
      </w:r>
      <w:r w:rsidRPr="00335D5F">
        <w:rPr>
          <w:rFonts w:ascii="Franklin Gothic Book" w:hAnsi="Franklin Gothic Book"/>
          <w:sz w:val="22"/>
          <w:szCs w:val="22"/>
        </w:rPr>
        <w:t xml:space="preserve">estimates predicted that the IMeRSe would be cost-saving, with estimates ranging from a saving of </w:t>
      </w:r>
      <w:r w:rsidR="00CA1DBF" w:rsidRPr="00335D5F">
        <w:rPr>
          <w:rFonts w:ascii="Franklin Gothic Book" w:hAnsi="Franklin Gothic Book"/>
          <w:sz w:val="22"/>
          <w:szCs w:val="22"/>
        </w:rPr>
        <w:t xml:space="preserve">$0 to &lt; $10 million </w:t>
      </w:r>
      <w:r w:rsidRPr="00335D5F">
        <w:rPr>
          <w:rFonts w:ascii="Franklin Gothic Book" w:hAnsi="Franklin Gothic Book"/>
          <w:sz w:val="22"/>
          <w:szCs w:val="22"/>
        </w:rPr>
        <w:t xml:space="preserve">per year up to </w:t>
      </w:r>
      <w:r w:rsidR="00CA1DBF" w:rsidRPr="00335D5F">
        <w:rPr>
          <w:rFonts w:ascii="Franklin Gothic Book" w:hAnsi="Franklin Gothic Book"/>
          <w:sz w:val="22"/>
          <w:szCs w:val="22"/>
        </w:rPr>
        <w:t>$30 million to &lt; $40 million</w:t>
      </w:r>
      <w:r w:rsidR="00CA1DBF" w:rsidRPr="00335D5F" w:rsidDel="00CA1DBF">
        <w:rPr>
          <w:rFonts w:ascii="Franklin Gothic Book" w:hAnsi="Franklin Gothic Book"/>
          <w:sz w:val="22"/>
          <w:szCs w:val="22"/>
        </w:rPr>
        <w:t xml:space="preserve"> </w:t>
      </w:r>
      <w:r w:rsidRPr="00335D5F">
        <w:rPr>
          <w:rFonts w:ascii="Franklin Gothic Book" w:hAnsi="Franklin Gothic Book"/>
          <w:sz w:val="22"/>
          <w:szCs w:val="22"/>
        </w:rPr>
        <w:t>per</w:t>
      </w:r>
      <w:r w:rsidRPr="009B2398">
        <w:rPr>
          <w:rFonts w:ascii="Franklin Gothic Book" w:hAnsi="Franklin Gothic Book"/>
          <w:sz w:val="22"/>
          <w:szCs w:val="22"/>
        </w:rPr>
        <w:t xml:space="preserve"> year, due to reduction in inpatient and emergency department costs. However, ESC considered the estimated savings to be optimistic given there is uncertain evidence from the IMeRSe Feasibility Study about the reduction in preventable hospitalisations and MRPs. As such, ESC agreed with the commentary that attributing cost-offsets in terms of the observed reduction in hospital admissions and emergency department presentations to the intervention cannot be reasonably justified and such cost-saving claims should be very rigorous.  ESC also noted that the higher GP benefit fee (from HMR) was used instead of the proposed GP fee, the ADAR did not consider substitution of services (i.e., from HMR to IMeRSe), and the time horizon in the study was 6 months, but the budget impact used 12 months and assumed constant per-person annual rates. Further, medication adherence was not included, and ongoing costs beyond the first year were not included. ESC also noted that a consequence of the broad population definition (i.e., not being limited to the listed criteria) was that it created difficulty in estimating the eligible patient population for the service, which created uncertainty in the predicted uptake and financial estimates. Further, uptake of IMeRSe was assumed to be 5%, however ESC considered that the actual uptake could vary depending on implementation of the IMeRSe (i.e., engagement of an AHW). ESC advised that the applicant should better explain and justify these proposed cost savings.</w:t>
      </w:r>
    </w:p>
    <w:p w14:paraId="1EC3B068" w14:textId="26D47288" w:rsidR="007C620E" w:rsidRPr="007C620E" w:rsidRDefault="007C620E" w:rsidP="007C620E">
      <w:pPr>
        <w:pStyle w:val="Heading2"/>
        <w:numPr>
          <w:ilvl w:val="0"/>
          <w:numId w:val="0"/>
        </w:numPr>
      </w:pPr>
      <w:r>
        <w:t>17.</w:t>
      </w:r>
      <w:r>
        <w:tab/>
      </w:r>
      <w:r w:rsidRPr="007C620E">
        <w:t>Applicant comments on MSAC’s Public Summary Document</w:t>
      </w:r>
    </w:p>
    <w:p w14:paraId="0EBB9D38" w14:textId="324191F9" w:rsidR="00D00032" w:rsidRDefault="004D6B57" w:rsidP="001763F0">
      <w:pPr>
        <w:rPr>
          <w:color w:val="00B0F0"/>
          <w:szCs w:val="24"/>
        </w:rPr>
      </w:pPr>
      <w:r>
        <w:t xml:space="preserve">The Indigenous Medication Review Service (IMeRSe) intervention is a flexible and feasible culturally responsive pharmacy service for Aboriginal and Torres Strait Islander peoples that addressed longstanding institutional and cultural barriers to medication management review services, reduced medication related problems and promoted adherence, health, and wellbeing. The </w:t>
      </w:r>
      <w:r w:rsidRPr="0041066E">
        <w:t>IMeRSe Feasibility Study</w:t>
      </w:r>
      <w:r>
        <w:t xml:space="preserve"> was designed to evaluate the feasibility of a consumer-led, collaborative medication review service and the measures needed to assess impact, to then inform a more traditional clinical trial that would assess impact and economic benefit. The project team accept that the evidence collected informs future more robust study to meet the level of evidence for an MSAC submission. </w:t>
      </w:r>
      <w:r w:rsidRPr="0041066E">
        <w:t xml:space="preserve">Although the study was </w:t>
      </w:r>
      <w:r w:rsidR="00791FAA">
        <w:t>not</w:t>
      </w:r>
      <w:r w:rsidRPr="0041066E">
        <w:t xml:space="preserve"> intended to measure impact</w:t>
      </w:r>
      <w:r w:rsidR="001F31BC" w:rsidRPr="0041066E">
        <w:t>,</w:t>
      </w:r>
      <w:r w:rsidRPr="0041066E">
        <w:t xml:space="preserve"> there were clear measures of success even as a feasibility </w:t>
      </w:r>
      <w:r w:rsidR="001F31BC" w:rsidRPr="0041066E">
        <w:t xml:space="preserve">study </w:t>
      </w:r>
      <w:r w:rsidRPr="0041066E">
        <w:t>trial. The collaborative nature of the service was evidenced by the degree of involvement of Aboriginal Health Workers (AHWs) in service delivery, uptake of pharmacists’ recommendations by GPs at a level exceeding that of more traditional GP-led medication management review services, and involvement of allied health professionals. Participant feedback highlights the benefits of a more encompassing, flexible approach to referral pathways that included referral by GPs, pharmacists, nurses, AHWs, family members, carers, and self-referral. IMeRSe represents an opportunity to optimise coordinated care from multiple perspectives.</w:t>
      </w:r>
      <w:r>
        <w:t xml:space="preserve"> Flexibility in the location of IMeRSe and inclusion of the AHW as a key provider were also integral to removing sustained access barriers to traditional HMR services. The unique culturally responsive approach of IMeRSe, underpinned by collaborative care and building relationships aligns with elements of an equity driven, rights-based approach to healthcare to promote available, accessible, acceptable, high-quality services. The IMeRSe Feasibility Study assessed the feasibility of how this approach to pharmacy services addressed limitations of the existing Home Medicines Review (HMR) program from multiple perspectives with positive impacts on access, collaborative care, individual empowerment, and community trust in services. Further, pharmacists delivering IMeRSe were not required to be HMR accredited, and 32 of 39 were not, thereby addressing a disconnect between population need for medication review services and available workforce, particularly in rural and remote areas where access to the HMR-pharmacist workforce is reported to be inadequate. To encourage access to, and uptake of culturally responsive medication review services, the existing ‘one-size fits all’ approach of the HMR Program and the numerous HMR Program Rules need to be modified to remove existing barriers. This highlights the need for multiple services that accommodate the diversity of First Nations peoples, systems of healthcare access and non-Indigenous Australians. It is not guaranteed that any one service will supplant another, more that they may increase appropriate healthcare access overall. Finally, it is important to note key differences between the research infrastructure or processes needed in a feasibility trial and more routine service delivery as part of broader implementation, for example the study coordinator role of the AHW which would not exist in routine service delivery. </w:t>
      </w:r>
    </w:p>
    <w:p w14:paraId="1BF5BA8B" w14:textId="23FBBE88" w:rsidR="007C620E" w:rsidRPr="007C620E" w:rsidRDefault="007C620E" w:rsidP="007C620E">
      <w:pPr>
        <w:pStyle w:val="Heading2"/>
        <w:numPr>
          <w:ilvl w:val="0"/>
          <w:numId w:val="0"/>
        </w:numPr>
      </w:pPr>
      <w:r>
        <w:t>18.</w:t>
      </w:r>
      <w:r>
        <w:tab/>
      </w:r>
      <w:r w:rsidRPr="007C620E">
        <w:t>Further information on MSAC</w:t>
      </w:r>
    </w:p>
    <w:p w14:paraId="12578417" w14:textId="0EA22753" w:rsidR="007C620E" w:rsidRPr="007C620E" w:rsidRDefault="007C620E" w:rsidP="007C620E">
      <w:pPr>
        <w:pStyle w:val="NormalBeforeBullet0"/>
        <w:rPr>
          <w:rFonts w:ascii="Franklin Gothic Book" w:hAnsi="Franklin Gothic Book"/>
          <w:sz w:val="22"/>
          <w:szCs w:val="22"/>
        </w:rPr>
      </w:pPr>
      <w:r w:rsidRPr="007C620E">
        <w:rPr>
          <w:rFonts w:ascii="Franklin Gothic Book" w:hAnsi="Franklin Gothic Book"/>
          <w:sz w:val="22"/>
          <w:szCs w:val="22"/>
        </w:rPr>
        <w:t xml:space="preserve">MSAC Terms of Reference and other information are available on the MSAC Website: </w:t>
      </w:r>
      <w:hyperlink r:id="rId14" w:tooltip="Link to the MSAC website" w:history="1">
        <w:r w:rsidRPr="007C620E">
          <w:rPr>
            <w:rStyle w:val="Hyperlink"/>
            <w:rFonts w:ascii="Franklin Gothic Book" w:hAnsi="Franklin Gothic Book"/>
            <w:sz w:val="22"/>
            <w:szCs w:val="22"/>
          </w:rPr>
          <w:t>visit the MSAC website</w:t>
        </w:r>
      </w:hyperlink>
    </w:p>
    <w:sectPr w:rsidR="007C620E" w:rsidRPr="007C620E" w:rsidSect="00784341">
      <w:headerReference w:type="even" r:id="rId15"/>
      <w:headerReference w:type="default" r:id="rId16"/>
      <w:footerReference w:type="even" r:id="rId17"/>
      <w:footerReference w:type="default" r:id="rId18"/>
      <w:headerReference w:type="first" r:id="rId19"/>
      <w:footerReference w:type="first" r:id="rId20"/>
      <w:type w:val="oddPag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D4C696" w14:textId="77777777" w:rsidR="00FB562F" w:rsidRDefault="00FB562F" w:rsidP="00B62DF2">
      <w:pPr>
        <w:spacing w:after="0" w:line="240" w:lineRule="auto"/>
      </w:pPr>
      <w:r>
        <w:separator/>
      </w:r>
    </w:p>
  </w:endnote>
  <w:endnote w:type="continuationSeparator" w:id="0">
    <w:p w14:paraId="3817AEE3" w14:textId="77777777" w:rsidR="00FB562F" w:rsidRDefault="00FB562F" w:rsidP="00B62DF2">
      <w:pPr>
        <w:spacing w:after="0" w:line="240" w:lineRule="auto"/>
      </w:pPr>
      <w:r>
        <w:continuationSeparator/>
      </w:r>
    </w:p>
  </w:endnote>
  <w:endnote w:type="continuationNotice" w:id="1">
    <w:p w14:paraId="49967532" w14:textId="77777777" w:rsidR="00FB562F" w:rsidRDefault="00FB562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76D499" w14:textId="56B314AA" w:rsidR="00FB562F" w:rsidRDefault="00FB562F">
    <w:pPr>
      <w:pStyle w:val="Footer"/>
    </w:pPr>
    <w:r>
      <w:tab/>
    </w:r>
    <w:r>
      <w:tab/>
    </w:r>
    <w:sdt>
      <w:sdtPr>
        <w:id w:val="192546083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22</w:t>
        </w:r>
        <w:r>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244847"/>
      <w:docPartObj>
        <w:docPartGallery w:val="Page Numbers (Bottom of Page)"/>
        <w:docPartUnique/>
      </w:docPartObj>
    </w:sdtPr>
    <w:sdtEndPr>
      <w:rPr>
        <w:noProof/>
      </w:rPr>
    </w:sdtEndPr>
    <w:sdtContent>
      <w:p w14:paraId="6BE9385A" w14:textId="3FA17663" w:rsidR="00FB562F" w:rsidRDefault="00FB562F" w:rsidP="00052DD3">
        <w:pPr>
          <w:pStyle w:val="Footer"/>
          <w:jc w:val="right"/>
        </w:pPr>
        <w:r>
          <w:tab/>
        </w:r>
        <w:r>
          <w:fldChar w:fldCharType="begin"/>
        </w:r>
        <w:r>
          <w:instrText xml:space="preserve"> PAGE   \* MERGEFORMAT </w:instrText>
        </w:r>
        <w:r>
          <w:fldChar w:fldCharType="separate"/>
        </w:r>
        <w:r>
          <w:rPr>
            <w:noProof/>
          </w:rPr>
          <w:t>21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7EABBD" w14:textId="77777777" w:rsidR="00791FAA" w:rsidRDefault="00791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E00CF4" w14:textId="77777777" w:rsidR="00FB562F" w:rsidRDefault="00FB562F" w:rsidP="00B62DF2">
      <w:pPr>
        <w:spacing w:after="0" w:line="240" w:lineRule="auto"/>
      </w:pPr>
      <w:r>
        <w:separator/>
      </w:r>
    </w:p>
  </w:footnote>
  <w:footnote w:type="continuationSeparator" w:id="0">
    <w:p w14:paraId="7D97653E" w14:textId="77777777" w:rsidR="00FB562F" w:rsidRDefault="00FB562F" w:rsidP="00B62DF2">
      <w:pPr>
        <w:spacing w:after="0" w:line="240" w:lineRule="auto"/>
      </w:pPr>
      <w:r>
        <w:continuationSeparator/>
      </w:r>
    </w:p>
  </w:footnote>
  <w:footnote w:type="continuationNotice" w:id="1">
    <w:p w14:paraId="7DAFC01C" w14:textId="77777777" w:rsidR="00FB562F" w:rsidRDefault="00FB562F">
      <w:pPr>
        <w:spacing w:before="0" w:after="0" w:line="240" w:lineRule="auto"/>
      </w:pPr>
    </w:p>
  </w:footnote>
  <w:footnote w:id="2">
    <w:p w14:paraId="4D562AEB" w14:textId="77777777" w:rsidR="00FB562F" w:rsidRDefault="00FB562F" w:rsidP="002F7BCB">
      <w:pPr>
        <w:pStyle w:val="FootnoteText"/>
      </w:pPr>
      <w:r>
        <w:rPr>
          <w:rStyle w:val="FootnoteReference"/>
        </w:rPr>
        <w:footnoteRef/>
      </w:r>
      <w:r>
        <w:t xml:space="preserve"> </w:t>
      </w:r>
      <w:r w:rsidRPr="002379A4">
        <w:t>Report from the Primary Health Reform Steering Group</w:t>
      </w:r>
      <w:r>
        <w:t xml:space="preserve">: </w:t>
      </w:r>
      <w:hyperlink r:id="rId1" w:history="1">
        <w:r w:rsidRPr="002379A4">
          <w:rPr>
            <w:rStyle w:val="Hyperlink"/>
          </w:rPr>
          <w:t>Recommendations on the Australian Government’s Primary Health Care 10 Year Plan</w:t>
        </w:r>
      </w:hyperlink>
      <w:r>
        <w:t xml:space="preserve"> (September 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AC4BD6" w14:textId="77777777" w:rsidR="00791FAA" w:rsidRDefault="00791F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CB8A00" w14:textId="77777777" w:rsidR="00791FAA" w:rsidRDefault="00791F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B104F0" w14:textId="77777777" w:rsidR="00791FAA" w:rsidRDefault="00791F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5D10F9"/>
    <w:multiLevelType w:val="hybridMultilevel"/>
    <w:tmpl w:val="8424034E"/>
    <w:lvl w:ilvl="0" w:tplc="0C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97631C1"/>
    <w:multiLevelType w:val="hybridMultilevel"/>
    <w:tmpl w:val="CBB6B7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9E7366"/>
    <w:multiLevelType w:val="hybridMultilevel"/>
    <w:tmpl w:val="E12CD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1A745B"/>
    <w:multiLevelType w:val="hybridMultilevel"/>
    <w:tmpl w:val="2264CEC8"/>
    <w:lvl w:ilvl="0" w:tplc="A3F0BC58">
      <w:start w:val="1"/>
      <w:numFmt w:val="lowerLetter"/>
      <w:lvlText w:val="(%1)"/>
      <w:lvlJc w:val="left"/>
      <w:pPr>
        <w:ind w:left="720" w:hanging="360"/>
      </w:pPr>
      <w:rPr>
        <w:rFonts w:ascii="Arial Narrow" w:eastAsia="Times New Roman" w:hAnsi="Arial Narrow" w:cs="Tahoma" w:hint="default"/>
        <w:b w:val="0"/>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FFF556F"/>
    <w:multiLevelType w:val="hybridMultilevel"/>
    <w:tmpl w:val="6BC035C4"/>
    <w:lvl w:ilvl="0" w:tplc="FB942214">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4FE0DA6"/>
    <w:multiLevelType w:val="hybridMultilevel"/>
    <w:tmpl w:val="A85ED32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58D7D2D"/>
    <w:multiLevelType w:val="hybridMultilevel"/>
    <w:tmpl w:val="CC882598"/>
    <w:lvl w:ilvl="0" w:tplc="04F235B6">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6EF7E00"/>
    <w:multiLevelType w:val="hybridMultilevel"/>
    <w:tmpl w:val="443C06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71B2BAE"/>
    <w:multiLevelType w:val="multilevel"/>
    <w:tmpl w:val="F066FFB6"/>
    <w:lvl w:ilvl="0">
      <w:start w:val="1"/>
      <w:numFmt w:val="bullet"/>
      <w:lvlText w:val="o"/>
      <w:lvlJc w:val="left"/>
      <w:pPr>
        <w:tabs>
          <w:tab w:val="num" w:pos="-2160"/>
        </w:tabs>
        <w:ind w:left="-216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720"/>
        </w:tabs>
        <w:ind w:left="-720" w:hanging="360"/>
      </w:pPr>
      <w:rPr>
        <w:rFonts w:ascii="Courier New" w:hAnsi="Courier New" w:hint="default"/>
        <w:sz w:val="20"/>
      </w:rPr>
    </w:lvl>
    <w:lvl w:ilvl="3" w:tentative="1">
      <w:start w:val="1"/>
      <w:numFmt w:val="bullet"/>
      <w:lvlText w:val="o"/>
      <w:lvlJc w:val="left"/>
      <w:pPr>
        <w:tabs>
          <w:tab w:val="num" w:pos="0"/>
        </w:tabs>
        <w:ind w:left="0" w:hanging="360"/>
      </w:pPr>
      <w:rPr>
        <w:rFonts w:ascii="Courier New" w:hAnsi="Courier New" w:hint="default"/>
        <w:sz w:val="20"/>
      </w:rPr>
    </w:lvl>
    <w:lvl w:ilvl="4" w:tentative="1">
      <w:start w:val="1"/>
      <w:numFmt w:val="bullet"/>
      <w:lvlText w:val="o"/>
      <w:lvlJc w:val="left"/>
      <w:pPr>
        <w:tabs>
          <w:tab w:val="num" w:pos="720"/>
        </w:tabs>
        <w:ind w:left="720" w:hanging="360"/>
      </w:pPr>
      <w:rPr>
        <w:rFonts w:ascii="Courier New" w:hAnsi="Courier New" w:hint="default"/>
        <w:sz w:val="20"/>
      </w:rPr>
    </w:lvl>
    <w:lvl w:ilvl="5" w:tentative="1">
      <w:start w:val="1"/>
      <w:numFmt w:val="bullet"/>
      <w:lvlText w:val="o"/>
      <w:lvlJc w:val="left"/>
      <w:pPr>
        <w:tabs>
          <w:tab w:val="num" w:pos="1440"/>
        </w:tabs>
        <w:ind w:left="1440" w:hanging="360"/>
      </w:pPr>
      <w:rPr>
        <w:rFonts w:ascii="Courier New" w:hAnsi="Courier New" w:hint="default"/>
        <w:sz w:val="20"/>
      </w:rPr>
    </w:lvl>
    <w:lvl w:ilvl="6" w:tentative="1">
      <w:start w:val="1"/>
      <w:numFmt w:val="bullet"/>
      <w:lvlText w:val="o"/>
      <w:lvlJc w:val="left"/>
      <w:pPr>
        <w:tabs>
          <w:tab w:val="num" w:pos="2160"/>
        </w:tabs>
        <w:ind w:left="2160" w:hanging="360"/>
      </w:pPr>
      <w:rPr>
        <w:rFonts w:ascii="Courier New" w:hAnsi="Courier New" w:hint="default"/>
        <w:sz w:val="20"/>
      </w:rPr>
    </w:lvl>
    <w:lvl w:ilvl="7" w:tentative="1">
      <w:start w:val="1"/>
      <w:numFmt w:val="bullet"/>
      <w:lvlText w:val="o"/>
      <w:lvlJc w:val="left"/>
      <w:pPr>
        <w:tabs>
          <w:tab w:val="num" w:pos="2880"/>
        </w:tabs>
        <w:ind w:left="2880" w:hanging="360"/>
      </w:pPr>
      <w:rPr>
        <w:rFonts w:ascii="Courier New" w:hAnsi="Courier New" w:hint="default"/>
        <w:sz w:val="20"/>
      </w:rPr>
    </w:lvl>
    <w:lvl w:ilvl="8" w:tentative="1">
      <w:start w:val="1"/>
      <w:numFmt w:val="bullet"/>
      <w:lvlText w:val="o"/>
      <w:lvlJc w:val="left"/>
      <w:pPr>
        <w:tabs>
          <w:tab w:val="num" w:pos="3600"/>
        </w:tabs>
        <w:ind w:left="3600" w:hanging="360"/>
      </w:pPr>
      <w:rPr>
        <w:rFonts w:ascii="Courier New" w:hAnsi="Courier New" w:hint="default"/>
        <w:sz w:val="20"/>
      </w:rPr>
    </w:lvl>
  </w:abstractNum>
  <w:abstractNum w:abstractNumId="9" w15:restartNumberingAfterBreak="0">
    <w:nsid w:val="17263E18"/>
    <w:multiLevelType w:val="hybridMultilevel"/>
    <w:tmpl w:val="BDAE50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EE15FFD"/>
    <w:multiLevelType w:val="hybridMultilevel"/>
    <w:tmpl w:val="4648947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F181ABB"/>
    <w:multiLevelType w:val="hybridMultilevel"/>
    <w:tmpl w:val="4F6A1200"/>
    <w:lvl w:ilvl="0" w:tplc="78B8877C">
      <w:start w:val="1"/>
      <w:numFmt w:val="lowerRoman"/>
      <w:lvlText w:val="%1."/>
      <w:lvlJc w:val="left"/>
      <w:pPr>
        <w:ind w:left="1080" w:hanging="360"/>
      </w:pPr>
      <w:rPr>
        <w:rFonts w:asciiTheme="minorHAnsi" w:eastAsiaTheme="minorHAnsi" w:hAnsiTheme="minorHAnsi" w:cstheme="minorBidi" w:hint="default"/>
        <w:b w:val="0"/>
      </w:rPr>
    </w:lvl>
    <w:lvl w:ilvl="1" w:tplc="0C090019" w:tentative="1">
      <w:start w:val="1"/>
      <w:numFmt w:val="lowerLetter"/>
      <w:lvlText w:val="%2."/>
      <w:lvlJc w:val="left"/>
      <w:pPr>
        <w:ind w:left="1800" w:hanging="360"/>
      </w:pPr>
    </w:lvl>
    <w:lvl w:ilvl="2" w:tplc="0C09001B">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20DA7FCD"/>
    <w:multiLevelType w:val="hybridMultilevel"/>
    <w:tmpl w:val="514A1B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37B6E7D"/>
    <w:multiLevelType w:val="hybridMultilevel"/>
    <w:tmpl w:val="DDAC9A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37C0EE4"/>
    <w:multiLevelType w:val="multilevel"/>
    <w:tmpl w:val="FEE071C8"/>
    <w:styleLink w:val="ESSectionheading-numbered"/>
    <w:lvl w:ilvl="0">
      <w:start w:val="1"/>
      <w:numFmt w:val="none"/>
      <w:lvlText w:val="A.1"/>
      <w:lvlJc w:val="left"/>
      <w:pPr>
        <w:ind w:left="1134" w:hanging="1134"/>
      </w:pPr>
      <w:rPr>
        <w:rFonts w:ascii="Calibri" w:hAnsi="Calibri" w:hint="default"/>
        <w:b/>
        <w:i w:val="0"/>
        <w:color w:val="auto"/>
        <w:sz w:val="24"/>
      </w:rPr>
    </w:lvl>
    <w:lvl w:ilvl="1">
      <w:start w:val="1"/>
      <w:numFmt w:val="decimal"/>
      <w:lvlText w:val="B.%2."/>
      <w:lvlJc w:val="left"/>
      <w:pPr>
        <w:ind w:left="1134" w:hanging="1134"/>
      </w:pPr>
      <w:rPr>
        <w:rFonts w:ascii="Calibri" w:hAnsi="Calibri" w:hint="default"/>
        <w:b/>
        <w:i w:val="0"/>
        <w:sz w:val="24"/>
      </w:rPr>
    </w:lvl>
    <w:lvl w:ilvl="2">
      <w:start w:val="1"/>
      <w:numFmt w:val="decimal"/>
      <w:lvlText w:val="C.%3."/>
      <w:lvlJc w:val="left"/>
      <w:pPr>
        <w:ind w:left="1134" w:hanging="1134"/>
      </w:pPr>
      <w:rPr>
        <w:rFonts w:ascii="Calibri" w:hAnsi="Calibri" w:hint="default"/>
        <w:b/>
        <w:i w:val="0"/>
        <w:sz w:val="24"/>
      </w:rPr>
    </w:lvl>
    <w:lvl w:ilvl="3">
      <w:start w:val="1"/>
      <w:numFmt w:val="decimal"/>
      <w:lvlText w:val="D.%4."/>
      <w:lvlJc w:val="left"/>
      <w:pPr>
        <w:ind w:left="1134" w:hanging="1134"/>
      </w:pPr>
      <w:rPr>
        <w:rFonts w:ascii="Calibri" w:hAnsi="Calibri" w:hint="default"/>
        <w:b/>
        <w:i w:val="0"/>
        <w:sz w:val="24"/>
      </w:rPr>
    </w:lvl>
    <w:lvl w:ilvl="4">
      <w:start w:val="1"/>
      <w:numFmt w:val="decimal"/>
      <w:lvlText w:val="E.%5."/>
      <w:lvlJc w:val="left"/>
      <w:pPr>
        <w:ind w:left="1134" w:hanging="1134"/>
      </w:pPr>
      <w:rPr>
        <w:rFonts w:ascii="Calibri" w:hAnsi="Calibri" w:hint="default"/>
        <w:b/>
        <w:i w:val="0"/>
        <w:sz w:val="24"/>
      </w:rPr>
    </w:lvl>
    <w:lvl w:ilvl="5">
      <w:start w:val="1"/>
      <w:numFmt w:val="decimal"/>
      <w:lvlText w:val="A.%6"/>
      <w:lvlJc w:val="left"/>
      <w:pPr>
        <w:ind w:left="1134" w:hanging="1134"/>
      </w:pPr>
      <w:rPr>
        <w:rFonts w:ascii="Calibri" w:hAnsi="Calibri" w:hint="default"/>
        <w:b/>
        <w:i w:val="0"/>
        <w:color w:val="auto"/>
        <w:sz w:val="24"/>
      </w:rPr>
    </w:lvl>
    <w:lvl w:ilvl="6">
      <w:start w:val="1"/>
      <w:numFmt w:val="none"/>
      <w:lvlText w:val=""/>
      <w:lvlJc w:val="left"/>
      <w:pPr>
        <w:ind w:left="1134" w:hanging="1134"/>
      </w:pPr>
      <w:rPr>
        <w:rFonts w:ascii="Calibri" w:hAnsi="Calibri" w:hint="default"/>
        <w:b/>
        <w:i w:val="0"/>
        <w:sz w:val="24"/>
      </w:rPr>
    </w:lvl>
    <w:lvl w:ilvl="7">
      <w:start w:val="1"/>
      <w:numFmt w:val="none"/>
      <w:lvlText w:val="%8"/>
      <w:lvlJc w:val="left"/>
      <w:pPr>
        <w:ind w:left="1134" w:hanging="1134"/>
      </w:pPr>
      <w:rPr>
        <w:rFonts w:hint="default"/>
      </w:rPr>
    </w:lvl>
    <w:lvl w:ilvl="8">
      <w:start w:val="1"/>
      <w:numFmt w:val="none"/>
      <w:lvlText w:val="%9"/>
      <w:lvlJc w:val="right"/>
      <w:pPr>
        <w:ind w:left="1134" w:hanging="1134"/>
      </w:pPr>
      <w:rPr>
        <w:rFonts w:hint="default"/>
      </w:rPr>
    </w:lvl>
  </w:abstractNum>
  <w:abstractNum w:abstractNumId="15" w15:restartNumberingAfterBreak="0">
    <w:nsid w:val="26774C22"/>
    <w:multiLevelType w:val="hybridMultilevel"/>
    <w:tmpl w:val="E8964A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7575C58"/>
    <w:multiLevelType w:val="multilevel"/>
    <w:tmpl w:val="BE44A646"/>
    <w:lvl w:ilvl="0">
      <w:start w:val="1"/>
      <w:numFmt w:val="bullet"/>
      <w:pStyle w:val="InstructionBulletpoint"/>
      <w:lvlText w:val=""/>
      <w:lvlJc w:val="left"/>
      <w:pPr>
        <w:ind w:left="720" w:hanging="360"/>
      </w:pPr>
      <w:rPr>
        <w:rFonts w:ascii="Symbol" w:hAnsi="Symbol" w:hint="default"/>
      </w:rPr>
    </w:lvl>
    <w:lvl w:ilvl="1">
      <w:start w:val="1"/>
      <w:numFmt w:val="bullet"/>
      <w:lvlText w:val=""/>
      <w:lvlJc w:val="left"/>
      <w:pPr>
        <w:ind w:left="1440" w:hanging="476"/>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A5E246B"/>
    <w:multiLevelType w:val="hybridMultilevel"/>
    <w:tmpl w:val="C4F2253C"/>
    <w:lvl w:ilvl="0" w:tplc="B0E28340">
      <w:start w:val="1"/>
      <w:numFmt w:val="decimal"/>
      <w:pStyle w:val="ESHeading1"/>
      <w:lvlText w:val="%1."/>
      <w:lvlJc w:val="left"/>
      <w:pPr>
        <w:ind w:left="216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8" w15:restartNumberingAfterBreak="0">
    <w:nsid w:val="2A803B2A"/>
    <w:multiLevelType w:val="hybridMultilevel"/>
    <w:tmpl w:val="BE4E368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FBE87AB6">
      <w:numFmt w:val="bullet"/>
      <w:lvlText w:val="•"/>
      <w:lvlJc w:val="left"/>
      <w:pPr>
        <w:ind w:left="2160" w:hanging="720"/>
      </w:pPr>
      <w:rPr>
        <w:rFonts w:ascii="Franklin Gothic Book" w:eastAsiaTheme="minorHAnsi" w:hAnsi="Franklin Gothic Book" w:cstheme="minorBidi"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2C654A83"/>
    <w:multiLevelType w:val="hybridMultilevel"/>
    <w:tmpl w:val="EE467AC6"/>
    <w:lvl w:ilvl="0" w:tplc="0C090001">
      <w:start w:val="1"/>
      <w:numFmt w:val="bullet"/>
      <w:lvlText w:val=""/>
      <w:lvlJc w:val="left"/>
      <w:pPr>
        <w:ind w:left="720" w:hanging="360"/>
      </w:pPr>
      <w:rPr>
        <w:rFonts w:ascii="Symbol" w:hAnsi="Symbol" w:hint="default"/>
      </w:rPr>
    </w:lvl>
    <w:lvl w:ilvl="1" w:tplc="AE1AC2EE">
      <w:numFmt w:val="bullet"/>
      <w:lvlText w:val="•"/>
      <w:lvlJc w:val="left"/>
      <w:pPr>
        <w:ind w:left="1800" w:hanging="720"/>
      </w:pPr>
      <w:rPr>
        <w:rFonts w:ascii="Franklin Gothic Book" w:eastAsiaTheme="minorHAnsi" w:hAnsi="Franklin Gothic Book" w:cstheme="minorBid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F5A41A0"/>
    <w:multiLevelType w:val="hybridMultilevel"/>
    <w:tmpl w:val="AD62FC9A"/>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1" w15:restartNumberingAfterBreak="0">
    <w:nsid w:val="300B5CDE"/>
    <w:multiLevelType w:val="hybridMultilevel"/>
    <w:tmpl w:val="DA325ADA"/>
    <w:lvl w:ilvl="0" w:tplc="0C090001">
      <w:start w:val="1"/>
      <w:numFmt w:val="bullet"/>
      <w:lvlText w:val=""/>
      <w:lvlJc w:val="left"/>
      <w:pPr>
        <w:ind w:left="360" w:hanging="360"/>
      </w:pPr>
      <w:rPr>
        <w:rFonts w:ascii="Symbol" w:hAnsi="Symbol" w:hint="default"/>
      </w:rPr>
    </w:lvl>
    <w:lvl w:ilvl="1" w:tplc="6AF49496">
      <w:start w:val="1"/>
      <w:numFmt w:val="bullet"/>
      <w:lvlText w:val=""/>
      <w:lvlJc w:val="left"/>
      <w:pPr>
        <w:ind w:left="1080" w:hanging="360"/>
      </w:pPr>
      <w:rPr>
        <w:rFonts w:ascii="Symbol" w:hAnsi="Symbol"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312D5244"/>
    <w:multiLevelType w:val="hybridMultilevel"/>
    <w:tmpl w:val="00E250B2"/>
    <w:lvl w:ilvl="0" w:tplc="32AE89D0">
      <w:start w:val="1"/>
      <w:numFmt w:val="bullet"/>
      <w:pStyle w:val="Das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24371DC"/>
    <w:multiLevelType w:val="multilevel"/>
    <w:tmpl w:val="4A02812C"/>
    <w:lvl w:ilvl="0">
      <w:start w:val="1"/>
      <w:numFmt w:val="decimal"/>
      <w:pStyle w:val="Heading1"/>
      <w:lvlText w:val="Section %1"/>
      <w:lvlJc w:val="left"/>
      <w:pPr>
        <w:ind w:left="786" w:hanging="360"/>
      </w:pPr>
      <w:rPr>
        <w:rFonts w:hint="default"/>
      </w:rPr>
    </w:lvl>
    <w:lvl w:ilvl="1">
      <w:start w:val="1"/>
      <w:numFmt w:val="decimal"/>
      <w:pStyle w:val="Heading2"/>
      <w:lvlText w:val="%1.%2"/>
      <w:lvlJc w:val="left"/>
      <w:pPr>
        <w:ind w:left="72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4460CC0"/>
    <w:multiLevelType w:val="hybridMultilevel"/>
    <w:tmpl w:val="B98252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5BF2724"/>
    <w:multiLevelType w:val="hybridMultilevel"/>
    <w:tmpl w:val="B0482B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7A61526"/>
    <w:multiLevelType w:val="hybridMultilevel"/>
    <w:tmpl w:val="2228C602"/>
    <w:lvl w:ilvl="0" w:tplc="625E047C">
      <w:start w:val="1"/>
      <w:numFmt w:val="lowerRoman"/>
      <w:lvlText w:val="%1."/>
      <w:lvlJc w:val="left"/>
      <w:pPr>
        <w:ind w:left="1080" w:hanging="360"/>
      </w:pPr>
      <w:rPr>
        <w:rFonts w:asciiTheme="minorHAnsi" w:eastAsiaTheme="minorHAnsi" w:hAnsiTheme="minorHAnsi" w:cstheme="minorBidi" w:hint="default"/>
        <w:b w:val="0"/>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9FA6C2B"/>
    <w:multiLevelType w:val="hybridMultilevel"/>
    <w:tmpl w:val="F6944A96"/>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8" w15:restartNumberingAfterBreak="0">
    <w:nsid w:val="427A0EEA"/>
    <w:multiLevelType w:val="hybridMultilevel"/>
    <w:tmpl w:val="C6924D9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45F473A9"/>
    <w:multiLevelType w:val="hybridMultilevel"/>
    <w:tmpl w:val="BB80D428"/>
    <w:lvl w:ilvl="0" w:tplc="6A500F28">
      <w:start w:val="1"/>
      <w:numFmt w:val="decimal"/>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47095746"/>
    <w:multiLevelType w:val="hybridMultilevel"/>
    <w:tmpl w:val="28BC0FCE"/>
    <w:lvl w:ilvl="0" w:tplc="A26EFB64">
      <w:start w:val="1"/>
      <w:numFmt w:val="bullet"/>
      <w:pStyle w:val="Instructionaltext-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31" w15:restartNumberingAfterBreak="0">
    <w:nsid w:val="4C4C5059"/>
    <w:multiLevelType w:val="hybridMultilevel"/>
    <w:tmpl w:val="4B767C0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50D137A1"/>
    <w:multiLevelType w:val="hybridMultilevel"/>
    <w:tmpl w:val="CA0CE702"/>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FBE87AB6">
      <w:numFmt w:val="bullet"/>
      <w:lvlText w:val="•"/>
      <w:lvlJc w:val="left"/>
      <w:pPr>
        <w:ind w:left="2160" w:hanging="720"/>
      </w:pPr>
      <w:rPr>
        <w:rFonts w:ascii="Franklin Gothic Book" w:eastAsiaTheme="minorHAnsi" w:hAnsi="Franklin Gothic Book" w:cstheme="minorBidi"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53C32887"/>
    <w:multiLevelType w:val="hybridMultilevel"/>
    <w:tmpl w:val="079C63F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4" w15:restartNumberingAfterBreak="0">
    <w:nsid w:val="53E94F50"/>
    <w:multiLevelType w:val="hybridMultilevel"/>
    <w:tmpl w:val="E0EEA3D4"/>
    <w:lvl w:ilvl="0" w:tplc="F2509350">
      <w:start w:val="1"/>
      <w:numFmt w:val="lowerRoman"/>
      <w:lvlText w:val="%1."/>
      <w:lvlJc w:val="left"/>
      <w:pPr>
        <w:ind w:left="1080" w:hanging="360"/>
      </w:pPr>
      <w:rPr>
        <w:rFonts w:asciiTheme="minorHAnsi" w:eastAsiaTheme="minorHAnsi" w:hAnsiTheme="minorHAnsi" w:cstheme="minorBidi" w:hint="default"/>
        <w:b w:val="0"/>
      </w:rPr>
    </w:lvl>
    <w:lvl w:ilvl="1" w:tplc="0C090019" w:tentative="1">
      <w:start w:val="1"/>
      <w:numFmt w:val="lowerLetter"/>
      <w:lvlText w:val="%2."/>
      <w:lvlJc w:val="left"/>
      <w:pPr>
        <w:ind w:left="1800" w:hanging="360"/>
      </w:pPr>
    </w:lvl>
    <w:lvl w:ilvl="2" w:tplc="0C09001B">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5" w15:restartNumberingAfterBreak="0">
    <w:nsid w:val="54E35242"/>
    <w:multiLevelType w:val="hybridMultilevel"/>
    <w:tmpl w:val="7E04D6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1">
      <w:start w:val="1"/>
      <w:numFmt w:val="bullet"/>
      <w:lvlText w:val=""/>
      <w:lvlJc w:val="left"/>
      <w:pPr>
        <w:ind w:left="2160" w:hanging="360"/>
      </w:pPr>
      <w:rPr>
        <w:rFonts w:ascii="Symbol" w:hAnsi="Symbo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96E2623"/>
    <w:multiLevelType w:val="hybridMultilevel"/>
    <w:tmpl w:val="91CE136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5E7E5D97"/>
    <w:multiLevelType w:val="hybridMultilevel"/>
    <w:tmpl w:val="505C528E"/>
    <w:lvl w:ilvl="0" w:tplc="A6662B34">
      <w:start w:val="1"/>
      <w:numFmt w:val="lowerRoman"/>
      <w:lvlText w:val="%1."/>
      <w:lvlJc w:val="left"/>
      <w:pPr>
        <w:ind w:left="1080" w:hanging="360"/>
      </w:pPr>
      <w:rPr>
        <w:rFonts w:asciiTheme="minorHAnsi" w:eastAsiaTheme="minorHAnsi" w:hAnsiTheme="minorHAnsi" w:cstheme="minorBidi" w:hint="default"/>
        <w:b w:val="0"/>
      </w:rPr>
    </w:lvl>
    <w:lvl w:ilvl="1" w:tplc="0C090019" w:tentative="1">
      <w:start w:val="1"/>
      <w:numFmt w:val="lowerLetter"/>
      <w:lvlText w:val="%2."/>
      <w:lvlJc w:val="left"/>
      <w:pPr>
        <w:ind w:left="1800" w:hanging="360"/>
      </w:pPr>
    </w:lvl>
    <w:lvl w:ilvl="2" w:tplc="0C09001B">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8" w15:restartNumberingAfterBreak="0">
    <w:nsid w:val="60932A70"/>
    <w:multiLevelType w:val="hybridMultilevel"/>
    <w:tmpl w:val="5CD6F532"/>
    <w:lvl w:ilvl="0" w:tplc="0DBC5886">
      <w:start w:val="1"/>
      <w:numFmt w:val="lowerLetter"/>
      <w:lvlText w:val="(%1)"/>
      <w:lvlJc w:val="left"/>
      <w:pPr>
        <w:ind w:left="720" w:hanging="360"/>
      </w:pPr>
      <w:rPr>
        <w:rFonts w:ascii="Arial Narrow" w:eastAsia="Times New Roman" w:hAnsi="Arial Narrow" w:cs="Tahoma"/>
        <w:b w:val="0"/>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2577AF7"/>
    <w:multiLevelType w:val="hybridMultilevel"/>
    <w:tmpl w:val="18F02494"/>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2AD61B8"/>
    <w:multiLevelType w:val="hybridMultilevel"/>
    <w:tmpl w:val="4DE474C0"/>
    <w:lvl w:ilvl="0" w:tplc="47D669D6">
      <w:start w:val="2"/>
      <w:numFmt w:val="lowerLetter"/>
      <w:lvlText w:val="(%1)"/>
      <w:lvlJc w:val="left"/>
      <w:pPr>
        <w:ind w:left="720" w:hanging="360"/>
      </w:pPr>
      <w:rPr>
        <w:rFonts w:ascii="Arial Narrow" w:eastAsia="Times New Roman" w:hAnsi="Arial Narrow" w:cs="Tahoma" w:hint="default"/>
        <w:b w:val="0"/>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6D0E034D"/>
    <w:multiLevelType w:val="hybridMultilevel"/>
    <w:tmpl w:val="A4887E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D96727F"/>
    <w:multiLevelType w:val="hybridMultilevel"/>
    <w:tmpl w:val="5F2EC6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FBC5E34"/>
    <w:multiLevelType w:val="hybridMultilevel"/>
    <w:tmpl w:val="ACB2A028"/>
    <w:lvl w:ilvl="0" w:tplc="625E047C">
      <w:start w:val="1"/>
      <w:numFmt w:val="lowerRoman"/>
      <w:lvlText w:val="%1."/>
      <w:lvlJc w:val="left"/>
      <w:pPr>
        <w:ind w:left="1080" w:hanging="360"/>
      </w:pPr>
      <w:rPr>
        <w:rFonts w:asciiTheme="minorHAnsi" w:eastAsiaTheme="minorHAnsi" w:hAnsiTheme="minorHAnsi" w:cstheme="minorBidi" w:hint="default"/>
        <w:b w:val="0"/>
      </w:rPr>
    </w:lvl>
    <w:lvl w:ilvl="1" w:tplc="514C3EAC">
      <w:start w:val="1"/>
      <w:numFmt w:val="upperLetter"/>
      <w:lvlText w:val="%2."/>
      <w:lvlJc w:val="left"/>
      <w:pPr>
        <w:ind w:left="1440" w:hanging="360"/>
      </w:pPr>
      <w:rPr>
        <w:rFonts w:hint="default"/>
      </w:rPr>
    </w:lvl>
    <w:lvl w:ilvl="2" w:tplc="04090005">
      <w:start w:val="1"/>
      <w:numFmt w:val="bullet"/>
      <w:lvlText w:val=""/>
      <w:lvlJc w:val="left"/>
      <w:pPr>
        <w:ind w:left="2340" w:hanging="360"/>
      </w:pPr>
      <w:rPr>
        <w:rFonts w:ascii="Wingdings" w:hAnsi="Wingdings" w:hint="default"/>
      </w:rPr>
    </w:lvl>
    <w:lvl w:ilvl="3" w:tplc="A1BC42F0">
      <w:start w:val="1"/>
      <w:numFmt w:val="decimal"/>
      <w:lvlText w:val="%4)"/>
      <w:lvlJc w:val="left"/>
      <w:pPr>
        <w:ind w:left="2880" w:hanging="360"/>
      </w:pPr>
      <w:rPr>
        <w:rFonts w:hint="default"/>
        <w:i w:val="0"/>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FEC00D4"/>
    <w:multiLevelType w:val="hybridMultilevel"/>
    <w:tmpl w:val="E42E460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5" w15:restartNumberingAfterBreak="0">
    <w:nsid w:val="74774852"/>
    <w:multiLevelType w:val="hybridMultilevel"/>
    <w:tmpl w:val="5FD87D3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74C31D6E"/>
    <w:multiLevelType w:val="hybridMultilevel"/>
    <w:tmpl w:val="5CD6F532"/>
    <w:lvl w:ilvl="0" w:tplc="0DBC5886">
      <w:start w:val="1"/>
      <w:numFmt w:val="lowerLetter"/>
      <w:lvlText w:val="(%1)"/>
      <w:lvlJc w:val="left"/>
      <w:pPr>
        <w:ind w:left="720" w:hanging="360"/>
      </w:pPr>
      <w:rPr>
        <w:rFonts w:ascii="Arial Narrow" w:eastAsia="Times New Roman" w:hAnsi="Arial Narrow" w:cs="Tahoma"/>
        <w:b w:val="0"/>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763F14A9"/>
    <w:multiLevelType w:val="hybridMultilevel"/>
    <w:tmpl w:val="916EAD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84D033C"/>
    <w:multiLevelType w:val="multilevel"/>
    <w:tmpl w:val="45FC285E"/>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78E81FDC"/>
    <w:multiLevelType w:val="hybridMultilevel"/>
    <w:tmpl w:val="D5C698E8"/>
    <w:lvl w:ilvl="0" w:tplc="A79EC4F8">
      <w:start w:val="1"/>
      <w:numFmt w:val="bullet"/>
      <w:lvlText w:val="•"/>
      <w:lvlJc w:val="left"/>
      <w:pPr>
        <w:tabs>
          <w:tab w:val="num" w:pos="360"/>
        </w:tabs>
        <w:ind w:left="360" w:hanging="360"/>
      </w:p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AE857AA"/>
    <w:multiLevelType w:val="hybridMultilevel"/>
    <w:tmpl w:val="5CD6F532"/>
    <w:lvl w:ilvl="0" w:tplc="0DBC5886">
      <w:start w:val="1"/>
      <w:numFmt w:val="lowerLetter"/>
      <w:lvlText w:val="(%1)"/>
      <w:lvlJc w:val="left"/>
      <w:pPr>
        <w:ind w:left="720" w:hanging="360"/>
      </w:pPr>
      <w:rPr>
        <w:rFonts w:ascii="Arial Narrow" w:eastAsia="Times New Roman" w:hAnsi="Arial Narrow" w:cs="Tahoma"/>
        <w:b w:val="0"/>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7F181516"/>
    <w:multiLevelType w:val="hybridMultilevel"/>
    <w:tmpl w:val="FF9EE7EA"/>
    <w:lvl w:ilvl="0" w:tplc="99525AAE">
      <w:start w:val="1"/>
      <w:numFmt w:val="decimal"/>
      <w:pStyle w:val="Nnumberedlist"/>
      <w:lvlText w:val="%1."/>
      <w:lvlJc w:val="left"/>
      <w:pPr>
        <w:tabs>
          <w:tab w:val="num" w:pos="1440"/>
        </w:tabs>
        <w:ind w:left="1440" w:hanging="360"/>
      </w:pPr>
    </w:lvl>
    <w:lvl w:ilvl="1" w:tplc="389C2200" w:tentative="1">
      <w:start w:val="1"/>
      <w:numFmt w:val="lowerLetter"/>
      <w:lvlText w:val="%2."/>
      <w:lvlJc w:val="left"/>
      <w:pPr>
        <w:tabs>
          <w:tab w:val="num" w:pos="2160"/>
        </w:tabs>
        <w:ind w:left="2160" w:hanging="360"/>
      </w:pPr>
    </w:lvl>
    <w:lvl w:ilvl="2" w:tplc="C3F8B188" w:tentative="1">
      <w:start w:val="1"/>
      <w:numFmt w:val="lowerRoman"/>
      <w:lvlText w:val="%3."/>
      <w:lvlJc w:val="right"/>
      <w:pPr>
        <w:tabs>
          <w:tab w:val="num" w:pos="2880"/>
        </w:tabs>
        <w:ind w:left="2880" w:hanging="180"/>
      </w:pPr>
    </w:lvl>
    <w:lvl w:ilvl="3" w:tplc="391E97F0" w:tentative="1">
      <w:start w:val="1"/>
      <w:numFmt w:val="decimal"/>
      <w:lvlText w:val="%4."/>
      <w:lvlJc w:val="left"/>
      <w:pPr>
        <w:tabs>
          <w:tab w:val="num" w:pos="3600"/>
        </w:tabs>
        <w:ind w:left="3600" w:hanging="360"/>
      </w:pPr>
    </w:lvl>
    <w:lvl w:ilvl="4" w:tplc="4F42265E" w:tentative="1">
      <w:start w:val="1"/>
      <w:numFmt w:val="lowerLetter"/>
      <w:lvlText w:val="%5."/>
      <w:lvlJc w:val="left"/>
      <w:pPr>
        <w:tabs>
          <w:tab w:val="num" w:pos="4320"/>
        </w:tabs>
        <w:ind w:left="4320" w:hanging="360"/>
      </w:pPr>
    </w:lvl>
    <w:lvl w:ilvl="5" w:tplc="30546058" w:tentative="1">
      <w:start w:val="1"/>
      <w:numFmt w:val="lowerRoman"/>
      <w:lvlText w:val="%6."/>
      <w:lvlJc w:val="right"/>
      <w:pPr>
        <w:tabs>
          <w:tab w:val="num" w:pos="5040"/>
        </w:tabs>
        <w:ind w:left="5040" w:hanging="180"/>
      </w:pPr>
    </w:lvl>
    <w:lvl w:ilvl="6" w:tplc="6E10F0C6" w:tentative="1">
      <w:start w:val="1"/>
      <w:numFmt w:val="decimal"/>
      <w:lvlText w:val="%7."/>
      <w:lvlJc w:val="left"/>
      <w:pPr>
        <w:tabs>
          <w:tab w:val="num" w:pos="5760"/>
        </w:tabs>
        <w:ind w:left="5760" w:hanging="360"/>
      </w:pPr>
    </w:lvl>
    <w:lvl w:ilvl="7" w:tplc="70B07B9C" w:tentative="1">
      <w:start w:val="1"/>
      <w:numFmt w:val="lowerLetter"/>
      <w:lvlText w:val="%8."/>
      <w:lvlJc w:val="left"/>
      <w:pPr>
        <w:tabs>
          <w:tab w:val="num" w:pos="6480"/>
        </w:tabs>
        <w:ind w:left="6480" w:hanging="360"/>
      </w:pPr>
    </w:lvl>
    <w:lvl w:ilvl="8" w:tplc="9BF48AAC" w:tentative="1">
      <w:start w:val="1"/>
      <w:numFmt w:val="lowerRoman"/>
      <w:lvlText w:val="%9."/>
      <w:lvlJc w:val="right"/>
      <w:pPr>
        <w:tabs>
          <w:tab w:val="num" w:pos="7200"/>
        </w:tabs>
        <w:ind w:left="7200" w:hanging="180"/>
      </w:pPr>
    </w:lvl>
  </w:abstractNum>
  <w:num w:numId="1">
    <w:abstractNumId w:val="23"/>
  </w:num>
  <w:num w:numId="2">
    <w:abstractNumId w:val="51"/>
  </w:num>
  <w:num w:numId="3">
    <w:abstractNumId w:val="4"/>
  </w:num>
  <w:num w:numId="4">
    <w:abstractNumId w:val="14"/>
  </w:num>
  <w:num w:numId="5">
    <w:abstractNumId w:val="48"/>
  </w:num>
  <w:num w:numId="6">
    <w:abstractNumId w:val="16"/>
  </w:num>
  <w:num w:numId="7">
    <w:abstractNumId w:val="17"/>
  </w:num>
  <w:num w:numId="8">
    <w:abstractNumId w:val="22"/>
  </w:num>
  <w:num w:numId="9">
    <w:abstractNumId w:val="30"/>
  </w:num>
  <w:num w:numId="10">
    <w:abstractNumId w:val="21"/>
  </w:num>
  <w:num w:numId="11">
    <w:abstractNumId w:val="46"/>
  </w:num>
  <w:num w:numId="12">
    <w:abstractNumId w:val="34"/>
  </w:num>
  <w:num w:numId="13">
    <w:abstractNumId w:val="37"/>
  </w:num>
  <w:num w:numId="14">
    <w:abstractNumId w:val="38"/>
  </w:num>
  <w:num w:numId="15">
    <w:abstractNumId w:val="26"/>
  </w:num>
  <w:num w:numId="16">
    <w:abstractNumId w:val="43"/>
  </w:num>
  <w:num w:numId="17">
    <w:abstractNumId w:val="3"/>
  </w:num>
  <w:num w:numId="18">
    <w:abstractNumId w:val="11"/>
  </w:num>
  <w:num w:numId="19">
    <w:abstractNumId w:val="40"/>
  </w:num>
  <w:num w:numId="20">
    <w:abstractNumId w:val="50"/>
  </w:num>
  <w:num w:numId="21">
    <w:abstractNumId w:val="39"/>
  </w:num>
  <w:num w:numId="22">
    <w:abstractNumId w:val="5"/>
  </w:num>
  <w:num w:numId="23">
    <w:abstractNumId w:val="13"/>
  </w:num>
  <w:num w:numId="24">
    <w:abstractNumId w:val="44"/>
  </w:num>
  <w:num w:numId="25">
    <w:abstractNumId w:val="19"/>
  </w:num>
  <w:num w:numId="26">
    <w:abstractNumId w:val="42"/>
  </w:num>
  <w:num w:numId="27">
    <w:abstractNumId w:val="25"/>
  </w:num>
  <w:num w:numId="28">
    <w:abstractNumId w:val="2"/>
  </w:num>
  <w:num w:numId="29">
    <w:abstractNumId w:val="0"/>
  </w:num>
  <w:num w:numId="30">
    <w:abstractNumId w:val="49"/>
  </w:num>
  <w:num w:numId="31">
    <w:abstractNumId w:val="45"/>
  </w:num>
  <w:num w:numId="32">
    <w:abstractNumId w:val="18"/>
  </w:num>
  <w:num w:numId="33">
    <w:abstractNumId w:val="41"/>
  </w:num>
  <w:num w:numId="34">
    <w:abstractNumId w:val="1"/>
  </w:num>
  <w:num w:numId="35">
    <w:abstractNumId w:val="15"/>
  </w:num>
  <w:num w:numId="36">
    <w:abstractNumId w:val="7"/>
  </w:num>
  <w:num w:numId="37">
    <w:abstractNumId w:val="23"/>
  </w:num>
  <w:num w:numId="38">
    <w:abstractNumId w:val="29"/>
  </w:num>
  <w:num w:numId="39">
    <w:abstractNumId w:val="23"/>
  </w:num>
  <w:num w:numId="40">
    <w:abstractNumId w:val="23"/>
  </w:num>
  <w:num w:numId="41">
    <w:abstractNumId w:val="27"/>
  </w:num>
  <w:num w:numId="42">
    <w:abstractNumId w:val="8"/>
  </w:num>
  <w:num w:numId="43">
    <w:abstractNumId w:val="28"/>
  </w:num>
  <w:num w:numId="44">
    <w:abstractNumId w:val="47"/>
  </w:num>
  <w:num w:numId="45">
    <w:abstractNumId w:val="32"/>
  </w:num>
  <w:num w:numId="46">
    <w:abstractNumId w:val="31"/>
  </w:num>
  <w:num w:numId="47">
    <w:abstractNumId w:val="36"/>
  </w:num>
  <w:num w:numId="48">
    <w:abstractNumId w:val="12"/>
  </w:num>
  <w:num w:numId="49">
    <w:abstractNumId w:val="24"/>
  </w:num>
  <w:num w:numId="50">
    <w:abstractNumId w:val="9"/>
  </w:num>
  <w:num w:numId="51">
    <w:abstractNumId w:val="35"/>
  </w:num>
  <w:num w:numId="52">
    <w:abstractNumId w:val="33"/>
  </w:num>
  <w:num w:numId="53">
    <w:abstractNumId w:val="6"/>
  </w:num>
  <w:num w:numId="54">
    <w:abstractNumId w:val="10"/>
  </w:num>
  <w:num w:numId="55">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7F1"/>
    <w:rsid w:val="00000A71"/>
    <w:rsid w:val="00000CE0"/>
    <w:rsid w:val="0000109A"/>
    <w:rsid w:val="00001AE6"/>
    <w:rsid w:val="00001D55"/>
    <w:rsid w:val="00001E12"/>
    <w:rsid w:val="00002057"/>
    <w:rsid w:val="0000238C"/>
    <w:rsid w:val="00003E7A"/>
    <w:rsid w:val="00004ACA"/>
    <w:rsid w:val="00004D69"/>
    <w:rsid w:val="00004F7F"/>
    <w:rsid w:val="000054C9"/>
    <w:rsid w:val="00006177"/>
    <w:rsid w:val="00007392"/>
    <w:rsid w:val="000108F9"/>
    <w:rsid w:val="00011568"/>
    <w:rsid w:val="00012B3A"/>
    <w:rsid w:val="00012FA7"/>
    <w:rsid w:val="00014974"/>
    <w:rsid w:val="00020F18"/>
    <w:rsid w:val="00021275"/>
    <w:rsid w:val="0002234C"/>
    <w:rsid w:val="000228B8"/>
    <w:rsid w:val="00022CED"/>
    <w:rsid w:val="00023269"/>
    <w:rsid w:val="0002381B"/>
    <w:rsid w:val="00024EA5"/>
    <w:rsid w:val="0002755F"/>
    <w:rsid w:val="000300BB"/>
    <w:rsid w:val="0003264D"/>
    <w:rsid w:val="0003423A"/>
    <w:rsid w:val="00034704"/>
    <w:rsid w:val="0003477F"/>
    <w:rsid w:val="0003508D"/>
    <w:rsid w:val="00036AD8"/>
    <w:rsid w:val="00037037"/>
    <w:rsid w:val="00037302"/>
    <w:rsid w:val="0004005D"/>
    <w:rsid w:val="00040452"/>
    <w:rsid w:val="00040ADF"/>
    <w:rsid w:val="00040FB4"/>
    <w:rsid w:val="00041778"/>
    <w:rsid w:val="0004178C"/>
    <w:rsid w:val="00041F5D"/>
    <w:rsid w:val="00042074"/>
    <w:rsid w:val="000432C8"/>
    <w:rsid w:val="000443A6"/>
    <w:rsid w:val="0004456B"/>
    <w:rsid w:val="000449D1"/>
    <w:rsid w:val="00045B8D"/>
    <w:rsid w:val="00045CC5"/>
    <w:rsid w:val="00046B6A"/>
    <w:rsid w:val="000472D4"/>
    <w:rsid w:val="0004792B"/>
    <w:rsid w:val="00051237"/>
    <w:rsid w:val="00051E1A"/>
    <w:rsid w:val="00052DD3"/>
    <w:rsid w:val="0005326D"/>
    <w:rsid w:val="00053C4E"/>
    <w:rsid w:val="00053F6C"/>
    <w:rsid w:val="00056418"/>
    <w:rsid w:val="00057FB9"/>
    <w:rsid w:val="00061A96"/>
    <w:rsid w:val="0006339C"/>
    <w:rsid w:val="00063F9D"/>
    <w:rsid w:val="000645F3"/>
    <w:rsid w:val="00064783"/>
    <w:rsid w:val="000647C2"/>
    <w:rsid w:val="00064C97"/>
    <w:rsid w:val="00064D59"/>
    <w:rsid w:val="00066C34"/>
    <w:rsid w:val="00066E9B"/>
    <w:rsid w:val="0007021F"/>
    <w:rsid w:val="000709A0"/>
    <w:rsid w:val="00070A2A"/>
    <w:rsid w:val="00071317"/>
    <w:rsid w:val="0007320F"/>
    <w:rsid w:val="000737FC"/>
    <w:rsid w:val="00073AD3"/>
    <w:rsid w:val="00074199"/>
    <w:rsid w:val="000742CD"/>
    <w:rsid w:val="00075506"/>
    <w:rsid w:val="00077130"/>
    <w:rsid w:val="00080241"/>
    <w:rsid w:val="0008072C"/>
    <w:rsid w:val="00080B79"/>
    <w:rsid w:val="00081281"/>
    <w:rsid w:val="00081778"/>
    <w:rsid w:val="000840D3"/>
    <w:rsid w:val="00086361"/>
    <w:rsid w:val="00086B39"/>
    <w:rsid w:val="000870B6"/>
    <w:rsid w:val="0008789A"/>
    <w:rsid w:val="00090613"/>
    <w:rsid w:val="00090BD1"/>
    <w:rsid w:val="00091857"/>
    <w:rsid w:val="00091C59"/>
    <w:rsid w:val="00092A21"/>
    <w:rsid w:val="00093D9A"/>
    <w:rsid w:val="00093F4F"/>
    <w:rsid w:val="00094656"/>
    <w:rsid w:val="000948E6"/>
    <w:rsid w:val="0009504E"/>
    <w:rsid w:val="00095FBF"/>
    <w:rsid w:val="00096B52"/>
    <w:rsid w:val="000A10BF"/>
    <w:rsid w:val="000A22F6"/>
    <w:rsid w:val="000A2ACD"/>
    <w:rsid w:val="000A2B65"/>
    <w:rsid w:val="000A2DA8"/>
    <w:rsid w:val="000A2ED6"/>
    <w:rsid w:val="000A58F7"/>
    <w:rsid w:val="000A5C47"/>
    <w:rsid w:val="000A629E"/>
    <w:rsid w:val="000A6B30"/>
    <w:rsid w:val="000A7080"/>
    <w:rsid w:val="000A7999"/>
    <w:rsid w:val="000B1887"/>
    <w:rsid w:val="000B2412"/>
    <w:rsid w:val="000B2844"/>
    <w:rsid w:val="000B3330"/>
    <w:rsid w:val="000B6CF0"/>
    <w:rsid w:val="000B720C"/>
    <w:rsid w:val="000B7665"/>
    <w:rsid w:val="000C3057"/>
    <w:rsid w:val="000C5D61"/>
    <w:rsid w:val="000C63A4"/>
    <w:rsid w:val="000C7C46"/>
    <w:rsid w:val="000D0244"/>
    <w:rsid w:val="000D047A"/>
    <w:rsid w:val="000D1524"/>
    <w:rsid w:val="000D1B52"/>
    <w:rsid w:val="000D4C1B"/>
    <w:rsid w:val="000D50A7"/>
    <w:rsid w:val="000D5523"/>
    <w:rsid w:val="000D6F34"/>
    <w:rsid w:val="000D7826"/>
    <w:rsid w:val="000E03DC"/>
    <w:rsid w:val="000E0445"/>
    <w:rsid w:val="000E07BC"/>
    <w:rsid w:val="000E1124"/>
    <w:rsid w:val="000E2A10"/>
    <w:rsid w:val="000E3105"/>
    <w:rsid w:val="000E4FBE"/>
    <w:rsid w:val="000E5531"/>
    <w:rsid w:val="000E6410"/>
    <w:rsid w:val="000E678B"/>
    <w:rsid w:val="000E7DF0"/>
    <w:rsid w:val="000F082D"/>
    <w:rsid w:val="000F2E01"/>
    <w:rsid w:val="000F3D73"/>
    <w:rsid w:val="000F3E74"/>
    <w:rsid w:val="000F4640"/>
    <w:rsid w:val="000F5310"/>
    <w:rsid w:val="000F5A54"/>
    <w:rsid w:val="000F6C77"/>
    <w:rsid w:val="000F7122"/>
    <w:rsid w:val="000F735C"/>
    <w:rsid w:val="000F7987"/>
    <w:rsid w:val="001004F5"/>
    <w:rsid w:val="0010051C"/>
    <w:rsid w:val="001014A5"/>
    <w:rsid w:val="00103CAB"/>
    <w:rsid w:val="0010448B"/>
    <w:rsid w:val="0010521F"/>
    <w:rsid w:val="0010625A"/>
    <w:rsid w:val="00107524"/>
    <w:rsid w:val="00107597"/>
    <w:rsid w:val="00107DCD"/>
    <w:rsid w:val="00107EF0"/>
    <w:rsid w:val="00111417"/>
    <w:rsid w:val="0011176E"/>
    <w:rsid w:val="00113C60"/>
    <w:rsid w:val="00114C3B"/>
    <w:rsid w:val="00115691"/>
    <w:rsid w:val="00116801"/>
    <w:rsid w:val="00117039"/>
    <w:rsid w:val="00117F04"/>
    <w:rsid w:val="001203E0"/>
    <w:rsid w:val="001207C3"/>
    <w:rsid w:val="00120928"/>
    <w:rsid w:val="00120BD3"/>
    <w:rsid w:val="00122AE3"/>
    <w:rsid w:val="00122CA6"/>
    <w:rsid w:val="00122D7E"/>
    <w:rsid w:val="00122EE1"/>
    <w:rsid w:val="00123658"/>
    <w:rsid w:val="001237AF"/>
    <w:rsid w:val="001247EB"/>
    <w:rsid w:val="00124F3C"/>
    <w:rsid w:val="0012530D"/>
    <w:rsid w:val="00125B61"/>
    <w:rsid w:val="00126122"/>
    <w:rsid w:val="00127B3B"/>
    <w:rsid w:val="00131D45"/>
    <w:rsid w:val="001320F0"/>
    <w:rsid w:val="001336E0"/>
    <w:rsid w:val="00133A4C"/>
    <w:rsid w:val="00133F34"/>
    <w:rsid w:val="00135273"/>
    <w:rsid w:val="00135FC9"/>
    <w:rsid w:val="0013710F"/>
    <w:rsid w:val="00141BA4"/>
    <w:rsid w:val="00141F2B"/>
    <w:rsid w:val="00143478"/>
    <w:rsid w:val="0014353C"/>
    <w:rsid w:val="00143A91"/>
    <w:rsid w:val="00143F2F"/>
    <w:rsid w:val="00146624"/>
    <w:rsid w:val="00150376"/>
    <w:rsid w:val="00150CDF"/>
    <w:rsid w:val="00151DBD"/>
    <w:rsid w:val="001531D6"/>
    <w:rsid w:val="00154D36"/>
    <w:rsid w:val="00155434"/>
    <w:rsid w:val="00155BDA"/>
    <w:rsid w:val="0015642E"/>
    <w:rsid w:val="001568BE"/>
    <w:rsid w:val="00156C50"/>
    <w:rsid w:val="00156FA7"/>
    <w:rsid w:val="00157259"/>
    <w:rsid w:val="00157554"/>
    <w:rsid w:val="0016023A"/>
    <w:rsid w:val="00162327"/>
    <w:rsid w:val="00162DBF"/>
    <w:rsid w:val="001648EF"/>
    <w:rsid w:val="00164B86"/>
    <w:rsid w:val="00164CF8"/>
    <w:rsid w:val="001653AE"/>
    <w:rsid w:val="00165DB5"/>
    <w:rsid w:val="00170D5B"/>
    <w:rsid w:val="00172B8F"/>
    <w:rsid w:val="001736F8"/>
    <w:rsid w:val="00173D85"/>
    <w:rsid w:val="00174925"/>
    <w:rsid w:val="00174FD4"/>
    <w:rsid w:val="001763F0"/>
    <w:rsid w:val="00176C3C"/>
    <w:rsid w:val="001841FB"/>
    <w:rsid w:val="00184BAE"/>
    <w:rsid w:val="001855AF"/>
    <w:rsid w:val="00190287"/>
    <w:rsid w:val="001926CE"/>
    <w:rsid w:val="0019352E"/>
    <w:rsid w:val="0019362A"/>
    <w:rsid w:val="00193EFE"/>
    <w:rsid w:val="001945FD"/>
    <w:rsid w:val="0019474E"/>
    <w:rsid w:val="00195728"/>
    <w:rsid w:val="00196679"/>
    <w:rsid w:val="001970C0"/>
    <w:rsid w:val="00197DF3"/>
    <w:rsid w:val="001A1CB7"/>
    <w:rsid w:val="001A3597"/>
    <w:rsid w:val="001A420B"/>
    <w:rsid w:val="001A4B97"/>
    <w:rsid w:val="001A4F7D"/>
    <w:rsid w:val="001A7B42"/>
    <w:rsid w:val="001A7D8F"/>
    <w:rsid w:val="001B03AE"/>
    <w:rsid w:val="001B03E8"/>
    <w:rsid w:val="001B2A97"/>
    <w:rsid w:val="001B2CD4"/>
    <w:rsid w:val="001B2FD7"/>
    <w:rsid w:val="001B7329"/>
    <w:rsid w:val="001C0A56"/>
    <w:rsid w:val="001C174A"/>
    <w:rsid w:val="001C1D05"/>
    <w:rsid w:val="001C2A48"/>
    <w:rsid w:val="001C50D9"/>
    <w:rsid w:val="001C52AD"/>
    <w:rsid w:val="001C6987"/>
    <w:rsid w:val="001C69E3"/>
    <w:rsid w:val="001C6DFD"/>
    <w:rsid w:val="001C7C5A"/>
    <w:rsid w:val="001D0581"/>
    <w:rsid w:val="001D2B93"/>
    <w:rsid w:val="001D2D1F"/>
    <w:rsid w:val="001D32C0"/>
    <w:rsid w:val="001D3A64"/>
    <w:rsid w:val="001D4186"/>
    <w:rsid w:val="001D5793"/>
    <w:rsid w:val="001D74A7"/>
    <w:rsid w:val="001E0805"/>
    <w:rsid w:val="001E15F2"/>
    <w:rsid w:val="001E1FDE"/>
    <w:rsid w:val="001E22F7"/>
    <w:rsid w:val="001E2398"/>
    <w:rsid w:val="001E465F"/>
    <w:rsid w:val="001E739E"/>
    <w:rsid w:val="001E7B4E"/>
    <w:rsid w:val="001F2902"/>
    <w:rsid w:val="001F31BC"/>
    <w:rsid w:val="001F3248"/>
    <w:rsid w:val="001F3F36"/>
    <w:rsid w:val="001F658C"/>
    <w:rsid w:val="001F675C"/>
    <w:rsid w:val="001F6F44"/>
    <w:rsid w:val="001F7563"/>
    <w:rsid w:val="002006F3"/>
    <w:rsid w:val="002030B5"/>
    <w:rsid w:val="002032C6"/>
    <w:rsid w:val="00207F59"/>
    <w:rsid w:val="002114F8"/>
    <w:rsid w:val="00211DC3"/>
    <w:rsid w:val="00212CDB"/>
    <w:rsid w:val="00214C6C"/>
    <w:rsid w:val="002155B6"/>
    <w:rsid w:val="002157E4"/>
    <w:rsid w:val="00215AFB"/>
    <w:rsid w:val="00215DEA"/>
    <w:rsid w:val="002200D8"/>
    <w:rsid w:val="002201EF"/>
    <w:rsid w:val="00223664"/>
    <w:rsid w:val="00223A56"/>
    <w:rsid w:val="00224694"/>
    <w:rsid w:val="00225833"/>
    <w:rsid w:val="00226095"/>
    <w:rsid w:val="002263E7"/>
    <w:rsid w:val="00226F07"/>
    <w:rsid w:val="00227041"/>
    <w:rsid w:val="00227B89"/>
    <w:rsid w:val="00227F43"/>
    <w:rsid w:val="00233003"/>
    <w:rsid w:val="00233028"/>
    <w:rsid w:val="002337E6"/>
    <w:rsid w:val="00233BDC"/>
    <w:rsid w:val="00234640"/>
    <w:rsid w:val="00236BCD"/>
    <w:rsid w:val="00236D5A"/>
    <w:rsid w:val="0023703C"/>
    <w:rsid w:val="002379A4"/>
    <w:rsid w:val="00237F47"/>
    <w:rsid w:val="00240106"/>
    <w:rsid w:val="002411C7"/>
    <w:rsid w:val="00241DD0"/>
    <w:rsid w:val="00242F4E"/>
    <w:rsid w:val="002449FE"/>
    <w:rsid w:val="00244BA7"/>
    <w:rsid w:val="002452A0"/>
    <w:rsid w:val="002463A6"/>
    <w:rsid w:val="00246ADB"/>
    <w:rsid w:val="00247DD1"/>
    <w:rsid w:val="002517A5"/>
    <w:rsid w:val="00251A4C"/>
    <w:rsid w:val="00251C02"/>
    <w:rsid w:val="00251F6C"/>
    <w:rsid w:val="0025249C"/>
    <w:rsid w:val="002539ED"/>
    <w:rsid w:val="0025440D"/>
    <w:rsid w:val="0025450E"/>
    <w:rsid w:val="00254B41"/>
    <w:rsid w:val="00254F6B"/>
    <w:rsid w:val="00255152"/>
    <w:rsid w:val="0025554E"/>
    <w:rsid w:val="00255603"/>
    <w:rsid w:val="00260D9A"/>
    <w:rsid w:val="0026121A"/>
    <w:rsid w:val="002638F4"/>
    <w:rsid w:val="00263EC0"/>
    <w:rsid w:val="00265D2E"/>
    <w:rsid w:val="00266074"/>
    <w:rsid w:val="0026649C"/>
    <w:rsid w:val="00267D7D"/>
    <w:rsid w:val="0027160C"/>
    <w:rsid w:val="00271913"/>
    <w:rsid w:val="00271A5F"/>
    <w:rsid w:val="0027416A"/>
    <w:rsid w:val="002751D1"/>
    <w:rsid w:val="00275209"/>
    <w:rsid w:val="00275256"/>
    <w:rsid w:val="00280C2A"/>
    <w:rsid w:val="002813B0"/>
    <w:rsid w:val="00284340"/>
    <w:rsid w:val="00284EEE"/>
    <w:rsid w:val="0028506B"/>
    <w:rsid w:val="002855E6"/>
    <w:rsid w:val="00287327"/>
    <w:rsid w:val="0028755B"/>
    <w:rsid w:val="00287B99"/>
    <w:rsid w:val="00287E78"/>
    <w:rsid w:val="00290676"/>
    <w:rsid w:val="00290F5D"/>
    <w:rsid w:val="00291462"/>
    <w:rsid w:val="00291572"/>
    <w:rsid w:val="0029164C"/>
    <w:rsid w:val="00294841"/>
    <w:rsid w:val="00296654"/>
    <w:rsid w:val="002A04B4"/>
    <w:rsid w:val="002A0DED"/>
    <w:rsid w:val="002A145B"/>
    <w:rsid w:val="002A18BE"/>
    <w:rsid w:val="002A31BC"/>
    <w:rsid w:val="002A36F6"/>
    <w:rsid w:val="002A4084"/>
    <w:rsid w:val="002A40B0"/>
    <w:rsid w:val="002A4584"/>
    <w:rsid w:val="002A4AD6"/>
    <w:rsid w:val="002A5B11"/>
    <w:rsid w:val="002A6DEA"/>
    <w:rsid w:val="002A7196"/>
    <w:rsid w:val="002A76AE"/>
    <w:rsid w:val="002B0459"/>
    <w:rsid w:val="002B1384"/>
    <w:rsid w:val="002B13D8"/>
    <w:rsid w:val="002B3539"/>
    <w:rsid w:val="002B3681"/>
    <w:rsid w:val="002B667C"/>
    <w:rsid w:val="002B6DD9"/>
    <w:rsid w:val="002C0431"/>
    <w:rsid w:val="002C11CA"/>
    <w:rsid w:val="002C203F"/>
    <w:rsid w:val="002C45E8"/>
    <w:rsid w:val="002C4EE0"/>
    <w:rsid w:val="002C5026"/>
    <w:rsid w:val="002C70CE"/>
    <w:rsid w:val="002D0108"/>
    <w:rsid w:val="002D345B"/>
    <w:rsid w:val="002D5097"/>
    <w:rsid w:val="002D55E4"/>
    <w:rsid w:val="002D690D"/>
    <w:rsid w:val="002D6C8A"/>
    <w:rsid w:val="002E0C3A"/>
    <w:rsid w:val="002E15C2"/>
    <w:rsid w:val="002E48E7"/>
    <w:rsid w:val="002E4AF6"/>
    <w:rsid w:val="002E63BE"/>
    <w:rsid w:val="002E7775"/>
    <w:rsid w:val="002E7AD2"/>
    <w:rsid w:val="002F1399"/>
    <w:rsid w:val="002F32FB"/>
    <w:rsid w:val="002F439F"/>
    <w:rsid w:val="002F5611"/>
    <w:rsid w:val="002F5748"/>
    <w:rsid w:val="002F5F5E"/>
    <w:rsid w:val="002F5F85"/>
    <w:rsid w:val="002F6896"/>
    <w:rsid w:val="002F693F"/>
    <w:rsid w:val="002F7BCB"/>
    <w:rsid w:val="003008CC"/>
    <w:rsid w:val="00301763"/>
    <w:rsid w:val="00302252"/>
    <w:rsid w:val="00302988"/>
    <w:rsid w:val="00303C60"/>
    <w:rsid w:val="00304D0E"/>
    <w:rsid w:val="00304FB8"/>
    <w:rsid w:val="003057FF"/>
    <w:rsid w:val="00306162"/>
    <w:rsid w:val="00307299"/>
    <w:rsid w:val="0030757A"/>
    <w:rsid w:val="003104FD"/>
    <w:rsid w:val="00310B9B"/>
    <w:rsid w:val="00310C3F"/>
    <w:rsid w:val="00311DDF"/>
    <w:rsid w:val="00312462"/>
    <w:rsid w:val="003124DA"/>
    <w:rsid w:val="00312543"/>
    <w:rsid w:val="003140D2"/>
    <w:rsid w:val="00315178"/>
    <w:rsid w:val="00315E74"/>
    <w:rsid w:val="00316189"/>
    <w:rsid w:val="00317714"/>
    <w:rsid w:val="00320A17"/>
    <w:rsid w:val="00320CEE"/>
    <w:rsid w:val="00322DA9"/>
    <w:rsid w:val="00323AF6"/>
    <w:rsid w:val="003240FD"/>
    <w:rsid w:val="003251C2"/>
    <w:rsid w:val="00325FA0"/>
    <w:rsid w:val="003262EC"/>
    <w:rsid w:val="00326BDD"/>
    <w:rsid w:val="00326F1C"/>
    <w:rsid w:val="00326F5B"/>
    <w:rsid w:val="0032702F"/>
    <w:rsid w:val="00327162"/>
    <w:rsid w:val="00327F34"/>
    <w:rsid w:val="00330618"/>
    <w:rsid w:val="00330A0A"/>
    <w:rsid w:val="00331DFD"/>
    <w:rsid w:val="0033274F"/>
    <w:rsid w:val="003328A9"/>
    <w:rsid w:val="0033514C"/>
    <w:rsid w:val="00335D5F"/>
    <w:rsid w:val="0033632D"/>
    <w:rsid w:val="003371B5"/>
    <w:rsid w:val="00337BAF"/>
    <w:rsid w:val="00337FE5"/>
    <w:rsid w:val="00340341"/>
    <w:rsid w:val="003417CB"/>
    <w:rsid w:val="003419E3"/>
    <w:rsid w:val="0034330E"/>
    <w:rsid w:val="003435A9"/>
    <w:rsid w:val="00344649"/>
    <w:rsid w:val="00345496"/>
    <w:rsid w:val="00345BCF"/>
    <w:rsid w:val="003466F9"/>
    <w:rsid w:val="00347B4F"/>
    <w:rsid w:val="00350092"/>
    <w:rsid w:val="003519AD"/>
    <w:rsid w:val="00351E0E"/>
    <w:rsid w:val="00354EB4"/>
    <w:rsid w:val="003558BE"/>
    <w:rsid w:val="00356C14"/>
    <w:rsid w:val="00356D29"/>
    <w:rsid w:val="003571C2"/>
    <w:rsid w:val="003607FE"/>
    <w:rsid w:val="00360F91"/>
    <w:rsid w:val="003640A7"/>
    <w:rsid w:val="00365447"/>
    <w:rsid w:val="00365686"/>
    <w:rsid w:val="00365EF4"/>
    <w:rsid w:val="0036794E"/>
    <w:rsid w:val="00371664"/>
    <w:rsid w:val="00374043"/>
    <w:rsid w:val="00374E6D"/>
    <w:rsid w:val="00375212"/>
    <w:rsid w:val="003753F3"/>
    <w:rsid w:val="00377FDA"/>
    <w:rsid w:val="0038146C"/>
    <w:rsid w:val="00382609"/>
    <w:rsid w:val="00386124"/>
    <w:rsid w:val="003864D5"/>
    <w:rsid w:val="003865CD"/>
    <w:rsid w:val="003869D2"/>
    <w:rsid w:val="0038777F"/>
    <w:rsid w:val="00390403"/>
    <w:rsid w:val="003904E1"/>
    <w:rsid w:val="00390526"/>
    <w:rsid w:val="00390567"/>
    <w:rsid w:val="003908A8"/>
    <w:rsid w:val="00390CD9"/>
    <w:rsid w:val="00390D50"/>
    <w:rsid w:val="00393C1A"/>
    <w:rsid w:val="00394D30"/>
    <w:rsid w:val="003966F6"/>
    <w:rsid w:val="0039677D"/>
    <w:rsid w:val="00396F5C"/>
    <w:rsid w:val="00397F27"/>
    <w:rsid w:val="003A0660"/>
    <w:rsid w:val="003A0D16"/>
    <w:rsid w:val="003A0D52"/>
    <w:rsid w:val="003A1286"/>
    <w:rsid w:val="003A1411"/>
    <w:rsid w:val="003A1978"/>
    <w:rsid w:val="003A25D1"/>
    <w:rsid w:val="003A2ED1"/>
    <w:rsid w:val="003A39AF"/>
    <w:rsid w:val="003A43F2"/>
    <w:rsid w:val="003A4C47"/>
    <w:rsid w:val="003A4E0A"/>
    <w:rsid w:val="003A5777"/>
    <w:rsid w:val="003A6324"/>
    <w:rsid w:val="003A6724"/>
    <w:rsid w:val="003A6E1A"/>
    <w:rsid w:val="003A7A95"/>
    <w:rsid w:val="003B083E"/>
    <w:rsid w:val="003B0BA1"/>
    <w:rsid w:val="003B3A6E"/>
    <w:rsid w:val="003B4599"/>
    <w:rsid w:val="003B5865"/>
    <w:rsid w:val="003B600B"/>
    <w:rsid w:val="003B61B7"/>
    <w:rsid w:val="003B64B6"/>
    <w:rsid w:val="003B7700"/>
    <w:rsid w:val="003C1AE2"/>
    <w:rsid w:val="003C2737"/>
    <w:rsid w:val="003C3E14"/>
    <w:rsid w:val="003C4F8F"/>
    <w:rsid w:val="003C5939"/>
    <w:rsid w:val="003C5C8C"/>
    <w:rsid w:val="003C5E35"/>
    <w:rsid w:val="003C67ED"/>
    <w:rsid w:val="003C6B59"/>
    <w:rsid w:val="003D0508"/>
    <w:rsid w:val="003D073A"/>
    <w:rsid w:val="003D0AE2"/>
    <w:rsid w:val="003D2055"/>
    <w:rsid w:val="003D299E"/>
    <w:rsid w:val="003D55E1"/>
    <w:rsid w:val="003D641A"/>
    <w:rsid w:val="003D71EB"/>
    <w:rsid w:val="003E22CB"/>
    <w:rsid w:val="003E2343"/>
    <w:rsid w:val="003E2F71"/>
    <w:rsid w:val="003E3FFC"/>
    <w:rsid w:val="003E406B"/>
    <w:rsid w:val="003E4432"/>
    <w:rsid w:val="003E4F96"/>
    <w:rsid w:val="003E5CCA"/>
    <w:rsid w:val="003E6C37"/>
    <w:rsid w:val="003E7773"/>
    <w:rsid w:val="003F01C2"/>
    <w:rsid w:val="003F115E"/>
    <w:rsid w:val="003F14C2"/>
    <w:rsid w:val="003F1B97"/>
    <w:rsid w:val="003F2014"/>
    <w:rsid w:val="003F2210"/>
    <w:rsid w:val="003F2F60"/>
    <w:rsid w:val="003F535C"/>
    <w:rsid w:val="003F5C4A"/>
    <w:rsid w:val="003F7196"/>
    <w:rsid w:val="003F7610"/>
    <w:rsid w:val="003F7A03"/>
    <w:rsid w:val="004008AF"/>
    <w:rsid w:val="00400B5F"/>
    <w:rsid w:val="00400EC1"/>
    <w:rsid w:val="00401DBF"/>
    <w:rsid w:val="004033D9"/>
    <w:rsid w:val="00403923"/>
    <w:rsid w:val="00404A94"/>
    <w:rsid w:val="0040551F"/>
    <w:rsid w:val="004070DA"/>
    <w:rsid w:val="0040771F"/>
    <w:rsid w:val="0041066E"/>
    <w:rsid w:val="004111F7"/>
    <w:rsid w:val="004113F0"/>
    <w:rsid w:val="0041217D"/>
    <w:rsid w:val="004125C6"/>
    <w:rsid w:val="0041275F"/>
    <w:rsid w:val="004175D7"/>
    <w:rsid w:val="00417A4F"/>
    <w:rsid w:val="00421A89"/>
    <w:rsid w:val="00421EBC"/>
    <w:rsid w:val="0042304B"/>
    <w:rsid w:val="00423C82"/>
    <w:rsid w:val="00424084"/>
    <w:rsid w:val="00425370"/>
    <w:rsid w:val="00425AD1"/>
    <w:rsid w:val="00425C05"/>
    <w:rsid w:val="00425E5E"/>
    <w:rsid w:val="0042619E"/>
    <w:rsid w:val="00426738"/>
    <w:rsid w:val="0042717B"/>
    <w:rsid w:val="004273AD"/>
    <w:rsid w:val="00427DA2"/>
    <w:rsid w:val="00430134"/>
    <w:rsid w:val="004305AE"/>
    <w:rsid w:val="00431800"/>
    <w:rsid w:val="00433541"/>
    <w:rsid w:val="00433C20"/>
    <w:rsid w:val="0043450D"/>
    <w:rsid w:val="00436514"/>
    <w:rsid w:val="0043787B"/>
    <w:rsid w:val="00441131"/>
    <w:rsid w:val="004416AF"/>
    <w:rsid w:val="004417A8"/>
    <w:rsid w:val="004423F7"/>
    <w:rsid w:val="00442477"/>
    <w:rsid w:val="00442A49"/>
    <w:rsid w:val="00442D98"/>
    <w:rsid w:val="00445C2A"/>
    <w:rsid w:val="0044690B"/>
    <w:rsid w:val="00446BBE"/>
    <w:rsid w:val="00447409"/>
    <w:rsid w:val="0044782C"/>
    <w:rsid w:val="0045093D"/>
    <w:rsid w:val="00450B79"/>
    <w:rsid w:val="00450DA0"/>
    <w:rsid w:val="0045124D"/>
    <w:rsid w:val="00451645"/>
    <w:rsid w:val="00453332"/>
    <w:rsid w:val="00454F8E"/>
    <w:rsid w:val="0045773C"/>
    <w:rsid w:val="00460B75"/>
    <w:rsid w:val="00461C81"/>
    <w:rsid w:val="00462778"/>
    <w:rsid w:val="004644CE"/>
    <w:rsid w:val="00464F6C"/>
    <w:rsid w:val="004651DE"/>
    <w:rsid w:val="00465F60"/>
    <w:rsid w:val="00467E0B"/>
    <w:rsid w:val="00470C3F"/>
    <w:rsid w:val="00471185"/>
    <w:rsid w:val="004711D1"/>
    <w:rsid w:val="00471D0D"/>
    <w:rsid w:val="004725E6"/>
    <w:rsid w:val="00474E01"/>
    <w:rsid w:val="00475464"/>
    <w:rsid w:val="004770C3"/>
    <w:rsid w:val="0047793A"/>
    <w:rsid w:val="004807CE"/>
    <w:rsid w:val="00481F69"/>
    <w:rsid w:val="00482804"/>
    <w:rsid w:val="00482B47"/>
    <w:rsid w:val="0048323E"/>
    <w:rsid w:val="00483BAE"/>
    <w:rsid w:val="00483BFD"/>
    <w:rsid w:val="00483DBE"/>
    <w:rsid w:val="00483FD1"/>
    <w:rsid w:val="004844DF"/>
    <w:rsid w:val="00484DC5"/>
    <w:rsid w:val="0048542B"/>
    <w:rsid w:val="00485675"/>
    <w:rsid w:val="00486DB8"/>
    <w:rsid w:val="00487C85"/>
    <w:rsid w:val="00490018"/>
    <w:rsid w:val="00490DC4"/>
    <w:rsid w:val="00492503"/>
    <w:rsid w:val="00494F64"/>
    <w:rsid w:val="00495C36"/>
    <w:rsid w:val="00496A2B"/>
    <w:rsid w:val="0049785E"/>
    <w:rsid w:val="00497B8E"/>
    <w:rsid w:val="00497B9F"/>
    <w:rsid w:val="004A042B"/>
    <w:rsid w:val="004A2084"/>
    <w:rsid w:val="004A4430"/>
    <w:rsid w:val="004A48F3"/>
    <w:rsid w:val="004A4FDF"/>
    <w:rsid w:val="004A5489"/>
    <w:rsid w:val="004A559A"/>
    <w:rsid w:val="004A5E73"/>
    <w:rsid w:val="004A68A5"/>
    <w:rsid w:val="004A7A52"/>
    <w:rsid w:val="004B0F10"/>
    <w:rsid w:val="004B19FE"/>
    <w:rsid w:val="004B2A4D"/>
    <w:rsid w:val="004B2F45"/>
    <w:rsid w:val="004B30E1"/>
    <w:rsid w:val="004B33C2"/>
    <w:rsid w:val="004B4214"/>
    <w:rsid w:val="004B5513"/>
    <w:rsid w:val="004B5A9D"/>
    <w:rsid w:val="004B689D"/>
    <w:rsid w:val="004C0421"/>
    <w:rsid w:val="004C0E97"/>
    <w:rsid w:val="004C3D5B"/>
    <w:rsid w:val="004C3F46"/>
    <w:rsid w:val="004C4875"/>
    <w:rsid w:val="004C48C8"/>
    <w:rsid w:val="004C4B0C"/>
    <w:rsid w:val="004C598D"/>
    <w:rsid w:val="004C799A"/>
    <w:rsid w:val="004D2377"/>
    <w:rsid w:val="004D2849"/>
    <w:rsid w:val="004D3897"/>
    <w:rsid w:val="004D4425"/>
    <w:rsid w:val="004D55A9"/>
    <w:rsid w:val="004D6A2B"/>
    <w:rsid w:val="004D6B57"/>
    <w:rsid w:val="004D7EB8"/>
    <w:rsid w:val="004E017E"/>
    <w:rsid w:val="004E2BD6"/>
    <w:rsid w:val="004E31BF"/>
    <w:rsid w:val="004E36F8"/>
    <w:rsid w:val="004F06D7"/>
    <w:rsid w:val="004F1FD7"/>
    <w:rsid w:val="004F6AD3"/>
    <w:rsid w:val="004F6DC9"/>
    <w:rsid w:val="004F7111"/>
    <w:rsid w:val="004F7116"/>
    <w:rsid w:val="00501386"/>
    <w:rsid w:val="00501588"/>
    <w:rsid w:val="00501BD9"/>
    <w:rsid w:val="00501C25"/>
    <w:rsid w:val="005027A6"/>
    <w:rsid w:val="00502B98"/>
    <w:rsid w:val="00502C4F"/>
    <w:rsid w:val="00502DAE"/>
    <w:rsid w:val="00502FFB"/>
    <w:rsid w:val="005038A0"/>
    <w:rsid w:val="00504A82"/>
    <w:rsid w:val="00505678"/>
    <w:rsid w:val="00505E19"/>
    <w:rsid w:val="00505F8B"/>
    <w:rsid w:val="005103C5"/>
    <w:rsid w:val="0051081E"/>
    <w:rsid w:val="005131D3"/>
    <w:rsid w:val="0051352C"/>
    <w:rsid w:val="00514FC2"/>
    <w:rsid w:val="00515BFA"/>
    <w:rsid w:val="00517A86"/>
    <w:rsid w:val="00517B67"/>
    <w:rsid w:val="00517C7B"/>
    <w:rsid w:val="0052349D"/>
    <w:rsid w:val="005248E0"/>
    <w:rsid w:val="00524AB5"/>
    <w:rsid w:val="00524BE8"/>
    <w:rsid w:val="0052575D"/>
    <w:rsid w:val="0052590D"/>
    <w:rsid w:val="00526616"/>
    <w:rsid w:val="00526C92"/>
    <w:rsid w:val="005275FC"/>
    <w:rsid w:val="0052768C"/>
    <w:rsid w:val="00527CEB"/>
    <w:rsid w:val="00530896"/>
    <w:rsid w:val="005310AF"/>
    <w:rsid w:val="005326CF"/>
    <w:rsid w:val="005342C3"/>
    <w:rsid w:val="00534C8F"/>
    <w:rsid w:val="005358B8"/>
    <w:rsid w:val="00535AE7"/>
    <w:rsid w:val="00535BAC"/>
    <w:rsid w:val="005362F5"/>
    <w:rsid w:val="00536520"/>
    <w:rsid w:val="0053725B"/>
    <w:rsid w:val="00540C57"/>
    <w:rsid w:val="00542959"/>
    <w:rsid w:val="0054487F"/>
    <w:rsid w:val="005455F5"/>
    <w:rsid w:val="00545DC0"/>
    <w:rsid w:val="005463FA"/>
    <w:rsid w:val="005526CA"/>
    <w:rsid w:val="00552FA5"/>
    <w:rsid w:val="005531BD"/>
    <w:rsid w:val="00553C55"/>
    <w:rsid w:val="005567B2"/>
    <w:rsid w:val="00557870"/>
    <w:rsid w:val="00560277"/>
    <w:rsid w:val="00560938"/>
    <w:rsid w:val="00560AF1"/>
    <w:rsid w:val="0056117C"/>
    <w:rsid w:val="00561562"/>
    <w:rsid w:val="00561C12"/>
    <w:rsid w:val="00562007"/>
    <w:rsid w:val="00562999"/>
    <w:rsid w:val="0056341E"/>
    <w:rsid w:val="00563A7A"/>
    <w:rsid w:val="00563B8F"/>
    <w:rsid w:val="00563DE6"/>
    <w:rsid w:val="00565094"/>
    <w:rsid w:val="0056528D"/>
    <w:rsid w:val="0056622C"/>
    <w:rsid w:val="0056628B"/>
    <w:rsid w:val="00566298"/>
    <w:rsid w:val="0057091E"/>
    <w:rsid w:val="005714F2"/>
    <w:rsid w:val="0057188E"/>
    <w:rsid w:val="005723D6"/>
    <w:rsid w:val="00574A6E"/>
    <w:rsid w:val="00576C8C"/>
    <w:rsid w:val="00577145"/>
    <w:rsid w:val="005773BE"/>
    <w:rsid w:val="00577917"/>
    <w:rsid w:val="00577EE6"/>
    <w:rsid w:val="005812A2"/>
    <w:rsid w:val="00582365"/>
    <w:rsid w:val="00585C1B"/>
    <w:rsid w:val="00587639"/>
    <w:rsid w:val="005878A8"/>
    <w:rsid w:val="00590F19"/>
    <w:rsid w:val="00591835"/>
    <w:rsid w:val="0059234F"/>
    <w:rsid w:val="00592638"/>
    <w:rsid w:val="005930E5"/>
    <w:rsid w:val="00593138"/>
    <w:rsid w:val="00593A33"/>
    <w:rsid w:val="005947B5"/>
    <w:rsid w:val="005960BB"/>
    <w:rsid w:val="00597407"/>
    <w:rsid w:val="005A0496"/>
    <w:rsid w:val="005A0A95"/>
    <w:rsid w:val="005A1B55"/>
    <w:rsid w:val="005A1E6B"/>
    <w:rsid w:val="005A2910"/>
    <w:rsid w:val="005A4047"/>
    <w:rsid w:val="005A4384"/>
    <w:rsid w:val="005A618D"/>
    <w:rsid w:val="005A645F"/>
    <w:rsid w:val="005A6838"/>
    <w:rsid w:val="005A7012"/>
    <w:rsid w:val="005A7A5E"/>
    <w:rsid w:val="005B136F"/>
    <w:rsid w:val="005B1C07"/>
    <w:rsid w:val="005B1EBC"/>
    <w:rsid w:val="005B3432"/>
    <w:rsid w:val="005B3BD6"/>
    <w:rsid w:val="005B6EDF"/>
    <w:rsid w:val="005B7D6C"/>
    <w:rsid w:val="005C0AED"/>
    <w:rsid w:val="005C1285"/>
    <w:rsid w:val="005C1737"/>
    <w:rsid w:val="005C17C5"/>
    <w:rsid w:val="005C3FD5"/>
    <w:rsid w:val="005C4CBA"/>
    <w:rsid w:val="005C7215"/>
    <w:rsid w:val="005C73C4"/>
    <w:rsid w:val="005D00EA"/>
    <w:rsid w:val="005D023B"/>
    <w:rsid w:val="005D02C4"/>
    <w:rsid w:val="005D10AF"/>
    <w:rsid w:val="005D2304"/>
    <w:rsid w:val="005D2CDC"/>
    <w:rsid w:val="005D3A04"/>
    <w:rsid w:val="005D48FE"/>
    <w:rsid w:val="005D7471"/>
    <w:rsid w:val="005D749D"/>
    <w:rsid w:val="005E0FBB"/>
    <w:rsid w:val="005E2702"/>
    <w:rsid w:val="005E5618"/>
    <w:rsid w:val="005E5874"/>
    <w:rsid w:val="005E75D5"/>
    <w:rsid w:val="005F0BDD"/>
    <w:rsid w:val="005F0CD4"/>
    <w:rsid w:val="005F1555"/>
    <w:rsid w:val="005F2978"/>
    <w:rsid w:val="005F2E35"/>
    <w:rsid w:val="005F380B"/>
    <w:rsid w:val="005F4721"/>
    <w:rsid w:val="005F4897"/>
    <w:rsid w:val="005F4B71"/>
    <w:rsid w:val="005F5CBF"/>
    <w:rsid w:val="005F66FD"/>
    <w:rsid w:val="005F720A"/>
    <w:rsid w:val="0060291A"/>
    <w:rsid w:val="00602F43"/>
    <w:rsid w:val="00603B08"/>
    <w:rsid w:val="00604288"/>
    <w:rsid w:val="00605776"/>
    <w:rsid w:val="00607FB1"/>
    <w:rsid w:val="00610162"/>
    <w:rsid w:val="00610ABA"/>
    <w:rsid w:val="00610C2B"/>
    <w:rsid w:val="00610F59"/>
    <w:rsid w:val="00611FE3"/>
    <w:rsid w:val="00613037"/>
    <w:rsid w:val="006135AB"/>
    <w:rsid w:val="006138E4"/>
    <w:rsid w:val="00613CF1"/>
    <w:rsid w:val="006144F6"/>
    <w:rsid w:val="00616407"/>
    <w:rsid w:val="00620E5A"/>
    <w:rsid w:val="00621D4C"/>
    <w:rsid w:val="00623B09"/>
    <w:rsid w:val="00623BE9"/>
    <w:rsid w:val="00624A67"/>
    <w:rsid w:val="006250E9"/>
    <w:rsid w:val="00633343"/>
    <w:rsid w:val="00633B2F"/>
    <w:rsid w:val="00635C10"/>
    <w:rsid w:val="00640C31"/>
    <w:rsid w:val="00640F84"/>
    <w:rsid w:val="00642BA6"/>
    <w:rsid w:val="00643226"/>
    <w:rsid w:val="006446B8"/>
    <w:rsid w:val="006459EF"/>
    <w:rsid w:val="006465F3"/>
    <w:rsid w:val="00647704"/>
    <w:rsid w:val="006534BF"/>
    <w:rsid w:val="006537D7"/>
    <w:rsid w:val="0065444A"/>
    <w:rsid w:val="00654F68"/>
    <w:rsid w:val="00655CF9"/>
    <w:rsid w:val="00655D45"/>
    <w:rsid w:val="00656D1C"/>
    <w:rsid w:val="006570AA"/>
    <w:rsid w:val="0065714C"/>
    <w:rsid w:val="006603BB"/>
    <w:rsid w:val="00660A74"/>
    <w:rsid w:val="00660CC9"/>
    <w:rsid w:val="00662E5F"/>
    <w:rsid w:val="00664434"/>
    <w:rsid w:val="0066561F"/>
    <w:rsid w:val="00666A24"/>
    <w:rsid w:val="00666A58"/>
    <w:rsid w:val="00667140"/>
    <w:rsid w:val="00670650"/>
    <w:rsid w:val="006712C0"/>
    <w:rsid w:val="006713D1"/>
    <w:rsid w:val="006715F2"/>
    <w:rsid w:val="00672908"/>
    <w:rsid w:val="00672FA6"/>
    <w:rsid w:val="006744AC"/>
    <w:rsid w:val="00674C7D"/>
    <w:rsid w:val="006756A7"/>
    <w:rsid w:val="00675778"/>
    <w:rsid w:val="00675DD4"/>
    <w:rsid w:val="00676734"/>
    <w:rsid w:val="00677352"/>
    <w:rsid w:val="00680B40"/>
    <w:rsid w:val="00681EC9"/>
    <w:rsid w:val="006822FA"/>
    <w:rsid w:val="00682694"/>
    <w:rsid w:val="0068280F"/>
    <w:rsid w:val="0068288C"/>
    <w:rsid w:val="00683F36"/>
    <w:rsid w:val="0068553E"/>
    <w:rsid w:val="00685589"/>
    <w:rsid w:val="006857FF"/>
    <w:rsid w:val="0068682C"/>
    <w:rsid w:val="00686A14"/>
    <w:rsid w:val="00686C49"/>
    <w:rsid w:val="00687234"/>
    <w:rsid w:val="00687FF6"/>
    <w:rsid w:val="0069156C"/>
    <w:rsid w:val="00691E24"/>
    <w:rsid w:val="006925E9"/>
    <w:rsid w:val="006938AA"/>
    <w:rsid w:val="0069474B"/>
    <w:rsid w:val="0069475D"/>
    <w:rsid w:val="00695B3E"/>
    <w:rsid w:val="006961DE"/>
    <w:rsid w:val="00697966"/>
    <w:rsid w:val="00697F7A"/>
    <w:rsid w:val="006A2ADB"/>
    <w:rsid w:val="006A3168"/>
    <w:rsid w:val="006A3A2B"/>
    <w:rsid w:val="006A6BF1"/>
    <w:rsid w:val="006A70E6"/>
    <w:rsid w:val="006B05E0"/>
    <w:rsid w:val="006B3032"/>
    <w:rsid w:val="006B3111"/>
    <w:rsid w:val="006B4B4A"/>
    <w:rsid w:val="006B6D1F"/>
    <w:rsid w:val="006B75C6"/>
    <w:rsid w:val="006B78F9"/>
    <w:rsid w:val="006C09B6"/>
    <w:rsid w:val="006C1AC8"/>
    <w:rsid w:val="006C2C7A"/>
    <w:rsid w:val="006C354C"/>
    <w:rsid w:val="006C3B76"/>
    <w:rsid w:val="006C4572"/>
    <w:rsid w:val="006C4EA0"/>
    <w:rsid w:val="006C6225"/>
    <w:rsid w:val="006C6BAC"/>
    <w:rsid w:val="006C6D5C"/>
    <w:rsid w:val="006C74B4"/>
    <w:rsid w:val="006C7B03"/>
    <w:rsid w:val="006D0EC2"/>
    <w:rsid w:val="006D2836"/>
    <w:rsid w:val="006D4C72"/>
    <w:rsid w:val="006D4E4C"/>
    <w:rsid w:val="006D543F"/>
    <w:rsid w:val="006D5585"/>
    <w:rsid w:val="006D5F76"/>
    <w:rsid w:val="006D6D96"/>
    <w:rsid w:val="006D7211"/>
    <w:rsid w:val="006D7477"/>
    <w:rsid w:val="006D75C8"/>
    <w:rsid w:val="006D7B1E"/>
    <w:rsid w:val="006E02BE"/>
    <w:rsid w:val="006E49A3"/>
    <w:rsid w:val="006E59A5"/>
    <w:rsid w:val="006E6A19"/>
    <w:rsid w:val="006F0D46"/>
    <w:rsid w:val="006F23DD"/>
    <w:rsid w:val="006F414F"/>
    <w:rsid w:val="006F5158"/>
    <w:rsid w:val="00700950"/>
    <w:rsid w:val="00701136"/>
    <w:rsid w:val="00702294"/>
    <w:rsid w:val="00702645"/>
    <w:rsid w:val="00702DEB"/>
    <w:rsid w:val="0070319A"/>
    <w:rsid w:val="007035E3"/>
    <w:rsid w:val="0070385D"/>
    <w:rsid w:val="00703CB4"/>
    <w:rsid w:val="00704485"/>
    <w:rsid w:val="00705A85"/>
    <w:rsid w:val="00707C18"/>
    <w:rsid w:val="00710293"/>
    <w:rsid w:val="00710367"/>
    <w:rsid w:val="007103A9"/>
    <w:rsid w:val="007115D1"/>
    <w:rsid w:val="007119A4"/>
    <w:rsid w:val="00711BD1"/>
    <w:rsid w:val="00715975"/>
    <w:rsid w:val="00716AD2"/>
    <w:rsid w:val="007203CA"/>
    <w:rsid w:val="00722649"/>
    <w:rsid w:val="007226F5"/>
    <w:rsid w:val="0072299B"/>
    <w:rsid w:val="00723205"/>
    <w:rsid w:val="00723B2C"/>
    <w:rsid w:val="00724ED0"/>
    <w:rsid w:val="00724F92"/>
    <w:rsid w:val="00724FA4"/>
    <w:rsid w:val="007253D6"/>
    <w:rsid w:val="0072578A"/>
    <w:rsid w:val="0072597A"/>
    <w:rsid w:val="0072652E"/>
    <w:rsid w:val="007304CE"/>
    <w:rsid w:val="007314EF"/>
    <w:rsid w:val="00731D37"/>
    <w:rsid w:val="0073302C"/>
    <w:rsid w:val="0073338E"/>
    <w:rsid w:val="00734AB4"/>
    <w:rsid w:val="00737051"/>
    <w:rsid w:val="007376A2"/>
    <w:rsid w:val="0073792C"/>
    <w:rsid w:val="0074032A"/>
    <w:rsid w:val="00741026"/>
    <w:rsid w:val="0074257A"/>
    <w:rsid w:val="0074292E"/>
    <w:rsid w:val="007438A9"/>
    <w:rsid w:val="00744293"/>
    <w:rsid w:val="0074485B"/>
    <w:rsid w:val="00745B8C"/>
    <w:rsid w:val="0074639E"/>
    <w:rsid w:val="00746C20"/>
    <w:rsid w:val="00747434"/>
    <w:rsid w:val="0074788B"/>
    <w:rsid w:val="00750185"/>
    <w:rsid w:val="0075137C"/>
    <w:rsid w:val="00751B1F"/>
    <w:rsid w:val="0075418A"/>
    <w:rsid w:val="00756DCC"/>
    <w:rsid w:val="00756F1E"/>
    <w:rsid w:val="0076260D"/>
    <w:rsid w:val="00763B77"/>
    <w:rsid w:val="00765426"/>
    <w:rsid w:val="007661E1"/>
    <w:rsid w:val="0076702C"/>
    <w:rsid w:val="00767F6C"/>
    <w:rsid w:val="00767F8F"/>
    <w:rsid w:val="00770998"/>
    <w:rsid w:val="00771BBB"/>
    <w:rsid w:val="00772829"/>
    <w:rsid w:val="00772F72"/>
    <w:rsid w:val="007745D5"/>
    <w:rsid w:val="00775047"/>
    <w:rsid w:val="0077523B"/>
    <w:rsid w:val="00777848"/>
    <w:rsid w:val="00777893"/>
    <w:rsid w:val="007810CB"/>
    <w:rsid w:val="00781C7E"/>
    <w:rsid w:val="00783B0E"/>
    <w:rsid w:val="00784341"/>
    <w:rsid w:val="007852E9"/>
    <w:rsid w:val="00785D36"/>
    <w:rsid w:val="00785DD9"/>
    <w:rsid w:val="00786D5F"/>
    <w:rsid w:val="00790098"/>
    <w:rsid w:val="007902F2"/>
    <w:rsid w:val="00790B15"/>
    <w:rsid w:val="00790F49"/>
    <w:rsid w:val="00791FAA"/>
    <w:rsid w:val="0079290E"/>
    <w:rsid w:val="007931CB"/>
    <w:rsid w:val="007932EB"/>
    <w:rsid w:val="007951D4"/>
    <w:rsid w:val="00797934"/>
    <w:rsid w:val="00797C46"/>
    <w:rsid w:val="007A0CB9"/>
    <w:rsid w:val="007A0DDF"/>
    <w:rsid w:val="007A19F6"/>
    <w:rsid w:val="007A1C89"/>
    <w:rsid w:val="007A2B65"/>
    <w:rsid w:val="007A3787"/>
    <w:rsid w:val="007A502F"/>
    <w:rsid w:val="007A5617"/>
    <w:rsid w:val="007A5B95"/>
    <w:rsid w:val="007A7AE8"/>
    <w:rsid w:val="007B0206"/>
    <w:rsid w:val="007B0245"/>
    <w:rsid w:val="007B083F"/>
    <w:rsid w:val="007B0880"/>
    <w:rsid w:val="007B0D01"/>
    <w:rsid w:val="007B2085"/>
    <w:rsid w:val="007B2FDC"/>
    <w:rsid w:val="007B364E"/>
    <w:rsid w:val="007B38A0"/>
    <w:rsid w:val="007B38B7"/>
    <w:rsid w:val="007B47B2"/>
    <w:rsid w:val="007B4F7B"/>
    <w:rsid w:val="007B583D"/>
    <w:rsid w:val="007B643E"/>
    <w:rsid w:val="007B6684"/>
    <w:rsid w:val="007B6B21"/>
    <w:rsid w:val="007B7024"/>
    <w:rsid w:val="007C0390"/>
    <w:rsid w:val="007C14A2"/>
    <w:rsid w:val="007C300E"/>
    <w:rsid w:val="007C328D"/>
    <w:rsid w:val="007C336F"/>
    <w:rsid w:val="007C3439"/>
    <w:rsid w:val="007C3E8A"/>
    <w:rsid w:val="007C41B1"/>
    <w:rsid w:val="007C45B8"/>
    <w:rsid w:val="007C4DAF"/>
    <w:rsid w:val="007C620E"/>
    <w:rsid w:val="007C72A2"/>
    <w:rsid w:val="007C7618"/>
    <w:rsid w:val="007D071F"/>
    <w:rsid w:val="007D30B7"/>
    <w:rsid w:val="007D34B5"/>
    <w:rsid w:val="007D4968"/>
    <w:rsid w:val="007E039D"/>
    <w:rsid w:val="007E15AD"/>
    <w:rsid w:val="007E1FD5"/>
    <w:rsid w:val="007E25ED"/>
    <w:rsid w:val="007E2694"/>
    <w:rsid w:val="007E2BC0"/>
    <w:rsid w:val="007E470C"/>
    <w:rsid w:val="007E5B5C"/>
    <w:rsid w:val="007E5E24"/>
    <w:rsid w:val="007F1132"/>
    <w:rsid w:val="007F15A9"/>
    <w:rsid w:val="007F2B36"/>
    <w:rsid w:val="007F67E9"/>
    <w:rsid w:val="007F7C7B"/>
    <w:rsid w:val="00800755"/>
    <w:rsid w:val="008040A2"/>
    <w:rsid w:val="00804632"/>
    <w:rsid w:val="0080471A"/>
    <w:rsid w:val="00804CF7"/>
    <w:rsid w:val="008054D9"/>
    <w:rsid w:val="00805FE4"/>
    <w:rsid w:val="00806688"/>
    <w:rsid w:val="00807769"/>
    <w:rsid w:val="00807845"/>
    <w:rsid w:val="00807A3E"/>
    <w:rsid w:val="00810338"/>
    <w:rsid w:val="00810B95"/>
    <w:rsid w:val="00812282"/>
    <w:rsid w:val="008148E4"/>
    <w:rsid w:val="00814E46"/>
    <w:rsid w:val="008157F1"/>
    <w:rsid w:val="00816EB4"/>
    <w:rsid w:val="00816EC2"/>
    <w:rsid w:val="00820A54"/>
    <w:rsid w:val="008236E1"/>
    <w:rsid w:val="00824458"/>
    <w:rsid w:val="008249F7"/>
    <w:rsid w:val="00824A17"/>
    <w:rsid w:val="00824B74"/>
    <w:rsid w:val="008251BA"/>
    <w:rsid w:val="00826202"/>
    <w:rsid w:val="00827027"/>
    <w:rsid w:val="00834A31"/>
    <w:rsid w:val="00835EC9"/>
    <w:rsid w:val="008366E3"/>
    <w:rsid w:val="008407FF"/>
    <w:rsid w:val="00840D3A"/>
    <w:rsid w:val="00841061"/>
    <w:rsid w:val="00841388"/>
    <w:rsid w:val="00841EFB"/>
    <w:rsid w:val="00841F44"/>
    <w:rsid w:val="008427B5"/>
    <w:rsid w:val="00842C82"/>
    <w:rsid w:val="00843093"/>
    <w:rsid w:val="008436D7"/>
    <w:rsid w:val="00844040"/>
    <w:rsid w:val="008440FE"/>
    <w:rsid w:val="00844E85"/>
    <w:rsid w:val="00846119"/>
    <w:rsid w:val="008474E3"/>
    <w:rsid w:val="00847A11"/>
    <w:rsid w:val="008507BC"/>
    <w:rsid w:val="008512C2"/>
    <w:rsid w:val="008527ED"/>
    <w:rsid w:val="008537F7"/>
    <w:rsid w:val="008546BE"/>
    <w:rsid w:val="00855AD5"/>
    <w:rsid w:val="00855D46"/>
    <w:rsid w:val="00855E9A"/>
    <w:rsid w:val="00856074"/>
    <w:rsid w:val="00856776"/>
    <w:rsid w:val="00856CE8"/>
    <w:rsid w:val="00857949"/>
    <w:rsid w:val="00862C0B"/>
    <w:rsid w:val="008657AB"/>
    <w:rsid w:val="0086594E"/>
    <w:rsid w:val="0086668C"/>
    <w:rsid w:val="00866756"/>
    <w:rsid w:val="0087131E"/>
    <w:rsid w:val="008719C2"/>
    <w:rsid w:val="0087277A"/>
    <w:rsid w:val="00872A47"/>
    <w:rsid w:val="008736E2"/>
    <w:rsid w:val="00874565"/>
    <w:rsid w:val="00875DD8"/>
    <w:rsid w:val="00877247"/>
    <w:rsid w:val="00877962"/>
    <w:rsid w:val="00880118"/>
    <w:rsid w:val="008801AE"/>
    <w:rsid w:val="00880AA3"/>
    <w:rsid w:val="0088421C"/>
    <w:rsid w:val="0088445B"/>
    <w:rsid w:val="00884FDD"/>
    <w:rsid w:val="0089155A"/>
    <w:rsid w:val="00891A84"/>
    <w:rsid w:val="00891AF6"/>
    <w:rsid w:val="00891BC3"/>
    <w:rsid w:val="008926E4"/>
    <w:rsid w:val="008937C8"/>
    <w:rsid w:val="008944BF"/>
    <w:rsid w:val="008945E8"/>
    <w:rsid w:val="00894933"/>
    <w:rsid w:val="008967C4"/>
    <w:rsid w:val="00896E5A"/>
    <w:rsid w:val="0089723E"/>
    <w:rsid w:val="008973D6"/>
    <w:rsid w:val="008A0D2A"/>
    <w:rsid w:val="008A1693"/>
    <w:rsid w:val="008A254F"/>
    <w:rsid w:val="008A2630"/>
    <w:rsid w:val="008A2C06"/>
    <w:rsid w:val="008A44AB"/>
    <w:rsid w:val="008A48B2"/>
    <w:rsid w:val="008A54F6"/>
    <w:rsid w:val="008A5833"/>
    <w:rsid w:val="008A6DC9"/>
    <w:rsid w:val="008A77F4"/>
    <w:rsid w:val="008A788B"/>
    <w:rsid w:val="008B3A88"/>
    <w:rsid w:val="008B4BFC"/>
    <w:rsid w:val="008B51B4"/>
    <w:rsid w:val="008B5B67"/>
    <w:rsid w:val="008B5D7A"/>
    <w:rsid w:val="008B66E3"/>
    <w:rsid w:val="008B7848"/>
    <w:rsid w:val="008C19D1"/>
    <w:rsid w:val="008C1E05"/>
    <w:rsid w:val="008C335B"/>
    <w:rsid w:val="008C34BB"/>
    <w:rsid w:val="008C3892"/>
    <w:rsid w:val="008C3DFB"/>
    <w:rsid w:val="008C42D9"/>
    <w:rsid w:val="008C45E2"/>
    <w:rsid w:val="008C70D9"/>
    <w:rsid w:val="008D0AFE"/>
    <w:rsid w:val="008D1261"/>
    <w:rsid w:val="008D3726"/>
    <w:rsid w:val="008D4CB0"/>
    <w:rsid w:val="008D5CA6"/>
    <w:rsid w:val="008D6397"/>
    <w:rsid w:val="008D66D4"/>
    <w:rsid w:val="008D73C9"/>
    <w:rsid w:val="008E047E"/>
    <w:rsid w:val="008E16BF"/>
    <w:rsid w:val="008E3049"/>
    <w:rsid w:val="008E35A3"/>
    <w:rsid w:val="008E3B2E"/>
    <w:rsid w:val="008E49D9"/>
    <w:rsid w:val="008E6004"/>
    <w:rsid w:val="008E6063"/>
    <w:rsid w:val="008E7274"/>
    <w:rsid w:val="008F0562"/>
    <w:rsid w:val="008F1A05"/>
    <w:rsid w:val="008F260B"/>
    <w:rsid w:val="008F32E5"/>
    <w:rsid w:val="008F45DB"/>
    <w:rsid w:val="008F4EF0"/>
    <w:rsid w:val="008F756B"/>
    <w:rsid w:val="0090235E"/>
    <w:rsid w:val="00906821"/>
    <w:rsid w:val="00906830"/>
    <w:rsid w:val="00906E65"/>
    <w:rsid w:val="00911452"/>
    <w:rsid w:val="00913179"/>
    <w:rsid w:val="009144D5"/>
    <w:rsid w:val="00915D1C"/>
    <w:rsid w:val="00915F98"/>
    <w:rsid w:val="00915FA3"/>
    <w:rsid w:val="009217F8"/>
    <w:rsid w:val="00922A7E"/>
    <w:rsid w:val="00923A5E"/>
    <w:rsid w:val="0092470E"/>
    <w:rsid w:val="00925187"/>
    <w:rsid w:val="009258CA"/>
    <w:rsid w:val="009263EC"/>
    <w:rsid w:val="0092709C"/>
    <w:rsid w:val="0092717F"/>
    <w:rsid w:val="00927744"/>
    <w:rsid w:val="00927B05"/>
    <w:rsid w:val="00930F4E"/>
    <w:rsid w:val="00931B85"/>
    <w:rsid w:val="009332A5"/>
    <w:rsid w:val="009357AB"/>
    <w:rsid w:val="00935B0B"/>
    <w:rsid w:val="00936062"/>
    <w:rsid w:val="009362F7"/>
    <w:rsid w:val="00936AB7"/>
    <w:rsid w:val="0093793F"/>
    <w:rsid w:val="00937CBE"/>
    <w:rsid w:val="009411CB"/>
    <w:rsid w:val="009438B7"/>
    <w:rsid w:val="00943B20"/>
    <w:rsid w:val="00944087"/>
    <w:rsid w:val="00944E74"/>
    <w:rsid w:val="0094692D"/>
    <w:rsid w:val="00947D07"/>
    <w:rsid w:val="0095012E"/>
    <w:rsid w:val="00951934"/>
    <w:rsid w:val="00951B22"/>
    <w:rsid w:val="0095207B"/>
    <w:rsid w:val="00954C8C"/>
    <w:rsid w:val="00954E5B"/>
    <w:rsid w:val="00955FAF"/>
    <w:rsid w:val="00956ACE"/>
    <w:rsid w:val="009572A0"/>
    <w:rsid w:val="00957D24"/>
    <w:rsid w:val="00960DCF"/>
    <w:rsid w:val="00960E0B"/>
    <w:rsid w:val="00961B53"/>
    <w:rsid w:val="00963264"/>
    <w:rsid w:val="0096389D"/>
    <w:rsid w:val="00966947"/>
    <w:rsid w:val="009676C0"/>
    <w:rsid w:val="009678AC"/>
    <w:rsid w:val="00971E65"/>
    <w:rsid w:val="00974B14"/>
    <w:rsid w:val="00974C04"/>
    <w:rsid w:val="00977181"/>
    <w:rsid w:val="009803A9"/>
    <w:rsid w:val="009803CB"/>
    <w:rsid w:val="009803D4"/>
    <w:rsid w:val="0098065E"/>
    <w:rsid w:val="009807A2"/>
    <w:rsid w:val="00981747"/>
    <w:rsid w:val="0098199C"/>
    <w:rsid w:val="00981A86"/>
    <w:rsid w:val="00981D25"/>
    <w:rsid w:val="00984BAD"/>
    <w:rsid w:val="00984D52"/>
    <w:rsid w:val="009873F3"/>
    <w:rsid w:val="00987B8D"/>
    <w:rsid w:val="0099242E"/>
    <w:rsid w:val="00992E4E"/>
    <w:rsid w:val="00992FC1"/>
    <w:rsid w:val="00993929"/>
    <w:rsid w:val="00995E98"/>
    <w:rsid w:val="00996135"/>
    <w:rsid w:val="009966D0"/>
    <w:rsid w:val="00996F15"/>
    <w:rsid w:val="009974D8"/>
    <w:rsid w:val="00997BA8"/>
    <w:rsid w:val="009A06F4"/>
    <w:rsid w:val="009A34D2"/>
    <w:rsid w:val="009A3536"/>
    <w:rsid w:val="009A357A"/>
    <w:rsid w:val="009A3778"/>
    <w:rsid w:val="009A3886"/>
    <w:rsid w:val="009A3E2E"/>
    <w:rsid w:val="009A3EC0"/>
    <w:rsid w:val="009A76F4"/>
    <w:rsid w:val="009A7F34"/>
    <w:rsid w:val="009B001F"/>
    <w:rsid w:val="009B0422"/>
    <w:rsid w:val="009B1E13"/>
    <w:rsid w:val="009B2245"/>
    <w:rsid w:val="009B2398"/>
    <w:rsid w:val="009B258E"/>
    <w:rsid w:val="009B5997"/>
    <w:rsid w:val="009B6B23"/>
    <w:rsid w:val="009B789A"/>
    <w:rsid w:val="009B7ABD"/>
    <w:rsid w:val="009C1D27"/>
    <w:rsid w:val="009C3BD9"/>
    <w:rsid w:val="009C5B82"/>
    <w:rsid w:val="009C7228"/>
    <w:rsid w:val="009C756E"/>
    <w:rsid w:val="009C7F72"/>
    <w:rsid w:val="009D21BE"/>
    <w:rsid w:val="009D3C3D"/>
    <w:rsid w:val="009D3F7E"/>
    <w:rsid w:val="009D5288"/>
    <w:rsid w:val="009D5FD7"/>
    <w:rsid w:val="009D60EB"/>
    <w:rsid w:val="009D70D7"/>
    <w:rsid w:val="009E08FA"/>
    <w:rsid w:val="009E25A2"/>
    <w:rsid w:val="009E2AD3"/>
    <w:rsid w:val="009E47E5"/>
    <w:rsid w:val="009E4D9F"/>
    <w:rsid w:val="009E6095"/>
    <w:rsid w:val="009F070F"/>
    <w:rsid w:val="009F146F"/>
    <w:rsid w:val="009F38BB"/>
    <w:rsid w:val="009F3C75"/>
    <w:rsid w:val="009F4784"/>
    <w:rsid w:val="009F5279"/>
    <w:rsid w:val="009F7B7E"/>
    <w:rsid w:val="00A0037E"/>
    <w:rsid w:val="00A00EBE"/>
    <w:rsid w:val="00A01303"/>
    <w:rsid w:val="00A02C4F"/>
    <w:rsid w:val="00A030D0"/>
    <w:rsid w:val="00A037F8"/>
    <w:rsid w:val="00A04A09"/>
    <w:rsid w:val="00A05821"/>
    <w:rsid w:val="00A05D1D"/>
    <w:rsid w:val="00A05EA2"/>
    <w:rsid w:val="00A076CC"/>
    <w:rsid w:val="00A1097F"/>
    <w:rsid w:val="00A1165C"/>
    <w:rsid w:val="00A125D6"/>
    <w:rsid w:val="00A141EB"/>
    <w:rsid w:val="00A14D64"/>
    <w:rsid w:val="00A14E53"/>
    <w:rsid w:val="00A15580"/>
    <w:rsid w:val="00A155C1"/>
    <w:rsid w:val="00A1638E"/>
    <w:rsid w:val="00A16449"/>
    <w:rsid w:val="00A2120E"/>
    <w:rsid w:val="00A22EFC"/>
    <w:rsid w:val="00A26389"/>
    <w:rsid w:val="00A271DC"/>
    <w:rsid w:val="00A303B8"/>
    <w:rsid w:val="00A34735"/>
    <w:rsid w:val="00A350AC"/>
    <w:rsid w:val="00A359D9"/>
    <w:rsid w:val="00A361C3"/>
    <w:rsid w:val="00A37329"/>
    <w:rsid w:val="00A411FA"/>
    <w:rsid w:val="00A43A2A"/>
    <w:rsid w:val="00A44887"/>
    <w:rsid w:val="00A44EC1"/>
    <w:rsid w:val="00A452A6"/>
    <w:rsid w:val="00A454B3"/>
    <w:rsid w:val="00A45E52"/>
    <w:rsid w:val="00A45EE3"/>
    <w:rsid w:val="00A46652"/>
    <w:rsid w:val="00A46D15"/>
    <w:rsid w:val="00A4713D"/>
    <w:rsid w:val="00A50A06"/>
    <w:rsid w:val="00A5323B"/>
    <w:rsid w:val="00A538F6"/>
    <w:rsid w:val="00A54FB4"/>
    <w:rsid w:val="00A56DE0"/>
    <w:rsid w:val="00A60083"/>
    <w:rsid w:val="00A60FC6"/>
    <w:rsid w:val="00A62ADC"/>
    <w:rsid w:val="00A635BE"/>
    <w:rsid w:val="00A63C18"/>
    <w:rsid w:val="00A63F9C"/>
    <w:rsid w:val="00A6479E"/>
    <w:rsid w:val="00A64BB2"/>
    <w:rsid w:val="00A64EF0"/>
    <w:rsid w:val="00A662DC"/>
    <w:rsid w:val="00A6741B"/>
    <w:rsid w:val="00A67662"/>
    <w:rsid w:val="00A7255A"/>
    <w:rsid w:val="00A72F98"/>
    <w:rsid w:val="00A74226"/>
    <w:rsid w:val="00A757B0"/>
    <w:rsid w:val="00A776A4"/>
    <w:rsid w:val="00A80492"/>
    <w:rsid w:val="00A8049D"/>
    <w:rsid w:val="00A80780"/>
    <w:rsid w:val="00A822C2"/>
    <w:rsid w:val="00A82990"/>
    <w:rsid w:val="00A83B15"/>
    <w:rsid w:val="00A84DAC"/>
    <w:rsid w:val="00A84F5E"/>
    <w:rsid w:val="00A87092"/>
    <w:rsid w:val="00A87D4F"/>
    <w:rsid w:val="00A90401"/>
    <w:rsid w:val="00A921E3"/>
    <w:rsid w:val="00A930D7"/>
    <w:rsid w:val="00A94D20"/>
    <w:rsid w:val="00A94ED7"/>
    <w:rsid w:val="00A96505"/>
    <w:rsid w:val="00A96703"/>
    <w:rsid w:val="00A9752B"/>
    <w:rsid w:val="00AA0C12"/>
    <w:rsid w:val="00AA1748"/>
    <w:rsid w:val="00AA2461"/>
    <w:rsid w:val="00AA2865"/>
    <w:rsid w:val="00AA3A9B"/>
    <w:rsid w:val="00AA3BF1"/>
    <w:rsid w:val="00AA3D3E"/>
    <w:rsid w:val="00AA5410"/>
    <w:rsid w:val="00AA6B02"/>
    <w:rsid w:val="00AA797B"/>
    <w:rsid w:val="00AA7CB2"/>
    <w:rsid w:val="00AB05D4"/>
    <w:rsid w:val="00AB1A49"/>
    <w:rsid w:val="00AB1F92"/>
    <w:rsid w:val="00AB21C6"/>
    <w:rsid w:val="00AB2841"/>
    <w:rsid w:val="00AB5B1F"/>
    <w:rsid w:val="00AC00B0"/>
    <w:rsid w:val="00AC0519"/>
    <w:rsid w:val="00AC2749"/>
    <w:rsid w:val="00AC2F2B"/>
    <w:rsid w:val="00AC497B"/>
    <w:rsid w:val="00AC530A"/>
    <w:rsid w:val="00AC6F7D"/>
    <w:rsid w:val="00AC720A"/>
    <w:rsid w:val="00AD0855"/>
    <w:rsid w:val="00AD394D"/>
    <w:rsid w:val="00AD43C8"/>
    <w:rsid w:val="00AD52CC"/>
    <w:rsid w:val="00AD5E96"/>
    <w:rsid w:val="00AD5FC4"/>
    <w:rsid w:val="00AD60EA"/>
    <w:rsid w:val="00AD67D4"/>
    <w:rsid w:val="00AE2D56"/>
    <w:rsid w:val="00AE4331"/>
    <w:rsid w:val="00AE441B"/>
    <w:rsid w:val="00AE4522"/>
    <w:rsid w:val="00AE53F6"/>
    <w:rsid w:val="00AE614D"/>
    <w:rsid w:val="00AE6D44"/>
    <w:rsid w:val="00AE7849"/>
    <w:rsid w:val="00AE7977"/>
    <w:rsid w:val="00AF0BF0"/>
    <w:rsid w:val="00AF194A"/>
    <w:rsid w:val="00AF1F10"/>
    <w:rsid w:val="00AF3D39"/>
    <w:rsid w:val="00AF497B"/>
    <w:rsid w:val="00AF5FF0"/>
    <w:rsid w:val="00AF6A4C"/>
    <w:rsid w:val="00AF6D95"/>
    <w:rsid w:val="00AF6DD5"/>
    <w:rsid w:val="00B02183"/>
    <w:rsid w:val="00B03B15"/>
    <w:rsid w:val="00B047C2"/>
    <w:rsid w:val="00B04CB1"/>
    <w:rsid w:val="00B051F5"/>
    <w:rsid w:val="00B05635"/>
    <w:rsid w:val="00B07620"/>
    <w:rsid w:val="00B07C69"/>
    <w:rsid w:val="00B10060"/>
    <w:rsid w:val="00B1314F"/>
    <w:rsid w:val="00B151CF"/>
    <w:rsid w:val="00B20445"/>
    <w:rsid w:val="00B227EA"/>
    <w:rsid w:val="00B22DFE"/>
    <w:rsid w:val="00B237EE"/>
    <w:rsid w:val="00B247AD"/>
    <w:rsid w:val="00B24D68"/>
    <w:rsid w:val="00B25D05"/>
    <w:rsid w:val="00B264FF"/>
    <w:rsid w:val="00B26622"/>
    <w:rsid w:val="00B26669"/>
    <w:rsid w:val="00B276B4"/>
    <w:rsid w:val="00B303F6"/>
    <w:rsid w:val="00B307B7"/>
    <w:rsid w:val="00B31AD1"/>
    <w:rsid w:val="00B36028"/>
    <w:rsid w:val="00B36C4E"/>
    <w:rsid w:val="00B37CEC"/>
    <w:rsid w:val="00B40064"/>
    <w:rsid w:val="00B40546"/>
    <w:rsid w:val="00B42231"/>
    <w:rsid w:val="00B42578"/>
    <w:rsid w:val="00B47F10"/>
    <w:rsid w:val="00B50A44"/>
    <w:rsid w:val="00B50DA6"/>
    <w:rsid w:val="00B520FC"/>
    <w:rsid w:val="00B5240A"/>
    <w:rsid w:val="00B53174"/>
    <w:rsid w:val="00B53615"/>
    <w:rsid w:val="00B53E32"/>
    <w:rsid w:val="00B55524"/>
    <w:rsid w:val="00B575BF"/>
    <w:rsid w:val="00B612EA"/>
    <w:rsid w:val="00B61C66"/>
    <w:rsid w:val="00B62604"/>
    <w:rsid w:val="00B62DF2"/>
    <w:rsid w:val="00B6549B"/>
    <w:rsid w:val="00B6687F"/>
    <w:rsid w:val="00B66A87"/>
    <w:rsid w:val="00B67258"/>
    <w:rsid w:val="00B675EA"/>
    <w:rsid w:val="00B676EA"/>
    <w:rsid w:val="00B67980"/>
    <w:rsid w:val="00B70562"/>
    <w:rsid w:val="00B712D0"/>
    <w:rsid w:val="00B73720"/>
    <w:rsid w:val="00B73DA8"/>
    <w:rsid w:val="00B757E5"/>
    <w:rsid w:val="00B75DB7"/>
    <w:rsid w:val="00B774EF"/>
    <w:rsid w:val="00B81F38"/>
    <w:rsid w:val="00B834A4"/>
    <w:rsid w:val="00B837B9"/>
    <w:rsid w:val="00B83A76"/>
    <w:rsid w:val="00B83B62"/>
    <w:rsid w:val="00B84A6C"/>
    <w:rsid w:val="00B8535F"/>
    <w:rsid w:val="00B86F41"/>
    <w:rsid w:val="00B873E3"/>
    <w:rsid w:val="00B878CD"/>
    <w:rsid w:val="00B91CB1"/>
    <w:rsid w:val="00B9249B"/>
    <w:rsid w:val="00B94D2D"/>
    <w:rsid w:val="00B9536C"/>
    <w:rsid w:val="00B95F51"/>
    <w:rsid w:val="00B968CB"/>
    <w:rsid w:val="00B96E59"/>
    <w:rsid w:val="00BA02E2"/>
    <w:rsid w:val="00BA1333"/>
    <w:rsid w:val="00BA1FFB"/>
    <w:rsid w:val="00BA2508"/>
    <w:rsid w:val="00BA2B3F"/>
    <w:rsid w:val="00BA2B62"/>
    <w:rsid w:val="00BA3F69"/>
    <w:rsid w:val="00BA4808"/>
    <w:rsid w:val="00BA4E45"/>
    <w:rsid w:val="00BA513C"/>
    <w:rsid w:val="00BA5652"/>
    <w:rsid w:val="00BA59FB"/>
    <w:rsid w:val="00BB14A3"/>
    <w:rsid w:val="00BB2711"/>
    <w:rsid w:val="00BB7116"/>
    <w:rsid w:val="00BB7D07"/>
    <w:rsid w:val="00BC0ED2"/>
    <w:rsid w:val="00BC15DE"/>
    <w:rsid w:val="00BC17C8"/>
    <w:rsid w:val="00BC1DAB"/>
    <w:rsid w:val="00BC22BF"/>
    <w:rsid w:val="00BC3655"/>
    <w:rsid w:val="00BC369C"/>
    <w:rsid w:val="00BC4972"/>
    <w:rsid w:val="00BC6897"/>
    <w:rsid w:val="00BC760E"/>
    <w:rsid w:val="00BD1347"/>
    <w:rsid w:val="00BD1B8D"/>
    <w:rsid w:val="00BD2DFC"/>
    <w:rsid w:val="00BD33D4"/>
    <w:rsid w:val="00BD40B1"/>
    <w:rsid w:val="00BD64B7"/>
    <w:rsid w:val="00BE2545"/>
    <w:rsid w:val="00BE3E2E"/>
    <w:rsid w:val="00BE47BF"/>
    <w:rsid w:val="00BE5374"/>
    <w:rsid w:val="00BE627A"/>
    <w:rsid w:val="00BE6C3B"/>
    <w:rsid w:val="00BE6CE8"/>
    <w:rsid w:val="00BF0369"/>
    <w:rsid w:val="00BF0979"/>
    <w:rsid w:val="00BF0A81"/>
    <w:rsid w:val="00BF2ED1"/>
    <w:rsid w:val="00BF7C54"/>
    <w:rsid w:val="00C01D5F"/>
    <w:rsid w:val="00C0339F"/>
    <w:rsid w:val="00C0345A"/>
    <w:rsid w:val="00C03511"/>
    <w:rsid w:val="00C03CEB"/>
    <w:rsid w:val="00C046C0"/>
    <w:rsid w:val="00C04C3A"/>
    <w:rsid w:val="00C05700"/>
    <w:rsid w:val="00C074CD"/>
    <w:rsid w:val="00C107C3"/>
    <w:rsid w:val="00C119D8"/>
    <w:rsid w:val="00C13520"/>
    <w:rsid w:val="00C13670"/>
    <w:rsid w:val="00C14F9B"/>
    <w:rsid w:val="00C14FAB"/>
    <w:rsid w:val="00C15803"/>
    <w:rsid w:val="00C15A8C"/>
    <w:rsid w:val="00C15F42"/>
    <w:rsid w:val="00C1610B"/>
    <w:rsid w:val="00C1611D"/>
    <w:rsid w:val="00C16C9A"/>
    <w:rsid w:val="00C1759A"/>
    <w:rsid w:val="00C175E4"/>
    <w:rsid w:val="00C17F6D"/>
    <w:rsid w:val="00C232E0"/>
    <w:rsid w:val="00C24B5E"/>
    <w:rsid w:val="00C2534F"/>
    <w:rsid w:val="00C25FE3"/>
    <w:rsid w:val="00C262BA"/>
    <w:rsid w:val="00C264EC"/>
    <w:rsid w:val="00C27F33"/>
    <w:rsid w:val="00C30058"/>
    <w:rsid w:val="00C317A2"/>
    <w:rsid w:val="00C32E8D"/>
    <w:rsid w:val="00C343FC"/>
    <w:rsid w:val="00C347D5"/>
    <w:rsid w:val="00C35B00"/>
    <w:rsid w:val="00C3651F"/>
    <w:rsid w:val="00C36633"/>
    <w:rsid w:val="00C36E9D"/>
    <w:rsid w:val="00C37556"/>
    <w:rsid w:val="00C3770F"/>
    <w:rsid w:val="00C37C86"/>
    <w:rsid w:val="00C412B1"/>
    <w:rsid w:val="00C42F79"/>
    <w:rsid w:val="00C4436C"/>
    <w:rsid w:val="00C45CEA"/>
    <w:rsid w:val="00C461B2"/>
    <w:rsid w:val="00C4747C"/>
    <w:rsid w:val="00C47C8E"/>
    <w:rsid w:val="00C502C9"/>
    <w:rsid w:val="00C52FD1"/>
    <w:rsid w:val="00C5359B"/>
    <w:rsid w:val="00C53AF7"/>
    <w:rsid w:val="00C554B5"/>
    <w:rsid w:val="00C55616"/>
    <w:rsid w:val="00C5622A"/>
    <w:rsid w:val="00C56592"/>
    <w:rsid w:val="00C56EF2"/>
    <w:rsid w:val="00C570A6"/>
    <w:rsid w:val="00C579F3"/>
    <w:rsid w:val="00C600B3"/>
    <w:rsid w:val="00C60DE1"/>
    <w:rsid w:val="00C61464"/>
    <w:rsid w:val="00C63169"/>
    <w:rsid w:val="00C63ABC"/>
    <w:rsid w:val="00C64901"/>
    <w:rsid w:val="00C64D0D"/>
    <w:rsid w:val="00C67E8E"/>
    <w:rsid w:val="00C71D1F"/>
    <w:rsid w:val="00C72177"/>
    <w:rsid w:val="00C73AEC"/>
    <w:rsid w:val="00C74B8C"/>
    <w:rsid w:val="00C758E2"/>
    <w:rsid w:val="00C82437"/>
    <w:rsid w:val="00C8268F"/>
    <w:rsid w:val="00C83535"/>
    <w:rsid w:val="00C83790"/>
    <w:rsid w:val="00C83D84"/>
    <w:rsid w:val="00C847B6"/>
    <w:rsid w:val="00C85B1D"/>
    <w:rsid w:val="00C87436"/>
    <w:rsid w:val="00C91651"/>
    <w:rsid w:val="00C917A4"/>
    <w:rsid w:val="00C922A2"/>
    <w:rsid w:val="00C969AF"/>
    <w:rsid w:val="00C978D7"/>
    <w:rsid w:val="00C97CEE"/>
    <w:rsid w:val="00CA1AF3"/>
    <w:rsid w:val="00CA1DBF"/>
    <w:rsid w:val="00CA26EA"/>
    <w:rsid w:val="00CA2FB2"/>
    <w:rsid w:val="00CA3D3A"/>
    <w:rsid w:val="00CA42D6"/>
    <w:rsid w:val="00CA528A"/>
    <w:rsid w:val="00CB15E9"/>
    <w:rsid w:val="00CB1A6F"/>
    <w:rsid w:val="00CB27D0"/>
    <w:rsid w:val="00CB2BD5"/>
    <w:rsid w:val="00CB5BE2"/>
    <w:rsid w:val="00CB5C55"/>
    <w:rsid w:val="00CC1D1A"/>
    <w:rsid w:val="00CC4B15"/>
    <w:rsid w:val="00CC5956"/>
    <w:rsid w:val="00CC6260"/>
    <w:rsid w:val="00CD06DD"/>
    <w:rsid w:val="00CD1404"/>
    <w:rsid w:val="00CD44B7"/>
    <w:rsid w:val="00CD7350"/>
    <w:rsid w:val="00CE1C7D"/>
    <w:rsid w:val="00CE218F"/>
    <w:rsid w:val="00CE28E3"/>
    <w:rsid w:val="00CE353B"/>
    <w:rsid w:val="00CE362A"/>
    <w:rsid w:val="00CE5397"/>
    <w:rsid w:val="00CE5B83"/>
    <w:rsid w:val="00CE6F91"/>
    <w:rsid w:val="00CE70E1"/>
    <w:rsid w:val="00CE72AB"/>
    <w:rsid w:val="00CF1A2D"/>
    <w:rsid w:val="00CF2913"/>
    <w:rsid w:val="00CF32E1"/>
    <w:rsid w:val="00CF439F"/>
    <w:rsid w:val="00CF497C"/>
    <w:rsid w:val="00CF7120"/>
    <w:rsid w:val="00CF724C"/>
    <w:rsid w:val="00D00032"/>
    <w:rsid w:val="00D001B4"/>
    <w:rsid w:val="00D003B7"/>
    <w:rsid w:val="00D00E36"/>
    <w:rsid w:val="00D01F9E"/>
    <w:rsid w:val="00D02F4F"/>
    <w:rsid w:val="00D03804"/>
    <w:rsid w:val="00D04CB3"/>
    <w:rsid w:val="00D104DE"/>
    <w:rsid w:val="00D11682"/>
    <w:rsid w:val="00D1308D"/>
    <w:rsid w:val="00D14B64"/>
    <w:rsid w:val="00D14E59"/>
    <w:rsid w:val="00D153BD"/>
    <w:rsid w:val="00D20031"/>
    <w:rsid w:val="00D21BD8"/>
    <w:rsid w:val="00D2218F"/>
    <w:rsid w:val="00D24D26"/>
    <w:rsid w:val="00D250EC"/>
    <w:rsid w:val="00D25263"/>
    <w:rsid w:val="00D313B3"/>
    <w:rsid w:val="00D32000"/>
    <w:rsid w:val="00D3292B"/>
    <w:rsid w:val="00D3392F"/>
    <w:rsid w:val="00D33F02"/>
    <w:rsid w:val="00D358F7"/>
    <w:rsid w:val="00D36376"/>
    <w:rsid w:val="00D36E67"/>
    <w:rsid w:val="00D376C4"/>
    <w:rsid w:val="00D37EF5"/>
    <w:rsid w:val="00D40576"/>
    <w:rsid w:val="00D419C9"/>
    <w:rsid w:val="00D4273F"/>
    <w:rsid w:val="00D428B9"/>
    <w:rsid w:val="00D43246"/>
    <w:rsid w:val="00D43A1E"/>
    <w:rsid w:val="00D44A3F"/>
    <w:rsid w:val="00D44FD2"/>
    <w:rsid w:val="00D45750"/>
    <w:rsid w:val="00D457EA"/>
    <w:rsid w:val="00D458D1"/>
    <w:rsid w:val="00D45C42"/>
    <w:rsid w:val="00D46F27"/>
    <w:rsid w:val="00D47C07"/>
    <w:rsid w:val="00D52C2F"/>
    <w:rsid w:val="00D52E54"/>
    <w:rsid w:val="00D52FF5"/>
    <w:rsid w:val="00D556BA"/>
    <w:rsid w:val="00D564B2"/>
    <w:rsid w:val="00D56DFA"/>
    <w:rsid w:val="00D60E22"/>
    <w:rsid w:val="00D61302"/>
    <w:rsid w:val="00D62F4D"/>
    <w:rsid w:val="00D632E6"/>
    <w:rsid w:val="00D648F0"/>
    <w:rsid w:val="00D64906"/>
    <w:rsid w:val="00D652D9"/>
    <w:rsid w:val="00D65E17"/>
    <w:rsid w:val="00D67117"/>
    <w:rsid w:val="00D679F3"/>
    <w:rsid w:val="00D70DDA"/>
    <w:rsid w:val="00D739BE"/>
    <w:rsid w:val="00D73AD9"/>
    <w:rsid w:val="00D76096"/>
    <w:rsid w:val="00D769A7"/>
    <w:rsid w:val="00D80C29"/>
    <w:rsid w:val="00D8159A"/>
    <w:rsid w:val="00D8313A"/>
    <w:rsid w:val="00D8316D"/>
    <w:rsid w:val="00D834C9"/>
    <w:rsid w:val="00D83B51"/>
    <w:rsid w:val="00D84AC5"/>
    <w:rsid w:val="00D84ECA"/>
    <w:rsid w:val="00D8525E"/>
    <w:rsid w:val="00D9041B"/>
    <w:rsid w:val="00D90DBB"/>
    <w:rsid w:val="00D9141D"/>
    <w:rsid w:val="00D9245B"/>
    <w:rsid w:val="00D9258C"/>
    <w:rsid w:val="00D946C9"/>
    <w:rsid w:val="00D94CF3"/>
    <w:rsid w:val="00D967A8"/>
    <w:rsid w:val="00D9791E"/>
    <w:rsid w:val="00DA058E"/>
    <w:rsid w:val="00DA0C93"/>
    <w:rsid w:val="00DA0FE8"/>
    <w:rsid w:val="00DA2976"/>
    <w:rsid w:val="00DA3013"/>
    <w:rsid w:val="00DA4FA8"/>
    <w:rsid w:val="00DA512C"/>
    <w:rsid w:val="00DA53B6"/>
    <w:rsid w:val="00DA6681"/>
    <w:rsid w:val="00DA6765"/>
    <w:rsid w:val="00DB003C"/>
    <w:rsid w:val="00DB020B"/>
    <w:rsid w:val="00DB1E91"/>
    <w:rsid w:val="00DB24C9"/>
    <w:rsid w:val="00DB25EB"/>
    <w:rsid w:val="00DB41D6"/>
    <w:rsid w:val="00DB4410"/>
    <w:rsid w:val="00DB5117"/>
    <w:rsid w:val="00DB6031"/>
    <w:rsid w:val="00DB664A"/>
    <w:rsid w:val="00DB7463"/>
    <w:rsid w:val="00DC14AF"/>
    <w:rsid w:val="00DC1720"/>
    <w:rsid w:val="00DC3633"/>
    <w:rsid w:val="00DC3947"/>
    <w:rsid w:val="00DC3FC9"/>
    <w:rsid w:val="00DC4108"/>
    <w:rsid w:val="00DC4858"/>
    <w:rsid w:val="00DC4EC7"/>
    <w:rsid w:val="00DC4F64"/>
    <w:rsid w:val="00DC50C5"/>
    <w:rsid w:val="00DC6077"/>
    <w:rsid w:val="00DC64A7"/>
    <w:rsid w:val="00DC7FFC"/>
    <w:rsid w:val="00DD08E1"/>
    <w:rsid w:val="00DD0953"/>
    <w:rsid w:val="00DD1A95"/>
    <w:rsid w:val="00DD2C81"/>
    <w:rsid w:val="00DD3749"/>
    <w:rsid w:val="00DD4256"/>
    <w:rsid w:val="00DD48B8"/>
    <w:rsid w:val="00DD4AD2"/>
    <w:rsid w:val="00DD6784"/>
    <w:rsid w:val="00DE1AD5"/>
    <w:rsid w:val="00DE2496"/>
    <w:rsid w:val="00DE31DE"/>
    <w:rsid w:val="00DE3270"/>
    <w:rsid w:val="00DE38F0"/>
    <w:rsid w:val="00DE67ED"/>
    <w:rsid w:val="00DE7099"/>
    <w:rsid w:val="00DE74DA"/>
    <w:rsid w:val="00DF0FAA"/>
    <w:rsid w:val="00DF1ACE"/>
    <w:rsid w:val="00DF1C15"/>
    <w:rsid w:val="00DF341B"/>
    <w:rsid w:val="00DF39E9"/>
    <w:rsid w:val="00DF431B"/>
    <w:rsid w:val="00DF6634"/>
    <w:rsid w:val="00DF6A5D"/>
    <w:rsid w:val="00DF74D9"/>
    <w:rsid w:val="00E0005C"/>
    <w:rsid w:val="00E00B16"/>
    <w:rsid w:val="00E02610"/>
    <w:rsid w:val="00E03296"/>
    <w:rsid w:val="00E0360B"/>
    <w:rsid w:val="00E0376E"/>
    <w:rsid w:val="00E03A96"/>
    <w:rsid w:val="00E04A71"/>
    <w:rsid w:val="00E05194"/>
    <w:rsid w:val="00E05D56"/>
    <w:rsid w:val="00E05EAE"/>
    <w:rsid w:val="00E079B8"/>
    <w:rsid w:val="00E105A9"/>
    <w:rsid w:val="00E10E39"/>
    <w:rsid w:val="00E11A34"/>
    <w:rsid w:val="00E11EEF"/>
    <w:rsid w:val="00E12050"/>
    <w:rsid w:val="00E12268"/>
    <w:rsid w:val="00E14463"/>
    <w:rsid w:val="00E144F1"/>
    <w:rsid w:val="00E15056"/>
    <w:rsid w:val="00E15864"/>
    <w:rsid w:val="00E15DB1"/>
    <w:rsid w:val="00E164DE"/>
    <w:rsid w:val="00E17552"/>
    <w:rsid w:val="00E21086"/>
    <w:rsid w:val="00E211BD"/>
    <w:rsid w:val="00E21B03"/>
    <w:rsid w:val="00E22445"/>
    <w:rsid w:val="00E240B6"/>
    <w:rsid w:val="00E25457"/>
    <w:rsid w:val="00E25AA5"/>
    <w:rsid w:val="00E260A3"/>
    <w:rsid w:val="00E26717"/>
    <w:rsid w:val="00E26D15"/>
    <w:rsid w:val="00E27998"/>
    <w:rsid w:val="00E27DDB"/>
    <w:rsid w:val="00E30A80"/>
    <w:rsid w:val="00E314D3"/>
    <w:rsid w:val="00E31702"/>
    <w:rsid w:val="00E3196B"/>
    <w:rsid w:val="00E31B75"/>
    <w:rsid w:val="00E3242E"/>
    <w:rsid w:val="00E330C9"/>
    <w:rsid w:val="00E3330E"/>
    <w:rsid w:val="00E3351F"/>
    <w:rsid w:val="00E33992"/>
    <w:rsid w:val="00E37A15"/>
    <w:rsid w:val="00E37C27"/>
    <w:rsid w:val="00E40DAE"/>
    <w:rsid w:val="00E40F62"/>
    <w:rsid w:val="00E43249"/>
    <w:rsid w:val="00E436A2"/>
    <w:rsid w:val="00E44DF8"/>
    <w:rsid w:val="00E458D8"/>
    <w:rsid w:val="00E45E94"/>
    <w:rsid w:val="00E46737"/>
    <w:rsid w:val="00E473BF"/>
    <w:rsid w:val="00E477A4"/>
    <w:rsid w:val="00E50738"/>
    <w:rsid w:val="00E50A36"/>
    <w:rsid w:val="00E51437"/>
    <w:rsid w:val="00E51888"/>
    <w:rsid w:val="00E518A7"/>
    <w:rsid w:val="00E529F5"/>
    <w:rsid w:val="00E53286"/>
    <w:rsid w:val="00E534C6"/>
    <w:rsid w:val="00E5356B"/>
    <w:rsid w:val="00E53E00"/>
    <w:rsid w:val="00E54221"/>
    <w:rsid w:val="00E549C9"/>
    <w:rsid w:val="00E5650A"/>
    <w:rsid w:val="00E574EC"/>
    <w:rsid w:val="00E57F9C"/>
    <w:rsid w:val="00E60EB9"/>
    <w:rsid w:val="00E615F9"/>
    <w:rsid w:val="00E6193C"/>
    <w:rsid w:val="00E62BC2"/>
    <w:rsid w:val="00E63DAA"/>
    <w:rsid w:val="00E65882"/>
    <w:rsid w:val="00E66F6E"/>
    <w:rsid w:val="00E67132"/>
    <w:rsid w:val="00E679FB"/>
    <w:rsid w:val="00E71116"/>
    <w:rsid w:val="00E7221D"/>
    <w:rsid w:val="00E72D57"/>
    <w:rsid w:val="00E7301F"/>
    <w:rsid w:val="00E73CF8"/>
    <w:rsid w:val="00E73E20"/>
    <w:rsid w:val="00E74450"/>
    <w:rsid w:val="00E758AA"/>
    <w:rsid w:val="00E75AB8"/>
    <w:rsid w:val="00E7615F"/>
    <w:rsid w:val="00E76AE0"/>
    <w:rsid w:val="00E81A87"/>
    <w:rsid w:val="00E82B57"/>
    <w:rsid w:val="00E83948"/>
    <w:rsid w:val="00E83CF9"/>
    <w:rsid w:val="00E84A91"/>
    <w:rsid w:val="00E8526F"/>
    <w:rsid w:val="00E863D9"/>
    <w:rsid w:val="00E8660A"/>
    <w:rsid w:val="00E92974"/>
    <w:rsid w:val="00E92F98"/>
    <w:rsid w:val="00E9331D"/>
    <w:rsid w:val="00E94136"/>
    <w:rsid w:val="00E95322"/>
    <w:rsid w:val="00E95490"/>
    <w:rsid w:val="00E9567C"/>
    <w:rsid w:val="00E968C1"/>
    <w:rsid w:val="00E971F6"/>
    <w:rsid w:val="00EA0E54"/>
    <w:rsid w:val="00EA1769"/>
    <w:rsid w:val="00EA1DE2"/>
    <w:rsid w:val="00EA3658"/>
    <w:rsid w:val="00EA3671"/>
    <w:rsid w:val="00EA43B7"/>
    <w:rsid w:val="00EA5163"/>
    <w:rsid w:val="00EA748C"/>
    <w:rsid w:val="00EB0DEA"/>
    <w:rsid w:val="00EB1F63"/>
    <w:rsid w:val="00EB27BC"/>
    <w:rsid w:val="00EB2D6D"/>
    <w:rsid w:val="00EB6A32"/>
    <w:rsid w:val="00EC21A8"/>
    <w:rsid w:val="00EC307E"/>
    <w:rsid w:val="00EC33A0"/>
    <w:rsid w:val="00EC3EBD"/>
    <w:rsid w:val="00EC4836"/>
    <w:rsid w:val="00EC48BD"/>
    <w:rsid w:val="00EC5088"/>
    <w:rsid w:val="00ED1850"/>
    <w:rsid w:val="00ED3E59"/>
    <w:rsid w:val="00ED4012"/>
    <w:rsid w:val="00ED4CC0"/>
    <w:rsid w:val="00ED50DA"/>
    <w:rsid w:val="00ED5E38"/>
    <w:rsid w:val="00ED6588"/>
    <w:rsid w:val="00ED68DC"/>
    <w:rsid w:val="00ED7FF4"/>
    <w:rsid w:val="00EE3B60"/>
    <w:rsid w:val="00EE4490"/>
    <w:rsid w:val="00EE4EEF"/>
    <w:rsid w:val="00EE5393"/>
    <w:rsid w:val="00EE6068"/>
    <w:rsid w:val="00EE6741"/>
    <w:rsid w:val="00EE6832"/>
    <w:rsid w:val="00EF0BF5"/>
    <w:rsid w:val="00EF0CDA"/>
    <w:rsid w:val="00EF0D73"/>
    <w:rsid w:val="00EF1755"/>
    <w:rsid w:val="00EF3D58"/>
    <w:rsid w:val="00EF4A8E"/>
    <w:rsid w:val="00EF54EE"/>
    <w:rsid w:val="00EF6BC0"/>
    <w:rsid w:val="00EF7063"/>
    <w:rsid w:val="00EF7084"/>
    <w:rsid w:val="00EF7755"/>
    <w:rsid w:val="00F01062"/>
    <w:rsid w:val="00F03B39"/>
    <w:rsid w:val="00F03E68"/>
    <w:rsid w:val="00F04052"/>
    <w:rsid w:val="00F04FED"/>
    <w:rsid w:val="00F0652E"/>
    <w:rsid w:val="00F06673"/>
    <w:rsid w:val="00F06961"/>
    <w:rsid w:val="00F1066F"/>
    <w:rsid w:val="00F1415F"/>
    <w:rsid w:val="00F14201"/>
    <w:rsid w:val="00F1508C"/>
    <w:rsid w:val="00F1578E"/>
    <w:rsid w:val="00F16067"/>
    <w:rsid w:val="00F16A32"/>
    <w:rsid w:val="00F16E93"/>
    <w:rsid w:val="00F17968"/>
    <w:rsid w:val="00F20763"/>
    <w:rsid w:val="00F22470"/>
    <w:rsid w:val="00F227C8"/>
    <w:rsid w:val="00F23CB7"/>
    <w:rsid w:val="00F24FB1"/>
    <w:rsid w:val="00F257B5"/>
    <w:rsid w:val="00F26EBE"/>
    <w:rsid w:val="00F2720E"/>
    <w:rsid w:val="00F27295"/>
    <w:rsid w:val="00F2776D"/>
    <w:rsid w:val="00F32E5E"/>
    <w:rsid w:val="00F346E6"/>
    <w:rsid w:val="00F34E05"/>
    <w:rsid w:val="00F360C0"/>
    <w:rsid w:val="00F36E75"/>
    <w:rsid w:val="00F40864"/>
    <w:rsid w:val="00F40975"/>
    <w:rsid w:val="00F41701"/>
    <w:rsid w:val="00F41760"/>
    <w:rsid w:val="00F41F5B"/>
    <w:rsid w:val="00F4279A"/>
    <w:rsid w:val="00F433A2"/>
    <w:rsid w:val="00F4441B"/>
    <w:rsid w:val="00F44895"/>
    <w:rsid w:val="00F44FB9"/>
    <w:rsid w:val="00F45ADE"/>
    <w:rsid w:val="00F45E28"/>
    <w:rsid w:val="00F47280"/>
    <w:rsid w:val="00F50585"/>
    <w:rsid w:val="00F516E3"/>
    <w:rsid w:val="00F532B3"/>
    <w:rsid w:val="00F53D39"/>
    <w:rsid w:val="00F54832"/>
    <w:rsid w:val="00F54EAA"/>
    <w:rsid w:val="00F562C6"/>
    <w:rsid w:val="00F57885"/>
    <w:rsid w:val="00F57AE6"/>
    <w:rsid w:val="00F633F8"/>
    <w:rsid w:val="00F64479"/>
    <w:rsid w:val="00F66144"/>
    <w:rsid w:val="00F6640C"/>
    <w:rsid w:val="00F6713F"/>
    <w:rsid w:val="00F74B51"/>
    <w:rsid w:val="00F74F92"/>
    <w:rsid w:val="00F75162"/>
    <w:rsid w:val="00F75497"/>
    <w:rsid w:val="00F80AD8"/>
    <w:rsid w:val="00F81362"/>
    <w:rsid w:val="00F81535"/>
    <w:rsid w:val="00F822DB"/>
    <w:rsid w:val="00F841D3"/>
    <w:rsid w:val="00F854EE"/>
    <w:rsid w:val="00F85567"/>
    <w:rsid w:val="00F85AD3"/>
    <w:rsid w:val="00F90448"/>
    <w:rsid w:val="00F906EA"/>
    <w:rsid w:val="00F91353"/>
    <w:rsid w:val="00F928A8"/>
    <w:rsid w:val="00F93576"/>
    <w:rsid w:val="00F93BC6"/>
    <w:rsid w:val="00F9510D"/>
    <w:rsid w:val="00F9684A"/>
    <w:rsid w:val="00FA0825"/>
    <w:rsid w:val="00FA08AD"/>
    <w:rsid w:val="00FA2AD2"/>
    <w:rsid w:val="00FA2F27"/>
    <w:rsid w:val="00FA4150"/>
    <w:rsid w:val="00FA503A"/>
    <w:rsid w:val="00FA5766"/>
    <w:rsid w:val="00FA62C6"/>
    <w:rsid w:val="00FA7D7D"/>
    <w:rsid w:val="00FB562F"/>
    <w:rsid w:val="00FB620D"/>
    <w:rsid w:val="00FB66CF"/>
    <w:rsid w:val="00FB6D20"/>
    <w:rsid w:val="00FB6F67"/>
    <w:rsid w:val="00FC0A47"/>
    <w:rsid w:val="00FC0AD7"/>
    <w:rsid w:val="00FC10DE"/>
    <w:rsid w:val="00FC2D5F"/>
    <w:rsid w:val="00FC315A"/>
    <w:rsid w:val="00FC5603"/>
    <w:rsid w:val="00FC6BAC"/>
    <w:rsid w:val="00FC7906"/>
    <w:rsid w:val="00FD0B28"/>
    <w:rsid w:val="00FD17BA"/>
    <w:rsid w:val="00FD2C9D"/>
    <w:rsid w:val="00FD2CCD"/>
    <w:rsid w:val="00FD2F74"/>
    <w:rsid w:val="00FD3B94"/>
    <w:rsid w:val="00FD40DD"/>
    <w:rsid w:val="00FD411B"/>
    <w:rsid w:val="00FD43B3"/>
    <w:rsid w:val="00FD44FD"/>
    <w:rsid w:val="00FD6295"/>
    <w:rsid w:val="00FD7497"/>
    <w:rsid w:val="00FE017F"/>
    <w:rsid w:val="00FE0AFA"/>
    <w:rsid w:val="00FE1118"/>
    <w:rsid w:val="00FE1850"/>
    <w:rsid w:val="00FE3163"/>
    <w:rsid w:val="00FE409F"/>
    <w:rsid w:val="00FE40E5"/>
    <w:rsid w:val="00FE4739"/>
    <w:rsid w:val="00FE4DB2"/>
    <w:rsid w:val="00FE681D"/>
    <w:rsid w:val="00FE6836"/>
    <w:rsid w:val="00FE74DF"/>
    <w:rsid w:val="00FE7B78"/>
    <w:rsid w:val="00FF04FD"/>
    <w:rsid w:val="00FF0DBD"/>
    <w:rsid w:val="00FF2100"/>
    <w:rsid w:val="00FF23C7"/>
    <w:rsid w:val="00FF3A07"/>
    <w:rsid w:val="00FF3FEA"/>
    <w:rsid w:val="00FF4C68"/>
    <w:rsid w:val="00FF7949"/>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48C47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03A9"/>
    <w:pPr>
      <w:spacing w:before="120"/>
    </w:pPr>
    <w:rPr>
      <w:rFonts w:ascii="Franklin Gothic Book" w:hAnsi="Franklin Gothic Book"/>
    </w:rPr>
  </w:style>
  <w:style w:type="paragraph" w:styleId="Heading1">
    <w:name w:val="heading 1"/>
    <w:basedOn w:val="Normal"/>
    <w:next w:val="Normal"/>
    <w:link w:val="Heading1Char"/>
    <w:uiPriority w:val="9"/>
    <w:qFormat/>
    <w:rsid w:val="001531D6"/>
    <w:pPr>
      <w:keepNext/>
      <w:keepLines/>
      <w:numPr>
        <w:numId w:val="1"/>
      </w:numPr>
      <w:pBdr>
        <w:bottom w:val="single" w:sz="4" w:space="1" w:color="auto"/>
      </w:pBdr>
      <w:spacing w:before="600" w:after="480" w:line="240" w:lineRule="auto"/>
      <w:ind w:left="357" w:hanging="357"/>
      <w:outlineLvl w:val="0"/>
    </w:pPr>
    <w:rPr>
      <w:rFonts w:ascii="Franklin Gothic Medium" w:eastAsiaTheme="majorEastAsia" w:hAnsi="Franklin Gothic Medium" w:cstheme="majorBidi"/>
      <w:sz w:val="44"/>
      <w:szCs w:val="32"/>
    </w:rPr>
  </w:style>
  <w:style w:type="paragraph" w:styleId="Heading2">
    <w:name w:val="heading 2"/>
    <w:basedOn w:val="Normal"/>
    <w:next w:val="Normal"/>
    <w:link w:val="Heading2Char"/>
    <w:uiPriority w:val="9"/>
    <w:unhideWhenUsed/>
    <w:qFormat/>
    <w:rsid w:val="001531D6"/>
    <w:pPr>
      <w:keepNext/>
      <w:keepLines/>
      <w:numPr>
        <w:ilvl w:val="1"/>
        <w:numId w:val="1"/>
      </w:numPr>
      <w:spacing w:before="360" w:after="240" w:line="240" w:lineRule="auto"/>
      <w:outlineLvl w:val="1"/>
    </w:pPr>
    <w:rPr>
      <w:rFonts w:ascii="Franklin Gothic Medium" w:eastAsiaTheme="majorEastAsia" w:hAnsi="Franklin Gothic Medium" w:cstheme="majorBidi"/>
      <w:color w:val="000000" w:themeColor="text1"/>
      <w:sz w:val="32"/>
      <w:szCs w:val="26"/>
    </w:rPr>
  </w:style>
  <w:style w:type="paragraph" w:styleId="Heading3">
    <w:name w:val="heading 3"/>
    <w:basedOn w:val="Normal"/>
    <w:next w:val="Normal"/>
    <w:link w:val="Heading3Char"/>
    <w:uiPriority w:val="9"/>
    <w:unhideWhenUsed/>
    <w:qFormat/>
    <w:rsid w:val="005103C5"/>
    <w:pPr>
      <w:keepNext/>
      <w:keepLines/>
      <w:tabs>
        <w:tab w:val="left" w:pos="851"/>
      </w:tabs>
      <w:spacing w:before="360" w:after="200" w:line="240" w:lineRule="auto"/>
      <w:outlineLvl w:val="2"/>
    </w:pPr>
    <w:rPr>
      <w:rFonts w:ascii="Franklin Gothic Medium" w:eastAsiaTheme="majorEastAsia" w:hAnsi="Franklin Gothic Medium" w:cstheme="majorBidi"/>
      <w:sz w:val="24"/>
      <w:szCs w:val="24"/>
    </w:rPr>
  </w:style>
  <w:style w:type="paragraph" w:styleId="Heading4">
    <w:name w:val="heading 4"/>
    <w:basedOn w:val="Heading3"/>
    <w:next w:val="Normal"/>
    <w:link w:val="Heading4Char"/>
    <w:uiPriority w:val="9"/>
    <w:unhideWhenUsed/>
    <w:qFormat/>
    <w:rsid w:val="00A776A4"/>
    <w:pPr>
      <w:outlineLvl w:val="3"/>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link w:val="TableTextChar"/>
    <w:qFormat/>
    <w:rsid w:val="003E7773"/>
    <w:pPr>
      <w:spacing w:before="40" w:after="40" w:line="240" w:lineRule="auto"/>
    </w:pPr>
    <w:rPr>
      <w:rFonts w:ascii="Arial Narrow" w:hAnsi="Arial Narrow"/>
      <w:sz w:val="20"/>
    </w:rPr>
  </w:style>
  <w:style w:type="paragraph" w:customStyle="1" w:styleId="TableHeading">
    <w:name w:val="TableHeading"/>
    <w:basedOn w:val="Normal"/>
    <w:link w:val="TableHeadingChar"/>
    <w:qFormat/>
    <w:rsid w:val="00B151CF"/>
    <w:pPr>
      <w:keepNext/>
      <w:spacing w:after="60" w:line="240" w:lineRule="auto"/>
    </w:pPr>
    <w:rPr>
      <w:rFonts w:ascii="Arial Narrow" w:hAnsi="Arial Narrow"/>
      <w:b/>
      <w:sz w:val="20"/>
    </w:rPr>
  </w:style>
  <w:style w:type="paragraph" w:styleId="CommentText">
    <w:name w:val="annotation text"/>
    <w:basedOn w:val="Normal"/>
    <w:link w:val="CommentTextChar"/>
    <w:uiPriority w:val="99"/>
    <w:unhideWhenUsed/>
    <w:rsid w:val="003E7773"/>
    <w:pPr>
      <w:spacing w:after="240" w:line="240" w:lineRule="auto"/>
    </w:pPr>
    <w:rPr>
      <w:rFonts w:ascii="Calibri" w:eastAsia="Times New Roman" w:hAnsi="Calibri" w:cs="Times New Roman"/>
      <w:color w:val="000000"/>
      <w:szCs w:val="24"/>
      <w:lang w:eastAsia="en-AU"/>
    </w:rPr>
  </w:style>
  <w:style w:type="character" w:customStyle="1" w:styleId="CommentTextChar">
    <w:name w:val="Comment Text Char"/>
    <w:basedOn w:val="DefaultParagraphFont"/>
    <w:link w:val="CommentText"/>
    <w:uiPriority w:val="99"/>
    <w:rsid w:val="003E7773"/>
    <w:rPr>
      <w:rFonts w:ascii="Calibri" w:eastAsia="Times New Roman" w:hAnsi="Calibri" w:cs="Times New Roman"/>
      <w:color w:val="000000"/>
      <w:szCs w:val="24"/>
      <w:lang w:eastAsia="en-AU"/>
    </w:rPr>
  </w:style>
  <w:style w:type="character" w:styleId="CommentReference">
    <w:name w:val="annotation reference"/>
    <w:aliases w:val="Table Title"/>
    <w:basedOn w:val="DefaultParagraphFont"/>
    <w:uiPriority w:val="99"/>
    <w:unhideWhenUsed/>
    <w:qFormat/>
    <w:rsid w:val="003E7773"/>
    <w:rPr>
      <w:sz w:val="16"/>
      <w:szCs w:val="16"/>
    </w:rPr>
  </w:style>
  <w:style w:type="character" w:customStyle="1" w:styleId="TableTextChar">
    <w:name w:val="Table Text Char"/>
    <w:basedOn w:val="DefaultParagraphFont"/>
    <w:link w:val="TableText"/>
    <w:rsid w:val="003E7773"/>
    <w:rPr>
      <w:rFonts w:ascii="Arial Narrow" w:hAnsi="Arial Narrow"/>
      <w:sz w:val="20"/>
    </w:rPr>
  </w:style>
  <w:style w:type="character" w:customStyle="1" w:styleId="TableHeadingChar">
    <w:name w:val="TableHeading Char"/>
    <w:link w:val="TableHeading"/>
    <w:rsid w:val="00B151CF"/>
    <w:rPr>
      <w:rFonts w:ascii="Arial Narrow" w:hAnsi="Arial Narrow"/>
      <w:b/>
      <w:sz w:val="20"/>
    </w:rPr>
  </w:style>
  <w:style w:type="paragraph" w:styleId="BalloonText">
    <w:name w:val="Balloon Text"/>
    <w:basedOn w:val="Normal"/>
    <w:link w:val="BalloonTextChar"/>
    <w:uiPriority w:val="99"/>
    <w:semiHidden/>
    <w:unhideWhenUsed/>
    <w:rsid w:val="003E77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7773"/>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E7773"/>
    <w:pPr>
      <w:spacing w:after="160"/>
    </w:pPr>
    <w:rPr>
      <w:rFonts w:asciiTheme="minorHAnsi" w:eastAsiaTheme="minorHAnsi" w:hAnsiTheme="minorHAnsi" w:cstheme="minorBidi"/>
      <w:b/>
      <w:bCs/>
      <w:color w:val="auto"/>
      <w:sz w:val="20"/>
      <w:szCs w:val="20"/>
      <w:lang w:eastAsia="en-US"/>
    </w:rPr>
  </w:style>
  <w:style w:type="character" w:customStyle="1" w:styleId="CommentSubjectChar">
    <w:name w:val="Comment Subject Char"/>
    <w:basedOn w:val="CommentTextChar"/>
    <w:link w:val="CommentSubject"/>
    <w:uiPriority w:val="99"/>
    <w:semiHidden/>
    <w:rsid w:val="003E7773"/>
    <w:rPr>
      <w:rFonts w:ascii="Calibri" w:eastAsia="Times New Roman" w:hAnsi="Calibri" w:cs="Times New Roman"/>
      <w:b/>
      <w:bCs/>
      <w:color w:val="000000"/>
      <w:sz w:val="20"/>
      <w:szCs w:val="20"/>
      <w:lang w:eastAsia="en-AU"/>
    </w:rPr>
  </w:style>
  <w:style w:type="character" w:customStyle="1" w:styleId="Heading1Char">
    <w:name w:val="Heading 1 Char"/>
    <w:basedOn w:val="DefaultParagraphFont"/>
    <w:link w:val="Heading1"/>
    <w:uiPriority w:val="9"/>
    <w:rsid w:val="001531D6"/>
    <w:rPr>
      <w:rFonts w:ascii="Franklin Gothic Medium" w:eastAsiaTheme="majorEastAsia" w:hAnsi="Franklin Gothic Medium" w:cstheme="majorBidi"/>
      <w:sz w:val="44"/>
      <w:szCs w:val="32"/>
    </w:rPr>
  </w:style>
  <w:style w:type="character" w:customStyle="1" w:styleId="Heading2Char">
    <w:name w:val="Heading 2 Char"/>
    <w:basedOn w:val="DefaultParagraphFont"/>
    <w:link w:val="Heading2"/>
    <w:uiPriority w:val="9"/>
    <w:rsid w:val="001531D6"/>
    <w:rPr>
      <w:rFonts w:ascii="Franklin Gothic Medium" w:eastAsiaTheme="majorEastAsia" w:hAnsi="Franklin Gothic Medium" w:cstheme="majorBidi"/>
      <w:color w:val="000000" w:themeColor="text1"/>
      <w:sz w:val="32"/>
      <w:szCs w:val="26"/>
    </w:rPr>
  </w:style>
  <w:style w:type="character" w:customStyle="1" w:styleId="Heading3Char">
    <w:name w:val="Heading 3 Char"/>
    <w:basedOn w:val="DefaultParagraphFont"/>
    <w:link w:val="Heading3"/>
    <w:rsid w:val="005103C5"/>
    <w:rPr>
      <w:rFonts w:ascii="Franklin Gothic Medium" w:eastAsiaTheme="majorEastAsia" w:hAnsi="Franklin Gothic Medium" w:cstheme="majorBidi"/>
      <w:sz w:val="24"/>
      <w:szCs w:val="24"/>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link w:val="CaptionChar"/>
    <w:qFormat/>
    <w:rsid w:val="00800755"/>
    <w:pPr>
      <w:keepNext/>
      <w:spacing w:before="360" w:after="120" w:line="240" w:lineRule="auto"/>
      <w:outlineLvl w:val="3"/>
    </w:pPr>
    <w:rPr>
      <w:rFonts w:ascii="Arial Narrow" w:eastAsia="Times New Roman" w:hAnsi="Arial Narrow" w:cs="Times New Roman"/>
      <w:b/>
      <w:bCs/>
      <w:sz w:val="20"/>
      <w:szCs w:val="20"/>
    </w:rPr>
  </w:style>
  <w:style w:type="table" w:customStyle="1" w:styleId="TableGrid1">
    <w:name w:val="Table Grid1"/>
    <w:basedOn w:val="TableNormal"/>
    <w:next w:val="TableGrid"/>
    <w:locked/>
    <w:rsid w:val="00CA528A"/>
    <w:pPr>
      <w:spacing w:before="40" w:after="40" w:line="240" w:lineRule="auto"/>
    </w:pPr>
    <w:rPr>
      <w:rFonts w:ascii="Arial Narrow" w:eastAsia="Times New Roman" w:hAnsi="Arial Narrow"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Franklin Gothic Book" w:hAnsi="Franklin Gothic Book"/>
        <w:b w:val="0"/>
        <w:sz w:val="20"/>
      </w:rPr>
    </w:tblStylePr>
  </w:style>
  <w:style w:type="character" w:customStyle="1" w:styleId="CaptionChar">
    <w:name w:val="Caption Char"/>
    <w:aliases w:val="Caption Char2 Char Char,Caption Char Char Char2 Char,Caption Char1 Char Char Char1 Char,Caption Char2 Char Char Char1 Char1 Char,Caption Char Char1 Char Char Char1 Char1 Char,Caption Char1 Char Char Char Char Char Char Char"/>
    <w:basedOn w:val="DefaultParagraphFont"/>
    <w:link w:val="Caption"/>
    <w:rsid w:val="00800755"/>
    <w:rPr>
      <w:rFonts w:ascii="Arial Narrow" w:eastAsia="Times New Roman" w:hAnsi="Arial Narrow" w:cs="Times New Roman"/>
      <w:b/>
      <w:bCs/>
      <w:sz w:val="20"/>
      <w:szCs w:val="20"/>
    </w:rPr>
  </w:style>
  <w:style w:type="table" w:styleId="TableGrid">
    <w:name w:val="Table Grid"/>
    <w:aliases w:val="Summary box,Table Gridbeth,RTI AMCP Table,new style,ASD Table,PBAC table,HTAtableplain"/>
    <w:basedOn w:val="TableNormal"/>
    <w:rsid w:val="00CA52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Note">
    <w:name w:val="TableFigNote"/>
    <w:basedOn w:val="Normal"/>
    <w:qFormat/>
    <w:rsid w:val="00CA528A"/>
    <w:pPr>
      <w:spacing w:after="360" w:line="240" w:lineRule="auto"/>
      <w:contextualSpacing/>
    </w:pPr>
    <w:rPr>
      <w:sz w:val="18"/>
    </w:rPr>
  </w:style>
  <w:style w:type="paragraph" w:styleId="ListParagraph">
    <w:name w:val="List Paragraph"/>
    <w:aliases w:val="Recommendation,Bullet point,List Paragraph1,List Paragraph11"/>
    <w:basedOn w:val="Normal"/>
    <w:link w:val="ListParagraphChar"/>
    <w:uiPriority w:val="34"/>
    <w:qFormat/>
    <w:rsid w:val="00724F92"/>
    <w:pPr>
      <w:ind w:left="720"/>
      <w:contextualSpacing/>
    </w:pPr>
  </w:style>
  <w:style w:type="character" w:styleId="Strong">
    <w:name w:val="Strong"/>
    <w:basedOn w:val="DefaultParagraphFont"/>
    <w:uiPriority w:val="22"/>
    <w:qFormat/>
    <w:rsid w:val="00FD17BA"/>
    <w:rPr>
      <w:b/>
      <w:bCs/>
    </w:rPr>
  </w:style>
  <w:style w:type="paragraph" w:customStyle="1" w:styleId="TableName">
    <w:name w:val="TableName"/>
    <w:basedOn w:val="Normal"/>
    <w:qFormat/>
    <w:rsid w:val="00FD17BA"/>
    <w:pPr>
      <w:keepNext/>
      <w:spacing w:after="240" w:line="240" w:lineRule="auto"/>
      <w:ind w:left="1418" w:hanging="1418"/>
    </w:pPr>
    <w:rPr>
      <w:rFonts w:ascii="Franklin Gothic Medium" w:hAnsi="Franklin Gothic Medium"/>
    </w:rPr>
  </w:style>
  <w:style w:type="paragraph" w:customStyle="1" w:styleId="TableFigNoteHangingLast">
    <w:name w:val="TableFigNoteHanging Last"/>
    <w:basedOn w:val="TableFigNote"/>
    <w:qFormat/>
    <w:rsid w:val="00FD17BA"/>
    <w:pPr>
      <w:ind w:left="142" w:hanging="142"/>
    </w:pPr>
  </w:style>
  <w:style w:type="paragraph" w:customStyle="1" w:styleId="TableTextCA">
    <w:name w:val="Table Text CA"/>
    <w:basedOn w:val="TableText"/>
    <w:qFormat/>
    <w:rsid w:val="00FD17BA"/>
    <w:pPr>
      <w:jc w:val="center"/>
    </w:pPr>
  </w:style>
  <w:style w:type="paragraph" w:customStyle="1" w:styleId="TableHeadingCA">
    <w:name w:val="Table Heading CA"/>
    <w:basedOn w:val="TableHeading0"/>
    <w:qFormat/>
    <w:rsid w:val="00FD17BA"/>
    <w:pPr>
      <w:jc w:val="center"/>
    </w:pPr>
  </w:style>
  <w:style w:type="paragraph" w:customStyle="1" w:styleId="TableHeading0">
    <w:name w:val="Table Heading"/>
    <w:basedOn w:val="Normal"/>
    <w:qFormat/>
    <w:rsid w:val="00FD17BA"/>
    <w:pPr>
      <w:spacing w:after="60" w:line="240" w:lineRule="auto"/>
    </w:pPr>
    <w:rPr>
      <w:rFonts w:ascii="Arial Narrow" w:hAnsi="Arial Narrow"/>
      <w:b/>
      <w:sz w:val="20"/>
    </w:rPr>
  </w:style>
  <w:style w:type="paragraph" w:customStyle="1" w:styleId="TableFigNoteLast">
    <w:name w:val="TableFigNote Last"/>
    <w:basedOn w:val="TableFigNote"/>
    <w:qFormat/>
    <w:rsid w:val="00FD17BA"/>
  </w:style>
  <w:style w:type="character" w:customStyle="1" w:styleId="Heading4Char">
    <w:name w:val="Heading 4 Char"/>
    <w:basedOn w:val="DefaultParagraphFont"/>
    <w:link w:val="Heading4"/>
    <w:uiPriority w:val="9"/>
    <w:rsid w:val="00A776A4"/>
    <w:rPr>
      <w:rFonts w:ascii="Franklin Gothic Medium" w:eastAsiaTheme="majorEastAsia" w:hAnsi="Franklin Gothic Medium" w:cstheme="majorBidi"/>
      <w:i/>
      <w:sz w:val="24"/>
      <w:szCs w:val="24"/>
    </w:rPr>
  </w:style>
  <w:style w:type="paragraph" w:customStyle="1" w:styleId="2ChapterText">
    <w:name w:val="2ChapterText"/>
    <w:basedOn w:val="Normal"/>
    <w:qFormat/>
    <w:rsid w:val="00004F7F"/>
    <w:rPr>
      <w:shd w:val="clear" w:color="auto" w:fill="BDD6EE" w:themeFill="accent1" w:themeFillTint="66"/>
    </w:rPr>
  </w:style>
  <w:style w:type="paragraph" w:customStyle="1" w:styleId="1ExplanatoryText">
    <w:name w:val="1ExplanatoryText"/>
    <w:basedOn w:val="Normal"/>
    <w:qFormat/>
    <w:rsid w:val="00225833"/>
    <w:pPr>
      <w:shd w:val="clear" w:color="auto" w:fill="C5E0B3" w:themeFill="accent6" w:themeFillTint="66"/>
    </w:pPr>
  </w:style>
  <w:style w:type="character" w:styleId="Hyperlink">
    <w:name w:val="Hyperlink"/>
    <w:basedOn w:val="DefaultParagraphFont"/>
    <w:uiPriority w:val="99"/>
    <w:unhideWhenUsed/>
    <w:rsid w:val="00997BA8"/>
    <w:rPr>
      <w:color w:val="0070C0"/>
      <w:u w:val="single"/>
    </w:rPr>
  </w:style>
  <w:style w:type="paragraph" w:styleId="TOC1">
    <w:name w:val="toc 1"/>
    <w:basedOn w:val="Normal"/>
    <w:next w:val="Normal"/>
    <w:autoRedefine/>
    <w:uiPriority w:val="39"/>
    <w:unhideWhenUsed/>
    <w:rsid w:val="00C91651"/>
    <w:pPr>
      <w:tabs>
        <w:tab w:val="left" w:pos="1100"/>
        <w:tab w:val="left" w:pos="1531"/>
        <w:tab w:val="right" w:leader="dot" w:pos="9010"/>
      </w:tabs>
      <w:spacing w:after="100" w:line="240" w:lineRule="auto"/>
    </w:pPr>
    <w:rPr>
      <w:rFonts w:asciiTheme="minorHAnsi" w:hAnsiTheme="minorHAnsi"/>
      <w:b/>
    </w:rPr>
  </w:style>
  <w:style w:type="paragraph" w:styleId="TOC2">
    <w:name w:val="toc 2"/>
    <w:basedOn w:val="Normal"/>
    <w:next w:val="Normal"/>
    <w:autoRedefine/>
    <w:uiPriority w:val="39"/>
    <w:unhideWhenUsed/>
    <w:rsid w:val="00944087"/>
    <w:pPr>
      <w:tabs>
        <w:tab w:val="left" w:pos="1089"/>
        <w:tab w:val="right" w:leader="dot" w:pos="9010"/>
      </w:tabs>
      <w:spacing w:after="100" w:line="240" w:lineRule="auto"/>
    </w:pPr>
    <w:rPr>
      <w:rFonts w:asciiTheme="minorHAnsi" w:hAnsiTheme="minorHAnsi"/>
    </w:rPr>
  </w:style>
  <w:style w:type="paragraph" w:styleId="TOC3">
    <w:name w:val="toc 3"/>
    <w:basedOn w:val="Normal"/>
    <w:next w:val="Normal"/>
    <w:autoRedefine/>
    <w:uiPriority w:val="39"/>
    <w:unhideWhenUsed/>
    <w:rsid w:val="0088445B"/>
    <w:pPr>
      <w:spacing w:after="100" w:line="240" w:lineRule="auto"/>
      <w:ind w:left="720"/>
    </w:pPr>
    <w:rPr>
      <w:rFonts w:asciiTheme="minorHAnsi" w:hAnsiTheme="minorHAnsi"/>
    </w:rPr>
  </w:style>
  <w:style w:type="character" w:styleId="FollowedHyperlink">
    <w:name w:val="FollowedHyperlink"/>
    <w:basedOn w:val="DefaultParagraphFont"/>
    <w:uiPriority w:val="99"/>
    <w:semiHidden/>
    <w:unhideWhenUsed/>
    <w:rsid w:val="0088445B"/>
    <w:rPr>
      <w:color w:val="954F72" w:themeColor="followedHyperlink"/>
      <w:u w:val="single"/>
    </w:rPr>
  </w:style>
  <w:style w:type="paragraph" w:styleId="TOC9">
    <w:name w:val="toc 9"/>
    <w:basedOn w:val="Normal"/>
    <w:next w:val="Normal"/>
    <w:autoRedefine/>
    <w:uiPriority w:val="39"/>
    <w:unhideWhenUsed/>
    <w:rsid w:val="00AF3D39"/>
    <w:pPr>
      <w:spacing w:after="100"/>
      <w:ind w:left="1760"/>
    </w:pPr>
  </w:style>
  <w:style w:type="paragraph" w:styleId="Date">
    <w:name w:val="Date"/>
    <w:basedOn w:val="Normal"/>
    <w:next w:val="Normal"/>
    <w:link w:val="DateChar"/>
    <w:rsid w:val="000870B6"/>
    <w:pPr>
      <w:spacing w:before="1134" w:after="800"/>
      <w:ind w:left="4536"/>
    </w:pPr>
    <w:rPr>
      <w:rFonts w:ascii="Arial" w:eastAsia="Times New Roman" w:hAnsi="Arial" w:cs="Tahoma"/>
      <w:b/>
      <w:sz w:val="36"/>
      <w:lang w:eastAsia="en-AU"/>
    </w:rPr>
  </w:style>
  <w:style w:type="character" w:customStyle="1" w:styleId="DateChar">
    <w:name w:val="Date Char"/>
    <w:basedOn w:val="DefaultParagraphFont"/>
    <w:link w:val="Date"/>
    <w:rsid w:val="000870B6"/>
    <w:rPr>
      <w:rFonts w:ascii="Arial" w:eastAsia="Times New Roman" w:hAnsi="Arial" w:cs="Tahoma"/>
      <w:b/>
      <w:sz w:val="36"/>
      <w:lang w:eastAsia="en-AU"/>
    </w:rPr>
  </w:style>
  <w:style w:type="paragraph" w:customStyle="1" w:styleId="PublicationTitle">
    <w:name w:val="PublicationTitle"/>
    <w:basedOn w:val="Normal"/>
    <w:rsid w:val="000870B6"/>
    <w:pPr>
      <w:tabs>
        <w:tab w:val="left" w:pos="4536"/>
      </w:tabs>
      <w:spacing w:before="4536" w:after="800" w:line="480" w:lineRule="exact"/>
      <w:ind w:left="4536" w:right="113"/>
      <w:jc w:val="right"/>
    </w:pPr>
    <w:rPr>
      <w:rFonts w:ascii="Arial" w:eastAsia="Times New Roman" w:hAnsi="Arial" w:cs="Tahoma"/>
      <w:b/>
      <w:i/>
      <w:sz w:val="44"/>
      <w:lang w:eastAsia="en-AU"/>
    </w:rPr>
  </w:style>
  <w:style w:type="paragraph" w:customStyle="1" w:styleId="Sub-title">
    <w:name w:val="Sub-title"/>
    <w:basedOn w:val="Normal"/>
    <w:locked/>
    <w:rsid w:val="00401DBF"/>
    <w:pPr>
      <w:spacing w:before="1701"/>
      <w:ind w:left="4536"/>
    </w:pPr>
    <w:rPr>
      <w:rFonts w:ascii="Arial" w:eastAsia="Times New Roman" w:hAnsi="Arial" w:cs="Tahoma"/>
      <w:b/>
      <w:sz w:val="32"/>
      <w:lang w:eastAsia="en-AU"/>
    </w:rPr>
  </w:style>
  <w:style w:type="paragraph" w:customStyle="1" w:styleId="Nnumberedlist">
    <w:name w:val="Nnumbered list"/>
    <w:basedOn w:val="Normal"/>
    <w:rsid w:val="00AF3D39"/>
    <w:pPr>
      <w:numPr>
        <w:numId w:val="2"/>
      </w:numPr>
      <w:tabs>
        <w:tab w:val="clear" w:pos="1440"/>
        <w:tab w:val="num" w:pos="1800"/>
      </w:tabs>
      <w:ind w:left="1800"/>
      <w:jc w:val="both"/>
    </w:pPr>
    <w:rPr>
      <w:rFonts w:ascii="Calibri" w:eastAsia="Times New Roman" w:hAnsi="Calibri" w:cs="Tahoma"/>
      <w:lang w:eastAsia="en-AU"/>
    </w:rPr>
  </w:style>
  <w:style w:type="paragraph" w:styleId="TOCHeading">
    <w:name w:val="TOC Heading"/>
    <w:basedOn w:val="Heading1"/>
    <w:next w:val="Normal"/>
    <w:uiPriority w:val="39"/>
    <w:unhideWhenUsed/>
    <w:qFormat/>
    <w:rsid w:val="00DE7099"/>
    <w:pPr>
      <w:numPr>
        <w:numId w:val="0"/>
      </w:numPr>
      <w:pBdr>
        <w:bottom w:val="none" w:sz="0" w:space="0" w:color="auto"/>
      </w:pBdr>
      <w:spacing w:before="240" w:after="0" w:line="259" w:lineRule="auto"/>
      <w:outlineLvl w:val="9"/>
    </w:pPr>
    <w:rPr>
      <w:rFonts w:asciiTheme="majorHAnsi" w:hAnsiTheme="majorHAnsi"/>
      <w:color w:val="2E74B5" w:themeColor="accent1" w:themeShade="BF"/>
      <w:sz w:val="32"/>
      <w:lang w:val="en-US"/>
    </w:rPr>
  </w:style>
  <w:style w:type="paragraph" w:styleId="TOC4">
    <w:name w:val="toc 4"/>
    <w:basedOn w:val="Normal"/>
    <w:next w:val="Normal"/>
    <w:autoRedefine/>
    <w:uiPriority w:val="39"/>
    <w:unhideWhenUsed/>
    <w:rsid w:val="00DE7099"/>
    <w:pPr>
      <w:spacing w:after="100"/>
      <w:ind w:left="660"/>
    </w:pPr>
    <w:rPr>
      <w:rFonts w:asciiTheme="minorHAnsi" w:eastAsiaTheme="minorEastAsia" w:hAnsiTheme="minorHAnsi"/>
      <w:lang w:eastAsia="en-AU"/>
    </w:rPr>
  </w:style>
  <w:style w:type="paragraph" w:styleId="TOC5">
    <w:name w:val="toc 5"/>
    <w:basedOn w:val="Normal"/>
    <w:next w:val="Normal"/>
    <w:autoRedefine/>
    <w:uiPriority w:val="39"/>
    <w:unhideWhenUsed/>
    <w:rsid w:val="00DE7099"/>
    <w:pPr>
      <w:spacing w:after="100"/>
      <w:ind w:left="880"/>
    </w:pPr>
    <w:rPr>
      <w:rFonts w:asciiTheme="minorHAnsi" w:eastAsiaTheme="minorEastAsia" w:hAnsiTheme="minorHAnsi"/>
      <w:lang w:eastAsia="en-AU"/>
    </w:rPr>
  </w:style>
  <w:style w:type="paragraph" w:styleId="TOC6">
    <w:name w:val="toc 6"/>
    <w:basedOn w:val="Normal"/>
    <w:next w:val="Normal"/>
    <w:autoRedefine/>
    <w:uiPriority w:val="39"/>
    <w:unhideWhenUsed/>
    <w:rsid w:val="00DE7099"/>
    <w:pPr>
      <w:spacing w:after="100"/>
      <w:ind w:left="1100"/>
    </w:pPr>
    <w:rPr>
      <w:rFonts w:asciiTheme="minorHAnsi" w:eastAsiaTheme="minorEastAsia" w:hAnsiTheme="minorHAnsi"/>
      <w:lang w:eastAsia="en-AU"/>
    </w:rPr>
  </w:style>
  <w:style w:type="paragraph" w:styleId="TOC7">
    <w:name w:val="toc 7"/>
    <w:basedOn w:val="Normal"/>
    <w:next w:val="Normal"/>
    <w:autoRedefine/>
    <w:uiPriority w:val="39"/>
    <w:unhideWhenUsed/>
    <w:rsid w:val="00DE7099"/>
    <w:pPr>
      <w:spacing w:after="100"/>
      <w:ind w:left="1320"/>
    </w:pPr>
    <w:rPr>
      <w:rFonts w:asciiTheme="minorHAnsi" w:eastAsiaTheme="minorEastAsia" w:hAnsiTheme="minorHAnsi"/>
      <w:lang w:eastAsia="en-AU"/>
    </w:rPr>
  </w:style>
  <w:style w:type="paragraph" w:styleId="TOC8">
    <w:name w:val="toc 8"/>
    <w:basedOn w:val="Normal"/>
    <w:next w:val="Normal"/>
    <w:autoRedefine/>
    <w:uiPriority w:val="39"/>
    <w:unhideWhenUsed/>
    <w:rsid w:val="00DE7099"/>
    <w:pPr>
      <w:spacing w:after="100"/>
      <w:ind w:left="1540"/>
    </w:pPr>
    <w:rPr>
      <w:rFonts w:asciiTheme="minorHAnsi" w:eastAsiaTheme="minorEastAsia" w:hAnsiTheme="minorHAnsi"/>
      <w:lang w:eastAsia="en-AU"/>
    </w:rPr>
  </w:style>
  <w:style w:type="paragraph" w:customStyle="1" w:styleId="In-tableHeading">
    <w:name w:val="In-table Heading"/>
    <w:qFormat/>
    <w:rsid w:val="000472D4"/>
    <w:pPr>
      <w:keepNext/>
      <w:spacing w:after="0" w:line="240" w:lineRule="auto"/>
    </w:pPr>
    <w:rPr>
      <w:rFonts w:ascii="Arial Narrow" w:eastAsiaTheme="majorEastAsia" w:hAnsi="Arial Narrow" w:cs="Times New Roman"/>
      <w:b/>
      <w:sz w:val="20"/>
      <w:szCs w:val="24"/>
      <w:lang w:val="en-US" w:eastAsia="en-AU"/>
    </w:rPr>
  </w:style>
  <w:style w:type="paragraph" w:customStyle="1" w:styleId="TableFigureFooter">
    <w:name w:val="Table/Figure Footer"/>
    <w:basedOn w:val="Normal"/>
    <w:link w:val="TableFigureFooterChar"/>
    <w:qFormat/>
    <w:rsid w:val="009A06F4"/>
    <w:pPr>
      <w:tabs>
        <w:tab w:val="left" w:pos="284"/>
      </w:tabs>
      <w:spacing w:after="360" w:line="240" w:lineRule="auto"/>
    </w:pPr>
    <w:rPr>
      <w:rFonts w:ascii="Arial Narrow" w:eastAsia="Times New Roman" w:hAnsi="Arial Narrow" w:cs="Arial"/>
      <w:snapToGrid w:val="0"/>
      <w:sz w:val="18"/>
      <w:lang w:eastAsia="en-AU"/>
    </w:rPr>
  </w:style>
  <w:style w:type="character" w:customStyle="1" w:styleId="TableFigureFooterChar">
    <w:name w:val="Table/Figure Footer Char"/>
    <w:link w:val="TableFigureFooter"/>
    <w:rsid w:val="009A06F4"/>
    <w:rPr>
      <w:rFonts w:ascii="Arial Narrow" w:eastAsia="Times New Roman" w:hAnsi="Arial Narrow" w:cs="Arial"/>
      <w:snapToGrid w:val="0"/>
      <w:sz w:val="18"/>
      <w:lang w:eastAsia="en-AU"/>
    </w:rPr>
  </w:style>
  <w:style w:type="character" w:styleId="Emphasis">
    <w:name w:val="Emphasis"/>
    <w:uiPriority w:val="20"/>
    <w:qFormat/>
    <w:rsid w:val="00566298"/>
    <w:rPr>
      <w:i/>
      <w:iCs/>
    </w:rPr>
  </w:style>
  <w:style w:type="paragraph" w:styleId="Header">
    <w:name w:val="header"/>
    <w:basedOn w:val="Normal"/>
    <w:link w:val="HeaderChar"/>
    <w:uiPriority w:val="99"/>
    <w:unhideWhenUsed/>
    <w:rsid w:val="00B62D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2DF2"/>
    <w:rPr>
      <w:rFonts w:ascii="Franklin Gothic Book" w:hAnsi="Franklin Gothic Book"/>
    </w:rPr>
  </w:style>
  <w:style w:type="paragraph" w:styleId="Footer">
    <w:name w:val="footer"/>
    <w:basedOn w:val="Normal"/>
    <w:link w:val="FooterChar"/>
    <w:uiPriority w:val="99"/>
    <w:unhideWhenUsed/>
    <w:rsid w:val="00B62D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2DF2"/>
    <w:rPr>
      <w:rFonts w:ascii="Franklin Gothic Book" w:hAnsi="Franklin Gothic Book"/>
    </w:rPr>
  </w:style>
  <w:style w:type="paragraph" w:customStyle="1" w:styleId="Tablenotes">
    <w:name w:val="Tablenotes"/>
    <w:basedOn w:val="Normal"/>
    <w:link w:val="TablenotesChar"/>
    <w:qFormat/>
    <w:rsid w:val="00242F4E"/>
    <w:pPr>
      <w:widowControl w:val="0"/>
      <w:spacing w:after="120" w:line="240" w:lineRule="auto"/>
      <w:contextualSpacing/>
    </w:pPr>
    <w:rPr>
      <w:rFonts w:ascii="Arial Narrow" w:eastAsia="Times New Roman" w:hAnsi="Arial Narrow" w:cs="Arial"/>
      <w:snapToGrid w:val="0"/>
      <w:sz w:val="18"/>
      <w:szCs w:val="20"/>
    </w:rPr>
  </w:style>
  <w:style w:type="character" w:customStyle="1" w:styleId="TablenotesChar">
    <w:name w:val="Tablenotes Char"/>
    <w:basedOn w:val="DefaultParagraphFont"/>
    <w:link w:val="Tablenotes"/>
    <w:rsid w:val="00242F4E"/>
    <w:rPr>
      <w:rFonts w:ascii="Arial Narrow" w:eastAsia="Times New Roman" w:hAnsi="Arial Narrow" w:cs="Arial"/>
      <w:snapToGrid w:val="0"/>
      <w:sz w:val="18"/>
      <w:szCs w:val="20"/>
    </w:rPr>
  </w:style>
  <w:style w:type="character" w:customStyle="1" w:styleId="ListParagraphChar">
    <w:name w:val="List Paragraph Char"/>
    <w:aliases w:val="Recommendation Char,Bullet point Char,List Paragraph1 Char,List Paragraph11 Char"/>
    <w:basedOn w:val="DefaultParagraphFont"/>
    <w:link w:val="ListParagraph"/>
    <w:uiPriority w:val="34"/>
    <w:rsid w:val="00A454B3"/>
    <w:rPr>
      <w:rFonts w:ascii="Franklin Gothic Book" w:hAnsi="Franklin Gothic Book"/>
    </w:rPr>
  </w:style>
  <w:style w:type="table" w:customStyle="1" w:styleId="TableGridLight1">
    <w:name w:val="Table Grid Light1"/>
    <w:basedOn w:val="TableNormal"/>
    <w:uiPriority w:val="40"/>
    <w:rsid w:val="00BA59FB"/>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tblPr/>
      <w:tcPr>
        <w:shd w:val="clear" w:color="auto" w:fill="F2F2F2" w:themeFill="background1" w:themeFillShade="F2"/>
      </w:tcPr>
    </w:tblStylePr>
  </w:style>
  <w:style w:type="paragraph" w:customStyle="1" w:styleId="Bullet">
    <w:name w:val="Bullet"/>
    <w:basedOn w:val="Normal"/>
    <w:qFormat/>
    <w:rsid w:val="00BA59FB"/>
    <w:pPr>
      <w:spacing w:after="120" w:line="240" w:lineRule="auto"/>
    </w:pPr>
    <w:rPr>
      <w:rFonts w:asciiTheme="minorHAnsi" w:hAnsiTheme="minorHAnsi"/>
    </w:rPr>
  </w:style>
  <w:style w:type="paragraph" w:customStyle="1" w:styleId="TableFigureHeading">
    <w:name w:val="Table/Figure Heading"/>
    <w:next w:val="In-tableHeading"/>
    <w:link w:val="TableFigureHeadingChar"/>
    <w:qFormat/>
    <w:rsid w:val="00F257B5"/>
    <w:pPr>
      <w:keepNext/>
      <w:spacing w:after="0" w:line="240" w:lineRule="auto"/>
    </w:pPr>
    <w:rPr>
      <w:rFonts w:ascii="Arial Narrow" w:eastAsiaTheme="majorEastAsia" w:hAnsi="Arial Narrow" w:cstheme="majorBidi"/>
      <w:b/>
      <w:bCs/>
      <w:sz w:val="20"/>
      <w:szCs w:val="24"/>
      <w:lang w:eastAsia="en-AU"/>
    </w:rPr>
  </w:style>
  <w:style w:type="character" w:customStyle="1" w:styleId="TableFigureHeadingChar">
    <w:name w:val="Table/Figure Heading Char"/>
    <w:basedOn w:val="DefaultParagraphFont"/>
    <w:link w:val="TableFigureHeading"/>
    <w:rsid w:val="00F257B5"/>
    <w:rPr>
      <w:rFonts w:ascii="Arial Narrow" w:eastAsiaTheme="majorEastAsia" w:hAnsi="Arial Narrow" w:cstheme="majorBidi"/>
      <w:b/>
      <w:bCs/>
      <w:sz w:val="20"/>
      <w:szCs w:val="24"/>
      <w:lang w:eastAsia="en-AU"/>
    </w:rPr>
  </w:style>
  <w:style w:type="paragraph" w:customStyle="1" w:styleId="Tabletext0">
    <w:name w:val="Table text"/>
    <w:basedOn w:val="Normal"/>
    <w:link w:val="TabletextChar0"/>
    <w:qFormat/>
    <w:rsid w:val="001B2CD4"/>
    <w:pPr>
      <w:spacing w:before="40" w:after="40" w:line="240" w:lineRule="auto"/>
      <w:jc w:val="both"/>
    </w:pPr>
    <w:rPr>
      <w:rFonts w:ascii="Arial Narrow" w:eastAsia="Times New Roman" w:hAnsi="Arial Narrow" w:cs="Tahoma"/>
      <w:sz w:val="20"/>
      <w:szCs w:val="20"/>
      <w:lang w:eastAsia="en-AU"/>
    </w:rPr>
  </w:style>
  <w:style w:type="character" w:customStyle="1" w:styleId="TabletextChar0">
    <w:name w:val="Table text Char"/>
    <w:link w:val="Tabletext0"/>
    <w:rsid w:val="001B2CD4"/>
    <w:rPr>
      <w:rFonts w:ascii="Arial Narrow" w:eastAsia="Times New Roman" w:hAnsi="Arial Narrow" w:cs="Tahoma"/>
      <w:sz w:val="20"/>
      <w:szCs w:val="20"/>
      <w:lang w:eastAsia="en-AU"/>
    </w:rPr>
  </w:style>
  <w:style w:type="paragraph" w:customStyle="1" w:styleId="Tablenotes0">
    <w:name w:val="Table notes"/>
    <w:basedOn w:val="Normal"/>
    <w:link w:val="TablenotesChar0"/>
    <w:qFormat/>
    <w:rsid w:val="001B2CD4"/>
    <w:pPr>
      <w:spacing w:after="240"/>
      <w:contextualSpacing/>
      <w:jc w:val="both"/>
    </w:pPr>
    <w:rPr>
      <w:rFonts w:ascii="Arial Narrow" w:hAnsi="Arial Narrow" w:cs="Arial"/>
      <w:sz w:val="18"/>
    </w:rPr>
  </w:style>
  <w:style w:type="character" w:customStyle="1" w:styleId="TablenotesChar0">
    <w:name w:val="Table notes Char"/>
    <w:basedOn w:val="DefaultParagraphFont"/>
    <w:link w:val="Tablenotes0"/>
    <w:rsid w:val="001B2CD4"/>
    <w:rPr>
      <w:rFonts w:ascii="Arial Narrow" w:hAnsi="Arial Narrow" w:cs="Arial"/>
      <w:sz w:val="18"/>
    </w:rPr>
  </w:style>
  <w:style w:type="numbering" w:customStyle="1" w:styleId="ESSectionheading-numbered">
    <w:name w:val="ES. Section heading - numbered"/>
    <w:uiPriority w:val="99"/>
    <w:rsid w:val="002A4084"/>
    <w:pPr>
      <w:numPr>
        <w:numId w:val="4"/>
      </w:numPr>
    </w:pPr>
  </w:style>
  <w:style w:type="paragraph" w:customStyle="1" w:styleId="2-SectionHeading">
    <w:name w:val="2-Section Heading"/>
    <w:qFormat/>
    <w:rsid w:val="005131D3"/>
    <w:pPr>
      <w:keepNext/>
      <w:numPr>
        <w:numId w:val="5"/>
      </w:numPr>
      <w:spacing w:before="240" w:after="120" w:line="240" w:lineRule="auto"/>
      <w:outlineLvl w:val="0"/>
    </w:pPr>
    <w:rPr>
      <w:rFonts w:eastAsia="Times New Roman" w:cs="Arial"/>
      <w:b/>
      <w:snapToGrid w:val="0"/>
      <w:sz w:val="32"/>
      <w:szCs w:val="32"/>
      <w:lang w:eastAsia="en-AU"/>
    </w:rPr>
  </w:style>
  <w:style w:type="paragraph" w:customStyle="1" w:styleId="3-BodyText">
    <w:name w:val="3-Body Text"/>
    <w:basedOn w:val="ListParagraph"/>
    <w:qFormat/>
    <w:rsid w:val="005131D3"/>
    <w:pPr>
      <w:numPr>
        <w:ilvl w:val="1"/>
        <w:numId w:val="5"/>
      </w:numPr>
      <w:spacing w:after="120" w:line="240" w:lineRule="auto"/>
      <w:contextualSpacing w:val="0"/>
      <w:jc w:val="both"/>
    </w:pPr>
    <w:rPr>
      <w:rFonts w:asciiTheme="minorHAnsi" w:eastAsia="Times New Roman" w:hAnsiTheme="minorHAnsi" w:cs="Arial"/>
      <w:snapToGrid w:val="0"/>
      <w:sz w:val="24"/>
      <w:szCs w:val="24"/>
      <w:lang w:eastAsia="en-AU"/>
    </w:rPr>
  </w:style>
  <w:style w:type="paragraph" w:customStyle="1" w:styleId="BoxName">
    <w:name w:val="Box Name"/>
    <w:basedOn w:val="Normal"/>
    <w:qFormat/>
    <w:rsid w:val="002B667C"/>
    <w:pPr>
      <w:pBdr>
        <w:top w:val="single" w:sz="4" w:space="4" w:color="auto"/>
        <w:left w:val="single" w:sz="4" w:space="4" w:color="auto"/>
        <w:bottom w:val="single" w:sz="4" w:space="4" w:color="auto"/>
        <w:right w:val="single" w:sz="4" w:space="4" w:color="auto"/>
      </w:pBdr>
      <w:spacing w:after="120" w:line="240" w:lineRule="auto"/>
    </w:pPr>
    <w:rPr>
      <w:rFonts w:ascii="Franklin Gothic Medium" w:hAnsi="Franklin Gothic Medium"/>
      <w:sz w:val="21"/>
    </w:rPr>
  </w:style>
  <w:style w:type="character" w:customStyle="1" w:styleId="InstructionBulletpointChar">
    <w:name w:val="Instruction Bullet point Char"/>
    <w:basedOn w:val="DefaultParagraphFont"/>
    <w:link w:val="InstructionBulletpoint"/>
    <w:uiPriority w:val="3"/>
    <w:locked/>
    <w:rsid w:val="00107DCD"/>
    <w:rPr>
      <w:rFonts w:ascii="Calibri" w:hAnsi="Calibri" w:cs="Calibri"/>
      <w:color w:val="0070C0"/>
      <w:sz w:val="24"/>
    </w:rPr>
  </w:style>
  <w:style w:type="paragraph" w:customStyle="1" w:styleId="InstructionBulletpoint">
    <w:name w:val="Instruction Bullet point"/>
    <w:basedOn w:val="Normal"/>
    <w:link w:val="InstructionBulletpointChar"/>
    <w:uiPriority w:val="3"/>
    <w:qFormat/>
    <w:rsid w:val="00107DCD"/>
    <w:pPr>
      <w:numPr>
        <w:numId w:val="6"/>
      </w:numPr>
      <w:spacing w:after="120" w:line="240" w:lineRule="auto"/>
      <w:ind w:left="714" w:hanging="357"/>
    </w:pPr>
    <w:rPr>
      <w:rFonts w:ascii="Calibri" w:hAnsi="Calibri" w:cs="Calibri"/>
      <w:color w:val="0070C0"/>
      <w:sz w:val="24"/>
    </w:rPr>
  </w:style>
  <w:style w:type="character" w:customStyle="1" w:styleId="TableFooterChar">
    <w:name w:val="Table Footer Char"/>
    <w:link w:val="TableFooter"/>
    <w:locked/>
    <w:rsid w:val="007B0880"/>
    <w:rPr>
      <w:rFonts w:ascii="Arial Narrow" w:eastAsia="Times New Roman" w:hAnsi="Arial Narrow" w:cs="Arial"/>
      <w:sz w:val="18"/>
      <w:szCs w:val="20"/>
    </w:rPr>
  </w:style>
  <w:style w:type="paragraph" w:customStyle="1" w:styleId="TableFooter">
    <w:name w:val="Table Footer"/>
    <w:basedOn w:val="Normal"/>
    <w:link w:val="TableFooterChar"/>
    <w:qFormat/>
    <w:rsid w:val="007B0880"/>
    <w:pPr>
      <w:widowControl w:val="0"/>
      <w:snapToGrid w:val="0"/>
      <w:spacing w:after="240" w:line="240" w:lineRule="auto"/>
      <w:contextualSpacing/>
      <w:jc w:val="both"/>
    </w:pPr>
    <w:rPr>
      <w:rFonts w:ascii="Arial Narrow" w:eastAsia="Times New Roman" w:hAnsi="Arial Narrow" w:cs="Arial"/>
      <w:sz w:val="18"/>
      <w:szCs w:val="20"/>
    </w:rPr>
  </w:style>
  <w:style w:type="table" w:customStyle="1" w:styleId="PBACTableStyle">
    <w:name w:val="PBAC Table Style"/>
    <w:basedOn w:val="TableGrid10"/>
    <w:uiPriority w:val="99"/>
    <w:rsid w:val="007B0880"/>
    <w:pPr>
      <w:widowControl w:val="0"/>
      <w:spacing w:before="120" w:after="0" w:line="240" w:lineRule="auto"/>
      <w:contextualSpacing/>
      <w:jc w:val="center"/>
    </w:pPr>
    <w:rPr>
      <w:rFonts w:ascii="Arial Narrow" w:hAnsi="Arial Narrow"/>
      <w:color w:val="000000" w:themeColor="text1"/>
      <w:sz w:val="20"/>
      <w:szCs w:val="20"/>
      <w:lang w:val="en-US"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100" w:beforeAutospacing="1" w:afterLines="0" w:after="100" w:afterAutospacing="1" w:line="240" w:lineRule="auto"/>
        <w:ind w:leftChars="0" w:left="0" w:rightChars="0" w:right="0" w:firstLineChars="0" w:firstLine="0"/>
        <w:contextualSpacing/>
        <w:jc w:val="center"/>
      </w:pPr>
      <w:rPr>
        <w:rFonts w:ascii="Franklin Gothic Book" w:hAnsi="Franklin Gothic Book" w:hint="default"/>
        <w:b/>
        <w:sz w:val="20"/>
        <w:szCs w:val="20"/>
      </w:rPr>
    </w:tblStylePr>
    <w:tblStylePr w:type="lastRow">
      <w:rPr>
        <w:i/>
        <w:iCs/>
      </w:rPr>
      <w:tblPr/>
      <w:tcPr>
        <w:tcBorders>
          <w:tl2br w:val="none" w:sz="0" w:space="0" w:color="auto"/>
          <w:tr2bl w:val="none" w:sz="0" w:space="0" w:color="auto"/>
        </w:tcBorders>
      </w:tcPr>
    </w:tblStylePr>
    <w:tblStylePr w:type="firstCol">
      <w:pPr>
        <w:wordWrap/>
        <w:spacing w:beforeLines="0" w:before="100" w:beforeAutospacing="1" w:afterLines="0" w:after="100" w:afterAutospacing="1" w:line="240" w:lineRule="auto"/>
        <w:ind w:leftChars="0" w:left="0" w:rightChars="0" w:right="0"/>
        <w:contextualSpacing/>
        <w:jc w:val="left"/>
      </w:pPr>
      <w:rPr>
        <w:rFonts w:ascii="Franklin Gothic Book" w:hAnsi="Franklin Gothic Book" w:hint="default"/>
        <w:sz w:val="20"/>
        <w:szCs w:val="20"/>
      </w:rPr>
    </w:tblStylePr>
    <w:tblStylePr w:type="lastCol">
      <w:pPr>
        <w:wordWrap/>
        <w:spacing w:beforeLines="0" w:before="100" w:beforeAutospacing="1" w:afterLines="0" w:after="100" w:afterAutospacing="1" w:line="240" w:lineRule="auto"/>
        <w:ind w:leftChars="0" w:left="0" w:rightChars="0" w:right="0" w:firstLineChars="0" w:firstLine="0"/>
        <w:contextualSpacing/>
      </w:pPr>
      <w:rPr>
        <w:rFonts w:ascii="Franklin Gothic Book" w:hAnsi="Franklin Gothic Book" w:hint="default"/>
        <w:i/>
        <w:iCs/>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cBorders>
      </w:tcPr>
    </w:tblStylePr>
  </w:style>
  <w:style w:type="table" w:styleId="TableGrid10">
    <w:name w:val="Table Grid 1"/>
    <w:basedOn w:val="TableNormal"/>
    <w:uiPriority w:val="99"/>
    <w:semiHidden/>
    <w:unhideWhenUsed/>
    <w:rsid w:val="007B088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MSACESParagraphChar">
    <w:name w:val="MSAC ES Paragraph Char"/>
    <w:basedOn w:val="DefaultParagraphFont"/>
    <w:link w:val="MSACESParagraph"/>
    <w:uiPriority w:val="1"/>
    <w:locked/>
    <w:rsid w:val="000B720C"/>
    <w:rPr>
      <w:rFonts w:ascii="Times New Roman" w:hAnsi="Times New Roman" w:cs="Times New Roman"/>
      <w:sz w:val="24"/>
    </w:rPr>
  </w:style>
  <w:style w:type="paragraph" w:customStyle="1" w:styleId="MSACESParagraph">
    <w:name w:val="MSAC ES Paragraph"/>
    <w:link w:val="MSACESParagraphChar"/>
    <w:uiPriority w:val="1"/>
    <w:qFormat/>
    <w:rsid w:val="000B720C"/>
    <w:pPr>
      <w:spacing w:after="240" w:line="240" w:lineRule="auto"/>
    </w:pPr>
    <w:rPr>
      <w:rFonts w:ascii="Times New Roman" w:hAnsi="Times New Roman" w:cs="Times New Roman"/>
      <w:sz w:val="24"/>
    </w:rPr>
  </w:style>
  <w:style w:type="paragraph" w:styleId="FootnoteText">
    <w:name w:val="footnote text"/>
    <w:basedOn w:val="Normal"/>
    <w:link w:val="FootnoteTextChar"/>
    <w:uiPriority w:val="99"/>
    <w:unhideWhenUsed/>
    <w:qFormat/>
    <w:rsid w:val="00804632"/>
    <w:pPr>
      <w:spacing w:after="0" w:line="240" w:lineRule="auto"/>
    </w:pPr>
    <w:rPr>
      <w:rFonts w:asciiTheme="minorHAnsi" w:hAnsiTheme="minorHAnsi"/>
      <w:sz w:val="18"/>
      <w:szCs w:val="20"/>
    </w:rPr>
  </w:style>
  <w:style w:type="character" w:customStyle="1" w:styleId="FootnoteTextChar">
    <w:name w:val="Footnote Text Char"/>
    <w:basedOn w:val="DefaultParagraphFont"/>
    <w:link w:val="FootnoteText"/>
    <w:uiPriority w:val="99"/>
    <w:rsid w:val="00804632"/>
    <w:rPr>
      <w:sz w:val="18"/>
      <w:szCs w:val="20"/>
    </w:rPr>
  </w:style>
  <w:style w:type="character" w:styleId="FootnoteReference">
    <w:name w:val="footnote reference"/>
    <w:basedOn w:val="DefaultParagraphFont"/>
    <w:uiPriority w:val="99"/>
    <w:unhideWhenUsed/>
    <w:qFormat/>
    <w:rsid w:val="00804632"/>
    <w:rPr>
      <w:vertAlign w:val="superscript"/>
    </w:rPr>
  </w:style>
  <w:style w:type="paragraph" w:customStyle="1" w:styleId="TableFigNoteHanging">
    <w:name w:val="TableFigNoteHanging"/>
    <w:basedOn w:val="TableFigNoteHangingLast"/>
    <w:qFormat/>
    <w:rsid w:val="00804632"/>
    <w:pPr>
      <w:spacing w:after="0"/>
      <w:contextualSpacing w:val="0"/>
    </w:pPr>
    <w:rPr>
      <w:rFonts w:asciiTheme="minorHAnsi" w:hAnsiTheme="minorHAnsi"/>
    </w:rPr>
  </w:style>
  <w:style w:type="table" w:customStyle="1" w:styleId="TableGrid2">
    <w:name w:val="Table Grid2"/>
    <w:basedOn w:val="TableNormal"/>
    <w:next w:val="TableGrid"/>
    <w:uiPriority w:val="59"/>
    <w:rsid w:val="00804632"/>
    <w:pPr>
      <w:spacing w:after="240" w:line="240" w:lineRule="auto"/>
      <w:ind w:left="720"/>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mmaryboxheading">
    <w:name w:val="Summary box heading"/>
    <w:basedOn w:val="Normal"/>
    <w:rsid w:val="00666A58"/>
    <w:pPr>
      <w:spacing w:after="100" w:afterAutospacing="1"/>
      <w:jc w:val="both"/>
    </w:pPr>
    <w:rPr>
      <w:rFonts w:ascii="Arial Narrow" w:eastAsia="Times New Roman" w:hAnsi="Arial Narrow" w:cs="Tahoma"/>
      <w:b/>
      <w:lang w:eastAsia="en-AU"/>
    </w:rPr>
  </w:style>
  <w:style w:type="paragraph" w:customStyle="1" w:styleId="TableText1">
    <w:name w:val="TableText"/>
    <w:basedOn w:val="Normal"/>
    <w:link w:val="TableTextChar1"/>
    <w:rsid w:val="001C2A48"/>
    <w:pPr>
      <w:keepNext/>
      <w:spacing w:before="40" w:after="40"/>
      <w:jc w:val="both"/>
    </w:pPr>
    <w:rPr>
      <w:rFonts w:ascii="Arial Narrow" w:eastAsia="Times New Roman" w:hAnsi="Arial Narrow" w:cs="Tahoma"/>
      <w:sz w:val="18"/>
      <w:lang w:eastAsia="en-AU"/>
    </w:rPr>
  </w:style>
  <w:style w:type="character" w:customStyle="1" w:styleId="TableTextChar1">
    <w:name w:val="TableText Char"/>
    <w:link w:val="TableText1"/>
    <w:rsid w:val="001C2A48"/>
    <w:rPr>
      <w:rFonts w:ascii="Arial Narrow" w:eastAsia="Times New Roman" w:hAnsi="Arial Narrow" w:cs="Tahoma"/>
      <w:sz w:val="18"/>
      <w:lang w:eastAsia="en-AU"/>
    </w:rPr>
  </w:style>
  <w:style w:type="paragraph" w:customStyle="1" w:styleId="References">
    <w:name w:val="References"/>
    <w:basedOn w:val="Normal"/>
    <w:rsid w:val="001C2A48"/>
    <w:pPr>
      <w:keepLines/>
      <w:spacing w:after="240" w:line="312" w:lineRule="auto"/>
      <w:ind w:left="1440" w:hanging="720"/>
    </w:pPr>
    <w:rPr>
      <w:rFonts w:ascii="Calibri" w:eastAsia="Times New Roman" w:hAnsi="Calibri" w:cs="Tahoma"/>
      <w:lang w:eastAsia="en-AU"/>
    </w:rPr>
  </w:style>
  <w:style w:type="paragraph" w:styleId="Title">
    <w:name w:val="Title"/>
    <w:basedOn w:val="Normal"/>
    <w:next w:val="Normal"/>
    <w:link w:val="TitleChar"/>
    <w:qFormat/>
    <w:rsid w:val="00772829"/>
    <w:pPr>
      <w:spacing w:before="480" w:after="240" w:line="240" w:lineRule="auto"/>
      <w:jc w:val="center"/>
    </w:pPr>
    <w:rPr>
      <w:rFonts w:ascii="Arial" w:eastAsia="Times New Roman" w:hAnsi="Arial" w:cs="Arial"/>
      <w:b/>
      <w:bCs/>
      <w:color w:val="000080"/>
      <w:sz w:val="36"/>
      <w:szCs w:val="36"/>
      <w:lang w:eastAsia="en-AU"/>
    </w:rPr>
  </w:style>
  <w:style w:type="character" w:customStyle="1" w:styleId="TitleChar">
    <w:name w:val="Title Char"/>
    <w:basedOn w:val="DefaultParagraphFont"/>
    <w:link w:val="Title"/>
    <w:rsid w:val="00772829"/>
    <w:rPr>
      <w:rFonts w:ascii="Arial" w:eastAsia="Times New Roman" w:hAnsi="Arial" w:cs="Arial"/>
      <w:b/>
      <w:bCs/>
      <w:color w:val="000080"/>
      <w:sz w:val="36"/>
      <w:szCs w:val="36"/>
      <w:lang w:eastAsia="en-AU"/>
    </w:rPr>
  </w:style>
  <w:style w:type="paragraph" w:styleId="Subtitle">
    <w:name w:val="Subtitle"/>
    <w:basedOn w:val="Normal"/>
    <w:next w:val="Normal"/>
    <w:link w:val="SubtitleChar"/>
    <w:qFormat/>
    <w:rsid w:val="00772829"/>
    <w:pPr>
      <w:spacing w:after="240" w:line="240" w:lineRule="auto"/>
      <w:jc w:val="center"/>
    </w:pPr>
    <w:rPr>
      <w:rFonts w:ascii="Arial" w:eastAsia="Times New Roman" w:hAnsi="Arial" w:cs="Arial"/>
      <w:b/>
      <w:bCs/>
      <w:i/>
      <w:color w:val="000080"/>
      <w:sz w:val="28"/>
      <w:szCs w:val="28"/>
      <w:lang w:eastAsia="en-AU"/>
    </w:rPr>
  </w:style>
  <w:style w:type="character" w:customStyle="1" w:styleId="SubtitleChar">
    <w:name w:val="Subtitle Char"/>
    <w:basedOn w:val="DefaultParagraphFont"/>
    <w:link w:val="Subtitle"/>
    <w:rsid w:val="00772829"/>
    <w:rPr>
      <w:rFonts w:ascii="Arial" w:eastAsia="Times New Roman" w:hAnsi="Arial" w:cs="Arial"/>
      <w:b/>
      <w:bCs/>
      <w:i/>
      <w:color w:val="000080"/>
      <w:sz w:val="28"/>
      <w:szCs w:val="28"/>
      <w:lang w:eastAsia="en-AU"/>
    </w:rPr>
  </w:style>
  <w:style w:type="paragraph" w:customStyle="1" w:styleId="ESHeading1">
    <w:name w:val="ES Heading1"/>
    <w:basedOn w:val="Heading2"/>
    <w:next w:val="Normal"/>
    <w:qFormat/>
    <w:rsid w:val="002C70CE"/>
    <w:pPr>
      <w:numPr>
        <w:ilvl w:val="0"/>
        <w:numId w:val="7"/>
      </w:numPr>
      <w:spacing w:before="240"/>
      <w:ind w:left="2154" w:hanging="357"/>
    </w:pPr>
  </w:style>
  <w:style w:type="paragraph" w:customStyle="1" w:styleId="NormalBeforeBullet">
    <w:name w:val="Normal Before Bullet"/>
    <w:basedOn w:val="Normal"/>
    <w:qFormat/>
    <w:rsid w:val="00091C59"/>
    <w:pPr>
      <w:keepNext/>
      <w:spacing w:after="120" w:line="240" w:lineRule="auto"/>
    </w:pPr>
    <w:rPr>
      <w:rFonts w:asciiTheme="minorHAnsi" w:hAnsiTheme="minorHAnsi"/>
    </w:rPr>
  </w:style>
  <w:style w:type="paragraph" w:customStyle="1" w:styleId="Dash">
    <w:name w:val="Dash"/>
    <w:basedOn w:val="Bullet"/>
    <w:qFormat/>
    <w:rsid w:val="00091C59"/>
    <w:pPr>
      <w:numPr>
        <w:numId w:val="8"/>
      </w:numPr>
      <w:spacing w:after="40"/>
      <w:ind w:left="714" w:hanging="357"/>
    </w:pPr>
  </w:style>
  <w:style w:type="paragraph" w:customStyle="1" w:styleId="Instructionaltext">
    <w:name w:val="Instructional text"/>
    <w:basedOn w:val="Normal"/>
    <w:link w:val="InstructionaltextChar"/>
    <w:qFormat/>
    <w:rsid w:val="00E436A2"/>
    <w:rPr>
      <w:color w:val="258221"/>
    </w:rPr>
  </w:style>
  <w:style w:type="character" w:customStyle="1" w:styleId="UnresolvedMention1">
    <w:name w:val="Unresolved Mention1"/>
    <w:basedOn w:val="DefaultParagraphFont"/>
    <w:uiPriority w:val="99"/>
    <w:semiHidden/>
    <w:unhideWhenUsed/>
    <w:rsid w:val="00997BA8"/>
    <w:rPr>
      <w:color w:val="605E5C"/>
      <w:shd w:val="clear" w:color="auto" w:fill="E1DFDD"/>
    </w:rPr>
  </w:style>
  <w:style w:type="character" w:customStyle="1" w:styleId="InstructionaltextChar">
    <w:name w:val="Instructional text Char"/>
    <w:basedOn w:val="DefaultParagraphFont"/>
    <w:link w:val="Instructionaltext"/>
    <w:rsid w:val="00DF39E9"/>
    <w:rPr>
      <w:rFonts w:ascii="Franklin Gothic Book" w:hAnsi="Franklin Gothic Book"/>
      <w:color w:val="258221"/>
    </w:rPr>
  </w:style>
  <w:style w:type="paragraph" w:customStyle="1" w:styleId="Instructionaltext-bullet">
    <w:name w:val="Instructional text - bullet"/>
    <w:basedOn w:val="Instructionaltext"/>
    <w:qFormat/>
    <w:rsid w:val="002463A6"/>
    <w:pPr>
      <w:numPr>
        <w:numId w:val="9"/>
      </w:numPr>
      <w:spacing w:before="0" w:after="0"/>
    </w:pPr>
  </w:style>
  <w:style w:type="paragraph" w:customStyle="1" w:styleId="Instructionaltext-afterfiguretable">
    <w:name w:val="Instructional text - after figure/table"/>
    <w:basedOn w:val="Instructionaltext"/>
    <w:qFormat/>
    <w:rsid w:val="00B151CF"/>
    <w:pPr>
      <w:spacing w:before="360"/>
    </w:pPr>
  </w:style>
  <w:style w:type="paragraph" w:customStyle="1" w:styleId="Guidelinescross-ref">
    <w:name w:val="Guidelines cross-ref"/>
    <w:basedOn w:val="Normal"/>
    <w:qFormat/>
    <w:rsid w:val="005B7D6C"/>
    <w:pPr>
      <w:spacing w:before="240" w:after="240"/>
    </w:pPr>
    <w:rPr>
      <w:b/>
      <w:color w:val="0070C0"/>
      <w:sz w:val="24"/>
    </w:rPr>
  </w:style>
  <w:style w:type="paragraph" w:styleId="Revision">
    <w:name w:val="Revision"/>
    <w:hidden/>
    <w:uiPriority w:val="99"/>
    <w:semiHidden/>
    <w:rsid w:val="00610ABA"/>
    <w:pPr>
      <w:spacing w:after="0" w:line="240" w:lineRule="auto"/>
    </w:pPr>
    <w:rPr>
      <w:rFonts w:ascii="Franklin Gothic Book" w:hAnsi="Franklin Gothic Book"/>
    </w:rPr>
  </w:style>
  <w:style w:type="character" w:customStyle="1" w:styleId="UnresolvedMention2">
    <w:name w:val="Unresolved Mention2"/>
    <w:basedOn w:val="DefaultParagraphFont"/>
    <w:uiPriority w:val="99"/>
    <w:semiHidden/>
    <w:unhideWhenUsed/>
    <w:rsid w:val="00223664"/>
    <w:rPr>
      <w:color w:val="605E5C"/>
      <w:shd w:val="clear" w:color="auto" w:fill="E1DFDD"/>
    </w:rPr>
  </w:style>
  <w:style w:type="paragraph" w:styleId="EndnoteText">
    <w:name w:val="endnote text"/>
    <w:basedOn w:val="Normal"/>
    <w:link w:val="EndnoteTextChar"/>
    <w:uiPriority w:val="99"/>
    <w:semiHidden/>
    <w:unhideWhenUsed/>
    <w:rsid w:val="0051081E"/>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51081E"/>
    <w:rPr>
      <w:rFonts w:ascii="Franklin Gothic Book" w:hAnsi="Franklin Gothic Book"/>
      <w:sz w:val="20"/>
      <w:szCs w:val="20"/>
    </w:rPr>
  </w:style>
  <w:style w:type="character" w:styleId="EndnoteReference">
    <w:name w:val="endnote reference"/>
    <w:basedOn w:val="DefaultParagraphFont"/>
    <w:uiPriority w:val="99"/>
    <w:semiHidden/>
    <w:unhideWhenUsed/>
    <w:rsid w:val="0051081E"/>
    <w:rPr>
      <w:vertAlign w:val="superscript"/>
    </w:rPr>
  </w:style>
  <w:style w:type="character" w:styleId="UnresolvedMention">
    <w:name w:val="Unresolved Mention"/>
    <w:basedOn w:val="DefaultParagraphFont"/>
    <w:uiPriority w:val="99"/>
    <w:semiHidden/>
    <w:unhideWhenUsed/>
    <w:rsid w:val="00390403"/>
    <w:rPr>
      <w:color w:val="605E5C"/>
      <w:shd w:val="clear" w:color="auto" w:fill="E1DFDD"/>
    </w:rPr>
  </w:style>
  <w:style w:type="table" w:customStyle="1" w:styleId="TableGrid3">
    <w:name w:val="Table Grid3"/>
    <w:basedOn w:val="TableNormal"/>
    <w:next w:val="TableGrid"/>
    <w:uiPriority w:val="39"/>
    <w:rsid w:val="004F7116"/>
    <w:pPr>
      <w:spacing w:after="240" w:line="240" w:lineRule="auto"/>
      <w:ind w:left="720"/>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BeforeDash">
    <w:name w:val="BulletBeforeDash"/>
    <w:basedOn w:val="Normal"/>
    <w:rsid w:val="009B001F"/>
    <w:pPr>
      <w:spacing w:before="0" w:after="0" w:line="240" w:lineRule="auto"/>
    </w:pPr>
    <w:rPr>
      <w:rFonts w:ascii="Times New Roman" w:eastAsia="Times New Roman" w:hAnsi="Times New Roman" w:cs="Times New Roman"/>
      <w:color w:val="000000"/>
      <w:sz w:val="24"/>
      <w:szCs w:val="20"/>
      <w:lang w:eastAsia="en-AU"/>
    </w:rPr>
  </w:style>
  <w:style w:type="paragraph" w:customStyle="1" w:styleId="BulletLast">
    <w:name w:val="BulletLast"/>
    <w:basedOn w:val="Bullet"/>
    <w:qFormat/>
    <w:rsid w:val="009B001F"/>
    <w:pPr>
      <w:spacing w:before="0" w:after="240"/>
      <w:ind w:left="720" w:hanging="360"/>
    </w:pPr>
    <w:rPr>
      <w:rFonts w:ascii="Times New Roman" w:eastAsia="Times New Roman" w:hAnsi="Times New Roman" w:cs="Times New Roman"/>
      <w:color w:val="000000"/>
      <w:sz w:val="24"/>
      <w:szCs w:val="20"/>
      <w:lang w:eastAsia="en-AU"/>
    </w:rPr>
  </w:style>
  <w:style w:type="paragraph" w:customStyle="1" w:styleId="NormalBeforeBullet0">
    <w:name w:val="NormalBeforeBullet"/>
    <w:basedOn w:val="Normal"/>
    <w:qFormat/>
    <w:rsid w:val="009B001F"/>
    <w:pPr>
      <w:keepNext/>
      <w:spacing w:before="0" w:after="120" w:line="240" w:lineRule="auto"/>
    </w:pPr>
    <w:rPr>
      <w:rFonts w:ascii="Times New Roman" w:eastAsia="Times New Roman" w:hAnsi="Times New Roman" w:cs="Times New Roman"/>
      <w:color w:val="000000"/>
      <w:sz w:val="24"/>
      <w:szCs w:val="20"/>
      <w:lang w:eastAsia="en-AU"/>
    </w:rPr>
  </w:style>
  <w:style w:type="paragraph" w:customStyle="1" w:styleId="5Bodytext">
    <w:name w:val="5. Body text"/>
    <w:basedOn w:val="ListParagraph"/>
    <w:link w:val="5BodytextChar"/>
    <w:qFormat/>
    <w:rsid w:val="002F7BCB"/>
    <w:pPr>
      <w:autoSpaceDE w:val="0"/>
      <w:autoSpaceDN w:val="0"/>
      <w:adjustRightInd w:val="0"/>
      <w:spacing w:before="0" w:after="240" w:line="240" w:lineRule="auto"/>
      <w:ind w:left="0"/>
      <w:contextualSpacing w:val="0"/>
    </w:pPr>
    <w:rPr>
      <w:rFonts w:ascii="Tms Rmn" w:eastAsia="Times New Roman" w:hAnsi="Tms Rmn" w:cs="Times New Roman"/>
      <w:sz w:val="24"/>
      <w:szCs w:val="24"/>
      <w:lang w:eastAsia="en-AU"/>
    </w:rPr>
  </w:style>
  <w:style w:type="character" w:customStyle="1" w:styleId="5BodytextChar">
    <w:name w:val="5. Body text Char"/>
    <w:basedOn w:val="DefaultParagraphFont"/>
    <w:link w:val="5Bodytext"/>
    <w:rsid w:val="002F7BCB"/>
    <w:rPr>
      <w:rFonts w:ascii="Tms Rmn" w:eastAsia="Times New Roman" w:hAnsi="Tms Rmn" w:cs="Times New Roman"/>
      <w:sz w:val="24"/>
      <w:szCs w:val="24"/>
      <w:lang w:eastAsia="en-AU"/>
    </w:rPr>
  </w:style>
  <w:style w:type="paragraph" w:styleId="NormalWeb">
    <w:name w:val="Normal (Web)"/>
    <w:basedOn w:val="Normal"/>
    <w:uiPriority w:val="99"/>
    <w:semiHidden/>
    <w:unhideWhenUsed/>
    <w:rsid w:val="003B600B"/>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765403">
      <w:bodyDiv w:val="1"/>
      <w:marLeft w:val="0"/>
      <w:marRight w:val="0"/>
      <w:marTop w:val="0"/>
      <w:marBottom w:val="0"/>
      <w:divBdr>
        <w:top w:val="none" w:sz="0" w:space="0" w:color="auto"/>
        <w:left w:val="none" w:sz="0" w:space="0" w:color="auto"/>
        <w:bottom w:val="none" w:sz="0" w:space="0" w:color="auto"/>
        <w:right w:val="none" w:sz="0" w:space="0" w:color="auto"/>
      </w:divBdr>
    </w:div>
    <w:div w:id="36779056">
      <w:bodyDiv w:val="1"/>
      <w:marLeft w:val="0"/>
      <w:marRight w:val="0"/>
      <w:marTop w:val="0"/>
      <w:marBottom w:val="0"/>
      <w:divBdr>
        <w:top w:val="none" w:sz="0" w:space="0" w:color="auto"/>
        <w:left w:val="none" w:sz="0" w:space="0" w:color="auto"/>
        <w:bottom w:val="none" w:sz="0" w:space="0" w:color="auto"/>
        <w:right w:val="none" w:sz="0" w:space="0" w:color="auto"/>
      </w:divBdr>
    </w:div>
    <w:div w:id="49698784">
      <w:bodyDiv w:val="1"/>
      <w:marLeft w:val="0"/>
      <w:marRight w:val="0"/>
      <w:marTop w:val="0"/>
      <w:marBottom w:val="0"/>
      <w:divBdr>
        <w:top w:val="none" w:sz="0" w:space="0" w:color="auto"/>
        <w:left w:val="none" w:sz="0" w:space="0" w:color="auto"/>
        <w:bottom w:val="none" w:sz="0" w:space="0" w:color="auto"/>
        <w:right w:val="none" w:sz="0" w:space="0" w:color="auto"/>
      </w:divBdr>
    </w:div>
    <w:div w:id="74130392">
      <w:bodyDiv w:val="1"/>
      <w:marLeft w:val="0"/>
      <w:marRight w:val="0"/>
      <w:marTop w:val="0"/>
      <w:marBottom w:val="0"/>
      <w:divBdr>
        <w:top w:val="none" w:sz="0" w:space="0" w:color="auto"/>
        <w:left w:val="none" w:sz="0" w:space="0" w:color="auto"/>
        <w:bottom w:val="none" w:sz="0" w:space="0" w:color="auto"/>
        <w:right w:val="none" w:sz="0" w:space="0" w:color="auto"/>
      </w:divBdr>
    </w:div>
    <w:div w:id="174998036">
      <w:bodyDiv w:val="1"/>
      <w:marLeft w:val="0"/>
      <w:marRight w:val="0"/>
      <w:marTop w:val="0"/>
      <w:marBottom w:val="0"/>
      <w:divBdr>
        <w:top w:val="none" w:sz="0" w:space="0" w:color="auto"/>
        <w:left w:val="none" w:sz="0" w:space="0" w:color="auto"/>
        <w:bottom w:val="none" w:sz="0" w:space="0" w:color="auto"/>
        <w:right w:val="none" w:sz="0" w:space="0" w:color="auto"/>
      </w:divBdr>
    </w:div>
    <w:div w:id="184029289">
      <w:bodyDiv w:val="1"/>
      <w:marLeft w:val="0"/>
      <w:marRight w:val="0"/>
      <w:marTop w:val="0"/>
      <w:marBottom w:val="0"/>
      <w:divBdr>
        <w:top w:val="none" w:sz="0" w:space="0" w:color="auto"/>
        <w:left w:val="none" w:sz="0" w:space="0" w:color="auto"/>
        <w:bottom w:val="none" w:sz="0" w:space="0" w:color="auto"/>
        <w:right w:val="none" w:sz="0" w:space="0" w:color="auto"/>
      </w:divBdr>
    </w:div>
    <w:div w:id="206991689">
      <w:bodyDiv w:val="1"/>
      <w:marLeft w:val="0"/>
      <w:marRight w:val="0"/>
      <w:marTop w:val="0"/>
      <w:marBottom w:val="0"/>
      <w:divBdr>
        <w:top w:val="none" w:sz="0" w:space="0" w:color="auto"/>
        <w:left w:val="none" w:sz="0" w:space="0" w:color="auto"/>
        <w:bottom w:val="none" w:sz="0" w:space="0" w:color="auto"/>
        <w:right w:val="none" w:sz="0" w:space="0" w:color="auto"/>
      </w:divBdr>
    </w:div>
    <w:div w:id="240987840">
      <w:bodyDiv w:val="1"/>
      <w:marLeft w:val="0"/>
      <w:marRight w:val="0"/>
      <w:marTop w:val="0"/>
      <w:marBottom w:val="0"/>
      <w:divBdr>
        <w:top w:val="none" w:sz="0" w:space="0" w:color="auto"/>
        <w:left w:val="none" w:sz="0" w:space="0" w:color="auto"/>
        <w:bottom w:val="none" w:sz="0" w:space="0" w:color="auto"/>
        <w:right w:val="none" w:sz="0" w:space="0" w:color="auto"/>
      </w:divBdr>
    </w:div>
    <w:div w:id="259148225">
      <w:bodyDiv w:val="1"/>
      <w:marLeft w:val="0"/>
      <w:marRight w:val="0"/>
      <w:marTop w:val="0"/>
      <w:marBottom w:val="0"/>
      <w:divBdr>
        <w:top w:val="none" w:sz="0" w:space="0" w:color="auto"/>
        <w:left w:val="none" w:sz="0" w:space="0" w:color="auto"/>
        <w:bottom w:val="none" w:sz="0" w:space="0" w:color="auto"/>
        <w:right w:val="none" w:sz="0" w:space="0" w:color="auto"/>
      </w:divBdr>
    </w:div>
    <w:div w:id="381249859">
      <w:bodyDiv w:val="1"/>
      <w:marLeft w:val="0"/>
      <w:marRight w:val="0"/>
      <w:marTop w:val="0"/>
      <w:marBottom w:val="0"/>
      <w:divBdr>
        <w:top w:val="none" w:sz="0" w:space="0" w:color="auto"/>
        <w:left w:val="none" w:sz="0" w:space="0" w:color="auto"/>
        <w:bottom w:val="none" w:sz="0" w:space="0" w:color="auto"/>
        <w:right w:val="none" w:sz="0" w:space="0" w:color="auto"/>
      </w:divBdr>
    </w:div>
    <w:div w:id="388959748">
      <w:bodyDiv w:val="1"/>
      <w:marLeft w:val="0"/>
      <w:marRight w:val="0"/>
      <w:marTop w:val="0"/>
      <w:marBottom w:val="0"/>
      <w:divBdr>
        <w:top w:val="none" w:sz="0" w:space="0" w:color="auto"/>
        <w:left w:val="none" w:sz="0" w:space="0" w:color="auto"/>
        <w:bottom w:val="none" w:sz="0" w:space="0" w:color="auto"/>
        <w:right w:val="none" w:sz="0" w:space="0" w:color="auto"/>
      </w:divBdr>
    </w:div>
    <w:div w:id="393283070">
      <w:bodyDiv w:val="1"/>
      <w:marLeft w:val="0"/>
      <w:marRight w:val="0"/>
      <w:marTop w:val="0"/>
      <w:marBottom w:val="0"/>
      <w:divBdr>
        <w:top w:val="none" w:sz="0" w:space="0" w:color="auto"/>
        <w:left w:val="none" w:sz="0" w:space="0" w:color="auto"/>
        <w:bottom w:val="none" w:sz="0" w:space="0" w:color="auto"/>
        <w:right w:val="none" w:sz="0" w:space="0" w:color="auto"/>
      </w:divBdr>
    </w:div>
    <w:div w:id="414280912">
      <w:bodyDiv w:val="1"/>
      <w:marLeft w:val="0"/>
      <w:marRight w:val="0"/>
      <w:marTop w:val="0"/>
      <w:marBottom w:val="0"/>
      <w:divBdr>
        <w:top w:val="none" w:sz="0" w:space="0" w:color="auto"/>
        <w:left w:val="none" w:sz="0" w:space="0" w:color="auto"/>
        <w:bottom w:val="none" w:sz="0" w:space="0" w:color="auto"/>
        <w:right w:val="none" w:sz="0" w:space="0" w:color="auto"/>
      </w:divBdr>
    </w:div>
    <w:div w:id="425276192">
      <w:bodyDiv w:val="1"/>
      <w:marLeft w:val="0"/>
      <w:marRight w:val="0"/>
      <w:marTop w:val="0"/>
      <w:marBottom w:val="0"/>
      <w:divBdr>
        <w:top w:val="none" w:sz="0" w:space="0" w:color="auto"/>
        <w:left w:val="none" w:sz="0" w:space="0" w:color="auto"/>
        <w:bottom w:val="none" w:sz="0" w:space="0" w:color="auto"/>
        <w:right w:val="none" w:sz="0" w:space="0" w:color="auto"/>
      </w:divBdr>
    </w:div>
    <w:div w:id="445393862">
      <w:bodyDiv w:val="1"/>
      <w:marLeft w:val="0"/>
      <w:marRight w:val="0"/>
      <w:marTop w:val="0"/>
      <w:marBottom w:val="0"/>
      <w:divBdr>
        <w:top w:val="none" w:sz="0" w:space="0" w:color="auto"/>
        <w:left w:val="none" w:sz="0" w:space="0" w:color="auto"/>
        <w:bottom w:val="none" w:sz="0" w:space="0" w:color="auto"/>
        <w:right w:val="none" w:sz="0" w:space="0" w:color="auto"/>
      </w:divBdr>
    </w:div>
    <w:div w:id="497383534">
      <w:bodyDiv w:val="1"/>
      <w:marLeft w:val="0"/>
      <w:marRight w:val="0"/>
      <w:marTop w:val="0"/>
      <w:marBottom w:val="0"/>
      <w:divBdr>
        <w:top w:val="none" w:sz="0" w:space="0" w:color="auto"/>
        <w:left w:val="none" w:sz="0" w:space="0" w:color="auto"/>
        <w:bottom w:val="none" w:sz="0" w:space="0" w:color="auto"/>
        <w:right w:val="none" w:sz="0" w:space="0" w:color="auto"/>
      </w:divBdr>
    </w:div>
    <w:div w:id="547684622">
      <w:bodyDiv w:val="1"/>
      <w:marLeft w:val="0"/>
      <w:marRight w:val="0"/>
      <w:marTop w:val="0"/>
      <w:marBottom w:val="0"/>
      <w:divBdr>
        <w:top w:val="none" w:sz="0" w:space="0" w:color="auto"/>
        <w:left w:val="none" w:sz="0" w:space="0" w:color="auto"/>
        <w:bottom w:val="none" w:sz="0" w:space="0" w:color="auto"/>
        <w:right w:val="none" w:sz="0" w:space="0" w:color="auto"/>
      </w:divBdr>
    </w:div>
    <w:div w:id="550388462">
      <w:bodyDiv w:val="1"/>
      <w:marLeft w:val="0"/>
      <w:marRight w:val="0"/>
      <w:marTop w:val="0"/>
      <w:marBottom w:val="0"/>
      <w:divBdr>
        <w:top w:val="none" w:sz="0" w:space="0" w:color="auto"/>
        <w:left w:val="none" w:sz="0" w:space="0" w:color="auto"/>
        <w:bottom w:val="none" w:sz="0" w:space="0" w:color="auto"/>
        <w:right w:val="none" w:sz="0" w:space="0" w:color="auto"/>
      </w:divBdr>
    </w:div>
    <w:div w:id="553857340">
      <w:bodyDiv w:val="1"/>
      <w:marLeft w:val="0"/>
      <w:marRight w:val="0"/>
      <w:marTop w:val="0"/>
      <w:marBottom w:val="0"/>
      <w:divBdr>
        <w:top w:val="none" w:sz="0" w:space="0" w:color="auto"/>
        <w:left w:val="none" w:sz="0" w:space="0" w:color="auto"/>
        <w:bottom w:val="none" w:sz="0" w:space="0" w:color="auto"/>
        <w:right w:val="none" w:sz="0" w:space="0" w:color="auto"/>
      </w:divBdr>
    </w:div>
    <w:div w:id="633798868">
      <w:bodyDiv w:val="1"/>
      <w:marLeft w:val="0"/>
      <w:marRight w:val="0"/>
      <w:marTop w:val="0"/>
      <w:marBottom w:val="0"/>
      <w:divBdr>
        <w:top w:val="none" w:sz="0" w:space="0" w:color="auto"/>
        <w:left w:val="none" w:sz="0" w:space="0" w:color="auto"/>
        <w:bottom w:val="none" w:sz="0" w:space="0" w:color="auto"/>
        <w:right w:val="none" w:sz="0" w:space="0" w:color="auto"/>
      </w:divBdr>
    </w:div>
    <w:div w:id="650017405">
      <w:bodyDiv w:val="1"/>
      <w:marLeft w:val="0"/>
      <w:marRight w:val="0"/>
      <w:marTop w:val="0"/>
      <w:marBottom w:val="0"/>
      <w:divBdr>
        <w:top w:val="none" w:sz="0" w:space="0" w:color="auto"/>
        <w:left w:val="none" w:sz="0" w:space="0" w:color="auto"/>
        <w:bottom w:val="none" w:sz="0" w:space="0" w:color="auto"/>
        <w:right w:val="none" w:sz="0" w:space="0" w:color="auto"/>
      </w:divBdr>
    </w:div>
    <w:div w:id="719669662">
      <w:bodyDiv w:val="1"/>
      <w:marLeft w:val="0"/>
      <w:marRight w:val="0"/>
      <w:marTop w:val="0"/>
      <w:marBottom w:val="0"/>
      <w:divBdr>
        <w:top w:val="none" w:sz="0" w:space="0" w:color="auto"/>
        <w:left w:val="none" w:sz="0" w:space="0" w:color="auto"/>
        <w:bottom w:val="none" w:sz="0" w:space="0" w:color="auto"/>
        <w:right w:val="none" w:sz="0" w:space="0" w:color="auto"/>
      </w:divBdr>
    </w:div>
    <w:div w:id="733554141">
      <w:bodyDiv w:val="1"/>
      <w:marLeft w:val="0"/>
      <w:marRight w:val="0"/>
      <w:marTop w:val="0"/>
      <w:marBottom w:val="0"/>
      <w:divBdr>
        <w:top w:val="none" w:sz="0" w:space="0" w:color="auto"/>
        <w:left w:val="none" w:sz="0" w:space="0" w:color="auto"/>
        <w:bottom w:val="none" w:sz="0" w:space="0" w:color="auto"/>
        <w:right w:val="none" w:sz="0" w:space="0" w:color="auto"/>
      </w:divBdr>
    </w:div>
    <w:div w:id="741491223">
      <w:bodyDiv w:val="1"/>
      <w:marLeft w:val="0"/>
      <w:marRight w:val="0"/>
      <w:marTop w:val="0"/>
      <w:marBottom w:val="0"/>
      <w:divBdr>
        <w:top w:val="none" w:sz="0" w:space="0" w:color="auto"/>
        <w:left w:val="none" w:sz="0" w:space="0" w:color="auto"/>
        <w:bottom w:val="none" w:sz="0" w:space="0" w:color="auto"/>
        <w:right w:val="none" w:sz="0" w:space="0" w:color="auto"/>
      </w:divBdr>
    </w:div>
    <w:div w:id="815755281">
      <w:bodyDiv w:val="1"/>
      <w:marLeft w:val="0"/>
      <w:marRight w:val="0"/>
      <w:marTop w:val="0"/>
      <w:marBottom w:val="0"/>
      <w:divBdr>
        <w:top w:val="none" w:sz="0" w:space="0" w:color="auto"/>
        <w:left w:val="none" w:sz="0" w:space="0" w:color="auto"/>
        <w:bottom w:val="none" w:sz="0" w:space="0" w:color="auto"/>
        <w:right w:val="none" w:sz="0" w:space="0" w:color="auto"/>
      </w:divBdr>
    </w:div>
    <w:div w:id="850949379">
      <w:bodyDiv w:val="1"/>
      <w:marLeft w:val="0"/>
      <w:marRight w:val="0"/>
      <w:marTop w:val="0"/>
      <w:marBottom w:val="0"/>
      <w:divBdr>
        <w:top w:val="none" w:sz="0" w:space="0" w:color="auto"/>
        <w:left w:val="none" w:sz="0" w:space="0" w:color="auto"/>
        <w:bottom w:val="none" w:sz="0" w:space="0" w:color="auto"/>
        <w:right w:val="none" w:sz="0" w:space="0" w:color="auto"/>
      </w:divBdr>
    </w:div>
    <w:div w:id="859978182">
      <w:bodyDiv w:val="1"/>
      <w:marLeft w:val="0"/>
      <w:marRight w:val="0"/>
      <w:marTop w:val="0"/>
      <w:marBottom w:val="0"/>
      <w:divBdr>
        <w:top w:val="none" w:sz="0" w:space="0" w:color="auto"/>
        <w:left w:val="none" w:sz="0" w:space="0" w:color="auto"/>
        <w:bottom w:val="none" w:sz="0" w:space="0" w:color="auto"/>
        <w:right w:val="none" w:sz="0" w:space="0" w:color="auto"/>
      </w:divBdr>
    </w:div>
    <w:div w:id="883716246">
      <w:bodyDiv w:val="1"/>
      <w:marLeft w:val="0"/>
      <w:marRight w:val="0"/>
      <w:marTop w:val="0"/>
      <w:marBottom w:val="0"/>
      <w:divBdr>
        <w:top w:val="none" w:sz="0" w:space="0" w:color="auto"/>
        <w:left w:val="none" w:sz="0" w:space="0" w:color="auto"/>
        <w:bottom w:val="none" w:sz="0" w:space="0" w:color="auto"/>
        <w:right w:val="none" w:sz="0" w:space="0" w:color="auto"/>
      </w:divBdr>
    </w:div>
    <w:div w:id="912742429">
      <w:bodyDiv w:val="1"/>
      <w:marLeft w:val="0"/>
      <w:marRight w:val="0"/>
      <w:marTop w:val="0"/>
      <w:marBottom w:val="0"/>
      <w:divBdr>
        <w:top w:val="none" w:sz="0" w:space="0" w:color="auto"/>
        <w:left w:val="none" w:sz="0" w:space="0" w:color="auto"/>
        <w:bottom w:val="none" w:sz="0" w:space="0" w:color="auto"/>
        <w:right w:val="none" w:sz="0" w:space="0" w:color="auto"/>
      </w:divBdr>
    </w:div>
    <w:div w:id="921065123">
      <w:bodyDiv w:val="1"/>
      <w:marLeft w:val="0"/>
      <w:marRight w:val="0"/>
      <w:marTop w:val="0"/>
      <w:marBottom w:val="0"/>
      <w:divBdr>
        <w:top w:val="none" w:sz="0" w:space="0" w:color="auto"/>
        <w:left w:val="none" w:sz="0" w:space="0" w:color="auto"/>
        <w:bottom w:val="none" w:sz="0" w:space="0" w:color="auto"/>
        <w:right w:val="none" w:sz="0" w:space="0" w:color="auto"/>
      </w:divBdr>
    </w:div>
    <w:div w:id="924413889">
      <w:bodyDiv w:val="1"/>
      <w:marLeft w:val="0"/>
      <w:marRight w:val="0"/>
      <w:marTop w:val="0"/>
      <w:marBottom w:val="0"/>
      <w:divBdr>
        <w:top w:val="none" w:sz="0" w:space="0" w:color="auto"/>
        <w:left w:val="none" w:sz="0" w:space="0" w:color="auto"/>
        <w:bottom w:val="none" w:sz="0" w:space="0" w:color="auto"/>
        <w:right w:val="none" w:sz="0" w:space="0" w:color="auto"/>
      </w:divBdr>
    </w:div>
    <w:div w:id="944847599">
      <w:bodyDiv w:val="1"/>
      <w:marLeft w:val="0"/>
      <w:marRight w:val="0"/>
      <w:marTop w:val="0"/>
      <w:marBottom w:val="0"/>
      <w:divBdr>
        <w:top w:val="none" w:sz="0" w:space="0" w:color="auto"/>
        <w:left w:val="none" w:sz="0" w:space="0" w:color="auto"/>
        <w:bottom w:val="none" w:sz="0" w:space="0" w:color="auto"/>
        <w:right w:val="none" w:sz="0" w:space="0" w:color="auto"/>
      </w:divBdr>
    </w:div>
    <w:div w:id="976447681">
      <w:bodyDiv w:val="1"/>
      <w:marLeft w:val="0"/>
      <w:marRight w:val="0"/>
      <w:marTop w:val="0"/>
      <w:marBottom w:val="0"/>
      <w:divBdr>
        <w:top w:val="none" w:sz="0" w:space="0" w:color="auto"/>
        <w:left w:val="none" w:sz="0" w:space="0" w:color="auto"/>
        <w:bottom w:val="none" w:sz="0" w:space="0" w:color="auto"/>
        <w:right w:val="none" w:sz="0" w:space="0" w:color="auto"/>
      </w:divBdr>
    </w:div>
    <w:div w:id="995449072">
      <w:bodyDiv w:val="1"/>
      <w:marLeft w:val="0"/>
      <w:marRight w:val="0"/>
      <w:marTop w:val="0"/>
      <w:marBottom w:val="0"/>
      <w:divBdr>
        <w:top w:val="none" w:sz="0" w:space="0" w:color="auto"/>
        <w:left w:val="none" w:sz="0" w:space="0" w:color="auto"/>
        <w:bottom w:val="none" w:sz="0" w:space="0" w:color="auto"/>
        <w:right w:val="none" w:sz="0" w:space="0" w:color="auto"/>
      </w:divBdr>
    </w:div>
    <w:div w:id="1019160309">
      <w:bodyDiv w:val="1"/>
      <w:marLeft w:val="0"/>
      <w:marRight w:val="0"/>
      <w:marTop w:val="0"/>
      <w:marBottom w:val="0"/>
      <w:divBdr>
        <w:top w:val="none" w:sz="0" w:space="0" w:color="auto"/>
        <w:left w:val="none" w:sz="0" w:space="0" w:color="auto"/>
        <w:bottom w:val="none" w:sz="0" w:space="0" w:color="auto"/>
        <w:right w:val="none" w:sz="0" w:space="0" w:color="auto"/>
      </w:divBdr>
    </w:div>
    <w:div w:id="1070234229">
      <w:bodyDiv w:val="1"/>
      <w:marLeft w:val="0"/>
      <w:marRight w:val="0"/>
      <w:marTop w:val="0"/>
      <w:marBottom w:val="0"/>
      <w:divBdr>
        <w:top w:val="none" w:sz="0" w:space="0" w:color="auto"/>
        <w:left w:val="none" w:sz="0" w:space="0" w:color="auto"/>
        <w:bottom w:val="none" w:sz="0" w:space="0" w:color="auto"/>
        <w:right w:val="none" w:sz="0" w:space="0" w:color="auto"/>
      </w:divBdr>
    </w:div>
    <w:div w:id="1115448293">
      <w:bodyDiv w:val="1"/>
      <w:marLeft w:val="0"/>
      <w:marRight w:val="0"/>
      <w:marTop w:val="0"/>
      <w:marBottom w:val="0"/>
      <w:divBdr>
        <w:top w:val="none" w:sz="0" w:space="0" w:color="auto"/>
        <w:left w:val="none" w:sz="0" w:space="0" w:color="auto"/>
        <w:bottom w:val="none" w:sz="0" w:space="0" w:color="auto"/>
        <w:right w:val="none" w:sz="0" w:space="0" w:color="auto"/>
      </w:divBdr>
    </w:div>
    <w:div w:id="1117408241">
      <w:bodyDiv w:val="1"/>
      <w:marLeft w:val="0"/>
      <w:marRight w:val="0"/>
      <w:marTop w:val="0"/>
      <w:marBottom w:val="0"/>
      <w:divBdr>
        <w:top w:val="none" w:sz="0" w:space="0" w:color="auto"/>
        <w:left w:val="none" w:sz="0" w:space="0" w:color="auto"/>
        <w:bottom w:val="none" w:sz="0" w:space="0" w:color="auto"/>
        <w:right w:val="none" w:sz="0" w:space="0" w:color="auto"/>
      </w:divBdr>
    </w:div>
    <w:div w:id="1140272256">
      <w:bodyDiv w:val="1"/>
      <w:marLeft w:val="0"/>
      <w:marRight w:val="0"/>
      <w:marTop w:val="0"/>
      <w:marBottom w:val="0"/>
      <w:divBdr>
        <w:top w:val="none" w:sz="0" w:space="0" w:color="auto"/>
        <w:left w:val="none" w:sz="0" w:space="0" w:color="auto"/>
        <w:bottom w:val="none" w:sz="0" w:space="0" w:color="auto"/>
        <w:right w:val="none" w:sz="0" w:space="0" w:color="auto"/>
      </w:divBdr>
    </w:div>
    <w:div w:id="1148206188">
      <w:bodyDiv w:val="1"/>
      <w:marLeft w:val="0"/>
      <w:marRight w:val="0"/>
      <w:marTop w:val="0"/>
      <w:marBottom w:val="0"/>
      <w:divBdr>
        <w:top w:val="none" w:sz="0" w:space="0" w:color="auto"/>
        <w:left w:val="none" w:sz="0" w:space="0" w:color="auto"/>
        <w:bottom w:val="none" w:sz="0" w:space="0" w:color="auto"/>
        <w:right w:val="none" w:sz="0" w:space="0" w:color="auto"/>
      </w:divBdr>
    </w:div>
    <w:div w:id="1171220333">
      <w:bodyDiv w:val="1"/>
      <w:marLeft w:val="0"/>
      <w:marRight w:val="0"/>
      <w:marTop w:val="0"/>
      <w:marBottom w:val="0"/>
      <w:divBdr>
        <w:top w:val="none" w:sz="0" w:space="0" w:color="auto"/>
        <w:left w:val="none" w:sz="0" w:space="0" w:color="auto"/>
        <w:bottom w:val="none" w:sz="0" w:space="0" w:color="auto"/>
        <w:right w:val="none" w:sz="0" w:space="0" w:color="auto"/>
      </w:divBdr>
    </w:div>
    <w:div w:id="1224098787">
      <w:bodyDiv w:val="1"/>
      <w:marLeft w:val="0"/>
      <w:marRight w:val="0"/>
      <w:marTop w:val="0"/>
      <w:marBottom w:val="0"/>
      <w:divBdr>
        <w:top w:val="none" w:sz="0" w:space="0" w:color="auto"/>
        <w:left w:val="none" w:sz="0" w:space="0" w:color="auto"/>
        <w:bottom w:val="none" w:sz="0" w:space="0" w:color="auto"/>
        <w:right w:val="none" w:sz="0" w:space="0" w:color="auto"/>
      </w:divBdr>
    </w:div>
    <w:div w:id="1229151570">
      <w:bodyDiv w:val="1"/>
      <w:marLeft w:val="0"/>
      <w:marRight w:val="0"/>
      <w:marTop w:val="0"/>
      <w:marBottom w:val="0"/>
      <w:divBdr>
        <w:top w:val="none" w:sz="0" w:space="0" w:color="auto"/>
        <w:left w:val="none" w:sz="0" w:space="0" w:color="auto"/>
        <w:bottom w:val="none" w:sz="0" w:space="0" w:color="auto"/>
        <w:right w:val="none" w:sz="0" w:space="0" w:color="auto"/>
      </w:divBdr>
    </w:div>
    <w:div w:id="1244218186">
      <w:bodyDiv w:val="1"/>
      <w:marLeft w:val="0"/>
      <w:marRight w:val="0"/>
      <w:marTop w:val="0"/>
      <w:marBottom w:val="0"/>
      <w:divBdr>
        <w:top w:val="none" w:sz="0" w:space="0" w:color="auto"/>
        <w:left w:val="none" w:sz="0" w:space="0" w:color="auto"/>
        <w:bottom w:val="none" w:sz="0" w:space="0" w:color="auto"/>
        <w:right w:val="none" w:sz="0" w:space="0" w:color="auto"/>
      </w:divBdr>
    </w:div>
    <w:div w:id="1256019463">
      <w:bodyDiv w:val="1"/>
      <w:marLeft w:val="0"/>
      <w:marRight w:val="0"/>
      <w:marTop w:val="0"/>
      <w:marBottom w:val="0"/>
      <w:divBdr>
        <w:top w:val="none" w:sz="0" w:space="0" w:color="auto"/>
        <w:left w:val="none" w:sz="0" w:space="0" w:color="auto"/>
        <w:bottom w:val="none" w:sz="0" w:space="0" w:color="auto"/>
        <w:right w:val="none" w:sz="0" w:space="0" w:color="auto"/>
      </w:divBdr>
    </w:div>
    <w:div w:id="1257448350">
      <w:bodyDiv w:val="1"/>
      <w:marLeft w:val="0"/>
      <w:marRight w:val="0"/>
      <w:marTop w:val="0"/>
      <w:marBottom w:val="0"/>
      <w:divBdr>
        <w:top w:val="none" w:sz="0" w:space="0" w:color="auto"/>
        <w:left w:val="none" w:sz="0" w:space="0" w:color="auto"/>
        <w:bottom w:val="none" w:sz="0" w:space="0" w:color="auto"/>
        <w:right w:val="none" w:sz="0" w:space="0" w:color="auto"/>
      </w:divBdr>
    </w:div>
    <w:div w:id="1260408255">
      <w:bodyDiv w:val="1"/>
      <w:marLeft w:val="0"/>
      <w:marRight w:val="0"/>
      <w:marTop w:val="0"/>
      <w:marBottom w:val="0"/>
      <w:divBdr>
        <w:top w:val="none" w:sz="0" w:space="0" w:color="auto"/>
        <w:left w:val="none" w:sz="0" w:space="0" w:color="auto"/>
        <w:bottom w:val="none" w:sz="0" w:space="0" w:color="auto"/>
        <w:right w:val="none" w:sz="0" w:space="0" w:color="auto"/>
      </w:divBdr>
    </w:div>
    <w:div w:id="1261797108">
      <w:bodyDiv w:val="1"/>
      <w:marLeft w:val="0"/>
      <w:marRight w:val="0"/>
      <w:marTop w:val="0"/>
      <w:marBottom w:val="0"/>
      <w:divBdr>
        <w:top w:val="none" w:sz="0" w:space="0" w:color="auto"/>
        <w:left w:val="none" w:sz="0" w:space="0" w:color="auto"/>
        <w:bottom w:val="none" w:sz="0" w:space="0" w:color="auto"/>
        <w:right w:val="none" w:sz="0" w:space="0" w:color="auto"/>
      </w:divBdr>
    </w:div>
    <w:div w:id="1285310076">
      <w:bodyDiv w:val="1"/>
      <w:marLeft w:val="0"/>
      <w:marRight w:val="0"/>
      <w:marTop w:val="0"/>
      <w:marBottom w:val="0"/>
      <w:divBdr>
        <w:top w:val="none" w:sz="0" w:space="0" w:color="auto"/>
        <w:left w:val="none" w:sz="0" w:space="0" w:color="auto"/>
        <w:bottom w:val="none" w:sz="0" w:space="0" w:color="auto"/>
        <w:right w:val="none" w:sz="0" w:space="0" w:color="auto"/>
      </w:divBdr>
    </w:div>
    <w:div w:id="1291789928">
      <w:bodyDiv w:val="1"/>
      <w:marLeft w:val="0"/>
      <w:marRight w:val="0"/>
      <w:marTop w:val="0"/>
      <w:marBottom w:val="0"/>
      <w:divBdr>
        <w:top w:val="none" w:sz="0" w:space="0" w:color="auto"/>
        <w:left w:val="none" w:sz="0" w:space="0" w:color="auto"/>
        <w:bottom w:val="none" w:sz="0" w:space="0" w:color="auto"/>
        <w:right w:val="none" w:sz="0" w:space="0" w:color="auto"/>
      </w:divBdr>
    </w:div>
    <w:div w:id="1309745875">
      <w:bodyDiv w:val="1"/>
      <w:marLeft w:val="0"/>
      <w:marRight w:val="0"/>
      <w:marTop w:val="0"/>
      <w:marBottom w:val="0"/>
      <w:divBdr>
        <w:top w:val="none" w:sz="0" w:space="0" w:color="auto"/>
        <w:left w:val="none" w:sz="0" w:space="0" w:color="auto"/>
        <w:bottom w:val="none" w:sz="0" w:space="0" w:color="auto"/>
        <w:right w:val="none" w:sz="0" w:space="0" w:color="auto"/>
      </w:divBdr>
    </w:div>
    <w:div w:id="1320118329">
      <w:bodyDiv w:val="1"/>
      <w:marLeft w:val="0"/>
      <w:marRight w:val="0"/>
      <w:marTop w:val="0"/>
      <w:marBottom w:val="0"/>
      <w:divBdr>
        <w:top w:val="none" w:sz="0" w:space="0" w:color="auto"/>
        <w:left w:val="none" w:sz="0" w:space="0" w:color="auto"/>
        <w:bottom w:val="none" w:sz="0" w:space="0" w:color="auto"/>
        <w:right w:val="none" w:sz="0" w:space="0" w:color="auto"/>
      </w:divBdr>
    </w:div>
    <w:div w:id="1330281809">
      <w:bodyDiv w:val="1"/>
      <w:marLeft w:val="0"/>
      <w:marRight w:val="0"/>
      <w:marTop w:val="0"/>
      <w:marBottom w:val="0"/>
      <w:divBdr>
        <w:top w:val="none" w:sz="0" w:space="0" w:color="auto"/>
        <w:left w:val="none" w:sz="0" w:space="0" w:color="auto"/>
        <w:bottom w:val="none" w:sz="0" w:space="0" w:color="auto"/>
        <w:right w:val="none" w:sz="0" w:space="0" w:color="auto"/>
      </w:divBdr>
    </w:div>
    <w:div w:id="1338461236">
      <w:bodyDiv w:val="1"/>
      <w:marLeft w:val="0"/>
      <w:marRight w:val="0"/>
      <w:marTop w:val="0"/>
      <w:marBottom w:val="0"/>
      <w:divBdr>
        <w:top w:val="none" w:sz="0" w:space="0" w:color="auto"/>
        <w:left w:val="none" w:sz="0" w:space="0" w:color="auto"/>
        <w:bottom w:val="none" w:sz="0" w:space="0" w:color="auto"/>
        <w:right w:val="none" w:sz="0" w:space="0" w:color="auto"/>
      </w:divBdr>
    </w:div>
    <w:div w:id="1339045467">
      <w:bodyDiv w:val="1"/>
      <w:marLeft w:val="0"/>
      <w:marRight w:val="0"/>
      <w:marTop w:val="0"/>
      <w:marBottom w:val="0"/>
      <w:divBdr>
        <w:top w:val="none" w:sz="0" w:space="0" w:color="auto"/>
        <w:left w:val="none" w:sz="0" w:space="0" w:color="auto"/>
        <w:bottom w:val="none" w:sz="0" w:space="0" w:color="auto"/>
        <w:right w:val="none" w:sz="0" w:space="0" w:color="auto"/>
      </w:divBdr>
    </w:div>
    <w:div w:id="1411778870">
      <w:bodyDiv w:val="1"/>
      <w:marLeft w:val="0"/>
      <w:marRight w:val="0"/>
      <w:marTop w:val="0"/>
      <w:marBottom w:val="0"/>
      <w:divBdr>
        <w:top w:val="none" w:sz="0" w:space="0" w:color="auto"/>
        <w:left w:val="none" w:sz="0" w:space="0" w:color="auto"/>
        <w:bottom w:val="none" w:sz="0" w:space="0" w:color="auto"/>
        <w:right w:val="none" w:sz="0" w:space="0" w:color="auto"/>
      </w:divBdr>
    </w:div>
    <w:div w:id="1446995807">
      <w:bodyDiv w:val="1"/>
      <w:marLeft w:val="0"/>
      <w:marRight w:val="0"/>
      <w:marTop w:val="0"/>
      <w:marBottom w:val="0"/>
      <w:divBdr>
        <w:top w:val="none" w:sz="0" w:space="0" w:color="auto"/>
        <w:left w:val="none" w:sz="0" w:space="0" w:color="auto"/>
        <w:bottom w:val="none" w:sz="0" w:space="0" w:color="auto"/>
        <w:right w:val="none" w:sz="0" w:space="0" w:color="auto"/>
      </w:divBdr>
    </w:div>
    <w:div w:id="1463307564">
      <w:bodyDiv w:val="1"/>
      <w:marLeft w:val="0"/>
      <w:marRight w:val="0"/>
      <w:marTop w:val="0"/>
      <w:marBottom w:val="0"/>
      <w:divBdr>
        <w:top w:val="none" w:sz="0" w:space="0" w:color="auto"/>
        <w:left w:val="none" w:sz="0" w:space="0" w:color="auto"/>
        <w:bottom w:val="none" w:sz="0" w:space="0" w:color="auto"/>
        <w:right w:val="none" w:sz="0" w:space="0" w:color="auto"/>
      </w:divBdr>
    </w:div>
    <w:div w:id="1590624353">
      <w:bodyDiv w:val="1"/>
      <w:marLeft w:val="0"/>
      <w:marRight w:val="0"/>
      <w:marTop w:val="0"/>
      <w:marBottom w:val="0"/>
      <w:divBdr>
        <w:top w:val="none" w:sz="0" w:space="0" w:color="auto"/>
        <w:left w:val="none" w:sz="0" w:space="0" w:color="auto"/>
        <w:bottom w:val="none" w:sz="0" w:space="0" w:color="auto"/>
        <w:right w:val="none" w:sz="0" w:space="0" w:color="auto"/>
      </w:divBdr>
    </w:div>
    <w:div w:id="1596087102">
      <w:bodyDiv w:val="1"/>
      <w:marLeft w:val="0"/>
      <w:marRight w:val="0"/>
      <w:marTop w:val="0"/>
      <w:marBottom w:val="0"/>
      <w:divBdr>
        <w:top w:val="none" w:sz="0" w:space="0" w:color="auto"/>
        <w:left w:val="none" w:sz="0" w:space="0" w:color="auto"/>
        <w:bottom w:val="none" w:sz="0" w:space="0" w:color="auto"/>
        <w:right w:val="none" w:sz="0" w:space="0" w:color="auto"/>
      </w:divBdr>
    </w:div>
    <w:div w:id="1606306867">
      <w:bodyDiv w:val="1"/>
      <w:marLeft w:val="0"/>
      <w:marRight w:val="0"/>
      <w:marTop w:val="0"/>
      <w:marBottom w:val="0"/>
      <w:divBdr>
        <w:top w:val="none" w:sz="0" w:space="0" w:color="auto"/>
        <w:left w:val="none" w:sz="0" w:space="0" w:color="auto"/>
        <w:bottom w:val="none" w:sz="0" w:space="0" w:color="auto"/>
        <w:right w:val="none" w:sz="0" w:space="0" w:color="auto"/>
      </w:divBdr>
    </w:div>
    <w:div w:id="1656181121">
      <w:bodyDiv w:val="1"/>
      <w:marLeft w:val="0"/>
      <w:marRight w:val="0"/>
      <w:marTop w:val="0"/>
      <w:marBottom w:val="0"/>
      <w:divBdr>
        <w:top w:val="none" w:sz="0" w:space="0" w:color="auto"/>
        <w:left w:val="none" w:sz="0" w:space="0" w:color="auto"/>
        <w:bottom w:val="none" w:sz="0" w:space="0" w:color="auto"/>
        <w:right w:val="none" w:sz="0" w:space="0" w:color="auto"/>
      </w:divBdr>
    </w:div>
    <w:div w:id="1738741309">
      <w:bodyDiv w:val="1"/>
      <w:marLeft w:val="0"/>
      <w:marRight w:val="0"/>
      <w:marTop w:val="0"/>
      <w:marBottom w:val="0"/>
      <w:divBdr>
        <w:top w:val="none" w:sz="0" w:space="0" w:color="auto"/>
        <w:left w:val="none" w:sz="0" w:space="0" w:color="auto"/>
        <w:bottom w:val="none" w:sz="0" w:space="0" w:color="auto"/>
        <w:right w:val="none" w:sz="0" w:space="0" w:color="auto"/>
      </w:divBdr>
    </w:div>
    <w:div w:id="1751271133">
      <w:bodyDiv w:val="1"/>
      <w:marLeft w:val="0"/>
      <w:marRight w:val="0"/>
      <w:marTop w:val="0"/>
      <w:marBottom w:val="0"/>
      <w:divBdr>
        <w:top w:val="none" w:sz="0" w:space="0" w:color="auto"/>
        <w:left w:val="none" w:sz="0" w:space="0" w:color="auto"/>
        <w:bottom w:val="none" w:sz="0" w:space="0" w:color="auto"/>
        <w:right w:val="none" w:sz="0" w:space="0" w:color="auto"/>
      </w:divBdr>
    </w:div>
    <w:div w:id="1788818186">
      <w:bodyDiv w:val="1"/>
      <w:marLeft w:val="0"/>
      <w:marRight w:val="0"/>
      <w:marTop w:val="0"/>
      <w:marBottom w:val="0"/>
      <w:divBdr>
        <w:top w:val="none" w:sz="0" w:space="0" w:color="auto"/>
        <w:left w:val="none" w:sz="0" w:space="0" w:color="auto"/>
        <w:bottom w:val="none" w:sz="0" w:space="0" w:color="auto"/>
        <w:right w:val="none" w:sz="0" w:space="0" w:color="auto"/>
      </w:divBdr>
    </w:div>
    <w:div w:id="1812365276">
      <w:bodyDiv w:val="1"/>
      <w:marLeft w:val="0"/>
      <w:marRight w:val="0"/>
      <w:marTop w:val="0"/>
      <w:marBottom w:val="0"/>
      <w:divBdr>
        <w:top w:val="none" w:sz="0" w:space="0" w:color="auto"/>
        <w:left w:val="none" w:sz="0" w:space="0" w:color="auto"/>
        <w:bottom w:val="none" w:sz="0" w:space="0" w:color="auto"/>
        <w:right w:val="none" w:sz="0" w:space="0" w:color="auto"/>
      </w:divBdr>
    </w:div>
    <w:div w:id="1821579227">
      <w:bodyDiv w:val="1"/>
      <w:marLeft w:val="0"/>
      <w:marRight w:val="0"/>
      <w:marTop w:val="0"/>
      <w:marBottom w:val="0"/>
      <w:divBdr>
        <w:top w:val="none" w:sz="0" w:space="0" w:color="auto"/>
        <w:left w:val="none" w:sz="0" w:space="0" w:color="auto"/>
        <w:bottom w:val="none" w:sz="0" w:space="0" w:color="auto"/>
        <w:right w:val="none" w:sz="0" w:space="0" w:color="auto"/>
      </w:divBdr>
    </w:div>
    <w:div w:id="1825900015">
      <w:bodyDiv w:val="1"/>
      <w:marLeft w:val="0"/>
      <w:marRight w:val="0"/>
      <w:marTop w:val="0"/>
      <w:marBottom w:val="0"/>
      <w:divBdr>
        <w:top w:val="none" w:sz="0" w:space="0" w:color="auto"/>
        <w:left w:val="none" w:sz="0" w:space="0" w:color="auto"/>
        <w:bottom w:val="none" w:sz="0" w:space="0" w:color="auto"/>
        <w:right w:val="none" w:sz="0" w:space="0" w:color="auto"/>
      </w:divBdr>
    </w:div>
    <w:div w:id="1839031648">
      <w:bodyDiv w:val="1"/>
      <w:marLeft w:val="0"/>
      <w:marRight w:val="0"/>
      <w:marTop w:val="0"/>
      <w:marBottom w:val="0"/>
      <w:divBdr>
        <w:top w:val="none" w:sz="0" w:space="0" w:color="auto"/>
        <w:left w:val="none" w:sz="0" w:space="0" w:color="auto"/>
        <w:bottom w:val="none" w:sz="0" w:space="0" w:color="auto"/>
        <w:right w:val="none" w:sz="0" w:space="0" w:color="auto"/>
      </w:divBdr>
    </w:div>
    <w:div w:id="1872720001">
      <w:bodyDiv w:val="1"/>
      <w:marLeft w:val="0"/>
      <w:marRight w:val="0"/>
      <w:marTop w:val="0"/>
      <w:marBottom w:val="0"/>
      <w:divBdr>
        <w:top w:val="none" w:sz="0" w:space="0" w:color="auto"/>
        <w:left w:val="none" w:sz="0" w:space="0" w:color="auto"/>
        <w:bottom w:val="none" w:sz="0" w:space="0" w:color="auto"/>
        <w:right w:val="none" w:sz="0" w:space="0" w:color="auto"/>
      </w:divBdr>
    </w:div>
    <w:div w:id="1897084583">
      <w:bodyDiv w:val="1"/>
      <w:marLeft w:val="0"/>
      <w:marRight w:val="0"/>
      <w:marTop w:val="0"/>
      <w:marBottom w:val="0"/>
      <w:divBdr>
        <w:top w:val="none" w:sz="0" w:space="0" w:color="auto"/>
        <w:left w:val="none" w:sz="0" w:space="0" w:color="auto"/>
        <w:bottom w:val="none" w:sz="0" w:space="0" w:color="auto"/>
        <w:right w:val="none" w:sz="0" w:space="0" w:color="auto"/>
      </w:divBdr>
    </w:div>
    <w:div w:id="1942714076">
      <w:bodyDiv w:val="1"/>
      <w:marLeft w:val="0"/>
      <w:marRight w:val="0"/>
      <w:marTop w:val="0"/>
      <w:marBottom w:val="0"/>
      <w:divBdr>
        <w:top w:val="none" w:sz="0" w:space="0" w:color="auto"/>
        <w:left w:val="none" w:sz="0" w:space="0" w:color="auto"/>
        <w:bottom w:val="none" w:sz="0" w:space="0" w:color="auto"/>
        <w:right w:val="none" w:sz="0" w:space="0" w:color="auto"/>
      </w:divBdr>
      <w:divsChild>
        <w:div w:id="86966592">
          <w:marLeft w:val="288"/>
          <w:marRight w:val="0"/>
          <w:marTop w:val="96"/>
          <w:marBottom w:val="0"/>
          <w:divBdr>
            <w:top w:val="none" w:sz="0" w:space="0" w:color="auto"/>
            <w:left w:val="none" w:sz="0" w:space="0" w:color="auto"/>
            <w:bottom w:val="none" w:sz="0" w:space="0" w:color="auto"/>
            <w:right w:val="none" w:sz="0" w:space="0" w:color="auto"/>
          </w:divBdr>
        </w:div>
      </w:divsChild>
    </w:div>
    <w:div w:id="1948200230">
      <w:bodyDiv w:val="1"/>
      <w:marLeft w:val="0"/>
      <w:marRight w:val="0"/>
      <w:marTop w:val="0"/>
      <w:marBottom w:val="0"/>
      <w:divBdr>
        <w:top w:val="none" w:sz="0" w:space="0" w:color="auto"/>
        <w:left w:val="none" w:sz="0" w:space="0" w:color="auto"/>
        <w:bottom w:val="none" w:sz="0" w:space="0" w:color="auto"/>
        <w:right w:val="none" w:sz="0" w:space="0" w:color="auto"/>
      </w:divBdr>
      <w:divsChild>
        <w:div w:id="419983935">
          <w:marLeft w:val="547"/>
          <w:marRight w:val="0"/>
          <w:marTop w:val="43"/>
          <w:marBottom w:val="0"/>
          <w:divBdr>
            <w:top w:val="none" w:sz="0" w:space="0" w:color="auto"/>
            <w:left w:val="none" w:sz="0" w:space="0" w:color="auto"/>
            <w:bottom w:val="none" w:sz="0" w:space="0" w:color="auto"/>
            <w:right w:val="none" w:sz="0" w:space="0" w:color="auto"/>
          </w:divBdr>
        </w:div>
      </w:divsChild>
    </w:div>
    <w:div w:id="1966886888">
      <w:bodyDiv w:val="1"/>
      <w:marLeft w:val="0"/>
      <w:marRight w:val="0"/>
      <w:marTop w:val="0"/>
      <w:marBottom w:val="0"/>
      <w:divBdr>
        <w:top w:val="none" w:sz="0" w:space="0" w:color="auto"/>
        <w:left w:val="none" w:sz="0" w:space="0" w:color="auto"/>
        <w:bottom w:val="none" w:sz="0" w:space="0" w:color="auto"/>
        <w:right w:val="none" w:sz="0" w:space="0" w:color="auto"/>
      </w:divBdr>
    </w:div>
    <w:div w:id="1975982399">
      <w:bodyDiv w:val="1"/>
      <w:marLeft w:val="0"/>
      <w:marRight w:val="0"/>
      <w:marTop w:val="0"/>
      <w:marBottom w:val="0"/>
      <w:divBdr>
        <w:top w:val="none" w:sz="0" w:space="0" w:color="auto"/>
        <w:left w:val="none" w:sz="0" w:space="0" w:color="auto"/>
        <w:bottom w:val="none" w:sz="0" w:space="0" w:color="auto"/>
        <w:right w:val="none" w:sz="0" w:space="0" w:color="auto"/>
      </w:divBdr>
    </w:div>
    <w:div w:id="1985769456">
      <w:bodyDiv w:val="1"/>
      <w:marLeft w:val="0"/>
      <w:marRight w:val="0"/>
      <w:marTop w:val="0"/>
      <w:marBottom w:val="0"/>
      <w:divBdr>
        <w:top w:val="none" w:sz="0" w:space="0" w:color="auto"/>
        <w:left w:val="none" w:sz="0" w:space="0" w:color="auto"/>
        <w:bottom w:val="none" w:sz="0" w:space="0" w:color="auto"/>
        <w:right w:val="none" w:sz="0" w:space="0" w:color="auto"/>
      </w:divBdr>
    </w:div>
    <w:div w:id="2010130949">
      <w:bodyDiv w:val="1"/>
      <w:marLeft w:val="0"/>
      <w:marRight w:val="0"/>
      <w:marTop w:val="0"/>
      <w:marBottom w:val="0"/>
      <w:divBdr>
        <w:top w:val="none" w:sz="0" w:space="0" w:color="auto"/>
        <w:left w:val="none" w:sz="0" w:space="0" w:color="auto"/>
        <w:bottom w:val="none" w:sz="0" w:space="0" w:color="auto"/>
        <w:right w:val="none" w:sz="0" w:space="0" w:color="auto"/>
      </w:divBdr>
    </w:div>
    <w:div w:id="2068530871">
      <w:bodyDiv w:val="1"/>
      <w:marLeft w:val="0"/>
      <w:marRight w:val="0"/>
      <w:marTop w:val="0"/>
      <w:marBottom w:val="0"/>
      <w:divBdr>
        <w:top w:val="none" w:sz="0" w:space="0" w:color="auto"/>
        <w:left w:val="none" w:sz="0" w:space="0" w:color="auto"/>
        <w:bottom w:val="none" w:sz="0" w:space="0" w:color="auto"/>
        <w:right w:val="none" w:sz="0" w:space="0" w:color="auto"/>
      </w:divBdr>
    </w:div>
    <w:div w:id="2104757405">
      <w:bodyDiv w:val="1"/>
      <w:marLeft w:val="0"/>
      <w:marRight w:val="0"/>
      <w:marTop w:val="0"/>
      <w:marBottom w:val="0"/>
      <w:divBdr>
        <w:top w:val="none" w:sz="0" w:space="0" w:color="auto"/>
        <w:left w:val="none" w:sz="0" w:space="0" w:color="auto"/>
        <w:bottom w:val="none" w:sz="0" w:space="0" w:color="auto"/>
        <w:right w:val="none" w:sz="0" w:space="0" w:color="auto"/>
      </w:divBdr>
    </w:div>
    <w:div w:id="2131237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sac.gov.au/internet/msac/publishing.nsf/Content/630030BACC0F3483CA258482001B41D3/$File/Final%20MSAC%20Minutes%20-%206CPA%20MMR%20Programs.pdf"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ppaonline.com.au/programs/medication-management-programs/medscheck-and-diabetes-medschec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paonline.com.au/programs/medication-management-programs/residential-medication-management-review-and-quality-use-of-medicine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ppaonline.com.au/programs/medication-management-programs/home-medicines-review"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pbs.gov.au/info/general/seventh-community-pharmacy-agreement" TargetMode="External"/><Relationship Id="rId14" Type="http://schemas.openxmlformats.org/officeDocument/2006/relationships/hyperlink" Target="http://msac.gov.au/internet/msac/publishing.nsf/Content/Home-1"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consultations.health.gov.au/primary-care-mental-health-division/draft-primary-health-care-10-year-plan/supporting_documents/Primary%20Health%20Reform%20Steering%20Group%20%20Recommendations%20September%20202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2E7703-A24C-4C87-98C7-16C364BB0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15923</Words>
  <Characters>91081</Characters>
  <Application>Microsoft Office Word</Application>
  <DocSecurity>0</DocSecurity>
  <Lines>1980</Lines>
  <Paragraphs>1049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105955</CharactersWithSpaces>
  <SharedDoc>false</SharedDoc>
  <HyperlinkBase/>
  <HLinks>
    <vt:vector size="18" baseType="variant">
      <vt:variant>
        <vt:i4>5111822</vt:i4>
      </vt:variant>
      <vt:variant>
        <vt:i4>6</vt:i4>
      </vt:variant>
      <vt:variant>
        <vt:i4>0</vt:i4>
      </vt:variant>
      <vt:variant>
        <vt:i4>5</vt:i4>
      </vt:variant>
      <vt:variant>
        <vt:lpwstr>https://www.ppaonline.com.au/wp-content/uploads/2019/01/HMR-Program-Rules.pdf</vt:lpwstr>
      </vt:variant>
      <vt:variant>
        <vt:lpwstr/>
      </vt:variant>
      <vt:variant>
        <vt:i4>4259861</vt:i4>
      </vt:variant>
      <vt:variant>
        <vt:i4>3</vt:i4>
      </vt:variant>
      <vt:variant>
        <vt:i4>0</vt:i4>
      </vt:variant>
      <vt:variant>
        <vt:i4>5</vt:i4>
      </vt:variant>
      <vt:variant>
        <vt:lpwstr>http://www.msac.gov.au/internet/msac/publishing.nsf/Content/630030BACC0F3483CA258482001B41D3/$File/Final MSAC Minutes - 6CPA MMR Programs.pdf</vt:lpwstr>
      </vt:variant>
      <vt:variant>
        <vt:lpwstr/>
      </vt:variant>
      <vt:variant>
        <vt:i4>3735663</vt:i4>
      </vt:variant>
      <vt:variant>
        <vt:i4>0</vt:i4>
      </vt:variant>
      <vt:variant>
        <vt:i4>0</vt:i4>
      </vt:variant>
      <vt:variant>
        <vt:i4>5</vt:i4>
      </vt:variant>
      <vt:variant>
        <vt:lpwstr>https://www.ppaonline.com.au/programs/medication-management-programs/home-medicines-review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2022-07-21T01:18:00Z</dcterms:created>
  <dcterms:modified xsi:type="dcterms:W3CDTF">2022-07-21T03:41:00Z</dcterms:modified>
  <cp:category/>
</cp:coreProperties>
</file>