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BC1F8" w14:textId="0A6BDE85" w:rsidR="003527D4" w:rsidRPr="0000380D" w:rsidRDefault="003527D4" w:rsidP="003527D4">
      <w:pPr>
        <w:pStyle w:val="Title"/>
        <w:spacing w:before="3000"/>
        <w:ind w:left="0"/>
      </w:pPr>
      <w:bookmarkStart w:id="0" w:name="_Hlk155191491"/>
      <w:bookmarkEnd w:id="0"/>
      <w:r>
        <w:t xml:space="preserve">MSAC </w:t>
      </w:r>
      <w:r w:rsidRPr="001906CD">
        <w:t xml:space="preserve">Application </w:t>
      </w:r>
      <w:r>
        <w:t>1766</w:t>
      </w:r>
    </w:p>
    <w:p w14:paraId="50BD2F8B" w14:textId="77777777" w:rsidR="003527D4" w:rsidRDefault="003527D4" w:rsidP="003527D4"/>
    <w:p w14:paraId="44E82EA1" w14:textId="77777777" w:rsidR="004302F1" w:rsidRDefault="004302F1" w:rsidP="003527D4">
      <w:pPr>
        <w:pStyle w:val="Title"/>
        <w:spacing w:before="960"/>
        <w:ind w:left="0"/>
        <w:rPr>
          <w:rFonts w:eastAsia="Times New Roman"/>
          <w:color w:val="0070C0"/>
          <w:sz w:val="48"/>
          <w:szCs w:val="48"/>
        </w:rPr>
      </w:pPr>
      <w:r w:rsidRPr="004302F1">
        <w:rPr>
          <w:rFonts w:eastAsia="Times New Roman"/>
          <w:color w:val="0070C0"/>
          <w:sz w:val="48"/>
          <w:szCs w:val="48"/>
        </w:rPr>
        <w:t xml:space="preserve">Genetic testing to detect AKT-pathway alterations in patients with hormone receptor-positive, HER2-negative advanced breast cancer, to determine eligibility for PBS subsidised </w:t>
      </w:r>
      <w:proofErr w:type="spellStart"/>
      <w:r w:rsidRPr="004302F1">
        <w:rPr>
          <w:rFonts w:eastAsia="Times New Roman"/>
          <w:color w:val="0070C0"/>
          <w:sz w:val="48"/>
          <w:szCs w:val="48"/>
        </w:rPr>
        <w:t>capivasertib</w:t>
      </w:r>
      <w:proofErr w:type="spellEnd"/>
      <w:r w:rsidRPr="004302F1">
        <w:rPr>
          <w:rFonts w:eastAsia="Times New Roman"/>
          <w:color w:val="0070C0"/>
          <w:sz w:val="48"/>
          <w:szCs w:val="48"/>
        </w:rPr>
        <w:t xml:space="preserve"> treatment</w:t>
      </w:r>
      <w:r w:rsidRPr="004302F1">
        <w:rPr>
          <w:rFonts w:eastAsia="Times New Roman"/>
          <w:color w:val="0070C0"/>
          <w:sz w:val="48"/>
          <w:szCs w:val="48"/>
        </w:rPr>
        <w:t xml:space="preserve"> </w:t>
      </w:r>
    </w:p>
    <w:p w14:paraId="64AF5AA4" w14:textId="4A5F4BB5" w:rsidR="003527D4" w:rsidRDefault="003527D4" w:rsidP="003527D4">
      <w:pPr>
        <w:pStyle w:val="Title"/>
        <w:spacing w:before="960"/>
        <w:ind w:left="0"/>
      </w:pPr>
      <w:r>
        <w:t>PICO Set Document</w:t>
      </w:r>
    </w:p>
    <w:p w14:paraId="369BB974" w14:textId="36352556" w:rsidR="003527D4" w:rsidRDefault="003527D4">
      <w:pPr>
        <w:spacing w:line="259" w:lineRule="auto"/>
        <w:rPr>
          <w:rFonts w:eastAsia="Segoe UI"/>
          <w:b/>
          <w:color w:val="000000"/>
          <w:sz w:val="32"/>
        </w:rPr>
      </w:pPr>
    </w:p>
    <w:p w14:paraId="1FC709D4" w14:textId="77777777" w:rsidR="003527D4" w:rsidRDefault="003527D4">
      <w:pPr>
        <w:spacing w:line="259" w:lineRule="auto"/>
        <w:rPr>
          <w:rFonts w:eastAsia="Segoe UI"/>
          <w:b/>
          <w:color w:val="000000"/>
          <w:sz w:val="32"/>
        </w:rPr>
      </w:pPr>
      <w:r>
        <w:rPr>
          <w:rFonts w:eastAsia="Segoe UI"/>
          <w:b/>
          <w:color w:val="000000"/>
          <w:sz w:val="32"/>
        </w:rPr>
        <w:br w:type="page"/>
      </w:r>
    </w:p>
    <w:p w14:paraId="53790C15" w14:textId="16B45900" w:rsidR="00721E60" w:rsidRDefault="00721E60" w:rsidP="00721E60">
      <w:pPr>
        <w:rPr>
          <w:rFonts w:eastAsia="Segoe UI"/>
          <w:b/>
          <w:color w:val="000000"/>
          <w:sz w:val="32"/>
        </w:rPr>
      </w:pPr>
      <w:r>
        <w:rPr>
          <w:rFonts w:eastAsia="Segoe UI"/>
          <w:b/>
          <w:color w:val="000000"/>
          <w:sz w:val="32"/>
        </w:rPr>
        <w:lastRenderedPageBreak/>
        <w:t>Population</w:t>
      </w:r>
    </w:p>
    <w:p w14:paraId="2DB444FD" w14:textId="01D85695" w:rsidR="00721E60" w:rsidRPr="00721E60" w:rsidRDefault="00721E60" w:rsidP="00721E60">
      <w:pPr>
        <w:spacing w:after="0"/>
        <w:rPr>
          <w:rFonts w:eastAsia="Segoe UI"/>
          <w:b/>
          <w:color w:val="000000"/>
        </w:rPr>
      </w:pPr>
      <w:r>
        <w:rPr>
          <w:rFonts w:eastAsia="Segoe UI"/>
          <w:b/>
          <w:color w:val="000000"/>
        </w:rPr>
        <w:t>Describe the population in which the proposed health technology is intended to be used:</w:t>
      </w:r>
    </w:p>
    <w:p w14:paraId="384A2971" w14:textId="637E4048" w:rsidR="00721E60" w:rsidRPr="00721E60" w:rsidRDefault="00721E60" w:rsidP="00721E60">
      <w:pPr>
        <w:rPr>
          <w:rFonts w:eastAsia="Segoe UI"/>
          <w:color w:val="000000"/>
        </w:rPr>
      </w:pPr>
      <w:r w:rsidRPr="112338C8">
        <w:rPr>
          <w:rFonts w:eastAsia="Segoe UI"/>
        </w:rPr>
        <w:t xml:space="preserve">The application is to request public funding for </w:t>
      </w:r>
      <w:r w:rsidRPr="00B42924">
        <w:rPr>
          <w:rFonts w:eastAsia="Segoe UI"/>
        </w:rPr>
        <w:t>the testing of AKT-pathway alterations (PI3KCA, AKT1 or PTEN) by Next Generation Sequencing (NGS) in tumour tissue from patients with locally advanced</w:t>
      </w:r>
      <w:r w:rsidRPr="00B42924" w:rsidDel="00B42924">
        <w:rPr>
          <w:rFonts w:eastAsia="Segoe UI"/>
        </w:rPr>
        <w:t xml:space="preserve"> </w:t>
      </w:r>
      <w:r w:rsidRPr="112338C8">
        <w:rPr>
          <w:rFonts w:eastAsia="Segoe UI"/>
        </w:rPr>
        <w:t xml:space="preserve">(inoperable) or metastatic HR-positive/HER2-negative (HR+/HER2-) breast cancer following recurrence or progression on or after aromatase inhibitor therapy, with or without a CDK4/6 inhibitor. </w:t>
      </w:r>
    </w:p>
    <w:p w14:paraId="6AD0CE41" w14:textId="7D750629" w:rsidR="00721E60" w:rsidRDefault="00721E60" w:rsidP="00721E60">
      <w:pPr>
        <w:rPr>
          <w:rFonts w:eastAsia="Segoe UI"/>
        </w:rPr>
      </w:pPr>
      <w:r w:rsidRPr="35BE08AB">
        <w:rPr>
          <w:rFonts w:eastAsia="Segoe UI"/>
        </w:rPr>
        <w:t>It is proposed to be a</w:t>
      </w:r>
      <w:r>
        <w:rPr>
          <w:rFonts w:eastAsia="Segoe UI"/>
        </w:rPr>
        <w:t xml:space="preserve"> diagnostic service </w:t>
      </w:r>
      <w:r w:rsidRPr="35BE08AB">
        <w:rPr>
          <w:rFonts w:eastAsia="Segoe UI"/>
        </w:rPr>
        <w:t xml:space="preserve">for eligibility </w:t>
      </w:r>
      <w:r>
        <w:rPr>
          <w:rFonts w:eastAsia="Segoe UI"/>
        </w:rPr>
        <w:t>for</w:t>
      </w:r>
      <w:r w:rsidRPr="35BE08AB">
        <w:rPr>
          <w:rFonts w:eastAsia="Segoe UI"/>
        </w:rPr>
        <w:t xml:space="preserve"> </w:t>
      </w:r>
      <w:proofErr w:type="spellStart"/>
      <w:r w:rsidRPr="35BE08AB">
        <w:rPr>
          <w:rFonts w:eastAsia="Segoe UI"/>
        </w:rPr>
        <w:t>capivasertib</w:t>
      </w:r>
      <w:proofErr w:type="spellEnd"/>
      <w:r>
        <w:rPr>
          <w:rFonts w:eastAsia="Segoe UI"/>
        </w:rPr>
        <w:t xml:space="preserve"> + </w:t>
      </w:r>
      <w:proofErr w:type="spellStart"/>
      <w:r>
        <w:rPr>
          <w:rFonts w:eastAsia="Segoe UI"/>
        </w:rPr>
        <w:t>fulvestrant</w:t>
      </w:r>
      <w:proofErr w:type="spellEnd"/>
      <w:r w:rsidRPr="35BE08AB">
        <w:rPr>
          <w:rFonts w:eastAsia="Segoe UI"/>
        </w:rPr>
        <w:t xml:space="preserve"> treatment in patients with confirmed AKT-pathway altered (PIK3CA, AKT1 or PTEN) tumour and locally advanced or metastatic HR+/HER2- breast cancer.</w:t>
      </w:r>
    </w:p>
    <w:p w14:paraId="0A5C4C7D" w14:textId="0D7A5B58" w:rsidR="00721E60" w:rsidRDefault="00721E60" w:rsidP="00721E60">
      <w:pPr>
        <w:rPr>
          <w:rFonts w:eastAsia="Segoe UI"/>
          <w:color w:val="000000"/>
        </w:rPr>
      </w:pPr>
      <w:r>
        <w:rPr>
          <w:rFonts w:eastAsia="Segoe UI"/>
          <w:color w:val="000000"/>
        </w:rPr>
        <w:t>In CAPItello-291, t</w:t>
      </w:r>
      <w:r w:rsidRPr="00F63754">
        <w:rPr>
          <w:rFonts w:eastAsia="Segoe UI"/>
          <w:color w:val="000000"/>
        </w:rPr>
        <w:t xml:space="preserve">he addition of </w:t>
      </w:r>
      <w:proofErr w:type="spellStart"/>
      <w:r w:rsidRPr="00F63754">
        <w:rPr>
          <w:rFonts w:eastAsia="Segoe UI"/>
          <w:color w:val="000000"/>
        </w:rPr>
        <w:t>capivasertib</w:t>
      </w:r>
      <w:proofErr w:type="spellEnd"/>
      <w:r w:rsidRPr="00F63754">
        <w:rPr>
          <w:rFonts w:eastAsia="Segoe UI"/>
          <w:color w:val="000000"/>
        </w:rPr>
        <w:t xml:space="preserve"> to </w:t>
      </w:r>
      <w:proofErr w:type="spellStart"/>
      <w:r w:rsidRPr="00F63754">
        <w:rPr>
          <w:rFonts w:eastAsia="Segoe UI"/>
          <w:color w:val="000000"/>
        </w:rPr>
        <w:t>fulvestrant</w:t>
      </w:r>
      <w:proofErr w:type="spellEnd"/>
      <w:r w:rsidRPr="00F63754">
        <w:rPr>
          <w:rFonts w:eastAsia="Segoe UI"/>
          <w:color w:val="000000"/>
        </w:rPr>
        <w:t xml:space="preserve"> significantly improved PFS in patients with AI-resistant HR+/HER2– </w:t>
      </w:r>
      <w:r>
        <w:rPr>
          <w:rFonts w:eastAsia="Segoe UI"/>
          <w:color w:val="000000"/>
        </w:rPr>
        <w:t>advanced breast cancer</w:t>
      </w:r>
      <w:r w:rsidRPr="00F63754">
        <w:rPr>
          <w:rFonts w:eastAsia="Segoe UI"/>
          <w:color w:val="000000"/>
        </w:rPr>
        <w:t xml:space="preserve"> in the overall population, with a more pronounced benefit in pathway altered tumours</w:t>
      </w:r>
      <w:r>
        <w:rPr>
          <w:rFonts w:eastAsia="Segoe UI"/>
          <w:color w:val="000000"/>
        </w:rPr>
        <w:t xml:space="preserve"> (Turner et al 2023)</w:t>
      </w:r>
      <w:r w:rsidRPr="00F63754">
        <w:rPr>
          <w:rFonts w:eastAsia="Segoe UI"/>
          <w:color w:val="000000"/>
        </w:rPr>
        <w:t>.</w:t>
      </w:r>
    </w:p>
    <w:p w14:paraId="18A16DBD" w14:textId="075B4F33" w:rsidR="00721E60" w:rsidRPr="00721E60" w:rsidRDefault="00721E60" w:rsidP="00721E60">
      <w:pPr>
        <w:rPr>
          <w:rFonts w:eastAsia="Segoe UI"/>
          <w:color w:val="000000"/>
        </w:rPr>
      </w:pPr>
      <w:proofErr w:type="spellStart"/>
      <w:r>
        <w:rPr>
          <w:rFonts w:eastAsia="Segoe UI"/>
          <w:color w:val="000000"/>
        </w:rPr>
        <w:t>Capivasertib</w:t>
      </w:r>
      <w:proofErr w:type="spellEnd"/>
      <w:r>
        <w:rPr>
          <w:rFonts w:eastAsia="Segoe UI"/>
          <w:color w:val="000000"/>
        </w:rPr>
        <w:t xml:space="preserve"> is currently undergoing TGA evaluation for treatment in this population. </w:t>
      </w:r>
    </w:p>
    <w:p w14:paraId="66AA782B" w14:textId="5B5C84B1" w:rsidR="00721E60" w:rsidRPr="00721E60" w:rsidRDefault="00721E60" w:rsidP="00721E60">
      <w:pPr>
        <w:spacing w:after="0"/>
        <w:rPr>
          <w:rFonts w:eastAsia="Segoe UI"/>
          <w:b/>
          <w:color w:val="000000"/>
        </w:rPr>
      </w:pPr>
      <w:r>
        <w:rPr>
          <w:rFonts w:eastAsia="Segoe UI"/>
          <w:b/>
          <w:color w:val="000000"/>
        </w:rPr>
        <w:t xml:space="preserve">Specify any characteristics of patients with the medical condition, or suspected of, who are proposed to be eligible for the proposed health technology, describing how a patient would be investigated, </w:t>
      </w:r>
      <w:proofErr w:type="gramStart"/>
      <w:r>
        <w:rPr>
          <w:rFonts w:eastAsia="Segoe UI"/>
          <w:b/>
          <w:color w:val="000000"/>
        </w:rPr>
        <w:t>managed</w:t>
      </w:r>
      <w:proofErr w:type="gramEnd"/>
      <w:r>
        <w:rPr>
          <w:rFonts w:eastAsia="Segoe UI"/>
          <w:b/>
          <w:color w:val="000000"/>
        </w:rPr>
        <w:t xml:space="preserve"> and referred within the Australian health care system in the lead up to being considered eligible for the technology:</w:t>
      </w:r>
    </w:p>
    <w:p w14:paraId="523C17C8" w14:textId="54FA0349" w:rsidR="00721E60" w:rsidRPr="00721E60" w:rsidRDefault="00721E60" w:rsidP="00721E60">
      <w:pPr>
        <w:rPr>
          <w:rFonts w:eastAsia="Segoe UI"/>
        </w:rPr>
      </w:pPr>
      <w:r w:rsidRPr="00E213B1">
        <w:rPr>
          <w:rFonts w:eastAsia="Segoe UI"/>
        </w:rPr>
        <w:t xml:space="preserve">Breast cancer is the </w:t>
      </w:r>
      <w:proofErr w:type="gramStart"/>
      <w:r w:rsidRPr="00E213B1">
        <w:rPr>
          <w:rFonts w:eastAsia="Segoe UI"/>
        </w:rPr>
        <w:t>most commonly diagnosed</w:t>
      </w:r>
      <w:proofErr w:type="gramEnd"/>
      <w:r w:rsidRPr="00E213B1">
        <w:rPr>
          <w:rFonts w:eastAsia="Segoe UI"/>
        </w:rPr>
        <w:t xml:space="preserve"> cancer among women in Australia, with approximately 57 Australians diagnosed each day, equating to over 20,000 Australians every year. (National Breast Cancer Foundation. 2021). Of those 20,000 Australians diagnosed with breast cancer each year, about 5% have metastatic breast cancer (Cancer Australia. 2019). Advanced breast cancer (ABC) comprises both locally advanced (inoperable) and metastatic disease. Although it can be treated, metastatic breast cancer remains incurable with a median survival of approximately 3 years and a 5-year survival rate of around 25% (Cardoso et al 2018). Several prognostic indicators for breast cancer have been identified including HER2 and ER/PR (here, also referred to as hormone receptor [HR]). Most of the improvements in survival rates achieved in the last decade have been due to advances in the treatment of patients with HER2+ tumours. Conversely, survival rates for patients with HR+/HER2− tumours, which account for approximately 70% of all breast cancers (</w:t>
      </w:r>
      <w:proofErr w:type="spellStart"/>
      <w:r w:rsidRPr="00E213B1">
        <w:rPr>
          <w:rFonts w:eastAsia="Segoe UI"/>
        </w:rPr>
        <w:t>Howlader</w:t>
      </w:r>
      <w:proofErr w:type="spellEnd"/>
      <w:r w:rsidRPr="00E213B1">
        <w:rPr>
          <w:rFonts w:eastAsia="Segoe UI"/>
        </w:rPr>
        <w:t xml:space="preserve"> et</w:t>
      </w:r>
      <w:r w:rsidRPr="618952DB">
        <w:rPr>
          <w:rFonts w:eastAsia="Segoe UI"/>
          <w:color w:val="000000" w:themeColor="text1"/>
        </w:rPr>
        <w:t xml:space="preserve"> al 2014), have not shown much improvement over the same period (</w:t>
      </w:r>
      <w:proofErr w:type="spellStart"/>
      <w:r w:rsidRPr="618952DB">
        <w:rPr>
          <w:rFonts w:eastAsia="Segoe UI"/>
          <w:color w:val="000000" w:themeColor="text1"/>
        </w:rPr>
        <w:t>Gobbini</w:t>
      </w:r>
      <w:proofErr w:type="spellEnd"/>
      <w:r w:rsidRPr="618952DB">
        <w:rPr>
          <w:rFonts w:eastAsia="Segoe UI"/>
          <w:color w:val="000000" w:themeColor="text1"/>
        </w:rPr>
        <w:t xml:space="preserve"> et al 2018).</w:t>
      </w:r>
    </w:p>
    <w:p w14:paraId="6C2E50DE" w14:textId="165CE45C" w:rsidR="00721E60" w:rsidRDefault="00721E60" w:rsidP="00721E60">
      <w:pPr>
        <w:rPr>
          <w:rFonts w:eastAsia="Segoe UI"/>
        </w:rPr>
      </w:pPr>
      <w:r w:rsidRPr="00FB3C71">
        <w:rPr>
          <w:rFonts w:eastAsia="Segoe UI"/>
        </w:rPr>
        <w:t xml:space="preserve">In </w:t>
      </w:r>
      <w:proofErr w:type="gramStart"/>
      <w:r w:rsidRPr="00FB3C71">
        <w:rPr>
          <w:rFonts w:eastAsia="Segoe UI"/>
        </w:rPr>
        <w:t>the majority of</w:t>
      </w:r>
      <w:proofErr w:type="gramEnd"/>
      <w:r w:rsidRPr="00FB3C71">
        <w:rPr>
          <w:rFonts w:eastAsia="Segoe UI"/>
        </w:rPr>
        <w:t xml:space="preserve"> cases, endocrine-based therapy is the initial treatment for HR+/HER2−</w:t>
      </w:r>
      <w:r>
        <w:rPr>
          <w:rFonts w:eastAsia="Segoe UI"/>
        </w:rPr>
        <w:t xml:space="preserve"> </w:t>
      </w:r>
      <w:r w:rsidRPr="00FB3C71">
        <w:rPr>
          <w:rFonts w:eastAsia="Segoe UI"/>
        </w:rPr>
        <w:t>breast cancer. The exceptions are patients with visceral crisis or in whom endocrine-based</w:t>
      </w:r>
      <w:r>
        <w:rPr>
          <w:rFonts w:eastAsia="Segoe UI"/>
        </w:rPr>
        <w:t xml:space="preserve"> </w:t>
      </w:r>
      <w:r w:rsidRPr="00FB3C71">
        <w:rPr>
          <w:rFonts w:eastAsia="Segoe UI"/>
        </w:rPr>
        <w:t>alternatives have been exhausted or for whom there is evidence of endocrine resistance; in</w:t>
      </w:r>
      <w:r>
        <w:rPr>
          <w:rFonts w:eastAsia="Segoe UI"/>
        </w:rPr>
        <w:t xml:space="preserve"> </w:t>
      </w:r>
      <w:r w:rsidRPr="00FB3C71">
        <w:rPr>
          <w:rFonts w:eastAsia="Segoe UI"/>
        </w:rPr>
        <w:t>such instances, chemotherapy is required.</w:t>
      </w:r>
    </w:p>
    <w:p w14:paraId="26EC0A20" w14:textId="04B152ED" w:rsidR="00721E60" w:rsidRDefault="00721E60" w:rsidP="00721E60">
      <w:pPr>
        <w:rPr>
          <w:rFonts w:eastAsia="Segoe UI"/>
        </w:rPr>
      </w:pPr>
      <w:r w:rsidRPr="007F111D">
        <w:rPr>
          <w:rFonts w:eastAsia="Segoe UI"/>
        </w:rPr>
        <w:t>Many patients with HR+/HER2− breast cancer benefit from sequential use of</w:t>
      </w:r>
      <w:r>
        <w:rPr>
          <w:rFonts w:eastAsia="Segoe UI"/>
        </w:rPr>
        <w:t xml:space="preserve"> </w:t>
      </w:r>
      <w:r w:rsidRPr="007F111D">
        <w:rPr>
          <w:rFonts w:eastAsia="Segoe UI"/>
        </w:rPr>
        <w:t>endocrine therapies and those who respond to endocrine therapy with either tumour shrinkage</w:t>
      </w:r>
      <w:r>
        <w:rPr>
          <w:rFonts w:eastAsia="Segoe UI"/>
        </w:rPr>
        <w:t xml:space="preserve"> </w:t>
      </w:r>
      <w:r w:rsidRPr="007F111D">
        <w:rPr>
          <w:rFonts w:eastAsia="Segoe UI"/>
        </w:rPr>
        <w:t>or long-term stabilisation (i.e., clinical benefit) should be offered additional endocrine therapy</w:t>
      </w:r>
      <w:r>
        <w:rPr>
          <w:rFonts w:eastAsia="Segoe UI"/>
        </w:rPr>
        <w:t xml:space="preserve"> </w:t>
      </w:r>
      <w:r w:rsidRPr="007F111D">
        <w:rPr>
          <w:rFonts w:eastAsia="Segoe UI"/>
        </w:rPr>
        <w:t>at subsequent disease progression (</w:t>
      </w:r>
      <w:proofErr w:type="spellStart"/>
      <w:r>
        <w:rPr>
          <w:rFonts w:eastAsia="Segoe UI"/>
        </w:rPr>
        <w:t>Telli</w:t>
      </w:r>
      <w:proofErr w:type="spellEnd"/>
      <w:r>
        <w:rPr>
          <w:rFonts w:eastAsia="Segoe UI"/>
        </w:rPr>
        <w:t xml:space="preserve"> et al 2019</w:t>
      </w:r>
      <w:r w:rsidRPr="007F111D">
        <w:rPr>
          <w:rFonts w:eastAsia="Segoe UI"/>
        </w:rPr>
        <w:t>)</w:t>
      </w:r>
      <w:r>
        <w:rPr>
          <w:rFonts w:eastAsia="Segoe UI"/>
        </w:rPr>
        <w:t xml:space="preserve"> to maintain disease control</w:t>
      </w:r>
      <w:r w:rsidRPr="007F111D">
        <w:rPr>
          <w:rFonts w:eastAsia="Segoe UI"/>
        </w:rPr>
        <w:t>. The optimal sequence and integration of the</w:t>
      </w:r>
      <w:r>
        <w:rPr>
          <w:rFonts w:eastAsia="Segoe UI"/>
        </w:rPr>
        <w:t xml:space="preserve"> </w:t>
      </w:r>
      <w:r w:rsidRPr="007F111D">
        <w:rPr>
          <w:rFonts w:eastAsia="Segoe UI"/>
        </w:rPr>
        <w:t>available endocrine agents is not established and is influenced by choice of initial therapy, the</w:t>
      </w:r>
      <w:r>
        <w:rPr>
          <w:rFonts w:eastAsia="Segoe UI"/>
        </w:rPr>
        <w:t xml:space="preserve"> </w:t>
      </w:r>
      <w:r w:rsidRPr="007F111D">
        <w:rPr>
          <w:rFonts w:eastAsia="Segoe UI"/>
        </w:rPr>
        <w:t>response obtained, as well as individual patient and disease characteristics (Cardoso et al</w:t>
      </w:r>
      <w:r>
        <w:rPr>
          <w:rFonts w:eastAsia="Segoe UI"/>
        </w:rPr>
        <w:t xml:space="preserve"> </w:t>
      </w:r>
      <w:r w:rsidRPr="007F111D">
        <w:rPr>
          <w:rFonts w:eastAsia="Segoe UI"/>
        </w:rPr>
        <w:t>2018).</w:t>
      </w:r>
    </w:p>
    <w:p w14:paraId="5374432D" w14:textId="68CE0A81" w:rsidR="00721E60" w:rsidRPr="00721E60" w:rsidRDefault="00721E60" w:rsidP="00721E60">
      <w:pPr>
        <w:rPr>
          <w:rFonts w:eastAsia="Segoe UI"/>
        </w:rPr>
      </w:pPr>
      <w:r w:rsidRPr="618952DB">
        <w:rPr>
          <w:rFonts w:eastAsia="Segoe UI"/>
          <w:color w:val="000000" w:themeColor="text1"/>
        </w:rPr>
        <w:lastRenderedPageBreak/>
        <w:t xml:space="preserve">Several </w:t>
      </w:r>
      <w:proofErr w:type="gramStart"/>
      <w:r w:rsidRPr="618952DB">
        <w:rPr>
          <w:rFonts w:eastAsia="Segoe UI"/>
          <w:color w:val="000000" w:themeColor="text1"/>
        </w:rPr>
        <w:t>novel</w:t>
      </w:r>
      <w:proofErr w:type="gramEnd"/>
      <w:r w:rsidRPr="618952DB">
        <w:rPr>
          <w:rFonts w:eastAsia="Segoe UI"/>
          <w:color w:val="000000" w:themeColor="text1"/>
        </w:rPr>
        <w:t xml:space="preserve">, effective agents have become available in recent years for combination with endocrine therapies. </w:t>
      </w:r>
      <w:proofErr w:type="gramStart"/>
      <w:r>
        <w:rPr>
          <w:rFonts w:eastAsia="Segoe UI"/>
          <w:color w:val="000000" w:themeColor="text1"/>
        </w:rPr>
        <w:t>In particular for</w:t>
      </w:r>
      <w:proofErr w:type="gramEnd"/>
      <w:r>
        <w:rPr>
          <w:rFonts w:eastAsia="Segoe UI"/>
          <w:color w:val="000000" w:themeColor="text1"/>
        </w:rPr>
        <w:t xml:space="preserve"> Australia, t</w:t>
      </w:r>
      <w:r w:rsidRPr="618952DB">
        <w:rPr>
          <w:rFonts w:eastAsia="Segoe UI"/>
          <w:color w:val="000000" w:themeColor="text1"/>
        </w:rPr>
        <w:t>hese include cyclin-dependent kinase (CDK) 4/6 inhibitors</w:t>
      </w:r>
      <w:r>
        <w:rPr>
          <w:rFonts w:eastAsia="Segoe UI"/>
          <w:color w:val="000000" w:themeColor="text1"/>
        </w:rPr>
        <w:t xml:space="preserve"> which have become standard of care in 1L metastatic breast cancer. Alternatively, </w:t>
      </w:r>
      <w:proofErr w:type="spellStart"/>
      <w:r w:rsidRPr="618952DB">
        <w:rPr>
          <w:rFonts w:eastAsia="Segoe UI"/>
          <w:color w:val="000000" w:themeColor="text1"/>
        </w:rPr>
        <w:t>everolimus</w:t>
      </w:r>
      <w:proofErr w:type="spellEnd"/>
      <w:r w:rsidRPr="618952DB">
        <w:rPr>
          <w:rFonts w:eastAsia="Segoe UI"/>
          <w:color w:val="000000" w:themeColor="text1"/>
        </w:rPr>
        <w:t xml:space="preserve"> in combination with exemestane (an inhibitor of the mammalian target of the rapamycin receptor [mTOR])</w:t>
      </w:r>
      <w:r>
        <w:rPr>
          <w:rFonts w:eastAsia="Segoe UI"/>
          <w:color w:val="000000" w:themeColor="text1"/>
        </w:rPr>
        <w:t xml:space="preserve"> however, it is not used much in Australia due to minimal magnitude of benefit in real world treatments after progression on 1L CDK4/6-inhibitors</w:t>
      </w:r>
      <w:r w:rsidRPr="618952DB">
        <w:rPr>
          <w:rFonts w:eastAsia="Segoe UI"/>
          <w:color w:val="000000" w:themeColor="text1"/>
        </w:rPr>
        <w:t xml:space="preserve">. Available second or further lines of therapies are limited either </w:t>
      </w:r>
      <w:proofErr w:type="gramStart"/>
      <w:r w:rsidRPr="618952DB">
        <w:rPr>
          <w:rFonts w:eastAsia="Segoe UI"/>
          <w:color w:val="000000" w:themeColor="text1"/>
        </w:rPr>
        <w:t>with regard to</w:t>
      </w:r>
      <w:proofErr w:type="gramEnd"/>
      <w:r w:rsidRPr="618952DB">
        <w:rPr>
          <w:rFonts w:eastAsia="Segoe UI"/>
          <w:color w:val="000000" w:themeColor="text1"/>
        </w:rPr>
        <w:t xml:space="preserve"> the population able to gain benefit, or the minimal magnitude of benefit (Cardoso et al 2018).</w:t>
      </w:r>
    </w:p>
    <w:p w14:paraId="32063BAC" w14:textId="21C6F5BD" w:rsidR="00721E60" w:rsidRPr="00721E60" w:rsidRDefault="00721E60" w:rsidP="00721E60">
      <w:pPr>
        <w:rPr>
          <w:rFonts w:eastAsia="Segoe UI"/>
        </w:rPr>
      </w:pPr>
      <w:r w:rsidRPr="618952DB">
        <w:rPr>
          <w:rFonts w:eastAsia="Segoe UI"/>
          <w:color w:val="000000" w:themeColor="text1"/>
        </w:rPr>
        <w:t xml:space="preserve">More recently, the Phase III SOLAR-1 study demonstrated an improvement in PFS of 5.7 to 11 months with the addition of the alpha-specific PI3K inhibitor </w:t>
      </w:r>
      <w:proofErr w:type="spellStart"/>
      <w:r w:rsidRPr="618952DB">
        <w:rPr>
          <w:rFonts w:eastAsia="Segoe UI"/>
          <w:color w:val="000000" w:themeColor="text1"/>
        </w:rPr>
        <w:t>alpelisib</w:t>
      </w:r>
      <w:proofErr w:type="spellEnd"/>
      <w:r w:rsidRPr="618952DB">
        <w:rPr>
          <w:rFonts w:eastAsia="Segoe UI"/>
          <w:color w:val="000000" w:themeColor="text1"/>
        </w:rPr>
        <w:t xml:space="preserve"> to </w:t>
      </w:r>
      <w:proofErr w:type="spellStart"/>
      <w:r w:rsidRPr="618952DB">
        <w:rPr>
          <w:rFonts w:eastAsia="Segoe UI"/>
          <w:color w:val="000000" w:themeColor="text1"/>
        </w:rPr>
        <w:t>fulvestrant</w:t>
      </w:r>
      <w:proofErr w:type="spellEnd"/>
      <w:r w:rsidRPr="618952DB">
        <w:rPr>
          <w:rFonts w:eastAsia="Segoe UI"/>
          <w:color w:val="000000" w:themeColor="text1"/>
        </w:rPr>
        <w:t xml:space="preserve"> in patients with HR+/HER2− advanced breast cancer with tumours harbouring a PIK3CA mutation, who had relapsed or progressed on an AI (André et al 2019), based on which the FDA granted approval. Despite these advances, these tumours eventually develop endocrine resistance necessitating the use of chemotherapy and thus, HR+/HER2− </w:t>
      </w:r>
      <w:r>
        <w:rPr>
          <w:rFonts w:eastAsia="Segoe UI"/>
          <w:color w:val="000000" w:themeColor="text1"/>
        </w:rPr>
        <w:t>advanced breast cancer</w:t>
      </w:r>
      <w:r w:rsidRPr="618952DB">
        <w:rPr>
          <w:rFonts w:eastAsia="Segoe UI"/>
          <w:color w:val="000000" w:themeColor="text1"/>
        </w:rPr>
        <w:t xml:space="preserve"> remains an area of considerable unmet medical need</w:t>
      </w:r>
      <w:r>
        <w:rPr>
          <w:rFonts w:eastAsia="Segoe UI"/>
          <w:color w:val="000000" w:themeColor="text1"/>
        </w:rPr>
        <w:t>, especially post-CDK4/6-inhbitor use</w:t>
      </w:r>
      <w:r w:rsidRPr="618952DB">
        <w:rPr>
          <w:rFonts w:eastAsia="Segoe UI"/>
          <w:color w:val="000000" w:themeColor="text1"/>
        </w:rPr>
        <w:t>.</w:t>
      </w:r>
    </w:p>
    <w:p w14:paraId="1712EED2" w14:textId="4375F591" w:rsidR="00721E60" w:rsidRDefault="00721E60" w:rsidP="00721E60">
      <w:pPr>
        <w:rPr>
          <w:rFonts w:eastAsia="Segoe UI"/>
        </w:rPr>
      </w:pPr>
      <w:r w:rsidRPr="00C57809">
        <w:rPr>
          <w:rFonts w:eastAsia="Segoe UI"/>
        </w:rPr>
        <w:t>The AKT serine/threonine protein kinases (AKT1, AKT2, AKT3) are key downstream</w:t>
      </w:r>
      <w:r>
        <w:rPr>
          <w:rFonts w:eastAsia="Segoe UI"/>
        </w:rPr>
        <w:t xml:space="preserve"> </w:t>
      </w:r>
      <w:r w:rsidRPr="00C57809">
        <w:rPr>
          <w:rFonts w:eastAsia="Segoe UI"/>
        </w:rPr>
        <w:t>effectors of the PI3K/AKT/mTOR pathway, mediating cell proliferation and resistance to</w:t>
      </w:r>
      <w:r>
        <w:rPr>
          <w:rFonts w:eastAsia="Segoe UI"/>
        </w:rPr>
        <w:t xml:space="preserve"> </w:t>
      </w:r>
      <w:r w:rsidRPr="00C57809">
        <w:rPr>
          <w:rFonts w:eastAsia="Segoe UI"/>
        </w:rPr>
        <w:t>apoptosis, and are activated in a wide range of solid and haematologic malignancies (Brown</w:t>
      </w:r>
      <w:r>
        <w:rPr>
          <w:rFonts w:eastAsia="Segoe UI"/>
        </w:rPr>
        <w:t xml:space="preserve"> et al </w:t>
      </w:r>
      <w:r w:rsidRPr="00C57809">
        <w:rPr>
          <w:rFonts w:eastAsia="Segoe UI"/>
        </w:rPr>
        <w:t xml:space="preserve">2017, Lindsley </w:t>
      </w:r>
      <w:r>
        <w:rPr>
          <w:rFonts w:eastAsia="Segoe UI"/>
        </w:rPr>
        <w:t xml:space="preserve">et al </w:t>
      </w:r>
      <w:r w:rsidRPr="00C57809">
        <w:rPr>
          <w:rFonts w:eastAsia="Segoe UI"/>
        </w:rPr>
        <w:t>2010, Liu et al 2019). AKT activation in tumours is largely due to</w:t>
      </w:r>
      <w:r>
        <w:rPr>
          <w:rFonts w:eastAsia="Segoe UI"/>
        </w:rPr>
        <w:t xml:space="preserve"> </w:t>
      </w:r>
      <w:r w:rsidRPr="00C57809">
        <w:rPr>
          <w:rFonts w:eastAsia="Segoe UI"/>
        </w:rPr>
        <w:t>input from other signalling pathways upstream of AKT including loss of PTEN function and</w:t>
      </w:r>
      <w:r>
        <w:rPr>
          <w:rFonts w:eastAsia="Segoe UI"/>
        </w:rPr>
        <w:t xml:space="preserve"> </w:t>
      </w:r>
      <w:r w:rsidRPr="00C57809">
        <w:rPr>
          <w:rFonts w:eastAsia="Segoe UI"/>
        </w:rPr>
        <w:t xml:space="preserve">activating mutations in the catalytic subunit of PI3K (PIK3CA) (Yi </w:t>
      </w:r>
      <w:r>
        <w:rPr>
          <w:rFonts w:eastAsia="Segoe UI"/>
        </w:rPr>
        <w:t>et al</w:t>
      </w:r>
      <w:r w:rsidRPr="00C57809">
        <w:rPr>
          <w:rFonts w:eastAsia="Segoe UI"/>
        </w:rPr>
        <w:t xml:space="preserve"> 2016).</w:t>
      </w:r>
      <w:r>
        <w:rPr>
          <w:rFonts w:eastAsia="Segoe UI"/>
        </w:rPr>
        <w:t xml:space="preserve"> </w:t>
      </w:r>
    </w:p>
    <w:p w14:paraId="35806777" w14:textId="1F5A9B70" w:rsidR="00721E60" w:rsidRPr="00721E60" w:rsidRDefault="00721E60" w:rsidP="00721E60">
      <w:pPr>
        <w:rPr>
          <w:rFonts w:eastAsia="Segoe UI"/>
        </w:rPr>
      </w:pPr>
      <w:r w:rsidRPr="618952DB">
        <w:rPr>
          <w:rFonts w:eastAsia="Segoe UI"/>
          <w:color w:val="000000" w:themeColor="text1"/>
        </w:rPr>
        <w:t>Numerous preclinical studies show that endogenous AKT activity promotes breast cancer cell survival and resistance to chemotherapy or endocrine therapy (</w:t>
      </w:r>
      <w:proofErr w:type="spellStart"/>
      <w:r w:rsidRPr="618952DB">
        <w:rPr>
          <w:rFonts w:eastAsia="Segoe UI"/>
          <w:color w:val="000000" w:themeColor="text1"/>
        </w:rPr>
        <w:t>Frogne</w:t>
      </w:r>
      <w:proofErr w:type="spellEnd"/>
      <w:r w:rsidRPr="618952DB">
        <w:rPr>
          <w:rFonts w:eastAsia="Segoe UI"/>
          <w:color w:val="000000" w:themeColor="text1"/>
        </w:rPr>
        <w:t xml:space="preserve"> et al 2005, </w:t>
      </w:r>
      <w:proofErr w:type="spellStart"/>
      <w:r w:rsidRPr="618952DB">
        <w:rPr>
          <w:rFonts w:eastAsia="Segoe UI"/>
          <w:color w:val="000000" w:themeColor="text1"/>
        </w:rPr>
        <w:t>Ghayad</w:t>
      </w:r>
      <w:proofErr w:type="spellEnd"/>
      <w:r w:rsidRPr="618952DB">
        <w:rPr>
          <w:rFonts w:eastAsia="Segoe UI"/>
          <w:color w:val="000000" w:themeColor="text1"/>
        </w:rPr>
        <w:t xml:space="preserve"> et al 2010, van der </w:t>
      </w:r>
      <w:proofErr w:type="spellStart"/>
      <w:r w:rsidRPr="618952DB">
        <w:rPr>
          <w:rFonts w:eastAsia="Segoe UI"/>
          <w:color w:val="000000" w:themeColor="text1"/>
        </w:rPr>
        <w:t>Hage</w:t>
      </w:r>
      <w:proofErr w:type="spellEnd"/>
      <w:r w:rsidRPr="618952DB">
        <w:rPr>
          <w:rFonts w:eastAsia="Segoe UI"/>
          <w:color w:val="000000" w:themeColor="text1"/>
        </w:rPr>
        <w:t xml:space="preserve"> et al 2004). This can be overcome by down-regulation or inhibition of the PI3K/AKT pathway, as it has been shown in several </w:t>
      </w:r>
      <w:r w:rsidRPr="00450E3B">
        <w:rPr>
          <w:rFonts w:eastAsia="Segoe UI"/>
          <w:i/>
          <w:color w:val="000000" w:themeColor="text1"/>
        </w:rPr>
        <w:t>in vitro</w:t>
      </w:r>
      <w:r w:rsidRPr="618952DB">
        <w:rPr>
          <w:rFonts w:eastAsia="Segoe UI"/>
          <w:color w:val="000000" w:themeColor="text1"/>
        </w:rPr>
        <w:t xml:space="preserve"> and </w:t>
      </w:r>
      <w:r w:rsidRPr="00450E3B">
        <w:rPr>
          <w:rFonts w:eastAsia="Segoe UI"/>
          <w:i/>
          <w:color w:val="000000" w:themeColor="text1"/>
        </w:rPr>
        <w:t>in vivo</w:t>
      </w:r>
      <w:r w:rsidRPr="618952DB">
        <w:rPr>
          <w:rFonts w:eastAsia="Segoe UI"/>
          <w:color w:val="000000" w:themeColor="text1"/>
        </w:rPr>
        <w:t xml:space="preserve"> breast cancer models (</w:t>
      </w:r>
      <w:proofErr w:type="spellStart"/>
      <w:r w:rsidRPr="618952DB">
        <w:rPr>
          <w:rFonts w:eastAsia="Segoe UI"/>
          <w:color w:val="000000" w:themeColor="text1"/>
        </w:rPr>
        <w:t>Frogne</w:t>
      </w:r>
      <w:proofErr w:type="spellEnd"/>
      <w:r w:rsidRPr="618952DB">
        <w:rPr>
          <w:rFonts w:eastAsia="Segoe UI"/>
          <w:color w:val="000000" w:themeColor="text1"/>
        </w:rPr>
        <w:t xml:space="preserve"> et al 2005, </w:t>
      </w:r>
      <w:proofErr w:type="spellStart"/>
      <w:r w:rsidRPr="618952DB">
        <w:rPr>
          <w:rFonts w:eastAsia="Segoe UI"/>
          <w:color w:val="000000" w:themeColor="text1"/>
        </w:rPr>
        <w:t>Ghayad</w:t>
      </w:r>
      <w:proofErr w:type="spellEnd"/>
      <w:r w:rsidRPr="618952DB">
        <w:rPr>
          <w:rFonts w:eastAsia="Segoe UI"/>
          <w:color w:val="000000" w:themeColor="text1"/>
        </w:rPr>
        <w:t xml:space="preserve"> et al 2010, van der </w:t>
      </w:r>
      <w:proofErr w:type="spellStart"/>
      <w:r w:rsidRPr="618952DB">
        <w:rPr>
          <w:rFonts w:eastAsia="Segoe UI"/>
          <w:color w:val="000000" w:themeColor="text1"/>
        </w:rPr>
        <w:t>Hage</w:t>
      </w:r>
      <w:proofErr w:type="spellEnd"/>
      <w:r w:rsidRPr="618952DB">
        <w:rPr>
          <w:rFonts w:eastAsia="Segoe UI"/>
          <w:color w:val="000000" w:themeColor="text1"/>
        </w:rPr>
        <w:t xml:space="preserve"> et al 2004).</w:t>
      </w:r>
    </w:p>
    <w:p w14:paraId="2A8690A7" w14:textId="7209D068" w:rsidR="00721E60" w:rsidRDefault="00721E60" w:rsidP="00721E60">
      <w:pPr>
        <w:rPr>
          <w:rFonts w:eastAsia="Segoe UI"/>
        </w:rPr>
      </w:pPr>
      <w:proofErr w:type="spellStart"/>
      <w:r w:rsidRPr="00B32BC5">
        <w:rPr>
          <w:rFonts w:eastAsia="Segoe UI"/>
        </w:rPr>
        <w:t>Capivasertib</w:t>
      </w:r>
      <w:proofErr w:type="spellEnd"/>
      <w:r w:rsidRPr="00B32BC5">
        <w:rPr>
          <w:rFonts w:eastAsia="Segoe UI"/>
        </w:rPr>
        <w:t xml:space="preserve"> is under investigation by AstraZeneca for a range of therapeutic indications</w:t>
      </w:r>
      <w:r>
        <w:rPr>
          <w:rFonts w:eastAsia="Segoe UI"/>
        </w:rPr>
        <w:t xml:space="preserve"> </w:t>
      </w:r>
      <w:r w:rsidRPr="00B32BC5">
        <w:rPr>
          <w:rFonts w:eastAsia="Segoe UI"/>
        </w:rPr>
        <w:t>(Banerji et al 2018, Tamura et al 2016) including triple-negative breast cancer (TNBC),</w:t>
      </w:r>
      <w:r>
        <w:rPr>
          <w:rFonts w:eastAsia="Segoe UI"/>
        </w:rPr>
        <w:t xml:space="preserve"> </w:t>
      </w:r>
      <w:r w:rsidRPr="00B32BC5">
        <w:rPr>
          <w:rFonts w:eastAsia="Segoe UI"/>
        </w:rPr>
        <w:t xml:space="preserve">ER+/HER2− breast cancer and prostate cancer. </w:t>
      </w:r>
      <w:proofErr w:type="spellStart"/>
      <w:r w:rsidRPr="00B32BC5">
        <w:rPr>
          <w:rFonts w:eastAsia="Segoe UI"/>
        </w:rPr>
        <w:t>Capivasertib</w:t>
      </w:r>
      <w:proofErr w:type="spellEnd"/>
      <w:r w:rsidRPr="00B32BC5">
        <w:rPr>
          <w:rFonts w:eastAsia="Segoe UI"/>
        </w:rPr>
        <w:t xml:space="preserve"> inhibits the proliferation of 25</w:t>
      </w:r>
      <w:r>
        <w:rPr>
          <w:rFonts w:eastAsia="Segoe UI"/>
        </w:rPr>
        <w:t xml:space="preserve"> </w:t>
      </w:r>
      <w:r w:rsidRPr="00B32BC5">
        <w:rPr>
          <w:rFonts w:eastAsia="Segoe UI"/>
        </w:rPr>
        <w:t>out of 180 tumour cell lines with a concentration causing 50% inhibition of cell growth (GI50)</w:t>
      </w:r>
      <w:r>
        <w:rPr>
          <w:rFonts w:eastAsia="Segoe UI"/>
        </w:rPr>
        <w:t xml:space="preserve"> </w:t>
      </w:r>
      <w:r w:rsidRPr="00B32BC5">
        <w:rPr>
          <w:rFonts w:eastAsia="Segoe UI"/>
        </w:rPr>
        <w:t xml:space="preserve">of &lt;1 </w:t>
      </w:r>
      <w:proofErr w:type="spellStart"/>
      <w:r w:rsidRPr="00B32BC5">
        <w:rPr>
          <w:rFonts w:eastAsia="Segoe UI"/>
        </w:rPr>
        <w:t>μM</w:t>
      </w:r>
      <w:proofErr w:type="spellEnd"/>
      <w:r w:rsidRPr="00B32BC5">
        <w:rPr>
          <w:rFonts w:eastAsia="Segoe UI"/>
        </w:rPr>
        <w:t xml:space="preserve">. Breast cancer cell lines show the highest frequency of sensitivity to </w:t>
      </w:r>
      <w:proofErr w:type="spellStart"/>
      <w:r w:rsidRPr="00B32BC5">
        <w:rPr>
          <w:rFonts w:eastAsia="Segoe UI"/>
        </w:rPr>
        <w:t>capivasertib</w:t>
      </w:r>
      <w:proofErr w:type="spellEnd"/>
      <w:r w:rsidRPr="00B32BC5">
        <w:rPr>
          <w:rFonts w:eastAsia="Segoe UI"/>
        </w:rPr>
        <w:t>,</w:t>
      </w:r>
      <w:r>
        <w:rPr>
          <w:rFonts w:eastAsia="Segoe UI"/>
        </w:rPr>
        <w:t xml:space="preserve"> </w:t>
      </w:r>
      <w:r w:rsidRPr="00B32BC5">
        <w:rPr>
          <w:rFonts w:eastAsia="Segoe UI"/>
        </w:rPr>
        <w:t>with a significant correlation between the presence of PIK3CA or PTEN mutations and</w:t>
      </w:r>
      <w:r>
        <w:rPr>
          <w:rFonts w:eastAsia="Segoe UI"/>
        </w:rPr>
        <w:t xml:space="preserve"> </w:t>
      </w:r>
      <w:r w:rsidRPr="00B32BC5">
        <w:rPr>
          <w:rFonts w:eastAsia="Segoe UI"/>
        </w:rPr>
        <w:t>sensitivity (Davies et al 2012).</w:t>
      </w:r>
      <w:r>
        <w:rPr>
          <w:rFonts w:eastAsia="Segoe UI"/>
        </w:rPr>
        <w:t xml:space="preserve"> </w:t>
      </w:r>
      <w:proofErr w:type="spellStart"/>
      <w:r w:rsidRPr="00B32BC5">
        <w:rPr>
          <w:rFonts w:eastAsia="Segoe UI"/>
        </w:rPr>
        <w:t>Capivasertib</w:t>
      </w:r>
      <w:proofErr w:type="spellEnd"/>
      <w:r w:rsidRPr="00B32BC5">
        <w:rPr>
          <w:rFonts w:eastAsia="Segoe UI"/>
        </w:rPr>
        <w:t xml:space="preserve"> inhibits the growth of several human breast</w:t>
      </w:r>
      <w:r>
        <w:rPr>
          <w:rFonts w:eastAsia="Segoe UI"/>
        </w:rPr>
        <w:t xml:space="preserve"> </w:t>
      </w:r>
      <w:r w:rsidRPr="00B32BC5">
        <w:rPr>
          <w:rFonts w:eastAsia="Segoe UI"/>
        </w:rPr>
        <w:t>cancer xenograft models, including the TNBC xenograft model HCC1187 and the HER2+,</w:t>
      </w:r>
      <w:r>
        <w:rPr>
          <w:rFonts w:eastAsia="Segoe UI"/>
        </w:rPr>
        <w:t xml:space="preserve"> </w:t>
      </w:r>
      <w:r w:rsidRPr="00B32BC5">
        <w:rPr>
          <w:rFonts w:eastAsia="Segoe UI"/>
        </w:rPr>
        <w:t>PIK3CA mutant xenograft models BT474 and HCC1954.</w:t>
      </w:r>
    </w:p>
    <w:p w14:paraId="3F7946AC" w14:textId="7D8D12E0" w:rsidR="00721E60" w:rsidRDefault="00721E60" w:rsidP="00721E60">
      <w:pPr>
        <w:rPr>
          <w:rFonts w:eastAsia="Segoe UI"/>
        </w:rPr>
      </w:pPr>
      <w:r>
        <w:rPr>
          <w:rFonts w:eastAsia="Segoe UI"/>
        </w:rPr>
        <w:t>In CAPItello-291, t</w:t>
      </w:r>
      <w:r w:rsidRPr="00F63754">
        <w:rPr>
          <w:rFonts w:eastAsia="Segoe UI"/>
        </w:rPr>
        <w:t xml:space="preserve">he addition of </w:t>
      </w:r>
      <w:proofErr w:type="spellStart"/>
      <w:r w:rsidRPr="00F63754">
        <w:rPr>
          <w:rFonts w:eastAsia="Segoe UI"/>
        </w:rPr>
        <w:t>capivasertib</w:t>
      </w:r>
      <w:proofErr w:type="spellEnd"/>
      <w:r w:rsidRPr="00F63754">
        <w:rPr>
          <w:rFonts w:eastAsia="Segoe UI"/>
        </w:rPr>
        <w:t xml:space="preserve"> to </w:t>
      </w:r>
      <w:proofErr w:type="spellStart"/>
      <w:r w:rsidRPr="00F63754">
        <w:rPr>
          <w:rFonts w:eastAsia="Segoe UI"/>
        </w:rPr>
        <w:t>fulvestrant</w:t>
      </w:r>
      <w:proofErr w:type="spellEnd"/>
      <w:r w:rsidRPr="00F63754">
        <w:rPr>
          <w:rFonts w:eastAsia="Segoe UI"/>
        </w:rPr>
        <w:t xml:space="preserve"> significantly improved PFS in patients with AI-resistant HR+/HER2– </w:t>
      </w:r>
      <w:r>
        <w:rPr>
          <w:rFonts w:eastAsia="Segoe UI"/>
        </w:rPr>
        <w:t>advanced breast cancer</w:t>
      </w:r>
      <w:r w:rsidRPr="00F63754">
        <w:rPr>
          <w:rFonts w:eastAsia="Segoe UI"/>
        </w:rPr>
        <w:t xml:space="preserve"> in the overall population, with a more pronounced benefit in pathway altered tumours</w:t>
      </w:r>
      <w:r>
        <w:rPr>
          <w:rFonts w:eastAsia="Segoe UI"/>
        </w:rPr>
        <w:t xml:space="preserve"> (Turner et al 2023)</w:t>
      </w:r>
      <w:r w:rsidRPr="00F63754">
        <w:rPr>
          <w:rFonts w:eastAsia="Segoe UI"/>
        </w:rPr>
        <w:t>.</w:t>
      </w:r>
    </w:p>
    <w:p w14:paraId="4AF88CA5" w14:textId="281A0733" w:rsidR="00721E60" w:rsidRPr="00721E60" w:rsidRDefault="00721E60" w:rsidP="00721E60">
      <w:pPr>
        <w:rPr>
          <w:rFonts w:eastAsia="Segoe UI"/>
        </w:rPr>
      </w:pPr>
      <w:proofErr w:type="spellStart"/>
      <w:r>
        <w:rPr>
          <w:rFonts w:eastAsia="Segoe UI"/>
        </w:rPr>
        <w:t>Capivasertib</w:t>
      </w:r>
      <w:proofErr w:type="spellEnd"/>
      <w:r>
        <w:rPr>
          <w:rFonts w:eastAsia="Segoe UI"/>
        </w:rPr>
        <w:t xml:space="preserve"> is currently undergoing TGA evaluation for treatment in this population. </w:t>
      </w:r>
    </w:p>
    <w:p w14:paraId="5DC5EA93" w14:textId="4372D325" w:rsidR="00721E60" w:rsidRPr="00721E60" w:rsidRDefault="00721E60" w:rsidP="00721E60">
      <w:pPr>
        <w:spacing w:after="0"/>
        <w:rPr>
          <w:rFonts w:eastAsia="Segoe UI"/>
          <w:b/>
          <w:color w:val="000000"/>
        </w:rPr>
      </w:pPr>
      <w:r>
        <w:rPr>
          <w:rFonts w:eastAsia="Segoe UI"/>
          <w:b/>
          <w:color w:val="000000"/>
        </w:rPr>
        <w:t>Provide a rationale for the specifics of the eligible population:</w:t>
      </w:r>
    </w:p>
    <w:p w14:paraId="7AAD17E7" w14:textId="271B0444" w:rsidR="00721E60" w:rsidRPr="00721E60" w:rsidRDefault="00721E60" w:rsidP="00721E60">
      <w:pPr>
        <w:rPr>
          <w:rFonts w:eastAsia="Segoe UI"/>
        </w:rPr>
      </w:pPr>
      <w:r w:rsidRPr="501FC22A">
        <w:rPr>
          <w:rFonts w:eastAsia="Segoe UI"/>
        </w:rPr>
        <w:t xml:space="preserve">For locally advanced, recurrent breast cancer, the goal is long-term survival. For metastatic BC, goals include prolonging life, improving quality of life, </w:t>
      </w:r>
      <w:proofErr w:type="gramStart"/>
      <w:r w:rsidRPr="501FC22A">
        <w:rPr>
          <w:rFonts w:eastAsia="Segoe UI"/>
        </w:rPr>
        <w:t>shrinking</w:t>
      </w:r>
      <w:proofErr w:type="gramEnd"/>
      <w:r w:rsidRPr="501FC22A">
        <w:rPr>
          <w:rFonts w:eastAsia="Segoe UI"/>
        </w:rPr>
        <w:t xml:space="preserve"> or slowing the growth of tumours. For 1L treatment of HR+ recurrent unresectable breast cancer or </w:t>
      </w:r>
      <w:proofErr w:type="spellStart"/>
      <w:r w:rsidRPr="501FC22A">
        <w:rPr>
          <w:rFonts w:eastAsia="Segoe UI"/>
        </w:rPr>
        <w:t>mBC</w:t>
      </w:r>
      <w:proofErr w:type="spellEnd"/>
      <w:r w:rsidRPr="501FC22A">
        <w:rPr>
          <w:rFonts w:eastAsia="Segoe UI"/>
        </w:rPr>
        <w:t xml:space="preserve">, the ESMO Guidelines recommend combination therapy of endocrine therapy with a CDK4/6 inhibitor (plus </w:t>
      </w:r>
      <w:r w:rsidRPr="501FC22A">
        <w:rPr>
          <w:rFonts w:eastAsia="Segoe UI"/>
        </w:rPr>
        <w:lastRenderedPageBreak/>
        <w:t>ovarian suppression for premenopausal or perimenopausal patients). If organ failure</w:t>
      </w:r>
      <w:r>
        <w:rPr>
          <w:rFonts w:eastAsia="Segoe UI"/>
        </w:rPr>
        <w:t xml:space="preserve"> is imminent</w:t>
      </w:r>
      <w:r w:rsidRPr="501FC22A">
        <w:rPr>
          <w:rFonts w:eastAsia="Segoe UI"/>
        </w:rPr>
        <w:t xml:space="preserve">, chemotherapy is recommended as 1L treatment. For 2L+ treatment of HR+ recurrent unresectable breast cancer or </w:t>
      </w:r>
      <w:proofErr w:type="spellStart"/>
      <w:r w:rsidRPr="501FC22A">
        <w:rPr>
          <w:rFonts w:eastAsia="Segoe UI"/>
        </w:rPr>
        <w:t>mBC</w:t>
      </w:r>
      <w:proofErr w:type="spellEnd"/>
      <w:r w:rsidRPr="501FC22A">
        <w:rPr>
          <w:rFonts w:eastAsia="Segoe UI"/>
        </w:rPr>
        <w:t xml:space="preserve">, the ESMO Guidelines recommend endocrine therapy with or without a CDK4/6 inhibitor, PI3K inhibitor, or mTOR inhibitor; a PARP inhibitor, if BRCA/PALB2 mutations are present; and, if there is imminent organ failure or short PFS on endocrine-based therapy, </w:t>
      </w:r>
      <w:proofErr w:type="spellStart"/>
      <w:r w:rsidRPr="501FC22A">
        <w:rPr>
          <w:rFonts w:eastAsia="Segoe UI"/>
        </w:rPr>
        <w:t>sacituzumab</w:t>
      </w:r>
      <w:proofErr w:type="spellEnd"/>
      <w:r w:rsidRPr="501FC22A">
        <w:rPr>
          <w:rFonts w:eastAsia="Segoe UI"/>
        </w:rPr>
        <w:t xml:space="preserve"> </w:t>
      </w:r>
      <w:proofErr w:type="spellStart"/>
      <w:r w:rsidRPr="501FC22A">
        <w:rPr>
          <w:rFonts w:eastAsia="Segoe UI"/>
        </w:rPr>
        <w:t>govitecan</w:t>
      </w:r>
      <w:proofErr w:type="spellEnd"/>
      <w:r w:rsidRPr="501FC22A">
        <w:rPr>
          <w:rFonts w:eastAsia="Segoe UI"/>
        </w:rPr>
        <w:t xml:space="preserve"> if HER2-negative or</w:t>
      </w:r>
      <w:r>
        <w:rPr>
          <w:rFonts w:eastAsia="Segoe UI"/>
        </w:rPr>
        <w:t xml:space="preserve"> t</w:t>
      </w:r>
      <w:r w:rsidRPr="00F45897">
        <w:rPr>
          <w:rFonts w:eastAsia="Segoe UI"/>
        </w:rPr>
        <w:t xml:space="preserve">rastuzumab </w:t>
      </w:r>
      <w:proofErr w:type="spellStart"/>
      <w:r w:rsidRPr="00F45897">
        <w:rPr>
          <w:rFonts w:eastAsia="Segoe UI"/>
        </w:rPr>
        <w:t>deruxtecan</w:t>
      </w:r>
      <w:proofErr w:type="spellEnd"/>
      <w:r w:rsidRPr="00F45897">
        <w:rPr>
          <w:rFonts w:eastAsia="Segoe UI"/>
        </w:rPr>
        <w:t xml:space="preserve"> </w:t>
      </w:r>
      <w:r w:rsidRPr="618952DB">
        <w:rPr>
          <w:rFonts w:eastAsia="Segoe UI"/>
        </w:rPr>
        <w:t>if HER2-low (IHC 1+ or IHC 2+/ISH-negative) breast cancer.</w:t>
      </w:r>
    </w:p>
    <w:p w14:paraId="538E3698" w14:textId="527F65AA" w:rsidR="00721E60" w:rsidRPr="00464C97" w:rsidRDefault="00721E60" w:rsidP="00721E60">
      <w:pPr>
        <w:rPr>
          <w:rFonts w:eastAsia="Segoe UI"/>
          <w:color w:val="000000"/>
        </w:rPr>
      </w:pPr>
      <w:r w:rsidRPr="618952DB">
        <w:rPr>
          <w:rFonts w:eastAsia="Segoe UI"/>
        </w:rPr>
        <w:t xml:space="preserve">A key unmet need for 2L treatment of HR+ recurrent unresectable breast cancer or </w:t>
      </w:r>
      <w:proofErr w:type="spellStart"/>
      <w:r w:rsidRPr="618952DB">
        <w:rPr>
          <w:rFonts w:eastAsia="Segoe UI"/>
        </w:rPr>
        <w:t>mBC</w:t>
      </w:r>
      <w:proofErr w:type="spellEnd"/>
      <w:r w:rsidRPr="618952DB">
        <w:rPr>
          <w:rFonts w:eastAsia="Segoe UI"/>
        </w:rPr>
        <w:t xml:space="preserve"> is to develop better endocrine therapy-based options</w:t>
      </w:r>
      <w:r w:rsidRPr="00450E3B">
        <w:rPr>
          <w:rFonts w:eastAsia="Segoe UI"/>
        </w:rPr>
        <w:t xml:space="preserve"> </w:t>
      </w:r>
      <w:r w:rsidRPr="00464C97">
        <w:rPr>
          <w:rFonts w:eastAsia="Segoe UI"/>
        </w:rPr>
        <w:t xml:space="preserve">with a </w:t>
      </w:r>
      <w:r w:rsidRPr="003F1C7D">
        <w:rPr>
          <w:rFonts w:eastAsia="Segoe UI"/>
          <w:color w:val="333333"/>
        </w:rPr>
        <w:t xml:space="preserve">tolerable safety profiles and wide therapeutic </w:t>
      </w:r>
      <w:proofErr w:type="gramStart"/>
      <w:r w:rsidRPr="618952DB">
        <w:rPr>
          <w:rFonts w:eastAsia="Segoe UI"/>
        </w:rPr>
        <w:t>windows, before</w:t>
      </w:r>
      <w:proofErr w:type="gramEnd"/>
      <w:r w:rsidRPr="00450E3B">
        <w:rPr>
          <w:rFonts w:eastAsia="Segoe UI"/>
        </w:rPr>
        <w:t xml:space="preserve"> the tumour becomes endocrine refractory</w:t>
      </w:r>
      <w:r w:rsidRPr="00464C97">
        <w:rPr>
          <w:rFonts w:eastAsia="Segoe UI"/>
        </w:rPr>
        <w:t>.</w:t>
      </w:r>
    </w:p>
    <w:p w14:paraId="24F102AA" w14:textId="7C6C171A" w:rsidR="00721E60" w:rsidRDefault="00721E60" w:rsidP="00721E60">
      <w:pPr>
        <w:rPr>
          <w:rFonts w:eastAsia="Segoe UI"/>
          <w:bCs/>
          <w:color w:val="000000"/>
        </w:rPr>
      </w:pPr>
      <w:r w:rsidRPr="00C57809">
        <w:rPr>
          <w:rFonts w:eastAsia="Segoe UI"/>
          <w:bCs/>
          <w:color w:val="000000"/>
        </w:rPr>
        <w:t>The AKT serine/threonine protein kinases (AKT1, AKT2, AKT3) are key downstream</w:t>
      </w:r>
      <w:r>
        <w:rPr>
          <w:rFonts w:eastAsia="Segoe UI"/>
          <w:bCs/>
          <w:color w:val="000000"/>
        </w:rPr>
        <w:t xml:space="preserve"> </w:t>
      </w:r>
      <w:r w:rsidRPr="00C57809">
        <w:rPr>
          <w:rFonts w:eastAsia="Segoe UI"/>
          <w:bCs/>
          <w:color w:val="000000"/>
        </w:rPr>
        <w:t>effectors of the PI3K/AKT/mTOR pathway, mediating cell proliferation and resistance to</w:t>
      </w:r>
      <w:r>
        <w:rPr>
          <w:rFonts w:eastAsia="Segoe UI"/>
          <w:bCs/>
          <w:color w:val="000000"/>
        </w:rPr>
        <w:t xml:space="preserve"> </w:t>
      </w:r>
      <w:r w:rsidRPr="00C57809">
        <w:rPr>
          <w:rFonts w:eastAsia="Segoe UI"/>
          <w:bCs/>
          <w:color w:val="000000"/>
        </w:rPr>
        <w:t>apoptosis, and are activated in a wide range of solid and haematologic malignancies (Brown</w:t>
      </w:r>
      <w:r>
        <w:rPr>
          <w:rFonts w:eastAsia="Segoe UI"/>
          <w:bCs/>
          <w:color w:val="000000"/>
        </w:rPr>
        <w:t xml:space="preserve"> </w:t>
      </w:r>
      <w:r w:rsidRPr="00C57809">
        <w:rPr>
          <w:rFonts w:eastAsia="Segoe UI"/>
          <w:bCs/>
          <w:color w:val="000000"/>
        </w:rPr>
        <w:t>and Banerji 2017, Lindsley 2010, Liu et al 2019). AKT activation in tumours is largely due to</w:t>
      </w:r>
      <w:r>
        <w:rPr>
          <w:rFonts w:eastAsia="Segoe UI"/>
          <w:bCs/>
          <w:color w:val="000000"/>
        </w:rPr>
        <w:t xml:space="preserve"> </w:t>
      </w:r>
      <w:r w:rsidRPr="00C57809">
        <w:rPr>
          <w:rFonts w:eastAsia="Segoe UI"/>
          <w:bCs/>
          <w:color w:val="000000"/>
        </w:rPr>
        <w:t>input from other signalling pathways upstream of AKT including loss of PTEN function and</w:t>
      </w:r>
      <w:r>
        <w:rPr>
          <w:rFonts w:eastAsia="Segoe UI"/>
          <w:bCs/>
          <w:color w:val="000000"/>
        </w:rPr>
        <w:t xml:space="preserve"> </w:t>
      </w:r>
      <w:r w:rsidRPr="00C57809">
        <w:rPr>
          <w:rFonts w:eastAsia="Segoe UI"/>
          <w:bCs/>
          <w:color w:val="000000"/>
        </w:rPr>
        <w:t xml:space="preserve">activating mutations in the catalytic subunit of PI3K (PIK3CA) (Yi and </w:t>
      </w:r>
      <w:proofErr w:type="spellStart"/>
      <w:r w:rsidRPr="00C57809">
        <w:rPr>
          <w:rFonts w:eastAsia="Segoe UI"/>
          <w:bCs/>
          <w:color w:val="000000"/>
        </w:rPr>
        <w:t>Lauring</w:t>
      </w:r>
      <w:proofErr w:type="spellEnd"/>
      <w:r w:rsidRPr="00C57809">
        <w:rPr>
          <w:rFonts w:eastAsia="Segoe UI"/>
          <w:bCs/>
          <w:color w:val="000000"/>
        </w:rPr>
        <w:t xml:space="preserve"> 2016).</w:t>
      </w:r>
      <w:r>
        <w:rPr>
          <w:rFonts w:eastAsia="Segoe UI"/>
          <w:bCs/>
          <w:color w:val="000000"/>
        </w:rPr>
        <w:t xml:space="preserve"> </w:t>
      </w:r>
    </w:p>
    <w:p w14:paraId="13227A45" w14:textId="59BF334F" w:rsidR="00721E60" w:rsidRPr="00721E60" w:rsidRDefault="00721E60" w:rsidP="00721E60">
      <w:pPr>
        <w:rPr>
          <w:rFonts w:eastAsia="Segoe UI"/>
          <w:color w:val="000000"/>
        </w:rPr>
      </w:pPr>
      <w:r w:rsidRPr="618952DB">
        <w:rPr>
          <w:rFonts w:eastAsia="Segoe UI"/>
        </w:rPr>
        <w:t>Numerous preclinical studies show that endogenous AKT activity promotes breast cancer cell survival and resistance to chemotherapy or endocrine therapy (</w:t>
      </w:r>
      <w:proofErr w:type="spellStart"/>
      <w:r w:rsidRPr="618952DB">
        <w:rPr>
          <w:rFonts w:eastAsia="Segoe UI"/>
        </w:rPr>
        <w:t>Frogne</w:t>
      </w:r>
      <w:proofErr w:type="spellEnd"/>
      <w:r w:rsidRPr="618952DB">
        <w:rPr>
          <w:rFonts w:eastAsia="Segoe UI"/>
        </w:rPr>
        <w:t xml:space="preserve"> et al 2005, </w:t>
      </w:r>
      <w:proofErr w:type="spellStart"/>
      <w:r w:rsidRPr="618952DB">
        <w:rPr>
          <w:rFonts w:eastAsia="Segoe UI"/>
        </w:rPr>
        <w:t>Ghayad</w:t>
      </w:r>
      <w:proofErr w:type="spellEnd"/>
      <w:r w:rsidRPr="618952DB">
        <w:rPr>
          <w:rFonts w:eastAsia="Segoe UI"/>
        </w:rPr>
        <w:t xml:space="preserve"> et al 2010, van der </w:t>
      </w:r>
      <w:proofErr w:type="spellStart"/>
      <w:r w:rsidRPr="618952DB">
        <w:rPr>
          <w:rFonts w:eastAsia="Segoe UI"/>
        </w:rPr>
        <w:t>Hage</w:t>
      </w:r>
      <w:proofErr w:type="spellEnd"/>
      <w:r w:rsidRPr="618952DB">
        <w:rPr>
          <w:rFonts w:eastAsia="Segoe UI"/>
        </w:rPr>
        <w:t xml:space="preserve"> et al 2004). This can be overcome by down-regulation or inhibition of the PI3K/AKT pathway, as shown in several </w:t>
      </w:r>
      <w:r w:rsidRPr="00450E3B">
        <w:rPr>
          <w:rFonts w:eastAsia="Segoe UI"/>
          <w:i/>
        </w:rPr>
        <w:t>in vitro</w:t>
      </w:r>
      <w:r w:rsidRPr="618952DB">
        <w:rPr>
          <w:rFonts w:eastAsia="Segoe UI"/>
        </w:rPr>
        <w:t xml:space="preserve"> and </w:t>
      </w:r>
      <w:r w:rsidRPr="00450E3B">
        <w:rPr>
          <w:rFonts w:eastAsia="Segoe UI"/>
          <w:i/>
        </w:rPr>
        <w:t>in vivo</w:t>
      </w:r>
      <w:r w:rsidRPr="618952DB">
        <w:rPr>
          <w:rFonts w:eastAsia="Segoe UI"/>
        </w:rPr>
        <w:t xml:space="preserve"> breast cancer models (</w:t>
      </w:r>
      <w:proofErr w:type="spellStart"/>
      <w:r w:rsidRPr="618952DB">
        <w:rPr>
          <w:rFonts w:eastAsia="Segoe UI"/>
        </w:rPr>
        <w:t>Frogne</w:t>
      </w:r>
      <w:proofErr w:type="spellEnd"/>
      <w:r w:rsidRPr="618952DB">
        <w:rPr>
          <w:rFonts w:eastAsia="Segoe UI"/>
        </w:rPr>
        <w:t xml:space="preserve"> et al 2005, </w:t>
      </w:r>
      <w:proofErr w:type="spellStart"/>
      <w:r w:rsidRPr="618952DB">
        <w:rPr>
          <w:rFonts w:eastAsia="Segoe UI"/>
        </w:rPr>
        <w:t>Ghayad</w:t>
      </w:r>
      <w:proofErr w:type="spellEnd"/>
      <w:r w:rsidRPr="618952DB">
        <w:rPr>
          <w:rFonts w:eastAsia="Segoe UI"/>
        </w:rPr>
        <w:t xml:space="preserve"> et al 2010, van der </w:t>
      </w:r>
      <w:proofErr w:type="spellStart"/>
      <w:r w:rsidRPr="618952DB">
        <w:rPr>
          <w:rFonts w:eastAsia="Segoe UI"/>
        </w:rPr>
        <w:t>Hage</w:t>
      </w:r>
      <w:proofErr w:type="spellEnd"/>
      <w:r w:rsidRPr="618952DB">
        <w:rPr>
          <w:rFonts w:eastAsia="Segoe UI"/>
        </w:rPr>
        <w:t xml:space="preserve"> et al 2004).</w:t>
      </w:r>
    </w:p>
    <w:p w14:paraId="5F81A242" w14:textId="17204913" w:rsidR="00721E60" w:rsidRPr="00721E60" w:rsidRDefault="00721E60" w:rsidP="00721E60">
      <w:pPr>
        <w:rPr>
          <w:rFonts w:eastAsia="Segoe UI"/>
          <w:bCs/>
          <w:color w:val="000000"/>
        </w:rPr>
      </w:pPr>
      <w:r w:rsidRPr="00C3063D">
        <w:rPr>
          <w:rFonts w:eastAsia="Segoe UI"/>
          <w:bCs/>
          <w:color w:val="000000"/>
        </w:rPr>
        <w:t>Thus, the proposed medical service is</w:t>
      </w:r>
      <w:r>
        <w:rPr>
          <w:rFonts w:eastAsia="Segoe UI"/>
          <w:bCs/>
          <w:color w:val="000000"/>
        </w:rPr>
        <w:t xml:space="preserve"> </w:t>
      </w:r>
      <w:r w:rsidRPr="00C3063D">
        <w:rPr>
          <w:rFonts w:eastAsia="Segoe UI"/>
          <w:bCs/>
          <w:color w:val="000000"/>
        </w:rPr>
        <w:t xml:space="preserve">testing for </w:t>
      </w:r>
      <w:r>
        <w:rPr>
          <w:rFonts w:eastAsia="Segoe UI"/>
          <w:bCs/>
          <w:color w:val="000000"/>
        </w:rPr>
        <w:t>AKT-pathway altered (</w:t>
      </w:r>
      <w:r w:rsidRPr="00C3063D">
        <w:rPr>
          <w:rFonts w:eastAsia="Segoe UI"/>
          <w:bCs/>
          <w:color w:val="000000"/>
        </w:rPr>
        <w:t>PIK3CA</w:t>
      </w:r>
      <w:r>
        <w:rPr>
          <w:rFonts w:eastAsia="Segoe UI"/>
          <w:bCs/>
          <w:color w:val="000000"/>
        </w:rPr>
        <w:t xml:space="preserve">, AKT1 or PTEN) tumours </w:t>
      </w:r>
      <w:r w:rsidRPr="00C3063D">
        <w:rPr>
          <w:rFonts w:eastAsia="Segoe UI"/>
          <w:bCs/>
          <w:color w:val="000000"/>
        </w:rPr>
        <w:t xml:space="preserve">in </w:t>
      </w:r>
      <w:r>
        <w:rPr>
          <w:rFonts w:eastAsia="Segoe UI"/>
          <w:bCs/>
          <w:color w:val="000000"/>
        </w:rPr>
        <w:t xml:space="preserve">patients with HR-positive, HER2-negative advanced or inoperable metastatic breast </w:t>
      </w:r>
      <w:r w:rsidRPr="00721E60">
        <w:rPr>
          <w:rFonts w:eastAsia="Segoe UI"/>
          <w:bCs/>
          <w:color w:val="000000"/>
        </w:rPr>
        <w:t>cancer.</w:t>
      </w:r>
    </w:p>
    <w:p w14:paraId="0B3AB591" w14:textId="2CB1EEA5" w:rsidR="00721E60" w:rsidRPr="00721E60" w:rsidRDefault="00721E60" w:rsidP="00721E60">
      <w:pPr>
        <w:pStyle w:val="Heading2"/>
      </w:pPr>
      <w:r w:rsidRPr="00721E60">
        <w:t xml:space="preserve">Are there any prerequisite tests? </w:t>
      </w:r>
    </w:p>
    <w:p w14:paraId="460C4391" w14:textId="408D6AF0" w:rsidR="00721E60" w:rsidRPr="00721E60" w:rsidRDefault="00721E60" w:rsidP="00721E60">
      <w:pPr>
        <w:rPr>
          <w:rFonts w:eastAsia="Segoe UI"/>
          <w:bCs/>
        </w:rPr>
      </w:pPr>
      <w:r w:rsidRPr="00721E60">
        <w:rPr>
          <w:rFonts w:eastAsia="Segoe UI"/>
          <w:bCs/>
        </w:rPr>
        <w:t>No</w:t>
      </w:r>
    </w:p>
    <w:p w14:paraId="5F88DB2E" w14:textId="740CF3D5" w:rsidR="00721E60" w:rsidRPr="00721E60" w:rsidRDefault="00721E60" w:rsidP="00721E60">
      <w:pPr>
        <w:pStyle w:val="Heading2"/>
      </w:pPr>
      <w:r w:rsidRPr="00721E60">
        <w:t>Are the prerequisite tests MBS funded?</w:t>
      </w:r>
    </w:p>
    <w:p w14:paraId="51BBBF59" w14:textId="0C4C4B9D" w:rsidR="00721E60" w:rsidRPr="00721E60" w:rsidRDefault="00721E60" w:rsidP="00721E60">
      <w:pPr>
        <w:rPr>
          <w:rFonts w:eastAsia="Segoe UI"/>
        </w:rPr>
      </w:pPr>
      <w:r w:rsidRPr="00721E60">
        <w:rPr>
          <w:rFonts w:eastAsia="Segoe UI"/>
        </w:rPr>
        <w:t>No</w:t>
      </w:r>
    </w:p>
    <w:p w14:paraId="23674B06" w14:textId="65FD7204" w:rsidR="00721E60" w:rsidRPr="00721E60" w:rsidRDefault="00721E60" w:rsidP="00721E60">
      <w:pPr>
        <w:spacing w:after="0"/>
        <w:rPr>
          <w:rFonts w:eastAsia="Segoe UI"/>
          <w:b/>
          <w:color w:val="000000"/>
        </w:rPr>
      </w:pPr>
      <w:r>
        <w:rPr>
          <w:rFonts w:eastAsia="Segoe UI"/>
          <w:b/>
          <w:color w:val="000000"/>
        </w:rPr>
        <w:t>Please provide details to fund the prerequisite tests:</w:t>
      </w:r>
    </w:p>
    <w:p w14:paraId="4CB5F49A" w14:textId="77777777" w:rsidR="00721E60" w:rsidRPr="00237593" w:rsidRDefault="00721E60" w:rsidP="00721E60">
      <w:pPr>
        <w:rPr>
          <w:rFonts w:eastAsia="Segoe UI"/>
          <w:color w:val="000000"/>
        </w:rPr>
      </w:pPr>
      <w:r w:rsidRPr="618952DB">
        <w:rPr>
          <w:rFonts w:eastAsia="Segoe UI"/>
        </w:rPr>
        <w:t xml:space="preserve">HR+/HER2- recurrent, unresectable, or metastatic breast cancer who have relapsed on endocrine </w:t>
      </w:r>
      <w:r>
        <w:rPr>
          <w:rFonts w:eastAsia="Segoe UI"/>
        </w:rPr>
        <w:t>therapy</w:t>
      </w:r>
      <w:r>
        <w:rPr>
          <w:rStyle w:val="CommentReference"/>
        </w:rPr>
        <w:t xml:space="preserve">. </w:t>
      </w:r>
      <w:r w:rsidRPr="618952DB">
        <w:rPr>
          <w:rFonts w:eastAsia="Segoe UI"/>
        </w:rPr>
        <w:t>One of the mechanisms of resistance to endocrine therapy is the activation of the AKT Pathway (PIK3CA/AKT/PTEN), a signalling pathway causing tumour growth, and relapse of disease. AKT Pathways activation includes:</w:t>
      </w:r>
    </w:p>
    <w:p w14:paraId="7B75A676" w14:textId="77777777" w:rsidR="00721E60" w:rsidRPr="00721E60" w:rsidRDefault="00721E60" w:rsidP="00721E60">
      <w:pPr>
        <w:pStyle w:val="ListParagraph"/>
        <w:numPr>
          <w:ilvl w:val="0"/>
          <w:numId w:val="20"/>
        </w:numPr>
        <w:rPr>
          <w:rFonts w:eastAsia="Segoe UI"/>
          <w:bCs/>
          <w:color w:val="000000"/>
        </w:rPr>
      </w:pPr>
      <w:r w:rsidRPr="00721E60">
        <w:rPr>
          <w:rFonts w:eastAsia="Segoe UI"/>
          <w:bCs/>
          <w:color w:val="000000"/>
        </w:rPr>
        <w:t>Activating mutations in PIK3CA or AKT1 which can inappropriately activate the pathway.</w:t>
      </w:r>
    </w:p>
    <w:p w14:paraId="27A692AA" w14:textId="5A9B1CD6" w:rsidR="00721E60" w:rsidRPr="00721E60" w:rsidRDefault="00721E60" w:rsidP="00721E60">
      <w:pPr>
        <w:pStyle w:val="ListParagraph"/>
        <w:numPr>
          <w:ilvl w:val="0"/>
          <w:numId w:val="20"/>
        </w:numPr>
        <w:rPr>
          <w:rFonts w:eastAsia="Segoe UI"/>
          <w:bCs/>
          <w:color w:val="000000"/>
        </w:rPr>
      </w:pPr>
      <w:r w:rsidRPr="00721E60">
        <w:rPr>
          <w:rFonts w:eastAsia="Segoe UI"/>
          <w:bCs/>
          <w:color w:val="000000"/>
        </w:rPr>
        <w:t>Loss of function mutations in PTEN which can lead to unregulated signalling.</w:t>
      </w:r>
    </w:p>
    <w:p w14:paraId="3090184B" w14:textId="470BF532" w:rsidR="00721E60" w:rsidRDefault="00721E60" w:rsidP="00721E60">
      <w:pPr>
        <w:rPr>
          <w:rFonts w:eastAsia="Segoe UI"/>
          <w:bCs/>
          <w:color w:val="000000"/>
        </w:rPr>
      </w:pPr>
      <w:r w:rsidRPr="00237593">
        <w:rPr>
          <w:rFonts w:eastAsia="Segoe UI"/>
          <w:bCs/>
          <w:color w:val="000000"/>
        </w:rPr>
        <w:t>Testing for these resistant mutations is not currently routinely performed.</w:t>
      </w:r>
    </w:p>
    <w:p w14:paraId="6D1BBE71" w14:textId="24B56DAE" w:rsidR="00721E60" w:rsidRPr="00721E60" w:rsidRDefault="00721E60" w:rsidP="00721E60">
      <w:pPr>
        <w:rPr>
          <w:rFonts w:eastAsia="Segoe UI"/>
          <w:color w:val="000000"/>
        </w:rPr>
      </w:pPr>
      <w:r w:rsidRPr="5E65C2FE">
        <w:rPr>
          <w:rFonts w:eastAsia="Segoe UI"/>
        </w:rPr>
        <w:t xml:space="preserve">The proposed new test will be conducted on the tumour </w:t>
      </w:r>
      <w:r>
        <w:rPr>
          <w:rFonts w:eastAsia="Segoe UI"/>
        </w:rPr>
        <w:t xml:space="preserve">tissue sample </w:t>
      </w:r>
      <w:r w:rsidRPr="5E65C2FE">
        <w:rPr>
          <w:rFonts w:eastAsia="Segoe UI"/>
        </w:rPr>
        <w:t>and performed by a molecular pathologist</w:t>
      </w:r>
      <w:r>
        <w:rPr>
          <w:rFonts w:eastAsia="Segoe UI"/>
        </w:rPr>
        <w:t xml:space="preserve"> and a registered anatomical pathologist</w:t>
      </w:r>
      <w:r w:rsidRPr="5E65C2FE">
        <w:rPr>
          <w:rFonts w:eastAsia="Segoe UI"/>
        </w:rPr>
        <w:t xml:space="preserve"> in an accredited laboratory. </w:t>
      </w:r>
    </w:p>
    <w:p w14:paraId="00596AE7" w14:textId="77777777" w:rsidR="00721E60" w:rsidRDefault="00721E60">
      <w:pPr>
        <w:spacing w:line="259" w:lineRule="auto"/>
        <w:rPr>
          <w:rFonts w:eastAsia="Segoe UI"/>
          <w:bCs/>
          <w:color w:val="000000"/>
        </w:rPr>
      </w:pPr>
      <w:r>
        <w:rPr>
          <w:rFonts w:eastAsia="Segoe UI"/>
          <w:bCs/>
          <w:color w:val="000000"/>
        </w:rPr>
        <w:br w:type="page"/>
      </w:r>
    </w:p>
    <w:p w14:paraId="4E958F53" w14:textId="0B1D5BDA" w:rsidR="00721E60" w:rsidRDefault="00721E60" w:rsidP="00721E60">
      <w:pPr>
        <w:rPr>
          <w:rFonts w:eastAsia="Segoe UI"/>
          <w:bCs/>
          <w:color w:val="000000"/>
        </w:rPr>
      </w:pPr>
      <w:r w:rsidRPr="008549FA">
        <w:rPr>
          <w:rFonts w:eastAsia="Segoe UI"/>
          <w:bCs/>
          <w:color w:val="000000"/>
        </w:rPr>
        <w:lastRenderedPageBreak/>
        <w:t>AZ proposes a new MBS item descriptor below:</w:t>
      </w:r>
    </w:p>
    <w:p w14:paraId="5AA848E7" w14:textId="77777777" w:rsidR="00721E60" w:rsidRPr="0084364F" w:rsidRDefault="00721E60" w:rsidP="00721E60">
      <w:pPr>
        <w:keepNext/>
        <w:keepLines/>
        <w:spacing w:after="0"/>
        <w:rPr>
          <w:rFonts w:eastAsia="Segoe UI"/>
          <w:b/>
          <w:color w:val="000000"/>
        </w:rPr>
      </w:pPr>
      <w:bookmarkStart w:id="1" w:name="_Ref117954839"/>
      <w:r w:rsidRPr="0084364F">
        <w:rPr>
          <w:rFonts w:eastAsia="Segoe UI"/>
          <w:b/>
          <w:color w:val="000000"/>
        </w:rPr>
        <w:t>Table 1</w:t>
      </w:r>
      <w:bookmarkEnd w:id="1"/>
      <w:r w:rsidRPr="0084364F">
        <w:rPr>
          <w:rFonts w:eastAsia="Segoe UI"/>
          <w:b/>
          <w:color w:val="000000"/>
        </w:rPr>
        <w:t xml:space="preserve"> </w:t>
      </w:r>
      <w:r w:rsidRPr="0084364F">
        <w:rPr>
          <w:rFonts w:eastAsia="Segoe UI"/>
          <w:b/>
          <w:color w:val="000000"/>
        </w:rPr>
        <w:tab/>
        <w:t>Requested new MBS item descriptor</w:t>
      </w:r>
    </w:p>
    <w:tbl>
      <w:tblPr>
        <w:tblStyle w:val="TableGrid"/>
        <w:tblW w:w="0" w:type="auto"/>
        <w:tblLook w:val="04A0" w:firstRow="1" w:lastRow="0" w:firstColumn="1" w:lastColumn="0" w:noHBand="0" w:noVBand="1"/>
      </w:tblPr>
      <w:tblGrid>
        <w:gridCol w:w="4074"/>
        <w:gridCol w:w="5391"/>
      </w:tblGrid>
      <w:tr w:rsidR="00721E60" w:rsidRPr="00141B6E" w14:paraId="2E31BAEC" w14:textId="77777777" w:rsidTr="00B23F24">
        <w:tc>
          <w:tcPr>
            <w:tcW w:w="10768" w:type="dxa"/>
            <w:gridSpan w:val="2"/>
            <w:tcBorders>
              <w:top w:val="single" w:sz="4" w:space="0" w:color="auto"/>
              <w:left w:val="single" w:sz="4" w:space="0" w:color="auto"/>
              <w:bottom w:val="single" w:sz="4" w:space="0" w:color="auto"/>
              <w:right w:val="single" w:sz="4" w:space="0" w:color="auto"/>
            </w:tcBorders>
          </w:tcPr>
          <w:p w14:paraId="0501B963" w14:textId="77777777" w:rsidR="00721E60" w:rsidRPr="00141B6E" w:rsidRDefault="00721E60" w:rsidP="00B23F24">
            <w:pPr>
              <w:pStyle w:val="TableText0"/>
              <w:keepLines/>
              <w:spacing w:before="0" w:after="0"/>
              <w:jc w:val="right"/>
              <w:rPr>
                <w:rFonts w:ascii="Arial Narrow" w:hAnsi="Arial Narrow" w:cs="Arial"/>
                <w:color w:val="auto"/>
                <w:sz w:val="20"/>
                <w:szCs w:val="20"/>
              </w:rPr>
            </w:pPr>
            <w:r w:rsidRPr="00141B6E">
              <w:rPr>
                <w:rFonts w:ascii="Arial Narrow" w:hAnsi="Arial Narrow" w:cs="Arial"/>
                <w:color w:val="auto"/>
                <w:sz w:val="20"/>
                <w:szCs w:val="20"/>
              </w:rPr>
              <w:t>Category 6 – Pathology Services</w:t>
            </w:r>
          </w:p>
        </w:tc>
      </w:tr>
      <w:tr w:rsidR="00721E60" w:rsidRPr="00141B6E" w14:paraId="420E8247" w14:textId="77777777" w:rsidTr="00B23F24">
        <w:tc>
          <w:tcPr>
            <w:tcW w:w="4621" w:type="dxa"/>
            <w:tcBorders>
              <w:top w:val="single" w:sz="4" w:space="0" w:color="auto"/>
              <w:left w:val="single" w:sz="4" w:space="0" w:color="auto"/>
              <w:bottom w:val="single" w:sz="4" w:space="0" w:color="auto"/>
              <w:right w:val="single" w:sz="4" w:space="0" w:color="auto"/>
            </w:tcBorders>
          </w:tcPr>
          <w:p w14:paraId="44DCACCD" w14:textId="77777777" w:rsidR="00721E60" w:rsidRPr="00141B6E" w:rsidRDefault="00721E60" w:rsidP="00B23F24">
            <w:pPr>
              <w:pStyle w:val="TableText0"/>
              <w:keepLines/>
              <w:spacing w:before="0" w:after="0"/>
              <w:rPr>
                <w:rFonts w:ascii="Arial Narrow" w:hAnsi="Arial Narrow" w:cs="Arial"/>
                <w:color w:val="auto"/>
                <w:sz w:val="20"/>
                <w:szCs w:val="20"/>
              </w:rPr>
            </w:pPr>
            <w:r w:rsidRPr="00141B6E">
              <w:rPr>
                <w:rFonts w:ascii="Arial Narrow" w:hAnsi="Arial Narrow" w:cs="Arial"/>
                <w:color w:val="auto"/>
                <w:sz w:val="20"/>
                <w:szCs w:val="20"/>
              </w:rPr>
              <w:t>MBS item XXXX</w:t>
            </w:r>
          </w:p>
        </w:tc>
        <w:tc>
          <w:tcPr>
            <w:tcW w:w="6147" w:type="dxa"/>
            <w:tcBorders>
              <w:top w:val="single" w:sz="4" w:space="0" w:color="auto"/>
              <w:left w:val="single" w:sz="4" w:space="0" w:color="auto"/>
              <w:bottom w:val="single" w:sz="4" w:space="0" w:color="auto"/>
              <w:right w:val="single" w:sz="4" w:space="0" w:color="auto"/>
            </w:tcBorders>
          </w:tcPr>
          <w:p w14:paraId="60DE0FBC" w14:textId="77777777" w:rsidR="00721E60" w:rsidRPr="00141B6E" w:rsidRDefault="00721E60" w:rsidP="00B23F24">
            <w:pPr>
              <w:pStyle w:val="TableText0"/>
              <w:keepLines/>
              <w:spacing w:before="0" w:after="0"/>
              <w:jc w:val="right"/>
              <w:rPr>
                <w:rFonts w:ascii="Arial Narrow" w:hAnsi="Arial Narrow" w:cs="Arial"/>
                <w:color w:val="auto"/>
                <w:sz w:val="20"/>
                <w:szCs w:val="20"/>
              </w:rPr>
            </w:pPr>
            <w:r w:rsidRPr="00141B6E">
              <w:rPr>
                <w:rFonts w:ascii="Arial Narrow" w:hAnsi="Arial Narrow" w:cs="Arial"/>
                <w:color w:val="auto"/>
                <w:sz w:val="20"/>
                <w:szCs w:val="20"/>
              </w:rPr>
              <w:t>Group P7 – Genetics</w:t>
            </w:r>
          </w:p>
        </w:tc>
      </w:tr>
      <w:tr w:rsidR="00721E60" w:rsidRPr="00141B6E" w14:paraId="5EE6A68C" w14:textId="77777777" w:rsidTr="00B23F24">
        <w:tc>
          <w:tcPr>
            <w:tcW w:w="10768" w:type="dxa"/>
            <w:gridSpan w:val="2"/>
            <w:tcBorders>
              <w:top w:val="single" w:sz="4" w:space="0" w:color="auto"/>
              <w:left w:val="single" w:sz="4" w:space="0" w:color="auto"/>
              <w:bottom w:val="single" w:sz="4" w:space="0" w:color="auto"/>
              <w:right w:val="single" w:sz="4" w:space="0" w:color="auto"/>
            </w:tcBorders>
          </w:tcPr>
          <w:p w14:paraId="41A8B59C" w14:textId="77777777" w:rsidR="00721E60" w:rsidRPr="00F17635" w:rsidRDefault="00721E60" w:rsidP="00B23F24">
            <w:pPr>
              <w:pStyle w:val="TableText0"/>
              <w:keepLines/>
              <w:spacing w:after="0"/>
              <w:rPr>
                <w:rFonts w:ascii="Arial Narrow" w:hAnsi="Arial Narrow" w:cs="Arial"/>
                <w:color w:val="auto"/>
                <w:sz w:val="20"/>
                <w:szCs w:val="20"/>
              </w:rPr>
            </w:pPr>
            <w:r>
              <w:rPr>
                <w:rFonts w:ascii="Arial Narrow" w:hAnsi="Arial Narrow" w:cs="Arial"/>
                <w:color w:val="auto"/>
                <w:sz w:val="20"/>
                <w:szCs w:val="20"/>
              </w:rPr>
              <w:t>A test of tumour tissue for the d</w:t>
            </w:r>
            <w:r w:rsidRPr="00F17635">
              <w:rPr>
                <w:rFonts w:ascii="Arial Narrow" w:hAnsi="Arial Narrow" w:cs="Arial"/>
                <w:color w:val="auto"/>
                <w:sz w:val="20"/>
                <w:szCs w:val="20"/>
              </w:rPr>
              <w:t xml:space="preserve">etection of </w:t>
            </w:r>
            <w:r>
              <w:rPr>
                <w:rFonts w:ascii="Arial Narrow" w:hAnsi="Arial Narrow" w:cs="Arial"/>
                <w:color w:val="auto"/>
                <w:sz w:val="20"/>
                <w:szCs w:val="20"/>
              </w:rPr>
              <w:t>an AKT-pathway altered (PIK3CA, AKT1 or PTEN) tumour</w:t>
            </w:r>
            <w:r w:rsidRPr="00F17635">
              <w:rPr>
                <w:rFonts w:ascii="Arial Narrow" w:hAnsi="Arial Narrow" w:cs="Arial"/>
                <w:color w:val="auto"/>
                <w:sz w:val="20"/>
                <w:szCs w:val="20"/>
              </w:rPr>
              <w:t>, in a patient with:</w:t>
            </w:r>
          </w:p>
          <w:p w14:paraId="004BF705" w14:textId="77777777" w:rsidR="00721E60" w:rsidRDefault="00721E60" w:rsidP="004302F1">
            <w:pPr>
              <w:pStyle w:val="TableText0"/>
              <w:keepLines/>
              <w:numPr>
                <w:ilvl w:val="0"/>
                <w:numId w:val="12"/>
              </w:numPr>
              <w:spacing w:after="120"/>
              <w:ind w:left="1077"/>
              <w:rPr>
                <w:rFonts w:ascii="Arial Narrow" w:hAnsi="Arial Narrow" w:cs="Arial"/>
                <w:color w:val="auto"/>
                <w:sz w:val="20"/>
                <w:szCs w:val="20"/>
              </w:rPr>
            </w:pPr>
            <w:r w:rsidRPr="001278EB">
              <w:rPr>
                <w:rFonts w:ascii="Arial Narrow" w:hAnsi="Arial Narrow" w:cs="Arial"/>
                <w:color w:val="auto"/>
                <w:sz w:val="20"/>
                <w:szCs w:val="20"/>
              </w:rPr>
              <w:t xml:space="preserve">locally advanced (inoperable) or metastatic </w:t>
            </w:r>
            <w:r>
              <w:rPr>
                <w:rFonts w:ascii="Arial Narrow" w:hAnsi="Arial Narrow" w:cs="Arial"/>
                <w:color w:val="auto"/>
                <w:sz w:val="20"/>
                <w:szCs w:val="20"/>
              </w:rPr>
              <w:t xml:space="preserve">hormone receptor positive, </w:t>
            </w:r>
            <w:r w:rsidRPr="001278EB">
              <w:rPr>
                <w:rFonts w:ascii="Arial Narrow" w:hAnsi="Arial Narrow" w:cs="Arial"/>
                <w:color w:val="auto"/>
                <w:sz w:val="20"/>
                <w:szCs w:val="20"/>
              </w:rPr>
              <w:t>HER2-</w:t>
            </w:r>
            <w:r>
              <w:rPr>
                <w:rFonts w:ascii="Arial Narrow" w:hAnsi="Arial Narrow" w:cs="Arial"/>
                <w:color w:val="auto"/>
                <w:sz w:val="20"/>
                <w:szCs w:val="20"/>
              </w:rPr>
              <w:t>negative</w:t>
            </w:r>
            <w:r w:rsidRPr="001278EB">
              <w:rPr>
                <w:rFonts w:ascii="Arial Narrow" w:hAnsi="Arial Narrow" w:cs="Arial"/>
                <w:color w:val="auto"/>
                <w:sz w:val="20"/>
                <w:szCs w:val="20"/>
              </w:rPr>
              <w:t xml:space="preserve"> breast cancer</w:t>
            </w:r>
          </w:p>
          <w:p w14:paraId="7D502A05" w14:textId="77777777" w:rsidR="00721E60" w:rsidRPr="00F17635" w:rsidRDefault="00721E60" w:rsidP="00B23F24">
            <w:pPr>
              <w:pStyle w:val="TableText0"/>
              <w:keepLines/>
              <w:spacing w:after="0"/>
              <w:rPr>
                <w:rFonts w:ascii="Arial Narrow" w:hAnsi="Arial Narrow" w:cs="Arial"/>
                <w:color w:val="auto"/>
                <w:sz w:val="20"/>
                <w:szCs w:val="20"/>
              </w:rPr>
            </w:pPr>
            <w:r>
              <w:rPr>
                <w:rFonts w:ascii="Arial Narrow" w:hAnsi="Arial Narrow" w:cs="Arial"/>
                <w:color w:val="auto"/>
                <w:sz w:val="20"/>
                <w:szCs w:val="20"/>
              </w:rPr>
              <w:t xml:space="preserve">As </w:t>
            </w:r>
            <w:r w:rsidRPr="00F17635">
              <w:rPr>
                <w:rFonts w:ascii="Arial Narrow" w:hAnsi="Arial Narrow" w:cs="Arial"/>
                <w:color w:val="auto"/>
                <w:sz w:val="20"/>
                <w:szCs w:val="20"/>
              </w:rPr>
              <w:t xml:space="preserve">requested by a specialist or consultant physician, to determine eligibility for treatment </w:t>
            </w:r>
            <w:r>
              <w:rPr>
                <w:rFonts w:ascii="Arial Narrow" w:hAnsi="Arial Narrow" w:cs="Arial"/>
                <w:color w:val="auto"/>
                <w:sz w:val="20"/>
                <w:szCs w:val="20"/>
              </w:rPr>
              <w:t xml:space="preserve">with an </w:t>
            </w:r>
            <w:r w:rsidRPr="004036CE">
              <w:rPr>
                <w:rFonts w:ascii="Arial Narrow" w:hAnsi="Arial Narrow" w:cs="Arial"/>
                <w:color w:val="auto"/>
                <w:sz w:val="20"/>
                <w:szCs w:val="20"/>
              </w:rPr>
              <w:t>AKT serine/threonine kinase</w:t>
            </w:r>
            <w:r>
              <w:rPr>
                <w:rFonts w:ascii="Arial Narrow" w:hAnsi="Arial Narrow" w:cs="Arial"/>
                <w:color w:val="auto"/>
                <w:sz w:val="20"/>
                <w:szCs w:val="20"/>
              </w:rPr>
              <w:t xml:space="preserve"> -</w:t>
            </w:r>
            <w:r w:rsidRPr="00F17635">
              <w:rPr>
                <w:rFonts w:ascii="Arial Narrow" w:hAnsi="Arial Narrow" w:cs="Arial"/>
                <w:color w:val="auto"/>
                <w:sz w:val="20"/>
                <w:szCs w:val="20"/>
              </w:rPr>
              <w:t>inhibitor under the Pharmaceutical Benefits Scheme (PBS)</w:t>
            </w:r>
          </w:p>
          <w:p w14:paraId="0768EC4B" w14:textId="77777777" w:rsidR="00721E60" w:rsidRPr="00F17635" w:rsidRDefault="00721E60" w:rsidP="00B23F24">
            <w:pPr>
              <w:pStyle w:val="TableText0"/>
              <w:keepLines/>
              <w:spacing w:after="0"/>
              <w:rPr>
                <w:rFonts w:ascii="Arial Narrow" w:hAnsi="Arial Narrow" w:cs="Arial"/>
                <w:color w:val="auto"/>
                <w:sz w:val="20"/>
                <w:szCs w:val="20"/>
              </w:rPr>
            </w:pPr>
          </w:p>
          <w:p w14:paraId="5F3DBF74" w14:textId="48C430C2" w:rsidR="00721E60" w:rsidRPr="00141B6E" w:rsidRDefault="00721E60" w:rsidP="00B23F24">
            <w:pPr>
              <w:pStyle w:val="TableText0"/>
              <w:keepLines/>
              <w:spacing w:before="0" w:after="0"/>
              <w:rPr>
                <w:rFonts w:ascii="Arial Narrow" w:hAnsi="Arial Narrow" w:cs="Arial"/>
                <w:color w:val="auto"/>
                <w:sz w:val="20"/>
                <w:szCs w:val="20"/>
              </w:rPr>
            </w:pPr>
            <w:r w:rsidRPr="00141B6E">
              <w:rPr>
                <w:rFonts w:ascii="Arial Narrow" w:hAnsi="Arial Narrow" w:cs="Arial"/>
                <w:color w:val="auto"/>
                <w:sz w:val="20"/>
                <w:szCs w:val="20"/>
              </w:rPr>
              <w:t>Fee: $</w:t>
            </w:r>
            <w:r>
              <w:rPr>
                <w:rFonts w:ascii="Arial Narrow" w:hAnsi="Arial Narrow" w:cs="Arial"/>
                <w:color w:val="auto"/>
                <w:sz w:val="20"/>
                <w:szCs w:val="20"/>
              </w:rPr>
              <w:t>XX</w:t>
            </w:r>
            <w:r w:rsidRPr="00141B6E">
              <w:rPr>
                <w:rFonts w:ascii="Arial Narrow" w:hAnsi="Arial Narrow" w:cs="Arial"/>
                <w:color w:val="auto"/>
                <w:sz w:val="20"/>
                <w:szCs w:val="20"/>
              </w:rPr>
              <w:tab/>
            </w:r>
            <w:r w:rsidR="004302F1">
              <w:rPr>
                <w:rFonts w:ascii="Arial Narrow" w:hAnsi="Arial Narrow" w:cs="Arial"/>
                <w:color w:val="auto"/>
                <w:sz w:val="20"/>
                <w:szCs w:val="20"/>
              </w:rPr>
              <w:tab/>
            </w:r>
            <w:r w:rsidRPr="00141B6E">
              <w:rPr>
                <w:rFonts w:ascii="Arial Narrow" w:hAnsi="Arial Narrow" w:cs="Arial"/>
                <w:color w:val="auto"/>
                <w:sz w:val="20"/>
                <w:szCs w:val="20"/>
              </w:rPr>
              <w:t>Benefit: 75% = $</w:t>
            </w:r>
            <w:r>
              <w:rPr>
                <w:rFonts w:ascii="Arial Narrow" w:hAnsi="Arial Narrow" w:cs="Arial"/>
                <w:color w:val="auto"/>
                <w:sz w:val="20"/>
                <w:szCs w:val="20"/>
              </w:rPr>
              <w:t>XX</w:t>
            </w:r>
            <w:r w:rsidRPr="00141B6E">
              <w:rPr>
                <w:rFonts w:ascii="Arial Narrow" w:hAnsi="Arial Narrow" w:cs="Arial"/>
                <w:color w:val="auto"/>
                <w:sz w:val="20"/>
                <w:szCs w:val="20"/>
              </w:rPr>
              <w:tab/>
            </w:r>
            <w:r w:rsidR="004302F1">
              <w:rPr>
                <w:rFonts w:ascii="Arial Narrow" w:hAnsi="Arial Narrow" w:cs="Arial"/>
                <w:color w:val="auto"/>
                <w:sz w:val="20"/>
                <w:szCs w:val="20"/>
              </w:rPr>
              <w:tab/>
            </w:r>
            <w:r w:rsidRPr="00141B6E">
              <w:rPr>
                <w:rFonts w:ascii="Arial Narrow" w:hAnsi="Arial Narrow" w:cs="Arial"/>
                <w:color w:val="auto"/>
                <w:sz w:val="20"/>
                <w:szCs w:val="20"/>
              </w:rPr>
              <w:t>85% = $</w:t>
            </w:r>
            <w:r>
              <w:rPr>
                <w:rFonts w:ascii="Arial Narrow" w:hAnsi="Arial Narrow" w:cs="Arial"/>
                <w:color w:val="auto"/>
                <w:sz w:val="20"/>
                <w:szCs w:val="20"/>
              </w:rPr>
              <w:t>XX</w:t>
            </w:r>
          </w:p>
        </w:tc>
      </w:tr>
      <w:tr w:rsidR="00721E60" w:rsidRPr="00141B6E" w14:paraId="225375E8" w14:textId="77777777" w:rsidTr="00B23F24">
        <w:tc>
          <w:tcPr>
            <w:tcW w:w="10768" w:type="dxa"/>
            <w:gridSpan w:val="2"/>
            <w:tcBorders>
              <w:top w:val="single" w:sz="4" w:space="0" w:color="auto"/>
              <w:left w:val="single" w:sz="4" w:space="0" w:color="auto"/>
              <w:bottom w:val="single" w:sz="4" w:space="0" w:color="auto"/>
              <w:right w:val="single" w:sz="4" w:space="0" w:color="auto"/>
            </w:tcBorders>
          </w:tcPr>
          <w:p w14:paraId="519027CB" w14:textId="77777777" w:rsidR="00721E60" w:rsidRPr="00851C8D" w:rsidRDefault="00721E60" w:rsidP="00B23F24">
            <w:pPr>
              <w:pStyle w:val="TableText0"/>
              <w:keepLines/>
              <w:spacing w:before="0" w:after="0"/>
              <w:rPr>
                <w:rFonts w:ascii="Arial Narrow" w:hAnsi="Arial Narrow" w:cs="Arial"/>
                <w:color w:val="auto"/>
                <w:sz w:val="20"/>
                <w:szCs w:val="20"/>
              </w:rPr>
            </w:pPr>
          </w:p>
        </w:tc>
      </w:tr>
    </w:tbl>
    <w:p w14:paraId="76DF12FB" w14:textId="77777777" w:rsidR="00721E60" w:rsidRDefault="00721E60" w:rsidP="00721E60">
      <w:pPr>
        <w:spacing w:after="0"/>
        <w:rPr>
          <w:rFonts w:eastAsia="Segoe UI"/>
          <w:bCs/>
          <w:color w:val="000000"/>
        </w:rPr>
      </w:pPr>
    </w:p>
    <w:p w14:paraId="66E80EE2" w14:textId="77777777" w:rsidR="00721E60" w:rsidRDefault="00721E60" w:rsidP="00721E60">
      <w:pPr>
        <w:spacing w:after="0"/>
        <w:rPr>
          <w:rFonts w:eastAsia="Segoe UI"/>
          <w:bCs/>
          <w:color w:val="000000"/>
        </w:rPr>
      </w:pPr>
    </w:p>
    <w:p w14:paraId="6F8FDCEC" w14:textId="77777777" w:rsidR="00721E60" w:rsidRDefault="00721E60" w:rsidP="00721E60">
      <w:pPr>
        <w:rPr>
          <w:rFonts w:eastAsia="Segoe UI"/>
          <w:b/>
          <w:color w:val="000000"/>
          <w:sz w:val="32"/>
        </w:rPr>
      </w:pPr>
      <w:r>
        <w:rPr>
          <w:rFonts w:eastAsia="Segoe UI"/>
          <w:b/>
          <w:color w:val="000000"/>
          <w:sz w:val="32"/>
        </w:rPr>
        <w:t>Intervention</w:t>
      </w:r>
    </w:p>
    <w:p w14:paraId="1B99E662" w14:textId="0166D5F2" w:rsidR="00721E60" w:rsidRPr="00721E60" w:rsidRDefault="00721E60" w:rsidP="00721E60">
      <w:pPr>
        <w:spacing w:after="0"/>
        <w:rPr>
          <w:rFonts w:eastAsia="Segoe UI"/>
          <w:b/>
          <w:color w:val="000000"/>
        </w:rPr>
      </w:pPr>
      <w:r w:rsidRPr="00B15CDF">
        <w:rPr>
          <w:rFonts w:eastAsia="Segoe UI"/>
          <w:b/>
          <w:color w:val="000000"/>
        </w:rPr>
        <w:t>Name of the proposed health technology:</w:t>
      </w:r>
    </w:p>
    <w:p w14:paraId="696F5CE7" w14:textId="612A56F7" w:rsidR="00721E60" w:rsidRDefault="00721E60" w:rsidP="00721E60">
      <w:pPr>
        <w:rPr>
          <w:rFonts w:eastAsia="Segoe UI"/>
        </w:rPr>
      </w:pPr>
      <w:r>
        <w:rPr>
          <w:rFonts w:eastAsia="Segoe UI"/>
        </w:rPr>
        <w:t>T</w:t>
      </w:r>
      <w:r w:rsidRPr="00C3063D">
        <w:rPr>
          <w:rFonts w:eastAsia="Segoe UI"/>
        </w:rPr>
        <w:t xml:space="preserve">esting for </w:t>
      </w:r>
      <w:r>
        <w:rPr>
          <w:rFonts w:eastAsia="Segoe UI"/>
        </w:rPr>
        <w:t>AKT-pathway altered (</w:t>
      </w:r>
      <w:r w:rsidRPr="00C3063D">
        <w:rPr>
          <w:rFonts w:eastAsia="Segoe UI"/>
        </w:rPr>
        <w:t>PIK3CA</w:t>
      </w:r>
      <w:r>
        <w:rPr>
          <w:rFonts w:eastAsia="Segoe UI"/>
        </w:rPr>
        <w:t xml:space="preserve">, AKT1 or PTEN) tumours </w:t>
      </w:r>
      <w:r w:rsidRPr="00C3063D">
        <w:rPr>
          <w:rFonts w:eastAsia="Segoe UI"/>
        </w:rPr>
        <w:t xml:space="preserve">in </w:t>
      </w:r>
      <w:r>
        <w:rPr>
          <w:rFonts w:eastAsia="Segoe UI"/>
        </w:rPr>
        <w:t xml:space="preserve">patients with HR-positive, HER2-negative advanced or inoperable metastatic breast cancer to determine eligibility for treatment with </w:t>
      </w:r>
      <w:proofErr w:type="spellStart"/>
      <w:r>
        <w:rPr>
          <w:rFonts w:eastAsia="Segoe UI"/>
        </w:rPr>
        <w:t>c</w:t>
      </w:r>
      <w:r w:rsidRPr="00314269">
        <w:rPr>
          <w:rFonts w:eastAsia="Segoe UI"/>
        </w:rPr>
        <w:t>apivasertib</w:t>
      </w:r>
      <w:proofErr w:type="spellEnd"/>
      <w:r>
        <w:rPr>
          <w:rFonts w:eastAsia="Segoe UI"/>
        </w:rPr>
        <w:t>,</w:t>
      </w:r>
      <w:r w:rsidRPr="00314269">
        <w:rPr>
          <w:rFonts w:eastAsia="Segoe UI"/>
        </w:rPr>
        <w:t xml:space="preserve"> an AKT inhibitor</w:t>
      </w:r>
      <w:r>
        <w:rPr>
          <w:rFonts w:eastAsia="Segoe UI"/>
        </w:rPr>
        <w:t xml:space="preserve">, in combination </w:t>
      </w:r>
      <w:r w:rsidRPr="00314269">
        <w:rPr>
          <w:rFonts w:eastAsia="Segoe UI"/>
        </w:rPr>
        <w:t xml:space="preserve">with </w:t>
      </w:r>
      <w:proofErr w:type="spellStart"/>
      <w:r>
        <w:rPr>
          <w:rFonts w:eastAsia="Segoe UI"/>
        </w:rPr>
        <w:t>fulvestrant</w:t>
      </w:r>
      <w:proofErr w:type="spellEnd"/>
      <w:r w:rsidRPr="00314269">
        <w:rPr>
          <w:rFonts w:eastAsia="Segoe UI"/>
        </w:rPr>
        <w:t xml:space="preserve">, </w:t>
      </w:r>
      <w:r>
        <w:rPr>
          <w:rFonts w:eastAsia="Segoe UI"/>
        </w:rPr>
        <w:t xml:space="preserve">to inhibit </w:t>
      </w:r>
      <w:r w:rsidRPr="00314269">
        <w:rPr>
          <w:rFonts w:eastAsia="Segoe UI"/>
        </w:rPr>
        <w:t>both ER signalling and its interactions with the PIK</w:t>
      </w:r>
      <w:r>
        <w:rPr>
          <w:rFonts w:eastAsia="Segoe UI"/>
        </w:rPr>
        <w:t>3CA</w:t>
      </w:r>
      <w:r w:rsidRPr="00314269">
        <w:rPr>
          <w:rFonts w:eastAsia="Segoe UI"/>
        </w:rPr>
        <w:t>/AKT</w:t>
      </w:r>
      <w:r>
        <w:rPr>
          <w:rFonts w:eastAsia="Segoe UI"/>
        </w:rPr>
        <w:t>1</w:t>
      </w:r>
      <w:r w:rsidRPr="00314269">
        <w:rPr>
          <w:rFonts w:eastAsia="Segoe UI"/>
        </w:rPr>
        <w:t>/PTEN pathway</w:t>
      </w:r>
      <w:r>
        <w:rPr>
          <w:rFonts w:eastAsia="Segoe UI"/>
        </w:rPr>
        <w:t>.</w:t>
      </w:r>
    </w:p>
    <w:p w14:paraId="2B30D25B" w14:textId="305736D5" w:rsidR="00721E60" w:rsidRDefault="00721E60" w:rsidP="00721E60">
      <w:pPr>
        <w:rPr>
          <w:rFonts w:eastAsia="Segoe UI"/>
        </w:rPr>
      </w:pPr>
      <w:r w:rsidRPr="00F63754">
        <w:rPr>
          <w:rFonts w:eastAsia="Segoe UI"/>
        </w:rPr>
        <w:t xml:space="preserve">The addition of </w:t>
      </w:r>
      <w:proofErr w:type="spellStart"/>
      <w:r w:rsidRPr="00F63754">
        <w:rPr>
          <w:rFonts w:eastAsia="Segoe UI"/>
        </w:rPr>
        <w:t>capivasertib</w:t>
      </w:r>
      <w:proofErr w:type="spellEnd"/>
      <w:r w:rsidRPr="00F63754">
        <w:rPr>
          <w:rFonts w:eastAsia="Segoe UI"/>
        </w:rPr>
        <w:t xml:space="preserve"> to </w:t>
      </w:r>
      <w:proofErr w:type="spellStart"/>
      <w:r w:rsidRPr="00F63754">
        <w:rPr>
          <w:rFonts w:eastAsia="Segoe UI"/>
        </w:rPr>
        <w:t>fulvestrant</w:t>
      </w:r>
      <w:proofErr w:type="spellEnd"/>
      <w:r w:rsidRPr="00F63754">
        <w:rPr>
          <w:rFonts w:eastAsia="Segoe UI"/>
        </w:rPr>
        <w:t xml:space="preserve"> significantly improved PFS in patients with AI-resistant HR+/HER2– </w:t>
      </w:r>
      <w:r>
        <w:rPr>
          <w:rFonts w:eastAsia="Segoe UI"/>
        </w:rPr>
        <w:t>advanced breast cancer</w:t>
      </w:r>
      <w:r w:rsidRPr="00F63754">
        <w:rPr>
          <w:rFonts w:eastAsia="Segoe UI"/>
        </w:rPr>
        <w:t xml:space="preserve"> in the overall population, with a more pronounced benefit in pathway altered tumours</w:t>
      </w:r>
      <w:r>
        <w:rPr>
          <w:rFonts w:eastAsia="Segoe UI"/>
        </w:rPr>
        <w:t xml:space="preserve"> (Turner et al 2023)</w:t>
      </w:r>
      <w:r w:rsidRPr="00F63754">
        <w:rPr>
          <w:rFonts w:eastAsia="Segoe UI"/>
        </w:rPr>
        <w:t>.</w:t>
      </w:r>
    </w:p>
    <w:p w14:paraId="02C94BEC" w14:textId="1CDF5429" w:rsidR="00721E60" w:rsidRDefault="00721E60" w:rsidP="00721E60">
      <w:pPr>
        <w:rPr>
          <w:rFonts w:eastAsia="Segoe UI"/>
        </w:rPr>
      </w:pPr>
      <w:proofErr w:type="spellStart"/>
      <w:r w:rsidRPr="00BA5A7E">
        <w:rPr>
          <w:rFonts w:eastAsia="Segoe UI"/>
        </w:rPr>
        <w:t>Capivasertib</w:t>
      </w:r>
      <w:proofErr w:type="spellEnd"/>
      <w:r w:rsidRPr="00BA5A7E">
        <w:rPr>
          <w:rFonts w:eastAsia="Segoe UI"/>
        </w:rPr>
        <w:t xml:space="preserve"> is currently undergoing TGA evaluation for treatment in this population.</w:t>
      </w:r>
    </w:p>
    <w:p w14:paraId="607EADA7" w14:textId="1E91F3DB" w:rsidR="00721E60" w:rsidRPr="00721E60" w:rsidRDefault="00721E60" w:rsidP="00721E60">
      <w:pPr>
        <w:spacing w:after="0"/>
        <w:rPr>
          <w:rFonts w:eastAsia="Segoe UI"/>
          <w:b/>
          <w:color w:val="000000"/>
        </w:rPr>
      </w:pPr>
      <w:r w:rsidRPr="00B15CDF">
        <w:rPr>
          <w:rFonts w:eastAsia="Segoe UI"/>
          <w:b/>
          <w:color w:val="000000"/>
        </w:rPr>
        <w:t>Describe the key components and clinical steps involved in delivering the proposed health technology</w:t>
      </w:r>
      <w:r>
        <w:rPr>
          <w:rFonts w:eastAsia="Segoe UI"/>
          <w:b/>
          <w:color w:val="000000"/>
        </w:rPr>
        <w:t>:</w:t>
      </w:r>
    </w:p>
    <w:p w14:paraId="72DE8712" w14:textId="6044D64C" w:rsidR="00721E60" w:rsidRPr="00721E60" w:rsidRDefault="00721E60" w:rsidP="00721E60">
      <w:pPr>
        <w:rPr>
          <w:rFonts w:eastAsia="Segoe UI"/>
          <w:color w:val="000000"/>
        </w:rPr>
      </w:pPr>
      <w:r w:rsidRPr="618952DB">
        <w:rPr>
          <w:rFonts w:eastAsia="Segoe UI"/>
        </w:rPr>
        <w:t xml:space="preserve">Identification of AKT-pathway </w:t>
      </w:r>
      <w:r>
        <w:rPr>
          <w:rFonts w:eastAsia="Segoe UI"/>
        </w:rPr>
        <w:t>alterations</w:t>
      </w:r>
      <w:r w:rsidRPr="618952DB">
        <w:rPr>
          <w:rFonts w:eastAsia="Segoe UI"/>
        </w:rPr>
        <w:t xml:space="preserve"> (PIK3CA, AKT1 or PTEN) </w:t>
      </w:r>
      <w:r w:rsidRPr="00746064">
        <w:rPr>
          <w:rFonts w:eastAsia="Segoe UI"/>
        </w:rPr>
        <w:t xml:space="preserve">using NGS in tumour tissue from patients with HR+/HER2- </w:t>
      </w:r>
      <w:r>
        <w:rPr>
          <w:rFonts w:eastAsia="Segoe UI"/>
        </w:rPr>
        <w:t>advanced breast cancer</w:t>
      </w:r>
      <w:r w:rsidRPr="618952DB">
        <w:rPr>
          <w:rFonts w:eastAsia="Segoe UI"/>
        </w:rPr>
        <w:t>. NGS enables the identification of hundreds of genes at one time and can identify mutations such as PIK3CA, ATK1 &amp; PTEN.</w:t>
      </w:r>
    </w:p>
    <w:p w14:paraId="7395A2D8" w14:textId="4BDE1539" w:rsidR="00721E60" w:rsidRDefault="00721E60" w:rsidP="00721E60">
      <w:pPr>
        <w:rPr>
          <w:rFonts w:eastAsia="Segoe UI"/>
        </w:rPr>
      </w:pPr>
      <w:r w:rsidRPr="003B601A">
        <w:rPr>
          <w:rFonts w:eastAsia="Segoe UI"/>
          <w:bCs/>
          <w:color w:val="000000"/>
        </w:rPr>
        <w:t xml:space="preserve">Using NGS, the pathologist will be able to preselect the genes to identify - they often referred to this as a ‘A Testing Panel’, in this case, a ‘Breast Panel’ will be used to identify PIK3CA, ATK1 </w:t>
      </w:r>
      <w:r>
        <w:rPr>
          <w:rFonts w:eastAsia="Segoe UI"/>
          <w:bCs/>
          <w:color w:val="000000"/>
        </w:rPr>
        <w:t>or</w:t>
      </w:r>
      <w:r w:rsidRPr="003B601A">
        <w:rPr>
          <w:rFonts w:eastAsia="Segoe UI"/>
          <w:bCs/>
          <w:color w:val="000000"/>
        </w:rPr>
        <w:t xml:space="preserve"> PTEN.</w:t>
      </w:r>
      <w:r>
        <w:rPr>
          <w:rFonts w:eastAsia="Segoe UI"/>
          <w:bCs/>
          <w:color w:val="000000"/>
        </w:rPr>
        <w:t xml:space="preserve"> </w:t>
      </w:r>
      <w:r w:rsidRPr="618952DB">
        <w:rPr>
          <w:rFonts w:eastAsia="Segoe UI"/>
        </w:rPr>
        <w:t>This test will confirm AKT-pathway altered tumours with known PIK3CA, AKT1 or PTEN mutations</w:t>
      </w:r>
      <w:r>
        <w:rPr>
          <w:rFonts w:eastAsia="Segoe UI"/>
        </w:rPr>
        <w:t>.</w:t>
      </w:r>
      <w:r w:rsidRPr="618952DB">
        <w:rPr>
          <w:rFonts w:eastAsia="Segoe UI"/>
        </w:rPr>
        <w:t xml:space="preserve"> </w:t>
      </w:r>
    </w:p>
    <w:p w14:paraId="497BC08B" w14:textId="3C1E75DE" w:rsidR="00721E60" w:rsidRPr="00721E60" w:rsidRDefault="00721E60" w:rsidP="00721E60">
      <w:pPr>
        <w:spacing w:after="0"/>
        <w:rPr>
          <w:rFonts w:eastAsia="Segoe UI"/>
          <w:b/>
          <w:color w:val="000000"/>
        </w:rPr>
      </w:pPr>
      <w:r w:rsidRPr="00B15CDF">
        <w:rPr>
          <w:rFonts w:eastAsia="Segoe UI"/>
          <w:b/>
          <w:color w:val="000000"/>
        </w:rPr>
        <w:t>Identify how the proposed technology achieves the intended patient outcomes</w:t>
      </w:r>
      <w:r>
        <w:rPr>
          <w:rFonts w:eastAsia="Segoe UI"/>
          <w:b/>
          <w:color w:val="000000"/>
        </w:rPr>
        <w:t>:</w:t>
      </w:r>
    </w:p>
    <w:p w14:paraId="477DAF1C" w14:textId="779CA10F" w:rsidR="00721E60" w:rsidRDefault="00721E60" w:rsidP="00721E60">
      <w:pPr>
        <w:rPr>
          <w:rFonts w:eastAsia="Segoe UI"/>
        </w:rPr>
      </w:pPr>
      <w:r w:rsidRPr="2F50F236">
        <w:rPr>
          <w:rFonts w:eastAsia="Segoe UI"/>
        </w:rPr>
        <w:t xml:space="preserve">The application </w:t>
      </w:r>
      <w:r w:rsidRPr="618952DB">
        <w:rPr>
          <w:rFonts w:eastAsia="Segoe UI"/>
        </w:rPr>
        <w:t>requests</w:t>
      </w:r>
      <w:r w:rsidRPr="2F50F236">
        <w:rPr>
          <w:rFonts w:eastAsia="Segoe UI"/>
        </w:rPr>
        <w:t xml:space="preserve"> public funding for </w:t>
      </w:r>
      <w:r w:rsidRPr="618952DB">
        <w:rPr>
          <w:rFonts w:eastAsia="Segoe UI"/>
        </w:rPr>
        <w:t xml:space="preserve">the testing of </w:t>
      </w:r>
      <w:r w:rsidRPr="2F50F236">
        <w:rPr>
          <w:rFonts w:eastAsia="Segoe UI"/>
        </w:rPr>
        <w:t xml:space="preserve">AKT-pathway </w:t>
      </w:r>
      <w:r w:rsidRPr="618952DB">
        <w:rPr>
          <w:rFonts w:eastAsia="Segoe UI"/>
        </w:rPr>
        <w:t>alterations</w:t>
      </w:r>
      <w:r w:rsidRPr="2F50F236">
        <w:rPr>
          <w:rFonts w:eastAsia="Segoe UI"/>
        </w:rPr>
        <w:t xml:space="preserve"> (PIK3CA, AKT1 or PTEN) </w:t>
      </w:r>
      <w:r w:rsidRPr="618952DB">
        <w:rPr>
          <w:rFonts w:eastAsia="Segoe UI"/>
        </w:rPr>
        <w:t xml:space="preserve">using an </w:t>
      </w:r>
      <w:r w:rsidRPr="2F50F236">
        <w:rPr>
          <w:rFonts w:eastAsia="Segoe UI"/>
        </w:rPr>
        <w:t xml:space="preserve">NGS panel as a </w:t>
      </w:r>
      <w:r>
        <w:rPr>
          <w:rFonts w:eastAsia="Segoe UI"/>
        </w:rPr>
        <w:t xml:space="preserve">diagnostic service </w:t>
      </w:r>
      <w:r w:rsidRPr="2F50F236">
        <w:rPr>
          <w:rFonts w:eastAsia="Segoe UI"/>
        </w:rPr>
        <w:t xml:space="preserve">to determine eligibility for </w:t>
      </w:r>
      <w:proofErr w:type="spellStart"/>
      <w:r w:rsidRPr="2F50F236">
        <w:rPr>
          <w:rFonts w:eastAsia="Segoe UI"/>
        </w:rPr>
        <w:t>capivasertib</w:t>
      </w:r>
      <w:proofErr w:type="spellEnd"/>
      <w:r w:rsidRPr="2F50F236">
        <w:rPr>
          <w:rFonts w:eastAsia="Segoe UI"/>
        </w:rPr>
        <w:t xml:space="preserve"> in combination with </w:t>
      </w:r>
      <w:proofErr w:type="spellStart"/>
      <w:r w:rsidRPr="2F50F236">
        <w:rPr>
          <w:rFonts w:eastAsia="Segoe UI"/>
        </w:rPr>
        <w:t>fulvestrant</w:t>
      </w:r>
      <w:proofErr w:type="spellEnd"/>
      <w:r w:rsidRPr="2F50F236">
        <w:rPr>
          <w:rFonts w:eastAsia="Segoe UI"/>
        </w:rPr>
        <w:t xml:space="preserve"> treatment in patients with locally advanced (inoperable) or metastatic HR-positive, HER2-negative breast cancer following recurrence or progression on or after aromatase inhibitor therapy, with or without a CDK4/6 inhibitor. </w:t>
      </w:r>
    </w:p>
    <w:p w14:paraId="7449EEDF" w14:textId="4EDBAD5E" w:rsidR="00721E60" w:rsidRPr="00721E60" w:rsidRDefault="00721E60" w:rsidP="00721E60">
      <w:pPr>
        <w:rPr>
          <w:rFonts w:eastAsia="Segoe UI"/>
          <w:color w:val="000000"/>
        </w:rPr>
      </w:pPr>
      <w:r w:rsidRPr="00F63754">
        <w:rPr>
          <w:rFonts w:eastAsia="Segoe UI"/>
          <w:color w:val="000000"/>
        </w:rPr>
        <w:t xml:space="preserve">The addition of </w:t>
      </w:r>
      <w:proofErr w:type="spellStart"/>
      <w:r w:rsidRPr="00F63754">
        <w:rPr>
          <w:rFonts w:eastAsia="Segoe UI"/>
          <w:color w:val="000000"/>
        </w:rPr>
        <w:t>capivasertib</w:t>
      </w:r>
      <w:proofErr w:type="spellEnd"/>
      <w:r w:rsidRPr="00F63754">
        <w:rPr>
          <w:rFonts w:eastAsia="Segoe UI"/>
          <w:color w:val="000000"/>
        </w:rPr>
        <w:t xml:space="preserve"> to </w:t>
      </w:r>
      <w:proofErr w:type="spellStart"/>
      <w:r w:rsidRPr="00F63754">
        <w:rPr>
          <w:rFonts w:eastAsia="Segoe UI"/>
          <w:color w:val="000000"/>
        </w:rPr>
        <w:t>fulvestrant</w:t>
      </w:r>
      <w:proofErr w:type="spellEnd"/>
      <w:r w:rsidRPr="00F63754">
        <w:rPr>
          <w:rFonts w:eastAsia="Segoe UI"/>
          <w:color w:val="000000"/>
        </w:rPr>
        <w:t xml:space="preserve"> significantly improved PFS in patients with AI-resistant HR+/HER2– </w:t>
      </w:r>
      <w:r>
        <w:rPr>
          <w:rFonts w:eastAsia="Segoe UI"/>
          <w:color w:val="000000"/>
        </w:rPr>
        <w:t>advanced breast cancer</w:t>
      </w:r>
      <w:r w:rsidRPr="00F63754">
        <w:rPr>
          <w:rFonts w:eastAsia="Segoe UI"/>
          <w:color w:val="000000"/>
        </w:rPr>
        <w:t xml:space="preserve"> in the overall population, with a more pronounced benefit in pathway altered tumours</w:t>
      </w:r>
      <w:r>
        <w:rPr>
          <w:rFonts w:eastAsia="Segoe UI"/>
          <w:color w:val="000000"/>
        </w:rPr>
        <w:t xml:space="preserve"> (Turner et al 2023)</w:t>
      </w:r>
      <w:r w:rsidRPr="00F63754">
        <w:rPr>
          <w:rFonts w:eastAsia="Segoe UI"/>
          <w:color w:val="000000"/>
        </w:rPr>
        <w:t>.</w:t>
      </w:r>
    </w:p>
    <w:p w14:paraId="535DDD3E" w14:textId="77777777" w:rsidR="00721E60" w:rsidRDefault="00721E60" w:rsidP="00721E60">
      <w:pPr>
        <w:rPr>
          <w:rFonts w:eastAsia="Segoe UI"/>
          <w:bCs/>
          <w:color w:val="000000"/>
        </w:rPr>
      </w:pPr>
      <w:proofErr w:type="spellStart"/>
      <w:r w:rsidRPr="00BA5A7E">
        <w:rPr>
          <w:rFonts w:eastAsia="Segoe UI"/>
          <w:bCs/>
          <w:color w:val="000000"/>
        </w:rPr>
        <w:t>Capivasertib</w:t>
      </w:r>
      <w:proofErr w:type="spellEnd"/>
      <w:r w:rsidRPr="00BA5A7E">
        <w:rPr>
          <w:rFonts w:eastAsia="Segoe UI"/>
          <w:bCs/>
          <w:color w:val="000000"/>
        </w:rPr>
        <w:t xml:space="preserve"> is currently undergoing TGA evaluation for treatment in this population.</w:t>
      </w:r>
    </w:p>
    <w:p w14:paraId="604ACF98" w14:textId="2A637664" w:rsidR="00721E60" w:rsidRPr="00721E60" w:rsidRDefault="00721E60" w:rsidP="00721E60">
      <w:pPr>
        <w:pStyle w:val="Heading2"/>
      </w:pPr>
      <w:r w:rsidRPr="00721E60">
        <w:lastRenderedPageBreak/>
        <w:t xml:space="preserve">Does the proposed health technology include a registered trademark component with characteristics that distinguishes it from other similar health components? </w:t>
      </w:r>
    </w:p>
    <w:p w14:paraId="07425774" w14:textId="0E9ADA5C" w:rsidR="00721E60" w:rsidRPr="00721E60" w:rsidRDefault="00721E60" w:rsidP="00721E60">
      <w:pPr>
        <w:rPr>
          <w:rFonts w:eastAsia="Segoe UI"/>
        </w:rPr>
      </w:pPr>
      <w:r w:rsidRPr="00721E60">
        <w:rPr>
          <w:rFonts w:eastAsia="Segoe UI"/>
        </w:rPr>
        <w:t>No</w:t>
      </w:r>
    </w:p>
    <w:p w14:paraId="020E743F" w14:textId="566044D6" w:rsidR="00721E60" w:rsidRPr="00721E60" w:rsidRDefault="00721E60" w:rsidP="00721E60">
      <w:pPr>
        <w:spacing w:after="0"/>
        <w:rPr>
          <w:rFonts w:eastAsia="Segoe UI"/>
          <w:b/>
          <w:color w:val="000000"/>
        </w:rPr>
      </w:pPr>
      <w:r w:rsidRPr="00721E60">
        <w:rPr>
          <w:rFonts w:eastAsia="Segoe UI"/>
          <w:b/>
          <w:color w:val="000000"/>
        </w:rPr>
        <w:t>Explain whether it is essential to have this trademark component or whether there would be other components that would be suitable:</w:t>
      </w:r>
    </w:p>
    <w:p w14:paraId="3A838202" w14:textId="519B2C4A" w:rsidR="00721E60" w:rsidRPr="00721E60" w:rsidRDefault="00721E60" w:rsidP="00721E60">
      <w:pPr>
        <w:rPr>
          <w:rFonts w:eastAsia="Segoe UI"/>
        </w:rPr>
      </w:pPr>
      <w:r w:rsidRPr="00721E60">
        <w:rPr>
          <w:rFonts w:eastAsia="Segoe UI"/>
        </w:rPr>
        <w:t>N/A</w:t>
      </w:r>
    </w:p>
    <w:p w14:paraId="621F6330" w14:textId="4D58DAF9" w:rsidR="00721E60" w:rsidRPr="00721E60" w:rsidRDefault="00721E60" w:rsidP="00721E60">
      <w:pPr>
        <w:pStyle w:val="Heading2"/>
      </w:pPr>
      <w:r w:rsidRPr="00721E60">
        <w:t xml:space="preserve">Are there any proposed limitations on the provision of the proposed health technology delivered to the patient (For example: accessibility, dosage, quantity, </w:t>
      </w:r>
      <w:proofErr w:type="gramStart"/>
      <w:r w:rsidRPr="00721E60">
        <w:t>duration</w:t>
      </w:r>
      <w:proofErr w:type="gramEnd"/>
      <w:r w:rsidRPr="00721E60">
        <w:t xml:space="preserve"> or frequency): </w:t>
      </w:r>
    </w:p>
    <w:p w14:paraId="7F91E5E4" w14:textId="6E8826D0" w:rsidR="00721E60" w:rsidRPr="00721E60" w:rsidRDefault="00721E60" w:rsidP="00721E60">
      <w:pPr>
        <w:rPr>
          <w:rFonts w:eastAsia="Segoe UI"/>
        </w:rPr>
      </w:pPr>
      <w:r w:rsidRPr="00721E60">
        <w:rPr>
          <w:rFonts w:eastAsia="Segoe UI"/>
        </w:rPr>
        <w:t>No</w:t>
      </w:r>
    </w:p>
    <w:p w14:paraId="3669EE11" w14:textId="7845E5E8" w:rsidR="00721E60" w:rsidRPr="00721E60" w:rsidRDefault="00721E60" w:rsidP="00721E60">
      <w:pPr>
        <w:spacing w:after="0"/>
        <w:rPr>
          <w:rFonts w:eastAsia="Segoe UI"/>
          <w:b/>
          <w:color w:val="000000"/>
        </w:rPr>
      </w:pPr>
      <w:r>
        <w:rPr>
          <w:rFonts w:eastAsia="Segoe UI"/>
          <w:b/>
          <w:color w:val="000000"/>
        </w:rPr>
        <w:t>Provide details and explain:</w:t>
      </w:r>
    </w:p>
    <w:p w14:paraId="5D40CCCF" w14:textId="74897E8D" w:rsidR="00721E60" w:rsidRDefault="00721E60" w:rsidP="00721E60">
      <w:pPr>
        <w:rPr>
          <w:rFonts w:eastAsia="Segoe UI"/>
        </w:rPr>
      </w:pPr>
      <w:r w:rsidRPr="003E5666">
        <w:rPr>
          <w:rFonts w:eastAsia="Segoe UI"/>
        </w:rPr>
        <w:t xml:space="preserve">If </w:t>
      </w:r>
      <w:r>
        <w:rPr>
          <w:rFonts w:eastAsia="Segoe UI"/>
        </w:rPr>
        <w:t>AKT-pathway altered</w:t>
      </w:r>
      <w:r w:rsidRPr="003E5666">
        <w:rPr>
          <w:rFonts w:eastAsia="Segoe UI"/>
        </w:rPr>
        <w:t xml:space="preserve"> </w:t>
      </w:r>
      <w:r>
        <w:rPr>
          <w:rFonts w:eastAsia="Segoe UI"/>
        </w:rPr>
        <w:t xml:space="preserve">(PIK3CA, AKT1 or PTEN) tumour </w:t>
      </w:r>
      <w:r w:rsidRPr="003E5666">
        <w:rPr>
          <w:rFonts w:eastAsia="Segoe UI"/>
        </w:rPr>
        <w:t xml:space="preserve">retesting is deemed necessary to verify </w:t>
      </w:r>
      <w:r>
        <w:rPr>
          <w:rFonts w:eastAsia="Segoe UI"/>
        </w:rPr>
        <w:t>AKT-pathway altered</w:t>
      </w:r>
      <w:r w:rsidRPr="003E5666">
        <w:rPr>
          <w:rFonts w:eastAsia="Segoe UI"/>
        </w:rPr>
        <w:t xml:space="preserve"> status prior to </w:t>
      </w:r>
      <w:proofErr w:type="spellStart"/>
      <w:r>
        <w:rPr>
          <w:rFonts w:eastAsia="Segoe UI"/>
        </w:rPr>
        <w:t>capivasertib</w:t>
      </w:r>
      <w:proofErr w:type="spellEnd"/>
      <w:r>
        <w:rPr>
          <w:rFonts w:eastAsia="Segoe UI"/>
        </w:rPr>
        <w:t xml:space="preserve"> treatment</w:t>
      </w:r>
      <w:r w:rsidRPr="003E5666">
        <w:rPr>
          <w:rFonts w:eastAsia="Segoe UI"/>
        </w:rPr>
        <w:t xml:space="preserve">, the </w:t>
      </w:r>
      <w:r>
        <w:rPr>
          <w:rFonts w:eastAsia="Segoe UI"/>
        </w:rPr>
        <w:t>proposed</w:t>
      </w:r>
      <w:r w:rsidRPr="003E5666">
        <w:rPr>
          <w:rFonts w:eastAsia="Segoe UI"/>
        </w:rPr>
        <w:t xml:space="preserve"> testing, interpretation and reporting paradigm will remain unchanged as systems are already in place to report on the diagnostic criteria required to identify patients with this disease phenotype. </w:t>
      </w:r>
    </w:p>
    <w:p w14:paraId="4434CB06" w14:textId="59C8EA59" w:rsidR="00721E60" w:rsidRPr="00721E60" w:rsidRDefault="00721E60" w:rsidP="00721E60">
      <w:pPr>
        <w:rPr>
          <w:rFonts w:eastAsia="Segoe UI"/>
        </w:rPr>
      </w:pPr>
      <w:r w:rsidRPr="19F3BFC9">
        <w:rPr>
          <w:rFonts w:eastAsia="Segoe UI"/>
          <w:color w:val="000000" w:themeColor="text1"/>
        </w:rPr>
        <w:t xml:space="preserve">Where a tissue sample is not readily available (i.e., fresh tissue [e.g., based on the site of local recurrence or metastasis], or there is no archival tissue), the test could potentially be performed on a plasma sample. </w:t>
      </w:r>
      <w:r w:rsidRPr="00B25777">
        <w:rPr>
          <w:rFonts w:eastAsia="Segoe UI"/>
          <w:color w:val="000000" w:themeColor="text1"/>
        </w:rPr>
        <w:t xml:space="preserve">Once plasma sample </w:t>
      </w:r>
      <w:proofErr w:type="spellStart"/>
      <w:r w:rsidRPr="00B25777">
        <w:rPr>
          <w:rFonts w:eastAsia="Segoe UI"/>
          <w:color w:val="000000" w:themeColor="text1"/>
        </w:rPr>
        <w:t>ctDNA</w:t>
      </w:r>
      <w:proofErr w:type="spellEnd"/>
      <w:r w:rsidRPr="00B25777">
        <w:rPr>
          <w:rFonts w:eastAsia="Segoe UI"/>
          <w:color w:val="000000" w:themeColor="text1"/>
        </w:rPr>
        <w:t xml:space="preserve"> becomes more </w:t>
      </w:r>
      <w:proofErr w:type="spellStart"/>
      <w:r w:rsidRPr="00B25777">
        <w:rPr>
          <w:rFonts w:eastAsia="Segoe UI"/>
          <w:color w:val="000000" w:themeColor="text1"/>
        </w:rPr>
        <w:t>routinuely</w:t>
      </w:r>
      <w:proofErr w:type="spellEnd"/>
      <w:r w:rsidRPr="00B25777">
        <w:rPr>
          <w:rFonts w:eastAsia="Segoe UI"/>
          <w:color w:val="000000" w:themeColor="text1"/>
        </w:rPr>
        <w:t xml:space="preserve"> available and conducted in clinical practice, it can be requested by</w:t>
      </w:r>
      <w:r w:rsidRPr="19F3BFC9">
        <w:rPr>
          <w:rFonts w:eastAsia="Segoe UI"/>
          <w:color w:val="000000" w:themeColor="text1"/>
        </w:rPr>
        <w:t xml:space="preserve"> a surgeon, </w:t>
      </w:r>
      <w:proofErr w:type="gramStart"/>
      <w:r w:rsidRPr="19F3BFC9">
        <w:rPr>
          <w:rFonts w:eastAsia="Segoe UI"/>
          <w:color w:val="000000" w:themeColor="text1"/>
        </w:rPr>
        <w:t>oncologist</w:t>
      </w:r>
      <w:proofErr w:type="gramEnd"/>
      <w:r w:rsidRPr="19F3BFC9">
        <w:rPr>
          <w:rFonts w:eastAsia="Segoe UI"/>
          <w:color w:val="000000" w:themeColor="text1"/>
        </w:rPr>
        <w:t xml:space="preserve"> or general practitioner, or ordered by these practitioners and taken at a laboratory. Analysis of the </w:t>
      </w:r>
      <w:proofErr w:type="spellStart"/>
      <w:r w:rsidRPr="19F3BFC9">
        <w:rPr>
          <w:rFonts w:eastAsia="Segoe UI"/>
          <w:color w:val="000000" w:themeColor="text1"/>
        </w:rPr>
        <w:t>ctDNA</w:t>
      </w:r>
      <w:proofErr w:type="spellEnd"/>
      <w:r w:rsidRPr="19F3BFC9">
        <w:rPr>
          <w:rFonts w:eastAsia="Segoe UI"/>
          <w:color w:val="000000" w:themeColor="text1"/>
        </w:rPr>
        <w:t xml:space="preserve"> in the plasma sample is performed in a similar way to the tissue sample.</w:t>
      </w:r>
      <w:r>
        <w:rPr>
          <w:rFonts w:eastAsia="Segoe UI"/>
          <w:color w:val="000000" w:themeColor="text1"/>
        </w:rPr>
        <w:t xml:space="preserve"> </w:t>
      </w:r>
    </w:p>
    <w:p w14:paraId="74520655" w14:textId="0BD32D61" w:rsidR="00721E60" w:rsidRPr="00721E60" w:rsidRDefault="00721E60" w:rsidP="00721E60">
      <w:pPr>
        <w:rPr>
          <w:rFonts w:eastAsia="Segoe UI"/>
        </w:rPr>
      </w:pPr>
      <w:r w:rsidRPr="618952DB">
        <w:rPr>
          <w:rFonts w:eastAsia="Segoe UI"/>
          <w:color w:val="000000" w:themeColor="text1"/>
        </w:rPr>
        <w:t xml:space="preserve">Noting the challenges with biopsies outlined previously, with the availability of </w:t>
      </w:r>
      <w:proofErr w:type="spellStart"/>
      <w:r w:rsidRPr="618952DB">
        <w:rPr>
          <w:rFonts w:eastAsia="Segoe UI"/>
          <w:color w:val="000000" w:themeColor="text1"/>
        </w:rPr>
        <w:t>capivasertib</w:t>
      </w:r>
      <w:proofErr w:type="spellEnd"/>
      <w:r w:rsidRPr="618952DB">
        <w:rPr>
          <w:rFonts w:eastAsia="Segoe UI"/>
          <w:color w:val="000000" w:themeColor="text1"/>
        </w:rPr>
        <w:t>, re</w:t>
      </w:r>
      <w:r>
        <w:rPr>
          <w:rFonts w:eastAsia="Segoe UI"/>
          <w:color w:val="000000" w:themeColor="text1"/>
        </w:rPr>
        <w:t>-</w:t>
      </w:r>
      <w:r w:rsidRPr="618952DB">
        <w:rPr>
          <w:rFonts w:eastAsia="Segoe UI"/>
          <w:color w:val="000000" w:themeColor="text1"/>
        </w:rPr>
        <w:t xml:space="preserve">testing </w:t>
      </w:r>
      <w:r>
        <w:rPr>
          <w:rFonts w:eastAsia="Segoe UI"/>
          <w:color w:val="000000" w:themeColor="text1"/>
        </w:rPr>
        <w:t xml:space="preserve">and/or re-biopsy </w:t>
      </w:r>
      <w:r w:rsidRPr="618952DB">
        <w:rPr>
          <w:rFonts w:eastAsia="Segoe UI"/>
          <w:color w:val="000000" w:themeColor="text1"/>
        </w:rPr>
        <w:t>rates may increase but given the small number of patients the impact to the MBS is likely to be small.</w:t>
      </w:r>
    </w:p>
    <w:p w14:paraId="213862CB" w14:textId="7ED342D0" w:rsidR="00721E60" w:rsidRPr="004302F1" w:rsidRDefault="00721E60" w:rsidP="00721E60">
      <w:pPr>
        <w:spacing w:after="0"/>
        <w:rPr>
          <w:rFonts w:eastAsia="Segoe UI"/>
          <w:b/>
          <w:color w:val="000000"/>
        </w:rPr>
      </w:pPr>
      <w:r>
        <w:rPr>
          <w:rFonts w:eastAsia="Segoe UI"/>
          <w:b/>
          <w:color w:val="000000"/>
        </w:rPr>
        <w:t>If applicable, advise which health professionals will be needed to provide the proposed health technology:</w:t>
      </w:r>
    </w:p>
    <w:p w14:paraId="0B32CBBC" w14:textId="77777777" w:rsidR="00721E60" w:rsidRDefault="00721E60" w:rsidP="00721E60">
      <w:pPr>
        <w:spacing w:after="0"/>
        <w:rPr>
          <w:rFonts w:eastAsia="Segoe UI"/>
          <w:color w:val="000000"/>
        </w:rPr>
      </w:pPr>
      <w:r w:rsidRPr="32E9E30F">
        <w:rPr>
          <w:rFonts w:eastAsia="Segoe UI"/>
          <w:color w:val="000000" w:themeColor="text1"/>
        </w:rPr>
        <w:t xml:space="preserve">A </w:t>
      </w:r>
      <w:r>
        <w:rPr>
          <w:rFonts w:eastAsia="Segoe UI"/>
          <w:color w:val="000000" w:themeColor="text1"/>
        </w:rPr>
        <w:t xml:space="preserve">registered molecular pathologist and a registered anatomical pathologist are responsible for </w:t>
      </w:r>
      <w:r w:rsidRPr="32E9E30F">
        <w:rPr>
          <w:rFonts w:eastAsia="Segoe UI"/>
          <w:color w:val="000000" w:themeColor="text1"/>
        </w:rPr>
        <w:t>conducting the detection, diagnosis and reporting of the pathology result to help guide and determine treatment.</w:t>
      </w:r>
    </w:p>
    <w:p w14:paraId="36BE9170" w14:textId="77777777" w:rsidR="00721E60" w:rsidRPr="007632A8" w:rsidRDefault="00721E60" w:rsidP="00721E60">
      <w:pPr>
        <w:spacing w:after="0"/>
        <w:rPr>
          <w:rFonts w:eastAsia="Segoe UI"/>
          <w:bCs/>
          <w:color w:val="000000"/>
        </w:rPr>
      </w:pPr>
    </w:p>
    <w:p w14:paraId="337BC3CC" w14:textId="09B71E33" w:rsidR="00721E60" w:rsidRPr="004302F1" w:rsidRDefault="00721E60" w:rsidP="00721E60">
      <w:pPr>
        <w:spacing w:after="0"/>
        <w:rPr>
          <w:rFonts w:eastAsia="Segoe UI"/>
          <w:b/>
          <w:color w:val="000000"/>
        </w:rPr>
      </w:pPr>
      <w:r w:rsidRPr="00BE0612">
        <w:rPr>
          <w:rFonts w:eastAsia="Segoe UI"/>
          <w:b/>
          <w:color w:val="000000"/>
        </w:rPr>
        <w:t>If applicable, advise whether delivery of the proposed health technology can be delegated to another health professional:</w:t>
      </w:r>
    </w:p>
    <w:p w14:paraId="2E134160" w14:textId="77777777" w:rsidR="00721E60" w:rsidRDefault="00721E60" w:rsidP="00721E60">
      <w:pPr>
        <w:spacing w:after="0"/>
        <w:rPr>
          <w:rFonts w:eastAsia="Segoe UI"/>
          <w:bCs/>
          <w:color w:val="000000"/>
        </w:rPr>
      </w:pPr>
      <w:r>
        <w:rPr>
          <w:rFonts w:eastAsia="Segoe UI"/>
          <w:bCs/>
          <w:color w:val="000000"/>
        </w:rPr>
        <w:t>N/A</w:t>
      </w:r>
    </w:p>
    <w:p w14:paraId="33BFD8AB" w14:textId="77777777" w:rsidR="00721E60" w:rsidRDefault="00721E60" w:rsidP="00721E60">
      <w:pPr>
        <w:spacing w:after="0"/>
        <w:rPr>
          <w:rFonts w:eastAsia="Segoe UI"/>
          <w:bCs/>
          <w:color w:val="000000"/>
        </w:rPr>
      </w:pPr>
    </w:p>
    <w:p w14:paraId="15E1CE17" w14:textId="510E4F16" w:rsidR="00721E60" w:rsidRPr="004302F1" w:rsidRDefault="00721E60" w:rsidP="00721E60">
      <w:pPr>
        <w:spacing w:after="0"/>
        <w:rPr>
          <w:rFonts w:eastAsia="Segoe UI"/>
          <w:b/>
          <w:color w:val="000000"/>
        </w:rPr>
      </w:pPr>
      <w:r w:rsidRPr="00BE0612">
        <w:rPr>
          <w:rFonts w:eastAsia="Segoe UI"/>
          <w:b/>
          <w:color w:val="000000"/>
        </w:rPr>
        <w:t>If applicable, advise if there are any limitations on which health professionals might provide a referral for the proposed health technology:</w:t>
      </w:r>
    </w:p>
    <w:p w14:paraId="12AC1157" w14:textId="77777777" w:rsidR="00721E60" w:rsidRDefault="00721E60" w:rsidP="00721E60">
      <w:pPr>
        <w:spacing w:after="0"/>
        <w:rPr>
          <w:rFonts w:eastAsia="Segoe UI"/>
          <w:bCs/>
          <w:color w:val="000000"/>
        </w:rPr>
      </w:pPr>
      <w:r w:rsidRPr="00C21C38">
        <w:rPr>
          <w:rFonts w:eastAsia="Segoe UI"/>
          <w:bCs/>
          <w:color w:val="000000"/>
        </w:rPr>
        <w:t>A registered anatomical pathologist is responsible for conducting the detection, diagnosis and reporting of the pathology results which guide and determine treatment. A specialist (e.g.</w:t>
      </w:r>
      <w:r>
        <w:rPr>
          <w:rFonts w:eastAsia="Segoe UI"/>
          <w:bCs/>
          <w:color w:val="000000"/>
        </w:rPr>
        <w:t>,</w:t>
      </w:r>
      <w:r w:rsidRPr="00C21C38">
        <w:rPr>
          <w:rFonts w:eastAsia="Segoe UI"/>
          <w:bCs/>
          <w:color w:val="000000"/>
        </w:rPr>
        <w:t xml:space="preserve"> medical oncologist, </w:t>
      </w:r>
      <w:r>
        <w:rPr>
          <w:rFonts w:eastAsia="Segoe UI"/>
          <w:bCs/>
          <w:color w:val="000000"/>
        </w:rPr>
        <w:t>breast</w:t>
      </w:r>
      <w:r w:rsidRPr="00C21C38">
        <w:rPr>
          <w:rFonts w:eastAsia="Segoe UI"/>
          <w:bCs/>
          <w:color w:val="000000"/>
        </w:rPr>
        <w:t xml:space="preserve"> surgeon, interventional radiologist) provides the specimen and a test request form for </w:t>
      </w:r>
      <w:r>
        <w:rPr>
          <w:rFonts w:eastAsia="Segoe UI"/>
          <w:bCs/>
          <w:color w:val="000000"/>
        </w:rPr>
        <w:t>testing</w:t>
      </w:r>
      <w:r w:rsidRPr="00C21C38">
        <w:rPr>
          <w:rFonts w:eastAsia="Segoe UI"/>
          <w:bCs/>
          <w:color w:val="000000"/>
        </w:rPr>
        <w:t>.</w:t>
      </w:r>
    </w:p>
    <w:p w14:paraId="6E21E6EF" w14:textId="77777777" w:rsidR="00721E60" w:rsidRDefault="00721E60" w:rsidP="00721E60">
      <w:pPr>
        <w:spacing w:after="0"/>
        <w:rPr>
          <w:rFonts w:eastAsia="Segoe UI"/>
          <w:bCs/>
          <w:color w:val="000000"/>
        </w:rPr>
      </w:pPr>
    </w:p>
    <w:p w14:paraId="25A53EBC" w14:textId="3C1A2FE7" w:rsidR="00721E60" w:rsidRDefault="00721E60" w:rsidP="00721E60">
      <w:pPr>
        <w:pStyle w:val="Heading2"/>
      </w:pPr>
      <w:r>
        <w:t xml:space="preserve">Is there specific training or qualifications required to provide or deliver the proposed service, and/or any accreditation requirements to support delivery of the health technology? </w:t>
      </w:r>
    </w:p>
    <w:p w14:paraId="5C810D7E" w14:textId="602A71ED" w:rsidR="00721E60" w:rsidRPr="00721E60" w:rsidRDefault="00721E60" w:rsidP="00721E60">
      <w:pPr>
        <w:rPr>
          <w:rFonts w:eastAsia="Segoe UI"/>
          <w:color w:val="000000"/>
        </w:rPr>
      </w:pPr>
      <w:r w:rsidRPr="00721E60">
        <w:rPr>
          <w:rFonts w:eastAsia="Segoe UI"/>
        </w:rPr>
        <w:t>Yes</w:t>
      </w:r>
    </w:p>
    <w:p w14:paraId="5DEF8758" w14:textId="77777777" w:rsidR="00721E60" w:rsidRDefault="00721E60" w:rsidP="00721E60">
      <w:pPr>
        <w:spacing w:after="0"/>
        <w:rPr>
          <w:rFonts w:eastAsia="Segoe UI"/>
          <w:b/>
          <w:color w:val="000000"/>
        </w:rPr>
      </w:pPr>
      <w:r>
        <w:rPr>
          <w:rFonts w:eastAsia="Segoe UI"/>
          <w:b/>
          <w:color w:val="000000"/>
        </w:rPr>
        <w:lastRenderedPageBreak/>
        <w:t>Provide details and explain:</w:t>
      </w:r>
    </w:p>
    <w:p w14:paraId="49281C60" w14:textId="77777777" w:rsidR="00721E60" w:rsidRDefault="00721E60" w:rsidP="00721E60">
      <w:pPr>
        <w:spacing w:after="0"/>
        <w:rPr>
          <w:rFonts w:eastAsia="Segoe UI"/>
          <w:color w:val="000000" w:themeColor="text1"/>
        </w:rPr>
      </w:pPr>
      <w:r w:rsidRPr="1D370C85">
        <w:rPr>
          <w:rFonts w:eastAsia="Segoe UI"/>
          <w:color w:val="000000" w:themeColor="text1"/>
        </w:rPr>
        <w:t xml:space="preserve">Training and qualifications for laboratory personnel performing the AKT-pathway altered (PIK3CA, AKT1 or PTEN) tumour NGS test would be the same as those required for laboratory personnel currently performing other cancer biomarker testing. Pathology laboratories performing NGS </w:t>
      </w:r>
    </w:p>
    <w:p w14:paraId="22D56DD0" w14:textId="77777777" w:rsidR="00721E60" w:rsidRDefault="00721E60" w:rsidP="00721E60">
      <w:pPr>
        <w:spacing w:after="0"/>
        <w:rPr>
          <w:rFonts w:eastAsia="Segoe UI"/>
          <w:color w:val="000000"/>
        </w:rPr>
      </w:pPr>
      <w:r w:rsidRPr="1D370C85">
        <w:rPr>
          <w:rFonts w:eastAsia="Segoe UI"/>
          <w:color w:val="000000" w:themeColor="text1"/>
        </w:rPr>
        <w:t>testing would need to be NATA-accredited, and as per other cancer biomarker tests, competence in AKT-pathway altered (PIK3CA, AKT1 or PTEN) tumour NGS testing would be monitored via a Quality Assurance Program (QAP) by the Royal College of Pathologists of Australia (RCPA).</w:t>
      </w:r>
    </w:p>
    <w:p w14:paraId="70E27D5B" w14:textId="77777777" w:rsidR="00721E60" w:rsidRDefault="00721E60" w:rsidP="00721E60">
      <w:pPr>
        <w:spacing w:after="0"/>
        <w:rPr>
          <w:rFonts w:eastAsia="Segoe UI"/>
          <w:bCs/>
          <w:color w:val="000000"/>
        </w:rPr>
      </w:pPr>
    </w:p>
    <w:p w14:paraId="3BF00020" w14:textId="57617BDF" w:rsidR="00721E60" w:rsidRDefault="00721E60" w:rsidP="00721E60">
      <w:pPr>
        <w:spacing w:after="0"/>
        <w:rPr>
          <w:rFonts w:eastAsia="Segoe UI"/>
          <w:b/>
          <w:color w:val="000000"/>
        </w:rPr>
      </w:pPr>
      <w:r>
        <w:rPr>
          <w:rFonts w:eastAsia="Segoe UI"/>
          <w:b/>
          <w:color w:val="000000"/>
        </w:rPr>
        <w:t xml:space="preserve">Indicate the proposed setting(s) in which the proposed health technology will be delivered: </w:t>
      </w:r>
    </w:p>
    <w:p w14:paraId="01418D0B" w14:textId="77777777" w:rsidR="00721E60" w:rsidRDefault="00721E60" w:rsidP="00721E60">
      <w:pPr>
        <w:spacing w:after="0"/>
        <w:rPr>
          <w:rFonts w:eastAsia="Segoe UI"/>
          <w:b/>
          <w:color w:val="000000"/>
        </w:rPr>
      </w:pPr>
    </w:p>
    <w:p w14:paraId="4ACC8210"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Consulting rooms </w:t>
      </w:r>
    </w:p>
    <w:p w14:paraId="22A679F4"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Day surgery centre</w:t>
      </w:r>
    </w:p>
    <w:p w14:paraId="67A15849"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Emergency Department </w:t>
      </w:r>
    </w:p>
    <w:p w14:paraId="33C4CFC6"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Inpatient private hospital</w:t>
      </w:r>
    </w:p>
    <w:p w14:paraId="20639DF2"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Inpatient public hospital </w:t>
      </w:r>
    </w:p>
    <w:p w14:paraId="28AF1D8A"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1"/>
            </w:checkBox>
          </w:ffData>
        </w:fldChar>
      </w:r>
      <w:bookmarkStart w:id="2" w:name="Check2"/>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bookmarkEnd w:id="2"/>
      <w:r w:rsidRPr="004302F1">
        <w:rPr>
          <w:rFonts w:ascii="Segoe UI" w:hAnsi="Segoe UI" w:cs="Segoe UI"/>
          <w:sz w:val="21"/>
          <w:szCs w:val="21"/>
        </w:rPr>
        <w:t xml:space="preserve"> Laboratory</w:t>
      </w:r>
    </w:p>
    <w:p w14:paraId="610CFBB1"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Outpatient clinic </w:t>
      </w:r>
    </w:p>
    <w:p w14:paraId="4A2096DB"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Patient’s home</w:t>
      </w:r>
    </w:p>
    <w:p w14:paraId="5F483C6E"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Point of care testing </w:t>
      </w:r>
    </w:p>
    <w:p w14:paraId="71431EE0"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Residential aged care facility</w:t>
      </w:r>
    </w:p>
    <w:p w14:paraId="37046C30"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Other (please specify) </w:t>
      </w:r>
    </w:p>
    <w:p w14:paraId="5EA1FC8F" w14:textId="77777777" w:rsidR="00721E60" w:rsidRPr="00BE6B22" w:rsidRDefault="00721E60" w:rsidP="00721E60">
      <w:pPr>
        <w:spacing w:after="0"/>
        <w:rPr>
          <w:rFonts w:asciiTheme="minorHAnsi" w:eastAsia="Segoe UI" w:hAnsiTheme="minorHAnsi" w:cstheme="minorHAnsi"/>
          <w:color w:val="000000"/>
        </w:rPr>
      </w:pPr>
    </w:p>
    <w:p w14:paraId="0762EAB8" w14:textId="33F0A6E6" w:rsidR="00721E60" w:rsidRDefault="00721E60" w:rsidP="00721E60">
      <w:pPr>
        <w:pStyle w:val="Heading2"/>
      </w:pPr>
      <w:r>
        <w:t xml:space="preserve">Is the proposed health technology intended to be entirely rendered inside Australia? </w:t>
      </w:r>
    </w:p>
    <w:p w14:paraId="5EA98B04" w14:textId="6E81A5DB" w:rsidR="00721E60" w:rsidRPr="00721E60" w:rsidRDefault="00721E60" w:rsidP="00721E60">
      <w:pPr>
        <w:rPr>
          <w:rFonts w:eastAsia="Segoe UI"/>
        </w:rPr>
      </w:pPr>
      <w:r w:rsidRPr="00721E60">
        <w:rPr>
          <w:rFonts w:eastAsia="Segoe UI"/>
        </w:rPr>
        <w:t>Yes</w:t>
      </w:r>
    </w:p>
    <w:p w14:paraId="25BDCB66" w14:textId="7EC4C2D5" w:rsidR="00721E60" w:rsidRPr="00721E60" w:rsidRDefault="00721E60" w:rsidP="00721E60">
      <w:pPr>
        <w:spacing w:after="0"/>
        <w:rPr>
          <w:rFonts w:eastAsia="Segoe UI"/>
          <w:b/>
          <w:color w:val="000000"/>
        </w:rPr>
      </w:pPr>
      <w:r>
        <w:rPr>
          <w:rFonts w:eastAsia="Segoe UI"/>
          <w:b/>
          <w:color w:val="000000"/>
        </w:rPr>
        <w:t>Please provide additional details on the proposed health technology to be rendered outside of Australia:</w:t>
      </w:r>
    </w:p>
    <w:p w14:paraId="7D30C245" w14:textId="77777777" w:rsidR="00721E60" w:rsidRDefault="00721E60" w:rsidP="00721E60">
      <w:pPr>
        <w:spacing w:after="0"/>
        <w:rPr>
          <w:rFonts w:eastAsia="Segoe UI"/>
          <w:bCs/>
          <w:color w:val="000000"/>
        </w:rPr>
      </w:pPr>
      <w:r>
        <w:rPr>
          <w:rFonts w:eastAsia="Segoe UI"/>
          <w:bCs/>
          <w:color w:val="000000"/>
        </w:rPr>
        <w:t>N/A</w:t>
      </w:r>
    </w:p>
    <w:p w14:paraId="5299D670" w14:textId="77777777" w:rsidR="00721E60" w:rsidRDefault="00721E60" w:rsidP="00721E60">
      <w:pPr>
        <w:spacing w:after="0"/>
        <w:rPr>
          <w:rFonts w:eastAsia="Segoe UI"/>
          <w:bCs/>
          <w:color w:val="000000"/>
        </w:rPr>
      </w:pPr>
    </w:p>
    <w:p w14:paraId="72C46CD0" w14:textId="77777777" w:rsidR="00721E60" w:rsidRDefault="00721E60" w:rsidP="00721E60">
      <w:pPr>
        <w:rPr>
          <w:rFonts w:eastAsia="Segoe UI"/>
          <w:b/>
          <w:color w:val="000000"/>
          <w:sz w:val="32"/>
        </w:rPr>
      </w:pPr>
      <w:r>
        <w:rPr>
          <w:rFonts w:eastAsia="Segoe UI"/>
          <w:b/>
          <w:color w:val="000000"/>
          <w:sz w:val="32"/>
        </w:rPr>
        <w:t>Comparator</w:t>
      </w:r>
    </w:p>
    <w:p w14:paraId="3A1CD817" w14:textId="5D736462" w:rsidR="00721E60" w:rsidRPr="00721E60" w:rsidRDefault="00721E60" w:rsidP="00721E60">
      <w:pPr>
        <w:spacing w:after="0"/>
        <w:rPr>
          <w:b/>
          <w:bCs/>
        </w:rPr>
      </w:pPr>
      <w:r w:rsidRPr="00FE257E">
        <w:rPr>
          <w:b/>
          <w:bCs/>
        </w:rPr>
        <w:t>Nominate the appropriate comparator(s) for the proposed medical service (</w:t>
      </w:r>
      <w:proofErr w:type="gramStart"/>
      <w:r w:rsidRPr="00FE257E">
        <w:rPr>
          <w:b/>
          <w:bCs/>
        </w:rPr>
        <w:t>i.e.</w:t>
      </w:r>
      <w:proofErr w:type="gramEnd"/>
      <w:r w:rsidRPr="00FE257E">
        <w:rPr>
          <w:b/>
          <w:bCs/>
        </w:rPr>
        <w:t xml:space="preserve"> how is the proposed population currently managed in the absence of the proposed medical service being available in the </w:t>
      </w:r>
      <w:r w:rsidRPr="00FE257E">
        <w:rPr>
          <w:b/>
          <w:bCs/>
          <w:u w:val="single"/>
        </w:rPr>
        <w:t>Australian health care system)</w:t>
      </w:r>
      <w:r w:rsidRPr="00FE257E">
        <w:rPr>
          <w:b/>
          <w:bCs/>
        </w:rPr>
        <w:t>. This includes identifying health care resources that are needed to be delivered at the same time as the comparator service</w:t>
      </w:r>
      <w:r>
        <w:rPr>
          <w:b/>
          <w:bCs/>
        </w:rPr>
        <w:t>:</w:t>
      </w:r>
    </w:p>
    <w:p w14:paraId="6D771A14" w14:textId="4FB0B562" w:rsidR="00721E60" w:rsidRPr="00721E60" w:rsidRDefault="00721E60" w:rsidP="00721E60">
      <w:pPr>
        <w:rPr>
          <w:rFonts w:eastAsia="Segoe UI"/>
          <w:color w:val="000000"/>
        </w:rPr>
      </w:pPr>
      <w:r w:rsidRPr="2D592D98">
        <w:rPr>
          <w:rFonts w:eastAsia="Segoe UI"/>
        </w:rPr>
        <w:t xml:space="preserve">The nominated comparator is no </w:t>
      </w:r>
      <w:r w:rsidRPr="46A0E538">
        <w:rPr>
          <w:rFonts w:eastAsia="Segoe UI"/>
        </w:rPr>
        <w:t>test.</w:t>
      </w:r>
    </w:p>
    <w:p w14:paraId="0D305D17" w14:textId="77777777" w:rsidR="00721E60" w:rsidRDefault="00721E60" w:rsidP="00721E60">
      <w:pPr>
        <w:pStyle w:val="Heading2"/>
      </w:pPr>
      <w:r>
        <w:t xml:space="preserve">List any existing MBS item numbers that are relevant for the nominated comparators: </w:t>
      </w:r>
    </w:p>
    <w:p w14:paraId="136FFD85" w14:textId="77777777" w:rsidR="00721E60" w:rsidRDefault="00721E60" w:rsidP="00721E60">
      <w:pPr>
        <w:spacing w:after="0"/>
      </w:pPr>
      <w:r>
        <w:t>N/A</w:t>
      </w:r>
    </w:p>
    <w:p w14:paraId="4A5D99B4" w14:textId="77777777" w:rsidR="00721E60" w:rsidRDefault="00721E60" w:rsidP="00721E60">
      <w:pPr>
        <w:spacing w:after="0"/>
      </w:pPr>
    </w:p>
    <w:p w14:paraId="03DE65B0" w14:textId="77777777" w:rsidR="00721E60" w:rsidRDefault="00721E60" w:rsidP="00721E60">
      <w:pPr>
        <w:spacing w:after="0"/>
        <w:rPr>
          <w:rFonts w:eastAsia="Segoe UI"/>
          <w:b/>
          <w:color w:val="000000"/>
        </w:rPr>
      </w:pPr>
      <w:r>
        <w:rPr>
          <w:rFonts w:eastAsia="Segoe UI"/>
          <w:b/>
          <w:color w:val="000000"/>
        </w:rPr>
        <w:t>Please provide a rationale for why this is a comparator:</w:t>
      </w:r>
    </w:p>
    <w:p w14:paraId="05EFB582" w14:textId="77777777" w:rsidR="00721E60" w:rsidRDefault="00721E60" w:rsidP="00721E60">
      <w:pPr>
        <w:spacing w:after="0"/>
        <w:rPr>
          <w:rFonts w:eastAsia="Segoe UI"/>
          <w:color w:val="000000"/>
        </w:rPr>
      </w:pPr>
      <w:r w:rsidRPr="618952DB">
        <w:rPr>
          <w:rFonts w:eastAsia="Segoe UI"/>
          <w:color w:val="000000" w:themeColor="text1"/>
        </w:rPr>
        <w:t xml:space="preserve">Currently for patients with AKT-pathway altered (PIK3CA, AKT1, PTEN) tumour and HR-positive, HER2-negative advanced breast cancer, treatments are not targeted so typically involve alternative therapeutic agents that a patient has not been exposed to. </w:t>
      </w:r>
    </w:p>
    <w:p w14:paraId="5812E1EA" w14:textId="77777777" w:rsidR="00721E60" w:rsidRDefault="00721E60" w:rsidP="00721E60">
      <w:pPr>
        <w:spacing w:after="0"/>
        <w:rPr>
          <w:rFonts w:eastAsia="Segoe UI"/>
          <w:bCs/>
          <w:color w:val="000000"/>
        </w:rPr>
      </w:pPr>
    </w:p>
    <w:p w14:paraId="6771B5DB" w14:textId="77777777" w:rsidR="00721E60" w:rsidRDefault="00721E60" w:rsidP="00721E60">
      <w:pPr>
        <w:spacing w:after="0"/>
        <w:rPr>
          <w:rFonts w:eastAsia="Segoe UI"/>
          <w:color w:val="000000"/>
        </w:rPr>
      </w:pPr>
      <w:r w:rsidRPr="618952DB">
        <w:rPr>
          <w:rFonts w:eastAsia="Segoe UI"/>
          <w:color w:val="000000" w:themeColor="text1"/>
        </w:rPr>
        <w:t xml:space="preserve">For 1L treatment of HR+ recurrent unresectable breast cancer or </w:t>
      </w:r>
      <w:proofErr w:type="spellStart"/>
      <w:r w:rsidRPr="618952DB">
        <w:rPr>
          <w:rFonts w:eastAsia="Segoe UI"/>
          <w:color w:val="000000" w:themeColor="text1"/>
        </w:rPr>
        <w:t>mBC</w:t>
      </w:r>
      <w:proofErr w:type="spellEnd"/>
      <w:r w:rsidRPr="618952DB">
        <w:rPr>
          <w:rFonts w:eastAsia="Segoe UI"/>
          <w:color w:val="000000" w:themeColor="text1"/>
        </w:rPr>
        <w:t xml:space="preserve">, the ESMO Guidelines recommend combination therapy of endocrine therapy with a CDK4/6 inhibitor (plus ovarian suppression for premenopausal or perimenopausal patients). If imminent organ failure, chemotherapy is recommended as 1L treatment. For 2L+ treatment of HR+ recurrent unresectable breast cancer or </w:t>
      </w:r>
      <w:proofErr w:type="spellStart"/>
      <w:r w:rsidRPr="618952DB">
        <w:rPr>
          <w:rFonts w:eastAsia="Segoe UI"/>
          <w:color w:val="000000" w:themeColor="text1"/>
        </w:rPr>
        <w:t>mBC</w:t>
      </w:r>
      <w:proofErr w:type="spellEnd"/>
      <w:r w:rsidRPr="618952DB">
        <w:rPr>
          <w:rFonts w:eastAsia="Segoe UI"/>
          <w:color w:val="000000" w:themeColor="text1"/>
        </w:rPr>
        <w:t xml:space="preserve">, the ESMO Guidelines recommend endocrine therapy with or </w:t>
      </w:r>
      <w:r w:rsidRPr="618952DB">
        <w:rPr>
          <w:rFonts w:eastAsia="Segoe UI"/>
          <w:color w:val="000000" w:themeColor="text1"/>
        </w:rPr>
        <w:lastRenderedPageBreak/>
        <w:t xml:space="preserve">without a CDK4/6 inhibitor, PI3K inhibitor, or mTOR inhibitor; a PARP inhibitor, if BRCA/PALB2 mutations are present; and, if there is imminent organ failure or short PFS on endocrine-based therapy, </w:t>
      </w:r>
      <w:proofErr w:type="spellStart"/>
      <w:r w:rsidRPr="618952DB">
        <w:rPr>
          <w:rFonts w:eastAsia="Segoe UI"/>
          <w:color w:val="000000" w:themeColor="text1"/>
        </w:rPr>
        <w:t>sacituzumab</w:t>
      </w:r>
      <w:proofErr w:type="spellEnd"/>
      <w:r w:rsidRPr="618952DB">
        <w:rPr>
          <w:rFonts w:eastAsia="Segoe UI"/>
          <w:color w:val="000000" w:themeColor="text1"/>
        </w:rPr>
        <w:t xml:space="preserve"> </w:t>
      </w:r>
      <w:proofErr w:type="spellStart"/>
      <w:r w:rsidRPr="618952DB">
        <w:rPr>
          <w:rFonts w:eastAsia="Segoe UI"/>
          <w:color w:val="000000" w:themeColor="text1"/>
        </w:rPr>
        <w:t>govitecan</w:t>
      </w:r>
      <w:proofErr w:type="spellEnd"/>
      <w:r w:rsidRPr="618952DB">
        <w:rPr>
          <w:rFonts w:eastAsia="Segoe UI"/>
          <w:color w:val="000000" w:themeColor="text1"/>
        </w:rPr>
        <w:t xml:space="preserve"> if HER2-negative or </w:t>
      </w:r>
      <w:r>
        <w:rPr>
          <w:rFonts w:eastAsia="Segoe UI"/>
          <w:color w:val="000000" w:themeColor="text1"/>
        </w:rPr>
        <w:t>t</w:t>
      </w:r>
      <w:r w:rsidRPr="00F45897">
        <w:rPr>
          <w:rFonts w:eastAsia="Segoe UI"/>
          <w:color w:val="000000" w:themeColor="text1"/>
        </w:rPr>
        <w:t xml:space="preserve">rastuzumab </w:t>
      </w:r>
      <w:proofErr w:type="spellStart"/>
      <w:r w:rsidRPr="00F45897">
        <w:rPr>
          <w:rFonts w:eastAsia="Segoe UI"/>
          <w:color w:val="000000" w:themeColor="text1"/>
        </w:rPr>
        <w:t>deruxtecan</w:t>
      </w:r>
      <w:proofErr w:type="spellEnd"/>
      <w:r w:rsidRPr="00F45897">
        <w:rPr>
          <w:rFonts w:eastAsia="Segoe UI"/>
          <w:color w:val="000000" w:themeColor="text1"/>
        </w:rPr>
        <w:t xml:space="preserve"> </w:t>
      </w:r>
      <w:r w:rsidRPr="618952DB">
        <w:rPr>
          <w:rFonts w:eastAsia="Segoe UI"/>
          <w:color w:val="000000" w:themeColor="text1"/>
        </w:rPr>
        <w:t>if HER2-low (IHC 1+ or IHC 2+/ISH-negative) breast cancer.</w:t>
      </w:r>
    </w:p>
    <w:p w14:paraId="105A8953" w14:textId="77777777" w:rsidR="00721E60" w:rsidRDefault="00721E60" w:rsidP="00721E60">
      <w:pPr>
        <w:spacing w:after="0"/>
        <w:rPr>
          <w:rFonts w:eastAsia="Segoe UI"/>
          <w:bCs/>
          <w:color w:val="000000"/>
        </w:rPr>
      </w:pPr>
    </w:p>
    <w:p w14:paraId="7C52E4CE" w14:textId="49701071" w:rsidR="00721E60" w:rsidRDefault="00721E60" w:rsidP="00721E60">
      <w:pPr>
        <w:spacing w:after="0"/>
        <w:rPr>
          <w:rFonts w:eastAsia="Segoe UI"/>
          <w:b/>
          <w:color w:val="000000"/>
        </w:rPr>
      </w:pPr>
      <w:r>
        <w:rPr>
          <w:rFonts w:eastAsia="Segoe UI"/>
          <w:b/>
          <w:color w:val="000000"/>
        </w:rPr>
        <w:t xml:space="preserve">Pattern of substitution – Will the proposed health technology wholly replace the proposed comparator, partially replace the proposed comparator, displace the proposed </w:t>
      </w:r>
      <w:proofErr w:type="gramStart"/>
      <w:r>
        <w:rPr>
          <w:rFonts w:eastAsia="Segoe UI"/>
          <w:b/>
          <w:color w:val="000000"/>
        </w:rPr>
        <w:t>comparator</w:t>
      </w:r>
      <w:proofErr w:type="gramEnd"/>
      <w:r>
        <w:rPr>
          <w:rFonts w:eastAsia="Segoe UI"/>
          <w:b/>
          <w:color w:val="000000"/>
        </w:rPr>
        <w:t xml:space="preserve"> or be used in combination with the proposed comparator? </w:t>
      </w:r>
    </w:p>
    <w:p w14:paraId="1320A0C2" w14:textId="77777777" w:rsidR="00721E60" w:rsidRDefault="00721E60" w:rsidP="00721E60">
      <w:pPr>
        <w:spacing w:after="0"/>
        <w:rPr>
          <w:rFonts w:eastAsia="Segoe UI"/>
          <w:b/>
          <w:color w:val="000000"/>
        </w:rPr>
      </w:pPr>
    </w:p>
    <w:p w14:paraId="65C3F7EF" w14:textId="77777777" w:rsidR="00721E60" w:rsidRPr="004302F1" w:rsidRDefault="00721E60" w:rsidP="00721E60">
      <w:pPr>
        <w:pStyle w:val="Tickboxes"/>
        <w:tabs>
          <w:tab w:val="left" w:pos="142"/>
        </w:tabs>
        <w:ind w:left="284" w:hanging="284"/>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1"/>
            </w:checkBox>
          </w:ffData>
        </w:fldChar>
      </w:r>
      <w:bookmarkStart w:id="3" w:name="Check1"/>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bookmarkEnd w:id="3"/>
      <w:r w:rsidRPr="004302F1">
        <w:rPr>
          <w:rFonts w:ascii="Segoe UI" w:hAnsi="Segoe UI" w:cs="Segoe UI"/>
          <w:sz w:val="21"/>
          <w:szCs w:val="21"/>
        </w:rPr>
        <w:t xml:space="preserve"> None – used with the comparator </w:t>
      </w:r>
    </w:p>
    <w:p w14:paraId="2A0B7447" w14:textId="77777777" w:rsidR="00721E60" w:rsidRPr="004302F1" w:rsidRDefault="00721E60" w:rsidP="00721E60">
      <w:pPr>
        <w:pStyle w:val="Tickboxes"/>
        <w:tabs>
          <w:tab w:val="left" w:pos="142"/>
        </w:tabs>
        <w:ind w:left="284" w:hanging="284"/>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Displaced – comparator will likely be used following the proposed technology in some patients</w:t>
      </w:r>
    </w:p>
    <w:p w14:paraId="14788337" w14:textId="4998098F" w:rsidR="00721E60" w:rsidRPr="004302F1" w:rsidRDefault="00721E60" w:rsidP="00721E60">
      <w:pPr>
        <w:pStyle w:val="Tickboxes"/>
        <w:tabs>
          <w:tab w:val="left" w:pos="142"/>
        </w:tabs>
        <w:ind w:left="284" w:hanging="284"/>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Partial – in some cases, the proposed technology will replace the use of the comparator, but not all </w:t>
      </w:r>
    </w:p>
    <w:p w14:paraId="6E4E8A07" w14:textId="77777777" w:rsidR="00721E60" w:rsidRPr="004302F1" w:rsidRDefault="00721E60" w:rsidP="00721E60">
      <w:pPr>
        <w:pStyle w:val="Tickboxes"/>
        <w:tabs>
          <w:tab w:val="left" w:pos="142"/>
        </w:tabs>
        <w:ind w:left="284" w:hanging="284"/>
        <w:rPr>
          <w:rFonts w:ascii="Segoe UI" w:hAnsi="Segoe UI" w:cs="Segoe UI"/>
          <w:b/>
          <w:bCs w:val="0"/>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Full – subjects who receive the proposed intervention will not receive the comparator</w:t>
      </w:r>
    </w:p>
    <w:p w14:paraId="56121F75" w14:textId="77777777" w:rsidR="00721E60" w:rsidRDefault="00721E60" w:rsidP="00721E60">
      <w:pPr>
        <w:spacing w:after="0"/>
        <w:rPr>
          <w:rFonts w:eastAsia="Segoe UI"/>
          <w:b/>
          <w:color w:val="000000"/>
        </w:rPr>
      </w:pPr>
    </w:p>
    <w:p w14:paraId="1205C204" w14:textId="5828201F" w:rsidR="00721E60" w:rsidRPr="00721E60" w:rsidRDefault="00721E60" w:rsidP="00721E60">
      <w:pPr>
        <w:spacing w:after="0"/>
        <w:rPr>
          <w:rFonts w:eastAsia="Segoe UI"/>
          <w:b/>
          <w:color w:val="000000"/>
        </w:rPr>
      </w:pPr>
      <w:r>
        <w:rPr>
          <w:rFonts w:eastAsia="Segoe UI"/>
          <w:b/>
          <w:color w:val="000000"/>
        </w:rPr>
        <w:t>Please outline and explain the extent to which the current comparator is expected to be substituted:</w:t>
      </w:r>
    </w:p>
    <w:p w14:paraId="01F0DDDC" w14:textId="77777777" w:rsidR="00721E60" w:rsidRDefault="00721E60" w:rsidP="00721E60">
      <w:pPr>
        <w:spacing w:after="0"/>
        <w:rPr>
          <w:rFonts w:eastAsia="Segoe UI"/>
          <w:bCs/>
          <w:color w:val="000000"/>
        </w:rPr>
      </w:pPr>
      <w:r>
        <w:rPr>
          <w:rFonts w:eastAsia="Segoe UI"/>
          <w:bCs/>
          <w:color w:val="000000"/>
        </w:rPr>
        <w:t>There is no comparator</w:t>
      </w:r>
    </w:p>
    <w:p w14:paraId="107C0290" w14:textId="77777777" w:rsidR="00721E60" w:rsidRDefault="00721E60" w:rsidP="00721E60">
      <w:pPr>
        <w:spacing w:after="0"/>
        <w:rPr>
          <w:rFonts w:eastAsia="Segoe UI"/>
          <w:bCs/>
          <w:color w:val="000000"/>
        </w:rPr>
      </w:pPr>
    </w:p>
    <w:p w14:paraId="67CBE8A5" w14:textId="166517D6" w:rsidR="00721E60" w:rsidRPr="00721E60" w:rsidRDefault="00721E60" w:rsidP="00721E60">
      <w:pPr>
        <w:rPr>
          <w:rFonts w:eastAsia="Segoe UI"/>
          <w:b/>
          <w:color w:val="000000"/>
          <w:sz w:val="32"/>
        </w:rPr>
      </w:pPr>
      <w:r>
        <w:rPr>
          <w:rFonts w:eastAsia="Segoe UI"/>
          <w:b/>
          <w:color w:val="000000"/>
          <w:sz w:val="32"/>
        </w:rPr>
        <w:t>Outcomes</w:t>
      </w:r>
    </w:p>
    <w:p w14:paraId="14A8EF27" w14:textId="3F5026AA" w:rsidR="00721E60" w:rsidRDefault="00721E60" w:rsidP="00721E60">
      <w:pPr>
        <w:spacing w:after="0"/>
        <w:rPr>
          <w:rFonts w:eastAsia="Segoe UI"/>
          <w:b/>
          <w:color w:val="000000"/>
        </w:rPr>
      </w:pPr>
      <w:r>
        <w:rPr>
          <w:rFonts w:eastAsia="Segoe UI"/>
          <w:b/>
          <w:color w:val="000000"/>
        </w:rPr>
        <w:t>List the key health outcomes (major and minor – prioritising major key health outcomes first) that will need to be measured in assessing the clinical claim for the proposed medical service/technology (versus the comparator):</w:t>
      </w:r>
    </w:p>
    <w:p w14:paraId="2FEB67DC" w14:textId="77777777" w:rsidR="00721E60" w:rsidRDefault="00721E60" w:rsidP="00721E60">
      <w:pPr>
        <w:spacing w:after="0"/>
        <w:rPr>
          <w:rFonts w:eastAsia="Segoe UI"/>
          <w:b/>
          <w:color w:val="000000"/>
        </w:rPr>
      </w:pPr>
    </w:p>
    <w:p w14:paraId="74FC41B4"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
            <w:enabled/>
            <w:calcOnExit w:val="0"/>
            <w:checkBox>
              <w:sizeAuto/>
              <w:default w:val="1"/>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Health benefits </w:t>
      </w:r>
    </w:p>
    <w:p w14:paraId="0C718DFB"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Health harms</w:t>
      </w:r>
    </w:p>
    <w:p w14:paraId="7B6085C2" w14:textId="77777777" w:rsidR="00721E60" w:rsidRPr="004302F1" w:rsidRDefault="00721E60" w:rsidP="00721E60">
      <w:pPr>
        <w:pStyle w:val="Tickboxes"/>
        <w:ind w:left="0"/>
        <w:rPr>
          <w:rFonts w:ascii="Segoe UI" w:hAnsi="Segoe UI" w:cs="Segoe UI"/>
          <w:sz w:val="21"/>
          <w:szCs w:val="21"/>
        </w:rPr>
      </w:pPr>
      <w:r w:rsidRPr="004302F1">
        <w:rPr>
          <w:rFonts w:ascii="Segoe UI" w:hAnsi="Segoe UI" w:cs="Segoe UI"/>
          <w:sz w:val="21"/>
          <w:szCs w:val="21"/>
        </w:rPr>
        <w:fldChar w:fldCharType="begin">
          <w:ffData>
            <w:name w:val="Check1"/>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Resources </w:t>
      </w:r>
    </w:p>
    <w:p w14:paraId="40F870CB" w14:textId="77777777" w:rsidR="00721E60" w:rsidRPr="004302F1" w:rsidRDefault="00721E60" w:rsidP="00721E60">
      <w:pPr>
        <w:pStyle w:val="Tickboxes"/>
        <w:ind w:left="0"/>
        <w:rPr>
          <w:rFonts w:ascii="Segoe UI" w:hAnsi="Segoe UI" w:cs="Segoe UI"/>
          <w:b/>
          <w:bCs w:val="0"/>
          <w:sz w:val="21"/>
          <w:szCs w:val="21"/>
        </w:rPr>
      </w:pPr>
      <w:r w:rsidRPr="004302F1">
        <w:rPr>
          <w:rFonts w:ascii="Segoe UI" w:hAnsi="Segoe UI" w:cs="Segoe UI"/>
          <w:sz w:val="21"/>
          <w:szCs w:val="21"/>
        </w:rPr>
        <w:fldChar w:fldCharType="begin">
          <w:ffData>
            <w:name w:val="Check2"/>
            <w:enabled/>
            <w:calcOnExit w:val="0"/>
            <w:checkBox>
              <w:sizeAuto/>
              <w:default w:val="0"/>
            </w:checkBox>
          </w:ffData>
        </w:fldChar>
      </w:r>
      <w:r w:rsidRPr="004302F1">
        <w:rPr>
          <w:rFonts w:ascii="Segoe UI" w:hAnsi="Segoe UI" w:cs="Segoe UI"/>
          <w:sz w:val="21"/>
          <w:szCs w:val="21"/>
        </w:rPr>
        <w:instrText xml:space="preserve"> FORMCHECKBOX </w:instrText>
      </w:r>
      <w:r w:rsidR="004302F1" w:rsidRPr="004302F1">
        <w:rPr>
          <w:rFonts w:ascii="Segoe UI" w:hAnsi="Segoe UI" w:cs="Segoe UI"/>
          <w:sz w:val="21"/>
          <w:szCs w:val="21"/>
        </w:rPr>
      </w:r>
      <w:r w:rsidR="004302F1" w:rsidRPr="004302F1">
        <w:rPr>
          <w:rFonts w:ascii="Segoe UI" w:hAnsi="Segoe UI" w:cs="Segoe UI"/>
          <w:sz w:val="21"/>
          <w:szCs w:val="21"/>
        </w:rPr>
        <w:fldChar w:fldCharType="separate"/>
      </w:r>
      <w:r w:rsidRPr="004302F1">
        <w:rPr>
          <w:rFonts w:ascii="Segoe UI" w:hAnsi="Segoe UI" w:cs="Segoe UI"/>
          <w:sz w:val="21"/>
          <w:szCs w:val="21"/>
        </w:rPr>
        <w:fldChar w:fldCharType="end"/>
      </w:r>
      <w:r w:rsidRPr="004302F1">
        <w:rPr>
          <w:rFonts w:ascii="Segoe UI" w:hAnsi="Segoe UI" w:cs="Segoe UI"/>
          <w:sz w:val="21"/>
          <w:szCs w:val="21"/>
        </w:rPr>
        <w:t xml:space="preserve"> Value of knowing</w:t>
      </w:r>
    </w:p>
    <w:p w14:paraId="616C6919" w14:textId="77777777" w:rsidR="00721E60" w:rsidRDefault="00721E60" w:rsidP="00721E60">
      <w:pPr>
        <w:spacing w:after="0"/>
        <w:rPr>
          <w:rFonts w:eastAsia="Segoe UI"/>
          <w:b/>
          <w:color w:val="000000"/>
        </w:rPr>
      </w:pPr>
    </w:p>
    <w:p w14:paraId="46848BBB" w14:textId="00E80AE6" w:rsidR="00721E60" w:rsidRPr="00721E60" w:rsidRDefault="00721E60" w:rsidP="00721E60">
      <w:pPr>
        <w:spacing w:after="0"/>
        <w:rPr>
          <w:rFonts w:eastAsia="Segoe UI"/>
          <w:b/>
          <w:color w:val="000000"/>
        </w:rPr>
      </w:pPr>
      <w:r>
        <w:rPr>
          <w:rFonts w:eastAsia="Segoe UI"/>
          <w:b/>
          <w:color w:val="000000"/>
        </w:rPr>
        <w:t xml:space="preserve">Outcome description – please include information about whether a change in patient management, or prognosis, occurs </w:t>
      </w:r>
      <w:proofErr w:type="gramStart"/>
      <w:r>
        <w:rPr>
          <w:rFonts w:eastAsia="Segoe UI"/>
          <w:b/>
          <w:color w:val="000000"/>
        </w:rPr>
        <w:t>as a result of</w:t>
      </w:r>
      <w:proofErr w:type="gramEnd"/>
      <w:r>
        <w:rPr>
          <w:rFonts w:eastAsia="Segoe UI"/>
          <w:b/>
          <w:color w:val="000000"/>
        </w:rPr>
        <w:t xml:space="preserve"> the test information:</w:t>
      </w:r>
    </w:p>
    <w:p w14:paraId="4C87B8CF" w14:textId="77777777" w:rsidR="004302F1" w:rsidRDefault="00721E60" w:rsidP="004302F1">
      <w:pPr>
        <w:spacing w:after="0"/>
        <w:rPr>
          <w:rFonts w:eastAsia="Segoe UI"/>
          <w:bCs/>
          <w:color w:val="000000"/>
        </w:rPr>
      </w:pPr>
      <w:r w:rsidRPr="00773BB4">
        <w:rPr>
          <w:rFonts w:eastAsia="Segoe UI"/>
          <w:bCs/>
          <w:color w:val="000000"/>
        </w:rPr>
        <w:t>In the CAPItello-291 trial, the</w:t>
      </w:r>
      <w:r>
        <w:rPr>
          <w:rFonts w:eastAsia="Segoe UI"/>
          <w:bCs/>
          <w:color w:val="000000"/>
        </w:rPr>
        <w:t xml:space="preserve"> </w:t>
      </w:r>
      <w:r w:rsidRPr="00773BB4">
        <w:rPr>
          <w:rFonts w:eastAsia="Segoe UI"/>
          <w:bCs/>
          <w:color w:val="000000"/>
        </w:rPr>
        <w:t xml:space="preserve">addition of </w:t>
      </w:r>
      <w:proofErr w:type="spellStart"/>
      <w:r w:rsidRPr="00773BB4">
        <w:rPr>
          <w:rFonts w:eastAsia="Segoe UI"/>
          <w:bCs/>
          <w:color w:val="000000"/>
        </w:rPr>
        <w:t>capivasertib</w:t>
      </w:r>
      <w:proofErr w:type="spellEnd"/>
      <w:r w:rsidRPr="00773BB4">
        <w:rPr>
          <w:rFonts w:eastAsia="Segoe UI"/>
          <w:bCs/>
          <w:color w:val="000000"/>
        </w:rPr>
        <w:t xml:space="preserve"> to </w:t>
      </w:r>
      <w:proofErr w:type="spellStart"/>
      <w:r w:rsidRPr="00773BB4">
        <w:rPr>
          <w:rFonts w:eastAsia="Segoe UI"/>
          <w:bCs/>
          <w:color w:val="000000"/>
        </w:rPr>
        <w:t>fulvestrant</w:t>
      </w:r>
      <w:proofErr w:type="spellEnd"/>
      <w:r w:rsidRPr="00773BB4">
        <w:rPr>
          <w:rFonts w:eastAsia="Segoe UI"/>
          <w:bCs/>
          <w:color w:val="000000"/>
        </w:rPr>
        <w:t xml:space="preserve"> treatment</w:t>
      </w:r>
      <w:r>
        <w:rPr>
          <w:rFonts w:eastAsia="Segoe UI"/>
          <w:bCs/>
          <w:color w:val="000000"/>
        </w:rPr>
        <w:t xml:space="preserve"> </w:t>
      </w:r>
      <w:r w:rsidRPr="00773BB4">
        <w:rPr>
          <w:rFonts w:eastAsia="Segoe UI"/>
          <w:bCs/>
          <w:color w:val="000000"/>
        </w:rPr>
        <w:t>led to a significant improvement, in progression-free survival</w:t>
      </w:r>
      <w:r>
        <w:rPr>
          <w:rFonts w:eastAsia="Segoe UI"/>
          <w:bCs/>
          <w:color w:val="000000"/>
        </w:rPr>
        <w:t xml:space="preserve"> </w:t>
      </w:r>
      <w:r w:rsidRPr="00773BB4">
        <w:rPr>
          <w:rFonts w:eastAsia="Segoe UI"/>
          <w:bCs/>
          <w:color w:val="000000"/>
        </w:rPr>
        <w:t>among patients with</w:t>
      </w:r>
      <w:r>
        <w:rPr>
          <w:rFonts w:eastAsia="Segoe UI"/>
          <w:bCs/>
          <w:color w:val="000000"/>
        </w:rPr>
        <w:t xml:space="preserve"> AKT-pathway altered </w:t>
      </w:r>
      <w:r w:rsidRPr="0050178A">
        <w:rPr>
          <w:rFonts w:eastAsia="Segoe UI"/>
          <w:bCs/>
          <w:color w:val="000000"/>
        </w:rPr>
        <w:t>(PIK3CA, AKT1, or PTEN)</w:t>
      </w:r>
      <w:r w:rsidRPr="00773BB4">
        <w:rPr>
          <w:rFonts w:eastAsia="Segoe UI"/>
          <w:bCs/>
          <w:color w:val="000000"/>
        </w:rPr>
        <w:t xml:space="preserve"> </w:t>
      </w:r>
      <w:r>
        <w:rPr>
          <w:rFonts w:eastAsia="Segoe UI"/>
          <w:bCs/>
          <w:color w:val="000000"/>
        </w:rPr>
        <w:t xml:space="preserve">tumours and </w:t>
      </w:r>
      <w:r w:rsidRPr="00773BB4">
        <w:rPr>
          <w:rFonts w:eastAsia="Segoe UI"/>
          <w:bCs/>
          <w:color w:val="000000"/>
        </w:rPr>
        <w:t>hormone receptor–</w:t>
      </w:r>
      <w:r>
        <w:rPr>
          <w:rFonts w:eastAsia="Segoe UI"/>
          <w:bCs/>
          <w:color w:val="000000"/>
        </w:rPr>
        <w:t xml:space="preserve"> </w:t>
      </w:r>
      <w:r w:rsidRPr="00773BB4">
        <w:rPr>
          <w:rFonts w:eastAsia="Segoe UI"/>
          <w:bCs/>
          <w:color w:val="000000"/>
        </w:rPr>
        <w:t>positive, advanced breast cancer who had disease</w:t>
      </w:r>
      <w:r>
        <w:rPr>
          <w:rFonts w:eastAsia="Segoe UI"/>
          <w:bCs/>
          <w:color w:val="000000"/>
        </w:rPr>
        <w:t xml:space="preserve"> </w:t>
      </w:r>
      <w:r w:rsidRPr="00773BB4">
        <w:rPr>
          <w:rFonts w:eastAsia="Segoe UI"/>
          <w:bCs/>
          <w:color w:val="000000"/>
        </w:rPr>
        <w:t>progression during or after previous</w:t>
      </w:r>
      <w:r>
        <w:rPr>
          <w:rFonts w:eastAsia="Segoe UI"/>
          <w:bCs/>
          <w:color w:val="000000"/>
        </w:rPr>
        <w:t xml:space="preserve"> </w:t>
      </w:r>
      <w:r w:rsidRPr="00773BB4">
        <w:rPr>
          <w:rFonts w:eastAsia="Segoe UI"/>
          <w:bCs/>
          <w:color w:val="000000"/>
        </w:rPr>
        <w:t>endocrine therapy, with or without a CDK4/6</w:t>
      </w:r>
      <w:r>
        <w:rPr>
          <w:rFonts w:eastAsia="Segoe UI"/>
          <w:bCs/>
          <w:color w:val="000000"/>
        </w:rPr>
        <w:t xml:space="preserve"> </w:t>
      </w:r>
      <w:r w:rsidRPr="00773BB4">
        <w:rPr>
          <w:rFonts w:eastAsia="Segoe UI"/>
          <w:bCs/>
          <w:color w:val="000000"/>
        </w:rPr>
        <w:t>inhibitor</w:t>
      </w:r>
      <w:r>
        <w:rPr>
          <w:rFonts w:eastAsia="Segoe UI"/>
          <w:bCs/>
          <w:color w:val="000000"/>
        </w:rPr>
        <w:t xml:space="preserve">, when compared to treatment with </w:t>
      </w:r>
      <w:proofErr w:type="spellStart"/>
      <w:r>
        <w:rPr>
          <w:rFonts w:eastAsia="Segoe UI"/>
          <w:bCs/>
          <w:color w:val="000000"/>
        </w:rPr>
        <w:t>fulvestrant</w:t>
      </w:r>
      <w:proofErr w:type="spellEnd"/>
      <w:r>
        <w:rPr>
          <w:rFonts w:eastAsia="Segoe UI"/>
          <w:bCs/>
          <w:color w:val="000000"/>
        </w:rPr>
        <w:t xml:space="preserve"> alone</w:t>
      </w:r>
      <w:r w:rsidRPr="00773BB4">
        <w:rPr>
          <w:rFonts w:eastAsia="Segoe UI"/>
          <w:bCs/>
          <w:color w:val="000000"/>
        </w:rPr>
        <w:t>.</w:t>
      </w:r>
    </w:p>
    <w:p w14:paraId="4FF3C288" w14:textId="0DC9B0BF" w:rsidR="00721E60" w:rsidRDefault="004302F1" w:rsidP="004302F1">
      <w:pPr>
        <w:pStyle w:val="Heading1"/>
        <w:spacing w:before="240"/>
        <w:rPr>
          <w:rFonts w:eastAsia="Segoe UI"/>
        </w:rPr>
      </w:pPr>
      <w:r>
        <w:rPr>
          <w:rFonts w:eastAsia="Segoe UI"/>
          <w:bCs/>
        </w:rPr>
        <w:t>P</w:t>
      </w:r>
      <w:r w:rsidR="00721E60">
        <w:rPr>
          <w:rFonts w:eastAsia="Segoe UI"/>
        </w:rPr>
        <w:t>roposed MBS items</w:t>
      </w:r>
    </w:p>
    <w:p w14:paraId="557AB565" w14:textId="77777777" w:rsidR="00721E60" w:rsidRDefault="00721E60" w:rsidP="00721E60">
      <w:pPr>
        <w:pStyle w:val="Heading2"/>
      </w:pPr>
      <w:r>
        <w:t>How is the technology/service funded at present? (</w:t>
      </w:r>
      <w:proofErr w:type="gramStart"/>
      <w:r>
        <w:t>for</w:t>
      </w:r>
      <w:proofErr w:type="gramEnd"/>
      <w:r>
        <w:t xml:space="preserve"> example: research funding; State-based funding; self-funded by patients; no funding or payments): </w:t>
      </w:r>
    </w:p>
    <w:p w14:paraId="5F8DC34C" w14:textId="77777777" w:rsidR="00721E60" w:rsidRDefault="00721E60" w:rsidP="00721E60">
      <w:pPr>
        <w:spacing w:after="0"/>
      </w:pPr>
      <w:r w:rsidRPr="19F3BFC9">
        <w:t xml:space="preserve">Currently, in Australia </w:t>
      </w:r>
      <w:r>
        <w:t>the</w:t>
      </w:r>
      <w:r w:rsidRPr="19F3BFC9">
        <w:t xml:space="preserve"> AKT-pathway altered (PIK3CA, AKT1 or PTEN) tumour test is privately funded by patients </w:t>
      </w:r>
    </w:p>
    <w:p w14:paraId="5C8A321E" w14:textId="77777777" w:rsidR="00721E60" w:rsidRDefault="00721E60" w:rsidP="00721E60">
      <w:pPr>
        <w:spacing w:after="0"/>
      </w:pPr>
    </w:p>
    <w:p w14:paraId="3CB19E3D" w14:textId="6AE39D39" w:rsidR="00721E60" w:rsidRDefault="00721E60" w:rsidP="00721E60">
      <w:pPr>
        <w:spacing w:after="0"/>
        <w:rPr>
          <w:b/>
          <w:bCs/>
        </w:rPr>
      </w:pPr>
      <w:r>
        <w:rPr>
          <w:b/>
          <w:bCs/>
        </w:rPr>
        <w:t>Please provide at least one proposed item with their descriptor and associated costs, for each population/Intervention:</w:t>
      </w:r>
    </w:p>
    <w:p w14:paraId="05104EE0" w14:textId="77777777" w:rsidR="00721E60" w:rsidRDefault="00721E60" w:rsidP="00721E60">
      <w:pPr>
        <w:spacing w:after="0"/>
        <w:rPr>
          <w:rFonts w:eastAsia="Segoe UI"/>
          <w:b/>
          <w:color w:val="000000"/>
        </w:rPr>
      </w:pPr>
    </w:p>
    <w:p w14:paraId="6121F960" w14:textId="77777777" w:rsidR="004302F1" w:rsidRDefault="004302F1">
      <w:pPr>
        <w:spacing w:line="259" w:lineRule="auto"/>
        <w:rPr>
          <w:rFonts w:eastAsia="Segoe UI"/>
          <w:b/>
          <w:color w:val="000000"/>
        </w:rPr>
      </w:pPr>
      <w:r>
        <w:rPr>
          <w:rFonts w:eastAsia="Segoe UI"/>
          <w:b/>
          <w:color w:val="000000"/>
        </w:rPr>
        <w:br w:type="page"/>
      </w:r>
    </w:p>
    <w:p w14:paraId="0BF66BB6" w14:textId="5B6C345F" w:rsidR="00721E60" w:rsidRPr="00721E60" w:rsidRDefault="00721E60" w:rsidP="00721E60">
      <w:pPr>
        <w:spacing w:after="0"/>
        <w:rPr>
          <w:rFonts w:eastAsia="Segoe UI"/>
          <w:b/>
          <w:color w:val="000000"/>
        </w:rPr>
      </w:pPr>
      <w:r w:rsidRPr="00836A15">
        <w:rPr>
          <w:rFonts w:eastAsia="Segoe UI"/>
          <w:b/>
          <w:color w:val="000000"/>
        </w:rPr>
        <w:lastRenderedPageBreak/>
        <w:t>Proposed item details</w:t>
      </w:r>
      <w:r>
        <w:rPr>
          <w:rFonts w:eastAsia="Segoe UI"/>
          <w:b/>
          <w:color w:val="000000"/>
        </w:rPr>
        <w:t xml:space="preserve"> </w:t>
      </w:r>
    </w:p>
    <w:tbl>
      <w:tblPr>
        <w:tblStyle w:val="TableGrid"/>
        <w:tblW w:w="0" w:type="auto"/>
        <w:tblLook w:val="04A0" w:firstRow="1" w:lastRow="0" w:firstColumn="1" w:lastColumn="0" w:noHBand="0" w:noVBand="1"/>
      </w:tblPr>
      <w:tblGrid>
        <w:gridCol w:w="3256"/>
        <w:gridCol w:w="6209"/>
      </w:tblGrid>
      <w:tr w:rsidR="00721E60" w14:paraId="4E52D563" w14:textId="77777777" w:rsidTr="00B23F24">
        <w:tc>
          <w:tcPr>
            <w:tcW w:w="3256" w:type="dxa"/>
          </w:tcPr>
          <w:p w14:paraId="078ED66C" w14:textId="1E346CE3" w:rsidR="00721E60" w:rsidRPr="00A05B4D" w:rsidRDefault="00721E60" w:rsidP="00B23F24">
            <w:pPr>
              <w:spacing w:after="120"/>
              <w:rPr>
                <w:rFonts w:eastAsia="Segoe UI"/>
                <w:bCs/>
                <w:color w:val="000000"/>
                <w:sz w:val="20"/>
                <w:szCs w:val="20"/>
              </w:rPr>
            </w:pPr>
            <w:bookmarkStart w:id="4" w:name="_Hlk121232719"/>
            <w:r w:rsidRPr="00A05B4D">
              <w:rPr>
                <w:rFonts w:eastAsia="Segoe UI"/>
                <w:bCs/>
                <w:color w:val="000000"/>
                <w:sz w:val="20"/>
                <w:szCs w:val="20"/>
              </w:rPr>
              <w:t>MBS item number</w:t>
            </w:r>
          </w:p>
        </w:tc>
        <w:tc>
          <w:tcPr>
            <w:tcW w:w="6209" w:type="dxa"/>
          </w:tcPr>
          <w:p w14:paraId="0DC4B4A5" w14:textId="77777777" w:rsidR="00721E60" w:rsidRPr="00721E60" w:rsidRDefault="00721E60" w:rsidP="00B23F24">
            <w:pPr>
              <w:rPr>
                <w:sz w:val="20"/>
                <w:szCs w:val="20"/>
              </w:rPr>
            </w:pPr>
            <w:r w:rsidRPr="00721E60">
              <w:rPr>
                <w:sz w:val="20"/>
                <w:szCs w:val="20"/>
              </w:rPr>
              <w:t xml:space="preserve">N/A </w:t>
            </w:r>
          </w:p>
        </w:tc>
      </w:tr>
      <w:tr w:rsidR="00721E60" w14:paraId="5F64856F" w14:textId="77777777" w:rsidTr="00B23F24">
        <w:tc>
          <w:tcPr>
            <w:tcW w:w="3256" w:type="dxa"/>
          </w:tcPr>
          <w:p w14:paraId="5AD120B0"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Category number</w:t>
            </w:r>
          </w:p>
        </w:tc>
        <w:tc>
          <w:tcPr>
            <w:tcW w:w="6209" w:type="dxa"/>
          </w:tcPr>
          <w:p w14:paraId="23DFE518" w14:textId="77777777" w:rsidR="00721E60" w:rsidRPr="00721E60" w:rsidRDefault="00721E60" w:rsidP="00B23F24">
            <w:pPr>
              <w:rPr>
                <w:sz w:val="20"/>
                <w:szCs w:val="20"/>
              </w:rPr>
            </w:pPr>
            <w:r w:rsidRPr="00721E60">
              <w:rPr>
                <w:sz w:val="20"/>
                <w:szCs w:val="20"/>
              </w:rPr>
              <w:t xml:space="preserve">Category 6 – Pathology Services </w:t>
            </w:r>
          </w:p>
        </w:tc>
      </w:tr>
      <w:tr w:rsidR="00721E60" w14:paraId="27F333E2" w14:textId="77777777" w:rsidTr="00B23F24">
        <w:tc>
          <w:tcPr>
            <w:tcW w:w="3256" w:type="dxa"/>
          </w:tcPr>
          <w:p w14:paraId="2E5FEA9D"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Category description</w:t>
            </w:r>
          </w:p>
        </w:tc>
        <w:tc>
          <w:tcPr>
            <w:tcW w:w="6209" w:type="dxa"/>
          </w:tcPr>
          <w:p w14:paraId="30B8431B" w14:textId="77777777" w:rsidR="00721E60" w:rsidRPr="00721E60" w:rsidRDefault="00721E60" w:rsidP="00B23F24">
            <w:pPr>
              <w:rPr>
                <w:sz w:val="20"/>
                <w:szCs w:val="20"/>
              </w:rPr>
            </w:pPr>
            <w:r w:rsidRPr="00721E60">
              <w:rPr>
                <w:sz w:val="20"/>
                <w:szCs w:val="20"/>
              </w:rPr>
              <w:t>Group P7 – Genetics</w:t>
            </w:r>
          </w:p>
        </w:tc>
      </w:tr>
      <w:tr w:rsidR="00721E60" w14:paraId="3D9D0263" w14:textId="77777777" w:rsidTr="00B23F24">
        <w:tc>
          <w:tcPr>
            <w:tcW w:w="3256" w:type="dxa"/>
          </w:tcPr>
          <w:p w14:paraId="381A2D1C"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Proposed item descriptor</w:t>
            </w:r>
          </w:p>
        </w:tc>
        <w:tc>
          <w:tcPr>
            <w:tcW w:w="6209" w:type="dxa"/>
          </w:tcPr>
          <w:p w14:paraId="5F415400" w14:textId="77777777" w:rsidR="00721E60" w:rsidRPr="00721E60" w:rsidRDefault="00721E60" w:rsidP="00B23F24">
            <w:pPr>
              <w:rPr>
                <w:sz w:val="20"/>
                <w:szCs w:val="20"/>
              </w:rPr>
            </w:pPr>
            <w:r w:rsidRPr="00721E60">
              <w:rPr>
                <w:sz w:val="20"/>
                <w:szCs w:val="20"/>
              </w:rPr>
              <w:t>A test of tumour tissue for the detection of an AKT-pathway altered (PIK3CA, AKT1 or PTEN) tumour, in a patient with:</w:t>
            </w:r>
          </w:p>
          <w:p w14:paraId="6840731E" w14:textId="77777777" w:rsidR="00721E60" w:rsidRPr="00721E60" w:rsidRDefault="00721E60" w:rsidP="00721E60">
            <w:pPr>
              <w:pStyle w:val="ListParagraph"/>
              <w:numPr>
                <w:ilvl w:val="0"/>
                <w:numId w:val="12"/>
              </w:numPr>
              <w:rPr>
                <w:sz w:val="20"/>
                <w:szCs w:val="20"/>
              </w:rPr>
            </w:pPr>
            <w:r w:rsidRPr="00721E60">
              <w:rPr>
                <w:sz w:val="20"/>
                <w:szCs w:val="20"/>
              </w:rPr>
              <w:t>locally advanced (inoperable) or metastatic hormone receptor positive, HER2-negative breast cancer</w:t>
            </w:r>
          </w:p>
          <w:p w14:paraId="0B8D2E0D" w14:textId="77777777" w:rsidR="00721E60" w:rsidRPr="00721E60" w:rsidRDefault="00721E60" w:rsidP="00B23F24">
            <w:pPr>
              <w:rPr>
                <w:sz w:val="20"/>
                <w:szCs w:val="20"/>
              </w:rPr>
            </w:pPr>
            <w:r w:rsidRPr="00721E60">
              <w:rPr>
                <w:sz w:val="20"/>
                <w:szCs w:val="20"/>
              </w:rPr>
              <w:t>As requested by a specialist or consultant physician, to determine eligibility for treatment with an AKT serine/threonine kinase -inhibitor under the Pharmaceutical Benefits Scheme (PBS)</w:t>
            </w:r>
          </w:p>
          <w:p w14:paraId="422C6EA2" w14:textId="77777777" w:rsidR="00721E60" w:rsidRPr="00721E60" w:rsidRDefault="00721E60" w:rsidP="00B23F24">
            <w:pPr>
              <w:rPr>
                <w:sz w:val="20"/>
                <w:szCs w:val="20"/>
              </w:rPr>
            </w:pPr>
          </w:p>
        </w:tc>
      </w:tr>
      <w:tr w:rsidR="00721E60" w14:paraId="64110F34" w14:textId="77777777" w:rsidTr="00B23F24">
        <w:tc>
          <w:tcPr>
            <w:tcW w:w="3256" w:type="dxa"/>
          </w:tcPr>
          <w:p w14:paraId="4B715905"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Proposed MBS fee</w:t>
            </w:r>
          </w:p>
        </w:tc>
        <w:tc>
          <w:tcPr>
            <w:tcW w:w="6209" w:type="dxa"/>
          </w:tcPr>
          <w:p w14:paraId="5670F27A" w14:textId="77777777" w:rsidR="00721E60" w:rsidRPr="00721E60" w:rsidRDefault="00721E60" w:rsidP="00B23F24">
            <w:pPr>
              <w:rPr>
                <w:sz w:val="20"/>
                <w:szCs w:val="20"/>
              </w:rPr>
            </w:pPr>
            <w:r w:rsidRPr="00721E60">
              <w:rPr>
                <w:sz w:val="20"/>
                <w:szCs w:val="20"/>
              </w:rPr>
              <w:t>The proposed MBS fee is currently unavailable</w:t>
            </w:r>
          </w:p>
          <w:p w14:paraId="46130E1C" w14:textId="77777777" w:rsidR="00721E60" w:rsidRPr="00721E60" w:rsidRDefault="00721E60" w:rsidP="00B23F24">
            <w:pPr>
              <w:rPr>
                <w:sz w:val="20"/>
                <w:szCs w:val="20"/>
              </w:rPr>
            </w:pPr>
          </w:p>
        </w:tc>
      </w:tr>
      <w:tr w:rsidR="00721E60" w14:paraId="1DBB9AEB" w14:textId="77777777" w:rsidTr="00B23F24">
        <w:tc>
          <w:tcPr>
            <w:tcW w:w="3256" w:type="dxa"/>
          </w:tcPr>
          <w:p w14:paraId="7D811F38"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Indicate the overall cost per patient of providing the proposed health technology</w:t>
            </w:r>
          </w:p>
        </w:tc>
        <w:tc>
          <w:tcPr>
            <w:tcW w:w="6209" w:type="dxa"/>
          </w:tcPr>
          <w:p w14:paraId="5D97A5AC" w14:textId="77777777" w:rsidR="00721E60" w:rsidRPr="00721E60" w:rsidRDefault="00721E60" w:rsidP="00B23F24">
            <w:pPr>
              <w:rPr>
                <w:sz w:val="20"/>
                <w:szCs w:val="20"/>
              </w:rPr>
            </w:pPr>
            <w:r w:rsidRPr="00721E60">
              <w:rPr>
                <w:sz w:val="20"/>
                <w:szCs w:val="20"/>
              </w:rPr>
              <w:t>A detailed utilisation analysis will be presented in the integrated co-dependent MSAC/PBAC submission.</w:t>
            </w:r>
          </w:p>
        </w:tc>
      </w:tr>
      <w:tr w:rsidR="00721E60" w14:paraId="45F1042D" w14:textId="77777777" w:rsidTr="00B23F24">
        <w:tc>
          <w:tcPr>
            <w:tcW w:w="3256" w:type="dxa"/>
          </w:tcPr>
          <w:p w14:paraId="4132DE45"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Please specify any anticipated out of pocket expenses</w:t>
            </w:r>
          </w:p>
        </w:tc>
        <w:tc>
          <w:tcPr>
            <w:tcW w:w="6209" w:type="dxa"/>
          </w:tcPr>
          <w:p w14:paraId="5785E00C" w14:textId="77777777" w:rsidR="00721E60" w:rsidRPr="00721E60" w:rsidRDefault="00721E60" w:rsidP="00B23F24">
            <w:pPr>
              <w:rPr>
                <w:rFonts w:eastAsia="Segoe UI"/>
                <w:bCs/>
                <w:color w:val="000000"/>
                <w:sz w:val="20"/>
                <w:szCs w:val="20"/>
              </w:rPr>
            </w:pPr>
            <w:r w:rsidRPr="00721E60">
              <w:rPr>
                <w:sz w:val="20"/>
                <w:szCs w:val="20"/>
              </w:rPr>
              <w:t>A detailed utilisation analysis will be presented in the integrated co-dependent MSAC/PBAC submission.</w:t>
            </w:r>
            <w:r w:rsidRPr="00721E60">
              <w:rPr>
                <w:rFonts w:eastAsia="Segoe UI"/>
                <w:bCs/>
                <w:color w:val="000000"/>
                <w:sz w:val="20"/>
                <w:szCs w:val="20"/>
              </w:rPr>
              <w:t xml:space="preserve"> </w:t>
            </w:r>
          </w:p>
        </w:tc>
      </w:tr>
      <w:tr w:rsidR="00721E60" w14:paraId="27B6BD20" w14:textId="77777777" w:rsidTr="00B23F24">
        <w:tc>
          <w:tcPr>
            <w:tcW w:w="3256" w:type="dxa"/>
          </w:tcPr>
          <w:p w14:paraId="4A3A07B1" w14:textId="77777777" w:rsidR="00721E60" w:rsidRPr="00A05B4D" w:rsidRDefault="00721E60" w:rsidP="00B23F24">
            <w:pPr>
              <w:spacing w:after="120"/>
              <w:rPr>
                <w:rFonts w:eastAsia="Segoe UI"/>
                <w:bCs/>
                <w:color w:val="000000"/>
                <w:sz w:val="20"/>
                <w:szCs w:val="20"/>
              </w:rPr>
            </w:pPr>
            <w:r w:rsidRPr="00A05B4D">
              <w:rPr>
                <w:rFonts w:eastAsia="Segoe UI"/>
                <w:bCs/>
                <w:color w:val="000000"/>
                <w:sz w:val="20"/>
                <w:szCs w:val="20"/>
              </w:rPr>
              <w:t>Provide any further details and explain</w:t>
            </w:r>
          </w:p>
        </w:tc>
        <w:tc>
          <w:tcPr>
            <w:tcW w:w="6209" w:type="dxa"/>
          </w:tcPr>
          <w:p w14:paraId="2F45E6DF" w14:textId="77777777" w:rsidR="00721E60" w:rsidRPr="00721E60" w:rsidRDefault="00721E60" w:rsidP="00B23F24">
            <w:pPr>
              <w:rPr>
                <w:rFonts w:eastAsia="Segoe UI"/>
                <w:bCs/>
                <w:color w:val="000000"/>
                <w:sz w:val="20"/>
                <w:szCs w:val="20"/>
              </w:rPr>
            </w:pPr>
            <w:r w:rsidRPr="00721E60">
              <w:rPr>
                <w:sz w:val="20"/>
                <w:szCs w:val="20"/>
              </w:rPr>
              <w:t>A detailed utilisation analysis will be presented in the integrated co-dependent MSAC/PBAC submission.</w:t>
            </w:r>
            <w:r w:rsidRPr="00721E60">
              <w:rPr>
                <w:rFonts w:eastAsia="Segoe UI"/>
                <w:bCs/>
                <w:color w:val="000000"/>
                <w:sz w:val="20"/>
                <w:szCs w:val="20"/>
              </w:rPr>
              <w:t xml:space="preserve"> </w:t>
            </w:r>
          </w:p>
        </w:tc>
      </w:tr>
      <w:bookmarkEnd w:id="4"/>
    </w:tbl>
    <w:p w14:paraId="28822C60" w14:textId="77777777" w:rsidR="00721E60" w:rsidRDefault="00721E60" w:rsidP="00721E60">
      <w:pPr>
        <w:spacing w:after="0"/>
        <w:rPr>
          <w:rFonts w:eastAsia="Segoe UI"/>
          <w:b/>
          <w:color w:val="000000"/>
        </w:rPr>
      </w:pPr>
    </w:p>
    <w:p w14:paraId="36B4CF0E" w14:textId="77777777" w:rsidR="00721E60" w:rsidRDefault="00721E60" w:rsidP="00721E60">
      <w:pPr>
        <w:rPr>
          <w:rFonts w:eastAsia="Segoe UI"/>
          <w:b/>
          <w:color w:val="000000"/>
          <w:sz w:val="32"/>
        </w:rPr>
      </w:pPr>
      <w:r>
        <w:rPr>
          <w:rFonts w:eastAsia="Segoe UI"/>
          <w:b/>
          <w:color w:val="000000"/>
          <w:sz w:val="32"/>
        </w:rPr>
        <w:t>Algorithms</w:t>
      </w:r>
    </w:p>
    <w:p w14:paraId="51782FAA" w14:textId="77777777" w:rsidR="00721E60" w:rsidRPr="0090168B" w:rsidRDefault="00721E60" w:rsidP="00721E60">
      <w:pPr>
        <w:rPr>
          <w:rFonts w:eastAsia="Segoe UI"/>
          <w:b/>
          <w:color w:val="000000"/>
          <w:u w:val="single"/>
        </w:rPr>
      </w:pPr>
      <w:r w:rsidRPr="0090168B">
        <w:rPr>
          <w:rFonts w:eastAsia="Segoe UI"/>
          <w:b/>
          <w:color w:val="000000"/>
          <w:u w:val="single"/>
        </w:rPr>
        <w:t>Preparation for using the health technology</w:t>
      </w:r>
    </w:p>
    <w:p w14:paraId="0AC975F6" w14:textId="77777777" w:rsidR="00721E60" w:rsidRDefault="00721E60" w:rsidP="00721E60">
      <w:pPr>
        <w:spacing w:after="0"/>
        <w:rPr>
          <w:rFonts w:eastAsia="Segoe UI"/>
          <w:b/>
          <w:color w:val="000000"/>
        </w:rPr>
      </w:pPr>
      <w:r>
        <w:rPr>
          <w:rFonts w:eastAsia="Segoe UI"/>
          <w:b/>
          <w:color w:val="000000"/>
        </w:rPr>
        <w:t xml:space="preserve">Define and summarise the clinical management algorithm, including any required tests or healthcare resources, before patients would be eligible for the </w:t>
      </w:r>
      <w:r w:rsidRPr="00DD0A06">
        <w:rPr>
          <w:rFonts w:eastAsia="Segoe UI"/>
          <w:b/>
          <w:color w:val="000000"/>
          <w:u w:val="single"/>
        </w:rPr>
        <w:t>proposed health technology</w:t>
      </w:r>
      <w:r>
        <w:rPr>
          <w:rFonts w:eastAsia="Segoe UI"/>
          <w:b/>
          <w:color w:val="000000"/>
        </w:rPr>
        <w:t>:</w:t>
      </w:r>
    </w:p>
    <w:p w14:paraId="6DBF12BD" w14:textId="77777777" w:rsidR="00721E60" w:rsidRPr="001808C7" w:rsidRDefault="00721E60" w:rsidP="00721E60">
      <w:pPr>
        <w:rPr>
          <w:rFonts w:eastAsia="Segoe UI"/>
        </w:rPr>
      </w:pPr>
      <w:r w:rsidRPr="001808C7">
        <w:rPr>
          <w:rFonts w:eastAsia="Segoe UI"/>
        </w:rPr>
        <w:t>The current key components and clinical steps involved in delivering a</w:t>
      </w:r>
      <w:r>
        <w:rPr>
          <w:rFonts w:eastAsia="Segoe UI"/>
        </w:rPr>
        <w:t xml:space="preserve"> </w:t>
      </w:r>
      <w:r w:rsidRPr="001808C7">
        <w:rPr>
          <w:rFonts w:eastAsia="Segoe UI"/>
        </w:rPr>
        <w:t xml:space="preserve">tumour </w:t>
      </w:r>
      <w:r>
        <w:rPr>
          <w:rFonts w:eastAsia="Segoe UI"/>
        </w:rPr>
        <w:t xml:space="preserve">genetic </w:t>
      </w:r>
      <w:r w:rsidRPr="001808C7">
        <w:rPr>
          <w:rFonts w:eastAsia="Segoe UI"/>
        </w:rPr>
        <w:t xml:space="preserve">mutation test in patients with </w:t>
      </w:r>
      <w:r>
        <w:rPr>
          <w:rFonts w:eastAsia="Segoe UI"/>
        </w:rPr>
        <w:t>HR-positive/</w:t>
      </w:r>
      <w:r w:rsidRPr="001808C7">
        <w:rPr>
          <w:rFonts w:eastAsia="Segoe UI"/>
        </w:rPr>
        <w:t>HER2-negative breast cancer are as follows:</w:t>
      </w:r>
    </w:p>
    <w:p w14:paraId="447AFE4E" w14:textId="77777777" w:rsidR="00721E60" w:rsidRPr="001808C7" w:rsidRDefault="00721E60" w:rsidP="00721E60">
      <w:pPr>
        <w:rPr>
          <w:rFonts w:eastAsia="Segoe UI"/>
        </w:rPr>
      </w:pPr>
      <w:r w:rsidRPr="618952DB">
        <w:rPr>
          <w:rFonts w:eastAsia="Segoe UI"/>
          <w:color w:val="000000" w:themeColor="text1"/>
        </w:rPr>
        <w:t>Patient’s tumour sample is taken and sent to a pathology laboratory where testing for AKT-pathway alterations (PIK3CA, AKT1 or PTEN)</w:t>
      </w:r>
      <w:r>
        <w:rPr>
          <w:rFonts w:eastAsia="Segoe UI"/>
          <w:color w:val="000000" w:themeColor="text1"/>
        </w:rPr>
        <w:t xml:space="preserve"> </w:t>
      </w:r>
      <w:r w:rsidRPr="618952DB">
        <w:rPr>
          <w:rFonts w:eastAsia="Segoe UI"/>
          <w:color w:val="000000" w:themeColor="text1"/>
        </w:rPr>
        <w:t xml:space="preserve">is performed. Tumour tissue specimens for testing for the target patient population may be obtained as either a fresh tissue from the recurrent disease, or from tissue specimen as formalin-fixed paraffin-embedded (FFPE) blocks following primary tumour debulking surgery. </w:t>
      </w:r>
    </w:p>
    <w:p w14:paraId="3D7AD6FE" w14:textId="77777777" w:rsidR="00721E60" w:rsidRPr="001808C7" w:rsidRDefault="00721E60" w:rsidP="00721E60">
      <w:pPr>
        <w:pStyle w:val="ListParagraph"/>
        <w:numPr>
          <w:ilvl w:val="0"/>
          <w:numId w:val="19"/>
        </w:numPr>
        <w:spacing w:after="0"/>
        <w:rPr>
          <w:rFonts w:eastAsia="Segoe UI"/>
          <w:color w:val="000000"/>
        </w:rPr>
      </w:pPr>
      <w:r w:rsidRPr="618952DB">
        <w:rPr>
          <w:rFonts w:eastAsia="Segoe UI"/>
          <w:color w:val="000000" w:themeColor="text1"/>
        </w:rPr>
        <w:t xml:space="preserve">Macro- or micro-dissection of the specimen may be required to increase the proportion of tumour tissue. DNA is extracted, </w:t>
      </w:r>
      <w:proofErr w:type="gramStart"/>
      <w:r w:rsidRPr="618952DB">
        <w:rPr>
          <w:rFonts w:eastAsia="Segoe UI"/>
          <w:color w:val="000000" w:themeColor="text1"/>
        </w:rPr>
        <w:t>purified</w:t>
      </w:r>
      <w:proofErr w:type="gramEnd"/>
      <w:r w:rsidRPr="618952DB">
        <w:rPr>
          <w:rFonts w:eastAsia="Segoe UI"/>
          <w:color w:val="000000" w:themeColor="text1"/>
        </w:rPr>
        <w:t xml:space="preserve"> and may be quantified using the laboratory’s preferred commercially available kits. PCR amplification methods, including multiplex ligation dependent probe amplification (MLPA) may be used. Hybridisation capture baits may also be used. Libraries for sequencing are prepared and library quality may be evaluated at this step. Some gene panels (e.g., PIK3CA, AKT1 or PTEN) identify all classes of mutations including single base substitutions, small insertions and deletions and large gene re-arrangements. Variants are called using comparison to reference libraries. Next-generation sequencing (NGS) is performed at most Australian laboratories using</w:t>
      </w:r>
      <w:r>
        <w:rPr>
          <w:rFonts w:eastAsia="Segoe UI"/>
          <w:color w:val="000000" w:themeColor="text1"/>
        </w:rPr>
        <w:t xml:space="preserve"> a range or number of NGS platforms.</w:t>
      </w:r>
      <w:r w:rsidRPr="618952DB">
        <w:rPr>
          <w:rFonts w:eastAsia="Segoe UI"/>
          <w:color w:val="000000" w:themeColor="text1"/>
        </w:rPr>
        <w:t xml:space="preserve"> Sequencing results are then reported to the requesting specialist or consultant physician.</w:t>
      </w:r>
    </w:p>
    <w:p w14:paraId="2C8DDD42" w14:textId="5F6EBB2A" w:rsidR="00721E60" w:rsidRPr="00721E60" w:rsidRDefault="00721E60" w:rsidP="00721E60">
      <w:pPr>
        <w:pStyle w:val="ListParagraph"/>
        <w:numPr>
          <w:ilvl w:val="0"/>
          <w:numId w:val="19"/>
        </w:numPr>
        <w:spacing w:after="0"/>
        <w:rPr>
          <w:rFonts w:eastAsia="Segoe UI"/>
        </w:rPr>
      </w:pPr>
      <w:r w:rsidRPr="618952DB">
        <w:rPr>
          <w:rFonts w:eastAsia="Segoe UI"/>
          <w:color w:val="000000" w:themeColor="text1"/>
        </w:rPr>
        <w:lastRenderedPageBreak/>
        <w:t xml:space="preserve">Based on a positive AKT-pathway alteration/s (PIK3CA, AKT1 or PTEN) test result, the medical practitioner will consider prescribing </w:t>
      </w:r>
      <w:proofErr w:type="spellStart"/>
      <w:r w:rsidRPr="618952DB">
        <w:rPr>
          <w:rFonts w:eastAsia="Segoe UI"/>
          <w:color w:val="000000" w:themeColor="text1"/>
        </w:rPr>
        <w:t>capivasertib</w:t>
      </w:r>
      <w:proofErr w:type="spellEnd"/>
      <w:r w:rsidRPr="618952DB">
        <w:rPr>
          <w:rFonts w:eastAsia="Segoe UI"/>
          <w:color w:val="000000" w:themeColor="text1"/>
        </w:rPr>
        <w:t xml:space="preserve"> + </w:t>
      </w:r>
      <w:proofErr w:type="spellStart"/>
      <w:r w:rsidRPr="618952DB">
        <w:rPr>
          <w:rFonts w:eastAsia="Segoe UI"/>
          <w:color w:val="000000" w:themeColor="text1"/>
        </w:rPr>
        <w:t>fulvestrant</w:t>
      </w:r>
      <w:proofErr w:type="spellEnd"/>
      <w:r w:rsidRPr="618952DB">
        <w:rPr>
          <w:rFonts w:eastAsia="Segoe UI"/>
          <w:color w:val="000000" w:themeColor="text1"/>
        </w:rPr>
        <w:t xml:space="preserve"> to the patient if they </w:t>
      </w:r>
      <w:r w:rsidRPr="00721E60">
        <w:rPr>
          <w:rFonts w:eastAsia="Segoe UI"/>
        </w:rPr>
        <w:t>meet the PBS criteria to access treatment.</w:t>
      </w:r>
    </w:p>
    <w:p w14:paraId="596DF6EE" w14:textId="77777777" w:rsidR="00721E60" w:rsidRDefault="00721E60" w:rsidP="00721E60">
      <w:pPr>
        <w:spacing w:before="120" w:after="0"/>
        <w:rPr>
          <w:rFonts w:eastAsia="Segoe UI"/>
          <w:color w:val="000000"/>
        </w:rPr>
      </w:pPr>
      <w:r w:rsidRPr="19F3BFC9">
        <w:rPr>
          <w:rFonts w:eastAsia="Segoe UI"/>
          <w:color w:val="000000" w:themeColor="text1"/>
        </w:rPr>
        <w:t>Where a tissue sample is not readily available (i.e., fresh tissue [</w:t>
      </w:r>
      <w:proofErr w:type="gramStart"/>
      <w:r w:rsidRPr="19F3BFC9">
        <w:rPr>
          <w:rFonts w:eastAsia="Segoe UI"/>
          <w:color w:val="000000" w:themeColor="text1"/>
        </w:rPr>
        <w:t>e.g.</w:t>
      </w:r>
      <w:proofErr w:type="gramEnd"/>
      <w:r w:rsidRPr="19F3BFC9">
        <w:rPr>
          <w:rFonts w:eastAsia="Segoe UI"/>
          <w:color w:val="000000" w:themeColor="text1"/>
        </w:rPr>
        <w:t xml:space="preserve"> based on the site of local recurrence or metastasis], or there is no archival tissue), </w:t>
      </w:r>
      <w:r w:rsidRPr="270942AC">
        <w:rPr>
          <w:rFonts w:eastAsia="Segoe UI"/>
          <w:color w:val="000000" w:themeColor="text1"/>
        </w:rPr>
        <w:t>testing</w:t>
      </w:r>
      <w:r w:rsidRPr="19F3BFC9">
        <w:rPr>
          <w:rFonts w:eastAsia="Segoe UI"/>
          <w:color w:val="000000" w:themeColor="text1"/>
        </w:rPr>
        <w:t xml:space="preserve"> could potentially be performed on a plasma sample. </w:t>
      </w:r>
      <w:r w:rsidRPr="00B25777">
        <w:rPr>
          <w:rFonts w:eastAsia="Segoe UI"/>
          <w:color w:val="000000" w:themeColor="text1"/>
        </w:rPr>
        <w:t xml:space="preserve">Once plasma sample </w:t>
      </w:r>
      <w:proofErr w:type="spellStart"/>
      <w:r w:rsidRPr="00B25777">
        <w:rPr>
          <w:rFonts w:eastAsia="Segoe UI"/>
          <w:color w:val="000000" w:themeColor="text1"/>
        </w:rPr>
        <w:t>ctDNA</w:t>
      </w:r>
      <w:proofErr w:type="spellEnd"/>
      <w:r w:rsidRPr="00B25777">
        <w:rPr>
          <w:rFonts w:eastAsia="Segoe UI"/>
          <w:color w:val="000000" w:themeColor="text1"/>
        </w:rPr>
        <w:t xml:space="preserve"> becomes more </w:t>
      </w:r>
      <w:proofErr w:type="spellStart"/>
      <w:r w:rsidRPr="00B25777">
        <w:rPr>
          <w:rFonts w:eastAsia="Segoe UI"/>
          <w:color w:val="000000" w:themeColor="text1"/>
        </w:rPr>
        <w:t>routinuely</w:t>
      </w:r>
      <w:proofErr w:type="spellEnd"/>
      <w:r w:rsidRPr="00B25777">
        <w:rPr>
          <w:rFonts w:eastAsia="Segoe UI"/>
          <w:color w:val="000000" w:themeColor="text1"/>
        </w:rPr>
        <w:t xml:space="preserve"> available and conducted in clinical practice, it can be requested </w:t>
      </w:r>
      <w:r w:rsidRPr="19F3BFC9">
        <w:rPr>
          <w:rFonts w:eastAsia="Segoe UI"/>
          <w:color w:val="000000" w:themeColor="text1"/>
        </w:rPr>
        <w:t xml:space="preserve">by a surgeon, </w:t>
      </w:r>
      <w:proofErr w:type="gramStart"/>
      <w:r w:rsidRPr="19F3BFC9">
        <w:rPr>
          <w:rFonts w:eastAsia="Segoe UI"/>
          <w:color w:val="000000" w:themeColor="text1"/>
        </w:rPr>
        <w:t>oncologist</w:t>
      </w:r>
      <w:proofErr w:type="gramEnd"/>
      <w:r w:rsidRPr="19F3BFC9">
        <w:rPr>
          <w:rFonts w:eastAsia="Segoe UI"/>
          <w:color w:val="000000" w:themeColor="text1"/>
        </w:rPr>
        <w:t xml:space="preserve"> or general practitioner, or ordered by these practitioners and taken at a laboratory. Analysis of the </w:t>
      </w:r>
      <w:proofErr w:type="spellStart"/>
      <w:r w:rsidRPr="19F3BFC9">
        <w:rPr>
          <w:rFonts w:eastAsia="Segoe UI"/>
          <w:color w:val="000000" w:themeColor="text1"/>
        </w:rPr>
        <w:t>ctDNA</w:t>
      </w:r>
      <w:proofErr w:type="spellEnd"/>
      <w:r w:rsidRPr="19F3BFC9">
        <w:rPr>
          <w:rFonts w:eastAsia="Segoe UI"/>
          <w:color w:val="000000" w:themeColor="text1"/>
        </w:rPr>
        <w:t xml:space="preserve"> in the plasma sample is performed in a similar way to the tissue sample.</w:t>
      </w:r>
      <w:r>
        <w:rPr>
          <w:rFonts w:eastAsia="Segoe UI"/>
          <w:color w:val="000000" w:themeColor="text1"/>
        </w:rPr>
        <w:t xml:space="preserve"> </w:t>
      </w:r>
    </w:p>
    <w:p w14:paraId="6AA6ED03" w14:textId="77777777" w:rsidR="00721E60" w:rsidRDefault="00721E60" w:rsidP="00721E60">
      <w:pPr>
        <w:pStyle w:val="Heading2"/>
      </w:pPr>
    </w:p>
    <w:p w14:paraId="20DF8327" w14:textId="6138C541" w:rsidR="00721E60" w:rsidRDefault="00721E60" w:rsidP="00721E60">
      <w:pPr>
        <w:pStyle w:val="Heading2"/>
      </w:pPr>
      <w:r>
        <w:t xml:space="preserve">Is there any expectation that the clinical management algorithm </w:t>
      </w:r>
      <w:r w:rsidRPr="00B10A36">
        <w:rPr>
          <w:i/>
          <w:iCs/>
        </w:rPr>
        <w:t>before</w:t>
      </w:r>
      <w:r>
        <w:t xml:space="preserve"> the health technology is used will change due to the introduction of the </w:t>
      </w:r>
      <w:r w:rsidRPr="00DD0A06">
        <w:rPr>
          <w:u w:val="single"/>
        </w:rPr>
        <w:t>proposed health technology</w:t>
      </w:r>
      <w:r>
        <w:t xml:space="preserve">? </w:t>
      </w:r>
    </w:p>
    <w:p w14:paraId="45539C1A" w14:textId="3FB6D758" w:rsidR="00721E60" w:rsidRPr="00721E60" w:rsidRDefault="00721E60" w:rsidP="00721E60">
      <w:pPr>
        <w:rPr>
          <w:rFonts w:eastAsia="Segoe UI"/>
        </w:rPr>
      </w:pPr>
      <w:r w:rsidRPr="00721E60">
        <w:rPr>
          <w:rFonts w:eastAsia="Segoe UI"/>
        </w:rPr>
        <w:t>Yes</w:t>
      </w:r>
    </w:p>
    <w:p w14:paraId="33985854" w14:textId="77777777" w:rsidR="00721E60" w:rsidRDefault="00721E60" w:rsidP="00721E60">
      <w:pPr>
        <w:spacing w:after="0"/>
        <w:rPr>
          <w:rFonts w:eastAsia="Segoe UI"/>
          <w:b/>
          <w:color w:val="000000"/>
        </w:rPr>
      </w:pPr>
      <w:r>
        <w:rPr>
          <w:rFonts w:eastAsia="Segoe UI"/>
          <w:b/>
          <w:color w:val="000000"/>
        </w:rPr>
        <w:t xml:space="preserve">Describe and explain any differences in the clinical management algorithm prior to the use of the </w:t>
      </w:r>
      <w:r w:rsidRPr="00DD0A06">
        <w:rPr>
          <w:rFonts w:eastAsia="Segoe UI"/>
          <w:b/>
          <w:color w:val="000000"/>
          <w:u w:val="single"/>
        </w:rPr>
        <w:t>proposed health technology</w:t>
      </w:r>
      <w:r>
        <w:rPr>
          <w:rFonts w:eastAsia="Segoe UI"/>
          <w:b/>
          <w:color w:val="000000"/>
        </w:rPr>
        <w:t xml:space="preserve"> vs. the </w:t>
      </w:r>
      <w:r w:rsidRPr="00DD0A06">
        <w:rPr>
          <w:rFonts w:eastAsia="Segoe UI"/>
          <w:b/>
          <w:color w:val="000000"/>
          <w:u w:val="single"/>
        </w:rPr>
        <w:t>comparator health technology</w:t>
      </w:r>
      <w:r>
        <w:rPr>
          <w:rFonts w:eastAsia="Segoe UI"/>
          <w:b/>
          <w:color w:val="000000"/>
        </w:rPr>
        <w:t>:</w:t>
      </w:r>
    </w:p>
    <w:p w14:paraId="768161E8" w14:textId="77777777" w:rsidR="00721E60" w:rsidRDefault="00721E60" w:rsidP="00721E60">
      <w:pPr>
        <w:rPr>
          <w:rFonts w:eastAsia="Segoe UI"/>
        </w:rPr>
      </w:pPr>
      <w:r w:rsidRPr="618952DB">
        <w:rPr>
          <w:rFonts w:eastAsia="Segoe UI"/>
        </w:rPr>
        <w:t xml:space="preserve">Currently for patients with AKT-pathway altered (PIK3CA, AKT1, PTEN) tumour and HR-positive, HER2-negative advanced breast cancer, treatments are not targeted so typically involve alternative therapeutic agents that a patient has not been exposed to. </w:t>
      </w:r>
    </w:p>
    <w:p w14:paraId="02B818BB" w14:textId="77777777" w:rsidR="00721E60" w:rsidRDefault="00721E60" w:rsidP="00721E60">
      <w:pPr>
        <w:rPr>
          <w:rFonts w:eastAsia="Segoe UI"/>
          <w:bCs/>
          <w:color w:val="000000"/>
        </w:rPr>
      </w:pPr>
      <w:r>
        <w:rPr>
          <w:rFonts w:eastAsia="Segoe UI"/>
          <w:bCs/>
          <w:color w:val="000000"/>
        </w:rPr>
        <w:t xml:space="preserve">Patients with confirmed AKT-pathway alteration may be eligible for </w:t>
      </w:r>
      <w:proofErr w:type="spellStart"/>
      <w:r>
        <w:rPr>
          <w:rFonts w:eastAsia="Segoe UI"/>
          <w:bCs/>
          <w:color w:val="000000"/>
        </w:rPr>
        <w:t>capivasertib</w:t>
      </w:r>
      <w:proofErr w:type="spellEnd"/>
      <w:r>
        <w:rPr>
          <w:rFonts w:eastAsia="Segoe UI"/>
          <w:bCs/>
          <w:color w:val="000000"/>
        </w:rPr>
        <w:t xml:space="preserve"> treatment. </w:t>
      </w:r>
    </w:p>
    <w:p w14:paraId="497196CA" w14:textId="0BEE9FF5" w:rsidR="00721E60" w:rsidRPr="00721E60" w:rsidRDefault="00721E60" w:rsidP="00721E60">
      <w:pPr>
        <w:spacing w:after="0"/>
        <w:rPr>
          <w:rFonts w:eastAsia="Segoe UI"/>
          <w:b/>
          <w:color w:val="000000"/>
        </w:rPr>
      </w:pPr>
      <w:r>
        <w:rPr>
          <w:rFonts w:eastAsia="Segoe UI"/>
          <w:b/>
          <w:color w:val="000000"/>
        </w:rPr>
        <w:t xml:space="preserve">Explain what other healthcare resources are used in conjunction with delivering the </w:t>
      </w:r>
      <w:r w:rsidRPr="00DD0A06">
        <w:rPr>
          <w:rFonts w:eastAsia="Segoe UI"/>
          <w:b/>
          <w:color w:val="000000"/>
          <w:u w:val="single"/>
        </w:rPr>
        <w:t>proposed health technology</w:t>
      </w:r>
      <w:r>
        <w:rPr>
          <w:rFonts w:eastAsia="Segoe UI"/>
          <w:b/>
          <w:color w:val="000000"/>
        </w:rPr>
        <w:t>:</w:t>
      </w:r>
    </w:p>
    <w:p w14:paraId="25B2932F" w14:textId="77777777" w:rsidR="00721E60" w:rsidRDefault="00721E60" w:rsidP="00721E60">
      <w:pPr>
        <w:spacing w:after="0"/>
        <w:rPr>
          <w:rFonts w:eastAsia="Segoe UI"/>
          <w:color w:val="000000"/>
        </w:rPr>
      </w:pPr>
      <w:r w:rsidRPr="618952DB">
        <w:rPr>
          <w:rFonts w:eastAsia="Segoe UI"/>
          <w:color w:val="000000" w:themeColor="text1"/>
        </w:rPr>
        <w:t>Tumour tissue specimens for testing for the target patient population may be obtained as either a fresh tissue from the recurrent disease, or from tissue specimen</w:t>
      </w:r>
      <w:r>
        <w:rPr>
          <w:rFonts w:eastAsia="Segoe UI"/>
          <w:color w:val="000000" w:themeColor="text1"/>
        </w:rPr>
        <w:t xml:space="preserve"> from primary tumour debulking surgery</w:t>
      </w:r>
      <w:r w:rsidRPr="618952DB">
        <w:rPr>
          <w:rFonts w:eastAsia="Segoe UI"/>
          <w:color w:val="000000" w:themeColor="text1"/>
        </w:rPr>
        <w:t xml:space="preserve"> to perform </w:t>
      </w:r>
      <w:r>
        <w:rPr>
          <w:rFonts w:eastAsia="Segoe UI"/>
          <w:color w:val="000000" w:themeColor="text1"/>
        </w:rPr>
        <w:t xml:space="preserve">an </w:t>
      </w:r>
      <w:r w:rsidRPr="618952DB">
        <w:rPr>
          <w:rFonts w:eastAsia="Segoe UI"/>
          <w:color w:val="000000" w:themeColor="text1"/>
        </w:rPr>
        <w:t xml:space="preserve">AKT-pathway altered tumour test. This is part of the standard diagnostic </w:t>
      </w:r>
      <w:r>
        <w:rPr>
          <w:rFonts w:eastAsia="Segoe UI"/>
          <w:color w:val="000000" w:themeColor="text1"/>
        </w:rPr>
        <w:t>process</w:t>
      </w:r>
      <w:r w:rsidRPr="618952DB">
        <w:rPr>
          <w:rFonts w:eastAsia="Segoe UI"/>
          <w:color w:val="000000" w:themeColor="text1"/>
        </w:rPr>
        <w:t xml:space="preserve">, and some </w:t>
      </w:r>
      <w:r>
        <w:rPr>
          <w:rFonts w:eastAsia="Segoe UI"/>
          <w:color w:val="000000" w:themeColor="text1"/>
        </w:rPr>
        <w:t xml:space="preserve">biomarker tests </w:t>
      </w:r>
      <w:r w:rsidRPr="618952DB">
        <w:rPr>
          <w:rFonts w:eastAsia="Segoe UI"/>
          <w:color w:val="000000" w:themeColor="text1"/>
        </w:rPr>
        <w:t xml:space="preserve">are funded via the MBS. With the availability of targeted therapies </w:t>
      </w:r>
      <w:r>
        <w:rPr>
          <w:rFonts w:eastAsia="Segoe UI"/>
          <w:color w:val="000000" w:themeColor="text1"/>
        </w:rPr>
        <w:t>from</w:t>
      </w:r>
      <w:r w:rsidRPr="618952DB">
        <w:rPr>
          <w:rFonts w:eastAsia="Segoe UI"/>
          <w:color w:val="000000" w:themeColor="text1"/>
        </w:rPr>
        <w:t xml:space="preserve"> first-line therapy, it is </w:t>
      </w:r>
      <w:r>
        <w:rPr>
          <w:rFonts w:eastAsia="Segoe UI"/>
          <w:color w:val="000000" w:themeColor="text1"/>
        </w:rPr>
        <w:t>anticipated</w:t>
      </w:r>
      <w:r w:rsidRPr="618952DB">
        <w:rPr>
          <w:rFonts w:eastAsia="Segoe UI"/>
          <w:color w:val="000000" w:themeColor="text1"/>
        </w:rPr>
        <w:t xml:space="preserve"> that the</w:t>
      </w:r>
      <w:r>
        <w:rPr>
          <w:rFonts w:eastAsia="Segoe UI"/>
          <w:color w:val="000000" w:themeColor="text1"/>
        </w:rPr>
        <w:t>re</w:t>
      </w:r>
      <w:r w:rsidRPr="618952DB">
        <w:rPr>
          <w:rFonts w:eastAsia="Segoe UI"/>
          <w:color w:val="000000" w:themeColor="text1"/>
        </w:rPr>
        <w:t xml:space="preserve"> </w:t>
      </w:r>
      <w:r>
        <w:rPr>
          <w:rFonts w:eastAsia="Segoe UI"/>
          <w:color w:val="000000" w:themeColor="text1"/>
        </w:rPr>
        <w:t>may</w:t>
      </w:r>
      <w:r w:rsidRPr="618952DB">
        <w:rPr>
          <w:rFonts w:eastAsia="Segoe UI"/>
          <w:color w:val="000000" w:themeColor="text1"/>
        </w:rPr>
        <w:t xml:space="preserve"> be a small increase in the extent of biopsies, with a minimal additional budget impact.</w:t>
      </w:r>
    </w:p>
    <w:p w14:paraId="4EC536B5" w14:textId="77777777" w:rsidR="00721E60" w:rsidRDefault="00721E60" w:rsidP="00721E60">
      <w:pPr>
        <w:spacing w:after="0"/>
        <w:rPr>
          <w:rFonts w:eastAsia="Segoe UI"/>
          <w:bCs/>
          <w:color w:val="000000"/>
        </w:rPr>
      </w:pPr>
    </w:p>
    <w:p w14:paraId="2587DA8B" w14:textId="5C7B418F" w:rsidR="00721E60" w:rsidRPr="00721E60" w:rsidRDefault="00721E60" w:rsidP="00721E60">
      <w:pPr>
        <w:spacing w:after="0"/>
        <w:rPr>
          <w:rFonts w:eastAsia="Segoe UI"/>
          <w:b/>
          <w:color w:val="000000"/>
        </w:rPr>
      </w:pPr>
      <w:r>
        <w:rPr>
          <w:rFonts w:eastAsia="Segoe UI"/>
          <w:b/>
          <w:color w:val="000000"/>
        </w:rPr>
        <w:t xml:space="preserve">Explain what other healthcare resources are used in conjunction with the </w:t>
      </w:r>
      <w:r w:rsidRPr="00DD0A06">
        <w:rPr>
          <w:rFonts w:eastAsia="Segoe UI"/>
          <w:b/>
          <w:color w:val="000000"/>
          <w:u w:val="single"/>
        </w:rPr>
        <w:t>comparator health technology</w:t>
      </w:r>
      <w:r>
        <w:rPr>
          <w:rFonts w:eastAsia="Segoe UI"/>
          <w:b/>
          <w:color w:val="000000"/>
        </w:rPr>
        <w:t>:</w:t>
      </w:r>
    </w:p>
    <w:p w14:paraId="67D7DDEF" w14:textId="77777777" w:rsidR="00721E60" w:rsidRDefault="00721E60" w:rsidP="00721E60">
      <w:pPr>
        <w:spacing w:after="0"/>
        <w:rPr>
          <w:rFonts w:eastAsia="Segoe UI"/>
          <w:bCs/>
          <w:color w:val="000000"/>
        </w:rPr>
      </w:pPr>
      <w:r>
        <w:rPr>
          <w:rFonts w:eastAsia="Segoe UI"/>
          <w:bCs/>
          <w:color w:val="000000"/>
        </w:rPr>
        <w:t>The current comparator is no comparator.</w:t>
      </w:r>
    </w:p>
    <w:p w14:paraId="5F6A190D" w14:textId="77777777" w:rsidR="00721E60" w:rsidRDefault="00721E60" w:rsidP="00721E60">
      <w:pPr>
        <w:spacing w:after="0"/>
        <w:rPr>
          <w:rFonts w:eastAsia="Segoe UI"/>
          <w:bCs/>
          <w:color w:val="000000"/>
        </w:rPr>
      </w:pPr>
    </w:p>
    <w:p w14:paraId="09FFC6CC" w14:textId="7F8EF6B1" w:rsidR="00721E60" w:rsidRPr="00721E60" w:rsidRDefault="00721E60" w:rsidP="00721E60">
      <w:pPr>
        <w:spacing w:after="0"/>
        <w:rPr>
          <w:rFonts w:eastAsia="Segoe UI"/>
          <w:b/>
          <w:color w:val="000000"/>
        </w:rPr>
      </w:pPr>
      <w:r>
        <w:rPr>
          <w:rFonts w:eastAsia="Segoe UI"/>
          <w:b/>
          <w:color w:val="000000"/>
        </w:rPr>
        <w:t xml:space="preserve">Describe and explain any differences in the healthcare resources used in conjunction with the </w:t>
      </w:r>
      <w:r w:rsidRPr="00DD0A06">
        <w:rPr>
          <w:rFonts w:eastAsia="Segoe UI"/>
          <w:b/>
          <w:color w:val="000000"/>
          <w:u w:val="single"/>
        </w:rPr>
        <w:t>proposed health technology</w:t>
      </w:r>
      <w:r>
        <w:rPr>
          <w:rFonts w:eastAsia="Segoe UI"/>
          <w:b/>
          <w:color w:val="000000"/>
        </w:rPr>
        <w:t xml:space="preserve"> vs. the </w:t>
      </w:r>
      <w:r w:rsidRPr="00DD0A06">
        <w:rPr>
          <w:rFonts w:eastAsia="Segoe UI"/>
          <w:b/>
          <w:color w:val="000000"/>
          <w:u w:val="single"/>
        </w:rPr>
        <w:t>comparator health technology</w:t>
      </w:r>
      <w:r>
        <w:rPr>
          <w:rFonts w:eastAsia="Segoe UI"/>
          <w:b/>
          <w:color w:val="000000"/>
        </w:rPr>
        <w:t>:</w:t>
      </w:r>
    </w:p>
    <w:p w14:paraId="4CA16F9E" w14:textId="31A2C76D" w:rsidR="00721E60" w:rsidRDefault="00721E60" w:rsidP="00721E60">
      <w:pPr>
        <w:rPr>
          <w:rFonts w:eastAsia="Segoe UI"/>
        </w:rPr>
      </w:pPr>
      <w:r>
        <w:rPr>
          <w:rFonts w:eastAsia="Segoe UI"/>
        </w:rPr>
        <w:t>Re-testing and/or r</w:t>
      </w:r>
      <w:r w:rsidRPr="00316B3B">
        <w:rPr>
          <w:rFonts w:eastAsia="Segoe UI"/>
        </w:rPr>
        <w:t>e</w:t>
      </w:r>
      <w:r>
        <w:rPr>
          <w:rFonts w:eastAsia="Segoe UI"/>
        </w:rPr>
        <w:t>-</w:t>
      </w:r>
      <w:r w:rsidRPr="00316B3B">
        <w:rPr>
          <w:rFonts w:eastAsia="Segoe UI"/>
        </w:rPr>
        <w:t>biopsy may be required for some patients</w:t>
      </w:r>
      <w:r>
        <w:rPr>
          <w:rFonts w:eastAsia="Segoe UI"/>
        </w:rPr>
        <w:t xml:space="preserve">. </w:t>
      </w:r>
    </w:p>
    <w:p w14:paraId="0BEA80ED" w14:textId="4CC97EEF" w:rsidR="00721E60" w:rsidRPr="00721E60" w:rsidRDefault="00721E60" w:rsidP="00721E60">
      <w:pPr>
        <w:rPr>
          <w:rFonts w:eastAsia="Segoe UI"/>
        </w:rPr>
      </w:pPr>
      <w:r>
        <w:rPr>
          <w:rFonts w:eastAsia="Segoe UI"/>
        </w:rPr>
        <w:t xml:space="preserve">In the CAPItello-291, there was a small population that did not have a viable tumour tissue sample at disease progression. These patients may be required to re-biopsy if a viable tumour tissue sample is available after disease progression, or they may benefit from a </w:t>
      </w:r>
      <w:proofErr w:type="spellStart"/>
      <w:r>
        <w:rPr>
          <w:rFonts w:eastAsia="Segoe UI"/>
        </w:rPr>
        <w:t>ctDNA</w:t>
      </w:r>
      <w:proofErr w:type="spellEnd"/>
      <w:r>
        <w:rPr>
          <w:rFonts w:eastAsia="Segoe UI"/>
        </w:rPr>
        <w:t xml:space="preserve"> test which may become </w:t>
      </w:r>
      <w:r>
        <w:rPr>
          <w:rFonts w:eastAsia="Segoe UI"/>
          <w:color w:val="000000" w:themeColor="text1"/>
        </w:rPr>
        <w:t xml:space="preserve">routinely conducted in clinical practice. </w:t>
      </w:r>
    </w:p>
    <w:p w14:paraId="1E725F75" w14:textId="77777777" w:rsidR="00721E60" w:rsidRDefault="00721E60" w:rsidP="00721E60">
      <w:pPr>
        <w:spacing w:after="0"/>
        <w:rPr>
          <w:rFonts w:eastAsia="Segoe UI"/>
          <w:b/>
          <w:color w:val="000000"/>
        </w:rPr>
      </w:pPr>
      <w:r>
        <w:rPr>
          <w:rFonts w:eastAsia="Segoe UI"/>
          <w:b/>
          <w:color w:val="000000"/>
          <w:u w:val="single"/>
        </w:rPr>
        <w:t>Clinical management after the use of</w:t>
      </w:r>
      <w:r w:rsidRPr="0090168B">
        <w:rPr>
          <w:rFonts w:eastAsia="Segoe UI"/>
          <w:b/>
          <w:color w:val="000000"/>
          <w:u w:val="single"/>
        </w:rPr>
        <w:t xml:space="preserve"> health technology</w:t>
      </w:r>
    </w:p>
    <w:p w14:paraId="24C4CFEA" w14:textId="77777777" w:rsidR="00721E60" w:rsidRDefault="00721E60" w:rsidP="00721E60">
      <w:pPr>
        <w:spacing w:after="0"/>
        <w:rPr>
          <w:rFonts w:eastAsia="Segoe UI"/>
          <w:b/>
          <w:color w:val="000000"/>
        </w:rPr>
      </w:pPr>
    </w:p>
    <w:p w14:paraId="33BC4A3D" w14:textId="69176499" w:rsidR="00721E60" w:rsidRPr="00721E60" w:rsidRDefault="00721E60" w:rsidP="00721E60">
      <w:pPr>
        <w:spacing w:after="0"/>
        <w:rPr>
          <w:rFonts w:eastAsia="Segoe UI"/>
          <w:b/>
          <w:color w:val="000000"/>
        </w:rPr>
      </w:pPr>
      <w:r>
        <w:rPr>
          <w:rFonts w:eastAsia="Segoe UI"/>
          <w:b/>
          <w:color w:val="000000"/>
        </w:rPr>
        <w:t xml:space="preserve">Define and summarise the clinical management algorithm, including any required tests or healthcare resources, </w:t>
      </w:r>
      <w:r w:rsidRPr="00DD0A06">
        <w:rPr>
          <w:rFonts w:eastAsia="Segoe UI"/>
          <w:b/>
          <w:i/>
          <w:iCs/>
          <w:color w:val="000000"/>
        </w:rPr>
        <w:t>after</w:t>
      </w:r>
      <w:r>
        <w:rPr>
          <w:rFonts w:eastAsia="Segoe UI"/>
          <w:b/>
          <w:color w:val="000000"/>
        </w:rPr>
        <w:t xml:space="preserve"> the use of the </w:t>
      </w:r>
      <w:r w:rsidRPr="00DD0A06">
        <w:rPr>
          <w:rFonts w:eastAsia="Segoe UI"/>
          <w:b/>
          <w:color w:val="000000"/>
          <w:u w:val="single"/>
        </w:rPr>
        <w:t>proposed health technology</w:t>
      </w:r>
      <w:r>
        <w:rPr>
          <w:rFonts w:eastAsia="Segoe UI"/>
          <w:b/>
          <w:color w:val="000000"/>
        </w:rPr>
        <w:t>:</w:t>
      </w:r>
    </w:p>
    <w:p w14:paraId="0CA95803" w14:textId="417B3040" w:rsidR="00721E60" w:rsidRDefault="00721E60" w:rsidP="00721E60">
      <w:pPr>
        <w:rPr>
          <w:rFonts w:eastAsia="Segoe UI"/>
        </w:rPr>
      </w:pPr>
      <w:r>
        <w:rPr>
          <w:rFonts w:eastAsia="Segoe UI"/>
        </w:rPr>
        <w:t xml:space="preserve">A clinical management algorithm is provided below. </w:t>
      </w:r>
    </w:p>
    <w:p w14:paraId="02EE41AB" w14:textId="2DF6EBF4" w:rsidR="00721E60" w:rsidRPr="00721E60" w:rsidRDefault="00721E60" w:rsidP="00721E60">
      <w:pPr>
        <w:rPr>
          <w:rFonts w:eastAsia="Segoe UI"/>
          <w:color w:val="000000" w:themeColor="text1"/>
        </w:rPr>
      </w:pPr>
      <w:r w:rsidRPr="009C525D">
        <w:rPr>
          <w:rFonts w:eastAsia="Segoe UI"/>
          <w:color w:val="000000" w:themeColor="text1"/>
        </w:rPr>
        <w:lastRenderedPageBreak/>
        <w:t xml:space="preserve">The addition of </w:t>
      </w:r>
      <w:proofErr w:type="spellStart"/>
      <w:r w:rsidRPr="009C525D">
        <w:rPr>
          <w:rFonts w:eastAsia="Segoe UI"/>
          <w:color w:val="000000" w:themeColor="text1"/>
        </w:rPr>
        <w:t>capivasertib</w:t>
      </w:r>
      <w:proofErr w:type="spellEnd"/>
      <w:r w:rsidRPr="009C525D">
        <w:rPr>
          <w:rFonts w:eastAsia="Segoe UI"/>
          <w:color w:val="000000" w:themeColor="text1"/>
        </w:rPr>
        <w:t xml:space="preserve"> to </w:t>
      </w:r>
      <w:proofErr w:type="spellStart"/>
      <w:r w:rsidRPr="009C525D">
        <w:rPr>
          <w:rFonts w:eastAsia="Segoe UI"/>
          <w:color w:val="000000" w:themeColor="text1"/>
        </w:rPr>
        <w:t>fulvestrant</w:t>
      </w:r>
      <w:proofErr w:type="spellEnd"/>
      <w:r w:rsidRPr="009C525D">
        <w:rPr>
          <w:rFonts w:eastAsia="Segoe UI"/>
          <w:color w:val="000000" w:themeColor="text1"/>
        </w:rPr>
        <w:t xml:space="preserve"> significantly improved PFS in patients with AI-resistant HR+/HER2– </w:t>
      </w:r>
      <w:r>
        <w:rPr>
          <w:rFonts w:eastAsia="Segoe UI"/>
          <w:color w:val="000000" w:themeColor="text1"/>
        </w:rPr>
        <w:t xml:space="preserve">advanced breast cancer </w:t>
      </w:r>
      <w:r w:rsidRPr="009C525D">
        <w:rPr>
          <w:rFonts w:eastAsia="Segoe UI"/>
          <w:color w:val="000000" w:themeColor="text1"/>
        </w:rPr>
        <w:t xml:space="preserve">in the overall population, with a more pronounced benefit in </w:t>
      </w:r>
      <w:r>
        <w:rPr>
          <w:rFonts w:eastAsia="Segoe UI"/>
          <w:color w:val="000000" w:themeColor="text1"/>
        </w:rPr>
        <w:t>AKT-</w:t>
      </w:r>
      <w:r w:rsidRPr="009C525D">
        <w:rPr>
          <w:rFonts w:eastAsia="Segoe UI"/>
          <w:color w:val="000000" w:themeColor="text1"/>
        </w:rPr>
        <w:t>pathway altered tumours</w:t>
      </w:r>
      <w:r>
        <w:rPr>
          <w:rFonts w:eastAsia="Segoe UI"/>
          <w:color w:val="000000" w:themeColor="text1"/>
        </w:rPr>
        <w:t xml:space="preserve"> (Turner et al 2023).</w:t>
      </w:r>
    </w:p>
    <w:p w14:paraId="5B308697" w14:textId="0B42D9FA" w:rsidR="00721E60" w:rsidRPr="00721E60" w:rsidRDefault="00721E60" w:rsidP="00721E60">
      <w:pPr>
        <w:spacing w:after="0"/>
        <w:rPr>
          <w:rFonts w:eastAsia="Segoe UI"/>
          <w:b/>
          <w:color w:val="000000"/>
        </w:rPr>
      </w:pPr>
      <w:r>
        <w:rPr>
          <w:rFonts w:eastAsia="Segoe UI"/>
          <w:b/>
          <w:color w:val="000000"/>
        </w:rPr>
        <w:t xml:space="preserve">Define and summarise the clinical management algorithm, including any required tests or healthcare resources, </w:t>
      </w:r>
      <w:r w:rsidRPr="00545A4C">
        <w:rPr>
          <w:rFonts w:eastAsia="Segoe UI"/>
          <w:b/>
          <w:i/>
          <w:iCs/>
          <w:color w:val="000000"/>
        </w:rPr>
        <w:t>after</w:t>
      </w:r>
      <w:r>
        <w:rPr>
          <w:rFonts w:eastAsia="Segoe UI"/>
          <w:b/>
          <w:color w:val="000000"/>
        </w:rPr>
        <w:t xml:space="preserve"> the use of the </w:t>
      </w:r>
      <w:r w:rsidRPr="00545A4C">
        <w:rPr>
          <w:rFonts w:eastAsia="Segoe UI"/>
          <w:b/>
          <w:color w:val="000000"/>
          <w:u w:val="single"/>
        </w:rPr>
        <w:t>comparator health technology</w:t>
      </w:r>
      <w:r>
        <w:rPr>
          <w:rFonts w:eastAsia="Segoe UI"/>
          <w:b/>
          <w:color w:val="000000"/>
        </w:rPr>
        <w:t>:</w:t>
      </w:r>
    </w:p>
    <w:p w14:paraId="236C9076" w14:textId="05EE876B" w:rsidR="00721E60" w:rsidRPr="00721E60" w:rsidRDefault="00721E60" w:rsidP="00721E60">
      <w:pPr>
        <w:rPr>
          <w:rFonts w:eastAsia="Segoe UI"/>
          <w:color w:val="000000"/>
        </w:rPr>
      </w:pPr>
      <w:r w:rsidRPr="618952DB">
        <w:rPr>
          <w:rFonts w:eastAsia="Segoe UI"/>
        </w:rPr>
        <w:t xml:space="preserve">Patients diagnosed with HR+/HER2– breast cancer generally initially receive endocrine therapy such as tamoxifen or an aromatase inhibitor. Initial endocrine therapy may have been in the adjuvant setting, or as first-line therapy for </w:t>
      </w:r>
      <w:r w:rsidRPr="007A217C">
        <w:rPr>
          <w:rFonts w:eastAsia="Segoe UI"/>
          <w:i/>
        </w:rPr>
        <w:t>de novo</w:t>
      </w:r>
      <w:r w:rsidRPr="618952DB">
        <w:rPr>
          <w:rFonts w:eastAsia="Segoe UI"/>
        </w:rPr>
        <w:t xml:space="preserve"> advanced breast cancer. More recently, a CDK inhibitor may be used in combination with the non-steroidal aromatase inhibitor in the advanced breast cancer setting.</w:t>
      </w:r>
    </w:p>
    <w:p w14:paraId="60D78DA3" w14:textId="1EB0F688" w:rsidR="00721E60" w:rsidRPr="00721E60" w:rsidRDefault="00721E60" w:rsidP="00721E60">
      <w:pPr>
        <w:spacing w:after="0"/>
        <w:rPr>
          <w:rFonts w:eastAsia="Segoe UI"/>
          <w:b/>
          <w:color w:val="000000"/>
        </w:rPr>
      </w:pPr>
      <w:r>
        <w:rPr>
          <w:rFonts w:eastAsia="Segoe UI"/>
          <w:b/>
          <w:color w:val="000000"/>
        </w:rPr>
        <w:t xml:space="preserve">Describe and explain any differences in the healthcare resources used </w:t>
      </w:r>
      <w:r w:rsidRPr="00545A4C">
        <w:rPr>
          <w:rFonts w:eastAsia="Segoe UI"/>
          <w:b/>
          <w:i/>
          <w:iCs/>
          <w:color w:val="000000"/>
        </w:rPr>
        <w:t>after</w:t>
      </w:r>
      <w:r>
        <w:rPr>
          <w:rFonts w:eastAsia="Segoe UI"/>
          <w:b/>
          <w:color w:val="000000"/>
        </w:rPr>
        <w:t xml:space="preserve"> the </w:t>
      </w:r>
      <w:r w:rsidRPr="00545A4C">
        <w:rPr>
          <w:rFonts w:eastAsia="Segoe UI"/>
          <w:b/>
          <w:color w:val="000000"/>
          <w:u w:val="single"/>
        </w:rPr>
        <w:t>proposed health technology</w:t>
      </w:r>
      <w:r>
        <w:rPr>
          <w:rFonts w:eastAsia="Segoe UI"/>
          <w:b/>
          <w:color w:val="000000"/>
        </w:rPr>
        <w:t xml:space="preserve"> vs. the </w:t>
      </w:r>
      <w:r w:rsidRPr="00545A4C">
        <w:rPr>
          <w:rFonts w:eastAsia="Segoe UI"/>
          <w:b/>
          <w:color w:val="000000"/>
          <w:u w:val="single"/>
        </w:rPr>
        <w:t>comparator health technology</w:t>
      </w:r>
      <w:r>
        <w:rPr>
          <w:rFonts w:eastAsia="Segoe UI"/>
          <w:b/>
          <w:color w:val="000000"/>
        </w:rPr>
        <w:t>:</w:t>
      </w:r>
    </w:p>
    <w:p w14:paraId="4861829A" w14:textId="77777777" w:rsidR="00721E60" w:rsidRDefault="00721E60" w:rsidP="00721E60">
      <w:pPr>
        <w:rPr>
          <w:rFonts w:eastAsia="Segoe UI"/>
        </w:rPr>
      </w:pPr>
      <w:r>
        <w:rPr>
          <w:rFonts w:eastAsia="Segoe UI"/>
        </w:rPr>
        <w:t>As shown in the clinical algorithm below, t</w:t>
      </w:r>
      <w:r w:rsidRPr="002B1D03">
        <w:rPr>
          <w:rFonts w:eastAsia="Segoe UI"/>
        </w:rPr>
        <w:t xml:space="preserve">here are a number of treatment options available in the </w:t>
      </w:r>
      <w:proofErr w:type="gramStart"/>
      <w:r w:rsidRPr="002B1D03">
        <w:rPr>
          <w:rFonts w:eastAsia="Segoe UI"/>
        </w:rPr>
        <w:t>second-line</w:t>
      </w:r>
      <w:proofErr w:type="gramEnd"/>
      <w:r>
        <w:rPr>
          <w:rFonts w:eastAsia="Segoe UI"/>
        </w:rPr>
        <w:t xml:space="preserve"> </w:t>
      </w:r>
      <w:r w:rsidRPr="002B1D03">
        <w:rPr>
          <w:rFonts w:eastAsia="Segoe UI"/>
        </w:rPr>
        <w:t>setting. Patients may subsequently move between these treatment options for later lines of therapy,</w:t>
      </w:r>
      <w:r>
        <w:rPr>
          <w:rFonts w:eastAsia="Segoe UI"/>
        </w:rPr>
        <w:t xml:space="preserve"> </w:t>
      </w:r>
      <w:r w:rsidRPr="002B1D03">
        <w:rPr>
          <w:rFonts w:eastAsia="Segoe UI"/>
        </w:rPr>
        <w:t>including moving to best supportive care.</w:t>
      </w:r>
    </w:p>
    <w:p w14:paraId="5FDC265C" w14:textId="77777777" w:rsidR="00721E60" w:rsidRDefault="00721E60" w:rsidP="00721E60">
      <w:pPr>
        <w:spacing w:after="0"/>
        <w:rPr>
          <w:rFonts w:eastAsia="Segoe UI"/>
          <w:bCs/>
          <w:color w:val="000000"/>
        </w:rPr>
      </w:pPr>
    </w:p>
    <w:p w14:paraId="1BB87E27" w14:textId="53785E78" w:rsidR="00721E60" w:rsidRPr="00F16239" w:rsidRDefault="00721E60" w:rsidP="00721E60">
      <w:pPr>
        <w:rPr>
          <w:rFonts w:eastAsia="Segoe UI"/>
          <w:b/>
          <w:color w:val="000000"/>
          <w:u w:val="single"/>
        </w:rPr>
      </w:pPr>
      <w:r w:rsidRPr="00F16239">
        <w:rPr>
          <w:rFonts w:eastAsia="Segoe UI"/>
          <w:b/>
          <w:color w:val="000000"/>
          <w:u w:val="single"/>
        </w:rPr>
        <w:t>Algorithms</w:t>
      </w:r>
    </w:p>
    <w:p w14:paraId="39D34063" w14:textId="77777777" w:rsidR="004302F1" w:rsidRDefault="00721E60" w:rsidP="00721E60">
      <w:pPr>
        <w:rPr>
          <w:noProof/>
        </w:rPr>
      </w:pPr>
      <w:r>
        <w:rPr>
          <w:rFonts w:eastAsia="Segoe UI"/>
          <w:b/>
          <w:color w:val="000000"/>
        </w:rPr>
        <w:t>Insert diagrams demonstrating the clinical management algorithm with and without the proposed health technology:</w:t>
      </w:r>
      <w:r w:rsidR="004302F1" w:rsidRPr="004302F1">
        <w:rPr>
          <w:noProof/>
        </w:rPr>
        <w:t xml:space="preserve"> </w:t>
      </w:r>
    </w:p>
    <w:p w14:paraId="2A9CA282" w14:textId="7321E86E" w:rsidR="00721E60" w:rsidRDefault="004302F1" w:rsidP="00721E60">
      <w:pPr>
        <w:rPr>
          <w:rFonts w:eastAsia="Segoe UI"/>
          <w:bCs/>
          <w:color w:val="000000"/>
        </w:rPr>
      </w:pPr>
      <w:r>
        <w:rPr>
          <w:noProof/>
        </w:rPr>
        <w:drawing>
          <wp:inline distT="0" distB="0" distL="0" distR="0" wp14:anchorId="571A776A" wp14:editId="33031D98">
            <wp:extent cx="6016625" cy="3384550"/>
            <wp:effectExtent l="0" t="0" r="3175"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6016625" cy="3384550"/>
                    </a:xfrm>
                    <a:prstGeom prst="rect">
                      <a:avLst/>
                    </a:prstGeom>
                  </pic:spPr>
                </pic:pic>
              </a:graphicData>
            </a:graphic>
          </wp:inline>
        </w:drawing>
      </w:r>
    </w:p>
    <w:p w14:paraId="5BB669F7" w14:textId="77777777" w:rsidR="004302F1" w:rsidRDefault="004302F1" w:rsidP="004302F1">
      <w:pPr>
        <w:keepNext/>
        <w:keepLines/>
        <w:spacing w:after="0"/>
        <w:rPr>
          <w:rFonts w:eastAsia="Segoe UI"/>
          <w:b/>
          <w:color w:val="000000"/>
          <w:sz w:val="20"/>
          <w:szCs w:val="20"/>
        </w:rPr>
      </w:pPr>
      <w:r>
        <w:rPr>
          <w:rFonts w:eastAsia="Segoe UI"/>
          <w:b/>
          <w:color w:val="000000"/>
          <w:sz w:val="20"/>
          <w:szCs w:val="20"/>
        </w:rPr>
        <w:t>Figure</w:t>
      </w:r>
      <w:r w:rsidRPr="00E9091B">
        <w:rPr>
          <w:rFonts w:eastAsia="Segoe UI"/>
          <w:b/>
          <w:color w:val="000000"/>
          <w:sz w:val="20"/>
          <w:szCs w:val="20"/>
        </w:rPr>
        <w:t xml:space="preserve"> 1: Current treatment algorithm in patients with HR+/HER2- breast cancer</w:t>
      </w:r>
    </w:p>
    <w:p w14:paraId="76DEC848" w14:textId="77777777" w:rsidR="004302F1" w:rsidRDefault="004302F1" w:rsidP="00721E60">
      <w:pPr>
        <w:rPr>
          <w:rFonts w:eastAsia="Segoe UI"/>
          <w:bCs/>
          <w:color w:val="000000"/>
        </w:rPr>
      </w:pPr>
    </w:p>
    <w:p w14:paraId="6A306E3C" w14:textId="1C368891" w:rsidR="00721E60" w:rsidRPr="00E9091B" w:rsidRDefault="004302F1" w:rsidP="00721E60">
      <w:pPr>
        <w:keepNext/>
        <w:keepLines/>
        <w:spacing w:after="0"/>
        <w:rPr>
          <w:rFonts w:eastAsia="Segoe UI"/>
          <w:b/>
          <w:color w:val="000000"/>
          <w:sz w:val="20"/>
          <w:szCs w:val="20"/>
        </w:rPr>
      </w:pPr>
      <w:r>
        <w:rPr>
          <w:noProof/>
        </w:rPr>
        <w:lastRenderedPageBreak/>
        <w:drawing>
          <wp:inline distT="0" distB="0" distL="0" distR="0" wp14:anchorId="00755409" wp14:editId="6C693C2D">
            <wp:extent cx="6016625" cy="3384550"/>
            <wp:effectExtent l="0" t="0" r="3175" b="635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016625" cy="3384550"/>
                    </a:xfrm>
                    <a:prstGeom prst="rect">
                      <a:avLst/>
                    </a:prstGeom>
                  </pic:spPr>
                </pic:pic>
              </a:graphicData>
            </a:graphic>
          </wp:inline>
        </w:drawing>
      </w:r>
    </w:p>
    <w:p w14:paraId="34DCC092" w14:textId="1E7CB6DD" w:rsidR="00721E60" w:rsidRDefault="00721E60" w:rsidP="00721E60">
      <w:pPr>
        <w:rPr>
          <w:rFonts w:eastAsia="Segoe UI"/>
          <w:bCs/>
          <w:color w:val="000000"/>
        </w:rPr>
      </w:pPr>
      <w:r>
        <w:rPr>
          <w:rFonts w:eastAsia="Segoe UI"/>
          <w:b/>
          <w:color w:val="000000"/>
          <w:sz w:val="20"/>
          <w:szCs w:val="20"/>
        </w:rPr>
        <w:t>Figure</w:t>
      </w:r>
      <w:r w:rsidRPr="00E9091B">
        <w:rPr>
          <w:rFonts w:eastAsia="Segoe UI"/>
          <w:b/>
          <w:color w:val="000000"/>
          <w:sz w:val="20"/>
          <w:szCs w:val="20"/>
        </w:rPr>
        <w:t xml:space="preserve"> 2: Revised treatment algorithm in patients with HR+/HER2- breast cancer (</w:t>
      </w:r>
      <w:proofErr w:type="spellStart"/>
      <w:r w:rsidRPr="00E9091B">
        <w:rPr>
          <w:rFonts w:eastAsia="Segoe UI"/>
          <w:b/>
          <w:color w:val="000000"/>
          <w:sz w:val="20"/>
          <w:szCs w:val="20"/>
        </w:rPr>
        <w:t>capivasertib</w:t>
      </w:r>
      <w:proofErr w:type="spellEnd"/>
      <w:r w:rsidRPr="00E9091B">
        <w:rPr>
          <w:rFonts w:eastAsia="Segoe UI"/>
          <w:b/>
          <w:color w:val="000000"/>
          <w:sz w:val="20"/>
          <w:szCs w:val="20"/>
        </w:rPr>
        <w:t>)</w:t>
      </w:r>
    </w:p>
    <w:p w14:paraId="1953CBDC" w14:textId="77777777" w:rsidR="004302F1" w:rsidRDefault="004302F1" w:rsidP="00721E60">
      <w:pPr>
        <w:rPr>
          <w:rFonts w:eastAsia="Segoe UI"/>
          <w:b/>
          <w:color w:val="000000"/>
          <w:sz w:val="32"/>
        </w:rPr>
      </w:pPr>
    </w:p>
    <w:p w14:paraId="0DD37AB8" w14:textId="3E673B1E" w:rsidR="00721E60" w:rsidRPr="00721E60" w:rsidRDefault="00721E60" w:rsidP="00721E60">
      <w:pPr>
        <w:rPr>
          <w:rFonts w:eastAsia="Segoe UI"/>
          <w:bCs/>
          <w:color w:val="000000"/>
        </w:rPr>
      </w:pPr>
      <w:r>
        <w:rPr>
          <w:rFonts w:eastAsia="Segoe UI"/>
          <w:b/>
          <w:color w:val="000000"/>
          <w:sz w:val="32"/>
        </w:rPr>
        <w:t>Claims</w:t>
      </w:r>
    </w:p>
    <w:p w14:paraId="0517AC8E" w14:textId="77777777" w:rsidR="00721E60" w:rsidRDefault="00721E60" w:rsidP="00721E60">
      <w:pPr>
        <w:rPr>
          <w:rFonts w:eastAsia="Segoe UI"/>
          <w:bCs/>
          <w:color w:val="000000"/>
        </w:rPr>
      </w:pPr>
      <w:bookmarkStart w:id="5" w:name="_Hlk121218597"/>
      <w:r>
        <w:rPr>
          <w:rFonts w:eastAsia="Segoe UI"/>
          <w:b/>
          <w:color w:val="000000"/>
        </w:rPr>
        <w:t xml:space="preserve">In terms of health outcomes (comparative benefits and harms), is the proposed technology claimed to be superior, non-inferior or inferior to the comparator(s)? </w:t>
      </w:r>
      <w:r w:rsidRPr="00B63A61">
        <w:rPr>
          <w:rFonts w:eastAsia="Segoe UI"/>
          <w:bCs/>
          <w:color w:val="000000"/>
        </w:rPr>
        <w:t>(</w:t>
      </w:r>
      <w:proofErr w:type="gramStart"/>
      <w:r w:rsidRPr="00B63A61">
        <w:rPr>
          <w:rFonts w:eastAsia="Segoe UI"/>
          <w:bCs/>
          <w:color w:val="000000"/>
        </w:rPr>
        <w:t>please</w:t>
      </w:r>
      <w:proofErr w:type="gramEnd"/>
      <w:r w:rsidRPr="00B63A61">
        <w:rPr>
          <w:rFonts w:eastAsia="Segoe UI"/>
          <w:bCs/>
          <w:color w:val="000000"/>
        </w:rPr>
        <w:t xml:space="preserve"> </w:t>
      </w:r>
      <w:r>
        <w:rPr>
          <w:rFonts w:eastAsia="Segoe UI"/>
          <w:bCs/>
          <w:color w:val="000000"/>
        </w:rPr>
        <w:t>select</w:t>
      </w:r>
      <w:r w:rsidRPr="00B63A61">
        <w:rPr>
          <w:rFonts w:eastAsia="Segoe UI"/>
          <w:bCs/>
          <w:color w:val="000000"/>
        </w:rPr>
        <w:t xml:space="preserve"> your response)</w:t>
      </w:r>
    </w:p>
    <w:p w14:paraId="7843708A" w14:textId="77777777" w:rsidR="00721E60" w:rsidRPr="000627EF" w:rsidRDefault="00721E60" w:rsidP="00721E6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Superior</w:t>
      </w:r>
      <w:r w:rsidRPr="000627EF">
        <w:rPr>
          <w:rFonts w:ascii="Segoe UI" w:hAnsi="Segoe UI" w:cs="Segoe UI"/>
          <w:sz w:val="22"/>
          <w:szCs w:val="22"/>
        </w:rPr>
        <w:t xml:space="preserve"> </w:t>
      </w:r>
    </w:p>
    <w:p w14:paraId="4E415DBC" w14:textId="77777777" w:rsidR="00721E60" w:rsidRPr="000627EF" w:rsidRDefault="00721E60" w:rsidP="00721E60">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Non-inferior</w:t>
      </w:r>
    </w:p>
    <w:p w14:paraId="27C6AD25" w14:textId="5AEC3EAA" w:rsidR="00721E60" w:rsidRPr="00E213B1" w:rsidRDefault="00721E60" w:rsidP="00E213B1">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Inferior</w:t>
      </w:r>
      <w:r w:rsidRPr="000627EF">
        <w:rPr>
          <w:rFonts w:ascii="Segoe UI" w:hAnsi="Segoe UI" w:cs="Segoe UI"/>
          <w:sz w:val="22"/>
          <w:szCs w:val="22"/>
        </w:rPr>
        <w:t xml:space="preserve"> </w:t>
      </w:r>
    </w:p>
    <w:p w14:paraId="0BED2B8D" w14:textId="77777777" w:rsidR="00721E60" w:rsidRDefault="00721E60" w:rsidP="00721E60">
      <w:pPr>
        <w:spacing w:after="0"/>
        <w:rPr>
          <w:rFonts w:eastAsia="Segoe UI"/>
          <w:b/>
          <w:color w:val="000000"/>
        </w:rPr>
      </w:pPr>
    </w:p>
    <w:p w14:paraId="090A32BE" w14:textId="342CE031" w:rsidR="00721E60" w:rsidRPr="00E213B1" w:rsidRDefault="00721E60" w:rsidP="00721E60">
      <w:pPr>
        <w:spacing w:after="0"/>
        <w:rPr>
          <w:rFonts w:eastAsia="Segoe UI"/>
          <w:b/>
          <w:color w:val="000000"/>
        </w:rPr>
      </w:pPr>
      <w:r w:rsidRPr="0026282C">
        <w:rPr>
          <w:rFonts w:eastAsia="Segoe UI"/>
          <w:b/>
          <w:bCs/>
          <w:color w:val="000000"/>
        </w:rPr>
        <w:t>Please state what the overall claim is, and provide a rationale</w:t>
      </w:r>
      <w:r w:rsidRPr="00B15CDF">
        <w:rPr>
          <w:rFonts w:eastAsia="Segoe UI"/>
          <w:b/>
          <w:color w:val="000000"/>
        </w:rPr>
        <w:t>:</w:t>
      </w:r>
    </w:p>
    <w:p w14:paraId="67496050" w14:textId="77777777" w:rsidR="00721E60" w:rsidRDefault="00721E60" w:rsidP="00721E60">
      <w:pPr>
        <w:spacing w:after="0"/>
        <w:rPr>
          <w:rFonts w:eastAsia="Segoe UI"/>
          <w:bCs/>
          <w:color w:val="000000"/>
        </w:rPr>
      </w:pPr>
      <w:r w:rsidRPr="00AA50AB">
        <w:rPr>
          <w:rFonts w:eastAsia="Segoe UI"/>
          <w:bCs/>
          <w:color w:val="000000"/>
        </w:rPr>
        <w:t xml:space="preserve">Superiority vs. No testing + standard of care </w:t>
      </w:r>
      <w:r>
        <w:rPr>
          <w:rFonts w:eastAsia="Segoe UI"/>
          <w:bCs/>
          <w:color w:val="000000"/>
        </w:rPr>
        <w:t>therapy</w:t>
      </w:r>
    </w:p>
    <w:p w14:paraId="0500CD3C" w14:textId="77777777" w:rsidR="00721E60" w:rsidRDefault="00721E60" w:rsidP="00721E60">
      <w:pPr>
        <w:spacing w:after="0"/>
        <w:rPr>
          <w:rFonts w:eastAsia="Segoe UI"/>
          <w:bCs/>
          <w:color w:val="000000"/>
        </w:rPr>
      </w:pPr>
    </w:p>
    <w:bookmarkEnd w:id="5"/>
    <w:p w14:paraId="21BCF6AA" w14:textId="38A188E0" w:rsidR="00721E60" w:rsidRPr="00E213B1" w:rsidRDefault="00721E60" w:rsidP="00721E60">
      <w:pPr>
        <w:spacing w:after="0"/>
        <w:rPr>
          <w:rFonts w:eastAsia="Segoe UI"/>
          <w:b/>
          <w:color w:val="000000"/>
        </w:rPr>
      </w:pPr>
      <w:r>
        <w:rPr>
          <w:rFonts w:eastAsia="Segoe UI"/>
          <w:b/>
          <w:color w:val="000000"/>
        </w:rPr>
        <w:t>Why would the requestor seek to use the proposed investigative technology rather than the comparator(s)?</w:t>
      </w:r>
    </w:p>
    <w:p w14:paraId="694FA289" w14:textId="77777777" w:rsidR="00721E60" w:rsidRDefault="00721E60" w:rsidP="00721E60">
      <w:pPr>
        <w:spacing w:after="0"/>
        <w:rPr>
          <w:rFonts w:eastAsia="Segoe UI"/>
          <w:color w:val="000000" w:themeColor="text1"/>
        </w:rPr>
      </w:pPr>
      <w:r w:rsidRPr="618952DB">
        <w:rPr>
          <w:rFonts w:eastAsia="Segoe UI"/>
          <w:color w:val="000000" w:themeColor="text1"/>
        </w:rPr>
        <w:t xml:space="preserve">This application requests public funding for AKT-pathway altered (PIK3CA, AKT1 or PTEN) tumours to be included in an NGS panel as a </w:t>
      </w:r>
      <w:r>
        <w:rPr>
          <w:rFonts w:eastAsia="Segoe UI"/>
          <w:color w:val="000000" w:themeColor="text1"/>
        </w:rPr>
        <w:t xml:space="preserve">diagnostic service </w:t>
      </w:r>
      <w:r w:rsidRPr="618952DB">
        <w:rPr>
          <w:rFonts w:eastAsia="Segoe UI"/>
          <w:color w:val="000000" w:themeColor="text1"/>
        </w:rPr>
        <w:t xml:space="preserve">to determine eligibility for </w:t>
      </w:r>
      <w:proofErr w:type="spellStart"/>
      <w:r w:rsidRPr="618952DB">
        <w:rPr>
          <w:rFonts w:eastAsia="Segoe UI"/>
          <w:color w:val="000000" w:themeColor="text1"/>
        </w:rPr>
        <w:t>capivasertib</w:t>
      </w:r>
      <w:proofErr w:type="spellEnd"/>
      <w:r w:rsidRPr="618952DB">
        <w:rPr>
          <w:rFonts w:eastAsia="Segoe UI"/>
          <w:color w:val="000000" w:themeColor="text1"/>
        </w:rPr>
        <w:t xml:space="preserve"> in combination with </w:t>
      </w:r>
      <w:proofErr w:type="spellStart"/>
      <w:r w:rsidRPr="618952DB">
        <w:rPr>
          <w:rFonts w:eastAsia="Segoe UI"/>
          <w:color w:val="000000" w:themeColor="text1"/>
        </w:rPr>
        <w:t>fulvestrant</w:t>
      </w:r>
      <w:proofErr w:type="spellEnd"/>
      <w:r w:rsidRPr="618952DB">
        <w:rPr>
          <w:rFonts w:eastAsia="Segoe UI"/>
          <w:color w:val="000000" w:themeColor="text1"/>
        </w:rPr>
        <w:t xml:space="preserve"> treatment for patients with locally advanced (inoperable) or metastatic HR+/HER2- breast cancer following recurrence or progression on or after aromatase inhibitor therapy, with or without a CDK4/6 inhibitor. </w:t>
      </w:r>
    </w:p>
    <w:p w14:paraId="2F1B4640" w14:textId="77777777" w:rsidR="00721E60" w:rsidRDefault="00721E60" w:rsidP="00721E60">
      <w:pPr>
        <w:spacing w:after="0"/>
        <w:rPr>
          <w:rFonts w:eastAsia="Segoe UI"/>
          <w:bCs/>
          <w:color w:val="000000"/>
        </w:rPr>
      </w:pPr>
    </w:p>
    <w:p w14:paraId="4462CEFB" w14:textId="77777777" w:rsidR="00721E60" w:rsidRDefault="00721E60" w:rsidP="00721E60">
      <w:pPr>
        <w:spacing w:after="0"/>
        <w:rPr>
          <w:rFonts w:eastAsia="Segoe UI"/>
          <w:bCs/>
          <w:color w:val="000000"/>
        </w:rPr>
      </w:pPr>
      <w:r>
        <w:rPr>
          <w:rFonts w:eastAsia="Segoe UI"/>
          <w:bCs/>
          <w:color w:val="000000"/>
        </w:rPr>
        <w:t xml:space="preserve">In the CAPItello-291, there was a small population that did not have a viable tumour tissue sample at disease progression. These patients may be required to re-biopsy if a viable tumour tissue sample is available after disease </w:t>
      </w:r>
      <w:proofErr w:type="gramStart"/>
      <w:r>
        <w:rPr>
          <w:rFonts w:eastAsia="Segoe UI"/>
          <w:bCs/>
          <w:color w:val="000000"/>
        </w:rPr>
        <w:t>progression</w:t>
      </w:r>
      <w:proofErr w:type="gramEnd"/>
      <w:r>
        <w:rPr>
          <w:rFonts w:eastAsia="Segoe UI"/>
          <w:bCs/>
          <w:color w:val="000000"/>
        </w:rPr>
        <w:t xml:space="preserve"> or they may benefit from a </w:t>
      </w:r>
      <w:proofErr w:type="spellStart"/>
      <w:r>
        <w:rPr>
          <w:rFonts w:eastAsia="Segoe UI"/>
          <w:bCs/>
          <w:color w:val="000000"/>
        </w:rPr>
        <w:t>ctDNA</w:t>
      </w:r>
      <w:proofErr w:type="spellEnd"/>
      <w:r>
        <w:rPr>
          <w:rFonts w:eastAsia="Segoe UI"/>
          <w:bCs/>
          <w:color w:val="000000"/>
        </w:rPr>
        <w:t xml:space="preserve"> test which may become </w:t>
      </w:r>
      <w:r>
        <w:rPr>
          <w:rFonts w:eastAsia="Segoe UI"/>
          <w:color w:val="000000" w:themeColor="text1"/>
        </w:rPr>
        <w:t xml:space="preserve">routinely conducted in clinical practice. </w:t>
      </w:r>
    </w:p>
    <w:p w14:paraId="1DAB42D6" w14:textId="77777777" w:rsidR="00721E60" w:rsidRDefault="00721E60" w:rsidP="00721E60">
      <w:pPr>
        <w:spacing w:after="0"/>
        <w:rPr>
          <w:rFonts w:eastAsia="Segoe UI"/>
          <w:bCs/>
          <w:color w:val="000000"/>
        </w:rPr>
      </w:pPr>
    </w:p>
    <w:p w14:paraId="7B36A940" w14:textId="77777777" w:rsidR="004302F1" w:rsidRDefault="004302F1">
      <w:pPr>
        <w:spacing w:line="259" w:lineRule="auto"/>
        <w:rPr>
          <w:rFonts w:eastAsia="Segoe UI"/>
          <w:b/>
          <w:color w:val="000000"/>
        </w:rPr>
      </w:pPr>
      <w:r>
        <w:rPr>
          <w:rFonts w:eastAsia="Segoe UI"/>
          <w:b/>
          <w:color w:val="000000"/>
        </w:rPr>
        <w:br w:type="page"/>
      </w:r>
    </w:p>
    <w:p w14:paraId="19433375" w14:textId="3EC08838" w:rsidR="00721E60" w:rsidRPr="00E213B1" w:rsidRDefault="00721E60" w:rsidP="00721E60">
      <w:pPr>
        <w:spacing w:after="0"/>
        <w:rPr>
          <w:rFonts w:eastAsia="Segoe UI"/>
          <w:b/>
          <w:color w:val="000000"/>
        </w:rPr>
      </w:pPr>
      <w:r w:rsidRPr="00B15CDF">
        <w:rPr>
          <w:rFonts w:eastAsia="Segoe UI"/>
          <w:b/>
          <w:color w:val="000000"/>
        </w:rPr>
        <w:lastRenderedPageBreak/>
        <w:t>Identify how the proposed technology achieves the intended patient outcomes</w:t>
      </w:r>
      <w:r>
        <w:rPr>
          <w:rFonts w:eastAsia="Segoe UI"/>
          <w:b/>
          <w:color w:val="000000"/>
        </w:rPr>
        <w:t>:</w:t>
      </w:r>
    </w:p>
    <w:p w14:paraId="4219D124" w14:textId="77777777" w:rsidR="00721E60" w:rsidRDefault="00721E60" w:rsidP="00721E60">
      <w:pPr>
        <w:spacing w:after="0"/>
        <w:rPr>
          <w:rFonts w:eastAsia="Segoe UI"/>
          <w:color w:val="000000"/>
        </w:rPr>
      </w:pPr>
      <w:r w:rsidRPr="618952DB">
        <w:rPr>
          <w:rFonts w:eastAsia="Segoe UI"/>
          <w:color w:val="000000" w:themeColor="text1"/>
        </w:rPr>
        <w:t xml:space="preserve">In the CAPItello-291 trial, the addition of </w:t>
      </w:r>
      <w:proofErr w:type="spellStart"/>
      <w:r w:rsidRPr="618952DB">
        <w:rPr>
          <w:rFonts w:eastAsia="Segoe UI"/>
          <w:color w:val="000000" w:themeColor="text1"/>
        </w:rPr>
        <w:t>capivasertib</w:t>
      </w:r>
      <w:proofErr w:type="spellEnd"/>
      <w:r w:rsidRPr="618952DB">
        <w:rPr>
          <w:rFonts w:eastAsia="Segoe UI"/>
          <w:color w:val="000000" w:themeColor="text1"/>
        </w:rPr>
        <w:t xml:space="preserve"> to </w:t>
      </w:r>
      <w:proofErr w:type="spellStart"/>
      <w:r w:rsidRPr="618952DB">
        <w:rPr>
          <w:rFonts w:eastAsia="Segoe UI"/>
          <w:color w:val="000000" w:themeColor="text1"/>
        </w:rPr>
        <w:t>fulvestrant</w:t>
      </w:r>
      <w:proofErr w:type="spellEnd"/>
      <w:r w:rsidRPr="618952DB">
        <w:rPr>
          <w:rFonts w:eastAsia="Segoe UI"/>
          <w:color w:val="000000" w:themeColor="text1"/>
        </w:rPr>
        <w:t xml:space="preserve"> treatment led to a significant improvement, in progression-free survival among patients with AKT pathway altered (PIK3CA, AKT1 or PTEN) tumours and hormone receptor– positive, advanced breast cancer who had disease progression during or after previous endocrine therapy, with or without a CDK4/6 inhibitor</w:t>
      </w:r>
      <w:r>
        <w:rPr>
          <w:rFonts w:eastAsia="Segoe UI"/>
          <w:color w:val="000000" w:themeColor="text1"/>
        </w:rPr>
        <w:t xml:space="preserve">, compared to treatment with </w:t>
      </w:r>
      <w:proofErr w:type="spellStart"/>
      <w:r>
        <w:rPr>
          <w:rFonts w:eastAsia="Segoe UI"/>
          <w:color w:val="000000" w:themeColor="text1"/>
        </w:rPr>
        <w:t>fulvestrant</w:t>
      </w:r>
      <w:proofErr w:type="spellEnd"/>
      <w:r>
        <w:rPr>
          <w:rFonts w:eastAsia="Segoe UI"/>
          <w:color w:val="000000" w:themeColor="text1"/>
        </w:rPr>
        <w:t xml:space="preserve"> alone</w:t>
      </w:r>
      <w:r w:rsidRPr="618952DB">
        <w:rPr>
          <w:rFonts w:eastAsia="Segoe UI"/>
          <w:color w:val="000000" w:themeColor="text1"/>
        </w:rPr>
        <w:t>. Diarrh</w:t>
      </w:r>
      <w:r>
        <w:rPr>
          <w:rFonts w:eastAsia="Segoe UI"/>
          <w:color w:val="000000" w:themeColor="text1"/>
        </w:rPr>
        <w:t>o</w:t>
      </w:r>
      <w:r w:rsidRPr="618952DB">
        <w:rPr>
          <w:rFonts w:eastAsia="Segoe UI"/>
          <w:color w:val="000000" w:themeColor="text1"/>
        </w:rPr>
        <w:t xml:space="preserve">ea and rash were the main adverse events in patients treated with </w:t>
      </w:r>
      <w:proofErr w:type="spellStart"/>
      <w:r w:rsidRPr="618952DB">
        <w:rPr>
          <w:rFonts w:eastAsia="Segoe UI"/>
          <w:color w:val="000000" w:themeColor="text1"/>
        </w:rPr>
        <w:t>capivasertib</w:t>
      </w:r>
      <w:proofErr w:type="spellEnd"/>
      <w:r>
        <w:rPr>
          <w:rFonts w:eastAsia="Segoe UI"/>
          <w:color w:val="000000" w:themeColor="text1"/>
        </w:rPr>
        <w:t xml:space="preserve"> + </w:t>
      </w:r>
      <w:proofErr w:type="spellStart"/>
      <w:r>
        <w:rPr>
          <w:rFonts w:eastAsia="Segoe UI"/>
          <w:color w:val="000000" w:themeColor="text1"/>
        </w:rPr>
        <w:t>fulvestrant</w:t>
      </w:r>
      <w:proofErr w:type="spellEnd"/>
      <w:r w:rsidRPr="618952DB">
        <w:rPr>
          <w:rFonts w:eastAsia="Segoe UI"/>
          <w:color w:val="000000" w:themeColor="text1"/>
        </w:rPr>
        <w:t>.</w:t>
      </w:r>
    </w:p>
    <w:p w14:paraId="73793069" w14:textId="77777777" w:rsidR="00721E60" w:rsidRDefault="00721E60" w:rsidP="00721E60">
      <w:pPr>
        <w:spacing w:after="0"/>
        <w:rPr>
          <w:rFonts w:eastAsia="Segoe UI"/>
          <w:bCs/>
          <w:color w:val="000000"/>
        </w:rPr>
      </w:pPr>
    </w:p>
    <w:p w14:paraId="0B432049" w14:textId="0C63956F" w:rsidR="00721E60" w:rsidRPr="00665487" w:rsidRDefault="00721E60" w:rsidP="00721E60">
      <w:pPr>
        <w:rPr>
          <w:rFonts w:eastAsia="Segoe UI"/>
          <w:b/>
          <w:color w:val="000000"/>
        </w:rPr>
      </w:pPr>
      <w:r>
        <w:rPr>
          <w:rFonts w:eastAsia="Segoe UI"/>
          <w:b/>
          <w:color w:val="000000"/>
        </w:rPr>
        <w:t xml:space="preserve">For some people, compared with the comparator(s), does the test information result in: </w:t>
      </w:r>
    </w:p>
    <w:p w14:paraId="3CD2C36B" w14:textId="77777777" w:rsidR="00E213B1" w:rsidRDefault="00721E60" w:rsidP="00E213B1">
      <w:pPr>
        <w:spacing w:after="0"/>
        <w:rPr>
          <w:rFonts w:eastAsia="Segoe UI"/>
          <w:bCs/>
          <w:color w:val="000000"/>
        </w:rPr>
      </w:pPr>
      <w:r w:rsidRPr="004A45BE">
        <w:rPr>
          <w:rFonts w:eastAsia="Segoe UI"/>
          <w:b/>
          <w:color w:val="000000"/>
        </w:rPr>
        <w:t>A change in clinical management?</w:t>
      </w:r>
      <w:r>
        <w:rPr>
          <w:rFonts w:eastAsia="Segoe UI"/>
          <w:bCs/>
          <w:color w:val="000000"/>
        </w:rPr>
        <w:tab/>
      </w:r>
      <w:r>
        <w:rPr>
          <w:rFonts w:eastAsia="Segoe UI"/>
          <w:bCs/>
          <w:color w:val="000000"/>
        </w:rPr>
        <w:tab/>
      </w:r>
    </w:p>
    <w:p w14:paraId="3E743B19" w14:textId="3A23BCDA" w:rsidR="00721E60" w:rsidRDefault="00721E60" w:rsidP="00E213B1">
      <w:pPr>
        <w:rPr>
          <w:rFonts w:eastAsia="Segoe UI"/>
        </w:rPr>
      </w:pPr>
      <w:r w:rsidRPr="00E213B1">
        <w:rPr>
          <w:rFonts w:eastAsia="Segoe UI"/>
        </w:rPr>
        <w:t>Yes</w:t>
      </w:r>
      <w:r w:rsidRPr="00E213B1">
        <w:rPr>
          <w:rFonts w:eastAsia="Segoe UI"/>
        </w:rPr>
        <w:tab/>
      </w:r>
      <w:r>
        <w:rPr>
          <w:rFonts w:eastAsia="Segoe UI"/>
        </w:rPr>
        <w:tab/>
      </w:r>
    </w:p>
    <w:p w14:paraId="13A7AF31" w14:textId="77777777" w:rsidR="00E213B1" w:rsidRDefault="00721E60" w:rsidP="00E213B1">
      <w:pPr>
        <w:spacing w:after="0"/>
        <w:rPr>
          <w:rFonts w:eastAsia="Segoe UI"/>
          <w:bCs/>
          <w:color w:val="000000"/>
        </w:rPr>
      </w:pPr>
      <w:r w:rsidRPr="004A45BE">
        <w:rPr>
          <w:rFonts w:eastAsia="Segoe UI"/>
          <w:b/>
          <w:color w:val="000000"/>
        </w:rPr>
        <w:t xml:space="preserve">A change in </w:t>
      </w:r>
      <w:r>
        <w:rPr>
          <w:rFonts w:eastAsia="Segoe UI"/>
          <w:b/>
          <w:color w:val="000000"/>
        </w:rPr>
        <w:t>health outcome</w:t>
      </w:r>
      <w:r w:rsidRPr="004A45BE">
        <w:rPr>
          <w:rFonts w:eastAsia="Segoe UI"/>
          <w:b/>
          <w:color w:val="000000"/>
        </w:rPr>
        <w:t>?</w:t>
      </w:r>
      <w:r>
        <w:rPr>
          <w:rFonts w:eastAsia="Segoe UI"/>
          <w:bCs/>
          <w:color w:val="000000"/>
        </w:rPr>
        <w:tab/>
      </w:r>
      <w:r>
        <w:rPr>
          <w:rFonts w:eastAsia="Segoe UI"/>
          <w:bCs/>
          <w:color w:val="000000"/>
        </w:rPr>
        <w:tab/>
      </w:r>
    </w:p>
    <w:p w14:paraId="4414805B" w14:textId="0810CE44" w:rsidR="00721E60" w:rsidRPr="00E213B1" w:rsidRDefault="00721E60" w:rsidP="00E213B1">
      <w:pPr>
        <w:rPr>
          <w:rFonts w:eastAsia="Segoe UI"/>
        </w:rPr>
      </w:pPr>
      <w:r w:rsidRPr="00E213B1">
        <w:rPr>
          <w:rFonts w:eastAsia="Segoe UI"/>
        </w:rPr>
        <w:t>Ye</w:t>
      </w:r>
      <w:r w:rsidR="00E213B1" w:rsidRPr="00E213B1">
        <w:rPr>
          <w:rFonts w:eastAsia="Segoe UI"/>
        </w:rPr>
        <w:t>s</w:t>
      </w:r>
    </w:p>
    <w:p w14:paraId="3A18B638" w14:textId="77777777" w:rsidR="00E213B1" w:rsidRDefault="00721E60" w:rsidP="00E213B1">
      <w:pPr>
        <w:spacing w:after="0"/>
        <w:rPr>
          <w:rFonts w:eastAsia="Segoe UI"/>
          <w:bCs/>
          <w:color w:val="000000"/>
        </w:rPr>
      </w:pPr>
      <w:r>
        <w:rPr>
          <w:rFonts w:eastAsia="Segoe UI"/>
          <w:b/>
          <w:color w:val="000000"/>
        </w:rPr>
        <w:t>Other benefits</w:t>
      </w:r>
      <w:r w:rsidRPr="004A45BE">
        <w:rPr>
          <w:rFonts w:eastAsia="Segoe UI"/>
          <w:b/>
          <w:color w:val="000000"/>
        </w:rPr>
        <w:t>?</w:t>
      </w:r>
      <w:r>
        <w:rPr>
          <w:rFonts w:eastAsia="Segoe UI"/>
          <w:bCs/>
          <w:color w:val="000000"/>
        </w:rPr>
        <w:tab/>
      </w:r>
      <w:r>
        <w:rPr>
          <w:rFonts w:eastAsia="Segoe UI"/>
          <w:bCs/>
          <w:color w:val="000000"/>
        </w:rPr>
        <w:tab/>
      </w:r>
      <w:r>
        <w:rPr>
          <w:rFonts w:eastAsia="Segoe UI"/>
          <w:bCs/>
          <w:color w:val="000000"/>
        </w:rPr>
        <w:tab/>
      </w:r>
      <w:r>
        <w:rPr>
          <w:rFonts w:eastAsia="Segoe UI"/>
          <w:bCs/>
          <w:color w:val="000000"/>
        </w:rPr>
        <w:tab/>
      </w:r>
    </w:p>
    <w:p w14:paraId="786759E1" w14:textId="07C5BCBB" w:rsidR="00721E60" w:rsidRPr="00E213B1" w:rsidRDefault="00721E60" w:rsidP="00E213B1">
      <w:pPr>
        <w:rPr>
          <w:rFonts w:eastAsia="Segoe UI"/>
        </w:rPr>
      </w:pPr>
      <w:r w:rsidRPr="00E213B1">
        <w:rPr>
          <w:rFonts w:eastAsia="Segoe UI"/>
        </w:rPr>
        <w:t>No</w:t>
      </w:r>
    </w:p>
    <w:p w14:paraId="265894DF" w14:textId="5BCB2033" w:rsidR="00721E60" w:rsidRPr="00E213B1" w:rsidRDefault="00721E60" w:rsidP="00721E60">
      <w:pPr>
        <w:spacing w:after="0"/>
        <w:rPr>
          <w:rFonts w:eastAsia="Segoe UI"/>
          <w:b/>
          <w:color w:val="000000"/>
        </w:rPr>
      </w:pPr>
      <w:r>
        <w:rPr>
          <w:rFonts w:eastAsia="Segoe UI"/>
          <w:b/>
          <w:color w:val="000000"/>
        </w:rPr>
        <w:t>Please provide a rationale, and information on other benefits if relevant:</w:t>
      </w:r>
    </w:p>
    <w:p w14:paraId="2F53E70F" w14:textId="77777777" w:rsidR="00721E60" w:rsidRDefault="00721E60" w:rsidP="00721E60">
      <w:pPr>
        <w:spacing w:after="0"/>
        <w:rPr>
          <w:rFonts w:eastAsia="Segoe UI"/>
          <w:bCs/>
          <w:color w:val="000000"/>
        </w:rPr>
      </w:pPr>
      <w:r>
        <w:rPr>
          <w:rFonts w:eastAsia="Segoe UI"/>
          <w:bCs/>
          <w:color w:val="000000"/>
        </w:rPr>
        <w:t>N/A</w:t>
      </w:r>
    </w:p>
    <w:p w14:paraId="40D3FF32" w14:textId="77777777" w:rsidR="00721E60" w:rsidRDefault="00721E60" w:rsidP="00721E60">
      <w:pPr>
        <w:spacing w:after="0"/>
        <w:rPr>
          <w:rFonts w:eastAsia="Segoe UI"/>
          <w:bCs/>
          <w:color w:val="000000"/>
        </w:rPr>
      </w:pPr>
    </w:p>
    <w:p w14:paraId="1FF1E55A" w14:textId="1A9F2184" w:rsidR="00721E60" w:rsidRDefault="00721E60" w:rsidP="00721E60">
      <w:pPr>
        <w:rPr>
          <w:rFonts w:eastAsia="Segoe UI"/>
          <w:bCs/>
          <w:color w:val="000000"/>
        </w:rPr>
      </w:pPr>
      <w:r>
        <w:rPr>
          <w:rFonts w:eastAsia="Segoe UI"/>
          <w:b/>
          <w:color w:val="000000"/>
        </w:rPr>
        <w:t xml:space="preserve">In terms of the immediate costs of the proposed technology (and immediate cost consequences, such as procedural costs, testing costs etc.), is the proposed technology claimed to be more costly, the same cost or less costly than the comparator? </w:t>
      </w:r>
      <w:r w:rsidRPr="00B63A61">
        <w:rPr>
          <w:rFonts w:eastAsia="Segoe UI"/>
          <w:bCs/>
          <w:color w:val="000000"/>
        </w:rPr>
        <w:t>(</w:t>
      </w:r>
      <w:proofErr w:type="gramStart"/>
      <w:r w:rsidRPr="00B63A61">
        <w:rPr>
          <w:rFonts w:eastAsia="Segoe UI"/>
          <w:bCs/>
          <w:color w:val="000000"/>
        </w:rPr>
        <w:t>please</w:t>
      </w:r>
      <w:proofErr w:type="gramEnd"/>
      <w:r w:rsidRPr="00B63A61">
        <w:rPr>
          <w:rFonts w:eastAsia="Segoe UI"/>
          <w:bCs/>
          <w:color w:val="000000"/>
        </w:rPr>
        <w:t xml:space="preserve"> </w:t>
      </w:r>
      <w:r>
        <w:rPr>
          <w:rFonts w:eastAsia="Segoe UI"/>
          <w:bCs/>
          <w:color w:val="000000"/>
        </w:rPr>
        <w:t>select</w:t>
      </w:r>
      <w:r w:rsidRPr="00B63A61">
        <w:rPr>
          <w:rFonts w:eastAsia="Segoe UI"/>
          <w:bCs/>
          <w:color w:val="000000"/>
        </w:rPr>
        <w:t xml:space="preserve"> your response)</w:t>
      </w:r>
    </w:p>
    <w:p w14:paraId="1DF86C6A" w14:textId="77777777" w:rsidR="00721E60" w:rsidRPr="000627EF" w:rsidRDefault="00721E60" w:rsidP="00721E60">
      <w:pPr>
        <w:pStyle w:val="Tickboxes"/>
        <w:ind w:left="0"/>
        <w:rPr>
          <w:rFonts w:ascii="Segoe UI" w:hAnsi="Segoe UI" w:cs="Segoe UI"/>
          <w:sz w:val="22"/>
          <w:szCs w:val="22"/>
        </w:rPr>
      </w:pPr>
      <w:r>
        <w:rPr>
          <w:rFonts w:ascii="Segoe UI" w:hAnsi="Segoe UI" w:cs="Segoe UI"/>
          <w:sz w:val="22"/>
          <w:szCs w:val="22"/>
        </w:rPr>
        <w:fldChar w:fldCharType="begin">
          <w:ffData>
            <w:name w:val=""/>
            <w:enabled/>
            <w:calcOnExit w:val="0"/>
            <w:checkBox>
              <w:sizeAuto/>
              <w:default w:val="1"/>
            </w:checkBox>
          </w:ffData>
        </w:fldChar>
      </w:r>
      <w:r>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More costly</w:t>
      </w:r>
      <w:r w:rsidRPr="000627EF">
        <w:rPr>
          <w:rFonts w:ascii="Segoe UI" w:hAnsi="Segoe UI" w:cs="Segoe UI"/>
          <w:sz w:val="22"/>
          <w:szCs w:val="22"/>
        </w:rPr>
        <w:t xml:space="preserve"> </w:t>
      </w:r>
    </w:p>
    <w:p w14:paraId="5E63D341" w14:textId="77777777" w:rsidR="00721E60" w:rsidRPr="000627EF" w:rsidRDefault="00721E60" w:rsidP="00721E60">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2"/>
            <w:enabled/>
            <w:calcOnExit w:val="0"/>
            <w:checkBox>
              <w:sizeAuto/>
              <w:default w:val="0"/>
            </w:checkBox>
          </w:ffData>
        </w:fldChar>
      </w:r>
      <w:r w:rsidRPr="000627EF">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Same cost</w:t>
      </w:r>
    </w:p>
    <w:p w14:paraId="36AC6005" w14:textId="4BDE2A16" w:rsidR="00721E60" w:rsidRDefault="00721E60" w:rsidP="00721E60">
      <w:pPr>
        <w:pStyle w:val="Tickboxes"/>
        <w:ind w:left="0"/>
        <w:rPr>
          <w:rFonts w:ascii="Segoe UI" w:hAnsi="Segoe UI" w:cs="Segoe UI"/>
          <w:sz w:val="22"/>
          <w:szCs w:val="22"/>
        </w:rPr>
      </w:pPr>
      <w:r w:rsidRPr="000627EF">
        <w:rPr>
          <w:rFonts w:ascii="Segoe UI" w:hAnsi="Segoe UI" w:cs="Segoe UI"/>
          <w:sz w:val="22"/>
          <w:szCs w:val="22"/>
        </w:rPr>
        <w:fldChar w:fldCharType="begin">
          <w:ffData>
            <w:name w:val="Check1"/>
            <w:enabled/>
            <w:calcOnExit w:val="0"/>
            <w:checkBox>
              <w:sizeAuto/>
              <w:default w:val="0"/>
            </w:checkBox>
          </w:ffData>
        </w:fldChar>
      </w:r>
      <w:r w:rsidRPr="000627EF">
        <w:rPr>
          <w:rFonts w:ascii="Segoe UI" w:hAnsi="Segoe UI" w:cs="Segoe UI"/>
          <w:sz w:val="22"/>
          <w:szCs w:val="22"/>
        </w:rPr>
        <w:instrText xml:space="preserve"> FORMCHECKBOX </w:instrText>
      </w:r>
      <w:r w:rsidR="004302F1">
        <w:rPr>
          <w:rFonts w:ascii="Segoe UI" w:hAnsi="Segoe UI" w:cs="Segoe UI"/>
          <w:sz w:val="22"/>
          <w:szCs w:val="22"/>
        </w:rPr>
      </w:r>
      <w:r w:rsidR="004302F1">
        <w:rPr>
          <w:rFonts w:ascii="Segoe UI" w:hAnsi="Segoe UI" w:cs="Segoe UI"/>
          <w:sz w:val="22"/>
          <w:szCs w:val="22"/>
        </w:rPr>
        <w:fldChar w:fldCharType="separate"/>
      </w:r>
      <w:r w:rsidRPr="000627EF">
        <w:rPr>
          <w:rFonts w:ascii="Segoe UI" w:hAnsi="Segoe UI" w:cs="Segoe UI"/>
          <w:sz w:val="22"/>
          <w:szCs w:val="22"/>
        </w:rPr>
        <w:fldChar w:fldCharType="end"/>
      </w:r>
      <w:r w:rsidRPr="000627EF">
        <w:rPr>
          <w:rFonts w:ascii="Segoe UI" w:hAnsi="Segoe UI" w:cs="Segoe UI"/>
          <w:sz w:val="22"/>
          <w:szCs w:val="22"/>
        </w:rPr>
        <w:t xml:space="preserve"> </w:t>
      </w:r>
      <w:r>
        <w:rPr>
          <w:rFonts w:ascii="Segoe UI" w:hAnsi="Segoe UI" w:cs="Segoe UI"/>
          <w:sz w:val="22"/>
          <w:szCs w:val="22"/>
        </w:rPr>
        <w:t>Less costly</w:t>
      </w:r>
      <w:r w:rsidRPr="000627EF">
        <w:rPr>
          <w:rFonts w:ascii="Segoe UI" w:hAnsi="Segoe UI" w:cs="Segoe UI"/>
          <w:sz w:val="22"/>
          <w:szCs w:val="22"/>
        </w:rPr>
        <w:t xml:space="preserve"> </w:t>
      </w:r>
    </w:p>
    <w:p w14:paraId="25016BF4" w14:textId="77777777" w:rsidR="00E213B1" w:rsidRPr="000627EF" w:rsidRDefault="00E213B1" w:rsidP="00721E60">
      <w:pPr>
        <w:pStyle w:val="Tickboxes"/>
        <w:ind w:left="0"/>
        <w:rPr>
          <w:rFonts w:ascii="Segoe UI" w:hAnsi="Segoe UI" w:cs="Segoe UI"/>
          <w:sz w:val="22"/>
          <w:szCs w:val="22"/>
        </w:rPr>
      </w:pPr>
    </w:p>
    <w:p w14:paraId="120CDCB7" w14:textId="429740F0" w:rsidR="00721E60" w:rsidRPr="00E213B1" w:rsidRDefault="00721E60" w:rsidP="00721E60">
      <w:pPr>
        <w:spacing w:after="0"/>
        <w:rPr>
          <w:rFonts w:eastAsia="Segoe UI"/>
          <w:b/>
          <w:color w:val="000000"/>
        </w:rPr>
      </w:pPr>
      <w:r>
        <w:rPr>
          <w:rFonts w:eastAsia="Segoe UI"/>
          <w:b/>
          <w:color w:val="000000"/>
        </w:rPr>
        <w:t>Provide a brief rationale for the claim:</w:t>
      </w:r>
    </w:p>
    <w:p w14:paraId="3BF7A6C5" w14:textId="3FA31419" w:rsidR="00721E60" w:rsidRPr="00E213B1" w:rsidRDefault="00721E60" w:rsidP="00E213B1">
      <w:pPr>
        <w:rPr>
          <w:rFonts w:eastAsia="Segoe UI"/>
          <w:color w:val="000000"/>
        </w:rPr>
      </w:pPr>
      <w:r w:rsidRPr="618952DB">
        <w:rPr>
          <w:rFonts w:eastAsia="Segoe UI"/>
        </w:rPr>
        <w:t xml:space="preserve">The listing of </w:t>
      </w:r>
      <w:proofErr w:type="spellStart"/>
      <w:r w:rsidRPr="618952DB">
        <w:rPr>
          <w:rFonts w:eastAsia="Segoe UI"/>
        </w:rPr>
        <w:t>capivasertib</w:t>
      </w:r>
      <w:proofErr w:type="spellEnd"/>
      <w:r w:rsidRPr="618952DB">
        <w:rPr>
          <w:rFonts w:eastAsia="Segoe UI"/>
        </w:rPr>
        <w:t xml:space="preserve"> on the PBS may impact the utilisation of biopsy for the testing of tumour tissue for AKT-pathway alterations using NGS technology. </w:t>
      </w:r>
    </w:p>
    <w:p w14:paraId="09F610CF" w14:textId="6E46E5E9" w:rsidR="00721E60" w:rsidRPr="00E213B1" w:rsidRDefault="00721E60" w:rsidP="00E213B1">
      <w:r w:rsidRPr="00583068">
        <w:t>A detailed utilisation analysis will be presented in the</w:t>
      </w:r>
      <w:r>
        <w:t xml:space="preserve"> integrated</w:t>
      </w:r>
      <w:r w:rsidRPr="00583068">
        <w:t xml:space="preserve"> co-dependent MSAC/PBAC submission.</w:t>
      </w:r>
    </w:p>
    <w:p w14:paraId="59E27610" w14:textId="77777777" w:rsidR="00E213B1" w:rsidRDefault="00E213B1" w:rsidP="00721E60">
      <w:pPr>
        <w:rPr>
          <w:rFonts w:eastAsia="Segoe UI"/>
          <w:b/>
          <w:color w:val="000000"/>
          <w:sz w:val="32"/>
        </w:rPr>
        <w:sectPr w:rsidR="00E213B1" w:rsidSect="004302F1">
          <w:headerReference w:type="default" r:id="rId15"/>
          <w:footerReference w:type="default" r:id="rId16"/>
          <w:pgSz w:w="11906" w:h="16838"/>
          <w:pgMar w:top="1440" w:right="991" w:bottom="993" w:left="1440" w:header="426" w:footer="252" w:gutter="0"/>
          <w:pgNumType w:start="0"/>
          <w:cols w:space="708"/>
          <w:titlePg/>
          <w:docGrid w:linePitch="360"/>
        </w:sectPr>
      </w:pPr>
      <w:bookmarkStart w:id="6" w:name="_Hlk122532620"/>
    </w:p>
    <w:p w14:paraId="3FEF884D" w14:textId="77777777" w:rsidR="00721E60" w:rsidRDefault="00721E60" w:rsidP="00721E60">
      <w:pPr>
        <w:rPr>
          <w:rFonts w:eastAsia="Segoe UI"/>
          <w:b/>
          <w:color w:val="000000"/>
          <w:sz w:val="32"/>
        </w:rPr>
      </w:pPr>
      <w:r>
        <w:rPr>
          <w:rFonts w:eastAsia="Segoe UI"/>
          <w:b/>
          <w:color w:val="000000"/>
          <w:sz w:val="32"/>
        </w:rPr>
        <w:lastRenderedPageBreak/>
        <w:t>Summary of Evidence</w:t>
      </w:r>
    </w:p>
    <w:p w14:paraId="13818441" w14:textId="77777777" w:rsidR="00721E60" w:rsidRPr="0030566C" w:rsidRDefault="00721E60" w:rsidP="00721E60">
      <w:pPr>
        <w:rPr>
          <w:rFonts w:eastAsia="Segoe UI"/>
          <w:b/>
          <w:color w:val="000000"/>
        </w:rPr>
      </w:pPr>
      <w:r w:rsidRPr="0030566C">
        <w:rPr>
          <w:rFonts w:eastAsia="Segoe UI"/>
          <w:b/>
          <w:color w:val="000000"/>
        </w:rPr>
        <w:t xml:space="preserve">Identify yet-to-be-published research that may have results available </w:t>
      </w:r>
      <w:proofErr w:type="gramStart"/>
      <w:r w:rsidRPr="0030566C">
        <w:rPr>
          <w:rFonts w:eastAsia="Segoe UI"/>
          <w:b/>
          <w:color w:val="000000"/>
        </w:rPr>
        <w:t>in the near future</w:t>
      </w:r>
      <w:proofErr w:type="gramEnd"/>
      <w:r w:rsidRPr="0030566C">
        <w:rPr>
          <w:rFonts w:eastAsia="Segoe UI"/>
          <w:b/>
          <w:color w:val="000000"/>
        </w:rPr>
        <w:t xml:space="preserve"> (that could be relevant to your application). Do not attach full text articles; this is just a summary</w:t>
      </w:r>
      <w:r>
        <w:rPr>
          <w:rFonts w:eastAsia="Segoe UI"/>
          <w:b/>
          <w:color w:val="000000"/>
        </w:rPr>
        <w:t xml:space="preserve"> (repeat columns as required)</w:t>
      </w:r>
      <w:r w:rsidRPr="0030566C">
        <w:rPr>
          <w:rFonts w:eastAsia="Segoe UI"/>
          <w:b/>
          <w:color w:val="000000"/>
        </w:rPr>
        <w:t>.</w:t>
      </w:r>
    </w:p>
    <w:tbl>
      <w:tblPr>
        <w:tblStyle w:val="TableGrid"/>
        <w:tblW w:w="5000" w:type="pct"/>
        <w:tblLayout w:type="fixed"/>
        <w:tblLook w:val="04A0" w:firstRow="1" w:lastRow="0" w:firstColumn="1" w:lastColumn="0" w:noHBand="0" w:noVBand="1"/>
        <w:tblCaption w:val="Summary of Evidence - Published"/>
      </w:tblPr>
      <w:tblGrid>
        <w:gridCol w:w="633"/>
        <w:gridCol w:w="1773"/>
        <w:gridCol w:w="2551"/>
        <w:gridCol w:w="5710"/>
        <w:gridCol w:w="1921"/>
        <w:gridCol w:w="1665"/>
      </w:tblGrid>
      <w:tr w:rsidR="00721E60" w:rsidRPr="0030566C" w14:paraId="5221AAA4" w14:textId="77777777" w:rsidTr="00E213B1">
        <w:trPr>
          <w:cantSplit/>
          <w:tblHeader/>
        </w:trPr>
        <w:tc>
          <w:tcPr>
            <w:tcW w:w="222" w:type="pct"/>
          </w:tcPr>
          <w:p w14:paraId="6ABB7DF7" w14:textId="77777777" w:rsidR="00721E60" w:rsidRPr="0030566C" w:rsidRDefault="00721E60" w:rsidP="00B23F24">
            <w:pPr>
              <w:spacing w:after="160" w:line="259" w:lineRule="auto"/>
              <w:rPr>
                <w:b/>
                <w:sz w:val="20"/>
                <w:szCs w:val="20"/>
              </w:rPr>
            </w:pPr>
          </w:p>
        </w:tc>
        <w:tc>
          <w:tcPr>
            <w:tcW w:w="622" w:type="pct"/>
          </w:tcPr>
          <w:p w14:paraId="35DC4A18" w14:textId="29D8BAAE" w:rsidR="00721E60" w:rsidRPr="0030566C" w:rsidRDefault="00721E60" w:rsidP="00B23F24">
            <w:pPr>
              <w:spacing w:after="160" w:line="259" w:lineRule="auto"/>
              <w:rPr>
                <w:b/>
                <w:sz w:val="20"/>
                <w:szCs w:val="20"/>
              </w:rPr>
            </w:pPr>
            <w:r w:rsidRPr="0030566C">
              <w:rPr>
                <w:b/>
                <w:sz w:val="20"/>
                <w:szCs w:val="20"/>
              </w:rPr>
              <w:t>Type of study design</w:t>
            </w:r>
          </w:p>
        </w:tc>
        <w:tc>
          <w:tcPr>
            <w:tcW w:w="895" w:type="pct"/>
          </w:tcPr>
          <w:p w14:paraId="5F133AA2" w14:textId="0BA5270D" w:rsidR="00721E60" w:rsidRPr="0030566C" w:rsidRDefault="00721E60" w:rsidP="00B23F24">
            <w:pPr>
              <w:spacing w:after="160" w:line="259" w:lineRule="auto"/>
              <w:rPr>
                <w:b/>
                <w:sz w:val="20"/>
                <w:szCs w:val="20"/>
              </w:rPr>
            </w:pPr>
            <w:r w:rsidRPr="0030566C">
              <w:rPr>
                <w:b/>
                <w:sz w:val="20"/>
                <w:szCs w:val="20"/>
              </w:rPr>
              <w:t xml:space="preserve">Title of journal article or research project </w:t>
            </w:r>
          </w:p>
        </w:tc>
        <w:tc>
          <w:tcPr>
            <w:tcW w:w="2003" w:type="pct"/>
          </w:tcPr>
          <w:p w14:paraId="7FBD305D" w14:textId="66FCCF2F" w:rsidR="00721E60" w:rsidRPr="0030566C" w:rsidRDefault="00721E60" w:rsidP="00B23F24">
            <w:pPr>
              <w:spacing w:after="160" w:line="259" w:lineRule="auto"/>
              <w:rPr>
                <w:b/>
                <w:sz w:val="20"/>
                <w:szCs w:val="20"/>
              </w:rPr>
            </w:pPr>
            <w:r w:rsidRPr="0030566C">
              <w:rPr>
                <w:b/>
                <w:sz w:val="20"/>
                <w:szCs w:val="20"/>
              </w:rPr>
              <w:t>Short description of research</w:t>
            </w:r>
          </w:p>
        </w:tc>
        <w:tc>
          <w:tcPr>
            <w:tcW w:w="674" w:type="pct"/>
          </w:tcPr>
          <w:p w14:paraId="17F565FC" w14:textId="59D7E38E" w:rsidR="00721E60" w:rsidRPr="0030566C" w:rsidRDefault="00721E60" w:rsidP="00B23F24">
            <w:pPr>
              <w:spacing w:after="160" w:line="259" w:lineRule="auto"/>
              <w:rPr>
                <w:b/>
                <w:sz w:val="20"/>
                <w:szCs w:val="20"/>
              </w:rPr>
            </w:pPr>
            <w:r w:rsidRPr="0030566C">
              <w:rPr>
                <w:b/>
                <w:sz w:val="20"/>
                <w:szCs w:val="20"/>
              </w:rPr>
              <w:t>Website link to journal article or research</w:t>
            </w:r>
          </w:p>
        </w:tc>
        <w:tc>
          <w:tcPr>
            <w:tcW w:w="584" w:type="pct"/>
          </w:tcPr>
          <w:p w14:paraId="3C563450" w14:textId="4A41A384" w:rsidR="00721E60" w:rsidRPr="0030566C" w:rsidRDefault="00721E60" w:rsidP="00B23F24">
            <w:pPr>
              <w:spacing w:after="160" w:line="259" w:lineRule="auto"/>
              <w:rPr>
                <w:b/>
                <w:sz w:val="20"/>
                <w:szCs w:val="20"/>
              </w:rPr>
            </w:pPr>
            <w:r w:rsidRPr="0030566C">
              <w:rPr>
                <w:b/>
                <w:sz w:val="20"/>
                <w:szCs w:val="20"/>
              </w:rPr>
              <w:t>Date of publication</w:t>
            </w:r>
          </w:p>
        </w:tc>
      </w:tr>
      <w:tr w:rsidR="00721E60" w:rsidRPr="0030566C" w14:paraId="5ECA3024" w14:textId="77777777" w:rsidTr="00E213B1">
        <w:trPr>
          <w:cantSplit/>
        </w:trPr>
        <w:tc>
          <w:tcPr>
            <w:tcW w:w="222" w:type="pct"/>
          </w:tcPr>
          <w:p w14:paraId="709C3DA7" w14:textId="77777777" w:rsidR="00721E60" w:rsidRPr="0030566C" w:rsidRDefault="00721E60" w:rsidP="00B23F24">
            <w:pPr>
              <w:spacing w:after="160" w:line="259" w:lineRule="auto"/>
              <w:rPr>
                <w:sz w:val="20"/>
                <w:szCs w:val="20"/>
              </w:rPr>
            </w:pPr>
            <w:r w:rsidRPr="0030566C">
              <w:rPr>
                <w:sz w:val="20"/>
                <w:szCs w:val="20"/>
              </w:rPr>
              <w:t>1.</w:t>
            </w:r>
          </w:p>
        </w:tc>
        <w:tc>
          <w:tcPr>
            <w:tcW w:w="622" w:type="pct"/>
          </w:tcPr>
          <w:p w14:paraId="34F614F9" w14:textId="77777777" w:rsidR="00721E60" w:rsidRPr="0030566C" w:rsidRDefault="00721E60" w:rsidP="00B23F24">
            <w:pPr>
              <w:spacing w:after="160" w:line="259" w:lineRule="auto"/>
              <w:rPr>
                <w:b/>
                <w:sz w:val="20"/>
                <w:szCs w:val="20"/>
              </w:rPr>
            </w:pPr>
            <w:r>
              <w:rPr>
                <w:sz w:val="20"/>
                <w:szCs w:val="20"/>
              </w:rPr>
              <w:t>Phase III Clinical trial</w:t>
            </w:r>
          </w:p>
        </w:tc>
        <w:tc>
          <w:tcPr>
            <w:tcW w:w="895" w:type="pct"/>
          </w:tcPr>
          <w:p w14:paraId="5F8F5E1C" w14:textId="77777777" w:rsidR="00721E60" w:rsidRPr="007C2E7E" w:rsidRDefault="00721E60" w:rsidP="00B23F24">
            <w:pPr>
              <w:spacing w:after="160" w:line="259" w:lineRule="auto"/>
              <w:rPr>
                <w:bCs/>
                <w:sz w:val="20"/>
                <w:szCs w:val="20"/>
              </w:rPr>
            </w:pPr>
            <w:proofErr w:type="spellStart"/>
            <w:r w:rsidRPr="007C5A3F">
              <w:rPr>
                <w:bCs/>
                <w:sz w:val="20"/>
                <w:szCs w:val="20"/>
              </w:rPr>
              <w:t>Capivasertib</w:t>
            </w:r>
            <w:proofErr w:type="spellEnd"/>
            <w:r w:rsidRPr="007C5A3F">
              <w:rPr>
                <w:bCs/>
                <w:sz w:val="20"/>
                <w:szCs w:val="20"/>
              </w:rPr>
              <w:t xml:space="preserve"> in Hormone Receptor–Positive</w:t>
            </w:r>
            <w:r>
              <w:rPr>
                <w:bCs/>
                <w:sz w:val="20"/>
                <w:szCs w:val="20"/>
              </w:rPr>
              <w:t xml:space="preserve"> </w:t>
            </w:r>
            <w:r w:rsidRPr="007C5A3F">
              <w:rPr>
                <w:bCs/>
                <w:sz w:val="20"/>
                <w:szCs w:val="20"/>
              </w:rPr>
              <w:t>Advanced Breast Cancer</w:t>
            </w:r>
          </w:p>
        </w:tc>
        <w:tc>
          <w:tcPr>
            <w:tcW w:w="2003" w:type="pct"/>
          </w:tcPr>
          <w:p w14:paraId="1A1A4738" w14:textId="77777777" w:rsidR="00721E60" w:rsidRDefault="00721E60" w:rsidP="00B23F24">
            <w:pPr>
              <w:spacing w:after="160" w:line="259" w:lineRule="auto"/>
              <w:rPr>
                <w:bCs/>
                <w:sz w:val="20"/>
                <w:szCs w:val="20"/>
              </w:rPr>
            </w:pPr>
            <w:r>
              <w:rPr>
                <w:bCs/>
                <w:sz w:val="20"/>
                <w:szCs w:val="20"/>
              </w:rPr>
              <w:t xml:space="preserve">Randomised, double blind, clinical trial in HR+/HER2- ABC. Patients treated with </w:t>
            </w:r>
            <w:proofErr w:type="spellStart"/>
            <w:r>
              <w:rPr>
                <w:bCs/>
                <w:sz w:val="20"/>
                <w:szCs w:val="20"/>
              </w:rPr>
              <w:t>capivasertib+fulvestrant</w:t>
            </w:r>
            <w:proofErr w:type="spellEnd"/>
            <w:r>
              <w:rPr>
                <w:bCs/>
                <w:sz w:val="20"/>
                <w:szCs w:val="20"/>
              </w:rPr>
              <w:t xml:space="preserve"> vs placebo + </w:t>
            </w:r>
            <w:proofErr w:type="spellStart"/>
            <w:r>
              <w:rPr>
                <w:bCs/>
                <w:sz w:val="20"/>
                <w:szCs w:val="20"/>
              </w:rPr>
              <w:t>fulvestrant</w:t>
            </w:r>
            <w:proofErr w:type="spellEnd"/>
            <w:r>
              <w:rPr>
                <w:bCs/>
                <w:sz w:val="20"/>
                <w:szCs w:val="20"/>
              </w:rPr>
              <w:t xml:space="preserve">. </w:t>
            </w:r>
          </w:p>
          <w:p w14:paraId="7D2AEA29" w14:textId="77777777" w:rsidR="00721E60" w:rsidRPr="0030566C" w:rsidRDefault="00721E60" w:rsidP="00B23F24">
            <w:pPr>
              <w:spacing w:after="160" w:line="259" w:lineRule="auto"/>
              <w:rPr>
                <w:b/>
                <w:sz w:val="20"/>
                <w:szCs w:val="20"/>
              </w:rPr>
            </w:pPr>
            <w:proofErr w:type="spellStart"/>
            <w:r w:rsidRPr="00A4636A">
              <w:rPr>
                <w:bCs/>
                <w:sz w:val="20"/>
                <w:szCs w:val="20"/>
              </w:rPr>
              <w:t>Capivasertib</w:t>
            </w:r>
            <w:r>
              <w:rPr>
                <w:bCs/>
                <w:sz w:val="20"/>
                <w:szCs w:val="20"/>
              </w:rPr>
              <w:t>+</w:t>
            </w:r>
            <w:r w:rsidRPr="00A4636A">
              <w:rPr>
                <w:bCs/>
                <w:sz w:val="20"/>
                <w:szCs w:val="20"/>
              </w:rPr>
              <w:t>fulvestrant</w:t>
            </w:r>
            <w:proofErr w:type="spellEnd"/>
            <w:r w:rsidRPr="00A4636A">
              <w:rPr>
                <w:bCs/>
                <w:sz w:val="20"/>
                <w:szCs w:val="20"/>
              </w:rPr>
              <w:t xml:space="preserve"> therapy resulted in significantly longer </w:t>
            </w:r>
            <w:r>
              <w:rPr>
                <w:bCs/>
                <w:sz w:val="20"/>
                <w:szCs w:val="20"/>
              </w:rPr>
              <w:t>PFS</w:t>
            </w:r>
            <w:r w:rsidRPr="00A4636A">
              <w:rPr>
                <w:bCs/>
                <w:sz w:val="20"/>
                <w:szCs w:val="20"/>
              </w:rPr>
              <w:t xml:space="preserve"> than treatment with </w:t>
            </w:r>
            <w:proofErr w:type="spellStart"/>
            <w:r w:rsidRPr="00A4636A">
              <w:rPr>
                <w:bCs/>
                <w:sz w:val="20"/>
                <w:szCs w:val="20"/>
              </w:rPr>
              <w:t>fulvestrant</w:t>
            </w:r>
            <w:proofErr w:type="spellEnd"/>
            <w:r w:rsidRPr="00A4636A">
              <w:rPr>
                <w:bCs/>
                <w:sz w:val="20"/>
                <w:szCs w:val="20"/>
              </w:rPr>
              <w:t xml:space="preserve"> alone among patients with </w:t>
            </w:r>
            <w:r>
              <w:rPr>
                <w:bCs/>
                <w:sz w:val="20"/>
                <w:szCs w:val="20"/>
              </w:rPr>
              <w:t>HR+/HER2- ABC</w:t>
            </w:r>
            <w:r w:rsidRPr="00A4636A">
              <w:rPr>
                <w:bCs/>
                <w:sz w:val="20"/>
                <w:szCs w:val="20"/>
              </w:rPr>
              <w:t xml:space="preserve"> whose disease had progressed during or</w:t>
            </w:r>
            <w:r>
              <w:rPr>
                <w:bCs/>
                <w:sz w:val="20"/>
                <w:szCs w:val="20"/>
              </w:rPr>
              <w:t xml:space="preserve"> </w:t>
            </w:r>
            <w:r w:rsidRPr="00A4636A">
              <w:rPr>
                <w:bCs/>
                <w:sz w:val="20"/>
                <w:szCs w:val="20"/>
              </w:rPr>
              <w:t xml:space="preserve">after previous </w:t>
            </w:r>
            <w:r>
              <w:rPr>
                <w:bCs/>
                <w:sz w:val="20"/>
                <w:szCs w:val="20"/>
              </w:rPr>
              <w:t>AI</w:t>
            </w:r>
            <w:r w:rsidRPr="00A4636A">
              <w:rPr>
                <w:bCs/>
                <w:sz w:val="20"/>
                <w:szCs w:val="20"/>
              </w:rPr>
              <w:t xml:space="preserve"> therapy with or without a CDK4/6 inhibitor</w:t>
            </w:r>
          </w:p>
        </w:tc>
        <w:tc>
          <w:tcPr>
            <w:tcW w:w="674" w:type="pct"/>
          </w:tcPr>
          <w:p w14:paraId="72661749" w14:textId="77777777" w:rsidR="00721E60" w:rsidRDefault="004302F1" w:rsidP="00B23F24">
            <w:pPr>
              <w:spacing w:after="160" w:line="259" w:lineRule="auto"/>
              <w:rPr>
                <w:bCs/>
                <w:sz w:val="20"/>
                <w:szCs w:val="20"/>
              </w:rPr>
            </w:pPr>
            <w:hyperlink r:id="rId17" w:history="1">
              <w:r w:rsidR="00721E60" w:rsidRPr="00F006BC">
                <w:rPr>
                  <w:rStyle w:val="Hyperlink"/>
                  <w:bCs/>
                  <w:sz w:val="20"/>
                  <w:szCs w:val="20"/>
                </w:rPr>
                <w:t>https://www.nejm.org/doi/full/10.1056/NEJMoa2214131</w:t>
              </w:r>
            </w:hyperlink>
            <w:r w:rsidR="00721E60">
              <w:rPr>
                <w:bCs/>
                <w:sz w:val="20"/>
                <w:szCs w:val="20"/>
              </w:rPr>
              <w:t xml:space="preserve"> </w:t>
            </w:r>
          </w:p>
          <w:p w14:paraId="5198370A" w14:textId="77777777" w:rsidR="00721E60" w:rsidRDefault="00721E60" w:rsidP="00B23F24">
            <w:pPr>
              <w:spacing w:after="160" w:line="259" w:lineRule="auto"/>
              <w:rPr>
                <w:bCs/>
                <w:sz w:val="20"/>
                <w:szCs w:val="20"/>
              </w:rPr>
            </w:pPr>
          </w:p>
          <w:p w14:paraId="57846DA6" w14:textId="77777777" w:rsidR="00721E60" w:rsidRPr="0030566C" w:rsidRDefault="00721E60" w:rsidP="00B23F24">
            <w:pPr>
              <w:spacing w:after="160" w:line="259" w:lineRule="auto"/>
              <w:rPr>
                <w:b/>
                <w:sz w:val="20"/>
                <w:szCs w:val="20"/>
              </w:rPr>
            </w:pPr>
          </w:p>
        </w:tc>
        <w:tc>
          <w:tcPr>
            <w:tcW w:w="584" w:type="pct"/>
          </w:tcPr>
          <w:p w14:paraId="0E6F4C2E" w14:textId="77777777" w:rsidR="00721E60" w:rsidRPr="00961888" w:rsidRDefault="00721E60" w:rsidP="00B23F24">
            <w:pPr>
              <w:spacing w:after="160" w:line="259" w:lineRule="auto"/>
              <w:rPr>
                <w:bCs/>
                <w:sz w:val="20"/>
                <w:szCs w:val="20"/>
              </w:rPr>
            </w:pPr>
            <w:r>
              <w:rPr>
                <w:bCs/>
                <w:sz w:val="20"/>
                <w:szCs w:val="20"/>
              </w:rPr>
              <w:t>June 2023</w:t>
            </w:r>
          </w:p>
        </w:tc>
      </w:tr>
      <w:tr w:rsidR="00721E60" w:rsidRPr="0030566C" w14:paraId="75CF987B" w14:textId="77777777" w:rsidTr="00E213B1">
        <w:trPr>
          <w:cantSplit/>
        </w:trPr>
        <w:tc>
          <w:tcPr>
            <w:tcW w:w="222" w:type="pct"/>
          </w:tcPr>
          <w:p w14:paraId="0DA5AE19" w14:textId="77777777" w:rsidR="00721E60" w:rsidRPr="0030566C" w:rsidRDefault="00721E60" w:rsidP="00B23F24">
            <w:pPr>
              <w:rPr>
                <w:sz w:val="20"/>
                <w:szCs w:val="20"/>
              </w:rPr>
            </w:pPr>
            <w:r>
              <w:rPr>
                <w:sz w:val="20"/>
                <w:szCs w:val="20"/>
              </w:rPr>
              <w:t>2.</w:t>
            </w:r>
          </w:p>
        </w:tc>
        <w:tc>
          <w:tcPr>
            <w:tcW w:w="622" w:type="pct"/>
          </w:tcPr>
          <w:p w14:paraId="2814A078" w14:textId="77777777" w:rsidR="00721E60" w:rsidRDefault="00721E60" w:rsidP="00B23F24">
            <w:pPr>
              <w:rPr>
                <w:sz w:val="20"/>
                <w:szCs w:val="20"/>
              </w:rPr>
            </w:pPr>
            <w:r>
              <w:rPr>
                <w:sz w:val="20"/>
                <w:szCs w:val="20"/>
              </w:rPr>
              <w:t>Review</w:t>
            </w:r>
          </w:p>
        </w:tc>
        <w:tc>
          <w:tcPr>
            <w:tcW w:w="895" w:type="pct"/>
          </w:tcPr>
          <w:p w14:paraId="3A5CD597" w14:textId="77777777" w:rsidR="00721E60" w:rsidRPr="007C5A3F" w:rsidRDefault="00721E60" w:rsidP="00B23F24">
            <w:pPr>
              <w:rPr>
                <w:bCs/>
                <w:sz w:val="20"/>
                <w:szCs w:val="20"/>
              </w:rPr>
            </w:pPr>
            <w:r w:rsidRPr="00555CA1">
              <w:rPr>
                <w:bCs/>
                <w:sz w:val="20"/>
                <w:szCs w:val="20"/>
              </w:rPr>
              <w:t>Maximising the potential of AKT inhibitors as anti-cancer treatments</w:t>
            </w:r>
          </w:p>
        </w:tc>
        <w:tc>
          <w:tcPr>
            <w:tcW w:w="2003" w:type="pct"/>
          </w:tcPr>
          <w:p w14:paraId="167ACBF6" w14:textId="77777777" w:rsidR="00721E60" w:rsidRPr="00126BC6" w:rsidRDefault="00721E60" w:rsidP="00B23F24">
            <w:pPr>
              <w:rPr>
                <w:bCs/>
                <w:sz w:val="20"/>
                <w:szCs w:val="20"/>
              </w:rPr>
            </w:pPr>
            <w:r w:rsidRPr="00126BC6">
              <w:rPr>
                <w:bCs/>
                <w:sz w:val="20"/>
                <w:szCs w:val="20"/>
              </w:rPr>
              <w:t>PIK</w:t>
            </w:r>
            <w:r>
              <w:rPr>
                <w:bCs/>
                <w:sz w:val="20"/>
                <w:szCs w:val="20"/>
              </w:rPr>
              <w:t>3CA</w:t>
            </w:r>
            <w:r w:rsidRPr="00126BC6">
              <w:rPr>
                <w:bCs/>
                <w:sz w:val="20"/>
                <w:szCs w:val="20"/>
              </w:rPr>
              <w:t xml:space="preserve">/AKT signalling is commonly disrupted in human cancers, with AKT being a central component of the pathway, influencing multiple processes that are directly involved in </w:t>
            </w:r>
            <w:proofErr w:type="spellStart"/>
            <w:r w:rsidRPr="00126BC6">
              <w:rPr>
                <w:bCs/>
                <w:sz w:val="20"/>
                <w:szCs w:val="20"/>
              </w:rPr>
              <w:t>tumourigenesis</w:t>
            </w:r>
            <w:proofErr w:type="spellEnd"/>
            <w:r w:rsidRPr="00126BC6">
              <w:rPr>
                <w:bCs/>
                <w:sz w:val="20"/>
                <w:szCs w:val="20"/>
              </w:rPr>
              <w:t>. Targeting AKT is therefore a</w:t>
            </w:r>
            <w:r>
              <w:rPr>
                <w:bCs/>
                <w:sz w:val="20"/>
                <w:szCs w:val="20"/>
              </w:rPr>
              <w:t xml:space="preserve"> </w:t>
            </w:r>
            <w:r w:rsidRPr="00126BC6">
              <w:rPr>
                <w:bCs/>
                <w:sz w:val="20"/>
                <w:szCs w:val="20"/>
              </w:rPr>
              <w:t>highly attractive anti-cancer strategy with multiple AKT inhibitors now in various stages of clinical development.</w:t>
            </w:r>
          </w:p>
          <w:p w14:paraId="7FEF687E" w14:textId="77777777" w:rsidR="00721E60" w:rsidRPr="00126BC6" w:rsidRDefault="00721E60" w:rsidP="00B23F24">
            <w:pPr>
              <w:rPr>
                <w:bCs/>
                <w:sz w:val="20"/>
                <w:szCs w:val="20"/>
              </w:rPr>
            </w:pPr>
            <w:r w:rsidRPr="00126BC6">
              <w:rPr>
                <w:bCs/>
                <w:sz w:val="20"/>
                <w:szCs w:val="20"/>
              </w:rPr>
              <w:t>In this review, we summarise the role and regulation of AKT signalling in normal cellular physiology. We highlight the mechanisms by which AKT signalling can be hyperactivated in cancers and discuss the past, present</w:t>
            </w:r>
          </w:p>
          <w:p w14:paraId="1E889898" w14:textId="77777777" w:rsidR="00721E60" w:rsidRDefault="00721E60" w:rsidP="00B23F24">
            <w:pPr>
              <w:rPr>
                <w:bCs/>
                <w:sz w:val="20"/>
                <w:szCs w:val="20"/>
              </w:rPr>
            </w:pPr>
            <w:r w:rsidRPr="00126BC6">
              <w:rPr>
                <w:bCs/>
                <w:sz w:val="20"/>
                <w:szCs w:val="20"/>
              </w:rPr>
              <w:t>and future clinical strategies for AKT inhibition in oncology</w:t>
            </w:r>
          </w:p>
        </w:tc>
        <w:tc>
          <w:tcPr>
            <w:tcW w:w="674" w:type="pct"/>
          </w:tcPr>
          <w:p w14:paraId="7952CB91" w14:textId="77777777" w:rsidR="00721E60" w:rsidRPr="00D228E2" w:rsidRDefault="004302F1" w:rsidP="00B23F24">
            <w:pPr>
              <w:rPr>
                <w:bCs/>
                <w:sz w:val="20"/>
                <w:szCs w:val="20"/>
              </w:rPr>
            </w:pPr>
            <w:hyperlink r:id="rId18" w:history="1">
              <w:r w:rsidR="00721E60" w:rsidRPr="00F006BC">
                <w:rPr>
                  <w:rStyle w:val="Hyperlink"/>
                  <w:bCs/>
                  <w:sz w:val="20"/>
                  <w:szCs w:val="20"/>
                </w:rPr>
                <w:t>https://www.sciencedirect.com/science/article/pii/S0163725816302443</w:t>
              </w:r>
            </w:hyperlink>
            <w:r w:rsidR="00721E60">
              <w:rPr>
                <w:bCs/>
                <w:sz w:val="20"/>
                <w:szCs w:val="20"/>
              </w:rPr>
              <w:t xml:space="preserve"> </w:t>
            </w:r>
          </w:p>
        </w:tc>
        <w:tc>
          <w:tcPr>
            <w:tcW w:w="584" w:type="pct"/>
          </w:tcPr>
          <w:p w14:paraId="78587D66" w14:textId="77777777" w:rsidR="00721E60" w:rsidRPr="00961888" w:rsidRDefault="00721E60" w:rsidP="00B23F24">
            <w:pPr>
              <w:rPr>
                <w:bCs/>
                <w:sz w:val="20"/>
                <w:szCs w:val="20"/>
              </w:rPr>
            </w:pPr>
            <w:r>
              <w:rPr>
                <w:bCs/>
                <w:sz w:val="20"/>
                <w:szCs w:val="20"/>
              </w:rPr>
              <w:t>April 2017</w:t>
            </w:r>
          </w:p>
        </w:tc>
      </w:tr>
      <w:tr w:rsidR="00721E60" w:rsidRPr="0030566C" w14:paraId="05385A85" w14:textId="77777777" w:rsidTr="00E213B1">
        <w:trPr>
          <w:cantSplit/>
        </w:trPr>
        <w:tc>
          <w:tcPr>
            <w:tcW w:w="222" w:type="pct"/>
          </w:tcPr>
          <w:p w14:paraId="38198C36" w14:textId="77777777" w:rsidR="00721E60" w:rsidRDefault="00721E60" w:rsidP="00B23F24">
            <w:pPr>
              <w:rPr>
                <w:sz w:val="20"/>
                <w:szCs w:val="20"/>
              </w:rPr>
            </w:pPr>
            <w:r>
              <w:rPr>
                <w:sz w:val="20"/>
                <w:szCs w:val="20"/>
              </w:rPr>
              <w:lastRenderedPageBreak/>
              <w:t>3.</w:t>
            </w:r>
          </w:p>
        </w:tc>
        <w:tc>
          <w:tcPr>
            <w:tcW w:w="622" w:type="pct"/>
          </w:tcPr>
          <w:p w14:paraId="4724D240" w14:textId="77777777" w:rsidR="00721E60" w:rsidRDefault="00721E60" w:rsidP="00B23F24">
            <w:pPr>
              <w:rPr>
                <w:sz w:val="20"/>
                <w:szCs w:val="20"/>
              </w:rPr>
            </w:pPr>
            <w:r>
              <w:rPr>
                <w:sz w:val="20"/>
                <w:szCs w:val="20"/>
              </w:rPr>
              <w:t>Review</w:t>
            </w:r>
          </w:p>
        </w:tc>
        <w:tc>
          <w:tcPr>
            <w:tcW w:w="895" w:type="pct"/>
          </w:tcPr>
          <w:p w14:paraId="6AA2CAE6" w14:textId="77777777" w:rsidR="00721E60" w:rsidRPr="00626CB5" w:rsidRDefault="00721E60" w:rsidP="00B23F24">
            <w:pPr>
              <w:rPr>
                <w:bCs/>
                <w:sz w:val="20"/>
                <w:szCs w:val="20"/>
              </w:rPr>
            </w:pPr>
            <w:r w:rsidRPr="00626CB5">
              <w:rPr>
                <w:bCs/>
                <w:sz w:val="20"/>
                <w:szCs w:val="20"/>
              </w:rPr>
              <w:t xml:space="preserve">The Akt/PKB Family of Protein Kinases: A Review of Small Molecule </w:t>
            </w:r>
          </w:p>
          <w:p w14:paraId="024EB7BE" w14:textId="77777777" w:rsidR="00721E60" w:rsidRPr="00555CA1" w:rsidRDefault="00721E60" w:rsidP="00B23F24">
            <w:pPr>
              <w:rPr>
                <w:bCs/>
                <w:sz w:val="20"/>
                <w:szCs w:val="20"/>
              </w:rPr>
            </w:pPr>
            <w:r w:rsidRPr="00626CB5">
              <w:rPr>
                <w:bCs/>
                <w:sz w:val="20"/>
                <w:szCs w:val="20"/>
              </w:rPr>
              <w:t>Inhibitors and Progress Towards Target Validation: A 2009 Update</w:t>
            </w:r>
          </w:p>
        </w:tc>
        <w:tc>
          <w:tcPr>
            <w:tcW w:w="2003" w:type="pct"/>
          </w:tcPr>
          <w:p w14:paraId="20EBB3DD" w14:textId="77777777" w:rsidR="00721E60" w:rsidRPr="00C85129" w:rsidRDefault="00721E60" w:rsidP="00B23F24">
            <w:pPr>
              <w:rPr>
                <w:bCs/>
                <w:sz w:val="20"/>
                <w:szCs w:val="20"/>
              </w:rPr>
            </w:pPr>
            <w:r>
              <w:rPr>
                <w:bCs/>
                <w:sz w:val="20"/>
                <w:szCs w:val="20"/>
              </w:rPr>
              <w:t>AKT</w:t>
            </w:r>
            <w:r w:rsidRPr="00C85129">
              <w:rPr>
                <w:bCs/>
                <w:sz w:val="20"/>
                <w:szCs w:val="20"/>
              </w:rPr>
              <w:t xml:space="preserve"> plays a pivotal role in cell survival and proliferation through </w:t>
            </w:r>
            <w:proofErr w:type="gramStart"/>
            <w:r w:rsidRPr="00C85129">
              <w:rPr>
                <w:bCs/>
                <w:sz w:val="20"/>
                <w:szCs w:val="20"/>
              </w:rPr>
              <w:t>a number of</w:t>
            </w:r>
            <w:proofErr w:type="gramEnd"/>
            <w:r w:rsidRPr="00C85129">
              <w:rPr>
                <w:bCs/>
                <w:sz w:val="20"/>
                <w:szCs w:val="20"/>
              </w:rPr>
              <w:t xml:space="preserve"> downstream effectors. Recent </w:t>
            </w:r>
          </w:p>
          <w:p w14:paraId="0D5FF5D7" w14:textId="77777777" w:rsidR="00721E60" w:rsidRPr="00126BC6" w:rsidRDefault="00721E60" w:rsidP="00B23F24">
            <w:pPr>
              <w:rPr>
                <w:bCs/>
                <w:sz w:val="20"/>
                <w:szCs w:val="20"/>
              </w:rPr>
            </w:pPr>
            <w:r w:rsidRPr="00C85129">
              <w:rPr>
                <w:bCs/>
                <w:sz w:val="20"/>
                <w:szCs w:val="20"/>
              </w:rPr>
              <w:t>studies indicate that unregulated activation of the PIK</w:t>
            </w:r>
            <w:r>
              <w:rPr>
                <w:bCs/>
                <w:sz w:val="20"/>
                <w:szCs w:val="20"/>
              </w:rPr>
              <w:t>3CA</w:t>
            </w:r>
            <w:r w:rsidRPr="00C85129">
              <w:rPr>
                <w:bCs/>
                <w:sz w:val="20"/>
                <w:szCs w:val="20"/>
              </w:rPr>
              <w:t>/</w:t>
            </w:r>
            <w:r>
              <w:rPr>
                <w:bCs/>
                <w:sz w:val="20"/>
                <w:szCs w:val="20"/>
              </w:rPr>
              <w:t>AKT</w:t>
            </w:r>
            <w:r w:rsidRPr="00C85129">
              <w:rPr>
                <w:bCs/>
                <w:sz w:val="20"/>
                <w:szCs w:val="20"/>
              </w:rPr>
              <w:t xml:space="preserve"> pathway is a prominent feature of many human cancers and </w:t>
            </w:r>
            <w:r>
              <w:rPr>
                <w:bCs/>
                <w:sz w:val="20"/>
                <w:szCs w:val="20"/>
              </w:rPr>
              <w:t>AKT</w:t>
            </w:r>
            <w:r w:rsidRPr="00C85129">
              <w:rPr>
                <w:bCs/>
                <w:sz w:val="20"/>
                <w:szCs w:val="20"/>
              </w:rPr>
              <w:t xml:space="preserve"> is over-expressed or activated in all major cancers</w:t>
            </w:r>
          </w:p>
        </w:tc>
        <w:tc>
          <w:tcPr>
            <w:tcW w:w="674" w:type="pct"/>
          </w:tcPr>
          <w:p w14:paraId="3566E756" w14:textId="77777777" w:rsidR="00721E60" w:rsidRPr="00C35283" w:rsidRDefault="004302F1" w:rsidP="00B23F24">
            <w:pPr>
              <w:rPr>
                <w:bCs/>
                <w:sz w:val="20"/>
                <w:szCs w:val="20"/>
              </w:rPr>
            </w:pPr>
            <w:hyperlink r:id="rId19" w:history="1">
              <w:r w:rsidR="00721E60" w:rsidRPr="00F006BC">
                <w:rPr>
                  <w:rStyle w:val="Hyperlink"/>
                  <w:bCs/>
                  <w:sz w:val="20"/>
                  <w:szCs w:val="20"/>
                </w:rPr>
                <w:t>https://www.ingentaconnect.com/content/ben/ctmc/2010/00000010/00000004/art00007</w:t>
              </w:r>
            </w:hyperlink>
            <w:r w:rsidR="00721E60">
              <w:rPr>
                <w:bCs/>
                <w:sz w:val="20"/>
                <w:szCs w:val="20"/>
              </w:rPr>
              <w:t xml:space="preserve"> </w:t>
            </w:r>
          </w:p>
        </w:tc>
        <w:tc>
          <w:tcPr>
            <w:tcW w:w="584" w:type="pct"/>
          </w:tcPr>
          <w:p w14:paraId="47C5AADA" w14:textId="77777777" w:rsidR="00721E60" w:rsidRDefault="00721E60" w:rsidP="00B23F24">
            <w:pPr>
              <w:rPr>
                <w:bCs/>
                <w:sz w:val="20"/>
                <w:szCs w:val="20"/>
              </w:rPr>
            </w:pPr>
            <w:r>
              <w:rPr>
                <w:bCs/>
                <w:sz w:val="20"/>
                <w:szCs w:val="20"/>
              </w:rPr>
              <w:t>March 2010</w:t>
            </w:r>
          </w:p>
        </w:tc>
      </w:tr>
      <w:tr w:rsidR="00721E60" w:rsidRPr="0030566C" w14:paraId="56E573A7" w14:textId="77777777" w:rsidTr="00E213B1">
        <w:trPr>
          <w:cantSplit/>
        </w:trPr>
        <w:tc>
          <w:tcPr>
            <w:tcW w:w="222" w:type="pct"/>
          </w:tcPr>
          <w:p w14:paraId="5DF55451" w14:textId="77777777" w:rsidR="00721E60" w:rsidRDefault="00721E60" w:rsidP="00B23F24">
            <w:pPr>
              <w:rPr>
                <w:sz w:val="20"/>
                <w:szCs w:val="20"/>
              </w:rPr>
            </w:pPr>
            <w:r>
              <w:rPr>
                <w:sz w:val="20"/>
                <w:szCs w:val="20"/>
              </w:rPr>
              <w:t>4.</w:t>
            </w:r>
          </w:p>
        </w:tc>
        <w:tc>
          <w:tcPr>
            <w:tcW w:w="622" w:type="pct"/>
          </w:tcPr>
          <w:p w14:paraId="27B08384" w14:textId="77777777" w:rsidR="00721E60" w:rsidRDefault="00721E60" w:rsidP="00B23F24">
            <w:pPr>
              <w:rPr>
                <w:sz w:val="20"/>
                <w:szCs w:val="20"/>
              </w:rPr>
            </w:pPr>
            <w:r>
              <w:rPr>
                <w:sz w:val="20"/>
                <w:szCs w:val="20"/>
              </w:rPr>
              <w:t>Review</w:t>
            </w:r>
          </w:p>
        </w:tc>
        <w:tc>
          <w:tcPr>
            <w:tcW w:w="895" w:type="pct"/>
          </w:tcPr>
          <w:p w14:paraId="39B21B7F" w14:textId="77777777" w:rsidR="00721E60" w:rsidRPr="00555CA1" w:rsidRDefault="00721E60" w:rsidP="00B23F24">
            <w:pPr>
              <w:rPr>
                <w:bCs/>
                <w:sz w:val="20"/>
                <w:szCs w:val="20"/>
              </w:rPr>
            </w:pPr>
            <w:r w:rsidRPr="009A0AE9">
              <w:rPr>
                <w:bCs/>
                <w:sz w:val="20"/>
                <w:szCs w:val="20"/>
              </w:rPr>
              <w:t>Targeting the phosphoinositide 3-kinase pathway in cancer</w:t>
            </w:r>
          </w:p>
        </w:tc>
        <w:tc>
          <w:tcPr>
            <w:tcW w:w="2003" w:type="pct"/>
          </w:tcPr>
          <w:p w14:paraId="00D5A7FD" w14:textId="77777777" w:rsidR="00721E60" w:rsidRPr="00126BC6" w:rsidRDefault="00721E60" w:rsidP="00B23F24">
            <w:pPr>
              <w:rPr>
                <w:bCs/>
                <w:sz w:val="20"/>
                <w:szCs w:val="20"/>
              </w:rPr>
            </w:pPr>
            <w:r w:rsidRPr="009922FD">
              <w:rPr>
                <w:bCs/>
                <w:sz w:val="20"/>
                <w:szCs w:val="20"/>
              </w:rPr>
              <w:t>The phosphoinositide 3-kinase (PIK</w:t>
            </w:r>
            <w:r>
              <w:rPr>
                <w:bCs/>
                <w:sz w:val="20"/>
                <w:szCs w:val="20"/>
              </w:rPr>
              <w:t>3CA</w:t>
            </w:r>
            <w:r w:rsidRPr="009922FD">
              <w:rPr>
                <w:bCs/>
                <w:sz w:val="20"/>
                <w:szCs w:val="20"/>
              </w:rPr>
              <w:t xml:space="preserve">) pathway is a key signal transduction system that links oncogenes and multiple receptor classes to many essential cellular functions, and is perhaps the </w:t>
            </w:r>
            <w:proofErr w:type="gramStart"/>
            <w:r w:rsidRPr="009922FD">
              <w:rPr>
                <w:bCs/>
                <w:sz w:val="20"/>
                <w:szCs w:val="20"/>
              </w:rPr>
              <w:t>most commonly activated</w:t>
            </w:r>
            <w:proofErr w:type="gramEnd"/>
            <w:r w:rsidRPr="009922FD">
              <w:rPr>
                <w:bCs/>
                <w:sz w:val="20"/>
                <w:szCs w:val="20"/>
              </w:rPr>
              <w:t xml:space="preserve"> signalling pathway in human cancer. This pathway therefore presents both an opportunity and a challenge for cancer therapy. Even as inhibitors that target PI3K isoforms and other major nodes in the pathway, including AKT and mammalian target of rapamycin (mTOR), reach clinical trials, major issues remain.</w:t>
            </w:r>
          </w:p>
        </w:tc>
        <w:tc>
          <w:tcPr>
            <w:tcW w:w="674" w:type="pct"/>
          </w:tcPr>
          <w:p w14:paraId="1F9A4803" w14:textId="77777777" w:rsidR="00721E60" w:rsidRPr="00C35283" w:rsidRDefault="004302F1" w:rsidP="00B23F24">
            <w:pPr>
              <w:rPr>
                <w:bCs/>
                <w:sz w:val="20"/>
                <w:szCs w:val="20"/>
              </w:rPr>
            </w:pPr>
            <w:hyperlink r:id="rId20" w:history="1">
              <w:r w:rsidR="00721E60" w:rsidRPr="00F006BC">
                <w:rPr>
                  <w:rStyle w:val="Hyperlink"/>
                  <w:bCs/>
                  <w:sz w:val="20"/>
                  <w:szCs w:val="20"/>
                </w:rPr>
                <w:t>https://www.nature.com/articles/nrd2926</w:t>
              </w:r>
            </w:hyperlink>
            <w:r w:rsidR="00721E60">
              <w:rPr>
                <w:bCs/>
                <w:sz w:val="20"/>
                <w:szCs w:val="20"/>
              </w:rPr>
              <w:t xml:space="preserve"> </w:t>
            </w:r>
          </w:p>
        </w:tc>
        <w:tc>
          <w:tcPr>
            <w:tcW w:w="584" w:type="pct"/>
          </w:tcPr>
          <w:p w14:paraId="7CC97048" w14:textId="77777777" w:rsidR="00721E60" w:rsidRDefault="00721E60" w:rsidP="00B23F24">
            <w:pPr>
              <w:rPr>
                <w:bCs/>
                <w:sz w:val="20"/>
                <w:szCs w:val="20"/>
              </w:rPr>
            </w:pPr>
            <w:r>
              <w:rPr>
                <w:bCs/>
                <w:sz w:val="20"/>
                <w:szCs w:val="20"/>
              </w:rPr>
              <w:t>August 2009</w:t>
            </w:r>
          </w:p>
        </w:tc>
      </w:tr>
      <w:tr w:rsidR="00721E60" w:rsidRPr="0030566C" w14:paraId="7517E648" w14:textId="77777777" w:rsidTr="00E213B1">
        <w:trPr>
          <w:cantSplit/>
        </w:trPr>
        <w:tc>
          <w:tcPr>
            <w:tcW w:w="222" w:type="pct"/>
          </w:tcPr>
          <w:p w14:paraId="3B92A8B5" w14:textId="77777777" w:rsidR="00721E60" w:rsidRDefault="00721E60" w:rsidP="00B23F24">
            <w:pPr>
              <w:rPr>
                <w:sz w:val="20"/>
                <w:szCs w:val="20"/>
              </w:rPr>
            </w:pPr>
            <w:r>
              <w:rPr>
                <w:sz w:val="20"/>
                <w:szCs w:val="20"/>
              </w:rPr>
              <w:t>5.</w:t>
            </w:r>
          </w:p>
        </w:tc>
        <w:tc>
          <w:tcPr>
            <w:tcW w:w="622" w:type="pct"/>
          </w:tcPr>
          <w:p w14:paraId="045EF5D5" w14:textId="77777777" w:rsidR="00721E60" w:rsidRDefault="00721E60" w:rsidP="00B23F24">
            <w:pPr>
              <w:rPr>
                <w:sz w:val="20"/>
                <w:szCs w:val="20"/>
              </w:rPr>
            </w:pPr>
            <w:r>
              <w:rPr>
                <w:sz w:val="20"/>
                <w:szCs w:val="20"/>
              </w:rPr>
              <w:t>Review</w:t>
            </w:r>
          </w:p>
        </w:tc>
        <w:tc>
          <w:tcPr>
            <w:tcW w:w="895" w:type="pct"/>
          </w:tcPr>
          <w:p w14:paraId="4A09AA32" w14:textId="77777777" w:rsidR="00721E60" w:rsidRPr="00555CA1" w:rsidRDefault="00721E60" w:rsidP="00B23F24">
            <w:pPr>
              <w:rPr>
                <w:bCs/>
                <w:sz w:val="20"/>
                <w:szCs w:val="20"/>
              </w:rPr>
            </w:pPr>
            <w:r w:rsidRPr="00C03EC0">
              <w:rPr>
                <w:bCs/>
                <w:sz w:val="20"/>
                <w:szCs w:val="20"/>
              </w:rPr>
              <w:t>Preclinical Pharmacology of AZD5363, an Inhibitor of AKT: Pharmacodynamics, Antitumor Activity, and Correlation of Monotherapy Activity with Genetic Background</w:t>
            </w:r>
          </w:p>
        </w:tc>
        <w:tc>
          <w:tcPr>
            <w:tcW w:w="2003" w:type="pct"/>
          </w:tcPr>
          <w:p w14:paraId="6FD31462" w14:textId="77777777" w:rsidR="00721E60" w:rsidRPr="00126BC6" w:rsidRDefault="00721E60" w:rsidP="00B23F24">
            <w:pPr>
              <w:rPr>
                <w:bCs/>
                <w:sz w:val="20"/>
                <w:szCs w:val="20"/>
              </w:rPr>
            </w:pPr>
            <w:r w:rsidRPr="00C03EC0">
              <w:rPr>
                <w:bCs/>
                <w:sz w:val="20"/>
                <w:szCs w:val="20"/>
              </w:rPr>
              <w:t xml:space="preserve">AKT is a key node in the most frequently deregulated </w:t>
            </w:r>
            <w:proofErr w:type="spellStart"/>
            <w:r w:rsidRPr="00C03EC0">
              <w:rPr>
                <w:bCs/>
                <w:sz w:val="20"/>
                <w:szCs w:val="20"/>
              </w:rPr>
              <w:t>signaling</w:t>
            </w:r>
            <w:proofErr w:type="spellEnd"/>
            <w:r w:rsidRPr="00C03EC0">
              <w:rPr>
                <w:bCs/>
                <w:sz w:val="20"/>
                <w:szCs w:val="20"/>
              </w:rPr>
              <w:t xml:space="preserve"> network in human cancer. AZD5363, a novel </w:t>
            </w:r>
            <w:proofErr w:type="spellStart"/>
            <w:r w:rsidRPr="00C03EC0">
              <w:rPr>
                <w:bCs/>
                <w:sz w:val="20"/>
                <w:szCs w:val="20"/>
              </w:rPr>
              <w:t>pyrrolopyrimidine</w:t>
            </w:r>
            <w:proofErr w:type="spellEnd"/>
            <w:r w:rsidRPr="00C03EC0">
              <w:rPr>
                <w:bCs/>
                <w:sz w:val="20"/>
                <w:szCs w:val="20"/>
              </w:rPr>
              <w:t xml:space="preserve">-derived compound, inhibited all AKT isoforms with a potency of 10 nmol/L or less and inhibited phosphorylation of AKT substrates in cells with a potency of approximately 0.3 to 0.8 </w:t>
            </w:r>
            <w:proofErr w:type="spellStart"/>
            <w:r w:rsidRPr="00C03EC0">
              <w:rPr>
                <w:bCs/>
                <w:sz w:val="20"/>
                <w:szCs w:val="20"/>
              </w:rPr>
              <w:t>μmol</w:t>
            </w:r>
            <w:proofErr w:type="spellEnd"/>
            <w:r w:rsidRPr="00C03EC0">
              <w:rPr>
                <w:bCs/>
                <w:sz w:val="20"/>
                <w:szCs w:val="20"/>
              </w:rPr>
              <w:t>/L.</w:t>
            </w:r>
          </w:p>
        </w:tc>
        <w:tc>
          <w:tcPr>
            <w:tcW w:w="674" w:type="pct"/>
          </w:tcPr>
          <w:p w14:paraId="0FC1D3BD" w14:textId="77777777" w:rsidR="00721E60" w:rsidRPr="00C35283" w:rsidRDefault="004302F1" w:rsidP="00B23F24">
            <w:pPr>
              <w:rPr>
                <w:bCs/>
                <w:sz w:val="20"/>
                <w:szCs w:val="20"/>
              </w:rPr>
            </w:pPr>
            <w:hyperlink r:id="rId21" w:history="1">
              <w:r w:rsidR="00721E60" w:rsidRPr="00F006BC">
                <w:rPr>
                  <w:rStyle w:val="Hyperlink"/>
                  <w:bCs/>
                  <w:sz w:val="20"/>
                  <w:szCs w:val="20"/>
                </w:rPr>
                <w:t>https://aacrjournals.org/mct/article/11/4/873/91239/Preclinical-Pharmacology-of-AZD5363-an-Inhibitor</w:t>
              </w:r>
            </w:hyperlink>
            <w:r w:rsidR="00721E60">
              <w:rPr>
                <w:bCs/>
                <w:sz w:val="20"/>
                <w:szCs w:val="20"/>
              </w:rPr>
              <w:t xml:space="preserve"> </w:t>
            </w:r>
          </w:p>
        </w:tc>
        <w:tc>
          <w:tcPr>
            <w:tcW w:w="584" w:type="pct"/>
          </w:tcPr>
          <w:p w14:paraId="19E4AEF0" w14:textId="77777777" w:rsidR="00721E60" w:rsidRDefault="00721E60" w:rsidP="00B23F24">
            <w:pPr>
              <w:rPr>
                <w:bCs/>
                <w:sz w:val="20"/>
                <w:szCs w:val="20"/>
              </w:rPr>
            </w:pPr>
            <w:r>
              <w:rPr>
                <w:bCs/>
                <w:sz w:val="20"/>
                <w:szCs w:val="20"/>
              </w:rPr>
              <w:t>April 2012</w:t>
            </w:r>
          </w:p>
        </w:tc>
      </w:tr>
      <w:bookmarkEnd w:id="6"/>
    </w:tbl>
    <w:p w14:paraId="0DDCA20E" w14:textId="77777777" w:rsidR="00721E60" w:rsidRDefault="00721E60" w:rsidP="00721E60"/>
    <w:p w14:paraId="6441B492" w14:textId="77777777" w:rsidR="00721E60" w:rsidRDefault="00721E60" w:rsidP="00721E60"/>
    <w:p w14:paraId="2E7FBBBD" w14:textId="77777777" w:rsidR="00E213B1" w:rsidRDefault="00E213B1" w:rsidP="00721E60">
      <w:pPr>
        <w:rPr>
          <w:rFonts w:eastAsia="Segoe UI"/>
          <w:b/>
          <w:color w:val="000000"/>
          <w:sz w:val="32"/>
        </w:rPr>
        <w:sectPr w:rsidR="00E213B1" w:rsidSect="00E213B1">
          <w:pgSz w:w="16838" w:h="11906" w:orient="landscape"/>
          <w:pgMar w:top="1440" w:right="1440" w:bottom="991" w:left="1135" w:header="426" w:footer="252" w:gutter="0"/>
          <w:cols w:space="708"/>
          <w:docGrid w:linePitch="360"/>
        </w:sectPr>
      </w:pPr>
    </w:p>
    <w:p w14:paraId="47B93BCD" w14:textId="77777777" w:rsidR="00721E60" w:rsidRDefault="00721E60" w:rsidP="00721E60">
      <w:pPr>
        <w:rPr>
          <w:rFonts w:eastAsia="Segoe UI"/>
          <w:b/>
          <w:color w:val="000000"/>
          <w:sz w:val="32"/>
        </w:rPr>
      </w:pPr>
      <w:r>
        <w:rPr>
          <w:rFonts w:eastAsia="Segoe UI"/>
          <w:b/>
          <w:color w:val="000000"/>
          <w:sz w:val="32"/>
        </w:rPr>
        <w:lastRenderedPageBreak/>
        <w:t>References</w:t>
      </w:r>
    </w:p>
    <w:p w14:paraId="2837FD7E" w14:textId="77777777" w:rsidR="00721E60" w:rsidRPr="009365E8" w:rsidRDefault="00721E60" w:rsidP="00721E60">
      <w:pPr>
        <w:rPr>
          <w:bCs/>
        </w:rPr>
      </w:pPr>
      <w:r w:rsidRPr="009365E8">
        <w:rPr>
          <w:bCs/>
        </w:rPr>
        <w:t xml:space="preserve">André F, </w:t>
      </w:r>
      <w:proofErr w:type="spellStart"/>
      <w:r w:rsidRPr="009365E8">
        <w:rPr>
          <w:bCs/>
        </w:rPr>
        <w:t>Ciruelos</w:t>
      </w:r>
      <w:proofErr w:type="spellEnd"/>
      <w:r w:rsidRPr="009365E8">
        <w:rPr>
          <w:bCs/>
        </w:rPr>
        <w:t xml:space="preserve"> E, </w:t>
      </w:r>
      <w:proofErr w:type="spellStart"/>
      <w:r w:rsidRPr="009365E8">
        <w:rPr>
          <w:bCs/>
        </w:rPr>
        <w:t>Rubovszky</w:t>
      </w:r>
      <w:proofErr w:type="spellEnd"/>
      <w:r w:rsidRPr="009365E8">
        <w:rPr>
          <w:bCs/>
        </w:rPr>
        <w:t xml:space="preserve"> G, </w:t>
      </w:r>
      <w:proofErr w:type="spellStart"/>
      <w:r w:rsidRPr="009365E8">
        <w:rPr>
          <w:bCs/>
        </w:rPr>
        <w:t>Campone</w:t>
      </w:r>
      <w:proofErr w:type="spellEnd"/>
      <w:r w:rsidRPr="009365E8">
        <w:rPr>
          <w:bCs/>
        </w:rPr>
        <w:t xml:space="preserve"> M, </w:t>
      </w:r>
      <w:proofErr w:type="spellStart"/>
      <w:r w:rsidRPr="009365E8">
        <w:rPr>
          <w:bCs/>
        </w:rPr>
        <w:t>Loibl</w:t>
      </w:r>
      <w:proofErr w:type="spellEnd"/>
      <w:r w:rsidRPr="009365E8">
        <w:rPr>
          <w:bCs/>
        </w:rPr>
        <w:t xml:space="preserve"> S, </w:t>
      </w:r>
      <w:proofErr w:type="spellStart"/>
      <w:r w:rsidRPr="009365E8">
        <w:rPr>
          <w:bCs/>
        </w:rPr>
        <w:t>Rugo</w:t>
      </w:r>
      <w:proofErr w:type="spellEnd"/>
      <w:r w:rsidRPr="009365E8">
        <w:rPr>
          <w:bCs/>
        </w:rPr>
        <w:t xml:space="preserve"> HS, Iwata H, Conte P, Mayer IA, Kaufman B, Yamashita T. </w:t>
      </w:r>
      <w:proofErr w:type="spellStart"/>
      <w:r w:rsidRPr="009365E8">
        <w:rPr>
          <w:bCs/>
        </w:rPr>
        <w:t>Alpelisib</w:t>
      </w:r>
      <w:proofErr w:type="spellEnd"/>
      <w:r w:rsidRPr="009365E8">
        <w:rPr>
          <w:bCs/>
        </w:rPr>
        <w:t xml:space="preserve"> for PIK3CA-mutated, hormone receptor–positive advanced breast cancer. New England Journal of Medicine. 2019 May 16;380(20):1929-40.</w:t>
      </w:r>
    </w:p>
    <w:p w14:paraId="07049255" w14:textId="77777777" w:rsidR="00721E60" w:rsidRPr="009365E8" w:rsidRDefault="00721E60" w:rsidP="00721E60">
      <w:pPr>
        <w:rPr>
          <w:bCs/>
        </w:rPr>
      </w:pPr>
      <w:r w:rsidRPr="009365E8">
        <w:rPr>
          <w:bCs/>
        </w:rPr>
        <w:t>Australian Government, Cancer Australia. 2019. Top 10 best practices for people with metastatic breast cancer. Available at: https://www.canceraustralia.gov.au/about-us/news/top-10-best-practices-people-metastatic-breast-cancer. [Accessed August 2021]</w:t>
      </w:r>
    </w:p>
    <w:p w14:paraId="556E8C43" w14:textId="77777777" w:rsidR="00721E60" w:rsidRPr="009365E8" w:rsidRDefault="00721E60" w:rsidP="00721E60">
      <w:pPr>
        <w:rPr>
          <w:bCs/>
        </w:rPr>
      </w:pPr>
      <w:r w:rsidRPr="009365E8">
        <w:rPr>
          <w:bCs/>
        </w:rPr>
        <w:t xml:space="preserve">Brown JS, Banerji U. Maximising the potential of AKT inhibitors as anti-cancer treatments. Pharmacology &amp; therapeutics. 2017 Apr </w:t>
      </w:r>
      <w:proofErr w:type="gramStart"/>
      <w:r w:rsidRPr="009365E8">
        <w:rPr>
          <w:bCs/>
        </w:rPr>
        <w:t>1;172:101</w:t>
      </w:r>
      <w:proofErr w:type="gramEnd"/>
      <w:r w:rsidRPr="009365E8">
        <w:rPr>
          <w:bCs/>
        </w:rPr>
        <w:t>-15.</w:t>
      </w:r>
    </w:p>
    <w:p w14:paraId="0D07C7D3" w14:textId="77777777" w:rsidR="00721E60" w:rsidRPr="009365E8" w:rsidRDefault="00721E60" w:rsidP="00721E60">
      <w:pPr>
        <w:rPr>
          <w:bCs/>
        </w:rPr>
      </w:pPr>
      <w:r w:rsidRPr="009365E8">
        <w:rPr>
          <w:bCs/>
        </w:rPr>
        <w:t xml:space="preserve">Cardoso F, </w:t>
      </w:r>
      <w:proofErr w:type="spellStart"/>
      <w:r w:rsidRPr="009365E8">
        <w:rPr>
          <w:bCs/>
        </w:rPr>
        <w:t>Senkus</w:t>
      </w:r>
      <w:proofErr w:type="spellEnd"/>
      <w:r w:rsidRPr="009365E8">
        <w:rPr>
          <w:bCs/>
        </w:rPr>
        <w:t xml:space="preserve"> E, Costa A, Papadopoulos E, </w:t>
      </w:r>
      <w:proofErr w:type="spellStart"/>
      <w:r w:rsidRPr="009365E8">
        <w:rPr>
          <w:bCs/>
        </w:rPr>
        <w:t>Aapro</w:t>
      </w:r>
      <w:proofErr w:type="spellEnd"/>
      <w:r w:rsidRPr="009365E8">
        <w:rPr>
          <w:bCs/>
        </w:rPr>
        <w:t xml:space="preserve"> M, André F, </w:t>
      </w:r>
      <w:proofErr w:type="spellStart"/>
      <w:r w:rsidRPr="009365E8">
        <w:rPr>
          <w:bCs/>
        </w:rPr>
        <w:t>Harbeck</w:t>
      </w:r>
      <w:proofErr w:type="spellEnd"/>
      <w:r w:rsidRPr="009365E8">
        <w:rPr>
          <w:bCs/>
        </w:rPr>
        <w:t xml:space="preserve"> N, Lopez BA, Barrios C, Bergh J, </w:t>
      </w:r>
      <w:proofErr w:type="spellStart"/>
      <w:r w:rsidRPr="009365E8">
        <w:rPr>
          <w:bCs/>
        </w:rPr>
        <w:t>Biganzoli</w:t>
      </w:r>
      <w:proofErr w:type="spellEnd"/>
      <w:r w:rsidRPr="009365E8">
        <w:rPr>
          <w:bCs/>
        </w:rPr>
        <w:t xml:space="preserve"> L. 4th ESO–ESMO international consensus guidelines for advanced breast cancer (ABC 4). Annals of Oncology. 2018 Aug 1;29(8):1634-57.</w:t>
      </w:r>
    </w:p>
    <w:p w14:paraId="7E89A930" w14:textId="77777777" w:rsidR="00721E60" w:rsidRPr="009365E8" w:rsidRDefault="00721E60" w:rsidP="00721E60">
      <w:pPr>
        <w:rPr>
          <w:bCs/>
        </w:rPr>
      </w:pPr>
      <w:r w:rsidRPr="009365E8">
        <w:rPr>
          <w:bCs/>
        </w:rPr>
        <w:t>Davies BR, Greenwood H, Dudley P, Crafter C, Yu DH, Zhang J, Li J, Gao B, Ji Q, Maynard J, Ricketts SA. Preclinical pharmacology of AZD5363, an inhibitor of AKT: pharmacodynamics, antitumor activity, and correlation of monotherapy activity with genetic background. Molecular cancer therapeutics. 2012 Apr 1;11(4):873-87.</w:t>
      </w:r>
    </w:p>
    <w:p w14:paraId="022C97D8" w14:textId="77777777" w:rsidR="00721E60" w:rsidRPr="009365E8" w:rsidRDefault="00721E60" w:rsidP="00721E60">
      <w:pPr>
        <w:rPr>
          <w:bCs/>
        </w:rPr>
      </w:pPr>
      <w:proofErr w:type="spellStart"/>
      <w:r w:rsidRPr="009365E8">
        <w:rPr>
          <w:bCs/>
        </w:rPr>
        <w:t>Frogne</w:t>
      </w:r>
      <w:proofErr w:type="spellEnd"/>
      <w:r w:rsidRPr="009365E8">
        <w:rPr>
          <w:bCs/>
        </w:rPr>
        <w:t xml:space="preserve"> T, Jepsen JS, Larsen SS, Fog CK, </w:t>
      </w:r>
      <w:proofErr w:type="spellStart"/>
      <w:r w:rsidRPr="009365E8">
        <w:rPr>
          <w:bCs/>
        </w:rPr>
        <w:t>Brockdorff</w:t>
      </w:r>
      <w:proofErr w:type="spellEnd"/>
      <w:r w:rsidRPr="009365E8">
        <w:rPr>
          <w:bCs/>
        </w:rPr>
        <w:t xml:space="preserve"> BL, </w:t>
      </w:r>
      <w:proofErr w:type="spellStart"/>
      <w:r w:rsidRPr="009365E8">
        <w:rPr>
          <w:bCs/>
        </w:rPr>
        <w:t>Lykkesfeldt</w:t>
      </w:r>
      <w:proofErr w:type="spellEnd"/>
      <w:r w:rsidRPr="009365E8">
        <w:rPr>
          <w:bCs/>
        </w:rPr>
        <w:t xml:space="preserve"> AE. Antiestrogen-resistant human breast cancer cells require activated protein kinase B/Akt for growth. Endocrine-related cancer. 2005 Sep 1;12(3):599-614.</w:t>
      </w:r>
    </w:p>
    <w:p w14:paraId="03C9E142" w14:textId="77777777" w:rsidR="00721E60" w:rsidRPr="009365E8" w:rsidRDefault="00721E60" w:rsidP="00721E60">
      <w:pPr>
        <w:rPr>
          <w:bCs/>
        </w:rPr>
      </w:pPr>
      <w:proofErr w:type="spellStart"/>
      <w:r w:rsidRPr="009365E8">
        <w:rPr>
          <w:bCs/>
        </w:rPr>
        <w:t>Ghayad</w:t>
      </w:r>
      <w:proofErr w:type="spellEnd"/>
      <w:r w:rsidRPr="009365E8">
        <w:rPr>
          <w:bCs/>
        </w:rPr>
        <w:t xml:space="preserve"> SE, </w:t>
      </w:r>
      <w:proofErr w:type="spellStart"/>
      <w:r w:rsidRPr="009365E8">
        <w:rPr>
          <w:bCs/>
        </w:rPr>
        <w:t>Vendrell</w:t>
      </w:r>
      <w:proofErr w:type="spellEnd"/>
      <w:r w:rsidRPr="009365E8">
        <w:rPr>
          <w:bCs/>
        </w:rPr>
        <w:t xml:space="preserve"> JA, Larbi SB, </w:t>
      </w:r>
      <w:proofErr w:type="spellStart"/>
      <w:r w:rsidRPr="009365E8">
        <w:rPr>
          <w:bCs/>
        </w:rPr>
        <w:t>Dumontet</w:t>
      </w:r>
      <w:proofErr w:type="spellEnd"/>
      <w:r w:rsidRPr="009365E8">
        <w:rPr>
          <w:bCs/>
        </w:rPr>
        <w:t xml:space="preserve"> C, </w:t>
      </w:r>
      <w:proofErr w:type="spellStart"/>
      <w:r w:rsidRPr="009365E8">
        <w:rPr>
          <w:bCs/>
        </w:rPr>
        <w:t>Bieche</w:t>
      </w:r>
      <w:proofErr w:type="spellEnd"/>
      <w:r w:rsidRPr="009365E8">
        <w:rPr>
          <w:bCs/>
        </w:rPr>
        <w:t xml:space="preserve"> I, Cohen PA. Endocrine resistance associated with activated </w:t>
      </w:r>
      <w:proofErr w:type="spellStart"/>
      <w:r w:rsidRPr="009365E8">
        <w:rPr>
          <w:bCs/>
        </w:rPr>
        <w:t>ErbB</w:t>
      </w:r>
      <w:proofErr w:type="spellEnd"/>
      <w:r w:rsidRPr="009365E8">
        <w:rPr>
          <w:bCs/>
        </w:rPr>
        <w:t xml:space="preserve"> system in breast cancer cells is reversed by inhibiting MAPK or PI3K/Akt </w:t>
      </w:r>
      <w:proofErr w:type="spellStart"/>
      <w:r w:rsidRPr="009365E8">
        <w:rPr>
          <w:bCs/>
        </w:rPr>
        <w:t>signaling</w:t>
      </w:r>
      <w:proofErr w:type="spellEnd"/>
      <w:r w:rsidRPr="009365E8">
        <w:rPr>
          <w:bCs/>
        </w:rPr>
        <w:t xml:space="preserve"> pathways. International journal of cancer. 2010 Jan 15;126(2):545-62.</w:t>
      </w:r>
    </w:p>
    <w:p w14:paraId="72D365C3" w14:textId="77777777" w:rsidR="00721E60" w:rsidRPr="009365E8" w:rsidRDefault="00721E60" w:rsidP="00721E60">
      <w:pPr>
        <w:rPr>
          <w:bCs/>
        </w:rPr>
      </w:pPr>
      <w:proofErr w:type="spellStart"/>
      <w:r w:rsidRPr="009365E8">
        <w:rPr>
          <w:bCs/>
        </w:rPr>
        <w:t>Gobbini</w:t>
      </w:r>
      <w:proofErr w:type="spellEnd"/>
      <w:r w:rsidRPr="009365E8">
        <w:rPr>
          <w:bCs/>
        </w:rPr>
        <w:t xml:space="preserve"> E, </w:t>
      </w:r>
      <w:proofErr w:type="spellStart"/>
      <w:r w:rsidRPr="009365E8">
        <w:rPr>
          <w:bCs/>
        </w:rPr>
        <w:t>Ezzalfani</w:t>
      </w:r>
      <w:proofErr w:type="spellEnd"/>
      <w:r w:rsidRPr="009365E8">
        <w:rPr>
          <w:bCs/>
        </w:rPr>
        <w:t xml:space="preserve"> M, </w:t>
      </w:r>
      <w:proofErr w:type="spellStart"/>
      <w:r w:rsidRPr="009365E8">
        <w:rPr>
          <w:bCs/>
        </w:rPr>
        <w:t>Dieras</w:t>
      </w:r>
      <w:proofErr w:type="spellEnd"/>
      <w:r w:rsidRPr="009365E8">
        <w:rPr>
          <w:bCs/>
        </w:rPr>
        <w:t xml:space="preserve"> V, </w:t>
      </w:r>
      <w:proofErr w:type="spellStart"/>
      <w:r w:rsidRPr="009365E8">
        <w:rPr>
          <w:bCs/>
        </w:rPr>
        <w:t>Bachelot</w:t>
      </w:r>
      <w:proofErr w:type="spellEnd"/>
      <w:r w:rsidRPr="009365E8">
        <w:rPr>
          <w:bCs/>
        </w:rPr>
        <w:t xml:space="preserve"> T, Brain E, </w:t>
      </w:r>
      <w:proofErr w:type="spellStart"/>
      <w:r w:rsidRPr="009365E8">
        <w:rPr>
          <w:bCs/>
        </w:rPr>
        <w:t>Debled</w:t>
      </w:r>
      <w:proofErr w:type="spellEnd"/>
      <w:r w:rsidRPr="009365E8">
        <w:rPr>
          <w:bCs/>
        </w:rPr>
        <w:t xml:space="preserve"> M, </w:t>
      </w:r>
      <w:proofErr w:type="spellStart"/>
      <w:r w:rsidRPr="009365E8">
        <w:rPr>
          <w:bCs/>
        </w:rPr>
        <w:t>Jacot</w:t>
      </w:r>
      <w:proofErr w:type="spellEnd"/>
      <w:r w:rsidRPr="009365E8">
        <w:rPr>
          <w:bCs/>
        </w:rPr>
        <w:t xml:space="preserve"> W, </w:t>
      </w:r>
      <w:proofErr w:type="spellStart"/>
      <w:r w:rsidRPr="009365E8">
        <w:rPr>
          <w:bCs/>
        </w:rPr>
        <w:t>Mouret-Reynier</w:t>
      </w:r>
      <w:proofErr w:type="spellEnd"/>
      <w:r w:rsidRPr="009365E8">
        <w:rPr>
          <w:bCs/>
        </w:rPr>
        <w:t xml:space="preserve"> MA, Goncalves A, </w:t>
      </w:r>
      <w:proofErr w:type="spellStart"/>
      <w:r w:rsidRPr="009365E8">
        <w:rPr>
          <w:bCs/>
        </w:rPr>
        <w:t>Dalenc</w:t>
      </w:r>
      <w:proofErr w:type="spellEnd"/>
      <w:r w:rsidRPr="009365E8">
        <w:rPr>
          <w:bCs/>
        </w:rPr>
        <w:t xml:space="preserve"> F, </w:t>
      </w:r>
      <w:proofErr w:type="spellStart"/>
      <w:r w:rsidRPr="009365E8">
        <w:rPr>
          <w:bCs/>
        </w:rPr>
        <w:t>Patsouris</w:t>
      </w:r>
      <w:proofErr w:type="spellEnd"/>
      <w:r w:rsidRPr="009365E8">
        <w:rPr>
          <w:bCs/>
        </w:rPr>
        <w:t xml:space="preserve"> A. Time trends of overall survival among metastatic breast cancer patients in the real-life ESME cohort. European journal of cancer. 2018 Jun </w:t>
      </w:r>
      <w:proofErr w:type="gramStart"/>
      <w:r w:rsidRPr="009365E8">
        <w:rPr>
          <w:bCs/>
        </w:rPr>
        <w:t>1;96:17</w:t>
      </w:r>
      <w:proofErr w:type="gramEnd"/>
      <w:r w:rsidRPr="009365E8">
        <w:rPr>
          <w:bCs/>
        </w:rPr>
        <w:t>-24.</w:t>
      </w:r>
    </w:p>
    <w:p w14:paraId="32F3D0EF" w14:textId="77777777" w:rsidR="00721E60" w:rsidRPr="009365E8" w:rsidRDefault="00721E60" w:rsidP="00721E60">
      <w:pPr>
        <w:rPr>
          <w:bCs/>
        </w:rPr>
      </w:pPr>
      <w:proofErr w:type="spellStart"/>
      <w:r w:rsidRPr="009365E8">
        <w:rPr>
          <w:bCs/>
        </w:rPr>
        <w:t>Howlader</w:t>
      </w:r>
      <w:proofErr w:type="spellEnd"/>
      <w:r w:rsidRPr="009365E8">
        <w:rPr>
          <w:bCs/>
        </w:rPr>
        <w:t xml:space="preserve"> N, </w:t>
      </w:r>
      <w:proofErr w:type="spellStart"/>
      <w:r w:rsidRPr="009365E8">
        <w:rPr>
          <w:bCs/>
        </w:rPr>
        <w:t>Altekruse</w:t>
      </w:r>
      <w:proofErr w:type="spellEnd"/>
      <w:r w:rsidRPr="009365E8">
        <w:rPr>
          <w:bCs/>
        </w:rPr>
        <w:t xml:space="preserve"> SF, Li CI, Chen VW, Clarke CA, </w:t>
      </w:r>
      <w:proofErr w:type="spellStart"/>
      <w:r w:rsidRPr="009365E8">
        <w:rPr>
          <w:bCs/>
        </w:rPr>
        <w:t>Ries</w:t>
      </w:r>
      <w:proofErr w:type="spellEnd"/>
      <w:r w:rsidRPr="009365E8">
        <w:rPr>
          <w:bCs/>
        </w:rPr>
        <w:t xml:space="preserve"> LA, Cronin KA. US incidence of breast cancer subtypes defined by joint hormone receptor and HER2 status. Journal of the National Cancer Institute. 2014 May 1;106(5</w:t>
      </w:r>
      <w:proofErr w:type="gramStart"/>
      <w:r w:rsidRPr="009365E8">
        <w:rPr>
          <w:bCs/>
        </w:rPr>
        <w:t>):dju</w:t>
      </w:r>
      <w:proofErr w:type="gramEnd"/>
      <w:r w:rsidRPr="009365E8">
        <w:rPr>
          <w:bCs/>
        </w:rPr>
        <w:t>055.</w:t>
      </w:r>
    </w:p>
    <w:p w14:paraId="4EA32921" w14:textId="77777777" w:rsidR="00721E60" w:rsidRPr="009365E8" w:rsidRDefault="00721E60" w:rsidP="00721E60">
      <w:pPr>
        <w:rPr>
          <w:bCs/>
        </w:rPr>
      </w:pPr>
      <w:r w:rsidRPr="009365E8">
        <w:rPr>
          <w:bCs/>
        </w:rPr>
        <w:t xml:space="preserve">Kyung HY, </w:t>
      </w:r>
      <w:proofErr w:type="spellStart"/>
      <w:r w:rsidRPr="009365E8">
        <w:rPr>
          <w:bCs/>
        </w:rPr>
        <w:t>Lauring</w:t>
      </w:r>
      <w:proofErr w:type="spellEnd"/>
      <w:r w:rsidRPr="009365E8">
        <w:rPr>
          <w:bCs/>
        </w:rPr>
        <w:t xml:space="preserve"> J. Recurrent AKT mutations in human cancers: functional consequences and effects on drug sensitivity. </w:t>
      </w:r>
      <w:proofErr w:type="spellStart"/>
      <w:r w:rsidRPr="009365E8">
        <w:rPr>
          <w:bCs/>
        </w:rPr>
        <w:t>Oncotarget</w:t>
      </w:r>
      <w:proofErr w:type="spellEnd"/>
      <w:r w:rsidRPr="009365E8">
        <w:rPr>
          <w:bCs/>
        </w:rPr>
        <w:t>. 2016 Jan 1;7(4):4241.</w:t>
      </w:r>
    </w:p>
    <w:p w14:paraId="646DBBB1" w14:textId="77777777" w:rsidR="00721E60" w:rsidRPr="009365E8" w:rsidRDefault="00721E60" w:rsidP="00721E60">
      <w:pPr>
        <w:rPr>
          <w:bCs/>
        </w:rPr>
      </w:pPr>
      <w:r w:rsidRPr="009365E8">
        <w:rPr>
          <w:bCs/>
        </w:rPr>
        <w:t>Lindsley CW. The Akt/PKB family of protein kinases: a review of small molecule inhibitors and progress towards target validation: a 2009 update. Current topics in medicinal chemistry. 2010 Mar 1;10(4):458-77.</w:t>
      </w:r>
    </w:p>
    <w:p w14:paraId="60C653EF" w14:textId="77777777" w:rsidR="00721E60" w:rsidRPr="009365E8" w:rsidRDefault="00721E60" w:rsidP="00721E60">
      <w:pPr>
        <w:rPr>
          <w:bCs/>
        </w:rPr>
      </w:pPr>
      <w:r w:rsidRPr="009365E8">
        <w:rPr>
          <w:bCs/>
        </w:rPr>
        <w:t>Liu P, Cheng H, Roberts TM, Zhao JJ. Targeting the phosphoinositide 3-kinase pathway in cancer. Nature reviews Drug discovery. 2009 Aug;8(8):627-44.</w:t>
      </w:r>
    </w:p>
    <w:p w14:paraId="338EE179" w14:textId="77777777" w:rsidR="00721E60" w:rsidRPr="009365E8" w:rsidRDefault="00721E60" w:rsidP="00721E60">
      <w:pPr>
        <w:rPr>
          <w:bCs/>
        </w:rPr>
      </w:pPr>
      <w:r w:rsidRPr="009365E8">
        <w:rPr>
          <w:bCs/>
        </w:rPr>
        <w:t>National Breast Cancer Foundation. 2021. Breast Cancer Stats. Available at: https://nbcf.org.au/about-breast-cancer/breast-cancer-stats Accessed March 2023</w:t>
      </w:r>
    </w:p>
    <w:p w14:paraId="0B6CBD25" w14:textId="77777777" w:rsidR="00721E60" w:rsidRDefault="00721E60" w:rsidP="00721E60">
      <w:pPr>
        <w:rPr>
          <w:bCs/>
        </w:rPr>
      </w:pPr>
      <w:proofErr w:type="spellStart"/>
      <w:r w:rsidRPr="009365E8">
        <w:rPr>
          <w:bCs/>
        </w:rPr>
        <w:t>Telli</w:t>
      </w:r>
      <w:proofErr w:type="spellEnd"/>
      <w:r w:rsidRPr="009365E8">
        <w:rPr>
          <w:bCs/>
        </w:rPr>
        <w:t xml:space="preserve"> ML, </w:t>
      </w:r>
      <w:proofErr w:type="spellStart"/>
      <w:r w:rsidRPr="009365E8">
        <w:rPr>
          <w:bCs/>
        </w:rPr>
        <w:t>Gradishar</w:t>
      </w:r>
      <w:proofErr w:type="spellEnd"/>
      <w:r w:rsidRPr="009365E8">
        <w:rPr>
          <w:bCs/>
        </w:rPr>
        <w:t xml:space="preserve"> WJ, Ward JH. NCCN guidelines updates: breast cancer. Journal of the National Comprehensive Cancer Network. 2019 May 1;17(5.5):552-5.</w:t>
      </w:r>
    </w:p>
    <w:p w14:paraId="65A0F447" w14:textId="77777777" w:rsidR="00721E60" w:rsidRPr="009365E8" w:rsidRDefault="00721E60" w:rsidP="00721E60">
      <w:pPr>
        <w:rPr>
          <w:bCs/>
        </w:rPr>
      </w:pPr>
      <w:r w:rsidRPr="00E61966">
        <w:rPr>
          <w:bCs/>
        </w:rPr>
        <w:lastRenderedPageBreak/>
        <w:t xml:space="preserve">Turner NC, Oliveira M, Howell SJ, </w:t>
      </w:r>
      <w:proofErr w:type="spellStart"/>
      <w:r w:rsidRPr="00E61966">
        <w:rPr>
          <w:bCs/>
        </w:rPr>
        <w:t>Dalenc</w:t>
      </w:r>
      <w:proofErr w:type="spellEnd"/>
      <w:r w:rsidRPr="00E61966">
        <w:rPr>
          <w:bCs/>
        </w:rPr>
        <w:t xml:space="preserve"> F, Cortes J, Gomez Moreno HL, Hu X, </w:t>
      </w:r>
      <w:proofErr w:type="spellStart"/>
      <w:r w:rsidRPr="00E61966">
        <w:rPr>
          <w:bCs/>
        </w:rPr>
        <w:t>Jhaveri</w:t>
      </w:r>
      <w:proofErr w:type="spellEnd"/>
      <w:r w:rsidRPr="00E61966">
        <w:rPr>
          <w:bCs/>
        </w:rPr>
        <w:t xml:space="preserve"> K, </w:t>
      </w:r>
      <w:proofErr w:type="spellStart"/>
      <w:r w:rsidRPr="00E61966">
        <w:rPr>
          <w:bCs/>
        </w:rPr>
        <w:t>Krivorotko</w:t>
      </w:r>
      <w:proofErr w:type="spellEnd"/>
      <w:r w:rsidRPr="00E61966">
        <w:rPr>
          <w:bCs/>
        </w:rPr>
        <w:t xml:space="preserve"> P, </w:t>
      </w:r>
      <w:proofErr w:type="spellStart"/>
      <w:r w:rsidRPr="00E61966">
        <w:rPr>
          <w:bCs/>
        </w:rPr>
        <w:t>Loibl</w:t>
      </w:r>
      <w:proofErr w:type="spellEnd"/>
      <w:r w:rsidRPr="00E61966">
        <w:rPr>
          <w:bCs/>
        </w:rPr>
        <w:t xml:space="preserve"> S, Morales Murillo S. </w:t>
      </w:r>
      <w:proofErr w:type="spellStart"/>
      <w:r w:rsidRPr="00E61966">
        <w:rPr>
          <w:bCs/>
        </w:rPr>
        <w:t>Capivasertib</w:t>
      </w:r>
      <w:proofErr w:type="spellEnd"/>
      <w:r w:rsidRPr="00E61966">
        <w:rPr>
          <w:bCs/>
        </w:rPr>
        <w:t xml:space="preserve"> in Hormone Receptor–Positive Advanced Breast Cancer. New England Journal of Medicine. 2023 Jun 1;388(22):2058-70.</w:t>
      </w:r>
    </w:p>
    <w:p w14:paraId="6AC83EB4" w14:textId="77777777" w:rsidR="00721E60" w:rsidRPr="003F1C7D" w:rsidRDefault="00721E60" w:rsidP="00721E60">
      <w:pPr>
        <w:rPr>
          <w:bCs/>
        </w:rPr>
      </w:pPr>
      <w:r w:rsidRPr="009365E8">
        <w:rPr>
          <w:bCs/>
        </w:rPr>
        <w:t xml:space="preserve">Van der </w:t>
      </w:r>
      <w:proofErr w:type="spellStart"/>
      <w:r w:rsidRPr="009365E8">
        <w:rPr>
          <w:bCs/>
        </w:rPr>
        <w:t>Hage</w:t>
      </w:r>
      <w:proofErr w:type="spellEnd"/>
      <w:r w:rsidRPr="009365E8">
        <w:rPr>
          <w:bCs/>
        </w:rPr>
        <w:t xml:space="preserve"> JA, van den Broek LJ, Legrand C, </w:t>
      </w:r>
      <w:proofErr w:type="spellStart"/>
      <w:r w:rsidRPr="009365E8">
        <w:rPr>
          <w:bCs/>
        </w:rPr>
        <w:t>Clahsen</w:t>
      </w:r>
      <w:proofErr w:type="spellEnd"/>
      <w:r w:rsidRPr="009365E8">
        <w:rPr>
          <w:bCs/>
        </w:rPr>
        <w:t xml:space="preserve"> PC, Bosch CJ, </w:t>
      </w:r>
      <w:proofErr w:type="spellStart"/>
      <w:r w:rsidRPr="009365E8">
        <w:rPr>
          <w:bCs/>
        </w:rPr>
        <w:t>Robanus-Maandag</w:t>
      </w:r>
      <w:proofErr w:type="spellEnd"/>
      <w:r w:rsidRPr="009365E8">
        <w:rPr>
          <w:bCs/>
        </w:rPr>
        <w:t xml:space="preserve"> EC, van de Velde CJ, Van de </w:t>
      </w:r>
      <w:proofErr w:type="spellStart"/>
      <w:r w:rsidRPr="009365E8">
        <w:rPr>
          <w:bCs/>
        </w:rPr>
        <w:t>Vijver</w:t>
      </w:r>
      <w:proofErr w:type="spellEnd"/>
      <w:r w:rsidRPr="009365E8">
        <w:rPr>
          <w:bCs/>
        </w:rPr>
        <w:t xml:space="preserve"> MJ. Overexpression of P70 S6 kinase protein is associated with increased risk of locoregional recurrence in node-negative premenopausal early breast cancer patients. British journal of cancer. 2004 Apr;90(8):1543-50.</w:t>
      </w:r>
    </w:p>
    <w:p w14:paraId="1BFC828B" w14:textId="5BC2991E" w:rsidR="00E972B7" w:rsidRPr="00721E60" w:rsidRDefault="00E972B7" w:rsidP="00721E60"/>
    <w:sectPr w:rsidR="00E972B7" w:rsidRPr="00721E60" w:rsidSect="00E213B1">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2E30" w14:textId="77777777" w:rsidR="00CA54C1" w:rsidRDefault="00CA54C1" w:rsidP="00973FD9">
      <w:r>
        <w:separator/>
      </w:r>
    </w:p>
  </w:endnote>
  <w:endnote w:type="continuationSeparator" w:id="0">
    <w:p w14:paraId="0B87C538" w14:textId="77777777" w:rsidR="00CA54C1" w:rsidRDefault="00CA54C1" w:rsidP="00973FD9">
      <w:r>
        <w:continuationSeparator/>
      </w:r>
    </w:p>
  </w:endnote>
  <w:endnote w:type="continuationNotice" w:id="1">
    <w:p w14:paraId="5B8BEC74" w14:textId="77777777" w:rsidR="00CA54C1" w:rsidRDefault="00CA54C1" w:rsidP="00973F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988514"/>
      <w:docPartObj>
        <w:docPartGallery w:val="Page Numbers (Bottom of Page)"/>
        <w:docPartUnique/>
      </w:docPartObj>
    </w:sdtPr>
    <w:sdtEndPr/>
    <w:sdtContent>
      <w:p w14:paraId="1D946C7C" w14:textId="2ED158E6" w:rsidR="0090168B" w:rsidRDefault="0090168B" w:rsidP="003527D4">
        <w:pPr>
          <w:pStyle w:val="Footer"/>
          <w:jc w:val="right"/>
        </w:pPr>
        <w:r w:rsidRPr="0090168B">
          <w:t xml:space="preserve">Page </w:t>
        </w:r>
        <w:r w:rsidRPr="0090168B">
          <w:fldChar w:fldCharType="begin"/>
        </w:r>
        <w:r w:rsidRPr="0090168B">
          <w:instrText xml:space="preserve"> PAGE  \* Arabic  \* MERGEFORMAT </w:instrText>
        </w:r>
        <w:r w:rsidRPr="0090168B">
          <w:fldChar w:fldCharType="separate"/>
        </w:r>
        <w:r w:rsidR="002B1175">
          <w:rPr>
            <w:noProof/>
          </w:rPr>
          <w:t>8</w:t>
        </w:r>
        <w:r w:rsidRPr="0090168B">
          <w:fldChar w:fldCharType="end"/>
        </w:r>
        <w:r w:rsidRPr="0090168B">
          <w:t xml:space="preserve"> of </w:t>
        </w:r>
        <w:fldSimple w:instr=" NUMPAGES  \* Arabic  \* MERGEFORMAT ">
          <w:r w:rsidR="002B1175">
            <w:rPr>
              <w:noProof/>
            </w:rPr>
            <w:t>10</w:t>
          </w:r>
        </w:fldSimple>
      </w:p>
    </w:sdtContent>
  </w:sdt>
  <w:p w14:paraId="355A1DA5" w14:textId="77777777" w:rsidR="0090168B" w:rsidRDefault="0090168B" w:rsidP="0097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5757" w14:textId="77777777" w:rsidR="00CA54C1" w:rsidRDefault="00CA54C1" w:rsidP="00973FD9">
      <w:r>
        <w:separator/>
      </w:r>
    </w:p>
  </w:footnote>
  <w:footnote w:type="continuationSeparator" w:id="0">
    <w:p w14:paraId="3D3C9645" w14:textId="77777777" w:rsidR="00CA54C1" w:rsidRDefault="00CA54C1" w:rsidP="00973FD9">
      <w:r>
        <w:continuationSeparator/>
      </w:r>
    </w:p>
  </w:footnote>
  <w:footnote w:type="continuationNotice" w:id="1">
    <w:p w14:paraId="1AD5856F" w14:textId="77777777" w:rsidR="00CA54C1" w:rsidRDefault="00CA54C1" w:rsidP="00973F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8547" w14:textId="2CC44D5B" w:rsidR="00973FD9" w:rsidRDefault="00FE3434" w:rsidP="00973FD9">
    <w:r>
      <w:t>MSAC Application 17</w:t>
    </w:r>
    <w:r w:rsidR="00721E60">
      <w:t>66</w:t>
    </w:r>
    <w:r>
      <w:t xml:space="preserve">: </w:t>
    </w:r>
    <w:r w:rsidR="00721E60" w:rsidRPr="00721E60">
      <w:t xml:space="preserve">AKT-pathway alteration testing in patients with hormone receptor-positive, HER2-negative advanced breast cancer </w:t>
    </w:r>
    <w:r w:rsidR="00973FD9" w:rsidRPr="00973FD9">
      <w:t xml:space="preserve">– </w:t>
    </w:r>
    <w:r w:rsidR="00973FD9" w:rsidRPr="00721E60">
      <w:t>PICO Set</w:t>
    </w:r>
  </w:p>
  <w:p w14:paraId="6451851C" w14:textId="381FA303" w:rsidR="00F16239" w:rsidRPr="00973FD9" w:rsidRDefault="00F16239" w:rsidP="00973FD9">
    <w:r>
      <w:rPr>
        <w:rFonts w:eastAsia="Segoe UI"/>
        <w:noProof/>
        <w:lang w:val="en-US"/>
      </w:rPr>
      <mc:AlternateContent>
        <mc:Choice Requires="wps">
          <w:drawing>
            <wp:anchor distT="0" distB="0" distL="114300" distR="114300" simplePos="0" relativeHeight="251658241"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1EB4C" id="Straight Connector 2"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39B3"/>
    <w:multiLevelType w:val="hybridMultilevel"/>
    <w:tmpl w:val="9A1CB8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68E37F4"/>
    <w:multiLevelType w:val="hybridMultilevel"/>
    <w:tmpl w:val="10E45268"/>
    <w:lvl w:ilvl="0" w:tplc="7D92C236">
      <w:numFmt w:val="bullet"/>
      <w:lvlText w:val="•"/>
      <w:lvlJc w:val="left"/>
      <w:pPr>
        <w:ind w:left="1080" w:hanging="72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06D15"/>
    <w:multiLevelType w:val="hybridMultilevel"/>
    <w:tmpl w:val="08342E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3042438"/>
    <w:multiLevelType w:val="hybridMultilevel"/>
    <w:tmpl w:val="F71C9E7A"/>
    <w:lvl w:ilvl="0" w:tplc="0C090001">
      <w:start w:val="1"/>
      <w:numFmt w:val="bullet"/>
      <w:lvlText w:val=""/>
      <w:lvlJc w:val="left"/>
      <w:pPr>
        <w:ind w:left="1080" w:hanging="720"/>
      </w:pPr>
      <w:rPr>
        <w:rFonts w:ascii="Symbol" w:hAnsi="Symbol" w:hint="default"/>
      </w:rPr>
    </w:lvl>
    <w:lvl w:ilvl="1" w:tplc="FFFFFFFF">
      <w:start w:val="3"/>
      <w:numFmt w:val="bullet"/>
      <w:lvlText w:val=""/>
      <w:lvlJc w:val="left"/>
      <w:pPr>
        <w:ind w:left="1800" w:hanging="720"/>
      </w:pPr>
      <w:rPr>
        <w:rFonts w:ascii="Symbol" w:eastAsia="Times New Roman" w:hAnsi="Symbo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576B36"/>
    <w:multiLevelType w:val="hybridMultilevel"/>
    <w:tmpl w:val="805E0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7366F8A"/>
    <w:multiLevelType w:val="hybridMultilevel"/>
    <w:tmpl w:val="87A8B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537497"/>
    <w:multiLevelType w:val="hybridMultilevel"/>
    <w:tmpl w:val="0F907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A82995"/>
    <w:multiLevelType w:val="hybridMultilevel"/>
    <w:tmpl w:val="A22AAA3E"/>
    <w:lvl w:ilvl="0" w:tplc="0C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B2A5AF5"/>
    <w:multiLevelType w:val="hybridMultilevel"/>
    <w:tmpl w:val="25B0320E"/>
    <w:lvl w:ilvl="0" w:tplc="FFFFFFFF">
      <w:start w:val="3"/>
      <w:numFmt w:val="bullet"/>
      <w:lvlText w:val="•"/>
      <w:lvlJc w:val="left"/>
      <w:pPr>
        <w:ind w:left="1080" w:hanging="720"/>
      </w:pPr>
      <w:rPr>
        <w:rFonts w:ascii="Arial Narrow" w:eastAsia="Times New Roman" w:hAnsi="Arial Narrow" w:cs="Aria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C41558"/>
    <w:multiLevelType w:val="hybridMultilevel"/>
    <w:tmpl w:val="F8543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512C86"/>
    <w:multiLevelType w:val="hybridMultilevel"/>
    <w:tmpl w:val="0396CDC2"/>
    <w:lvl w:ilvl="0" w:tplc="4E30D99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FC5670"/>
    <w:multiLevelType w:val="hybridMultilevel"/>
    <w:tmpl w:val="83EA0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B87855"/>
    <w:multiLevelType w:val="hybridMultilevel"/>
    <w:tmpl w:val="6B003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DA74C8"/>
    <w:multiLevelType w:val="hybridMultilevel"/>
    <w:tmpl w:val="D3AE4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ED31A3"/>
    <w:multiLevelType w:val="hybridMultilevel"/>
    <w:tmpl w:val="F31872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C280264"/>
    <w:multiLevelType w:val="hybridMultilevel"/>
    <w:tmpl w:val="ABF09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5A68DD"/>
    <w:multiLevelType w:val="hybridMultilevel"/>
    <w:tmpl w:val="CE541246"/>
    <w:lvl w:ilvl="0" w:tplc="CBEA72BA">
      <w:start w:val="3"/>
      <w:numFmt w:val="bullet"/>
      <w:lvlText w:val="•"/>
      <w:lvlJc w:val="left"/>
      <w:pPr>
        <w:ind w:left="1080" w:hanging="720"/>
      </w:pPr>
      <w:rPr>
        <w:rFonts w:ascii="Segoe UI" w:eastAsia="Segoe U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63059D"/>
    <w:multiLevelType w:val="hybridMultilevel"/>
    <w:tmpl w:val="D75EB474"/>
    <w:lvl w:ilvl="0" w:tplc="2DDA53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8308D2"/>
    <w:multiLevelType w:val="hybridMultilevel"/>
    <w:tmpl w:val="2AC2B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705699"/>
    <w:multiLevelType w:val="hybridMultilevel"/>
    <w:tmpl w:val="E728AD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271767">
    <w:abstractNumId w:val="5"/>
  </w:num>
  <w:num w:numId="2" w16cid:durableId="36317077">
    <w:abstractNumId w:val="6"/>
  </w:num>
  <w:num w:numId="3" w16cid:durableId="1720087414">
    <w:abstractNumId w:val="12"/>
  </w:num>
  <w:num w:numId="4" w16cid:durableId="718281163">
    <w:abstractNumId w:val="1"/>
  </w:num>
  <w:num w:numId="5" w16cid:durableId="1271737047">
    <w:abstractNumId w:val="4"/>
  </w:num>
  <w:num w:numId="6" w16cid:durableId="711422293">
    <w:abstractNumId w:val="2"/>
  </w:num>
  <w:num w:numId="7" w16cid:durableId="1587768686">
    <w:abstractNumId w:val="11"/>
  </w:num>
  <w:num w:numId="8" w16cid:durableId="400565406">
    <w:abstractNumId w:val="15"/>
  </w:num>
  <w:num w:numId="9" w16cid:durableId="218786248">
    <w:abstractNumId w:val="0"/>
  </w:num>
  <w:num w:numId="10" w16cid:durableId="1076249519">
    <w:abstractNumId w:val="9"/>
  </w:num>
  <w:num w:numId="11" w16cid:durableId="436875001">
    <w:abstractNumId w:val="10"/>
  </w:num>
  <w:num w:numId="12" w16cid:durableId="1249339804">
    <w:abstractNumId w:val="3"/>
  </w:num>
  <w:num w:numId="13" w16cid:durableId="1354918627">
    <w:abstractNumId w:val="8"/>
  </w:num>
  <w:num w:numId="14" w16cid:durableId="1532525494">
    <w:abstractNumId w:val="18"/>
  </w:num>
  <w:num w:numId="15" w16cid:durableId="1373379260">
    <w:abstractNumId w:val="16"/>
  </w:num>
  <w:num w:numId="16" w16cid:durableId="1425804250">
    <w:abstractNumId w:val="7"/>
  </w:num>
  <w:num w:numId="17" w16cid:durableId="1460950252">
    <w:abstractNumId w:val="19"/>
  </w:num>
  <w:num w:numId="18" w16cid:durableId="523446869">
    <w:abstractNumId w:val="17"/>
  </w:num>
  <w:num w:numId="19" w16cid:durableId="712079567">
    <w:abstractNumId w:val="14"/>
  </w:num>
  <w:num w:numId="20" w16cid:durableId="916790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26D5"/>
    <w:rsid w:val="000122EA"/>
    <w:rsid w:val="00015986"/>
    <w:rsid w:val="00016A7F"/>
    <w:rsid w:val="00017356"/>
    <w:rsid w:val="00020E6F"/>
    <w:rsid w:val="00025969"/>
    <w:rsid w:val="00030F1C"/>
    <w:rsid w:val="00037953"/>
    <w:rsid w:val="00043C15"/>
    <w:rsid w:val="00045B5E"/>
    <w:rsid w:val="00051843"/>
    <w:rsid w:val="00052F98"/>
    <w:rsid w:val="000548B1"/>
    <w:rsid w:val="0005790B"/>
    <w:rsid w:val="000618D1"/>
    <w:rsid w:val="000627EF"/>
    <w:rsid w:val="00064196"/>
    <w:rsid w:val="00066FC0"/>
    <w:rsid w:val="00070D9D"/>
    <w:rsid w:val="0007480C"/>
    <w:rsid w:val="00076C5F"/>
    <w:rsid w:val="00082937"/>
    <w:rsid w:val="00082DDE"/>
    <w:rsid w:val="00087193"/>
    <w:rsid w:val="0009097A"/>
    <w:rsid w:val="00090EE1"/>
    <w:rsid w:val="000934AF"/>
    <w:rsid w:val="00094A1A"/>
    <w:rsid w:val="00094F26"/>
    <w:rsid w:val="000A1746"/>
    <w:rsid w:val="000A6530"/>
    <w:rsid w:val="000A70E3"/>
    <w:rsid w:val="000C095B"/>
    <w:rsid w:val="000C3211"/>
    <w:rsid w:val="000C3CED"/>
    <w:rsid w:val="000C5C42"/>
    <w:rsid w:val="000D1F8F"/>
    <w:rsid w:val="000D492F"/>
    <w:rsid w:val="000D5F89"/>
    <w:rsid w:val="000E54AA"/>
    <w:rsid w:val="000E593E"/>
    <w:rsid w:val="000F18C4"/>
    <w:rsid w:val="000F43A2"/>
    <w:rsid w:val="001065D4"/>
    <w:rsid w:val="00106E42"/>
    <w:rsid w:val="0011210B"/>
    <w:rsid w:val="001321E1"/>
    <w:rsid w:val="00132B6B"/>
    <w:rsid w:val="00133A14"/>
    <w:rsid w:val="00133DAE"/>
    <w:rsid w:val="001406DB"/>
    <w:rsid w:val="00142F06"/>
    <w:rsid w:val="001441BA"/>
    <w:rsid w:val="00152183"/>
    <w:rsid w:val="00152581"/>
    <w:rsid w:val="00153733"/>
    <w:rsid w:val="0016065A"/>
    <w:rsid w:val="00160F42"/>
    <w:rsid w:val="00164B5C"/>
    <w:rsid w:val="00174F2D"/>
    <w:rsid w:val="00181038"/>
    <w:rsid w:val="00181A02"/>
    <w:rsid w:val="00185CC1"/>
    <w:rsid w:val="00186A1B"/>
    <w:rsid w:val="00187DE3"/>
    <w:rsid w:val="0019522C"/>
    <w:rsid w:val="001961E5"/>
    <w:rsid w:val="001971E0"/>
    <w:rsid w:val="001A0F6B"/>
    <w:rsid w:val="001A14F1"/>
    <w:rsid w:val="001A19E8"/>
    <w:rsid w:val="001B2075"/>
    <w:rsid w:val="001B3C30"/>
    <w:rsid w:val="001C01D4"/>
    <w:rsid w:val="001C4B64"/>
    <w:rsid w:val="001C7179"/>
    <w:rsid w:val="001D068B"/>
    <w:rsid w:val="001D2FAD"/>
    <w:rsid w:val="001E0B25"/>
    <w:rsid w:val="001E1A13"/>
    <w:rsid w:val="001E25B3"/>
    <w:rsid w:val="001E2AA3"/>
    <w:rsid w:val="001E7B84"/>
    <w:rsid w:val="001F1489"/>
    <w:rsid w:val="001F1C1F"/>
    <w:rsid w:val="001F47D7"/>
    <w:rsid w:val="00202421"/>
    <w:rsid w:val="00203E13"/>
    <w:rsid w:val="00204F8F"/>
    <w:rsid w:val="00220AE2"/>
    <w:rsid w:val="002316FC"/>
    <w:rsid w:val="0023287A"/>
    <w:rsid w:val="00232A56"/>
    <w:rsid w:val="0024189E"/>
    <w:rsid w:val="00241FC9"/>
    <w:rsid w:val="0024288F"/>
    <w:rsid w:val="00243B9D"/>
    <w:rsid w:val="00246829"/>
    <w:rsid w:val="0025001D"/>
    <w:rsid w:val="002507F0"/>
    <w:rsid w:val="00252F2E"/>
    <w:rsid w:val="00254267"/>
    <w:rsid w:val="00255A40"/>
    <w:rsid w:val="00255CE7"/>
    <w:rsid w:val="00256E75"/>
    <w:rsid w:val="00256EF7"/>
    <w:rsid w:val="00260D5B"/>
    <w:rsid w:val="00263588"/>
    <w:rsid w:val="00272EF3"/>
    <w:rsid w:val="002765DD"/>
    <w:rsid w:val="00280050"/>
    <w:rsid w:val="00280A8C"/>
    <w:rsid w:val="002841EB"/>
    <w:rsid w:val="0028640E"/>
    <w:rsid w:val="00291B7D"/>
    <w:rsid w:val="00291BDE"/>
    <w:rsid w:val="002932F8"/>
    <w:rsid w:val="002A30F0"/>
    <w:rsid w:val="002A5EEC"/>
    <w:rsid w:val="002B1175"/>
    <w:rsid w:val="002B1F5B"/>
    <w:rsid w:val="002B6219"/>
    <w:rsid w:val="002B7B2B"/>
    <w:rsid w:val="002C18F8"/>
    <w:rsid w:val="002C2824"/>
    <w:rsid w:val="002C2C39"/>
    <w:rsid w:val="002D2CF1"/>
    <w:rsid w:val="002D5E29"/>
    <w:rsid w:val="002D7216"/>
    <w:rsid w:val="002D7A88"/>
    <w:rsid w:val="002E0C6C"/>
    <w:rsid w:val="002E1438"/>
    <w:rsid w:val="002E357C"/>
    <w:rsid w:val="002E4ABA"/>
    <w:rsid w:val="002E68AB"/>
    <w:rsid w:val="002E70ED"/>
    <w:rsid w:val="002F0C4A"/>
    <w:rsid w:val="002F2F62"/>
    <w:rsid w:val="002F3C59"/>
    <w:rsid w:val="002F4215"/>
    <w:rsid w:val="002F59E2"/>
    <w:rsid w:val="002F78CD"/>
    <w:rsid w:val="0030141F"/>
    <w:rsid w:val="00304420"/>
    <w:rsid w:val="00305908"/>
    <w:rsid w:val="00306DF3"/>
    <w:rsid w:val="0031573C"/>
    <w:rsid w:val="00316254"/>
    <w:rsid w:val="003210DE"/>
    <w:rsid w:val="00336B52"/>
    <w:rsid w:val="00340590"/>
    <w:rsid w:val="00341916"/>
    <w:rsid w:val="003421F2"/>
    <w:rsid w:val="0034308C"/>
    <w:rsid w:val="00343B4D"/>
    <w:rsid w:val="003441BC"/>
    <w:rsid w:val="003525B1"/>
    <w:rsid w:val="003527D4"/>
    <w:rsid w:val="003569E9"/>
    <w:rsid w:val="0035799E"/>
    <w:rsid w:val="00357DEE"/>
    <w:rsid w:val="00360761"/>
    <w:rsid w:val="00363A4A"/>
    <w:rsid w:val="00365C59"/>
    <w:rsid w:val="00366B03"/>
    <w:rsid w:val="00374570"/>
    <w:rsid w:val="00374832"/>
    <w:rsid w:val="00380C41"/>
    <w:rsid w:val="003817BD"/>
    <w:rsid w:val="003820D2"/>
    <w:rsid w:val="00385B00"/>
    <w:rsid w:val="003877B8"/>
    <w:rsid w:val="00391342"/>
    <w:rsid w:val="00391651"/>
    <w:rsid w:val="00396C5F"/>
    <w:rsid w:val="00397DDB"/>
    <w:rsid w:val="003A16D1"/>
    <w:rsid w:val="003A292B"/>
    <w:rsid w:val="003A7888"/>
    <w:rsid w:val="003B0207"/>
    <w:rsid w:val="003B3B9F"/>
    <w:rsid w:val="003B7162"/>
    <w:rsid w:val="003C3870"/>
    <w:rsid w:val="003C7383"/>
    <w:rsid w:val="003C745F"/>
    <w:rsid w:val="003D03D2"/>
    <w:rsid w:val="003D2F68"/>
    <w:rsid w:val="003D5F2D"/>
    <w:rsid w:val="003D6C91"/>
    <w:rsid w:val="003E1771"/>
    <w:rsid w:val="003E35BA"/>
    <w:rsid w:val="003E4464"/>
    <w:rsid w:val="003E4F1C"/>
    <w:rsid w:val="003E6B95"/>
    <w:rsid w:val="003F39D1"/>
    <w:rsid w:val="003F78C4"/>
    <w:rsid w:val="00403005"/>
    <w:rsid w:val="00410135"/>
    <w:rsid w:val="00411CC4"/>
    <w:rsid w:val="004133AF"/>
    <w:rsid w:val="004156DA"/>
    <w:rsid w:val="004203CB"/>
    <w:rsid w:val="004209FC"/>
    <w:rsid w:val="0042180F"/>
    <w:rsid w:val="0042597E"/>
    <w:rsid w:val="0042686C"/>
    <w:rsid w:val="004302F1"/>
    <w:rsid w:val="004319CA"/>
    <w:rsid w:val="00434842"/>
    <w:rsid w:val="004418ED"/>
    <w:rsid w:val="00446841"/>
    <w:rsid w:val="00446A22"/>
    <w:rsid w:val="004501F6"/>
    <w:rsid w:val="00452657"/>
    <w:rsid w:val="00452EE6"/>
    <w:rsid w:val="00454131"/>
    <w:rsid w:val="00456AE1"/>
    <w:rsid w:val="00463264"/>
    <w:rsid w:val="0046373D"/>
    <w:rsid w:val="004650E9"/>
    <w:rsid w:val="004656B8"/>
    <w:rsid w:val="00471130"/>
    <w:rsid w:val="0047163C"/>
    <w:rsid w:val="004766D9"/>
    <w:rsid w:val="0047799C"/>
    <w:rsid w:val="004850AD"/>
    <w:rsid w:val="004866F5"/>
    <w:rsid w:val="00494164"/>
    <w:rsid w:val="004A2ACE"/>
    <w:rsid w:val="004A45BE"/>
    <w:rsid w:val="004A4B87"/>
    <w:rsid w:val="004A6041"/>
    <w:rsid w:val="004A647A"/>
    <w:rsid w:val="004B1621"/>
    <w:rsid w:val="004B177E"/>
    <w:rsid w:val="004B7488"/>
    <w:rsid w:val="004C02B7"/>
    <w:rsid w:val="004C440D"/>
    <w:rsid w:val="004C45F3"/>
    <w:rsid w:val="004C4C6B"/>
    <w:rsid w:val="004C6152"/>
    <w:rsid w:val="004C64AD"/>
    <w:rsid w:val="004D7F38"/>
    <w:rsid w:val="004D7F5A"/>
    <w:rsid w:val="004E1143"/>
    <w:rsid w:val="004E2DC6"/>
    <w:rsid w:val="004E306A"/>
    <w:rsid w:val="004E64D5"/>
    <w:rsid w:val="004F02B2"/>
    <w:rsid w:val="004F5C0A"/>
    <w:rsid w:val="005126E2"/>
    <w:rsid w:val="005140D5"/>
    <w:rsid w:val="00515EFF"/>
    <w:rsid w:val="0051660F"/>
    <w:rsid w:val="0052274F"/>
    <w:rsid w:val="00526E24"/>
    <w:rsid w:val="00532280"/>
    <w:rsid w:val="00537A32"/>
    <w:rsid w:val="0054195E"/>
    <w:rsid w:val="005436FB"/>
    <w:rsid w:val="00543FB4"/>
    <w:rsid w:val="00545A4C"/>
    <w:rsid w:val="005559FE"/>
    <w:rsid w:val="00555BA3"/>
    <w:rsid w:val="00556FC0"/>
    <w:rsid w:val="00561B39"/>
    <w:rsid w:val="00566CF9"/>
    <w:rsid w:val="00567B61"/>
    <w:rsid w:val="005727D7"/>
    <w:rsid w:val="005738AF"/>
    <w:rsid w:val="005738FB"/>
    <w:rsid w:val="005779C4"/>
    <w:rsid w:val="00577E66"/>
    <w:rsid w:val="0058215B"/>
    <w:rsid w:val="005837E9"/>
    <w:rsid w:val="00583820"/>
    <w:rsid w:val="00583FC1"/>
    <w:rsid w:val="0058604A"/>
    <w:rsid w:val="005877EB"/>
    <w:rsid w:val="00587BB1"/>
    <w:rsid w:val="00592D82"/>
    <w:rsid w:val="00595062"/>
    <w:rsid w:val="00596EF6"/>
    <w:rsid w:val="005A1DF6"/>
    <w:rsid w:val="005A7A79"/>
    <w:rsid w:val="005B265F"/>
    <w:rsid w:val="005B5A58"/>
    <w:rsid w:val="005B5EC4"/>
    <w:rsid w:val="005B6F8E"/>
    <w:rsid w:val="005B715B"/>
    <w:rsid w:val="005D046C"/>
    <w:rsid w:val="005D35C0"/>
    <w:rsid w:val="005D379D"/>
    <w:rsid w:val="005D4482"/>
    <w:rsid w:val="005D4B6E"/>
    <w:rsid w:val="005E1A4B"/>
    <w:rsid w:val="005E1CFB"/>
    <w:rsid w:val="005E4720"/>
    <w:rsid w:val="005F0F8B"/>
    <w:rsid w:val="005F1411"/>
    <w:rsid w:val="005F1CF0"/>
    <w:rsid w:val="005F2D5C"/>
    <w:rsid w:val="005F3E91"/>
    <w:rsid w:val="005F548C"/>
    <w:rsid w:val="005F7C6A"/>
    <w:rsid w:val="00600818"/>
    <w:rsid w:val="0060465F"/>
    <w:rsid w:val="00605344"/>
    <w:rsid w:val="006079B9"/>
    <w:rsid w:val="00617CDC"/>
    <w:rsid w:val="006227EF"/>
    <w:rsid w:val="00625F5F"/>
    <w:rsid w:val="0062785F"/>
    <w:rsid w:val="00632399"/>
    <w:rsid w:val="00635A4C"/>
    <w:rsid w:val="00635D67"/>
    <w:rsid w:val="00635EF6"/>
    <w:rsid w:val="006429A1"/>
    <w:rsid w:val="006437E6"/>
    <w:rsid w:val="00645814"/>
    <w:rsid w:val="00645951"/>
    <w:rsid w:val="00647D8A"/>
    <w:rsid w:val="0065380D"/>
    <w:rsid w:val="006557D4"/>
    <w:rsid w:val="006610E7"/>
    <w:rsid w:val="0066147B"/>
    <w:rsid w:val="0066416A"/>
    <w:rsid w:val="00665487"/>
    <w:rsid w:val="00667712"/>
    <w:rsid w:val="0067392D"/>
    <w:rsid w:val="006815E9"/>
    <w:rsid w:val="006819F4"/>
    <w:rsid w:val="00692206"/>
    <w:rsid w:val="00692F02"/>
    <w:rsid w:val="00695234"/>
    <w:rsid w:val="006A0DAC"/>
    <w:rsid w:val="006A2A83"/>
    <w:rsid w:val="006A6E80"/>
    <w:rsid w:val="006A785F"/>
    <w:rsid w:val="006B3121"/>
    <w:rsid w:val="006B4525"/>
    <w:rsid w:val="006D5C0E"/>
    <w:rsid w:val="006D7098"/>
    <w:rsid w:val="006E4546"/>
    <w:rsid w:val="006E47BC"/>
    <w:rsid w:val="006E6756"/>
    <w:rsid w:val="006F0279"/>
    <w:rsid w:val="006F0779"/>
    <w:rsid w:val="006F6B5A"/>
    <w:rsid w:val="006F72B3"/>
    <w:rsid w:val="0070303C"/>
    <w:rsid w:val="00704FE2"/>
    <w:rsid w:val="00707398"/>
    <w:rsid w:val="0071100F"/>
    <w:rsid w:val="00721DED"/>
    <w:rsid w:val="00721E60"/>
    <w:rsid w:val="00721EAC"/>
    <w:rsid w:val="0072663A"/>
    <w:rsid w:val="00736F26"/>
    <w:rsid w:val="0074590D"/>
    <w:rsid w:val="007517F4"/>
    <w:rsid w:val="007529A1"/>
    <w:rsid w:val="00756A28"/>
    <w:rsid w:val="00757259"/>
    <w:rsid w:val="00760246"/>
    <w:rsid w:val="007669B8"/>
    <w:rsid w:val="00770FA6"/>
    <w:rsid w:val="0077164C"/>
    <w:rsid w:val="007721D2"/>
    <w:rsid w:val="0077428E"/>
    <w:rsid w:val="007807C4"/>
    <w:rsid w:val="00784A15"/>
    <w:rsid w:val="00793E12"/>
    <w:rsid w:val="00794904"/>
    <w:rsid w:val="007964F5"/>
    <w:rsid w:val="007971B2"/>
    <w:rsid w:val="007A127A"/>
    <w:rsid w:val="007A1C52"/>
    <w:rsid w:val="007A25E7"/>
    <w:rsid w:val="007A4F77"/>
    <w:rsid w:val="007B12FE"/>
    <w:rsid w:val="007B1724"/>
    <w:rsid w:val="007B2C42"/>
    <w:rsid w:val="007B35FD"/>
    <w:rsid w:val="007B47A0"/>
    <w:rsid w:val="007B4E73"/>
    <w:rsid w:val="007B6248"/>
    <w:rsid w:val="007C11BD"/>
    <w:rsid w:val="007C2405"/>
    <w:rsid w:val="007C2884"/>
    <w:rsid w:val="007C3120"/>
    <w:rsid w:val="007C3C76"/>
    <w:rsid w:val="007C4A15"/>
    <w:rsid w:val="007C5AAD"/>
    <w:rsid w:val="007D5FBA"/>
    <w:rsid w:val="007E0386"/>
    <w:rsid w:val="007E2473"/>
    <w:rsid w:val="007E586C"/>
    <w:rsid w:val="007E6973"/>
    <w:rsid w:val="007F157E"/>
    <w:rsid w:val="007F3035"/>
    <w:rsid w:val="007F3640"/>
    <w:rsid w:val="007F4BD5"/>
    <w:rsid w:val="007F5260"/>
    <w:rsid w:val="007F7F67"/>
    <w:rsid w:val="00803D13"/>
    <w:rsid w:val="00807B7B"/>
    <w:rsid w:val="008115EE"/>
    <w:rsid w:val="0081351D"/>
    <w:rsid w:val="0081743E"/>
    <w:rsid w:val="0082554F"/>
    <w:rsid w:val="00825D8B"/>
    <w:rsid w:val="008278C6"/>
    <w:rsid w:val="00827B3C"/>
    <w:rsid w:val="008307D1"/>
    <w:rsid w:val="008319D0"/>
    <w:rsid w:val="00832409"/>
    <w:rsid w:val="00833C2E"/>
    <w:rsid w:val="00834C18"/>
    <w:rsid w:val="008362FC"/>
    <w:rsid w:val="00836A15"/>
    <w:rsid w:val="00840FEF"/>
    <w:rsid w:val="00841249"/>
    <w:rsid w:val="008441C6"/>
    <w:rsid w:val="00844A4B"/>
    <w:rsid w:val="00845D7E"/>
    <w:rsid w:val="00847253"/>
    <w:rsid w:val="008639C1"/>
    <w:rsid w:val="00863F1F"/>
    <w:rsid w:val="008705A0"/>
    <w:rsid w:val="008708CF"/>
    <w:rsid w:val="008757D2"/>
    <w:rsid w:val="00876619"/>
    <w:rsid w:val="00880B54"/>
    <w:rsid w:val="00884F92"/>
    <w:rsid w:val="008852BE"/>
    <w:rsid w:val="00892272"/>
    <w:rsid w:val="00895F38"/>
    <w:rsid w:val="008A1002"/>
    <w:rsid w:val="008A6278"/>
    <w:rsid w:val="008A6CD2"/>
    <w:rsid w:val="008B20F8"/>
    <w:rsid w:val="008B56A4"/>
    <w:rsid w:val="008B5C25"/>
    <w:rsid w:val="008B615A"/>
    <w:rsid w:val="008C0B68"/>
    <w:rsid w:val="008C5E13"/>
    <w:rsid w:val="008C73B1"/>
    <w:rsid w:val="008D0B89"/>
    <w:rsid w:val="008D3D30"/>
    <w:rsid w:val="008D66A4"/>
    <w:rsid w:val="008E4476"/>
    <w:rsid w:val="008E6175"/>
    <w:rsid w:val="008E7BF3"/>
    <w:rsid w:val="008F3470"/>
    <w:rsid w:val="008F3A90"/>
    <w:rsid w:val="008F72D5"/>
    <w:rsid w:val="0090168B"/>
    <w:rsid w:val="00903F32"/>
    <w:rsid w:val="00916696"/>
    <w:rsid w:val="00917852"/>
    <w:rsid w:val="00924DA1"/>
    <w:rsid w:val="00926182"/>
    <w:rsid w:val="00930220"/>
    <w:rsid w:val="00930344"/>
    <w:rsid w:val="00930B34"/>
    <w:rsid w:val="00932CE5"/>
    <w:rsid w:val="00933B1A"/>
    <w:rsid w:val="009372FA"/>
    <w:rsid w:val="009544EA"/>
    <w:rsid w:val="00955904"/>
    <w:rsid w:val="00957037"/>
    <w:rsid w:val="009575D1"/>
    <w:rsid w:val="0096252F"/>
    <w:rsid w:val="00973FD9"/>
    <w:rsid w:val="00975374"/>
    <w:rsid w:val="00975B6D"/>
    <w:rsid w:val="009868DE"/>
    <w:rsid w:val="0098774C"/>
    <w:rsid w:val="0099026D"/>
    <w:rsid w:val="00992FAE"/>
    <w:rsid w:val="00994396"/>
    <w:rsid w:val="009951E0"/>
    <w:rsid w:val="009A084F"/>
    <w:rsid w:val="009A2A05"/>
    <w:rsid w:val="009A3A23"/>
    <w:rsid w:val="009A4AFC"/>
    <w:rsid w:val="009B159D"/>
    <w:rsid w:val="009B5588"/>
    <w:rsid w:val="009B7404"/>
    <w:rsid w:val="009C0554"/>
    <w:rsid w:val="009C5CAB"/>
    <w:rsid w:val="009D24E4"/>
    <w:rsid w:val="009D5D20"/>
    <w:rsid w:val="009D5F0D"/>
    <w:rsid w:val="009D646C"/>
    <w:rsid w:val="009D704F"/>
    <w:rsid w:val="009E3626"/>
    <w:rsid w:val="009E4E77"/>
    <w:rsid w:val="009E7012"/>
    <w:rsid w:val="009E7ACD"/>
    <w:rsid w:val="009F38E0"/>
    <w:rsid w:val="009F7EC5"/>
    <w:rsid w:val="00A04652"/>
    <w:rsid w:val="00A06EF1"/>
    <w:rsid w:val="00A1411E"/>
    <w:rsid w:val="00A157D8"/>
    <w:rsid w:val="00A159F6"/>
    <w:rsid w:val="00A33898"/>
    <w:rsid w:val="00A41540"/>
    <w:rsid w:val="00A4243D"/>
    <w:rsid w:val="00A42B81"/>
    <w:rsid w:val="00A435D2"/>
    <w:rsid w:val="00A5447A"/>
    <w:rsid w:val="00A54AD6"/>
    <w:rsid w:val="00A576F5"/>
    <w:rsid w:val="00A5771F"/>
    <w:rsid w:val="00A6304B"/>
    <w:rsid w:val="00A635B6"/>
    <w:rsid w:val="00A64C98"/>
    <w:rsid w:val="00A67FFD"/>
    <w:rsid w:val="00A74422"/>
    <w:rsid w:val="00A760C7"/>
    <w:rsid w:val="00A81869"/>
    <w:rsid w:val="00A855FE"/>
    <w:rsid w:val="00A91F49"/>
    <w:rsid w:val="00A96888"/>
    <w:rsid w:val="00AA140D"/>
    <w:rsid w:val="00AA2A17"/>
    <w:rsid w:val="00AA34A8"/>
    <w:rsid w:val="00AA404B"/>
    <w:rsid w:val="00AA5181"/>
    <w:rsid w:val="00AA7258"/>
    <w:rsid w:val="00AB0967"/>
    <w:rsid w:val="00AB44E4"/>
    <w:rsid w:val="00AB7C86"/>
    <w:rsid w:val="00AC0032"/>
    <w:rsid w:val="00AC425C"/>
    <w:rsid w:val="00AD5546"/>
    <w:rsid w:val="00AD7CFB"/>
    <w:rsid w:val="00AE1F91"/>
    <w:rsid w:val="00AE22EC"/>
    <w:rsid w:val="00AE24F0"/>
    <w:rsid w:val="00AE2956"/>
    <w:rsid w:val="00AE61DC"/>
    <w:rsid w:val="00AF42DD"/>
    <w:rsid w:val="00AF5D5B"/>
    <w:rsid w:val="00AF6E68"/>
    <w:rsid w:val="00B01C0E"/>
    <w:rsid w:val="00B05A1D"/>
    <w:rsid w:val="00B06074"/>
    <w:rsid w:val="00B0648C"/>
    <w:rsid w:val="00B06B60"/>
    <w:rsid w:val="00B10A36"/>
    <w:rsid w:val="00B12B02"/>
    <w:rsid w:val="00B12BDA"/>
    <w:rsid w:val="00B15A5C"/>
    <w:rsid w:val="00B17DD6"/>
    <w:rsid w:val="00B21E31"/>
    <w:rsid w:val="00B2284D"/>
    <w:rsid w:val="00B22862"/>
    <w:rsid w:val="00B27183"/>
    <w:rsid w:val="00B312A6"/>
    <w:rsid w:val="00B34E9B"/>
    <w:rsid w:val="00B361DF"/>
    <w:rsid w:val="00B36522"/>
    <w:rsid w:val="00B453E8"/>
    <w:rsid w:val="00B462A2"/>
    <w:rsid w:val="00B47D0E"/>
    <w:rsid w:val="00B51EF0"/>
    <w:rsid w:val="00B549C1"/>
    <w:rsid w:val="00B54A35"/>
    <w:rsid w:val="00B55E17"/>
    <w:rsid w:val="00B5654E"/>
    <w:rsid w:val="00B568FC"/>
    <w:rsid w:val="00B60119"/>
    <w:rsid w:val="00B6337A"/>
    <w:rsid w:val="00B705AF"/>
    <w:rsid w:val="00B714F5"/>
    <w:rsid w:val="00B71A8A"/>
    <w:rsid w:val="00B72D1B"/>
    <w:rsid w:val="00B72D65"/>
    <w:rsid w:val="00B759D1"/>
    <w:rsid w:val="00B75E73"/>
    <w:rsid w:val="00B77682"/>
    <w:rsid w:val="00B8048A"/>
    <w:rsid w:val="00B83BDA"/>
    <w:rsid w:val="00B863E9"/>
    <w:rsid w:val="00B8743A"/>
    <w:rsid w:val="00B901C4"/>
    <w:rsid w:val="00B936AF"/>
    <w:rsid w:val="00B956CB"/>
    <w:rsid w:val="00BB494A"/>
    <w:rsid w:val="00BB6FCA"/>
    <w:rsid w:val="00BC4181"/>
    <w:rsid w:val="00BD31EA"/>
    <w:rsid w:val="00BD4A24"/>
    <w:rsid w:val="00BE0612"/>
    <w:rsid w:val="00BE43D3"/>
    <w:rsid w:val="00BE5615"/>
    <w:rsid w:val="00BE6B22"/>
    <w:rsid w:val="00BE76B6"/>
    <w:rsid w:val="00BE7F70"/>
    <w:rsid w:val="00BF2218"/>
    <w:rsid w:val="00BF3AB5"/>
    <w:rsid w:val="00BF3C47"/>
    <w:rsid w:val="00C0128A"/>
    <w:rsid w:val="00C02612"/>
    <w:rsid w:val="00C026C2"/>
    <w:rsid w:val="00C03671"/>
    <w:rsid w:val="00C0618E"/>
    <w:rsid w:val="00C07EFE"/>
    <w:rsid w:val="00C11EB8"/>
    <w:rsid w:val="00C13A6E"/>
    <w:rsid w:val="00C14FCC"/>
    <w:rsid w:val="00C1582A"/>
    <w:rsid w:val="00C2182C"/>
    <w:rsid w:val="00C26DA4"/>
    <w:rsid w:val="00C30632"/>
    <w:rsid w:val="00C3321D"/>
    <w:rsid w:val="00C40306"/>
    <w:rsid w:val="00C4385E"/>
    <w:rsid w:val="00C50FEB"/>
    <w:rsid w:val="00C55288"/>
    <w:rsid w:val="00C55F38"/>
    <w:rsid w:val="00C57631"/>
    <w:rsid w:val="00C60E76"/>
    <w:rsid w:val="00C6149C"/>
    <w:rsid w:val="00C62893"/>
    <w:rsid w:val="00C65FC8"/>
    <w:rsid w:val="00C76D8B"/>
    <w:rsid w:val="00C8637C"/>
    <w:rsid w:val="00C9019E"/>
    <w:rsid w:val="00C939F0"/>
    <w:rsid w:val="00C95705"/>
    <w:rsid w:val="00C96E92"/>
    <w:rsid w:val="00C97976"/>
    <w:rsid w:val="00CA1636"/>
    <w:rsid w:val="00CA4E54"/>
    <w:rsid w:val="00CA4F9E"/>
    <w:rsid w:val="00CA54B8"/>
    <w:rsid w:val="00CA54C1"/>
    <w:rsid w:val="00CB324F"/>
    <w:rsid w:val="00CB5480"/>
    <w:rsid w:val="00CB686E"/>
    <w:rsid w:val="00CB764D"/>
    <w:rsid w:val="00CC2FD5"/>
    <w:rsid w:val="00CC55D2"/>
    <w:rsid w:val="00CC6DA3"/>
    <w:rsid w:val="00CC7D2A"/>
    <w:rsid w:val="00CD4253"/>
    <w:rsid w:val="00CD68A7"/>
    <w:rsid w:val="00CD68E7"/>
    <w:rsid w:val="00CE48CC"/>
    <w:rsid w:val="00CF0A9E"/>
    <w:rsid w:val="00CF3C1D"/>
    <w:rsid w:val="00CF53C7"/>
    <w:rsid w:val="00CF6565"/>
    <w:rsid w:val="00CF6F7D"/>
    <w:rsid w:val="00CF7885"/>
    <w:rsid w:val="00D0110F"/>
    <w:rsid w:val="00D02FF2"/>
    <w:rsid w:val="00D053CE"/>
    <w:rsid w:val="00D10C72"/>
    <w:rsid w:val="00D14144"/>
    <w:rsid w:val="00D14D68"/>
    <w:rsid w:val="00D15BFA"/>
    <w:rsid w:val="00D2516E"/>
    <w:rsid w:val="00D27413"/>
    <w:rsid w:val="00D321F5"/>
    <w:rsid w:val="00D32DD1"/>
    <w:rsid w:val="00D412BC"/>
    <w:rsid w:val="00D4155A"/>
    <w:rsid w:val="00D42274"/>
    <w:rsid w:val="00D429FE"/>
    <w:rsid w:val="00D45B7F"/>
    <w:rsid w:val="00D46DFD"/>
    <w:rsid w:val="00D47452"/>
    <w:rsid w:val="00D51B15"/>
    <w:rsid w:val="00D56831"/>
    <w:rsid w:val="00D57963"/>
    <w:rsid w:val="00D614D5"/>
    <w:rsid w:val="00D7289B"/>
    <w:rsid w:val="00D80F16"/>
    <w:rsid w:val="00D827E4"/>
    <w:rsid w:val="00D90577"/>
    <w:rsid w:val="00D90C3E"/>
    <w:rsid w:val="00D9789D"/>
    <w:rsid w:val="00D97E70"/>
    <w:rsid w:val="00DA0737"/>
    <w:rsid w:val="00DA1DDE"/>
    <w:rsid w:val="00DA42E2"/>
    <w:rsid w:val="00DA455F"/>
    <w:rsid w:val="00DA5BFF"/>
    <w:rsid w:val="00DA76BE"/>
    <w:rsid w:val="00DB2D53"/>
    <w:rsid w:val="00DB358E"/>
    <w:rsid w:val="00DB543F"/>
    <w:rsid w:val="00DB6844"/>
    <w:rsid w:val="00DC034B"/>
    <w:rsid w:val="00DC2A42"/>
    <w:rsid w:val="00DC4A40"/>
    <w:rsid w:val="00DD0A06"/>
    <w:rsid w:val="00DD6375"/>
    <w:rsid w:val="00DE02F3"/>
    <w:rsid w:val="00DE3546"/>
    <w:rsid w:val="00DE531A"/>
    <w:rsid w:val="00DF2567"/>
    <w:rsid w:val="00E00CD3"/>
    <w:rsid w:val="00E019C0"/>
    <w:rsid w:val="00E01D45"/>
    <w:rsid w:val="00E04D53"/>
    <w:rsid w:val="00E107AF"/>
    <w:rsid w:val="00E10916"/>
    <w:rsid w:val="00E11683"/>
    <w:rsid w:val="00E14014"/>
    <w:rsid w:val="00E142B9"/>
    <w:rsid w:val="00E149F1"/>
    <w:rsid w:val="00E157F5"/>
    <w:rsid w:val="00E175B8"/>
    <w:rsid w:val="00E213B1"/>
    <w:rsid w:val="00E22B76"/>
    <w:rsid w:val="00E26E4F"/>
    <w:rsid w:val="00E32168"/>
    <w:rsid w:val="00E40121"/>
    <w:rsid w:val="00E427F7"/>
    <w:rsid w:val="00E47E82"/>
    <w:rsid w:val="00E50C1E"/>
    <w:rsid w:val="00E55AC1"/>
    <w:rsid w:val="00E5723D"/>
    <w:rsid w:val="00E6084B"/>
    <w:rsid w:val="00E676EF"/>
    <w:rsid w:val="00E71906"/>
    <w:rsid w:val="00E729A7"/>
    <w:rsid w:val="00E730F8"/>
    <w:rsid w:val="00E74AD2"/>
    <w:rsid w:val="00E77524"/>
    <w:rsid w:val="00E77FDD"/>
    <w:rsid w:val="00E84B8B"/>
    <w:rsid w:val="00E86B37"/>
    <w:rsid w:val="00E91DF1"/>
    <w:rsid w:val="00E95B77"/>
    <w:rsid w:val="00E972B7"/>
    <w:rsid w:val="00EA004B"/>
    <w:rsid w:val="00EA49DB"/>
    <w:rsid w:val="00EA756F"/>
    <w:rsid w:val="00EA7B42"/>
    <w:rsid w:val="00EB0206"/>
    <w:rsid w:val="00EB3038"/>
    <w:rsid w:val="00EB7378"/>
    <w:rsid w:val="00EC19ED"/>
    <w:rsid w:val="00EC3D9F"/>
    <w:rsid w:val="00ED5754"/>
    <w:rsid w:val="00ED690E"/>
    <w:rsid w:val="00ED6BC9"/>
    <w:rsid w:val="00EE4056"/>
    <w:rsid w:val="00EF5910"/>
    <w:rsid w:val="00F06C97"/>
    <w:rsid w:val="00F07B0D"/>
    <w:rsid w:val="00F07FE0"/>
    <w:rsid w:val="00F10439"/>
    <w:rsid w:val="00F10B1F"/>
    <w:rsid w:val="00F14D6C"/>
    <w:rsid w:val="00F16239"/>
    <w:rsid w:val="00F17819"/>
    <w:rsid w:val="00F2056A"/>
    <w:rsid w:val="00F23250"/>
    <w:rsid w:val="00F24D9B"/>
    <w:rsid w:val="00F30EB9"/>
    <w:rsid w:val="00F310E0"/>
    <w:rsid w:val="00F4243C"/>
    <w:rsid w:val="00F432BF"/>
    <w:rsid w:val="00F4480A"/>
    <w:rsid w:val="00F456D8"/>
    <w:rsid w:val="00F4679E"/>
    <w:rsid w:val="00F54250"/>
    <w:rsid w:val="00F54843"/>
    <w:rsid w:val="00F57BC4"/>
    <w:rsid w:val="00F6118E"/>
    <w:rsid w:val="00F65837"/>
    <w:rsid w:val="00F65A38"/>
    <w:rsid w:val="00F66E7C"/>
    <w:rsid w:val="00F67534"/>
    <w:rsid w:val="00F701E4"/>
    <w:rsid w:val="00F72AB2"/>
    <w:rsid w:val="00F72DCE"/>
    <w:rsid w:val="00F7664A"/>
    <w:rsid w:val="00F77DB4"/>
    <w:rsid w:val="00F803A7"/>
    <w:rsid w:val="00F8179E"/>
    <w:rsid w:val="00F826D1"/>
    <w:rsid w:val="00F8565D"/>
    <w:rsid w:val="00F92F9E"/>
    <w:rsid w:val="00F94D1D"/>
    <w:rsid w:val="00FA108B"/>
    <w:rsid w:val="00FA23B0"/>
    <w:rsid w:val="00FA2768"/>
    <w:rsid w:val="00FA4CEC"/>
    <w:rsid w:val="00FA6613"/>
    <w:rsid w:val="00FA6D97"/>
    <w:rsid w:val="00FA7576"/>
    <w:rsid w:val="00FB1EEA"/>
    <w:rsid w:val="00FB5824"/>
    <w:rsid w:val="00FC5391"/>
    <w:rsid w:val="00FC71A8"/>
    <w:rsid w:val="00FD00D5"/>
    <w:rsid w:val="00FD1D7F"/>
    <w:rsid w:val="00FD4F96"/>
    <w:rsid w:val="00FD7DED"/>
    <w:rsid w:val="00FE257E"/>
    <w:rsid w:val="00FE3434"/>
    <w:rsid w:val="00FE5A40"/>
    <w:rsid w:val="00FE6056"/>
    <w:rsid w:val="00FE7548"/>
    <w:rsid w:val="00FF0A0D"/>
    <w:rsid w:val="00FF58BA"/>
    <w:rsid w:val="00FF71E7"/>
    <w:rsid w:val="00FF7E58"/>
    <w:rsid w:val="01E42ACC"/>
    <w:rsid w:val="0214B7DD"/>
    <w:rsid w:val="02797F17"/>
    <w:rsid w:val="02A3C527"/>
    <w:rsid w:val="044E6A35"/>
    <w:rsid w:val="04A56831"/>
    <w:rsid w:val="054C7526"/>
    <w:rsid w:val="05DB65E9"/>
    <w:rsid w:val="05EAD104"/>
    <w:rsid w:val="07ADCC7D"/>
    <w:rsid w:val="0845CF9B"/>
    <w:rsid w:val="0A30D9A6"/>
    <w:rsid w:val="0AC98C0B"/>
    <w:rsid w:val="0B19F14C"/>
    <w:rsid w:val="0B2E6E6E"/>
    <w:rsid w:val="0BDD5C39"/>
    <w:rsid w:val="0E8B95F2"/>
    <w:rsid w:val="0F92C586"/>
    <w:rsid w:val="1337D051"/>
    <w:rsid w:val="138DAC3F"/>
    <w:rsid w:val="13A52B2A"/>
    <w:rsid w:val="14AB2326"/>
    <w:rsid w:val="14F27ECE"/>
    <w:rsid w:val="1520E14F"/>
    <w:rsid w:val="156B1506"/>
    <w:rsid w:val="1799D9DA"/>
    <w:rsid w:val="182F0C49"/>
    <w:rsid w:val="1B92BAA7"/>
    <w:rsid w:val="1C8124F0"/>
    <w:rsid w:val="1D1725BB"/>
    <w:rsid w:val="1D80C72F"/>
    <w:rsid w:val="1ECE48F6"/>
    <w:rsid w:val="1F48C490"/>
    <w:rsid w:val="1F625496"/>
    <w:rsid w:val="1F94B454"/>
    <w:rsid w:val="2012AED4"/>
    <w:rsid w:val="2039D7B0"/>
    <w:rsid w:val="21A9C092"/>
    <w:rsid w:val="22BD37DC"/>
    <w:rsid w:val="238C93E2"/>
    <w:rsid w:val="23C7B4A5"/>
    <w:rsid w:val="23E23C63"/>
    <w:rsid w:val="245EBF20"/>
    <w:rsid w:val="246CE366"/>
    <w:rsid w:val="25D0F16C"/>
    <w:rsid w:val="277E04F3"/>
    <w:rsid w:val="2A225627"/>
    <w:rsid w:val="2C9F6784"/>
    <w:rsid w:val="2D76CC64"/>
    <w:rsid w:val="2E09538D"/>
    <w:rsid w:val="2E5980CB"/>
    <w:rsid w:val="2F5CA5DD"/>
    <w:rsid w:val="2F6F10C0"/>
    <w:rsid w:val="2FDA53CF"/>
    <w:rsid w:val="31E52C75"/>
    <w:rsid w:val="33D8E153"/>
    <w:rsid w:val="36BFF500"/>
    <w:rsid w:val="37327AA6"/>
    <w:rsid w:val="38C20F9C"/>
    <w:rsid w:val="38CA7FEE"/>
    <w:rsid w:val="38DAD13B"/>
    <w:rsid w:val="38E02A9A"/>
    <w:rsid w:val="39AD41FE"/>
    <w:rsid w:val="3A53E82A"/>
    <w:rsid w:val="3B62B906"/>
    <w:rsid w:val="3B707FCE"/>
    <w:rsid w:val="3BD19E7C"/>
    <w:rsid w:val="3C070372"/>
    <w:rsid w:val="3F232359"/>
    <w:rsid w:val="3F387DFA"/>
    <w:rsid w:val="3FE55C0E"/>
    <w:rsid w:val="421C7D32"/>
    <w:rsid w:val="42590FDE"/>
    <w:rsid w:val="43E6A050"/>
    <w:rsid w:val="446FE5B4"/>
    <w:rsid w:val="4546DB9B"/>
    <w:rsid w:val="45DD6DF5"/>
    <w:rsid w:val="4A04DD93"/>
    <w:rsid w:val="4B28B885"/>
    <w:rsid w:val="4C938DED"/>
    <w:rsid w:val="4D016B94"/>
    <w:rsid w:val="4D4D47D4"/>
    <w:rsid w:val="4D70B097"/>
    <w:rsid w:val="4DC82AFD"/>
    <w:rsid w:val="4E4A8965"/>
    <w:rsid w:val="4E582850"/>
    <w:rsid w:val="4EC25916"/>
    <w:rsid w:val="504E840A"/>
    <w:rsid w:val="51279978"/>
    <w:rsid w:val="5154CEEB"/>
    <w:rsid w:val="51D27E54"/>
    <w:rsid w:val="524466C5"/>
    <w:rsid w:val="5260E683"/>
    <w:rsid w:val="558E12D5"/>
    <w:rsid w:val="5715E188"/>
    <w:rsid w:val="575CB893"/>
    <w:rsid w:val="59ACED02"/>
    <w:rsid w:val="5ADBD287"/>
    <w:rsid w:val="5E108808"/>
    <w:rsid w:val="5E16CA2E"/>
    <w:rsid w:val="5E3EC226"/>
    <w:rsid w:val="5ECDD705"/>
    <w:rsid w:val="6063D6DA"/>
    <w:rsid w:val="60D071FA"/>
    <w:rsid w:val="60D9C132"/>
    <w:rsid w:val="61799BCD"/>
    <w:rsid w:val="62DEBF3C"/>
    <w:rsid w:val="635616F5"/>
    <w:rsid w:val="63C5E48B"/>
    <w:rsid w:val="6602512C"/>
    <w:rsid w:val="66FD981D"/>
    <w:rsid w:val="67D4145B"/>
    <w:rsid w:val="68D486B8"/>
    <w:rsid w:val="694316FF"/>
    <w:rsid w:val="69EEC768"/>
    <w:rsid w:val="6AA90286"/>
    <w:rsid w:val="6AD1A501"/>
    <w:rsid w:val="6B44FE56"/>
    <w:rsid w:val="6B9BA108"/>
    <w:rsid w:val="6BA7694A"/>
    <w:rsid w:val="6DFAC900"/>
    <w:rsid w:val="6DFBD842"/>
    <w:rsid w:val="6EFCFAAD"/>
    <w:rsid w:val="6FB6E7B2"/>
    <w:rsid w:val="6FE5A3F4"/>
    <w:rsid w:val="703B8EE1"/>
    <w:rsid w:val="711475C6"/>
    <w:rsid w:val="724E9F44"/>
    <w:rsid w:val="7400A763"/>
    <w:rsid w:val="74E10D24"/>
    <w:rsid w:val="76EDF4E2"/>
    <w:rsid w:val="77E3E81A"/>
    <w:rsid w:val="78161F06"/>
    <w:rsid w:val="793AB52A"/>
    <w:rsid w:val="7946C5FD"/>
    <w:rsid w:val="79C262DC"/>
    <w:rsid w:val="7A48090E"/>
    <w:rsid w:val="7A8865D7"/>
    <w:rsid w:val="7B6B0C47"/>
    <w:rsid w:val="7B72C2FF"/>
    <w:rsid w:val="7C5A581D"/>
    <w:rsid w:val="7C5FC7F4"/>
    <w:rsid w:val="7C874315"/>
    <w:rsid w:val="7C9C4424"/>
    <w:rsid w:val="7CB9F2BC"/>
    <w:rsid w:val="7D1ECFA3"/>
    <w:rsid w:val="7DAE7106"/>
    <w:rsid w:val="7DD8D69E"/>
    <w:rsid w:val="7E07B7D5"/>
    <w:rsid w:val="7E1A65BB"/>
    <w:rsid w:val="7E1FDD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3D247EC6-B4E8-4728-90B8-51A060D3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FD9"/>
    <w:pPr>
      <w:spacing w:line="240" w:lineRule="auto"/>
    </w:pPr>
    <w:rPr>
      <w:rFonts w:ascii="Segoe UI" w:eastAsia="Times New Roman" w:hAnsi="Segoe UI" w:cs="Segoe UI"/>
      <w:sz w:val="22"/>
      <w:szCs w:val="22"/>
    </w:rPr>
  </w:style>
  <w:style w:type="paragraph" w:styleId="Heading1">
    <w:name w:val="heading 1"/>
    <w:basedOn w:val="Normal"/>
    <w:next w:val="Normal"/>
    <w:link w:val="Heading1Char"/>
    <w:uiPriority w:val="9"/>
    <w:qFormat/>
    <w:rsid w:val="006A0DAC"/>
    <w:pPr>
      <w:outlineLvl w:val="0"/>
    </w:pPr>
    <w:rPr>
      <w:b/>
      <w:color w:val="000000"/>
      <w:sz w:val="32"/>
    </w:rPr>
  </w:style>
  <w:style w:type="paragraph" w:styleId="Heading2">
    <w:name w:val="heading 2"/>
    <w:basedOn w:val="Normal"/>
    <w:next w:val="Normal"/>
    <w:link w:val="Heading2Char"/>
    <w:uiPriority w:val="9"/>
    <w:unhideWhenUsed/>
    <w:qFormat/>
    <w:rsid w:val="00973FD9"/>
    <w:pPr>
      <w:spacing w:after="0"/>
      <w:outlineLvl w:val="1"/>
    </w:pPr>
    <w:rPr>
      <w:rFonts w:eastAsiaTheme="minorHAnsi"/>
      <w:b/>
      <w:bCs/>
      <w:color w:val="000000"/>
    </w:rPr>
  </w:style>
  <w:style w:type="paragraph" w:styleId="Heading3">
    <w:name w:val="heading 3"/>
    <w:basedOn w:val="Normal"/>
    <w:next w:val="Normal"/>
    <w:link w:val="Heading3Char"/>
    <w:uiPriority w:val="9"/>
    <w:unhideWhenUsed/>
    <w:qFormat/>
    <w:rsid w:val="00C55F38"/>
    <w:pPr>
      <w:keepNext/>
      <w:keepLines/>
      <w:spacing w:before="40" w:after="0"/>
      <w:outlineLvl w:val="2"/>
    </w:pPr>
    <w:rPr>
      <w:rFonts w:asciiTheme="majorHAnsi" w:eastAsiaTheme="majorEastAsia" w:hAnsiTheme="majorHAnsi" w:cstheme="majorBid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aliases w:val="Summary box,Table Gridbeth,RTI AMCP Table,new style,ASD Table,HTAtableplain,PBAC table,CMA Table Template,MSD Table Grid,Dossier table,Summary Table,PHE Table Grid,Lash Style Table,Section 3- footnotes"/>
    <w:basedOn w:val="TableNormal"/>
    <w:uiPriority w:val="5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0627EF"/>
    <w:pPr>
      <w:spacing w:after="0"/>
      <w:ind w:left="360"/>
    </w:pPr>
    <w:rPr>
      <w:rFonts w:asciiTheme="minorHAnsi" w:hAnsiTheme="minorHAnsi" w:cstheme="minorBidi"/>
      <w:bCs/>
      <w:sz w:val="20"/>
      <w:szCs w:val="20"/>
    </w:rPr>
  </w:style>
  <w:style w:type="character" w:customStyle="1" w:styleId="TickboxesChar">
    <w:name w:val="Tick boxes Char"/>
    <w:basedOn w:val="DefaultParagraphFont"/>
    <w:link w:val="Tickboxes"/>
    <w:rsid w:val="000627EF"/>
    <w:rPr>
      <w:rFonts w:asciiTheme="minorHAnsi" w:hAnsiTheme="minorHAnsi" w:cstheme="minorBidi"/>
      <w:bCs/>
      <w:sz w:val="20"/>
      <w:szCs w:val="20"/>
    </w:rPr>
  </w:style>
  <w:style w:type="paragraph" w:styleId="NormalWeb">
    <w:name w:val="Normal (Web)"/>
    <w:basedOn w:val="Normal"/>
    <w:uiPriority w:val="99"/>
    <w:semiHidden/>
    <w:unhideWhenUsed/>
    <w:rsid w:val="000627EF"/>
    <w:pPr>
      <w:spacing w:before="100" w:beforeAutospacing="1" w:after="100" w:afterAutospacing="1"/>
    </w:pPr>
    <w:rPr>
      <w:lang w:eastAsia="en-AU"/>
    </w:rPr>
  </w:style>
  <w:style w:type="character" w:styleId="PlaceholderText">
    <w:name w:val="Placeholder Text"/>
    <w:basedOn w:val="DefaultParagraphFont"/>
    <w:uiPriority w:val="99"/>
    <w:semiHidden/>
    <w:rsid w:val="00917852"/>
    <w:rPr>
      <w:color w:val="808080"/>
    </w:rPr>
  </w:style>
  <w:style w:type="paragraph" w:styleId="Caption">
    <w:name w:val="caption"/>
    <w:aliases w:val="Caption Dossier,! Q,Caption for Figures and Tables,Caption Char1,Caption Char Char,Char Char Char,Char Char1,Char1,Table caption,Caption 3,c,appendix,Char,Caption PHMR,Caption Char2 Char,Caption Char Char Char2,Caption Char1 Char Char Char1"/>
    <w:basedOn w:val="Normal"/>
    <w:next w:val="Normal"/>
    <w:link w:val="CaptionChar"/>
    <w:uiPriority w:val="35"/>
    <w:qFormat/>
    <w:rsid w:val="000C095B"/>
    <w:pPr>
      <w:keepNext/>
      <w:keepLines/>
      <w:tabs>
        <w:tab w:val="left" w:pos="1418"/>
      </w:tabs>
      <w:spacing w:after="120"/>
      <w:ind w:left="992" w:hanging="992"/>
    </w:pPr>
    <w:rPr>
      <w:rFonts w:ascii="Calibri" w:eastAsia="MS Mincho" w:hAnsi="Calibri" w:cs="Calibri"/>
      <w:b/>
      <w:bCs/>
      <w:sz w:val="20"/>
      <w:szCs w:val="20"/>
      <w:lang w:eastAsia="en-AU"/>
    </w:rPr>
  </w:style>
  <w:style w:type="paragraph" w:styleId="NoteHeading">
    <w:name w:val="Note Heading"/>
    <w:aliases w:val="Table Notes,Notes"/>
    <w:basedOn w:val="Normal"/>
    <w:next w:val="Normal"/>
    <w:link w:val="NoteHeadingChar"/>
    <w:uiPriority w:val="99"/>
    <w:unhideWhenUsed/>
    <w:qFormat/>
    <w:rsid w:val="000C095B"/>
    <w:pPr>
      <w:spacing w:after="0"/>
    </w:pPr>
    <w:rPr>
      <w:rFonts w:ascii="Arial Narrow" w:eastAsia="Calibri" w:hAnsi="Arial Narrow"/>
      <w:snapToGrid w:val="0"/>
      <w:sz w:val="20"/>
      <w:szCs w:val="20"/>
    </w:rPr>
  </w:style>
  <w:style w:type="character" w:customStyle="1" w:styleId="NoteHeadingChar">
    <w:name w:val="Note Heading Char"/>
    <w:aliases w:val="Table Notes Char,Notes Char"/>
    <w:basedOn w:val="DefaultParagraphFont"/>
    <w:link w:val="NoteHeading"/>
    <w:uiPriority w:val="99"/>
    <w:rsid w:val="000C095B"/>
    <w:rPr>
      <w:rFonts w:ascii="Arial Narrow" w:eastAsia="Calibri" w:hAnsi="Arial Narrow"/>
      <w:snapToGrid w:val="0"/>
      <w:sz w:val="20"/>
      <w:szCs w:val="20"/>
    </w:rPr>
  </w:style>
  <w:style w:type="table" w:customStyle="1" w:styleId="TableGrid4">
    <w:name w:val="Table Grid4"/>
    <w:basedOn w:val="TableNormal"/>
    <w:next w:val="TableGrid"/>
    <w:uiPriority w:val="59"/>
    <w:rsid w:val="00020E6F"/>
    <w:pPr>
      <w:spacing w:after="0" w:line="240" w:lineRule="auto"/>
    </w:pPr>
    <w:rPr>
      <w:rFonts w:ascii="Arial" w:eastAsia="Arial" w:hAnsi="Arial"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qFormat/>
    <w:rsid w:val="00020E6F"/>
    <w:pPr>
      <w:keepNext/>
      <w:keepLines/>
      <w:spacing w:before="20" w:after="20"/>
    </w:pPr>
    <w:rPr>
      <w:rFonts w:ascii="Arial Narrow" w:eastAsia="TimesNewRoman" w:hAnsi="Arial Narrow"/>
      <w:color w:val="000000"/>
      <w:sz w:val="20"/>
      <w:szCs w:val="20"/>
      <w:lang w:val="en-US" w:eastAsia="en-AU"/>
    </w:rPr>
  </w:style>
  <w:style w:type="character" w:customStyle="1" w:styleId="TableTextChar">
    <w:name w:val="Table Text Char"/>
    <w:link w:val="TableText"/>
    <w:rsid w:val="00020E6F"/>
    <w:rPr>
      <w:rFonts w:ascii="Arial Narrow" w:eastAsia="TimesNewRoman" w:hAnsi="Arial Narrow"/>
      <w:color w:val="000000"/>
      <w:sz w:val="20"/>
      <w:szCs w:val="20"/>
      <w:lang w:val="en-US" w:eastAsia="en-AU"/>
    </w:r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0C095B"/>
    <w:rPr>
      <w:rFonts w:ascii="Calibri" w:eastAsia="MS Mincho" w:hAnsi="Calibri" w:cs="Calibri"/>
      <w:b/>
      <w:bCs/>
      <w:sz w:val="20"/>
      <w:szCs w:val="20"/>
      <w:lang w:eastAsia="en-AU"/>
    </w:rPr>
  </w:style>
  <w:style w:type="paragraph" w:customStyle="1" w:styleId="Tablenotes">
    <w:name w:val="Table notes"/>
    <w:basedOn w:val="Normal"/>
    <w:link w:val="TablenotesChar"/>
    <w:qFormat/>
    <w:rsid w:val="00020E6F"/>
    <w:pPr>
      <w:spacing w:after="0"/>
    </w:pPr>
    <w:rPr>
      <w:rFonts w:asciiTheme="minorHAnsi" w:hAnsiTheme="minorHAnsi" w:cs="Calibri"/>
      <w:color w:val="000000"/>
      <w:sz w:val="18"/>
    </w:rPr>
  </w:style>
  <w:style w:type="paragraph" w:styleId="ListParagraph">
    <w:name w:val="List Paragraph"/>
    <w:aliases w:val="Table Legend,Bullet1,Bullet 1,Bullet List,Section 5"/>
    <w:basedOn w:val="Normal"/>
    <w:link w:val="ListParagraphChar"/>
    <w:uiPriority w:val="34"/>
    <w:qFormat/>
    <w:rsid w:val="00020E6F"/>
    <w:pPr>
      <w:ind w:left="720"/>
      <w:contextualSpacing/>
    </w:pPr>
  </w:style>
  <w:style w:type="character" w:customStyle="1" w:styleId="TablenotesChar">
    <w:name w:val="Table notes Char"/>
    <w:basedOn w:val="DefaultParagraphFont"/>
    <w:link w:val="Tablenotes"/>
    <w:rsid w:val="00020E6F"/>
    <w:rPr>
      <w:rFonts w:asciiTheme="minorHAnsi" w:eastAsia="Times New Roman" w:hAnsiTheme="minorHAnsi" w:cs="Calibri"/>
      <w:color w:val="000000"/>
      <w:sz w:val="18"/>
      <w:szCs w:val="22"/>
    </w:rPr>
  </w:style>
  <w:style w:type="table" w:customStyle="1" w:styleId="ASDTable1">
    <w:name w:val="ASD Table1"/>
    <w:basedOn w:val="TableNormal"/>
    <w:next w:val="TableGrid"/>
    <w:uiPriority w:val="39"/>
    <w:rsid w:val="000C095B"/>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0C095B"/>
    <w:rPr>
      <w:color w:val="0000FF"/>
      <w:u w:val="single"/>
    </w:rPr>
  </w:style>
  <w:style w:type="paragraph" w:styleId="FootnoteText">
    <w:name w:val="footnote text"/>
    <w:basedOn w:val="Normal"/>
    <w:link w:val="FootnoteTextChar"/>
    <w:uiPriority w:val="99"/>
    <w:unhideWhenUsed/>
    <w:rsid w:val="000C095B"/>
    <w:pPr>
      <w:spacing w:after="0"/>
      <w:ind w:left="360"/>
    </w:pPr>
    <w:rPr>
      <w:rFonts w:ascii="Calibri" w:hAnsi="Calibri"/>
      <w:sz w:val="20"/>
      <w:szCs w:val="20"/>
    </w:rPr>
  </w:style>
  <w:style w:type="character" w:customStyle="1" w:styleId="FootnoteTextChar">
    <w:name w:val="Footnote Text Char"/>
    <w:basedOn w:val="DefaultParagraphFont"/>
    <w:link w:val="FootnoteText"/>
    <w:uiPriority w:val="99"/>
    <w:rsid w:val="000C095B"/>
    <w:rPr>
      <w:rFonts w:ascii="Calibri" w:hAnsi="Calibri"/>
      <w:sz w:val="20"/>
      <w:szCs w:val="20"/>
    </w:rPr>
  </w:style>
  <w:style w:type="character" w:styleId="FootnoteReference">
    <w:name w:val="footnote reference"/>
    <w:basedOn w:val="DefaultParagraphFont"/>
    <w:uiPriority w:val="99"/>
    <w:semiHidden/>
    <w:unhideWhenUsed/>
    <w:rsid w:val="000C095B"/>
    <w:rPr>
      <w:vertAlign w:val="superscript"/>
    </w:rPr>
  </w:style>
  <w:style w:type="character" w:styleId="Hyperlink">
    <w:name w:val="Hyperlink"/>
    <w:basedOn w:val="DefaultParagraphFont"/>
    <w:uiPriority w:val="99"/>
    <w:unhideWhenUsed/>
    <w:rsid w:val="000C095B"/>
    <w:rPr>
      <w:color w:val="0563C1" w:themeColor="hyperlink"/>
      <w:u w:val="single"/>
    </w:rPr>
  </w:style>
  <w:style w:type="character" w:customStyle="1" w:styleId="Heading1Char">
    <w:name w:val="Heading 1 Char"/>
    <w:basedOn w:val="DefaultParagraphFont"/>
    <w:link w:val="Heading1"/>
    <w:uiPriority w:val="9"/>
    <w:rsid w:val="006A0DAC"/>
    <w:rPr>
      <w:rFonts w:ascii="Segoe UI" w:eastAsia="Times New Roman" w:hAnsi="Segoe UI"/>
      <w:b/>
      <w:color w:val="000000"/>
      <w:sz w:val="32"/>
    </w:rPr>
  </w:style>
  <w:style w:type="character" w:customStyle="1" w:styleId="Heading2Char">
    <w:name w:val="Heading 2 Char"/>
    <w:basedOn w:val="DefaultParagraphFont"/>
    <w:link w:val="Heading2"/>
    <w:uiPriority w:val="9"/>
    <w:rsid w:val="00973FD9"/>
    <w:rPr>
      <w:rFonts w:ascii="Segoe UI" w:hAnsi="Segoe UI" w:cs="Segoe UI"/>
      <w:b/>
      <w:bCs/>
      <w:color w:val="000000"/>
      <w:sz w:val="22"/>
      <w:szCs w:val="22"/>
    </w:rPr>
  </w:style>
  <w:style w:type="character" w:styleId="CommentReference">
    <w:name w:val="annotation reference"/>
    <w:aliases w:val="Table Title"/>
    <w:basedOn w:val="DefaultParagraphFont"/>
    <w:uiPriority w:val="99"/>
    <w:unhideWhenUsed/>
    <w:qFormat/>
    <w:rsid w:val="007B1724"/>
    <w:rPr>
      <w:sz w:val="16"/>
      <w:szCs w:val="16"/>
    </w:rPr>
  </w:style>
  <w:style w:type="paragraph" w:styleId="CommentText">
    <w:name w:val="annotation text"/>
    <w:basedOn w:val="Normal"/>
    <w:link w:val="CommentTextChar"/>
    <w:uiPriority w:val="99"/>
    <w:unhideWhenUsed/>
    <w:rsid w:val="007B1724"/>
    <w:rPr>
      <w:sz w:val="20"/>
      <w:szCs w:val="20"/>
    </w:rPr>
  </w:style>
  <w:style w:type="character" w:customStyle="1" w:styleId="CommentTextChar">
    <w:name w:val="Comment Text Char"/>
    <w:basedOn w:val="DefaultParagraphFont"/>
    <w:link w:val="CommentText"/>
    <w:uiPriority w:val="99"/>
    <w:rsid w:val="007B1724"/>
    <w:rPr>
      <w:sz w:val="20"/>
      <w:szCs w:val="20"/>
    </w:rPr>
  </w:style>
  <w:style w:type="paragraph" w:styleId="CommentSubject">
    <w:name w:val="annotation subject"/>
    <w:basedOn w:val="CommentText"/>
    <w:next w:val="CommentText"/>
    <w:link w:val="CommentSubjectChar"/>
    <w:uiPriority w:val="99"/>
    <w:semiHidden/>
    <w:unhideWhenUsed/>
    <w:rsid w:val="007B1724"/>
    <w:rPr>
      <w:b/>
      <w:bCs/>
    </w:rPr>
  </w:style>
  <w:style w:type="character" w:customStyle="1" w:styleId="CommentSubjectChar">
    <w:name w:val="Comment Subject Char"/>
    <w:basedOn w:val="CommentTextChar"/>
    <w:link w:val="CommentSubject"/>
    <w:uiPriority w:val="99"/>
    <w:semiHidden/>
    <w:rsid w:val="007B1724"/>
    <w:rPr>
      <w:b/>
      <w:bCs/>
      <w:sz w:val="20"/>
      <w:szCs w:val="20"/>
    </w:rPr>
  </w:style>
  <w:style w:type="character" w:customStyle="1" w:styleId="Heading3Char">
    <w:name w:val="Heading 3 Char"/>
    <w:basedOn w:val="DefaultParagraphFont"/>
    <w:link w:val="Heading3"/>
    <w:uiPriority w:val="9"/>
    <w:rsid w:val="00C55F38"/>
    <w:rPr>
      <w:rFonts w:asciiTheme="majorHAnsi" w:eastAsiaTheme="majorEastAsia" w:hAnsiTheme="majorHAnsi" w:cstheme="majorBidi"/>
      <w:u w:val="single"/>
    </w:rPr>
  </w:style>
  <w:style w:type="character" w:customStyle="1" w:styleId="ListParagraphChar">
    <w:name w:val="List Paragraph Char"/>
    <w:aliases w:val="Table Legend Char,Bullet1 Char,Bullet 1 Char,Bullet List Char,Section 5 Char"/>
    <w:link w:val="ListParagraph"/>
    <w:uiPriority w:val="34"/>
    <w:rsid w:val="00C55F38"/>
  </w:style>
  <w:style w:type="character" w:styleId="FollowedHyperlink">
    <w:name w:val="FollowedHyperlink"/>
    <w:basedOn w:val="DefaultParagraphFont"/>
    <w:uiPriority w:val="99"/>
    <w:semiHidden/>
    <w:unhideWhenUsed/>
    <w:rsid w:val="00C55F38"/>
    <w:rPr>
      <w:color w:val="954F72" w:themeColor="followedHyperlink"/>
      <w:u w:val="single"/>
    </w:rPr>
  </w:style>
  <w:style w:type="paragraph" w:customStyle="1" w:styleId="TableHEADER">
    <w:name w:val="Table HEADER"/>
    <w:basedOn w:val="Normal"/>
    <w:qFormat/>
    <w:rsid w:val="001B3C30"/>
    <w:pPr>
      <w:spacing w:before="120" w:after="120"/>
      <w:ind w:left="360" w:right="82"/>
    </w:pPr>
    <w:rPr>
      <w:rFonts w:ascii="Calibri" w:hAnsi="Calibri" w:cs="Tahoma"/>
      <w:b/>
      <w:sz w:val="20"/>
      <w:szCs w:val="20"/>
      <w:lang w:eastAsia="en-AU"/>
    </w:rPr>
  </w:style>
  <w:style w:type="character" w:styleId="Mention">
    <w:name w:val="Mention"/>
    <w:basedOn w:val="DefaultParagraphFont"/>
    <w:uiPriority w:val="99"/>
    <w:unhideWhenUsed/>
    <w:rsid w:val="00186A1B"/>
    <w:rPr>
      <w:color w:val="2B579A"/>
      <w:shd w:val="clear" w:color="auto" w:fill="E1DFDD"/>
    </w:rPr>
  </w:style>
  <w:style w:type="character" w:styleId="UnresolvedMention">
    <w:name w:val="Unresolved Mention"/>
    <w:basedOn w:val="DefaultParagraphFont"/>
    <w:uiPriority w:val="99"/>
    <w:unhideWhenUsed/>
    <w:rsid w:val="003E6B95"/>
    <w:rPr>
      <w:color w:val="605E5C"/>
      <w:shd w:val="clear" w:color="auto" w:fill="E1DFDD"/>
    </w:rPr>
  </w:style>
  <w:style w:type="paragraph" w:styleId="Revision">
    <w:name w:val="Revision"/>
    <w:hidden/>
    <w:uiPriority w:val="99"/>
    <w:semiHidden/>
    <w:rsid w:val="005559FE"/>
    <w:pPr>
      <w:spacing w:after="0" w:line="240" w:lineRule="auto"/>
    </w:pPr>
  </w:style>
  <w:style w:type="paragraph" w:customStyle="1" w:styleId="pf0">
    <w:name w:val="pf0"/>
    <w:basedOn w:val="Normal"/>
    <w:rsid w:val="00E972B7"/>
    <w:pPr>
      <w:spacing w:before="100" w:beforeAutospacing="1" w:after="100" w:afterAutospacing="1"/>
    </w:pPr>
    <w:rPr>
      <w:lang w:eastAsia="en-AU"/>
    </w:rPr>
  </w:style>
  <w:style w:type="character" w:customStyle="1" w:styleId="cf01">
    <w:name w:val="cf01"/>
    <w:basedOn w:val="DefaultParagraphFont"/>
    <w:rsid w:val="00E972B7"/>
    <w:rPr>
      <w:rFonts w:ascii="Segoe UI" w:hAnsi="Segoe UI" w:cs="Segoe UI" w:hint="default"/>
      <w:sz w:val="18"/>
      <w:szCs w:val="18"/>
    </w:rPr>
  </w:style>
  <w:style w:type="paragraph" w:customStyle="1" w:styleId="paragraph">
    <w:name w:val="paragraph"/>
    <w:basedOn w:val="Normal"/>
    <w:rsid w:val="00F4679E"/>
    <w:pPr>
      <w:spacing w:before="100" w:beforeAutospacing="1" w:after="100" w:afterAutospacing="1"/>
    </w:pPr>
    <w:rPr>
      <w:lang w:eastAsia="en-AU"/>
    </w:rPr>
  </w:style>
  <w:style w:type="character" w:customStyle="1" w:styleId="eop">
    <w:name w:val="eop"/>
    <w:basedOn w:val="DefaultParagraphFont"/>
    <w:rsid w:val="00F4679E"/>
  </w:style>
  <w:style w:type="character" w:customStyle="1" w:styleId="normaltextrun">
    <w:name w:val="normaltextrun"/>
    <w:basedOn w:val="DefaultParagraphFont"/>
    <w:rsid w:val="00F4679E"/>
  </w:style>
  <w:style w:type="character" w:customStyle="1" w:styleId="superscript">
    <w:name w:val="superscript"/>
    <w:basedOn w:val="DefaultParagraphFont"/>
    <w:rsid w:val="00F4679E"/>
  </w:style>
  <w:style w:type="character" w:customStyle="1" w:styleId="tabchar">
    <w:name w:val="tabchar"/>
    <w:basedOn w:val="DefaultParagraphFont"/>
    <w:rsid w:val="00DB358E"/>
  </w:style>
  <w:style w:type="character" w:customStyle="1" w:styleId="spellingerrorsuperscript">
    <w:name w:val="spellingerrorsuperscript"/>
    <w:basedOn w:val="DefaultParagraphFont"/>
    <w:rsid w:val="00DB358E"/>
  </w:style>
  <w:style w:type="paragraph" w:customStyle="1" w:styleId="TableText0">
    <w:name w:val="TableText"/>
    <w:basedOn w:val="Normal"/>
    <w:rsid w:val="00721E60"/>
    <w:pPr>
      <w:keepNext/>
      <w:spacing w:before="60" w:after="60"/>
    </w:pPr>
    <w:rPr>
      <w:rFonts w:ascii="Times New Roman" w:hAnsi="Times New Roman" w:cs="Times New Roman"/>
      <w:color w:val="000000"/>
      <w:sz w:val="21"/>
      <w:szCs w:val="21"/>
      <w:lang w:eastAsia="en-AU"/>
    </w:rPr>
  </w:style>
  <w:style w:type="table" w:customStyle="1" w:styleId="TableGrid3">
    <w:name w:val="Table Grid3"/>
    <w:basedOn w:val="TableNormal"/>
    <w:next w:val="TableGrid"/>
    <w:uiPriority w:val="59"/>
    <w:rsid w:val="00721E60"/>
    <w:pPr>
      <w:spacing w:after="0" w:line="240" w:lineRule="auto"/>
    </w:pPr>
    <w:rPr>
      <w:rFonts w:ascii="Candara" w:eastAsiaTheme="majorEastAsia" w:hAnsi="Candara" w:cstheme="majorBidi"/>
      <w:sz w:val="20"/>
      <w:szCs w:val="22"/>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style>
  <w:style w:type="paragraph" w:styleId="Title">
    <w:name w:val="Title"/>
    <w:basedOn w:val="Normal"/>
    <w:next w:val="Normal"/>
    <w:link w:val="TitleChar"/>
    <w:uiPriority w:val="10"/>
    <w:qFormat/>
    <w:rsid w:val="003527D4"/>
    <w:pPr>
      <w:spacing w:before="3360" w:after="360"/>
      <w:ind w:left="360"/>
      <w:jc w:val="center"/>
    </w:pPr>
    <w:rPr>
      <w:rFonts w:ascii="Arial" w:eastAsiaTheme="minorHAnsi" w:hAnsi="Arial" w:cs="Arial"/>
      <w:b/>
      <w:sz w:val="52"/>
      <w:szCs w:val="52"/>
    </w:rPr>
  </w:style>
  <w:style w:type="character" w:customStyle="1" w:styleId="TitleChar">
    <w:name w:val="Title Char"/>
    <w:basedOn w:val="DefaultParagraphFont"/>
    <w:link w:val="Title"/>
    <w:uiPriority w:val="10"/>
    <w:rsid w:val="003527D4"/>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306321009">
      <w:bodyDiv w:val="1"/>
      <w:marLeft w:val="0"/>
      <w:marRight w:val="0"/>
      <w:marTop w:val="0"/>
      <w:marBottom w:val="0"/>
      <w:divBdr>
        <w:top w:val="none" w:sz="0" w:space="0" w:color="auto"/>
        <w:left w:val="none" w:sz="0" w:space="0" w:color="auto"/>
        <w:bottom w:val="none" w:sz="0" w:space="0" w:color="auto"/>
        <w:right w:val="none" w:sz="0" w:space="0" w:color="auto"/>
      </w:divBdr>
    </w:div>
    <w:div w:id="357509539">
      <w:bodyDiv w:val="1"/>
      <w:marLeft w:val="0"/>
      <w:marRight w:val="0"/>
      <w:marTop w:val="0"/>
      <w:marBottom w:val="0"/>
      <w:divBdr>
        <w:top w:val="none" w:sz="0" w:space="0" w:color="auto"/>
        <w:left w:val="none" w:sz="0" w:space="0" w:color="auto"/>
        <w:bottom w:val="none" w:sz="0" w:space="0" w:color="auto"/>
        <w:right w:val="none" w:sz="0" w:space="0" w:color="auto"/>
      </w:divBdr>
      <w:divsChild>
        <w:div w:id="663162168">
          <w:marLeft w:val="0"/>
          <w:marRight w:val="0"/>
          <w:marTop w:val="0"/>
          <w:marBottom w:val="0"/>
          <w:divBdr>
            <w:top w:val="none" w:sz="0" w:space="0" w:color="auto"/>
            <w:left w:val="none" w:sz="0" w:space="0" w:color="auto"/>
            <w:bottom w:val="none" w:sz="0" w:space="0" w:color="auto"/>
            <w:right w:val="none" w:sz="0" w:space="0" w:color="auto"/>
          </w:divBdr>
        </w:div>
        <w:div w:id="842865186">
          <w:marLeft w:val="0"/>
          <w:marRight w:val="0"/>
          <w:marTop w:val="0"/>
          <w:marBottom w:val="0"/>
          <w:divBdr>
            <w:top w:val="none" w:sz="0" w:space="0" w:color="auto"/>
            <w:left w:val="none" w:sz="0" w:space="0" w:color="auto"/>
            <w:bottom w:val="none" w:sz="0" w:space="0" w:color="auto"/>
            <w:right w:val="none" w:sz="0" w:space="0" w:color="auto"/>
          </w:divBdr>
        </w:div>
      </w:divsChild>
    </w:div>
    <w:div w:id="420413872">
      <w:bodyDiv w:val="1"/>
      <w:marLeft w:val="0"/>
      <w:marRight w:val="0"/>
      <w:marTop w:val="0"/>
      <w:marBottom w:val="0"/>
      <w:divBdr>
        <w:top w:val="none" w:sz="0" w:space="0" w:color="auto"/>
        <w:left w:val="none" w:sz="0" w:space="0" w:color="auto"/>
        <w:bottom w:val="none" w:sz="0" w:space="0" w:color="auto"/>
        <w:right w:val="none" w:sz="0" w:space="0" w:color="auto"/>
      </w:divBdr>
    </w:div>
    <w:div w:id="1019504067">
      <w:bodyDiv w:val="1"/>
      <w:marLeft w:val="0"/>
      <w:marRight w:val="0"/>
      <w:marTop w:val="0"/>
      <w:marBottom w:val="0"/>
      <w:divBdr>
        <w:top w:val="none" w:sz="0" w:space="0" w:color="auto"/>
        <w:left w:val="none" w:sz="0" w:space="0" w:color="auto"/>
        <w:bottom w:val="none" w:sz="0" w:space="0" w:color="auto"/>
        <w:right w:val="none" w:sz="0" w:space="0" w:color="auto"/>
      </w:divBdr>
    </w:div>
    <w:div w:id="1262568726">
      <w:bodyDiv w:val="1"/>
      <w:marLeft w:val="0"/>
      <w:marRight w:val="0"/>
      <w:marTop w:val="0"/>
      <w:marBottom w:val="0"/>
      <w:divBdr>
        <w:top w:val="none" w:sz="0" w:space="0" w:color="auto"/>
        <w:left w:val="none" w:sz="0" w:space="0" w:color="auto"/>
        <w:bottom w:val="none" w:sz="0" w:space="0" w:color="auto"/>
        <w:right w:val="none" w:sz="0" w:space="0" w:color="auto"/>
      </w:divBdr>
      <w:divsChild>
        <w:div w:id="23871305">
          <w:marLeft w:val="0"/>
          <w:marRight w:val="0"/>
          <w:marTop w:val="0"/>
          <w:marBottom w:val="0"/>
          <w:divBdr>
            <w:top w:val="none" w:sz="0" w:space="0" w:color="auto"/>
            <w:left w:val="none" w:sz="0" w:space="0" w:color="auto"/>
            <w:bottom w:val="none" w:sz="0" w:space="0" w:color="auto"/>
            <w:right w:val="none" w:sz="0" w:space="0" w:color="auto"/>
          </w:divBdr>
        </w:div>
        <w:div w:id="593320184">
          <w:marLeft w:val="0"/>
          <w:marRight w:val="0"/>
          <w:marTop w:val="0"/>
          <w:marBottom w:val="0"/>
          <w:divBdr>
            <w:top w:val="none" w:sz="0" w:space="0" w:color="auto"/>
            <w:left w:val="none" w:sz="0" w:space="0" w:color="auto"/>
            <w:bottom w:val="none" w:sz="0" w:space="0" w:color="auto"/>
            <w:right w:val="none" w:sz="0" w:space="0" w:color="auto"/>
          </w:divBdr>
        </w:div>
        <w:div w:id="682560475">
          <w:marLeft w:val="0"/>
          <w:marRight w:val="0"/>
          <w:marTop w:val="0"/>
          <w:marBottom w:val="0"/>
          <w:divBdr>
            <w:top w:val="none" w:sz="0" w:space="0" w:color="auto"/>
            <w:left w:val="none" w:sz="0" w:space="0" w:color="auto"/>
            <w:bottom w:val="none" w:sz="0" w:space="0" w:color="auto"/>
            <w:right w:val="none" w:sz="0" w:space="0" w:color="auto"/>
          </w:divBdr>
        </w:div>
        <w:div w:id="825977861">
          <w:marLeft w:val="0"/>
          <w:marRight w:val="0"/>
          <w:marTop w:val="0"/>
          <w:marBottom w:val="0"/>
          <w:divBdr>
            <w:top w:val="none" w:sz="0" w:space="0" w:color="auto"/>
            <w:left w:val="none" w:sz="0" w:space="0" w:color="auto"/>
            <w:bottom w:val="none" w:sz="0" w:space="0" w:color="auto"/>
            <w:right w:val="none" w:sz="0" w:space="0" w:color="auto"/>
          </w:divBdr>
        </w:div>
        <w:div w:id="937906408">
          <w:marLeft w:val="0"/>
          <w:marRight w:val="0"/>
          <w:marTop w:val="0"/>
          <w:marBottom w:val="0"/>
          <w:divBdr>
            <w:top w:val="none" w:sz="0" w:space="0" w:color="auto"/>
            <w:left w:val="none" w:sz="0" w:space="0" w:color="auto"/>
            <w:bottom w:val="none" w:sz="0" w:space="0" w:color="auto"/>
            <w:right w:val="none" w:sz="0" w:space="0" w:color="auto"/>
          </w:divBdr>
        </w:div>
        <w:div w:id="1676416283">
          <w:marLeft w:val="0"/>
          <w:marRight w:val="0"/>
          <w:marTop w:val="0"/>
          <w:marBottom w:val="0"/>
          <w:divBdr>
            <w:top w:val="none" w:sz="0" w:space="0" w:color="auto"/>
            <w:left w:val="none" w:sz="0" w:space="0" w:color="auto"/>
            <w:bottom w:val="none" w:sz="0" w:space="0" w:color="auto"/>
            <w:right w:val="none" w:sz="0" w:space="0" w:color="auto"/>
          </w:divBdr>
        </w:div>
        <w:div w:id="1902447806">
          <w:marLeft w:val="0"/>
          <w:marRight w:val="0"/>
          <w:marTop w:val="0"/>
          <w:marBottom w:val="0"/>
          <w:divBdr>
            <w:top w:val="none" w:sz="0" w:space="0" w:color="auto"/>
            <w:left w:val="none" w:sz="0" w:space="0" w:color="auto"/>
            <w:bottom w:val="none" w:sz="0" w:space="0" w:color="auto"/>
            <w:right w:val="none" w:sz="0" w:space="0" w:color="auto"/>
          </w:divBdr>
        </w:div>
        <w:div w:id="1915167642">
          <w:marLeft w:val="0"/>
          <w:marRight w:val="0"/>
          <w:marTop w:val="0"/>
          <w:marBottom w:val="0"/>
          <w:divBdr>
            <w:top w:val="none" w:sz="0" w:space="0" w:color="auto"/>
            <w:left w:val="none" w:sz="0" w:space="0" w:color="auto"/>
            <w:bottom w:val="none" w:sz="0" w:space="0" w:color="auto"/>
            <w:right w:val="none" w:sz="0" w:space="0" w:color="auto"/>
          </w:divBdr>
          <w:divsChild>
            <w:div w:id="358819112">
              <w:marLeft w:val="-75"/>
              <w:marRight w:val="0"/>
              <w:marTop w:val="30"/>
              <w:marBottom w:val="30"/>
              <w:divBdr>
                <w:top w:val="none" w:sz="0" w:space="0" w:color="auto"/>
                <w:left w:val="none" w:sz="0" w:space="0" w:color="auto"/>
                <w:bottom w:val="none" w:sz="0" w:space="0" w:color="auto"/>
                <w:right w:val="none" w:sz="0" w:space="0" w:color="auto"/>
              </w:divBdr>
              <w:divsChild>
                <w:div w:id="266668526">
                  <w:marLeft w:val="0"/>
                  <w:marRight w:val="0"/>
                  <w:marTop w:val="0"/>
                  <w:marBottom w:val="0"/>
                  <w:divBdr>
                    <w:top w:val="none" w:sz="0" w:space="0" w:color="auto"/>
                    <w:left w:val="none" w:sz="0" w:space="0" w:color="auto"/>
                    <w:bottom w:val="none" w:sz="0" w:space="0" w:color="auto"/>
                    <w:right w:val="none" w:sz="0" w:space="0" w:color="auto"/>
                  </w:divBdr>
                  <w:divsChild>
                    <w:div w:id="1345281204">
                      <w:marLeft w:val="0"/>
                      <w:marRight w:val="0"/>
                      <w:marTop w:val="0"/>
                      <w:marBottom w:val="0"/>
                      <w:divBdr>
                        <w:top w:val="none" w:sz="0" w:space="0" w:color="auto"/>
                        <w:left w:val="none" w:sz="0" w:space="0" w:color="auto"/>
                        <w:bottom w:val="none" w:sz="0" w:space="0" w:color="auto"/>
                        <w:right w:val="none" w:sz="0" w:space="0" w:color="auto"/>
                      </w:divBdr>
                    </w:div>
                  </w:divsChild>
                </w:div>
                <w:div w:id="267660784">
                  <w:marLeft w:val="0"/>
                  <w:marRight w:val="0"/>
                  <w:marTop w:val="0"/>
                  <w:marBottom w:val="0"/>
                  <w:divBdr>
                    <w:top w:val="none" w:sz="0" w:space="0" w:color="auto"/>
                    <w:left w:val="none" w:sz="0" w:space="0" w:color="auto"/>
                    <w:bottom w:val="none" w:sz="0" w:space="0" w:color="auto"/>
                    <w:right w:val="none" w:sz="0" w:space="0" w:color="auto"/>
                  </w:divBdr>
                  <w:divsChild>
                    <w:div w:id="1616866832">
                      <w:marLeft w:val="0"/>
                      <w:marRight w:val="0"/>
                      <w:marTop w:val="0"/>
                      <w:marBottom w:val="0"/>
                      <w:divBdr>
                        <w:top w:val="none" w:sz="0" w:space="0" w:color="auto"/>
                        <w:left w:val="none" w:sz="0" w:space="0" w:color="auto"/>
                        <w:bottom w:val="none" w:sz="0" w:space="0" w:color="auto"/>
                        <w:right w:val="none" w:sz="0" w:space="0" w:color="auto"/>
                      </w:divBdr>
                    </w:div>
                  </w:divsChild>
                </w:div>
                <w:div w:id="278411710">
                  <w:marLeft w:val="0"/>
                  <w:marRight w:val="0"/>
                  <w:marTop w:val="0"/>
                  <w:marBottom w:val="0"/>
                  <w:divBdr>
                    <w:top w:val="none" w:sz="0" w:space="0" w:color="auto"/>
                    <w:left w:val="none" w:sz="0" w:space="0" w:color="auto"/>
                    <w:bottom w:val="none" w:sz="0" w:space="0" w:color="auto"/>
                    <w:right w:val="none" w:sz="0" w:space="0" w:color="auto"/>
                  </w:divBdr>
                  <w:divsChild>
                    <w:div w:id="162404274">
                      <w:marLeft w:val="0"/>
                      <w:marRight w:val="0"/>
                      <w:marTop w:val="0"/>
                      <w:marBottom w:val="0"/>
                      <w:divBdr>
                        <w:top w:val="none" w:sz="0" w:space="0" w:color="auto"/>
                        <w:left w:val="none" w:sz="0" w:space="0" w:color="auto"/>
                        <w:bottom w:val="none" w:sz="0" w:space="0" w:color="auto"/>
                        <w:right w:val="none" w:sz="0" w:space="0" w:color="auto"/>
                      </w:divBdr>
                    </w:div>
                  </w:divsChild>
                </w:div>
                <w:div w:id="648217053">
                  <w:marLeft w:val="0"/>
                  <w:marRight w:val="0"/>
                  <w:marTop w:val="0"/>
                  <w:marBottom w:val="0"/>
                  <w:divBdr>
                    <w:top w:val="none" w:sz="0" w:space="0" w:color="auto"/>
                    <w:left w:val="none" w:sz="0" w:space="0" w:color="auto"/>
                    <w:bottom w:val="none" w:sz="0" w:space="0" w:color="auto"/>
                    <w:right w:val="none" w:sz="0" w:space="0" w:color="auto"/>
                  </w:divBdr>
                  <w:divsChild>
                    <w:div w:id="1892227675">
                      <w:marLeft w:val="0"/>
                      <w:marRight w:val="0"/>
                      <w:marTop w:val="0"/>
                      <w:marBottom w:val="0"/>
                      <w:divBdr>
                        <w:top w:val="none" w:sz="0" w:space="0" w:color="auto"/>
                        <w:left w:val="none" w:sz="0" w:space="0" w:color="auto"/>
                        <w:bottom w:val="none" w:sz="0" w:space="0" w:color="auto"/>
                        <w:right w:val="none" w:sz="0" w:space="0" w:color="auto"/>
                      </w:divBdr>
                    </w:div>
                  </w:divsChild>
                </w:div>
                <w:div w:id="794174613">
                  <w:marLeft w:val="0"/>
                  <w:marRight w:val="0"/>
                  <w:marTop w:val="0"/>
                  <w:marBottom w:val="0"/>
                  <w:divBdr>
                    <w:top w:val="none" w:sz="0" w:space="0" w:color="auto"/>
                    <w:left w:val="none" w:sz="0" w:space="0" w:color="auto"/>
                    <w:bottom w:val="none" w:sz="0" w:space="0" w:color="auto"/>
                    <w:right w:val="none" w:sz="0" w:space="0" w:color="auto"/>
                  </w:divBdr>
                  <w:divsChild>
                    <w:div w:id="1760786291">
                      <w:marLeft w:val="0"/>
                      <w:marRight w:val="0"/>
                      <w:marTop w:val="0"/>
                      <w:marBottom w:val="0"/>
                      <w:divBdr>
                        <w:top w:val="none" w:sz="0" w:space="0" w:color="auto"/>
                        <w:left w:val="none" w:sz="0" w:space="0" w:color="auto"/>
                        <w:bottom w:val="none" w:sz="0" w:space="0" w:color="auto"/>
                        <w:right w:val="none" w:sz="0" w:space="0" w:color="auto"/>
                      </w:divBdr>
                    </w:div>
                  </w:divsChild>
                </w:div>
                <w:div w:id="799036181">
                  <w:marLeft w:val="0"/>
                  <w:marRight w:val="0"/>
                  <w:marTop w:val="0"/>
                  <w:marBottom w:val="0"/>
                  <w:divBdr>
                    <w:top w:val="none" w:sz="0" w:space="0" w:color="auto"/>
                    <w:left w:val="none" w:sz="0" w:space="0" w:color="auto"/>
                    <w:bottom w:val="none" w:sz="0" w:space="0" w:color="auto"/>
                    <w:right w:val="none" w:sz="0" w:space="0" w:color="auto"/>
                  </w:divBdr>
                  <w:divsChild>
                    <w:div w:id="1103768453">
                      <w:marLeft w:val="0"/>
                      <w:marRight w:val="0"/>
                      <w:marTop w:val="0"/>
                      <w:marBottom w:val="0"/>
                      <w:divBdr>
                        <w:top w:val="none" w:sz="0" w:space="0" w:color="auto"/>
                        <w:left w:val="none" w:sz="0" w:space="0" w:color="auto"/>
                        <w:bottom w:val="none" w:sz="0" w:space="0" w:color="auto"/>
                        <w:right w:val="none" w:sz="0" w:space="0" w:color="auto"/>
                      </w:divBdr>
                    </w:div>
                  </w:divsChild>
                </w:div>
                <w:div w:id="959724946">
                  <w:marLeft w:val="0"/>
                  <w:marRight w:val="0"/>
                  <w:marTop w:val="0"/>
                  <w:marBottom w:val="0"/>
                  <w:divBdr>
                    <w:top w:val="none" w:sz="0" w:space="0" w:color="auto"/>
                    <w:left w:val="none" w:sz="0" w:space="0" w:color="auto"/>
                    <w:bottom w:val="none" w:sz="0" w:space="0" w:color="auto"/>
                    <w:right w:val="none" w:sz="0" w:space="0" w:color="auto"/>
                  </w:divBdr>
                  <w:divsChild>
                    <w:div w:id="1690134437">
                      <w:marLeft w:val="0"/>
                      <w:marRight w:val="0"/>
                      <w:marTop w:val="0"/>
                      <w:marBottom w:val="0"/>
                      <w:divBdr>
                        <w:top w:val="none" w:sz="0" w:space="0" w:color="auto"/>
                        <w:left w:val="none" w:sz="0" w:space="0" w:color="auto"/>
                        <w:bottom w:val="none" w:sz="0" w:space="0" w:color="auto"/>
                        <w:right w:val="none" w:sz="0" w:space="0" w:color="auto"/>
                      </w:divBdr>
                    </w:div>
                  </w:divsChild>
                </w:div>
                <w:div w:id="1109735803">
                  <w:marLeft w:val="0"/>
                  <w:marRight w:val="0"/>
                  <w:marTop w:val="0"/>
                  <w:marBottom w:val="0"/>
                  <w:divBdr>
                    <w:top w:val="none" w:sz="0" w:space="0" w:color="auto"/>
                    <w:left w:val="none" w:sz="0" w:space="0" w:color="auto"/>
                    <w:bottom w:val="none" w:sz="0" w:space="0" w:color="auto"/>
                    <w:right w:val="none" w:sz="0" w:space="0" w:color="auto"/>
                  </w:divBdr>
                  <w:divsChild>
                    <w:div w:id="1495562504">
                      <w:marLeft w:val="0"/>
                      <w:marRight w:val="0"/>
                      <w:marTop w:val="0"/>
                      <w:marBottom w:val="0"/>
                      <w:divBdr>
                        <w:top w:val="none" w:sz="0" w:space="0" w:color="auto"/>
                        <w:left w:val="none" w:sz="0" w:space="0" w:color="auto"/>
                        <w:bottom w:val="none" w:sz="0" w:space="0" w:color="auto"/>
                        <w:right w:val="none" w:sz="0" w:space="0" w:color="auto"/>
                      </w:divBdr>
                    </w:div>
                  </w:divsChild>
                </w:div>
                <w:div w:id="1452746246">
                  <w:marLeft w:val="0"/>
                  <w:marRight w:val="0"/>
                  <w:marTop w:val="0"/>
                  <w:marBottom w:val="0"/>
                  <w:divBdr>
                    <w:top w:val="none" w:sz="0" w:space="0" w:color="auto"/>
                    <w:left w:val="none" w:sz="0" w:space="0" w:color="auto"/>
                    <w:bottom w:val="none" w:sz="0" w:space="0" w:color="auto"/>
                    <w:right w:val="none" w:sz="0" w:space="0" w:color="auto"/>
                  </w:divBdr>
                  <w:divsChild>
                    <w:div w:id="1760440559">
                      <w:marLeft w:val="0"/>
                      <w:marRight w:val="0"/>
                      <w:marTop w:val="0"/>
                      <w:marBottom w:val="0"/>
                      <w:divBdr>
                        <w:top w:val="none" w:sz="0" w:space="0" w:color="auto"/>
                        <w:left w:val="none" w:sz="0" w:space="0" w:color="auto"/>
                        <w:bottom w:val="none" w:sz="0" w:space="0" w:color="auto"/>
                        <w:right w:val="none" w:sz="0" w:space="0" w:color="auto"/>
                      </w:divBdr>
                    </w:div>
                    <w:div w:id="2000889221">
                      <w:marLeft w:val="0"/>
                      <w:marRight w:val="0"/>
                      <w:marTop w:val="0"/>
                      <w:marBottom w:val="0"/>
                      <w:divBdr>
                        <w:top w:val="none" w:sz="0" w:space="0" w:color="auto"/>
                        <w:left w:val="none" w:sz="0" w:space="0" w:color="auto"/>
                        <w:bottom w:val="none" w:sz="0" w:space="0" w:color="auto"/>
                        <w:right w:val="none" w:sz="0" w:space="0" w:color="auto"/>
                      </w:divBdr>
                    </w:div>
                  </w:divsChild>
                </w:div>
                <w:div w:id="1495029072">
                  <w:marLeft w:val="0"/>
                  <w:marRight w:val="0"/>
                  <w:marTop w:val="0"/>
                  <w:marBottom w:val="0"/>
                  <w:divBdr>
                    <w:top w:val="none" w:sz="0" w:space="0" w:color="auto"/>
                    <w:left w:val="none" w:sz="0" w:space="0" w:color="auto"/>
                    <w:bottom w:val="none" w:sz="0" w:space="0" w:color="auto"/>
                    <w:right w:val="none" w:sz="0" w:space="0" w:color="auto"/>
                  </w:divBdr>
                  <w:divsChild>
                    <w:div w:id="676805565">
                      <w:marLeft w:val="0"/>
                      <w:marRight w:val="0"/>
                      <w:marTop w:val="0"/>
                      <w:marBottom w:val="0"/>
                      <w:divBdr>
                        <w:top w:val="none" w:sz="0" w:space="0" w:color="auto"/>
                        <w:left w:val="none" w:sz="0" w:space="0" w:color="auto"/>
                        <w:bottom w:val="none" w:sz="0" w:space="0" w:color="auto"/>
                        <w:right w:val="none" w:sz="0" w:space="0" w:color="auto"/>
                      </w:divBdr>
                    </w:div>
                  </w:divsChild>
                </w:div>
                <w:div w:id="1684162554">
                  <w:marLeft w:val="0"/>
                  <w:marRight w:val="0"/>
                  <w:marTop w:val="0"/>
                  <w:marBottom w:val="0"/>
                  <w:divBdr>
                    <w:top w:val="none" w:sz="0" w:space="0" w:color="auto"/>
                    <w:left w:val="none" w:sz="0" w:space="0" w:color="auto"/>
                    <w:bottom w:val="none" w:sz="0" w:space="0" w:color="auto"/>
                    <w:right w:val="none" w:sz="0" w:space="0" w:color="auto"/>
                  </w:divBdr>
                  <w:divsChild>
                    <w:div w:id="1210727968">
                      <w:marLeft w:val="0"/>
                      <w:marRight w:val="0"/>
                      <w:marTop w:val="0"/>
                      <w:marBottom w:val="0"/>
                      <w:divBdr>
                        <w:top w:val="none" w:sz="0" w:space="0" w:color="auto"/>
                        <w:left w:val="none" w:sz="0" w:space="0" w:color="auto"/>
                        <w:bottom w:val="none" w:sz="0" w:space="0" w:color="auto"/>
                        <w:right w:val="none" w:sz="0" w:space="0" w:color="auto"/>
                      </w:divBdr>
                    </w:div>
                  </w:divsChild>
                </w:div>
                <w:div w:id="1732994578">
                  <w:marLeft w:val="0"/>
                  <w:marRight w:val="0"/>
                  <w:marTop w:val="0"/>
                  <w:marBottom w:val="0"/>
                  <w:divBdr>
                    <w:top w:val="none" w:sz="0" w:space="0" w:color="auto"/>
                    <w:left w:val="none" w:sz="0" w:space="0" w:color="auto"/>
                    <w:bottom w:val="none" w:sz="0" w:space="0" w:color="auto"/>
                    <w:right w:val="none" w:sz="0" w:space="0" w:color="auto"/>
                  </w:divBdr>
                  <w:divsChild>
                    <w:div w:id="1602445198">
                      <w:marLeft w:val="0"/>
                      <w:marRight w:val="0"/>
                      <w:marTop w:val="0"/>
                      <w:marBottom w:val="0"/>
                      <w:divBdr>
                        <w:top w:val="none" w:sz="0" w:space="0" w:color="auto"/>
                        <w:left w:val="none" w:sz="0" w:space="0" w:color="auto"/>
                        <w:bottom w:val="none" w:sz="0" w:space="0" w:color="auto"/>
                        <w:right w:val="none" w:sz="0" w:space="0" w:color="auto"/>
                      </w:divBdr>
                    </w:div>
                    <w:div w:id="1767531880">
                      <w:marLeft w:val="0"/>
                      <w:marRight w:val="0"/>
                      <w:marTop w:val="0"/>
                      <w:marBottom w:val="0"/>
                      <w:divBdr>
                        <w:top w:val="none" w:sz="0" w:space="0" w:color="auto"/>
                        <w:left w:val="none" w:sz="0" w:space="0" w:color="auto"/>
                        <w:bottom w:val="none" w:sz="0" w:space="0" w:color="auto"/>
                        <w:right w:val="none" w:sz="0" w:space="0" w:color="auto"/>
                      </w:divBdr>
                    </w:div>
                  </w:divsChild>
                </w:div>
                <w:div w:id="1733691752">
                  <w:marLeft w:val="0"/>
                  <w:marRight w:val="0"/>
                  <w:marTop w:val="0"/>
                  <w:marBottom w:val="0"/>
                  <w:divBdr>
                    <w:top w:val="none" w:sz="0" w:space="0" w:color="auto"/>
                    <w:left w:val="none" w:sz="0" w:space="0" w:color="auto"/>
                    <w:bottom w:val="none" w:sz="0" w:space="0" w:color="auto"/>
                    <w:right w:val="none" w:sz="0" w:space="0" w:color="auto"/>
                  </w:divBdr>
                  <w:divsChild>
                    <w:div w:id="1343623001">
                      <w:marLeft w:val="0"/>
                      <w:marRight w:val="0"/>
                      <w:marTop w:val="0"/>
                      <w:marBottom w:val="0"/>
                      <w:divBdr>
                        <w:top w:val="none" w:sz="0" w:space="0" w:color="auto"/>
                        <w:left w:val="none" w:sz="0" w:space="0" w:color="auto"/>
                        <w:bottom w:val="none" w:sz="0" w:space="0" w:color="auto"/>
                        <w:right w:val="none" w:sz="0" w:space="0" w:color="auto"/>
                      </w:divBdr>
                    </w:div>
                  </w:divsChild>
                </w:div>
                <w:div w:id="1910532737">
                  <w:marLeft w:val="0"/>
                  <w:marRight w:val="0"/>
                  <w:marTop w:val="0"/>
                  <w:marBottom w:val="0"/>
                  <w:divBdr>
                    <w:top w:val="none" w:sz="0" w:space="0" w:color="auto"/>
                    <w:left w:val="none" w:sz="0" w:space="0" w:color="auto"/>
                    <w:bottom w:val="none" w:sz="0" w:space="0" w:color="auto"/>
                    <w:right w:val="none" w:sz="0" w:space="0" w:color="auto"/>
                  </w:divBdr>
                  <w:divsChild>
                    <w:div w:id="1467433631">
                      <w:marLeft w:val="0"/>
                      <w:marRight w:val="0"/>
                      <w:marTop w:val="0"/>
                      <w:marBottom w:val="0"/>
                      <w:divBdr>
                        <w:top w:val="none" w:sz="0" w:space="0" w:color="auto"/>
                        <w:left w:val="none" w:sz="0" w:space="0" w:color="auto"/>
                        <w:bottom w:val="none" w:sz="0" w:space="0" w:color="auto"/>
                        <w:right w:val="none" w:sz="0" w:space="0" w:color="auto"/>
                      </w:divBdr>
                    </w:div>
                  </w:divsChild>
                </w:div>
                <w:div w:id="1960524610">
                  <w:marLeft w:val="0"/>
                  <w:marRight w:val="0"/>
                  <w:marTop w:val="0"/>
                  <w:marBottom w:val="0"/>
                  <w:divBdr>
                    <w:top w:val="none" w:sz="0" w:space="0" w:color="auto"/>
                    <w:left w:val="none" w:sz="0" w:space="0" w:color="auto"/>
                    <w:bottom w:val="none" w:sz="0" w:space="0" w:color="auto"/>
                    <w:right w:val="none" w:sz="0" w:space="0" w:color="auto"/>
                  </w:divBdr>
                  <w:divsChild>
                    <w:div w:id="11510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075">
          <w:marLeft w:val="0"/>
          <w:marRight w:val="0"/>
          <w:marTop w:val="0"/>
          <w:marBottom w:val="0"/>
          <w:divBdr>
            <w:top w:val="none" w:sz="0" w:space="0" w:color="auto"/>
            <w:left w:val="none" w:sz="0" w:space="0" w:color="auto"/>
            <w:bottom w:val="none" w:sz="0" w:space="0" w:color="auto"/>
            <w:right w:val="none" w:sz="0" w:space="0" w:color="auto"/>
          </w:divBdr>
        </w:div>
      </w:divsChild>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 w:id="2109034341">
      <w:bodyDiv w:val="1"/>
      <w:marLeft w:val="0"/>
      <w:marRight w:val="0"/>
      <w:marTop w:val="0"/>
      <w:marBottom w:val="0"/>
      <w:divBdr>
        <w:top w:val="none" w:sz="0" w:space="0" w:color="auto"/>
        <w:left w:val="none" w:sz="0" w:space="0" w:color="auto"/>
        <w:bottom w:val="none" w:sz="0" w:space="0" w:color="auto"/>
        <w:right w:val="none" w:sz="0" w:space="0" w:color="auto"/>
      </w:divBdr>
      <w:divsChild>
        <w:div w:id="1475297077">
          <w:marLeft w:val="0"/>
          <w:marRight w:val="0"/>
          <w:marTop w:val="0"/>
          <w:marBottom w:val="0"/>
          <w:divBdr>
            <w:top w:val="none" w:sz="0" w:space="0" w:color="auto"/>
            <w:left w:val="none" w:sz="0" w:space="0" w:color="auto"/>
            <w:bottom w:val="none" w:sz="0" w:space="0" w:color="auto"/>
            <w:right w:val="none" w:sz="0" w:space="0" w:color="auto"/>
          </w:divBdr>
          <w:divsChild>
            <w:div w:id="1135948626">
              <w:marLeft w:val="0"/>
              <w:marRight w:val="0"/>
              <w:marTop w:val="0"/>
              <w:marBottom w:val="0"/>
              <w:divBdr>
                <w:top w:val="none" w:sz="0" w:space="0" w:color="auto"/>
                <w:left w:val="none" w:sz="0" w:space="0" w:color="auto"/>
                <w:bottom w:val="none" w:sz="0" w:space="0" w:color="auto"/>
                <w:right w:val="none" w:sz="0" w:space="0" w:color="auto"/>
              </w:divBdr>
              <w:divsChild>
                <w:div w:id="1744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ciencedirect.com/science/article/pii/S0163725816302443" TargetMode="External"/><Relationship Id="rId3" Type="http://schemas.openxmlformats.org/officeDocument/2006/relationships/customXml" Target="../customXml/item3.xml"/><Relationship Id="rId21" Type="http://schemas.openxmlformats.org/officeDocument/2006/relationships/hyperlink" Target="https://aacrjournals.org/mct/article/11/4/873/91239/Preclinical-Pharmacology-of-AZD5363-an-Inhibitor" TargetMode="Externa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nejm.org/doi/full/10.1056/NEJMoa2214131"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ature.com/articles/nrd29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ngentaconnect.com/content/ben/ctmc/2010/00000010/00000004/art0000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Application_x0020_type xmlns="54fb6eec-6680-4f37-8c19-bc565727b83c" xsi:nil="true"/>
    <lcf76f155ced4ddcb4097134ff3c332f xmlns="54fb6eec-6680-4f37-8c19-bc565727b8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FE32DA-4CE4-4CC2-BAED-82AED1FE8C1D}">
  <ds:schemaRefs>
    <ds:schemaRef ds:uri="http://schemas.openxmlformats.org/officeDocument/2006/bibliography"/>
  </ds:schemaRefs>
</ds:datastoreItem>
</file>

<file path=customXml/itemProps2.xml><?xml version="1.0" encoding="utf-8"?>
<ds:datastoreItem xmlns:ds="http://schemas.openxmlformats.org/officeDocument/2006/customXml" ds:itemID="{ABCB965C-DCAD-472A-BBD9-D798415F540A}">
  <ds:schemaRefs>
    <ds:schemaRef ds:uri="http://schemas.microsoft.com/office/2006/metadata/properties"/>
    <ds:schemaRef ds:uri="http://schemas.microsoft.com/office/infopath/2007/PartnerControls"/>
    <ds:schemaRef ds:uri="5e6c165d-1334-4e3d-ac4c-cda196070297"/>
    <ds:schemaRef ds:uri="54fb6eec-6680-4f37-8c19-bc565727b83c"/>
  </ds:schemaRefs>
</ds:datastoreItem>
</file>

<file path=customXml/itemProps3.xml><?xml version="1.0" encoding="utf-8"?>
<ds:datastoreItem xmlns:ds="http://schemas.openxmlformats.org/officeDocument/2006/customXml" ds:itemID="{B69D0AD5-B0DD-43FD-81F6-83AE8518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7D7D79-FDAB-4452-A32D-7AC35A2D87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5788</Words>
  <Characters>32998</Characters>
  <Application>Microsoft Office Word</Application>
  <DocSecurity>0</DocSecurity>
  <PresentationFormat/>
  <Lines>274</Lines>
  <Paragraphs>77</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38709</CharactersWithSpaces>
  <SharedDoc>false</SharedDoc>
  <HyperlinkBase/>
  <HLinks>
    <vt:vector size="108" baseType="variant">
      <vt:variant>
        <vt:i4>3014755</vt:i4>
      </vt:variant>
      <vt:variant>
        <vt:i4>135</vt:i4>
      </vt:variant>
      <vt:variant>
        <vt:i4>0</vt:i4>
      </vt:variant>
      <vt:variant>
        <vt:i4>5</vt:i4>
      </vt:variant>
      <vt:variant>
        <vt:lpwstr>https://www.ahcdo.org.au/documents/item/595</vt:lpwstr>
      </vt:variant>
      <vt:variant>
        <vt:lpwstr/>
      </vt:variant>
      <vt:variant>
        <vt:i4>3211313</vt:i4>
      </vt:variant>
      <vt:variant>
        <vt:i4>120</vt:i4>
      </vt:variant>
      <vt:variant>
        <vt:i4>0</vt:i4>
      </vt:variant>
      <vt:variant>
        <vt:i4>5</vt:i4>
      </vt:variant>
      <vt:variant>
        <vt:lpwstr>https://www.nejm.org/doi/10.1056/NEJMoa2211075</vt:lpwstr>
      </vt:variant>
      <vt:variant>
        <vt:lpwstr/>
      </vt:variant>
      <vt:variant>
        <vt:i4>983043</vt:i4>
      </vt:variant>
      <vt:variant>
        <vt:i4>117</vt:i4>
      </vt:variant>
      <vt:variant>
        <vt:i4>0</vt:i4>
      </vt:variant>
      <vt:variant>
        <vt:i4>5</vt:i4>
      </vt:variant>
      <vt:variant>
        <vt:lpwstr>https://pubmed.ncbi.nlm.nih.gov/35294811/</vt:lpwstr>
      </vt:variant>
      <vt:variant>
        <vt:lpwstr/>
      </vt:variant>
      <vt:variant>
        <vt:i4>3145839</vt:i4>
      </vt:variant>
      <vt:variant>
        <vt:i4>75</vt:i4>
      </vt:variant>
      <vt:variant>
        <vt:i4>0</vt:i4>
      </vt:variant>
      <vt:variant>
        <vt:i4>5</vt:i4>
      </vt:variant>
      <vt:variant>
        <vt:lpwstr>http://www.blood.gov.au/data-analysis-reporting</vt:lpwstr>
      </vt:variant>
      <vt:variant>
        <vt:lpwstr/>
      </vt:variant>
      <vt:variant>
        <vt:i4>1114113</vt:i4>
      </vt:variant>
      <vt:variant>
        <vt:i4>69</vt:i4>
      </vt:variant>
      <vt:variant>
        <vt:i4>0</vt:i4>
      </vt:variant>
      <vt:variant>
        <vt:i4>5</vt:i4>
      </vt:variant>
      <vt:variant>
        <vt:lpwstr>https://www.blood.gov.au/national-product-price-list</vt:lpwstr>
      </vt:variant>
      <vt:variant>
        <vt:lpwstr/>
      </vt:variant>
      <vt:variant>
        <vt:i4>2097250</vt:i4>
      </vt:variant>
      <vt:variant>
        <vt:i4>9</vt:i4>
      </vt:variant>
      <vt:variant>
        <vt:i4>0</vt:i4>
      </vt:variant>
      <vt:variant>
        <vt:i4>5</vt:i4>
      </vt:variant>
      <vt:variant>
        <vt:lpwstr>https://www.ahcdo.org.au/documents/item/475</vt:lpwstr>
      </vt:variant>
      <vt:variant>
        <vt:lpwstr/>
      </vt:variant>
      <vt:variant>
        <vt:i4>2097250</vt:i4>
      </vt:variant>
      <vt:variant>
        <vt:i4>0</vt:i4>
      </vt:variant>
      <vt:variant>
        <vt:i4>0</vt:i4>
      </vt:variant>
      <vt:variant>
        <vt:i4>5</vt:i4>
      </vt:variant>
      <vt:variant>
        <vt:lpwstr>https://www.ahcdo.org.au/documents/item/475</vt:lpwstr>
      </vt:variant>
      <vt:variant>
        <vt:lpwstr/>
      </vt:variant>
      <vt:variant>
        <vt:i4>8192064</vt:i4>
      </vt:variant>
      <vt:variant>
        <vt:i4>30</vt:i4>
      </vt:variant>
      <vt:variant>
        <vt:i4>0</vt:i4>
      </vt:variant>
      <vt:variant>
        <vt:i4>5</vt:i4>
      </vt:variant>
      <vt:variant>
        <vt:lpwstr>mailto:le897611@bmrn.com</vt:lpwstr>
      </vt:variant>
      <vt:variant>
        <vt:lpwstr/>
      </vt:variant>
      <vt:variant>
        <vt:i4>8192064</vt:i4>
      </vt:variant>
      <vt:variant>
        <vt:i4>27</vt:i4>
      </vt:variant>
      <vt:variant>
        <vt:i4>0</vt:i4>
      </vt:variant>
      <vt:variant>
        <vt:i4>5</vt:i4>
      </vt:variant>
      <vt:variant>
        <vt:lpwstr>mailto:le897611@bmrn.com</vt:lpwstr>
      </vt:variant>
      <vt:variant>
        <vt:lpwstr/>
      </vt:variant>
      <vt:variant>
        <vt:i4>8192064</vt:i4>
      </vt:variant>
      <vt:variant>
        <vt:i4>24</vt:i4>
      </vt:variant>
      <vt:variant>
        <vt:i4>0</vt:i4>
      </vt:variant>
      <vt:variant>
        <vt:i4>5</vt:i4>
      </vt:variant>
      <vt:variant>
        <vt:lpwstr>mailto:le897611@bmrn.com</vt:lpwstr>
      </vt:variant>
      <vt:variant>
        <vt:lpwstr/>
      </vt:variant>
      <vt:variant>
        <vt:i4>8192064</vt:i4>
      </vt:variant>
      <vt:variant>
        <vt:i4>21</vt:i4>
      </vt:variant>
      <vt:variant>
        <vt:i4>0</vt:i4>
      </vt:variant>
      <vt:variant>
        <vt:i4>5</vt:i4>
      </vt:variant>
      <vt:variant>
        <vt:lpwstr>mailto:le897611@bmrn.com</vt:lpwstr>
      </vt:variant>
      <vt:variant>
        <vt:lpwstr/>
      </vt:variant>
      <vt:variant>
        <vt:i4>6029420</vt:i4>
      </vt:variant>
      <vt:variant>
        <vt:i4>18</vt:i4>
      </vt:variant>
      <vt:variant>
        <vt:i4>0</vt:i4>
      </vt:variant>
      <vt:variant>
        <vt:i4>5</vt:i4>
      </vt:variant>
      <vt:variant>
        <vt:lpwstr>mailto:KEvans@bmrn.com</vt:lpwstr>
      </vt:variant>
      <vt:variant>
        <vt:lpwstr/>
      </vt:variant>
      <vt:variant>
        <vt:i4>6815751</vt:i4>
      </vt:variant>
      <vt:variant>
        <vt:i4>15</vt:i4>
      </vt:variant>
      <vt:variant>
        <vt:i4>0</vt:i4>
      </vt:variant>
      <vt:variant>
        <vt:i4>5</vt:i4>
      </vt:variant>
      <vt:variant>
        <vt:lpwstr>mailto:Sharon.Wong@bmrn.com</vt:lpwstr>
      </vt:variant>
      <vt:variant>
        <vt:lpwstr/>
      </vt:variant>
      <vt:variant>
        <vt:i4>1114227</vt:i4>
      </vt:variant>
      <vt:variant>
        <vt:i4>12</vt:i4>
      </vt:variant>
      <vt:variant>
        <vt:i4>0</vt:i4>
      </vt:variant>
      <vt:variant>
        <vt:i4>5</vt:i4>
      </vt:variant>
      <vt:variant>
        <vt:lpwstr>mailto:stuart.fillman@bmrn.com</vt:lpwstr>
      </vt:variant>
      <vt:variant>
        <vt:lpwstr/>
      </vt:variant>
      <vt:variant>
        <vt:i4>8192064</vt:i4>
      </vt:variant>
      <vt:variant>
        <vt:i4>9</vt:i4>
      </vt:variant>
      <vt:variant>
        <vt:i4>0</vt:i4>
      </vt:variant>
      <vt:variant>
        <vt:i4>5</vt:i4>
      </vt:variant>
      <vt:variant>
        <vt:lpwstr>mailto:le897611@bmrn.com</vt:lpwstr>
      </vt:variant>
      <vt:variant>
        <vt:lpwstr/>
      </vt:variant>
      <vt:variant>
        <vt:i4>7274591</vt:i4>
      </vt:variant>
      <vt:variant>
        <vt:i4>6</vt:i4>
      </vt:variant>
      <vt:variant>
        <vt:i4>0</vt:i4>
      </vt:variant>
      <vt:variant>
        <vt:i4>5</vt:i4>
      </vt:variant>
      <vt:variant>
        <vt:lpwstr>mailto:st898930@bmrn.com</vt:lpwstr>
      </vt:variant>
      <vt:variant>
        <vt:lpwstr/>
      </vt:variant>
      <vt:variant>
        <vt:i4>6815751</vt:i4>
      </vt:variant>
      <vt:variant>
        <vt:i4>3</vt:i4>
      </vt:variant>
      <vt:variant>
        <vt:i4>0</vt:i4>
      </vt:variant>
      <vt:variant>
        <vt:i4>5</vt:i4>
      </vt:variant>
      <vt:variant>
        <vt:lpwstr>mailto:Sharon.Wong@bmrn.com</vt:lpwstr>
      </vt:variant>
      <vt:variant>
        <vt:lpwstr/>
      </vt:variant>
      <vt:variant>
        <vt:i4>1114227</vt:i4>
      </vt:variant>
      <vt:variant>
        <vt:i4>0</vt:i4>
      </vt:variant>
      <vt:variant>
        <vt:i4>0</vt:i4>
      </vt:variant>
      <vt:variant>
        <vt:i4>5</vt:i4>
      </vt:variant>
      <vt:variant>
        <vt:lpwstr>mailto:stuart.fillman@bmrn.com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Mudge</dc:creator>
  <cp:keywords/>
  <dc:description/>
  <cp:lastModifiedBy>Maynard Gold</cp:lastModifiedBy>
  <cp:revision>5</cp:revision>
  <cp:lastPrinted>1899-12-31T16:00:00Z</cp:lastPrinted>
  <dcterms:created xsi:type="dcterms:W3CDTF">2024-01-03T05:25:00Z</dcterms:created>
  <dcterms:modified xsi:type="dcterms:W3CDTF">2024-01-10T04:35:00Z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D23-4150398</vt:lpwstr>
  </property>
  <property fmtid="{D5CDD505-2E9C-101B-9397-08002B2CF9AE}" pid="5" name="TrimRecordURI">
    <vt:lpwstr>247567084</vt:lpwstr>
  </property>
  <property fmtid="{D5CDD505-2E9C-101B-9397-08002B2CF9AE}" pid="6" name="HPPTrimContainerId">
    <vt:lpwstr>E23-362333</vt:lpwstr>
  </property>
  <property fmtid="{D5CDD505-2E9C-101B-9397-08002B2CF9AE}" pid="7" name="HPPArchived">
    <vt:lpwstr>Archived</vt:lpwstr>
  </property>
  <property fmtid="{D5CDD505-2E9C-101B-9397-08002B2CF9AE}" pid="8" name="HPPTrimLink">
    <vt:lpwstr>https://auc-common-prd-app-as-trim.azurewebsites.net/Api/DownloadTrimFile/HPP/D23-4150398</vt:lpwstr>
  </property>
</Properties>
</file>