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6B6C" w14:textId="38CC7182" w:rsidR="006478E7" w:rsidRDefault="006478E7" w:rsidP="0023599C">
      <w:pPr>
        <w:spacing w:before="120" w:after="120" w:line="312" w:lineRule="auto"/>
      </w:pPr>
    </w:p>
    <w:p w14:paraId="50B6D781" w14:textId="358E3ADD" w:rsidR="006478E7" w:rsidRPr="00490FBB" w:rsidRDefault="00BB0FFB" w:rsidP="00B32766">
      <w:pPr>
        <w:pStyle w:val="Heading10"/>
        <w:spacing w:before="2880"/>
        <w:jc w:val="center"/>
        <w:rPr>
          <w:sz w:val="48"/>
          <w:szCs w:val="48"/>
        </w:rPr>
      </w:pPr>
      <w:r>
        <w:rPr>
          <w:sz w:val="48"/>
          <w:szCs w:val="48"/>
        </w:rPr>
        <w:t xml:space="preserve">MSAC </w:t>
      </w:r>
      <w:r w:rsidR="006478E7" w:rsidRPr="00490FBB">
        <w:rPr>
          <w:sz w:val="48"/>
          <w:szCs w:val="48"/>
        </w:rPr>
        <w:t xml:space="preserve">Application </w:t>
      </w:r>
      <w:r w:rsidR="00175AE2">
        <w:rPr>
          <w:sz w:val="48"/>
          <w:szCs w:val="48"/>
        </w:rPr>
        <w:t>1766</w:t>
      </w:r>
    </w:p>
    <w:p w14:paraId="58FE323D" w14:textId="7E190B0C" w:rsidR="001A63CC" w:rsidRDefault="005C3F92" w:rsidP="0023599C">
      <w:pPr>
        <w:pStyle w:val="Heading10"/>
        <w:jc w:val="center"/>
        <w:rPr>
          <w:color w:val="548DD4"/>
          <w:sz w:val="48"/>
          <w:szCs w:val="48"/>
        </w:rPr>
      </w:pPr>
      <w:r w:rsidRPr="005C3F92">
        <w:rPr>
          <w:color w:val="548DD4"/>
          <w:sz w:val="48"/>
          <w:szCs w:val="48"/>
        </w:rPr>
        <w:t>Genetic testing to detect AKT</w:t>
      </w:r>
      <w:r w:rsidR="00B32766">
        <w:rPr>
          <w:color w:val="548DD4"/>
          <w:sz w:val="48"/>
          <w:szCs w:val="48"/>
        </w:rPr>
        <w:t xml:space="preserve"> </w:t>
      </w:r>
      <w:r w:rsidRPr="005C3F92">
        <w:rPr>
          <w:color w:val="548DD4"/>
          <w:sz w:val="48"/>
          <w:szCs w:val="48"/>
        </w:rPr>
        <w:t xml:space="preserve">pathway alterations in patients with hormone receptor-positive, HER2-negative advanced breast cancer, to determine eligibility for PBS subsidised </w:t>
      </w:r>
      <w:r w:rsidR="00E15036">
        <w:rPr>
          <w:color w:val="548DD4"/>
          <w:sz w:val="48"/>
          <w:szCs w:val="48"/>
        </w:rPr>
        <w:t>c</w:t>
      </w:r>
      <w:r w:rsidR="00E15036" w:rsidRPr="00E15036">
        <w:rPr>
          <w:color w:val="548DD4"/>
          <w:sz w:val="48"/>
          <w:szCs w:val="48"/>
        </w:rPr>
        <w:t>apivasertib</w:t>
      </w:r>
      <w:r w:rsidRPr="005C3F92">
        <w:rPr>
          <w:color w:val="548DD4"/>
          <w:sz w:val="48"/>
          <w:szCs w:val="48"/>
        </w:rPr>
        <w:t xml:space="preserve"> treatment</w:t>
      </w:r>
      <w:r w:rsidR="001A63CC">
        <w:rPr>
          <w:color w:val="548DD4"/>
          <w:sz w:val="48"/>
          <w:szCs w:val="48"/>
        </w:rPr>
        <w:t xml:space="preserve"> </w:t>
      </w:r>
    </w:p>
    <w:p w14:paraId="4DC264C7" w14:textId="77777777" w:rsidR="001A63CC" w:rsidRDefault="001A63CC" w:rsidP="0023599C">
      <w:pPr>
        <w:pStyle w:val="Heading10"/>
        <w:jc w:val="center"/>
        <w:rPr>
          <w:color w:val="548DD4"/>
          <w:sz w:val="48"/>
          <w:szCs w:val="48"/>
        </w:rPr>
      </w:pPr>
    </w:p>
    <w:p w14:paraId="11765312" w14:textId="3E3F3E30" w:rsidR="006478E7" w:rsidRPr="00353E51" w:rsidRDefault="001A63CC" w:rsidP="0023599C">
      <w:pPr>
        <w:pStyle w:val="Heading10"/>
        <w:jc w:val="center"/>
        <w:rPr>
          <w:color w:val="548DD4"/>
          <w:sz w:val="40"/>
          <w:szCs w:val="40"/>
        </w:rPr>
      </w:pPr>
      <w:r w:rsidRPr="00353E51">
        <w:rPr>
          <w:color w:val="548DD4"/>
          <w:sz w:val="40"/>
          <w:szCs w:val="40"/>
        </w:rPr>
        <w:t>Applicant: Astra</w:t>
      </w:r>
      <w:r w:rsidR="00B32766">
        <w:rPr>
          <w:color w:val="548DD4"/>
          <w:sz w:val="40"/>
          <w:szCs w:val="40"/>
        </w:rPr>
        <w:t>Z</w:t>
      </w:r>
      <w:r w:rsidRPr="00353E51">
        <w:rPr>
          <w:color w:val="548DD4"/>
          <w:sz w:val="40"/>
          <w:szCs w:val="40"/>
        </w:rPr>
        <w:t>eneca Pty Ltd</w:t>
      </w:r>
    </w:p>
    <w:p w14:paraId="23900CA0" w14:textId="393F1F88" w:rsidR="006478E7" w:rsidRPr="00490FBB" w:rsidRDefault="00484E60" w:rsidP="0023599C">
      <w:pPr>
        <w:pStyle w:val="Heading1"/>
      </w:pPr>
      <w:r w:rsidRPr="00484E60">
        <w:t>PICO Confirmation</w:t>
      </w:r>
      <w:r w:rsidR="006478E7" w:rsidRPr="00490FBB">
        <w:br w:type="page"/>
      </w:r>
    </w:p>
    <w:p w14:paraId="219312C8" w14:textId="77777777" w:rsidR="006478E7" w:rsidRPr="00D52956" w:rsidRDefault="006478E7" w:rsidP="0023599C">
      <w:pPr>
        <w:pStyle w:val="Heading2"/>
      </w:pPr>
      <w:r w:rsidRPr="00D52956">
        <w:lastRenderedPageBreak/>
        <w:t>Summary of PI</w:t>
      </w:r>
      <w:r w:rsidR="00235B21">
        <w:t xml:space="preserve">CO/PPICO criteria to define </w:t>
      </w:r>
      <w:r w:rsidRPr="00D52956">
        <w:t>question(s) to be addressed in an Assessment Report to the Medical Services Advisory Committee (MSAC)</w:t>
      </w:r>
    </w:p>
    <w:p w14:paraId="224459F3" w14:textId="1354BEA9" w:rsidR="00D52956" w:rsidRDefault="00D52956" w:rsidP="0023599C">
      <w:pPr>
        <w:pStyle w:val="Caption"/>
      </w:pPr>
      <w:bookmarkStart w:id="0" w:name="_Ref69732160"/>
      <w:bookmarkStart w:id="1" w:name="_Ref69732155"/>
      <w:r>
        <w:t>Table</w:t>
      </w:r>
      <w:r w:rsidR="00FD4C65">
        <w:t> </w:t>
      </w:r>
      <w:r w:rsidR="004D2501">
        <w:fldChar w:fldCharType="begin"/>
      </w:r>
      <w:r w:rsidR="004D2501">
        <w:instrText xml:space="preserve"> SEQ Table \* ARABIC </w:instrText>
      </w:r>
      <w:r w:rsidR="004D2501">
        <w:fldChar w:fldCharType="separate"/>
      </w:r>
      <w:r w:rsidR="00B561EB">
        <w:rPr>
          <w:noProof/>
        </w:rPr>
        <w:t>1</w:t>
      </w:r>
      <w:r w:rsidR="004D2501">
        <w:fldChar w:fldCharType="end"/>
      </w:r>
      <w:bookmarkEnd w:id="0"/>
      <w:r>
        <w:tab/>
        <w:t>PICO for</w:t>
      </w:r>
      <w:r w:rsidR="0027255E">
        <w:t xml:space="preserve"> </w:t>
      </w:r>
      <w:r w:rsidR="00C3290D">
        <w:t>g</w:t>
      </w:r>
      <w:r w:rsidR="00C3290D" w:rsidRPr="00C3290D">
        <w:t xml:space="preserve">enetic testing to detect </w:t>
      </w:r>
      <w:r w:rsidR="001713D9">
        <w:t>AKT pathway</w:t>
      </w:r>
      <w:r w:rsidR="00C3290D" w:rsidRPr="00C3290D">
        <w:t xml:space="preserve"> alterations in patients with </w:t>
      </w:r>
      <w:r w:rsidR="00C3290D">
        <w:t>HR+/</w:t>
      </w:r>
      <w:r w:rsidR="00C3290D" w:rsidRPr="00C3290D">
        <w:t>HER2</w:t>
      </w:r>
      <w:r w:rsidR="005A7E87">
        <w:t>-</w:t>
      </w:r>
      <w:r w:rsidR="00C3290D" w:rsidRPr="00C3290D">
        <w:t xml:space="preserve"> advanced breast cancer</w:t>
      </w:r>
      <w:bookmarkEnd w:id="1"/>
      <w:r w:rsidR="009C7D39">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691"/>
        <w:gridCol w:w="7875"/>
      </w:tblGrid>
      <w:tr w:rsidR="006478E7" w:rsidRPr="00490FBB" w14:paraId="2A509B30" w14:textId="77777777" w:rsidTr="00FC33B1">
        <w:trPr>
          <w:trHeight w:val="372"/>
          <w:tblHeader/>
        </w:trPr>
        <w:tc>
          <w:tcPr>
            <w:tcW w:w="884" w:type="pc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333B8A35" w14:textId="77777777" w:rsidR="006478E7" w:rsidRPr="00490FBB" w:rsidRDefault="006478E7" w:rsidP="0023599C">
            <w:pPr>
              <w:spacing w:before="120" w:after="120" w:line="240" w:lineRule="auto"/>
              <w:rPr>
                <w:b/>
              </w:rPr>
            </w:pPr>
            <w:bookmarkStart w:id="2" w:name="Title_Table1" w:colFirst="0" w:colLast="0"/>
            <w:r w:rsidRPr="00490FBB">
              <w:rPr>
                <w:b/>
              </w:rPr>
              <w:t>Component</w:t>
            </w:r>
          </w:p>
        </w:tc>
        <w:tc>
          <w:tcPr>
            <w:tcW w:w="41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1DF4F" w14:textId="77777777" w:rsidR="006478E7" w:rsidRPr="00490FBB" w:rsidRDefault="006478E7" w:rsidP="0023599C">
            <w:pPr>
              <w:spacing w:before="120" w:after="120" w:line="240" w:lineRule="auto"/>
              <w:rPr>
                <w:b/>
              </w:rPr>
            </w:pPr>
            <w:r w:rsidRPr="00490FBB">
              <w:rPr>
                <w:b/>
              </w:rPr>
              <w:t>Description</w:t>
            </w:r>
          </w:p>
        </w:tc>
      </w:tr>
      <w:bookmarkEnd w:id="2"/>
      <w:tr w:rsidR="006478E7" w:rsidRPr="00490FBB" w14:paraId="78E0BB65" w14:textId="77777777" w:rsidTr="00FC33B1">
        <w:trPr>
          <w:trHeight w:val="2385"/>
        </w:trPr>
        <w:tc>
          <w:tcPr>
            <w:tcW w:w="884" w:type="pct"/>
            <w:tcBorders>
              <w:top w:val="single" w:sz="8" w:space="0" w:color="auto"/>
              <w:left w:val="single" w:sz="8" w:space="0" w:color="auto"/>
              <w:bottom w:val="single" w:sz="4" w:space="0" w:color="auto"/>
              <w:right w:val="single" w:sz="4" w:space="0" w:color="auto"/>
            </w:tcBorders>
            <w:hideMark/>
          </w:tcPr>
          <w:p w14:paraId="715E50D5" w14:textId="74EB4863" w:rsidR="006478E7" w:rsidRPr="00490FBB" w:rsidRDefault="00F660E8" w:rsidP="0023599C">
            <w:pPr>
              <w:spacing w:before="120" w:after="120" w:line="240" w:lineRule="auto"/>
              <w:rPr>
                <w:rFonts w:cs="Arial"/>
              </w:rPr>
            </w:pPr>
            <w:r>
              <w:rPr>
                <w:rFonts w:cs="Arial"/>
              </w:rPr>
              <w:t>Population</w:t>
            </w:r>
          </w:p>
        </w:tc>
        <w:tc>
          <w:tcPr>
            <w:tcW w:w="4116" w:type="pct"/>
            <w:tcBorders>
              <w:top w:val="single" w:sz="4" w:space="0" w:color="auto"/>
              <w:left w:val="single" w:sz="4" w:space="0" w:color="auto"/>
              <w:bottom w:val="single" w:sz="4" w:space="0" w:color="auto"/>
              <w:right w:val="single" w:sz="4" w:space="0" w:color="auto"/>
            </w:tcBorders>
            <w:hideMark/>
          </w:tcPr>
          <w:p w14:paraId="641FDE33" w14:textId="7FC5C27C" w:rsidR="00551672" w:rsidRPr="00A13CA2" w:rsidRDefault="00551672" w:rsidP="0023599C">
            <w:pPr>
              <w:spacing w:before="120" w:after="120" w:line="240" w:lineRule="auto"/>
              <w:rPr>
                <w:rStyle w:val="SubtleEmphasis"/>
                <w:b/>
                <w:bCs/>
                <w:i w:val="0"/>
                <w:iCs w:val="0"/>
              </w:rPr>
            </w:pPr>
            <w:r w:rsidRPr="00A13CA2">
              <w:rPr>
                <w:rStyle w:val="SubtleEmphasis"/>
                <w:b/>
                <w:bCs/>
                <w:i w:val="0"/>
                <w:iCs w:val="0"/>
              </w:rPr>
              <w:t>Test population</w:t>
            </w:r>
          </w:p>
          <w:p w14:paraId="6046A490" w14:textId="33727342" w:rsidR="005D2C55" w:rsidRPr="00042FF5" w:rsidRDefault="00551672" w:rsidP="0023599C">
            <w:pPr>
              <w:spacing w:before="120" w:after="120" w:line="240" w:lineRule="auto"/>
            </w:pPr>
            <w:r w:rsidRPr="00042FF5">
              <w:t xml:space="preserve">Patients with locally advanced (inoperable) or metastatic </w:t>
            </w:r>
            <w:r w:rsidR="00746895" w:rsidRPr="00746895">
              <w:t>hormone receptor–positive</w:t>
            </w:r>
            <w:r w:rsidR="00B73A75">
              <w:t>/</w:t>
            </w:r>
            <w:r w:rsidR="00746895" w:rsidRPr="00746895">
              <w:t>human epidermal growth factor receptor 2–negative</w:t>
            </w:r>
            <w:r w:rsidRPr="00042FF5">
              <w:t xml:space="preserve"> (HR+/HER2-) </w:t>
            </w:r>
            <w:r w:rsidR="00073BBB">
              <w:t xml:space="preserve">or HER2-low </w:t>
            </w:r>
            <w:r w:rsidRPr="00042FF5">
              <w:t>breast cancer following recurrence or progression on or after aromatase inhibitor</w:t>
            </w:r>
            <w:r w:rsidR="00BB016D">
              <w:t xml:space="preserve"> </w:t>
            </w:r>
            <w:r w:rsidR="00CD151B">
              <w:t xml:space="preserve">(AI) </w:t>
            </w:r>
            <w:r w:rsidRPr="00042FF5">
              <w:t>therapy, with or without a</w:t>
            </w:r>
            <w:r w:rsidR="00CD151B">
              <w:t xml:space="preserve"> c</w:t>
            </w:r>
            <w:r w:rsidR="00CD151B" w:rsidRPr="00CD151B">
              <w:t>yclin-dependent kinase</w:t>
            </w:r>
            <w:r w:rsidR="00B73A75">
              <w:t xml:space="preserve"> 4 and 6</w:t>
            </w:r>
            <w:r w:rsidRPr="00042FF5">
              <w:t xml:space="preserve"> </w:t>
            </w:r>
            <w:r w:rsidR="00CD151B">
              <w:t>(</w:t>
            </w:r>
            <w:r w:rsidRPr="00042FF5">
              <w:t>CDK4/6</w:t>
            </w:r>
            <w:r w:rsidR="00CD151B">
              <w:t>)</w:t>
            </w:r>
            <w:r w:rsidRPr="00042FF5">
              <w:t xml:space="preserve"> inhibitor.</w:t>
            </w:r>
          </w:p>
          <w:p w14:paraId="2615D498" w14:textId="6E26ACAA" w:rsidR="00551672" w:rsidRPr="00A13CA2" w:rsidRDefault="00551672" w:rsidP="0023599C">
            <w:pPr>
              <w:spacing w:before="120" w:after="120" w:line="240" w:lineRule="auto"/>
              <w:rPr>
                <w:rStyle w:val="SubtleEmphasis"/>
                <w:b/>
                <w:bCs/>
                <w:i w:val="0"/>
                <w:iCs w:val="0"/>
              </w:rPr>
            </w:pPr>
            <w:r w:rsidRPr="00A13CA2">
              <w:rPr>
                <w:rStyle w:val="SubtleEmphasis"/>
                <w:b/>
                <w:bCs/>
                <w:i w:val="0"/>
                <w:iCs w:val="0"/>
              </w:rPr>
              <w:t>Treatment population</w:t>
            </w:r>
          </w:p>
          <w:p w14:paraId="4A4FF7C2" w14:textId="1D415238" w:rsidR="00CE15F0" w:rsidRPr="00D52956" w:rsidRDefault="00896BE7" w:rsidP="0023599C">
            <w:pPr>
              <w:spacing w:before="120" w:after="120" w:line="240" w:lineRule="auto"/>
            </w:pPr>
            <w:r>
              <w:t xml:space="preserve">Patients in the test population with a </w:t>
            </w:r>
            <w:r w:rsidR="00995F1F">
              <w:t xml:space="preserve">tier </w:t>
            </w:r>
            <w:r>
              <w:t xml:space="preserve">1 genetic variant in the </w:t>
            </w:r>
            <w:r w:rsidR="001713D9">
              <w:t>AKT pathway</w:t>
            </w:r>
            <w:r>
              <w:t xml:space="preserve">, </w:t>
            </w:r>
            <w:r w:rsidR="00496E7D">
              <w:t>for</w:t>
            </w:r>
            <w:r>
              <w:t xml:space="preserve"> second line treatment.</w:t>
            </w:r>
          </w:p>
        </w:tc>
      </w:tr>
      <w:tr w:rsidR="006478E7" w:rsidRPr="00490FBB" w14:paraId="2A9CC9A6" w14:textId="77777777" w:rsidTr="00FC33B1">
        <w:tc>
          <w:tcPr>
            <w:tcW w:w="884" w:type="pct"/>
            <w:tcBorders>
              <w:top w:val="single" w:sz="8" w:space="0" w:color="auto"/>
              <w:left w:val="single" w:sz="8" w:space="0" w:color="auto"/>
              <w:bottom w:val="single" w:sz="4" w:space="0" w:color="auto"/>
              <w:right w:val="single" w:sz="4" w:space="0" w:color="auto"/>
            </w:tcBorders>
            <w:hideMark/>
          </w:tcPr>
          <w:p w14:paraId="75E49351" w14:textId="024083FC" w:rsidR="006478E7" w:rsidRPr="00490FBB" w:rsidRDefault="006478E7" w:rsidP="0023599C">
            <w:pPr>
              <w:spacing w:before="120" w:after="120" w:line="240" w:lineRule="auto"/>
              <w:rPr>
                <w:rFonts w:cs="Arial"/>
              </w:rPr>
            </w:pPr>
            <w:r w:rsidRPr="00490FBB">
              <w:rPr>
                <w:rFonts w:cs="Arial"/>
              </w:rPr>
              <w:t>Prior tests</w:t>
            </w:r>
            <w:r w:rsidR="00C54349">
              <w:rPr>
                <w:rFonts w:cs="Arial"/>
              </w:rPr>
              <w:t xml:space="preserve"> </w:t>
            </w:r>
            <w:r w:rsidR="00C54349">
              <w:rPr>
                <w:rFonts w:cs="Arial"/>
              </w:rPr>
              <w:br/>
            </w:r>
          </w:p>
        </w:tc>
        <w:tc>
          <w:tcPr>
            <w:tcW w:w="4116" w:type="pct"/>
            <w:tcBorders>
              <w:top w:val="single" w:sz="4" w:space="0" w:color="auto"/>
              <w:left w:val="single" w:sz="4" w:space="0" w:color="auto"/>
              <w:bottom w:val="single" w:sz="4" w:space="0" w:color="auto"/>
              <w:right w:val="single" w:sz="4" w:space="0" w:color="auto"/>
            </w:tcBorders>
            <w:hideMark/>
          </w:tcPr>
          <w:p w14:paraId="45A1EF44" w14:textId="77777777" w:rsidR="007E228A" w:rsidRPr="007E228A" w:rsidRDefault="007E228A" w:rsidP="003A16EB">
            <w:pPr>
              <w:pStyle w:val="ListParagraph"/>
              <w:numPr>
                <w:ilvl w:val="0"/>
                <w:numId w:val="5"/>
              </w:numPr>
              <w:spacing w:before="120" w:after="120" w:line="240" w:lineRule="auto"/>
            </w:pPr>
            <w:r w:rsidRPr="007E228A">
              <w:t xml:space="preserve">Tests required to confirm diagnosis of breast cancer (i.e. biopsy) </w:t>
            </w:r>
          </w:p>
          <w:p w14:paraId="534A9288" w14:textId="617E176B" w:rsidR="007E228A" w:rsidRPr="007E228A" w:rsidRDefault="007E228A" w:rsidP="003A16EB">
            <w:pPr>
              <w:pStyle w:val="ListParagraph"/>
              <w:numPr>
                <w:ilvl w:val="0"/>
                <w:numId w:val="5"/>
              </w:numPr>
              <w:spacing w:before="120" w:after="120" w:line="240" w:lineRule="auto"/>
            </w:pPr>
            <w:r w:rsidRPr="007E228A">
              <w:t>Tests required to confirm stage of cancer (i.e. mammogram or ultrasound,</w:t>
            </w:r>
            <w:r>
              <w:t xml:space="preserve"> </w:t>
            </w:r>
            <w:r w:rsidRPr="007E228A">
              <w:t>lymph node assessment, computed tomography, magnetic resonance</w:t>
            </w:r>
            <w:r>
              <w:t xml:space="preserve"> </w:t>
            </w:r>
            <w:r w:rsidRPr="007E228A">
              <w:t xml:space="preserve">imaging) </w:t>
            </w:r>
          </w:p>
          <w:p w14:paraId="5CF47E43" w14:textId="2D203A15" w:rsidR="00E47081" w:rsidRPr="00D52956" w:rsidRDefault="007E228A" w:rsidP="003A16EB">
            <w:pPr>
              <w:pStyle w:val="ListParagraph"/>
              <w:numPr>
                <w:ilvl w:val="0"/>
                <w:numId w:val="5"/>
              </w:numPr>
              <w:spacing w:before="120" w:after="120" w:line="240" w:lineRule="auto"/>
            </w:pPr>
            <w:r w:rsidRPr="007E228A">
              <w:t>Tests required to confirm biomarker status: oestrogen receptor (ER) and progesterone receptor status (PR) to define HR status, and HER2 status</w:t>
            </w:r>
          </w:p>
        </w:tc>
      </w:tr>
      <w:tr w:rsidR="006478E7" w:rsidRPr="00490FBB" w14:paraId="654E13A9" w14:textId="77777777" w:rsidTr="00FC33B1">
        <w:tc>
          <w:tcPr>
            <w:tcW w:w="884" w:type="pct"/>
            <w:tcBorders>
              <w:top w:val="single" w:sz="4" w:space="0" w:color="auto"/>
              <w:left w:val="single" w:sz="8" w:space="0" w:color="auto"/>
              <w:bottom w:val="single" w:sz="4" w:space="0" w:color="auto"/>
              <w:right w:val="single" w:sz="4" w:space="0" w:color="auto"/>
            </w:tcBorders>
            <w:hideMark/>
          </w:tcPr>
          <w:p w14:paraId="5BF0C211" w14:textId="77777777" w:rsidR="006478E7" w:rsidRPr="00490FBB" w:rsidRDefault="006478E7" w:rsidP="0023599C">
            <w:pPr>
              <w:spacing w:before="120" w:after="120" w:line="240" w:lineRule="auto"/>
              <w:rPr>
                <w:rFonts w:cs="Arial"/>
              </w:rPr>
            </w:pPr>
            <w:r w:rsidRPr="00490FBB">
              <w:rPr>
                <w:rFonts w:cs="Arial"/>
              </w:rPr>
              <w:t>Intervention</w:t>
            </w:r>
          </w:p>
        </w:tc>
        <w:tc>
          <w:tcPr>
            <w:tcW w:w="4116" w:type="pct"/>
            <w:tcBorders>
              <w:top w:val="single" w:sz="4" w:space="0" w:color="auto"/>
              <w:left w:val="single" w:sz="4" w:space="0" w:color="auto"/>
              <w:bottom w:val="single" w:sz="4" w:space="0" w:color="auto"/>
              <w:right w:val="single" w:sz="4" w:space="0" w:color="auto"/>
            </w:tcBorders>
            <w:hideMark/>
          </w:tcPr>
          <w:p w14:paraId="30FCDB1A" w14:textId="769F5E17" w:rsidR="005D2C55" w:rsidRDefault="00940E77" w:rsidP="0023599C">
            <w:pPr>
              <w:spacing w:before="120" w:after="120" w:line="240" w:lineRule="auto"/>
            </w:pPr>
            <w:r w:rsidRPr="00A13CA2">
              <w:rPr>
                <w:rStyle w:val="SubtleEmphasis"/>
                <w:b/>
                <w:bCs/>
                <w:i w:val="0"/>
                <w:iCs w:val="0"/>
              </w:rPr>
              <w:t>Test:</w:t>
            </w:r>
            <w:r>
              <w:t xml:space="preserve"> </w:t>
            </w:r>
            <w:r w:rsidR="00094132">
              <w:t>T</w:t>
            </w:r>
            <w:r w:rsidR="00094132" w:rsidRPr="00094132">
              <w:t xml:space="preserve">umour tissue testing using </w:t>
            </w:r>
            <w:r w:rsidR="009C66D4">
              <w:t>Next Generation Sequencing (</w:t>
            </w:r>
            <w:r w:rsidR="00094132" w:rsidRPr="00094132">
              <w:t>NGS</w:t>
            </w:r>
            <w:r w:rsidR="009C66D4">
              <w:t>)</w:t>
            </w:r>
            <w:r w:rsidR="00094132" w:rsidRPr="00094132">
              <w:t xml:space="preserve"> to characterise </w:t>
            </w:r>
            <w:r w:rsidR="00995F1F">
              <w:t>t</w:t>
            </w:r>
            <w:r w:rsidR="00094132" w:rsidRPr="00094132">
              <w:t>ier 1 genetic variants in all three genes (</w:t>
            </w:r>
            <w:r w:rsidR="00094132" w:rsidRPr="00BD33CC">
              <w:rPr>
                <w:i/>
                <w:iCs/>
              </w:rPr>
              <w:t>PIK3CA, AKT1</w:t>
            </w:r>
            <w:r w:rsidR="00094132" w:rsidRPr="00094132">
              <w:t xml:space="preserve"> and </w:t>
            </w:r>
            <w:r w:rsidR="00094132" w:rsidRPr="00BD33CC">
              <w:rPr>
                <w:i/>
                <w:iCs/>
              </w:rPr>
              <w:t>PTEN</w:t>
            </w:r>
            <w:r w:rsidR="00094132" w:rsidRPr="00094132">
              <w:t xml:space="preserve"> genes) associated with abrogation of the </w:t>
            </w:r>
            <w:r w:rsidR="001713D9">
              <w:t>AKT pathway</w:t>
            </w:r>
            <w:r w:rsidR="00094132" w:rsidRPr="00094132">
              <w:t>.</w:t>
            </w:r>
          </w:p>
          <w:p w14:paraId="3E51DB12" w14:textId="4ED37497" w:rsidR="00940E77" w:rsidRPr="00D52956" w:rsidRDefault="00940E77" w:rsidP="0023599C">
            <w:pPr>
              <w:spacing w:before="120" w:after="120" w:line="240" w:lineRule="auto"/>
            </w:pPr>
            <w:r w:rsidRPr="00A13CA2">
              <w:rPr>
                <w:rStyle w:val="SubtleEmphasis"/>
                <w:b/>
                <w:bCs/>
                <w:i w:val="0"/>
                <w:iCs w:val="0"/>
              </w:rPr>
              <w:t>Treatment:</w:t>
            </w:r>
            <w:r>
              <w:t xml:space="preserve"> Capivasertib</w:t>
            </w:r>
            <w:r w:rsidR="00D75E28">
              <w:t xml:space="preserve"> </w:t>
            </w:r>
            <w:r>
              <w:t>+</w:t>
            </w:r>
            <w:r w:rsidR="00D75E28">
              <w:t xml:space="preserve"> </w:t>
            </w:r>
            <w:r>
              <w:t xml:space="preserve">fulvestrant for patients </w:t>
            </w:r>
            <w:r w:rsidR="00B6323C">
              <w:t xml:space="preserve">found to have </w:t>
            </w:r>
            <w:r w:rsidR="001713D9">
              <w:t>AKT pathway</w:t>
            </w:r>
            <w:r>
              <w:t xml:space="preserve"> </w:t>
            </w:r>
            <w:r w:rsidR="003C45EB">
              <w:t xml:space="preserve">tier 1 </w:t>
            </w:r>
            <w:r>
              <w:t>al</w:t>
            </w:r>
            <w:r w:rsidR="00A7386C">
              <w:t>terations</w:t>
            </w:r>
          </w:p>
        </w:tc>
      </w:tr>
      <w:tr w:rsidR="006478E7" w:rsidRPr="00490FBB" w14:paraId="1F5647C3" w14:textId="77777777" w:rsidTr="00FC33B1">
        <w:tc>
          <w:tcPr>
            <w:tcW w:w="884" w:type="pct"/>
            <w:tcBorders>
              <w:top w:val="single" w:sz="4" w:space="0" w:color="auto"/>
              <w:left w:val="single" w:sz="8" w:space="0" w:color="auto"/>
              <w:bottom w:val="single" w:sz="4" w:space="0" w:color="auto"/>
              <w:right w:val="single" w:sz="4" w:space="0" w:color="auto"/>
            </w:tcBorders>
            <w:hideMark/>
          </w:tcPr>
          <w:p w14:paraId="7F55173A" w14:textId="77777777" w:rsidR="006478E7" w:rsidRPr="00490FBB" w:rsidRDefault="006478E7" w:rsidP="0023599C">
            <w:pPr>
              <w:spacing w:before="120" w:after="120" w:line="240" w:lineRule="auto"/>
              <w:rPr>
                <w:rFonts w:cs="Arial"/>
              </w:rPr>
            </w:pPr>
            <w:r w:rsidRPr="00490FBB">
              <w:rPr>
                <w:rFonts w:cs="Arial"/>
              </w:rPr>
              <w:t>Comparator</w:t>
            </w:r>
            <w:r w:rsidR="00D83062">
              <w:rPr>
                <w:rFonts w:cs="Arial"/>
              </w:rPr>
              <w:t>/s</w:t>
            </w:r>
          </w:p>
        </w:tc>
        <w:tc>
          <w:tcPr>
            <w:tcW w:w="4116" w:type="pct"/>
            <w:tcBorders>
              <w:top w:val="single" w:sz="4" w:space="0" w:color="auto"/>
              <w:left w:val="single" w:sz="4" w:space="0" w:color="auto"/>
              <w:bottom w:val="single" w:sz="4" w:space="0" w:color="auto"/>
              <w:right w:val="single" w:sz="4" w:space="0" w:color="auto"/>
            </w:tcBorders>
            <w:hideMark/>
          </w:tcPr>
          <w:p w14:paraId="769B6E3B" w14:textId="4B37DD26" w:rsidR="005D2C55" w:rsidRDefault="00940E77" w:rsidP="0023599C">
            <w:pPr>
              <w:spacing w:before="120" w:after="120" w:line="240" w:lineRule="auto"/>
            </w:pPr>
            <w:r w:rsidRPr="00A13CA2">
              <w:rPr>
                <w:rStyle w:val="SubtleEmphasis"/>
                <w:b/>
                <w:bCs/>
                <w:i w:val="0"/>
                <w:iCs w:val="0"/>
              </w:rPr>
              <w:t>Test comparator:</w:t>
            </w:r>
            <w:r>
              <w:t xml:space="preserve"> </w:t>
            </w:r>
            <w:r w:rsidR="00021B75">
              <w:t xml:space="preserve">No </w:t>
            </w:r>
            <w:r w:rsidR="00E73535">
              <w:t xml:space="preserve">tumour </w:t>
            </w:r>
            <w:r w:rsidR="00021B75">
              <w:t>test</w:t>
            </w:r>
            <w:r>
              <w:t>ing</w:t>
            </w:r>
            <w:r w:rsidR="00E73535">
              <w:t xml:space="preserve"> </w:t>
            </w:r>
            <w:r>
              <w:t xml:space="preserve">for </w:t>
            </w:r>
            <w:r w:rsidR="001713D9">
              <w:t>AKT pathway</w:t>
            </w:r>
            <w:r>
              <w:t xml:space="preserve"> </w:t>
            </w:r>
            <w:r w:rsidR="00B56F14">
              <w:t>alterations.</w:t>
            </w:r>
            <w:r w:rsidR="00B6323C">
              <w:t xml:space="preserve"> </w:t>
            </w:r>
          </w:p>
          <w:p w14:paraId="450541C6" w14:textId="54CF00DC" w:rsidR="00E53E7C" w:rsidRPr="00A13CA2" w:rsidRDefault="00940E77" w:rsidP="0023599C">
            <w:pPr>
              <w:spacing w:before="120" w:after="120" w:line="240" w:lineRule="auto"/>
              <w:rPr>
                <w:rStyle w:val="SubtleEmphasis"/>
                <w:b/>
                <w:bCs/>
                <w:i w:val="0"/>
                <w:iCs w:val="0"/>
              </w:rPr>
            </w:pPr>
            <w:r w:rsidRPr="00A13CA2">
              <w:rPr>
                <w:rStyle w:val="SubtleEmphasis"/>
                <w:b/>
                <w:bCs/>
                <w:i w:val="0"/>
                <w:iCs w:val="0"/>
              </w:rPr>
              <w:t>Treatment comparator</w:t>
            </w:r>
            <w:r w:rsidR="00A7386C" w:rsidRPr="00A13CA2">
              <w:rPr>
                <w:rStyle w:val="SubtleEmphasis"/>
                <w:b/>
                <w:bCs/>
                <w:i w:val="0"/>
                <w:iCs w:val="0"/>
              </w:rPr>
              <w:t xml:space="preserve"> (following treatment failure with </w:t>
            </w:r>
            <w:r w:rsidR="00001DB1">
              <w:rPr>
                <w:rStyle w:val="SubtleEmphasis"/>
                <w:b/>
                <w:bCs/>
                <w:i w:val="0"/>
                <w:iCs w:val="0"/>
              </w:rPr>
              <w:t xml:space="preserve">an </w:t>
            </w:r>
            <w:r w:rsidR="00F3771A">
              <w:rPr>
                <w:rStyle w:val="SubtleEmphasis"/>
                <w:b/>
                <w:bCs/>
                <w:i w:val="0"/>
                <w:iCs w:val="0"/>
              </w:rPr>
              <w:t>A</w:t>
            </w:r>
            <w:r w:rsidR="00F3771A" w:rsidRPr="00E84BA8">
              <w:rPr>
                <w:rStyle w:val="SubtleEmphasis"/>
                <w:b/>
                <w:bCs/>
                <w:i w:val="0"/>
                <w:iCs w:val="0"/>
              </w:rPr>
              <w:t>I</w:t>
            </w:r>
            <w:r w:rsidR="00A7386C" w:rsidRPr="00A13CA2">
              <w:rPr>
                <w:rStyle w:val="SubtleEmphasis"/>
                <w:b/>
                <w:bCs/>
                <w:i w:val="0"/>
                <w:iCs w:val="0"/>
              </w:rPr>
              <w:t>)</w:t>
            </w:r>
            <w:r w:rsidRPr="00A13CA2">
              <w:rPr>
                <w:rStyle w:val="SubtleEmphasis"/>
                <w:b/>
                <w:bCs/>
                <w:i w:val="0"/>
                <w:iCs w:val="0"/>
              </w:rPr>
              <w:t>:</w:t>
            </w:r>
            <w:r w:rsidR="00F44BEC" w:rsidRPr="00BD33CC">
              <w:rPr>
                <w:rStyle w:val="SubtleEmphasis"/>
                <w:b/>
                <w:bCs/>
                <w:i w:val="0"/>
                <w:iCs w:val="0"/>
                <w:color w:val="auto"/>
              </w:rPr>
              <w:t xml:space="preserve"> </w:t>
            </w:r>
            <w:r w:rsidR="0043016D" w:rsidRPr="00BD33CC">
              <w:rPr>
                <w:rStyle w:val="SubtleEmphasis"/>
                <w:i w:val="0"/>
                <w:iCs w:val="0"/>
                <w:color w:val="auto"/>
              </w:rPr>
              <w:t>a range of different treatment options</w:t>
            </w:r>
            <w:r w:rsidR="00181B77">
              <w:t xml:space="preserve"> and </w:t>
            </w:r>
            <w:r w:rsidR="00181B77" w:rsidRPr="00181B77">
              <w:rPr>
                <w:rStyle w:val="SubtleEmphasis"/>
                <w:i w:val="0"/>
                <w:iCs w:val="0"/>
                <w:color w:val="auto"/>
              </w:rPr>
              <w:t>no clear standard of care for second line treatment</w:t>
            </w:r>
          </w:p>
          <w:p w14:paraId="3FB64ECE" w14:textId="46253253" w:rsidR="00E53E7C" w:rsidRDefault="00E53E7C" w:rsidP="003A16EB">
            <w:pPr>
              <w:pStyle w:val="ListParagraph"/>
              <w:numPr>
                <w:ilvl w:val="0"/>
                <w:numId w:val="7"/>
              </w:numPr>
              <w:spacing w:before="120" w:after="120" w:line="240" w:lineRule="auto"/>
            </w:pPr>
            <w:r>
              <w:t>Alternate endocrine therapy + CDK4/6 inhibitor</w:t>
            </w:r>
          </w:p>
          <w:p w14:paraId="04DCAF12" w14:textId="3499DF60" w:rsidR="00E53E7C" w:rsidRDefault="00E53E7C" w:rsidP="003A16EB">
            <w:pPr>
              <w:pStyle w:val="ListParagraph"/>
              <w:numPr>
                <w:ilvl w:val="0"/>
                <w:numId w:val="7"/>
              </w:numPr>
              <w:spacing w:before="120" w:after="120" w:line="240" w:lineRule="auto"/>
            </w:pPr>
            <w:r>
              <w:t>Everolimus + fulvestrant/exemestane/tamoxifen</w:t>
            </w:r>
          </w:p>
          <w:p w14:paraId="7E690E4B" w14:textId="339C0F8C" w:rsidR="00C5696A" w:rsidRPr="00D52956" w:rsidRDefault="00E53E7C" w:rsidP="003A16EB">
            <w:pPr>
              <w:pStyle w:val="ListParagraph"/>
              <w:numPr>
                <w:ilvl w:val="0"/>
                <w:numId w:val="7"/>
              </w:numPr>
              <w:spacing w:before="120" w:after="120" w:line="240" w:lineRule="auto"/>
            </w:pPr>
            <w:r>
              <w:t>Chemotherapy</w:t>
            </w:r>
          </w:p>
        </w:tc>
      </w:tr>
      <w:tr w:rsidR="00C64764" w:rsidRPr="00490FBB" w14:paraId="13D8130D" w14:textId="77777777" w:rsidTr="00FC33B1">
        <w:tc>
          <w:tcPr>
            <w:tcW w:w="884" w:type="pct"/>
            <w:tcBorders>
              <w:top w:val="single" w:sz="4" w:space="0" w:color="auto"/>
              <w:left w:val="single" w:sz="8" w:space="0" w:color="auto"/>
              <w:bottom w:val="single" w:sz="4" w:space="0" w:color="auto"/>
              <w:right w:val="single" w:sz="4" w:space="0" w:color="auto"/>
            </w:tcBorders>
          </w:tcPr>
          <w:p w14:paraId="5A8AC74C" w14:textId="2C62CBD1" w:rsidR="00C64764" w:rsidRPr="00490FBB" w:rsidRDefault="00C64764" w:rsidP="0023599C">
            <w:pPr>
              <w:spacing w:before="120" w:after="120" w:line="240" w:lineRule="auto"/>
              <w:rPr>
                <w:rFonts w:cs="Arial"/>
              </w:rPr>
            </w:pPr>
            <w:r w:rsidRPr="00490FBB">
              <w:rPr>
                <w:rFonts w:cs="Arial"/>
              </w:rPr>
              <w:t xml:space="preserve">Clinical utility standard </w:t>
            </w:r>
            <w:r w:rsidR="0065205D">
              <w:rPr>
                <w:rFonts w:cs="Arial"/>
              </w:rPr>
              <w:br/>
            </w:r>
          </w:p>
        </w:tc>
        <w:tc>
          <w:tcPr>
            <w:tcW w:w="4116" w:type="pct"/>
            <w:tcBorders>
              <w:top w:val="single" w:sz="4" w:space="0" w:color="auto"/>
              <w:left w:val="single" w:sz="4" w:space="0" w:color="auto"/>
              <w:bottom w:val="single" w:sz="4" w:space="0" w:color="auto"/>
              <w:right w:val="single" w:sz="4" w:space="0" w:color="auto"/>
            </w:tcBorders>
          </w:tcPr>
          <w:p w14:paraId="190C9C62" w14:textId="6AB36326" w:rsidR="0032102E" w:rsidRPr="00EA451D" w:rsidRDefault="00520394" w:rsidP="0023599C">
            <w:pPr>
              <w:pStyle w:val="Instructionaltext"/>
              <w:spacing w:after="120" w:line="240" w:lineRule="auto"/>
              <w:rPr>
                <w:color w:val="auto"/>
              </w:rPr>
            </w:pPr>
            <w:bookmarkStart w:id="3" w:name="_Hlk160266851"/>
            <w:r w:rsidRPr="00520394">
              <w:rPr>
                <w:color w:val="auto"/>
              </w:rPr>
              <w:t>The CAPItello</w:t>
            </w:r>
            <w:r>
              <w:rPr>
                <w:color w:val="auto"/>
              </w:rPr>
              <w:t>-291</w:t>
            </w:r>
            <w:r w:rsidRPr="00520394">
              <w:rPr>
                <w:color w:val="auto"/>
              </w:rPr>
              <w:t xml:space="preserve"> trial</w:t>
            </w:r>
            <w:r>
              <w:rPr>
                <w:color w:val="auto"/>
              </w:rPr>
              <w:t xml:space="preserve"> </w:t>
            </w:r>
            <w:r w:rsidR="003D28B4">
              <w:rPr>
                <w:color w:val="auto"/>
              </w:rPr>
              <w:t xml:space="preserve">utilised </w:t>
            </w:r>
            <w:r w:rsidR="006F6612">
              <w:rPr>
                <w:color w:val="auto"/>
              </w:rPr>
              <w:t xml:space="preserve">NGS with FoundationOneCDx assay to detect </w:t>
            </w:r>
            <w:r w:rsidR="006F6612" w:rsidRPr="00302B40">
              <w:rPr>
                <w:i/>
                <w:iCs/>
                <w:color w:val="auto"/>
              </w:rPr>
              <w:t>PIK3CA/AKT1/PTEN</w:t>
            </w:r>
            <w:r w:rsidR="006F6612">
              <w:rPr>
                <w:color w:val="auto"/>
              </w:rPr>
              <w:t xml:space="preserve"> </w:t>
            </w:r>
            <w:r w:rsidR="00413D10">
              <w:rPr>
                <w:color w:val="auto"/>
              </w:rPr>
              <w:t>tier I</w:t>
            </w:r>
            <w:r w:rsidR="005A2F5A">
              <w:rPr>
                <w:color w:val="auto"/>
              </w:rPr>
              <w:t xml:space="preserve"> variant</w:t>
            </w:r>
            <w:r w:rsidR="006F6612">
              <w:rPr>
                <w:color w:val="auto"/>
              </w:rPr>
              <w:t xml:space="preserve">s in tumour tissue. </w:t>
            </w:r>
            <w:r w:rsidR="00EA451D">
              <w:rPr>
                <w:color w:val="auto"/>
              </w:rPr>
              <w:t xml:space="preserve">Results showed </w:t>
            </w:r>
            <w:r w:rsidR="00EA451D" w:rsidRPr="00EA451D">
              <w:rPr>
                <w:color w:val="auto"/>
              </w:rPr>
              <w:t>significant</w:t>
            </w:r>
            <w:r w:rsidR="00EA451D">
              <w:rPr>
                <w:color w:val="auto"/>
              </w:rPr>
              <w:t xml:space="preserve"> </w:t>
            </w:r>
            <w:r w:rsidR="00EA451D" w:rsidRPr="00EA451D">
              <w:rPr>
                <w:color w:val="auto"/>
              </w:rPr>
              <w:t>improve</w:t>
            </w:r>
            <w:r w:rsidR="00EA451D">
              <w:rPr>
                <w:color w:val="auto"/>
              </w:rPr>
              <w:t>ment in</w:t>
            </w:r>
            <w:r w:rsidR="00A218E9">
              <w:rPr>
                <w:color w:val="auto"/>
              </w:rPr>
              <w:t xml:space="preserve"> progression free survival (</w:t>
            </w:r>
            <w:r w:rsidR="00EA451D" w:rsidRPr="00EA451D">
              <w:rPr>
                <w:color w:val="auto"/>
              </w:rPr>
              <w:t>PFS</w:t>
            </w:r>
            <w:r w:rsidR="00A218E9">
              <w:rPr>
                <w:color w:val="auto"/>
              </w:rPr>
              <w:t>)</w:t>
            </w:r>
            <w:r w:rsidR="00EA451D" w:rsidRPr="00EA451D">
              <w:rPr>
                <w:color w:val="auto"/>
              </w:rPr>
              <w:t xml:space="preserve"> </w:t>
            </w:r>
            <w:r w:rsidR="005568D5">
              <w:rPr>
                <w:color w:val="auto"/>
              </w:rPr>
              <w:t>among</w:t>
            </w:r>
            <w:r w:rsidR="00EA451D" w:rsidRPr="00EA451D">
              <w:rPr>
                <w:color w:val="auto"/>
              </w:rPr>
              <w:t xml:space="preserve"> patients with AI-resistant HR+/HER2– advanced breast cancer in the overall population, with a more pronounced benefit in </w:t>
            </w:r>
            <w:r w:rsidR="001713D9">
              <w:rPr>
                <w:color w:val="auto"/>
              </w:rPr>
              <w:t>AKT pathway</w:t>
            </w:r>
            <w:r w:rsidR="00EA451D" w:rsidRPr="00EA451D">
              <w:rPr>
                <w:color w:val="auto"/>
              </w:rPr>
              <w:t xml:space="preserve"> altered tumours</w:t>
            </w:r>
            <w:r w:rsidR="00EA451D">
              <w:rPr>
                <w:color w:val="auto"/>
              </w:rPr>
              <w:t>.</w:t>
            </w:r>
            <w:bookmarkEnd w:id="3"/>
          </w:p>
        </w:tc>
      </w:tr>
      <w:tr w:rsidR="006478E7" w:rsidRPr="00490FBB" w14:paraId="591B1D2D" w14:textId="77777777" w:rsidTr="00FC33B1">
        <w:tc>
          <w:tcPr>
            <w:tcW w:w="884" w:type="pct"/>
            <w:tcBorders>
              <w:top w:val="single" w:sz="4" w:space="0" w:color="auto"/>
              <w:left w:val="single" w:sz="8" w:space="0" w:color="auto"/>
              <w:bottom w:val="single" w:sz="4" w:space="0" w:color="auto"/>
              <w:right w:val="single" w:sz="4" w:space="0" w:color="auto"/>
            </w:tcBorders>
            <w:hideMark/>
          </w:tcPr>
          <w:p w14:paraId="635F9D15" w14:textId="77777777" w:rsidR="006478E7" w:rsidRPr="00490FBB" w:rsidRDefault="006478E7" w:rsidP="0023599C">
            <w:pPr>
              <w:spacing w:before="120" w:after="120" w:line="240" w:lineRule="auto"/>
              <w:rPr>
                <w:rFonts w:cs="Arial"/>
              </w:rPr>
            </w:pPr>
            <w:r w:rsidRPr="00490FBB">
              <w:rPr>
                <w:rFonts w:cs="Arial"/>
              </w:rPr>
              <w:t>Outcomes</w:t>
            </w:r>
          </w:p>
        </w:tc>
        <w:tc>
          <w:tcPr>
            <w:tcW w:w="4116" w:type="pct"/>
            <w:tcBorders>
              <w:top w:val="single" w:sz="4" w:space="0" w:color="auto"/>
              <w:left w:val="single" w:sz="4" w:space="0" w:color="auto"/>
              <w:bottom w:val="single" w:sz="4" w:space="0" w:color="auto"/>
              <w:right w:val="single" w:sz="4" w:space="0" w:color="auto"/>
            </w:tcBorders>
            <w:hideMark/>
          </w:tcPr>
          <w:p w14:paraId="4E294C99" w14:textId="5222138B" w:rsidR="00CF605A" w:rsidRPr="00AA14E6" w:rsidRDefault="00CF605A" w:rsidP="0023599C">
            <w:pPr>
              <w:spacing w:before="120" w:after="120" w:line="240" w:lineRule="auto"/>
              <w:jc w:val="both"/>
              <w:rPr>
                <w:rStyle w:val="SubtleEmphasis"/>
                <w:b/>
                <w:bCs/>
                <w:i w:val="0"/>
                <w:iCs w:val="0"/>
              </w:rPr>
            </w:pPr>
            <w:r w:rsidRPr="00AA14E6">
              <w:rPr>
                <w:rStyle w:val="SubtleEmphasis"/>
                <w:b/>
                <w:bCs/>
                <w:i w:val="0"/>
                <w:iCs w:val="0"/>
              </w:rPr>
              <w:t>Test outcome</w:t>
            </w:r>
            <w:r w:rsidR="00E85D64" w:rsidRPr="00AA14E6">
              <w:rPr>
                <w:rStyle w:val="SubtleEmphasis"/>
                <w:b/>
                <w:bCs/>
                <w:i w:val="0"/>
                <w:iCs w:val="0"/>
              </w:rPr>
              <w:t>s</w:t>
            </w:r>
          </w:p>
          <w:p w14:paraId="1B87A651" w14:textId="6355B655" w:rsidR="00CF605A" w:rsidRDefault="00CF605A" w:rsidP="0023599C">
            <w:pPr>
              <w:spacing w:before="120" w:after="120" w:line="240" w:lineRule="auto"/>
              <w:jc w:val="both"/>
              <w:rPr>
                <w:rStyle w:val="SubtleEmphasis"/>
              </w:rPr>
            </w:pPr>
            <w:r w:rsidRPr="00E85D64">
              <w:rPr>
                <w:rStyle w:val="SubtleEmphasis"/>
              </w:rPr>
              <w:t>Efficacy/effectiveness</w:t>
            </w:r>
          </w:p>
          <w:p w14:paraId="18192FA3" w14:textId="48ACC07F" w:rsidR="00BC3A3A" w:rsidRPr="00BD33CC" w:rsidRDefault="00BC3A3A" w:rsidP="003A16EB">
            <w:pPr>
              <w:numPr>
                <w:ilvl w:val="0"/>
                <w:numId w:val="24"/>
              </w:numPr>
              <w:contextualSpacing/>
              <w:jc w:val="both"/>
            </w:pPr>
            <w:r w:rsidRPr="00BD33CC">
              <w:lastRenderedPageBreak/>
              <w:t xml:space="preserve">Analytical performance, diagnostic and predictive accuracy of </w:t>
            </w:r>
            <w:r w:rsidR="001713D9">
              <w:t>AKT pathway</w:t>
            </w:r>
            <w:r w:rsidRPr="00BD33CC">
              <w:t xml:space="preserve"> alterations testing using NGS (sensitivity, specificity, positive predictive value (PPV), </w:t>
            </w:r>
            <w:r w:rsidR="001B4487" w:rsidRPr="00BD33CC">
              <w:t xml:space="preserve">and </w:t>
            </w:r>
            <w:r w:rsidRPr="00BD33CC">
              <w:t>negative predictive value (NPV))</w:t>
            </w:r>
            <w:r w:rsidR="001B4487" w:rsidRPr="00BD33CC">
              <w:t>.</w:t>
            </w:r>
          </w:p>
          <w:p w14:paraId="19454287" w14:textId="0B7B7AE4" w:rsidR="00BC3A3A" w:rsidRPr="00BD33CC" w:rsidRDefault="00BC3A3A" w:rsidP="003A16EB">
            <w:pPr>
              <w:numPr>
                <w:ilvl w:val="0"/>
                <w:numId w:val="24"/>
              </w:numPr>
              <w:contextualSpacing/>
              <w:jc w:val="both"/>
            </w:pPr>
            <w:r w:rsidRPr="00BD33CC">
              <w:t>Comparison of the analytical performance (concordance and discordance) of the clinical utility standard</w:t>
            </w:r>
            <w:r w:rsidR="005E2A21">
              <w:t>,</w:t>
            </w:r>
            <w:r w:rsidRPr="00BD33CC">
              <w:t xml:space="preserve"> with respect to </w:t>
            </w:r>
            <w:r w:rsidRPr="00BD33CC">
              <w:rPr>
                <w:i/>
                <w:iCs/>
              </w:rPr>
              <w:t>PIK3CA</w:t>
            </w:r>
            <w:r w:rsidR="005E2A21">
              <w:rPr>
                <w:i/>
                <w:iCs/>
              </w:rPr>
              <w:t xml:space="preserve">, </w:t>
            </w:r>
            <w:r w:rsidRPr="00BD33CC">
              <w:rPr>
                <w:i/>
                <w:iCs/>
              </w:rPr>
              <w:t>AKT1</w:t>
            </w:r>
            <w:r w:rsidR="005E2A21">
              <w:rPr>
                <w:i/>
                <w:iCs/>
              </w:rPr>
              <w:t xml:space="preserve"> and </w:t>
            </w:r>
            <w:r w:rsidRPr="00BD33CC">
              <w:rPr>
                <w:i/>
                <w:iCs/>
              </w:rPr>
              <w:t>PTEN</w:t>
            </w:r>
            <w:r w:rsidRPr="00BD33CC">
              <w:t xml:space="preserve"> status, to </w:t>
            </w:r>
            <w:r w:rsidR="005E2A21">
              <w:t xml:space="preserve">the </w:t>
            </w:r>
            <w:r w:rsidRPr="00BD33CC">
              <w:t xml:space="preserve">proposed </w:t>
            </w:r>
            <w:r w:rsidR="00304D89">
              <w:t xml:space="preserve">tier 1 </w:t>
            </w:r>
            <w:r w:rsidR="001713D9">
              <w:t>AKT pathway</w:t>
            </w:r>
            <w:r w:rsidRPr="00BD33CC">
              <w:t xml:space="preserve"> alterations testing</w:t>
            </w:r>
            <w:r w:rsidR="000B7E47">
              <w:t xml:space="preserve"> including </w:t>
            </w:r>
            <w:r w:rsidR="000B7E47" w:rsidRPr="00BD33CC">
              <w:rPr>
                <w:i/>
                <w:iCs/>
              </w:rPr>
              <w:t>PTEN</w:t>
            </w:r>
            <w:r w:rsidR="000B7E47">
              <w:t xml:space="preserve"> copy number variants testing</w:t>
            </w:r>
            <w:r w:rsidRPr="00BD33CC">
              <w:t xml:space="preserve"> using NGS (commercial or in-house developed)</w:t>
            </w:r>
            <w:r w:rsidR="001B4487" w:rsidRPr="00BD33CC">
              <w:t>.</w:t>
            </w:r>
          </w:p>
          <w:p w14:paraId="1116055F" w14:textId="77777777" w:rsidR="00BC3A3A" w:rsidRPr="00BD33CC" w:rsidRDefault="00BC3A3A" w:rsidP="003A16EB">
            <w:pPr>
              <w:numPr>
                <w:ilvl w:val="0"/>
                <w:numId w:val="24"/>
              </w:numPr>
              <w:contextualSpacing/>
              <w:jc w:val="both"/>
            </w:pPr>
            <w:r w:rsidRPr="00BD33CC">
              <w:t>Clinical validity of test:</w:t>
            </w:r>
          </w:p>
          <w:p w14:paraId="14D8B633" w14:textId="5B5FEFC7" w:rsidR="00BC3A3A" w:rsidRPr="00BD33CC" w:rsidRDefault="00BC3A3A" w:rsidP="003A16EB">
            <w:pPr>
              <w:numPr>
                <w:ilvl w:val="1"/>
                <w:numId w:val="24"/>
              </w:numPr>
              <w:contextualSpacing/>
              <w:jc w:val="both"/>
            </w:pPr>
            <w:r w:rsidRPr="00BD33CC">
              <w:t xml:space="preserve">Differential prognostic effect of the proposed </w:t>
            </w:r>
            <w:r w:rsidR="001713D9">
              <w:t>AKT pathway</w:t>
            </w:r>
            <w:r w:rsidRPr="00BD33CC">
              <w:t xml:space="preserve"> alteration testing in advanced </w:t>
            </w:r>
            <w:r w:rsidR="001B4487" w:rsidRPr="00BD33CC">
              <w:t>breast cancer</w:t>
            </w:r>
            <w:r w:rsidRPr="00BD33CC">
              <w:t xml:space="preserve">, particularly including an assessment of whether this prognostic effect varies further according to whether the patient is positive or negative </w:t>
            </w:r>
            <w:r w:rsidR="001B4487" w:rsidRPr="00BD33CC">
              <w:t xml:space="preserve">for </w:t>
            </w:r>
            <w:r w:rsidR="001713D9">
              <w:t>AKT pathway</w:t>
            </w:r>
            <w:r w:rsidRPr="00BD33CC">
              <w:t xml:space="preserve"> alterations</w:t>
            </w:r>
            <w:r w:rsidR="001B4487" w:rsidRPr="00BD33CC">
              <w:t>.</w:t>
            </w:r>
          </w:p>
          <w:p w14:paraId="58D28E34" w14:textId="77777777" w:rsidR="00BC3A3A" w:rsidRPr="00BD33CC" w:rsidRDefault="00BC3A3A" w:rsidP="003A16EB">
            <w:pPr>
              <w:numPr>
                <w:ilvl w:val="0"/>
                <w:numId w:val="24"/>
              </w:numPr>
              <w:contextualSpacing/>
              <w:jc w:val="both"/>
            </w:pPr>
            <w:r w:rsidRPr="00BD33CC">
              <w:t>Clinical utility of test:</w:t>
            </w:r>
          </w:p>
          <w:p w14:paraId="20A64C44" w14:textId="77777777" w:rsidR="00BC3A3A" w:rsidRPr="00BD33CC" w:rsidRDefault="00BC3A3A" w:rsidP="003A16EB">
            <w:pPr>
              <w:numPr>
                <w:ilvl w:val="1"/>
                <w:numId w:val="24"/>
              </w:numPr>
              <w:contextualSpacing/>
              <w:jc w:val="both"/>
            </w:pPr>
            <w:r w:rsidRPr="00BD33CC">
              <w:t xml:space="preserve">Treatment effect modification of capivasertib as a consequence of </w:t>
            </w:r>
            <w:r w:rsidRPr="00BD33CC">
              <w:rPr>
                <w:i/>
                <w:iCs/>
              </w:rPr>
              <w:t>PIK3CA/AKT1/PTEN</w:t>
            </w:r>
            <w:r w:rsidRPr="00BD33CC">
              <w:t xml:space="preserve"> status.</w:t>
            </w:r>
          </w:p>
          <w:p w14:paraId="26C88B58" w14:textId="32F4009C" w:rsidR="00BC3A3A" w:rsidRPr="00BD33CC" w:rsidRDefault="00BC3A3A" w:rsidP="003A16EB">
            <w:pPr>
              <w:numPr>
                <w:ilvl w:val="1"/>
                <w:numId w:val="24"/>
              </w:numPr>
              <w:contextualSpacing/>
              <w:jc w:val="both"/>
            </w:pPr>
            <w:r w:rsidRPr="00BD33CC">
              <w:t xml:space="preserve">Whether </w:t>
            </w:r>
            <w:r w:rsidR="001713D9">
              <w:t>AKT pathway</w:t>
            </w:r>
            <w:r w:rsidRPr="00BD33CC">
              <w:t xml:space="preserve"> alteration testing better target</w:t>
            </w:r>
            <w:r w:rsidR="001B4487" w:rsidRPr="00BD33CC">
              <w:t>s</w:t>
            </w:r>
            <w:r w:rsidRPr="00BD33CC">
              <w:t xml:space="preserve"> patients that are likely to respond most to capivasertib</w:t>
            </w:r>
            <w:r w:rsidR="001B4487" w:rsidRPr="00BD33CC">
              <w:t>.</w:t>
            </w:r>
          </w:p>
          <w:p w14:paraId="7696831C" w14:textId="77777777" w:rsidR="00BC3A3A" w:rsidRPr="00BD33CC" w:rsidRDefault="00BC3A3A" w:rsidP="003A16EB">
            <w:pPr>
              <w:numPr>
                <w:ilvl w:val="0"/>
                <w:numId w:val="24"/>
              </w:numPr>
              <w:contextualSpacing/>
              <w:jc w:val="both"/>
            </w:pPr>
            <w:r w:rsidRPr="00BD33CC">
              <w:t>Other test related considerations:</w:t>
            </w:r>
          </w:p>
          <w:p w14:paraId="0730C8B4" w14:textId="683C48C7" w:rsidR="00BC3A3A" w:rsidRPr="00BD33CC" w:rsidRDefault="00BC3A3A" w:rsidP="003A16EB">
            <w:pPr>
              <w:numPr>
                <w:ilvl w:val="1"/>
                <w:numId w:val="24"/>
              </w:numPr>
              <w:contextualSpacing/>
              <w:jc w:val="both"/>
            </w:pPr>
            <w:r w:rsidRPr="00BD33CC">
              <w:t>Test turnaround time</w:t>
            </w:r>
            <w:r w:rsidR="001B4487" w:rsidRPr="00BD33CC">
              <w:t>.</w:t>
            </w:r>
          </w:p>
          <w:p w14:paraId="75905ADC" w14:textId="7DB44BEE" w:rsidR="00BC3A3A" w:rsidRPr="00BD33CC" w:rsidRDefault="00BC3A3A" w:rsidP="003A16EB">
            <w:pPr>
              <w:numPr>
                <w:ilvl w:val="1"/>
                <w:numId w:val="24"/>
              </w:numPr>
              <w:contextualSpacing/>
              <w:jc w:val="both"/>
            </w:pPr>
            <w:r w:rsidRPr="00BD33CC">
              <w:t>Test failure rates and re-biopsy rates</w:t>
            </w:r>
            <w:r w:rsidR="001B4487" w:rsidRPr="00BD33CC">
              <w:t>.</w:t>
            </w:r>
          </w:p>
          <w:p w14:paraId="76DF0B3D" w14:textId="72BD4DE7" w:rsidR="00BC3A3A" w:rsidRPr="00302B40" w:rsidRDefault="00BC3A3A" w:rsidP="0023599C">
            <w:pPr>
              <w:jc w:val="both"/>
              <w:rPr>
                <w:rStyle w:val="SubtleEmphasis"/>
              </w:rPr>
            </w:pPr>
            <w:r w:rsidRPr="00302B40">
              <w:rPr>
                <w:rStyle w:val="SubtleEmphasis"/>
              </w:rPr>
              <w:t>Safety outcomes</w:t>
            </w:r>
          </w:p>
          <w:p w14:paraId="65BF1772" w14:textId="4DA53992" w:rsidR="00BC3A3A" w:rsidRPr="00BD33CC" w:rsidRDefault="00BC3A3A" w:rsidP="003A16EB">
            <w:pPr>
              <w:numPr>
                <w:ilvl w:val="0"/>
                <w:numId w:val="25"/>
              </w:numPr>
              <w:contextualSpacing/>
              <w:jc w:val="both"/>
            </w:pPr>
            <w:r w:rsidRPr="00BD33CC">
              <w:t xml:space="preserve">Adverse events associated with biopsy/re-biopsy for patients with inadequate tissue for tumour </w:t>
            </w:r>
            <w:r w:rsidR="001B4487" w:rsidRPr="00BD33CC">
              <w:t>testing.</w:t>
            </w:r>
          </w:p>
          <w:p w14:paraId="6EF36D04" w14:textId="77777777" w:rsidR="00BC3A3A" w:rsidRPr="00302B40" w:rsidRDefault="00BC3A3A" w:rsidP="0023599C">
            <w:pPr>
              <w:jc w:val="both"/>
              <w:rPr>
                <w:rStyle w:val="SubtleEmphasis"/>
              </w:rPr>
            </w:pPr>
            <w:r w:rsidRPr="00302B40">
              <w:rPr>
                <w:rStyle w:val="SubtleEmphasis"/>
              </w:rPr>
              <w:t xml:space="preserve">Healthcare resources </w:t>
            </w:r>
          </w:p>
          <w:p w14:paraId="0BAA3548" w14:textId="569E69A8" w:rsidR="00BC3A3A" w:rsidRPr="00BD33CC" w:rsidRDefault="00BC3A3A" w:rsidP="003A16EB">
            <w:pPr>
              <w:numPr>
                <w:ilvl w:val="0"/>
                <w:numId w:val="25"/>
              </w:numPr>
              <w:contextualSpacing/>
              <w:jc w:val="both"/>
            </w:pPr>
            <w:r w:rsidRPr="00BD33CC">
              <w:t xml:space="preserve">Estimated number of patients to be </w:t>
            </w:r>
            <w:r w:rsidR="001B4487" w:rsidRPr="00BD33CC">
              <w:t>tested.</w:t>
            </w:r>
          </w:p>
          <w:p w14:paraId="1BCAC454" w14:textId="38204651" w:rsidR="00BC3A3A" w:rsidRPr="00BD33CC" w:rsidRDefault="00BC3A3A" w:rsidP="003A16EB">
            <w:pPr>
              <w:numPr>
                <w:ilvl w:val="0"/>
                <w:numId w:val="25"/>
              </w:numPr>
              <w:contextualSpacing/>
              <w:jc w:val="both"/>
            </w:pPr>
            <w:r w:rsidRPr="00BD33CC">
              <w:t>Cost of test intervention and associated delivery cost</w:t>
            </w:r>
            <w:r w:rsidR="001B4487" w:rsidRPr="00BD33CC">
              <w:t>.</w:t>
            </w:r>
          </w:p>
          <w:p w14:paraId="4CDA94B2" w14:textId="6564792A" w:rsidR="00BC3A3A" w:rsidRPr="00BD33CC" w:rsidRDefault="00BC3A3A" w:rsidP="003A16EB">
            <w:pPr>
              <w:numPr>
                <w:ilvl w:val="0"/>
                <w:numId w:val="25"/>
              </w:numPr>
              <w:contextualSpacing/>
              <w:jc w:val="both"/>
            </w:pPr>
            <w:r w:rsidRPr="00BD33CC">
              <w:t>Cost of re-biopsy</w:t>
            </w:r>
            <w:r w:rsidR="001B4487" w:rsidRPr="00BD33CC">
              <w:t>.</w:t>
            </w:r>
          </w:p>
          <w:p w14:paraId="788743C2" w14:textId="6A586B81" w:rsidR="00BC3A3A" w:rsidRPr="00BD33CC" w:rsidRDefault="00BC3A3A" w:rsidP="003A16EB">
            <w:pPr>
              <w:numPr>
                <w:ilvl w:val="0"/>
                <w:numId w:val="25"/>
              </w:numPr>
              <w:contextualSpacing/>
              <w:jc w:val="both"/>
            </w:pPr>
            <w:r w:rsidRPr="00BD33CC">
              <w:t>Cost of re-test</w:t>
            </w:r>
            <w:r w:rsidR="001B4487" w:rsidRPr="00BD33CC">
              <w:t>.</w:t>
            </w:r>
          </w:p>
          <w:p w14:paraId="10B62E34" w14:textId="77777777" w:rsidR="00AC0FF3" w:rsidRPr="00CF605A" w:rsidRDefault="00AC0FF3" w:rsidP="009F2C73">
            <w:pPr>
              <w:spacing w:before="120" w:after="120" w:line="240" w:lineRule="auto"/>
            </w:pPr>
          </w:p>
          <w:p w14:paraId="241DCE54" w14:textId="670C4E23" w:rsidR="00311A1B" w:rsidRPr="00AA14E6" w:rsidRDefault="00CF605A" w:rsidP="0023599C">
            <w:pPr>
              <w:spacing w:before="120" w:after="120" w:line="240" w:lineRule="auto"/>
              <w:rPr>
                <w:rStyle w:val="SubtleEmphasis"/>
                <w:b/>
                <w:bCs/>
                <w:i w:val="0"/>
                <w:iCs w:val="0"/>
              </w:rPr>
            </w:pPr>
            <w:r w:rsidRPr="00AA14E6">
              <w:rPr>
                <w:rStyle w:val="SubtleEmphasis"/>
                <w:b/>
                <w:bCs/>
                <w:i w:val="0"/>
                <w:iCs w:val="0"/>
              </w:rPr>
              <w:t>Treatment outcome</w:t>
            </w:r>
            <w:r w:rsidR="00E85D64" w:rsidRPr="00AA14E6">
              <w:rPr>
                <w:rStyle w:val="SubtleEmphasis"/>
                <w:b/>
                <w:bCs/>
                <w:i w:val="0"/>
                <w:iCs w:val="0"/>
              </w:rPr>
              <w:t>s</w:t>
            </w:r>
          </w:p>
          <w:p w14:paraId="30FED18E" w14:textId="3538AC43" w:rsidR="00CF605A" w:rsidRPr="00E85D64" w:rsidRDefault="00311A1B" w:rsidP="0023599C">
            <w:pPr>
              <w:spacing w:before="120" w:after="120" w:line="240" w:lineRule="auto"/>
              <w:rPr>
                <w:rStyle w:val="SubtleEmphasis"/>
              </w:rPr>
            </w:pPr>
            <w:r w:rsidRPr="00E85D64">
              <w:rPr>
                <w:rStyle w:val="SubtleEmphasis"/>
              </w:rPr>
              <w:t>Efficacy/effectiveness</w:t>
            </w:r>
          </w:p>
          <w:p w14:paraId="627A9EC6" w14:textId="2857EB9D" w:rsidR="00311A1B" w:rsidRPr="006F3C22" w:rsidRDefault="00F06CD0" w:rsidP="003A16EB">
            <w:pPr>
              <w:pStyle w:val="ListParagraph"/>
              <w:numPr>
                <w:ilvl w:val="0"/>
                <w:numId w:val="8"/>
              </w:numPr>
              <w:spacing w:before="120" w:after="120" w:line="240" w:lineRule="auto"/>
            </w:pPr>
            <w:r w:rsidRPr="006F3C22">
              <w:t>Progression free survival (</w:t>
            </w:r>
            <w:r w:rsidR="00A70CBC" w:rsidRPr="006F3C22">
              <w:t>PFS</w:t>
            </w:r>
            <w:r w:rsidRPr="006F3C22">
              <w:t>)</w:t>
            </w:r>
            <w:r w:rsidR="001B4487" w:rsidRPr="006F3C22">
              <w:t>.</w:t>
            </w:r>
          </w:p>
          <w:p w14:paraId="46A23126" w14:textId="01ECCE57" w:rsidR="00311A1B" w:rsidRPr="006F3C22" w:rsidRDefault="00311A1B" w:rsidP="003A16EB">
            <w:pPr>
              <w:pStyle w:val="ListParagraph"/>
              <w:numPr>
                <w:ilvl w:val="0"/>
                <w:numId w:val="8"/>
              </w:numPr>
              <w:spacing w:before="120" w:after="120" w:line="240" w:lineRule="auto"/>
            </w:pPr>
            <w:r w:rsidRPr="006F3C22">
              <w:t xml:space="preserve">Overall survival </w:t>
            </w:r>
            <w:r w:rsidR="00A70CBC" w:rsidRPr="006F3C22">
              <w:t>(OS)</w:t>
            </w:r>
            <w:r w:rsidR="001B4487" w:rsidRPr="006F3C22">
              <w:t>.</w:t>
            </w:r>
          </w:p>
          <w:p w14:paraId="29BE8454" w14:textId="1ECBF54B" w:rsidR="00311A1B" w:rsidRPr="006F3C22" w:rsidRDefault="00311A1B" w:rsidP="003A16EB">
            <w:pPr>
              <w:pStyle w:val="ListParagraph"/>
              <w:numPr>
                <w:ilvl w:val="0"/>
                <w:numId w:val="8"/>
              </w:numPr>
              <w:spacing w:before="120" w:after="120" w:line="240" w:lineRule="auto"/>
            </w:pPr>
            <w:r w:rsidRPr="006F3C22">
              <w:t>Response rate</w:t>
            </w:r>
            <w:r w:rsidR="001B4487" w:rsidRPr="006F3C22">
              <w:t>.</w:t>
            </w:r>
            <w:r w:rsidRPr="006F3C22">
              <w:t xml:space="preserve">  </w:t>
            </w:r>
          </w:p>
          <w:p w14:paraId="0E02FB13" w14:textId="2B42146C" w:rsidR="00311A1B" w:rsidRPr="006F3C22" w:rsidRDefault="00311A1B" w:rsidP="003A16EB">
            <w:pPr>
              <w:pStyle w:val="ListParagraph"/>
              <w:numPr>
                <w:ilvl w:val="0"/>
                <w:numId w:val="8"/>
              </w:numPr>
              <w:spacing w:before="120" w:after="120" w:line="240" w:lineRule="auto"/>
            </w:pPr>
            <w:r w:rsidRPr="006F3C22">
              <w:t>Quality of life</w:t>
            </w:r>
            <w:r w:rsidR="001B4487" w:rsidRPr="006F3C22">
              <w:t>.</w:t>
            </w:r>
            <w:r w:rsidRPr="006F3C22">
              <w:t xml:space="preserve"> </w:t>
            </w:r>
          </w:p>
          <w:p w14:paraId="205E11D7" w14:textId="1BD150AF" w:rsidR="00311A1B" w:rsidRPr="00E85D64" w:rsidRDefault="00311A1B" w:rsidP="0023599C">
            <w:pPr>
              <w:spacing w:before="120" w:after="120" w:line="240" w:lineRule="auto"/>
              <w:rPr>
                <w:rStyle w:val="SubtleEmphasis"/>
              </w:rPr>
            </w:pPr>
            <w:r w:rsidRPr="00E85D64">
              <w:rPr>
                <w:rStyle w:val="SubtleEmphasis"/>
              </w:rPr>
              <w:t>Safety Outcomes</w:t>
            </w:r>
          </w:p>
          <w:p w14:paraId="599DC0C3" w14:textId="7B9C5ABA" w:rsidR="00000E14" w:rsidRPr="006F3C22" w:rsidRDefault="008904F5" w:rsidP="003A16EB">
            <w:pPr>
              <w:pStyle w:val="ListParagraph"/>
              <w:numPr>
                <w:ilvl w:val="0"/>
                <w:numId w:val="9"/>
              </w:numPr>
            </w:pPr>
            <w:r>
              <w:t>Comparative s</w:t>
            </w:r>
            <w:r w:rsidR="00000E14" w:rsidRPr="006F3C22">
              <w:t xml:space="preserve">afety and tolerability of capivasertib + fulvestrant, compared </w:t>
            </w:r>
            <w:r>
              <w:t xml:space="preserve">to alternative </w:t>
            </w:r>
            <w:r w:rsidR="00545054">
              <w:t xml:space="preserve">treatments </w:t>
            </w:r>
            <w:r w:rsidR="00545054" w:rsidRPr="006F3C22">
              <w:t>in</w:t>
            </w:r>
            <w:r w:rsidR="00000E14" w:rsidRPr="006F3C22">
              <w:t xml:space="preserve"> patients with/without </w:t>
            </w:r>
            <w:r w:rsidR="001713D9">
              <w:t>AKT pathway</w:t>
            </w:r>
            <w:r w:rsidR="00000E14" w:rsidRPr="006F3C22">
              <w:t xml:space="preserve"> alterations, </w:t>
            </w:r>
            <w:r w:rsidR="00000E14" w:rsidRPr="006F3C22">
              <w:lastRenderedPageBreak/>
              <w:t>assessed by adverse events, discontinuation rates, deaths and collection of clinical chemistry/haematology parameters</w:t>
            </w:r>
            <w:r w:rsidR="001B4487" w:rsidRPr="006F3C22">
              <w:t>.</w:t>
            </w:r>
          </w:p>
          <w:p w14:paraId="423EA283" w14:textId="77777777" w:rsidR="00AC0FF3" w:rsidRPr="00E85D64" w:rsidRDefault="00AC0FF3" w:rsidP="0023599C">
            <w:pPr>
              <w:spacing w:before="120" w:after="120" w:line="240" w:lineRule="auto"/>
              <w:rPr>
                <w:rStyle w:val="SubtleEmphasis"/>
              </w:rPr>
            </w:pPr>
            <w:r w:rsidRPr="00E85D64">
              <w:rPr>
                <w:rStyle w:val="SubtleEmphasis"/>
              </w:rPr>
              <w:t xml:space="preserve">Healthcare resources </w:t>
            </w:r>
          </w:p>
          <w:p w14:paraId="6E205610" w14:textId="0C323C7A" w:rsidR="00AC0FF3" w:rsidRPr="006F3C22" w:rsidRDefault="00C3790B" w:rsidP="003A16EB">
            <w:pPr>
              <w:pStyle w:val="ListParagraph"/>
              <w:numPr>
                <w:ilvl w:val="0"/>
                <w:numId w:val="11"/>
              </w:numPr>
              <w:spacing w:before="120" w:after="120" w:line="240" w:lineRule="auto"/>
            </w:pPr>
            <w:r w:rsidRPr="006F3C22">
              <w:t>C</w:t>
            </w:r>
            <w:r w:rsidR="00AC0FF3" w:rsidRPr="006F3C22">
              <w:t>ost of treatment intervention</w:t>
            </w:r>
            <w:r w:rsidR="001B4487" w:rsidRPr="006F3C22">
              <w:t>.</w:t>
            </w:r>
          </w:p>
          <w:p w14:paraId="1FBC2EB0" w14:textId="77777777" w:rsidR="00311A1B" w:rsidRPr="00E85D64" w:rsidRDefault="00311A1B" w:rsidP="0023599C">
            <w:pPr>
              <w:spacing w:before="120" w:after="120" w:line="240" w:lineRule="auto"/>
              <w:rPr>
                <w:rStyle w:val="SubtleEmphasis"/>
              </w:rPr>
            </w:pPr>
            <w:r w:rsidRPr="00E85D64">
              <w:rPr>
                <w:rStyle w:val="SubtleEmphasis"/>
              </w:rPr>
              <w:t xml:space="preserve">Total Australian Government Healthcare costs </w:t>
            </w:r>
          </w:p>
          <w:p w14:paraId="5AE2A0FC" w14:textId="6E13DC14" w:rsidR="00311A1B" w:rsidRPr="006F3C22" w:rsidRDefault="00311A1B" w:rsidP="003A16EB">
            <w:pPr>
              <w:pStyle w:val="ListParagraph"/>
              <w:numPr>
                <w:ilvl w:val="0"/>
                <w:numId w:val="10"/>
              </w:numPr>
              <w:spacing w:before="120" w:after="120" w:line="240" w:lineRule="auto"/>
            </w:pPr>
            <w:r w:rsidRPr="006F3C22">
              <w:t>Total cost to the Medicare Benefits Schedule (MBS)</w:t>
            </w:r>
            <w:r w:rsidR="001B4487" w:rsidRPr="006F3C22">
              <w:t>.</w:t>
            </w:r>
            <w:r w:rsidRPr="006F3C22">
              <w:t xml:space="preserve"> </w:t>
            </w:r>
          </w:p>
          <w:p w14:paraId="2BD4A1BD" w14:textId="30DD1834" w:rsidR="00311A1B" w:rsidRPr="006F3C22" w:rsidRDefault="00311A1B" w:rsidP="003A16EB">
            <w:pPr>
              <w:pStyle w:val="ListParagraph"/>
              <w:numPr>
                <w:ilvl w:val="0"/>
                <w:numId w:val="10"/>
              </w:numPr>
              <w:spacing w:before="120" w:after="120" w:line="240" w:lineRule="auto"/>
            </w:pPr>
            <w:r w:rsidRPr="006F3C22">
              <w:t>Total cost to the Pharmaceutical Benefits Scheme (PBS)</w:t>
            </w:r>
            <w:r w:rsidR="001B4487" w:rsidRPr="006F3C22">
              <w:t>.</w:t>
            </w:r>
            <w:r w:rsidRPr="006F3C22">
              <w:t xml:space="preserve"> </w:t>
            </w:r>
          </w:p>
          <w:p w14:paraId="6F9242D7" w14:textId="2752FE66" w:rsidR="00311A1B" w:rsidRPr="00D52956" w:rsidRDefault="00311A1B" w:rsidP="003A16EB">
            <w:pPr>
              <w:pStyle w:val="ListParagraph"/>
              <w:numPr>
                <w:ilvl w:val="0"/>
                <w:numId w:val="10"/>
              </w:numPr>
              <w:spacing w:before="120" w:after="120" w:line="240" w:lineRule="auto"/>
            </w:pPr>
            <w:r w:rsidRPr="006F3C22">
              <w:t>Total cost to other healthcare services</w:t>
            </w:r>
            <w:r w:rsidR="001B4487" w:rsidRPr="006F3C22">
              <w:t>.</w:t>
            </w:r>
          </w:p>
        </w:tc>
      </w:tr>
      <w:tr w:rsidR="00BB1698" w:rsidRPr="00490FBB" w14:paraId="4A55FFDB" w14:textId="77777777" w:rsidTr="00FC33B1">
        <w:tc>
          <w:tcPr>
            <w:tcW w:w="884" w:type="pct"/>
            <w:tcBorders>
              <w:top w:val="single" w:sz="4" w:space="0" w:color="auto"/>
              <w:left w:val="single" w:sz="8" w:space="0" w:color="auto"/>
              <w:bottom w:val="single" w:sz="8" w:space="0" w:color="auto"/>
              <w:right w:val="single" w:sz="4" w:space="0" w:color="auto"/>
            </w:tcBorders>
          </w:tcPr>
          <w:p w14:paraId="003B36EC" w14:textId="77777777" w:rsidR="00BB1698" w:rsidRPr="00490FBB" w:rsidRDefault="00BB1698" w:rsidP="0023599C">
            <w:pPr>
              <w:spacing w:before="120" w:after="120" w:line="240" w:lineRule="auto"/>
              <w:rPr>
                <w:rFonts w:cs="Arial"/>
              </w:rPr>
            </w:pPr>
            <w:r w:rsidRPr="00490FBB">
              <w:rPr>
                <w:rFonts w:cs="Arial"/>
              </w:rPr>
              <w:lastRenderedPageBreak/>
              <w:t>Assessment questions</w:t>
            </w:r>
          </w:p>
        </w:tc>
        <w:tc>
          <w:tcPr>
            <w:tcW w:w="4116" w:type="pct"/>
            <w:tcBorders>
              <w:top w:val="single" w:sz="4" w:space="0" w:color="auto"/>
              <w:left w:val="single" w:sz="4" w:space="0" w:color="auto"/>
              <w:bottom w:val="single" w:sz="4" w:space="0" w:color="auto"/>
              <w:right w:val="single" w:sz="4" w:space="0" w:color="auto"/>
            </w:tcBorders>
          </w:tcPr>
          <w:p w14:paraId="7AB69A9A" w14:textId="2B49B693" w:rsidR="00BB1698" w:rsidRPr="00FD4C65" w:rsidRDefault="00BB1698" w:rsidP="0023599C">
            <w:pPr>
              <w:spacing w:before="120" w:after="120" w:line="240" w:lineRule="auto"/>
              <w:rPr>
                <w:color w:val="000000" w:themeColor="text1"/>
              </w:rPr>
            </w:pPr>
            <w:r w:rsidRPr="00FD4C65">
              <w:rPr>
                <w:color w:val="000000" w:themeColor="text1"/>
              </w:rPr>
              <w:t>What</w:t>
            </w:r>
            <w:r w:rsidRPr="00490FBB">
              <w:rPr>
                <w:color w:val="000000" w:themeColor="text1"/>
              </w:rPr>
              <w:t xml:space="preserve"> is the safety, effectiveness</w:t>
            </w:r>
            <w:r w:rsidR="009777FF">
              <w:rPr>
                <w:color w:val="000000" w:themeColor="text1"/>
              </w:rPr>
              <w:t xml:space="preserve">, </w:t>
            </w:r>
            <w:r w:rsidR="00717C54" w:rsidRPr="00490FBB">
              <w:rPr>
                <w:color w:val="000000" w:themeColor="text1"/>
              </w:rPr>
              <w:t>cost-effectiveness,</w:t>
            </w:r>
            <w:r w:rsidRPr="00490FBB">
              <w:rPr>
                <w:color w:val="000000" w:themeColor="text1"/>
              </w:rPr>
              <w:t xml:space="preserve"> </w:t>
            </w:r>
            <w:r w:rsidR="009777FF">
              <w:rPr>
                <w:color w:val="000000" w:themeColor="text1"/>
              </w:rPr>
              <w:t>and total costs</w:t>
            </w:r>
            <w:r w:rsidRPr="00490FBB">
              <w:rPr>
                <w:color w:val="000000" w:themeColor="text1"/>
              </w:rPr>
              <w:t xml:space="preserve"> of </w:t>
            </w:r>
            <w:r w:rsidR="00F0065F">
              <w:rPr>
                <w:color w:val="000000" w:themeColor="text1"/>
              </w:rPr>
              <w:t>a</w:t>
            </w:r>
            <w:r w:rsidR="00F0065F" w:rsidRPr="00F0065F">
              <w:rPr>
                <w:color w:val="000000" w:themeColor="text1"/>
              </w:rPr>
              <w:t xml:space="preserve"> </w:t>
            </w:r>
            <w:r w:rsidR="00171608">
              <w:rPr>
                <w:color w:val="000000" w:themeColor="text1"/>
              </w:rPr>
              <w:t xml:space="preserve">genetic </w:t>
            </w:r>
            <w:r w:rsidR="00977E95">
              <w:rPr>
                <w:color w:val="000000" w:themeColor="text1"/>
              </w:rPr>
              <w:t xml:space="preserve">test </w:t>
            </w:r>
            <w:r w:rsidR="00E328D5">
              <w:rPr>
                <w:color w:val="000000" w:themeColor="text1"/>
              </w:rPr>
              <w:t xml:space="preserve">to detect </w:t>
            </w:r>
            <w:r w:rsidR="00956AB1">
              <w:rPr>
                <w:color w:val="000000" w:themeColor="text1"/>
              </w:rPr>
              <w:t xml:space="preserve">tier 1 </w:t>
            </w:r>
            <w:r w:rsidR="001713D9">
              <w:rPr>
                <w:color w:val="000000" w:themeColor="text1"/>
              </w:rPr>
              <w:t>AKT pathway</w:t>
            </w:r>
            <w:r w:rsidR="00F0065F" w:rsidRPr="00F0065F">
              <w:rPr>
                <w:color w:val="000000" w:themeColor="text1"/>
              </w:rPr>
              <w:t xml:space="preserve"> alte</w:t>
            </w:r>
            <w:r w:rsidR="002A35FF">
              <w:rPr>
                <w:color w:val="000000" w:themeColor="text1"/>
              </w:rPr>
              <w:t>ration</w:t>
            </w:r>
            <w:r w:rsidR="00F0065F" w:rsidRPr="00F0065F">
              <w:rPr>
                <w:color w:val="000000" w:themeColor="text1"/>
              </w:rPr>
              <w:t xml:space="preserve"> (</w:t>
            </w:r>
            <w:r w:rsidR="00F0065F" w:rsidRPr="00302B40">
              <w:rPr>
                <w:i/>
                <w:iCs/>
                <w:color w:val="000000" w:themeColor="text1"/>
              </w:rPr>
              <w:t>PIK3CA, AKT1</w:t>
            </w:r>
            <w:r w:rsidR="00F0065F" w:rsidRPr="00F0065F">
              <w:rPr>
                <w:color w:val="000000" w:themeColor="text1"/>
              </w:rPr>
              <w:t xml:space="preserve"> </w:t>
            </w:r>
            <w:r w:rsidR="00AE7C01">
              <w:rPr>
                <w:color w:val="000000" w:themeColor="text1"/>
              </w:rPr>
              <w:t>and</w:t>
            </w:r>
            <w:r w:rsidR="00AE7C01" w:rsidRPr="00F0065F">
              <w:rPr>
                <w:color w:val="000000" w:themeColor="text1"/>
              </w:rPr>
              <w:t xml:space="preserve"> </w:t>
            </w:r>
            <w:r w:rsidR="00F0065F" w:rsidRPr="00302B40">
              <w:rPr>
                <w:i/>
                <w:iCs/>
                <w:color w:val="000000" w:themeColor="text1"/>
              </w:rPr>
              <w:t>PTEN</w:t>
            </w:r>
            <w:r w:rsidR="00432CE2" w:rsidRPr="00BD33CC">
              <w:rPr>
                <w:color w:val="000000" w:themeColor="text1"/>
              </w:rPr>
              <w:t>, including</w:t>
            </w:r>
            <w:r w:rsidR="00432CE2">
              <w:rPr>
                <w:i/>
                <w:iCs/>
                <w:color w:val="000000" w:themeColor="text1"/>
              </w:rPr>
              <w:t xml:space="preserve"> PTEN </w:t>
            </w:r>
            <w:r w:rsidR="00432CE2" w:rsidRPr="00BD33CC">
              <w:rPr>
                <w:color w:val="000000" w:themeColor="text1"/>
              </w:rPr>
              <w:t>copy number variants</w:t>
            </w:r>
            <w:r w:rsidR="00F0065F" w:rsidRPr="00F0065F">
              <w:rPr>
                <w:color w:val="000000" w:themeColor="text1"/>
              </w:rPr>
              <w:t>)</w:t>
            </w:r>
            <w:r w:rsidR="002E3411">
              <w:rPr>
                <w:color w:val="000000" w:themeColor="text1"/>
              </w:rPr>
              <w:t>,</w:t>
            </w:r>
            <w:r w:rsidR="00F0065F" w:rsidRPr="00F0065F">
              <w:rPr>
                <w:color w:val="000000" w:themeColor="text1"/>
              </w:rPr>
              <w:t xml:space="preserve"> </w:t>
            </w:r>
            <w:r w:rsidRPr="00490FBB">
              <w:rPr>
                <w:color w:val="000000" w:themeColor="text1"/>
              </w:rPr>
              <w:t>versus</w:t>
            </w:r>
            <w:r w:rsidR="00F0065F">
              <w:rPr>
                <w:color w:val="000000" w:themeColor="text1"/>
              </w:rPr>
              <w:t xml:space="preserve"> no testing</w:t>
            </w:r>
            <w:r w:rsidR="002E3411">
              <w:rPr>
                <w:color w:val="000000" w:themeColor="text1"/>
              </w:rPr>
              <w:t>,</w:t>
            </w:r>
            <w:r w:rsidRPr="00490FBB">
              <w:rPr>
                <w:color w:val="000000" w:themeColor="text1"/>
              </w:rPr>
              <w:t xml:space="preserve"> </w:t>
            </w:r>
            <w:r w:rsidR="00F0065F" w:rsidRPr="00F0065F">
              <w:rPr>
                <w:color w:val="000000" w:themeColor="text1"/>
              </w:rPr>
              <w:t xml:space="preserve">in a patient with locally advanced (inoperable) or metastatic </w:t>
            </w:r>
            <w:r w:rsidR="009211D9" w:rsidRPr="009211D9">
              <w:rPr>
                <w:color w:val="000000" w:themeColor="text1"/>
              </w:rPr>
              <w:t>HR+/HER2</w:t>
            </w:r>
            <w:r w:rsidR="00CE0D93">
              <w:rPr>
                <w:color w:val="000000" w:themeColor="text1"/>
              </w:rPr>
              <w:t>-</w:t>
            </w:r>
            <w:r w:rsidR="00BC2769">
              <w:rPr>
                <w:color w:val="000000" w:themeColor="text1"/>
              </w:rPr>
              <w:t xml:space="preserve"> (including HER2-low)</w:t>
            </w:r>
            <w:r w:rsidR="009211D9">
              <w:rPr>
                <w:color w:val="000000" w:themeColor="text1"/>
              </w:rPr>
              <w:t xml:space="preserve"> </w:t>
            </w:r>
            <w:r w:rsidR="00F0065F" w:rsidRPr="00F0065F">
              <w:rPr>
                <w:color w:val="000000" w:themeColor="text1"/>
              </w:rPr>
              <w:t>breast cancer</w:t>
            </w:r>
            <w:r w:rsidR="00F0065F">
              <w:rPr>
                <w:color w:val="000000" w:themeColor="text1"/>
              </w:rPr>
              <w:t>?</w:t>
            </w:r>
          </w:p>
        </w:tc>
      </w:tr>
    </w:tbl>
    <w:p w14:paraId="40320245" w14:textId="397CB107" w:rsidR="002C0D6A" w:rsidRPr="005E2259" w:rsidRDefault="002C0D6A" w:rsidP="005E2259">
      <w:pPr>
        <w:rPr>
          <w:color w:val="FFFFFF" w:themeColor="background1"/>
        </w:rPr>
      </w:pPr>
      <w:r w:rsidRPr="00302B40">
        <w:br w:type="page"/>
      </w:r>
    </w:p>
    <w:p w14:paraId="53297713" w14:textId="684BD4DD" w:rsidR="00912660" w:rsidRDefault="00912660" w:rsidP="0023599C">
      <w:pPr>
        <w:pStyle w:val="Heading2"/>
      </w:pPr>
      <w:r>
        <w:lastRenderedPageBreak/>
        <w:t>Purpose of application</w:t>
      </w:r>
    </w:p>
    <w:p w14:paraId="4AC789FC" w14:textId="45D4E19B" w:rsidR="00EA49CB" w:rsidRPr="009A3778" w:rsidRDefault="000E3B68" w:rsidP="0023599C">
      <w:pPr>
        <w:spacing w:after="0" w:line="259" w:lineRule="auto"/>
        <w:rPr>
          <w:iCs/>
          <w:szCs w:val="24"/>
        </w:rPr>
      </w:pPr>
      <w:r>
        <w:rPr>
          <w:iCs/>
          <w:szCs w:val="24"/>
        </w:rPr>
        <w:t xml:space="preserve">The </w:t>
      </w:r>
      <w:r w:rsidR="00EA49CB" w:rsidRPr="009A3778">
        <w:rPr>
          <w:iCs/>
          <w:szCs w:val="24"/>
        </w:rPr>
        <w:t>codependent application</w:t>
      </w:r>
      <w:r w:rsidR="0051321C">
        <w:rPr>
          <w:iCs/>
          <w:szCs w:val="24"/>
        </w:rPr>
        <w:t xml:space="preserve"> </w:t>
      </w:r>
      <w:r>
        <w:rPr>
          <w:iCs/>
          <w:szCs w:val="24"/>
        </w:rPr>
        <w:t>requested</w:t>
      </w:r>
      <w:r w:rsidR="0051321C">
        <w:rPr>
          <w:iCs/>
          <w:szCs w:val="24"/>
        </w:rPr>
        <w:t>:</w:t>
      </w:r>
    </w:p>
    <w:p w14:paraId="640557D2" w14:textId="56B35BB4" w:rsidR="00EA49CB" w:rsidRPr="009A3778" w:rsidRDefault="000E3B68" w:rsidP="0023599C">
      <w:pPr>
        <w:pStyle w:val="ListParagraph"/>
        <w:numPr>
          <w:ilvl w:val="0"/>
          <w:numId w:val="4"/>
        </w:numPr>
        <w:spacing w:after="0" w:line="259" w:lineRule="auto"/>
        <w:ind w:left="714" w:hanging="357"/>
        <w:contextualSpacing w:val="0"/>
        <w:rPr>
          <w:iCs/>
          <w:szCs w:val="24"/>
        </w:rPr>
      </w:pPr>
      <w:r w:rsidRPr="000E3B68">
        <w:rPr>
          <w:iCs/>
          <w:szCs w:val="24"/>
        </w:rPr>
        <w:t>Medicare Benefits Schedule (MBS)</w:t>
      </w:r>
      <w:r w:rsidR="00EA49CB" w:rsidRPr="009A3778">
        <w:rPr>
          <w:iCs/>
          <w:szCs w:val="24"/>
        </w:rPr>
        <w:t xml:space="preserve"> listing of</w:t>
      </w:r>
      <w:r w:rsidR="00D071C7">
        <w:rPr>
          <w:iCs/>
          <w:szCs w:val="24"/>
        </w:rPr>
        <w:t xml:space="preserve"> genetic</w:t>
      </w:r>
      <w:r w:rsidR="00EA49CB" w:rsidRPr="009A3778">
        <w:rPr>
          <w:iCs/>
          <w:szCs w:val="24"/>
        </w:rPr>
        <w:t xml:space="preserve"> </w:t>
      </w:r>
      <w:r w:rsidR="00EA49CB" w:rsidRPr="00EA49CB">
        <w:rPr>
          <w:iCs/>
          <w:szCs w:val="24"/>
        </w:rPr>
        <w:t xml:space="preserve">testing </w:t>
      </w:r>
      <w:r w:rsidR="00D071C7">
        <w:rPr>
          <w:iCs/>
          <w:szCs w:val="24"/>
        </w:rPr>
        <w:t>to detect</w:t>
      </w:r>
      <w:r w:rsidR="00EA49CB" w:rsidRPr="00EA49CB">
        <w:rPr>
          <w:iCs/>
          <w:szCs w:val="24"/>
        </w:rPr>
        <w:t xml:space="preserve"> </w:t>
      </w:r>
      <w:r w:rsidR="001713D9">
        <w:rPr>
          <w:iCs/>
          <w:szCs w:val="24"/>
        </w:rPr>
        <w:t>AKT pathway</w:t>
      </w:r>
      <w:r w:rsidR="00EA49CB" w:rsidRPr="00EA49CB">
        <w:rPr>
          <w:iCs/>
          <w:szCs w:val="24"/>
        </w:rPr>
        <w:t xml:space="preserve"> alter</w:t>
      </w:r>
      <w:r w:rsidR="00D071C7">
        <w:rPr>
          <w:iCs/>
          <w:szCs w:val="24"/>
        </w:rPr>
        <w:t>ations</w:t>
      </w:r>
      <w:r w:rsidR="00EA49CB" w:rsidRPr="00EA49CB">
        <w:rPr>
          <w:iCs/>
          <w:szCs w:val="24"/>
        </w:rPr>
        <w:t xml:space="preserve"> (</w:t>
      </w:r>
      <w:r w:rsidR="00EA49CB" w:rsidRPr="00302B40">
        <w:rPr>
          <w:i/>
          <w:szCs w:val="24"/>
        </w:rPr>
        <w:t>PIK3CA, AKT1</w:t>
      </w:r>
      <w:r w:rsidR="00EA49CB" w:rsidRPr="00EA49CB">
        <w:rPr>
          <w:iCs/>
          <w:szCs w:val="24"/>
        </w:rPr>
        <w:t xml:space="preserve"> or </w:t>
      </w:r>
      <w:r w:rsidR="00EA49CB" w:rsidRPr="00302B40">
        <w:rPr>
          <w:i/>
          <w:szCs w:val="24"/>
        </w:rPr>
        <w:t>PTEN</w:t>
      </w:r>
      <w:r w:rsidR="00EA49CB" w:rsidRPr="00EA49CB">
        <w:rPr>
          <w:iCs/>
          <w:szCs w:val="24"/>
        </w:rPr>
        <w:t xml:space="preserve">) </w:t>
      </w:r>
      <w:r w:rsidR="00AB11DE">
        <w:rPr>
          <w:iCs/>
          <w:szCs w:val="24"/>
        </w:rPr>
        <w:t xml:space="preserve">for the determination of </w:t>
      </w:r>
      <w:r w:rsidR="00EA49CB" w:rsidRPr="00EA49CB">
        <w:rPr>
          <w:iCs/>
          <w:szCs w:val="24"/>
        </w:rPr>
        <w:t xml:space="preserve">patient </w:t>
      </w:r>
      <w:r w:rsidR="00AB11DE">
        <w:rPr>
          <w:iCs/>
          <w:szCs w:val="24"/>
        </w:rPr>
        <w:t>eligibility</w:t>
      </w:r>
      <w:r w:rsidR="006A047F">
        <w:rPr>
          <w:iCs/>
          <w:szCs w:val="24"/>
        </w:rPr>
        <w:t xml:space="preserve"> for treatment</w:t>
      </w:r>
      <w:r w:rsidR="00AB11DE">
        <w:rPr>
          <w:iCs/>
          <w:szCs w:val="24"/>
        </w:rPr>
        <w:t>;</w:t>
      </w:r>
      <w:r w:rsidR="00EA49CB" w:rsidRPr="00EA49CB">
        <w:rPr>
          <w:iCs/>
          <w:szCs w:val="24"/>
        </w:rPr>
        <w:t xml:space="preserve"> </w:t>
      </w:r>
      <w:r w:rsidR="00AB11DE">
        <w:rPr>
          <w:iCs/>
          <w:szCs w:val="24"/>
        </w:rPr>
        <w:t>and</w:t>
      </w:r>
    </w:p>
    <w:p w14:paraId="1F23F649" w14:textId="10F69B5E" w:rsidR="00C13CE1" w:rsidRPr="00E176C4" w:rsidRDefault="00632B3F" w:rsidP="00224F0D">
      <w:pPr>
        <w:pStyle w:val="ListParagraph"/>
        <w:numPr>
          <w:ilvl w:val="0"/>
          <w:numId w:val="4"/>
        </w:numPr>
        <w:spacing w:before="120" w:after="240" w:line="259" w:lineRule="auto"/>
        <w:rPr>
          <w:iCs/>
          <w:szCs w:val="24"/>
        </w:rPr>
      </w:pPr>
      <w:r w:rsidRPr="009A3778">
        <w:rPr>
          <w:iCs/>
          <w:szCs w:val="24"/>
        </w:rPr>
        <w:t>Pharmaceutical Benefits Scheme (PBS)</w:t>
      </w:r>
      <w:r w:rsidR="00EA49CB" w:rsidRPr="009A3778">
        <w:rPr>
          <w:iCs/>
          <w:szCs w:val="24"/>
        </w:rPr>
        <w:t xml:space="preserve"> Authority Required listing of</w:t>
      </w:r>
      <w:r w:rsidR="00EA49CB">
        <w:rPr>
          <w:iCs/>
          <w:szCs w:val="24"/>
        </w:rPr>
        <w:t xml:space="preserve"> capivasertib, in addition to fulvestrant, for the treatment of </w:t>
      </w:r>
      <w:r w:rsidR="00EA49CB" w:rsidRPr="00EA49CB">
        <w:rPr>
          <w:iCs/>
          <w:szCs w:val="24"/>
        </w:rPr>
        <w:t xml:space="preserve">locally advanced (inoperable) or </w:t>
      </w:r>
      <w:r w:rsidR="00C860C5" w:rsidRPr="00C860C5">
        <w:rPr>
          <w:iCs/>
          <w:szCs w:val="24"/>
        </w:rPr>
        <w:t xml:space="preserve">metastatic hormone receptor–positive/human epidermal growth factor receptor 2–negative </w:t>
      </w:r>
      <w:r w:rsidR="00C860C5">
        <w:rPr>
          <w:iCs/>
          <w:szCs w:val="24"/>
        </w:rPr>
        <w:t>(</w:t>
      </w:r>
      <w:r w:rsidR="00EA49CB" w:rsidRPr="00EA49CB">
        <w:rPr>
          <w:iCs/>
          <w:szCs w:val="24"/>
        </w:rPr>
        <w:t>HR+/HER2-</w:t>
      </w:r>
      <w:r w:rsidR="00C860C5">
        <w:rPr>
          <w:iCs/>
          <w:szCs w:val="24"/>
        </w:rPr>
        <w:t>)</w:t>
      </w:r>
      <w:r w:rsidR="00EA49CB" w:rsidRPr="00EA49CB">
        <w:rPr>
          <w:iCs/>
          <w:szCs w:val="24"/>
        </w:rPr>
        <w:t xml:space="preserve"> breast cancer, following recurrence or progression on or after </w:t>
      </w:r>
      <w:r w:rsidR="00670D6D" w:rsidRPr="00042FF5">
        <w:t>aromatase inhibitor</w:t>
      </w:r>
      <w:r w:rsidR="00670D6D">
        <w:t xml:space="preserve"> (</w:t>
      </w:r>
      <w:r w:rsidR="00A638C9">
        <w:rPr>
          <w:iCs/>
          <w:szCs w:val="24"/>
        </w:rPr>
        <w:t>AI</w:t>
      </w:r>
      <w:r w:rsidR="00670D6D">
        <w:rPr>
          <w:iCs/>
          <w:szCs w:val="24"/>
        </w:rPr>
        <w:t>)</w:t>
      </w:r>
      <w:r w:rsidR="00EA49CB" w:rsidRPr="00EA49CB">
        <w:rPr>
          <w:iCs/>
          <w:szCs w:val="24"/>
        </w:rPr>
        <w:t xml:space="preserve"> therapy, with or without </w:t>
      </w:r>
      <w:r w:rsidR="00C860C5" w:rsidRPr="00C860C5">
        <w:rPr>
          <w:iCs/>
          <w:szCs w:val="24"/>
        </w:rPr>
        <w:t>a cyclin-dependent kinase 4 and 6</w:t>
      </w:r>
      <w:r w:rsidR="00EA49CB" w:rsidRPr="00EA49CB">
        <w:rPr>
          <w:iCs/>
          <w:szCs w:val="24"/>
        </w:rPr>
        <w:t xml:space="preserve"> </w:t>
      </w:r>
      <w:r w:rsidR="00C860C5">
        <w:rPr>
          <w:iCs/>
          <w:szCs w:val="24"/>
        </w:rPr>
        <w:t>(</w:t>
      </w:r>
      <w:r w:rsidR="00EA49CB" w:rsidRPr="00EA49CB">
        <w:rPr>
          <w:iCs/>
          <w:szCs w:val="24"/>
        </w:rPr>
        <w:t>CDK4/6 inhibitor</w:t>
      </w:r>
      <w:r w:rsidR="00C860C5">
        <w:rPr>
          <w:iCs/>
          <w:szCs w:val="24"/>
        </w:rPr>
        <w:t>)</w:t>
      </w:r>
      <w:r w:rsidR="00EA49CB" w:rsidRPr="00EA49CB">
        <w:rPr>
          <w:iCs/>
          <w:szCs w:val="24"/>
        </w:rPr>
        <w:t>,</w:t>
      </w:r>
      <w:r w:rsidR="00E176C4">
        <w:rPr>
          <w:iCs/>
          <w:szCs w:val="24"/>
        </w:rPr>
        <w:t xml:space="preserve"> </w:t>
      </w:r>
      <w:r w:rsidR="006D12EB" w:rsidRPr="00E176C4">
        <w:rPr>
          <w:iCs/>
          <w:szCs w:val="24"/>
        </w:rPr>
        <w:t>was received</w:t>
      </w:r>
      <w:r w:rsidR="00997E13" w:rsidRPr="00997E13">
        <w:t xml:space="preserve"> </w:t>
      </w:r>
      <w:r w:rsidR="00997E13" w:rsidRPr="00997E13">
        <w:rPr>
          <w:iCs/>
          <w:szCs w:val="24"/>
        </w:rPr>
        <w:t>by the Department of Health</w:t>
      </w:r>
      <w:r w:rsidR="00F06CD0">
        <w:rPr>
          <w:iCs/>
          <w:szCs w:val="24"/>
        </w:rPr>
        <w:t xml:space="preserve"> and Aged Care</w:t>
      </w:r>
      <w:r w:rsidR="00997E13">
        <w:rPr>
          <w:iCs/>
          <w:szCs w:val="24"/>
        </w:rPr>
        <w:t>,</w:t>
      </w:r>
      <w:r w:rsidR="006D12EB" w:rsidRPr="00E176C4">
        <w:rPr>
          <w:iCs/>
          <w:szCs w:val="24"/>
        </w:rPr>
        <w:t xml:space="preserve"> from AstraZeneca Pty Ltd</w:t>
      </w:r>
      <w:r w:rsidR="00997E13">
        <w:rPr>
          <w:iCs/>
          <w:szCs w:val="24"/>
        </w:rPr>
        <w:t>.</w:t>
      </w:r>
    </w:p>
    <w:p w14:paraId="08D1D428" w14:textId="3F0FD7E1" w:rsidR="00945684" w:rsidRPr="00302B40" w:rsidRDefault="00366654" w:rsidP="0023599C">
      <w:pPr>
        <w:rPr>
          <w:rFonts w:ascii="Times New Roman" w:eastAsiaTheme="minorHAnsi" w:hAnsi="Times New Roman"/>
          <w:lang w:val="en-MY" w:eastAsia="en-MY"/>
        </w:rPr>
      </w:pPr>
      <w:r w:rsidRPr="00D10FF5">
        <w:t xml:space="preserve">Based on the CAPitello-291 trial, </w:t>
      </w:r>
      <w:r w:rsidR="00121A1A" w:rsidRPr="00D10FF5">
        <w:t>t</w:t>
      </w:r>
      <w:r w:rsidR="00945684" w:rsidRPr="00D10FF5" w:rsidDel="0033401C">
        <w:t xml:space="preserve">he use of the proposed </w:t>
      </w:r>
      <w:r w:rsidR="001457B2" w:rsidRPr="00D10FF5" w:rsidDel="0033401C">
        <w:t xml:space="preserve">genetic testing to detect </w:t>
      </w:r>
      <w:r w:rsidR="001713D9">
        <w:t>AKT pathway</w:t>
      </w:r>
      <w:r w:rsidR="001457B2" w:rsidRPr="00D10FF5" w:rsidDel="0033401C">
        <w:t xml:space="preserve"> alterations</w:t>
      </w:r>
      <w:r w:rsidR="00945684" w:rsidRPr="00D10FF5" w:rsidDel="0033401C">
        <w:t xml:space="preserve"> results in superior health benefits, compared to current standard </w:t>
      </w:r>
      <w:r w:rsidR="00945684" w:rsidRPr="00D10FF5">
        <w:t>practi</w:t>
      </w:r>
      <w:r w:rsidR="00AD619C" w:rsidRPr="00D10FF5">
        <w:t>c</w:t>
      </w:r>
      <w:r w:rsidR="00945684" w:rsidRPr="00D10FF5">
        <w:t>e</w:t>
      </w:r>
      <w:r w:rsidR="00945684" w:rsidRPr="00D10FF5" w:rsidDel="0033401C">
        <w:t xml:space="preserve"> of no test</w:t>
      </w:r>
      <w:r w:rsidR="00976E2D" w:rsidRPr="00D10FF5" w:rsidDel="0033401C">
        <w:t xml:space="preserve"> and standard of care therapy</w:t>
      </w:r>
      <w:r w:rsidR="00945684" w:rsidRPr="00D10FF5" w:rsidDel="0033401C">
        <w:t xml:space="preserve">. </w:t>
      </w:r>
      <w:r w:rsidR="00FC14BD">
        <w:t>In</w:t>
      </w:r>
      <w:r w:rsidR="007A13E3" w:rsidRPr="00D10FF5">
        <w:t xml:space="preserve"> </w:t>
      </w:r>
      <w:r w:rsidR="00FD0BA0" w:rsidRPr="00D10FF5">
        <w:t xml:space="preserve">the </w:t>
      </w:r>
      <w:r w:rsidR="007A13E3" w:rsidRPr="00D10FF5">
        <w:t xml:space="preserve">CAPItello-291 trial, </w:t>
      </w:r>
      <w:r w:rsidR="00FC14BD">
        <w:t xml:space="preserve">the </w:t>
      </w:r>
      <w:r w:rsidR="00945684" w:rsidRPr="00D10FF5">
        <w:t xml:space="preserve">addition of capivasertib to fulvestrant treatment led to a significant improvement in </w:t>
      </w:r>
      <w:r w:rsidR="00F06CD0" w:rsidRPr="00D10FF5">
        <w:t>progression free survival (</w:t>
      </w:r>
      <w:r w:rsidR="00945684" w:rsidRPr="00D10FF5">
        <w:t>PFS</w:t>
      </w:r>
      <w:r w:rsidR="00F06CD0" w:rsidRPr="00D10FF5">
        <w:t>)</w:t>
      </w:r>
      <w:r w:rsidR="00945684" w:rsidRPr="00D10FF5">
        <w:t xml:space="preserve"> </w:t>
      </w:r>
      <w:r w:rsidR="0D459729" w:rsidRPr="00D10FF5">
        <w:t>(</w:t>
      </w:r>
      <w:r w:rsidRPr="00D10FF5">
        <w:t>7.3 months in capivasertib + fulvestrant arm, vs 3.1 months in placebo-fulvestrant arm</w:t>
      </w:r>
      <w:r w:rsidR="0D459729" w:rsidRPr="00D10FF5">
        <w:t xml:space="preserve">) </w:t>
      </w:r>
      <w:r w:rsidR="00945684" w:rsidRPr="00D10FF5">
        <w:t xml:space="preserve">among patients with </w:t>
      </w:r>
      <w:r w:rsidR="001713D9">
        <w:t>AKT pathway</w:t>
      </w:r>
      <w:r w:rsidR="00825D82" w:rsidRPr="00D10FF5">
        <w:t xml:space="preserve"> </w:t>
      </w:r>
      <w:r w:rsidR="00945684" w:rsidRPr="00D10FF5">
        <w:t>altered tumours and HR+/HER2- advanced breast cance</w:t>
      </w:r>
      <w:r w:rsidR="003E1267" w:rsidRPr="00D10FF5">
        <w:t>r</w:t>
      </w:r>
      <w:r w:rsidR="00D63221" w:rsidRPr="00D10FF5">
        <w:t>,</w:t>
      </w:r>
      <w:r w:rsidR="00945684" w:rsidRPr="00D10FF5">
        <w:t xml:space="preserve"> who had disease progression during or after previous </w:t>
      </w:r>
      <w:r w:rsidR="003C45EB">
        <w:t xml:space="preserve">AI </w:t>
      </w:r>
      <w:r w:rsidR="00945684" w:rsidRPr="00D10FF5">
        <w:t>therapy</w:t>
      </w:r>
      <w:r w:rsidR="006C6631" w:rsidRPr="00D10FF5">
        <w:t xml:space="preserve"> </w:t>
      </w:r>
      <w:r w:rsidR="00945684" w:rsidRPr="00D10FF5">
        <w:t>, with or without a CDK4/6 inhibitor, when compared to treatment with fulvestrant alone.</w:t>
      </w:r>
      <w:r w:rsidR="00825D82" w:rsidRPr="00D10FF5">
        <w:t xml:space="preserve"> </w:t>
      </w:r>
    </w:p>
    <w:p w14:paraId="148F04D1" w14:textId="094BCC55" w:rsidR="00E93DB1" w:rsidRPr="00D10FF5" w:rsidRDefault="00E93DB1" w:rsidP="0023599C">
      <w:r w:rsidRPr="00D10FF5">
        <w:t xml:space="preserve">Capivasertib </w:t>
      </w:r>
      <w:r w:rsidR="006D5053">
        <w:t>was</w:t>
      </w:r>
      <w:r w:rsidRPr="00D10FF5">
        <w:t xml:space="preserve"> undergoing </w:t>
      </w:r>
      <w:r w:rsidR="007D3FB0" w:rsidRPr="00D10FF5">
        <w:t>Therapeutic Goods Administration (</w:t>
      </w:r>
      <w:r w:rsidRPr="00D10FF5">
        <w:t>TGA</w:t>
      </w:r>
      <w:r w:rsidR="007D3FB0" w:rsidRPr="00D10FF5">
        <w:t>)</w:t>
      </w:r>
      <w:r w:rsidRPr="00D10FF5">
        <w:t xml:space="preserve"> evaluation</w:t>
      </w:r>
      <w:r w:rsidR="00A70E86">
        <w:t xml:space="preserve"> (as at April 2024) </w:t>
      </w:r>
      <w:r w:rsidRPr="00D10FF5">
        <w:t xml:space="preserve">for treatment </w:t>
      </w:r>
      <w:r w:rsidR="005F1078" w:rsidRPr="00D10FF5">
        <w:t xml:space="preserve">of </w:t>
      </w:r>
      <w:r w:rsidR="0063471D" w:rsidRPr="0063471D">
        <w:t xml:space="preserve">locally advanced (inoperable) or </w:t>
      </w:r>
      <w:r w:rsidR="00545054" w:rsidRPr="0063471D">
        <w:t xml:space="preserve">metastatic </w:t>
      </w:r>
      <w:r w:rsidR="00545054" w:rsidRPr="00D10FF5">
        <w:t>breast</w:t>
      </w:r>
      <w:r w:rsidR="005F1078" w:rsidRPr="00D10FF5">
        <w:t xml:space="preserve"> cancer</w:t>
      </w:r>
      <w:r w:rsidR="007A2FA0">
        <w:t xml:space="preserve">, referred to as </w:t>
      </w:r>
      <w:bookmarkStart w:id="4" w:name="_Hlk166250311"/>
      <w:r w:rsidR="007A2FA0">
        <w:t xml:space="preserve">advanced breast cancer </w:t>
      </w:r>
      <w:bookmarkEnd w:id="4"/>
      <w:r w:rsidR="00BC4AE9">
        <w:t>for brevity</w:t>
      </w:r>
      <w:r w:rsidR="005F1078" w:rsidRPr="00D10FF5">
        <w:t>.</w:t>
      </w:r>
      <w:r w:rsidR="007103C7" w:rsidRPr="00D10FF5">
        <w:t xml:space="preserve"> </w:t>
      </w:r>
      <w:r w:rsidR="00E960F2" w:rsidRPr="00E960F2">
        <w:t xml:space="preserve">In May 2024, capivasertib was registered for the following indication: </w:t>
      </w:r>
      <w:r w:rsidR="00E960F2" w:rsidRPr="00EF18C5">
        <w:t>in combination with fulvestrant for the treatment of adult patients with hormone receptor (HR) positive, human epidermal growth factor receptor 2 (HER2) negative (defined as IHC 0 or 1+, or IHC 2+/ISH-) locally advanced or metastatic breast cancer following recurrence or progression on or after an endocrine based regimen</w:t>
      </w:r>
      <w:r w:rsidR="00E960F2" w:rsidRPr="00EF18C5">
        <w:rPr>
          <w:rFonts w:asciiTheme="minorHAnsi" w:hAnsiTheme="minorHAnsi"/>
        </w:rPr>
        <w:t>.</w:t>
      </w:r>
      <w:r w:rsidR="000F51AF">
        <w:rPr>
          <w:rFonts w:asciiTheme="minorHAnsi" w:hAnsiTheme="minorHAnsi" w:cstheme="minorBidi"/>
          <w:iCs/>
        </w:rPr>
        <w:t xml:space="preserve"> </w:t>
      </w:r>
    </w:p>
    <w:p w14:paraId="352CCBF8" w14:textId="607FD7AF" w:rsidR="007366C5" w:rsidRDefault="007366C5" w:rsidP="0023599C">
      <w:pPr>
        <w:spacing w:after="240"/>
        <w:rPr>
          <w:iCs/>
          <w:szCs w:val="24"/>
        </w:rPr>
      </w:pPr>
      <w:r>
        <w:rPr>
          <w:iCs/>
          <w:szCs w:val="24"/>
        </w:rPr>
        <w:t>A</w:t>
      </w:r>
      <w:r w:rsidR="00F11BF1">
        <w:rPr>
          <w:iCs/>
          <w:szCs w:val="24"/>
        </w:rPr>
        <w:t xml:space="preserve">n application </w:t>
      </w:r>
      <w:r>
        <w:rPr>
          <w:iCs/>
          <w:szCs w:val="24"/>
        </w:rPr>
        <w:t xml:space="preserve">will be made to the Pharmaceutical Benefits Advisory committee (PBAC) and the </w:t>
      </w:r>
      <w:r w:rsidR="00E34615">
        <w:rPr>
          <w:iCs/>
          <w:szCs w:val="24"/>
        </w:rPr>
        <w:t xml:space="preserve">applicant’s </w:t>
      </w:r>
      <w:r>
        <w:rPr>
          <w:iCs/>
          <w:szCs w:val="24"/>
        </w:rPr>
        <w:t xml:space="preserve">proposed PBAC meeting date relevant to this codependent application </w:t>
      </w:r>
      <w:r w:rsidR="00F06CD0">
        <w:rPr>
          <w:iCs/>
          <w:szCs w:val="24"/>
        </w:rPr>
        <w:t xml:space="preserve">is </w:t>
      </w:r>
      <w:r>
        <w:rPr>
          <w:iCs/>
          <w:szCs w:val="24"/>
        </w:rPr>
        <w:t>6</w:t>
      </w:r>
      <w:r w:rsidRPr="007366C5">
        <w:rPr>
          <w:iCs/>
          <w:szCs w:val="24"/>
          <w:vertAlign w:val="superscript"/>
        </w:rPr>
        <w:t>th</w:t>
      </w:r>
      <w:r>
        <w:rPr>
          <w:iCs/>
          <w:szCs w:val="24"/>
        </w:rPr>
        <w:t xml:space="preserve"> November 2024.</w:t>
      </w:r>
    </w:p>
    <w:p w14:paraId="2D958F1B" w14:textId="2B63F490" w:rsidR="00A7344E" w:rsidRDefault="0094009A" w:rsidP="0023599C">
      <w:pPr>
        <w:spacing w:after="240"/>
        <w:rPr>
          <w:iCs/>
          <w:szCs w:val="24"/>
        </w:rPr>
      </w:pPr>
      <w:r w:rsidRPr="0094009A">
        <w:rPr>
          <w:iCs/>
          <w:szCs w:val="24"/>
        </w:rPr>
        <w:t xml:space="preserve">Of note, </w:t>
      </w:r>
      <w:r>
        <w:rPr>
          <w:iCs/>
          <w:szCs w:val="24"/>
        </w:rPr>
        <w:t xml:space="preserve">there is a </w:t>
      </w:r>
      <w:hyperlink r:id="rId8" w:history="1">
        <w:r w:rsidRPr="006D38FD">
          <w:rPr>
            <w:rStyle w:val="Hyperlink"/>
            <w:rFonts w:ascii="Calibri" w:hAnsi="Calibri"/>
            <w:iCs/>
            <w:szCs w:val="24"/>
          </w:rPr>
          <w:t>ratified PICO (application 1604 – February 2020)</w:t>
        </w:r>
      </w:hyperlink>
      <w:r>
        <w:rPr>
          <w:iCs/>
          <w:szCs w:val="24"/>
        </w:rPr>
        <w:t xml:space="preserve"> </w:t>
      </w:r>
      <w:r w:rsidR="00CC69BE">
        <w:rPr>
          <w:iCs/>
          <w:szCs w:val="24"/>
        </w:rPr>
        <w:t>regarding</w:t>
      </w:r>
      <w:r>
        <w:rPr>
          <w:iCs/>
          <w:szCs w:val="24"/>
        </w:rPr>
        <w:t xml:space="preserve"> </w:t>
      </w:r>
      <w:r w:rsidRPr="00302B40">
        <w:rPr>
          <w:i/>
          <w:szCs w:val="24"/>
        </w:rPr>
        <w:t>PIK3CA</w:t>
      </w:r>
      <w:r>
        <w:rPr>
          <w:iCs/>
          <w:szCs w:val="24"/>
        </w:rPr>
        <w:t xml:space="preserve"> </w:t>
      </w:r>
      <w:r w:rsidR="000F0197">
        <w:rPr>
          <w:iCs/>
          <w:szCs w:val="24"/>
        </w:rPr>
        <w:t>mutation</w:t>
      </w:r>
      <w:r w:rsidR="003F61E7">
        <w:rPr>
          <w:iCs/>
          <w:szCs w:val="24"/>
        </w:rPr>
        <w:t xml:space="preserve"> </w:t>
      </w:r>
      <w:r>
        <w:rPr>
          <w:iCs/>
          <w:szCs w:val="24"/>
        </w:rPr>
        <w:t xml:space="preserve">testing in postmenopausal women or men with advanced breast cancer who have progressed during/following treatment with an </w:t>
      </w:r>
      <w:r w:rsidR="00F06CD0">
        <w:rPr>
          <w:iCs/>
          <w:szCs w:val="24"/>
        </w:rPr>
        <w:t>aromatase inhibitor</w:t>
      </w:r>
      <w:r w:rsidR="00E34615">
        <w:rPr>
          <w:iCs/>
          <w:szCs w:val="24"/>
        </w:rPr>
        <w:t>.</w:t>
      </w:r>
    </w:p>
    <w:p w14:paraId="18E66948" w14:textId="77777777" w:rsidR="00D73332" w:rsidRPr="00FD4C65" w:rsidRDefault="00D73332" w:rsidP="0023599C">
      <w:pPr>
        <w:pStyle w:val="Heading2"/>
      </w:pPr>
      <w:r w:rsidRPr="00FD4C65">
        <w:t xml:space="preserve">PICO </w:t>
      </w:r>
      <w:r w:rsidR="00FD4E33" w:rsidRPr="00FD4C65">
        <w:t xml:space="preserve">criteria </w:t>
      </w:r>
    </w:p>
    <w:p w14:paraId="06B30611" w14:textId="77777777" w:rsidR="007D6B83" w:rsidRPr="00713728" w:rsidRDefault="007D6B83" w:rsidP="0023599C">
      <w:pPr>
        <w:pStyle w:val="Heading3"/>
      </w:pPr>
      <w:r w:rsidRPr="00713728">
        <w:t>Population</w:t>
      </w:r>
    </w:p>
    <w:p w14:paraId="07857CBB" w14:textId="7FE1936A" w:rsidR="00831ECC" w:rsidRDefault="00076E12" w:rsidP="00831ECC">
      <w:pPr>
        <w:autoSpaceDE w:val="0"/>
        <w:autoSpaceDN w:val="0"/>
        <w:adjustRightInd w:val="0"/>
        <w:spacing w:line="23" w:lineRule="atLeast"/>
        <w:rPr>
          <w:rFonts w:asciiTheme="minorHAnsi" w:hAnsiTheme="minorHAnsi" w:cstheme="minorHAnsi"/>
          <w:i/>
          <w:iCs/>
        </w:rPr>
      </w:pPr>
      <w:r w:rsidRPr="00076E12">
        <w:t xml:space="preserve">The proposed population was </w:t>
      </w:r>
      <w:r w:rsidR="00D706D3">
        <w:t xml:space="preserve">patients with </w:t>
      </w:r>
      <w:r w:rsidR="001C0A4D">
        <w:t>breast cancer</w:t>
      </w:r>
      <w:r w:rsidR="006651E7">
        <w:t xml:space="preserve"> (BC)</w:t>
      </w:r>
      <w:r w:rsidR="001C0A4D">
        <w:t xml:space="preserve"> </w:t>
      </w:r>
      <w:r w:rsidRPr="00076E12">
        <w:t>with locally advanced (inoperable) or metastatic HR+/HER2-</w:t>
      </w:r>
      <w:r w:rsidR="001C0A4D">
        <w:t xml:space="preserve"> subtype,</w:t>
      </w:r>
      <w:r w:rsidRPr="00076E12">
        <w:t xml:space="preserve"> following recurrence or progression on or after </w:t>
      </w:r>
      <w:r w:rsidR="0044180B">
        <w:t>AI</w:t>
      </w:r>
      <w:r w:rsidRPr="00076E12">
        <w:t xml:space="preserve"> therapy, with or without a CDK4/6 inhibitor.</w:t>
      </w:r>
      <w:r w:rsidR="001679EC">
        <w:t xml:space="preserve"> </w:t>
      </w:r>
      <w:r w:rsidR="00F66CF0">
        <w:t>The HER2- subtype</w:t>
      </w:r>
      <w:r w:rsidR="0005682D">
        <w:t xml:space="preserve"> </w:t>
      </w:r>
      <w:r w:rsidR="00E87C7D">
        <w:t>potentially</w:t>
      </w:r>
      <w:r w:rsidR="00F66CF0">
        <w:t xml:space="preserve"> includes HER2-low. </w:t>
      </w:r>
      <w:r w:rsidR="00632B3F">
        <w:t>P</w:t>
      </w:r>
      <w:r w:rsidR="00985655" w:rsidRPr="00985655">
        <w:t xml:space="preserve">atients with confirmed </w:t>
      </w:r>
      <w:r w:rsidR="001713D9">
        <w:t>AKT pathway</w:t>
      </w:r>
      <w:r w:rsidR="00985655" w:rsidRPr="00985655">
        <w:t xml:space="preserve"> (</w:t>
      </w:r>
      <w:r w:rsidR="00985655" w:rsidRPr="00302B40">
        <w:rPr>
          <w:i/>
          <w:iCs/>
        </w:rPr>
        <w:t>PIK3CA, AKT1</w:t>
      </w:r>
      <w:r w:rsidR="00985655" w:rsidRPr="00985655">
        <w:t xml:space="preserve"> or </w:t>
      </w:r>
      <w:r w:rsidR="00985655" w:rsidRPr="00302B40">
        <w:rPr>
          <w:i/>
          <w:iCs/>
        </w:rPr>
        <w:t>PTEN</w:t>
      </w:r>
      <w:r w:rsidR="00985655" w:rsidRPr="00985655">
        <w:t xml:space="preserve">) </w:t>
      </w:r>
      <w:r w:rsidR="00C41513" w:rsidRPr="00C41513">
        <w:t xml:space="preserve">altered </w:t>
      </w:r>
      <w:r w:rsidR="00985655" w:rsidRPr="00985655">
        <w:t>tumour</w:t>
      </w:r>
      <w:r w:rsidR="00632B3F">
        <w:t>s</w:t>
      </w:r>
      <w:r w:rsidR="00985655" w:rsidRPr="00985655">
        <w:t xml:space="preserve"> </w:t>
      </w:r>
      <w:r w:rsidR="00632B3F">
        <w:t>will</w:t>
      </w:r>
      <w:r w:rsidR="001679EC">
        <w:t xml:space="preserve"> be </w:t>
      </w:r>
      <w:r w:rsidR="00985655" w:rsidRPr="00985655">
        <w:t>eligible for capivasertib</w:t>
      </w:r>
      <w:r w:rsidR="00D75E28">
        <w:t xml:space="preserve"> </w:t>
      </w:r>
      <w:r w:rsidR="00985655" w:rsidRPr="00985655">
        <w:t>+</w:t>
      </w:r>
      <w:r w:rsidR="00D75E28">
        <w:t xml:space="preserve"> </w:t>
      </w:r>
      <w:r w:rsidR="00985655" w:rsidRPr="00985655">
        <w:t>fulvestrant treatment.</w:t>
      </w:r>
      <w:r w:rsidR="00831ECC" w:rsidRPr="00831ECC">
        <w:rPr>
          <w:rFonts w:asciiTheme="minorHAnsi" w:hAnsiTheme="minorHAnsi" w:cstheme="minorHAnsi"/>
          <w:i/>
          <w:iCs/>
        </w:rPr>
        <w:t xml:space="preserve"> </w:t>
      </w:r>
    </w:p>
    <w:p w14:paraId="17AAFACC" w14:textId="26B0A160" w:rsidR="00831ECC" w:rsidRPr="00A8312C" w:rsidRDefault="00831ECC" w:rsidP="116F9E5F">
      <w:pPr>
        <w:autoSpaceDE w:val="0"/>
        <w:autoSpaceDN w:val="0"/>
        <w:adjustRightInd w:val="0"/>
        <w:spacing w:before="120" w:after="160" w:line="259" w:lineRule="auto"/>
        <w:rPr>
          <w:rFonts w:asciiTheme="minorHAnsi" w:hAnsiTheme="minorHAnsi" w:cstheme="minorBidi"/>
          <w:i/>
          <w:iCs/>
        </w:rPr>
      </w:pPr>
      <w:r w:rsidRPr="116F9E5F">
        <w:rPr>
          <w:rFonts w:asciiTheme="minorHAnsi" w:hAnsiTheme="minorHAnsi" w:cstheme="minorBidi"/>
          <w:i/>
          <w:iCs/>
        </w:rPr>
        <w:t xml:space="preserve">PASC agreed that the test population was patients with locally advanced (inoperable) or metastatic HR+/HER2- or HER2-low </w:t>
      </w:r>
      <w:r w:rsidR="006651E7" w:rsidRPr="116F9E5F">
        <w:rPr>
          <w:rFonts w:asciiTheme="minorHAnsi" w:hAnsiTheme="minorHAnsi" w:cstheme="minorBidi"/>
          <w:i/>
          <w:iCs/>
        </w:rPr>
        <w:t>BC</w:t>
      </w:r>
      <w:r w:rsidR="00F16C47" w:rsidRPr="116F9E5F">
        <w:rPr>
          <w:rFonts w:asciiTheme="minorHAnsi" w:hAnsiTheme="minorHAnsi" w:cstheme="minorBidi"/>
          <w:i/>
          <w:iCs/>
        </w:rPr>
        <w:t xml:space="preserve"> (HER2 IHC 2+, ISH neg)</w:t>
      </w:r>
      <w:r w:rsidRPr="116F9E5F">
        <w:rPr>
          <w:rFonts w:asciiTheme="minorHAnsi" w:hAnsiTheme="minorHAnsi" w:cstheme="minorBidi"/>
          <w:i/>
          <w:iCs/>
        </w:rPr>
        <w:t xml:space="preserve"> following recurrence or progression on or after AI therapy, with or without a CDK4/6 inhibitor.</w:t>
      </w:r>
    </w:p>
    <w:p w14:paraId="21EBA84C" w14:textId="6269F6B7" w:rsidR="003C1156" w:rsidRPr="00BD33CC" w:rsidRDefault="00831ECC" w:rsidP="00BD33CC">
      <w:pPr>
        <w:spacing w:before="120" w:after="160" w:line="259" w:lineRule="auto"/>
        <w:rPr>
          <w:rFonts w:asciiTheme="minorHAnsi" w:hAnsiTheme="minorHAnsi" w:cstheme="minorBidi"/>
          <w:i/>
          <w:iCs/>
        </w:rPr>
      </w:pPr>
      <w:r w:rsidRPr="00A8312C">
        <w:rPr>
          <w:rFonts w:asciiTheme="minorHAnsi" w:hAnsiTheme="minorHAnsi" w:cstheme="minorBidi"/>
          <w:i/>
          <w:iCs/>
        </w:rPr>
        <w:lastRenderedPageBreak/>
        <w:t xml:space="preserve">The inclusion of HER2- and HER2-low subtypes in the proposed population </w:t>
      </w:r>
      <w:r w:rsidR="009A5249">
        <w:rPr>
          <w:rFonts w:asciiTheme="minorHAnsi" w:hAnsiTheme="minorHAnsi" w:cstheme="minorBidi"/>
          <w:i/>
          <w:iCs/>
        </w:rPr>
        <w:t>are</w:t>
      </w:r>
      <w:r w:rsidRPr="00A8312C">
        <w:rPr>
          <w:rFonts w:asciiTheme="minorHAnsi" w:hAnsiTheme="minorHAnsi" w:cstheme="minorBidi"/>
          <w:i/>
          <w:iCs/>
        </w:rPr>
        <w:t xml:space="preserve"> in accordance with the study population in the key trial (CAPItello- 291). There </w:t>
      </w:r>
      <w:r w:rsidR="00F16C47">
        <w:rPr>
          <w:rFonts w:asciiTheme="minorHAnsi" w:hAnsiTheme="minorHAnsi" w:cstheme="minorBidi"/>
          <w:i/>
          <w:iCs/>
        </w:rPr>
        <w:t>are</w:t>
      </w:r>
      <w:r w:rsidR="00F16C47" w:rsidRPr="00A8312C">
        <w:rPr>
          <w:rFonts w:asciiTheme="minorHAnsi" w:hAnsiTheme="minorHAnsi" w:cstheme="minorBidi"/>
          <w:i/>
          <w:iCs/>
        </w:rPr>
        <w:t xml:space="preserve"> </w:t>
      </w:r>
      <w:r w:rsidRPr="00A8312C">
        <w:rPr>
          <w:rFonts w:asciiTheme="minorHAnsi" w:hAnsiTheme="minorHAnsi" w:cstheme="minorBidi"/>
          <w:i/>
          <w:iCs/>
        </w:rPr>
        <w:t xml:space="preserve">evolving data to suggest </w:t>
      </w:r>
      <w:r w:rsidR="00F16C47">
        <w:rPr>
          <w:rFonts w:asciiTheme="minorHAnsi" w:hAnsiTheme="minorHAnsi" w:cstheme="minorBidi"/>
          <w:i/>
          <w:iCs/>
        </w:rPr>
        <w:t xml:space="preserve">potential </w:t>
      </w:r>
      <w:r w:rsidRPr="00A8312C">
        <w:rPr>
          <w:rFonts w:asciiTheme="minorHAnsi" w:hAnsiTheme="minorHAnsi" w:cstheme="minorBidi"/>
          <w:i/>
          <w:iCs/>
        </w:rPr>
        <w:t xml:space="preserve">treatment benefit in using HER2 inhibitors in patients with HER2-low BC, but </w:t>
      </w:r>
      <w:r w:rsidR="008B6D82">
        <w:rPr>
          <w:rFonts w:asciiTheme="minorHAnsi" w:hAnsiTheme="minorHAnsi" w:cstheme="minorBidi"/>
          <w:i/>
          <w:iCs/>
        </w:rPr>
        <w:t>currently</w:t>
      </w:r>
      <w:r w:rsidRPr="00A8312C">
        <w:rPr>
          <w:rFonts w:asciiTheme="minorHAnsi" w:hAnsiTheme="minorHAnsi" w:cstheme="minorBidi"/>
          <w:i/>
          <w:iCs/>
        </w:rPr>
        <w:t xml:space="preserve">, HER2 inhibitors can only be accessed by patients with HER2+. Hence, </w:t>
      </w:r>
      <w:r w:rsidRPr="00BD33CC">
        <w:rPr>
          <w:rFonts w:asciiTheme="minorHAnsi" w:hAnsiTheme="minorHAnsi" w:cstheme="minorBidi"/>
          <w:i/>
          <w:iCs/>
        </w:rPr>
        <w:t xml:space="preserve">PASC </w:t>
      </w:r>
      <w:r w:rsidRPr="00A8312C">
        <w:rPr>
          <w:rFonts w:asciiTheme="minorHAnsi" w:hAnsiTheme="minorHAnsi" w:cstheme="minorBidi"/>
          <w:i/>
          <w:iCs/>
        </w:rPr>
        <w:t>confirmed the test population should include patients with HER2- and HER2-low subtypes, who are currently not eligible for HER2 inhibitors.</w:t>
      </w:r>
    </w:p>
    <w:p w14:paraId="23FE4523" w14:textId="3217AA26" w:rsidR="001679EC" w:rsidRPr="001679EC" w:rsidRDefault="001679EC" w:rsidP="0023599C">
      <w:pPr>
        <w:pStyle w:val="Heading4"/>
      </w:pPr>
      <w:r w:rsidRPr="001679EC">
        <w:t>Background</w:t>
      </w:r>
    </w:p>
    <w:p w14:paraId="6C1D6E1D" w14:textId="414B9767" w:rsidR="00FF5C2A" w:rsidRDefault="001679EC" w:rsidP="0023599C">
      <w:r w:rsidRPr="001679EC">
        <w:t>Breast cancer</w:t>
      </w:r>
      <w:r w:rsidR="00D7611B">
        <w:t xml:space="preserve"> (BC)</w:t>
      </w:r>
      <w:r w:rsidRPr="001679EC">
        <w:t xml:space="preserve"> is the most common</w:t>
      </w:r>
      <w:r w:rsidR="00FE331A">
        <w:t>ly</w:t>
      </w:r>
      <w:r w:rsidRPr="001679EC">
        <w:t xml:space="preserve"> diagnosed </w:t>
      </w:r>
      <w:r w:rsidR="00FE331A">
        <w:t xml:space="preserve">cancer </w:t>
      </w:r>
      <w:r w:rsidR="00D167FB">
        <w:t>among</w:t>
      </w:r>
      <w:r w:rsidRPr="001679EC">
        <w:t xml:space="preserve"> Australian women</w:t>
      </w:r>
      <w:r w:rsidR="00257A34">
        <w:t xml:space="preserve"> </w:t>
      </w:r>
      <w:r w:rsidR="00257A34">
        <w:fldChar w:fldCharType="begin"/>
      </w:r>
      <w:r w:rsidR="006B6E0D">
        <w:instrText xml:space="preserve"> ADDIN EN.CITE &lt;EndNote&gt;&lt;Cite ExcludeAuth="1"&gt;&lt;Author&gt;Australian Institute of Health and Welfare&lt;/Author&gt;&lt;Year&gt;2022&lt;/Year&gt;&lt;RecNum&gt;32&lt;/RecNum&gt;&lt;Prefix&gt;AIHW &lt;/Prefix&gt;&lt;DisplayText&gt;(AIHW 2022)&lt;/DisplayText&gt;&lt;record&gt;&lt;rec-number&gt;32&lt;/rec-number&gt;&lt;foreign-keys&gt;&lt;key app="EN" db-id="5xftswrv6zts2ke2xrkvxe2zr9e5effztde0" timestamp="1710341404"&gt;32&lt;/key&gt;&lt;/foreign-keys&gt;&lt;ref-type name="Web Page"&gt;12&lt;/ref-type&gt;&lt;contributors&gt;&lt;authors&gt;&lt;author&gt;Australian Institute of Health and Welfare,&lt;/author&gt;&lt;/authors&gt;&lt;/contributors&gt;&lt;titles&gt;&lt;title&gt;Cancer&lt;/title&gt;&lt;/titles&gt;&lt;number&gt;2024 February 01&lt;/number&gt;&lt;dates&gt;&lt;year&gt;2022&lt;/year&gt;&lt;/dates&gt;&lt;urls&gt;&lt;related-urls&gt;&lt;url&gt;https://www.aihw.gov.au/reports/australias-health/cancer&lt;/url&gt;&lt;/related-urls&gt;&lt;/urls&gt;&lt;/record&gt;&lt;/Cite&gt;&lt;/EndNote&gt;</w:instrText>
      </w:r>
      <w:r w:rsidR="00257A34">
        <w:fldChar w:fldCharType="separate"/>
      </w:r>
      <w:r w:rsidR="007E62EA">
        <w:rPr>
          <w:noProof/>
        </w:rPr>
        <w:t>(AIHW 2022)</w:t>
      </w:r>
      <w:r w:rsidR="00257A34">
        <w:fldChar w:fldCharType="end"/>
      </w:r>
      <w:r w:rsidR="00B72634">
        <w:t xml:space="preserve">. </w:t>
      </w:r>
      <w:r w:rsidR="002B16D6">
        <w:t xml:space="preserve">In 2022, </w:t>
      </w:r>
      <w:r w:rsidR="00632B3F">
        <w:t xml:space="preserve">around </w:t>
      </w:r>
      <w:r w:rsidR="00225A70">
        <w:t>20</w:t>
      </w:r>
      <w:r w:rsidR="00FC090C">
        <w:t>,</w:t>
      </w:r>
      <w:r w:rsidR="00257A34">
        <w:t>428</w:t>
      </w:r>
      <w:r w:rsidR="00225A70">
        <w:t xml:space="preserve"> newly diagnosed</w:t>
      </w:r>
      <w:r w:rsidR="00FC090C">
        <w:t xml:space="preserve"> cases of</w:t>
      </w:r>
      <w:r w:rsidR="00225A70">
        <w:t xml:space="preserve"> </w:t>
      </w:r>
      <w:r w:rsidR="00500969">
        <w:t>BC</w:t>
      </w:r>
      <w:r w:rsidR="00225A70">
        <w:t xml:space="preserve"> were reported in Australia, with </w:t>
      </w:r>
      <w:r w:rsidR="00FC090C">
        <w:t>approximately</w:t>
      </w:r>
      <w:r w:rsidR="002B16D6">
        <w:t xml:space="preserve"> </w:t>
      </w:r>
      <w:r w:rsidR="00632B3F">
        <w:t>5</w:t>
      </w:r>
      <w:r w:rsidR="002B16D6">
        <w:t xml:space="preserve">% </w:t>
      </w:r>
      <w:r w:rsidR="00755235">
        <w:t>of the</w:t>
      </w:r>
      <w:r w:rsidR="00FC090C">
        <w:t>se cases classified as</w:t>
      </w:r>
      <w:r w:rsidR="00632B3F">
        <w:t xml:space="preserve"> metastatic</w:t>
      </w:r>
      <w:r w:rsidR="00824B98">
        <w:t xml:space="preserve"> (advanced)</w:t>
      </w:r>
      <w:r w:rsidR="00632B3F">
        <w:t xml:space="preserve"> </w:t>
      </w:r>
      <w:r w:rsidR="003D2CDF">
        <w:t>BC</w:t>
      </w:r>
      <w:r w:rsidR="00257A34">
        <w:t xml:space="preserve"> </w:t>
      </w:r>
      <w:r w:rsidR="000D462B">
        <w:fldChar w:fldCharType="begin"/>
      </w:r>
      <w:r w:rsidR="00FD77B6">
        <w:instrText xml:space="preserve"> ADDIN EN.CITE &lt;EndNote&gt;&lt;Cite ExcludeAuth="1"&gt;&lt;Author&gt;Australian Institute of Health and Welfare&lt;/Author&gt;&lt;Year&gt;2022&lt;/Year&gt;&lt;RecNum&gt;32&lt;/RecNum&gt;&lt;Prefix&gt;AIHW &lt;/Prefix&gt;&lt;DisplayText&gt;(AIHW 2022; Cancer Australia 2019)&lt;/DisplayText&gt;&lt;record&gt;&lt;rec-number&gt;32&lt;/rec-number&gt;&lt;foreign-keys&gt;&lt;key app="EN" db-id="5xftswrv6zts2ke2xrkvxe2zr9e5effztde0" timestamp="1710341404"&gt;32&lt;/key&gt;&lt;/foreign-keys&gt;&lt;ref-type name="Web Page"&gt;12&lt;/ref-type&gt;&lt;contributors&gt;&lt;authors&gt;&lt;author&gt;Australian Institute of Health and Welfare,&lt;/author&gt;&lt;/authors&gt;&lt;/contributors&gt;&lt;titles&gt;&lt;title&gt;Cancer&lt;/title&gt;&lt;/titles&gt;&lt;number&gt;2024 February 01&lt;/number&gt;&lt;dates&gt;&lt;year&gt;2022&lt;/year&gt;&lt;/dates&gt;&lt;urls&gt;&lt;related-urls&gt;&lt;url&gt;https://www.aihw.gov.au/reports/australias-health/cancer&lt;/url&gt;&lt;/related-urls&gt;&lt;/urls&gt;&lt;/record&gt;&lt;/Cite&gt;&lt;Cite&gt;&lt;Author&gt;Cancer Australia&lt;/Author&gt;&lt;Year&gt;2019&lt;/Year&gt;&lt;RecNum&gt;94&lt;/RecNum&gt;&lt;record&gt;&lt;rec-number&gt;94&lt;/rec-number&gt;&lt;foreign-keys&gt;&lt;key app="EN" db-id="00x55w5599xfwne5w54pxtd5d0pfwrdtfx5z" timestamp="1710302922"&gt;94&lt;/key&gt;&lt;/foreign-keys&gt;&lt;ref-type name="Web Page"&gt;12&lt;/ref-type&gt;&lt;contributors&gt;&lt;authors&gt;&lt;author&gt;Cancer Australia,&lt;/author&gt;&lt;/authors&gt;&lt;/contributors&gt;&lt;titles&gt;&lt;title&gt;Top 10 best practices for people with metastatic breast cancer&lt;/title&gt;&lt;/titles&gt;&lt;number&gt;2024 March 13&lt;/number&gt;&lt;dates&gt;&lt;year&gt;2019&lt;/year&gt;&lt;/dates&gt;&lt;urls&gt;&lt;related-urls&gt;&lt;url&gt;https://www.canceraustralia.gov.au/about-us/news/top-10-best-practices-people-metastatic-breast-cancer&lt;/url&gt;&lt;/related-urls&gt;&lt;/urls&gt;&lt;custom1&gt;2024&lt;/custom1&gt;&lt;custom2&gt;Mac 13&lt;/custom2&gt;&lt;/record&gt;&lt;/Cite&gt;&lt;/EndNote&gt;</w:instrText>
      </w:r>
      <w:r w:rsidR="000D462B">
        <w:fldChar w:fldCharType="separate"/>
      </w:r>
      <w:r w:rsidR="00FD77B6">
        <w:rPr>
          <w:noProof/>
        </w:rPr>
        <w:t>(AIHW 2022; Cancer Australia 2019)</w:t>
      </w:r>
      <w:r w:rsidR="000D462B">
        <w:fldChar w:fldCharType="end"/>
      </w:r>
      <w:r w:rsidR="002B16D6">
        <w:t xml:space="preserve">. </w:t>
      </w:r>
      <w:r w:rsidR="006F5549">
        <w:t>While the</w:t>
      </w:r>
      <w:r w:rsidR="00D0047B">
        <w:t xml:space="preserve"> </w:t>
      </w:r>
      <w:r w:rsidR="005C19A0">
        <w:t>overall relative</w:t>
      </w:r>
      <w:r w:rsidR="00D0047B">
        <w:t xml:space="preserve"> 5-year survival rate for </w:t>
      </w:r>
      <w:r w:rsidR="00500969">
        <w:t>BC</w:t>
      </w:r>
      <w:r w:rsidR="00D0047B">
        <w:t xml:space="preserve"> </w:t>
      </w:r>
      <w:r w:rsidR="00824B98">
        <w:t xml:space="preserve">is </w:t>
      </w:r>
      <w:r w:rsidR="006F5549">
        <w:t xml:space="preserve">good at </w:t>
      </w:r>
      <w:r w:rsidR="00D0047B">
        <w:t>92%</w:t>
      </w:r>
      <w:r w:rsidR="006F5549">
        <w:t>, the survival rates</w:t>
      </w:r>
      <w:r w:rsidR="00632B3F">
        <w:t xml:space="preserve"> var</w:t>
      </w:r>
      <w:r w:rsidR="006F5549">
        <w:t>y</w:t>
      </w:r>
      <w:r w:rsidR="005C19A0">
        <w:t xml:space="preserve"> depending on </w:t>
      </w:r>
      <w:r w:rsidR="00824B98">
        <w:t>certain prognostic factors</w:t>
      </w:r>
      <w:r w:rsidR="00755235">
        <w:t>,</w:t>
      </w:r>
      <w:r w:rsidR="00824B98">
        <w:t xml:space="preserve"> including patient characteristics, stage of disease and hormon</w:t>
      </w:r>
      <w:r w:rsidR="00E439EA">
        <w:t>e</w:t>
      </w:r>
      <w:r w:rsidR="005B51D1">
        <w:t xml:space="preserve"> receptor</w:t>
      </w:r>
      <w:r w:rsidR="00824B98">
        <w:t xml:space="preserve"> (HR) and HER2 status </w:t>
      </w:r>
      <w:r w:rsidR="00D0425D">
        <w:fldChar w:fldCharType="begin"/>
      </w:r>
      <w:r w:rsidR="005B3C64">
        <w:instrText xml:space="preserve"> ADDIN EN.CITE &lt;EndNote&gt;&lt;Cite ExcludeAuth="1"&gt;&lt;Author&gt;National Breast Cancer Foundation&lt;/Author&gt;&lt;Year&gt;2024&lt;/Year&gt;&lt;RecNum&gt;2&lt;/RecNum&gt;&lt;Prefix&gt;NBCF &lt;/Prefix&gt;&lt;DisplayText&gt;(NBCF 2024)&lt;/DisplayText&gt;&lt;record&gt;&lt;rec-number&gt;2&lt;/rec-number&gt;&lt;foreign-keys&gt;&lt;key app="EN" db-id="5xftswrv6zts2ke2xrkvxe2zr9e5effztde0" timestamp="1706763117"&gt;2&lt;/key&gt;&lt;/foreign-keys&gt;&lt;ref-type name="Web Page"&gt;12&lt;/ref-type&gt;&lt;contributors&gt;&lt;authors&gt;&lt;author&gt;National Breast Cancer Foundation,&lt;/author&gt;&lt;/authors&gt;&lt;/contributors&gt;&lt;titles&gt;&lt;title&gt;Breast Cancer Stats&lt;/title&gt;&lt;/titles&gt;&lt;number&gt;2024 February 01&lt;/number&gt;&lt;dates&gt;&lt;year&gt;2024&lt;/year&gt;&lt;/dates&gt;&lt;work-type&gt;Internet&lt;/work-type&gt;&lt;urls&gt;&lt;related-urls&gt;&lt;url&gt;https://nbcf.org.au/about-breast-cancer/breast-cancer-stats/#:~:text=1%20in%207%20women%20are,including%2030%2D40%20males).&lt;/url&gt;&lt;/related-urls&gt;&lt;/urls&gt;&lt;/record&gt;&lt;/Cite&gt;&lt;/EndNote&gt;</w:instrText>
      </w:r>
      <w:r w:rsidR="00D0425D">
        <w:fldChar w:fldCharType="separate"/>
      </w:r>
      <w:r w:rsidR="005B3C64">
        <w:rPr>
          <w:noProof/>
        </w:rPr>
        <w:t>(NBCF 2024)</w:t>
      </w:r>
      <w:r w:rsidR="00D0425D">
        <w:fldChar w:fldCharType="end"/>
      </w:r>
      <w:r w:rsidR="005C19A0">
        <w:t>.</w:t>
      </w:r>
      <w:r w:rsidR="00460DA7">
        <w:t xml:space="preserve"> </w:t>
      </w:r>
      <w:r w:rsidR="00C22C6A">
        <w:t>Notably, w</w:t>
      </w:r>
      <w:r w:rsidR="00460DA7">
        <w:t>omen with stage</w:t>
      </w:r>
      <w:r w:rsidR="00D262D3">
        <w:t>s</w:t>
      </w:r>
      <w:r w:rsidR="00460DA7">
        <w:t xml:space="preserve"> 3 </w:t>
      </w:r>
      <w:r w:rsidR="00FC542D">
        <w:t>(l</w:t>
      </w:r>
      <w:r w:rsidR="00FC542D" w:rsidRPr="00FC542D">
        <w:t>ocally advanced</w:t>
      </w:r>
      <w:r w:rsidR="00FC542D">
        <w:t>)</w:t>
      </w:r>
      <w:r w:rsidR="00FC542D" w:rsidRPr="00FC542D">
        <w:t xml:space="preserve"> </w:t>
      </w:r>
      <w:r w:rsidR="00460DA7">
        <w:t xml:space="preserve">and 4 </w:t>
      </w:r>
      <w:r w:rsidR="00FC542D">
        <w:t>(advanced/metastatic</w:t>
      </w:r>
      <w:r w:rsidR="004A3462">
        <w:t>)</w:t>
      </w:r>
      <w:r w:rsidR="00FC542D">
        <w:t xml:space="preserve"> </w:t>
      </w:r>
      <w:r w:rsidR="00500969">
        <w:t>BC</w:t>
      </w:r>
      <w:r w:rsidR="00460DA7">
        <w:t xml:space="preserve"> </w:t>
      </w:r>
      <w:r w:rsidR="00824B98">
        <w:t>have</w:t>
      </w:r>
      <w:r w:rsidR="00460DA7">
        <w:t xml:space="preserve"> lower 5-year survival rates of </w:t>
      </w:r>
      <w:r w:rsidR="00D0047B">
        <w:t xml:space="preserve">81% and 32%, respectively </w:t>
      </w:r>
      <w:r w:rsidR="00D0047B">
        <w:fldChar w:fldCharType="begin"/>
      </w:r>
      <w:r w:rsidR="005B3C64">
        <w:instrText xml:space="preserve"> ADDIN EN.CITE &lt;EndNote&gt;&lt;Cite ExcludeAuth="1"&gt;&lt;Author&gt;National Breast Cancer Foundation&lt;/Author&gt;&lt;Year&gt;2024&lt;/Year&gt;&lt;RecNum&gt;2&lt;/RecNum&gt;&lt;Prefix&gt;NCBF &lt;/Prefix&gt;&lt;DisplayText&gt;(NCBF 2024)&lt;/DisplayText&gt;&lt;record&gt;&lt;rec-number&gt;2&lt;/rec-number&gt;&lt;foreign-keys&gt;&lt;key app="EN" db-id="5xftswrv6zts2ke2xrkvxe2zr9e5effztde0" timestamp="1706763117"&gt;2&lt;/key&gt;&lt;/foreign-keys&gt;&lt;ref-type name="Web Page"&gt;12&lt;/ref-type&gt;&lt;contributors&gt;&lt;authors&gt;&lt;author&gt;National Breast Cancer Foundation,&lt;/author&gt;&lt;/authors&gt;&lt;/contributors&gt;&lt;titles&gt;&lt;title&gt;Breast Cancer Stats&lt;/title&gt;&lt;/titles&gt;&lt;number&gt;2024 February 01&lt;/number&gt;&lt;dates&gt;&lt;year&gt;2024&lt;/year&gt;&lt;/dates&gt;&lt;work-type&gt;Internet&lt;/work-type&gt;&lt;urls&gt;&lt;related-urls&gt;&lt;url&gt;https://nbcf.org.au/about-breast-cancer/breast-cancer-stats/#:~:text=1%20in%207%20women%20are,including%2030%2D40%20males).&lt;/url&gt;&lt;/related-urls&gt;&lt;/urls&gt;&lt;/record&gt;&lt;/Cite&gt;&lt;/EndNote&gt;</w:instrText>
      </w:r>
      <w:r w:rsidR="00D0047B">
        <w:fldChar w:fldCharType="separate"/>
      </w:r>
      <w:r w:rsidR="005B3C64">
        <w:rPr>
          <w:noProof/>
        </w:rPr>
        <w:t>(NCBF 2024)</w:t>
      </w:r>
      <w:r w:rsidR="00D0047B">
        <w:fldChar w:fldCharType="end"/>
      </w:r>
      <w:r w:rsidR="00D0047B">
        <w:t>.</w:t>
      </w:r>
      <w:r w:rsidR="00225A70">
        <w:t xml:space="preserve"> </w:t>
      </w:r>
    </w:p>
    <w:p w14:paraId="2F50E304" w14:textId="41EA164A" w:rsidR="00FF5C2A" w:rsidRDefault="00A764D2" w:rsidP="0023599C">
      <w:pPr>
        <w:pStyle w:val="Heading4"/>
      </w:pPr>
      <w:r>
        <w:t>HR+/HER2-</w:t>
      </w:r>
    </w:p>
    <w:p w14:paraId="3890C776" w14:textId="14BD044C" w:rsidR="00CC434A" w:rsidRDefault="00A764D2" w:rsidP="0023599C">
      <w:r w:rsidRPr="00A764D2">
        <w:t>H</w:t>
      </w:r>
      <w:r>
        <w:t xml:space="preserve">R+/HER2- </w:t>
      </w:r>
      <w:r w:rsidR="00533F11">
        <w:t>BC</w:t>
      </w:r>
      <w:r w:rsidRPr="00A764D2">
        <w:t xml:space="preserve"> is the most </w:t>
      </w:r>
      <w:r>
        <w:t>common</w:t>
      </w:r>
      <w:r w:rsidRPr="00A764D2">
        <w:t xml:space="preserve"> </w:t>
      </w:r>
      <w:r>
        <w:t>sub</w:t>
      </w:r>
      <w:r w:rsidRPr="00A764D2">
        <w:t>type,</w:t>
      </w:r>
      <w:r>
        <w:t xml:space="preserve"> accounting for 70% of </w:t>
      </w:r>
      <w:r w:rsidR="00CA1778">
        <w:t>metastatic</w:t>
      </w:r>
      <w:r w:rsidR="00DD5193">
        <w:t xml:space="preserve"> breast cancer</w:t>
      </w:r>
      <w:r w:rsidR="00CA1778">
        <w:t xml:space="preserve"> </w:t>
      </w:r>
      <w:r>
        <w:t xml:space="preserve"> </w:t>
      </w:r>
      <w:r w:rsidR="00CA1778">
        <w:t>(MBC)</w:t>
      </w:r>
      <w:r w:rsidR="00DD5193">
        <w:t xml:space="preserve"> cases</w:t>
      </w:r>
      <w:r>
        <w:t xml:space="preserve"> </w:t>
      </w:r>
      <w:r>
        <w:fldChar w:fldCharType="begin"/>
      </w:r>
      <w:r w:rsidR="00FD77B6">
        <w:instrText xml:space="preserve"> ADDIN EN.CITE &lt;EndNote&gt;&lt;Cite&gt;&lt;Author&gt;Turner&lt;/Author&gt;&lt;Year&gt;2023&lt;/Year&gt;&lt;RecNum&gt;6&lt;/RecNum&gt;&lt;DisplayText&gt;(Turner et al. 2023)&lt;/DisplayText&gt;&lt;record&gt;&lt;rec-number&gt;6&lt;/rec-number&gt;&lt;foreign-keys&gt;&lt;key app="EN" db-id="5xftswrv6zts2ke2xrkvxe2zr9e5effztde0" timestamp="1706842485"&gt;6&lt;/key&gt;&lt;/foreign-keys&gt;&lt;ref-type name="Journal Article"&gt;17&lt;/ref-type&gt;&lt;contributors&gt;&lt;authors&gt;&lt;author&gt;Turner, Nicholas C.&lt;/author&gt;&lt;author&gt;Oliveira, Mafalda&lt;/author&gt;&lt;author&gt;Howell, Sacha J.&lt;/author&gt;&lt;author&gt;Dalenc, Florence&lt;/author&gt;&lt;author&gt;Cortes, Javier&lt;/author&gt;&lt;author&gt;Gomez Moreno, Henry L.&lt;/author&gt;&lt;author&gt;Hu, Xichun&lt;/author&gt;&lt;author&gt;Jhaveri, Komal&lt;/author&gt;&lt;author&gt;Krivorotko, Petr&lt;/author&gt;&lt;author&gt;Loibl, Sibylle&lt;/author&gt;&lt;author&gt;Morales Murillo, Serafin&lt;/author&gt;&lt;author&gt;Okera, Meena&lt;/author&gt;&lt;author&gt;Park, Yeon Hee&lt;/author&gt;&lt;author&gt;Sohn, Joohyuk&lt;/author&gt;&lt;author&gt;Toi, Masakazu&lt;/author&gt;&lt;author&gt;Tokunaga, Eriko&lt;/author&gt;&lt;author&gt;Yousef, Samih&lt;/author&gt;&lt;author&gt;Zhukova, Lyudmila&lt;/author&gt;&lt;author&gt;De Bruin, Elza C.&lt;/author&gt;&lt;author&gt;Grinsted, Lynda&lt;/author&gt;&lt;author&gt;Schiavon, Gaia&lt;/author&gt;&lt;author&gt;Foxley, Andrew&lt;/author&gt;&lt;author&gt;Rugo, Hope S.&lt;/author&gt;&lt;/authors&gt;&lt;/contributors&gt;&lt;titles&gt;&lt;title&gt;Capivasertib in Hormone Receptor–Positive Advanced Breast Cancer&lt;/title&gt;&lt;secondary-title&gt;New England Journal of Medicine&lt;/secondary-title&gt;&lt;/titles&gt;&lt;periodical&gt;&lt;full-title&gt;New England Journal of Medicine&lt;/full-title&gt;&lt;/periodical&gt;&lt;pages&gt;2058-2070&lt;/pages&gt;&lt;volume&gt;388&lt;/volume&gt;&lt;number&gt;22&lt;/number&gt;&lt;dates&gt;&lt;year&gt;2023&lt;/year&gt;&lt;/dates&gt;&lt;publisher&gt;Massachusetts Medical Society&lt;/publisher&gt;&lt;isbn&gt;0028-4793&lt;/isbn&gt;&lt;urls&gt;&lt;related-urls&gt;&lt;url&gt;https://dx.doi.org/10.1056/nejmoa2214131&lt;/url&gt;&lt;/related-urls&gt;&lt;/urls&gt;&lt;electronic-resource-num&gt;10.1056/nejmoa2214131&lt;/electronic-resource-num&gt;&lt;/record&gt;&lt;/Cite&gt;&lt;/EndNote&gt;</w:instrText>
      </w:r>
      <w:r>
        <w:fldChar w:fldCharType="separate"/>
      </w:r>
      <w:r w:rsidR="00FD77B6">
        <w:rPr>
          <w:noProof/>
        </w:rPr>
        <w:t>(Turner et al. 2023)</w:t>
      </w:r>
      <w:r>
        <w:fldChar w:fldCharType="end"/>
      </w:r>
      <w:r>
        <w:t xml:space="preserve">. </w:t>
      </w:r>
      <w:r w:rsidR="000156B4">
        <w:t>HR+ p</w:t>
      </w:r>
      <w:r w:rsidR="008F7CC1">
        <w:t>atients</w:t>
      </w:r>
      <w:r w:rsidR="000156B4">
        <w:t xml:space="preserve"> </w:t>
      </w:r>
      <w:r w:rsidR="008F7CC1">
        <w:t xml:space="preserve">harbour tumour cells with </w:t>
      </w:r>
      <w:r w:rsidR="00234142">
        <w:t xml:space="preserve">receptors for </w:t>
      </w:r>
      <w:r w:rsidR="008F7CC1">
        <w:t>estrogen</w:t>
      </w:r>
      <w:r w:rsidR="001424DE">
        <w:t xml:space="preserve"> and/or </w:t>
      </w:r>
      <w:r w:rsidR="008F7CC1">
        <w:t xml:space="preserve">progesterone, in which the hormones </w:t>
      </w:r>
      <w:r w:rsidR="001424DE">
        <w:t>drive</w:t>
      </w:r>
      <w:r w:rsidR="008F7CC1">
        <w:t xml:space="preserve"> growth of HR+ tumours. On the other hand, HER2- </w:t>
      </w:r>
      <w:r w:rsidR="00AB502C">
        <w:t>indicates</w:t>
      </w:r>
      <w:r w:rsidR="008F7CC1">
        <w:t xml:space="preserve"> absence of </w:t>
      </w:r>
      <w:r w:rsidR="001424DE">
        <w:t xml:space="preserve">amplified </w:t>
      </w:r>
      <w:r w:rsidR="008F7CC1">
        <w:t>HER2/neu protein production by tumour cells, which is associated with less aggressive and invasive type of BC</w:t>
      </w:r>
      <w:r w:rsidR="002B3F9A">
        <w:t xml:space="preserve">. </w:t>
      </w:r>
      <w:r w:rsidR="00824B98">
        <w:t>M</w:t>
      </w:r>
      <w:r w:rsidRPr="00A764D2">
        <w:t xml:space="preserve">any </w:t>
      </w:r>
      <w:r w:rsidR="002B3F9A">
        <w:t>HR</w:t>
      </w:r>
      <w:r w:rsidR="00FC7F5E">
        <w:t>+</w:t>
      </w:r>
      <w:r w:rsidR="002B3F9A">
        <w:t xml:space="preserve">/HER2- </w:t>
      </w:r>
      <w:r w:rsidRPr="00A764D2">
        <w:t>patients experience disease progression despite receiving first line</w:t>
      </w:r>
      <w:r w:rsidR="00801D70">
        <w:t xml:space="preserve"> (1L)</w:t>
      </w:r>
      <w:r w:rsidRPr="00A764D2">
        <w:t xml:space="preserve"> treatment </w:t>
      </w:r>
      <w:r w:rsidR="00D262D3">
        <w:t xml:space="preserve">with </w:t>
      </w:r>
      <w:r w:rsidR="00A03C5C">
        <w:t>ET</w:t>
      </w:r>
      <w:r w:rsidRPr="00A764D2">
        <w:t xml:space="preserve"> </w:t>
      </w:r>
      <w:r w:rsidR="00E85D23">
        <w:t>+</w:t>
      </w:r>
      <w:r>
        <w:t xml:space="preserve"> </w:t>
      </w:r>
      <w:r w:rsidRPr="00A764D2">
        <w:t>CDK4/6 inhibitor</w:t>
      </w:r>
      <w:r>
        <w:t xml:space="preserve">, and </w:t>
      </w:r>
      <w:r w:rsidRPr="00A764D2">
        <w:t>distant re</w:t>
      </w:r>
      <w:r>
        <w:t>currences</w:t>
      </w:r>
      <w:r w:rsidRPr="00A764D2">
        <w:t xml:space="preserve"> remain unmet challenges</w:t>
      </w:r>
      <w:r>
        <w:t xml:space="preserve"> </w:t>
      </w:r>
      <w:r>
        <w:fldChar w:fldCharType="begin">
          <w:fldData xml:space="preserve">PEVuZE5vdGU+PENpdGU+PEF1dGhvcj5UdXJuZXI8L0F1dGhvcj48WWVhcj4yMDIzPC9ZZWFyPjxS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==
</w:fldData>
        </w:fldChar>
      </w:r>
      <w:r w:rsidR="00FD77B6">
        <w:instrText xml:space="preserve"> ADDIN EN.CITE </w:instrText>
      </w:r>
      <w:r w:rsidR="00FD77B6">
        <w:fldChar w:fldCharType="begin">
          <w:fldData xml:space="preserve">PEVuZE5vdGU+PENpdGU+PEF1dGhvcj5UdXJuZXI8L0F1dGhvcj48WWVhcj4yMDIzPC9ZZWFyPjxS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==
</w:fldData>
        </w:fldChar>
      </w:r>
      <w:r w:rsidR="00FD77B6">
        <w:instrText xml:space="preserve"> ADDIN EN.CITE.DATA </w:instrText>
      </w:r>
      <w:r w:rsidR="00FD77B6">
        <w:fldChar w:fldCharType="end"/>
      </w:r>
      <w:r>
        <w:fldChar w:fldCharType="separate"/>
      </w:r>
      <w:r w:rsidR="00FD77B6">
        <w:rPr>
          <w:noProof/>
        </w:rPr>
        <w:t>(Jin et al. 2023; Turner et al. 2023)</w:t>
      </w:r>
      <w:r>
        <w:fldChar w:fldCharType="end"/>
      </w:r>
      <w:r w:rsidRPr="00A764D2">
        <w:t>.</w:t>
      </w:r>
      <w:r w:rsidR="00BD0617">
        <w:t xml:space="preserve"> </w:t>
      </w:r>
      <w:r w:rsidR="00D46357">
        <w:t>T</w:t>
      </w:r>
      <w:r w:rsidR="00FC7F5E">
        <w:t>he 5-year survival rate of advanced BC with HR+/HER2- subtype was lower</w:t>
      </w:r>
      <w:r w:rsidR="00D46357">
        <w:t xml:space="preserve"> at a rate of 34%, compared to </w:t>
      </w:r>
      <w:r w:rsidR="00FC7F5E">
        <w:t>HR+/HER2+ (46%) and HR-/HER2+ (40%) subtypes</w:t>
      </w:r>
      <w:r w:rsidR="00AB459C">
        <w:t xml:space="preserve"> </w:t>
      </w:r>
      <w:r w:rsidR="00AB459C">
        <w:fldChar w:fldCharType="begin"/>
      </w:r>
      <w:r w:rsidR="008B3C9F">
        <w:instrText xml:space="preserve"> ADDIN EN.CITE &lt;EndNote&gt;&lt;Cite ExcludeAuth="1"&gt;&lt;Author&gt;National Cancer Institute&lt;/Author&gt;&lt;Year&gt;2024&lt;/Year&gt;&lt;RecNum&gt;4&lt;/RecNum&gt;&lt;Prefix&gt;NCI &lt;/Prefix&gt;&lt;DisplayText&gt;(NCI 2024)&lt;/DisplayText&gt;&lt;record&gt;&lt;rec-number&gt;4&lt;/rec-number&gt;&lt;foreign-keys&gt;&lt;key app="EN" db-id="5xftswrv6zts2ke2xrkvxe2zr9e5effztde0" timestamp="1706833360"&gt;4&lt;/key&gt;&lt;/foreign-keys&gt;&lt;ref-type name="Web Page"&gt;12&lt;/ref-type&gt;&lt;contributors&gt;&lt;authors&gt;&lt;author&gt;National Cancer Institute,&lt;/author&gt;&lt;/authors&gt;&lt;/contributors&gt;&lt;titles&gt;&lt;title&gt;Cancer Stat Facts: Female Breast Cancer Subtypes&lt;/title&gt;&lt;/titles&gt;&lt;number&gt;2024 February 02&lt;/number&gt;&lt;dates&gt;&lt;year&gt;2024&lt;/year&gt;&lt;/dates&gt;&lt;work-type&gt;Internet&lt;/work-type&gt;&lt;urls&gt;&lt;related-urls&gt;&lt;url&gt;https://seer.cancer.gov/statfacts/html/breast-subtypes.html&lt;/url&gt;&lt;/related-urls&gt;&lt;/urls&gt;&lt;/record&gt;&lt;/Cite&gt;&lt;/EndNote&gt;</w:instrText>
      </w:r>
      <w:r w:rsidR="00AB459C">
        <w:fldChar w:fldCharType="separate"/>
      </w:r>
      <w:r w:rsidR="008B3C9F">
        <w:rPr>
          <w:noProof/>
        </w:rPr>
        <w:t>(NCI 2024)</w:t>
      </w:r>
      <w:r w:rsidR="00AB459C">
        <w:fldChar w:fldCharType="end"/>
      </w:r>
      <w:r w:rsidR="00234142">
        <w:t>.</w:t>
      </w:r>
      <w:r w:rsidR="00E9103E" w:rsidRPr="00E9103E">
        <w:t xml:space="preserve"> The survival rate of HER2+ </w:t>
      </w:r>
      <w:r w:rsidR="00500969">
        <w:t>BC</w:t>
      </w:r>
      <w:r w:rsidR="00E9103E" w:rsidRPr="00E9103E">
        <w:t xml:space="preserve"> patients appeared to </w:t>
      </w:r>
      <w:r w:rsidR="00824B98">
        <w:t>improve</w:t>
      </w:r>
      <w:r w:rsidR="00E9103E" w:rsidRPr="00802F23">
        <w:t xml:space="preserve"> </w:t>
      </w:r>
      <w:r w:rsidR="00824B98">
        <w:t>with the</w:t>
      </w:r>
      <w:r w:rsidR="00E9103E" w:rsidRPr="00802F23">
        <w:t xml:space="preserve"> availability of</w:t>
      </w:r>
      <w:r w:rsidR="00072FE8" w:rsidRPr="00802F23">
        <w:t xml:space="preserve"> new </w:t>
      </w:r>
      <w:r w:rsidR="00E9103E" w:rsidRPr="00802F23">
        <w:t>HER2</w:t>
      </w:r>
      <w:r w:rsidR="009C3BC0" w:rsidRPr="00802F23">
        <w:t xml:space="preserve"> </w:t>
      </w:r>
      <w:r w:rsidR="00E9103E" w:rsidRPr="00802F23">
        <w:t>targeted treatment</w:t>
      </w:r>
      <w:r w:rsidR="00EF7005">
        <w:t>s</w:t>
      </w:r>
      <w:r w:rsidR="00E9103E" w:rsidRPr="00802F23">
        <w:t xml:space="preserve"> </w:t>
      </w:r>
      <w:r w:rsidR="006B6E0D">
        <w:fldChar w:fldCharType="begin">
          <w:fldData xml:space="preserve">PEVuZE5vdGU+PENpdGU+PEF1dGhvcj5KaW48L0F1dGhvcj48WWVhcj4yMDIzPC9ZZWFyPjxSZWNO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</w:fldData>
        </w:fldChar>
      </w:r>
      <w:r w:rsidR="00FD77B6">
        <w:instrText xml:space="preserve"> ADDIN EN.CITE </w:instrText>
      </w:r>
      <w:r w:rsidR="00FD77B6">
        <w:fldChar w:fldCharType="begin">
          <w:fldData xml:space="preserve">PEVuZE5vdGU+PENpdGU+PEF1dGhvcj5KaW48L0F1dGhvcj48WWVhcj4yMDIzPC9ZZWFyPjxSZWNO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</w:fldData>
        </w:fldChar>
      </w:r>
      <w:r w:rsidR="00FD77B6">
        <w:instrText xml:space="preserve"> ADDIN EN.CITE.DATA </w:instrText>
      </w:r>
      <w:r w:rsidR="00FD77B6">
        <w:fldChar w:fldCharType="end"/>
      </w:r>
      <w:r w:rsidR="006B6E0D">
        <w:fldChar w:fldCharType="separate"/>
      </w:r>
      <w:r w:rsidR="00FD77B6">
        <w:rPr>
          <w:noProof/>
        </w:rPr>
        <w:t>(Jin et al. 2023; Swain et al. 2023)</w:t>
      </w:r>
      <w:r w:rsidR="006B6E0D">
        <w:fldChar w:fldCharType="end"/>
      </w:r>
      <w:r w:rsidR="00023DAF" w:rsidRPr="00802F23">
        <w:t>.</w:t>
      </w:r>
      <w:r w:rsidR="00824B98">
        <w:t xml:space="preserve"> </w:t>
      </w:r>
      <w:r w:rsidR="00023DAF" w:rsidRPr="00802F23">
        <w:t>HER2</w:t>
      </w:r>
      <w:r w:rsidR="001B6CB3" w:rsidRPr="00802F23">
        <w:t xml:space="preserve"> ta</w:t>
      </w:r>
      <w:r w:rsidR="00023DAF" w:rsidRPr="00802F23">
        <w:t>rgeted treatment</w:t>
      </w:r>
      <w:r w:rsidR="00D262D3">
        <w:t>s</w:t>
      </w:r>
      <w:r w:rsidR="00023DAF" w:rsidRPr="00802F23">
        <w:t xml:space="preserve"> </w:t>
      </w:r>
      <w:r w:rsidR="00D262D3">
        <w:t>were</w:t>
      </w:r>
      <w:r w:rsidR="00D262D3" w:rsidRPr="00802F23">
        <w:t xml:space="preserve"> </w:t>
      </w:r>
      <w:r w:rsidR="00023DAF" w:rsidRPr="00802F23">
        <w:t xml:space="preserve">effective in HER2+ as well as </w:t>
      </w:r>
      <w:r w:rsidR="001424DE">
        <w:t xml:space="preserve">potentially </w:t>
      </w:r>
      <w:r w:rsidR="00023DAF" w:rsidRPr="00802F23">
        <w:t xml:space="preserve">HER2-low </w:t>
      </w:r>
      <w:r w:rsidR="00407292">
        <w:t>BC</w:t>
      </w:r>
      <w:r w:rsidR="00F4665A" w:rsidRPr="00802F23">
        <w:t xml:space="preserve"> patients, leading to reclassification of HER2- into HER2-low and HER2- status </w:t>
      </w:r>
      <w:r w:rsidR="00F4665A" w:rsidRPr="00802F23">
        <w:fldChar w:fldCharType="begin"/>
      </w:r>
      <w:r w:rsidR="00FD77B6">
        <w:instrText xml:space="preserve"> ADDIN EN.CITE &lt;EndNote&gt;&lt;Cite&gt;&lt;Author&gt;Li&lt;/Author&gt;&lt;Year&gt;2023&lt;/Year&gt;&lt;RecNum&gt;24&lt;/RecNum&gt;&lt;DisplayText&gt;(Li et al. 2023)&lt;/DisplayText&gt;&lt;record&gt;&lt;rec-number&gt;24&lt;/rec-number&gt;&lt;foreign-keys&gt;&lt;key app="EN" db-id="5xftswrv6zts2ke2xrkvxe2zr9e5effztde0" timestamp="1708396324"&gt;24&lt;/key&gt;&lt;/foreign-keys&gt;&lt;ref-type name="Journal Article"&gt;17&lt;/ref-type&gt;&lt;contributors&gt;&lt;authors&gt;&lt;author&gt;Li, Yuyang&lt;/author&gt;&lt;author&gt;Tsang, Julia Y.&lt;/author&gt;&lt;author&gt;Tam, Fiona&lt;/author&gt;&lt;author&gt;Loong, Thomson&lt;/author&gt;&lt;author&gt;Tse, Gary M.&lt;/author&gt;&lt;/authors&gt;&lt;/contributors&gt;&lt;titles&gt;&lt;title&gt;Comprehensive characterization of HER2-low breast cancers: implications in prognosis and treatment&lt;/title&gt;&lt;secondary-title&gt;eBioMedicine&lt;/secondary-title&gt;&lt;/titles&gt;&lt;periodical&gt;&lt;full-title&gt;eBioMedicine&lt;/full-title&gt;&lt;/periodical&gt;&lt;pages&gt;104571&lt;/pages&gt;&lt;volume&gt;91&lt;/volume&gt;&lt;dates&gt;&lt;year&gt;2023&lt;/year&gt;&lt;/dates&gt;&lt;publisher&gt;Elsevier BV&lt;/publisher&gt;&lt;isbn&gt;2352-3964&lt;/isbn&gt;&lt;urls&gt;&lt;related-urls&gt;&lt;url&gt;https://dx.doi.org/10.1016/j.ebiom.2023.104571&lt;/url&gt;&lt;/related-urls&gt;&lt;/urls&gt;&lt;electronic-resource-num&gt;10.1016/j.ebiom.2023.104571&lt;/electronic-resource-num&gt;&lt;/record&gt;&lt;/Cite&gt;&lt;/EndNote&gt;</w:instrText>
      </w:r>
      <w:r w:rsidR="00F4665A" w:rsidRPr="00802F23">
        <w:fldChar w:fldCharType="separate"/>
      </w:r>
      <w:r w:rsidR="00FD77B6">
        <w:rPr>
          <w:noProof/>
        </w:rPr>
        <w:t>(Li et al. 2023)</w:t>
      </w:r>
      <w:r w:rsidR="00F4665A" w:rsidRPr="00802F23">
        <w:fldChar w:fldCharType="end"/>
      </w:r>
      <w:r w:rsidR="00F4665A" w:rsidRPr="00802F23">
        <w:t>.</w:t>
      </w:r>
      <w:r w:rsidR="00802F23">
        <w:t xml:space="preserve"> </w:t>
      </w:r>
    </w:p>
    <w:p w14:paraId="2CBDCF25" w14:textId="2D464A16" w:rsidR="00FF5D12" w:rsidRDefault="00F831DB" w:rsidP="0023599C">
      <w:r>
        <w:t>A</w:t>
      </w:r>
      <w:r w:rsidR="00675A82">
        <w:t xml:space="preserve">bout </w:t>
      </w:r>
      <w:r w:rsidR="00E62847">
        <w:t xml:space="preserve">one third </w:t>
      </w:r>
      <w:r w:rsidR="00675A82">
        <w:t xml:space="preserve">of patients with HR+/HER2- </w:t>
      </w:r>
      <w:r w:rsidR="00D262D3">
        <w:t xml:space="preserve">MBC </w:t>
      </w:r>
      <w:r w:rsidR="00727DAB">
        <w:t>face</w:t>
      </w:r>
      <w:r w:rsidR="004E6EFE">
        <w:t xml:space="preserve"> an</w:t>
      </w:r>
      <w:r w:rsidR="00727DAB">
        <w:t xml:space="preserve"> unmet need for</w:t>
      </w:r>
      <w:r w:rsidR="00072EE8">
        <w:t xml:space="preserve"> a</w:t>
      </w:r>
      <w:r w:rsidR="00727DAB">
        <w:t xml:space="preserve"> </w:t>
      </w:r>
      <w:r w:rsidR="00675A82">
        <w:t>targeted treatment regimen</w:t>
      </w:r>
      <w:r w:rsidR="008F0160">
        <w:t xml:space="preserve">, especially following relapse or disease progression </w:t>
      </w:r>
      <w:r w:rsidR="00156E41">
        <w:t>with</w:t>
      </w:r>
      <w:r w:rsidR="008F0160">
        <w:t xml:space="preserve"> 1L treatment with ET +/- CDK4</w:t>
      </w:r>
      <w:r w:rsidR="003B54D4">
        <w:t>/6</w:t>
      </w:r>
      <w:r w:rsidR="008F0160">
        <w:t xml:space="preserve"> inhibitor</w:t>
      </w:r>
      <w:r w:rsidR="00675A82">
        <w:t xml:space="preserve"> </w:t>
      </w:r>
      <w:r w:rsidR="00675A82">
        <w:fldChar w:fldCharType="begin"/>
      </w:r>
      <w:r w:rsidR="00FD77B6">
        <w:instrText xml:space="preserve"> ADDIN EN.CITE &lt;EndNote&gt;&lt;Cite&gt;&lt;Author&gt;Viale&lt;/Author&gt;&lt;Year&gt;2023&lt;/Year&gt;&lt;RecNum&gt;25&lt;/RecNum&gt;&lt;DisplayText&gt;(Viale et al. 2023)&lt;/DisplayText&gt;&lt;record&gt;&lt;rec-number&gt;25&lt;/rec-number&gt;&lt;foreign-keys&gt;&lt;key app="EN" db-id="5xftswrv6zts2ke2xrkvxe2zr9e5effztde0" timestamp="1708402480"&gt;25&lt;/key&gt;&lt;/foreign-keys&gt;&lt;ref-type name="Journal Article"&gt;17&lt;/ref-type&gt;&lt;contributors&gt;&lt;authors&gt;&lt;author&gt;Viale, G.&lt;/author&gt;&lt;author&gt;Basik, M.&lt;/author&gt;&lt;author&gt;Niikura, N.&lt;/author&gt;&lt;author&gt;Tokunaga, E.&lt;/author&gt;&lt;author&gt;Brucker, S.&lt;/author&gt;&lt;author&gt;Penault-Llorca, F.&lt;/author&gt;&lt;author&gt;Hayashi, N.&lt;/author&gt;&lt;author&gt;Sohn, J.&lt;/author&gt;&lt;author&gt;Teixeira De Sousa, R.&lt;/author&gt;&lt;author&gt;Brufsky, A. M.&lt;/author&gt;&lt;author&gt;O’Brien, C. S.&lt;/author&gt;&lt;author&gt;Schmitt, F.&lt;/author&gt;&lt;author&gt;Higgins, G.&lt;/author&gt;&lt;author&gt;Varghese, D.&lt;/author&gt;&lt;author&gt;James, G. D.&lt;/author&gt;&lt;author&gt;Moh, A.&lt;/author&gt;&lt;author&gt;Livingston, A.&lt;/author&gt;&lt;author&gt;De Giorgio-Miller, V.&lt;/author&gt;&lt;/authors&gt;&lt;/contributors&gt;&lt;titles&gt;&lt;title&gt;Retrospective study to estimate the prevalence and describe the clinicopathological characteristics, treatments received, and outcomes of HER2-low breast cancer&lt;/title&gt;&lt;secondary-title&gt;ESMO Open&lt;/secondary-title&gt;&lt;/titles&gt;&lt;periodical&gt;&lt;full-title&gt;ESMO Open&lt;/full-title&gt;&lt;/periodical&gt;&lt;pages&gt;101615&lt;/pages&gt;&lt;volume&gt;8&lt;/volume&gt;&lt;number&gt;4&lt;/number&gt;&lt;dates&gt;&lt;year&gt;2023&lt;/year&gt;&lt;/dates&gt;&lt;publisher&gt;Elsevier BV&lt;/publisher&gt;&lt;isbn&gt;2059-7029&lt;/isbn&gt;&lt;urls&gt;&lt;related-urls&gt;&lt;url&gt;https://dx.doi.org/10.1016/j.esmoop.2023.101615&lt;/url&gt;&lt;/related-urls&gt;&lt;/urls&gt;&lt;electronic-resource-num&gt;10.1016/j.esmoop.2023.101615&lt;/electronic-resource-num&gt;&lt;/record&gt;&lt;/Cite&gt;&lt;/EndNote&gt;</w:instrText>
      </w:r>
      <w:r w:rsidR="00675A82">
        <w:fldChar w:fldCharType="separate"/>
      </w:r>
      <w:r w:rsidR="00FD77B6">
        <w:rPr>
          <w:noProof/>
        </w:rPr>
        <w:t>(Viale et al. 2023)</w:t>
      </w:r>
      <w:r w:rsidR="00675A82">
        <w:fldChar w:fldCharType="end"/>
      </w:r>
      <w:r w:rsidR="00675A82">
        <w:t>.</w:t>
      </w:r>
      <w:r w:rsidR="00CC434A">
        <w:t xml:space="preserve"> One of the reasons </w:t>
      </w:r>
      <w:r w:rsidR="00EA6DAE">
        <w:t>is</w:t>
      </w:r>
      <w:r w:rsidR="00CC434A">
        <w:t xml:space="preserve"> </w:t>
      </w:r>
      <w:r w:rsidR="00D262D3">
        <w:t xml:space="preserve">the </w:t>
      </w:r>
      <w:r w:rsidR="00FF5D12">
        <w:t xml:space="preserve">dysregulation of </w:t>
      </w:r>
      <w:r w:rsidR="00F54ECE">
        <w:t xml:space="preserve">the </w:t>
      </w:r>
      <w:r w:rsidR="00FF5D12" w:rsidRPr="00FF5D12">
        <w:t>PI3K/AKT/mTOR signalling pathway</w:t>
      </w:r>
      <w:r w:rsidR="00FF5D12">
        <w:t xml:space="preserve"> which drive</w:t>
      </w:r>
      <w:r>
        <w:t>s</w:t>
      </w:r>
      <w:r w:rsidR="00FF5D12">
        <w:t xml:space="preserve"> treatment resistance and disease progression in cancer </w:t>
      </w:r>
      <w:r w:rsidR="00775CE3">
        <w:fldChar w:fldCharType="begin">
          <w:fldData xml:space="preserve">PEVuZE5vdGU+PENpdGU+PEF1dGhvcj5HbGF2aWFubzwvQXV0aG9yPjxZZWFyPjIwMjM8L1llYXI+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==
</w:fldData>
        </w:fldChar>
      </w:r>
      <w:r w:rsidR="00FD77B6">
        <w:instrText xml:space="preserve"> ADDIN EN.CITE </w:instrText>
      </w:r>
      <w:r w:rsidR="00FD77B6">
        <w:fldChar w:fldCharType="begin">
          <w:fldData xml:space="preserve">PEVuZE5vdGU+PENpdGU+PEF1dGhvcj5HbGF2aWFubzwvQXV0aG9yPjxZZWFyPjIwMjM8L1llYXI+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==
</w:fldData>
        </w:fldChar>
      </w:r>
      <w:r w:rsidR="00FD77B6">
        <w:instrText xml:space="preserve"> ADDIN EN.CITE.DATA </w:instrText>
      </w:r>
      <w:r w:rsidR="00FD77B6">
        <w:fldChar w:fldCharType="end"/>
      </w:r>
      <w:r w:rsidR="00775CE3">
        <w:fldChar w:fldCharType="separate"/>
      </w:r>
      <w:r w:rsidR="00FD77B6">
        <w:rPr>
          <w:noProof/>
        </w:rPr>
        <w:t>(Glaviano et al. 2023; Venetis et al. 2022)</w:t>
      </w:r>
      <w:r w:rsidR="00775CE3">
        <w:fldChar w:fldCharType="end"/>
      </w:r>
      <w:r w:rsidR="00FF5D12">
        <w:t>.</w:t>
      </w:r>
    </w:p>
    <w:p w14:paraId="120D9A0C" w14:textId="5DAA534B" w:rsidR="00D6358E" w:rsidRDefault="001713D9" w:rsidP="0023599C">
      <w:pPr>
        <w:pStyle w:val="Heading4"/>
      </w:pPr>
      <w:r>
        <w:t>AKT pathway</w:t>
      </w:r>
      <w:r w:rsidR="004D1BC1">
        <w:t xml:space="preserve"> alteration</w:t>
      </w:r>
      <w:r w:rsidR="00B91EB0">
        <w:t xml:space="preserve"> </w:t>
      </w:r>
      <w:r w:rsidR="00B91EB0" w:rsidRPr="00B91EB0">
        <w:t>(PIK3CA, AKT1 or PTEN)</w:t>
      </w:r>
    </w:p>
    <w:p w14:paraId="48A495C5" w14:textId="3E81750D" w:rsidR="00061101" w:rsidRPr="006B6E0D" w:rsidRDefault="002976BA" w:rsidP="0023599C">
      <w:r w:rsidRPr="006B6E0D">
        <w:t xml:space="preserve">The </w:t>
      </w:r>
      <w:r w:rsidR="001713D9">
        <w:t>AKT pathway</w:t>
      </w:r>
      <w:r w:rsidRPr="006B6E0D">
        <w:t xml:space="preserve"> or PI3K/AKT/mTOR pathway is physiologically involved in cell metabolism, growth, proliferation and apoptosis </w:t>
      </w:r>
      <w:r w:rsidRPr="006B6E0D">
        <w:fldChar w:fldCharType="begin"/>
      </w:r>
      <w:r w:rsidR="00FD77B6">
        <w:instrText xml:space="preserve"> ADDIN EN.CITE &lt;EndNote&gt;&lt;Cite&gt;&lt;Author&gt;Cerma&lt;/Author&gt;&lt;Year&gt;2023&lt;/Year&gt;&lt;RecNum&gt;9&lt;/RecNum&gt;&lt;DisplayText&gt;(Cerma et al. 2023)&lt;/DisplayText&gt;&lt;record&gt;&lt;rec-number&gt;9&lt;/rec-number&gt;&lt;foreign-keys&gt;&lt;key app="EN" db-id="5xftswrv6zts2ke2xrkvxe2zr9e5effztde0" timestamp="1706853754"&gt;9&lt;/key&gt;&lt;/foreign-keys&gt;&lt;ref-type name="Journal Article"&gt;17&lt;/ref-type&gt;&lt;contributors&gt;&lt;authors&gt;&lt;author&gt;Cerma, Krisida&lt;/author&gt;&lt;author&gt;Piacentini, Federico&lt;/author&gt;&lt;author&gt;Moscetti, Luca&lt;/author&gt;&lt;author&gt;Barbolini, Monica&lt;/author&gt;&lt;author&gt;Canino, Fabio&lt;/author&gt;&lt;author&gt;Tornincasa, Antonio&lt;/author&gt;&lt;author&gt;Caggia, Federica&lt;/author&gt;&lt;author&gt;Cerri, Sara&lt;/author&gt;&lt;author&gt;Molinaro, Alessia&lt;/author&gt;&lt;author&gt;Dominici, Massimo&lt;/author&gt;&lt;author&gt;Omarini, Claudia&lt;/author&gt;&lt;/authors&gt;&lt;/contributors&gt;&lt;titles&gt;&lt;title&gt;Targeting PI3K/AKT/mTOR Pathway in Breast Cancer: From Biology to Clinical Challenges&lt;/title&gt;&lt;secondary-title&gt;Biomedicines&lt;/secondary-title&gt;&lt;/titles&gt;&lt;periodical&gt;&lt;full-title&gt;Biomedicines&lt;/full-title&gt;&lt;/periodical&gt;&lt;pages&gt;109&lt;/pages&gt;&lt;volume&gt;11&lt;/volume&gt;&lt;number&gt;1&lt;/number&gt;&lt;dates&gt;&lt;year&gt;2023&lt;/year&gt;&lt;/dates&gt;&lt;isbn&gt;2227-9059&lt;/isbn&gt;&lt;accession-num&gt;doi:10.3390/biomedicines11010109&lt;/accession-num&gt;&lt;urls&gt;&lt;related-urls&gt;&lt;url&gt;https://www.mdpi.com/2227-9059/11/1/109&lt;/url&gt;&lt;/related-urls&gt;&lt;/urls&gt;&lt;/record&gt;&lt;/Cite&gt;&lt;/EndNote&gt;</w:instrText>
      </w:r>
      <w:r w:rsidRPr="006B6E0D">
        <w:fldChar w:fldCharType="separate"/>
      </w:r>
      <w:r w:rsidR="00FD77B6">
        <w:rPr>
          <w:noProof/>
        </w:rPr>
        <w:t>(Cerma et al. 2023)</w:t>
      </w:r>
      <w:r w:rsidRPr="006B6E0D">
        <w:fldChar w:fldCharType="end"/>
      </w:r>
      <w:r w:rsidRPr="006B6E0D">
        <w:t xml:space="preserve">. </w:t>
      </w:r>
      <w:r w:rsidR="00365D61" w:rsidRPr="006B6E0D">
        <w:t>Under normal</w:t>
      </w:r>
      <w:r w:rsidR="00874ED0" w:rsidRPr="006B6E0D">
        <w:t xml:space="preserve"> physiological </w:t>
      </w:r>
      <w:r w:rsidR="001D002E" w:rsidRPr="006B6E0D">
        <w:t xml:space="preserve">cellular </w:t>
      </w:r>
      <w:r w:rsidR="00874ED0" w:rsidRPr="006B6E0D">
        <w:t>activity, s</w:t>
      </w:r>
      <w:r w:rsidR="00365D61" w:rsidRPr="006B6E0D">
        <w:t xml:space="preserve">timulation of </w:t>
      </w:r>
      <w:r w:rsidR="007D518F" w:rsidRPr="006B6E0D">
        <w:t xml:space="preserve">the </w:t>
      </w:r>
      <w:r w:rsidR="00365D61" w:rsidRPr="006B6E0D">
        <w:t xml:space="preserve">growth factor receptor </w:t>
      </w:r>
      <w:r w:rsidR="00874ED0" w:rsidRPr="006B6E0D">
        <w:t xml:space="preserve">leads to activation of </w:t>
      </w:r>
      <w:r w:rsidR="002F3C94" w:rsidRPr="006B6E0D">
        <w:t>phosphoinositide 3-kinases (</w:t>
      </w:r>
      <w:r w:rsidR="00874ED0" w:rsidRPr="006B6E0D">
        <w:t>PI3K</w:t>
      </w:r>
      <w:r w:rsidR="002F3C94" w:rsidRPr="006B6E0D">
        <w:t>)</w:t>
      </w:r>
      <w:r w:rsidR="00874ED0" w:rsidRPr="006B6E0D">
        <w:t>, which catalyses the conversion of</w:t>
      </w:r>
      <w:r w:rsidR="009A609B" w:rsidRPr="006B6E0D">
        <w:t xml:space="preserve"> phosphatidylinositol 4,5-bisphosphate </w:t>
      </w:r>
      <w:r w:rsidR="00CD6A93">
        <w:t>(</w:t>
      </w:r>
      <w:r w:rsidR="00874ED0" w:rsidRPr="006B6E0D">
        <w:t>PIP2</w:t>
      </w:r>
      <w:r w:rsidR="00CD6A93">
        <w:t>)</w:t>
      </w:r>
      <w:r w:rsidR="00874ED0" w:rsidRPr="006B6E0D">
        <w:t xml:space="preserve"> to </w:t>
      </w:r>
      <w:r w:rsidR="009A609B" w:rsidRPr="006B6E0D">
        <w:t>phosphatidylinositol (3,4,5)-trisphosphate (</w:t>
      </w:r>
      <w:r w:rsidR="00874ED0" w:rsidRPr="006B6E0D">
        <w:t>PIP3</w:t>
      </w:r>
      <w:r w:rsidR="009A609B" w:rsidRPr="006B6E0D">
        <w:t>)</w:t>
      </w:r>
      <w:r w:rsidR="00F7679E" w:rsidRPr="006B6E0D">
        <w:t xml:space="preserve"> </w:t>
      </w:r>
      <w:r w:rsidR="00F7679E" w:rsidRPr="006B6E0D">
        <w:fldChar w:fldCharType="begin"/>
      </w:r>
      <w:r w:rsidR="00FD77B6">
        <w:instrText xml:space="preserve"> ADDIN EN.CITE &lt;EndNote&gt;&lt;Cite&gt;&lt;Author&gt;Martorana&lt;/Author&gt;&lt;Year&gt;2021&lt;/Year&gt;&lt;RecNum&gt;8&lt;/RecNum&gt;&lt;DisplayText&gt;(Martorana et al. 2021)&lt;/DisplayText&gt;&lt;record&gt;&lt;rec-number&gt;8&lt;/rec-number&gt;&lt;foreign-keys&gt;&lt;key app="EN" db-id="5xftswrv6zts2ke2xrkvxe2zr9e5effztde0" timestamp="1706849225"&gt;8&lt;/key&gt;&lt;/foreign-keys&gt;&lt;ref-type name="Journal Article"&gt;17&lt;/ref-type&gt;&lt;contributors&gt;&lt;authors&gt;&lt;author&gt;Martorana, Federica&lt;/author&gt;&lt;author&gt;Motta, Gianmarco&lt;/author&gt;&lt;author&gt;Pavone, Giuliana&lt;/author&gt;&lt;author&gt;Motta, Lucia&lt;/author&gt;&lt;author&gt;Stella, Stefania&lt;/author&gt;&lt;author&gt;Vitale, Silvia Rita&lt;/author&gt;&lt;author&gt;Manzella, Livia&lt;/author&gt;&lt;author&gt;Vigneri, Paolo&lt;/author&gt;&lt;/authors&gt;&lt;/contributors&gt;&lt;titles&gt;&lt;title&gt;AKT Inhibitors: New Weapons in the Fight Against Breast Cancer?&lt;/title&gt;&lt;secondary-title&gt;Frontiers in Pharmacology&lt;/secondary-title&gt;&lt;/titles&gt;&lt;periodical&gt;&lt;full-title&gt;Frontiers in Pharmacology&lt;/full-title&gt;&lt;/periodical&gt;&lt;volume&gt;12&lt;/volume&gt;&lt;dates&gt;&lt;year&gt;2021&lt;/year&gt;&lt;/dates&gt;&lt;publisher&gt;Frontiers Media SA&lt;/publisher&gt;&lt;isbn&gt;1663-9812&lt;/isbn&gt;&lt;urls&gt;&lt;related-urls&gt;&lt;url&gt;https://dx.doi.org/10.3389/fphar.2021.662232&lt;/url&gt;&lt;/related-urls&gt;&lt;/urls&gt;&lt;electronic-resource-num&gt;10.3389/fphar.2021.662232&lt;/electronic-resource-num&gt;&lt;/record&gt;&lt;/Cite&gt;&lt;/EndNote&gt;</w:instrText>
      </w:r>
      <w:r w:rsidR="00F7679E" w:rsidRPr="006B6E0D">
        <w:fldChar w:fldCharType="separate"/>
      </w:r>
      <w:r w:rsidR="00FD77B6">
        <w:rPr>
          <w:noProof/>
        </w:rPr>
        <w:t>(Martorana et al. 2021)</w:t>
      </w:r>
      <w:r w:rsidR="00F7679E" w:rsidRPr="006B6E0D">
        <w:fldChar w:fldCharType="end"/>
      </w:r>
      <w:r w:rsidR="00874ED0" w:rsidRPr="006B6E0D">
        <w:t>. Th</w:t>
      </w:r>
      <w:r w:rsidR="001424DE">
        <w:t>is</w:t>
      </w:r>
      <w:r w:rsidR="00874ED0" w:rsidRPr="006B6E0D">
        <w:t xml:space="preserve"> conversion to PIP3 </w:t>
      </w:r>
      <w:r w:rsidR="00CA1778">
        <w:t>is</w:t>
      </w:r>
      <w:r w:rsidR="00874ED0" w:rsidRPr="006B6E0D">
        <w:t xml:space="preserve"> reversed by </w:t>
      </w:r>
      <w:r w:rsidR="00651D23" w:rsidRPr="0082662E">
        <w:t>PTEN</w:t>
      </w:r>
      <w:r w:rsidR="00BB4933" w:rsidRPr="0082662E">
        <w:t>,</w:t>
      </w:r>
      <w:r w:rsidR="00BB4933" w:rsidRPr="006B6E0D">
        <w:t xml:space="preserve"> which </w:t>
      </w:r>
      <w:r w:rsidR="005A67F2" w:rsidRPr="006B6E0D">
        <w:t xml:space="preserve">is the main negative regulator of PI3K </w:t>
      </w:r>
      <w:r w:rsidR="007D518F" w:rsidRPr="006B6E0D">
        <w:t>signalling</w:t>
      </w:r>
      <w:r w:rsidR="005A67F2" w:rsidRPr="006B6E0D">
        <w:t xml:space="preserve"> </w:t>
      </w:r>
      <w:r w:rsidR="005A67F2" w:rsidRPr="006B6E0D">
        <w:fldChar w:fldCharType="begin"/>
      </w:r>
      <w:r w:rsidR="00FD77B6">
        <w:instrText xml:space="preserve"> ADDIN EN.CITE &lt;EndNote&gt;&lt;Cite&gt;&lt;Author&gt;Cerma&lt;/Author&gt;&lt;Year&gt;2023&lt;/Year&gt;&lt;RecNum&gt;9&lt;/RecNum&gt;&lt;DisplayText&gt;(Cerma et al. 2023)&lt;/DisplayText&gt;&lt;record&gt;&lt;rec-number&gt;9&lt;/rec-number&gt;&lt;foreign-keys&gt;&lt;key app="EN" db-id="5xftswrv6zts2ke2xrkvxe2zr9e5effztde0" timestamp="1706853754"&gt;9&lt;/key&gt;&lt;/foreign-keys&gt;&lt;ref-type name="Journal Article"&gt;17&lt;/ref-type&gt;&lt;contributors&gt;&lt;authors&gt;&lt;author&gt;Cerma, Krisida&lt;/author&gt;&lt;author&gt;Piacentini, Federico&lt;/author&gt;&lt;author&gt;Moscetti, Luca&lt;/author&gt;&lt;author&gt;Barbolini, Monica&lt;/author&gt;&lt;author&gt;Canino, Fabio&lt;/author&gt;&lt;author&gt;Tornincasa, Antonio&lt;/author&gt;&lt;author&gt;Caggia, Federica&lt;/author&gt;&lt;author&gt;Cerri, Sara&lt;/author&gt;&lt;author&gt;Molinaro, Alessia&lt;/author&gt;&lt;author&gt;Dominici, Massimo&lt;/author&gt;&lt;author&gt;Omarini, Claudia&lt;/author&gt;&lt;/authors&gt;&lt;/contributors&gt;&lt;titles&gt;&lt;title&gt;Targeting PI3K/AKT/mTOR Pathway in Breast Cancer: From Biology to Clinical Challenges&lt;/title&gt;&lt;secondary-title&gt;Biomedicines&lt;/secondary-title&gt;&lt;/titles&gt;&lt;periodical&gt;&lt;full-title&gt;Biomedicines&lt;/full-title&gt;&lt;/periodical&gt;&lt;pages&gt;109&lt;/pages&gt;&lt;volume&gt;11&lt;/volume&gt;&lt;number&gt;1&lt;/number&gt;&lt;dates&gt;&lt;year&gt;2023&lt;/year&gt;&lt;/dates&gt;&lt;isbn&gt;2227-9059&lt;/isbn&gt;&lt;accession-num&gt;doi:10.3390/biomedicines11010109&lt;/accession-num&gt;&lt;urls&gt;&lt;related-urls&gt;&lt;url&gt;https://www.mdpi.com/2227-9059/11/1/109&lt;/url&gt;&lt;/related-urls&gt;&lt;/urls&gt;&lt;/record&gt;&lt;/Cite&gt;&lt;/EndNote&gt;</w:instrText>
      </w:r>
      <w:r w:rsidR="005A67F2" w:rsidRPr="006B6E0D">
        <w:fldChar w:fldCharType="separate"/>
      </w:r>
      <w:r w:rsidR="00FD77B6">
        <w:rPr>
          <w:noProof/>
        </w:rPr>
        <w:t>(Cerma et al. 2023)</w:t>
      </w:r>
      <w:r w:rsidR="005A67F2" w:rsidRPr="006B6E0D">
        <w:fldChar w:fldCharType="end"/>
      </w:r>
      <w:r w:rsidR="005A67F2" w:rsidRPr="006B6E0D">
        <w:t>.</w:t>
      </w:r>
      <w:r w:rsidR="001D002E" w:rsidRPr="006B6E0D">
        <w:t xml:space="preserve"> PIP3 bind</w:t>
      </w:r>
      <w:r w:rsidR="004713CA">
        <w:t>s</w:t>
      </w:r>
      <w:r w:rsidR="001D002E" w:rsidRPr="006B6E0D">
        <w:t xml:space="preserve"> to AKT and </w:t>
      </w:r>
      <w:r w:rsidR="005B51D1">
        <w:t>phosphoinositide dependent kinase (</w:t>
      </w:r>
      <w:r w:rsidR="001D002E" w:rsidRPr="006B6E0D">
        <w:t>PDK</w:t>
      </w:r>
      <w:r w:rsidR="005B51D1">
        <w:t>)</w:t>
      </w:r>
      <w:r w:rsidR="00BB4933" w:rsidRPr="006B6E0D">
        <w:t>, activating AKT and the downstream signalling cascades</w:t>
      </w:r>
      <w:r w:rsidR="003F140E" w:rsidRPr="006B6E0D">
        <w:t>, including mammalian target of rapamycin (mTOR)</w:t>
      </w:r>
      <w:r w:rsidR="00BB4933" w:rsidRPr="006B6E0D">
        <w:t xml:space="preserve"> </w:t>
      </w:r>
      <w:r w:rsidR="00F7679E" w:rsidRPr="006B6E0D">
        <w:fldChar w:fldCharType="begin"/>
      </w:r>
      <w:r w:rsidR="00FD77B6">
        <w:instrText xml:space="preserve"> ADDIN EN.CITE &lt;EndNote&gt;&lt;Cite&gt;&lt;Author&gt;Martorana&lt;/Author&gt;&lt;Year&gt;2021&lt;/Year&gt;&lt;RecNum&gt;8&lt;/RecNum&gt;&lt;DisplayText&gt;(Martorana et al. 2021)&lt;/DisplayText&gt;&lt;record&gt;&lt;rec-number&gt;8&lt;/rec-number&gt;&lt;foreign-keys&gt;&lt;key app="EN" db-id="5xftswrv6zts2ke2xrkvxe2zr9e5effztde0" timestamp="1706849225"&gt;8&lt;/key&gt;&lt;/foreign-keys&gt;&lt;ref-type name="Journal Article"&gt;17&lt;/ref-type&gt;&lt;contributors&gt;&lt;authors&gt;&lt;author&gt;Martorana, Federica&lt;/author&gt;&lt;author&gt;Motta, Gianmarco&lt;/author&gt;&lt;author&gt;Pavone, Giuliana&lt;/author&gt;&lt;author&gt;Motta, Lucia&lt;/author&gt;&lt;author&gt;Stella, Stefania&lt;/author&gt;&lt;author&gt;Vitale, Silvia Rita&lt;/author&gt;&lt;author&gt;Manzella, Livia&lt;/author&gt;&lt;author&gt;Vigneri, Paolo&lt;/author&gt;&lt;/authors&gt;&lt;/contributors&gt;&lt;titles&gt;&lt;title&gt;AKT Inhibitors: New Weapons in the Fight Against Breast Cancer?&lt;/title&gt;&lt;secondary-title&gt;Frontiers in Pharmacology&lt;/secondary-title&gt;&lt;/titles&gt;&lt;periodical&gt;&lt;full-title&gt;Frontiers in Pharmacology&lt;/full-title&gt;&lt;/periodical&gt;&lt;volume&gt;12&lt;/volume&gt;&lt;dates&gt;&lt;year&gt;2021&lt;/year&gt;&lt;/dates&gt;&lt;publisher&gt;Frontiers Media SA&lt;/publisher&gt;&lt;isbn&gt;1663-9812&lt;/isbn&gt;&lt;urls&gt;&lt;related-urls&gt;&lt;url&gt;https://dx.doi.org/10.3389/fphar.2021.662232&lt;/url&gt;&lt;/related-urls&gt;&lt;/urls&gt;&lt;electronic-resource-num&gt;10.3389/fphar.2021.662232&lt;/electronic-resource-num&gt;&lt;/record&gt;&lt;/Cite&gt;&lt;/EndNote&gt;</w:instrText>
      </w:r>
      <w:r w:rsidR="00F7679E" w:rsidRPr="006B6E0D">
        <w:fldChar w:fldCharType="separate"/>
      </w:r>
      <w:r w:rsidR="00FD77B6">
        <w:rPr>
          <w:noProof/>
        </w:rPr>
        <w:t>(Martorana et al. 2021)</w:t>
      </w:r>
      <w:r w:rsidR="00F7679E" w:rsidRPr="006B6E0D">
        <w:fldChar w:fldCharType="end"/>
      </w:r>
      <w:r w:rsidR="001D002E" w:rsidRPr="006B6E0D">
        <w:t xml:space="preserve">. </w:t>
      </w:r>
    </w:p>
    <w:p w14:paraId="5481556E" w14:textId="0A6C2907" w:rsidR="00A7344E" w:rsidRPr="006B6E0D" w:rsidRDefault="00D656FC" w:rsidP="0023599C">
      <w:r w:rsidRPr="00BD33CC">
        <w:t>AKT</w:t>
      </w:r>
      <w:r w:rsidRPr="006B6E0D">
        <w:t xml:space="preserve"> is the key </w:t>
      </w:r>
      <w:r w:rsidR="001424DE">
        <w:t>node</w:t>
      </w:r>
      <w:r w:rsidR="001424DE" w:rsidRPr="006B6E0D">
        <w:t xml:space="preserve"> </w:t>
      </w:r>
      <w:r w:rsidRPr="006B6E0D">
        <w:t xml:space="preserve">in the PI3K/AKT/mTOR signalling pathway as </w:t>
      </w:r>
      <w:r w:rsidR="001424DE">
        <w:t xml:space="preserve">phosphorylated </w:t>
      </w:r>
      <w:r w:rsidRPr="006B6E0D">
        <w:t xml:space="preserve">AKT activates over 100 substrates and regulates cell growth, proliferation, </w:t>
      </w:r>
      <w:r w:rsidR="00717C54" w:rsidRPr="006B6E0D">
        <w:t>survival,</w:t>
      </w:r>
      <w:r w:rsidRPr="006B6E0D">
        <w:t xml:space="preserve"> and metabolism </w:t>
      </w:r>
      <w:r w:rsidRPr="006B6E0D">
        <w:fldChar w:fldCharType="begin">
          <w:fldData xml:space="preserve">PEVuZE5vdGU+PENpdGU+PEF1dGhvcj5DZXJtYTwvQXV0aG9yPjxZZWFyPjIwMjM8L1llYXI+PFJl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</w:fldData>
        </w:fldChar>
      </w:r>
      <w:r w:rsidR="00FD77B6">
        <w:instrText xml:space="preserve"> ADDIN EN.CITE </w:instrText>
      </w:r>
      <w:r w:rsidR="00FD77B6">
        <w:fldChar w:fldCharType="begin">
          <w:fldData xml:space="preserve">PEVuZE5vdGU+PENpdGU+PEF1dGhvcj5DZXJtYTwvQXV0aG9yPjxZZWFyPjIwMjM8L1llYXI+PFJl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</w:fldData>
        </w:fldChar>
      </w:r>
      <w:r w:rsidR="00FD77B6">
        <w:instrText xml:space="preserve"> ADDIN EN.CITE.DATA </w:instrText>
      </w:r>
      <w:r w:rsidR="00FD77B6">
        <w:fldChar w:fldCharType="end"/>
      </w:r>
      <w:r w:rsidRPr="006B6E0D">
        <w:fldChar w:fldCharType="separate"/>
      </w:r>
      <w:r w:rsidR="00FD77B6">
        <w:rPr>
          <w:noProof/>
        </w:rPr>
        <w:t>(Cerma et al. 2023; Martorana et al. 2021)</w:t>
      </w:r>
      <w:r w:rsidRPr="006B6E0D">
        <w:fldChar w:fldCharType="end"/>
      </w:r>
      <w:r w:rsidRPr="006B6E0D">
        <w:t xml:space="preserve">. There are </w:t>
      </w:r>
      <w:r w:rsidR="0018168B" w:rsidRPr="006B6E0D">
        <w:t xml:space="preserve">three </w:t>
      </w:r>
      <w:r w:rsidRPr="0082662E">
        <w:rPr>
          <w:iCs/>
        </w:rPr>
        <w:t>AKT</w:t>
      </w:r>
      <w:r w:rsidRPr="006B6E0D">
        <w:t xml:space="preserve"> isoforms (</w:t>
      </w:r>
      <w:r w:rsidR="00CA7AC2" w:rsidRPr="00CA7AC2">
        <w:rPr>
          <w:i/>
          <w:iCs/>
        </w:rPr>
        <w:t>AKT1</w:t>
      </w:r>
      <w:r w:rsidRPr="006B6E0D">
        <w:t xml:space="preserve">, </w:t>
      </w:r>
      <w:r w:rsidRPr="008E72CE">
        <w:rPr>
          <w:i/>
          <w:iCs/>
        </w:rPr>
        <w:t>AKT2</w:t>
      </w:r>
      <w:r w:rsidRPr="006B6E0D">
        <w:t xml:space="preserve"> and </w:t>
      </w:r>
      <w:r w:rsidRPr="008E72CE">
        <w:rPr>
          <w:i/>
          <w:iCs/>
        </w:rPr>
        <w:t>AKT3</w:t>
      </w:r>
      <w:r w:rsidRPr="006B6E0D">
        <w:t xml:space="preserve">) and they are encoded by different genes </w:t>
      </w:r>
      <w:r w:rsidRPr="006B6E0D">
        <w:lastRenderedPageBreak/>
        <w:fldChar w:fldCharType="begin"/>
      </w:r>
      <w:r w:rsidR="00FD77B6">
        <w:instrText xml:space="preserve"> ADDIN EN.CITE &lt;EndNote&gt;&lt;Cite&gt;&lt;Author&gt;Martorana&lt;/Author&gt;&lt;Year&gt;2021&lt;/Year&gt;&lt;RecNum&gt;8&lt;/RecNum&gt;&lt;DisplayText&gt;(Martorana et al. 2021)&lt;/DisplayText&gt;&lt;record&gt;&lt;rec-number&gt;8&lt;/rec-number&gt;&lt;foreign-keys&gt;&lt;key app="EN" db-id="5xftswrv6zts2ke2xrkvxe2zr9e5effztde0" timestamp="1706849225"&gt;8&lt;/key&gt;&lt;/foreign-keys&gt;&lt;ref-type name="Journal Article"&gt;17&lt;/ref-type&gt;&lt;contributors&gt;&lt;authors&gt;&lt;author&gt;Martorana, Federica&lt;/author&gt;&lt;author&gt;Motta, Gianmarco&lt;/author&gt;&lt;author&gt;Pavone, Giuliana&lt;/author&gt;&lt;author&gt;Motta, Lucia&lt;/author&gt;&lt;author&gt;Stella, Stefania&lt;/author&gt;&lt;author&gt;Vitale, Silvia Rita&lt;/author&gt;&lt;author&gt;Manzella, Livia&lt;/author&gt;&lt;author&gt;Vigneri, Paolo&lt;/author&gt;&lt;/authors&gt;&lt;/contributors&gt;&lt;titles&gt;&lt;title&gt;AKT Inhibitors: New Weapons in the Fight Against Breast Cancer?&lt;/title&gt;&lt;secondary-title&gt;Frontiers in Pharmacology&lt;/secondary-title&gt;&lt;/titles&gt;&lt;periodical&gt;&lt;full-title&gt;Frontiers in Pharmacology&lt;/full-title&gt;&lt;/periodical&gt;&lt;volume&gt;12&lt;/volume&gt;&lt;dates&gt;&lt;year&gt;2021&lt;/year&gt;&lt;/dates&gt;&lt;publisher&gt;Frontiers Media SA&lt;/publisher&gt;&lt;isbn&gt;1663-9812&lt;/isbn&gt;&lt;urls&gt;&lt;related-urls&gt;&lt;url&gt;https://dx.doi.org/10.3389/fphar.2021.662232&lt;/url&gt;&lt;/related-urls&gt;&lt;/urls&gt;&lt;electronic-resource-num&gt;10.3389/fphar.2021.662232&lt;/electronic-resource-num&gt;&lt;/record&gt;&lt;/Cite&gt;&lt;/EndNote&gt;</w:instrText>
      </w:r>
      <w:r w:rsidRPr="006B6E0D">
        <w:fldChar w:fldCharType="separate"/>
      </w:r>
      <w:r w:rsidR="00FD77B6">
        <w:rPr>
          <w:noProof/>
        </w:rPr>
        <w:t>(Martorana et al. 2021)</w:t>
      </w:r>
      <w:r w:rsidRPr="006B6E0D">
        <w:fldChar w:fldCharType="end"/>
      </w:r>
      <w:r w:rsidRPr="006B6E0D">
        <w:t xml:space="preserve">. </w:t>
      </w:r>
      <w:r w:rsidR="00CA7AC2" w:rsidRPr="0082662E">
        <w:t>AKT1</w:t>
      </w:r>
      <w:r w:rsidRPr="006B6E0D">
        <w:t xml:space="preserve"> is involved in proliferation and growth, promoting tumour initiation and suppressing apoptosis </w:t>
      </w:r>
      <w:r w:rsidRPr="006B6E0D">
        <w:fldChar w:fldCharType="begin"/>
      </w:r>
      <w:r w:rsidR="00FD77B6">
        <w:instrText xml:space="preserve"> ADDIN EN.CITE &lt;EndNote&gt;&lt;Cite&gt;&lt;Author&gt;Martorana&lt;/Author&gt;&lt;Year&gt;2021&lt;/Year&gt;&lt;RecNum&gt;8&lt;/RecNum&gt;&lt;DisplayText&gt;(Martorana et al. 2021)&lt;/DisplayText&gt;&lt;record&gt;&lt;rec-number&gt;8&lt;/rec-number&gt;&lt;foreign-keys&gt;&lt;key app="EN" db-id="5xftswrv6zts2ke2xrkvxe2zr9e5effztde0" timestamp="1706849225"&gt;8&lt;/key&gt;&lt;/foreign-keys&gt;&lt;ref-type name="Journal Article"&gt;17&lt;/ref-type&gt;&lt;contributors&gt;&lt;authors&gt;&lt;author&gt;Martorana, Federica&lt;/author&gt;&lt;author&gt;Motta, Gianmarco&lt;/author&gt;&lt;author&gt;Pavone, Giuliana&lt;/author&gt;&lt;author&gt;Motta, Lucia&lt;/author&gt;&lt;author&gt;Stella, Stefania&lt;/author&gt;&lt;author&gt;Vitale, Silvia Rita&lt;/author&gt;&lt;author&gt;Manzella, Livia&lt;/author&gt;&lt;author&gt;Vigneri, Paolo&lt;/author&gt;&lt;/authors&gt;&lt;/contributors&gt;&lt;titles&gt;&lt;title&gt;AKT Inhibitors: New Weapons in the Fight Against Breast Cancer?&lt;/title&gt;&lt;secondary-title&gt;Frontiers in Pharmacology&lt;/secondary-title&gt;&lt;/titles&gt;&lt;periodical&gt;&lt;full-title&gt;Frontiers in Pharmacology&lt;/full-title&gt;&lt;/periodical&gt;&lt;volume&gt;12&lt;/volume&gt;&lt;dates&gt;&lt;year&gt;2021&lt;/year&gt;&lt;/dates&gt;&lt;publisher&gt;Frontiers Media SA&lt;/publisher&gt;&lt;isbn&gt;1663-9812&lt;/isbn&gt;&lt;urls&gt;&lt;related-urls&gt;&lt;url&gt;https://dx.doi.org/10.3389/fphar.2021.662232&lt;/url&gt;&lt;/related-urls&gt;&lt;/urls&gt;&lt;electronic-resource-num&gt;10.3389/fphar.2021.662232&lt;/electronic-resource-num&gt;&lt;/record&gt;&lt;/Cite&gt;&lt;/EndNote&gt;</w:instrText>
      </w:r>
      <w:r w:rsidRPr="006B6E0D">
        <w:fldChar w:fldCharType="separate"/>
      </w:r>
      <w:r w:rsidR="00FD77B6">
        <w:rPr>
          <w:noProof/>
        </w:rPr>
        <w:t>(Martorana et al. 2021)</w:t>
      </w:r>
      <w:r w:rsidRPr="006B6E0D">
        <w:fldChar w:fldCharType="end"/>
      </w:r>
      <w:r w:rsidRPr="006B6E0D">
        <w:t xml:space="preserve">. </w:t>
      </w:r>
      <w:r w:rsidRPr="0082662E">
        <w:t>AKT2</w:t>
      </w:r>
      <w:r w:rsidRPr="006B6E0D">
        <w:t xml:space="preserve"> regulates cytoskeleton dynamics and the role of </w:t>
      </w:r>
      <w:r w:rsidRPr="0082662E">
        <w:t>AKT3</w:t>
      </w:r>
      <w:r w:rsidRPr="006B6E0D">
        <w:t xml:space="preserve"> is largely controversial </w:t>
      </w:r>
      <w:r w:rsidRPr="006B6E0D">
        <w:fldChar w:fldCharType="begin"/>
      </w:r>
      <w:r w:rsidR="00FD77B6">
        <w:instrText xml:space="preserve"> ADDIN EN.CITE &lt;EndNote&gt;&lt;Cite&gt;&lt;Author&gt;Martorana&lt;/Author&gt;&lt;Year&gt;2021&lt;/Year&gt;&lt;RecNum&gt;8&lt;/RecNum&gt;&lt;DisplayText&gt;(Martorana et al. 2021)&lt;/DisplayText&gt;&lt;record&gt;&lt;rec-number&gt;8&lt;/rec-number&gt;&lt;foreign-keys&gt;&lt;key app="EN" db-id="5xftswrv6zts2ke2xrkvxe2zr9e5effztde0" timestamp="1706849225"&gt;8&lt;/key&gt;&lt;/foreign-keys&gt;&lt;ref-type name="Journal Article"&gt;17&lt;/ref-type&gt;&lt;contributors&gt;&lt;authors&gt;&lt;author&gt;Martorana, Federica&lt;/author&gt;&lt;author&gt;Motta, Gianmarco&lt;/author&gt;&lt;author&gt;Pavone, Giuliana&lt;/author&gt;&lt;author&gt;Motta, Lucia&lt;/author&gt;&lt;author&gt;Stella, Stefania&lt;/author&gt;&lt;author&gt;Vitale, Silvia Rita&lt;/author&gt;&lt;author&gt;Manzella, Livia&lt;/author&gt;&lt;author&gt;Vigneri, Paolo&lt;/author&gt;&lt;/authors&gt;&lt;/contributors&gt;&lt;titles&gt;&lt;title&gt;AKT Inhibitors: New Weapons in the Fight Against Breast Cancer?&lt;/title&gt;&lt;secondary-title&gt;Frontiers in Pharmacology&lt;/secondary-title&gt;&lt;/titles&gt;&lt;periodical&gt;&lt;full-title&gt;Frontiers in Pharmacology&lt;/full-title&gt;&lt;/periodical&gt;&lt;volume&gt;12&lt;/volume&gt;&lt;dates&gt;&lt;year&gt;2021&lt;/year&gt;&lt;/dates&gt;&lt;publisher&gt;Frontiers Media SA&lt;/publisher&gt;&lt;isbn&gt;1663-9812&lt;/isbn&gt;&lt;urls&gt;&lt;related-urls&gt;&lt;url&gt;https://dx.doi.org/10.3389/fphar.2021.662232&lt;/url&gt;&lt;/related-urls&gt;&lt;/urls&gt;&lt;electronic-resource-num&gt;10.3389/fphar.2021.662232&lt;/electronic-resource-num&gt;&lt;/record&gt;&lt;/Cite&gt;&lt;/EndNote&gt;</w:instrText>
      </w:r>
      <w:r w:rsidRPr="006B6E0D">
        <w:fldChar w:fldCharType="separate"/>
      </w:r>
      <w:r w:rsidR="00FD77B6">
        <w:rPr>
          <w:noProof/>
        </w:rPr>
        <w:t>(Martorana et al. 2021)</w:t>
      </w:r>
      <w:r w:rsidRPr="006B6E0D">
        <w:fldChar w:fldCharType="end"/>
      </w:r>
      <w:r w:rsidRPr="006B6E0D">
        <w:t>.</w:t>
      </w:r>
      <w:r w:rsidR="0018168B" w:rsidRPr="006B6E0D">
        <w:t xml:space="preserve"> </w:t>
      </w:r>
      <w:r w:rsidR="009E274E" w:rsidRPr="006B6E0D">
        <w:fldChar w:fldCharType="begin"/>
      </w:r>
      <w:r w:rsidR="009E274E" w:rsidRPr="006B6E0D">
        <w:instrText xml:space="preserve"> REF _Ref161235879 \h </w:instrText>
      </w:r>
      <w:r w:rsidR="006B6E0D">
        <w:instrText xml:space="preserve"> \* MERGEFORMAT </w:instrText>
      </w:r>
      <w:r w:rsidR="009E274E" w:rsidRPr="006B6E0D">
        <w:fldChar w:fldCharType="separate"/>
      </w:r>
      <w:r w:rsidR="00B561EB">
        <w:t xml:space="preserve">Figure </w:t>
      </w:r>
      <w:r w:rsidR="00B561EB">
        <w:rPr>
          <w:noProof/>
        </w:rPr>
        <w:t>1</w:t>
      </w:r>
      <w:r w:rsidR="009E274E" w:rsidRPr="006B6E0D">
        <w:fldChar w:fldCharType="end"/>
      </w:r>
      <w:r w:rsidR="009E274E" w:rsidRPr="006B6E0D">
        <w:t xml:space="preserve"> </w:t>
      </w:r>
      <w:r w:rsidR="00600C3E" w:rsidRPr="006B6E0D">
        <w:t>illustrates</w:t>
      </w:r>
      <w:r w:rsidR="00365D61" w:rsidRPr="006B6E0D">
        <w:t xml:space="preserve"> molecular mechanisms of </w:t>
      </w:r>
      <w:r w:rsidR="00365D61" w:rsidRPr="00BD33CC">
        <w:t>AKT</w:t>
      </w:r>
      <w:r w:rsidR="00365D61" w:rsidRPr="006B6E0D">
        <w:t xml:space="preserve"> activation and </w:t>
      </w:r>
      <w:r w:rsidR="003949CD">
        <w:t xml:space="preserve">the </w:t>
      </w:r>
      <w:r w:rsidR="00C80AEE" w:rsidRPr="006B6E0D">
        <w:t xml:space="preserve">downstream </w:t>
      </w:r>
      <w:r w:rsidR="00365D61" w:rsidRPr="006B6E0D">
        <w:t>signalling cascade.</w:t>
      </w:r>
      <w:r w:rsidR="00600C3E" w:rsidRPr="006B6E0D">
        <w:t xml:space="preserve"> </w:t>
      </w:r>
    </w:p>
    <w:p w14:paraId="3D6F7B0B" w14:textId="77777777" w:rsidR="00F66058" w:rsidRDefault="00EA031B" w:rsidP="0023599C">
      <w:pPr>
        <w:keepNext/>
      </w:pPr>
      <w:r>
        <w:rPr>
          <w:noProof/>
        </w:rPr>
        <w:drawing>
          <wp:inline distT="0" distB="0" distL="0" distR="0" wp14:anchorId="12BEB1B9" wp14:editId="000C69F8">
            <wp:extent cx="4767737" cy="2469709"/>
            <wp:effectExtent l="19050" t="19050" r="13970" b="26035"/>
            <wp:docPr id="422408315" name="Picture 422408315" descr="Figure 1 shows the molecular mechanisms of AKT activation and downstream signalling cascade.&#10;Binding of growth factor activates the tyrosine kinase receptor, which promotes the transformation of PIP2 to PIP3 by PI3K. This leads to a downstream signaling cascade that upregulates events associated with cell growth and proliferation.&#10;Source: Retrieved from The Role of PI3K Inhibition in the Treatment of Breast Cancer, Alone or Combined With Immune Checkpoint Inhibitors (Zhang &amp; Richmond, 2021) an open-access article distributed under the terms of the Creative Commons Attribution License (CC B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8315" name="Picture 422408315" descr="Figure 1 shows the molecular mechanisms of AKT activation and downstream signalling cascade.&#10;Binding of growth factor activates the tyrosine kinase receptor, which promotes the transformation of PIP2 to PIP3 by PI3K. This leads to a downstream signaling cascade that upregulates events associated with cell growth and proliferation.&#10;Source: Retrieved from The Role of PI3K Inhibition in the Treatment of Breast Cancer, Alone or Combined With Immune Checkpoint Inhibitors (Zhang &amp; Richmond, 2021) an open-access article distributed under the terms of the Creative Commons Attribution License (CC BY).&#10;&#10;"/>
                    <pic:cNvPicPr/>
                  </pic:nvPicPr>
                  <pic:blipFill>
                    <a:blip r:embed="rId9">
                      <a:extLst>
                        <a:ext uri="{28A0092B-C50C-407E-A947-70E740481C1C}">
                          <a14:useLocalDpi xmlns:a14="http://schemas.microsoft.com/office/drawing/2010/main" val="0"/>
                        </a:ext>
                      </a:extLst>
                    </a:blip>
                    <a:stretch>
                      <a:fillRect/>
                    </a:stretch>
                  </pic:blipFill>
                  <pic:spPr>
                    <a:xfrm>
                      <a:off x="0" y="0"/>
                      <a:ext cx="4781896" cy="2477044"/>
                    </a:xfrm>
                    <a:prstGeom prst="rect">
                      <a:avLst/>
                    </a:prstGeom>
                    <a:ln>
                      <a:solidFill>
                        <a:schemeClr val="tx1"/>
                      </a:solidFill>
                    </a:ln>
                  </pic:spPr>
                </pic:pic>
              </a:graphicData>
            </a:graphic>
          </wp:inline>
        </w:drawing>
      </w:r>
    </w:p>
    <w:p w14:paraId="0BFB8B17" w14:textId="6B4C9821" w:rsidR="00EA031B" w:rsidRDefault="00F66058" w:rsidP="00BD33CC">
      <w:pPr>
        <w:pStyle w:val="Caption"/>
        <w:jc w:val="both"/>
      </w:pPr>
      <w:bookmarkStart w:id="5" w:name="_Ref161235879"/>
      <w:r>
        <w:t xml:space="preserve">Figure </w:t>
      </w:r>
      <w:r>
        <w:fldChar w:fldCharType="begin"/>
      </w:r>
      <w:r>
        <w:instrText xml:space="preserve"> SEQ Figure \* ARABIC </w:instrText>
      </w:r>
      <w:r>
        <w:fldChar w:fldCharType="separate"/>
      </w:r>
      <w:r w:rsidR="00B561EB">
        <w:rPr>
          <w:noProof/>
        </w:rPr>
        <w:t>1</w:t>
      </w:r>
      <w:r>
        <w:fldChar w:fldCharType="end"/>
      </w:r>
      <w:bookmarkEnd w:id="5"/>
      <w:r w:rsidR="00EA031B">
        <w:t xml:space="preserve"> M</w:t>
      </w:r>
      <w:r w:rsidR="00EA031B" w:rsidRPr="00C80AEE">
        <w:t>olecular mechanisms of AKT activation and downstream signalling cascade</w:t>
      </w:r>
    </w:p>
    <w:p w14:paraId="4C13A61B" w14:textId="1FBC6F17" w:rsidR="00EA031B" w:rsidRPr="00D73E0E" w:rsidRDefault="00EA031B" w:rsidP="00BD33CC">
      <w:pPr>
        <w:pStyle w:val="Tablenotes"/>
      </w:pPr>
      <w:r w:rsidRPr="00D73E0E" w:rsidDel="005B51D1">
        <w:t>Source: Retrieved</w:t>
      </w:r>
      <w:r w:rsidR="000A2BBF" w:rsidDel="005B51D1">
        <w:t xml:space="preserve"> from</w:t>
      </w:r>
      <w:r w:rsidRPr="00D73E0E" w:rsidDel="005B51D1">
        <w:t xml:space="preserve"> </w:t>
      </w:r>
      <w:r w:rsidRPr="00EA031B" w:rsidDel="005B51D1">
        <w:t xml:space="preserve">The Role of PI3K Inhibition in the Treatment of Breast Cancer, Alone or Combined With Immune Checkpoint Inhibitors </w:t>
      </w:r>
      <w:r w:rsidR="00601905" w:rsidDel="005B51D1">
        <w:fldChar w:fldCharType="begin"/>
      </w:r>
      <w:r w:rsidR="00FD77B6">
        <w:instrText xml:space="preserve"> ADDIN EN.CITE &lt;EndNote&gt;&lt;Cite&gt;&lt;Author&gt;Zhang&lt;/Author&gt;&lt;Year&gt;2021&lt;/Year&gt;&lt;RecNum&gt;96&lt;/RecNum&gt;&lt;DisplayText&gt;(Zhang &amp;amp; Richmond 2021)&lt;/DisplayText&gt;&lt;record&gt;&lt;rec-number&gt;96&lt;/rec-number&gt;&lt;foreign-keys&gt;&lt;key app="EN" db-id="00x55w5599xfwne5w54pxtd5d0pfwrdtfx5z" timestamp="1710307139"&gt;96&lt;/key&gt;&lt;/foreign-keys&gt;&lt;ref-type name="Journal Article"&gt;17&lt;/ref-type&gt;&lt;contributors&gt;&lt;authors&gt;&lt;author&gt;Zhang, Z.&lt;/author&gt;&lt;author&gt;Richmond, A.&lt;/author&gt;&lt;/authors&gt;&lt;/contributors&gt;&lt;auth-address&gt;Department of Biological Sciences, Vanderbilt University, Nashville, TN, United States.&amp;#xD;Department of Pharmacology, Vanderbilt University, Nashville, TN, United States.&amp;#xD;Department of Veterans Affairs, Tennessee Valley Healthcare System, Nashville, TN, United States.&lt;/auth-address&gt;&lt;titles&gt;&lt;title&gt;The Role of PI3K Inhibition in the Treatment of Breast Cancer, Alone or Combined With Immune Checkpoint Inhibitors&lt;/title&gt;&lt;secondary-title&gt;Front Mol Biosci&lt;/secondary-title&gt;&lt;/titles&gt;&lt;pages&gt;648663&lt;/pages&gt;&lt;volume&gt;8&lt;/volume&gt;&lt;edition&gt;20210507&lt;/edition&gt;&lt;keywords&gt;&lt;keyword&gt;Mdsc&lt;/keyword&gt;&lt;keyword&gt;PI3K inhibition&lt;/keyword&gt;&lt;keyword&gt;breast cancer&lt;/keyword&gt;&lt;keyword&gt;immune checkpoint inhibitors&lt;/keyword&gt;&lt;keyword&gt;tumor immune microenvironment&lt;/keyword&gt;&lt;/keywords&gt;&lt;dates&gt;&lt;year&gt;2021&lt;/year&gt;&lt;/dates&gt;&lt;isbn&gt;2296-889X (Print)&amp;#xD;2296-889x&lt;/isbn&gt;&lt;accession-num&gt;34026830&lt;/accession-num&gt;&lt;urls&gt;&lt;/urls&gt;&lt;custom1&gt;The authors declare that the research was conducted in the absence of any commercial or financial relationships that could be construed as a potential conflict of interest.&lt;/custom1&gt;&lt;custom2&gt;PMC8139556&lt;/custom2&gt;&lt;electronic-resource-num&gt;10.3389/fmolb.2021.648663&lt;/electronic-resource-num&gt;&lt;remote-database-provider&gt;NLM&lt;/remote-database-provider&gt;&lt;language&gt;eng&lt;/language&gt;&lt;/record&gt;&lt;/Cite&gt;&lt;/EndNote&gt;</w:instrText>
      </w:r>
      <w:r w:rsidR="00601905" w:rsidDel="005B51D1">
        <w:fldChar w:fldCharType="separate"/>
      </w:r>
      <w:r w:rsidR="00FD77B6">
        <w:rPr>
          <w:noProof/>
        </w:rPr>
        <w:t>(Zhang &amp; Richmond 2021)</w:t>
      </w:r>
      <w:r w:rsidR="00601905" w:rsidDel="005B51D1">
        <w:fldChar w:fldCharType="end"/>
      </w:r>
      <w:r w:rsidR="00B526D1">
        <w:t xml:space="preserve"> </w:t>
      </w:r>
      <w:r w:rsidR="00B526D1" w:rsidRPr="00601905">
        <w:t>an open-access article distributed under the terms of the Creative Commons Attribution License (CC BY).</w:t>
      </w:r>
    </w:p>
    <w:p w14:paraId="28D82EDB" w14:textId="02CCAFC2" w:rsidR="00EA031B" w:rsidRDefault="00EA031B" w:rsidP="00BD33CC">
      <w:pPr>
        <w:pStyle w:val="Tablenotes"/>
      </w:pPr>
      <w:r w:rsidRPr="00D73E0E">
        <w:t>Abbreviations: AKT</w:t>
      </w:r>
      <w:r>
        <w:t>=</w:t>
      </w:r>
      <w:r w:rsidRPr="00D73E0E">
        <w:t xml:space="preserve">serine/threonine kinase; </w:t>
      </w:r>
      <w:r w:rsidR="00AE27AD">
        <w:t>INPP4B=</w:t>
      </w:r>
      <w:r w:rsidR="00AE27AD" w:rsidRPr="00AE27AD">
        <w:t xml:space="preserve"> inositol polyphosphate 4-phosphatase</w:t>
      </w:r>
      <w:r w:rsidR="00AE27AD">
        <w:t xml:space="preserve">; </w:t>
      </w:r>
      <w:r w:rsidRPr="00D73E0E">
        <w:t>mTOR</w:t>
      </w:r>
      <w:r>
        <w:t>=</w:t>
      </w:r>
      <w:r w:rsidRPr="00D73E0E">
        <w:t>mammalian target of rapamycin;</w:t>
      </w:r>
      <w:r w:rsidR="00601905">
        <w:t xml:space="preserve"> </w:t>
      </w:r>
      <w:r w:rsidRPr="00D73E0E">
        <w:t>PDK1</w:t>
      </w:r>
      <w:r>
        <w:t>=</w:t>
      </w:r>
      <w:r w:rsidRPr="00D73E0E">
        <w:t xml:space="preserve">phosphoinositide-dependent kinase 1; </w:t>
      </w:r>
      <w:r w:rsidR="005D4EEB">
        <w:t>P</w:t>
      </w:r>
      <w:r w:rsidR="000922A8">
        <w:t>I</w:t>
      </w:r>
      <w:r w:rsidR="005D4EEB">
        <w:t>3K=</w:t>
      </w:r>
      <w:r w:rsidR="005D4EEB" w:rsidRPr="005D4EEB">
        <w:t xml:space="preserve"> phosphoinositide 3-kinase</w:t>
      </w:r>
      <w:r w:rsidR="005D4EEB">
        <w:t xml:space="preserve">; </w:t>
      </w:r>
      <w:r w:rsidRPr="00D73E0E">
        <w:t>PIP2</w:t>
      </w:r>
      <w:r>
        <w:t>=</w:t>
      </w:r>
      <w:r w:rsidRPr="00D73E0E">
        <w:t>phosphatidyl-inositol-diphosphate; PIP3</w:t>
      </w:r>
      <w:r>
        <w:t>=</w:t>
      </w:r>
      <w:r w:rsidRPr="00D73E0E">
        <w:t xml:space="preserve">phosphatidyl-inositol-triphosphate; </w:t>
      </w:r>
      <w:r w:rsidR="00651D23" w:rsidRPr="00651D23">
        <w:rPr>
          <w:i/>
          <w:iCs/>
        </w:rPr>
        <w:t>PTEN</w:t>
      </w:r>
      <w:r>
        <w:t>=</w:t>
      </w:r>
      <w:r w:rsidRPr="00D73E0E">
        <w:t xml:space="preserve">phosphatase and tensin homolog; </w:t>
      </w:r>
    </w:p>
    <w:p w14:paraId="026FA9FF" w14:textId="1123ACCA" w:rsidR="006C705E" w:rsidRDefault="00601905" w:rsidP="00BD33CC">
      <w:pPr>
        <w:pStyle w:val="Tablenotes"/>
      </w:pPr>
      <w:r>
        <w:t xml:space="preserve">Note: PI3K is composed of a heterodimer of a p85 regulatory subunit and a p110 catalytic subunit </w:t>
      </w:r>
      <w:r>
        <w:fldChar w:fldCharType="begin"/>
      </w:r>
      <w:r w:rsidR="00FD77B6">
        <w:instrText xml:space="preserve"> ADDIN EN.CITE &lt;EndNote&gt;&lt;Cite&gt;&lt;Author&gt;Zhang&lt;/Author&gt;&lt;Year&gt;2021&lt;/Year&gt;&lt;RecNum&gt;96&lt;/RecNum&gt;&lt;DisplayText&gt;(Zhang &amp;amp; Richmond 2021)&lt;/DisplayText&gt;&lt;record&gt;&lt;rec-number&gt;96&lt;/rec-number&gt;&lt;foreign-keys&gt;&lt;key app="EN" db-id="00x55w5599xfwne5w54pxtd5d0pfwrdtfx5z" timestamp="1710307139"&gt;96&lt;/key&gt;&lt;/foreign-keys&gt;&lt;ref-type name="Journal Article"&gt;17&lt;/ref-type&gt;&lt;contributors&gt;&lt;authors&gt;&lt;author&gt;Zhang, Z.&lt;/author&gt;&lt;author&gt;Richmond, A.&lt;/author&gt;&lt;/authors&gt;&lt;/contributors&gt;&lt;auth-address&gt;Department of Biological Sciences, Vanderbilt University, Nashville, TN, United States.&amp;#xD;Department of Pharmacology, Vanderbilt University, Nashville, TN, United States.&amp;#xD;Department of Veterans Affairs, Tennessee Valley Healthcare System, Nashville, TN, United States.&lt;/auth-address&gt;&lt;titles&gt;&lt;title&gt;The Role of PI3K Inhibition in the Treatment of Breast Cancer, Alone or Combined With Immune Checkpoint Inhibitors&lt;/title&gt;&lt;secondary-title&gt;Front Mol Biosci&lt;/secondary-title&gt;&lt;/titles&gt;&lt;pages&gt;648663&lt;/pages&gt;&lt;volume&gt;8&lt;/volume&gt;&lt;edition&gt;20210507&lt;/edition&gt;&lt;keywords&gt;&lt;keyword&gt;Mdsc&lt;/keyword&gt;&lt;keyword&gt;PI3K inhibition&lt;/keyword&gt;&lt;keyword&gt;breast cancer&lt;/keyword&gt;&lt;keyword&gt;immune checkpoint inhibitors&lt;/keyword&gt;&lt;keyword&gt;tumor immune microenvironment&lt;/keyword&gt;&lt;/keywords&gt;&lt;dates&gt;&lt;year&gt;2021&lt;/year&gt;&lt;/dates&gt;&lt;isbn&gt;2296-889X (Print)&amp;#xD;2296-889x&lt;/isbn&gt;&lt;accession-num&gt;34026830&lt;/accession-num&gt;&lt;urls&gt;&lt;/urls&gt;&lt;custom1&gt;The authors declare that the research was conducted in the absence of any commercial or financial relationships that could be construed as a potential conflict of interest.&lt;/custom1&gt;&lt;custom2&gt;PMC8139556&lt;/custom2&gt;&lt;electronic-resource-num&gt;10.3389/fmolb.2021.648663&lt;/electronic-resource-num&gt;&lt;remote-database-provider&gt;NLM&lt;/remote-database-provider&gt;&lt;language&gt;eng&lt;/language&gt;&lt;/record&gt;&lt;/Cite&gt;&lt;/EndNote&gt;</w:instrText>
      </w:r>
      <w:r>
        <w:fldChar w:fldCharType="separate"/>
      </w:r>
      <w:r w:rsidR="00FD77B6">
        <w:rPr>
          <w:noProof/>
        </w:rPr>
        <w:t>(Zhang &amp; Richmond 2021)</w:t>
      </w:r>
      <w:r>
        <w:fldChar w:fldCharType="end"/>
      </w:r>
    </w:p>
    <w:p w14:paraId="32991D04" w14:textId="12F308F2" w:rsidR="0009049F" w:rsidRPr="00010806" w:rsidRDefault="001713D9" w:rsidP="0023599C">
      <w:pPr>
        <w:spacing w:after="0" w:line="240" w:lineRule="auto"/>
      </w:pPr>
      <w:r>
        <w:t>AKT pathway</w:t>
      </w:r>
      <w:r w:rsidR="0009049F" w:rsidRPr="00010806">
        <w:t xml:space="preserve"> alterations include:</w:t>
      </w:r>
    </w:p>
    <w:p w14:paraId="36FAFCE4" w14:textId="08DDD283" w:rsidR="0009049F" w:rsidRPr="00010806" w:rsidRDefault="0009049F" w:rsidP="003A16EB">
      <w:pPr>
        <w:pStyle w:val="ListParagraph"/>
        <w:numPr>
          <w:ilvl w:val="0"/>
          <w:numId w:val="18"/>
        </w:numPr>
        <w:spacing w:after="0" w:line="240" w:lineRule="auto"/>
      </w:pPr>
      <w:r w:rsidRPr="00010806">
        <w:t xml:space="preserve">Activating </w:t>
      </w:r>
      <w:r w:rsidR="00413D10">
        <w:t xml:space="preserve">tier I </w:t>
      </w:r>
      <w:r w:rsidR="00FC14BD">
        <w:t>varia</w:t>
      </w:r>
      <w:r w:rsidR="00413D10">
        <w:t>n</w:t>
      </w:r>
      <w:r w:rsidR="00FC14BD">
        <w:t>ts</w:t>
      </w:r>
      <w:r w:rsidR="00FC14BD" w:rsidRPr="00010806">
        <w:t xml:space="preserve"> </w:t>
      </w:r>
      <w:r w:rsidRPr="00010806">
        <w:t xml:space="preserve">in </w:t>
      </w:r>
      <w:r w:rsidRPr="00302B40">
        <w:rPr>
          <w:i/>
          <w:iCs/>
        </w:rPr>
        <w:t>PIK3CA</w:t>
      </w:r>
      <w:r w:rsidR="00957F31">
        <w:rPr>
          <w:i/>
          <w:iCs/>
        </w:rPr>
        <w:t xml:space="preserve"> </w:t>
      </w:r>
      <w:r w:rsidR="00957F31" w:rsidRPr="00957F31">
        <w:t>(catalytic subunit of PI3K)</w:t>
      </w:r>
      <w:r w:rsidRPr="00010806">
        <w:t xml:space="preserve"> or </w:t>
      </w:r>
      <w:r w:rsidRPr="00302B40">
        <w:rPr>
          <w:i/>
          <w:iCs/>
        </w:rPr>
        <w:t>AKT1</w:t>
      </w:r>
      <w:r w:rsidR="001424DE">
        <w:rPr>
          <w:i/>
          <w:iCs/>
        </w:rPr>
        <w:t>,</w:t>
      </w:r>
      <w:r w:rsidRPr="00010806">
        <w:t xml:space="preserve"> which can inappropriately activate the pathway.</w:t>
      </w:r>
      <w:r w:rsidR="00EC2EF2" w:rsidRPr="00EC2EF2">
        <w:t xml:space="preserve"> </w:t>
      </w:r>
      <w:r w:rsidR="00EC2EF2" w:rsidRPr="00302B40">
        <w:rPr>
          <w:i/>
          <w:iCs/>
        </w:rPr>
        <w:t>PIK3CA</w:t>
      </w:r>
      <w:r w:rsidR="00EC2EF2" w:rsidRPr="00EC2EF2">
        <w:t xml:space="preserve"> </w:t>
      </w:r>
      <w:r w:rsidR="00413D10">
        <w:t>tier I</w:t>
      </w:r>
      <w:r w:rsidR="00FC14BD">
        <w:t xml:space="preserve"> varia</w:t>
      </w:r>
      <w:r w:rsidR="00413D10">
        <w:t>n</w:t>
      </w:r>
      <w:r w:rsidR="00FC14BD">
        <w:t>t</w:t>
      </w:r>
      <w:r w:rsidR="00413D10">
        <w:t>s</w:t>
      </w:r>
      <w:r w:rsidR="00FC14BD" w:rsidRPr="00EC2EF2">
        <w:t xml:space="preserve"> </w:t>
      </w:r>
      <w:r w:rsidR="00EC2EF2" w:rsidRPr="00EC2EF2">
        <w:t xml:space="preserve">account for up to 45% of </w:t>
      </w:r>
      <w:r w:rsidR="00533F11">
        <w:t xml:space="preserve">BC </w:t>
      </w:r>
      <w:r w:rsidR="00EC2EF2" w:rsidRPr="00EC2EF2">
        <w:t>cases (Martorana et al., 2021)</w:t>
      </w:r>
      <w:r w:rsidR="00D262D3">
        <w:t>.</w:t>
      </w:r>
    </w:p>
    <w:p w14:paraId="33AC6419" w14:textId="57F41B1A" w:rsidR="00D262D3" w:rsidRPr="00010806" w:rsidRDefault="0009049F" w:rsidP="003A16EB">
      <w:pPr>
        <w:pStyle w:val="ListParagraph"/>
        <w:numPr>
          <w:ilvl w:val="0"/>
          <w:numId w:val="18"/>
        </w:numPr>
        <w:spacing w:after="0" w:line="240" w:lineRule="auto"/>
      </w:pPr>
      <w:r w:rsidRPr="00010806">
        <w:t xml:space="preserve">Loss of function </w:t>
      </w:r>
      <w:r w:rsidR="00854EB2">
        <w:t>varia</w:t>
      </w:r>
      <w:r w:rsidR="00413D10">
        <w:t>n</w:t>
      </w:r>
      <w:r w:rsidR="00854EB2">
        <w:t>ts</w:t>
      </w:r>
      <w:r w:rsidR="00854EB2" w:rsidRPr="00010806">
        <w:t xml:space="preserve"> </w:t>
      </w:r>
      <w:r w:rsidRPr="00010806">
        <w:t xml:space="preserve">in </w:t>
      </w:r>
      <w:r w:rsidRPr="00717C54">
        <w:rPr>
          <w:i/>
          <w:iCs/>
        </w:rPr>
        <w:t>PTEN</w:t>
      </w:r>
      <w:r w:rsidR="00D262D3">
        <w:t>,</w:t>
      </w:r>
      <w:r w:rsidRPr="00010806">
        <w:t xml:space="preserve"> which can lead </w:t>
      </w:r>
      <w:r w:rsidR="00004B97">
        <w:t xml:space="preserve">to loss of pathway inhibition and </w:t>
      </w:r>
      <w:r w:rsidRPr="00010806">
        <w:t xml:space="preserve"> </w:t>
      </w:r>
      <w:r w:rsidR="00004B97" w:rsidRPr="00010806">
        <w:t>inappropriate activ</w:t>
      </w:r>
      <w:r w:rsidR="00CA1778">
        <w:t>ation of</w:t>
      </w:r>
      <w:r w:rsidR="0061740A">
        <w:t xml:space="preserve"> </w:t>
      </w:r>
      <w:r w:rsidR="00CA1778">
        <w:t>pathway</w:t>
      </w:r>
      <w:r w:rsidRPr="00010806">
        <w:t xml:space="preserve"> signalling</w:t>
      </w:r>
      <w:r w:rsidR="00EC2EF2">
        <w:t xml:space="preserve">, </w:t>
      </w:r>
      <w:r w:rsidR="005B51D1">
        <w:t>account</w:t>
      </w:r>
      <w:r w:rsidR="00004B97">
        <w:t>s</w:t>
      </w:r>
      <w:r w:rsidR="005B51D1">
        <w:t xml:space="preserve"> for </w:t>
      </w:r>
      <w:r w:rsidR="00EC2EF2" w:rsidRPr="00EC2EF2">
        <w:t xml:space="preserve">up to 35% of the </w:t>
      </w:r>
      <w:r w:rsidR="00533F11">
        <w:t>BC</w:t>
      </w:r>
      <w:r w:rsidR="00EC2EF2" w:rsidRPr="00EC2EF2">
        <w:t xml:space="preserve"> cases (Martorana et al., 2021)</w:t>
      </w:r>
      <w:r w:rsidR="00D262D3">
        <w:t>.</w:t>
      </w:r>
    </w:p>
    <w:p w14:paraId="66DBD2C6" w14:textId="77777777" w:rsidR="00EF7005" w:rsidRDefault="00EF7005" w:rsidP="0023599C">
      <w:pPr>
        <w:pStyle w:val="ListParagraph"/>
        <w:spacing w:after="0" w:line="240" w:lineRule="auto"/>
        <w:ind w:left="1080"/>
      </w:pPr>
    </w:p>
    <w:p w14:paraId="16AA8F0A" w14:textId="2E1B6386" w:rsidR="0009049F" w:rsidRDefault="002768C6" w:rsidP="0023599C">
      <w:r>
        <w:t xml:space="preserve">Alterations </w:t>
      </w:r>
      <w:r w:rsidR="00302B40">
        <w:t xml:space="preserve">in </w:t>
      </w:r>
      <w:r w:rsidR="00302B40" w:rsidRPr="001C6E90">
        <w:t>the</w:t>
      </w:r>
      <w:r w:rsidR="001C6E90">
        <w:t xml:space="preserve"> </w:t>
      </w:r>
      <w:r w:rsidR="001713D9">
        <w:t>AKT pathway</w:t>
      </w:r>
      <w:r w:rsidR="001C6E90" w:rsidRPr="001C6E90">
        <w:t xml:space="preserve"> </w:t>
      </w:r>
      <w:r w:rsidR="006B562B">
        <w:t>are</w:t>
      </w:r>
      <w:r w:rsidR="001C6E90" w:rsidRPr="001C6E90">
        <w:t xml:space="preserve"> </w:t>
      </w:r>
      <w:r w:rsidR="003A5675">
        <w:t>associated with</w:t>
      </w:r>
      <w:r w:rsidR="001C6E90" w:rsidRPr="001C6E90">
        <w:t xml:space="preserve"> </w:t>
      </w:r>
      <w:r w:rsidRPr="001C6E90">
        <w:t>tumour</w:t>
      </w:r>
      <w:r w:rsidR="001C6E90" w:rsidRPr="001C6E90">
        <w:t xml:space="preserve"> progression and resistance to </w:t>
      </w:r>
      <w:r>
        <w:t>treatment</w:t>
      </w:r>
      <w:r w:rsidR="00236B14">
        <w:t xml:space="preserve"> </w:t>
      </w:r>
      <w:r w:rsidR="00236B14">
        <w:fldChar w:fldCharType="begin">
          <w:fldData xml:space="preserve">PEVuZE5vdGU+PENpdGU+PEF1dGhvcj5Ta29sYXJpa2k8L0F1dGhvcj48WWVhcj4yMDIyPC9ZZWFy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</w:fldData>
        </w:fldChar>
      </w:r>
      <w:r w:rsidR="00FD77B6">
        <w:instrText xml:space="preserve"> ADDIN EN.CITE </w:instrText>
      </w:r>
      <w:r w:rsidR="00FD77B6">
        <w:fldChar w:fldCharType="begin">
          <w:fldData xml:space="preserve">PEVuZE5vdGU+PENpdGU+PEF1dGhvcj5Ta29sYXJpa2k8L0F1dGhvcj48WWVhcj4yMDIyPC9ZZWFy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</w:fldData>
        </w:fldChar>
      </w:r>
      <w:r w:rsidR="00FD77B6">
        <w:instrText xml:space="preserve"> ADDIN EN.CITE.DATA </w:instrText>
      </w:r>
      <w:r w:rsidR="00FD77B6">
        <w:fldChar w:fldCharType="end"/>
      </w:r>
      <w:r w:rsidR="00236B14">
        <w:fldChar w:fldCharType="separate"/>
      </w:r>
      <w:r w:rsidR="00FD77B6">
        <w:rPr>
          <w:noProof/>
        </w:rPr>
        <w:t>(Rimawi et al. 2018; Skolariki et al. 2022)</w:t>
      </w:r>
      <w:r w:rsidR="00236B14">
        <w:fldChar w:fldCharType="end"/>
      </w:r>
      <w:r w:rsidR="00D262D3">
        <w:t xml:space="preserve">. </w:t>
      </w:r>
      <w:r>
        <w:t>The</w:t>
      </w:r>
      <w:r w:rsidR="00EF7005" w:rsidRPr="00EF7005">
        <w:t xml:space="preserve"> CAPitello-291 trial</w:t>
      </w:r>
      <w:r>
        <w:t xml:space="preserve"> demonstrated that the</w:t>
      </w:r>
      <w:r w:rsidR="00EF7005" w:rsidRPr="00EF7005">
        <w:t xml:space="preserve"> addition of capivasertib to fulvestrant treatment significantly improved PFS </w:t>
      </w:r>
      <w:r w:rsidR="00F309B0" w:rsidRPr="00F309B0">
        <w:t>(hazard ratio</w:t>
      </w:r>
      <w:r w:rsidR="00D262D3">
        <w:t xml:space="preserve"> (HR) =</w:t>
      </w:r>
      <w:r w:rsidR="00F309B0" w:rsidRPr="00F309B0">
        <w:t xml:space="preserve"> 0.50; 95% CI</w:t>
      </w:r>
      <w:r w:rsidR="00D270D1">
        <w:t>:</w:t>
      </w:r>
      <w:r w:rsidR="00D270D1" w:rsidRPr="00F309B0">
        <w:t xml:space="preserve"> </w:t>
      </w:r>
      <w:r w:rsidR="00F309B0" w:rsidRPr="00F309B0">
        <w:t>0.38 to 0.65</w:t>
      </w:r>
      <w:r w:rsidR="00F309B0">
        <w:t xml:space="preserve">) </w:t>
      </w:r>
      <w:r w:rsidR="00EF7005" w:rsidRPr="00EF7005">
        <w:t xml:space="preserve">in patients with AI-resistant HR+/HER2- </w:t>
      </w:r>
      <w:r w:rsidR="00E63D43">
        <w:t xml:space="preserve">advanced breast cancer </w:t>
      </w:r>
      <w:r w:rsidR="0077001B">
        <w:t>and positive</w:t>
      </w:r>
      <w:r w:rsidR="00EF7005" w:rsidRPr="00EF7005">
        <w:t xml:space="preserve"> </w:t>
      </w:r>
      <w:r w:rsidR="001713D9">
        <w:t>AKT pathway</w:t>
      </w:r>
      <w:r w:rsidR="00EF7005" w:rsidRPr="00EF7005">
        <w:t xml:space="preserve"> alter</w:t>
      </w:r>
      <w:r w:rsidR="0077001B">
        <w:t>ations</w:t>
      </w:r>
      <w:r w:rsidR="00EF7005" w:rsidRPr="00EF7005">
        <w:t xml:space="preserve"> (Turner et al., 2023).</w:t>
      </w:r>
      <w:r w:rsidR="00FC14BD">
        <w:t xml:space="preserve"> </w:t>
      </w:r>
      <w:r>
        <w:t>In the</w:t>
      </w:r>
      <w:r w:rsidR="00EF7005" w:rsidRPr="00EF7005">
        <w:t xml:space="preserve"> SOLAR-1 trial, patients who tested positive for </w:t>
      </w:r>
      <w:r w:rsidR="00EF7005" w:rsidRPr="00302B40">
        <w:rPr>
          <w:i/>
          <w:iCs/>
        </w:rPr>
        <w:t>PIK3CA</w:t>
      </w:r>
      <w:r w:rsidR="00EF7005" w:rsidRPr="00EF7005">
        <w:t xml:space="preserve"> </w:t>
      </w:r>
      <w:r w:rsidR="00413D10">
        <w:t>tier I</w:t>
      </w:r>
      <w:r w:rsidR="00005439">
        <w:t xml:space="preserve"> </w:t>
      </w:r>
      <w:r w:rsidR="00EF7005" w:rsidRPr="00EF7005">
        <w:t xml:space="preserve">variants </w:t>
      </w:r>
      <w:r w:rsidR="00C706DD">
        <w:t>had</w:t>
      </w:r>
      <w:r w:rsidR="00EF7005" w:rsidRPr="00EF7005">
        <w:t xml:space="preserve"> prolonged PFS </w:t>
      </w:r>
      <w:r w:rsidR="00F8193F">
        <w:t>(</w:t>
      </w:r>
      <w:r w:rsidR="00A809ED">
        <w:t>HR =</w:t>
      </w:r>
      <w:r w:rsidR="00F8193F" w:rsidRPr="00F8193F">
        <w:t xml:space="preserve"> 0.65; 95% CI</w:t>
      </w:r>
      <w:r w:rsidR="00E00DE2">
        <w:t>:</w:t>
      </w:r>
      <w:r w:rsidR="00E00DE2" w:rsidRPr="00F8193F">
        <w:t xml:space="preserve"> </w:t>
      </w:r>
      <w:r w:rsidR="00F8193F" w:rsidRPr="00F8193F">
        <w:t>0.50 to 0.85</w:t>
      </w:r>
      <w:r w:rsidR="00F8193F">
        <w:t xml:space="preserve">) </w:t>
      </w:r>
      <w:r w:rsidR="00EF7005" w:rsidRPr="00EF7005">
        <w:t xml:space="preserve">after treatment with alpelisib and fulvestrant (André et al., 2019). </w:t>
      </w:r>
      <w:r w:rsidR="00EF7005" w:rsidRPr="00302B40">
        <w:rPr>
          <w:i/>
          <w:iCs/>
        </w:rPr>
        <w:t>PTEN</w:t>
      </w:r>
      <w:r w:rsidR="00EF7005" w:rsidRPr="00EF7005">
        <w:t xml:space="preserve"> status has been suggested as a predictor of response to different antitumour agents in several clinical trials (Carbognin et al., 2019). </w:t>
      </w:r>
    </w:p>
    <w:p w14:paraId="5FB41CFD" w14:textId="1EB5D703" w:rsidR="00E750B1" w:rsidRDefault="00B42EAF" w:rsidP="0023599C">
      <w:r>
        <w:t xml:space="preserve">Further information is needed as to whether the </w:t>
      </w:r>
      <w:r w:rsidR="007C68A8" w:rsidRPr="00302B40">
        <w:rPr>
          <w:i/>
          <w:iCs/>
        </w:rPr>
        <w:t>PIK3CA/AKT1/PTEN</w:t>
      </w:r>
      <w:r w:rsidR="007C68A8">
        <w:t xml:space="preserve"> </w:t>
      </w:r>
      <w:r w:rsidR="00413D10">
        <w:t>tier I</w:t>
      </w:r>
      <w:r>
        <w:t xml:space="preserve"> variants are stable</w:t>
      </w:r>
      <w:r w:rsidRPr="00B42EAF">
        <w:t xml:space="preserve"> over time or</w:t>
      </w:r>
      <w:r w:rsidR="00957F31">
        <w:t xml:space="preserve"> change</w:t>
      </w:r>
      <w:r w:rsidRPr="00B42EAF">
        <w:t xml:space="preserve"> in response to previous treatment, or between the primary tumour and metastatic disease</w:t>
      </w:r>
      <w:r w:rsidR="005A0FAF">
        <w:t>.</w:t>
      </w:r>
      <w:r w:rsidR="00E644DD">
        <w:t xml:space="preserve"> It is essential to know </w:t>
      </w:r>
      <w:r w:rsidR="00E644DD" w:rsidRPr="00E644DD">
        <w:t xml:space="preserve">the clinical and cost-effectiveness consequences of misallocation of treatment due to </w:t>
      </w:r>
      <w:r w:rsidR="00E644DD" w:rsidRPr="00E644DD">
        <w:lastRenderedPageBreak/>
        <w:t xml:space="preserve">changes in </w:t>
      </w:r>
      <w:r w:rsidR="00413D10">
        <w:t>tier I</w:t>
      </w:r>
      <w:r w:rsidR="00C7717B">
        <w:t xml:space="preserve"> varia</w:t>
      </w:r>
      <w:r w:rsidR="00413D10">
        <w:t>n</w:t>
      </w:r>
      <w:r w:rsidR="00C7717B">
        <w:t>t</w:t>
      </w:r>
      <w:r w:rsidR="00E644DD" w:rsidRPr="00E644DD">
        <w:t xml:space="preserve"> status.</w:t>
      </w:r>
      <w:r w:rsidR="00122B37">
        <w:t xml:space="preserve"> </w:t>
      </w:r>
      <w:r w:rsidR="00A92249">
        <w:t>W</w:t>
      </w:r>
      <w:r w:rsidR="00122B37" w:rsidRPr="00122B37">
        <w:t>hether it would be more cost-effective to deliver the medicine without the</w:t>
      </w:r>
      <w:r w:rsidR="00A92249">
        <w:t xml:space="preserve"> use of</w:t>
      </w:r>
      <w:r w:rsidR="00122B37" w:rsidRPr="00122B37">
        <w:t xml:space="preserve"> </w:t>
      </w:r>
      <w:r w:rsidR="001713D9">
        <w:t>AKT pathway</w:t>
      </w:r>
      <w:r w:rsidR="00122B37">
        <w:t xml:space="preserve"> testing,</w:t>
      </w:r>
      <w:r w:rsidR="006D6492">
        <w:t xml:space="preserve"> given the clinical efficacy</w:t>
      </w:r>
      <w:r w:rsidR="003F6B34">
        <w:t xml:space="preserve"> in </w:t>
      </w:r>
      <w:r w:rsidR="003F6B34" w:rsidRPr="00EF7005">
        <w:t xml:space="preserve">CAPitello-291 </w:t>
      </w:r>
      <w:r w:rsidR="006D6492">
        <w:t xml:space="preserve">of capivasertib in </w:t>
      </w:r>
      <w:r w:rsidR="00004B97">
        <w:t xml:space="preserve">the total advanced BC population </w:t>
      </w:r>
      <w:r w:rsidR="003F6B34">
        <w:t xml:space="preserve">and the number of cases in which </w:t>
      </w:r>
      <w:r w:rsidR="003F6B34" w:rsidRPr="00827AB4">
        <w:t>AKT</w:t>
      </w:r>
      <w:r w:rsidR="003F6B34">
        <w:t xml:space="preserve"> pathway</w:t>
      </w:r>
      <w:r w:rsidR="0051030C">
        <w:t xml:space="preserve"> tumour</w:t>
      </w:r>
      <w:r w:rsidR="003F6B34">
        <w:t xml:space="preserve"> analysis was not successful</w:t>
      </w:r>
      <w:r w:rsidR="0051030C">
        <w:t xml:space="preserve"> but derived benefit </w:t>
      </w:r>
      <w:r w:rsidR="00FC7007">
        <w:t xml:space="preserve">as well as the </w:t>
      </w:r>
      <w:r w:rsidR="003F6B34">
        <w:t xml:space="preserve">cases with a proven </w:t>
      </w:r>
      <w:r w:rsidR="00FC7007" w:rsidRPr="00302B40">
        <w:rPr>
          <w:i/>
          <w:iCs/>
        </w:rPr>
        <w:t>PIK3CA/AKT1</w:t>
      </w:r>
      <w:r w:rsidR="00FC7007">
        <w:t xml:space="preserve"> </w:t>
      </w:r>
      <w:r w:rsidR="00413D10">
        <w:t>tier I</w:t>
      </w:r>
      <w:r w:rsidR="00FC7007">
        <w:t xml:space="preserve"> varia</w:t>
      </w:r>
      <w:r w:rsidR="00413D10">
        <w:t>n</w:t>
      </w:r>
      <w:r w:rsidR="00FC7007">
        <w:t>ts which affect up to 45% of BC cases</w:t>
      </w:r>
      <w:r w:rsidR="00A92249">
        <w:t>, is worth considering.</w:t>
      </w:r>
    </w:p>
    <w:p w14:paraId="49E20FED" w14:textId="2B558396" w:rsidR="00AB0EEA" w:rsidRPr="00AB0EEA" w:rsidRDefault="00AB0EEA" w:rsidP="00BD33CC">
      <w:pPr>
        <w:autoSpaceDE w:val="0"/>
        <w:autoSpaceDN w:val="0"/>
        <w:adjustRightInd w:val="0"/>
        <w:spacing w:before="120" w:after="160" w:line="259" w:lineRule="auto"/>
        <w:rPr>
          <w:rFonts w:asciiTheme="minorHAnsi" w:hAnsiTheme="minorHAnsi" w:cstheme="minorHAnsi"/>
          <w:i/>
          <w:iCs/>
        </w:rPr>
      </w:pPr>
      <w:r w:rsidRPr="00AB0EEA">
        <w:rPr>
          <w:rFonts w:asciiTheme="minorHAnsi" w:hAnsiTheme="minorHAnsi" w:cstheme="minorHAnsi"/>
          <w:i/>
          <w:iCs/>
        </w:rPr>
        <w:t xml:space="preserve">PASC acknowledged that </w:t>
      </w:r>
      <w:r w:rsidRPr="00827AB4">
        <w:rPr>
          <w:rFonts w:asciiTheme="minorHAnsi" w:hAnsiTheme="minorHAnsi"/>
        </w:rPr>
        <w:t>PIK3CA/AKT</w:t>
      </w:r>
      <w:r w:rsidRPr="00AB0EEA">
        <w:rPr>
          <w:rFonts w:asciiTheme="minorHAnsi" w:hAnsiTheme="minorHAnsi" w:cstheme="minorHAnsi"/>
          <w:i/>
          <w:iCs/>
        </w:rPr>
        <w:t xml:space="preserve"> and mTOR pathways are the crucial drivers in tumorigenesis and around 50% of BC tumours will have genetic variants which constitutively activate the </w:t>
      </w:r>
      <w:r w:rsidR="001713D9">
        <w:rPr>
          <w:rFonts w:asciiTheme="minorHAnsi" w:hAnsiTheme="minorHAnsi" w:cstheme="minorHAnsi"/>
          <w:i/>
          <w:iCs/>
        </w:rPr>
        <w:t>AKT pathway</w:t>
      </w:r>
      <w:r w:rsidRPr="00AB0EEA">
        <w:rPr>
          <w:rFonts w:asciiTheme="minorHAnsi" w:hAnsiTheme="minorHAnsi" w:cstheme="minorHAnsi"/>
          <w:i/>
          <w:iCs/>
        </w:rPr>
        <w:t xml:space="preserve"> and drive the resistance to </w:t>
      </w:r>
      <w:r w:rsidR="00567B99">
        <w:rPr>
          <w:rFonts w:asciiTheme="minorHAnsi" w:hAnsiTheme="minorHAnsi" w:cstheme="minorHAnsi"/>
          <w:i/>
          <w:iCs/>
        </w:rPr>
        <w:t>ET</w:t>
      </w:r>
      <w:r w:rsidRPr="00AB0EEA">
        <w:rPr>
          <w:rFonts w:asciiTheme="minorHAnsi" w:hAnsiTheme="minorHAnsi" w:cstheme="minorHAnsi"/>
          <w:i/>
          <w:iCs/>
        </w:rPr>
        <w:t>. Abrogation can occur due to genetic activation, genetic loss of inhibition and non-genetic mechanisms. PIK3CA gene has four hotspot variants which result in genetic activation effects. The prevalence of PIK3CA variants in HR+ BC was about 40%. However, there was</w:t>
      </w:r>
      <w:r w:rsidR="003C693F">
        <w:rPr>
          <w:rFonts w:asciiTheme="minorHAnsi" w:hAnsiTheme="minorHAnsi" w:cstheme="minorHAnsi"/>
          <w:i/>
          <w:iCs/>
        </w:rPr>
        <w:t xml:space="preserve"> </w:t>
      </w:r>
      <w:r w:rsidR="008B6D82">
        <w:rPr>
          <w:rFonts w:asciiTheme="minorHAnsi" w:hAnsiTheme="minorHAnsi" w:cstheme="minorHAnsi"/>
          <w:i/>
          <w:iCs/>
        </w:rPr>
        <w:t>an</w:t>
      </w:r>
      <w:r w:rsidR="008B6D82" w:rsidRPr="00AB0EEA">
        <w:rPr>
          <w:rFonts w:asciiTheme="minorHAnsi" w:hAnsiTheme="minorHAnsi" w:cstheme="minorHAnsi"/>
          <w:i/>
          <w:iCs/>
        </w:rPr>
        <w:t xml:space="preserve"> </w:t>
      </w:r>
      <w:r w:rsidRPr="00AB0EEA">
        <w:rPr>
          <w:rFonts w:asciiTheme="minorHAnsi" w:hAnsiTheme="minorHAnsi" w:cstheme="minorHAnsi"/>
          <w:i/>
          <w:iCs/>
        </w:rPr>
        <w:t xml:space="preserve">issue with </w:t>
      </w:r>
      <w:r w:rsidR="008B6D82">
        <w:rPr>
          <w:rFonts w:asciiTheme="minorHAnsi" w:hAnsiTheme="minorHAnsi" w:cstheme="minorHAnsi"/>
          <w:i/>
          <w:iCs/>
        </w:rPr>
        <w:t xml:space="preserve">the </w:t>
      </w:r>
      <w:r w:rsidRPr="00AB0EEA">
        <w:rPr>
          <w:rFonts w:asciiTheme="minorHAnsi" w:hAnsiTheme="minorHAnsi" w:cstheme="minorHAnsi"/>
          <w:i/>
          <w:iCs/>
        </w:rPr>
        <w:t xml:space="preserve">poor concordance between primary and secondary tumour tissues, where 16% of them were discordant. The prevalence of PTEN variants (sequence variants and copy number variants) leading to loss of inhibition function occurred in about 5-10% of HR+ BC cases. Germline PTEN </w:t>
      </w:r>
      <w:r w:rsidR="0051030C">
        <w:rPr>
          <w:rFonts w:asciiTheme="minorHAnsi" w:hAnsiTheme="minorHAnsi" w:cstheme="minorHAnsi"/>
          <w:i/>
          <w:iCs/>
        </w:rPr>
        <w:t xml:space="preserve">pathogenic </w:t>
      </w:r>
      <w:r w:rsidRPr="00AB0EEA">
        <w:rPr>
          <w:rFonts w:asciiTheme="minorHAnsi" w:hAnsiTheme="minorHAnsi" w:cstheme="minorHAnsi"/>
          <w:i/>
          <w:iCs/>
        </w:rPr>
        <w:t>variants are very rare and confer a predisposition to cancer syndromes. AKT variants leading to genetic activation occurred in about 5% of HR+ BC cases.</w:t>
      </w:r>
    </w:p>
    <w:p w14:paraId="40211211" w14:textId="711390E5" w:rsidR="005E4E34" w:rsidRDefault="00CB42F6" w:rsidP="0023599C">
      <w:pPr>
        <w:pStyle w:val="Heading4"/>
      </w:pPr>
      <w:r>
        <w:t>Treatment options</w:t>
      </w:r>
    </w:p>
    <w:p w14:paraId="39B25B72" w14:textId="1645EA48" w:rsidR="007D7175" w:rsidRDefault="0018168B" w:rsidP="0023599C">
      <w:r>
        <w:t>According to</w:t>
      </w:r>
      <w:r w:rsidR="00DD08A3">
        <w:t xml:space="preserve"> </w:t>
      </w:r>
      <w:r w:rsidR="0093010A">
        <w:t xml:space="preserve">the </w:t>
      </w:r>
      <w:r w:rsidR="00DD08A3">
        <w:t xml:space="preserve">European Society for Medical Oncology (ESMO) </w:t>
      </w:r>
      <w:r w:rsidR="00E31663">
        <w:t xml:space="preserve">2021 </w:t>
      </w:r>
      <w:r w:rsidR="00DD08A3">
        <w:t>guidelines, t</w:t>
      </w:r>
      <w:r w:rsidR="00AD6426">
        <w:t xml:space="preserve">he 1L standard-of-care treatment for HR+/HER2- </w:t>
      </w:r>
      <w:r w:rsidR="0050479D">
        <w:t xml:space="preserve">advanced </w:t>
      </w:r>
      <w:r w:rsidR="00AD6426">
        <w:t xml:space="preserve">BC is a combination of </w:t>
      </w:r>
      <w:r w:rsidR="00391436">
        <w:t xml:space="preserve">ET + </w:t>
      </w:r>
      <w:r w:rsidR="00AD6426">
        <w:t>CDK4/6 inhibitor</w:t>
      </w:r>
      <w:r w:rsidR="00B27532">
        <w:t xml:space="preserve"> </w:t>
      </w:r>
      <w:r w:rsidR="00B27532">
        <w:fldChar w:fldCharType="begin"/>
      </w:r>
      <w:r w:rsidR="00FD77B6">
        <w:instrText xml:space="preserve"> ADDIN EN.CITE &lt;EndNote&gt;&lt;Cite&gt;&lt;Author&gt;Gennari&lt;/Author&gt;&lt;Year&gt;2021&lt;/Year&gt;&lt;RecNum&gt;7&lt;/RecNum&gt;&lt;DisplayText&gt;(Gennari et al. 2021)&lt;/DisplayText&gt;&lt;record&gt;&lt;rec-number&gt;7&lt;/rec-number&gt;&lt;foreign-keys&gt;&lt;key app="EN" db-id="5xftswrv6zts2ke2xrkvxe2zr9e5effztde0" timestamp="1706843445"&gt;7&lt;/key&gt;&lt;/foreign-keys&gt;&lt;ref-type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B27532">
        <w:fldChar w:fldCharType="separate"/>
      </w:r>
      <w:r w:rsidR="00FD77B6">
        <w:rPr>
          <w:noProof/>
        </w:rPr>
        <w:t>(Gennari et al. 2021)</w:t>
      </w:r>
      <w:r w:rsidR="00B27532">
        <w:fldChar w:fldCharType="end"/>
      </w:r>
      <w:r w:rsidR="00AD6426">
        <w:t xml:space="preserve">. </w:t>
      </w:r>
      <w:r w:rsidR="00DD08A3">
        <w:t>For patients with imminent organ failure, chemotherapy is recommended as 1L treatment.</w:t>
      </w:r>
      <w:r w:rsidR="00C4536B">
        <w:t xml:space="preserve"> </w:t>
      </w:r>
      <w:r w:rsidR="00185DE2">
        <w:t>In addition, t</w:t>
      </w:r>
      <w:r w:rsidR="00185DE2" w:rsidRPr="00185DE2">
        <w:t xml:space="preserve">he National Comprehensive Cancer Network 2024 (NCCN) </w:t>
      </w:r>
      <w:r>
        <w:t xml:space="preserve">guidelines </w:t>
      </w:r>
      <w:r w:rsidR="00185DE2" w:rsidRPr="00185DE2">
        <w:t>recommend</w:t>
      </w:r>
      <w:r w:rsidR="00185DE2">
        <w:t xml:space="preserve"> fulvestrant monotherapy or </w:t>
      </w:r>
      <w:r w:rsidR="00B27532">
        <w:t xml:space="preserve">fulvestrant + CDK4/6 inhibitor or </w:t>
      </w:r>
      <w:r w:rsidR="00185DE2">
        <w:t xml:space="preserve">fulvestrant + </w:t>
      </w:r>
      <w:r w:rsidR="00185DE2" w:rsidRPr="00185DE2">
        <w:t>non-steroidal AI (e.g.</w:t>
      </w:r>
      <w:r w:rsidR="00A809ED">
        <w:t>,</w:t>
      </w:r>
      <w:r w:rsidR="00185DE2" w:rsidRPr="00185DE2">
        <w:t xml:space="preserve"> anastrozole, letrozole)</w:t>
      </w:r>
      <w:r w:rsidR="00185DE2">
        <w:t xml:space="preserve"> as 1L therapy </w:t>
      </w:r>
      <w:r w:rsidR="00185DE2">
        <w:fldChar w:fldCharType="begin"/>
      </w:r>
      <w:r w:rsidR="008B3C9F">
        <w:instrText xml:space="preserve"> ADDIN EN.CITE &lt;EndNote&gt;&lt;Cite ExcludeAuth="1" ExcludeYear="1"&gt;&lt;Author&gt;National Comprehensive Cancer Network&lt;/Author&gt;&lt;Year&gt;2024 Jan 25&lt;/Year&gt;&lt;RecNum&gt;13&lt;/RecNum&gt;&lt;Prefix&gt;NCCN 2024&lt;/Prefix&gt;&lt;DisplayText&gt;(NCCN 2024)&lt;/DisplayText&gt;&lt;record&gt;&lt;rec-number&gt;13&lt;/rec-number&gt;&lt;foreign-keys&gt;&lt;key app="EN" db-id="5xftswrv6zts2ke2xrkvxe2zr9e5effztde0" timestamp="1707369098"&gt;13&lt;/key&gt;&lt;/foreign-keys&gt;&lt;ref-type name="Web Page"&gt;12&lt;/ref-type&gt;&lt;contributors&gt;&lt;authors&gt;&lt;author&gt;National Comprehensive Cancer Network,&lt;/author&gt;&lt;/authors&gt;&lt;/contributors&gt;&lt;titles&gt;&lt;title&gt;NCCN Clinical Practice Guidelines in Oncology Breast Cancer&lt;/title&gt;&lt;/titles&gt;&lt;number&gt;2024 February 08&lt;/number&gt;&lt;edition&gt;Version 1.2024&lt;/edition&gt;&lt;dates&gt;&lt;year&gt;2024 Jan 25&lt;/year&gt;&lt;/dates&gt;&lt;work-type&gt;Internet&lt;/work-type&gt;&lt;urls&gt;&lt;related-urls&gt;&lt;url&gt;https://www.nccn.org/guidelines/recently-published-guidelines&lt;/url&gt;&lt;/related-urls&gt;&lt;/urls&gt;&lt;/record&gt;&lt;/Cite&gt;&lt;/EndNote&gt;</w:instrText>
      </w:r>
      <w:r w:rsidR="00185DE2">
        <w:fldChar w:fldCharType="separate"/>
      </w:r>
      <w:r w:rsidR="008B3C9F">
        <w:rPr>
          <w:noProof/>
        </w:rPr>
        <w:t>(NCCN 2024)</w:t>
      </w:r>
      <w:r w:rsidR="00185DE2">
        <w:fldChar w:fldCharType="end"/>
      </w:r>
      <w:r w:rsidR="00185DE2">
        <w:t>.</w:t>
      </w:r>
      <w:r w:rsidR="007F1E75">
        <w:t xml:space="preserve"> For patients with </w:t>
      </w:r>
      <w:r w:rsidR="00715D5E">
        <w:t xml:space="preserve">visceral crisis and </w:t>
      </w:r>
      <w:r w:rsidR="007F1E75">
        <w:t xml:space="preserve">germline </w:t>
      </w:r>
      <w:r w:rsidR="007F1E75" w:rsidRPr="00D06F1C">
        <w:rPr>
          <w:i/>
          <w:iCs/>
        </w:rPr>
        <w:t>BRCA1/2</w:t>
      </w:r>
      <w:r w:rsidR="007F1E75">
        <w:t xml:space="preserve"> </w:t>
      </w:r>
      <w:r w:rsidR="00854EB2">
        <w:t>pathogenic variant</w:t>
      </w:r>
      <w:r w:rsidR="007F1E75">
        <w:t>,</w:t>
      </w:r>
      <w:r w:rsidR="003A531B" w:rsidRPr="003A531B">
        <w:t xml:space="preserve"> poly (ADP-ribose) polymerase</w:t>
      </w:r>
      <w:r w:rsidR="007F1E75">
        <w:t xml:space="preserve"> </w:t>
      </w:r>
      <w:r w:rsidR="003A531B">
        <w:t>(</w:t>
      </w:r>
      <w:r w:rsidR="007F1E75">
        <w:t>PARP</w:t>
      </w:r>
      <w:r w:rsidR="003A531B">
        <w:t>) inhibitor</w:t>
      </w:r>
      <w:r w:rsidR="007F1E75">
        <w:t xml:space="preserve"> is preferred </w:t>
      </w:r>
      <w:r w:rsidR="007F1E75">
        <w:fldChar w:fldCharType="begin"/>
      </w:r>
      <w:r w:rsidR="008B3C9F">
        <w:instrText xml:space="preserve"> ADDIN EN.CITE &lt;EndNote&gt;&lt;Cite ExcludeAuth="1" ExcludeYear="1"&gt;&lt;Author&gt;National Comprehensive Cancer Network&lt;/Author&gt;&lt;Year&gt;2024 Jan 25&lt;/Year&gt;&lt;RecNum&gt;13&lt;/RecNum&gt;&lt;Prefix&gt;NCCN 2024&lt;/Prefix&gt;&lt;DisplayText&gt;(NCCN 2024)&lt;/DisplayText&gt;&lt;record&gt;&lt;rec-number&gt;13&lt;/rec-number&gt;&lt;foreign-keys&gt;&lt;key app="EN" db-id="5xftswrv6zts2ke2xrkvxe2zr9e5effztde0" timestamp="1707369098"&gt;13&lt;/key&gt;&lt;/foreign-keys&gt;&lt;ref-type name="Web Page"&gt;12&lt;/ref-type&gt;&lt;contributors&gt;&lt;authors&gt;&lt;author&gt;National Comprehensive Cancer Network,&lt;/author&gt;&lt;/authors&gt;&lt;/contributors&gt;&lt;titles&gt;&lt;title&gt;NCCN Clinical Practice Guidelines in Oncology Breast Cancer&lt;/title&gt;&lt;/titles&gt;&lt;number&gt;2024 February 08&lt;/number&gt;&lt;edition&gt;Version 1.2024&lt;/edition&gt;&lt;dates&gt;&lt;year&gt;2024 Jan 25&lt;/year&gt;&lt;/dates&gt;&lt;work-type&gt;Internet&lt;/work-type&gt;&lt;urls&gt;&lt;related-urls&gt;&lt;url&gt;https://www.nccn.org/guidelines/recently-published-guidelines&lt;/url&gt;&lt;/related-urls&gt;&lt;/urls&gt;&lt;/record&gt;&lt;/Cite&gt;&lt;/EndNote&gt;</w:instrText>
      </w:r>
      <w:r w:rsidR="007F1E75">
        <w:fldChar w:fldCharType="separate"/>
      </w:r>
      <w:r w:rsidR="008B3C9F">
        <w:rPr>
          <w:noProof/>
        </w:rPr>
        <w:t>(NCCN 2024)</w:t>
      </w:r>
      <w:r w:rsidR="007F1E75">
        <w:fldChar w:fldCharType="end"/>
      </w:r>
      <w:r w:rsidR="007F1E75">
        <w:t>.</w:t>
      </w:r>
    </w:p>
    <w:p w14:paraId="28927AEC" w14:textId="289DABC0" w:rsidR="00063B25" w:rsidRDefault="00063B25" w:rsidP="0023599C">
      <w:r>
        <w:t xml:space="preserve">In Australia, tamoxifen is offered as initial adjuvant ET for men and premenopausal women with </w:t>
      </w:r>
      <w:r w:rsidR="00E439EA">
        <w:t>oestrogen receptor (</w:t>
      </w:r>
      <w:r>
        <w:t>ER</w:t>
      </w:r>
      <w:r w:rsidR="00E439EA">
        <w:t>)</w:t>
      </w:r>
      <w:r>
        <w:t xml:space="preserve">-positive invasive </w:t>
      </w:r>
      <w:r w:rsidR="00533F11">
        <w:t>BC</w:t>
      </w:r>
      <w:r>
        <w:t xml:space="preserve"> with low risk of recurrence</w:t>
      </w:r>
      <w:r w:rsidR="00073E46">
        <w:t xml:space="preserve"> </w:t>
      </w:r>
      <w:r w:rsidR="00073E46">
        <w:fldChar w:fldCharType="begin"/>
      </w:r>
      <w:r w:rsidR="00FD77B6">
        <w:instrText xml:space="preserve"> ADDIN EN.CITE &lt;EndNote&gt;&lt;Cite&gt;&lt;Author&gt;Cancer Australia&lt;/Author&gt;&lt;Year&gt;2020&lt;/Year&gt;&lt;RecNum&gt;89&lt;/RecNum&gt;&lt;DisplayText&gt;(Cancer Australia 2020)&lt;/DisplayText&gt;&lt;record&gt;&lt;rec-number&gt;89&lt;/rec-number&gt;&lt;foreign-keys&gt;&lt;key app="EN" db-id="00x55w5599xfwne5w54pxtd5d0pfwrdtfx5z" timestamp="1709176590"&gt;89&lt;/key&gt;&lt;/foreign-keys&gt;&lt;ref-type name="Web Page"&gt;12&lt;/ref-type&gt;&lt;contributors&gt;&lt;authors&gt;&lt;author&gt;Cancer Australia,&lt;/author&gt;&lt;/authors&gt;&lt;/contributors&gt;&lt;titles&gt;&lt;title&gt;Guidance for the management of early breast cancer&lt;/title&gt;&lt;/titles&gt;&lt;number&gt;2024 February 29&lt;/number&gt;&lt;dates&gt;&lt;year&gt;2020&lt;/year&gt;&lt;/dates&gt;&lt;work-type&gt;Internet&lt;/work-type&gt;&lt;urls&gt;&lt;related-urls&gt;&lt;url&gt;https://www.guidancebreastcancer.gov.au/treatment-systemic-therapy/endocrine-therapy/initial-adjuvant-endocrine-therapy-men-and-premenopausal-women&lt;/url&gt;&lt;/related-urls&gt;&lt;/urls&gt;&lt;/record&gt;&lt;/Cite&gt;&lt;/EndNote&gt;</w:instrText>
      </w:r>
      <w:r w:rsidR="00073E46">
        <w:fldChar w:fldCharType="separate"/>
      </w:r>
      <w:r w:rsidR="00FD77B6">
        <w:rPr>
          <w:noProof/>
        </w:rPr>
        <w:t>(Cancer Australia 2020)</w:t>
      </w:r>
      <w:r w:rsidR="00073E46">
        <w:fldChar w:fldCharType="end"/>
      </w:r>
      <w:r>
        <w:t>.</w:t>
      </w:r>
      <w:r w:rsidR="000D725F">
        <w:t xml:space="preserve"> Gonadotrophin releasing hormone  agonist is added to ET </w:t>
      </w:r>
      <w:r w:rsidR="00062B55">
        <w:t>for</w:t>
      </w:r>
      <w:r w:rsidR="000D725F">
        <w:t xml:space="preserve"> </w:t>
      </w:r>
      <w:r w:rsidR="000D725F" w:rsidRPr="000D725F">
        <w:t>premenopausal women with ER-positive BC and higher risk of recurrence</w:t>
      </w:r>
      <w:r w:rsidR="00073E46">
        <w:t xml:space="preserve"> </w:t>
      </w:r>
      <w:r w:rsidR="00073E46">
        <w:fldChar w:fldCharType="begin"/>
      </w:r>
      <w:r w:rsidR="00FD77B6">
        <w:instrText xml:space="preserve"> ADDIN EN.CITE &lt;EndNote&gt;&lt;Cite&gt;&lt;Author&gt;Cancer Australia&lt;/Author&gt;&lt;Year&gt;2020&lt;/Year&gt;&lt;RecNum&gt;89&lt;/RecNum&gt;&lt;DisplayText&gt;(Cancer Australia 2020)&lt;/DisplayText&gt;&lt;record&gt;&lt;rec-number&gt;89&lt;/rec-number&gt;&lt;foreign-keys&gt;&lt;key app="EN" db-id="00x55w5599xfwne5w54pxtd5d0pfwrdtfx5z" timestamp="1709176590"&gt;89&lt;/key&gt;&lt;/foreign-keys&gt;&lt;ref-type name="Web Page"&gt;12&lt;/ref-type&gt;&lt;contributors&gt;&lt;authors&gt;&lt;author&gt;Cancer Australia,&lt;/author&gt;&lt;/authors&gt;&lt;/contributors&gt;&lt;titles&gt;&lt;title&gt;Guidance for the management of early breast cancer&lt;/title&gt;&lt;/titles&gt;&lt;number&gt;2024 February 29&lt;/number&gt;&lt;dates&gt;&lt;year&gt;2020&lt;/year&gt;&lt;/dates&gt;&lt;work-type&gt;Internet&lt;/work-type&gt;&lt;urls&gt;&lt;related-urls&gt;&lt;url&gt;https://www.guidancebreastcancer.gov.au/treatment-systemic-therapy/endocrine-therapy/initial-adjuvant-endocrine-therapy-men-and-premenopausal-women&lt;/url&gt;&lt;/related-urls&gt;&lt;/urls&gt;&lt;/record&gt;&lt;/Cite&gt;&lt;/EndNote&gt;</w:instrText>
      </w:r>
      <w:r w:rsidR="00073E46">
        <w:fldChar w:fldCharType="separate"/>
      </w:r>
      <w:r w:rsidR="00FD77B6">
        <w:rPr>
          <w:noProof/>
        </w:rPr>
        <w:t>(Cancer Australia 2020)</w:t>
      </w:r>
      <w:r w:rsidR="00073E46">
        <w:fldChar w:fldCharType="end"/>
      </w:r>
      <w:r w:rsidR="000D725F">
        <w:t>. An</w:t>
      </w:r>
      <w:r w:rsidR="00391436">
        <w:t xml:space="preserve"> </w:t>
      </w:r>
      <w:r w:rsidR="000D725F">
        <w:t>AI is offered as initial adjuvant ET for ER-positive postmenopausal women</w:t>
      </w:r>
      <w:r w:rsidR="00073E46">
        <w:t xml:space="preserve"> with intermediate/high risk of recurrence </w:t>
      </w:r>
      <w:r w:rsidR="00073E46">
        <w:fldChar w:fldCharType="begin"/>
      </w:r>
      <w:r w:rsidR="00FD77B6">
        <w:instrText xml:space="preserve"> ADDIN EN.CITE &lt;EndNote&gt;&lt;Cite&gt;&lt;Author&gt;Cancer Australia&lt;/Author&gt;&lt;Year&gt;2020&lt;/Year&gt;&lt;RecNum&gt;89&lt;/RecNum&gt;&lt;DisplayText&gt;(Cancer Australia 2020)&lt;/DisplayText&gt;&lt;record&gt;&lt;rec-number&gt;89&lt;/rec-number&gt;&lt;foreign-keys&gt;&lt;key app="EN" db-id="00x55w5599xfwne5w54pxtd5d0pfwrdtfx5z" timestamp="1709176590"&gt;89&lt;/key&gt;&lt;/foreign-keys&gt;&lt;ref-type name="Web Page"&gt;12&lt;/ref-type&gt;&lt;contributors&gt;&lt;authors&gt;&lt;author&gt;Cancer Australia,&lt;/author&gt;&lt;/authors&gt;&lt;/contributors&gt;&lt;titles&gt;&lt;title&gt;Guidance for the management of early breast cancer&lt;/title&gt;&lt;/titles&gt;&lt;number&gt;2024 February 29&lt;/number&gt;&lt;dates&gt;&lt;year&gt;2020&lt;/year&gt;&lt;/dates&gt;&lt;work-type&gt;Internet&lt;/work-type&gt;&lt;urls&gt;&lt;related-urls&gt;&lt;url&gt;https://www.guidancebreastcancer.gov.au/treatment-systemic-therapy/endocrine-therapy/initial-adjuvant-endocrine-therapy-men-and-premenopausal-women&lt;/url&gt;&lt;/related-urls&gt;&lt;/urls&gt;&lt;/record&gt;&lt;/Cite&gt;&lt;/EndNote&gt;</w:instrText>
      </w:r>
      <w:r w:rsidR="00073E46">
        <w:fldChar w:fldCharType="separate"/>
      </w:r>
      <w:r w:rsidR="00FD77B6">
        <w:rPr>
          <w:noProof/>
        </w:rPr>
        <w:t>(Cancer Australia 2020)</w:t>
      </w:r>
      <w:r w:rsidR="00073E46">
        <w:fldChar w:fldCharType="end"/>
      </w:r>
      <w:r w:rsidR="000D725F">
        <w:t>.</w:t>
      </w:r>
      <w:r w:rsidR="000E546F">
        <w:t xml:space="preserve"> AI + CDK4/6 inhibitor</w:t>
      </w:r>
      <w:r w:rsidR="0018168B">
        <w:t>s</w:t>
      </w:r>
      <w:r w:rsidR="000E546F">
        <w:t xml:space="preserve"> (e.g.</w:t>
      </w:r>
      <w:r w:rsidR="00A809ED">
        <w:t>,</w:t>
      </w:r>
      <w:r w:rsidR="000E546F">
        <w:t xml:space="preserve"> ribociclib, palbociclib, abemaciclib) </w:t>
      </w:r>
      <w:r w:rsidR="0018168B">
        <w:t xml:space="preserve">are </w:t>
      </w:r>
      <w:r w:rsidR="000324A5">
        <w:t>TGA-approved and PBS-listed</w:t>
      </w:r>
      <w:r w:rsidR="000E546F">
        <w:t xml:space="preserve"> as initial </w:t>
      </w:r>
      <w:r w:rsidR="00B41D7D">
        <w:t>and subsequent therapy following prior ET therapy,</w:t>
      </w:r>
      <w:r w:rsidR="000E546F">
        <w:t xml:space="preserve"> in HR+/HER2- </w:t>
      </w:r>
      <w:r w:rsidR="00E63D43">
        <w:t xml:space="preserve">advanced breast cancer </w:t>
      </w:r>
      <w:r w:rsidR="00CC6CD5">
        <w:fldChar w:fldCharType="begin"/>
      </w:r>
      <w:r w:rsidR="008B3C9F">
        <w:instrText xml:space="preserve"> ADDIN EN.CITE &lt;EndNote&gt;&lt;Cite ExcludeAuth="1"&gt;&lt;Author&gt;Department of Health and Aged Care&lt;/Author&gt;&lt;Year&gt;2024&lt;/Year&gt;&lt;RecNum&gt;90&lt;/RecNum&gt;&lt;Prefix&gt;DHAC &lt;/Prefix&gt;&lt;DisplayText&gt;(DHAC 2024)&lt;/DisplayText&gt;&lt;record&gt;&lt;rec-number&gt;90&lt;/rec-number&gt;&lt;foreign-keys&gt;&lt;key app="EN" db-id="00x55w5599xfwne5w54pxtd5d0pfwrdtfx5z" timestamp="1709178045"&gt;90&lt;/key&gt;&lt;/foreign-keys&gt;&lt;ref-type name="Web Page"&gt;12&lt;/ref-type&gt;&lt;contributors&gt;&lt;authors&gt;&lt;author&gt;Department of Health and Aged Care,&lt;/author&gt;&lt;/authors&gt;&lt;/contributors&gt;&lt;titles&gt;&lt;title&gt;Medicine Status Website&lt;/title&gt;&lt;/titles&gt;&lt;number&gt;2024 February 29&lt;/number&gt;&lt;dates&gt;&lt;year&gt;2024&lt;/year&gt;&lt;/dates&gt;&lt;work-type&gt;Internet&lt;/work-type&gt;&lt;urls&gt;&lt;related-urls&gt;&lt;url&gt;https://www.pbs.gov.au/medicinestatus/search.html&lt;/url&gt;&lt;/related-urls&gt;&lt;/urls&gt;&lt;/record&gt;&lt;/Cite&gt;&lt;/EndNote&gt;</w:instrText>
      </w:r>
      <w:r w:rsidR="00CC6CD5">
        <w:fldChar w:fldCharType="separate"/>
      </w:r>
      <w:r w:rsidR="008B3C9F">
        <w:rPr>
          <w:noProof/>
        </w:rPr>
        <w:t>(DHAC 2024)</w:t>
      </w:r>
      <w:r w:rsidR="00CC6CD5">
        <w:fldChar w:fldCharType="end"/>
      </w:r>
      <w:r w:rsidR="00B41D7D">
        <w:t>.</w:t>
      </w:r>
    </w:p>
    <w:p w14:paraId="2D1FBE7A" w14:textId="43D2ABEF" w:rsidR="006B600B" w:rsidRDefault="003A531B" w:rsidP="0023599C">
      <w:r>
        <w:t>For second line treatment, the ESMO</w:t>
      </w:r>
      <w:r w:rsidR="00E81987">
        <w:t xml:space="preserve"> (2020)</w:t>
      </w:r>
      <w:r>
        <w:t xml:space="preserve"> guidelines recommend PI3K inhibitor for patients with </w:t>
      </w:r>
      <w:r w:rsidRPr="00302B40">
        <w:rPr>
          <w:i/>
          <w:iCs/>
        </w:rPr>
        <w:t>PIK3</w:t>
      </w:r>
      <w:r w:rsidR="00302B40" w:rsidRPr="00302B40">
        <w:rPr>
          <w:i/>
          <w:iCs/>
        </w:rPr>
        <w:t>CA</w:t>
      </w:r>
      <w:r w:rsidR="00302B40">
        <w:t xml:space="preserve"> </w:t>
      </w:r>
      <w:r w:rsidR="00413D10">
        <w:t>tier I</w:t>
      </w:r>
      <w:r w:rsidR="00005439">
        <w:t xml:space="preserve"> </w:t>
      </w:r>
      <w:r w:rsidR="000A19CF">
        <w:t>variants</w:t>
      </w:r>
      <w:r>
        <w:t>, everolimus</w:t>
      </w:r>
      <w:r w:rsidR="0093010A">
        <w:t xml:space="preserve"> </w:t>
      </w:r>
      <w:r>
        <w:t>+</w:t>
      </w:r>
      <w:r w:rsidR="0093010A">
        <w:t xml:space="preserve"> </w:t>
      </w:r>
      <w:r>
        <w:t>exemestane/tamoxifen/fulvestrant, PARP inhibitor</w:t>
      </w:r>
      <w:r w:rsidR="00E81987">
        <w:t xml:space="preserve"> for patients with </w:t>
      </w:r>
      <w:r w:rsidR="00E81987" w:rsidRPr="00E81987">
        <w:rPr>
          <w:i/>
          <w:iCs/>
        </w:rPr>
        <w:t>gBRCAm</w:t>
      </w:r>
      <w:r w:rsidR="00E81987">
        <w:t>, and chemotherapy.</w:t>
      </w:r>
      <w:r>
        <w:t xml:space="preserve"> </w:t>
      </w:r>
      <w:r w:rsidR="009E52C5">
        <w:t>The NCCN (2024) guidelines suggest</w:t>
      </w:r>
      <w:r w:rsidR="00BC372D">
        <w:t xml:space="preserve"> </w:t>
      </w:r>
      <w:r w:rsidR="009E52C5">
        <w:t>capivasertib</w:t>
      </w:r>
      <w:r w:rsidR="00D75E28">
        <w:t xml:space="preserve"> </w:t>
      </w:r>
      <w:r w:rsidR="009E52C5">
        <w:t>+</w:t>
      </w:r>
      <w:r w:rsidR="00D75E28">
        <w:t xml:space="preserve"> </w:t>
      </w:r>
      <w:r w:rsidR="009E52C5">
        <w:t xml:space="preserve">fulvestrant in the presence of </w:t>
      </w:r>
      <w:r w:rsidR="009E52C5" w:rsidRPr="00302B40">
        <w:rPr>
          <w:i/>
          <w:iCs/>
        </w:rPr>
        <w:t>PIK3CA/AKT1/PTEN</w:t>
      </w:r>
      <w:r w:rsidR="009E52C5">
        <w:t xml:space="preserve"> alterations.</w:t>
      </w:r>
    </w:p>
    <w:p w14:paraId="39FB8E93" w14:textId="7C58A2F2" w:rsidR="006B600B" w:rsidRDefault="006B600B" w:rsidP="0023599C">
      <w:r>
        <w:t>The application mentioned the</w:t>
      </w:r>
      <w:r w:rsidRPr="006B600B">
        <w:t xml:space="preserve"> key unmet need for </w:t>
      </w:r>
      <w:r w:rsidR="008779F2">
        <w:t>second line</w:t>
      </w:r>
      <w:r w:rsidR="008779F2" w:rsidRPr="006B600B">
        <w:t xml:space="preserve"> </w:t>
      </w:r>
      <w:r w:rsidRPr="006B600B">
        <w:t xml:space="preserve">treatment of HR+ recurrent unresectable </w:t>
      </w:r>
      <w:r w:rsidR="00931899">
        <w:t>BC</w:t>
      </w:r>
      <w:r w:rsidRPr="006B600B">
        <w:t xml:space="preserve"> or </w:t>
      </w:r>
      <w:r>
        <w:t>M</w:t>
      </w:r>
      <w:r w:rsidRPr="006B600B">
        <w:t xml:space="preserve">BC is to develop better </w:t>
      </w:r>
      <w:r w:rsidR="00121BF3">
        <w:t>ET</w:t>
      </w:r>
      <w:r w:rsidRPr="006B600B">
        <w:t>-based options with a tolerable safety profile and wide therapeutic window, before the tumour becomes endocrine refractory.</w:t>
      </w:r>
      <w:r w:rsidR="003042C4">
        <w:t xml:space="preserve"> The SOLAR-1 study demonstrated an improvement in PFS of 5.7 to 11 months with the addition of </w:t>
      </w:r>
      <w:r w:rsidR="003042C4" w:rsidRPr="003042C4">
        <w:t xml:space="preserve">alpha-specific PI3K inhibitor alpelisib to fulvestrant in patients with HR+/HER2− </w:t>
      </w:r>
      <w:r w:rsidR="00E63D43">
        <w:t xml:space="preserve">advanced breast cancer </w:t>
      </w:r>
      <w:r w:rsidR="003042C4" w:rsidRPr="003042C4">
        <w:t xml:space="preserve">with tumours harbouring a </w:t>
      </w:r>
      <w:r w:rsidR="003042C4" w:rsidRPr="00302B40">
        <w:rPr>
          <w:i/>
          <w:iCs/>
        </w:rPr>
        <w:t>PIK3CA</w:t>
      </w:r>
      <w:r w:rsidR="003042C4" w:rsidRPr="003042C4">
        <w:t xml:space="preserve"> </w:t>
      </w:r>
      <w:r w:rsidR="00413D10">
        <w:t>tier I</w:t>
      </w:r>
      <w:r w:rsidR="003F61E7">
        <w:t xml:space="preserve"> variants</w:t>
      </w:r>
      <w:r w:rsidR="003042C4" w:rsidRPr="003042C4">
        <w:t>, who had relapsed or progressed on an AI</w:t>
      </w:r>
      <w:r w:rsidR="003042C4">
        <w:t>.</w:t>
      </w:r>
      <w:r w:rsidR="003042C4" w:rsidRPr="003042C4">
        <w:t xml:space="preserve"> Despite these advances, these tumours eventually develop endocrine resistance necessitating the use of chemotherapy and thus, HR+/HER2− </w:t>
      </w:r>
      <w:r w:rsidR="001F3160">
        <w:t xml:space="preserve">advanced breast cancer </w:t>
      </w:r>
      <w:r w:rsidR="003042C4" w:rsidRPr="003042C4">
        <w:t>remains an area of unmet medical need, especially post-CDK4/6</w:t>
      </w:r>
      <w:r w:rsidR="003B54D4">
        <w:t xml:space="preserve"> </w:t>
      </w:r>
      <w:r w:rsidR="003042C4" w:rsidRPr="003042C4">
        <w:t>inh</w:t>
      </w:r>
      <w:r w:rsidR="003B54D4">
        <w:t>i</w:t>
      </w:r>
      <w:r w:rsidR="003042C4" w:rsidRPr="003042C4">
        <w:t>bitor use.</w:t>
      </w:r>
    </w:p>
    <w:p w14:paraId="5B388D6A" w14:textId="370CEE03" w:rsidR="009D73A0" w:rsidRDefault="00D15E49" w:rsidP="009D73A0">
      <w:pPr>
        <w:rPr>
          <w:rFonts w:asciiTheme="minorHAnsi" w:hAnsiTheme="minorHAnsi" w:cstheme="minorBidi"/>
          <w:i/>
          <w:iCs/>
        </w:rPr>
      </w:pPr>
      <w:r>
        <w:lastRenderedPageBreak/>
        <w:t>C</w:t>
      </w:r>
      <w:r w:rsidR="0009049F" w:rsidRPr="00D15E49">
        <w:t>apivasertib</w:t>
      </w:r>
      <w:r w:rsidR="00A809ED">
        <w:t xml:space="preserve"> is </w:t>
      </w:r>
      <w:r w:rsidR="0009049F" w:rsidRPr="00D15E49">
        <w:t>a</w:t>
      </w:r>
      <w:r w:rsidR="00AD5D22">
        <w:t xml:space="preserve"> pan</w:t>
      </w:r>
      <w:r w:rsidR="00CD4523">
        <w:t>-</w:t>
      </w:r>
      <w:r w:rsidR="0009049F" w:rsidRPr="00D15E49">
        <w:t>AKT</w:t>
      </w:r>
      <w:r w:rsidR="0009049F" w:rsidRPr="0009049F">
        <w:t xml:space="preserve"> serine/threonine kinase -inhibitor</w:t>
      </w:r>
      <w:r w:rsidR="0034732D">
        <w:t xml:space="preserve"> which, in combination with </w:t>
      </w:r>
      <w:r w:rsidR="007663FA">
        <w:t>fulvestrant</w:t>
      </w:r>
      <w:r w:rsidR="0034732D">
        <w:t xml:space="preserve">, </w:t>
      </w:r>
      <w:r w:rsidR="001B15A8">
        <w:t>i</w:t>
      </w:r>
      <w:r w:rsidR="0009049F" w:rsidRPr="00D15E49">
        <w:t>nhibit</w:t>
      </w:r>
      <w:r w:rsidR="0034732D">
        <w:t>s</w:t>
      </w:r>
      <w:r w:rsidR="0009049F" w:rsidRPr="00D15E49">
        <w:t xml:space="preserve"> both ER signalling and </w:t>
      </w:r>
      <w:r w:rsidR="00B74081">
        <w:t xml:space="preserve">AKT activity </w:t>
      </w:r>
      <w:r w:rsidR="00DD5193">
        <w:t>in</w:t>
      </w:r>
      <w:r w:rsidR="002E7C65">
        <w:t xml:space="preserve"> </w:t>
      </w:r>
      <w:r w:rsidR="0009049F" w:rsidRPr="00D15E49">
        <w:t xml:space="preserve">the </w:t>
      </w:r>
      <w:r w:rsidR="0009049F" w:rsidRPr="00302B40">
        <w:rPr>
          <w:i/>
          <w:iCs/>
        </w:rPr>
        <w:t>PIK3CA/AKT1/PTEN</w:t>
      </w:r>
      <w:r w:rsidR="0009049F" w:rsidRPr="00D15E49">
        <w:t xml:space="preserve"> pathway</w:t>
      </w:r>
      <w:r w:rsidR="00651E2C">
        <w:t>,</w:t>
      </w:r>
      <w:r w:rsidR="00651E2C" w:rsidRPr="00651E2C">
        <w:t xml:space="preserve"> resulting in antiproliferative activity in </w:t>
      </w:r>
      <w:r w:rsidR="002768C6">
        <w:t>BC</w:t>
      </w:r>
      <w:r w:rsidR="00651E2C" w:rsidRPr="00651E2C">
        <w:t xml:space="preserve"> cell lines.</w:t>
      </w:r>
      <w:r w:rsidR="009D73A0" w:rsidRPr="009D73A0">
        <w:rPr>
          <w:rFonts w:asciiTheme="minorHAnsi" w:hAnsiTheme="minorHAnsi" w:cstheme="minorBidi"/>
          <w:i/>
          <w:iCs/>
        </w:rPr>
        <w:t xml:space="preserve"> </w:t>
      </w:r>
    </w:p>
    <w:p w14:paraId="6732429D" w14:textId="36A928A6" w:rsidR="009D73A0" w:rsidRPr="00A8312C" w:rsidRDefault="009D73A0" w:rsidP="00BD33CC">
      <w:pPr>
        <w:spacing w:before="120" w:after="160" w:line="259" w:lineRule="auto"/>
        <w:rPr>
          <w:rFonts w:asciiTheme="minorHAnsi" w:hAnsiTheme="minorHAnsi" w:cstheme="minorBidi"/>
          <w:i/>
          <w:iCs/>
        </w:rPr>
      </w:pPr>
      <w:r w:rsidRPr="00A8312C">
        <w:rPr>
          <w:rFonts w:asciiTheme="minorHAnsi" w:hAnsiTheme="minorHAnsi" w:cstheme="minorBidi"/>
          <w:i/>
          <w:iCs/>
        </w:rPr>
        <w:t xml:space="preserve">PASC </w:t>
      </w:r>
      <w:r w:rsidR="00060873">
        <w:rPr>
          <w:rFonts w:asciiTheme="minorHAnsi" w:hAnsiTheme="minorHAnsi" w:cstheme="minorBidi"/>
          <w:i/>
          <w:iCs/>
        </w:rPr>
        <w:t>noted</w:t>
      </w:r>
      <w:r w:rsidR="00060873" w:rsidRPr="00A8312C">
        <w:rPr>
          <w:rFonts w:asciiTheme="minorHAnsi" w:hAnsiTheme="minorHAnsi" w:cstheme="minorBidi"/>
          <w:i/>
          <w:iCs/>
        </w:rPr>
        <w:t xml:space="preserve"> </w:t>
      </w:r>
      <w:r w:rsidRPr="00A8312C">
        <w:rPr>
          <w:rFonts w:asciiTheme="minorHAnsi" w:hAnsiTheme="minorHAnsi" w:cstheme="minorBidi"/>
          <w:i/>
          <w:iCs/>
        </w:rPr>
        <w:t xml:space="preserve">that the study population in CAPItello-291 trial was heterogenous, as patients had received varying types and numbers of previous lines of treatment. The majority of the patients (71-81%) had received one line of </w:t>
      </w:r>
      <w:r w:rsidR="00567B99">
        <w:rPr>
          <w:rFonts w:asciiTheme="minorHAnsi" w:hAnsiTheme="minorHAnsi" w:cstheme="minorBidi"/>
          <w:i/>
          <w:iCs/>
        </w:rPr>
        <w:t>ET</w:t>
      </w:r>
      <w:r w:rsidRPr="00A8312C">
        <w:rPr>
          <w:rFonts w:asciiTheme="minorHAnsi" w:hAnsiTheme="minorHAnsi" w:cstheme="minorBidi"/>
          <w:i/>
          <w:iCs/>
        </w:rPr>
        <w:t xml:space="preserve"> and many had received chemotherapy as neoadjuvant or adjuvant therapy (48-51%). The study excluded patients with previous mTOR or PI3K targeted treatment. The trial did not specify the patients with PTEN variant</w:t>
      </w:r>
      <w:r w:rsidR="00CD2B16">
        <w:rPr>
          <w:rFonts w:asciiTheme="minorHAnsi" w:hAnsiTheme="minorHAnsi" w:cstheme="minorBidi"/>
          <w:i/>
          <w:iCs/>
        </w:rPr>
        <w:t>s</w:t>
      </w:r>
      <w:r w:rsidRPr="00A8312C">
        <w:rPr>
          <w:rFonts w:asciiTheme="minorHAnsi" w:hAnsiTheme="minorHAnsi" w:cstheme="minorBidi"/>
          <w:i/>
          <w:iCs/>
        </w:rPr>
        <w:t xml:space="preserve"> by loss of function variants or deletion, albeit PTEN alteration occurred in &lt;10% of the study population.</w:t>
      </w:r>
      <w:r w:rsidR="00CD2B16">
        <w:rPr>
          <w:rFonts w:asciiTheme="minorHAnsi" w:hAnsiTheme="minorHAnsi" w:cstheme="minorBidi"/>
          <w:i/>
          <w:iCs/>
        </w:rPr>
        <w:t xml:space="preserve"> </w:t>
      </w:r>
    </w:p>
    <w:p w14:paraId="04093392" w14:textId="4184E5AB" w:rsidR="0009049F" w:rsidRPr="00A8312C" w:rsidRDefault="009D73A0" w:rsidP="002E46C4">
      <w:pPr>
        <w:autoSpaceDE w:val="0"/>
        <w:autoSpaceDN w:val="0"/>
        <w:adjustRightInd w:val="0"/>
        <w:spacing w:before="120" w:after="160" w:line="259" w:lineRule="auto"/>
        <w:rPr>
          <w:i/>
          <w:iCs/>
        </w:rPr>
      </w:pPr>
      <w:r w:rsidRPr="00A8312C">
        <w:rPr>
          <w:rFonts w:asciiTheme="minorHAnsi" w:hAnsiTheme="minorHAnsi" w:cstheme="minorBidi"/>
          <w:i/>
          <w:iCs/>
        </w:rPr>
        <w:t>The treatment population</w:t>
      </w:r>
      <w:r w:rsidR="00AE7139">
        <w:rPr>
          <w:rFonts w:asciiTheme="minorHAnsi" w:hAnsiTheme="minorHAnsi" w:cstheme="minorBidi"/>
          <w:i/>
          <w:iCs/>
        </w:rPr>
        <w:t xml:space="preserve"> proposed in the current application</w:t>
      </w:r>
      <w:r w:rsidRPr="00A8312C">
        <w:rPr>
          <w:rFonts w:asciiTheme="minorHAnsi" w:hAnsiTheme="minorHAnsi" w:cstheme="minorBidi"/>
          <w:i/>
          <w:iCs/>
        </w:rPr>
        <w:t xml:space="preserve">, were patients in the test population with a </w:t>
      </w:r>
      <w:r w:rsidR="00D12AB6">
        <w:rPr>
          <w:rFonts w:asciiTheme="minorHAnsi" w:hAnsiTheme="minorHAnsi" w:cstheme="minorBidi"/>
          <w:i/>
          <w:iCs/>
        </w:rPr>
        <w:t>t</w:t>
      </w:r>
      <w:r w:rsidR="00D12AB6" w:rsidRPr="00A8312C">
        <w:rPr>
          <w:rFonts w:asciiTheme="minorHAnsi" w:hAnsiTheme="minorHAnsi" w:cstheme="minorBidi"/>
          <w:i/>
          <w:iCs/>
        </w:rPr>
        <w:t xml:space="preserve">ier </w:t>
      </w:r>
      <w:r w:rsidRPr="00A8312C">
        <w:rPr>
          <w:rFonts w:asciiTheme="minorHAnsi" w:hAnsiTheme="minorHAnsi" w:cstheme="minorBidi"/>
          <w:i/>
          <w:iCs/>
        </w:rPr>
        <w:t xml:space="preserve">1 genetic variant in the AKT pathway. </w:t>
      </w:r>
      <w:r w:rsidRPr="00A8312C">
        <w:rPr>
          <w:rFonts w:asciiTheme="minorHAnsi" w:hAnsiTheme="minorHAnsi" w:cstheme="minorHAnsi"/>
          <w:i/>
          <w:iCs/>
        </w:rPr>
        <w:t xml:space="preserve">The applicant noted that whether biomarker testing is required to determine eligibility to the treatment will be based on the TGA approved indication for capivasertib (currently under TGA evaluation). The applicant further noted that the </w:t>
      </w:r>
      <w:r w:rsidR="00E9757A">
        <w:rPr>
          <w:rFonts w:asciiTheme="minorHAnsi" w:hAnsiTheme="minorHAnsi" w:cstheme="minorHAnsi"/>
          <w:i/>
          <w:iCs/>
        </w:rPr>
        <w:t>United States Food and Drug Administration (</w:t>
      </w:r>
      <w:r w:rsidRPr="00BD33CC">
        <w:rPr>
          <w:rFonts w:asciiTheme="minorHAnsi" w:hAnsiTheme="minorHAnsi" w:cstheme="minorHAnsi"/>
          <w:i/>
          <w:iCs/>
        </w:rPr>
        <w:t>US FDA and Canada have approved the indication in the biomarker positive population only.</w:t>
      </w:r>
    </w:p>
    <w:p w14:paraId="04D60965" w14:textId="04770A15" w:rsidR="00AA21D6" w:rsidRPr="00AA21D6" w:rsidRDefault="00AA21D6" w:rsidP="0023599C">
      <w:pPr>
        <w:pStyle w:val="Heading4"/>
      </w:pPr>
      <w:r w:rsidRPr="00AA21D6">
        <w:t>Estimate</w:t>
      </w:r>
      <w:r w:rsidR="00985743">
        <w:t>s for the size of the</w:t>
      </w:r>
      <w:r w:rsidRPr="00AA21D6">
        <w:t xml:space="preserve"> testing population</w:t>
      </w:r>
    </w:p>
    <w:p w14:paraId="1C1AFF50" w14:textId="778F58ED" w:rsidR="008218C1" w:rsidRDefault="008218C1" w:rsidP="0023599C">
      <w:r>
        <w:t xml:space="preserve">The </w:t>
      </w:r>
      <w:r w:rsidR="00635D5A">
        <w:t>applica</w:t>
      </w:r>
      <w:r w:rsidR="004A55DE">
        <w:t>n</w:t>
      </w:r>
      <w:r w:rsidR="00635D5A">
        <w:t>t will present</w:t>
      </w:r>
      <w:r>
        <w:t xml:space="preserve"> a detailed utilisation analysis in the integrated co-dependent MSAC/PBAC</w:t>
      </w:r>
      <w:r w:rsidR="00A809ED">
        <w:t xml:space="preserve"> </w:t>
      </w:r>
      <w:r w:rsidR="00AC4D53">
        <w:t>assessment report</w:t>
      </w:r>
      <w:r w:rsidR="00057082">
        <w:t>. T</w:t>
      </w:r>
      <w:r w:rsidR="005F19E9">
        <w:t>he applica</w:t>
      </w:r>
      <w:r w:rsidR="00953B81">
        <w:t>nt</w:t>
      </w:r>
      <w:r w:rsidR="005F19E9">
        <w:t xml:space="preserve"> </w:t>
      </w:r>
      <w:r w:rsidR="00BC0232">
        <w:t>suggested</w:t>
      </w:r>
      <w:r w:rsidR="005F19E9">
        <w:t xml:space="preserve"> t</w:t>
      </w:r>
      <w:r>
        <w:t xml:space="preserve">he uptake of the proposed health technology by </w:t>
      </w:r>
      <w:r w:rsidR="00F847ED">
        <w:t xml:space="preserve">the </w:t>
      </w:r>
      <w:r>
        <w:t>proposed population was estimated to be 100% in year</w:t>
      </w:r>
      <w:r w:rsidR="00E439EA">
        <w:t>s</w:t>
      </w:r>
      <w:r>
        <w:t xml:space="preserve"> 1-3.</w:t>
      </w:r>
    </w:p>
    <w:p w14:paraId="6DCE73D8" w14:textId="1E7F74ED" w:rsidR="00D65374" w:rsidRDefault="00EB2FF0" w:rsidP="0023599C">
      <w:r>
        <w:t xml:space="preserve">It is estimated that approximately 2,400 patients/year would be eligible for </w:t>
      </w:r>
      <w:r w:rsidR="001713D9">
        <w:t>AKT pathway</w:t>
      </w:r>
      <w:r>
        <w:t xml:space="preserve"> alteration testing. </w:t>
      </w:r>
      <w:r w:rsidR="008C6E7E">
        <w:fldChar w:fldCharType="begin"/>
      </w:r>
      <w:r w:rsidR="008C6E7E">
        <w:instrText xml:space="preserve"> REF _Ref160108416 \h </w:instrText>
      </w:r>
      <w:r w:rsidR="00C96F54">
        <w:instrText xml:space="preserve"> \* MERGEFORMAT </w:instrText>
      </w:r>
      <w:r w:rsidR="008C6E7E">
        <w:fldChar w:fldCharType="separate"/>
      </w:r>
      <w:r w:rsidR="00B561EB">
        <w:t xml:space="preserve">Table </w:t>
      </w:r>
      <w:r w:rsidR="00B561EB">
        <w:rPr>
          <w:noProof/>
        </w:rPr>
        <w:t>2</w:t>
      </w:r>
      <w:r w:rsidR="008C6E7E">
        <w:fldChar w:fldCharType="end"/>
      </w:r>
      <w:r w:rsidR="008C6E7E">
        <w:t xml:space="preserve"> </w:t>
      </w:r>
      <w:r w:rsidR="007A4FFD">
        <w:t xml:space="preserve">provides an </w:t>
      </w:r>
      <w:r w:rsidR="00262254">
        <w:t xml:space="preserve">annual </w:t>
      </w:r>
      <w:r w:rsidR="008C6E7E">
        <w:t>estimate</w:t>
      </w:r>
      <w:r w:rsidR="007A4FFD">
        <w:t xml:space="preserve"> of</w:t>
      </w:r>
      <w:r w:rsidR="008C6E7E">
        <w:t xml:space="preserve"> the</w:t>
      </w:r>
      <w:r w:rsidR="005B4FA7">
        <w:t xml:space="preserve"> </w:t>
      </w:r>
      <w:r w:rsidR="00985743">
        <w:t xml:space="preserve">number of patients with </w:t>
      </w:r>
      <w:r w:rsidR="00985743" w:rsidRPr="00985743">
        <w:t xml:space="preserve">locally advanced (inoperable) or </w:t>
      </w:r>
      <w:r w:rsidR="00647774">
        <w:t xml:space="preserve">metastatic </w:t>
      </w:r>
      <w:r w:rsidR="00985743" w:rsidRPr="00985743">
        <w:t xml:space="preserve">HR+/HER2- </w:t>
      </w:r>
      <w:r w:rsidR="00647774">
        <w:t>breast cancer</w:t>
      </w:r>
      <w:r w:rsidR="00647774" w:rsidRPr="00985743">
        <w:t xml:space="preserve"> </w:t>
      </w:r>
      <w:r w:rsidR="00985743">
        <w:t xml:space="preserve">who are </w:t>
      </w:r>
      <w:r w:rsidR="00985743" w:rsidRPr="00985743">
        <w:t xml:space="preserve">eligible for proposed </w:t>
      </w:r>
      <w:r w:rsidR="001713D9">
        <w:t>AKT pathway</w:t>
      </w:r>
      <w:r w:rsidR="00985743" w:rsidRPr="00985743">
        <w:t xml:space="preserve"> alteration testing</w:t>
      </w:r>
      <w:r w:rsidR="008C6E7E">
        <w:t>.</w:t>
      </w:r>
    </w:p>
    <w:p w14:paraId="1D8975D7" w14:textId="18548B2F" w:rsidR="00D76AAF" w:rsidRDefault="00D76AAF" w:rsidP="0023599C">
      <w:pPr>
        <w:pStyle w:val="TableHeading"/>
      </w:pPr>
      <w:bookmarkStart w:id="6" w:name="_Ref160108416"/>
      <w:r>
        <w:t xml:space="preserve">Table </w:t>
      </w:r>
      <w:fldSimple w:instr=" SEQ Table \* ARABIC ">
        <w:r w:rsidR="00B561EB">
          <w:rPr>
            <w:noProof/>
          </w:rPr>
          <w:t>2</w:t>
        </w:r>
      </w:fldSimple>
      <w:bookmarkEnd w:id="6"/>
      <w:r>
        <w:t xml:space="preserve"> </w:t>
      </w:r>
      <w:r w:rsidR="00504C0C">
        <w:t>Estimates of t</w:t>
      </w:r>
      <w:r>
        <w:t>esting population</w:t>
      </w:r>
      <w:r w:rsidR="0056340E">
        <w:t xml:space="preserve"> </w:t>
      </w:r>
    </w:p>
    <w:tbl>
      <w:tblPr>
        <w:tblStyle w:val="TableGrid"/>
        <w:tblW w:w="5000" w:type="pct"/>
        <w:tblInd w:w="0" w:type="dxa"/>
        <w:tblLook w:val="04A0" w:firstRow="1" w:lastRow="0" w:firstColumn="1" w:lastColumn="0" w:noHBand="0" w:noVBand="1"/>
      </w:tblPr>
      <w:tblGrid>
        <w:gridCol w:w="1064"/>
        <w:gridCol w:w="5546"/>
        <w:gridCol w:w="991"/>
        <w:gridCol w:w="1970"/>
      </w:tblGrid>
      <w:tr w:rsidR="00CC0170" w14:paraId="28C9C56C" w14:textId="292333B9" w:rsidTr="004A4DA5">
        <w:tc>
          <w:tcPr>
            <w:tcW w:w="590" w:type="pct"/>
          </w:tcPr>
          <w:p w14:paraId="01D94B93" w14:textId="409B8B67" w:rsidR="00CC0170" w:rsidRPr="000426C1" w:rsidRDefault="00CC0170" w:rsidP="0023599C">
            <w:pPr>
              <w:pStyle w:val="TableText0"/>
              <w:rPr>
                <w:b/>
                <w:bCs/>
              </w:rPr>
            </w:pPr>
            <w:r>
              <w:rPr>
                <w:b/>
                <w:bCs/>
              </w:rPr>
              <w:t>Population</w:t>
            </w:r>
          </w:p>
        </w:tc>
        <w:tc>
          <w:tcPr>
            <w:tcW w:w="3110" w:type="pct"/>
          </w:tcPr>
          <w:p w14:paraId="46161419" w14:textId="3E774D32" w:rsidR="00CC0170" w:rsidRPr="000426C1" w:rsidRDefault="00CC0170" w:rsidP="0023599C">
            <w:pPr>
              <w:pStyle w:val="TableText0"/>
              <w:rPr>
                <w:b/>
                <w:bCs/>
              </w:rPr>
            </w:pPr>
            <w:r w:rsidRPr="000426C1">
              <w:rPr>
                <w:b/>
                <w:bCs/>
              </w:rPr>
              <w:t>Parameter</w:t>
            </w:r>
          </w:p>
        </w:tc>
        <w:tc>
          <w:tcPr>
            <w:tcW w:w="148" w:type="pct"/>
          </w:tcPr>
          <w:p w14:paraId="580DE9A8" w14:textId="53ABB898" w:rsidR="00CC0170" w:rsidRPr="000426C1" w:rsidRDefault="00CC0170" w:rsidP="0023599C">
            <w:pPr>
              <w:pStyle w:val="TableText0"/>
              <w:rPr>
                <w:b/>
                <w:bCs/>
              </w:rPr>
            </w:pPr>
            <w:r w:rsidRPr="000426C1">
              <w:rPr>
                <w:b/>
                <w:bCs/>
              </w:rPr>
              <w:t>Estimate</w:t>
            </w:r>
            <w:r>
              <w:rPr>
                <w:b/>
                <w:bCs/>
              </w:rPr>
              <w:t>s</w:t>
            </w:r>
          </w:p>
        </w:tc>
        <w:tc>
          <w:tcPr>
            <w:tcW w:w="1152" w:type="pct"/>
          </w:tcPr>
          <w:p w14:paraId="46840EF5" w14:textId="199037DE" w:rsidR="00CC0170" w:rsidRPr="000426C1" w:rsidRDefault="00CC0170" w:rsidP="0023599C">
            <w:pPr>
              <w:pStyle w:val="TableText0"/>
              <w:rPr>
                <w:b/>
                <w:bCs/>
              </w:rPr>
            </w:pPr>
            <w:r>
              <w:rPr>
                <w:b/>
                <w:bCs/>
              </w:rPr>
              <w:t>Source</w:t>
            </w:r>
          </w:p>
        </w:tc>
      </w:tr>
      <w:tr w:rsidR="00CC0170" w14:paraId="3A5E9015" w14:textId="533EA32C" w:rsidTr="004A4DA5">
        <w:trPr>
          <w:trHeight w:val="539"/>
        </w:trPr>
        <w:tc>
          <w:tcPr>
            <w:tcW w:w="590" w:type="pct"/>
          </w:tcPr>
          <w:p w14:paraId="74125685" w14:textId="2A3FB9DF" w:rsidR="00CC0170" w:rsidRDefault="00CC0170" w:rsidP="0023599C">
            <w:pPr>
              <w:pStyle w:val="TableText0"/>
            </w:pPr>
            <w:r>
              <w:t>A</w:t>
            </w:r>
          </w:p>
        </w:tc>
        <w:tc>
          <w:tcPr>
            <w:tcW w:w="3110" w:type="pct"/>
          </w:tcPr>
          <w:p w14:paraId="4E200D08" w14:textId="51537734" w:rsidR="00CC0170" w:rsidRDefault="00CC0170" w:rsidP="0023599C">
            <w:pPr>
              <w:pStyle w:val="TableText0"/>
            </w:pPr>
            <w:r>
              <w:t xml:space="preserve">Incidence of </w:t>
            </w:r>
            <w:r w:rsidR="00E439EA">
              <w:t>BC</w:t>
            </w:r>
            <w:r>
              <w:t xml:space="preserve"> in year 2023 </w:t>
            </w:r>
          </w:p>
        </w:tc>
        <w:tc>
          <w:tcPr>
            <w:tcW w:w="148" w:type="pct"/>
          </w:tcPr>
          <w:p w14:paraId="3EA0D029" w14:textId="57C7597C" w:rsidR="00CC0170" w:rsidRPr="00EA3EF3" w:rsidRDefault="00CC0170" w:rsidP="0023599C">
            <w:pPr>
              <w:pStyle w:val="TableText0"/>
              <w:rPr>
                <w:i/>
                <w:iCs/>
              </w:rPr>
            </w:pPr>
            <w:r w:rsidRPr="00EA3EF3">
              <w:rPr>
                <w:i/>
                <w:iCs/>
              </w:rPr>
              <w:t>20,500</w:t>
            </w:r>
          </w:p>
        </w:tc>
        <w:tc>
          <w:tcPr>
            <w:tcW w:w="1152" w:type="pct"/>
          </w:tcPr>
          <w:p w14:paraId="2506A47B" w14:textId="7883DEC5" w:rsidR="00CC0170" w:rsidRPr="00CC0170" w:rsidRDefault="002B42D5" w:rsidP="0023599C">
            <w:pPr>
              <w:pStyle w:val="TableText0"/>
            </w:pPr>
            <w:r>
              <w:fldChar w:fldCharType="begin"/>
            </w:r>
            <w:r w:rsidR="008B3C9F">
              <w:instrText xml:space="preserve"> ADDIN EN.CITE &lt;EndNote&gt;&lt;Cite ExcludeAuth="1" ExcludeYear="1"&gt;&lt;Author&gt;Australian Institute of Health and Welfare&lt;/Author&gt;&lt;Year&gt;2023 Aug 31&lt;/Year&gt;&lt;RecNum&gt;93&lt;/RecNum&gt;&lt;Prefix&gt;AIHW 2023&lt;/Prefix&gt;&lt;DisplayText&gt;(AIHW 2023)&lt;/DisplayText&gt;&lt;record&gt;&lt;rec-number&gt;93&lt;/rec-number&gt;&lt;foreign-keys&gt;&lt;key app="EN" db-id="00x55w5599xfwne5w54pxtd5d0pfwrdtfx5z" timestamp="1709182066"&gt;93&lt;/key&gt;&lt;/foreign-keys&gt;&lt;ref-type name="Web Page"&gt;12&lt;/ref-type&gt;&lt;contributors&gt;&lt;authors&gt;&lt;author&gt;Australian Institute of Health and Welfare,&lt;/author&gt;&lt;/authors&gt;&lt;/contributors&gt;&lt;titles&gt;&lt;title&gt;Cancer data in Australia&lt;/title&gt;&lt;/titles&gt;&lt;number&gt;2024 February 29&lt;/number&gt;&lt;dates&gt;&lt;year&gt;2023 Aug 31&lt;/year&gt;&lt;/dates&gt;&lt;work-type&gt;Internet&lt;/work-type&gt;&lt;urls&gt;&lt;related-urls&gt;&lt;url&gt;https://www.aihw.gov.au/reports/cancer/cancer-data-in-australia/contents/overview-of-cancer-in-australia-2023&lt;/url&gt;&lt;/related-urls&gt;&lt;/urls&gt;&lt;/record&gt;&lt;/Cite&gt;&lt;/EndNote&gt;</w:instrText>
            </w:r>
            <w:r>
              <w:fldChar w:fldCharType="separate"/>
            </w:r>
            <w:r w:rsidR="008B3C9F">
              <w:rPr>
                <w:noProof/>
              </w:rPr>
              <w:t>(AIHW 2023)</w:t>
            </w:r>
            <w:r>
              <w:fldChar w:fldCharType="end"/>
            </w:r>
          </w:p>
        </w:tc>
      </w:tr>
      <w:tr w:rsidR="00CC0170" w14:paraId="73341BF0" w14:textId="0AE0BFD4" w:rsidTr="004A4DA5">
        <w:trPr>
          <w:trHeight w:val="539"/>
        </w:trPr>
        <w:tc>
          <w:tcPr>
            <w:tcW w:w="590" w:type="pct"/>
          </w:tcPr>
          <w:p w14:paraId="2F821DBA" w14:textId="69CA767A" w:rsidR="00CC0170" w:rsidRDefault="00CC0170" w:rsidP="0023599C">
            <w:pPr>
              <w:pStyle w:val="TableText0"/>
            </w:pPr>
            <w:r>
              <w:t>B</w:t>
            </w:r>
          </w:p>
        </w:tc>
        <w:tc>
          <w:tcPr>
            <w:tcW w:w="3110" w:type="pct"/>
          </w:tcPr>
          <w:p w14:paraId="3EABED07" w14:textId="0A10F084" w:rsidR="00CC0170" w:rsidRDefault="00CC0170" w:rsidP="0023599C">
            <w:pPr>
              <w:pStyle w:val="TableText0"/>
            </w:pPr>
            <w:r>
              <w:t xml:space="preserve">Patients with locally advanced and </w:t>
            </w:r>
            <w:r w:rsidR="00E439EA">
              <w:t>MBC</w:t>
            </w:r>
            <w:r>
              <w:t xml:space="preserve"> (16.7%) </w:t>
            </w:r>
          </w:p>
        </w:tc>
        <w:tc>
          <w:tcPr>
            <w:tcW w:w="148" w:type="pct"/>
          </w:tcPr>
          <w:p w14:paraId="64B0F1AB" w14:textId="315F79B3" w:rsidR="00CC0170" w:rsidRPr="00EA3EF3" w:rsidRDefault="00CC0170" w:rsidP="0023599C">
            <w:pPr>
              <w:pStyle w:val="TableText0"/>
              <w:rPr>
                <w:i/>
                <w:iCs/>
              </w:rPr>
            </w:pPr>
            <w:r w:rsidRPr="00EA3EF3">
              <w:rPr>
                <w:i/>
                <w:iCs/>
              </w:rPr>
              <w:t>3,424</w:t>
            </w:r>
          </w:p>
        </w:tc>
        <w:tc>
          <w:tcPr>
            <w:tcW w:w="1152" w:type="pct"/>
          </w:tcPr>
          <w:p w14:paraId="6B2BE3E2" w14:textId="2B1B166A" w:rsidR="00CC0170" w:rsidRPr="00CC0170" w:rsidRDefault="002B42D5" w:rsidP="0023599C">
            <w:pPr>
              <w:pStyle w:val="TableText0"/>
            </w:pPr>
            <w:r>
              <w:fldChar w:fldCharType="begin"/>
            </w:r>
            <w:r w:rsidR="008B3C9F">
              <w:instrText xml:space="preserve"> ADDIN EN.CITE &lt;EndNote&gt;&lt;Cite ExcludeAuth="1" ExcludeYear="1"&gt;&lt;Author&gt;National Cancer Control Indicators&lt;/Author&gt;&lt;Year&gt;2018 Apr&lt;/Year&gt;&lt;RecNum&gt;12&lt;/RecNum&gt;&lt;Prefix&gt;NCCI 2013&lt;/Prefix&gt;&lt;DisplayText&gt;(NCCI 2013)&lt;/DisplayText&gt;&lt;record&gt;&lt;rec-number&gt;12&lt;/rec-number&gt;&lt;foreign-keys&gt;&lt;key app="EN" db-id="5xftswrv6zts2ke2xrkvxe2zr9e5effztde0" timestamp="1707115280"&gt;12&lt;/key&gt;&lt;/foreign-keys&gt;&lt;ref-type name="Web Page"&gt;12&lt;/ref-type&gt;&lt;contributors&gt;&lt;authors&gt;&lt;author&gt;National Cancer Control Indicators,&lt;/author&gt;&lt;/authors&gt;&lt;/contributors&gt;&lt;titles&gt;&lt;title&gt;Distribution of cancer stage&lt;/title&gt;&lt;/titles&gt;&lt;number&gt;2024 February 05&lt;/number&gt;&lt;dates&gt;&lt;year&gt;2018 Apr&lt;/year&gt;&lt;/dates&gt;&lt;work-type&gt;Internet&lt;/work-type&gt;&lt;urls&gt;&lt;related-urls&gt;&lt;url&gt;https://ncci.canceraustralia.gov.au/diagnosis/distribution-cancer-stage/distribution-cancer-stage&lt;/url&gt;&lt;/related-urls&gt;&lt;/urls&gt;&lt;/record&gt;&lt;/Cite&gt;&lt;/EndNote&gt;</w:instrText>
            </w:r>
            <w:r>
              <w:fldChar w:fldCharType="separate"/>
            </w:r>
            <w:r w:rsidR="008B3C9F">
              <w:rPr>
                <w:noProof/>
              </w:rPr>
              <w:t>(NCCI 2013)</w:t>
            </w:r>
            <w:r>
              <w:fldChar w:fldCharType="end"/>
            </w:r>
          </w:p>
        </w:tc>
      </w:tr>
      <w:tr w:rsidR="00CC0170" w14:paraId="22D35AA3" w14:textId="0DD233F7" w:rsidTr="004A4DA5">
        <w:trPr>
          <w:trHeight w:val="539"/>
        </w:trPr>
        <w:tc>
          <w:tcPr>
            <w:tcW w:w="590" w:type="pct"/>
          </w:tcPr>
          <w:p w14:paraId="7F3DFDDF" w14:textId="173017B1" w:rsidR="00CC0170" w:rsidRDefault="00CC0170" w:rsidP="0023599C">
            <w:pPr>
              <w:pStyle w:val="TableText0"/>
            </w:pPr>
            <w:r>
              <w:t>C</w:t>
            </w:r>
          </w:p>
        </w:tc>
        <w:tc>
          <w:tcPr>
            <w:tcW w:w="3110" w:type="pct"/>
          </w:tcPr>
          <w:p w14:paraId="4F5F738F" w14:textId="46E7BDA3" w:rsidR="00CC0170" w:rsidRDefault="00CC0170" w:rsidP="0023599C">
            <w:pPr>
              <w:pStyle w:val="TableText0"/>
            </w:pPr>
            <w:r>
              <w:t xml:space="preserve">Patients in population B with HR+/HER- </w:t>
            </w:r>
            <w:r w:rsidR="00E439EA">
              <w:t>BC</w:t>
            </w:r>
            <w:r>
              <w:t xml:space="preserve"> (70%) </w:t>
            </w:r>
          </w:p>
        </w:tc>
        <w:tc>
          <w:tcPr>
            <w:tcW w:w="148" w:type="pct"/>
          </w:tcPr>
          <w:p w14:paraId="1BE106EC" w14:textId="33DC9517" w:rsidR="00CC0170" w:rsidRPr="00EA3EF3" w:rsidRDefault="00CC0170" w:rsidP="0023599C">
            <w:pPr>
              <w:pStyle w:val="TableText0"/>
              <w:rPr>
                <w:i/>
                <w:iCs/>
              </w:rPr>
            </w:pPr>
            <w:r w:rsidRPr="00EA3EF3">
              <w:rPr>
                <w:i/>
                <w:iCs/>
              </w:rPr>
              <w:t>2,397</w:t>
            </w:r>
          </w:p>
        </w:tc>
        <w:tc>
          <w:tcPr>
            <w:tcW w:w="1152" w:type="pct"/>
          </w:tcPr>
          <w:p w14:paraId="54203CB5" w14:textId="36CC2AA9" w:rsidR="00CC0170" w:rsidRPr="00CC0170" w:rsidRDefault="002B42D5" w:rsidP="0023599C">
            <w:pPr>
              <w:pStyle w:val="TableText0"/>
            </w:pPr>
            <w:r>
              <w:fldChar w:fldCharType="begin">
                <w:fldData xml:space="preserve">PEVuZE5vdGU+PENpdGU+PEF1dGhvcj5UdXJuZXI8L0F1dGhvcj48WWVhcj4yMDIzPC9ZZWFyPjxS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=
</w:fldData>
              </w:fldChar>
            </w:r>
            <w:r w:rsidR="00FD77B6">
              <w:instrText xml:space="preserve"> ADDIN EN.CITE </w:instrText>
            </w:r>
            <w:r w:rsidR="00FD77B6">
              <w:fldChar w:fldCharType="begin">
                <w:fldData xml:space="preserve">PEVuZE5vdGU+PENpdGU+PEF1dGhvcj5UdXJuZXI8L0F1dGhvcj48WWVhcj4yMDIzPC9ZZWFyPjxS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=
</w:fldData>
              </w:fldChar>
            </w:r>
            <w:r w:rsidR="00FD77B6">
              <w:instrText xml:space="preserve"> ADDIN EN.CITE.DATA </w:instrText>
            </w:r>
            <w:r w:rsidR="00FD77B6">
              <w:fldChar w:fldCharType="end"/>
            </w:r>
            <w:r>
              <w:fldChar w:fldCharType="separate"/>
            </w:r>
            <w:r w:rsidR="00FD77B6">
              <w:rPr>
                <w:noProof/>
              </w:rPr>
              <w:t>(NCBF 2024; Turner et al. 2023)</w:t>
            </w:r>
            <w:r>
              <w:fldChar w:fldCharType="end"/>
            </w:r>
          </w:p>
        </w:tc>
      </w:tr>
      <w:tr w:rsidR="00CC0170" w14:paraId="18ED8CD7" w14:textId="73C5CB82" w:rsidTr="004A4DA5">
        <w:trPr>
          <w:trHeight w:val="539"/>
        </w:trPr>
        <w:tc>
          <w:tcPr>
            <w:tcW w:w="590" w:type="pct"/>
          </w:tcPr>
          <w:p w14:paraId="4CA79AF8" w14:textId="2B098DF6" w:rsidR="00CC0170" w:rsidRDefault="00CC0170" w:rsidP="0023599C">
            <w:pPr>
              <w:pStyle w:val="TableText0"/>
            </w:pPr>
            <w:r>
              <w:t>D</w:t>
            </w:r>
          </w:p>
        </w:tc>
        <w:tc>
          <w:tcPr>
            <w:tcW w:w="3110" w:type="pct"/>
          </w:tcPr>
          <w:p w14:paraId="03517042" w14:textId="67364795" w:rsidR="00CC0170" w:rsidRDefault="00CC0170" w:rsidP="0023599C">
            <w:pPr>
              <w:pStyle w:val="TableText0"/>
            </w:pPr>
            <w:r>
              <w:t>Patients in population C who are eligible for testing (100%)</w:t>
            </w:r>
          </w:p>
        </w:tc>
        <w:tc>
          <w:tcPr>
            <w:tcW w:w="148" w:type="pct"/>
          </w:tcPr>
          <w:p w14:paraId="664C51DE" w14:textId="1C1E5948" w:rsidR="00CC0170" w:rsidRPr="00EA3EF3" w:rsidRDefault="00CC0170" w:rsidP="0023599C">
            <w:pPr>
              <w:pStyle w:val="TableText0"/>
              <w:rPr>
                <w:i/>
                <w:iCs/>
              </w:rPr>
            </w:pPr>
            <w:r w:rsidRPr="00EA3EF3">
              <w:rPr>
                <w:i/>
                <w:iCs/>
              </w:rPr>
              <w:t>2,397</w:t>
            </w:r>
          </w:p>
        </w:tc>
        <w:tc>
          <w:tcPr>
            <w:tcW w:w="1152" w:type="pct"/>
          </w:tcPr>
          <w:p w14:paraId="061D3FAD" w14:textId="0192BDE2" w:rsidR="00CC0170" w:rsidRPr="00CC0170" w:rsidRDefault="00C5037C" w:rsidP="0023599C">
            <w:pPr>
              <w:pStyle w:val="TableText0"/>
            </w:pPr>
            <w:r>
              <w:t>p6 of MSAC application 1766</w:t>
            </w:r>
          </w:p>
        </w:tc>
      </w:tr>
    </w:tbl>
    <w:p w14:paraId="0AE231B7" w14:textId="3255FD1B" w:rsidR="00B039AA" w:rsidRDefault="00B039AA" w:rsidP="00BD33CC">
      <w:pPr>
        <w:pStyle w:val="Tablenotes"/>
        <w:rPr>
          <w:lang w:eastAsia="en-AU"/>
        </w:rPr>
      </w:pPr>
      <w:r>
        <w:rPr>
          <w:lang w:eastAsia="en-AU"/>
        </w:rPr>
        <w:t>Source:</w:t>
      </w:r>
      <w:r w:rsidR="00C5037C">
        <w:rPr>
          <w:lang w:eastAsia="en-AU"/>
        </w:rPr>
        <w:t xml:space="preserve"> </w:t>
      </w:r>
      <w:r w:rsidR="00326B77">
        <w:rPr>
          <w:lang w:eastAsia="en-AU"/>
        </w:rPr>
        <w:t>Figures</w:t>
      </w:r>
      <w:r w:rsidR="00C206E5">
        <w:rPr>
          <w:lang w:eastAsia="en-AU"/>
        </w:rPr>
        <w:t xml:space="preserve"> in italics</w:t>
      </w:r>
      <w:r w:rsidR="00326B77">
        <w:rPr>
          <w:lang w:eastAsia="en-AU"/>
        </w:rPr>
        <w:t xml:space="preserve"> were estimated during</w:t>
      </w:r>
      <w:r w:rsidR="00B00DCA">
        <w:rPr>
          <w:lang w:eastAsia="en-AU"/>
        </w:rPr>
        <w:t xml:space="preserve"> development of</w:t>
      </w:r>
      <w:r w:rsidR="00326B77">
        <w:rPr>
          <w:lang w:eastAsia="en-AU"/>
        </w:rPr>
        <w:t xml:space="preserve"> PICO Confirmation </w:t>
      </w:r>
      <w:r w:rsidR="00B00DCA">
        <w:rPr>
          <w:lang w:eastAsia="en-AU"/>
        </w:rPr>
        <w:t>1766</w:t>
      </w:r>
    </w:p>
    <w:p w14:paraId="141C4250" w14:textId="3F4B5475" w:rsidR="00326B77" w:rsidRDefault="0087595A" w:rsidP="00BD33CC">
      <w:pPr>
        <w:pStyle w:val="Tablenotes"/>
        <w:rPr>
          <w:highlight w:val="yellow"/>
        </w:rPr>
      </w:pPr>
      <w:r w:rsidRPr="0087595A">
        <w:rPr>
          <w:lang w:eastAsia="en-AU"/>
        </w:rPr>
        <w:t>Abbreviations:</w:t>
      </w:r>
      <w:r w:rsidR="00E238F6">
        <w:rPr>
          <w:lang w:eastAsia="en-AU"/>
        </w:rPr>
        <w:t xml:space="preserve"> AIHW=</w:t>
      </w:r>
      <w:r w:rsidR="00E238F6">
        <w:t xml:space="preserve"> </w:t>
      </w:r>
      <w:r w:rsidR="00E238F6">
        <w:rPr>
          <w:lang w:eastAsia="en-AU"/>
        </w:rPr>
        <w:t xml:space="preserve">Australian Institute of Health and </w:t>
      </w:r>
      <w:r w:rsidR="00A809ED">
        <w:rPr>
          <w:lang w:eastAsia="en-AU"/>
        </w:rPr>
        <w:t xml:space="preserve">Welfare; </w:t>
      </w:r>
      <w:r w:rsidR="00A809ED" w:rsidRPr="0087595A">
        <w:rPr>
          <w:lang w:eastAsia="en-AU"/>
        </w:rPr>
        <w:t>BC</w:t>
      </w:r>
      <w:r w:rsidR="00E439EA">
        <w:rPr>
          <w:lang w:eastAsia="en-AU"/>
        </w:rPr>
        <w:t xml:space="preserve">=breast cancer; </w:t>
      </w:r>
      <w:r>
        <w:rPr>
          <w:lang w:eastAsia="en-AU"/>
        </w:rPr>
        <w:t>HR+/HER2–=</w:t>
      </w:r>
      <w:r w:rsidR="003E07E0" w:rsidRPr="003E07E0">
        <w:t xml:space="preserve"> </w:t>
      </w:r>
      <w:r w:rsidR="003E07E0" w:rsidRPr="003E07E0">
        <w:rPr>
          <w:lang w:eastAsia="en-AU"/>
        </w:rPr>
        <w:t>hormone receptor–positive, human epidermal growth factor receptor 2–negative</w:t>
      </w:r>
      <w:r w:rsidR="00E439EA">
        <w:rPr>
          <w:lang w:eastAsia="en-AU"/>
        </w:rPr>
        <w:t>; MBC=metastatic breast cancer</w:t>
      </w:r>
      <w:r w:rsidR="00E238F6">
        <w:rPr>
          <w:lang w:eastAsia="en-AU"/>
        </w:rPr>
        <w:t xml:space="preserve">; </w:t>
      </w:r>
      <w:r w:rsidR="00E238F6" w:rsidRPr="00E238F6">
        <w:rPr>
          <w:lang w:eastAsia="en-AU"/>
        </w:rPr>
        <w:t>MSAC= Medical Services Advisory Committee; NBCF= National Breast Cancer Foundation; NCCI=National Cancer Control Indicators; p=page.</w:t>
      </w:r>
    </w:p>
    <w:p w14:paraId="68A28316" w14:textId="78A2AEE3" w:rsidR="00D81A8B" w:rsidRPr="00BD33CC" w:rsidRDefault="00D81A8B" w:rsidP="00FC33B1">
      <w:pPr>
        <w:spacing w:beforeLines="120" w:before="288" w:afterLines="50" w:after="120" w:line="259" w:lineRule="auto"/>
        <w:rPr>
          <w:rFonts w:asciiTheme="minorHAnsi" w:hAnsiTheme="minorHAnsi" w:cstheme="minorHAnsi"/>
        </w:rPr>
      </w:pPr>
      <w:r w:rsidRPr="00BD33CC">
        <w:rPr>
          <w:rFonts w:asciiTheme="minorHAnsi" w:hAnsiTheme="minorHAnsi" w:cstheme="minorHAnsi"/>
        </w:rPr>
        <w:t>The estimates were made based on the following assumptions:</w:t>
      </w:r>
    </w:p>
    <w:p w14:paraId="0EF6AC60" w14:textId="78DCF42A" w:rsidR="00E03C21" w:rsidRPr="00BD33CC" w:rsidRDefault="002B2A44" w:rsidP="00FC33B1">
      <w:pPr>
        <w:pStyle w:val="ListParagraph"/>
        <w:numPr>
          <w:ilvl w:val="0"/>
          <w:numId w:val="13"/>
        </w:numPr>
        <w:spacing w:beforeLines="50" w:before="120" w:afterLines="160" w:after="384" w:line="259" w:lineRule="auto"/>
        <w:ind w:left="714" w:hanging="357"/>
        <w:rPr>
          <w:rFonts w:asciiTheme="minorHAnsi" w:hAnsiTheme="minorHAnsi" w:cstheme="minorHAnsi"/>
        </w:rPr>
      </w:pPr>
      <w:r w:rsidRPr="00BD33CC">
        <w:rPr>
          <w:rFonts w:asciiTheme="minorHAnsi" w:hAnsiTheme="minorHAnsi" w:cstheme="minorHAnsi"/>
        </w:rPr>
        <w:t>The i</w:t>
      </w:r>
      <w:r w:rsidR="00352206" w:rsidRPr="00BD33CC">
        <w:rPr>
          <w:rFonts w:asciiTheme="minorHAnsi" w:hAnsiTheme="minorHAnsi" w:cstheme="minorHAnsi"/>
        </w:rPr>
        <w:t xml:space="preserve">ncidence rate of </w:t>
      </w:r>
      <w:r w:rsidR="0093010A" w:rsidRPr="00BD33CC">
        <w:rPr>
          <w:rFonts w:asciiTheme="minorHAnsi" w:hAnsiTheme="minorHAnsi" w:cstheme="minorHAnsi"/>
        </w:rPr>
        <w:t>BC</w:t>
      </w:r>
      <w:r w:rsidR="00352206" w:rsidRPr="00BD33CC">
        <w:rPr>
          <w:rFonts w:asciiTheme="minorHAnsi" w:hAnsiTheme="minorHAnsi" w:cstheme="minorHAnsi"/>
        </w:rPr>
        <w:t xml:space="preserve"> </w:t>
      </w:r>
      <w:r w:rsidR="00E03C21" w:rsidRPr="00BD33CC">
        <w:rPr>
          <w:rFonts w:asciiTheme="minorHAnsi" w:hAnsiTheme="minorHAnsi" w:cstheme="minorHAnsi"/>
        </w:rPr>
        <w:t xml:space="preserve">remains constant over the years. </w:t>
      </w:r>
      <w:r w:rsidR="00D72ED9" w:rsidRPr="00BD33CC">
        <w:rPr>
          <w:rFonts w:asciiTheme="minorHAnsi" w:hAnsiTheme="minorHAnsi" w:cstheme="minorHAnsi"/>
        </w:rPr>
        <w:t xml:space="preserve">Of note, </w:t>
      </w:r>
      <w:r w:rsidR="00E03C21" w:rsidRPr="00BD33CC">
        <w:rPr>
          <w:rFonts w:asciiTheme="minorHAnsi" w:hAnsiTheme="minorHAnsi" w:cstheme="minorHAnsi"/>
        </w:rPr>
        <w:t xml:space="preserve">as the BreastScreen Australia Program promotes early detection of </w:t>
      </w:r>
      <w:r w:rsidRPr="00BD33CC">
        <w:rPr>
          <w:rFonts w:asciiTheme="minorHAnsi" w:hAnsiTheme="minorHAnsi" w:cstheme="minorHAnsi"/>
        </w:rPr>
        <w:t>BC</w:t>
      </w:r>
      <w:r w:rsidR="00E03C21" w:rsidRPr="00BD33CC">
        <w:rPr>
          <w:rFonts w:asciiTheme="minorHAnsi" w:hAnsiTheme="minorHAnsi" w:cstheme="minorHAnsi"/>
        </w:rPr>
        <w:t xml:space="preserve"> and detection of unsuspected </w:t>
      </w:r>
      <w:r w:rsidRPr="00BD33CC">
        <w:rPr>
          <w:rFonts w:asciiTheme="minorHAnsi" w:hAnsiTheme="minorHAnsi" w:cstheme="minorHAnsi"/>
        </w:rPr>
        <w:t>BC</w:t>
      </w:r>
      <w:r w:rsidR="00E03C21" w:rsidRPr="00BD33CC">
        <w:rPr>
          <w:rFonts w:asciiTheme="minorHAnsi" w:hAnsiTheme="minorHAnsi" w:cstheme="minorHAnsi"/>
        </w:rPr>
        <w:t xml:space="preserve"> in women</w:t>
      </w:r>
      <w:r w:rsidR="00297427" w:rsidRPr="00BD33CC">
        <w:rPr>
          <w:rFonts w:asciiTheme="minorHAnsi" w:hAnsiTheme="minorHAnsi" w:cstheme="minorHAnsi"/>
        </w:rPr>
        <w:t xml:space="preserve"> </w:t>
      </w:r>
      <w:r w:rsidR="00297427" w:rsidRPr="00BD33CC">
        <w:rPr>
          <w:rFonts w:asciiTheme="minorHAnsi" w:hAnsiTheme="minorHAnsi" w:cstheme="minorHAnsi"/>
        </w:rPr>
        <w:fldChar w:fldCharType="begin"/>
      </w:r>
      <w:r w:rsidR="00F978D1" w:rsidRPr="00BD33CC">
        <w:rPr>
          <w:rFonts w:asciiTheme="minorHAnsi" w:hAnsiTheme="minorHAnsi" w:cstheme="minorHAnsi"/>
        </w:rPr>
        <w:instrText xml:space="preserve"> ADDIN EN.CITE &lt;EndNote&gt;&lt;Cite ExcludeAuth="1"&gt;&lt;Author&gt;Australian Institute of Health and Welfare&lt;/Author&gt;&lt;Year&gt;2023&lt;/Year&gt;&lt;RecNum&gt;1&lt;/RecNum&gt;&lt;Prefix&gt;AIHW &lt;/Prefix&gt;&lt;DisplayText&gt;(AIHW 2023)&lt;/DisplayText&gt;&lt;record&gt;&lt;rec-number&gt;1&lt;/rec-number&gt;&lt;foreign-keys&gt;&lt;key app="EN" db-id="5xftswrv6zts2ke2xrkvxe2zr9e5effztde0" timestamp="1706762215"&gt;1&lt;/key&gt;&lt;/foreign-keys&gt;&lt;ref-type name="Web Page"&gt;12&lt;/ref-type&gt;&lt;contributors&gt;&lt;authors&gt;&lt;author&gt;Australian Institute of Health and Welfare,&lt;/author&gt;&lt;/authors&gt;&lt;/contributors&gt;&lt;titles&gt;&lt;title&gt;BreastScreen Australia monitoring report 2023&lt;/title&gt;&lt;/titles&gt;&lt;number&gt;2024 February 20&lt;/number&gt;&lt;dates&gt;&lt;year&gt;2023&lt;/year&gt;&lt;/dates&gt;&lt;work-type&gt;Internet&lt;/work-type&gt;&lt;urls&gt;&lt;related-urls&gt;&lt;url&gt;https://www.aihw.gov.au/reports/cancer-screening/breastscreen-australia-monitoring-report-2023/summary&lt;/url&gt;&lt;/related-urls&gt;&lt;/urls&gt;&lt;custom1&gt;2024&lt;/custom1&gt;&lt;custom2&gt;feb 1&lt;/custom2&gt;&lt;/record&gt;&lt;/Cite&gt;&lt;/EndNote&gt;</w:instrText>
      </w:r>
      <w:r w:rsidR="00297427" w:rsidRPr="00BD33CC">
        <w:rPr>
          <w:rFonts w:asciiTheme="minorHAnsi" w:hAnsiTheme="minorHAnsi" w:cstheme="minorHAnsi"/>
        </w:rPr>
        <w:fldChar w:fldCharType="separate"/>
      </w:r>
      <w:r w:rsidR="00F978D1" w:rsidRPr="00BD33CC">
        <w:rPr>
          <w:rFonts w:asciiTheme="minorHAnsi" w:hAnsiTheme="minorHAnsi" w:cstheme="minorHAnsi"/>
          <w:noProof/>
        </w:rPr>
        <w:t>(AIHW 2023)</w:t>
      </w:r>
      <w:r w:rsidR="00297427" w:rsidRPr="00BD33CC">
        <w:rPr>
          <w:rFonts w:asciiTheme="minorHAnsi" w:hAnsiTheme="minorHAnsi" w:cstheme="minorHAnsi"/>
        </w:rPr>
        <w:fldChar w:fldCharType="end"/>
      </w:r>
      <w:r w:rsidR="00E03C21" w:rsidRPr="00BD33CC">
        <w:rPr>
          <w:rFonts w:asciiTheme="minorHAnsi" w:hAnsiTheme="minorHAnsi" w:cstheme="minorHAnsi"/>
        </w:rPr>
        <w:t xml:space="preserve">, plus the </w:t>
      </w:r>
      <w:r w:rsidR="00445A71" w:rsidRPr="00BD33CC">
        <w:rPr>
          <w:rFonts w:asciiTheme="minorHAnsi" w:hAnsiTheme="minorHAnsi" w:cstheme="minorHAnsi"/>
        </w:rPr>
        <w:t xml:space="preserve">growth of </w:t>
      </w:r>
      <w:r w:rsidR="00E03C21" w:rsidRPr="00BD33CC">
        <w:rPr>
          <w:rFonts w:asciiTheme="minorHAnsi" w:hAnsiTheme="minorHAnsi" w:cstheme="minorHAnsi"/>
        </w:rPr>
        <w:t>ageing population</w:t>
      </w:r>
      <w:r w:rsidR="00DF2C5A" w:rsidRPr="00BD33CC">
        <w:rPr>
          <w:rFonts w:asciiTheme="minorHAnsi" w:hAnsiTheme="minorHAnsi" w:cstheme="minorHAnsi"/>
        </w:rPr>
        <w:t xml:space="preserve"> in Australia</w:t>
      </w:r>
      <w:r w:rsidR="00E03C21" w:rsidRPr="00BD33CC">
        <w:rPr>
          <w:rFonts w:asciiTheme="minorHAnsi" w:hAnsiTheme="minorHAnsi" w:cstheme="minorHAnsi"/>
        </w:rPr>
        <w:t>,</w:t>
      </w:r>
      <w:r w:rsidR="00DF2C5A" w:rsidRPr="00BD33CC">
        <w:rPr>
          <w:rFonts w:asciiTheme="minorHAnsi" w:hAnsiTheme="minorHAnsi" w:cstheme="minorHAnsi"/>
        </w:rPr>
        <w:t xml:space="preserve"> </w:t>
      </w:r>
      <w:r w:rsidRPr="00BD33CC">
        <w:rPr>
          <w:rFonts w:asciiTheme="minorHAnsi" w:hAnsiTheme="minorHAnsi" w:cstheme="minorHAnsi"/>
        </w:rPr>
        <w:t>BC</w:t>
      </w:r>
      <w:r w:rsidR="00DF2C5A" w:rsidRPr="00BD33CC">
        <w:rPr>
          <w:rFonts w:asciiTheme="minorHAnsi" w:hAnsiTheme="minorHAnsi" w:cstheme="minorHAnsi"/>
        </w:rPr>
        <w:t xml:space="preserve"> incidence rates </w:t>
      </w:r>
      <w:r w:rsidR="004B1D8D" w:rsidRPr="00BD33CC">
        <w:rPr>
          <w:rFonts w:asciiTheme="minorHAnsi" w:hAnsiTheme="minorHAnsi" w:cstheme="minorHAnsi"/>
        </w:rPr>
        <w:t>may</w:t>
      </w:r>
      <w:r w:rsidR="00E03C21" w:rsidRPr="00BD33CC">
        <w:rPr>
          <w:rFonts w:asciiTheme="minorHAnsi" w:hAnsiTheme="minorHAnsi" w:cstheme="minorHAnsi"/>
        </w:rPr>
        <w:t xml:space="preserve"> i</w:t>
      </w:r>
      <w:r w:rsidR="00DF2C5A" w:rsidRPr="00BD33CC">
        <w:rPr>
          <w:rFonts w:asciiTheme="minorHAnsi" w:hAnsiTheme="minorHAnsi" w:cstheme="minorHAnsi"/>
        </w:rPr>
        <w:t>ncrease</w:t>
      </w:r>
      <w:r w:rsidR="00E03C21" w:rsidRPr="00BD33CC">
        <w:rPr>
          <w:rFonts w:asciiTheme="minorHAnsi" w:hAnsiTheme="minorHAnsi" w:cstheme="minorHAnsi"/>
        </w:rPr>
        <w:t xml:space="preserve"> over time.</w:t>
      </w:r>
    </w:p>
    <w:p w14:paraId="240ECD78" w14:textId="5258C8E4" w:rsidR="00352206" w:rsidRPr="00BD33CC" w:rsidRDefault="00352206" w:rsidP="00BD33CC">
      <w:pPr>
        <w:pStyle w:val="ListParagraph"/>
        <w:numPr>
          <w:ilvl w:val="0"/>
          <w:numId w:val="13"/>
        </w:numPr>
        <w:spacing w:beforeLines="120" w:before="288" w:afterLines="160" w:after="384" w:line="259" w:lineRule="auto"/>
        <w:rPr>
          <w:rFonts w:asciiTheme="minorHAnsi" w:hAnsiTheme="minorHAnsi" w:cstheme="minorHAnsi"/>
        </w:rPr>
      </w:pPr>
      <w:r w:rsidRPr="00BD33CC">
        <w:rPr>
          <w:rFonts w:asciiTheme="minorHAnsi" w:hAnsiTheme="minorHAnsi" w:cstheme="minorHAnsi"/>
        </w:rPr>
        <w:t>All patients</w:t>
      </w:r>
      <w:r w:rsidR="00AA388C" w:rsidRPr="00BD33CC">
        <w:rPr>
          <w:rFonts w:asciiTheme="minorHAnsi" w:hAnsiTheme="minorHAnsi" w:cstheme="minorHAnsi"/>
        </w:rPr>
        <w:t xml:space="preserve"> are assumed to</w:t>
      </w:r>
      <w:r w:rsidRPr="00BD33CC">
        <w:rPr>
          <w:rFonts w:asciiTheme="minorHAnsi" w:hAnsiTheme="minorHAnsi" w:cstheme="minorHAnsi"/>
        </w:rPr>
        <w:t xml:space="preserve"> receive </w:t>
      </w:r>
      <w:r w:rsidR="00AA388C" w:rsidRPr="00BD33CC">
        <w:rPr>
          <w:rFonts w:asciiTheme="minorHAnsi" w:hAnsiTheme="minorHAnsi" w:cstheme="minorHAnsi"/>
        </w:rPr>
        <w:t>AI</w:t>
      </w:r>
      <w:r w:rsidRPr="00BD33CC">
        <w:rPr>
          <w:rFonts w:asciiTheme="minorHAnsi" w:hAnsiTheme="minorHAnsi" w:cstheme="minorHAnsi"/>
        </w:rPr>
        <w:t xml:space="preserve"> therapy and develop </w:t>
      </w:r>
      <w:r w:rsidR="00AA388C" w:rsidRPr="00BD33CC">
        <w:rPr>
          <w:rFonts w:asciiTheme="minorHAnsi" w:hAnsiTheme="minorHAnsi" w:cstheme="minorHAnsi"/>
        </w:rPr>
        <w:t>AI-resistance</w:t>
      </w:r>
      <w:r w:rsidRPr="00BD33CC">
        <w:rPr>
          <w:rFonts w:asciiTheme="minorHAnsi" w:hAnsiTheme="minorHAnsi" w:cstheme="minorHAnsi"/>
        </w:rPr>
        <w:t xml:space="preserve"> </w:t>
      </w:r>
      <w:r w:rsidR="00AA388C" w:rsidRPr="00BD33CC">
        <w:rPr>
          <w:rFonts w:asciiTheme="minorHAnsi" w:hAnsiTheme="minorHAnsi" w:cstheme="minorHAnsi"/>
        </w:rPr>
        <w:t xml:space="preserve">(either in adjuvant or </w:t>
      </w:r>
      <w:r w:rsidR="006C18BF" w:rsidRPr="00BD33CC">
        <w:rPr>
          <w:rFonts w:asciiTheme="minorHAnsi" w:hAnsiTheme="minorHAnsi" w:cstheme="minorHAnsi"/>
        </w:rPr>
        <w:t>MBC</w:t>
      </w:r>
      <w:r w:rsidR="00AA388C" w:rsidRPr="00BD33CC">
        <w:rPr>
          <w:rFonts w:asciiTheme="minorHAnsi" w:hAnsiTheme="minorHAnsi" w:cstheme="minorHAnsi"/>
        </w:rPr>
        <w:t xml:space="preserve"> setting) </w:t>
      </w:r>
      <w:r w:rsidRPr="00BD33CC">
        <w:rPr>
          <w:rFonts w:asciiTheme="minorHAnsi" w:hAnsiTheme="minorHAnsi" w:cstheme="minorHAnsi"/>
        </w:rPr>
        <w:t>within a year</w:t>
      </w:r>
      <w:r w:rsidR="00FC0463" w:rsidRPr="00BD33CC">
        <w:rPr>
          <w:rFonts w:asciiTheme="minorHAnsi" w:hAnsiTheme="minorHAnsi" w:cstheme="minorHAnsi"/>
        </w:rPr>
        <w:t>.</w:t>
      </w:r>
    </w:p>
    <w:p w14:paraId="69B2A9DA" w14:textId="6D85E732" w:rsidR="00352206" w:rsidRPr="00BD33CC" w:rsidRDefault="00FC0463" w:rsidP="00BD33CC">
      <w:pPr>
        <w:pStyle w:val="ListParagraph"/>
        <w:numPr>
          <w:ilvl w:val="0"/>
          <w:numId w:val="13"/>
        </w:numPr>
        <w:spacing w:beforeLines="120" w:before="288" w:afterLines="160" w:after="384" w:line="259" w:lineRule="auto"/>
        <w:rPr>
          <w:rFonts w:asciiTheme="minorHAnsi" w:hAnsiTheme="minorHAnsi" w:cstheme="minorHAnsi"/>
        </w:rPr>
      </w:pPr>
      <w:r w:rsidRPr="00BD33CC">
        <w:rPr>
          <w:rFonts w:asciiTheme="minorHAnsi" w:hAnsiTheme="minorHAnsi" w:cstheme="minorHAnsi"/>
        </w:rPr>
        <w:t xml:space="preserve">Patients </w:t>
      </w:r>
      <w:r w:rsidR="006C18BF" w:rsidRPr="00BD33CC">
        <w:rPr>
          <w:rFonts w:asciiTheme="minorHAnsi" w:hAnsiTheme="minorHAnsi" w:cstheme="minorHAnsi"/>
        </w:rPr>
        <w:t>with</w:t>
      </w:r>
      <w:r w:rsidRPr="00BD33CC">
        <w:rPr>
          <w:rFonts w:asciiTheme="minorHAnsi" w:hAnsiTheme="minorHAnsi" w:cstheme="minorHAnsi"/>
        </w:rPr>
        <w:t xml:space="preserve"> stage 1 and 2 </w:t>
      </w:r>
      <w:r w:rsidR="006C18BF" w:rsidRPr="00BD33CC">
        <w:rPr>
          <w:rFonts w:asciiTheme="minorHAnsi" w:hAnsiTheme="minorHAnsi" w:cstheme="minorHAnsi"/>
        </w:rPr>
        <w:t>BC</w:t>
      </w:r>
      <w:r w:rsidRPr="00BD33CC">
        <w:rPr>
          <w:rFonts w:asciiTheme="minorHAnsi" w:hAnsiTheme="minorHAnsi" w:cstheme="minorHAnsi"/>
        </w:rPr>
        <w:t xml:space="preserve"> remain with no disease progression.</w:t>
      </w:r>
    </w:p>
    <w:p w14:paraId="187E23EB" w14:textId="36CC0271" w:rsidR="00592448" w:rsidRPr="00BD33CC" w:rsidRDefault="00C1338A" w:rsidP="00BD33CC">
      <w:pPr>
        <w:pStyle w:val="Heading4"/>
        <w:spacing w:beforeLines="120" w:before="288" w:afterLines="160" w:after="384" w:line="259" w:lineRule="auto"/>
        <w:rPr>
          <w:rFonts w:asciiTheme="minorHAnsi" w:hAnsiTheme="minorHAnsi" w:cstheme="minorHAnsi"/>
        </w:rPr>
      </w:pPr>
      <w:r w:rsidRPr="00BD33CC">
        <w:rPr>
          <w:rFonts w:asciiTheme="minorHAnsi" w:hAnsiTheme="minorHAnsi" w:cstheme="minorHAnsi"/>
        </w:rPr>
        <w:lastRenderedPageBreak/>
        <w:t>Prior tests</w:t>
      </w:r>
    </w:p>
    <w:p w14:paraId="4AA1795A" w14:textId="4E8564E1" w:rsidR="00C1338A" w:rsidRPr="00BD33CC" w:rsidRDefault="00D354F4" w:rsidP="00BD33CC">
      <w:pPr>
        <w:pStyle w:val="ListParagraph"/>
        <w:numPr>
          <w:ilvl w:val="0"/>
          <w:numId w:val="20"/>
        </w:numPr>
        <w:spacing w:beforeLines="120" w:before="288" w:afterLines="160" w:after="384" w:line="259" w:lineRule="auto"/>
        <w:rPr>
          <w:rFonts w:asciiTheme="minorHAnsi" w:hAnsiTheme="minorHAnsi" w:cstheme="minorHAnsi"/>
        </w:rPr>
      </w:pPr>
      <w:r w:rsidRPr="00BD33CC">
        <w:rPr>
          <w:rFonts w:asciiTheme="minorHAnsi" w:hAnsiTheme="minorHAnsi" w:cstheme="minorHAnsi"/>
        </w:rPr>
        <w:t>B</w:t>
      </w:r>
      <w:r w:rsidR="00C1338A" w:rsidRPr="00BD33CC">
        <w:rPr>
          <w:rFonts w:asciiTheme="minorHAnsi" w:hAnsiTheme="minorHAnsi" w:cstheme="minorHAnsi"/>
        </w:rPr>
        <w:t xml:space="preserve">iopsy and imaging (mammogram, </w:t>
      </w:r>
      <w:r w:rsidR="00717C54" w:rsidRPr="00BD33CC">
        <w:rPr>
          <w:rFonts w:asciiTheme="minorHAnsi" w:hAnsiTheme="minorHAnsi" w:cstheme="minorHAnsi"/>
        </w:rPr>
        <w:t>ultrasound,</w:t>
      </w:r>
      <w:r w:rsidR="00C1338A" w:rsidRPr="00BD33CC">
        <w:rPr>
          <w:rFonts w:asciiTheme="minorHAnsi" w:hAnsiTheme="minorHAnsi" w:cstheme="minorHAnsi"/>
        </w:rPr>
        <w:t xml:space="preserve"> or magnetic resonance </w:t>
      </w:r>
      <w:r w:rsidR="00302B40" w:rsidRPr="00BD33CC">
        <w:rPr>
          <w:rFonts w:asciiTheme="minorHAnsi" w:hAnsiTheme="minorHAnsi" w:cstheme="minorHAnsi"/>
        </w:rPr>
        <w:t>imaging)</w:t>
      </w:r>
      <w:r w:rsidR="00C1338A" w:rsidRPr="00BD33CC">
        <w:rPr>
          <w:rFonts w:asciiTheme="minorHAnsi" w:hAnsiTheme="minorHAnsi" w:cstheme="minorHAnsi"/>
        </w:rPr>
        <w:t xml:space="preserve"> to confirm diagnosis of </w:t>
      </w:r>
      <w:r w:rsidR="00E72D35" w:rsidRPr="00BD33CC">
        <w:rPr>
          <w:rFonts w:asciiTheme="minorHAnsi" w:hAnsiTheme="minorHAnsi" w:cstheme="minorHAnsi"/>
        </w:rPr>
        <w:t>BC.</w:t>
      </w:r>
    </w:p>
    <w:p w14:paraId="1566DC18" w14:textId="60948B98" w:rsidR="00C1338A" w:rsidRPr="00BD33CC" w:rsidRDefault="00D354F4" w:rsidP="00BD33CC">
      <w:pPr>
        <w:pStyle w:val="ListParagraph"/>
        <w:numPr>
          <w:ilvl w:val="0"/>
          <w:numId w:val="20"/>
        </w:numPr>
        <w:spacing w:beforeLines="120" w:before="288" w:afterLines="160" w:after="384" w:line="259" w:lineRule="auto"/>
        <w:rPr>
          <w:rFonts w:asciiTheme="minorHAnsi" w:hAnsiTheme="minorHAnsi" w:cstheme="minorHAnsi"/>
        </w:rPr>
      </w:pPr>
      <w:r w:rsidRPr="00BD33CC">
        <w:rPr>
          <w:rFonts w:asciiTheme="minorHAnsi" w:hAnsiTheme="minorHAnsi" w:cstheme="minorHAnsi"/>
        </w:rPr>
        <w:t>S</w:t>
      </w:r>
      <w:r w:rsidR="00C1338A" w:rsidRPr="00BD33CC">
        <w:rPr>
          <w:rFonts w:asciiTheme="minorHAnsi" w:hAnsiTheme="minorHAnsi" w:cstheme="minorHAnsi"/>
        </w:rPr>
        <w:t>taging workup, which is guided by symptoms and may include clinical and ultrasound assessment of lymph nodes, computed tomography, bone scan, x-rays, magnetic resonance imaging, and fluorodeoxyglucose positron emission tomography–computed tomography</w:t>
      </w:r>
      <w:r w:rsidR="00E72D35" w:rsidRPr="00BD33CC">
        <w:rPr>
          <w:rFonts w:asciiTheme="minorHAnsi" w:hAnsiTheme="minorHAnsi" w:cstheme="minorHAnsi"/>
        </w:rPr>
        <w:t>.</w:t>
      </w:r>
    </w:p>
    <w:p w14:paraId="0C34D86D" w14:textId="226B9708" w:rsidR="00C1338A" w:rsidRPr="00BD33CC" w:rsidRDefault="00D354F4" w:rsidP="00BD33CC">
      <w:pPr>
        <w:pStyle w:val="ListParagraph"/>
        <w:numPr>
          <w:ilvl w:val="0"/>
          <w:numId w:val="20"/>
        </w:numPr>
        <w:spacing w:beforeLines="120" w:before="288" w:afterLines="160" w:after="384" w:line="259" w:lineRule="auto"/>
        <w:rPr>
          <w:rFonts w:asciiTheme="minorHAnsi" w:hAnsiTheme="minorHAnsi" w:cstheme="minorHAnsi"/>
        </w:rPr>
      </w:pPr>
      <w:r w:rsidRPr="00BD33CC">
        <w:rPr>
          <w:rFonts w:asciiTheme="minorHAnsi" w:hAnsiTheme="minorHAnsi" w:cstheme="minorHAnsi"/>
        </w:rPr>
        <w:t>M</w:t>
      </w:r>
      <w:r w:rsidR="00C1338A" w:rsidRPr="00BD33CC">
        <w:rPr>
          <w:rFonts w:asciiTheme="minorHAnsi" w:hAnsiTheme="minorHAnsi" w:cstheme="minorHAnsi"/>
        </w:rPr>
        <w:t>olecular diagnostic studies including immunohistochemical evaluation of HR status and immunohistochemical</w:t>
      </w:r>
      <w:r w:rsidR="004740DE">
        <w:rPr>
          <w:rFonts w:asciiTheme="minorHAnsi" w:hAnsiTheme="minorHAnsi" w:cstheme="minorHAnsi"/>
        </w:rPr>
        <w:t xml:space="preserve"> plus/minus in situ hybridisation </w:t>
      </w:r>
      <w:r w:rsidR="00C1338A" w:rsidRPr="00BD33CC">
        <w:rPr>
          <w:rFonts w:asciiTheme="minorHAnsi" w:hAnsiTheme="minorHAnsi" w:cstheme="minorHAnsi"/>
        </w:rPr>
        <w:t>evaluation to determine HER2 status</w:t>
      </w:r>
      <w:r w:rsidR="00E72D35" w:rsidRPr="00BD33CC">
        <w:rPr>
          <w:rFonts w:asciiTheme="minorHAnsi" w:hAnsiTheme="minorHAnsi" w:cstheme="minorHAnsi"/>
        </w:rPr>
        <w:t>.</w:t>
      </w:r>
    </w:p>
    <w:p w14:paraId="0E38780D" w14:textId="77777777" w:rsidR="007A66C8" w:rsidRPr="008F1532" w:rsidRDefault="007A66C8" w:rsidP="0023599C">
      <w:pPr>
        <w:pStyle w:val="Heading3"/>
      </w:pPr>
      <w:r w:rsidRPr="008F1532">
        <w:t>Intervention</w:t>
      </w:r>
    </w:p>
    <w:p w14:paraId="5AD26756" w14:textId="3D108AD9" w:rsidR="00E760DB" w:rsidRDefault="003C4158" w:rsidP="0023599C">
      <w:pPr>
        <w:pStyle w:val="Heading4"/>
      </w:pPr>
      <w:r>
        <w:t xml:space="preserve">Testing for </w:t>
      </w:r>
      <w:r w:rsidR="001713D9">
        <w:t>AKT pathway</w:t>
      </w:r>
      <w:r>
        <w:t xml:space="preserve"> alteration (PIK3CA/AKT1/PTEN)</w:t>
      </w:r>
    </w:p>
    <w:p w14:paraId="420F24BF" w14:textId="54CB2094" w:rsidR="00A8312C" w:rsidRDefault="00EF553B" w:rsidP="0023599C">
      <w:pPr>
        <w:pStyle w:val="Instructionaltext"/>
        <w:rPr>
          <w:color w:val="auto"/>
        </w:rPr>
      </w:pPr>
      <w:r w:rsidRPr="00EF553B">
        <w:rPr>
          <w:color w:val="auto"/>
        </w:rPr>
        <w:t>The proposed</w:t>
      </w:r>
      <w:r>
        <w:rPr>
          <w:color w:val="auto"/>
        </w:rPr>
        <w:t xml:space="preserve"> </w:t>
      </w:r>
      <w:r w:rsidR="00FC1BB2">
        <w:rPr>
          <w:color w:val="auto"/>
        </w:rPr>
        <w:t>intervention</w:t>
      </w:r>
      <w:r>
        <w:rPr>
          <w:color w:val="auto"/>
        </w:rPr>
        <w:t xml:space="preserve"> is </w:t>
      </w:r>
      <w:r w:rsidR="002E21CF">
        <w:rPr>
          <w:color w:val="auto"/>
        </w:rPr>
        <w:t>a codependent</w:t>
      </w:r>
      <w:r w:rsidR="00FC1BB2">
        <w:rPr>
          <w:color w:val="auto"/>
        </w:rPr>
        <w:t xml:space="preserve"> health technology</w:t>
      </w:r>
      <w:r w:rsidR="002E21CF">
        <w:rPr>
          <w:color w:val="auto"/>
        </w:rPr>
        <w:t xml:space="preserve"> for the purpose of identifying a patient as suitable for a pharmacological treatment</w:t>
      </w:r>
      <w:r w:rsidR="00FC1BB2">
        <w:rPr>
          <w:color w:val="auto"/>
        </w:rPr>
        <w:t xml:space="preserve">. </w:t>
      </w:r>
      <w:r w:rsidR="009F1D0F">
        <w:rPr>
          <w:color w:val="auto"/>
        </w:rPr>
        <w:t xml:space="preserve">The proposed investigative technology is </w:t>
      </w:r>
      <w:r w:rsidR="00DE514F">
        <w:rPr>
          <w:color w:val="auto"/>
        </w:rPr>
        <w:t xml:space="preserve">somatic </w:t>
      </w:r>
      <w:r>
        <w:rPr>
          <w:color w:val="auto"/>
        </w:rPr>
        <w:t>genetic testing</w:t>
      </w:r>
      <w:r w:rsidR="005E15B8">
        <w:rPr>
          <w:color w:val="auto"/>
        </w:rPr>
        <w:t xml:space="preserve"> which uses </w:t>
      </w:r>
      <w:r w:rsidR="006753E7" w:rsidRPr="006753E7">
        <w:rPr>
          <w:color w:val="auto"/>
        </w:rPr>
        <w:t>Next Generation Sequencing (</w:t>
      </w:r>
      <w:r w:rsidR="005E15B8">
        <w:rPr>
          <w:color w:val="auto"/>
        </w:rPr>
        <w:t>NGS</w:t>
      </w:r>
      <w:r w:rsidR="006753E7">
        <w:rPr>
          <w:color w:val="auto"/>
        </w:rPr>
        <w:t>)</w:t>
      </w:r>
      <w:r w:rsidR="005E15B8">
        <w:rPr>
          <w:color w:val="auto"/>
        </w:rPr>
        <w:t xml:space="preserve"> to</w:t>
      </w:r>
      <w:r>
        <w:rPr>
          <w:color w:val="auto"/>
        </w:rPr>
        <w:t xml:space="preserve"> </w:t>
      </w:r>
      <w:r w:rsidR="00FC1BB2">
        <w:rPr>
          <w:color w:val="auto"/>
        </w:rPr>
        <w:t xml:space="preserve">detect </w:t>
      </w:r>
      <w:r w:rsidR="001713D9">
        <w:rPr>
          <w:color w:val="auto"/>
        </w:rPr>
        <w:t>AKT pathway</w:t>
      </w:r>
      <w:r w:rsidR="00FC1BB2" w:rsidRPr="00FC1BB2">
        <w:rPr>
          <w:color w:val="auto"/>
        </w:rPr>
        <w:t xml:space="preserve"> alterations</w:t>
      </w:r>
      <w:r w:rsidR="00FE11AC">
        <w:rPr>
          <w:color w:val="auto"/>
        </w:rPr>
        <w:t xml:space="preserve"> in tumour tissue</w:t>
      </w:r>
      <w:r w:rsidR="005E15B8">
        <w:rPr>
          <w:color w:val="auto"/>
        </w:rPr>
        <w:t xml:space="preserve"> from patients with HR+/HER2- </w:t>
      </w:r>
      <w:r w:rsidR="001F3160" w:rsidRPr="001F3160">
        <w:rPr>
          <w:color w:val="auto"/>
        </w:rPr>
        <w:t>advanced breast cancer</w:t>
      </w:r>
      <w:r w:rsidR="005E15B8">
        <w:rPr>
          <w:color w:val="auto"/>
        </w:rPr>
        <w:t>. NGS enables identification of hundreds of genes at a time and can i</w:t>
      </w:r>
      <w:r w:rsidR="00FC1BB2" w:rsidRPr="00FC1BB2">
        <w:rPr>
          <w:color w:val="auto"/>
        </w:rPr>
        <w:t>dentif</w:t>
      </w:r>
      <w:r w:rsidR="00FC1BB2">
        <w:rPr>
          <w:color w:val="auto"/>
        </w:rPr>
        <w:t>y</w:t>
      </w:r>
      <w:r w:rsidR="00FC1BB2" w:rsidRPr="00FC1BB2">
        <w:rPr>
          <w:color w:val="auto"/>
        </w:rPr>
        <w:t xml:space="preserve"> </w:t>
      </w:r>
      <w:r w:rsidR="00C34ABE">
        <w:rPr>
          <w:color w:val="auto"/>
        </w:rPr>
        <w:t>pathogenic variants</w:t>
      </w:r>
      <w:r w:rsidR="00C34ABE" w:rsidRPr="00FC1BB2">
        <w:rPr>
          <w:color w:val="auto"/>
        </w:rPr>
        <w:t xml:space="preserve"> </w:t>
      </w:r>
      <w:r w:rsidR="00FC1BB2" w:rsidRPr="00FC1BB2">
        <w:rPr>
          <w:color w:val="auto"/>
        </w:rPr>
        <w:t xml:space="preserve">in </w:t>
      </w:r>
      <w:r w:rsidR="00FC1BB2" w:rsidRPr="00302B40">
        <w:rPr>
          <w:i/>
          <w:iCs/>
          <w:color w:val="auto"/>
        </w:rPr>
        <w:t>PI3K</w:t>
      </w:r>
      <w:r w:rsidR="00C96F54" w:rsidRPr="00302B40">
        <w:rPr>
          <w:i/>
          <w:iCs/>
          <w:color w:val="auto"/>
        </w:rPr>
        <w:t>CA</w:t>
      </w:r>
      <w:r w:rsidR="005E15B8" w:rsidRPr="00A809ED">
        <w:rPr>
          <w:color w:val="auto"/>
        </w:rPr>
        <w:t>,</w:t>
      </w:r>
      <w:r w:rsidR="005E15B8" w:rsidRPr="00302B40">
        <w:rPr>
          <w:i/>
          <w:iCs/>
          <w:color w:val="auto"/>
        </w:rPr>
        <w:t xml:space="preserve"> </w:t>
      </w:r>
      <w:r w:rsidR="00FC1BB2" w:rsidRPr="00302B40">
        <w:rPr>
          <w:i/>
          <w:iCs/>
          <w:color w:val="auto"/>
        </w:rPr>
        <w:t>AKT1</w:t>
      </w:r>
      <w:r w:rsidR="005E15B8">
        <w:rPr>
          <w:color w:val="auto"/>
        </w:rPr>
        <w:t xml:space="preserve"> </w:t>
      </w:r>
      <w:r w:rsidR="003E4E8B">
        <w:rPr>
          <w:color w:val="auto"/>
        </w:rPr>
        <w:t>and</w:t>
      </w:r>
      <w:r w:rsidR="005E15B8">
        <w:rPr>
          <w:color w:val="auto"/>
        </w:rPr>
        <w:t xml:space="preserve"> </w:t>
      </w:r>
      <w:r w:rsidR="00FC1BB2" w:rsidRPr="00302B40">
        <w:rPr>
          <w:i/>
          <w:iCs/>
          <w:color w:val="auto"/>
        </w:rPr>
        <w:t>PTEN</w:t>
      </w:r>
      <w:r w:rsidR="005E15B8">
        <w:rPr>
          <w:color w:val="auto"/>
        </w:rPr>
        <w:t xml:space="preserve">. Presence of </w:t>
      </w:r>
      <w:r w:rsidR="005E15B8" w:rsidRPr="00302B40">
        <w:rPr>
          <w:i/>
          <w:iCs/>
          <w:color w:val="auto"/>
        </w:rPr>
        <w:t>PI3K</w:t>
      </w:r>
      <w:r w:rsidR="003E4E8B" w:rsidRPr="00302B40">
        <w:rPr>
          <w:i/>
          <w:iCs/>
          <w:color w:val="auto"/>
        </w:rPr>
        <w:t>CA</w:t>
      </w:r>
      <w:r w:rsidR="005E15B8" w:rsidRPr="00302B40">
        <w:rPr>
          <w:i/>
          <w:iCs/>
          <w:color w:val="auto"/>
        </w:rPr>
        <w:t>/AKT1/PTEN</w:t>
      </w:r>
      <w:r w:rsidR="005E15B8">
        <w:rPr>
          <w:color w:val="auto"/>
        </w:rPr>
        <w:t xml:space="preserve"> </w:t>
      </w:r>
      <w:r w:rsidR="00C34ABE">
        <w:rPr>
          <w:color w:val="auto"/>
        </w:rPr>
        <w:t>pathogenic variants</w:t>
      </w:r>
      <w:r w:rsidR="005E15B8">
        <w:rPr>
          <w:color w:val="auto"/>
        </w:rPr>
        <w:t xml:space="preserve"> confirm </w:t>
      </w:r>
      <w:r w:rsidR="001713D9">
        <w:rPr>
          <w:color w:val="auto"/>
        </w:rPr>
        <w:t>AKT pathway</w:t>
      </w:r>
      <w:r w:rsidR="005E15B8">
        <w:rPr>
          <w:color w:val="auto"/>
        </w:rPr>
        <w:t xml:space="preserve"> alterations,</w:t>
      </w:r>
      <w:r w:rsidR="002E109B">
        <w:rPr>
          <w:color w:val="auto"/>
        </w:rPr>
        <w:t xml:space="preserve"> </w:t>
      </w:r>
      <w:r w:rsidR="00FC1BB2" w:rsidRPr="00FC1BB2">
        <w:rPr>
          <w:color w:val="auto"/>
        </w:rPr>
        <w:t xml:space="preserve">which then determine </w:t>
      </w:r>
      <w:r w:rsidR="00E10C58">
        <w:rPr>
          <w:color w:val="auto"/>
        </w:rPr>
        <w:t>a</w:t>
      </w:r>
      <w:r w:rsidR="00E901DA">
        <w:rPr>
          <w:color w:val="auto"/>
        </w:rPr>
        <w:t xml:space="preserve"> </w:t>
      </w:r>
      <w:r w:rsidR="00FC1BB2" w:rsidRPr="00FC1BB2">
        <w:rPr>
          <w:color w:val="auto"/>
        </w:rPr>
        <w:t>patient’s eligibility for treatment with capivasertib</w:t>
      </w:r>
      <w:r w:rsidR="00D45CE5">
        <w:rPr>
          <w:color w:val="auto"/>
        </w:rPr>
        <w:t xml:space="preserve"> (a</w:t>
      </w:r>
      <w:r w:rsidR="00091EFD">
        <w:rPr>
          <w:color w:val="auto"/>
        </w:rPr>
        <w:t>n</w:t>
      </w:r>
      <w:r w:rsidR="00D45CE5">
        <w:rPr>
          <w:color w:val="auto"/>
        </w:rPr>
        <w:t xml:space="preserve"> AKT serine/threonine kinase inhibitor)</w:t>
      </w:r>
      <w:r w:rsidR="00FC1BB2" w:rsidRPr="00FC1BB2">
        <w:rPr>
          <w:color w:val="auto"/>
        </w:rPr>
        <w:t>.</w:t>
      </w:r>
      <w:r w:rsidR="00D45CE5">
        <w:rPr>
          <w:color w:val="auto"/>
        </w:rPr>
        <w:t xml:space="preserve"> A positive test could also inform eligibility for </w:t>
      </w:r>
      <w:r w:rsidR="00121BF3">
        <w:rPr>
          <w:color w:val="auto"/>
        </w:rPr>
        <w:t xml:space="preserve">other </w:t>
      </w:r>
      <w:r w:rsidR="00131CF4">
        <w:rPr>
          <w:color w:val="auto"/>
        </w:rPr>
        <w:t xml:space="preserve">future </w:t>
      </w:r>
      <w:r w:rsidR="00D45CE5">
        <w:rPr>
          <w:color w:val="auto"/>
        </w:rPr>
        <w:t xml:space="preserve">PBS-listed </w:t>
      </w:r>
      <w:r w:rsidR="001713D9">
        <w:rPr>
          <w:color w:val="auto"/>
        </w:rPr>
        <w:t>AKT pathway</w:t>
      </w:r>
      <w:r w:rsidR="00D45CE5">
        <w:rPr>
          <w:color w:val="auto"/>
        </w:rPr>
        <w:t xml:space="preserve"> inhibitors</w:t>
      </w:r>
      <w:r w:rsidR="00131CF4">
        <w:rPr>
          <w:color w:val="auto"/>
        </w:rPr>
        <w:t>.</w:t>
      </w:r>
      <w:r w:rsidR="009B7458">
        <w:rPr>
          <w:color w:val="auto"/>
        </w:rPr>
        <w:t xml:space="preserve"> </w:t>
      </w:r>
      <w:r w:rsidR="003E4E8B">
        <w:rPr>
          <w:color w:val="auto"/>
        </w:rPr>
        <w:t xml:space="preserve">Based on </w:t>
      </w:r>
      <w:r w:rsidR="009616CF">
        <w:rPr>
          <w:color w:val="auto"/>
        </w:rPr>
        <w:t xml:space="preserve">the </w:t>
      </w:r>
      <w:r w:rsidR="003E4E8B">
        <w:rPr>
          <w:color w:val="auto"/>
        </w:rPr>
        <w:t>CAPitello-291 trial, t</w:t>
      </w:r>
      <w:r w:rsidR="009B7458" w:rsidRPr="009B7458">
        <w:rPr>
          <w:color w:val="auto"/>
        </w:rPr>
        <w:t xml:space="preserve">he addition of capivasertib to fulvestrant </w:t>
      </w:r>
      <w:r w:rsidR="00176666">
        <w:rPr>
          <w:color w:val="auto"/>
        </w:rPr>
        <w:t xml:space="preserve">treatment </w:t>
      </w:r>
      <w:r w:rsidR="009B7458" w:rsidRPr="009B7458">
        <w:rPr>
          <w:color w:val="auto"/>
        </w:rPr>
        <w:t>significantly improved PFS in patients with AI-resistant HR+/HER2</w:t>
      </w:r>
      <w:r w:rsidR="006753E7">
        <w:rPr>
          <w:color w:val="auto"/>
        </w:rPr>
        <w:t xml:space="preserve">- </w:t>
      </w:r>
      <w:r w:rsidR="00A74221" w:rsidRPr="00A74221">
        <w:rPr>
          <w:color w:val="auto"/>
        </w:rPr>
        <w:t>advanced breast cancer</w:t>
      </w:r>
      <w:r w:rsidR="00FA0281" w:rsidRPr="009B7458">
        <w:rPr>
          <w:color w:val="auto"/>
        </w:rPr>
        <w:t xml:space="preserve"> </w:t>
      </w:r>
      <w:r w:rsidR="009B7458" w:rsidRPr="009B7458">
        <w:rPr>
          <w:color w:val="auto"/>
        </w:rPr>
        <w:t xml:space="preserve">in the overall population, with a more pronounced benefit in </w:t>
      </w:r>
      <w:r w:rsidR="00131CF4">
        <w:rPr>
          <w:color w:val="auto"/>
        </w:rPr>
        <w:t xml:space="preserve">proven </w:t>
      </w:r>
      <w:r w:rsidR="001713D9">
        <w:rPr>
          <w:color w:val="auto"/>
        </w:rPr>
        <w:t>AKT pathway</w:t>
      </w:r>
      <w:r w:rsidR="009B7458">
        <w:rPr>
          <w:color w:val="auto"/>
        </w:rPr>
        <w:t xml:space="preserve"> altered tumour</w:t>
      </w:r>
      <w:r w:rsidR="00CA1778">
        <w:rPr>
          <w:color w:val="auto"/>
        </w:rPr>
        <w:t>s.</w:t>
      </w:r>
      <w:r w:rsidR="009B7458">
        <w:rPr>
          <w:color w:val="auto"/>
        </w:rPr>
        <w:t xml:space="preserve"> </w:t>
      </w:r>
      <w:r w:rsidR="009B7458">
        <w:rPr>
          <w:color w:val="auto"/>
        </w:rPr>
        <w:fldChar w:fldCharType="begin"/>
      </w:r>
      <w:r w:rsidR="00FD77B6">
        <w:rPr>
          <w:color w:val="auto"/>
        </w:rPr>
        <w:instrText xml:space="preserve"> ADDIN EN.CITE &lt;EndNote&gt;&lt;Cite&gt;&lt;Author&gt;Turner&lt;/Author&gt;&lt;Year&gt;2023&lt;/Year&gt;&lt;RecNum&gt;6&lt;/RecNum&gt;&lt;DisplayText&gt;(Turner et al. 2023)&lt;/DisplayText&gt;&lt;record&gt;&lt;rec-number&gt;6&lt;/rec-number&gt;&lt;foreign-keys&gt;&lt;key app="EN" db-id="5xftswrv6zts2ke2xrkvxe2zr9e5effztde0" timestamp="1706842485"&gt;6&lt;/key&gt;&lt;/foreign-keys&gt;&lt;ref-type name="Journal Article"&gt;17&lt;/ref-type&gt;&lt;contributors&gt;&lt;authors&gt;&lt;author&gt;Turner, Nicholas C.&lt;/author&gt;&lt;author&gt;Oliveira, Mafalda&lt;/author&gt;&lt;author&gt;Howell, Sacha J.&lt;/author&gt;&lt;author&gt;Dalenc, Florence&lt;/author&gt;&lt;author&gt;Cortes, Javier&lt;/author&gt;&lt;author&gt;Gomez Moreno, Henry L.&lt;/author&gt;&lt;author&gt;Hu, Xichun&lt;/author&gt;&lt;author&gt;Jhaveri, Komal&lt;/author&gt;&lt;author&gt;Krivorotko, Petr&lt;/author&gt;&lt;author&gt;Loibl, Sibylle&lt;/author&gt;&lt;author&gt;Morales Murillo, Serafin&lt;/author&gt;&lt;author&gt;Okera, Meena&lt;/author&gt;&lt;author&gt;Park, Yeon Hee&lt;/author&gt;&lt;author&gt;Sohn, Joohyuk&lt;/author&gt;&lt;author&gt;Toi, Masakazu&lt;/author&gt;&lt;author&gt;Tokunaga, Eriko&lt;/author&gt;&lt;author&gt;Yousef, Samih&lt;/author&gt;&lt;author&gt;Zhukova, Lyudmila&lt;/author&gt;&lt;author&gt;De Bruin, Elza C.&lt;/author&gt;&lt;author&gt;Grinsted, Lynda&lt;/author&gt;&lt;author&gt;Schiavon, Gaia&lt;/author&gt;&lt;author&gt;Foxley, Andrew&lt;/author&gt;&lt;author&gt;Rugo, Hope S.&lt;/author&gt;&lt;/authors&gt;&lt;/contributors&gt;&lt;titles&gt;&lt;title&gt;Capivasertib in Hormone Receptor–Positive Advanced Breast Cancer&lt;/title&gt;&lt;secondary-title&gt;New England Journal of Medicine&lt;/secondary-title&gt;&lt;/titles&gt;&lt;periodical&gt;&lt;full-title&gt;New England Journal of Medicine&lt;/full-title&gt;&lt;/periodical&gt;&lt;pages&gt;2058-2070&lt;/pages&gt;&lt;volume&gt;388&lt;/volume&gt;&lt;number&gt;22&lt;/number&gt;&lt;dates&gt;&lt;year&gt;2023&lt;/year&gt;&lt;/dates&gt;&lt;publisher&gt;Massachusetts Medical Society&lt;/publisher&gt;&lt;isbn&gt;0028-4793&lt;/isbn&gt;&lt;urls&gt;&lt;related-urls&gt;&lt;url&gt;https://dx.doi.org/10.1056/nejmoa2214131&lt;/url&gt;&lt;/related-urls&gt;&lt;/urls&gt;&lt;electronic-resource-num&gt;10.1056/nejmoa2214131&lt;/electronic-resource-num&gt;&lt;/record&gt;&lt;/Cite&gt;&lt;/EndNote&gt;</w:instrText>
      </w:r>
      <w:r w:rsidR="009B7458">
        <w:rPr>
          <w:color w:val="auto"/>
        </w:rPr>
        <w:fldChar w:fldCharType="separate"/>
      </w:r>
      <w:r w:rsidR="00FD77B6">
        <w:rPr>
          <w:noProof/>
          <w:color w:val="auto"/>
        </w:rPr>
        <w:t>(Turner et al. 2023)</w:t>
      </w:r>
      <w:r w:rsidR="009B7458">
        <w:rPr>
          <w:color w:val="auto"/>
        </w:rPr>
        <w:fldChar w:fldCharType="end"/>
      </w:r>
      <w:r w:rsidR="009B7458">
        <w:rPr>
          <w:color w:val="auto"/>
        </w:rPr>
        <w:t>.</w:t>
      </w:r>
      <w:r w:rsidR="00176666">
        <w:rPr>
          <w:color w:val="auto"/>
        </w:rPr>
        <w:t xml:space="preserve"> </w:t>
      </w:r>
      <w:r w:rsidR="00176666" w:rsidRPr="00176666">
        <w:rPr>
          <w:color w:val="auto"/>
        </w:rPr>
        <w:t>Capivasertib is currently undergoing TGA evaluation for treatment in this population.</w:t>
      </w:r>
      <w:r w:rsidR="00176666">
        <w:rPr>
          <w:color w:val="auto"/>
        </w:rPr>
        <w:t xml:space="preserve"> </w:t>
      </w:r>
    </w:p>
    <w:p w14:paraId="7B4ACDA7" w14:textId="589C629C" w:rsidR="00A8312C" w:rsidRPr="00A8312C" w:rsidRDefault="00A8312C" w:rsidP="00F35266">
      <w:pPr>
        <w:pStyle w:val="Instructionaltext"/>
        <w:rPr>
          <w:color w:val="auto"/>
        </w:rPr>
      </w:pPr>
      <w:r w:rsidRPr="00BD33CC">
        <w:rPr>
          <w:rFonts w:asciiTheme="minorHAnsi" w:hAnsiTheme="minorHAnsi" w:cstheme="minorHAnsi"/>
          <w:i/>
          <w:iCs/>
          <w:color w:val="auto"/>
        </w:rPr>
        <w:t xml:space="preserve">PASC indicated that the test intervention was tumour tissue testing using NGS to characterise </w:t>
      </w:r>
      <w:r w:rsidR="00D12AB6">
        <w:rPr>
          <w:rFonts w:asciiTheme="minorHAnsi" w:hAnsiTheme="minorHAnsi" w:cstheme="minorHAnsi"/>
          <w:i/>
          <w:iCs/>
          <w:color w:val="auto"/>
        </w:rPr>
        <w:t>t</w:t>
      </w:r>
      <w:r w:rsidR="00D12AB6" w:rsidRPr="00BD33CC">
        <w:rPr>
          <w:rFonts w:asciiTheme="minorHAnsi" w:hAnsiTheme="minorHAnsi" w:cstheme="minorHAnsi"/>
          <w:i/>
          <w:iCs/>
          <w:color w:val="auto"/>
        </w:rPr>
        <w:t xml:space="preserve">ier </w:t>
      </w:r>
      <w:r w:rsidRPr="00BD33CC">
        <w:rPr>
          <w:rFonts w:asciiTheme="minorHAnsi" w:hAnsiTheme="minorHAnsi" w:cstheme="minorHAnsi"/>
          <w:i/>
          <w:iCs/>
          <w:color w:val="auto"/>
        </w:rPr>
        <w:t>1 genetic variants in all three genes (PIK3CA, AKT1 and PTEN genes) associated with abrogation of the AKT pathway. Tier 1 correspond</w:t>
      </w:r>
      <w:r w:rsidR="004F3706">
        <w:rPr>
          <w:rFonts w:asciiTheme="minorHAnsi" w:hAnsiTheme="minorHAnsi" w:cstheme="minorHAnsi"/>
          <w:i/>
          <w:iCs/>
          <w:color w:val="auto"/>
        </w:rPr>
        <w:t>s</w:t>
      </w:r>
      <w:r w:rsidRPr="00BD33CC">
        <w:rPr>
          <w:rFonts w:asciiTheme="minorHAnsi" w:hAnsiTheme="minorHAnsi" w:cstheme="minorHAnsi"/>
          <w:i/>
          <w:iCs/>
          <w:color w:val="auto"/>
        </w:rPr>
        <w:t xml:space="preserve"> to somatic pathogenic variants of strong clinical significance</w:t>
      </w:r>
      <w:r w:rsidR="00CF233D">
        <w:rPr>
          <w:rFonts w:asciiTheme="minorHAnsi" w:hAnsiTheme="minorHAnsi" w:cstheme="minorHAnsi"/>
          <w:i/>
          <w:iCs/>
          <w:color w:val="auto"/>
        </w:rPr>
        <w:t>.</w:t>
      </w:r>
    </w:p>
    <w:p w14:paraId="5BD06354" w14:textId="1811684C" w:rsidR="00FD4B44" w:rsidRDefault="00D9040B" w:rsidP="0023599C">
      <w:pPr>
        <w:pStyle w:val="Instructionaltext"/>
        <w:rPr>
          <w:color w:val="auto"/>
        </w:rPr>
      </w:pPr>
      <w:r>
        <w:rPr>
          <w:color w:val="auto"/>
        </w:rPr>
        <w:t xml:space="preserve">The </w:t>
      </w:r>
      <w:r w:rsidR="006747E8">
        <w:rPr>
          <w:color w:val="auto"/>
        </w:rPr>
        <w:t>applica</w:t>
      </w:r>
      <w:r w:rsidR="00BB207B">
        <w:rPr>
          <w:color w:val="auto"/>
        </w:rPr>
        <w:t>n</w:t>
      </w:r>
      <w:r w:rsidR="006747E8">
        <w:rPr>
          <w:color w:val="auto"/>
        </w:rPr>
        <w:t>t</w:t>
      </w:r>
      <w:r>
        <w:rPr>
          <w:color w:val="auto"/>
        </w:rPr>
        <w:t xml:space="preserve"> proposed that a</w:t>
      </w:r>
      <w:r w:rsidR="003908E6" w:rsidRPr="003908E6">
        <w:rPr>
          <w:color w:val="auto"/>
        </w:rPr>
        <w:t xml:space="preserve"> specialist (e.g., medical oncologist, breast surgeon, interventional radiologist) </w:t>
      </w:r>
      <w:r w:rsidR="003908E6">
        <w:rPr>
          <w:color w:val="auto"/>
        </w:rPr>
        <w:t>can request</w:t>
      </w:r>
      <w:r w:rsidR="00582FFC">
        <w:rPr>
          <w:color w:val="auto"/>
        </w:rPr>
        <w:t xml:space="preserve"> </w:t>
      </w:r>
      <w:r w:rsidR="001713D9">
        <w:rPr>
          <w:color w:val="auto"/>
        </w:rPr>
        <w:t>AKT pathway</w:t>
      </w:r>
      <w:r w:rsidR="00582FFC">
        <w:rPr>
          <w:color w:val="auto"/>
        </w:rPr>
        <w:t xml:space="preserve"> alteration </w:t>
      </w:r>
      <w:r w:rsidR="003908E6">
        <w:rPr>
          <w:color w:val="auto"/>
        </w:rPr>
        <w:t xml:space="preserve">testing and has to </w:t>
      </w:r>
      <w:r w:rsidR="003908E6" w:rsidRPr="003908E6">
        <w:rPr>
          <w:color w:val="auto"/>
        </w:rPr>
        <w:t xml:space="preserve">provide the specimen </w:t>
      </w:r>
      <w:r w:rsidR="003908E6">
        <w:rPr>
          <w:color w:val="auto"/>
        </w:rPr>
        <w:t>for testing</w:t>
      </w:r>
      <w:r w:rsidR="003908E6" w:rsidRPr="003908E6">
        <w:rPr>
          <w:color w:val="auto"/>
        </w:rPr>
        <w:t>.</w:t>
      </w:r>
      <w:r>
        <w:rPr>
          <w:color w:val="auto"/>
        </w:rPr>
        <w:t xml:space="preserve"> The specimen can be fresh tissue from the site of local recurrence or metastasis </w:t>
      </w:r>
      <w:r w:rsidR="00913B19">
        <w:rPr>
          <w:color w:val="auto"/>
        </w:rPr>
        <w:t>or</w:t>
      </w:r>
      <w:r>
        <w:rPr>
          <w:color w:val="auto"/>
        </w:rPr>
        <w:t xml:space="preserve"> archival tissues. </w:t>
      </w:r>
      <w:r w:rsidR="00582FFC">
        <w:rPr>
          <w:color w:val="auto"/>
        </w:rPr>
        <w:t>The tumour tissue specimen can be obtained from formalin</w:t>
      </w:r>
      <w:r w:rsidR="00FD4B44">
        <w:rPr>
          <w:color w:val="auto"/>
        </w:rPr>
        <w:t>-</w:t>
      </w:r>
      <w:r w:rsidR="00582FFC">
        <w:rPr>
          <w:color w:val="auto"/>
        </w:rPr>
        <w:t xml:space="preserve">fixed paraffin-embedded (FFPE) blocks following primary </w:t>
      </w:r>
      <w:r w:rsidR="0067507D">
        <w:rPr>
          <w:color w:val="auto"/>
        </w:rPr>
        <w:t>tumour</w:t>
      </w:r>
      <w:r w:rsidR="00582FFC">
        <w:rPr>
          <w:color w:val="auto"/>
        </w:rPr>
        <w:t xml:space="preserve"> debulking surgery. </w:t>
      </w:r>
      <w:r w:rsidR="00B07CBE">
        <w:rPr>
          <w:color w:val="auto"/>
        </w:rPr>
        <w:t>Re-testing and/or re-biopsy may be required in some patients</w:t>
      </w:r>
      <w:r w:rsidR="002D2677">
        <w:rPr>
          <w:color w:val="auto"/>
        </w:rPr>
        <w:t xml:space="preserve"> whom tumour tissue sample is available after disease progression</w:t>
      </w:r>
      <w:r w:rsidR="00B07CBE">
        <w:rPr>
          <w:color w:val="auto"/>
        </w:rPr>
        <w:t xml:space="preserve">. </w:t>
      </w:r>
      <w:r w:rsidR="006C30BF">
        <w:rPr>
          <w:color w:val="auto"/>
        </w:rPr>
        <w:t>The a</w:t>
      </w:r>
      <w:r w:rsidR="00D5164E">
        <w:rPr>
          <w:color w:val="auto"/>
        </w:rPr>
        <w:t xml:space="preserve">pplicant suggested that fresh biopsies at metastases growth are </w:t>
      </w:r>
      <w:r w:rsidR="00592448">
        <w:rPr>
          <w:color w:val="auto"/>
        </w:rPr>
        <w:t>preferred,</w:t>
      </w:r>
      <w:r w:rsidR="00D5164E">
        <w:rPr>
          <w:color w:val="auto"/>
        </w:rPr>
        <w:t xml:space="preserve"> and a</w:t>
      </w:r>
      <w:r w:rsidR="00D5164E" w:rsidRPr="00D5164E">
        <w:rPr>
          <w:color w:val="auto"/>
        </w:rPr>
        <w:t xml:space="preserve">rchival tissue may be used in case of bone or brain metastases due to difficulty of biopsy extraction and </w:t>
      </w:r>
      <w:r w:rsidR="00DA03B6">
        <w:rPr>
          <w:color w:val="auto"/>
        </w:rPr>
        <w:t xml:space="preserve">the </w:t>
      </w:r>
      <w:r w:rsidR="00D5164E" w:rsidRPr="00D5164E">
        <w:rPr>
          <w:color w:val="auto"/>
        </w:rPr>
        <w:t>likelihood of test failure using these sample types</w:t>
      </w:r>
      <w:r w:rsidR="00D5164E">
        <w:rPr>
          <w:color w:val="auto"/>
        </w:rPr>
        <w:t>.</w:t>
      </w:r>
      <w:r w:rsidR="00DE514F">
        <w:rPr>
          <w:color w:val="auto"/>
        </w:rPr>
        <w:t xml:space="preserve"> </w:t>
      </w:r>
      <w:r w:rsidR="002768C6">
        <w:rPr>
          <w:color w:val="auto"/>
        </w:rPr>
        <w:t>According to the</w:t>
      </w:r>
      <w:r w:rsidR="00DE514F" w:rsidRPr="00DE514F">
        <w:rPr>
          <w:color w:val="auto"/>
        </w:rPr>
        <w:t xml:space="preserve"> CAPItello-291 trial</w:t>
      </w:r>
      <w:r w:rsidR="002768C6">
        <w:rPr>
          <w:color w:val="auto"/>
        </w:rPr>
        <w:t xml:space="preserve"> protocol</w:t>
      </w:r>
      <w:r w:rsidR="00DE514F" w:rsidRPr="00DE514F">
        <w:rPr>
          <w:color w:val="auto"/>
        </w:rPr>
        <w:t>, archival or newly collected FFPE tumour sample</w:t>
      </w:r>
      <w:r w:rsidR="002768C6">
        <w:rPr>
          <w:color w:val="auto"/>
        </w:rPr>
        <w:t>s were used</w:t>
      </w:r>
      <w:r w:rsidR="00DE514F" w:rsidRPr="00DE514F">
        <w:rPr>
          <w:color w:val="auto"/>
        </w:rPr>
        <w:t xml:space="preserve"> </w:t>
      </w:r>
      <w:r w:rsidR="002768C6">
        <w:rPr>
          <w:color w:val="auto"/>
        </w:rPr>
        <w:t xml:space="preserve">to test </w:t>
      </w:r>
      <w:r w:rsidR="00302B40">
        <w:rPr>
          <w:color w:val="auto"/>
        </w:rPr>
        <w:t xml:space="preserve">for </w:t>
      </w:r>
      <w:r w:rsidR="00302B40" w:rsidRPr="00DE514F">
        <w:rPr>
          <w:color w:val="auto"/>
        </w:rPr>
        <w:t>PIK</w:t>
      </w:r>
      <w:r w:rsidR="00DE514F" w:rsidRPr="00302B40">
        <w:rPr>
          <w:i/>
          <w:iCs/>
          <w:color w:val="auto"/>
        </w:rPr>
        <w:t>3CA, AKT1</w:t>
      </w:r>
      <w:r w:rsidR="00DE514F" w:rsidRPr="00DE514F">
        <w:rPr>
          <w:color w:val="auto"/>
        </w:rPr>
        <w:t xml:space="preserve"> and </w:t>
      </w:r>
      <w:r w:rsidR="00DE514F" w:rsidRPr="00302B40">
        <w:rPr>
          <w:i/>
          <w:iCs/>
          <w:color w:val="auto"/>
        </w:rPr>
        <w:t>PTEN</w:t>
      </w:r>
      <w:r w:rsidR="00DE514F" w:rsidRPr="00DE514F">
        <w:rPr>
          <w:color w:val="auto"/>
        </w:rPr>
        <w:t xml:space="preserve"> </w:t>
      </w:r>
      <w:r w:rsidR="00413D10">
        <w:rPr>
          <w:color w:val="auto"/>
        </w:rPr>
        <w:t>tier I</w:t>
      </w:r>
      <w:r w:rsidR="00DE514F" w:rsidRPr="00DE514F">
        <w:rPr>
          <w:color w:val="auto"/>
        </w:rPr>
        <w:t xml:space="preserve"> variants. If </w:t>
      </w:r>
      <w:r w:rsidR="002768C6">
        <w:rPr>
          <w:color w:val="auto"/>
        </w:rPr>
        <w:t xml:space="preserve">the </w:t>
      </w:r>
      <w:r w:rsidR="00DE514F" w:rsidRPr="00DE514F">
        <w:rPr>
          <w:color w:val="auto"/>
        </w:rPr>
        <w:t>tissue</w:t>
      </w:r>
      <w:r w:rsidR="002768C6">
        <w:rPr>
          <w:color w:val="auto"/>
        </w:rPr>
        <w:t xml:space="preserve"> sample</w:t>
      </w:r>
      <w:r w:rsidR="00DE514F" w:rsidRPr="00DE514F">
        <w:rPr>
          <w:color w:val="auto"/>
        </w:rPr>
        <w:t xml:space="preserve"> </w:t>
      </w:r>
      <w:r w:rsidR="002768C6">
        <w:rPr>
          <w:color w:val="auto"/>
        </w:rPr>
        <w:t>was</w:t>
      </w:r>
      <w:r w:rsidR="00DE514F" w:rsidRPr="00DE514F">
        <w:rPr>
          <w:color w:val="auto"/>
        </w:rPr>
        <w:t xml:space="preserve"> inadequate for testing, the study site collect</w:t>
      </w:r>
      <w:r w:rsidR="002768C6">
        <w:rPr>
          <w:color w:val="auto"/>
        </w:rPr>
        <w:t>ed</w:t>
      </w:r>
      <w:r w:rsidR="00DE514F" w:rsidRPr="00DE514F">
        <w:rPr>
          <w:color w:val="auto"/>
        </w:rPr>
        <w:t xml:space="preserve"> fresh sample before </w:t>
      </w:r>
      <w:r w:rsidR="002768C6">
        <w:rPr>
          <w:color w:val="auto"/>
        </w:rPr>
        <w:t>starting</w:t>
      </w:r>
      <w:r w:rsidR="00DE514F" w:rsidRPr="00DE514F">
        <w:rPr>
          <w:color w:val="auto"/>
        </w:rPr>
        <w:t xml:space="preserve"> treatment.</w:t>
      </w:r>
      <w:r w:rsidR="004D3FBD">
        <w:rPr>
          <w:color w:val="auto"/>
        </w:rPr>
        <w:t xml:space="preserve"> </w:t>
      </w:r>
      <w:r w:rsidR="004D3FBD" w:rsidRPr="004D3FBD">
        <w:rPr>
          <w:color w:val="auto"/>
        </w:rPr>
        <w:t xml:space="preserve">Other points of consideration are costs of block retrieval, costs (and patient harms) of obtaining new samples as well as confidence that the sample is a representation of patient’s </w:t>
      </w:r>
      <w:r w:rsidR="00413D10">
        <w:rPr>
          <w:color w:val="auto"/>
        </w:rPr>
        <w:t>tier I</w:t>
      </w:r>
      <w:r w:rsidR="004D3FBD" w:rsidRPr="004D3FBD">
        <w:rPr>
          <w:color w:val="auto"/>
        </w:rPr>
        <w:t xml:space="preserve"> </w:t>
      </w:r>
      <w:r w:rsidR="00090F20">
        <w:rPr>
          <w:color w:val="auto"/>
        </w:rPr>
        <w:t xml:space="preserve">AKT 1 </w:t>
      </w:r>
      <w:r w:rsidR="004D3FBD" w:rsidRPr="004D3FBD">
        <w:rPr>
          <w:color w:val="auto"/>
        </w:rPr>
        <w:t xml:space="preserve">variant </w:t>
      </w:r>
      <w:r w:rsidR="00AE2B56">
        <w:rPr>
          <w:color w:val="auto"/>
        </w:rPr>
        <w:t xml:space="preserve">burden </w:t>
      </w:r>
      <w:r w:rsidR="00AE2B56" w:rsidRPr="004D3FBD">
        <w:rPr>
          <w:color w:val="auto"/>
        </w:rPr>
        <w:t>at</w:t>
      </w:r>
      <w:r w:rsidR="004D3FBD" w:rsidRPr="004D3FBD">
        <w:rPr>
          <w:color w:val="auto"/>
        </w:rPr>
        <w:t xml:space="preserve"> time of treatment decision.  </w:t>
      </w:r>
    </w:p>
    <w:p w14:paraId="3D111F00" w14:textId="7977F631" w:rsidR="00932F69" w:rsidRPr="005E6E93" w:rsidRDefault="00932F69" w:rsidP="00BD33CC">
      <w:pPr>
        <w:autoSpaceDE w:val="0"/>
        <w:autoSpaceDN w:val="0"/>
        <w:adjustRightInd w:val="0"/>
        <w:spacing w:before="120" w:after="160" w:line="259" w:lineRule="auto"/>
        <w:rPr>
          <w:rFonts w:asciiTheme="minorHAnsi" w:hAnsiTheme="minorHAnsi" w:cstheme="minorBidi"/>
          <w:i/>
        </w:rPr>
      </w:pPr>
      <w:r w:rsidRPr="005E6E93">
        <w:rPr>
          <w:rFonts w:asciiTheme="minorHAnsi" w:hAnsiTheme="minorHAnsi" w:cstheme="minorBidi"/>
          <w:i/>
        </w:rPr>
        <w:t xml:space="preserve">PASC considered that the test would be preferentially performed using tumour tissue biopsied from the site of recurrence or metastasis after progression on AI +/- CDK4/6 inhibitor, but archival tissue could be used, based on FAKTION (an earlier phase two randomised trial of 140 people), where 80% of the samples were </w:t>
      </w:r>
      <w:r w:rsidRPr="005E6E93">
        <w:rPr>
          <w:rFonts w:asciiTheme="minorHAnsi" w:hAnsiTheme="minorHAnsi" w:cstheme="minorBidi"/>
          <w:i/>
        </w:rPr>
        <w:lastRenderedPageBreak/>
        <w:t>of primary tumour. In the FAKTION study, patients with AKT-altered tumour had statistically significant longer overall survival (OS) of 38.9 months with capivasertib versus 20 months in the placebo arm (HR=0.46, 95% CI</w:t>
      </w:r>
      <w:r w:rsidR="00E00DE2">
        <w:rPr>
          <w:rFonts w:asciiTheme="minorHAnsi" w:hAnsiTheme="minorHAnsi" w:cstheme="minorBidi"/>
          <w:i/>
        </w:rPr>
        <w:t>:</w:t>
      </w:r>
      <w:r w:rsidRPr="005E6E93">
        <w:rPr>
          <w:rFonts w:asciiTheme="minorHAnsi" w:hAnsiTheme="minorHAnsi" w:cstheme="minorBidi"/>
          <w:i/>
        </w:rPr>
        <w:t xml:space="preserve"> 0.27-0.79, two-sided p=0.0047). In the AKT-non-altered tumour subgroup, the </w:t>
      </w:r>
      <w:r w:rsidR="008B6D82">
        <w:rPr>
          <w:rFonts w:asciiTheme="minorHAnsi" w:hAnsiTheme="minorHAnsi" w:cstheme="minorBidi"/>
          <w:i/>
        </w:rPr>
        <w:t xml:space="preserve">difference </w:t>
      </w:r>
      <w:r w:rsidR="00530A55">
        <w:rPr>
          <w:rFonts w:asciiTheme="minorHAnsi" w:hAnsiTheme="minorHAnsi" w:cstheme="minorBidi"/>
          <w:i/>
        </w:rPr>
        <w:t xml:space="preserve">in </w:t>
      </w:r>
      <w:r w:rsidRPr="005E6E93">
        <w:rPr>
          <w:rFonts w:asciiTheme="minorHAnsi" w:hAnsiTheme="minorHAnsi" w:cstheme="minorBidi"/>
          <w:i/>
        </w:rPr>
        <w:t>OS was not statistically significant between capivasertib and placebo arm (HR=0.86, 95% CI 0.49-1.52, two-sided p=0.6)</w:t>
      </w:r>
      <w:r w:rsidR="009D0712">
        <w:rPr>
          <w:rFonts w:asciiTheme="minorHAnsi" w:hAnsiTheme="minorHAnsi" w:cstheme="minorBidi"/>
          <w:i/>
        </w:rPr>
        <w:t xml:space="preserve"> </w:t>
      </w:r>
      <w:r w:rsidR="009D0712">
        <w:rPr>
          <w:rFonts w:asciiTheme="minorHAnsi" w:hAnsiTheme="minorHAnsi" w:cstheme="minorBidi"/>
          <w:i/>
        </w:rPr>
        <w:fldChar w:fldCharType="begin"/>
      </w:r>
      <w:r w:rsidR="00FD77B6">
        <w:rPr>
          <w:rFonts w:asciiTheme="minorHAnsi" w:hAnsiTheme="minorHAnsi" w:cstheme="minorBidi"/>
          <w:i/>
        </w:rPr>
        <w:instrText xml:space="preserve"> ADDIN EN.CITE &lt;EndNote&gt;&lt;Cite&gt;&lt;Author&gt;Howell&lt;/Author&gt;&lt;Year&gt;2022&lt;/Year&gt;&lt;RecNum&gt;39&lt;/RecNum&gt;&lt;DisplayText&gt;(Howell et al. 2022)&lt;/DisplayText&gt;&lt;record&gt;&lt;rec-number&gt;39&lt;/rec-number&gt;&lt;foreign-keys&gt;&lt;key app="EN" db-id="5xftswrv6zts2ke2xrkvxe2zr9e5effztde0" timestamp="1715218560"&gt;39&lt;/key&gt;&lt;/foreign-keys&gt;&lt;ref-type name="Journal Article"&gt;17&lt;/ref-type&gt;&lt;contributors&gt;&lt;authors&gt;&lt;author&gt;Howell, Sacha J.&lt;/author&gt;&lt;author&gt;Casbard, Angela&lt;/author&gt;&lt;author&gt;Carucci, Margherita&lt;/author&gt;&lt;author&gt;Ingarfield, Kate&lt;/author&gt;&lt;author&gt;Butler, Rachel&lt;/author&gt;&lt;author&gt;Morgan, Sian&lt;/author&gt;&lt;author&gt;Meissner, Magdalena&lt;/author&gt;&lt;author&gt;Bale, Catherine&lt;/author&gt;&lt;author&gt;Bezecny, Pavel&lt;/author&gt;&lt;author&gt;Moon, Sarah&lt;/author&gt;&lt;author&gt;Twelves, Chris&lt;/author&gt;&lt;author&gt;Venkitaraman, Ramachandran&lt;/author&gt;&lt;author&gt;Waters, Simon&lt;/author&gt;&lt;author&gt;De Bruin, Elza C.&lt;/author&gt;&lt;author&gt;Schiavon, Gaia&lt;/author&gt;&lt;author&gt;Foxley, Andrew&lt;/author&gt;&lt;author&gt;Jones, Robert H.&lt;/author&gt;&lt;/authors&gt;&lt;/contributors&gt;&lt;titles&gt;&lt;title&gt;Fulvestrant plus capivasertib versus placebo after relapse or progression on an aromatase inhibitor in metastatic, oestrogen receptor-positive, HER2-negative breast cancer (FAKTION): overall survival, updated progression-free survival, and expanded biomar&lt;/title&gt;&lt;secondary-title&gt;The Lancet Oncology&lt;/secondary-title&gt;&lt;/titles&gt;&lt;periodical&gt;&lt;full-title&gt;The Lancet Oncology&lt;/full-title&gt;&lt;/periodical&gt;&lt;pages&gt;851-864&lt;/pages&gt;&lt;volume&gt;23&lt;/volume&gt;&lt;number&gt;7&lt;/number&gt;&lt;dates&gt;&lt;year&gt;2022&lt;/year&gt;&lt;/dates&gt;&lt;publisher&gt;Elsevier BV&lt;/publisher&gt;&lt;isbn&gt;1470-2045&lt;/isbn&gt;&lt;urls&gt;&lt;related-urls&gt;&lt;url&gt;https://dx.doi.org/10.1016/s1470-2045(22)00284-4&lt;/url&gt;&lt;/related-urls&gt;&lt;/urls&gt;&lt;electronic-resource-num&gt;10.1016/s1470-2045(22)00284-4&lt;/electronic-resource-num&gt;&lt;/record&gt;&lt;/Cite&gt;&lt;/EndNote&gt;</w:instrText>
      </w:r>
      <w:r w:rsidR="009D0712">
        <w:rPr>
          <w:rFonts w:asciiTheme="minorHAnsi" w:hAnsiTheme="minorHAnsi" w:cstheme="minorBidi"/>
          <w:i/>
        </w:rPr>
        <w:fldChar w:fldCharType="separate"/>
      </w:r>
      <w:r w:rsidR="00FD77B6">
        <w:rPr>
          <w:rFonts w:asciiTheme="minorHAnsi" w:hAnsiTheme="minorHAnsi" w:cstheme="minorBidi"/>
          <w:i/>
          <w:noProof/>
        </w:rPr>
        <w:t>(Howell et al. 2022)</w:t>
      </w:r>
      <w:r w:rsidR="009D0712">
        <w:rPr>
          <w:rFonts w:asciiTheme="minorHAnsi" w:hAnsiTheme="minorHAnsi" w:cstheme="minorBidi"/>
          <w:i/>
        </w:rPr>
        <w:fldChar w:fldCharType="end"/>
      </w:r>
      <w:r w:rsidRPr="005E6E93">
        <w:rPr>
          <w:rFonts w:asciiTheme="minorHAnsi" w:hAnsiTheme="minorHAnsi" w:cstheme="minorBidi"/>
          <w:i/>
        </w:rPr>
        <w:t xml:space="preserve">. </w:t>
      </w:r>
    </w:p>
    <w:p w14:paraId="428DFB5F" w14:textId="3035802F" w:rsidR="008B6D82" w:rsidRDefault="00932F69" w:rsidP="00BD33CC">
      <w:pPr>
        <w:autoSpaceDE w:val="0"/>
        <w:autoSpaceDN w:val="0"/>
        <w:adjustRightInd w:val="0"/>
        <w:spacing w:before="120" w:afterLines="160" w:after="384" w:line="259" w:lineRule="auto"/>
        <w:rPr>
          <w:rFonts w:asciiTheme="minorHAnsi" w:hAnsiTheme="minorHAnsi" w:cstheme="minorBidi"/>
          <w:i/>
        </w:rPr>
      </w:pPr>
      <w:r w:rsidRPr="005E6E93">
        <w:rPr>
          <w:rFonts w:asciiTheme="minorHAnsi" w:hAnsiTheme="minorHAnsi" w:cstheme="minorBidi"/>
          <w:i/>
        </w:rPr>
        <w:t xml:space="preserve">In the CAPItello-291 study, 40% of the study population in the treatment arm and 48.5% in the control arm did not have an </w:t>
      </w:r>
      <w:r w:rsidR="001713D9">
        <w:rPr>
          <w:rFonts w:asciiTheme="minorHAnsi" w:hAnsiTheme="minorHAnsi" w:cstheme="minorBidi"/>
          <w:i/>
        </w:rPr>
        <w:t>AKT pathway</w:t>
      </w:r>
      <w:r w:rsidRPr="005E6E93">
        <w:rPr>
          <w:rFonts w:asciiTheme="minorHAnsi" w:hAnsiTheme="minorHAnsi" w:cstheme="minorBidi"/>
          <w:i/>
        </w:rPr>
        <w:t xml:space="preserve"> alteration detected. The genetic alteration status was unknown</w:t>
      </w:r>
      <w:r w:rsidR="001F6F10">
        <w:rPr>
          <w:rStyle w:val="FootnoteReference"/>
          <w:rFonts w:asciiTheme="minorHAnsi" w:hAnsiTheme="minorHAnsi" w:cstheme="minorBidi"/>
          <w:i/>
        </w:rPr>
        <w:footnoteReference w:id="2"/>
      </w:r>
      <w:r w:rsidRPr="005E6E93">
        <w:rPr>
          <w:rFonts w:asciiTheme="minorHAnsi" w:hAnsiTheme="minorHAnsi" w:cstheme="minorBidi"/>
          <w:i/>
        </w:rPr>
        <w:t xml:space="preserve"> in 16.3% in the treatment arm and 13.6% in the control arm.</w:t>
      </w:r>
      <w:r w:rsidRPr="00FD3417">
        <w:rPr>
          <w:rStyle w:val="CommentReference"/>
          <w:i/>
          <w:sz w:val="22"/>
          <w:szCs w:val="22"/>
        </w:rPr>
        <w:t xml:space="preserve"> </w:t>
      </w:r>
      <w:r w:rsidRPr="005E6E93">
        <w:rPr>
          <w:rStyle w:val="CommentReference"/>
          <w:i/>
          <w:sz w:val="22"/>
          <w:szCs w:val="22"/>
        </w:rPr>
        <w:t>T</w:t>
      </w:r>
      <w:r w:rsidRPr="005E6E93">
        <w:rPr>
          <w:rFonts w:asciiTheme="minorHAnsi" w:hAnsiTheme="minorHAnsi" w:cstheme="minorBidi"/>
          <w:i/>
        </w:rPr>
        <w:t>reatment with capivasertib + fulvestrant resulted in a statistically significant improvement in PFS in the overall population (including patients with</w:t>
      </w:r>
      <w:r w:rsidR="00C543B0">
        <w:rPr>
          <w:rFonts w:asciiTheme="minorHAnsi" w:hAnsiTheme="minorHAnsi" w:cstheme="minorBidi"/>
          <w:i/>
        </w:rPr>
        <w:t>,</w:t>
      </w:r>
      <w:r w:rsidRPr="005E6E93">
        <w:rPr>
          <w:rFonts w:asciiTheme="minorHAnsi" w:hAnsiTheme="minorHAnsi" w:cstheme="minorBidi"/>
          <w:i/>
        </w:rPr>
        <w:t xml:space="preserve"> without</w:t>
      </w:r>
      <w:r w:rsidR="00C543B0">
        <w:rPr>
          <w:rFonts w:asciiTheme="minorHAnsi" w:hAnsiTheme="minorHAnsi" w:cstheme="minorBidi"/>
          <w:i/>
        </w:rPr>
        <w:t xml:space="preserve"> and unknown </w:t>
      </w:r>
      <w:r w:rsidRPr="005E6E93">
        <w:rPr>
          <w:rFonts w:asciiTheme="minorHAnsi" w:hAnsiTheme="minorHAnsi" w:cstheme="minorBidi"/>
          <w:i/>
        </w:rPr>
        <w:t>AKT pathway-altered tumours; HR=0.60, 95% CI</w:t>
      </w:r>
      <w:r w:rsidR="00E00DE2">
        <w:rPr>
          <w:rFonts w:asciiTheme="minorHAnsi" w:hAnsiTheme="minorHAnsi" w:cstheme="minorBidi"/>
          <w:i/>
        </w:rPr>
        <w:t>:</w:t>
      </w:r>
      <w:r w:rsidRPr="005E6E93">
        <w:rPr>
          <w:rFonts w:asciiTheme="minorHAnsi" w:hAnsiTheme="minorHAnsi" w:cstheme="minorBidi"/>
          <w:i/>
        </w:rPr>
        <w:t xml:space="preserve"> 0.51-0.71, p&lt;0.001) and for patients with </w:t>
      </w:r>
      <w:r w:rsidR="00C543B0">
        <w:rPr>
          <w:rFonts w:asciiTheme="minorHAnsi" w:hAnsiTheme="minorHAnsi" w:cstheme="minorBidi"/>
          <w:i/>
        </w:rPr>
        <w:t xml:space="preserve">proven </w:t>
      </w:r>
      <w:r w:rsidRPr="005E6E93">
        <w:rPr>
          <w:rFonts w:asciiTheme="minorHAnsi" w:hAnsiTheme="minorHAnsi" w:cstheme="minorBidi"/>
          <w:i/>
        </w:rPr>
        <w:t>AKT pathway-altered tumours only (HR=0.5, 95% CI</w:t>
      </w:r>
      <w:r w:rsidR="00E00DE2">
        <w:rPr>
          <w:rFonts w:asciiTheme="minorHAnsi" w:hAnsiTheme="minorHAnsi" w:cstheme="minorBidi"/>
          <w:i/>
        </w:rPr>
        <w:t>:</w:t>
      </w:r>
      <w:r w:rsidRPr="005E6E93">
        <w:rPr>
          <w:rFonts w:asciiTheme="minorHAnsi" w:hAnsiTheme="minorHAnsi" w:cstheme="minorBidi"/>
          <w:i/>
        </w:rPr>
        <w:t xml:space="preserve"> 0.38-0.65, p&lt;0.001). However, patients with AKT pathway non-altered tumours</w:t>
      </w:r>
      <w:r w:rsidR="00DD6925">
        <w:rPr>
          <w:rStyle w:val="FootnoteReference"/>
          <w:rFonts w:asciiTheme="minorHAnsi" w:hAnsiTheme="minorHAnsi" w:cstheme="minorBidi"/>
          <w:i/>
        </w:rPr>
        <w:footnoteReference w:id="3"/>
      </w:r>
      <w:r w:rsidRPr="005E6E93">
        <w:rPr>
          <w:rFonts w:asciiTheme="minorHAnsi" w:hAnsiTheme="minorHAnsi" w:cstheme="minorBidi"/>
          <w:i/>
        </w:rPr>
        <w:t xml:space="preserve"> </w:t>
      </w:r>
      <w:r w:rsidR="00B179FA">
        <w:rPr>
          <w:rFonts w:asciiTheme="minorHAnsi" w:hAnsiTheme="minorHAnsi" w:cstheme="minorBidi"/>
          <w:i/>
        </w:rPr>
        <w:t>(</w:t>
      </w:r>
      <w:r w:rsidRPr="005E6E93">
        <w:rPr>
          <w:rFonts w:asciiTheme="minorHAnsi" w:hAnsiTheme="minorHAnsi" w:cstheme="minorBidi"/>
          <w:i/>
        </w:rPr>
        <w:t xml:space="preserve">excluding </w:t>
      </w:r>
      <w:r w:rsidR="00B179FA">
        <w:rPr>
          <w:rFonts w:asciiTheme="minorHAnsi" w:hAnsiTheme="minorHAnsi" w:cstheme="minorBidi"/>
          <w:i/>
        </w:rPr>
        <w:t xml:space="preserve">patients with </w:t>
      </w:r>
      <w:r w:rsidRPr="005E6E93">
        <w:rPr>
          <w:rFonts w:asciiTheme="minorHAnsi" w:hAnsiTheme="minorHAnsi" w:cstheme="minorBidi"/>
          <w:i/>
        </w:rPr>
        <w:t xml:space="preserve">unknown </w:t>
      </w:r>
      <w:r w:rsidR="001713D9">
        <w:rPr>
          <w:rFonts w:asciiTheme="minorHAnsi" w:hAnsiTheme="minorHAnsi" w:cstheme="minorBidi"/>
          <w:i/>
        </w:rPr>
        <w:t>AKT pathway</w:t>
      </w:r>
      <w:r w:rsidRPr="005E6E93">
        <w:rPr>
          <w:rFonts w:asciiTheme="minorHAnsi" w:hAnsiTheme="minorHAnsi" w:cstheme="minorBidi"/>
          <w:i/>
        </w:rPr>
        <w:t xml:space="preserve"> status</w:t>
      </w:r>
      <w:r w:rsidR="00B179FA">
        <w:rPr>
          <w:rFonts w:asciiTheme="minorHAnsi" w:hAnsiTheme="minorHAnsi" w:cstheme="minorBidi"/>
          <w:i/>
        </w:rPr>
        <w:t>)</w:t>
      </w:r>
      <w:r w:rsidRPr="005E6E93">
        <w:rPr>
          <w:rFonts w:asciiTheme="minorHAnsi" w:hAnsiTheme="minorHAnsi" w:cstheme="minorBidi"/>
          <w:i/>
        </w:rPr>
        <w:t xml:space="preserve"> had</w:t>
      </w:r>
      <w:r w:rsidR="00650BCB">
        <w:rPr>
          <w:rFonts w:asciiTheme="minorHAnsi" w:hAnsiTheme="minorHAnsi" w:cstheme="minorBidi"/>
          <w:i/>
        </w:rPr>
        <w:t xml:space="preserve"> a</w:t>
      </w:r>
      <w:r w:rsidRPr="005E6E93">
        <w:rPr>
          <w:rFonts w:asciiTheme="minorHAnsi" w:hAnsiTheme="minorHAnsi" w:cstheme="minorBidi"/>
          <w:i/>
        </w:rPr>
        <w:t xml:space="preserve"> </w:t>
      </w:r>
      <w:r w:rsidR="00EE2397" w:rsidRPr="005E6E93">
        <w:rPr>
          <w:rFonts w:asciiTheme="minorHAnsi" w:hAnsiTheme="minorHAnsi" w:cstheme="minorBidi"/>
          <w:i/>
        </w:rPr>
        <w:t>statistically non</w:t>
      </w:r>
      <w:r w:rsidRPr="005E6E93">
        <w:rPr>
          <w:rFonts w:asciiTheme="minorHAnsi" w:hAnsiTheme="minorHAnsi" w:cstheme="minorBidi"/>
          <w:i/>
        </w:rPr>
        <w:t>-significant improvement in PFS (HR=0.79, 95% CI</w:t>
      </w:r>
      <w:r w:rsidR="00E00DE2">
        <w:rPr>
          <w:rFonts w:asciiTheme="minorHAnsi" w:hAnsiTheme="minorHAnsi" w:cstheme="minorBidi"/>
          <w:i/>
        </w:rPr>
        <w:t>:</w:t>
      </w:r>
      <w:r w:rsidRPr="005E6E93">
        <w:rPr>
          <w:rFonts w:asciiTheme="minorHAnsi" w:hAnsiTheme="minorHAnsi" w:cstheme="minorBidi"/>
          <w:i/>
        </w:rPr>
        <w:t xml:space="preserve"> 0.61-1.02). PASC deduced that the benefits in prolonged PFS</w:t>
      </w:r>
      <w:r w:rsidR="00A70FF2">
        <w:rPr>
          <w:rFonts w:asciiTheme="minorHAnsi" w:hAnsiTheme="minorHAnsi" w:cstheme="minorBidi"/>
          <w:i/>
        </w:rPr>
        <w:t xml:space="preserve"> </w:t>
      </w:r>
      <w:r w:rsidRPr="005E6E93">
        <w:rPr>
          <w:rFonts w:asciiTheme="minorHAnsi" w:hAnsiTheme="minorHAnsi" w:cstheme="minorBidi"/>
          <w:i/>
        </w:rPr>
        <w:t xml:space="preserve">in patients with </w:t>
      </w:r>
      <w:r w:rsidR="001713D9">
        <w:rPr>
          <w:rFonts w:asciiTheme="minorHAnsi" w:hAnsiTheme="minorHAnsi" w:cstheme="minorBidi"/>
          <w:i/>
        </w:rPr>
        <w:t>AKT pathway</w:t>
      </w:r>
      <w:r w:rsidRPr="005E6E93">
        <w:rPr>
          <w:rFonts w:asciiTheme="minorHAnsi" w:hAnsiTheme="minorHAnsi" w:cstheme="minorBidi"/>
          <w:i/>
        </w:rPr>
        <w:t xml:space="preserve"> non-altered tumours including unknown </w:t>
      </w:r>
      <w:r w:rsidR="001713D9">
        <w:rPr>
          <w:rFonts w:asciiTheme="minorHAnsi" w:hAnsiTheme="minorHAnsi" w:cstheme="minorBidi"/>
          <w:i/>
        </w:rPr>
        <w:t>AKT pathway</w:t>
      </w:r>
      <w:r w:rsidRPr="005E6E93">
        <w:rPr>
          <w:rFonts w:asciiTheme="minorHAnsi" w:hAnsiTheme="minorHAnsi" w:cstheme="minorBidi"/>
          <w:i/>
        </w:rPr>
        <w:t xml:space="preserve"> status</w:t>
      </w:r>
      <w:r w:rsidR="004E222F">
        <w:rPr>
          <w:rFonts w:asciiTheme="minorHAnsi" w:hAnsiTheme="minorHAnsi" w:cstheme="minorBidi"/>
          <w:i/>
        </w:rPr>
        <w:t xml:space="preserve"> </w:t>
      </w:r>
      <w:r w:rsidRPr="005E6E93">
        <w:rPr>
          <w:rFonts w:asciiTheme="minorHAnsi" w:hAnsiTheme="minorHAnsi" w:cstheme="minorBidi"/>
          <w:i/>
        </w:rPr>
        <w:t xml:space="preserve">appeared to come from patients with unknown </w:t>
      </w:r>
      <w:r w:rsidR="001713D9">
        <w:rPr>
          <w:rFonts w:asciiTheme="minorHAnsi" w:hAnsiTheme="minorHAnsi" w:cstheme="minorBidi"/>
          <w:i/>
        </w:rPr>
        <w:t>AKT pathway</w:t>
      </w:r>
      <w:r w:rsidRPr="005E6E93">
        <w:rPr>
          <w:rFonts w:asciiTheme="minorHAnsi" w:hAnsiTheme="minorHAnsi" w:cstheme="minorBidi"/>
          <w:i/>
        </w:rPr>
        <w:t xml:space="preserve"> status (HR 0.52, 95% CI</w:t>
      </w:r>
      <w:r w:rsidR="00E00DE2">
        <w:rPr>
          <w:rFonts w:asciiTheme="minorHAnsi" w:hAnsiTheme="minorHAnsi" w:cstheme="minorBidi"/>
          <w:i/>
        </w:rPr>
        <w:t>:</w:t>
      </w:r>
      <w:r w:rsidRPr="005E6E93">
        <w:rPr>
          <w:rFonts w:asciiTheme="minorHAnsi" w:hAnsiTheme="minorHAnsi" w:cstheme="minorBidi"/>
          <w:i/>
        </w:rPr>
        <w:t xml:space="preserve"> 0.32-0.83), rather than from patients with proven non-altered </w:t>
      </w:r>
      <w:r w:rsidR="001713D9">
        <w:rPr>
          <w:rFonts w:asciiTheme="minorHAnsi" w:hAnsiTheme="minorHAnsi" w:cstheme="minorBidi"/>
          <w:i/>
        </w:rPr>
        <w:t>AKT pathway</w:t>
      </w:r>
      <w:r w:rsidRPr="005E6E93">
        <w:rPr>
          <w:rFonts w:asciiTheme="minorHAnsi" w:hAnsiTheme="minorHAnsi" w:cstheme="minorBidi"/>
          <w:i/>
        </w:rPr>
        <w:t xml:space="preserve">. </w:t>
      </w:r>
    </w:p>
    <w:p w14:paraId="10002328" w14:textId="10225916" w:rsidR="00932F69" w:rsidRPr="00FD3417" w:rsidRDefault="008B6D82" w:rsidP="00BD33CC">
      <w:pPr>
        <w:autoSpaceDE w:val="0"/>
        <w:autoSpaceDN w:val="0"/>
        <w:adjustRightInd w:val="0"/>
        <w:spacing w:before="120" w:afterLines="160" w:after="384" w:line="259" w:lineRule="auto"/>
        <w:rPr>
          <w:rFonts w:asciiTheme="minorHAnsi" w:hAnsiTheme="minorHAnsi" w:cstheme="minorBidi"/>
          <w:i/>
        </w:rPr>
      </w:pPr>
      <w:r>
        <w:rPr>
          <w:rFonts w:asciiTheme="minorHAnsi" w:hAnsiTheme="minorHAnsi" w:cstheme="minorBidi"/>
          <w:i/>
        </w:rPr>
        <w:t>B</w:t>
      </w:r>
      <w:r w:rsidR="00932F69" w:rsidRPr="005E6E93">
        <w:rPr>
          <w:rFonts w:asciiTheme="minorHAnsi" w:hAnsiTheme="minorHAnsi" w:cstheme="minorBidi"/>
          <w:i/>
        </w:rPr>
        <w:t xml:space="preserve">ased on the results from the FAKTION and CAPItello-291 studies, PASC agreed that the AKT-testing was worthwhile insofar as it appears to predict response to capivasertib.  </w:t>
      </w:r>
      <w:r>
        <w:rPr>
          <w:rFonts w:asciiTheme="minorHAnsi" w:hAnsiTheme="minorHAnsi" w:cstheme="minorBidi"/>
          <w:i/>
        </w:rPr>
        <w:t>T</w:t>
      </w:r>
      <w:r w:rsidR="00932F69" w:rsidRPr="005E6E93">
        <w:rPr>
          <w:rFonts w:asciiTheme="minorHAnsi" w:hAnsiTheme="minorHAnsi" w:cstheme="minorBidi"/>
          <w:i/>
        </w:rPr>
        <w:t xml:space="preserve">he applicant noted that whether AKT-testing is required to determine eligibility to the treatment will be based on the </w:t>
      </w:r>
      <w:r w:rsidR="00F95132">
        <w:rPr>
          <w:rFonts w:asciiTheme="minorHAnsi" w:hAnsiTheme="minorHAnsi" w:cstheme="minorBidi"/>
          <w:i/>
        </w:rPr>
        <w:t xml:space="preserve">proposed </w:t>
      </w:r>
      <w:r w:rsidR="00932F69" w:rsidRPr="005E6E93">
        <w:rPr>
          <w:rFonts w:asciiTheme="minorHAnsi" w:hAnsiTheme="minorHAnsi" w:cstheme="minorBidi"/>
          <w:i/>
        </w:rPr>
        <w:t>TGA indication for capivasertib (currently under TGA evaluation). The applicant further noted that the US FDA and Canada have approved the indication in the AKT-positive population only.</w:t>
      </w:r>
    </w:p>
    <w:p w14:paraId="0FA2E52D" w14:textId="4C82EDC8" w:rsidR="00267A90" w:rsidRDefault="00FD4B44" w:rsidP="00BD33CC">
      <w:pPr>
        <w:pStyle w:val="Instructionaltext"/>
        <w:spacing w:afterLines="160" w:after="384"/>
        <w:rPr>
          <w:color w:val="auto"/>
        </w:rPr>
      </w:pPr>
      <w:r>
        <w:rPr>
          <w:color w:val="auto"/>
        </w:rPr>
        <w:t>When a tissue sample is not readily available, t</w:t>
      </w:r>
      <w:r w:rsidR="00D9040B">
        <w:rPr>
          <w:color w:val="auto"/>
        </w:rPr>
        <w:t xml:space="preserve">he </w:t>
      </w:r>
      <w:r w:rsidR="00220E2F">
        <w:rPr>
          <w:color w:val="auto"/>
        </w:rPr>
        <w:t>applicant</w:t>
      </w:r>
      <w:r w:rsidR="00D9040B">
        <w:rPr>
          <w:color w:val="auto"/>
        </w:rPr>
        <w:t xml:space="preserve"> </w:t>
      </w:r>
      <w:r w:rsidR="00EC36D3">
        <w:rPr>
          <w:color w:val="auto"/>
        </w:rPr>
        <w:t xml:space="preserve">initially </w:t>
      </w:r>
      <w:r w:rsidR="00D9040B">
        <w:rPr>
          <w:color w:val="auto"/>
        </w:rPr>
        <w:t xml:space="preserve">proposed that </w:t>
      </w:r>
      <w:r w:rsidR="00553FE5">
        <w:rPr>
          <w:color w:val="auto"/>
        </w:rPr>
        <w:t xml:space="preserve">a </w:t>
      </w:r>
      <w:r w:rsidR="00D9040B">
        <w:rPr>
          <w:color w:val="auto"/>
        </w:rPr>
        <w:t xml:space="preserve">plasma sample could potentially be used to analyse </w:t>
      </w:r>
      <w:r w:rsidR="00913B19">
        <w:rPr>
          <w:color w:val="auto"/>
        </w:rPr>
        <w:t>the</w:t>
      </w:r>
      <w:r w:rsidR="00D454D6">
        <w:rPr>
          <w:color w:val="auto"/>
        </w:rPr>
        <w:t xml:space="preserve"> circulation tumour DNA</w:t>
      </w:r>
      <w:r w:rsidR="00913B19">
        <w:rPr>
          <w:color w:val="auto"/>
        </w:rPr>
        <w:t xml:space="preserve"> </w:t>
      </w:r>
      <w:r w:rsidR="00D454D6">
        <w:rPr>
          <w:color w:val="auto"/>
        </w:rPr>
        <w:t>(</w:t>
      </w:r>
      <w:r w:rsidR="00D9040B">
        <w:rPr>
          <w:color w:val="auto"/>
        </w:rPr>
        <w:t>ctDNA</w:t>
      </w:r>
      <w:r w:rsidR="00D454D6">
        <w:rPr>
          <w:color w:val="auto"/>
        </w:rPr>
        <w:t>)</w:t>
      </w:r>
      <w:r w:rsidR="00913B19">
        <w:rPr>
          <w:color w:val="auto"/>
        </w:rPr>
        <w:t xml:space="preserve">. It was proposed that plasma sample testing could be requested by </w:t>
      </w:r>
      <w:r w:rsidR="00221856">
        <w:rPr>
          <w:color w:val="auto"/>
        </w:rPr>
        <w:t xml:space="preserve">the </w:t>
      </w:r>
      <w:r w:rsidR="00913B19">
        <w:rPr>
          <w:color w:val="auto"/>
        </w:rPr>
        <w:t xml:space="preserve">specialist </w:t>
      </w:r>
      <w:r w:rsidR="00617538">
        <w:rPr>
          <w:color w:val="auto"/>
        </w:rPr>
        <w:t xml:space="preserve">and </w:t>
      </w:r>
      <w:r w:rsidR="00486E51">
        <w:rPr>
          <w:color w:val="auto"/>
        </w:rPr>
        <w:t xml:space="preserve">the plasma </w:t>
      </w:r>
      <w:r w:rsidR="00617538">
        <w:rPr>
          <w:color w:val="auto"/>
        </w:rPr>
        <w:t xml:space="preserve">sample </w:t>
      </w:r>
      <w:r w:rsidR="00486E51">
        <w:rPr>
          <w:color w:val="auto"/>
        </w:rPr>
        <w:t xml:space="preserve">to be </w:t>
      </w:r>
      <w:r w:rsidR="00617538">
        <w:rPr>
          <w:color w:val="auto"/>
        </w:rPr>
        <w:t>taken at a</w:t>
      </w:r>
      <w:r w:rsidR="00946EB4">
        <w:rPr>
          <w:color w:val="auto"/>
        </w:rPr>
        <w:t xml:space="preserve"> </w:t>
      </w:r>
      <w:r w:rsidR="00D72ED3">
        <w:rPr>
          <w:color w:val="auto"/>
        </w:rPr>
        <w:t>pathology collection service</w:t>
      </w:r>
      <w:bookmarkStart w:id="7" w:name="_Hlk158889417"/>
      <w:r w:rsidR="00617538">
        <w:rPr>
          <w:color w:val="auto"/>
        </w:rPr>
        <w:t xml:space="preserve">. </w:t>
      </w:r>
      <w:r w:rsidR="008A27BA" w:rsidRPr="008A27BA">
        <w:rPr>
          <w:color w:val="auto"/>
        </w:rPr>
        <w:t>Analysis of the ctDNA in the plasma sample is performed in a similar way to the tissue sample.</w:t>
      </w:r>
      <w:r w:rsidR="00260EC4">
        <w:rPr>
          <w:color w:val="auto"/>
        </w:rPr>
        <w:t xml:space="preserve"> </w:t>
      </w:r>
      <w:r w:rsidR="00AF070C">
        <w:rPr>
          <w:color w:val="auto"/>
        </w:rPr>
        <w:t>The a</w:t>
      </w:r>
      <w:r w:rsidR="00260EC4">
        <w:rPr>
          <w:color w:val="auto"/>
        </w:rPr>
        <w:t xml:space="preserve">pplicant suggested that </w:t>
      </w:r>
      <w:r w:rsidR="00260EC4" w:rsidRPr="00260EC4">
        <w:rPr>
          <w:color w:val="auto"/>
        </w:rPr>
        <w:t>ctDNA is a viable alternative where a tumour sample cannot be attained (i.e., bone or brai</w:t>
      </w:r>
      <w:r w:rsidR="00260EC4">
        <w:rPr>
          <w:color w:val="auto"/>
        </w:rPr>
        <w:t>n</w:t>
      </w:r>
      <w:r w:rsidR="00260EC4" w:rsidRPr="00260EC4">
        <w:rPr>
          <w:color w:val="auto"/>
        </w:rPr>
        <w:t xml:space="preserve"> metastases).</w:t>
      </w:r>
      <w:r w:rsidR="007C7496">
        <w:rPr>
          <w:color w:val="auto"/>
        </w:rPr>
        <w:t xml:space="preserve"> </w:t>
      </w:r>
      <w:r w:rsidR="00B55F0A">
        <w:rPr>
          <w:color w:val="auto"/>
        </w:rPr>
        <w:t xml:space="preserve">Referring to </w:t>
      </w:r>
      <w:r w:rsidR="000329E8">
        <w:rPr>
          <w:color w:val="auto"/>
        </w:rPr>
        <w:t xml:space="preserve">the </w:t>
      </w:r>
      <w:r w:rsidR="009429A8">
        <w:rPr>
          <w:color w:val="auto"/>
        </w:rPr>
        <w:t xml:space="preserve">protocol for </w:t>
      </w:r>
      <w:r w:rsidR="00B55F0A">
        <w:rPr>
          <w:color w:val="auto"/>
        </w:rPr>
        <w:t>CAPItello-291 trial, t</w:t>
      </w:r>
      <w:r w:rsidR="007C7496">
        <w:rPr>
          <w:color w:val="auto"/>
        </w:rPr>
        <w:t xml:space="preserve">he use of ctDNA was </w:t>
      </w:r>
      <w:r w:rsidR="007C7496" w:rsidRPr="007C7496">
        <w:rPr>
          <w:color w:val="auto"/>
        </w:rPr>
        <w:t>for exploratory biomarker analysis</w:t>
      </w:r>
      <w:r w:rsidR="007C7496">
        <w:rPr>
          <w:color w:val="auto"/>
        </w:rPr>
        <w:t xml:space="preserve"> and</w:t>
      </w:r>
      <w:r w:rsidR="00260EC4">
        <w:rPr>
          <w:color w:val="auto"/>
        </w:rPr>
        <w:t xml:space="preserve"> </w:t>
      </w:r>
      <w:r w:rsidR="00574472">
        <w:rPr>
          <w:color w:val="auto"/>
        </w:rPr>
        <w:t xml:space="preserve">the </w:t>
      </w:r>
      <w:r w:rsidR="00A13CD0">
        <w:rPr>
          <w:color w:val="auto"/>
        </w:rPr>
        <w:t xml:space="preserve">applicant </w:t>
      </w:r>
      <w:r w:rsidR="00AF070C">
        <w:rPr>
          <w:color w:val="auto"/>
        </w:rPr>
        <w:t xml:space="preserve">indicated </w:t>
      </w:r>
      <w:r w:rsidR="00A13CD0">
        <w:rPr>
          <w:color w:val="auto"/>
        </w:rPr>
        <w:t xml:space="preserve">that </w:t>
      </w:r>
      <w:r w:rsidR="007C7496">
        <w:rPr>
          <w:color w:val="auto"/>
        </w:rPr>
        <w:t>the results of the</w:t>
      </w:r>
      <w:r w:rsidR="00260EC4" w:rsidRPr="00260EC4">
        <w:rPr>
          <w:color w:val="auto"/>
        </w:rPr>
        <w:t xml:space="preserve"> exploratory analysis </w:t>
      </w:r>
      <w:r w:rsidR="004A0421" w:rsidRPr="00260EC4">
        <w:rPr>
          <w:color w:val="auto"/>
        </w:rPr>
        <w:t>a</w:t>
      </w:r>
      <w:r w:rsidR="004A0421">
        <w:rPr>
          <w:color w:val="auto"/>
        </w:rPr>
        <w:t>s well as</w:t>
      </w:r>
      <w:r w:rsidR="004A0421" w:rsidRPr="00260EC4">
        <w:rPr>
          <w:color w:val="auto"/>
        </w:rPr>
        <w:t xml:space="preserve"> </w:t>
      </w:r>
      <w:r w:rsidR="00260EC4" w:rsidRPr="00260EC4">
        <w:rPr>
          <w:color w:val="auto"/>
        </w:rPr>
        <w:t xml:space="preserve">patient outcome data should be available </w:t>
      </w:r>
      <w:r w:rsidR="006753E7">
        <w:rPr>
          <w:color w:val="auto"/>
        </w:rPr>
        <w:t>by</w:t>
      </w:r>
      <w:r w:rsidR="000476FC">
        <w:rPr>
          <w:color w:val="auto"/>
        </w:rPr>
        <w:t xml:space="preserve"> </w:t>
      </w:r>
      <w:r w:rsidR="000476FC" w:rsidRPr="004256B5">
        <w:rPr>
          <w:color w:val="auto"/>
        </w:rPr>
        <w:t>REDACTED</w:t>
      </w:r>
      <w:r w:rsidR="00D21802">
        <w:rPr>
          <w:color w:val="auto"/>
        </w:rPr>
        <w:t>.</w:t>
      </w:r>
      <w:r w:rsidR="009462EE">
        <w:rPr>
          <w:color w:val="auto"/>
        </w:rPr>
        <w:t xml:space="preserve"> </w:t>
      </w:r>
      <w:r w:rsidR="00D21802">
        <w:rPr>
          <w:color w:val="auto"/>
        </w:rPr>
        <w:t>T</w:t>
      </w:r>
      <w:r w:rsidR="00DE514F" w:rsidRPr="00DE514F">
        <w:rPr>
          <w:color w:val="auto"/>
        </w:rPr>
        <w:t xml:space="preserve">here are biological plausibility issues raised </w:t>
      </w:r>
      <w:r w:rsidR="00302B40" w:rsidRPr="00DE514F">
        <w:rPr>
          <w:color w:val="auto"/>
        </w:rPr>
        <w:t>in regard to</w:t>
      </w:r>
      <w:r w:rsidR="00DE514F" w:rsidRPr="00DE514F">
        <w:rPr>
          <w:color w:val="auto"/>
        </w:rPr>
        <w:t xml:space="preserve"> ctDNA. Biopsies from tumour tissue samples may have </w:t>
      </w:r>
      <w:r w:rsidR="00413D10">
        <w:rPr>
          <w:color w:val="auto"/>
        </w:rPr>
        <w:t>tier I</w:t>
      </w:r>
      <w:r w:rsidR="00DE514F" w:rsidRPr="00DE514F">
        <w:rPr>
          <w:color w:val="auto"/>
        </w:rPr>
        <w:t xml:space="preserve"> variants </w:t>
      </w:r>
      <w:r w:rsidR="00D21802">
        <w:rPr>
          <w:color w:val="auto"/>
        </w:rPr>
        <w:t>that</w:t>
      </w:r>
      <w:r w:rsidR="00DE514F" w:rsidRPr="00DE514F">
        <w:rPr>
          <w:color w:val="auto"/>
        </w:rPr>
        <w:t xml:space="preserve"> are non-concordant with those present in ctDNA, which </w:t>
      </w:r>
      <w:r w:rsidR="00C16861">
        <w:rPr>
          <w:color w:val="auto"/>
        </w:rPr>
        <w:t>could affect</w:t>
      </w:r>
      <w:r w:rsidR="00D21802">
        <w:rPr>
          <w:color w:val="auto"/>
        </w:rPr>
        <w:t xml:space="preserve"> </w:t>
      </w:r>
      <w:r w:rsidR="00DE514F" w:rsidRPr="00DE514F">
        <w:rPr>
          <w:color w:val="auto"/>
        </w:rPr>
        <w:t xml:space="preserve">testing </w:t>
      </w:r>
      <w:r w:rsidR="00C16861">
        <w:rPr>
          <w:color w:val="auto"/>
        </w:rPr>
        <w:t xml:space="preserve">accuracy </w:t>
      </w:r>
      <w:r w:rsidR="00DE514F" w:rsidRPr="00DE514F">
        <w:rPr>
          <w:color w:val="auto"/>
        </w:rPr>
        <w:t xml:space="preserve">(Davidson et al., 2021). Low level of </w:t>
      </w:r>
      <w:r w:rsidR="00413D10">
        <w:rPr>
          <w:color w:val="auto"/>
        </w:rPr>
        <w:t>tier I</w:t>
      </w:r>
      <w:r w:rsidR="00DE514F" w:rsidRPr="00DE514F">
        <w:rPr>
          <w:color w:val="auto"/>
        </w:rPr>
        <w:t xml:space="preserve"> variants in plasma samples </w:t>
      </w:r>
      <w:r w:rsidR="00C16861">
        <w:rPr>
          <w:color w:val="auto"/>
        </w:rPr>
        <w:t xml:space="preserve">could </w:t>
      </w:r>
      <w:r w:rsidR="00DE514F" w:rsidRPr="00DE514F">
        <w:rPr>
          <w:color w:val="auto"/>
        </w:rPr>
        <w:t xml:space="preserve">inaccurately represent </w:t>
      </w:r>
      <w:r w:rsidR="00E62AF1">
        <w:rPr>
          <w:color w:val="auto"/>
        </w:rPr>
        <w:t xml:space="preserve">specific </w:t>
      </w:r>
      <w:r w:rsidR="00DE514F" w:rsidRPr="00DE514F">
        <w:rPr>
          <w:color w:val="auto"/>
        </w:rPr>
        <w:t>tumour burden and affect clinical decision</w:t>
      </w:r>
      <w:r w:rsidR="008C066C">
        <w:rPr>
          <w:color w:val="auto"/>
        </w:rPr>
        <w:t>s</w:t>
      </w:r>
      <w:r w:rsidR="00DE514F" w:rsidRPr="00DE514F">
        <w:rPr>
          <w:color w:val="auto"/>
        </w:rPr>
        <w:t xml:space="preserve"> (Davidson et al., 2021).</w:t>
      </w:r>
      <w:r w:rsidR="00F16B8A">
        <w:rPr>
          <w:color w:val="auto"/>
        </w:rPr>
        <w:t xml:space="preserve"> </w:t>
      </w:r>
      <w:r w:rsidR="00D244FD">
        <w:rPr>
          <w:color w:val="auto"/>
        </w:rPr>
        <w:t xml:space="preserve">ctDNA </w:t>
      </w:r>
      <w:r w:rsidR="00297D31">
        <w:rPr>
          <w:color w:val="auto"/>
        </w:rPr>
        <w:t>analytical performance</w:t>
      </w:r>
      <w:r w:rsidR="00E62AF1">
        <w:rPr>
          <w:color w:val="auto"/>
        </w:rPr>
        <w:t xml:space="preserve"> </w:t>
      </w:r>
      <w:r w:rsidR="00D244FD">
        <w:rPr>
          <w:color w:val="auto"/>
        </w:rPr>
        <w:t xml:space="preserve">may </w:t>
      </w:r>
      <w:r w:rsidR="00297D31">
        <w:rPr>
          <w:color w:val="auto"/>
        </w:rPr>
        <w:t>be reduced</w:t>
      </w:r>
      <w:r w:rsidR="00D244FD">
        <w:rPr>
          <w:color w:val="auto"/>
        </w:rPr>
        <w:t xml:space="preserve"> in detecting copy number variants relevant to</w:t>
      </w:r>
      <w:r w:rsidR="00CA1778">
        <w:rPr>
          <w:color w:val="auto"/>
        </w:rPr>
        <w:t xml:space="preserve"> somatic </w:t>
      </w:r>
      <w:r w:rsidR="00D244FD" w:rsidRPr="00827AB4">
        <w:rPr>
          <w:i/>
          <w:color w:val="auto"/>
        </w:rPr>
        <w:t>PTEN</w:t>
      </w:r>
      <w:r w:rsidR="00D244FD">
        <w:rPr>
          <w:color w:val="auto"/>
        </w:rPr>
        <w:t xml:space="preserve"> </w:t>
      </w:r>
      <w:r w:rsidR="00E62AF1">
        <w:rPr>
          <w:color w:val="auto"/>
        </w:rPr>
        <w:t>– associated disease</w:t>
      </w:r>
      <w:r w:rsidR="00297D31">
        <w:rPr>
          <w:color w:val="auto"/>
        </w:rPr>
        <w:t xml:space="preserve"> compared to tumour testing</w:t>
      </w:r>
      <w:r w:rsidR="00E62AF1">
        <w:rPr>
          <w:color w:val="auto"/>
        </w:rPr>
        <w:t>.</w:t>
      </w:r>
      <w:r w:rsidR="00DE514F" w:rsidRPr="00DE514F">
        <w:rPr>
          <w:color w:val="auto"/>
        </w:rPr>
        <w:t xml:space="preserve"> While there </w:t>
      </w:r>
      <w:r w:rsidR="00F85823">
        <w:rPr>
          <w:color w:val="auto"/>
        </w:rPr>
        <w:t>is an</w:t>
      </w:r>
      <w:r w:rsidR="00DE514F" w:rsidRPr="00DE514F">
        <w:rPr>
          <w:color w:val="auto"/>
        </w:rPr>
        <w:t xml:space="preserve"> association between ctDNA analyses and treatment response rate and disease relapse, prospective clinical trials to </w:t>
      </w:r>
      <w:r w:rsidR="00C16861">
        <w:rPr>
          <w:color w:val="auto"/>
        </w:rPr>
        <w:t>evaluate</w:t>
      </w:r>
      <w:r w:rsidR="00DE514F" w:rsidRPr="00DE514F">
        <w:rPr>
          <w:color w:val="auto"/>
        </w:rPr>
        <w:t xml:space="preserve"> the prognostic potential of ctDNA are lacking (Davidson et al., 2021). </w:t>
      </w:r>
      <w:r w:rsidR="00F85823">
        <w:rPr>
          <w:color w:val="auto"/>
        </w:rPr>
        <w:t>Notably</w:t>
      </w:r>
      <w:r w:rsidR="00DE514F" w:rsidRPr="00DE514F">
        <w:rPr>
          <w:color w:val="auto"/>
        </w:rPr>
        <w:t xml:space="preserve">, the </w:t>
      </w:r>
      <w:r w:rsidR="00F85823">
        <w:rPr>
          <w:color w:val="auto"/>
        </w:rPr>
        <w:t xml:space="preserve">poor </w:t>
      </w:r>
      <w:r w:rsidR="00DE514F" w:rsidRPr="00DE514F">
        <w:rPr>
          <w:color w:val="auto"/>
        </w:rPr>
        <w:t xml:space="preserve">stability and short half-life of ctDNA are factors for consideration as </w:t>
      </w:r>
      <w:r w:rsidR="00F85823">
        <w:rPr>
          <w:color w:val="auto"/>
        </w:rPr>
        <w:t>they</w:t>
      </w:r>
      <w:r w:rsidR="00DE514F" w:rsidRPr="00DE514F">
        <w:rPr>
          <w:color w:val="auto"/>
        </w:rPr>
        <w:t xml:space="preserve"> can affect </w:t>
      </w:r>
      <w:r w:rsidR="00F85823">
        <w:rPr>
          <w:color w:val="auto"/>
        </w:rPr>
        <w:t xml:space="preserve">the </w:t>
      </w:r>
      <w:r w:rsidR="00DE514F" w:rsidRPr="00DE514F">
        <w:rPr>
          <w:color w:val="auto"/>
        </w:rPr>
        <w:t>prognostic and predictive value of ctDNA analysis (Sant et al., 2022).</w:t>
      </w:r>
      <w:r w:rsidR="00163CD3" w:rsidDel="00163CD3">
        <w:rPr>
          <w:rStyle w:val="CommentReference"/>
          <w:rFonts w:eastAsia="Calibri" w:cs="Times New Roman"/>
          <w:color w:val="auto"/>
        </w:rPr>
        <w:t xml:space="preserve"> </w:t>
      </w:r>
      <w:r w:rsidR="0052130C">
        <w:rPr>
          <w:color w:val="auto"/>
        </w:rPr>
        <w:t xml:space="preserve">ctDNA analysis for breast biomarkers is still at its infancy in Australia. A private laboratory claimed to </w:t>
      </w:r>
      <w:r w:rsidR="0052130C" w:rsidRPr="0052130C">
        <w:rPr>
          <w:color w:val="auto"/>
        </w:rPr>
        <w:t xml:space="preserve">be the first </w:t>
      </w:r>
      <w:r w:rsidR="00C20DCD">
        <w:rPr>
          <w:color w:val="auto"/>
        </w:rPr>
        <w:t xml:space="preserve">one </w:t>
      </w:r>
      <w:r w:rsidR="0052130C" w:rsidRPr="0052130C">
        <w:rPr>
          <w:color w:val="auto"/>
        </w:rPr>
        <w:t xml:space="preserve">to offer </w:t>
      </w:r>
      <w:r w:rsidR="00B7420B">
        <w:rPr>
          <w:color w:val="auto"/>
        </w:rPr>
        <w:t>ctDNA testing</w:t>
      </w:r>
      <w:r w:rsidR="00C20DCD">
        <w:rPr>
          <w:color w:val="auto"/>
        </w:rPr>
        <w:t xml:space="preserve"> in Australia and </w:t>
      </w:r>
      <w:r w:rsidR="0052130C">
        <w:rPr>
          <w:color w:val="auto"/>
        </w:rPr>
        <w:lastRenderedPageBreak/>
        <w:t xml:space="preserve">is currently </w:t>
      </w:r>
      <w:r w:rsidR="00C20DCD">
        <w:rPr>
          <w:color w:val="auto"/>
        </w:rPr>
        <w:t xml:space="preserve">offering testing </w:t>
      </w:r>
      <w:r w:rsidR="0052130C">
        <w:rPr>
          <w:color w:val="auto"/>
        </w:rPr>
        <w:t>for lung, colorectal cancer and melanoma only</w:t>
      </w:r>
      <w:r w:rsidR="00C20DCD">
        <w:rPr>
          <w:color w:val="auto"/>
        </w:rPr>
        <w:t xml:space="preserve">, </w:t>
      </w:r>
      <w:r w:rsidR="0052130C">
        <w:rPr>
          <w:color w:val="auto"/>
        </w:rPr>
        <w:t>with out-of-pocket expenses</w:t>
      </w:r>
      <w:r w:rsidR="00B35D8B">
        <w:rPr>
          <w:color w:val="auto"/>
        </w:rPr>
        <w:t xml:space="preserve"> </w:t>
      </w:r>
      <w:r w:rsidR="00B35D8B">
        <w:rPr>
          <w:color w:val="auto"/>
        </w:rPr>
        <w:fldChar w:fldCharType="begin"/>
      </w:r>
      <w:r w:rsidR="00FD77B6">
        <w:rPr>
          <w:color w:val="auto"/>
        </w:rPr>
        <w:instrText xml:space="preserve"> ADDIN EN.CITE &lt;EndNote&gt;&lt;Cite&gt;&lt;Author&gt;Australian Clinical Labs&lt;/Author&gt;&lt;Year&gt;2024&lt;/Year&gt;&lt;RecNum&gt;31&lt;/RecNum&gt;&lt;DisplayText&gt;(Australian Clinical Labs 2024)&lt;/DisplayText&gt;&lt;record&gt;&lt;rec-number&gt;31&lt;/rec-number&gt;&lt;foreign-keys&gt;&lt;key app="EN" db-id="5xftswrv6zts2ke2xrkvxe2zr9e5effztde0" timestamp="1709957592"&gt;31&lt;/key&gt;&lt;/foreign-keys&gt;&lt;ref-type name="Web Page"&gt;12&lt;/ref-type&gt;&lt;contributors&gt;&lt;authors&gt;&lt;author&gt;Australian Clinical Labs,&lt;/author&gt;&lt;/authors&gt;&lt;/contributors&gt;&lt;titles&gt;&lt;title&gt;Circulating Tumour DNA (ctDNA) Testing in Plasma&lt;/title&gt;&lt;/titles&gt;&lt;number&gt;2024 March 5&lt;/number&gt;&lt;dates&gt;&lt;year&gt;2024&lt;/year&gt;&lt;/dates&gt;&lt;work-type&gt;Internet&lt;/work-type&gt;&lt;urls&gt;&lt;related-urls&gt;&lt;url&gt;https://www.clinicallabs.com.au/aspect/&lt;/url&gt;&lt;/related-urls&gt;&lt;/urls&gt;&lt;custom1&gt;2024&lt;/custom1&gt;&lt;custom2&gt;March 8&lt;/custom2&gt;&lt;/record&gt;&lt;/Cite&gt;&lt;/EndNote&gt;</w:instrText>
      </w:r>
      <w:r w:rsidR="00B35D8B">
        <w:rPr>
          <w:color w:val="auto"/>
        </w:rPr>
        <w:fldChar w:fldCharType="separate"/>
      </w:r>
      <w:r w:rsidR="00FD77B6">
        <w:rPr>
          <w:noProof/>
          <w:color w:val="auto"/>
        </w:rPr>
        <w:t>(Australian Clinical Labs 2024)</w:t>
      </w:r>
      <w:r w:rsidR="00B35D8B">
        <w:rPr>
          <w:color w:val="auto"/>
        </w:rPr>
        <w:fldChar w:fldCharType="end"/>
      </w:r>
      <w:r w:rsidR="00C20DCD">
        <w:rPr>
          <w:color w:val="auto"/>
        </w:rPr>
        <w:t>.</w:t>
      </w:r>
    </w:p>
    <w:bookmarkEnd w:id="7"/>
    <w:p w14:paraId="48213CA9" w14:textId="1912A6FE" w:rsidR="00B67591" w:rsidRPr="00BD33CC" w:rsidRDefault="00B67591" w:rsidP="00BD33CC">
      <w:pPr>
        <w:autoSpaceDE w:val="0"/>
        <w:autoSpaceDN w:val="0"/>
        <w:adjustRightInd w:val="0"/>
        <w:spacing w:before="120" w:afterLines="160" w:after="384" w:line="259" w:lineRule="auto"/>
        <w:rPr>
          <w:rFonts w:asciiTheme="minorHAnsi" w:hAnsiTheme="minorHAnsi" w:cstheme="minorBidi"/>
          <w:i/>
        </w:rPr>
      </w:pPr>
      <w:r w:rsidRPr="00BD33CC">
        <w:rPr>
          <w:rFonts w:asciiTheme="minorHAnsi" w:hAnsiTheme="minorHAnsi" w:cstheme="minorBidi"/>
          <w:i/>
        </w:rPr>
        <w:t xml:space="preserve">PASC noted that tumour tissue samples (i.e. somatic testing) should be used for </w:t>
      </w:r>
      <w:r w:rsidR="001713D9">
        <w:rPr>
          <w:rFonts w:asciiTheme="minorHAnsi" w:hAnsiTheme="minorHAnsi" w:cstheme="minorBidi"/>
          <w:i/>
        </w:rPr>
        <w:t>AKT pathway</w:t>
      </w:r>
      <w:r w:rsidRPr="00BD33CC">
        <w:rPr>
          <w:rFonts w:asciiTheme="minorHAnsi" w:hAnsiTheme="minorHAnsi" w:cstheme="minorBidi"/>
          <w:i/>
        </w:rPr>
        <w:t xml:space="preserve"> testing and the applicant has chosen not to include ctDNA testing as part of the proposed test. PASC noted the applicant’s view that while ctDNA testing is emerging, the data is still </w:t>
      </w:r>
      <w:r w:rsidR="009227AC" w:rsidRPr="00BD33CC">
        <w:rPr>
          <w:rFonts w:asciiTheme="minorHAnsi" w:hAnsiTheme="minorHAnsi" w:cstheme="minorBidi"/>
          <w:i/>
        </w:rPr>
        <w:t>evolving</w:t>
      </w:r>
      <w:r w:rsidR="009227AC">
        <w:rPr>
          <w:rFonts w:asciiTheme="minorHAnsi" w:hAnsiTheme="minorHAnsi" w:cstheme="minorBidi"/>
          <w:i/>
        </w:rPr>
        <w:t>.</w:t>
      </w:r>
      <w:r w:rsidRPr="00BD33CC">
        <w:rPr>
          <w:rFonts w:asciiTheme="minorHAnsi" w:hAnsiTheme="minorHAnsi" w:cstheme="minorBidi"/>
          <w:i/>
        </w:rPr>
        <w:t xml:space="preserve"> PASC advised that if ctDNA testing were to be proposed as an alternative to </w:t>
      </w:r>
      <w:r w:rsidR="000253EF">
        <w:rPr>
          <w:rFonts w:asciiTheme="minorHAnsi" w:hAnsiTheme="minorHAnsi" w:cstheme="minorBidi"/>
          <w:i/>
        </w:rPr>
        <w:t xml:space="preserve">tumour </w:t>
      </w:r>
      <w:r w:rsidRPr="00BD33CC">
        <w:rPr>
          <w:rFonts w:asciiTheme="minorHAnsi" w:hAnsiTheme="minorHAnsi" w:cstheme="minorBidi"/>
          <w:i/>
        </w:rPr>
        <w:t>t</w:t>
      </w:r>
      <w:r w:rsidR="00537474">
        <w:rPr>
          <w:rFonts w:asciiTheme="minorHAnsi" w:hAnsiTheme="minorHAnsi" w:cstheme="minorBidi"/>
          <w:i/>
        </w:rPr>
        <w:t>issue</w:t>
      </w:r>
      <w:r w:rsidRPr="00BD33CC">
        <w:rPr>
          <w:rFonts w:asciiTheme="minorHAnsi" w:hAnsiTheme="minorHAnsi" w:cstheme="minorBidi"/>
          <w:i/>
        </w:rPr>
        <w:t xml:space="preserve"> </w:t>
      </w:r>
      <w:r w:rsidR="001713D9">
        <w:rPr>
          <w:rFonts w:asciiTheme="minorHAnsi" w:hAnsiTheme="minorHAnsi" w:cstheme="minorBidi"/>
          <w:i/>
        </w:rPr>
        <w:t>AKT pathway</w:t>
      </w:r>
      <w:r w:rsidRPr="00BD33CC">
        <w:rPr>
          <w:rFonts w:asciiTheme="minorHAnsi" w:hAnsiTheme="minorHAnsi" w:cstheme="minorBidi"/>
          <w:i/>
        </w:rPr>
        <w:t xml:space="preserve"> testing, a full comparative assessment including comparative analytical performance between tumour and ctDNA testing and comparison of health outcomes with tumour and ctDNA testing should </w:t>
      </w:r>
      <w:r w:rsidR="008B6D82" w:rsidRPr="008B6D82">
        <w:rPr>
          <w:rFonts w:asciiTheme="minorHAnsi" w:hAnsiTheme="minorHAnsi" w:cstheme="minorBidi"/>
          <w:i/>
        </w:rPr>
        <w:t>be presented</w:t>
      </w:r>
      <w:r w:rsidRPr="00BD33CC">
        <w:rPr>
          <w:rFonts w:asciiTheme="minorHAnsi" w:hAnsiTheme="minorHAnsi" w:cstheme="minorBidi"/>
          <w:i/>
        </w:rPr>
        <w:t xml:space="preserve">. The applicant concurred and informed that they </w:t>
      </w:r>
      <w:r w:rsidR="00997BEF">
        <w:rPr>
          <w:rFonts w:asciiTheme="minorHAnsi" w:hAnsiTheme="minorHAnsi" w:cstheme="minorBidi"/>
          <w:i/>
        </w:rPr>
        <w:t>may</w:t>
      </w:r>
      <w:r w:rsidR="00997BEF" w:rsidRPr="00BD33CC">
        <w:rPr>
          <w:rFonts w:asciiTheme="minorHAnsi" w:hAnsiTheme="minorHAnsi" w:cstheme="minorBidi"/>
          <w:i/>
        </w:rPr>
        <w:t xml:space="preserve"> </w:t>
      </w:r>
      <w:r w:rsidRPr="00BD33CC">
        <w:rPr>
          <w:rFonts w:asciiTheme="minorHAnsi" w:hAnsiTheme="minorHAnsi" w:cstheme="minorBidi"/>
          <w:i/>
        </w:rPr>
        <w:t>submit a separate application once data is available.</w:t>
      </w:r>
    </w:p>
    <w:p w14:paraId="187CAFC7" w14:textId="4CF1501D" w:rsidR="00854451" w:rsidRDefault="005F5D4C" w:rsidP="00BD33CC">
      <w:pPr>
        <w:autoSpaceDE w:val="0"/>
        <w:autoSpaceDN w:val="0"/>
        <w:adjustRightInd w:val="0"/>
        <w:spacing w:beforeLines="120" w:before="288" w:afterLines="160" w:after="384" w:line="259" w:lineRule="auto"/>
        <w:rPr>
          <w:rFonts w:asciiTheme="minorHAnsi" w:hAnsiTheme="minorHAnsi" w:cstheme="minorBidi"/>
          <w:i/>
        </w:rPr>
      </w:pPr>
      <w:r w:rsidRPr="24BB6DE5">
        <w:rPr>
          <w:rFonts w:asciiTheme="minorHAnsi" w:hAnsiTheme="minorHAnsi" w:cstheme="minorBidi"/>
          <w:i/>
        </w:rPr>
        <w:t xml:space="preserve">PASC advised that copy number variant determination in somatic tissue samples </w:t>
      </w:r>
      <w:r w:rsidR="00D41ACD">
        <w:rPr>
          <w:rFonts w:asciiTheme="minorHAnsi" w:hAnsiTheme="minorHAnsi" w:cstheme="minorBidi"/>
          <w:i/>
        </w:rPr>
        <w:t xml:space="preserve">using NGS </w:t>
      </w:r>
      <w:r>
        <w:rPr>
          <w:rFonts w:asciiTheme="minorHAnsi" w:hAnsiTheme="minorHAnsi" w:cstheme="minorBidi"/>
          <w:i/>
          <w:iCs/>
        </w:rPr>
        <w:t xml:space="preserve">(required for </w:t>
      </w:r>
      <w:r w:rsidR="00FD62C5">
        <w:rPr>
          <w:rFonts w:asciiTheme="minorHAnsi" w:hAnsiTheme="minorHAnsi" w:cstheme="minorBidi"/>
          <w:i/>
          <w:iCs/>
        </w:rPr>
        <w:t xml:space="preserve">capturing all </w:t>
      </w:r>
      <w:r>
        <w:rPr>
          <w:rFonts w:asciiTheme="minorHAnsi" w:hAnsiTheme="minorHAnsi" w:cstheme="minorBidi"/>
          <w:i/>
          <w:iCs/>
        </w:rPr>
        <w:t>PTEN variants)</w:t>
      </w:r>
      <w:r w:rsidRPr="1C1C2EDA">
        <w:rPr>
          <w:rFonts w:asciiTheme="minorHAnsi" w:hAnsiTheme="minorHAnsi" w:cstheme="minorBidi"/>
          <w:i/>
          <w:iCs/>
        </w:rPr>
        <w:t xml:space="preserve"> </w:t>
      </w:r>
      <w:r w:rsidRPr="24BB6DE5">
        <w:rPr>
          <w:rFonts w:asciiTheme="minorHAnsi" w:hAnsiTheme="minorHAnsi" w:cstheme="minorBidi"/>
          <w:i/>
        </w:rPr>
        <w:t>usually require</w:t>
      </w:r>
      <w:r w:rsidR="008B6D82">
        <w:rPr>
          <w:rFonts w:asciiTheme="minorHAnsi" w:hAnsiTheme="minorHAnsi" w:cstheme="minorBidi"/>
          <w:i/>
        </w:rPr>
        <w:t>s</w:t>
      </w:r>
      <w:r w:rsidRPr="24BB6DE5">
        <w:rPr>
          <w:rFonts w:asciiTheme="minorHAnsi" w:hAnsiTheme="minorHAnsi" w:cstheme="minorBidi"/>
          <w:i/>
        </w:rPr>
        <w:t xml:space="preserve"> a large panel</w:t>
      </w:r>
      <w:r w:rsidR="00E75F90">
        <w:rPr>
          <w:rFonts w:asciiTheme="minorHAnsi" w:hAnsiTheme="minorHAnsi" w:cstheme="minorBidi"/>
          <w:i/>
        </w:rPr>
        <w:t>, potentially</w:t>
      </w:r>
      <w:r w:rsidRPr="24BB6DE5">
        <w:rPr>
          <w:rFonts w:asciiTheme="minorHAnsi" w:hAnsiTheme="minorHAnsi" w:cstheme="minorBidi"/>
          <w:i/>
        </w:rPr>
        <w:t xml:space="preserve"> at a </w:t>
      </w:r>
      <w:r w:rsidR="00B241F2">
        <w:rPr>
          <w:rFonts w:asciiTheme="minorHAnsi" w:hAnsiTheme="minorHAnsi" w:cstheme="minorBidi"/>
          <w:i/>
        </w:rPr>
        <w:t xml:space="preserve">higher </w:t>
      </w:r>
      <w:r w:rsidRPr="24BB6DE5">
        <w:rPr>
          <w:rFonts w:asciiTheme="minorHAnsi" w:hAnsiTheme="minorHAnsi" w:cstheme="minorBidi"/>
          <w:i/>
        </w:rPr>
        <w:t xml:space="preserve">cost. </w:t>
      </w:r>
    </w:p>
    <w:p w14:paraId="2E18CCEA" w14:textId="7D90A4D0" w:rsidR="005F5D4C" w:rsidRDefault="005F5D4C" w:rsidP="00BD33CC">
      <w:pPr>
        <w:autoSpaceDE w:val="0"/>
        <w:autoSpaceDN w:val="0"/>
        <w:adjustRightInd w:val="0"/>
        <w:spacing w:beforeLines="120" w:before="288" w:afterLines="160" w:after="384" w:line="259" w:lineRule="auto"/>
        <w:rPr>
          <w:rFonts w:asciiTheme="minorHAnsi" w:hAnsiTheme="minorHAnsi" w:cstheme="minorHAnsi"/>
          <w:i/>
          <w:iCs/>
        </w:rPr>
      </w:pPr>
      <w:r w:rsidRPr="00BD489B">
        <w:rPr>
          <w:rFonts w:asciiTheme="minorHAnsi" w:hAnsiTheme="minorHAnsi" w:cstheme="minorHAnsi"/>
          <w:i/>
          <w:iCs/>
        </w:rPr>
        <w:t xml:space="preserve">PASC </w:t>
      </w:r>
      <w:r>
        <w:rPr>
          <w:rFonts w:asciiTheme="minorHAnsi" w:hAnsiTheme="minorHAnsi" w:cstheme="minorHAnsi"/>
          <w:i/>
          <w:iCs/>
        </w:rPr>
        <w:t>noted</w:t>
      </w:r>
      <w:r w:rsidRPr="00BD489B">
        <w:rPr>
          <w:rFonts w:asciiTheme="minorHAnsi" w:hAnsiTheme="minorHAnsi" w:cstheme="minorHAnsi"/>
          <w:i/>
          <w:iCs/>
        </w:rPr>
        <w:t xml:space="preserve"> the need to consider the longer time needed for sample analysis if a large panel is desired.</w:t>
      </w:r>
      <w:r>
        <w:rPr>
          <w:rFonts w:asciiTheme="minorHAnsi" w:hAnsiTheme="minorHAnsi" w:cstheme="minorHAnsi"/>
          <w:i/>
          <w:iCs/>
        </w:rPr>
        <w:t xml:space="preserve"> PASC considered that the choice of the test needs to be justified and compared against </w:t>
      </w:r>
      <w:r w:rsidR="00613F4D">
        <w:rPr>
          <w:rFonts w:asciiTheme="minorHAnsi" w:hAnsiTheme="minorHAnsi" w:cstheme="minorHAnsi"/>
          <w:i/>
          <w:iCs/>
        </w:rPr>
        <w:t xml:space="preserve">the </w:t>
      </w:r>
      <w:r>
        <w:rPr>
          <w:rFonts w:asciiTheme="minorHAnsi" w:hAnsiTheme="minorHAnsi" w:cstheme="minorHAnsi"/>
          <w:i/>
          <w:iCs/>
        </w:rPr>
        <w:t>clinical utility standard (likely to be FoundationOneCDx</w:t>
      </w:r>
      <w:r w:rsidR="00620A78">
        <w:rPr>
          <w:rFonts w:asciiTheme="minorHAnsi" w:hAnsiTheme="minorHAnsi" w:cstheme="minorHAnsi"/>
          <w:i/>
          <w:iCs/>
        </w:rPr>
        <w:t xml:space="preserve"> </w:t>
      </w:r>
      <w:r w:rsidR="00336EC0">
        <w:rPr>
          <w:rFonts w:asciiTheme="minorHAnsi" w:hAnsiTheme="minorHAnsi" w:cstheme="minorHAnsi"/>
          <w:i/>
          <w:iCs/>
        </w:rPr>
        <w:t>used in the trials</w:t>
      </w:r>
      <w:r w:rsidR="00442CF5">
        <w:rPr>
          <w:rFonts w:asciiTheme="minorHAnsi" w:hAnsiTheme="minorHAnsi" w:cstheme="minorHAnsi"/>
          <w:i/>
          <w:iCs/>
        </w:rPr>
        <w:t xml:space="preserve"> and primary data </w:t>
      </w:r>
      <w:r w:rsidR="00DA7715">
        <w:rPr>
          <w:rFonts w:asciiTheme="minorHAnsi" w:hAnsiTheme="minorHAnsi" w:cstheme="minorHAnsi"/>
          <w:i/>
          <w:iCs/>
        </w:rPr>
        <w:t>to be provided by the applicant</w:t>
      </w:r>
      <w:r w:rsidR="00442CF5">
        <w:rPr>
          <w:rFonts w:asciiTheme="minorHAnsi" w:hAnsiTheme="minorHAnsi" w:cstheme="minorHAnsi"/>
          <w:i/>
          <w:iCs/>
        </w:rPr>
        <w:t xml:space="preserve"> for </w:t>
      </w:r>
      <w:r w:rsidR="005769F0">
        <w:rPr>
          <w:rFonts w:asciiTheme="minorHAnsi" w:hAnsiTheme="minorHAnsi" w:cstheme="minorHAnsi"/>
          <w:i/>
          <w:iCs/>
        </w:rPr>
        <w:t xml:space="preserve">PTEN </w:t>
      </w:r>
      <w:r w:rsidR="00DA7715">
        <w:rPr>
          <w:rFonts w:asciiTheme="minorHAnsi" w:hAnsiTheme="minorHAnsi" w:cstheme="minorHAnsi"/>
          <w:i/>
          <w:iCs/>
        </w:rPr>
        <w:t>deletions</w:t>
      </w:r>
      <w:r>
        <w:rPr>
          <w:rFonts w:asciiTheme="minorHAnsi" w:hAnsiTheme="minorHAnsi" w:cstheme="minorHAnsi"/>
          <w:i/>
          <w:iCs/>
        </w:rPr>
        <w:t>).</w:t>
      </w:r>
    </w:p>
    <w:p w14:paraId="6B8DAE21" w14:textId="4D3CF03C" w:rsidR="00E52B93" w:rsidRPr="00E52B93" w:rsidRDefault="00E52B93" w:rsidP="00BD33CC">
      <w:pPr>
        <w:autoSpaceDE w:val="0"/>
        <w:autoSpaceDN w:val="0"/>
        <w:adjustRightInd w:val="0"/>
        <w:spacing w:beforeLines="120" w:before="288" w:afterLines="160" w:after="384" w:line="259" w:lineRule="auto"/>
        <w:rPr>
          <w:rFonts w:asciiTheme="minorHAnsi" w:hAnsiTheme="minorHAnsi" w:cstheme="minorBidi"/>
          <w:i/>
        </w:rPr>
      </w:pPr>
      <w:r w:rsidRPr="00BD33CC">
        <w:rPr>
          <w:rFonts w:asciiTheme="minorHAnsi" w:hAnsiTheme="minorHAnsi" w:cstheme="minorBidi"/>
          <w:i/>
        </w:rPr>
        <w:t xml:space="preserve">PASC emphasised that genetic testing should be treatment focused and currently there is no MBS item for </w:t>
      </w:r>
      <w:r w:rsidR="001713D9">
        <w:rPr>
          <w:rFonts w:asciiTheme="minorHAnsi" w:hAnsiTheme="minorHAnsi" w:cstheme="minorBidi"/>
          <w:i/>
        </w:rPr>
        <w:t>AKT pathway</w:t>
      </w:r>
      <w:r w:rsidRPr="00BD33CC">
        <w:rPr>
          <w:rFonts w:asciiTheme="minorHAnsi" w:hAnsiTheme="minorHAnsi" w:cstheme="minorBidi"/>
          <w:i/>
        </w:rPr>
        <w:t xml:space="preserve"> alteration testing, leading to inequity of access to treatment. A positive </w:t>
      </w:r>
      <w:r w:rsidR="001713D9">
        <w:rPr>
          <w:rFonts w:asciiTheme="minorHAnsi" w:hAnsiTheme="minorHAnsi" w:cstheme="minorBidi"/>
          <w:i/>
        </w:rPr>
        <w:t>AKT pathway</w:t>
      </w:r>
      <w:r w:rsidRPr="00BD33CC">
        <w:rPr>
          <w:rFonts w:asciiTheme="minorHAnsi" w:hAnsiTheme="minorHAnsi" w:cstheme="minorBidi"/>
          <w:i/>
        </w:rPr>
        <w:t xml:space="preserve"> alteration, </w:t>
      </w:r>
      <w:r w:rsidR="0077786D">
        <w:rPr>
          <w:rFonts w:asciiTheme="minorHAnsi" w:hAnsiTheme="minorHAnsi" w:cstheme="minorBidi"/>
          <w:i/>
        </w:rPr>
        <w:t xml:space="preserve">with a </w:t>
      </w:r>
      <w:r w:rsidR="00EF207C">
        <w:rPr>
          <w:rFonts w:asciiTheme="minorHAnsi" w:hAnsiTheme="minorHAnsi" w:cstheme="minorBidi"/>
          <w:i/>
        </w:rPr>
        <w:t>tier I</w:t>
      </w:r>
      <w:r w:rsidRPr="00BD33CC">
        <w:rPr>
          <w:rFonts w:asciiTheme="minorHAnsi" w:hAnsiTheme="minorHAnsi" w:cstheme="minorBidi"/>
          <w:i/>
        </w:rPr>
        <w:t xml:space="preserve"> variant </w:t>
      </w:r>
      <w:r w:rsidR="00A03112">
        <w:rPr>
          <w:rFonts w:asciiTheme="minorHAnsi" w:hAnsiTheme="minorHAnsi" w:cstheme="minorBidi"/>
          <w:i/>
        </w:rPr>
        <w:t>in AKT or upstream of AKT in the pathway</w:t>
      </w:r>
      <w:r w:rsidRPr="00BD33CC">
        <w:rPr>
          <w:rFonts w:asciiTheme="minorHAnsi" w:hAnsiTheme="minorHAnsi" w:cstheme="minorBidi"/>
          <w:i/>
        </w:rPr>
        <w:t xml:space="preserve">, would inform treatment with an AKT inhibitor. PASC </w:t>
      </w:r>
      <w:r w:rsidRPr="00BD33CC" w:rsidDel="00A852BE">
        <w:rPr>
          <w:rFonts w:asciiTheme="minorHAnsi" w:hAnsiTheme="minorHAnsi" w:cstheme="minorBidi"/>
          <w:i/>
        </w:rPr>
        <w:t>suggested</w:t>
      </w:r>
      <w:r w:rsidR="00A852BE">
        <w:rPr>
          <w:rFonts w:asciiTheme="minorHAnsi" w:hAnsiTheme="minorHAnsi" w:cstheme="minorBidi"/>
          <w:i/>
        </w:rPr>
        <w:t xml:space="preserve"> </w:t>
      </w:r>
      <w:r w:rsidRPr="00BD33CC">
        <w:rPr>
          <w:rFonts w:asciiTheme="minorHAnsi" w:hAnsiTheme="minorHAnsi" w:cstheme="minorBidi"/>
          <w:i/>
        </w:rPr>
        <w:t xml:space="preserve">that PTEN status was an important factor given the loss of inhibition function was related to </w:t>
      </w:r>
      <w:r w:rsidR="00567B99">
        <w:rPr>
          <w:rFonts w:asciiTheme="minorHAnsi" w:hAnsiTheme="minorHAnsi" w:cstheme="minorBidi"/>
          <w:i/>
        </w:rPr>
        <w:t>ET</w:t>
      </w:r>
      <w:r w:rsidRPr="00BD33CC">
        <w:rPr>
          <w:rFonts w:asciiTheme="minorHAnsi" w:hAnsiTheme="minorHAnsi" w:cstheme="minorBidi"/>
          <w:i/>
        </w:rPr>
        <w:t xml:space="preserve"> resistance. An </w:t>
      </w:r>
      <w:r w:rsidR="001713D9">
        <w:rPr>
          <w:rFonts w:asciiTheme="minorHAnsi" w:hAnsiTheme="minorHAnsi" w:cstheme="minorBidi"/>
          <w:i/>
        </w:rPr>
        <w:t>AKT pathway</w:t>
      </w:r>
      <w:r w:rsidRPr="00BD33CC">
        <w:rPr>
          <w:rFonts w:asciiTheme="minorHAnsi" w:hAnsiTheme="minorHAnsi" w:cstheme="minorBidi"/>
          <w:i/>
        </w:rPr>
        <w:t xml:space="preserve"> testing positive </w:t>
      </w:r>
      <w:r w:rsidR="001C1451">
        <w:rPr>
          <w:rFonts w:asciiTheme="minorHAnsi" w:hAnsiTheme="minorHAnsi" w:cstheme="minorBidi"/>
          <w:i/>
        </w:rPr>
        <w:t xml:space="preserve">for </w:t>
      </w:r>
      <w:r w:rsidRPr="00BD33CC">
        <w:rPr>
          <w:rFonts w:asciiTheme="minorHAnsi" w:hAnsiTheme="minorHAnsi" w:cstheme="minorBidi"/>
          <w:i/>
        </w:rPr>
        <w:t xml:space="preserve">PIK3CA </w:t>
      </w:r>
      <w:r w:rsidR="00C149CC">
        <w:rPr>
          <w:rFonts w:asciiTheme="minorHAnsi" w:hAnsiTheme="minorHAnsi" w:cstheme="minorBidi"/>
          <w:i/>
        </w:rPr>
        <w:t>tier 1 variant</w:t>
      </w:r>
      <w:r w:rsidR="00B20979">
        <w:rPr>
          <w:rFonts w:asciiTheme="minorHAnsi" w:hAnsiTheme="minorHAnsi" w:cstheme="minorBidi"/>
          <w:i/>
        </w:rPr>
        <w:t xml:space="preserve">s </w:t>
      </w:r>
      <w:r w:rsidRPr="00BD33CC">
        <w:rPr>
          <w:rFonts w:asciiTheme="minorHAnsi" w:hAnsiTheme="minorHAnsi" w:cstheme="minorBidi"/>
          <w:i/>
        </w:rPr>
        <w:t xml:space="preserve">and negative </w:t>
      </w:r>
      <w:r w:rsidR="00B20979">
        <w:rPr>
          <w:rFonts w:asciiTheme="minorHAnsi" w:hAnsiTheme="minorHAnsi" w:cstheme="minorBidi"/>
          <w:i/>
        </w:rPr>
        <w:t xml:space="preserve">for </w:t>
      </w:r>
      <w:r w:rsidRPr="00BD33CC">
        <w:rPr>
          <w:rFonts w:asciiTheme="minorHAnsi" w:hAnsiTheme="minorHAnsi" w:cstheme="minorBidi"/>
          <w:i/>
        </w:rPr>
        <w:t xml:space="preserve">PTEN </w:t>
      </w:r>
      <w:r w:rsidR="00015537">
        <w:rPr>
          <w:rFonts w:asciiTheme="minorHAnsi" w:hAnsiTheme="minorHAnsi" w:cstheme="minorBidi"/>
          <w:i/>
        </w:rPr>
        <w:t>tier I</w:t>
      </w:r>
      <w:r w:rsidR="00913702">
        <w:rPr>
          <w:rFonts w:asciiTheme="minorHAnsi" w:hAnsiTheme="minorHAnsi" w:cstheme="minorBidi"/>
          <w:i/>
        </w:rPr>
        <w:t xml:space="preserve"> </w:t>
      </w:r>
      <w:r w:rsidRPr="00BD33CC">
        <w:rPr>
          <w:rFonts w:asciiTheme="minorHAnsi" w:hAnsiTheme="minorHAnsi" w:cstheme="minorBidi"/>
          <w:i/>
        </w:rPr>
        <w:t xml:space="preserve">variants could inform treatment with a PIK3CA inhibitor. </w:t>
      </w:r>
    </w:p>
    <w:p w14:paraId="126DB664" w14:textId="627F8474" w:rsidR="005E15B8" w:rsidRDefault="00915DEF" w:rsidP="00F35266">
      <w:pPr>
        <w:pStyle w:val="Instructionaltext"/>
        <w:rPr>
          <w:color w:val="auto"/>
        </w:rPr>
      </w:pPr>
      <w:r w:rsidRPr="00915DEF">
        <w:rPr>
          <w:color w:val="auto"/>
        </w:rPr>
        <w:t>A registered molecular</w:t>
      </w:r>
      <w:r>
        <w:rPr>
          <w:color w:val="auto"/>
        </w:rPr>
        <w:t>/anatomical</w:t>
      </w:r>
      <w:r w:rsidRPr="00915DEF">
        <w:rPr>
          <w:color w:val="auto"/>
        </w:rPr>
        <w:t xml:space="preserve"> pathologist </w:t>
      </w:r>
      <w:r>
        <w:rPr>
          <w:color w:val="auto"/>
        </w:rPr>
        <w:t>is</w:t>
      </w:r>
      <w:r w:rsidRPr="00915DEF">
        <w:rPr>
          <w:color w:val="auto"/>
        </w:rPr>
        <w:t xml:space="preserve"> responsible for conducting the detection, diagnosis and reporting of the pathology result</w:t>
      </w:r>
      <w:r>
        <w:rPr>
          <w:color w:val="auto"/>
        </w:rPr>
        <w:t>. The</w:t>
      </w:r>
      <w:r w:rsidRPr="00915DEF">
        <w:rPr>
          <w:color w:val="auto"/>
        </w:rPr>
        <w:t xml:space="preserve"> </w:t>
      </w:r>
      <w:r>
        <w:rPr>
          <w:color w:val="auto"/>
        </w:rPr>
        <w:t>p</w:t>
      </w:r>
      <w:r w:rsidR="00176666">
        <w:rPr>
          <w:color w:val="auto"/>
        </w:rPr>
        <w:t xml:space="preserve">athologists are able to select the genes of interest using NGS. For this proposed </w:t>
      </w:r>
      <w:r>
        <w:rPr>
          <w:color w:val="auto"/>
        </w:rPr>
        <w:t xml:space="preserve">intervention, a </w:t>
      </w:r>
      <w:r w:rsidR="00D8588E">
        <w:rPr>
          <w:color w:val="auto"/>
        </w:rPr>
        <w:t xml:space="preserve"> </w:t>
      </w:r>
      <w:r w:rsidR="006E79CD">
        <w:rPr>
          <w:color w:val="auto"/>
        </w:rPr>
        <w:t>)</w:t>
      </w:r>
      <w:r w:rsidR="00E431F6">
        <w:rPr>
          <w:color w:val="auto"/>
        </w:rPr>
        <w:t>gene panel</w:t>
      </w:r>
      <w:r w:rsidR="00D8588E">
        <w:rPr>
          <w:color w:val="auto"/>
        </w:rPr>
        <w:t xml:space="preserve"> </w:t>
      </w:r>
      <w:r w:rsidR="00D21802">
        <w:rPr>
          <w:color w:val="auto"/>
        </w:rPr>
        <w:t>using</w:t>
      </w:r>
      <w:r w:rsidR="00803E35">
        <w:rPr>
          <w:color w:val="auto"/>
        </w:rPr>
        <w:t xml:space="preserve"> NGS </w:t>
      </w:r>
      <w:r>
        <w:rPr>
          <w:color w:val="auto"/>
        </w:rPr>
        <w:t xml:space="preserve">to identify </w:t>
      </w:r>
      <w:r w:rsidRPr="00302B40">
        <w:rPr>
          <w:i/>
          <w:iCs/>
          <w:color w:val="auto"/>
        </w:rPr>
        <w:t>PIK3CA, AKT1</w:t>
      </w:r>
      <w:r>
        <w:rPr>
          <w:color w:val="auto"/>
        </w:rPr>
        <w:t xml:space="preserve"> </w:t>
      </w:r>
      <w:r w:rsidR="00E11C56">
        <w:rPr>
          <w:color w:val="auto"/>
        </w:rPr>
        <w:t>and/</w:t>
      </w:r>
      <w:r>
        <w:rPr>
          <w:color w:val="auto"/>
        </w:rPr>
        <w:t xml:space="preserve">or </w:t>
      </w:r>
      <w:r w:rsidRPr="00302B40">
        <w:rPr>
          <w:i/>
          <w:iCs/>
          <w:color w:val="auto"/>
        </w:rPr>
        <w:t xml:space="preserve">PTEN </w:t>
      </w:r>
      <w:r w:rsidR="00413D10">
        <w:rPr>
          <w:color w:val="auto"/>
        </w:rPr>
        <w:t>tier I</w:t>
      </w:r>
      <w:r w:rsidR="00F85823">
        <w:rPr>
          <w:color w:val="auto"/>
        </w:rPr>
        <w:t xml:space="preserve"> </w:t>
      </w:r>
      <w:r w:rsidR="003F61E7">
        <w:rPr>
          <w:color w:val="auto"/>
        </w:rPr>
        <w:t xml:space="preserve">variants </w:t>
      </w:r>
      <w:r>
        <w:rPr>
          <w:color w:val="auto"/>
        </w:rPr>
        <w:t xml:space="preserve">can be selected to confirm </w:t>
      </w:r>
      <w:r w:rsidR="001713D9">
        <w:rPr>
          <w:color w:val="auto"/>
        </w:rPr>
        <w:t>AKT pathway</w:t>
      </w:r>
      <w:r>
        <w:rPr>
          <w:color w:val="auto"/>
        </w:rPr>
        <w:t xml:space="preserve"> alter</w:t>
      </w:r>
      <w:r w:rsidR="00CD520B">
        <w:rPr>
          <w:color w:val="auto"/>
        </w:rPr>
        <w:t>a</w:t>
      </w:r>
      <w:r>
        <w:rPr>
          <w:color w:val="auto"/>
        </w:rPr>
        <w:t>tions.</w:t>
      </w:r>
      <w:r w:rsidR="005A0C1B">
        <w:rPr>
          <w:color w:val="auto"/>
        </w:rPr>
        <w:t xml:space="preserve"> </w:t>
      </w:r>
    </w:p>
    <w:p w14:paraId="693D5BB3" w14:textId="6B3FE24C" w:rsidR="00951480" w:rsidRPr="00951480" w:rsidRDefault="00474213" w:rsidP="00BD33CC">
      <w:pPr>
        <w:pStyle w:val="Heading4"/>
        <w:spacing w:before="120" w:after="160" w:line="259" w:lineRule="auto"/>
        <w:rPr>
          <w:rFonts w:ascii="Calibri" w:hAnsi="Calibri" w:cs="Calibri"/>
          <w:i w:val="0"/>
          <w:iCs w:val="0"/>
          <w:color w:val="auto"/>
        </w:rPr>
      </w:pPr>
      <w:r w:rsidRPr="00951480">
        <w:rPr>
          <w:rFonts w:ascii="Calibri" w:hAnsi="Calibri" w:cs="Calibri"/>
          <w:i w:val="0"/>
          <w:iCs w:val="0"/>
          <w:color w:val="auto"/>
        </w:rPr>
        <w:t xml:space="preserve">The laboratory personnel involved in </w:t>
      </w:r>
      <w:r w:rsidR="006D07F5">
        <w:rPr>
          <w:rFonts w:ascii="Calibri" w:hAnsi="Calibri" w:cs="Calibri"/>
          <w:i w:val="0"/>
          <w:iCs w:val="0"/>
          <w:color w:val="auto"/>
        </w:rPr>
        <w:t xml:space="preserve">gene panel </w:t>
      </w:r>
      <w:r w:rsidRPr="00951480">
        <w:rPr>
          <w:rFonts w:ascii="Calibri" w:hAnsi="Calibri" w:cs="Calibri"/>
          <w:i w:val="0"/>
          <w:iCs w:val="0"/>
          <w:color w:val="auto"/>
        </w:rPr>
        <w:t>genetic testing should receive the same training and qualifications as for other cancer biomarker testings. The pathology laboratories should be</w:t>
      </w:r>
      <w:r w:rsidR="00BC5417" w:rsidRPr="00951480">
        <w:rPr>
          <w:rFonts w:ascii="Calibri" w:hAnsi="Calibri" w:cs="Calibri"/>
          <w:i w:val="0"/>
          <w:iCs w:val="0"/>
          <w:color w:val="auto"/>
        </w:rPr>
        <w:t xml:space="preserve"> National Association of Testing Authorities Australia (</w:t>
      </w:r>
      <w:r w:rsidRPr="00951480">
        <w:rPr>
          <w:rFonts w:ascii="Calibri" w:hAnsi="Calibri" w:cs="Calibri"/>
          <w:i w:val="0"/>
          <w:iCs w:val="0"/>
          <w:color w:val="auto"/>
        </w:rPr>
        <w:t>NATA</w:t>
      </w:r>
      <w:r w:rsidR="00BC5417" w:rsidRPr="00951480">
        <w:rPr>
          <w:rFonts w:ascii="Calibri" w:hAnsi="Calibri" w:cs="Calibri"/>
          <w:i w:val="0"/>
          <w:iCs w:val="0"/>
          <w:color w:val="auto"/>
        </w:rPr>
        <w:t xml:space="preserve">) </w:t>
      </w:r>
      <w:r w:rsidRPr="00951480">
        <w:rPr>
          <w:rFonts w:ascii="Calibri" w:hAnsi="Calibri" w:cs="Calibri"/>
          <w:i w:val="0"/>
          <w:iCs w:val="0"/>
          <w:color w:val="auto"/>
        </w:rPr>
        <w:t>accredited and the</w:t>
      </w:r>
      <w:r w:rsidR="00841559" w:rsidRPr="00951480">
        <w:rPr>
          <w:rFonts w:ascii="Calibri" w:hAnsi="Calibri" w:cs="Calibri"/>
          <w:i w:val="0"/>
          <w:iCs w:val="0"/>
          <w:color w:val="auto"/>
        </w:rPr>
        <w:t xml:space="preserve"> laboratory service of</w:t>
      </w:r>
      <w:r w:rsidRPr="00951480">
        <w:rPr>
          <w:rFonts w:ascii="Calibri" w:hAnsi="Calibri" w:cs="Calibri"/>
          <w:i w:val="0"/>
          <w:iCs w:val="0"/>
          <w:color w:val="auto"/>
        </w:rPr>
        <w:t xml:space="preserve">  genetic testing </w:t>
      </w:r>
      <w:r w:rsidR="00167D7E" w:rsidRPr="00951480">
        <w:rPr>
          <w:rFonts w:ascii="Calibri" w:hAnsi="Calibri" w:cs="Calibri"/>
          <w:i w:val="0"/>
          <w:iCs w:val="0"/>
          <w:color w:val="auto"/>
        </w:rPr>
        <w:t>for</w:t>
      </w:r>
      <w:r w:rsidRPr="00951480">
        <w:rPr>
          <w:rFonts w:ascii="Calibri" w:hAnsi="Calibri" w:cs="Calibri"/>
          <w:i w:val="0"/>
          <w:iCs w:val="0"/>
          <w:color w:val="auto"/>
        </w:rPr>
        <w:t xml:space="preserve"> </w:t>
      </w:r>
      <w:r w:rsidR="001713D9">
        <w:rPr>
          <w:rFonts w:ascii="Calibri" w:hAnsi="Calibri" w:cs="Calibri"/>
          <w:i w:val="0"/>
          <w:iCs w:val="0"/>
          <w:color w:val="auto"/>
        </w:rPr>
        <w:t>AKT pathway</w:t>
      </w:r>
      <w:r w:rsidRPr="00951480">
        <w:rPr>
          <w:rFonts w:ascii="Calibri" w:hAnsi="Calibri" w:cs="Calibri"/>
          <w:i w:val="0"/>
          <w:iCs w:val="0"/>
          <w:color w:val="auto"/>
        </w:rPr>
        <w:t xml:space="preserve"> alteration</w:t>
      </w:r>
      <w:r w:rsidR="00E60A06" w:rsidRPr="00951480">
        <w:rPr>
          <w:rFonts w:ascii="Calibri" w:hAnsi="Calibri" w:cs="Calibri"/>
          <w:i w:val="0"/>
          <w:iCs w:val="0"/>
          <w:color w:val="auto"/>
        </w:rPr>
        <w:t>s</w:t>
      </w:r>
      <w:r w:rsidRPr="00951480">
        <w:rPr>
          <w:rFonts w:ascii="Calibri" w:hAnsi="Calibri" w:cs="Calibri"/>
          <w:i w:val="0"/>
          <w:iCs w:val="0"/>
          <w:color w:val="auto"/>
        </w:rPr>
        <w:t xml:space="preserve"> (</w:t>
      </w:r>
      <w:r w:rsidRPr="00827AB4">
        <w:rPr>
          <w:rFonts w:ascii="Calibri" w:hAnsi="Calibri"/>
          <w:color w:val="auto"/>
        </w:rPr>
        <w:t>PIK3CA/AKT1/PTEN)</w:t>
      </w:r>
      <w:r w:rsidR="00A03458" w:rsidRPr="00951480">
        <w:rPr>
          <w:rFonts w:ascii="Calibri" w:hAnsi="Calibri" w:cs="Calibri"/>
          <w:i w:val="0"/>
          <w:iCs w:val="0"/>
          <w:color w:val="auto"/>
        </w:rPr>
        <w:t xml:space="preserve"> would be monitored and audited by the Royal College of Pathologists of Austral</w:t>
      </w:r>
      <w:r w:rsidR="00127F69" w:rsidRPr="00951480">
        <w:rPr>
          <w:rFonts w:ascii="Calibri" w:hAnsi="Calibri" w:cs="Calibri"/>
          <w:i w:val="0"/>
          <w:iCs w:val="0"/>
          <w:color w:val="auto"/>
        </w:rPr>
        <w:t>as</w:t>
      </w:r>
      <w:r w:rsidR="00A03458" w:rsidRPr="00951480">
        <w:rPr>
          <w:rFonts w:ascii="Calibri" w:hAnsi="Calibri" w:cs="Calibri"/>
          <w:i w:val="0"/>
          <w:iCs w:val="0"/>
          <w:color w:val="auto"/>
        </w:rPr>
        <w:t>ia (RCPA) via a Quality Assurance Program.</w:t>
      </w:r>
    </w:p>
    <w:p w14:paraId="4778B1EA" w14:textId="4DDE6E61" w:rsidR="00FE29A7" w:rsidRDefault="00E760DB" w:rsidP="00BD33CC">
      <w:pPr>
        <w:pStyle w:val="Heading4"/>
        <w:spacing w:before="120" w:after="160" w:line="259" w:lineRule="auto"/>
      </w:pPr>
      <w:r>
        <w:t>Next Generation Sequencing (NGS)</w:t>
      </w:r>
    </w:p>
    <w:p w14:paraId="3D57B8FB" w14:textId="0E1A38F8" w:rsidR="00164E10" w:rsidRPr="00BD33CC" w:rsidRDefault="00164E10" w:rsidP="00BD33CC">
      <w:pPr>
        <w:spacing w:before="120" w:after="160" w:line="259" w:lineRule="auto"/>
        <w:rPr>
          <w:i/>
          <w:iCs/>
        </w:rPr>
      </w:pPr>
      <w:r>
        <w:t xml:space="preserve">NGS is </w:t>
      </w:r>
      <w:r w:rsidR="00930D03">
        <w:t>capable of sequencing a massive number of</w:t>
      </w:r>
      <w:r w:rsidR="00BF5F15">
        <w:t xml:space="preserve"> genes in the</w:t>
      </w:r>
      <w:r>
        <w:t xml:space="preserve"> DNA and RNA</w:t>
      </w:r>
      <w:r w:rsidR="000B01B8">
        <w:t xml:space="preserve"> as well as the entire genome</w:t>
      </w:r>
      <w:r w:rsidR="00930D03">
        <w:t xml:space="preserve">, in a </w:t>
      </w:r>
      <w:r w:rsidR="00AB5E75">
        <w:t>relatively short period of time</w:t>
      </w:r>
      <w:r w:rsidR="007746BC">
        <w:t>, and negates the need for multiple assays for multiple mutations</w:t>
      </w:r>
      <w:r w:rsidR="00610D47">
        <w:t xml:space="preserve"> </w:t>
      </w:r>
      <w:r w:rsidR="00610D47">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610D47">
        <w:fldChar w:fldCharType="separate"/>
      </w:r>
      <w:r w:rsidR="00FD77B6">
        <w:rPr>
          <w:noProof/>
        </w:rPr>
        <w:t>(Qin 2019)</w:t>
      </w:r>
      <w:r w:rsidR="00610D47">
        <w:fldChar w:fldCharType="end"/>
      </w:r>
      <w:r w:rsidR="00BF5F15">
        <w:t>. NGS can</w:t>
      </w:r>
      <w:r>
        <w:t xml:space="preserve"> detect </w:t>
      </w:r>
      <w:r w:rsidR="00BF5F15">
        <w:t>variants/</w:t>
      </w:r>
      <w:r>
        <w:t xml:space="preserve">mutations in </w:t>
      </w:r>
      <w:r w:rsidR="00BF5F15">
        <w:t xml:space="preserve">the </w:t>
      </w:r>
      <w:r>
        <w:t>genes/genome</w:t>
      </w:r>
      <w:r w:rsidR="00BF5F15">
        <w:t xml:space="preserve"> and aid disease diagnosis, prognosis</w:t>
      </w:r>
      <w:r w:rsidR="009C1749">
        <w:t>,</w:t>
      </w:r>
      <w:r w:rsidR="00BF5F15">
        <w:t xml:space="preserve"> a</w:t>
      </w:r>
      <w:r w:rsidR="000B01B8">
        <w:t>s well as</w:t>
      </w:r>
      <w:r w:rsidR="00BF5F15">
        <w:t xml:space="preserve"> therapeutic decisions</w:t>
      </w:r>
      <w:r w:rsidR="00610D47">
        <w:t xml:space="preserve"> </w:t>
      </w:r>
      <w:r w:rsidR="00610D47">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610D47">
        <w:fldChar w:fldCharType="separate"/>
      </w:r>
      <w:r w:rsidR="00FD77B6">
        <w:rPr>
          <w:noProof/>
        </w:rPr>
        <w:t>(Qin 2019)</w:t>
      </w:r>
      <w:r w:rsidR="00610D47">
        <w:fldChar w:fldCharType="end"/>
      </w:r>
      <w:r w:rsidR="00BF5F15">
        <w:t>.</w:t>
      </w:r>
      <w:r w:rsidR="00C87E7C">
        <w:t xml:space="preserve"> </w:t>
      </w:r>
      <w:r w:rsidR="00AD7874">
        <w:t>Focused</w:t>
      </w:r>
      <w:r w:rsidR="00C87E7C">
        <w:t xml:space="preserve"> panel sequencing is commonly used in </w:t>
      </w:r>
      <w:r w:rsidR="00EC37CB">
        <w:t>clinical oncology</w:t>
      </w:r>
      <w:r w:rsidR="00C87E7C">
        <w:t>, where the targeted NGS assays are specified for a disease and the identification of targeted gene mutations is based on current guidelines for the disease</w:t>
      </w:r>
      <w:r w:rsidR="00610D47">
        <w:t xml:space="preserve"> </w:t>
      </w:r>
      <w:r w:rsidR="00610D47">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610D47">
        <w:fldChar w:fldCharType="separate"/>
      </w:r>
      <w:r w:rsidR="00FD77B6">
        <w:rPr>
          <w:noProof/>
        </w:rPr>
        <w:t>(Qin 2019)</w:t>
      </w:r>
      <w:r w:rsidR="00610D47">
        <w:fldChar w:fldCharType="end"/>
      </w:r>
      <w:r w:rsidR="00EC37CB">
        <w:t>. NCCN Guidelines Version 1</w:t>
      </w:r>
      <w:r w:rsidR="00081E96">
        <w:t xml:space="preserve"> </w:t>
      </w:r>
      <w:r w:rsidR="00EC37CB">
        <w:t xml:space="preserve">2024 recommend assessment of biomarker </w:t>
      </w:r>
      <w:r w:rsidR="00EC37CB" w:rsidRPr="00302B40">
        <w:rPr>
          <w:i/>
          <w:iCs/>
        </w:rPr>
        <w:t>PIK3CA</w:t>
      </w:r>
      <w:r w:rsidR="00EC37CB">
        <w:t xml:space="preserve"> or </w:t>
      </w:r>
      <w:r w:rsidR="00EC37CB" w:rsidRPr="00302B40">
        <w:rPr>
          <w:i/>
          <w:iCs/>
        </w:rPr>
        <w:t>AKT1</w:t>
      </w:r>
      <w:r w:rsidR="00EC37CB">
        <w:t xml:space="preserve"> or </w:t>
      </w:r>
      <w:r w:rsidR="00EC37CB" w:rsidRPr="00302B40">
        <w:rPr>
          <w:i/>
          <w:iCs/>
        </w:rPr>
        <w:t>PTEN</w:t>
      </w:r>
      <w:r w:rsidR="00EC37CB">
        <w:t xml:space="preserve"> via NGS using blood or tumour tissue</w:t>
      </w:r>
      <w:r w:rsidR="00ED00E4">
        <w:t xml:space="preserve"> (if blood sample</w:t>
      </w:r>
      <w:r w:rsidR="00ED00E4" w:rsidRPr="00ED00E4">
        <w:t xml:space="preserve"> is negative</w:t>
      </w:r>
      <w:r w:rsidR="006561AE">
        <w:t xml:space="preserve"> for mutations</w:t>
      </w:r>
      <w:r w:rsidR="00ED00E4" w:rsidRPr="00ED00E4">
        <w:t>, tumo</w:t>
      </w:r>
      <w:r w:rsidR="00ED00E4">
        <w:t>u</w:t>
      </w:r>
      <w:r w:rsidR="00ED00E4" w:rsidRPr="00ED00E4">
        <w:t>r tissue testing is recommended</w:t>
      </w:r>
      <w:r w:rsidR="00ED00E4">
        <w:t>)</w:t>
      </w:r>
      <w:r w:rsidR="00F946E9">
        <w:t>,</w:t>
      </w:r>
      <w:r w:rsidR="00EC37CB">
        <w:t xml:space="preserve"> in </w:t>
      </w:r>
      <w:r w:rsidR="00EC37CB">
        <w:lastRenderedPageBreak/>
        <w:t xml:space="preserve">patients with HR+/HER2- </w:t>
      </w:r>
      <w:r w:rsidR="00F946E9">
        <w:t xml:space="preserve">unresectable local/regional/stage IV </w:t>
      </w:r>
      <w:r w:rsidR="00533F11">
        <w:t>BC</w:t>
      </w:r>
      <w:r w:rsidR="00EC37CB">
        <w:t xml:space="preserve"> after disease progression or recurrence after at least one prior line of </w:t>
      </w:r>
      <w:r w:rsidR="00081E96">
        <w:t>ET</w:t>
      </w:r>
      <w:r w:rsidR="00EC37CB">
        <w:t>, including one line containing CDK4/6 inhibitor</w:t>
      </w:r>
      <w:r w:rsidR="00F946E9">
        <w:t>.</w:t>
      </w:r>
      <w:r w:rsidR="001C3156">
        <w:t xml:space="preserve"> </w:t>
      </w:r>
      <w:r w:rsidR="007C05BE">
        <w:t xml:space="preserve">NCCN </w:t>
      </w:r>
      <w:r w:rsidR="00C95C72">
        <w:t>(</w:t>
      </w:r>
      <w:r w:rsidR="001F5BE2">
        <w:t>2024</w:t>
      </w:r>
      <w:r w:rsidR="00C95C72">
        <w:t>)</w:t>
      </w:r>
      <w:r w:rsidR="001F5BE2">
        <w:t xml:space="preserve"> </w:t>
      </w:r>
      <w:r w:rsidR="00AF070C">
        <w:t xml:space="preserve">guidelines </w:t>
      </w:r>
      <w:r w:rsidR="007C05BE">
        <w:t>recommend</w:t>
      </w:r>
      <w:r w:rsidR="008B4A3C">
        <w:t xml:space="preserve"> </w:t>
      </w:r>
      <w:r w:rsidR="007C05BE">
        <w:t>capivasertib</w:t>
      </w:r>
      <w:r w:rsidR="00D75E28">
        <w:t xml:space="preserve"> </w:t>
      </w:r>
      <w:r w:rsidR="007C05BE">
        <w:t>+</w:t>
      </w:r>
      <w:r w:rsidR="00D75E28">
        <w:t xml:space="preserve"> </w:t>
      </w:r>
      <w:r w:rsidR="007C05BE">
        <w:t xml:space="preserve">fulvestrant as preferred </w:t>
      </w:r>
      <w:r w:rsidR="008779F2">
        <w:t xml:space="preserve">second line </w:t>
      </w:r>
      <w:r w:rsidR="007C05BE">
        <w:t xml:space="preserve">or subsequent line therapy in the presence of </w:t>
      </w:r>
      <w:r w:rsidR="007C05BE" w:rsidRPr="00302B40">
        <w:rPr>
          <w:i/>
          <w:iCs/>
        </w:rPr>
        <w:t>PIK3CA/AKT1/PTEN</w:t>
      </w:r>
      <w:r w:rsidR="007C05BE">
        <w:t xml:space="preserve"> alterations. This suggests AKT pathway-alteration testing to be conducted prior to </w:t>
      </w:r>
      <w:r w:rsidR="008779F2">
        <w:t xml:space="preserve">second line </w:t>
      </w:r>
      <w:r w:rsidR="007C05BE">
        <w:t xml:space="preserve">treatment. </w:t>
      </w:r>
    </w:p>
    <w:p w14:paraId="5851DC96" w14:textId="6971E370" w:rsidR="00A03CA9" w:rsidRPr="00BD33CC" w:rsidRDefault="00A03CA9" w:rsidP="00BD33CC">
      <w:pPr>
        <w:autoSpaceDE w:val="0"/>
        <w:autoSpaceDN w:val="0"/>
        <w:adjustRightInd w:val="0"/>
        <w:spacing w:before="120" w:after="160" w:line="259" w:lineRule="auto"/>
        <w:rPr>
          <w:rFonts w:asciiTheme="minorHAnsi" w:hAnsiTheme="minorHAnsi" w:cstheme="minorHAnsi"/>
          <w:i/>
          <w:iCs/>
        </w:rPr>
      </w:pPr>
      <w:r w:rsidRPr="00546F54">
        <w:rPr>
          <w:rFonts w:asciiTheme="minorHAnsi" w:hAnsiTheme="minorHAnsi" w:cstheme="minorHAnsi"/>
          <w:i/>
          <w:iCs/>
        </w:rPr>
        <w:t xml:space="preserve">PASC agreed that the treatment intervention was capivasertib </w:t>
      </w:r>
      <w:r w:rsidR="00DC0C72">
        <w:rPr>
          <w:rFonts w:asciiTheme="minorHAnsi" w:hAnsiTheme="minorHAnsi" w:cstheme="minorHAnsi"/>
          <w:i/>
          <w:iCs/>
        </w:rPr>
        <w:t>+</w:t>
      </w:r>
      <w:r w:rsidRPr="00546F54">
        <w:rPr>
          <w:rFonts w:asciiTheme="minorHAnsi" w:hAnsiTheme="minorHAnsi" w:cstheme="minorHAnsi"/>
          <w:i/>
          <w:iCs/>
        </w:rPr>
        <w:t xml:space="preserve"> fulvestrant for patients found to have </w:t>
      </w:r>
      <w:r w:rsidR="00401C31">
        <w:rPr>
          <w:rFonts w:asciiTheme="minorHAnsi" w:hAnsiTheme="minorHAnsi" w:cstheme="minorHAnsi"/>
          <w:i/>
          <w:iCs/>
        </w:rPr>
        <w:t xml:space="preserve">tier 1 </w:t>
      </w:r>
      <w:r w:rsidR="001713D9">
        <w:rPr>
          <w:rFonts w:asciiTheme="minorHAnsi" w:hAnsiTheme="minorHAnsi" w:cstheme="minorHAnsi"/>
          <w:i/>
          <w:iCs/>
        </w:rPr>
        <w:t>AKT pathway</w:t>
      </w:r>
      <w:r w:rsidRPr="00546F54">
        <w:rPr>
          <w:rFonts w:asciiTheme="minorHAnsi" w:hAnsiTheme="minorHAnsi" w:cstheme="minorHAnsi"/>
          <w:i/>
          <w:iCs/>
        </w:rPr>
        <w:t xml:space="preserve"> genetic alterations. However, PASC questioned if </w:t>
      </w:r>
      <w:r w:rsidR="001713D9">
        <w:rPr>
          <w:rFonts w:asciiTheme="minorHAnsi" w:hAnsiTheme="minorHAnsi" w:cstheme="minorHAnsi"/>
          <w:i/>
          <w:iCs/>
        </w:rPr>
        <w:t>AKT pathway</w:t>
      </w:r>
      <w:r w:rsidRPr="00546F54">
        <w:rPr>
          <w:rFonts w:asciiTheme="minorHAnsi" w:hAnsiTheme="minorHAnsi" w:cstheme="minorHAnsi"/>
          <w:i/>
          <w:iCs/>
        </w:rPr>
        <w:t xml:space="preserve"> testing to inform treatment should only be used prior to second line treatment or whether the testing should be extended for use prior to third line treatment as well. This was because there was no clear pathway for the next treatment options due to a range of treatment options available in the second line setting, for patients who have progressed on AI +/- CDK4/6 inhibitor</w:t>
      </w:r>
      <w:r w:rsidR="00E31136">
        <w:rPr>
          <w:rFonts w:asciiTheme="minorHAnsi" w:hAnsiTheme="minorHAnsi" w:cstheme="minorHAnsi"/>
          <w:i/>
          <w:iCs/>
        </w:rPr>
        <w:t xml:space="preserve">, and </w:t>
      </w:r>
      <w:r w:rsidR="00430879">
        <w:rPr>
          <w:rFonts w:asciiTheme="minorHAnsi" w:hAnsiTheme="minorHAnsi" w:cstheme="minorHAnsi"/>
          <w:i/>
          <w:iCs/>
        </w:rPr>
        <w:t xml:space="preserve">genetic </w:t>
      </w:r>
      <w:r w:rsidR="00897D57">
        <w:rPr>
          <w:rFonts w:asciiTheme="minorHAnsi" w:hAnsiTheme="minorHAnsi" w:cstheme="minorHAnsi"/>
          <w:i/>
          <w:iCs/>
        </w:rPr>
        <w:t>treatment marker</w:t>
      </w:r>
      <w:r w:rsidR="00A66745">
        <w:rPr>
          <w:rFonts w:asciiTheme="minorHAnsi" w:hAnsiTheme="minorHAnsi" w:cstheme="minorHAnsi"/>
          <w:i/>
          <w:iCs/>
        </w:rPr>
        <w:t xml:space="preserve"> profile</w:t>
      </w:r>
      <w:r w:rsidR="00AA58A6">
        <w:rPr>
          <w:rFonts w:asciiTheme="minorHAnsi" w:hAnsiTheme="minorHAnsi" w:cstheme="minorHAnsi"/>
          <w:i/>
          <w:iCs/>
        </w:rPr>
        <w:t>s</w:t>
      </w:r>
      <w:r w:rsidR="00A66745">
        <w:rPr>
          <w:rFonts w:asciiTheme="minorHAnsi" w:hAnsiTheme="minorHAnsi" w:cstheme="minorHAnsi"/>
          <w:i/>
          <w:iCs/>
        </w:rPr>
        <w:t xml:space="preserve"> </w:t>
      </w:r>
      <w:r w:rsidR="00430879">
        <w:rPr>
          <w:rFonts w:asciiTheme="minorHAnsi" w:hAnsiTheme="minorHAnsi" w:cstheme="minorHAnsi"/>
          <w:i/>
          <w:iCs/>
        </w:rPr>
        <w:t xml:space="preserve">may </w:t>
      </w:r>
      <w:r w:rsidR="00A66745">
        <w:rPr>
          <w:rFonts w:asciiTheme="minorHAnsi" w:hAnsiTheme="minorHAnsi" w:cstheme="minorHAnsi"/>
          <w:i/>
          <w:iCs/>
        </w:rPr>
        <w:t xml:space="preserve">not </w:t>
      </w:r>
      <w:r w:rsidR="00430879">
        <w:rPr>
          <w:rFonts w:asciiTheme="minorHAnsi" w:hAnsiTheme="minorHAnsi" w:cstheme="minorHAnsi"/>
          <w:i/>
          <w:iCs/>
        </w:rPr>
        <w:t xml:space="preserve">be </w:t>
      </w:r>
      <w:r w:rsidR="00A66745">
        <w:rPr>
          <w:rFonts w:asciiTheme="minorHAnsi" w:hAnsiTheme="minorHAnsi" w:cstheme="minorHAnsi"/>
          <w:i/>
          <w:iCs/>
        </w:rPr>
        <w:t xml:space="preserve">stable and may evolve </w:t>
      </w:r>
      <w:r w:rsidR="00AA58A6">
        <w:rPr>
          <w:rFonts w:asciiTheme="minorHAnsi" w:hAnsiTheme="minorHAnsi" w:cstheme="minorHAnsi"/>
          <w:i/>
          <w:iCs/>
        </w:rPr>
        <w:t>with the disease</w:t>
      </w:r>
      <w:r w:rsidR="00A40DA2">
        <w:rPr>
          <w:rFonts w:asciiTheme="minorHAnsi" w:hAnsiTheme="minorHAnsi" w:cstheme="minorHAnsi"/>
          <w:i/>
          <w:iCs/>
        </w:rPr>
        <w:t xml:space="preserve"> in response to previous treatment</w:t>
      </w:r>
    </w:p>
    <w:p w14:paraId="1CE5E114" w14:textId="07A61805" w:rsidR="00576409" w:rsidRDefault="00FB7A2B" w:rsidP="00BD33CC">
      <w:pPr>
        <w:spacing w:before="120" w:after="160" w:line="259" w:lineRule="auto"/>
      </w:pPr>
      <w:r>
        <w:t xml:space="preserve">There are several </w:t>
      </w:r>
      <w:r w:rsidR="006753E7">
        <w:t xml:space="preserve">key </w:t>
      </w:r>
      <w:r>
        <w:t>steps in NGS</w:t>
      </w:r>
      <w:r w:rsidR="00922BD5">
        <w:t xml:space="preserve"> (Figure 2)</w:t>
      </w:r>
      <w:r w:rsidR="00F92A53">
        <w:t xml:space="preserve">: </w:t>
      </w:r>
      <w:r w:rsidR="00F92A53" w:rsidRPr="00F92A53">
        <w:t>DNA fragmentation, library preparation, massive parallel sequencing, bioinformatics analysis, and variant/mutation annotation and interpretation</w:t>
      </w:r>
      <w:r w:rsidR="00F81128">
        <w:t xml:space="preserve"> </w:t>
      </w:r>
      <w:r w:rsidR="00F81128">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F81128">
        <w:fldChar w:fldCharType="separate"/>
      </w:r>
      <w:r w:rsidR="00FD77B6">
        <w:rPr>
          <w:noProof/>
        </w:rPr>
        <w:t>(Qin 2019)</w:t>
      </w:r>
      <w:r w:rsidR="00F81128">
        <w:fldChar w:fldCharType="end"/>
      </w:r>
      <w:r w:rsidR="00F92A53" w:rsidRPr="00F92A53">
        <w:t>.</w:t>
      </w:r>
      <w:r>
        <w:t xml:space="preserve"> </w:t>
      </w:r>
      <w:r w:rsidR="000D4199">
        <w:t>These steps are expanded below:</w:t>
      </w:r>
    </w:p>
    <w:p w14:paraId="04CB4662" w14:textId="1874FADB" w:rsidR="00FB7A2B" w:rsidRDefault="00F92A53" w:rsidP="00BD33CC">
      <w:pPr>
        <w:pStyle w:val="ListParagraph"/>
        <w:numPr>
          <w:ilvl w:val="0"/>
          <w:numId w:val="6"/>
        </w:numPr>
        <w:spacing w:before="120" w:after="160" w:line="259" w:lineRule="auto"/>
        <w:ind w:left="714" w:hanging="357"/>
      </w:pPr>
      <w:r>
        <w:t xml:space="preserve">DNA fragmentation </w:t>
      </w:r>
      <w:r w:rsidR="00497C10">
        <w:t>-</w:t>
      </w:r>
      <w:r>
        <w:t xml:space="preserve"> targeted DNA</w:t>
      </w:r>
      <w:r w:rsidR="00497C10">
        <w:t xml:space="preserve"> is broken</w:t>
      </w:r>
      <w:r>
        <w:t xml:space="preserve"> into multiple short segments, usually 100-300 b</w:t>
      </w:r>
      <w:r w:rsidR="009A0D57">
        <w:t xml:space="preserve">ase </w:t>
      </w:r>
      <w:r>
        <w:t>p</w:t>
      </w:r>
      <w:r w:rsidR="009A0D57">
        <w:t>air</w:t>
      </w:r>
      <w:r>
        <w:t xml:space="preserve"> in length</w:t>
      </w:r>
      <w:r w:rsidR="00576409">
        <w:t>, using mechanical methods, enzymatic digestions and other methods</w:t>
      </w:r>
      <w:r w:rsidR="00F81128">
        <w:t xml:space="preserve"> </w:t>
      </w:r>
      <w:r w:rsidR="00F81128">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F81128">
        <w:fldChar w:fldCharType="separate"/>
      </w:r>
      <w:r w:rsidR="00FD77B6">
        <w:rPr>
          <w:noProof/>
        </w:rPr>
        <w:t>(Qin 2019)</w:t>
      </w:r>
      <w:r w:rsidR="00F81128">
        <w:fldChar w:fldCharType="end"/>
      </w:r>
      <w:r w:rsidR="00576409">
        <w:t>. The short segments of the targeted DNA sequence are retrieved using specific complementary probes and this method is known as hybridization capture assay</w:t>
      </w:r>
      <w:r w:rsidR="00F81128">
        <w:t xml:space="preserve"> </w:t>
      </w:r>
      <w:r w:rsidR="00F81128">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F81128">
        <w:fldChar w:fldCharType="separate"/>
      </w:r>
      <w:r w:rsidR="00FD77B6">
        <w:rPr>
          <w:noProof/>
        </w:rPr>
        <w:t>(Qin 2019)</w:t>
      </w:r>
      <w:r w:rsidR="00F81128">
        <w:fldChar w:fldCharType="end"/>
      </w:r>
      <w:r w:rsidR="00576409">
        <w:t>. Polymerase chain reaction (PCR) amplification method can also be used to amplify the targeted DNA segments</w:t>
      </w:r>
      <w:r w:rsidR="00F81128">
        <w:t xml:space="preserve"> </w:t>
      </w:r>
      <w:r w:rsidR="00F81128">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F81128">
        <w:fldChar w:fldCharType="separate"/>
      </w:r>
      <w:r w:rsidR="00FD77B6">
        <w:rPr>
          <w:noProof/>
        </w:rPr>
        <w:t>(Qin 2019)</w:t>
      </w:r>
      <w:r w:rsidR="00F81128">
        <w:fldChar w:fldCharType="end"/>
      </w:r>
      <w:r w:rsidR="00576409">
        <w:t>. The DNA segments are then ready for library preparation</w:t>
      </w:r>
      <w:r w:rsidR="00F81128">
        <w:t xml:space="preserve"> </w:t>
      </w:r>
      <w:r w:rsidR="00F81128">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F81128">
        <w:fldChar w:fldCharType="separate"/>
      </w:r>
      <w:r w:rsidR="00FD77B6">
        <w:rPr>
          <w:noProof/>
        </w:rPr>
        <w:t>(Qin 2019)</w:t>
      </w:r>
      <w:r w:rsidR="00F81128">
        <w:fldChar w:fldCharType="end"/>
      </w:r>
      <w:r w:rsidR="00576409">
        <w:t>.</w:t>
      </w:r>
    </w:p>
    <w:p w14:paraId="7BA50D08" w14:textId="7E35ADE6" w:rsidR="00205022" w:rsidRDefault="00497C10" w:rsidP="00BD33CC">
      <w:pPr>
        <w:pStyle w:val="ListParagraph"/>
        <w:numPr>
          <w:ilvl w:val="0"/>
          <w:numId w:val="6"/>
        </w:numPr>
        <w:spacing w:before="120" w:after="160" w:line="259" w:lineRule="auto"/>
        <w:ind w:left="714" w:hanging="357"/>
      </w:pPr>
      <w:r>
        <w:t>Library preparation – DNA segments are modified</w:t>
      </w:r>
      <w:r w:rsidR="00205022">
        <w:t xml:space="preserve"> by adding sequencing primers</w:t>
      </w:r>
      <w:r w:rsidR="00F5358C">
        <w:t>/adaptors</w:t>
      </w:r>
      <w:r w:rsidR="00205022">
        <w:t xml:space="preserve"> to them</w:t>
      </w:r>
      <w:r w:rsidR="00F81128">
        <w:t xml:space="preserve"> </w:t>
      </w:r>
      <w:r w:rsidR="00F81128">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F81128">
        <w:fldChar w:fldCharType="separate"/>
      </w:r>
      <w:r w:rsidR="00FD77B6">
        <w:rPr>
          <w:noProof/>
        </w:rPr>
        <w:t>(Qin 2019)</w:t>
      </w:r>
      <w:r w:rsidR="00F81128">
        <w:fldChar w:fldCharType="end"/>
      </w:r>
      <w:r w:rsidR="00F12100">
        <w:t>.</w:t>
      </w:r>
    </w:p>
    <w:p w14:paraId="272F9A5E" w14:textId="025E30E6" w:rsidR="00576409" w:rsidRDefault="00205022" w:rsidP="00BD33CC">
      <w:pPr>
        <w:pStyle w:val="ListParagraph"/>
        <w:numPr>
          <w:ilvl w:val="0"/>
          <w:numId w:val="6"/>
        </w:numPr>
        <w:spacing w:before="120" w:after="160" w:line="259" w:lineRule="auto"/>
        <w:ind w:left="714" w:hanging="357"/>
      </w:pPr>
      <w:r>
        <w:t>Sequencing - The library is uploaded onto a sequencing matrix</w:t>
      </w:r>
      <w:r w:rsidR="00B77AE0">
        <w:t>/chip</w:t>
      </w:r>
      <w:r>
        <w:t xml:space="preserve"> in a specific sequencer</w:t>
      </w:r>
      <w:r w:rsidR="00B77AE0">
        <w:t xml:space="preserve"> system</w:t>
      </w:r>
      <w:r w:rsidR="007746BC">
        <w:t xml:space="preserve"> to generate sequence information</w:t>
      </w:r>
      <w:r w:rsidR="00F81128">
        <w:t xml:space="preserve"> </w:t>
      </w:r>
      <w:r w:rsidR="00F81128">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F81128">
        <w:fldChar w:fldCharType="separate"/>
      </w:r>
      <w:r w:rsidR="00FD77B6">
        <w:rPr>
          <w:noProof/>
        </w:rPr>
        <w:t>(Qin 2019)</w:t>
      </w:r>
      <w:r w:rsidR="00F81128">
        <w:fldChar w:fldCharType="end"/>
      </w:r>
      <w:r w:rsidR="007746BC">
        <w:t>.</w:t>
      </w:r>
    </w:p>
    <w:p w14:paraId="1F137419" w14:textId="12E9D298" w:rsidR="007746BC" w:rsidRDefault="00F5358C" w:rsidP="00BD33CC">
      <w:pPr>
        <w:pStyle w:val="ListParagraph"/>
        <w:numPr>
          <w:ilvl w:val="0"/>
          <w:numId w:val="6"/>
        </w:numPr>
        <w:spacing w:before="120" w:after="160" w:line="259" w:lineRule="auto"/>
        <w:ind w:left="714" w:hanging="357"/>
      </w:pPr>
      <w:r>
        <w:t>Data</w:t>
      </w:r>
      <w:r w:rsidR="007746BC">
        <w:t xml:space="preserve"> analysis and interpretation – The sequence information is analysed using bioinformatics software, where the sequence information is compared to a human genome reference, for identification of variants/mutations in targeted DNA segments</w:t>
      </w:r>
      <w:r w:rsidR="003C4771">
        <w:t xml:space="preserve"> </w:t>
      </w:r>
      <w:r w:rsidR="003C4771">
        <w:fldChar w:fldCharType="begin"/>
      </w:r>
      <w:r w:rsidR="00FD77B6">
        <w:instrText xml:space="preserve"> ADDIN EN.CITE &lt;EndNote&gt;&lt;Cite&gt;&lt;Author&gt;Qin&lt;/Author&gt;&lt;Year&gt;2019&lt;/Year&gt;&lt;RecNum&gt;14&lt;/RecNum&gt;&lt;DisplayText&gt;(Qin 2019)&lt;/DisplayText&gt;&lt;record&gt;&lt;rec-number&gt;14&lt;/rec-number&gt;&lt;foreign-keys&gt;&lt;key app="EN" db-id="5xftswrv6zts2ke2xrkvxe2zr9e5effztde0" timestamp="1707369389"&gt;14&lt;/key&gt;&lt;/foreign-keys&gt;&lt;ref-type name="Journal Article"&gt;17&lt;/ref-type&gt;&lt;contributors&gt;&lt;authors&gt;&lt;author&gt;Dahui Qin&lt;/author&gt;&lt;/authors&gt;&lt;/contributors&gt;&lt;titles&gt;&lt;title&gt;Next-generation sequencing and its clinical application&lt;/title&gt;&lt;secondary-title&gt;Cancer Biology &amp;amp;amp; Medicine&lt;/secondary-title&gt;&lt;/titles&gt;&lt;periodical&gt;&lt;full-title&gt;Cancer Biology &amp;amp;amp; Medicine&lt;/full-title&gt;&lt;/periodical&gt;&lt;pages&gt;4-10&lt;/pages&gt;&lt;volume&gt;16&lt;/volume&gt;&lt;number&gt;1&lt;/number&gt;&lt;dates&gt;&lt;year&gt;2019&lt;/year&gt;&lt;/dates&gt;&lt;publisher&gt;China Anti-cancer Association&lt;/publisher&gt;&lt;isbn&gt;2095-3941&lt;/isbn&gt;&lt;urls&gt;&lt;related-urls&gt;&lt;url&gt;https://dx.doi.org/10.20892/j.issn.2095-3941.2018.0055&lt;/url&gt;&lt;/related-urls&gt;&lt;/urls&gt;&lt;electronic-resource-num&gt;10.20892/j.issn.2095-3941.2018.0055&lt;/electronic-resource-num&gt;&lt;/record&gt;&lt;/Cite&gt;&lt;/EndNote&gt;</w:instrText>
      </w:r>
      <w:r w:rsidR="003C4771">
        <w:fldChar w:fldCharType="separate"/>
      </w:r>
      <w:r w:rsidR="00FD77B6">
        <w:rPr>
          <w:noProof/>
        </w:rPr>
        <w:t>(Qin 2019)</w:t>
      </w:r>
      <w:r w:rsidR="003C4771">
        <w:fldChar w:fldCharType="end"/>
      </w:r>
      <w:r w:rsidR="007746BC">
        <w:t>.</w:t>
      </w:r>
    </w:p>
    <w:p w14:paraId="6C7DFA09" w14:textId="77777777" w:rsidR="009C29DE" w:rsidRDefault="009C29DE" w:rsidP="0023599C">
      <w:pPr>
        <w:pStyle w:val="ListParagraph"/>
      </w:pPr>
    </w:p>
    <w:p w14:paraId="7056FFC8" w14:textId="77777777" w:rsidR="00F4796B" w:rsidRDefault="00F5358C" w:rsidP="0023599C">
      <w:pPr>
        <w:keepNext/>
      </w:pPr>
      <w:r>
        <w:rPr>
          <w:noProof/>
        </w:rPr>
        <w:drawing>
          <wp:inline distT="0" distB="0" distL="0" distR="0" wp14:anchorId="71EF9AF4" wp14:editId="7AC5AC17">
            <wp:extent cx="6083935" cy="2008505"/>
            <wp:effectExtent l="0" t="0" r="0" b="0"/>
            <wp:docPr id="660441839" name="Picture 660441839" descr="Figure 2 Next generation sequencing (NGS) procedure&#10;The image shows 6 steps in NGS: DNA fragmentation, library preparation, massive parallel sequencing, bioinformatics analysis, and variant/mutation annotation and interpretation.&#10;Source: Retrieved from Targeted Sequencing Approach and Its Clinical Applications for the Molecular Diagnosis of Human Diseases (Pei XM et al 2023), an open-access article distributed under the terms of the Creative Commons Attribution License (CC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41839" name="Picture 660441839" descr="Figure 2 Next generation sequencing (NGS) procedure&#10;The image shows 6 steps in NGS: DNA fragmentation, library preparation, massive parallel sequencing, bioinformatics analysis, and variant/mutation annotation and interpretation.&#10;Source: Retrieved from Targeted Sequencing Approach and Its Clinical Applications for the Molecular Diagnosis of Human Diseases (Pei XM et al 2023), an open-access article distributed under the terms of the Creative Commons Attribution License (CC BY).&#10;"/>
                    <pic:cNvPicPr/>
                  </pic:nvPicPr>
                  <pic:blipFill>
                    <a:blip r:embed="rId10">
                      <a:extLst>
                        <a:ext uri="{28A0092B-C50C-407E-A947-70E740481C1C}">
                          <a14:useLocalDpi xmlns:a14="http://schemas.microsoft.com/office/drawing/2010/main" val="0"/>
                        </a:ext>
                      </a:extLst>
                    </a:blip>
                    <a:stretch>
                      <a:fillRect/>
                    </a:stretch>
                  </pic:blipFill>
                  <pic:spPr>
                    <a:xfrm>
                      <a:off x="0" y="0"/>
                      <a:ext cx="6083935" cy="2008505"/>
                    </a:xfrm>
                    <a:prstGeom prst="rect">
                      <a:avLst/>
                    </a:prstGeom>
                  </pic:spPr>
                </pic:pic>
              </a:graphicData>
            </a:graphic>
          </wp:inline>
        </w:drawing>
      </w:r>
    </w:p>
    <w:p w14:paraId="549F84DB" w14:textId="279DF6C3" w:rsidR="00F4796B" w:rsidRDefault="00F4796B" w:rsidP="00BD33CC">
      <w:pPr>
        <w:pStyle w:val="Caption"/>
        <w:jc w:val="both"/>
      </w:pPr>
      <w:r>
        <w:t xml:space="preserve">Figure </w:t>
      </w:r>
      <w:r>
        <w:fldChar w:fldCharType="begin"/>
      </w:r>
      <w:r>
        <w:instrText xml:space="preserve"> SEQ Figure \* ARABIC </w:instrText>
      </w:r>
      <w:r>
        <w:fldChar w:fldCharType="separate"/>
      </w:r>
      <w:r w:rsidR="00B561EB">
        <w:rPr>
          <w:noProof/>
        </w:rPr>
        <w:t>2</w:t>
      </w:r>
      <w:r>
        <w:fldChar w:fldCharType="end"/>
      </w:r>
      <w:r>
        <w:t xml:space="preserve"> Next generation sequencing (NGS) procedure</w:t>
      </w:r>
    </w:p>
    <w:p w14:paraId="385372F6" w14:textId="36CF48D8" w:rsidR="00F4796B" w:rsidRDefault="00F4796B" w:rsidP="00BD33CC">
      <w:pPr>
        <w:pStyle w:val="Tablenotes"/>
        <w:rPr>
          <w:lang w:val="en-GB" w:eastAsia="ja-JP"/>
        </w:rPr>
      </w:pPr>
      <w:r w:rsidDel="00E11C56">
        <w:rPr>
          <w:lang w:val="en-GB" w:eastAsia="ja-JP"/>
        </w:rPr>
        <w:t xml:space="preserve">Source: Retrieved from </w:t>
      </w:r>
      <w:r w:rsidRPr="00F4796B" w:rsidDel="00E11C56">
        <w:rPr>
          <w:lang w:val="en-GB" w:eastAsia="ja-JP"/>
        </w:rPr>
        <w:t xml:space="preserve">Targeted Sequencing Approach and Its Clinical Applications for the Molecular Diagnosis of Human Diseases </w:t>
      </w:r>
      <w:r w:rsidDel="00E11C56">
        <w:rPr>
          <w:lang w:val="en-GB" w:eastAsia="ja-JP"/>
        </w:rPr>
        <w:t>(Pei XM et al 2023)</w:t>
      </w:r>
      <w:r w:rsidR="00B526D1">
        <w:rPr>
          <w:lang w:val="en-GB" w:eastAsia="ja-JP"/>
        </w:rPr>
        <w:t xml:space="preserve">, </w:t>
      </w:r>
      <w:r w:rsidR="00B526D1" w:rsidRPr="005E4473">
        <w:rPr>
          <w:lang w:val="en-GB" w:eastAsia="ja-JP"/>
        </w:rPr>
        <w:t>an open-access article distributed under the terms of the Creative Commons Attribution License (CC BY).</w:t>
      </w:r>
    </w:p>
    <w:p w14:paraId="6F1D9136" w14:textId="1E5691F0" w:rsidR="00F4796B" w:rsidRDefault="00F4796B" w:rsidP="00BD33CC">
      <w:pPr>
        <w:pStyle w:val="Tablenotes"/>
        <w:rPr>
          <w:lang w:val="en-GB" w:eastAsia="ja-JP"/>
        </w:rPr>
      </w:pPr>
      <w:r>
        <w:rPr>
          <w:lang w:val="en-GB" w:eastAsia="ja-JP"/>
        </w:rPr>
        <w:lastRenderedPageBreak/>
        <w:t>Abbreviations: DNA=</w:t>
      </w:r>
      <w:r w:rsidRPr="00F4796B">
        <w:rPr>
          <w:lang w:val="en-GB" w:eastAsia="ja-JP"/>
        </w:rPr>
        <w:t>Deoxyribonucleic acid</w:t>
      </w:r>
      <w:r>
        <w:rPr>
          <w:lang w:val="en-GB" w:eastAsia="ja-JP"/>
        </w:rPr>
        <w:t>; FFPE=</w:t>
      </w:r>
      <w:r w:rsidRPr="00F4796B">
        <w:rPr>
          <w:lang w:val="en-GB" w:eastAsia="ja-JP"/>
        </w:rPr>
        <w:t>formalin-fixed paraffin-</w:t>
      </w:r>
      <w:r w:rsidR="009227AC" w:rsidRPr="00F4796B">
        <w:rPr>
          <w:lang w:val="en-GB" w:eastAsia="ja-JP"/>
        </w:rPr>
        <w:t>embedded</w:t>
      </w:r>
      <w:r w:rsidR="009227AC">
        <w:rPr>
          <w:lang w:val="en-GB" w:eastAsia="ja-JP"/>
        </w:rPr>
        <w:t>.</w:t>
      </w:r>
    </w:p>
    <w:p w14:paraId="48901569" w14:textId="710AC5EC" w:rsidR="00F4796B" w:rsidRDefault="00F4796B" w:rsidP="00BD33CC">
      <w:pPr>
        <w:pStyle w:val="Tablenotes"/>
        <w:rPr>
          <w:lang w:val="en-GB" w:eastAsia="ja-JP"/>
        </w:rPr>
      </w:pPr>
      <w:r>
        <w:rPr>
          <w:lang w:val="en-GB" w:eastAsia="ja-JP"/>
        </w:rPr>
        <w:t xml:space="preserve">Note: </w:t>
      </w:r>
      <w:r w:rsidRPr="00F4796B">
        <w:rPr>
          <w:lang w:val="en-GB" w:eastAsia="ja-JP"/>
        </w:rPr>
        <w:t>FASTQ is a text-based sequencing data file format that stores both raw sequence data and quality scores</w:t>
      </w:r>
    </w:p>
    <w:p w14:paraId="0F19B03C" w14:textId="70B5890C" w:rsidR="001310DD" w:rsidRDefault="001310DD" w:rsidP="0023599C">
      <w:pPr>
        <w:pStyle w:val="Tablenotes"/>
        <w:jc w:val="left"/>
      </w:pPr>
    </w:p>
    <w:p w14:paraId="10015B9D" w14:textId="17913A9B" w:rsidR="00687DA0" w:rsidRDefault="003A6463" w:rsidP="00BD33CC">
      <w:pPr>
        <w:spacing w:before="120" w:after="160" w:line="259" w:lineRule="auto"/>
      </w:pPr>
      <w:r>
        <w:t xml:space="preserve">In the CAPItello-291 trial, the study population was tested with NGS using FoundationOneCDx assay to detect </w:t>
      </w:r>
      <w:r w:rsidR="001713D9">
        <w:t>AKT pathway</w:t>
      </w:r>
      <w:r>
        <w:t xml:space="preserve"> alterations and this test is currently </w:t>
      </w:r>
      <w:r w:rsidR="00806146">
        <w:t>un</w:t>
      </w:r>
      <w:r>
        <w:t>available in Australia.</w:t>
      </w:r>
      <w:r w:rsidR="001E1E3D">
        <w:t xml:space="preserve"> </w:t>
      </w:r>
      <w:r w:rsidR="001E1E3D" w:rsidRPr="001E1E3D">
        <w:t>Furthermore, it is not clear how this test compares with other commercial or in-house developed tests</w:t>
      </w:r>
      <w:r w:rsidR="001E1E3D">
        <w:t>.</w:t>
      </w:r>
      <w:r>
        <w:t xml:space="preserve"> FoundationOneCDx is FDA-approved to identify </w:t>
      </w:r>
      <w:r w:rsidR="00FC6F80" w:rsidRPr="00302B40">
        <w:rPr>
          <w:i/>
          <w:iCs/>
        </w:rPr>
        <w:t>PIK3CA</w:t>
      </w:r>
      <w:r w:rsidR="00FC6F80">
        <w:t xml:space="preserve"> biomarker</w:t>
      </w:r>
      <w:r>
        <w:t xml:space="preserve"> using</w:t>
      </w:r>
      <w:r w:rsidR="00FC6F80">
        <w:t xml:space="preserve"> breast</w:t>
      </w:r>
      <w:r>
        <w:t xml:space="preserve"> tissue sample </w:t>
      </w:r>
      <w:r>
        <w:fldChar w:fldCharType="begin"/>
      </w:r>
      <w:r w:rsidR="00B76195">
        <w:instrText xml:space="preserve"> ADDIN EN.CITE &lt;EndNote&gt;&lt;Cite ExcludeAuth="1" ExcludeYear="1"&gt;&lt;Author&gt;Food and Drug Administration&lt;/Author&gt;&lt;Year&gt;2023 Dec 21&lt;/Year&gt;&lt;RecNum&gt;18&lt;/RecNum&gt;&lt;Prefix&gt;FDA 2023&lt;/Prefix&gt;&lt;DisplayText&gt;(FDA 2023)&lt;/DisplayText&gt;&lt;record&gt;&lt;rec-number&gt;18&lt;/rec-number&gt;&lt;foreign-keys&gt;&lt;key app="EN" db-id="5xftswrv6zts2ke2xrkvxe2zr9e5effztde0" timestamp="1707460515"&gt;18&lt;/key&gt;&lt;/foreign-keys&gt;&lt;ref-type name="Web Page"&gt;12&lt;/ref-type&gt;&lt;contributors&gt;&lt;authors&gt;&lt;author&gt;Food and Drug Administration,&lt;/author&gt;&lt;/authors&gt;&lt;/contributors&gt;&lt;titles&gt;&lt;title&gt;List of Cleared or Approved Companion Diagnostic Devices (In Vitro and Imaging Tools)&lt;/title&gt;&lt;/titles&gt;&lt;number&gt;2024 February 09&lt;/number&gt;&lt;dates&gt;&lt;year&gt;2023 Dec 21&lt;/year&gt;&lt;/dates&gt;&lt;work-type&gt;Internet&lt;/work-type&gt;&lt;urls&gt;&lt;related-urls&gt;&lt;url&gt;https://www.fda.gov/medical-devices/in-vitro-diagnostics/list-cleared-or-approved-companion-diagnostic-devices-in-vitro-and-imaging-tools&lt;/url&gt;&lt;/related-urls&gt;&lt;/urls&gt;&lt;/record&gt;&lt;/Cite&gt;&lt;/EndNote&gt;</w:instrText>
      </w:r>
      <w:r>
        <w:fldChar w:fldCharType="separate"/>
      </w:r>
      <w:r w:rsidR="00B76195">
        <w:rPr>
          <w:noProof/>
        </w:rPr>
        <w:t>(FDA 2023)</w:t>
      </w:r>
      <w:r>
        <w:fldChar w:fldCharType="end"/>
      </w:r>
      <w:r>
        <w:t>.</w:t>
      </w:r>
      <w:r w:rsidR="00AF070C">
        <w:t xml:space="preserve"> </w:t>
      </w:r>
      <w:r w:rsidR="00FC6F80">
        <w:t xml:space="preserve">Of note, FoundationOneCDx assay can also assess </w:t>
      </w:r>
      <w:r w:rsidR="00CA7AC2" w:rsidRPr="00CA7AC2">
        <w:rPr>
          <w:i/>
          <w:iCs/>
        </w:rPr>
        <w:t>AKT1</w:t>
      </w:r>
      <w:r w:rsidR="00FC6F80">
        <w:t xml:space="preserve"> and </w:t>
      </w:r>
      <w:r w:rsidR="00FC6F80" w:rsidRPr="00717C54">
        <w:rPr>
          <w:i/>
          <w:iCs/>
        </w:rPr>
        <w:t xml:space="preserve">PTEN </w:t>
      </w:r>
      <w:r w:rsidR="00FC6F80">
        <w:t xml:space="preserve">biomarkers. </w:t>
      </w:r>
      <w:r w:rsidR="00B52BAE">
        <w:t xml:space="preserve">As for ctDNA analysis, </w:t>
      </w:r>
      <w:r>
        <w:t xml:space="preserve">FoundationOne Liquid CDx is the only FDA-approved companion diagnostic test to </w:t>
      </w:r>
      <w:r w:rsidR="00AF070C">
        <w:t>analyse</w:t>
      </w:r>
      <w:r>
        <w:t xml:space="preserve"> guideline-recommended genes (such as </w:t>
      </w:r>
      <w:r w:rsidRPr="00302B40">
        <w:rPr>
          <w:i/>
          <w:iCs/>
        </w:rPr>
        <w:t>PIK3CA</w:t>
      </w:r>
      <w:r>
        <w:t>) from blood sample</w:t>
      </w:r>
      <w:r w:rsidR="008A24DC">
        <w:t>s</w:t>
      </w:r>
      <w:r>
        <w:t xml:space="preserve">, with the intention of identifying patients who may benefit from targeted treatment </w:t>
      </w:r>
      <w:r>
        <w:fldChar w:fldCharType="begin"/>
      </w:r>
      <w:r w:rsidR="00FD77B6">
        <w:instrText xml:space="preserve"> ADDIN EN.CITE &lt;EndNote&gt;&lt;Cite&gt;&lt;Author&gt;Foundation Medicine Inc&lt;/Author&gt;&lt;Year&gt;2024&lt;/Year&gt;&lt;RecNum&gt;19&lt;/RecNum&gt;&lt;DisplayText&gt;(Foundation Medicine Inc 2024)&lt;/DisplayText&gt;&lt;record&gt;&lt;rec-number&gt;19&lt;/rec-number&gt;&lt;foreign-keys&gt;&lt;key app="EN" db-id="5xftswrv6zts2ke2xrkvxe2zr9e5effztde0" timestamp="1707461114"&gt;19&lt;/key&gt;&lt;/foreign-keys&gt;&lt;ref-type name="Web Page"&gt;12&lt;/ref-type&gt;&lt;contributors&gt;&lt;authors&gt;&lt;author&gt;Foundation Medicine Inc,&lt;/author&gt;&lt;/authors&gt;&lt;/contributors&gt;&lt;titles&gt;&lt;title&gt;FoundationOne®Liquid CDx&lt;/title&gt;&lt;/titles&gt;&lt;number&gt;2024 February 09&lt;/number&gt;&lt;dates&gt;&lt;year&gt;2024&lt;/year&gt;&lt;/dates&gt;&lt;work-type&gt;Internet&lt;/work-type&gt;&lt;urls&gt;&lt;related-urls&gt;&lt;url&gt;https://www.foundationmedicine.com/test/foundationone-liquid-cdx&lt;/url&gt;&lt;/related-urls&gt;&lt;/urls&gt;&lt;/record&gt;&lt;/Cite&gt;&lt;/EndNote&gt;</w:instrText>
      </w:r>
      <w:r>
        <w:fldChar w:fldCharType="separate"/>
      </w:r>
      <w:r w:rsidR="00FD77B6">
        <w:rPr>
          <w:noProof/>
        </w:rPr>
        <w:t>(Foundation Medicine Inc 2024)</w:t>
      </w:r>
      <w:r>
        <w:fldChar w:fldCharType="end"/>
      </w:r>
      <w:r>
        <w:t>.</w:t>
      </w:r>
      <w:r w:rsidR="0056367C">
        <w:t xml:space="preserve"> However, assessment of </w:t>
      </w:r>
      <w:r w:rsidR="00CA7AC2" w:rsidRPr="00CA7AC2">
        <w:rPr>
          <w:i/>
          <w:iCs/>
        </w:rPr>
        <w:t>AKT1</w:t>
      </w:r>
      <w:r w:rsidR="0056367C">
        <w:t xml:space="preserve"> and </w:t>
      </w:r>
      <w:r w:rsidR="0056367C" w:rsidRPr="00717C54">
        <w:rPr>
          <w:i/>
          <w:iCs/>
        </w:rPr>
        <w:t>PTEN</w:t>
      </w:r>
      <w:r w:rsidR="0056367C">
        <w:t xml:space="preserve"> biomarker using FoundationOne Liquid CDx is </w:t>
      </w:r>
      <w:r w:rsidR="00BF6F65">
        <w:t>currently un</w:t>
      </w:r>
      <w:r w:rsidR="0056367C">
        <w:t>available</w:t>
      </w:r>
      <w:r w:rsidR="00F95D25">
        <w:t xml:space="preserve"> </w:t>
      </w:r>
      <w:r w:rsidR="00F95D25">
        <w:fldChar w:fldCharType="begin"/>
      </w:r>
      <w:r w:rsidR="00FD77B6">
        <w:instrText xml:space="preserve"> ADDIN EN.CITE &lt;EndNote&gt;&lt;Cite&gt;&lt;Author&gt;Foundation Medicine Inc&lt;/Author&gt;&lt;Year&gt;2024&lt;/Year&gt;&lt;RecNum&gt;19&lt;/RecNum&gt;&lt;DisplayText&gt;(Foundation Medicine Inc 2024)&lt;/DisplayText&gt;&lt;record&gt;&lt;rec-number&gt;19&lt;/rec-number&gt;&lt;foreign-keys&gt;&lt;key app="EN" db-id="5xftswrv6zts2ke2xrkvxe2zr9e5effztde0" timestamp="1707461114"&gt;19&lt;/key&gt;&lt;/foreign-keys&gt;&lt;ref-type name="Web Page"&gt;12&lt;/ref-type&gt;&lt;contributors&gt;&lt;authors&gt;&lt;author&gt;Foundation Medicine Inc,&lt;/author&gt;&lt;/authors&gt;&lt;/contributors&gt;&lt;titles&gt;&lt;title&gt;FoundationOne®Liquid CDx&lt;/title&gt;&lt;/titles&gt;&lt;number&gt;2024 February 09&lt;/number&gt;&lt;dates&gt;&lt;year&gt;2024&lt;/year&gt;&lt;/dates&gt;&lt;work-type&gt;Internet&lt;/work-type&gt;&lt;urls&gt;&lt;related-urls&gt;&lt;url&gt;https://www.foundationmedicine.com/test/foundationone-liquid-cdx&lt;/url&gt;&lt;/related-urls&gt;&lt;/urls&gt;&lt;/record&gt;&lt;/Cite&gt;&lt;/EndNote&gt;</w:instrText>
      </w:r>
      <w:r w:rsidR="00F95D25">
        <w:fldChar w:fldCharType="separate"/>
      </w:r>
      <w:r w:rsidR="00FD77B6">
        <w:rPr>
          <w:noProof/>
        </w:rPr>
        <w:t>(Foundation Medicine Inc 2024)</w:t>
      </w:r>
      <w:r w:rsidR="00F95D25">
        <w:fldChar w:fldCharType="end"/>
      </w:r>
      <w:r w:rsidR="0056367C">
        <w:t>.</w:t>
      </w:r>
      <w:r w:rsidR="00312735" w:rsidRPr="00312735">
        <w:t xml:space="preserve"> </w:t>
      </w:r>
    </w:p>
    <w:p w14:paraId="6189F1CF" w14:textId="496E85A4" w:rsidR="005F5D4C" w:rsidRPr="00BD33CC" w:rsidRDefault="005F5D4C" w:rsidP="0050FB8E">
      <w:pPr>
        <w:spacing w:before="120" w:after="160" w:line="259" w:lineRule="auto"/>
        <w:rPr>
          <w:rFonts w:asciiTheme="minorHAnsi" w:hAnsiTheme="minorHAnsi" w:cstheme="minorBidi"/>
          <w:i/>
        </w:rPr>
      </w:pPr>
      <w:r w:rsidRPr="0050FB8E">
        <w:rPr>
          <w:rFonts w:asciiTheme="minorHAnsi" w:hAnsiTheme="minorHAnsi" w:cstheme="minorBidi"/>
          <w:i/>
        </w:rPr>
        <w:t xml:space="preserve">PASC highlighted that the FoundationOneCDx assay used in the CAPItello-291 trial could identify a wide range of genes including </w:t>
      </w:r>
      <w:r w:rsidR="003D151C">
        <w:rPr>
          <w:rFonts w:asciiTheme="minorHAnsi" w:hAnsiTheme="minorHAnsi" w:cstheme="minorHAnsi"/>
          <w:i/>
          <w:iCs/>
        </w:rPr>
        <w:t xml:space="preserve">BRCA1/2, </w:t>
      </w:r>
      <w:r w:rsidRPr="0050FB8E">
        <w:rPr>
          <w:rFonts w:asciiTheme="minorHAnsi" w:hAnsiTheme="minorHAnsi" w:cstheme="minorBidi"/>
          <w:i/>
        </w:rPr>
        <w:t xml:space="preserve">PIK3CA, AKT, mTOR and PTEN. Hence, </w:t>
      </w:r>
      <w:r w:rsidR="001713D9">
        <w:rPr>
          <w:rFonts w:asciiTheme="minorHAnsi" w:hAnsiTheme="minorHAnsi" w:cstheme="minorBidi"/>
          <w:i/>
        </w:rPr>
        <w:t>AKT pathway</w:t>
      </w:r>
      <w:r w:rsidRPr="0050FB8E">
        <w:rPr>
          <w:rFonts w:asciiTheme="minorHAnsi" w:hAnsiTheme="minorHAnsi" w:cstheme="minorBidi"/>
          <w:i/>
        </w:rPr>
        <w:t xml:space="preserve"> testing </w:t>
      </w:r>
      <w:r w:rsidR="00696799" w:rsidRPr="0050FB8E">
        <w:rPr>
          <w:rFonts w:asciiTheme="minorHAnsi" w:hAnsiTheme="minorHAnsi" w:cstheme="minorBidi"/>
          <w:i/>
        </w:rPr>
        <w:t xml:space="preserve">using </w:t>
      </w:r>
      <w:r w:rsidR="58775BBE" w:rsidRPr="0050FB8E">
        <w:rPr>
          <w:rFonts w:asciiTheme="minorHAnsi" w:hAnsiTheme="minorHAnsi" w:cstheme="minorBidi"/>
          <w:i/>
          <w:iCs/>
        </w:rPr>
        <w:t xml:space="preserve">a test such as </w:t>
      </w:r>
      <w:r w:rsidR="00696799" w:rsidRPr="0050FB8E">
        <w:rPr>
          <w:rFonts w:asciiTheme="minorHAnsi" w:hAnsiTheme="minorHAnsi" w:cstheme="minorBidi"/>
          <w:i/>
        </w:rPr>
        <w:t>the FoundationOneCDx assay</w:t>
      </w:r>
      <w:r w:rsidRPr="0050FB8E">
        <w:rPr>
          <w:rFonts w:asciiTheme="minorHAnsi" w:hAnsiTheme="minorHAnsi" w:cstheme="minorBidi"/>
          <w:i/>
        </w:rPr>
        <w:t xml:space="preserve"> </w:t>
      </w:r>
      <w:r w:rsidR="3639B8EB" w:rsidRPr="0050FB8E">
        <w:rPr>
          <w:rFonts w:asciiTheme="minorHAnsi" w:hAnsiTheme="minorHAnsi" w:cstheme="minorBidi"/>
          <w:i/>
          <w:iCs/>
        </w:rPr>
        <w:t xml:space="preserve">that </w:t>
      </w:r>
      <w:r w:rsidR="00427F40">
        <w:rPr>
          <w:rFonts w:asciiTheme="minorHAnsi" w:hAnsiTheme="minorHAnsi" w:cstheme="minorBidi"/>
          <w:i/>
          <w:iCs/>
        </w:rPr>
        <w:t xml:space="preserve">identifies </w:t>
      </w:r>
      <w:r w:rsidR="3639B8EB" w:rsidRPr="0050FB8E">
        <w:rPr>
          <w:rFonts w:asciiTheme="minorHAnsi" w:hAnsiTheme="minorHAnsi" w:cstheme="minorBidi"/>
          <w:i/>
          <w:iCs/>
        </w:rPr>
        <w:t>other clinically informative biomarkers (e.g.</w:t>
      </w:r>
      <w:r w:rsidR="001713D9">
        <w:rPr>
          <w:rFonts w:asciiTheme="minorHAnsi" w:hAnsiTheme="minorHAnsi" w:cstheme="minorBidi"/>
          <w:i/>
          <w:iCs/>
        </w:rPr>
        <w:t xml:space="preserve"> </w:t>
      </w:r>
      <w:r w:rsidR="3639B8EB" w:rsidRPr="0050FB8E">
        <w:rPr>
          <w:rFonts w:asciiTheme="minorHAnsi" w:hAnsiTheme="minorHAnsi" w:cstheme="minorBidi"/>
          <w:i/>
          <w:iCs/>
        </w:rPr>
        <w:t>BRCA1/2)</w:t>
      </w:r>
      <w:r w:rsidRPr="0050FB8E">
        <w:rPr>
          <w:rFonts w:asciiTheme="minorHAnsi" w:hAnsiTheme="minorHAnsi" w:cstheme="minorBidi"/>
          <w:i/>
          <w:iCs/>
        </w:rPr>
        <w:t xml:space="preserve"> </w:t>
      </w:r>
      <w:r w:rsidRPr="0050FB8E">
        <w:rPr>
          <w:rFonts w:asciiTheme="minorHAnsi" w:hAnsiTheme="minorHAnsi" w:cstheme="minorBidi"/>
          <w:i/>
        </w:rPr>
        <w:t>could be a one-test-for-all to assist clinicians in differentiating between various second line treatments.</w:t>
      </w:r>
    </w:p>
    <w:p w14:paraId="64BD784D" w14:textId="50A6D3B1" w:rsidR="003E0967" w:rsidRPr="00BD33CC" w:rsidRDefault="003E0967" w:rsidP="00BD33CC">
      <w:pPr>
        <w:spacing w:before="120" w:after="160" w:line="259" w:lineRule="auto"/>
        <w:rPr>
          <w:i/>
          <w:iCs/>
        </w:rPr>
      </w:pPr>
      <w:r w:rsidRPr="00BD33CC">
        <w:rPr>
          <w:i/>
          <w:iCs/>
        </w:rPr>
        <w:t xml:space="preserve">PASC </w:t>
      </w:r>
      <w:r w:rsidR="00313F66">
        <w:rPr>
          <w:i/>
          <w:iCs/>
        </w:rPr>
        <w:t>advised</w:t>
      </w:r>
      <w:r w:rsidR="00011F47">
        <w:rPr>
          <w:i/>
          <w:iCs/>
        </w:rPr>
        <w:t xml:space="preserve"> a</w:t>
      </w:r>
      <w:r w:rsidR="00313F66" w:rsidRPr="00BD33CC">
        <w:rPr>
          <w:i/>
          <w:iCs/>
        </w:rPr>
        <w:t xml:space="preserve"> </w:t>
      </w:r>
      <w:r w:rsidRPr="00BD33CC">
        <w:rPr>
          <w:i/>
          <w:iCs/>
        </w:rPr>
        <w:t xml:space="preserve">comparison of the analytical performance (concordance and discordance) of the clinical utility </w:t>
      </w:r>
      <w:r w:rsidR="00E4118F" w:rsidRPr="00BD33CC">
        <w:rPr>
          <w:i/>
          <w:iCs/>
        </w:rPr>
        <w:t>standard,</w:t>
      </w:r>
      <w:r w:rsidRPr="00BD33CC">
        <w:rPr>
          <w:i/>
          <w:iCs/>
        </w:rPr>
        <w:t xml:space="preserve"> with respect to </w:t>
      </w:r>
      <w:r w:rsidR="00B22366">
        <w:rPr>
          <w:i/>
          <w:iCs/>
        </w:rPr>
        <w:t xml:space="preserve">detection of </w:t>
      </w:r>
      <w:r w:rsidR="00F37036">
        <w:rPr>
          <w:i/>
          <w:iCs/>
        </w:rPr>
        <w:t xml:space="preserve">tier 1 variants in </w:t>
      </w:r>
      <w:r w:rsidRPr="00BD33CC">
        <w:rPr>
          <w:i/>
          <w:iCs/>
        </w:rPr>
        <w:t>PIK3CA, AKT1 and PTEN</w:t>
      </w:r>
      <w:r w:rsidR="007C3DA2">
        <w:rPr>
          <w:i/>
          <w:iCs/>
        </w:rPr>
        <w:t xml:space="preserve"> genes</w:t>
      </w:r>
      <w:r w:rsidRPr="00BD33CC">
        <w:rPr>
          <w:i/>
          <w:iCs/>
        </w:rPr>
        <w:t xml:space="preserve"> </w:t>
      </w:r>
      <w:r w:rsidR="00975773">
        <w:rPr>
          <w:i/>
          <w:iCs/>
        </w:rPr>
        <w:t>(</w:t>
      </w:r>
      <w:r w:rsidRPr="00BD33CC">
        <w:rPr>
          <w:i/>
          <w:iCs/>
        </w:rPr>
        <w:t>including PTEN copy number variants</w:t>
      </w:r>
      <w:r w:rsidR="00975773">
        <w:rPr>
          <w:i/>
          <w:iCs/>
        </w:rPr>
        <w:t>)</w:t>
      </w:r>
      <w:r w:rsidRPr="00BD33CC">
        <w:rPr>
          <w:i/>
          <w:iCs/>
        </w:rPr>
        <w:t xml:space="preserve"> using NGS (commercial or in-house developed)</w:t>
      </w:r>
      <w:r>
        <w:rPr>
          <w:i/>
          <w:iCs/>
        </w:rPr>
        <w:t>.</w:t>
      </w:r>
    </w:p>
    <w:p w14:paraId="10DB6142" w14:textId="36004B1C" w:rsidR="004B5192" w:rsidRDefault="004B5192" w:rsidP="0023599C">
      <w:pPr>
        <w:pStyle w:val="Heading4"/>
      </w:pPr>
      <w:r>
        <w:t>NGS in Australia</w:t>
      </w:r>
    </w:p>
    <w:p w14:paraId="28FB8F93" w14:textId="0F05AD59" w:rsidR="0026291D" w:rsidRDefault="00E679B9" w:rsidP="00BD33CC">
      <w:pPr>
        <w:spacing w:before="120" w:after="160" w:line="259" w:lineRule="auto"/>
      </w:pPr>
      <w:r>
        <w:t>T</w:t>
      </w:r>
      <w:r w:rsidR="004E4A12">
        <w:t xml:space="preserve">here are </w:t>
      </w:r>
      <w:r>
        <w:t xml:space="preserve">currently </w:t>
      </w:r>
      <w:r w:rsidR="004E4A12">
        <w:t xml:space="preserve">limited NGS </w:t>
      </w:r>
      <w:r w:rsidR="002F270E">
        <w:t>i</w:t>
      </w:r>
      <w:r w:rsidR="004E4A12">
        <w:t>n vitro diagnostics (IVD) approved by the</w:t>
      </w:r>
      <w:r w:rsidR="004E4A12" w:rsidRPr="00B8691F">
        <w:t xml:space="preserve"> Australian Register of Therapeutic Goods (ARTG)</w:t>
      </w:r>
      <w:r w:rsidR="00187436">
        <w:t>:</w:t>
      </w:r>
    </w:p>
    <w:p w14:paraId="0F730747" w14:textId="6E93B1C5" w:rsidR="00A27C7A" w:rsidRDefault="00A27C7A" w:rsidP="00BD33CC">
      <w:pPr>
        <w:pStyle w:val="ListParagraph"/>
        <w:numPr>
          <w:ilvl w:val="0"/>
          <w:numId w:val="14"/>
        </w:numPr>
        <w:spacing w:before="120" w:after="160" w:line="259" w:lineRule="auto"/>
      </w:pPr>
      <w:r>
        <w:t>Illumina</w:t>
      </w:r>
      <w:r w:rsidR="00187436">
        <w:t xml:space="preserve"> </w:t>
      </w:r>
      <w:r w:rsidR="00C915C1">
        <w:t>(</w:t>
      </w:r>
      <w:r w:rsidR="00C915C1" w:rsidRPr="00C915C1">
        <w:t>ARTG ID 297844</w:t>
      </w:r>
      <w:r w:rsidR="00C915C1">
        <w:t>)</w:t>
      </w:r>
      <w:r w:rsidR="00C915C1" w:rsidRPr="00C915C1">
        <w:t xml:space="preserve"> </w:t>
      </w:r>
      <w:r w:rsidR="00187436">
        <w:t xml:space="preserve">- </w:t>
      </w:r>
      <w:r w:rsidR="00224277">
        <w:t>NGS IVD intended for the purposes of human genetic testing</w:t>
      </w:r>
      <w:r w:rsidR="0089476F">
        <w:t xml:space="preserve"> </w:t>
      </w:r>
      <w:r w:rsidR="0089476F">
        <w:fldChar w:fldCharType="begin"/>
      </w:r>
      <w:r w:rsidR="00B76195">
        <w:instrText xml:space="preserve"> ADDIN EN.CITE &lt;EndNote&gt;&lt;Cite ExcludeAuth="1"&gt;&lt;Author&gt;Department of Health and Aged Care&lt;/Author&gt;&lt;Year&gt;2017&lt;/Year&gt;&lt;RecNum&gt;17&lt;/RecNum&gt;&lt;Prefix&gt;DHAC &lt;/Prefix&gt;&lt;DisplayText&gt;(DHAC 2017)&lt;/DisplayText&gt;&lt;record&gt;&lt;rec-number&gt;17&lt;/rec-number&gt;&lt;foreign-keys&gt;&lt;key app="EN" db-id="5xftswrv6zts2ke2xrkvxe2zr9e5effztde0" timestamp="1707456707"&gt;17&lt;/key&gt;&lt;/foreign-keys&gt;&lt;ref-type name="Web Page"&gt;12&lt;/ref-type&gt;&lt;contributors&gt;&lt;authors&gt;&lt;author&gt;Department of Health and Aged Care,&lt;/author&gt;&lt;/authors&gt;&lt;/contributors&gt;&lt;titles&gt;&lt;title&gt;Illumina Australia Pty Ltd - Human genetics-related IVDs (297844)&lt;/title&gt;&lt;/titles&gt;&lt;number&gt;2024 Feb 28&lt;/number&gt;&lt;dates&gt;&lt;year&gt;2017&lt;/year&gt;&lt;/dates&gt;&lt;work-type&gt;Internet&lt;/work-type&gt;&lt;urls&gt;&lt;related-urls&gt;&lt;url&gt;https://www.tga.gov.au/resources/artg/297844&lt;/url&gt;&lt;/related-urls&gt;&lt;/urls&gt;&lt;custom1&gt;2024&lt;/custom1&gt;&lt;custom2&gt;Feb 9&lt;/custom2&gt;&lt;/record&gt;&lt;/Cite&gt;&lt;/EndNote&gt;</w:instrText>
      </w:r>
      <w:r w:rsidR="0089476F">
        <w:fldChar w:fldCharType="separate"/>
      </w:r>
      <w:r w:rsidR="00B76195">
        <w:rPr>
          <w:noProof/>
        </w:rPr>
        <w:t>(DHAC 2017)</w:t>
      </w:r>
      <w:r w:rsidR="0089476F">
        <w:fldChar w:fldCharType="end"/>
      </w:r>
    </w:p>
    <w:p w14:paraId="439A7F45" w14:textId="1F2BFA82" w:rsidR="00A27C7A" w:rsidRDefault="00A27C7A" w:rsidP="00BD33CC">
      <w:pPr>
        <w:pStyle w:val="ListParagraph"/>
        <w:numPr>
          <w:ilvl w:val="0"/>
          <w:numId w:val="14"/>
        </w:numPr>
        <w:spacing w:before="120" w:after="160" w:line="259" w:lineRule="auto"/>
      </w:pPr>
      <w:r>
        <w:t>ThermoFisher Scientific</w:t>
      </w:r>
      <w:r w:rsidR="00AD5E36" w:rsidRPr="00AD5E36">
        <w:t xml:space="preserve"> </w:t>
      </w:r>
      <w:r w:rsidR="00AD5E36">
        <w:t>(</w:t>
      </w:r>
      <w:r w:rsidR="00AD5E36" w:rsidRPr="00AD5E36">
        <w:t>ARTG ID 426895</w:t>
      </w:r>
      <w:r w:rsidR="00AD5E36">
        <w:t>)</w:t>
      </w:r>
      <w:r>
        <w:t xml:space="preserve"> - </w:t>
      </w:r>
      <w:r w:rsidRPr="00A27C7A">
        <w:t xml:space="preserve">Oncomine™ Dx Target Test </w:t>
      </w:r>
      <w:r>
        <w:t xml:space="preserve">is </w:t>
      </w:r>
      <w:r w:rsidRPr="00A27C7A">
        <w:t xml:space="preserve">indicated as a companion diagnostic to aid </w:t>
      </w:r>
      <w:r w:rsidR="00F33F70">
        <w:t xml:space="preserve">selection of patients with </w:t>
      </w:r>
      <w:r w:rsidRPr="00A27C7A">
        <w:t xml:space="preserve">non-small cell lung cancer  </w:t>
      </w:r>
      <w:r>
        <w:t>for targeted therapies</w:t>
      </w:r>
      <w:r w:rsidR="0089476F">
        <w:t xml:space="preserve"> </w:t>
      </w:r>
      <w:r w:rsidR="0089476F">
        <w:fldChar w:fldCharType="begin"/>
      </w:r>
      <w:r w:rsidR="00B76195">
        <w:instrText xml:space="preserve"> ADDIN EN.CITE &lt;EndNote&gt;&lt;Cite ExcludeAuth="1"&gt;&lt;Author&gt;Department of Health and Aged Care&lt;/Author&gt;&lt;Year&gt;2023&lt;/Year&gt;&lt;RecNum&gt;29&lt;/RecNum&gt;&lt;Prefix&gt;DHAC &lt;/Prefix&gt;&lt;DisplayText&gt;(DHAC 2023)&lt;/DisplayText&gt;&lt;record&gt;&lt;rec-number&gt;29&lt;/rec-number&gt;&lt;foreign-keys&gt;&lt;key app="EN" db-id="5xftswrv6zts2ke2xrkvxe2zr9e5effztde0" timestamp="1709275258"&gt;29&lt;/key&gt;&lt;/foreign-keys&gt;&lt;ref-type name="Web Page"&gt;12&lt;/ref-type&gt;&lt;contributors&gt;&lt;authors&gt;&lt;author&gt;Department of Health and Aged Care,&lt;/author&gt;&lt;/authors&gt;&lt;/contributors&gt;&lt;titles&gt;&lt;title&gt;Thermo Fisher Scientific Australia Pty Ltd&lt;/title&gt;&lt;/titles&gt;&lt;number&gt;2024 February 28&lt;/number&gt;&lt;dates&gt;&lt;year&gt;2023&lt;/year&gt;&lt;/dates&gt;&lt;work-type&gt;Internet&lt;/work-type&gt;&lt;urls&gt;&lt;related-urls&gt;&lt;url&gt;https://www.tga.gov.au/resources/artg/426895&lt;/url&gt;&lt;/related-urls&gt;&lt;/urls&gt;&lt;custom1&gt;2024&lt;/custom1&gt;&lt;custom2&gt;Feb 10&lt;/custom2&gt;&lt;/record&gt;&lt;/Cite&gt;&lt;/EndNote&gt;</w:instrText>
      </w:r>
      <w:r w:rsidR="0089476F">
        <w:fldChar w:fldCharType="separate"/>
      </w:r>
      <w:r w:rsidR="00B76195">
        <w:rPr>
          <w:noProof/>
        </w:rPr>
        <w:t>(DHAC 2023)</w:t>
      </w:r>
      <w:r w:rsidR="0089476F">
        <w:fldChar w:fldCharType="end"/>
      </w:r>
      <w:r w:rsidR="001C0D33">
        <w:t>.</w:t>
      </w:r>
    </w:p>
    <w:p w14:paraId="16C4FAB4" w14:textId="7F75C74F" w:rsidR="00EF0D1D" w:rsidRDefault="00EF0D1D" w:rsidP="00BD33CC">
      <w:pPr>
        <w:spacing w:before="120" w:after="160" w:line="259" w:lineRule="auto"/>
      </w:pPr>
      <w:r>
        <w:t xml:space="preserve">NGS that is not approved by TGA as </w:t>
      </w:r>
      <w:r w:rsidR="00CC741E">
        <w:t xml:space="preserve">a </w:t>
      </w:r>
      <w:r>
        <w:t xml:space="preserve">commercial test is considered to be an in-house IVD device and subject to regulation according to IVD regulatory framework </w:t>
      </w:r>
      <w:r>
        <w:fldChar w:fldCharType="begin"/>
      </w:r>
      <w:r w:rsidR="00AC14C2">
        <w:instrText xml:space="preserve"> ADDIN EN.CITE &lt;EndNote&gt;&lt;Cite ExcludeAuth="1"&gt;&lt;Author&gt;National Pathology Accreditation Advisory Council&lt;/Author&gt;&lt;Year&gt;2017&lt;/Year&gt;&lt;RecNum&gt;15&lt;/RecNum&gt;&lt;Prefix&gt;NPAA &lt;/Prefix&gt;&lt;DisplayText&gt;(NPAA 2017)&lt;/DisplayText&gt;&lt;record&gt;&lt;rec-number&gt;15&lt;/rec-number&gt;&lt;foreign-keys&gt;&lt;key app="EN" db-id="5xftswrv6zts2ke2xrkvxe2zr9e5effztde0" timestamp="1707439718"&gt;15&lt;/key&gt;&lt;/foreign-keys&gt;&lt;ref-type name="Report"&gt;27&lt;/ref-type&gt;&lt;contributors&gt;&lt;authors&gt;&lt;author&gt;National Pathology Accreditation Advisory Council,&lt;/author&gt;&lt;/authors&gt;&lt;tertiary-authors&gt;&lt;author&gt;Australian Government Department of Health, &lt;/author&gt;&lt;/tertiary-authors&gt;&lt;/contributors&gt;&lt;titles&gt;&lt;title&gt;Requirements for Human Medical Genome Testing Utilising Massively Parallel Sequencing Technologies &lt;/title&gt;&lt;/titles&gt;&lt;edition&gt;First&lt;/edition&gt;&lt;dates&gt;&lt;year&gt;2017&lt;/year&gt;&lt;/dates&gt;&lt;pub-location&gt;Canberra ACT&lt;/pub-location&gt;&lt;urls&gt;&lt;/urls&gt;&lt;/record&gt;&lt;/Cite&gt;&lt;/EndNote&gt;</w:instrText>
      </w:r>
      <w:r>
        <w:fldChar w:fldCharType="separate"/>
      </w:r>
      <w:r w:rsidR="00AC14C2">
        <w:rPr>
          <w:noProof/>
        </w:rPr>
        <w:t>(NPAA 2017)</w:t>
      </w:r>
      <w:r>
        <w:fldChar w:fldCharType="end"/>
      </w:r>
      <w:r>
        <w:t xml:space="preserve">. </w:t>
      </w:r>
    </w:p>
    <w:p w14:paraId="14A72D96" w14:textId="2CA8EAAA" w:rsidR="004147AB" w:rsidRPr="004D2501" w:rsidRDefault="004147AB" w:rsidP="00BD33CC">
      <w:pPr>
        <w:spacing w:before="120" w:after="160" w:line="259" w:lineRule="auto"/>
        <w:rPr>
          <w:color w:val="00B050"/>
        </w:rPr>
      </w:pPr>
      <w:r>
        <w:t>As of 15</w:t>
      </w:r>
      <w:r w:rsidRPr="004147AB">
        <w:rPr>
          <w:vertAlign w:val="superscript"/>
        </w:rPr>
        <w:t>th</w:t>
      </w:r>
      <w:r>
        <w:t xml:space="preserve"> February 2024, there are </w:t>
      </w:r>
      <w:r w:rsidR="00A36F20">
        <w:t>2</w:t>
      </w:r>
      <w:r w:rsidR="006D4791">
        <w:t>7</w:t>
      </w:r>
      <w:r>
        <w:t xml:space="preserve"> NATA accredited organisations</w:t>
      </w:r>
      <w:r w:rsidR="0079777C">
        <w:t xml:space="preserve"> which provide</w:t>
      </w:r>
      <w:r w:rsidR="008E156F">
        <w:t xml:space="preserve"> </w:t>
      </w:r>
      <w:r w:rsidR="0079777C" w:rsidRPr="0079777C">
        <w:t xml:space="preserve">DNA sequencing </w:t>
      </w:r>
      <w:r w:rsidR="00A92F4C">
        <w:t xml:space="preserve">of human tissue </w:t>
      </w:r>
      <w:r w:rsidR="0079777C" w:rsidRPr="0079777C">
        <w:t xml:space="preserve">using NGS technology </w:t>
      </w:r>
      <w:r w:rsidR="008E156F">
        <w:t xml:space="preserve">in Australia </w:t>
      </w:r>
      <w:r w:rsidR="008E156F">
        <w:fldChar w:fldCharType="begin"/>
      </w:r>
      <w:r w:rsidR="00B76195">
        <w:instrText xml:space="preserve"> ADDIN EN.CITE &lt;EndNote&gt;&lt;Cite ExcludeAuth="1"&gt;&lt;Author&gt;National Association of Testing Authorities Australia&lt;/Author&gt;&lt;Year&gt;2024&lt;/Year&gt;&lt;RecNum&gt;20&lt;/RecNum&gt;&lt;Prefix&gt;NATA &lt;/Prefix&gt;&lt;DisplayText&gt;(NATA 2024b)&lt;/DisplayText&gt;&lt;record&gt;&lt;rec-number&gt;20&lt;/rec-number&gt;&lt;foreign-keys&gt;&lt;key app="EN" db-id="5xftswrv6zts2ke2xrkvxe2zr9e5effztde0" timestamp="1707959881"&gt;20&lt;/key&gt;&lt;/foreign-keys&gt;&lt;ref-type name="Web Page"&gt;12&lt;/ref-type&gt;&lt;contributors&gt;&lt;authors&gt;&lt;author&gt; National Association of Testing Authorities Australia,&lt;/author&gt;&lt;/authors&gt;&lt;/contributors&gt;&lt;titles&gt;&lt;title&gt;Search accredited organisations&lt;/title&gt;&lt;/titles&gt;&lt;number&gt;2024 February 15&lt;/number&gt;&lt;dates&gt;&lt;year&gt;2024&lt;/year&gt;&lt;/dates&gt;&lt;work-type&gt;Internet&lt;/work-type&gt;&lt;urls&gt;&lt;related-urls&gt;&lt;url&gt;https://nata.com.au/?post_type=site&amp;amp;s=massively+parallel+seqeuncing&amp;amp;filter=&amp;amp;state=&amp;amp;status=&lt;/url&gt;&lt;/related-urls&gt;&lt;/urls&gt;&lt;/record&gt;&lt;/Cite&gt;&lt;/EndNote&gt;</w:instrText>
      </w:r>
      <w:r w:rsidR="008E156F">
        <w:fldChar w:fldCharType="separate"/>
      </w:r>
      <w:r w:rsidR="00B76195">
        <w:rPr>
          <w:noProof/>
        </w:rPr>
        <w:t>(NATA 2024b)</w:t>
      </w:r>
      <w:r w:rsidR="008E156F">
        <w:fldChar w:fldCharType="end"/>
      </w:r>
      <w:r w:rsidR="008E156F">
        <w:t xml:space="preserve">. These organisations </w:t>
      </w:r>
      <w:r w:rsidR="00436A0F" w:rsidRPr="00436A0F">
        <w:t>comply with the relevant National Pathology Accreditation Advisory Council (NPAAC) requirements</w:t>
      </w:r>
      <w:r w:rsidR="00436A0F">
        <w:t xml:space="preserve"> and have ISO 15189 accreditation </w:t>
      </w:r>
      <w:r w:rsidR="0079777C">
        <w:t>which ensure valid and reliable</w:t>
      </w:r>
      <w:r w:rsidR="00AF14C7">
        <w:t xml:space="preserve"> testing services </w:t>
      </w:r>
      <w:r w:rsidR="00AF14C7">
        <w:fldChar w:fldCharType="begin"/>
      </w:r>
      <w:r w:rsidR="00B21F12">
        <w:instrText xml:space="preserve"> ADDIN EN.CITE &lt;EndNote&gt;&lt;Cite ExcludeAuth="1"&gt;&lt;Author&gt;National Association of Testing Authorities Australia&lt;/Author&gt;&lt;Year&gt;2024&lt;/Year&gt;&lt;RecNum&gt;21&lt;/RecNum&gt;&lt;Prefix&gt;NATA &lt;/Prefix&gt;&lt;DisplayText&gt;(NATA 2024a)&lt;/DisplayText&gt;&lt;record&gt;&lt;rec-number&gt;21&lt;/rec-number&gt;&lt;foreign-keys&gt;&lt;key app="EN" db-id="5xftswrv6zts2ke2xrkvxe2zr9e5effztde0" timestamp="1707960231"&gt;21&lt;/key&gt;&lt;/foreign-keys&gt;&lt;ref-type name="Web Page"&gt;12&lt;/ref-type&gt;&lt;contributors&gt;&lt;authors&gt;&lt;author&gt;National Association of Testing Authorities Australia,&lt;/author&gt;&lt;/authors&gt;&lt;/contributors&gt;&lt;titles&gt;&lt;title&gt;ISO 15189 Human Pathology&lt;/title&gt;&lt;/titles&gt;&lt;number&gt;2024 February 15&lt;/number&gt;&lt;dates&gt;&lt;year&gt;2024&lt;/year&gt;&lt;/dates&gt;&lt;work-type&gt;Internet&lt;/work-type&gt;&lt;urls&gt;&lt;related-urls&gt;&lt;url&gt;https://nata.com.au/accreditation/medical-laboratory-accreditation-iso-15189/&lt;/url&gt;&lt;/related-urls&gt;&lt;/urls&gt;&lt;/record&gt;&lt;/Cite&gt;&lt;/EndNote&gt;</w:instrText>
      </w:r>
      <w:r w:rsidR="00AF14C7">
        <w:fldChar w:fldCharType="separate"/>
      </w:r>
      <w:r w:rsidR="00B21F12">
        <w:rPr>
          <w:noProof/>
        </w:rPr>
        <w:t>(NATA 2024a)</w:t>
      </w:r>
      <w:r w:rsidR="00AF14C7">
        <w:fldChar w:fldCharType="end"/>
      </w:r>
      <w:r w:rsidR="00AF14C7">
        <w:t>.</w:t>
      </w:r>
      <w:r w:rsidR="008D4803">
        <w:t xml:space="preserve"> </w:t>
      </w:r>
    </w:p>
    <w:p w14:paraId="1ABFCA25" w14:textId="049734FF" w:rsidR="00276C25" w:rsidRDefault="00276C25" w:rsidP="0023599C">
      <w:pPr>
        <w:pStyle w:val="Heading4"/>
      </w:pPr>
      <w:r>
        <w:t>Challenges with NGS</w:t>
      </w:r>
    </w:p>
    <w:p w14:paraId="59277AB8" w14:textId="60BE3EC8" w:rsidR="008B028E" w:rsidRDefault="00ED1A31" w:rsidP="00BD33CC">
      <w:pPr>
        <w:spacing w:before="120" w:after="160" w:line="259" w:lineRule="auto"/>
      </w:pPr>
      <w:r>
        <w:t xml:space="preserve">Tumour assessment using NGS inevitably introduces heterogeneities. Firstly, </w:t>
      </w:r>
      <w:r w:rsidR="00B84F84">
        <w:t xml:space="preserve">the </w:t>
      </w:r>
      <w:r>
        <w:t>size and quality of tissue samples</w:t>
      </w:r>
      <w:r w:rsidR="00B84F84">
        <w:t xml:space="preserve"> obtained</w:t>
      </w:r>
      <w:r>
        <w:t xml:space="preserve"> from resections, biopsies and cytology specimens </w:t>
      </w:r>
      <w:r w:rsidR="00B84F84">
        <w:t>is potentially inconsistent</w:t>
      </w:r>
      <w:r w:rsidR="001C67CC">
        <w:t>, thereby</w:t>
      </w:r>
      <w:r w:rsidR="00B84F84">
        <w:t xml:space="preserve"> </w:t>
      </w:r>
      <w:r w:rsidR="00D21802">
        <w:t>increasing</w:t>
      </w:r>
      <w:r>
        <w:t xml:space="preserve"> </w:t>
      </w:r>
      <w:r w:rsidR="00B84F84">
        <w:t>variability</w:t>
      </w:r>
      <w:r w:rsidR="009A3572">
        <w:t xml:space="preserve"> </w:t>
      </w:r>
      <w:r w:rsidR="00881B04">
        <w:fldChar w:fldCharType="begin"/>
      </w:r>
      <w:r w:rsidR="002F54B8">
        <w:instrText xml:space="preserve"> ADDIN EN.CITE &lt;EndNote&gt;&lt;Cite ExcludeAuth="1"&gt;&lt;Author&gt;National Pathology Accreditation Advisory Council&lt;/Author&gt;&lt;Year&gt;2017&lt;/Year&gt;&lt;RecNum&gt;15&lt;/RecNum&gt;&lt;Prefix&gt;NPAAC &lt;/Prefix&gt;&lt;DisplayText&gt;(NPAAC 2017)&lt;/DisplayText&gt;&lt;record&gt;&lt;rec-number&gt;15&lt;/rec-number&gt;&lt;foreign-keys&gt;&lt;key app="EN" db-id="5xftswrv6zts2ke2xrkvxe2zr9e5effztde0" timestamp="1707439718"&gt;15&lt;/key&gt;&lt;/foreign-keys&gt;&lt;ref-type name="Report"&gt;27&lt;/ref-type&gt;&lt;contributors&gt;&lt;authors&gt;&lt;author&gt;National Pathology Accreditation Advisory Council,&lt;/author&gt;&lt;/authors&gt;&lt;tertiary-authors&gt;&lt;author&gt;Australian Government Department of Health, &lt;/author&gt;&lt;/tertiary-authors&gt;&lt;/contributors&gt;&lt;titles&gt;&lt;title&gt;Requirements for Human Medical Genome Testing Utilising Massively Parallel Sequencing Technologies &lt;/title&gt;&lt;/titles&gt;&lt;edition&gt;First&lt;/edition&gt;&lt;dates&gt;&lt;year&gt;2017&lt;/year&gt;&lt;/dates&gt;&lt;pub-location&gt;Canberra ACT&lt;/pub-location&gt;&lt;urls&gt;&lt;/urls&gt;&lt;/record&gt;&lt;/Cite&gt;&lt;/EndNote&gt;</w:instrText>
      </w:r>
      <w:r w:rsidR="00881B04">
        <w:fldChar w:fldCharType="separate"/>
      </w:r>
      <w:r w:rsidR="002F54B8">
        <w:rPr>
          <w:noProof/>
        </w:rPr>
        <w:t>(NPAAC 2017)</w:t>
      </w:r>
      <w:r w:rsidR="00881B04">
        <w:fldChar w:fldCharType="end"/>
      </w:r>
      <w:r w:rsidR="00B84F84">
        <w:t xml:space="preserve">. Also, variable tissue processing methods </w:t>
      </w:r>
      <w:r w:rsidR="001C67CC">
        <w:t xml:space="preserve">employed </w:t>
      </w:r>
      <w:r w:rsidR="00B84F84">
        <w:t>by different laboratories may further compound the issue of variability</w:t>
      </w:r>
      <w:r w:rsidR="00881B04">
        <w:t xml:space="preserve"> </w:t>
      </w:r>
      <w:r w:rsidR="00881B04">
        <w:fldChar w:fldCharType="begin"/>
      </w:r>
      <w:r w:rsidR="002F54B8">
        <w:instrText xml:space="preserve"> ADDIN EN.CITE &lt;EndNote&gt;&lt;Cite ExcludeAuth="1"&gt;&lt;Author&gt;National Pathology Accreditation Advisory Council&lt;/Author&gt;&lt;Year&gt;2017&lt;/Year&gt;&lt;RecNum&gt;15&lt;/RecNum&gt;&lt;Prefix&gt;NPAAC &lt;/Prefix&gt;&lt;DisplayText&gt;(NPAAC 2017)&lt;/DisplayText&gt;&lt;record&gt;&lt;rec-number&gt;15&lt;/rec-number&gt;&lt;foreign-keys&gt;&lt;key app="EN" db-id="5xftswrv6zts2ke2xrkvxe2zr9e5effztde0" timestamp="1707439718"&gt;15&lt;/key&gt;&lt;/foreign-keys&gt;&lt;ref-type name="Report"&gt;27&lt;/ref-type&gt;&lt;contributors&gt;&lt;authors&gt;&lt;author&gt;National Pathology Accreditation Advisory Council,&lt;/author&gt;&lt;/authors&gt;&lt;tertiary-authors&gt;&lt;author&gt;Australian Government Department of Health, &lt;/author&gt;&lt;/tertiary-authors&gt;&lt;/contributors&gt;&lt;titles&gt;&lt;title&gt;Requirements for Human Medical Genome Testing Utilising Massively Parallel Sequencing Technologies &lt;/title&gt;&lt;/titles&gt;&lt;edition&gt;First&lt;/edition&gt;&lt;dates&gt;&lt;year&gt;2017&lt;/year&gt;&lt;/dates&gt;&lt;pub-location&gt;Canberra ACT&lt;/pub-location&gt;&lt;urls&gt;&lt;/urls&gt;&lt;/record&gt;&lt;/Cite&gt;&lt;/EndNote&gt;</w:instrText>
      </w:r>
      <w:r w:rsidR="00881B04">
        <w:fldChar w:fldCharType="separate"/>
      </w:r>
      <w:r w:rsidR="002F54B8">
        <w:rPr>
          <w:noProof/>
        </w:rPr>
        <w:t>(NPAAC 2017)</w:t>
      </w:r>
      <w:r w:rsidR="00881B04">
        <w:fldChar w:fldCharType="end"/>
      </w:r>
      <w:r w:rsidR="00B84F84">
        <w:t xml:space="preserve">. Furthermore, testing </w:t>
      </w:r>
      <w:r w:rsidR="009A3572">
        <w:t>of</w:t>
      </w:r>
      <w:r w:rsidR="00B84F84">
        <w:t xml:space="preserve"> blood sample</w:t>
      </w:r>
      <w:r w:rsidR="009A3572">
        <w:t>s for ctDNA is not routinely performed at the moment</w:t>
      </w:r>
      <w:r w:rsidR="0098482E">
        <w:t>,</w:t>
      </w:r>
      <w:r w:rsidR="009A3572">
        <w:t xml:space="preserve"> as further studies are required to correlate the findings with clinical utility</w:t>
      </w:r>
      <w:r w:rsidR="0098482E">
        <w:t>,</w:t>
      </w:r>
      <w:r w:rsidR="009A3572">
        <w:t xml:space="preserve"> as well as testing</w:t>
      </w:r>
      <w:r w:rsidR="006263C7">
        <w:t xml:space="preserve"> for</w:t>
      </w:r>
      <w:r w:rsidR="009A3572">
        <w:t xml:space="preserve"> sensitivity and specificity</w:t>
      </w:r>
      <w:r w:rsidR="00881B04">
        <w:t xml:space="preserve"> </w:t>
      </w:r>
      <w:r w:rsidR="00881B04">
        <w:fldChar w:fldCharType="begin"/>
      </w:r>
      <w:r w:rsidR="002F54B8">
        <w:instrText xml:space="preserve"> ADDIN EN.CITE &lt;EndNote&gt;&lt;Cite ExcludeAuth="1"&gt;&lt;Author&gt;National Pathology Accreditation Advisory Council&lt;/Author&gt;&lt;Year&gt;2017&lt;/Year&gt;&lt;RecNum&gt;15&lt;/RecNum&gt;&lt;Prefix&gt;NPAAC &lt;/Prefix&gt;&lt;DisplayText&gt;(NPAAC 2017)&lt;/DisplayText&gt;&lt;record&gt;&lt;rec-number&gt;15&lt;/rec-number&gt;&lt;foreign-keys&gt;&lt;key app="EN" db-id="5xftswrv6zts2ke2xrkvxe2zr9e5effztde0" timestamp="1707439718"&gt;15&lt;/key&gt;&lt;/foreign-keys&gt;&lt;ref-type name="Report"&gt;27&lt;/ref-type&gt;&lt;contributors&gt;&lt;authors&gt;&lt;author&gt;National Pathology Accreditation Advisory Council,&lt;/author&gt;&lt;/authors&gt;&lt;tertiary-authors&gt;&lt;author&gt;Australian Government Department of Health, &lt;/author&gt;&lt;/tertiary-authors&gt;&lt;/contributors&gt;&lt;titles&gt;&lt;title&gt;Requirements for Human Medical Genome Testing Utilising Massively Parallel Sequencing Technologies &lt;/title&gt;&lt;/titles&gt;&lt;edition&gt;First&lt;/edition&gt;&lt;dates&gt;&lt;year&gt;2017&lt;/year&gt;&lt;/dates&gt;&lt;pub-location&gt;Canberra ACT&lt;/pub-location&gt;&lt;urls&gt;&lt;/urls&gt;&lt;/record&gt;&lt;/Cite&gt;&lt;/EndNote&gt;</w:instrText>
      </w:r>
      <w:r w:rsidR="00881B04">
        <w:fldChar w:fldCharType="separate"/>
      </w:r>
      <w:r w:rsidR="002F54B8">
        <w:rPr>
          <w:noProof/>
        </w:rPr>
        <w:t>(NPAAC 2017)</w:t>
      </w:r>
      <w:r w:rsidR="00881B04">
        <w:fldChar w:fldCharType="end"/>
      </w:r>
      <w:r w:rsidR="009A3572">
        <w:t>.</w:t>
      </w:r>
    </w:p>
    <w:p w14:paraId="1BBD7301" w14:textId="4D666839" w:rsidR="00854451" w:rsidRPr="00854451" w:rsidRDefault="00854451" w:rsidP="00BD33CC">
      <w:pPr>
        <w:autoSpaceDE w:val="0"/>
        <w:autoSpaceDN w:val="0"/>
        <w:adjustRightInd w:val="0"/>
        <w:spacing w:before="120" w:after="160" w:line="259" w:lineRule="auto"/>
        <w:rPr>
          <w:rFonts w:asciiTheme="minorHAnsi" w:hAnsiTheme="minorHAnsi" w:cstheme="minorHAnsi"/>
          <w:i/>
          <w:iCs/>
        </w:rPr>
      </w:pPr>
      <w:r w:rsidRPr="00854451">
        <w:rPr>
          <w:rFonts w:asciiTheme="minorHAnsi" w:hAnsiTheme="minorHAnsi" w:cstheme="minorHAnsi"/>
          <w:i/>
          <w:iCs/>
        </w:rPr>
        <w:lastRenderedPageBreak/>
        <w:t xml:space="preserve">PASC recommended a one-off test to characterise all </w:t>
      </w:r>
      <w:r w:rsidR="00AA1782">
        <w:rPr>
          <w:rFonts w:asciiTheme="minorHAnsi" w:hAnsiTheme="minorHAnsi" w:cstheme="minorHAnsi"/>
          <w:i/>
          <w:iCs/>
        </w:rPr>
        <w:t xml:space="preserve">relevant </w:t>
      </w:r>
      <w:r w:rsidR="00BA50E1">
        <w:rPr>
          <w:rFonts w:asciiTheme="minorHAnsi" w:hAnsiTheme="minorHAnsi" w:cstheme="minorHAnsi"/>
          <w:i/>
          <w:iCs/>
        </w:rPr>
        <w:t xml:space="preserve">tier 1 variants in </w:t>
      </w:r>
      <w:r w:rsidRPr="00854451">
        <w:rPr>
          <w:rFonts w:asciiTheme="minorHAnsi" w:hAnsiTheme="minorHAnsi" w:cstheme="minorHAnsi"/>
          <w:i/>
          <w:iCs/>
        </w:rPr>
        <w:t>PIK3CA, AKT1 and PTEN gene</w:t>
      </w:r>
      <w:r w:rsidR="00BA50E1">
        <w:rPr>
          <w:rFonts w:asciiTheme="minorHAnsi" w:hAnsiTheme="minorHAnsi" w:cstheme="minorHAnsi"/>
          <w:i/>
          <w:iCs/>
        </w:rPr>
        <w:t>s</w:t>
      </w:r>
      <w:r w:rsidRPr="00854451">
        <w:rPr>
          <w:rFonts w:asciiTheme="minorHAnsi" w:hAnsiTheme="minorHAnsi" w:cstheme="minorHAnsi"/>
          <w:i/>
          <w:iCs/>
        </w:rPr>
        <w:t xml:space="preserve">, rather than two-step sequential testing with PIK3CA/AKT variants first, followed by PTEN variants, </w:t>
      </w:r>
      <w:r w:rsidR="00121FF1">
        <w:rPr>
          <w:rFonts w:asciiTheme="minorHAnsi" w:hAnsiTheme="minorHAnsi" w:cstheme="minorHAnsi"/>
          <w:i/>
          <w:iCs/>
        </w:rPr>
        <w:t xml:space="preserve">to increase the use of a limited tissue sample and </w:t>
      </w:r>
      <w:r w:rsidRPr="00854451">
        <w:rPr>
          <w:rFonts w:asciiTheme="minorHAnsi" w:hAnsiTheme="minorHAnsi" w:cstheme="minorHAnsi"/>
          <w:i/>
          <w:iCs/>
        </w:rPr>
        <w:t xml:space="preserve">due to limited DNA in tissue samples. However, PASC acknowledged that laboratories can choose to conduct two-step sequential testing if this is more practical for them. </w:t>
      </w:r>
    </w:p>
    <w:p w14:paraId="17EAC6E7" w14:textId="2E1FEE47" w:rsidR="00854451" w:rsidRPr="00854451" w:rsidRDefault="00854451" w:rsidP="00BD33CC">
      <w:pPr>
        <w:spacing w:before="120" w:after="160" w:line="259" w:lineRule="auto"/>
      </w:pPr>
      <w:r w:rsidRPr="00854451">
        <w:rPr>
          <w:rFonts w:asciiTheme="minorHAnsi" w:hAnsiTheme="minorHAnsi" w:cstheme="minorHAnsi"/>
          <w:i/>
          <w:iCs/>
        </w:rPr>
        <w:t xml:space="preserve">While laboratory services in Australia vary greatly </w:t>
      </w:r>
      <w:r w:rsidR="00FA5DE9">
        <w:rPr>
          <w:rFonts w:asciiTheme="minorHAnsi" w:hAnsiTheme="minorHAnsi" w:cstheme="minorHAnsi"/>
          <w:i/>
          <w:iCs/>
        </w:rPr>
        <w:t xml:space="preserve">depending </w:t>
      </w:r>
      <w:r w:rsidRPr="00854451">
        <w:rPr>
          <w:rFonts w:asciiTheme="minorHAnsi" w:hAnsiTheme="minorHAnsi" w:cstheme="minorHAnsi"/>
          <w:i/>
          <w:iCs/>
        </w:rPr>
        <w:t>on whether they only look for hotspot mutations or copy number variants for PTEN</w:t>
      </w:r>
      <w:r w:rsidR="002F6807">
        <w:rPr>
          <w:rFonts w:asciiTheme="minorHAnsi" w:hAnsiTheme="minorHAnsi" w:cstheme="minorHAnsi"/>
          <w:i/>
          <w:iCs/>
        </w:rPr>
        <w:t>,</w:t>
      </w:r>
      <w:r w:rsidRPr="00854451">
        <w:rPr>
          <w:rFonts w:asciiTheme="minorHAnsi" w:hAnsiTheme="minorHAnsi" w:cstheme="minorHAnsi"/>
          <w:i/>
          <w:iCs/>
        </w:rPr>
        <w:t xml:space="preserve"> PASC recognised that laboratory services can pick up PTEN deletion, at a cost.</w:t>
      </w:r>
    </w:p>
    <w:p w14:paraId="665B0675" w14:textId="28F6C61E" w:rsidR="007A66C8" w:rsidRPr="008F1532" w:rsidRDefault="007A66C8" w:rsidP="0023599C">
      <w:pPr>
        <w:pStyle w:val="Heading3"/>
      </w:pPr>
      <w:r w:rsidRPr="008F1532">
        <w:t>Comparator</w:t>
      </w:r>
      <w:r w:rsidR="007D6B83">
        <w:t>(</w:t>
      </w:r>
      <w:r w:rsidR="008F1532">
        <w:t>s</w:t>
      </w:r>
      <w:r w:rsidR="007D6B83">
        <w:t>)</w:t>
      </w:r>
    </w:p>
    <w:p w14:paraId="202C63D1" w14:textId="30985F13" w:rsidR="00294758" w:rsidRDefault="00294758" w:rsidP="0023599C">
      <w:pPr>
        <w:pStyle w:val="Heading4"/>
      </w:pPr>
      <w:r>
        <w:t>Test comparator</w:t>
      </w:r>
    </w:p>
    <w:p w14:paraId="25815BAB" w14:textId="0E8C1541" w:rsidR="00DD6B19" w:rsidRDefault="00BC76AF" w:rsidP="0023599C">
      <w:pPr>
        <w:pStyle w:val="Instructionaltext"/>
        <w:rPr>
          <w:color w:val="auto"/>
        </w:rPr>
      </w:pPr>
      <w:r w:rsidRPr="00BC76AF">
        <w:rPr>
          <w:color w:val="auto"/>
        </w:rPr>
        <w:t xml:space="preserve">The proposed </w:t>
      </w:r>
      <w:r>
        <w:rPr>
          <w:color w:val="auto"/>
        </w:rPr>
        <w:t xml:space="preserve">test </w:t>
      </w:r>
      <w:r w:rsidRPr="00BC76AF">
        <w:rPr>
          <w:color w:val="auto"/>
        </w:rPr>
        <w:t xml:space="preserve">comparator is </w:t>
      </w:r>
      <w:r w:rsidR="00FD1AF3">
        <w:rPr>
          <w:color w:val="auto"/>
        </w:rPr>
        <w:t>‘</w:t>
      </w:r>
      <w:r w:rsidRPr="00B815FB">
        <w:rPr>
          <w:color w:val="auto"/>
        </w:rPr>
        <w:t>no testing</w:t>
      </w:r>
      <w:r w:rsidR="00FD1AF3">
        <w:rPr>
          <w:color w:val="auto"/>
        </w:rPr>
        <w:t>’</w:t>
      </w:r>
      <w:r w:rsidR="00A1527D">
        <w:rPr>
          <w:color w:val="auto"/>
        </w:rPr>
        <w:t xml:space="preserve"> of tumour tissue</w:t>
      </w:r>
      <w:r w:rsidRPr="00BC76AF">
        <w:rPr>
          <w:color w:val="auto"/>
        </w:rPr>
        <w:t xml:space="preserve"> for </w:t>
      </w:r>
      <w:r w:rsidR="001713D9">
        <w:rPr>
          <w:color w:val="auto"/>
        </w:rPr>
        <w:t>AKT pathway</w:t>
      </w:r>
      <w:r w:rsidRPr="00BC76AF">
        <w:rPr>
          <w:color w:val="auto"/>
        </w:rPr>
        <w:t xml:space="preserve"> alterations</w:t>
      </w:r>
      <w:r>
        <w:rPr>
          <w:color w:val="auto"/>
        </w:rPr>
        <w:t xml:space="preserve">. </w:t>
      </w:r>
      <w:r w:rsidR="000F4994">
        <w:rPr>
          <w:color w:val="auto"/>
        </w:rPr>
        <w:t xml:space="preserve">Prior to this </w:t>
      </w:r>
      <w:r w:rsidR="008D5626">
        <w:rPr>
          <w:color w:val="auto"/>
        </w:rPr>
        <w:t>application</w:t>
      </w:r>
      <w:r w:rsidR="000F4994">
        <w:rPr>
          <w:color w:val="auto"/>
        </w:rPr>
        <w:t xml:space="preserve">, there </w:t>
      </w:r>
      <w:r w:rsidR="00720DC4">
        <w:rPr>
          <w:color w:val="auto"/>
        </w:rPr>
        <w:t>was</w:t>
      </w:r>
      <w:r w:rsidR="000F4994">
        <w:rPr>
          <w:color w:val="auto"/>
        </w:rPr>
        <w:t xml:space="preserve"> no </w:t>
      </w:r>
      <w:r w:rsidR="00A74221">
        <w:rPr>
          <w:color w:val="auto"/>
        </w:rPr>
        <w:t xml:space="preserve">subsidised </w:t>
      </w:r>
      <w:r w:rsidR="000F4994">
        <w:rPr>
          <w:color w:val="auto"/>
        </w:rPr>
        <w:t xml:space="preserve">test </w:t>
      </w:r>
      <w:r w:rsidR="001D1328">
        <w:rPr>
          <w:color w:val="auto"/>
        </w:rPr>
        <w:t xml:space="preserve">available </w:t>
      </w:r>
      <w:r w:rsidR="000F4994">
        <w:rPr>
          <w:color w:val="auto"/>
        </w:rPr>
        <w:t>to determine</w:t>
      </w:r>
      <w:r w:rsidR="00C71B70">
        <w:rPr>
          <w:color w:val="auto"/>
        </w:rPr>
        <w:t xml:space="preserve"> </w:t>
      </w:r>
      <w:r w:rsidR="001713D9">
        <w:rPr>
          <w:color w:val="auto"/>
        </w:rPr>
        <w:t>AKT pathway</w:t>
      </w:r>
      <w:r w:rsidR="00C71B70">
        <w:rPr>
          <w:color w:val="auto"/>
        </w:rPr>
        <w:t xml:space="preserve"> </w:t>
      </w:r>
      <w:r w:rsidR="004B6125">
        <w:rPr>
          <w:color w:val="auto"/>
        </w:rPr>
        <w:t xml:space="preserve">alteration </w:t>
      </w:r>
      <w:r w:rsidR="00C71B70">
        <w:rPr>
          <w:color w:val="auto"/>
        </w:rPr>
        <w:t xml:space="preserve">status </w:t>
      </w:r>
      <w:r w:rsidR="00FC7DFB">
        <w:rPr>
          <w:color w:val="auto"/>
        </w:rPr>
        <w:t>or</w:t>
      </w:r>
      <w:r w:rsidR="00C71B70">
        <w:rPr>
          <w:color w:val="auto"/>
        </w:rPr>
        <w:t xml:space="preserve"> to guide</w:t>
      </w:r>
      <w:r w:rsidR="000F4994">
        <w:rPr>
          <w:color w:val="auto"/>
        </w:rPr>
        <w:t xml:space="preserve"> </w:t>
      </w:r>
      <w:r w:rsidR="00C04A9C">
        <w:rPr>
          <w:color w:val="auto"/>
        </w:rPr>
        <w:t>targeted treatment</w:t>
      </w:r>
      <w:r>
        <w:rPr>
          <w:color w:val="auto"/>
        </w:rPr>
        <w:t xml:space="preserve"> for </w:t>
      </w:r>
      <w:r w:rsidR="00A5159A">
        <w:rPr>
          <w:color w:val="auto"/>
        </w:rPr>
        <w:t>HR+/HER2-</w:t>
      </w:r>
      <w:r w:rsidR="002735D9">
        <w:rPr>
          <w:color w:val="auto"/>
        </w:rPr>
        <w:t xml:space="preserve"> </w:t>
      </w:r>
      <w:r w:rsidR="00A74221" w:rsidRPr="00A74221">
        <w:rPr>
          <w:color w:val="auto"/>
        </w:rPr>
        <w:t>advanced breast cancer</w:t>
      </w:r>
      <w:r w:rsidR="00FA0281">
        <w:rPr>
          <w:color w:val="auto"/>
        </w:rPr>
        <w:t xml:space="preserve"> </w:t>
      </w:r>
      <w:r w:rsidR="00C04A9C">
        <w:rPr>
          <w:color w:val="auto"/>
        </w:rPr>
        <w:t>patients</w:t>
      </w:r>
      <w:r w:rsidR="00294758">
        <w:rPr>
          <w:color w:val="auto"/>
        </w:rPr>
        <w:t>.</w:t>
      </w:r>
      <w:r w:rsidR="008D5626">
        <w:rPr>
          <w:color w:val="auto"/>
        </w:rPr>
        <w:t xml:space="preserve"> </w:t>
      </w:r>
      <w:r w:rsidR="00C04A9C">
        <w:rPr>
          <w:color w:val="auto"/>
        </w:rPr>
        <w:t>It is worth mentioning that</w:t>
      </w:r>
      <w:r w:rsidR="005A78A1" w:rsidRPr="005A78A1">
        <w:rPr>
          <w:color w:val="auto"/>
        </w:rPr>
        <w:t xml:space="preserve"> there is a ratified PICO (application 1604 – February 2020) on </w:t>
      </w:r>
      <w:r w:rsidR="005A78A1" w:rsidRPr="00302B40">
        <w:rPr>
          <w:i/>
          <w:iCs/>
          <w:color w:val="auto"/>
        </w:rPr>
        <w:t>PIK3CA</w:t>
      </w:r>
      <w:r w:rsidR="005A78A1" w:rsidRPr="005A78A1">
        <w:rPr>
          <w:color w:val="auto"/>
        </w:rPr>
        <w:t xml:space="preserve"> </w:t>
      </w:r>
      <w:r w:rsidR="00F35FB3">
        <w:rPr>
          <w:color w:val="auto"/>
        </w:rPr>
        <w:t>mutation</w:t>
      </w:r>
      <w:r w:rsidR="00A41405" w:rsidRPr="005A78A1">
        <w:rPr>
          <w:color w:val="auto"/>
        </w:rPr>
        <w:t xml:space="preserve"> </w:t>
      </w:r>
      <w:r w:rsidR="005A78A1" w:rsidRPr="005A78A1">
        <w:rPr>
          <w:color w:val="auto"/>
        </w:rPr>
        <w:t xml:space="preserve">testing in postmenopausal women or men with advanced </w:t>
      </w:r>
      <w:r w:rsidR="00EB3624">
        <w:rPr>
          <w:color w:val="auto"/>
        </w:rPr>
        <w:t>BC</w:t>
      </w:r>
      <w:r w:rsidR="005A78A1" w:rsidRPr="005A78A1">
        <w:rPr>
          <w:color w:val="auto"/>
        </w:rPr>
        <w:t xml:space="preserve"> who have progressed during/following treatment with an AI.</w:t>
      </w:r>
      <w:r w:rsidR="006F5231">
        <w:rPr>
          <w:color w:val="auto"/>
        </w:rPr>
        <w:t xml:space="preserve"> This application did not progress </w:t>
      </w:r>
      <w:r w:rsidR="00404552">
        <w:rPr>
          <w:color w:val="auto"/>
        </w:rPr>
        <w:t xml:space="preserve">to the assessment phase. </w:t>
      </w:r>
    </w:p>
    <w:p w14:paraId="0911DEBC" w14:textId="4A8BE1BE" w:rsidR="005876F2" w:rsidRPr="00BD33CC" w:rsidRDefault="005876F2" w:rsidP="00BD33CC">
      <w:pPr>
        <w:autoSpaceDE w:val="0"/>
        <w:autoSpaceDN w:val="0"/>
        <w:adjustRightInd w:val="0"/>
        <w:spacing w:line="23" w:lineRule="atLeast"/>
        <w:rPr>
          <w:rFonts w:asciiTheme="minorHAnsi" w:hAnsiTheme="minorHAnsi"/>
          <w:i/>
        </w:rPr>
      </w:pPr>
      <w:r w:rsidRPr="00BD33CC">
        <w:rPr>
          <w:rFonts w:asciiTheme="minorHAnsi" w:hAnsiTheme="minorHAnsi" w:cstheme="minorBidi"/>
          <w:i/>
        </w:rPr>
        <w:t xml:space="preserve">PASC agreed that the test comparator was no tumour testing for </w:t>
      </w:r>
      <w:r w:rsidR="001713D9">
        <w:rPr>
          <w:rFonts w:asciiTheme="minorHAnsi" w:hAnsiTheme="minorHAnsi" w:cstheme="minorBidi"/>
          <w:i/>
        </w:rPr>
        <w:t>AKT pathway</w:t>
      </w:r>
      <w:r w:rsidRPr="00BD33CC">
        <w:rPr>
          <w:rFonts w:asciiTheme="minorHAnsi" w:hAnsiTheme="minorHAnsi" w:cstheme="minorBidi"/>
          <w:i/>
        </w:rPr>
        <w:t xml:space="preserve"> alterations</w:t>
      </w:r>
      <w:r w:rsidRPr="00BD33CC">
        <w:rPr>
          <w:rFonts w:asciiTheme="minorHAnsi" w:hAnsiTheme="minorHAnsi" w:cstheme="minorBidi"/>
          <w:i/>
          <w:iCs/>
        </w:rPr>
        <w:t xml:space="preserve">. </w:t>
      </w:r>
    </w:p>
    <w:p w14:paraId="43F25C09" w14:textId="6AFD95EA" w:rsidR="00294758" w:rsidRDefault="00294758" w:rsidP="0023599C">
      <w:pPr>
        <w:pStyle w:val="Heading4"/>
      </w:pPr>
      <w:r>
        <w:t>Treatment comparator</w:t>
      </w:r>
    </w:p>
    <w:p w14:paraId="3DAD5009" w14:textId="7782CDBE" w:rsidR="00AA425C" w:rsidRDefault="00294758" w:rsidP="00BD33CC">
      <w:pPr>
        <w:spacing w:before="120" w:after="160" w:line="259" w:lineRule="auto"/>
        <w:rPr>
          <w:rFonts w:asciiTheme="minorHAnsi" w:hAnsiTheme="minorHAnsi" w:cstheme="minorBidi"/>
          <w:i/>
          <w:iCs/>
        </w:rPr>
      </w:pPr>
      <w:r>
        <w:t>The comparator to capivasertib</w:t>
      </w:r>
      <w:r w:rsidR="00D75E28">
        <w:t xml:space="preserve"> </w:t>
      </w:r>
      <w:r>
        <w:t>+</w:t>
      </w:r>
      <w:r w:rsidR="00D75E28">
        <w:t xml:space="preserve"> </w:t>
      </w:r>
      <w:r>
        <w:t xml:space="preserve">fulvestrant is </w:t>
      </w:r>
      <w:r w:rsidR="0051726D" w:rsidRPr="00B815FB">
        <w:t>standard practice</w:t>
      </w:r>
      <w:r>
        <w:t xml:space="preserve">. </w:t>
      </w:r>
      <w:r w:rsidR="007873A5">
        <w:t>C</w:t>
      </w:r>
      <w:r w:rsidR="0080588D">
        <w:t xml:space="preserve">urrent </w:t>
      </w:r>
      <w:r w:rsidR="0051726D">
        <w:t>standard practice</w:t>
      </w:r>
      <w:r>
        <w:t xml:space="preserve"> comprises  a range of treatment options</w:t>
      </w:r>
      <w:r w:rsidR="00AD5F52">
        <w:t xml:space="preserve"> but</w:t>
      </w:r>
      <w:r w:rsidR="00772F6D">
        <w:t xml:space="preserve"> </w:t>
      </w:r>
      <w:r w:rsidR="00AD5F52">
        <w:t>t</w:t>
      </w:r>
      <w:r w:rsidR="00772F6D">
        <w:t>he optimal sequence of endocrine-based therapy is uncertain after progression on CDK4/6 inhibitors</w:t>
      </w:r>
      <w:r w:rsidR="00327391">
        <w:t xml:space="preserve"> </w:t>
      </w:r>
      <w:r w:rsidR="00327391">
        <w:fldChar w:fldCharType="begin"/>
      </w:r>
      <w:r w:rsidR="00FD77B6">
        <w:instrText xml:space="preserve"> ADDIN EN.CITE &lt;EndNote&gt;&lt;Cite&gt;&lt;Author&gt;Gennari&lt;/Author&gt;&lt;Year&gt;2021&lt;/Year&gt;&lt;RecNum&gt;7&lt;/RecNum&gt;&lt;DisplayText&gt;(Gennari et al. 2021)&lt;/DisplayText&gt;&lt;record&gt;&lt;rec-number&gt;7&lt;/rec-number&gt;&lt;foreign-keys&gt;&lt;key app="EN" db-id="5xftswrv6zts2ke2xrkvxe2zr9e5effztde0" timestamp="1706843445"&gt;7&lt;/key&gt;&lt;/foreign-keys&gt;&lt;ref-type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327391">
        <w:fldChar w:fldCharType="separate"/>
      </w:r>
      <w:r w:rsidR="00FD77B6">
        <w:rPr>
          <w:noProof/>
        </w:rPr>
        <w:t>(Gennari et al. 2021)</w:t>
      </w:r>
      <w:r w:rsidR="00327391">
        <w:fldChar w:fldCharType="end"/>
      </w:r>
      <w:r w:rsidR="00772F6D">
        <w:t xml:space="preserve">. </w:t>
      </w:r>
      <w:r w:rsidR="005370C9">
        <w:t>The treatment</w:t>
      </w:r>
      <w:r w:rsidR="00274347">
        <w:t xml:space="preserve"> sequence is dependent </w:t>
      </w:r>
      <w:r w:rsidR="005370C9">
        <w:t>on</w:t>
      </w:r>
      <w:r w:rsidR="00772F6D">
        <w:t xml:space="preserve"> which agents were used previously, duration of response to previous ET, disease burden, patient preference and treatment availability</w:t>
      </w:r>
      <w:r w:rsidR="00F120ED">
        <w:t xml:space="preserve"> </w:t>
      </w:r>
      <w:r w:rsidR="00F120ED">
        <w:fldChar w:fldCharType="begin"/>
      </w:r>
      <w:r w:rsidR="00FD77B6">
        <w:instrText xml:space="preserve"> ADDIN EN.CITE &lt;EndNote&gt;&lt;Cite&gt;&lt;Author&gt;Gennari&lt;/Author&gt;&lt;Year&gt;2021&lt;/Year&gt;&lt;RecNum&gt;7&lt;/RecNum&gt;&lt;DisplayText&gt;(Gennari et al. 2021)&lt;/DisplayText&gt;&lt;record&gt;&lt;rec-number&gt;7&lt;/rec-number&gt;&lt;foreign-keys&gt;&lt;key app="EN" db-id="5xftswrv6zts2ke2xrkvxe2zr9e5effztde0" timestamp="1706843445"&gt;7&lt;/key&gt;&lt;/foreign-keys&gt;&lt;ref-type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F120ED">
        <w:fldChar w:fldCharType="separate"/>
      </w:r>
      <w:r w:rsidR="00FD77B6">
        <w:rPr>
          <w:noProof/>
        </w:rPr>
        <w:t>(Gennari et al. 2021)</w:t>
      </w:r>
      <w:r w:rsidR="00F120ED">
        <w:fldChar w:fldCharType="end"/>
      </w:r>
      <w:r w:rsidR="00772F6D">
        <w:t>.</w:t>
      </w:r>
      <w:r w:rsidR="00327391" w:rsidRPr="00327391">
        <w:t xml:space="preserve"> </w:t>
      </w:r>
      <w:r w:rsidR="003E1827">
        <w:t>P</w:t>
      </w:r>
      <w:r w:rsidR="003E1827" w:rsidRPr="003E1827">
        <w:t>atients who relapsed on adjuvant AI therapy</w:t>
      </w:r>
      <w:r w:rsidR="003E1827">
        <w:t xml:space="preserve"> are advised to receive a combination of</w:t>
      </w:r>
      <w:r w:rsidR="003E1827" w:rsidRPr="003E1827">
        <w:t xml:space="preserve"> fulvestrant and CDK4/6 inhibitor</w:t>
      </w:r>
      <w:r w:rsidR="003E1827">
        <w:t xml:space="preserve"> </w:t>
      </w:r>
      <w:r w:rsidR="003E1827">
        <w:fldChar w:fldCharType="begin"/>
      </w:r>
      <w:r w:rsidR="00FD77B6">
        <w:instrText xml:space="preserve"> ADDIN EN.CITE &lt;EndNote&gt;&lt;Cite&gt;&lt;Author&gt;Gennari&lt;/Author&gt;&lt;Year&gt;2021&lt;/Year&gt;&lt;RecNum&gt;7&lt;/RecNum&gt;&lt;DisplayText&gt;(Gennari et al. 2021)&lt;/DisplayText&gt;&lt;record&gt;&lt;rec-number&gt;7&lt;/rec-number&gt;&lt;foreign-keys&gt;&lt;key app="EN" db-id="5xftswrv6zts2ke2xrkvxe2zr9e5effztde0" timestamp="1706843445"&gt;7&lt;/key&gt;&lt;/foreign-keys&gt;&lt;ref-type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3E1827">
        <w:fldChar w:fldCharType="separate"/>
      </w:r>
      <w:r w:rsidR="00FD77B6">
        <w:rPr>
          <w:noProof/>
        </w:rPr>
        <w:t>(Gennari et al. 2021)</w:t>
      </w:r>
      <w:r w:rsidR="003E1827">
        <w:fldChar w:fldCharType="end"/>
      </w:r>
      <w:r w:rsidR="003E1827" w:rsidRPr="003E1827">
        <w:t>.</w:t>
      </w:r>
      <w:r w:rsidR="003E1827">
        <w:t xml:space="preserve"> </w:t>
      </w:r>
      <w:r w:rsidR="00327391">
        <w:t xml:space="preserve">Rechallenge therapy with CDK4/6 inhibitor may be possible after a treatment-free interval of 12 months based on evidence regarding rechallenge with other therapies </w:t>
      </w:r>
      <w:r w:rsidR="00327391">
        <w:fldChar w:fldCharType="begin"/>
      </w:r>
      <w:r w:rsidR="00FD77B6">
        <w:instrText xml:space="preserve"> ADDIN EN.CITE &lt;EndNote&gt;&lt;Cite&gt;&lt;Author&gt;Gennari&lt;/Author&gt;&lt;Year&gt;2021&lt;/Year&gt;&lt;RecNum&gt;7&lt;/RecNum&gt;&lt;DisplayText&gt;(Gennari et al. 2021)&lt;/DisplayText&gt;&lt;record&gt;&lt;rec-number&gt;7&lt;/rec-number&gt;&lt;foreign-keys&gt;&lt;key app="EN" db-id="5xftswrv6zts2ke2xrkvxe2zr9e5effztde0" timestamp="1706843445"&gt;7&lt;/key&gt;&lt;/foreign-keys&gt;&lt;ref-type name="Journal Article"&gt;17&lt;/ref-type&gt;&lt;contributors&gt;&lt;authors&gt;&lt;author&gt;Gennari, A.&lt;/author&gt;&lt;author&gt;André, F.&lt;/author&gt;&lt;author&gt;Barrios, C. H.&lt;/author&gt;&lt;author&gt;Cortés, J.&lt;/author&gt;&lt;author&gt;De Azambuja, E.&lt;/author&gt;&lt;author&gt;Demichele, A.&lt;/author&gt;&lt;author&gt;Dent, R.&lt;/author&gt;&lt;author&gt;Fenlon, D.&lt;/author&gt;&lt;author&gt;Gligorov, J.&lt;/author&gt;&lt;author&gt;Hurvitz, S. A.&lt;/author&gt;&lt;author&gt;Im, S. A.&lt;/author&gt;&lt;author&gt;Krug, D.&lt;/author&gt;&lt;author&gt;Kunz, W. G.&lt;/author&gt;&lt;author&gt;Loi, S.&lt;/author&gt;&lt;author&gt;Penault-Llorca, F.&lt;/author&gt;&lt;author&gt;Ricke, J.&lt;/author&gt;&lt;author&gt;Robson, M.&lt;/author&gt;&lt;author&gt;Rugo, H. S.&lt;/author&gt;&lt;author&gt;Saura, C.&lt;/author&gt;&lt;author&gt;Schmid, P.&lt;/author&gt;&lt;author&gt;Singer, C. F.&lt;/author&gt;&lt;author&gt;Spanic, T.&lt;/author&gt;&lt;author&gt;Tolaney, S. M.&lt;/author&gt;&lt;author&gt;Turner, N. C.&lt;/author&gt;&lt;author&gt;Curigliano, G.&lt;/author&gt;&lt;author&gt;Loibl, S.&lt;/author&gt;&lt;author&gt;Paluch-Shimon, S.&lt;/author&gt;&lt;author&gt;Harbeck, N.&lt;/author&gt;&lt;/authors&gt;&lt;/contributors&gt;&lt;titles&gt;&lt;title&gt;ESMO Clinical Practice Guideline for the diagnosis, staging and treatment of patients with metastatic breast cancer&lt;/title&gt;&lt;secondary-title&gt;Annals of Oncology&lt;/secondary-title&gt;&lt;/titles&gt;&lt;periodical&gt;&lt;full-title&gt;Annals of Oncology&lt;/full-title&gt;&lt;/periodical&gt;&lt;pages&gt;1475-1495&lt;/pages&gt;&lt;volume&gt;32&lt;/volume&gt;&lt;number&gt;12&lt;/number&gt;&lt;dates&gt;&lt;year&gt;2021&lt;/year&gt;&lt;/dates&gt;&lt;publisher&gt;Elsevier BV&lt;/publisher&gt;&lt;isbn&gt;0923-7534&lt;/isbn&gt;&lt;urls&gt;&lt;related-urls&gt;&lt;url&gt;https://dx.doi.org/10.1016/j.annonc.2021.09.019&lt;/url&gt;&lt;/related-urls&gt;&lt;/urls&gt;&lt;electronic-resource-num&gt;10.1016/j.annonc.2021.09.019&lt;/electronic-resource-num&gt;&lt;/record&gt;&lt;/Cite&gt;&lt;/EndNote&gt;</w:instrText>
      </w:r>
      <w:r w:rsidR="00327391">
        <w:fldChar w:fldCharType="separate"/>
      </w:r>
      <w:r w:rsidR="00FD77B6">
        <w:rPr>
          <w:noProof/>
        </w:rPr>
        <w:t>(Gennari et al. 2021)</w:t>
      </w:r>
      <w:r w:rsidR="00327391">
        <w:fldChar w:fldCharType="end"/>
      </w:r>
      <w:r w:rsidR="00327391">
        <w:t xml:space="preserve">. </w:t>
      </w:r>
      <w:r w:rsidR="003837B1">
        <w:t xml:space="preserve">It is also clinically acceptable to use ET + CDK4/6 inhibitor as a subsequent therapy in </w:t>
      </w:r>
      <w:r w:rsidR="00A92F00">
        <w:t xml:space="preserve">the </w:t>
      </w:r>
      <w:r w:rsidR="003837B1">
        <w:t xml:space="preserve">case of lack of access to CDK4/6 inhibitor in </w:t>
      </w:r>
      <w:r w:rsidR="00B979AD">
        <w:t>1L</w:t>
      </w:r>
      <w:r w:rsidR="003837B1">
        <w:t xml:space="preserve"> setting</w:t>
      </w:r>
      <w:r w:rsidR="004E18CD">
        <w:t xml:space="preserve"> and in the event of 1L treatment with chemotherapy due to imminent organ failure</w:t>
      </w:r>
      <w:r w:rsidR="003837B1">
        <w:t>.</w:t>
      </w:r>
      <w:r w:rsidR="004E18CD">
        <w:t xml:space="preserve"> </w:t>
      </w:r>
      <w:r w:rsidR="00AD220B">
        <w:t xml:space="preserve">The ESMO </w:t>
      </w:r>
      <w:r w:rsidR="0012601C">
        <w:t xml:space="preserve">2021 </w:t>
      </w:r>
      <w:r w:rsidR="00AD220B">
        <w:t xml:space="preserve">guidelines recommend testing for </w:t>
      </w:r>
      <w:r w:rsidR="00AD220B" w:rsidRPr="00302B40">
        <w:rPr>
          <w:i/>
          <w:iCs/>
        </w:rPr>
        <w:t>PIK3CA, ESR1, BRCA1/2</w:t>
      </w:r>
      <w:r w:rsidR="00AD220B">
        <w:t xml:space="preserve"> </w:t>
      </w:r>
      <w:r w:rsidR="00413D10">
        <w:t>tier I</w:t>
      </w:r>
      <w:r w:rsidR="00C3088F">
        <w:t xml:space="preserve"> </w:t>
      </w:r>
      <w:r w:rsidR="00A41405">
        <w:t>variants</w:t>
      </w:r>
      <w:r w:rsidR="008D06D4">
        <w:t>.</w:t>
      </w:r>
      <w:r w:rsidR="00AD220B">
        <w:t xml:space="preserve"> </w:t>
      </w:r>
      <w:r w:rsidR="007628F7">
        <w:fldChar w:fldCharType="begin"/>
      </w:r>
      <w:r w:rsidR="007628F7">
        <w:instrText xml:space="preserve"> REF _Ref161242039 \h </w:instrText>
      </w:r>
      <w:r w:rsidR="0023599C">
        <w:instrText xml:space="preserve"> \* MERGEFORMAT </w:instrText>
      </w:r>
      <w:r w:rsidR="007628F7">
        <w:fldChar w:fldCharType="separate"/>
      </w:r>
      <w:r w:rsidR="00B561EB">
        <w:t xml:space="preserve">Table </w:t>
      </w:r>
      <w:r w:rsidR="00B561EB">
        <w:rPr>
          <w:noProof/>
        </w:rPr>
        <w:t>3</w:t>
      </w:r>
      <w:r w:rsidR="00B561EB">
        <w:t xml:space="preserve"> </w:t>
      </w:r>
      <w:r w:rsidR="00420A4E">
        <w:t>summarises s</w:t>
      </w:r>
      <w:r w:rsidR="00B561EB" w:rsidRPr="007628F7">
        <w:t>econd</w:t>
      </w:r>
      <w:r w:rsidR="00420A4E">
        <w:t>-</w:t>
      </w:r>
      <w:r w:rsidR="00B561EB" w:rsidRPr="007628F7">
        <w:t xml:space="preserve">line treatment options for HR+/HER2- advanced </w:t>
      </w:r>
      <w:r w:rsidR="00420A4E">
        <w:t>BC</w:t>
      </w:r>
      <w:r w:rsidR="00B561EB" w:rsidRPr="007628F7">
        <w:t xml:space="preserve"> following relapse with AI +/- CDK4/6 inhibitor</w:t>
      </w:r>
      <w:r w:rsidR="007628F7">
        <w:fldChar w:fldCharType="end"/>
      </w:r>
      <w:r w:rsidR="00420A4E">
        <w:t>.</w:t>
      </w:r>
    </w:p>
    <w:p w14:paraId="670240ED" w14:textId="292252EF" w:rsidR="00420C3C" w:rsidRPr="000253F3" w:rsidRDefault="005876F2" w:rsidP="00BD33CC">
      <w:pPr>
        <w:spacing w:before="120" w:after="160" w:line="259" w:lineRule="auto"/>
        <w:rPr>
          <w:rFonts w:asciiTheme="minorHAnsi" w:hAnsiTheme="minorHAnsi" w:cstheme="minorBidi"/>
          <w:i/>
          <w:iCs/>
        </w:rPr>
      </w:pPr>
      <w:r w:rsidRPr="000253F3">
        <w:rPr>
          <w:rFonts w:asciiTheme="minorHAnsi" w:hAnsiTheme="minorHAnsi" w:cstheme="minorBidi"/>
          <w:i/>
          <w:iCs/>
        </w:rPr>
        <w:t xml:space="preserve">PASC noted the proposed treatment comparator was standard of care </w:t>
      </w:r>
      <w:r w:rsidR="00D25952">
        <w:rPr>
          <w:rFonts w:asciiTheme="minorHAnsi" w:hAnsiTheme="minorHAnsi" w:cstheme="minorBidi"/>
          <w:i/>
          <w:iCs/>
        </w:rPr>
        <w:t xml:space="preserve">for </w:t>
      </w:r>
      <w:r w:rsidRPr="000253F3">
        <w:rPr>
          <w:rFonts w:asciiTheme="minorHAnsi" w:hAnsiTheme="minorHAnsi" w:cstheme="minorBidi"/>
          <w:i/>
          <w:iCs/>
        </w:rPr>
        <w:t xml:space="preserve">second line treatments. PASC </w:t>
      </w:r>
      <w:r w:rsidR="00894873">
        <w:rPr>
          <w:rFonts w:asciiTheme="minorHAnsi" w:hAnsiTheme="minorHAnsi" w:cstheme="minorBidi"/>
          <w:i/>
          <w:iCs/>
        </w:rPr>
        <w:t>acknowledged</w:t>
      </w:r>
      <w:r w:rsidRPr="000253F3">
        <w:rPr>
          <w:rFonts w:asciiTheme="minorHAnsi" w:hAnsiTheme="minorHAnsi" w:cstheme="minorBidi"/>
          <w:i/>
          <w:iCs/>
        </w:rPr>
        <w:t xml:space="preserve"> that there were a range of different treatment options and no clear standard of care for second line treatment. PASC noted the choice of treatment comparator is a matter for PBAC.</w:t>
      </w:r>
    </w:p>
    <w:p w14:paraId="25A68C0D" w14:textId="24854C48" w:rsidR="001203DB" w:rsidRPr="00BD33CC" w:rsidRDefault="001203DB" w:rsidP="00BD33CC">
      <w:pPr>
        <w:spacing w:before="120" w:after="160" w:line="259" w:lineRule="auto"/>
        <w:rPr>
          <w:i/>
          <w:iCs/>
        </w:rPr>
      </w:pPr>
      <w:r w:rsidRPr="00BD33CC">
        <w:rPr>
          <w:rFonts w:asciiTheme="minorHAnsi" w:hAnsiTheme="minorHAnsi" w:cstheme="minorBidi"/>
          <w:i/>
          <w:iCs/>
        </w:rPr>
        <w:t>PASC highlighted that everolimus, an mTOR inhibitor which interact</w:t>
      </w:r>
      <w:r w:rsidR="006B1D83">
        <w:rPr>
          <w:rFonts w:asciiTheme="minorHAnsi" w:hAnsiTheme="minorHAnsi" w:cstheme="minorBidi"/>
          <w:i/>
          <w:iCs/>
        </w:rPr>
        <w:t>s</w:t>
      </w:r>
      <w:r w:rsidRPr="00BD33CC">
        <w:rPr>
          <w:rFonts w:asciiTheme="minorHAnsi" w:hAnsiTheme="minorHAnsi" w:cstheme="minorBidi"/>
          <w:i/>
          <w:iCs/>
        </w:rPr>
        <w:t xml:space="preserve"> </w:t>
      </w:r>
      <w:r w:rsidR="00CB62B5">
        <w:rPr>
          <w:rFonts w:asciiTheme="minorHAnsi" w:hAnsiTheme="minorHAnsi" w:cstheme="minorBidi"/>
          <w:i/>
          <w:iCs/>
        </w:rPr>
        <w:t>with</w:t>
      </w:r>
      <w:r w:rsidRPr="00BD33CC">
        <w:rPr>
          <w:rFonts w:asciiTheme="minorHAnsi" w:hAnsiTheme="minorHAnsi" w:cstheme="minorBidi"/>
          <w:i/>
          <w:iCs/>
        </w:rPr>
        <w:t xml:space="preserve"> the </w:t>
      </w:r>
      <w:r w:rsidR="001713D9">
        <w:rPr>
          <w:rFonts w:asciiTheme="minorHAnsi" w:hAnsiTheme="minorHAnsi" w:cstheme="minorBidi"/>
          <w:i/>
          <w:iCs/>
        </w:rPr>
        <w:t>AKT pathway</w:t>
      </w:r>
      <w:r w:rsidRPr="00BD33CC">
        <w:rPr>
          <w:rFonts w:asciiTheme="minorHAnsi" w:hAnsiTheme="minorHAnsi" w:cstheme="minorBidi"/>
          <w:i/>
          <w:iCs/>
        </w:rPr>
        <w:t>, was actively excluded in both CAPItello-291 and FAKTION trials</w:t>
      </w:r>
      <w:r w:rsidR="00D21E00">
        <w:rPr>
          <w:rFonts w:asciiTheme="minorHAnsi" w:hAnsiTheme="minorHAnsi" w:cstheme="minorBidi"/>
          <w:i/>
          <w:iCs/>
        </w:rPr>
        <w:t>, as were p</w:t>
      </w:r>
      <w:r w:rsidR="00D21E00" w:rsidRPr="00D21E00">
        <w:rPr>
          <w:rFonts w:asciiTheme="minorHAnsi" w:hAnsiTheme="minorHAnsi" w:cstheme="minorBidi"/>
          <w:i/>
          <w:iCs/>
        </w:rPr>
        <w:t>rior PI3K inhibitor</w:t>
      </w:r>
      <w:r w:rsidR="00D21E00">
        <w:rPr>
          <w:rFonts w:asciiTheme="minorHAnsi" w:hAnsiTheme="minorHAnsi" w:cstheme="minorBidi"/>
          <w:i/>
          <w:iCs/>
        </w:rPr>
        <w:t>s</w:t>
      </w:r>
      <w:r w:rsidRPr="00BD33CC">
        <w:rPr>
          <w:rFonts w:asciiTheme="minorHAnsi" w:hAnsiTheme="minorHAnsi" w:cstheme="minorBidi"/>
          <w:i/>
          <w:iCs/>
        </w:rPr>
        <w:t xml:space="preserve">. Everolimus is TGA </w:t>
      </w:r>
      <w:r w:rsidR="00051136" w:rsidRPr="00BD33CC">
        <w:rPr>
          <w:rFonts w:asciiTheme="minorHAnsi" w:hAnsiTheme="minorHAnsi" w:cstheme="minorBidi"/>
          <w:i/>
          <w:iCs/>
        </w:rPr>
        <w:t>registered,</w:t>
      </w:r>
      <w:r w:rsidRPr="00BD33CC">
        <w:rPr>
          <w:rFonts w:asciiTheme="minorHAnsi" w:hAnsiTheme="minorHAnsi" w:cstheme="minorBidi"/>
          <w:i/>
          <w:iCs/>
        </w:rPr>
        <w:t xml:space="preserve"> and PBS listed for the treatment of postmenopausal women with HR+/HER2- advanced BC in combination with exemestane after failure of treatment with letrozole or </w:t>
      </w:r>
      <w:r w:rsidR="00D775DC">
        <w:rPr>
          <w:rFonts w:asciiTheme="minorHAnsi" w:hAnsiTheme="minorHAnsi" w:cstheme="minorBidi"/>
          <w:i/>
          <w:iCs/>
        </w:rPr>
        <w:t>anastrozole. However,</w:t>
      </w:r>
      <w:r w:rsidRPr="00BD33CC">
        <w:rPr>
          <w:rFonts w:asciiTheme="minorHAnsi" w:hAnsiTheme="minorHAnsi" w:cstheme="minorBidi"/>
          <w:i/>
          <w:iCs/>
        </w:rPr>
        <w:t xml:space="preserve"> there was no prerequisite for genetic testing despite everolimus targeting the mTOR, which is part of the </w:t>
      </w:r>
      <w:r w:rsidR="001713D9">
        <w:rPr>
          <w:rFonts w:asciiTheme="minorHAnsi" w:hAnsiTheme="minorHAnsi" w:cstheme="minorBidi"/>
          <w:i/>
          <w:iCs/>
        </w:rPr>
        <w:t>AKT pathway</w:t>
      </w:r>
      <w:r w:rsidRPr="00BD33CC">
        <w:rPr>
          <w:rFonts w:asciiTheme="minorHAnsi" w:hAnsiTheme="minorHAnsi" w:cstheme="minorBidi"/>
          <w:i/>
          <w:iCs/>
        </w:rPr>
        <w:t>.</w:t>
      </w:r>
    </w:p>
    <w:p w14:paraId="26DDFD71" w14:textId="6DEF38BF" w:rsidR="007628F7" w:rsidRDefault="007628F7" w:rsidP="0023599C">
      <w:pPr>
        <w:pStyle w:val="Caption"/>
      </w:pPr>
      <w:bookmarkStart w:id="8" w:name="_Ref161242042"/>
      <w:bookmarkStart w:id="9" w:name="_Ref161242039"/>
      <w:r>
        <w:lastRenderedPageBreak/>
        <w:t xml:space="preserve">Table </w:t>
      </w:r>
      <w:r>
        <w:fldChar w:fldCharType="begin"/>
      </w:r>
      <w:r>
        <w:instrText xml:space="preserve"> SEQ Table \* ARABIC </w:instrText>
      </w:r>
      <w:r>
        <w:fldChar w:fldCharType="separate"/>
      </w:r>
      <w:r w:rsidR="00B561EB">
        <w:rPr>
          <w:noProof/>
        </w:rPr>
        <w:t>3</w:t>
      </w:r>
      <w:r>
        <w:fldChar w:fldCharType="end"/>
      </w:r>
      <w:bookmarkEnd w:id="8"/>
      <w:r>
        <w:t xml:space="preserve"> </w:t>
      </w:r>
      <w:r w:rsidRPr="007628F7">
        <w:t>Second line treatment options for HR+/HER2- advanced breast cancer following relapse with AI +/- CDK4/6 inhibitor</w:t>
      </w:r>
      <w:bookmarkEnd w:id="9"/>
    </w:p>
    <w:tbl>
      <w:tblPr>
        <w:tblStyle w:val="TableGrid"/>
        <w:tblW w:w="5000" w:type="pct"/>
        <w:tblInd w:w="0" w:type="dxa"/>
        <w:tblLook w:val="04A0" w:firstRow="1" w:lastRow="0" w:firstColumn="1" w:lastColumn="0" w:noHBand="0" w:noVBand="1"/>
      </w:tblPr>
      <w:tblGrid>
        <w:gridCol w:w="2830"/>
        <w:gridCol w:w="2247"/>
        <w:gridCol w:w="2247"/>
        <w:gridCol w:w="2247"/>
      </w:tblGrid>
      <w:tr w:rsidR="008146C8" w14:paraId="162F4E4F" w14:textId="77777777" w:rsidTr="00AF64A8">
        <w:tc>
          <w:tcPr>
            <w:tcW w:w="1478" w:type="pct"/>
          </w:tcPr>
          <w:p w14:paraId="3E0A2907" w14:textId="5AC8038C" w:rsidR="008146C8" w:rsidRDefault="00C1161F" w:rsidP="0023599C">
            <w:pPr>
              <w:pStyle w:val="TableHeading"/>
            </w:pPr>
            <w:r>
              <w:t xml:space="preserve">Second line </w:t>
            </w:r>
            <w:r w:rsidR="008146C8">
              <w:t>treatment options</w:t>
            </w:r>
          </w:p>
        </w:tc>
        <w:tc>
          <w:tcPr>
            <w:tcW w:w="1174" w:type="pct"/>
          </w:tcPr>
          <w:p w14:paraId="26D4D50D" w14:textId="51469EC5" w:rsidR="008146C8" w:rsidRDefault="008146C8" w:rsidP="0023599C">
            <w:pPr>
              <w:pStyle w:val="TableHeading"/>
            </w:pPr>
            <w:r>
              <w:t>TGA approved</w:t>
            </w:r>
          </w:p>
        </w:tc>
        <w:tc>
          <w:tcPr>
            <w:tcW w:w="1174" w:type="pct"/>
          </w:tcPr>
          <w:p w14:paraId="4DFE0F97" w14:textId="3B577A06" w:rsidR="008146C8" w:rsidRDefault="008146C8" w:rsidP="0023599C">
            <w:pPr>
              <w:pStyle w:val="TableHeading"/>
            </w:pPr>
            <w:r>
              <w:t xml:space="preserve">PBS </w:t>
            </w:r>
            <w:r w:rsidR="000F2958">
              <w:t>listed</w:t>
            </w:r>
          </w:p>
        </w:tc>
        <w:tc>
          <w:tcPr>
            <w:tcW w:w="1174" w:type="pct"/>
          </w:tcPr>
          <w:p w14:paraId="26A8F2B7" w14:textId="559A2927" w:rsidR="008146C8" w:rsidRDefault="008146C8" w:rsidP="0023599C">
            <w:pPr>
              <w:pStyle w:val="TableHeading"/>
            </w:pPr>
            <w:r>
              <w:t>Biomarker</w:t>
            </w:r>
          </w:p>
        </w:tc>
      </w:tr>
      <w:tr w:rsidR="008146C8" w14:paraId="7700B764" w14:textId="77777777" w:rsidTr="00AF64A8">
        <w:tc>
          <w:tcPr>
            <w:tcW w:w="1478" w:type="pct"/>
          </w:tcPr>
          <w:p w14:paraId="44B104DE" w14:textId="463D0ACB" w:rsidR="008146C8" w:rsidRDefault="008146C8" w:rsidP="0023599C">
            <w:pPr>
              <w:pStyle w:val="TableText0"/>
            </w:pPr>
            <w:r>
              <w:t>Fulvestrant + CDK4/6 inhibitor</w:t>
            </w:r>
          </w:p>
        </w:tc>
        <w:tc>
          <w:tcPr>
            <w:tcW w:w="1174" w:type="pct"/>
          </w:tcPr>
          <w:p w14:paraId="5614829A" w14:textId="21A19994" w:rsidR="008146C8" w:rsidRDefault="008146C8" w:rsidP="0023599C">
            <w:pPr>
              <w:pStyle w:val="TableText0"/>
            </w:pPr>
            <w:r>
              <w:t>Yes</w:t>
            </w:r>
          </w:p>
        </w:tc>
        <w:tc>
          <w:tcPr>
            <w:tcW w:w="1174" w:type="pct"/>
          </w:tcPr>
          <w:p w14:paraId="6BE3327F" w14:textId="12C7AD0B" w:rsidR="008146C8" w:rsidRDefault="008146C8" w:rsidP="0023599C">
            <w:pPr>
              <w:pStyle w:val="TableText0"/>
            </w:pPr>
            <w:r>
              <w:t>Yes</w:t>
            </w:r>
          </w:p>
        </w:tc>
        <w:tc>
          <w:tcPr>
            <w:tcW w:w="1174" w:type="pct"/>
          </w:tcPr>
          <w:p w14:paraId="06152934" w14:textId="11462F7B" w:rsidR="008146C8" w:rsidRDefault="008146C8" w:rsidP="0023599C">
            <w:pPr>
              <w:pStyle w:val="TableText0"/>
            </w:pPr>
            <w:r>
              <w:t>-</w:t>
            </w:r>
          </w:p>
        </w:tc>
      </w:tr>
      <w:tr w:rsidR="008146C8" w14:paraId="4A451FFA" w14:textId="77777777" w:rsidTr="00AF64A8">
        <w:tc>
          <w:tcPr>
            <w:tcW w:w="1478" w:type="pct"/>
          </w:tcPr>
          <w:p w14:paraId="7DF7A79B" w14:textId="2ED3EE08" w:rsidR="008146C8" w:rsidRDefault="008146C8" w:rsidP="0023599C">
            <w:pPr>
              <w:pStyle w:val="TableText0"/>
            </w:pPr>
            <w:r>
              <w:t>ET + CDK4/6 inhibitor</w:t>
            </w:r>
          </w:p>
        </w:tc>
        <w:tc>
          <w:tcPr>
            <w:tcW w:w="1174" w:type="pct"/>
          </w:tcPr>
          <w:p w14:paraId="20E5DB8C" w14:textId="10A3FD12" w:rsidR="008146C8" w:rsidRDefault="008146C8" w:rsidP="0023599C">
            <w:pPr>
              <w:pStyle w:val="TableText0"/>
            </w:pPr>
            <w:r>
              <w:t>Yes</w:t>
            </w:r>
          </w:p>
        </w:tc>
        <w:tc>
          <w:tcPr>
            <w:tcW w:w="1174" w:type="pct"/>
          </w:tcPr>
          <w:p w14:paraId="2D24559D" w14:textId="7AA7600A" w:rsidR="008146C8" w:rsidRDefault="008146C8" w:rsidP="0023599C">
            <w:pPr>
              <w:pStyle w:val="TableText0"/>
            </w:pPr>
            <w:r>
              <w:t>Yes</w:t>
            </w:r>
          </w:p>
        </w:tc>
        <w:tc>
          <w:tcPr>
            <w:tcW w:w="1174" w:type="pct"/>
          </w:tcPr>
          <w:p w14:paraId="65F53403" w14:textId="021C5114" w:rsidR="008146C8" w:rsidRDefault="008146C8" w:rsidP="0023599C">
            <w:pPr>
              <w:pStyle w:val="TableText0"/>
            </w:pPr>
            <w:r>
              <w:t>-</w:t>
            </w:r>
          </w:p>
        </w:tc>
      </w:tr>
      <w:tr w:rsidR="008146C8" w14:paraId="4AF67BF5" w14:textId="77777777" w:rsidTr="00AF64A8">
        <w:tc>
          <w:tcPr>
            <w:tcW w:w="1478" w:type="pct"/>
          </w:tcPr>
          <w:p w14:paraId="3BBBF397" w14:textId="26A23731" w:rsidR="008146C8" w:rsidRPr="00420C3C" w:rsidRDefault="008146C8" w:rsidP="0023599C">
            <w:pPr>
              <w:pStyle w:val="TableText0"/>
            </w:pPr>
            <w:r>
              <w:t>C</w:t>
            </w:r>
            <w:r w:rsidRPr="00420C3C">
              <w:t>apivasertib</w:t>
            </w:r>
            <w:r>
              <w:t>*</w:t>
            </w:r>
            <w:r w:rsidRPr="00420C3C">
              <w:t xml:space="preserve"> + fulvestrant</w:t>
            </w:r>
          </w:p>
        </w:tc>
        <w:tc>
          <w:tcPr>
            <w:tcW w:w="1174" w:type="pct"/>
          </w:tcPr>
          <w:p w14:paraId="347CB2DC" w14:textId="2FB84BF2" w:rsidR="008146C8" w:rsidRDefault="008146C8" w:rsidP="0023599C">
            <w:pPr>
              <w:pStyle w:val="TableText0"/>
            </w:pPr>
            <w:r>
              <w:t>No*</w:t>
            </w:r>
          </w:p>
        </w:tc>
        <w:tc>
          <w:tcPr>
            <w:tcW w:w="1174" w:type="pct"/>
          </w:tcPr>
          <w:p w14:paraId="2EE674F2" w14:textId="190467EC" w:rsidR="008146C8" w:rsidRDefault="008146C8" w:rsidP="0023599C">
            <w:pPr>
              <w:pStyle w:val="TableText0"/>
            </w:pPr>
            <w:r>
              <w:t>No*</w:t>
            </w:r>
          </w:p>
        </w:tc>
        <w:tc>
          <w:tcPr>
            <w:tcW w:w="1174" w:type="pct"/>
          </w:tcPr>
          <w:p w14:paraId="5A212547" w14:textId="33D8A7D3" w:rsidR="008146C8" w:rsidRDefault="008146C8" w:rsidP="0023599C">
            <w:pPr>
              <w:pStyle w:val="TableText0"/>
            </w:pPr>
            <w:r w:rsidRPr="00302B40">
              <w:rPr>
                <w:i/>
                <w:iCs/>
              </w:rPr>
              <w:t>PIK3CA/AKT1/PTEN</w:t>
            </w:r>
            <w:r w:rsidR="00A042D9" w:rsidRPr="00A042D9">
              <w:rPr>
                <w:vertAlign w:val="superscript"/>
              </w:rPr>
              <w:t>#</w:t>
            </w:r>
          </w:p>
        </w:tc>
      </w:tr>
      <w:tr w:rsidR="008146C8" w14:paraId="6555974F" w14:textId="77777777" w:rsidTr="00AF64A8">
        <w:tc>
          <w:tcPr>
            <w:tcW w:w="1478" w:type="pct"/>
          </w:tcPr>
          <w:p w14:paraId="2055E991" w14:textId="292E8625" w:rsidR="008146C8" w:rsidRDefault="008146C8" w:rsidP="0023599C">
            <w:pPr>
              <w:pStyle w:val="TableText0"/>
            </w:pPr>
            <w:r>
              <w:t>Alpelisib* + fulvestrant</w:t>
            </w:r>
          </w:p>
        </w:tc>
        <w:tc>
          <w:tcPr>
            <w:tcW w:w="1174" w:type="pct"/>
          </w:tcPr>
          <w:p w14:paraId="1AEE2596" w14:textId="5A0A9DF1" w:rsidR="008146C8" w:rsidRDefault="008146C8" w:rsidP="0023599C">
            <w:pPr>
              <w:pStyle w:val="TableText0"/>
            </w:pPr>
            <w:r>
              <w:t>Yes</w:t>
            </w:r>
          </w:p>
        </w:tc>
        <w:tc>
          <w:tcPr>
            <w:tcW w:w="1174" w:type="pct"/>
          </w:tcPr>
          <w:p w14:paraId="3D24B107" w14:textId="68F20ECC" w:rsidR="008146C8" w:rsidRDefault="008146C8" w:rsidP="0023599C">
            <w:pPr>
              <w:pStyle w:val="TableText0"/>
            </w:pPr>
            <w:r>
              <w:t>No*</w:t>
            </w:r>
          </w:p>
        </w:tc>
        <w:tc>
          <w:tcPr>
            <w:tcW w:w="1174" w:type="pct"/>
          </w:tcPr>
          <w:p w14:paraId="43A82299" w14:textId="19AB243E" w:rsidR="008146C8" w:rsidRDefault="008146C8" w:rsidP="0023599C">
            <w:pPr>
              <w:pStyle w:val="TableText0"/>
            </w:pPr>
            <w:r w:rsidRPr="00302B40">
              <w:rPr>
                <w:i/>
                <w:iCs/>
              </w:rPr>
              <w:t>PIK3CA</w:t>
            </w:r>
            <w:r w:rsidR="00A042D9" w:rsidRPr="00A042D9">
              <w:rPr>
                <w:vertAlign w:val="superscript"/>
              </w:rPr>
              <w:t>#</w:t>
            </w:r>
          </w:p>
        </w:tc>
      </w:tr>
      <w:tr w:rsidR="005A56D4" w14:paraId="7E52A68D" w14:textId="77777777" w:rsidTr="00AF64A8">
        <w:tc>
          <w:tcPr>
            <w:tcW w:w="1478" w:type="pct"/>
          </w:tcPr>
          <w:p w14:paraId="120881D5" w14:textId="567B9DE6" w:rsidR="005A56D4" w:rsidRDefault="005A56D4" w:rsidP="0023599C">
            <w:pPr>
              <w:pStyle w:val="TableText0"/>
            </w:pPr>
            <w:r w:rsidRPr="00420C3C">
              <w:t>Exemestane + everolimus</w:t>
            </w:r>
          </w:p>
        </w:tc>
        <w:tc>
          <w:tcPr>
            <w:tcW w:w="1174" w:type="pct"/>
          </w:tcPr>
          <w:p w14:paraId="6B697E8D" w14:textId="5F4E0073" w:rsidR="005A56D4" w:rsidRDefault="005A56D4" w:rsidP="0023599C">
            <w:pPr>
              <w:pStyle w:val="TableText0"/>
              <w:tabs>
                <w:tab w:val="left" w:pos="1320"/>
              </w:tabs>
            </w:pPr>
            <w:r>
              <w:t>Yes</w:t>
            </w:r>
          </w:p>
        </w:tc>
        <w:tc>
          <w:tcPr>
            <w:tcW w:w="1174" w:type="pct"/>
          </w:tcPr>
          <w:p w14:paraId="4928CD93" w14:textId="1FA8B022" w:rsidR="005A56D4" w:rsidRDefault="005A56D4" w:rsidP="0023599C">
            <w:pPr>
              <w:pStyle w:val="TableText0"/>
            </w:pPr>
            <w:r>
              <w:t>Yes</w:t>
            </w:r>
          </w:p>
        </w:tc>
        <w:tc>
          <w:tcPr>
            <w:tcW w:w="1174" w:type="pct"/>
          </w:tcPr>
          <w:p w14:paraId="3D635F0A" w14:textId="7C09F454" w:rsidR="005A56D4" w:rsidRPr="00302B40" w:rsidRDefault="005A56D4" w:rsidP="0023599C">
            <w:pPr>
              <w:pStyle w:val="TableText0"/>
              <w:rPr>
                <w:i/>
                <w:iCs/>
              </w:rPr>
            </w:pPr>
            <w:r w:rsidRPr="00302B40">
              <w:rPr>
                <w:i/>
                <w:iCs/>
              </w:rPr>
              <w:t>ESR1</w:t>
            </w:r>
          </w:p>
        </w:tc>
      </w:tr>
      <w:tr w:rsidR="005A56D4" w14:paraId="6AEB20E4" w14:textId="77777777" w:rsidTr="00AF64A8">
        <w:tc>
          <w:tcPr>
            <w:tcW w:w="1478" w:type="pct"/>
          </w:tcPr>
          <w:p w14:paraId="7251789B" w14:textId="17A95702" w:rsidR="005A56D4" w:rsidRPr="00420C3C" w:rsidRDefault="005A56D4" w:rsidP="0023599C">
            <w:pPr>
              <w:pStyle w:val="TableText0"/>
            </w:pPr>
            <w:r>
              <w:t>Tamoxifen + everolimus</w:t>
            </w:r>
          </w:p>
        </w:tc>
        <w:tc>
          <w:tcPr>
            <w:tcW w:w="1174" w:type="pct"/>
          </w:tcPr>
          <w:p w14:paraId="3A8CD835" w14:textId="5720580D" w:rsidR="005A56D4" w:rsidRDefault="005A56D4" w:rsidP="0023599C">
            <w:pPr>
              <w:pStyle w:val="TableText0"/>
              <w:tabs>
                <w:tab w:val="left" w:pos="1320"/>
              </w:tabs>
            </w:pPr>
            <w:r>
              <w:t>Yes</w:t>
            </w:r>
          </w:p>
        </w:tc>
        <w:tc>
          <w:tcPr>
            <w:tcW w:w="1174" w:type="pct"/>
          </w:tcPr>
          <w:p w14:paraId="484F3382" w14:textId="2579C92B" w:rsidR="005A56D4" w:rsidRDefault="005A56D4" w:rsidP="0023599C">
            <w:pPr>
              <w:pStyle w:val="TableText0"/>
            </w:pPr>
            <w:r>
              <w:t>Yes</w:t>
            </w:r>
          </w:p>
        </w:tc>
        <w:tc>
          <w:tcPr>
            <w:tcW w:w="1174" w:type="pct"/>
          </w:tcPr>
          <w:p w14:paraId="2177DC4B" w14:textId="6A179E48" w:rsidR="005A56D4" w:rsidRPr="00302B40" w:rsidRDefault="005A56D4" w:rsidP="0023599C">
            <w:pPr>
              <w:pStyle w:val="TableText0"/>
              <w:rPr>
                <w:i/>
                <w:iCs/>
              </w:rPr>
            </w:pPr>
            <w:r w:rsidRPr="00302B40">
              <w:rPr>
                <w:i/>
                <w:iCs/>
              </w:rPr>
              <w:t>ESR1</w:t>
            </w:r>
          </w:p>
        </w:tc>
      </w:tr>
      <w:tr w:rsidR="005A56D4" w14:paraId="0F2BA4E5" w14:textId="77777777" w:rsidTr="00AF64A8">
        <w:tc>
          <w:tcPr>
            <w:tcW w:w="1478" w:type="pct"/>
          </w:tcPr>
          <w:p w14:paraId="0E9CB5F3" w14:textId="647C828D" w:rsidR="005A56D4" w:rsidRDefault="005A56D4" w:rsidP="0023599C">
            <w:pPr>
              <w:pStyle w:val="TableText0"/>
            </w:pPr>
            <w:r w:rsidRPr="00420C3C">
              <w:t>Fulvestrant + everolimus</w:t>
            </w:r>
          </w:p>
        </w:tc>
        <w:tc>
          <w:tcPr>
            <w:tcW w:w="1174" w:type="pct"/>
          </w:tcPr>
          <w:p w14:paraId="2CFCE4F9" w14:textId="150A8443" w:rsidR="005A56D4" w:rsidRDefault="005A56D4" w:rsidP="0023599C">
            <w:pPr>
              <w:pStyle w:val="TableText0"/>
              <w:tabs>
                <w:tab w:val="left" w:pos="1320"/>
              </w:tabs>
            </w:pPr>
            <w:r>
              <w:t>Yes</w:t>
            </w:r>
          </w:p>
        </w:tc>
        <w:tc>
          <w:tcPr>
            <w:tcW w:w="1174" w:type="pct"/>
          </w:tcPr>
          <w:p w14:paraId="7CE8F90C" w14:textId="4C272EAB" w:rsidR="005A56D4" w:rsidRDefault="005A56D4" w:rsidP="0023599C">
            <w:pPr>
              <w:pStyle w:val="TableText0"/>
            </w:pPr>
            <w:r>
              <w:t>Yes</w:t>
            </w:r>
          </w:p>
        </w:tc>
        <w:tc>
          <w:tcPr>
            <w:tcW w:w="1174" w:type="pct"/>
          </w:tcPr>
          <w:p w14:paraId="10A74456" w14:textId="51D2FC58" w:rsidR="005A56D4" w:rsidRPr="00302B40" w:rsidRDefault="005A56D4" w:rsidP="0023599C">
            <w:pPr>
              <w:pStyle w:val="TableText0"/>
              <w:rPr>
                <w:i/>
                <w:iCs/>
              </w:rPr>
            </w:pPr>
            <w:r w:rsidRPr="00302B40">
              <w:rPr>
                <w:i/>
                <w:iCs/>
              </w:rPr>
              <w:t>ESR1</w:t>
            </w:r>
          </w:p>
        </w:tc>
      </w:tr>
      <w:tr w:rsidR="008146C8" w14:paraId="218CC564" w14:textId="77777777" w:rsidTr="00AF64A8">
        <w:tc>
          <w:tcPr>
            <w:tcW w:w="1478" w:type="pct"/>
          </w:tcPr>
          <w:p w14:paraId="52BD3155" w14:textId="18BF691D" w:rsidR="008146C8" w:rsidRPr="00420C3C" w:rsidRDefault="008146C8" w:rsidP="0023599C">
            <w:pPr>
              <w:pStyle w:val="TableText0"/>
            </w:pPr>
            <w:r>
              <w:t>PARP inhibitor (e.g.</w:t>
            </w:r>
            <w:r w:rsidR="00A809ED">
              <w:t>,</w:t>
            </w:r>
            <w:r>
              <w:t xml:space="preserve"> olapari</w:t>
            </w:r>
            <w:r w:rsidR="00061D65">
              <w:t>b</w:t>
            </w:r>
            <w:r>
              <w:t xml:space="preserve">) </w:t>
            </w:r>
          </w:p>
        </w:tc>
        <w:tc>
          <w:tcPr>
            <w:tcW w:w="1174" w:type="pct"/>
          </w:tcPr>
          <w:p w14:paraId="3F1A7E9E" w14:textId="1BEA64B2" w:rsidR="008146C8" w:rsidRDefault="008146C8" w:rsidP="0023599C">
            <w:pPr>
              <w:pStyle w:val="TableText0"/>
              <w:tabs>
                <w:tab w:val="left" w:pos="1320"/>
              </w:tabs>
            </w:pPr>
            <w:r>
              <w:t>Yes</w:t>
            </w:r>
          </w:p>
        </w:tc>
        <w:tc>
          <w:tcPr>
            <w:tcW w:w="1174" w:type="pct"/>
          </w:tcPr>
          <w:p w14:paraId="76784D16" w14:textId="30C0EC75" w:rsidR="008146C8" w:rsidRPr="002A0954" w:rsidRDefault="00E431F6" w:rsidP="0023599C">
            <w:pPr>
              <w:pStyle w:val="TableText0"/>
              <w:rPr>
                <w:vertAlign w:val="superscript"/>
              </w:rPr>
            </w:pPr>
            <w:r>
              <w:t xml:space="preserve">No </w:t>
            </w:r>
            <w:r w:rsidR="002103D8">
              <w:rPr>
                <w:vertAlign w:val="superscript"/>
              </w:rPr>
              <w:t>a</w:t>
            </w:r>
          </w:p>
        </w:tc>
        <w:tc>
          <w:tcPr>
            <w:tcW w:w="1174" w:type="pct"/>
          </w:tcPr>
          <w:p w14:paraId="00322F18" w14:textId="3FDF0A31" w:rsidR="008146C8" w:rsidRPr="00302B40" w:rsidRDefault="008146C8" w:rsidP="0023599C">
            <w:pPr>
              <w:pStyle w:val="TableText0"/>
              <w:rPr>
                <w:i/>
                <w:iCs/>
              </w:rPr>
            </w:pPr>
            <w:r w:rsidRPr="00302B40">
              <w:rPr>
                <w:i/>
                <w:iCs/>
              </w:rPr>
              <w:t>gBRCAm</w:t>
            </w:r>
          </w:p>
        </w:tc>
      </w:tr>
    </w:tbl>
    <w:p w14:paraId="3F997443" w14:textId="135F6C0C" w:rsidR="00533918" w:rsidRDefault="00533918" w:rsidP="00827AB4">
      <w:pPr>
        <w:pStyle w:val="Tablenotes"/>
        <w:contextualSpacing/>
      </w:pPr>
      <w:bookmarkStart w:id="10" w:name="_Hlk159403020"/>
      <w:r>
        <w:t xml:space="preserve">Abbreviations: </w:t>
      </w:r>
      <w:r w:rsidR="00651D23" w:rsidRPr="00651D23">
        <w:rPr>
          <w:i/>
          <w:iCs/>
        </w:rPr>
        <w:t>AKT</w:t>
      </w:r>
      <w:r w:rsidR="0060339C" w:rsidRPr="0060339C">
        <w:t>=serine/threonine kinase;</w:t>
      </w:r>
      <w:r w:rsidR="0060339C">
        <w:t xml:space="preserve"> </w:t>
      </w:r>
      <w:r w:rsidR="0098417E">
        <w:t>CDK=</w:t>
      </w:r>
      <w:r w:rsidR="0098417E" w:rsidRPr="0098417E">
        <w:t>Cyclin-dependent kinase</w:t>
      </w:r>
      <w:r w:rsidR="0098417E">
        <w:t>;</w:t>
      </w:r>
      <w:r w:rsidR="0098417E" w:rsidRPr="0098417E">
        <w:t xml:space="preserve"> </w:t>
      </w:r>
      <w:r w:rsidR="00ED08B8" w:rsidRPr="00302B40">
        <w:rPr>
          <w:i/>
          <w:iCs/>
        </w:rPr>
        <w:t>ESR1</w:t>
      </w:r>
      <w:r w:rsidR="00ED08B8">
        <w:t xml:space="preserve">=Estrogen receptor gene 1; </w:t>
      </w:r>
      <w:r w:rsidR="009136A5">
        <w:t>ET=endocrine therapy;</w:t>
      </w:r>
      <w:r w:rsidR="00ED08B8">
        <w:t xml:space="preserve"> </w:t>
      </w:r>
      <w:r w:rsidR="00ED08B8" w:rsidRPr="00302B40">
        <w:rPr>
          <w:i/>
          <w:iCs/>
        </w:rPr>
        <w:t>gBRCA</w:t>
      </w:r>
      <w:r w:rsidR="000004B5" w:rsidRPr="00302B40">
        <w:rPr>
          <w:i/>
          <w:iCs/>
        </w:rPr>
        <w:t>m</w:t>
      </w:r>
      <w:r w:rsidR="00ED08B8">
        <w:t>=germline</w:t>
      </w:r>
      <w:r w:rsidR="009136A5">
        <w:t xml:space="preserve"> </w:t>
      </w:r>
      <w:r w:rsidR="00ED08B8" w:rsidRPr="00ED08B8">
        <w:t xml:space="preserve">breast cancer </w:t>
      </w:r>
      <w:r w:rsidR="000004B5">
        <w:t>gene mutation</w:t>
      </w:r>
      <w:r w:rsidR="00ED08B8">
        <w:t xml:space="preserve">; </w:t>
      </w:r>
      <w:r w:rsidR="009136A5">
        <w:t>PARP=</w:t>
      </w:r>
      <w:r w:rsidR="009136A5" w:rsidRPr="009136A5">
        <w:t>Poly (ADP-ribose) polymerase</w:t>
      </w:r>
      <w:r w:rsidR="009136A5">
        <w:t xml:space="preserve">; </w:t>
      </w:r>
      <w:r>
        <w:t>P</w:t>
      </w:r>
      <w:r w:rsidR="000F2958">
        <w:t>BS</w:t>
      </w:r>
      <w:r>
        <w:t>=</w:t>
      </w:r>
      <w:r w:rsidRPr="00533918">
        <w:t>Pharmaceutical Benefits</w:t>
      </w:r>
      <w:r w:rsidR="000F2958">
        <w:t xml:space="preserve"> Scheme</w:t>
      </w:r>
      <w:r>
        <w:t>;</w:t>
      </w:r>
      <w:r w:rsidR="0060339C">
        <w:t xml:space="preserve"> </w:t>
      </w:r>
      <w:r w:rsidR="0060339C" w:rsidRPr="00302B40">
        <w:rPr>
          <w:i/>
          <w:iCs/>
        </w:rPr>
        <w:t>PIK3CA</w:t>
      </w:r>
      <w:r w:rsidR="0060339C">
        <w:t>=</w:t>
      </w:r>
      <w:r w:rsidR="0060339C" w:rsidRPr="0060339C">
        <w:t>phosphatidylinositol-4,5-bisphosphate 3-kinase catalytic subunit alpha</w:t>
      </w:r>
      <w:r w:rsidR="0060339C">
        <w:t>;</w:t>
      </w:r>
      <w:r w:rsidRPr="00533918">
        <w:t xml:space="preserve"> </w:t>
      </w:r>
      <w:r w:rsidR="006334E0" w:rsidRPr="00302B40">
        <w:rPr>
          <w:i/>
          <w:iCs/>
        </w:rPr>
        <w:t>PTEN</w:t>
      </w:r>
      <w:r w:rsidR="006334E0" w:rsidRPr="006334E0">
        <w:t xml:space="preserve">=phosphatase and tensin homolog; </w:t>
      </w:r>
      <w:r>
        <w:t>TGA=</w:t>
      </w:r>
      <w:r w:rsidRPr="00533918">
        <w:t>Therapeutic Goods Administration</w:t>
      </w:r>
      <w:r w:rsidR="00BC463B">
        <w:t>.</w:t>
      </w:r>
    </w:p>
    <w:p w14:paraId="7CF5E903" w14:textId="4EC0B23E" w:rsidR="001D08B8" w:rsidRPr="00D80EE5" w:rsidRDefault="00C075ED" w:rsidP="00827AB4">
      <w:pPr>
        <w:pStyle w:val="Tablenotes"/>
        <w:contextualSpacing/>
        <w:rPr>
          <w:lang w:val="es-CO"/>
        </w:rPr>
      </w:pPr>
      <w:r w:rsidRPr="00D80EE5">
        <w:rPr>
          <w:lang w:val="es-CO"/>
        </w:rPr>
        <w:t xml:space="preserve">Note: </w:t>
      </w:r>
      <w:r w:rsidR="001D08B8" w:rsidRPr="00D80EE5">
        <w:rPr>
          <w:lang w:val="es-CO"/>
        </w:rPr>
        <w:t>CDK4/6 inhibitor includes palbociclib, ribociclib, abemaciclib</w:t>
      </w:r>
    </w:p>
    <w:p w14:paraId="4684DF8A" w14:textId="23349339" w:rsidR="003951C6" w:rsidRDefault="003951C6" w:rsidP="00827AB4">
      <w:pPr>
        <w:pStyle w:val="Tablenotes"/>
        <w:contextualSpacing/>
      </w:pPr>
      <w:bookmarkStart w:id="11" w:name="_Hlk159345341"/>
      <w:bookmarkEnd w:id="10"/>
      <w:r>
        <w:t>Endocrine therapy</w:t>
      </w:r>
      <w:r w:rsidR="003837B1">
        <w:t xml:space="preserve"> (ET)</w:t>
      </w:r>
      <w:r>
        <w:t xml:space="preserve"> includes AI</w:t>
      </w:r>
      <w:r w:rsidR="003837B1">
        <w:t xml:space="preserve"> (anastrozole, exemestane, letrozole)</w:t>
      </w:r>
      <w:r>
        <w:t xml:space="preserve">, fulvestrant, tamoxifen, </w:t>
      </w:r>
    </w:p>
    <w:bookmarkEnd w:id="11"/>
    <w:p w14:paraId="75D697DD" w14:textId="0E8746A8" w:rsidR="00420C3C" w:rsidRDefault="005E6188" w:rsidP="00827AB4">
      <w:pPr>
        <w:pStyle w:val="Tablenotes"/>
        <w:contextualSpacing/>
      </w:pPr>
      <w:r>
        <w:t>*</w:t>
      </w:r>
      <w:r w:rsidR="00E40380">
        <w:t>Capivasertib</w:t>
      </w:r>
      <w:r>
        <w:t xml:space="preserve"> (</w:t>
      </w:r>
      <w:r w:rsidR="00651D23" w:rsidRPr="00651D23">
        <w:rPr>
          <w:i/>
          <w:iCs/>
        </w:rPr>
        <w:t>AKT</w:t>
      </w:r>
      <w:r w:rsidR="00E55641">
        <w:t xml:space="preserve"> serine/</w:t>
      </w:r>
      <w:r w:rsidR="007663FA">
        <w:t>threonine</w:t>
      </w:r>
      <w:r w:rsidR="003951C6">
        <w:t xml:space="preserve"> inhibitor)</w:t>
      </w:r>
      <w:r>
        <w:t xml:space="preserve"> and alpelisib (</w:t>
      </w:r>
      <w:r w:rsidRPr="00302B40">
        <w:rPr>
          <w:i/>
          <w:iCs/>
        </w:rPr>
        <w:t>PIK3CA</w:t>
      </w:r>
      <w:r>
        <w:t xml:space="preserve"> inhibitor) are </w:t>
      </w:r>
      <w:r w:rsidR="003951C6">
        <w:t>currently no</w:t>
      </w:r>
      <w:r w:rsidR="00626160">
        <w:t>t PBS-listed for breast can</w:t>
      </w:r>
      <w:r w:rsidR="003B57C5">
        <w:t>c</w:t>
      </w:r>
      <w:r w:rsidR="00626160">
        <w:t>er</w:t>
      </w:r>
      <w:r w:rsidR="003951C6">
        <w:t xml:space="preserve"> </w:t>
      </w:r>
      <w:r w:rsidR="003B57C5">
        <w:t>treatment</w:t>
      </w:r>
    </w:p>
    <w:p w14:paraId="6B3ECD35" w14:textId="433352B3" w:rsidR="00361045" w:rsidRDefault="00F0640D" w:rsidP="00827AB4">
      <w:pPr>
        <w:pStyle w:val="Tablenotes"/>
        <w:contextualSpacing/>
      </w:pPr>
      <w:r w:rsidRPr="00F0640D">
        <w:rPr>
          <w:vertAlign w:val="superscript"/>
        </w:rPr>
        <w:t>#</w:t>
      </w:r>
      <w:r w:rsidRPr="00302B40">
        <w:rPr>
          <w:i/>
          <w:iCs/>
        </w:rPr>
        <w:t>PIK3CA, AKT1, ESR1</w:t>
      </w:r>
      <w:r>
        <w:t xml:space="preserve"> </w:t>
      </w:r>
      <w:r w:rsidR="000728A9">
        <w:t xml:space="preserve">testing </w:t>
      </w:r>
      <w:r>
        <w:t>are currently not MBS-listed</w:t>
      </w:r>
      <w:r w:rsidR="003521B5">
        <w:t xml:space="preserve"> but they are available for</w:t>
      </w:r>
      <w:r w:rsidR="000728A9">
        <w:t xml:space="preserve"> privately funded</w:t>
      </w:r>
      <w:r w:rsidR="003521B5">
        <w:t xml:space="preserve"> testing </w:t>
      </w:r>
      <w:r w:rsidR="002A1854">
        <w:fldChar w:fldCharType="begin"/>
      </w:r>
      <w:r w:rsidR="00FD77B6">
        <w:instrText xml:space="preserve"> ADDIN EN.CITE &lt;EndNote&gt;&lt;Cite&gt;&lt;Author&gt;Sonic Healthcare&lt;/Author&gt;&lt;Year&gt;2024&lt;/Year&gt;&lt;RecNum&gt;22&lt;/RecNum&gt;&lt;DisplayText&gt;(Sonic Healthcare 2024)&lt;/DisplayText&gt;&lt;record&gt;&lt;rec-number&gt;22&lt;/rec-number&gt;&lt;foreign-keys&gt;&lt;key app="EN" db-id="5xftswrv6zts2ke2xrkvxe2zr9e5effztde0" timestamp="1708138989"&gt;22&lt;/key&gt;&lt;/foreign-keys&gt;&lt;ref-type name="Web Page"&gt;12&lt;/ref-type&gt;&lt;contributors&gt;&lt;authors&gt;&lt;author&gt;Sonic Healthcare,&lt;/author&gt;&lt;/authors&gt;&lt;/contributors&gt;&lt;titles&gt;&lt;title&gt;Breast cancer focused gene panel&lt;/title&gt;&lt;/titles&gt;&lt;number&gt;2024 February 16&lt;/number&gt;&lt;dates&gt;&lt;year&gt;2024&lt;/year&gt;&lt;/dates&gt;&lt;work-type&gt;Internet&lt;/work-type&gt;&lt;urls&gt;&lt;related-urls&gt;&lt;url&gt;https://www.sonicgenetics.com.au/our-tests/all-our-tests/breast-cancer-focused-gene-panel/&lt;/url&gt;&lt;/related-urls&gt;&lt;/urls&gt;&lt;/record&gt;&lt;/Cite&gt;&lt;/EndNote&gt;</w:instrText>
      </w:r>
      <w:r w:rsidR="002A1854">
        <w:fldChar w:fldCharType="separate"/>
      </w:r>
      <w:r w:rsidR="00FD77B6">
        <w:rPr>
          <w:noProof/>
        </w:rPr>
        <w:t>(Sonic Healthcare 2024)</w:t>
      </w:r>
      <w:r w:rsidR="002A1854">
        <w:fldChar w:fldCharType="end"/>
      </w:r>
      <w:r w:rsidR="00353C07">
        <w:t xml:space="preserve"> </w:t>
      </w:r>
    </w:p>
    <w:p w14:paraId="40AEDC64" w14:textId="6948EBD3" w:rsidR="00E431F6" w:rsidRDefault="00E431F6" w:rsidP="00400793">
      <w:pPr>
        <w:pStyle w:val="Tablenotes"/>
        <w:contextualSpacing/>
      </w:pPr>
      <w:r>
        <w:rPr>
          <w:vertAlign w:val="superscript"/>
        </w:rPr>
        <w:t>a</w:t>
      </w:r>
      <w:r>
        <w:t xml:space="preserve"> Olaparib </w:t>
      </w:r>
      <w:r w:rsidR="00916E05">
        <w:t xml:space="preserve">and </w:t>
      </w:r>
      <w:r w:rsidR="00916E05">
        <w:rPr>
          <w:i/>
          <w:iCs/>
        </w:rPr>
        <w:t xml:space="preserve">germline BRCA1/2 testing </w:t>
      </w:r>
      <w:r>
        <w:t>to be considered at the July 2024 PBAC meeting and August 2024 MSAC meeting</w:t>
      </w:r>
      <w:r w:rsidR="00916E05">
        <w:t>, respectively</w:t>
      </w:r>
      <w:r>
        <w:t>.</w:t>
      </w:r>
    </w:p>
    <w:p w14:paraId="7778C181" w14:textId="658427CF" w:rsidR="003F2ED0" w:rsidRPr="003F2ED0" w:rsidRDefault="003F2ED0" w:rsidP="0023599C">
      <w:pPr>
        <w:pStyle w:val="Heading3"/>
      </w:pPr>
      <w:r w:rsidRPr="003F2ED0">
        <w:t>Reference standard (for investigative technologies only)</w:t>
      </w:r>
    </w:p>
    <w:p w14:paraId="464AB0CE" w14:textId="4099BF57" w:rsidR="003F2ED0" w:rsidRDefault="003F2ED0" w:rsidP="00BD33CC">
      <w:pPr>
        <w:spacing w:before="120" w:after="160" w:line="259" w:lineRule="auto"/>
        <w:rPr>
          <w:rStyle w:val="cf01"/>
          <w:rFonts w:asciiTheme="minorHAnsi" w:hAnsiTheme="minorHAnsi" w:cstheme="minorHAnsi"/>
          <w:sz w:val="22"/>
          <w:szCs w:val="22"/>
        </w:rPr>
      </w:pPr>
      <w:r w:rsidRPr="00332BFF">
        <w:rPr>
          <w:rStyle w:val="SubtleEmphasis"/>
          <w:i w:val="0"/>
          <w:iCs w:val="0"/>
          <w:color w:val="auto"/>
        </w:rPr>
        <w:t xml:space="preserve">Sanger sequencing could be used as </w:t>
      </w:r>
      <w:r w:rsidR="008F21AE">
        <w:rPr>
          <w:rStyle w:val="SubtleEmphasis"/>
          <w:i w:val="0"/>
          <w:iCs w:val="0"/>
          <w:color w:val="auto"/>
        </w:rPr>
        <w:t xml:space="preserve">the </w:t>
      </w:r>
      <w:r w:rsidRPr="00332BFF">
        <w:rPr>
          <w:rStyle w:val="SubtleEmphasis"/>
          <w:i w:val="0"/>
          <w:iCs w:val="0"/>
          <w:color w:val="auto"/>
        </w:rPr>
        <w:t>reference standard to determine concordance with NGS.</w:t>
      </w:r>
      <w:r>
        <w:rPr>
          <w:rStyle w:val="SubtleEmphasis"/>
          <w:i w:val="0"/>
          <w:iCs w:val="0"/>
          <w:color w:val="auto"/>
        </w:rPr>
        <w:t xml:space="preserve"> </w:t>
      </w:r>
      <w:r w:rsidR="00F85823" w:rsidRPr="00BD55A7">
        <w:rPr>
          <w:rStyle w:val="SubtleEmphasis"/>
          <w:i w:val="0"/>
          <w:iCs w:val="0"/>
        </w:rPr>
        <w:t>However,</w:t>
      </w:r>
      <w:r>
        <w:rPr>
          <w:rStyle w:val="SubtleEmphasis"/>
          <w:i w:val="0"/>
          <w:iCs w:val="0"/>
        </w:rPr>
        <w:t xml:space="preserve"> Sanger sequencing of </w:t>
      </w:r>
      <w:r w:rsidRPr="00302B40">
        <w:rPr>
          <w:rStyle w:val="cf01"/>
          <w:rFonts w:asciiTheme="minorHAnsi" w:hAnsiTheme="minorHAnsi" w:cstheme="minorHAnsi"/>
          <w:i/>
          <w:iCs/>
          <w:sz w:val="22"/>
          <w:szCs w:val="22"/>
        </w:rPr>
        <w:t>PIK3CA/AKT1/PTEN</w:t>
      </w:r>
      <w:r w:rsidRPr="00BD55A7">
        <w:rPr>
          <w:rStyle w:val="cf01"/>
          <w:rFonts w:asciiTheme="minorHAnsi" w:hAnsiTheme="minorHAnsi" w:cstheme="minorHAnsi"/>
          <w:sz w:val="22"/>
          <w:szCs w:val="22"/>
        </w:rPr>
        <w:t xml:space="preserve"> </w:t>
      </w:r>
      <w:r w:rsidR="00931837">
        <w:rPr>
          <w:rStyle w:val="cf01"/>
          <w:rFonts w:asciiTheme="minorHAnsi" w:hAnsiTheme="minorHAnsi" w:cstheme="minorHAnsi"/>
          <w:sz w:val="22"/>
          <w:szCs w:val="22"/>
        </w:rPr>
        <w:t>variant</w:t>
      </w:r>
      <w:r w:rsidRPr="00BD55A7">
        <w:rPr>
          <w:rStyle w:val="cf01"/>
          <w:rFonts w:asciiTheme="minorHAnsi" w:hAnsiTheme="minorHAnsi" w:cstheme="minorHAnsi"/>
          <w:sz w:val="22"/>
          <w:szCs w:val="22"/>
        </w:rPr>
        <w:t xml:space="preserve"> testing</w:t>
      </w:r>
      <w:r w:rsidRPr="001F1728">
        <w:rPr>
          <w:rStyle w:val="cf01"/>
          <w:rFonts w:asciiTheme="minorHAnsi" w:hAnsiTheme="minorHAnsi" w:cstheme="minorHAnsi"/>
          <w:sz w:val="22"/>
          <w:szCs w:val="22"/>
        </w:rPr>
        <w:t xml:space="preserve"> </w:t>
      </w:r>
      <w:r w:rsidRPr="00BD55A7">
        <w:rPr>
          <w:rStyle w:val="cf01"/>
          <w:rFonts w:asciiTheme="minorHAnsi" w:hAnsiTheme="minorHAnsi" w:cstheme="minorHAnsi"/>
          <w:sz w:val="22"/>
          <w:szCs w:val="22"/>
        </w:rPr>
        <w:t>is not currently available. In this case the accuracy of the proposed test may need to be demonstrated by direct from test to health outcomes evidence showing a health benefit resulting from use of test, or by a comparison against a suitable clinical utility standard.</w:t>
      </w:r>
    </w:p>
    <w:p w14:paraId="236C9913" w14:textId="3D1C3E31" w:rsidR="00C82331" w:rsidRPr="00C82331" w:rsidRDefault="00C82331" w:rsidP="00BD33CC">
      <w:pPr>
        <w:spacing w:before="120" w:after="160" w:line="259" w:lineRule="auto"/>
        <w:rPr>
          <w:rStyle w:val="cf01"/>
          <w:rFonts w:asciiTheme="minorHAnsi" w:hAnsiTheme="minorHAnsi" w:cstheme="minorHAnsi"/>
          <w:sz w:val="22"/>
          <w:szCs w:val="22"/>
        </w:rPr>
      </w:pPr>
      <w:r w:rsidRPr="00C82331">
        <w:rPr>
          <w:rFonts w:asciiTheme="minorHAnsi" w:hAnsiTheme="minorHAnsi" w:cstheme="minorHAnsi"/>
          <w:i/>
          <w:iCs/>
        </w:rPr>
        <w:t xml:space="preserve">PASC acknowledged that there was no reference standard for </w:t>
      </w:r>
      <w:r w:rsidR="001713D9">
        <w:rPr>
          <w:rFonts w:asciiTheme="minorHAnsi" w:hAnsiTheme="minorHAnsi" w:cstheme="minorHAnsi"/>
          <w:i/>
          <w:iCs/>
        </w:rPr>
        <w:t>AKT pathway</w:t>
      </w:r>
      <w:r w:rsidRPr="00C82331">
        <w:rPr>
          <w:rFonts w:asciiTheme="minorHAnsi" w:hAnsiTheme="minorHAnsi" w:cstheme="minorHAnsi"/>
          <w:i/>
          <w:iCs/>
        </w:rPr>
        <w:t xml:space="preserve"> testing.</w:t>
      </w:r>
    </w:p>
    <w:p w14:paraId="3BC68763" w14:textId="77777777" w:rsidR="00CE1B13" w:rsidRPr="008F1532" w:rsidRDefault="00CE1B13" w:rsidP="0023599C">
      <w:pPr>
        <w:pStyle w:val="Heading3"/>
      </w:pPr>
      <w:r w:rsidRPr="008F1532">
        <w:t>Clinical utility standard (for codependent investigative technologies only)</w:t>
      </w:r>
    </w:p>
    <w:p w14:paraId="61D2E7D5" w14:textId="0A6AAB6D" w:rsidR="004D4F91" w:rsidRPr="007925A4" w:rsidRDefault="004D4F91" w:rsidP="00BD33CC">
      <w:pPr>
        <w:pStyle w:val="ListParagraph"/>
        <w:spacing w:before="120" w:after="160" w:line="259" w:lineRule="auto"/>
        <w:ind w:left="0"/>
        <w:rPr>
          <w:rFonts w:eastAsiaTheme="minorHAnsi" w:cstheme="minorBidi"/>
          <w:color w:val="258221"/>
        </w:rPr>
      </w:pPr>
      <w:r>
        <w:t xml:space="preserve">A reference standard is not currently available for the proposed test. Therefore, the accuracy of the proposed test may need to be demonstrated by comparison against a suitable clinical utility standard, which is </w:t>
      </w:r>
      <w:r w:rsidRPr="007925A4">
        <w:t>FoundationOneCDx</w:t>
      </w:r>
      <w:r>
        <w:t xml:space="preserve"> in this case. </w:t>
      </w:r>
      <w:r w:rsidR="001E0C1E">
        <w:t xml:space="preserve">Based on the CAPItello-291 trial, FoundationOneCDx assay was used to detect </w:t>
      </w:r>
      <w:r w:rsidR="001E0C1E" w:rsidRPr="00302B40">
        <w:rPr>
          <w:i/>
          <w:iCs/>
        </w:rPr>
        <w:t>PIK3CA/AKT1/PTEN</w:t>
      </w:r>
      <w:r w:rsidR="001E0C1E">
        <w:t xml:space="preserve"> </w:t>
      </w:r>
      <w:r w:rsidR="00CF5E70">
        <w:t xml:space="preserve">variants </w:t>
      </w:r>
      <w:r w:rsidR="001E0C1E">
        <w:t>in breast tumour tissue</w:t>
      </w:r>
      <w:r w:rsidR="00DC7B88">
        <w:t xml:space="preserve"> of patients with HR+/HRE2- following treatment relapse with AI +/- CDK4/6 inhibitor</w:t>
      </w:r>
      <w:r w:rsidR="001E0C1E">
        <w:t>.</w:t>
      </w:r>
      <w:r w:rsidR="00DC7B88" w:rsidRPr="00DC7B88">
        <w:t xml:space="preserve"> </w:t>
      </w:r>
      <w:r w:rsidR="00DE514F" w:rsidRPr="00DE514F">
        <w:t xml:space="preserve">The breast tumour tissue could be </w:t>
      </w:r>
      <w:r w:rsidR="00717C54" w:rsidRPr="00DE514F">
        <w:t>archival,</w:t>
      </w:r>
      <w:r w:rsidR="00DE514F" w:rsidRPr="00DE514F">
        <w:t xml:space="preserve"> or newly collected FFPE tumour sample collected as part of routine clinical practice</w:t>
      </w:r>
      <w:r w:rsidR="00533CD4">
        <w:t xml:space="preserve"> </w:t>
      </w:r>
      <w:r w:rsidR="00DE514F" w:rsidRPr="00DE514F">
        <w:t>for analysis</w:t>
      </w:r>
      <w:r w:rsidR="00DE514F">
        <w:t xml:space="preserve">. </w:t>
      </w:r>
      <w:r w:rsidR="00DC7B88">
        <w:t xml:space="preserve">Treatment with capivasertib </w:t>
      </w:r>
      <w:r w:rsidR="00DC0C72">
        <w:t xml:space="preserve">+ </w:t>
      </w:r>
      <w:r w:rsidR="00DC7B88">
        <w:t>fulvestrant resulted in</w:t>
      </w:r>
      <w:r w:rsidR="00DC7B88" w:rsidRPr="00DC7B88">
        <w:t xml:space="preserve"> significant improvement in PFS in the overall population, with a more pronounced benefit in </w:t>
      </w:r>
      <w:r w:rsidR="001713D9">
        <w:t>AKT pathway</w:t>
      </w:r>
      <w:r w:rsidR="00DC7B88" w:rsidRPr="00DC7B88">
        <w:t xml:space="preserve"> altered tumours.</w:t>
      </w:r>
      <w:r w:rsidR="00DC7B88">
        <w:t xml:space="preserve"> </w:t>
      </w:r>
      <w:r w:rsidR="001E0C1E">
        <w:t xml:space="preserve">FoundationOneCDx is </w:t>
      </w:r>
      <w:r w:rsidR="00DC7B88">
        <w:t xml:space="preserve">currently </w:t>
      </w:r>
      <w:r w:rsidR="001E0C1E">
        <w:t xml:space="preserve">not available in Australia and laboratories may use other NGS IVDs and in-house assays for </w:t>
      </w:r>
      <w:r w:rsidR="00DC7B88">
        <w:t xml:space="preserve">identification of </w:t>
      </w:r>
      <w:r w:rsidR="00DC7B88" w:rsidRPr="00302B40">
        <w:rPr>
          <w:i/>
          <w:iCs/>
        </w:rPr>
        <w:t>PIK3CA/AKT1/PTEN</w:t>
      </w:r>
      <w:r w:rsidR="00DC7B88" w:rsidRPr="00DC7B88">
        <w:t xml:space="preserve"> </w:t>
      </w:r>
      <w:r w:rsidR="00413D10">
        <w:t>tier I</w:t>
      </w:r>
      <w:r w:rsidR="00EB017B">
        <w:t xml:space="preserve"> </w:t>
      </w:r>
      <w:r w:rsidR="001713D9">
        <w:t>variants. In</w:t>
      </w:r>
      <w:r>
        <w:t xml:space="preserve"> the pre-PASC meeting, the applicant stated that concordance studies have found high concordance between the </w:t>
      </w:r>
      <w:r w:rsidRPr="007925A4">
        <w:t>FoundationOneCDx</w:t>
      </w:r>
      <w:r>
        <w:t xml:space="preserve"> and the Roche Avenio platform, a similar assay to </w:t>
      </w:r>
      <w:r w:rsidRPr="007925A4">
        <w:t>FoundationOneCDx</w:t>
      </w:r>
      <w:r>
        <w:t xml:space="preserve"> that is used in Australia. </w:t>
      </w:r>
      <w:r w:rsidR="00533CD4">
        <w:t>T</w:t>
      </w:r>
      <w:r>
        <w:t>he applicant stated that they will supply this data at a later date.</w:t>
      </w:r>
    </w:p>
    <w:p w14:paraId="74079F27" w14:textId="15780F7C" w:rsidR="00BD26FE" w:rsidRPr="00BD26FE" w:rsidRDefault="00BD26FE" w:rsidP="00BD33CC">
      <w:pPr>
        <w:autoSpaceDE w:val="0"/>
        <w:autoSpaceDN w:val="0"/>
        <w:adjustRightInd w:val="0"/>
        <w:spacing w:before="120" w:after="160" w:line="259" w:lineRule="auto"/>
        <w:rPr>
          <w:rFonts w:asciiTheme="minorHAnsi" w:hAnsiTheme="minorHAnsi" w:cstheme="minorBidi"/>
          <w:i/>
        </w:rPr>
      </w:pPr>
      <w:r w:rsidRPr="00BD26FE">
        <w:rPr>
          <w:rFonts w:asciiTheme="minorHAnsi" w:hAnsiTheme="minorHAnsi" w:cstheme="minorBidi"/>
          <w:i/>
          <w:iCs/>
        </w:rPr>
        <w:t>PASC noted that there</w:t>
      </w:r>
      <w:r w:rsidRPr="00BD26FE">
        <w:rPr>
          <w:rFonts w:asciiTheme="minorHAnsi" w:hAnsiTheme="minorHAnsi" w:cstheme="minorBidi"/>
          <w:i/>
        </w:rPr>
        <w:t xml:space="preserve"> is no reference standard for </w:t>
      </w:r>
      <w:r w:rsidR="001713D9">
        <w:rPr>
          <w:rFonts w:asciiTheme="minorHAnsi" w:hAnsiTheme="minorHAnsi" w:cstheme="minorBidi"/>
          <w:i/>
        </w:rPr>
        <w:t>AKT pathway</w:t>
      </w:r>
      <w:r w:rsidRPr="00BD26FE">
        <w:rPr>
          <w:rFonts w:asciiTheme="minorHAnsi" w:hAnsiTheme="minorHAnsi" w:cstheme="minorBidi"/>
          <w:i/>
        </w:rPr>
        <w:t xml:space="preserve"> testing. The test used in the CAPItello-291 trial was FoundationOneCDx, which is not available in Australia. Moreover, there was no NGS IVD </w:t>
      </w:r>
      <w:r w:rsidRPr="00BD26FE">
        <w:rPr>
          <w:rFonts w:asciiTheme="minorHAnsi" w:hAnsiTheme="minorHAnsi" w:cstheme="minorBidi"/>
          <w:i/>
        </w:rPr>
        <w:lastRenderedPageBreak/>
        <w:t>registered on the ARTG. However, there were comparable tests at research settings in Australia, such as Roche AVENIO.</w:t>
      </w:r>
    </w:p>
    <w:p w14:paraId="637196DF" w14:textId="3A11C03F" w:rsidR="00BD26FE" w:rsidRPr="00BD26FE" w:rsidRDefault="00BD26FE" w:rsidP="00BD33CC">
      <w:pPr>
        <w:autoSpaceDE w:val="0"/>
        <w:autoSpaceDN w:val="0"/>
        <w:adjustRightInd w:val="0"/>
        <w:spacing w:before="120" w:after="160" w:line="259" w:lineRule="auto"/>
        <w:rPr>
          <w:rFonts w:asciiTheme="minorHAnsi" w:hAnsiTheme="minorHAnsi" w:cstheme="minorHAnsi"/>
          <w:i/>
          <w:iCs/>
        </w:rPr>
      </w:pPr>
      <w:r w:rsidRPr="00BD26FE">
        <w:rPr>
          <w:rFonts w:asciiTheme="minorHAnsi" w:hAnsiTheme="minorHAnsi" w:cstheme="minorHAnsi"/>
          <w:i/>
          <w:iCs/>
        </w:rPr>
        <w:t>PASC considered the concordance assessment results provided by the applicant’s clinical expert. The concordance assessment was conducted by Monash Pathology</w:t>
      </w:r>
      <w:r w:rsidR="00AC630C">
        <w:rPr>
          <w:rFonts w:asciiTheme="minorHAnsi" w:hAnsiTheme="minorHAnsi" w:cstheme="minorHAnsi"/>
          <w:i/>
          <w:iCs/>
        </w:rPr>
        <w:t xml:space="preserve">. In addition to assessing the concordance between </w:t>
      </w:r>
      <w:r w:rsidR="00F44B80" w:rsidRPr="00BD26FE">
        <w:rPr>
          <w:rFonts w:asciiTheme="minorHAnsi" w:hAnsiTheme="minorHAnsi" w:cstheme="minorBidi"/>
          <w:i/>
        </w:rPr>
        <w:t>FoundationOneCDx</w:t>
      </w:r>
      <w:r w:rsidR="00F44B80">
        <w:rPr>
          <w:rFonts w:asciiTheme="minorHAnsi" w:hAnsiTheme="minorHAnsi" w:cstheme="minorBidi"/>
          <w:i/>
        </w:rPr>
        <w:t xml:space="preserve"> and </w:t>
      </w:r>
      <w:r w:rsidR="00060B4F">
        <w:rPr>
          <w:rFonts w:asciiTheme="minorHAnsi" w:hAnsiTheme="minorHAnsi" w:cstheme="minorHAnsi"/>
          <w:i/>
          <w:iCs/>
        </w:rPr>
        <w:t xml:space="preserve">Monash Pathology’s </w:t>
      </w:r>
      <w:r w:rsidR="006E3272" w:rsidRPr="00BD26FE">
        <w:rPr>
          <w:rFonts w:asciiTheme="minorHAnsi" w:hAnsiTheme="minorHAnsi" w:cstheme="minorBidi"/>
          <w:i/>
        </w:rPr>
        <w:t xml:space="preserve">Roche AVENIO </w:t>
      </w:r>
      <w:r w:rsidR="00DE2074">
        <w:rPr>
          <w:rFonts w:asciiTheme="minorHAnsi" w:hAnsiTheme="minorHAnsi" w:cstheme="minorBidi"/>
          <w:i/>
        </w:rPr>
        <w:t>Comprehensive Genomic Profiling (</w:t>
      </w:r>
      <w:r w:rsidR="006E3272" w:rsidRPr="00BD26FE">
        <w:rPr>
          <w:rFonts w:asciiTheme="minorHAnsi" w:hAnsiTheme="minorHAnsi" w:cstheme="minorBidi"/>
          <w:i/>
        </w:rPr>
        <w:t>CGP</w:t>
      </w:r>
      <w:r w:rsidR="00DE2074">
        <w:rPr>
          <w:rFonts w:asciiTheme="minorHAnsi" w:hAnsiTheme="minorHAnsi" w:cstheme="minorBidi"/>
          <w:i/>
        </w:rPr>
        <w:t>)</w:t>
      </w:r>
      <w:r w:rsidR="001E36D2">
        <w:rPr>
          <w:rFonts w:asciiTheme="minorHAnsi" w:hAnsiTheme="minorHAnsi" w:cstheme="minorBidi"/>
          <w:i/>
        </w:rPr>
        <w:t xml:space="preserve"> panel</w:t>
      </w:r>
      <w:r w:rsidR="00612E33">
        <w:rPr>
          <w:rFonts w:asciiTheme="minorHAnsi" w:hAnsiTheme="minorHAnsi" w:cstheme="minorBidi"/>
          <w:i/>
        </w:rPr>
        <w:t>, the results were also correlated</w:t>
      </w:r>
      <w:r w:rsidRPr="00BD26FE">
        <w:rPr>
          <w:rFonts w:asciiTheme="minorHAnsi" w:hAnsiTheme="minorHAnsi" w:cstheme="minorHAnsi"/>
          <w:i/>
          <w:iCs/>
        </w:rPr>
        <w:t xml:space="preserve"> against local IVD NATA accredited panel Illumina TS70 ($300)</w:t>
      </w:r>
      <w:r w:rsidR="00380483">
        <w:rPr>
          <w:rFonts w:asciiTheme="minorHAnsi" w:hAnsiTheme="minorHAnsi" w:cstheme="minorHAnsi"/>
          <w:i/>
          <w:iCs/>
        </w:rPr>
        <w:t>. The Illumina TS70 panel</w:t>
      </w:r>
      <w:r w:rsidRPr="00BD26FE">
        <w:rPr>
          <w:rFonts w:asciiTheme="minorHAnsi" w:hAnsiTheme="minorHAnsi" w:cstheme="minorHAnsi"/>
          <w:i/>
          <w:iCs/>
        </w:rPr>
        <w:t xml:space="preserve"> seemed to target hotspot sequence variants only. It did not identify or intend to identify deletion. </w:t>
      </w:r>
      <w:r w:rsidR="00A72C00">
        <w:rPr>
          <w:rFonts w:asciiTheme="minorHAnsi" w:hAnsiTheme="minorHAnsi" w:cstheme="minorHAnsi"/>
          <w:i/>
          <w:iCs/>
        </w:rPr>
        <w:t xml:space="preserve">PASC noted that </w:t>
      </w:r>
      <w:r w:rsidR="00A72C00" w:rsidRPr="00BD26FE">
        <w:rPr>
          <w:rFonts w:asciiTheme="minorHAnsi" w:hAnsiTheme="minorHAnsi" w:cstheme="minorBidi"/>
          <w:i/>
        </w:rPr>
        <w:t>Roche AVENIO CGP was not registered on the ARTG and it was estimated to cost ~$1,900 to $2,200, covering 326 genes, copy number variants, gene fusions, tumour mutation burden, homologous recombination deficiency and loss of heterozygosity.</w:t>
      </w:r>
    </w:p>
    <w:p w14:paraId="17B5E505" w14:textId="654E39DB" w:rsidR="00BD26FE" w:rsidRPr="00BD26FE" w:rsidRDefault="00BD26FE" w:rsidP="00BD33CC">
      <w:pPr>
        <w:autoSpaceDE w:val="0"/>
        <w:autoSpaceDN w:val="0"/>
        <w:adjustRightInd w:val="0"/>
        <w:spacing w:before="120" w:after="160" w:line="259" w:lineRule="auto"/>
        <w:rPr>
          <w:rFonts w:asciiTheme="minorHAnsi" w:hAnsiTheme="minorHAnsi" w:cstheme="minorBidi"/>
          <w:i/>
        </w:rPr>
      </w:pPr>
      <w:r w:rsidRPr="00BD26FE">
        <w:rPr>
          <w:rFonts w:asciiTheme="minorHAnsi" w:hAnsiTheme="minorHAnsi" w:cstheme="minorBidi"/>
          <w:i/>
        </w:rPr>
        <w:t>The concordance assessment showed that 16/21 samples were concordant between FoundationOneCDx and Roche AVENIO CGP. PASC noted that data relat</w:t>
      </w:r>
      <w:r w:rsidR="00607FEB">
        <w:rPr>
          <w:rFonts w:asciiTheme="minorHAnsi" w:hAnsiTheme="minorHAnsi" w:cstheme="minorBidi"/>
          <w:i/>
        </w:rPr>
        <w:t>ing</w:t>
      </w:r>
      <w:r w:rsidRPr="00BD26FE">
        <w:rPr>
          <w:rFonts w:asciiTheme="minorHAnsi" w:hAnsiTheme="minorHAnsi" w:cstheme="minorBidi"/>
          <w:i/>
        </w:rPr>
        <w:t xml:space="preserve"> to the level of tumour enrichment in the</w:t>
      </w:r>
      <w:r w:rsidR="00607FEB">
        <w:rPr>
          <w:rFonts w:asciiTheme="minorHAnsi" w:hAnsiTheme="minorHAnsi" w:cstheme="minorBidi"/>
          <w:i/>
        </w:rPr>
        <w:t xml:space="preserve"> tested</w:t>
      </w:r>
      <w:r w:rsidRPr="00BD26FE">
        <w:rPr>
          <w:rFonts w:asciiTheme="minorHAnsi" w:hAnsiTheme="minorHAnsi" w:cstheme="minorBidi"/>
          <w:i/>
        </w:rPr>
        <w:t xml:space="preserve"> samples (proportion of DNA from tumour and that from surrounding non-tumour tissue) were not provided with the concordance assessment, and therefore considered that this introduces uncertainty in the interpretation of the results of the assessment.  </w:t>
      </w:r>
    </w:p>
    <w:p w14:paraId="381FBBE5" w14:textId="77777777" w:rsidR="00BD26FE" w:rsidRPr="00BD26FE" w:rsidRDefault="00BD26FE" w:rsidP="00BD33CC">
      <w:pPr>
        <w:autoSpaceDE w:val="0"/>
        <w:autoSpaceDN w:val="0"/>
        <w:adjustRightInd w:val="0"/>
        <w:spacing w:before="120" w:after="160" w:line="259" w:lineRule="auto"/>
        <w:rPr>
          <w:rFonts w:asciiTheme="minorHAnsi" w:hAnsiTheme="minorHAnsi" w:cstheme="minorHAnsi"/>
          <w:i/>
          <w:iCs/>
        </w:rPr>
      </w:pPr>
      <w:r w:rsidRPr="00BD26FE">
        <w:rPr>
          <w:rFonts w:asciiTheme="minorHAnsi" w:hAnsiTheme="minorHAnsi" w:cstheme="minorHAnsi"/>
          <w:i/>
          <w:iCs/>
        </w:rPr>
        <w:t xml:space="preserve">Based on the concordance assessment provided by the applicant, PASC considered that: </w:t>
      </w:r>
    </w:p>
    <w:p w14:paraId="34781A2E" w14:textId="77777777" w:rsidR="00BD26FE" w:rsidRPr="00BD26FE" w:rsidRDefault="00BD26FE" w:rsidP="00BD33CC">
      <w:pPr>
        <w:pStyle w:val="ListParagraph"/>
        <w:numPr>
          <w:ilvl w:val="0"/>
          <w:numId w:val="36"/>
        </w:numPr>
        <w:autoSpaceDE w:val="0"/>
        <w:autoSpaceDN w:val="0"/>
        <w:adjustRightInd w:val="0"/>
        <w:spacing w:before="120" w:after="160" w:line="259" w:lineRule="auto"/>
        <w:rPr>
          <w:rFonts w:asciiTheme="minorHAnsi" w:hAnsiTheme="minorHAnsi" w:cstheme="minorHAnsi"/>
          <w:i/>
          <w:iCs/>
        </w:rPr>
      </w:pPr>
      <w:r w:rsidRPr="00BD26FE">
        <w:rPr>
          <w:rFonts w:asciiTheme="minorHAnsi" w:hAnsiTheme="minorHAnsi" w:cstheme="minorHAnsi"/>
          <w:i/>
          <w:iCs/>
        </w:rPr>
        <w:t>neither FoundationOneCDx nor AVENIO identified PTEN deletion (loss of exons 1-3)</w:t>
      </w:r>
    </w:p>
    <w:p w14:paraId="7E913651" w14:textId="77777777" w:rsidR="00BD26FE" w:rsidRPr="00BD26FE" w:rsidRDefault="00BD26FE" w:rsidP="00BD33CC">
      <w:pPr>
        <w:pStyle w:val="ListParagraph"/>
        <w:numPr>
          <w:ilvl w:val="0"/>
          <w:numId w:val="36"/>
        </w:numPr>
        <w:autoSpaceDE w:val="0"/>
        <w:autoSpaceDN w:val="0"/>
        <w:adjustRightInd w:val="0"/>
        <w:spacing w:before="120" w:after="160" w:line="259" w:lineRule="auto"/>
        <w:rPr>
          <w:rFonts w:asciiTheme="minorHAnsi" w:hAnsiTheme="minorHAnsi" w:cstheme="minorHAnsi"/>
          <w:i/>
          <w:iCs/>
        </w:rPr>
      </w:pPr>
      <w:r w:rsidRPr="00BD26FE">
        <w:rPr>
          <w:rFonts w:asciiTheme="minorHAnsi" w:hAnsiTheme="minorHAnsi" w:cstheme="minorHAnsi"/>
          <w:i/>
          <w:iCs/>
        </w:rPr>
        <w:t>both AVENIO and FoundationOneCDx identified 19 out of 25 variants</w:t>
      </w:r>
    </w:p>
    <w:p w14:paraId="23DDB8F0" w14:textId="77777777" w:rsidR="00BD26FE" w:rsidRPr="00BD26FE" w:rsidRDefault="00BD26FE" w:rsidP="00BD33CC">
      <w:pPr>
        <w:pStyle w:val="ListParagraph"/>
        <w:numPr>
          <w:ilvl w:val="0"/>
          <w:numId w:val="36"/>
        </w:numPr>
        <w:autoSpaceDE w:val="0"/>
        <w:autoSpaceDN w:val="0"/>
        <w:adjustRightInd w:val="0"/>
        <w:spacing w:before="120" w:after="160" w:line="259" w:lineRule="auto"/>
        <w:rPr>
          <w:rFonts w:asciiTheme="minorHAnsi" w:hAnsiTheme="minorHAnsi" w:cstheme="minorHAnsi"/>
          <w:i/>
          <w:iCs/>
        </w:rPr>
      </w:pPr>
      <w:r w:rsidRPr="00BD26FE">
        <w:rPr>
          <w:rFonts w:asciiTheme="minorHAnsi" w:hAnsiTheme="minorHAnsi" w:cstheme="minorHAnsi"/>
          <w:i/>
          <w:iCs/>
        </w:rPr>
        <w:t>FoundationOneCDx failed on four samples, which were identified by AVENIO</w:t>
      </w:r>
    </w:p>
    <w:p w14:paraId="0C0C9E3E" w14:textId="77777777" w:rsidR="00BD26FE" w:rsidRPr="00BD26FE" w:rsidRDefault="00BD26FE" w:rsidP="00BD33CC">
      <w:pPr>
        <w:pStyle w:val="ListParagraph"/>
        <w:numPr>
          <w:ilvl w:val="0"/>
          <w:numId w:val="36"/>
        </w:numPr>
        <w:autoSpaceDE w:val="0"/>
        <w:autoSpaceDN w:val="0"/>
        <w:adjustRightInd w:val="0"/>
        <w:spacing w:before="120" w:after="160" w:line="259" w:lineRule="auto"/>
        <w:rPr>
          <w:rFonts w:asciiTheme="minorHAnsi" w:hAnsiTheme="minorHAnsi" w:cstheme="minorBidi"/>
          <w:i/>
        </w:rPr>
      </w:pPr>
      <w:r w:rsidRPr="00BD26FE">
        <w:rPr>
          <w:rFonts w:asciiTheme="minorHAnsi" w:hAnsiTheme="minorHAnsi" w:cstheme="minorBidi"/>
          <w:i/>
        </w:rPr>
        <w:t>FoundationOneCDx did not identify a PTEN point variation (p.D268E), which was detected by both AVENIO and the inhouse TS70</w:t>
      </w:r>
    </w:p>
    <w:p w14:paraId="0C3A0AB9" w14:textId="054D9299" w:rsidR="00BD26FE" w:rsidRPr="00BD33CC" w:rsidRDefault="00BD26FE" w:rsidP="00BD33CC">
      <w:pPr>
        <w:autoSpaceDE w:val="0"/>
        <w:autoSpaceDN w:val="0"/>
        <w:adjustRightInd w:val="0"/>
        <w:spacing w:before="120" w:after="160" w:line="259" w:lineRule="auto"/>
        <w:rPr>
          <w:rFonts w:asciiTheme="minorHAnsi" w:hAnsiTheme="minorHAnsi" w:cstheme="minorHAnsi"/>
          <w:i/>
          <w:iCs/>
        </w:rPr>
      </w:pPr>
      <w:r w:rsidRPr="00BD26FE">
        <w:rPr>
          <w:rFonts w:asciiTheme="minorHAnsi" w:hAnsiTheme="minorHAnsi" w:cstheme="minorHAnsi"/>
          <w:i/>
          <w:iCs/>
        </w:rPr>
        <w:t>PASC requested that the applicant provide primary data on PTEN deletion detection from available studies because neither FoundationOneCDx nor AVENIO identified PTEN deletion</w:t>
      </w:r>
      <w:r w:rsidR="009A25DF">
        <w:rPr>
          <w:rFonts w:asciiTheme="minorHAnsi" w:hAnsiTheme="minorHAnsi" w:cstheme="minorHAnsi"/>
          <w:i/>
          <w:iCs/>
        </w:rPr>
        <w:t>s</w:t>
      </w:r>
      <w:r w:rsidRPr="00BD26FE">
        <w:rPr>
          <w:rFonts w:asciiTheme="minorHAnsi" w:hAnsiTheme="minorHAnsi" w:cstheme="minorHAnsi"/>
          <w:i/>
          <w:iCs/>
        </w:rPr>
        <w:t xml:space="preserve"> in the concordance assessment.</w:t>
      </w:r>
    </w:p>
    <w:p w14:paraId="798D07AF" w14:textId="1BEA9004" w:rsidR="00B02E34" w:rsidRDefault="007A66C8" w:rsidP="0023599C">
      <w:pPr>
        <w:pStyle w:val="Heading3"/>
      </w:pPr>
      <w:r w:rsidRPr="008F1532">
        <w:t xml:space="preserve">Outcomes </w:t>
      </w:r>
    </w:p>
    <w:p w14:paraId="3BA502AB" w14:textId="3DCF8A98" w:rsidR="004562D3" w:rsidRPr="004562D3" w:rsidRDefault="004562D3" w:rsidP="0023599C">
      <w:r w:rsidRPr="004562D3">
        <w:t>For the purpose of this co-dependent MSAC/PBAC application, the following treatment outcomes apply:</w:t>
      </w:r>
    </w:p>
    <w:p w14:paraId="6D8A04F8" w14:textId="19D36C57" w:rsidR="00E452F7" w:rsidRDefault="00E452F7" w:rsidP="0023599C">
      <w:pPr>
        <w:pStyle w:val="Heading4"/>
      </w:pPr>
      <w:r>
        <w:t>Test outcomes</w:t>
      </w:r>
    </w:p>
    <w:p w14:paraId="35AA6CBC" w14:textId="77777777" w:rsidR="004562D3" w:rsidRDefault="004562D3" w:rsidP="0023599C">
      <w:r>
        <w:t>Efficacy/effectiveness</w:t>
      </w:r>
    </w:p>
    <w:p w14:paraId="5944DCE5" w14:textId="48991FF5" w:rsidR="00EB017B" w:rsidRPr="00F412A4" w:rsidRDefault="00EB017B" w:rsidP="003A16EB">
      <w:pPr>
        <w:pStyle w:val="ListParagraph"/>
        <w:numPr>
          <w:ilvl w:val="0"/>
          <w:numId w:val="12"/>
        </w:numPr>
      </w:pPr>
      <w:r w:rsidRPr="00F412A4">
        <w:t xml:space="preserve">Analytical performance, diagnostic and predictive accuracy of </w:t>
      </w:r>
      <w:r w:rsidR="001713D9">
        <w:t>AKT pathway</w:t>
      </w:r>
      <w:r w:rsidRPr="00F412A4">
        <w:t xml:space="preserve"> alterations testing using NGS (sensitivity, specificity, positive predictive value (PPV), negative predictive value (NPV), etc)</w:t>
      </w:r>
      <w:r w:rsidR="00533CD4" w:rsidRPr="00F412A4">
        <w:t>.</w:t>
      </w:r>
    </w:p>
    <w:p w14:paraId="41DB15FB" w14:textId="037FE498" w:rsidR="00EB017B" w:rsidRPr="00F412A4" w:rsidRDefault="00EB017B" w:rsidP="003A16EB">
      <w:pPr>
        <w:pStyle w:val="ListParagraph"/>
        <w:numPr>
          <w:ilvl w:val="0"/>
          <w:numId w:val="12"/>
        </w:numPr>
      </w:pPr>
      <w:r w:rsidRPr="00F412A4">
        <w:t xml:space="preserve">Comparison of the analytical performance (concordance and discordance) of the clinical utility standard, with respect to </w:t>
      </w:r>
      <w:r w:rsidRPr="00F412A4">
        <w:rPr>
          <w:i/>
          <w:iCs/>
        </w:rPr>
        <w:t>PIK3CA</w:t>
      </w:r>
      <w:r w:rsidR="009E6BFB">
        <w:rPr>
          <w:i/>
          <w:iCs/>
        </w:rPr>
        <w:t xml:space="preserve">, </w:t>
      </w:r>
      <w:r w:rsidRPr="00F412A4">
        <w:rPr>
          <w:i/>
          <w:iCs/>
        </w:rPr>
        <w:t>AKT1</w:t>
      </w:r>
      <w:r w:rsidR="009E6BFB">
        <w:rPr>
          <w:i/>
          <w:iCs/>
        </w:rPr>
        <w:t xml:space="preserve"> </w:t>
      </w:r>
      <w:r w:rsidR="009E6BFB" w:rsidRPr="00BD33CC">
        <w:t>and</w:t>
      </w:r>
      <w:r w:rsidR="00B9754F" w:rsidRPr="00BD33CC">
        <w:t xml:space="preserve"> </w:t>
      </w:r>
      <w:r w:rsidRPr="00F412A4">
        <w:rPr>
          <w:i/>
          <w:iCs/>
        </w:rPr>
        <w:t>PTEN</w:t>
      </w:r>
      <w:r w:rsidRPr="00F412A4">
        <w:t xml:space="preserve"> status, to proposed </w:t>
      </w:r>
      <w:r w:rsidR="001713D9">
        <w:t>AKT pathway</w:t>
      </w:r>
      <w:r w:rsidRPr="00F412A4">
        <w:t xml:space="preserve"> alterations testing</w:t>
      </w:r>
      <w:r w:rsidR="009E6BFB">
        <w:t xml:space="preserve"> including </w:t>
      </w:r>
      <w:r w:rsidR="009E6BFB" w:rsidRPr="00BD33CC">
        <w:rPr>
          <w:i/>
          <w:iCs/>
        </w:rPr>
        <w:t>PTEN</w:t>
      </w:r>
      <w:r w:rsidR="009E6BFB">
        <w:t xml:space="preserve"> copy number variants testing</w:t>
      </w:r>
      <w:r w:rsidRPr="00F412A4">
        <w:t xml:space="preserve"> using NGS (commercial or in-house developed)</w:t>
      </w:r>
      <w:r w:rsidR="00533CD4" w:rsidRPr="00F412A4">
        <w:t>.</w:t>
      </w:r>
    </w:p>
    <w:p w14:paraId="0CE72164" w14:textId="77777777" w:rsidR="00EB017B" w:rsidRPr="00F412A4" w:rsidRDefault="00EB017B" w:rsidP="003A16EB">
      <w:pPr>
        <w:pStyle w:val="ListParagraph"/>
        <w:numPr>
          <w:ilvl w:val="0"/>
          <w:numId w:val="12"/>
        </w:numPr>
      </w:pPr>
      <w:r w:rsidRPr="00F412A4">
        <w:t>Clinical validity of test:</w:t>
      </w:r>
    </w:p>
    <w:p w14:paraId="19F8BFB0" w14:textId="6D0685B4" w:rsidR="00EB017B" w:rsidRDefault="00EB017B" w:rsidP="003A16EB">
      <w:pPr>
        <w:pStyle w:val="ListParagraph"/>
        <w:numPr>
          <w:ilvl w:val="1"/>
          <w:numId w:val="12"/>
        </w:numPr>
      </w:pPr>
      <w:r w:rsidRPr="00F412A4">
        <w:t xml:space="preserve">Differential prognostic effect of the proposed </w:t>
      </w:r>
      <w:r w:rsidR="001713D9">
        <w:t>AKT pathway</w:t>
      </w:r>
      <w:r w:rsidRPr="00F412A4">
        <w:t xml:space="preserve"> alterations testing in advanced BC, particularly including an assessment of whether this prognostic effect varies further according to whether the patient </w:t>
      </w:r>
      <w:r>
        <w:t xml:space="preserve">is positive or negative </w:t>
      </w:r>
      <w:r w:rsidR="001713D9">
        <w:t>AKT pathway</w:t>
      </w:r>
      <w:r>
        <w:t xml:space="preserve"> alterations</w:t>
      </w:r>
      <w:r w:rsidR="00533CD4">
        <w:t>.</w:t>
      </w:r>
    </w:p>
    <w:p w14:paraId="7F5FD685" w14:textId="77777777" w:rsidR="00FC33B1" w:rsidRDefault="00FC33B1">
      <w:pPr>
        <w:spacing w:after="160" w:line="259" w:lineRule="auto"/>
      </w:pPr>
      <w:r>
        <w:br w:type="page"/>
      </w:r>
    </w:p>
    <w:p w14:paraId="76DE8BEA" w14:textId="667A5D72" w:rsidR="00EB017B" w:rsidRDefault="00EB017B" w:rsidP="003A16EB">
      <w:pPr>
        <w:pStyle w:val="ListParagraph"/>
        <w:numPr>
          <w:ilvl w:val="0"/>
          <w:numId w:val="12"/>
        </w:numPr>
      </w:pPr>
      <w:r>
        <w:lastRenderedPageBreak/>
        <w:t>Clinical utility of test:</w:t>
      </w:r>
    </w:p>
    <w:p w14:paraId="52AA8D10" w14:textId="1F687E72" w:rsidR="00EB017B" w:rsidRDefault="00EB017B" w:rsidP="003A16EB">
      <w:pPr>
        <w:pStyle w:val="ListParagraph"/>
        <w:numPr>
          <w:ilvl w:val="1"/>
          <w:numId w:val="12"/>
        </w:numPr>
      </w:pPr>
      <w:r>
        <w:t xml:space="preserve">Treatment effect modification of capivasertib as a consequence of </w:t>
      </w:r>
      <w:r>
        <w:rPr>
          <w:i/>
          <w:iCs/>
        </w:rPr>
        <w:t>PIK3CA/AKT1/PTEN</w:t>
      </w:r>
      <w:r>
        <w:t xml:space="preserve"> </w:t>
      </w:r>
      <w:r w:rsidR="00413D10">
        <w:t>tier I</w:t>
      </w:r>
      <w:r w:rsidR="00212ED6">
        <w:t xml:space="preserve"> variants </w:t>
      </w:r>
      <w:r>
        <w:t>status.</w:t>
      </w:r>
    </w:p>
    <w:p w14:paraId="73F27ECB" w14:textId="0B3C6E6C" w:rsidR="00EB017B" w:rsidRDefault="00EB017B" w:rsidP="003A16EB">
      <w:pPr>
        <w:pStyle w:val="ListParagraph"/>
        <w:numPr>
          <w:ilvl w:val="1"/>
          <w:numId w:val="12"/>
        </w:numPr>
      </w:pPr>
      <w:r>
        <w:t xml:space="preserve">Whether </w:t>
      </w:r>
      <w:r w:rsidR="001713D9">
        <w:t>AKT pathway</w:t>
      </w:r>
      <w:r>
        <w:t xml:space="preserve"> alteration testing better target patients that are likely to respond most to capivasertib</w:t>
      </w:r>
      <w:r w:rsidR="00533CD4">
        <w:t>.</w:t>
      </w:r>
    </w:p>
    <w:p w14:paraId="38F725BC" w14:textId="77777777" w:rsidR="00EB017B" w:rsidRDefault="00EB017B" w:rsidP="003A16EB">
      <w:pPr>
        <w:pStyle w:val="ListParagraph"/>
        <w:numPr>
          <w:ilvl w:val="0"/>
          <w:numId w:val="12"/>
        </w:numPr>
      </w:pPr>
      <w:r>
        <w:t>Other test related considerations:</w:t>
      </w:r>
    </w:p>
    <w:p w14:paraId="7C6F7E07" w14:textId="4F0765D2" w:rsidR="00EB017B" w:rsidRDefault="00EB017B" w:rsidP="003A16EB">
      <w:pPr>
        <w:pStyle w:val="ListParagraph"/>
        <w:numPr>
          <w:ilvl w:val="1"/>
          <w:numId w:val="12"/>
        </w:numPr>
      </w:pPr>
      <w:r>
        <w:t>Test turnaround time</w:t>
      </w:r>
      <w:r w:rsidR="00533CD4">
        <w:t>.</w:t>
      </w:r>
    </w:p>
    <w:p w14:paraId="5C42BF7D" w14:textId="5A15919F" w:rsidR="00EB017B" w:rsidRDefault="00EB017B" w:rsidP="003A16EB">
      <w:pPr>
        <w:pStyle w:val="ListParagraph"/>
        <w:numPr>
          <w:ilvl w:val="1"/>
          <w:numId w:val="12"/>
        </w:numPr>
      </w:pPr>
      <w:r>
        <w:t>Test failure rates and re-biopsy rates</w:t>
      </w:r>
      <w:r w:rsidR="00533CD4">
        <w:t>.</w:t>
      </w:r>
    </w:p>
    <w:p w14:paraId="169712B6" w14:textId="77777777" w:rsidR="00F36E7E" w:rsidRDefault="00F36E7E" w:rsidP="0023599C">
      <w:r>
        <w:t>Safety outcomes</w:t>
      </w:r>
    </w:p>
    <w:p w14:paraId="3CB57B93" w14:textId="40F75964" w:rsidR="00F36E7E" w:rsidRDefault="00F36E7E" w:rsidP="003A16EB">
      <w:pPr>
        <w:pStyle w:val="ListParagraph"/>
        <w:numPr>
          <w:ilvl w:val="0"/>
          <w:numId w:val="12"/>
        </w:numPr>
      </w:pPr>
      <w:r>
        <w:t>Adverse events associated with biopsy/re-biopsy for patients with inadequate tissue for tumour testing</w:t>
      </w:r>
      <w:r w:rsidR="00533CD4">
        <w:t>.</w:t>
      </w:r>
    </w:p>
    <w:p w14:paraId="19529DBB" w14:textId="77777777" w:rsidR="00F36E7E" w:rsidRDefault="00F36E7E" w:rsidP="0023599C">
      <w:r>
        <w:t xml:space="preserve">Healthcare resources </w:t>
      </w:r>
    </w:p>
    <w:p w14:paraId="1179D4EB" w14:textId="3A75F2B7" w:rsidR="00F36E7E" w:rsidRDefault="00F36E7E" w:rsidP="003A16EB">
      <w:pPr>
        <w:pStyle w:val="ListParagraph"/>
        <w:numPr>
          <w:ilvl w:val="0"/>
          <w:numId w:val="12"/>
        </w:numPr>
      </w:pPr>
      <w:r>
        <w:t>Cost of test intervention and associated delivery cost</w:t>
      </w:r>
      <w:r w:rsidR="00533CD4">
        <w:t>.</w:t>
      </w:r>
    </w:p>
    <w:p w14:paraId="09EA07E0" w14:textId="4E5035E2" w:rsidR="00F36E7E" w:rsidRDefault="00F36E7E" w:rsidP="003A16EB">
      <w:pPr>
        <w:pStyle w:val="ListParagraph"/>
        <w:numPr>
          <w:ilvl w:val="0"/>
          <w:numId w:val="12"/>
        </w:numPr>
      </w:pPr>
      <w:r>
        <w:t>Cost of re-biopsy</w:t>
      </w:r>
      <w:r w:rsidR="00533CD4">
        <w:t>.</w:t>
      </w:r>
    </w:p>
    <w:p w14:paraId="723CE14E" w14:textId="503DBA2E" w:rsidR="00F36E7E" w:rsidRDefault="00F36E7E" w:rsidP="003A16EB">
      <w:pPr>
        <w:pStyle w:val="ListParagraph"/>
        <w:numPr>
          <w:ilvl w:val="0"/>
          <w:numId w:val="12"/>
        </w:numPr>
      </w:pPr>
      <w:r>
        <w:t>Cost of re-test</w:t>
      </w:r>
      <w:r w:rsidR="00533CD4">
        <w:t>.</w:t>
      </w:r>
    </w:p>
    <w:p w14:paraId="0E1777EB" w14:textId="326CB352" w:rsidR="004562D3" w:rsidRPr="004562D3" w:rsidRDefault="00E452F7" w:rsidP="0023599C">
      <w:pPr>
        <w:pStyle w:val="Heading4"/>
      </w:pPr>
      <w:r>
        <w:t>Treatment outcomes</w:t>
      </w:r>
    </w:p>
    <w:p w14:paraId="4450EABD" w14:textId="77777777" w:rsidR="004562D3" w:rsidRPr="004562D3" w:rsidRDefault="004562D3" w:rsidP="0023599C">
      <w:r w:rsidRPr="004562D3">
        <w:t>Efficacy/effectiveness outcomes</w:t>
      </w:r>
    </w:p>
    <w:p w14:paraId="6F4A21FC" w14:textId="1FEAB8E5" w:rsidR="004562D3" w:rsidRPr="004562D3" w:rsidRDefault="00B979AD" w:rsidP="003A16EB">
      <w:pPr>
        <w:pStyle w:val="ListParagraph"/>
        <w:numPr>
          <w:ilvl w:val="0"/>
          <w:numId w:val="21"/>
        </w:numPr>
      </w:pPr>
      <w:r>
        <w:t>PFS</w:t>
      </w:r>
      <w:r w:rsidR="00533CD4">
        <w:t>.</w:t>
      </w:r>
      <w:r w:rsidR="004562D3" w:rsidRPr="004562D3">
        <w:t xml:space="preserve"> </w:t>
      </w:r>
    </w:p>
    <w:p w14:paraId="0A06ABC6" w14:textId="49CF5BA3" w:rsidR="004562D3" w:rsidRPr="004562D3" w:rsidRDefault="004562D3" w:rsidP="003A16EB">
      <w:pPr>
        <w:pStyle w:val="ListParagraph"/>
        <w:numPr>
          <w:ilvl w:val="0"/>
          <w:numId w:val="21"/>
        </w:numPr>
      </w:pPr>
      <w:r w:rsidRPr="004562D3">
        <w:t>Overall survival</w:t>
      </w:r>
      <w:r w:rsidR="00533CD4">
        <w:t>.</w:t>
      </w:r>
      <w:r w:rsidRPr="004562D3">
        <w:t xml:space="preserve">  </w:t>
      </w:r>
    </w:p>
    <w:p w14:paraId="3CF87BB5" w14:textId="20698D87" w:rsidR="004562D3" w:rsidRPr="004562D3" w:rsidRDefault="004562D3" w:rsidP="003A16EB">
      <w:pPr>
        <w:pStyle w:val="ListParagraph"/>
        <w:numPr>
          <w:ilvl w:val="0"/>
          <w:numId w:val="21"/>
        </w:numPr>
      </w:pPr>
      <w:r w:rsidRPr="004562D3">
        <w:t>Response rate</w:t>
      </w:r>
      <w:r w:rsidR="00533CD4">
        <w:t>.</w:t>
      </w:r>
      <w:r w:rsidRPr="004562D3">
        <w:t xml:space="preserve">  </w:t>
      </w:r>
    </w:p>
    <w:p w14:paraId="23AEB21C" w14:textId="09095FAD" w:rsidR="004562D3" w:rsidRDefault="004562D3" w:rsidP="003A16EB">
      <w:pPr>
        <w:pStyle w:val="ListParagraph"/>
        <w:numPr>
          <w:ilvl w:val="0"/>
          <w:numId w:val="21"/>
        </w:numPr>
      </w:pPr>
      <w:r w:rsidRPr="004562D3">
        <w:t>Quality of life</w:t>
      </w:r>
      <w:r w:rsidR="00533CD4">
        <w:t>.</w:t>
      </w:r>
      <w:r w:rsidRPr="004562D3">
        <w:t xml:space="preserve"> </w:t>
      </w:r>
    </w:p>
    <w:p w14:paraId="7FF3B076" w14:textId="77777777" w:rsidR="004562D3" w:rsidRPr="004562D3" w:rsidRDefault="004562D3" w:rsidP="0023599C">
      <w:r w:rsidRPr="004562D3">
        <w:t>Safety Outcomes</w:t>
      </w:r>
    </w:p>
    <w:p w14:paraId="60F5A0D9" w14:textId="410E21F4" w:rsidR="00927333" w:rsidRDefault="00927333" w:rsidP="003A16EB">
      <w:pPr>
        <w:pStyle w:val="ListParagraph"/>
        <w:numPr>
          <w:ilvl w:val="0"/>
          <w:numId w:val="27"/>
        </w:numPr>
      </w:pPr>
      <w:r>
        <w:t xml:space="preserve">Comparative safety and tolerability of capivasertib + fulvestrant, compared </w:t>
      </w:r>
      <w:r w:rsidR="00561224">
        <w:t>to alternative treatments (no standard of care)</w:t>
      </w:r>
      <w:r>
        <w:t xml:space="preserve">, in patients with/without </w:t>
      </w:r>
      <w:r w:rsidR="001713D9">
        <w:t>AKT pathway</w:t>
      </w:r>
      <w:r>
        <w:t xml:space="preserve"> alterations, assessed by adverse events, discontinuation rates, deaths and collection of clinical chemistry/haematology parameters</w:t>
      </w:r>
      <w:r w:rsidR="00533CD4">
        <w:t>.</w:t>
      </w:r>
    </w:p>
    <w:p w14:paraId="43E8DAD7" w14:textId="77777777" w:rsidR="004562D3" w:rsidRPr="004562D3" w:rsidRDefault="004562D3" w:rsidP="0023599C">
      <w:r w:rsidRPr="004562D3">
        <w:t xml:space="preserve">Healthcare resources </w:t>
      </w:r>
    </w:p>
    <w:p w14:paraId="572052C7" w14:textId="2FD0366C" w:rsidR="004562D3" w:rsidRPr="004562D3" w:rsidRDefault="00211E03" w:rsidP="003A16EB">
      <w:pPr>
        <w:pStyle w:val="ListParagraph"/>
        <w:numPr>
          <w:ilvl w:val="0"/>
          <w:numId w:val="22"/>
        </w:numPr>
      </w:pPr>
      <w:r>
        <w:t>C</w:t>
      </w:r>
      <w:r w:rsidR="004562D3" w:rsidRPr="004562D3">
        <w:t>ost of treatment intervention</w:t>
      </w:r>
      <w:r w:rsidR="00533CD4">
        <w:t>.</w:t>
      </w:r>
    </w:p>
    <w:p w14:paraId="0E1492FC" w14:textId="77777777" w:rsidR="004562D3" w:rsidRPr="004562D3" w:rsidRDefault="004562D3" w:rsidP="0023599C">
      <w:r w:rsidRPr="004562D3">
        <w:t xml:space="preserve">Total Australian Government Healthcare costs </w:t>
      </w:r>
    </w:p>
    <w:p w14:paraId="4657763C" w14:textId="4EB41BD1" w:rsidR="004562D3" w:rsidRPr="004562D3" w:rsidRDefault="004562D3" w:rsidP="003A16EB">
      <w:pPr>
        <w:pStyle w:val="ListParagraph"/>
        <w:numPr>
          <w:ilvl w:val="0"/>
          <w:numId w:val="22"/>
        </w:numPr>
      </w:pPr>
      <w:r w:rsidRPr="004562D3">
        <w:t>Total cost to the MBS</w:t>
      </w:r>
      <w:r w:rsidR="00533CD4">
        <w:t>.</w:t>
      </w:r>
      <w:r w:rsidRPr="004562D3">
        <w:t xml:space="preserve"> </w:t>
      </w:r>
    </w:p>
    <w:p w14:paraId="245FA77A" w14:textId="71C1D96E" w:rsidR="004562D3" w:rsidRPr="004562D3" w:rsidRDefault="004562D3" w:rsidP="003A16EB">
      <w:pPr>
        <w:pStyle w:val="ListParagraph"/>
        <w:numPr>
          <w:ilvl w:val="0"/>
          <w:numId w:val="22"/>
        </w:numPr>
      </w:pPr>
      <w:r w:rsidRPr="004562D3">
        <w:t>Total cost to the PBS</w:t>
      </w:r>
      <w:r w:rsidR="00533CD4">
        <w:t>.</w:t>
      </w:r>
      <w:r w:rsidRPr="004562D3">
        <w:t xml:space="preserve"> </w:t>
      </w:r>
    </w:p>
    <w:p w14:paraId="35586B4C" w14:textId="7977ECCD" w:rsidR="006637FA" w:rsidRPr="00951480" w:rsidRDefault="004562D3" w:rsidP="006637FA">
      <w:pPr>
        <w:pStyle w:val="ListParagraph"/>
        <w:numPr>
          <w:ilvl w:val="0"/>
          <w:numId w:val="22"/>
        </w:numPr>
        <w:rPr>
          <w:rFonts w:cs="Calibri"/>
        </w:rPr>
      </w:pPr>
      <w:r w:rsidRPr="00951480">
        <w:rPr>
          <w:rFonts w:cs="Calibri"/>
        </w:rPr>
        <w:t>Total cost to other healthcare services</w:t>
      </w:r>
      <w:r w:rsidR="00533CD4" w:rsidRPr="00951480">
        <w:rPr>
          <w:rFonts w:cs="Calibri"/>
        </w:rPr>
        <w:t>.</w:t>
      </w:r>
    </w:p>
    <w:p w14:paraId="47A250E3" w14:textId="77777777" w:rsidR="00FC33B1" w:rsidRDefault="00FC33B1">
      <w:pPr>
        <w:spacing w:after="160" w:line="259" w:lineRule="auto"/>
        <w:rPr>
          <w:rFonts w:cs="Calibri"/>
          <w:i/>
          <w:iCs/>
        </w:rPr>
      </w:pPr>
      <w:r>
        <w:rPr>
          <w:rFonts w:cs="Calibri"/>
          <w:i/>
          <w:iCs/>
        </w:rPr>
        <w:br w:type="page"/>
      </w:r>
    </w:p>
    <w:p w14:paraId="53AED07F" w14:textId="1AB5B30A" w:rsidR="00F412A4" w:rsidRPr="00951480" w:rsidRDefault="00F412A4" w:rsidP="00BD33CC">
      <w:pPr>
        <w:autoSpaceDE w:val="0"/>
        <w:autoSpaceDN w:val="0"/>
        <w:adjustRightInd w:val="0"/>
        <w:spacing w:before="120" w:after="160" w:line="259" w:lineRule="auto"/>
        <w:rPr>
          <w:rFonts w:cs="Calibri"/>
          <w:i/>
          <w:iCs/>
        </w:rPr>
      </w:pPr>
      <w:r w:rsidRPr="00951480">
        <w:rPr>
          <w:rFonts w:cs="Calibri"/>
          <w:i/>
          <w:iCs/>
        </w:rPr>
        <w:lastRenderedPageBreak/>
        <w:t>PASC acknowledged the proposed outcomes mentioned in the draft PICO but proposed amendments to the following outcomes in</w:t>
      </w:r>
      <w:r w:rsidRPr="00951480">
        <w:rPr>
          <w:rFonts w:cs="Calibri"/>
          <w:i/>
          <w:iCs/>
          <w:color w:val="FF0000"/>
        </w:rPr>
        <w:t xml:space="preserve"> red</w:t>
      </w:r>
      <w:r w:rsidRPr="00951480">
        <w:rPr>
          <w:rFonts w:cs="Calibri"/>
          <w:i/>
          <w:iCs/>
        </w:rPr>
        <w:t xml:space="preserve">: </w:t>
      </w:r>
    </w:p>
    <w:p w14:paraId="2843E53B" w14:textId="5DF34EA0" w:rsidR="006637FA" w:rsidRPr="00951480" w:rsidRDefault="006637FA" w:rsidP="00BD33CC">
      <w:pPr>
        <w:pStyle w:val="ListParagraph"/>
        <w:numPr>
          <w:ilvl w:val="0"/>
          <w:numId w:val="38"/>
        </w:numPr>
        <w:autoSpaceDE w:val="0"/>
        <w:autoSpaceDN w:val="0"/>
        <w:adjustRightInd w:val="0"/>
        <w:spacing w:before="120" w:after="160" w:line="259" w:lineRule="auto"/>
        <w:rPr>
          <w:rFonts w:cs="Calibri"/>
          <w:i/>
          <w:iCs/>
        </w:rPr>
      </w:pPr>
      <w:r w:rsidRPr="00951480">
        <w:rPr>
          <w:rFonts w:cs="Calibri"/>
          <w:i/>
          <w:iCs/>
        </w:rPr>
        <w:t>Efficacy outcome</w:t>
      </w:r>
      <w:r w:rsidR="009A2ACA" w:rsidRPr="00951480">
        <w:rPr>
          <w:rFonts w:cs="Calibri"/>
          <w:i/>
          <w:iCs/>
        </w:rPr>
        <w:t>:</w:t>
      </w:r>
    </w:p>
    <w:p w14:paraId="278F498A" w14:textId="705B2CD9" w:rsidR="006637FA" w:rsidRPr="00951480" w:rsidRDefault="006637FA" w:rsidP="00BD33CC">
      <w:pPr>
        <w:pStyle w:val="ListParagraph"/>
        <w:numPr>
          <w:ilvl w:val="1"/>
          <w:numId w:val="35"/>
        </w:numPr>
        <w:autoSpaceDE w:val="0"/>
        <w:autoSpaceDN w:val="0"/>
        <w:adjustRightInd w:val="0"/>
        <w:spacing w:before="120" w:after="160" w:line="259" w:lineRule="auto"/>
        <w:rPr>
          <w:rFonts w:cs="Calibri"/>
          <w:i/>
          <w:iCs/>
        </w:rPr>
      </w:pPr>
      <w:r w:rsidRPr="00951480">
        <w:rPr>
          <w:rFonts w:cs="Calibri"/>
          <w:i/>
          <w:iCs/>
        </w:rPr>
        <w:t xml:space="preserve">Comparison of the analytical performance (concordance and discordance) of the clinical utility standard, with respect to PIK3CA, AKT1 and PTEN status, to the proposed </w:t>
      </w:r>
      <w:r w:rsidR="001713D9">
        <w:rPr>
          <w:rFonts w:cs="Calibri"/>
          <w:i/>
          <w:iCs/>
        </w:rPr>
        <w:t>AKT pathway</w:t>
      </w:r>
      <w:r w:rsidRPr="00951480">
        <w:rPr>
          <w:rFonts w:cs="Calibri"/>
          <w:i/>
          <w:iCs/>
        </w:rPr>
        <w:t xml:space="preserve"> alterations testing including </w:t>
      </w:r>
      <w:r w:rsidRPr="00951480">
        <w:rPr>
          <w:rFonts w:cs="Calibri"/>
          <w:i/>
          <w:iCs/>
          <w:color w:val="FF0000"/>
        </w:rPr>
        <w:t xml:space="preserve">PTEN copy number variants </w:t>
      </w:r>
      <w:r w:rsidRPr="00951480">
        <w:rPr>
          <w:rFonts w:cs="Calibri"/>
          <w:i/>
          <w:iCs/>
        </w:rPr>
        <w:t xml:space="preserve">testing using NGS (commercial or in-house developed) </w:t>
      </w:r>
    </w:p>
    <w:p w14:paraId="003946C1" w14:textId="77777777" w:rsidR="009A2ACA" w:rsidRPr="00951480" w:rsidRDefault="006637FA" w:rsidP="00BD33CC">
      <w:pPr>
        <w:autoSpaceDE w:val="0"/>
        <w:autoSpaceDN w:val="0"/>
        <w:adjustRightInd w:val="0"/>
        <w:spacing w:before="120" w:after="160" w:line="259" w:lineRule="auto"/>
        <w:rPr>
          <w:rFonts w:cs="Calibri"/>
          <w:i/>
          <w:iCs/>
        </w:rPr>
      </w:pPr>
      <w:r w:rsidRPr="00951480">
        <w:rPr>
          <w:rFonts w:cs="Calibri"/>
          <w:i/>
          <w:iCs/>
        </w:rPr>
        <w:t xml:space="preserve">PASC considered that comparison of the proposed treatment to placebo is not warranted as there are many other treatment options available for these patients in the second line setting. </w:t>
      </w:r>
    </w:p>
    <w:p w14:paraId="47336C9F" w14:textId="77777777" w:rsidR="009A2ACA" w:rsidRPr="00951480" w:rsidRDefault="006637FA" w:rsidP="00BD33CC">
      <w:pPr>
        <w:autoSpaceDE w:val="0"/>
        <w:autoSpaceDN w:val="0"/>
        <w:adjustRightInd w:val="0"/>
        <w:spacing w:before="120" w:after="160" w:line="259" w:lineRule="auto"/>
        <w:rPr>
          <w:rFonts w:cs="Calibri"/>
          <w:i/>
          <w:iCs/>
        </w:rPr>
      </w:pPr>
      <w:r w:rsidRPr="00951480">
        <w:rPr>
          <w:rFonts w:cs="Calibri"/>
          <w:i/>
          <w:iCs/>
        </w:rPr>
        <w:t>PASC proposed to rewrite the safety outcome for the treatment (which previously referred to placebo) as follows:</w:t>
      </w:r>
    </w:p>
    <w:p w14:paraId="08837A44" w14:textId="77777777" w:rsidR="009A2ACA" w:rsidRPr="00951480" w:rsidRDefault="006637FA" w:rsidP="00BD33CC">
      <w:pPr>
        <w:pStyle w:val="ListParagraph"/>
        <w:numPr>
          <w:ilvl w:val="0"/>
          <w:numId w:val="38"/>
        </w:numPr>
        <w:autoSpaceDE w:val="0"/>
        <w:autoSpaceDN w:val="0"/>
        <w:adjustRightInd w:val="0"/>
        <w:spacing w:before="120" w:after="160" w:line="259" w:lineRule="auto"/>
        <w:rPr>
          <w:rFonts w:cs="Calibri"/>
          <w:i/>
          <w:iCs/>
        </w:rPr>
      </w:pPr>
      <w:r w:rsidRPr="00951480">
        <w:rPr>
          <w:rFonts w:cs="Calibri"/>
          <w:i/>
          <w:iCs/>
        </w:rPr>
        <w:t>Safety outcome</w:t>
      </w:r>
      <w:r w:rsidR="009A2ACA" w:rsidRPr="00951480">
        <w:rPr>
          <w:rFonts w:cs="Calibri"/>
          <w:i/>
          <w:iCs/>
        </w:rPr>
        <w:t>:</w:t>
      </w:r>
    </w:p>
    <w:p w14:paraId="554FED9F" w14:textId="165034A4" w:rsidR="006637FA" w:rsidRPr="00951480" w:rsidRDefault="006637FA" w:rsidP="00BD33CC">
      <w:pPr>
        <w:pStyle w:val="ListParagraph"/>
        <w:numPr>
          <w:ilvl w:val="1"/>
          <w:numId w:val="38"/>
        </w:numPr>
        <w:autoSpaceDE w:val="0"/>
        <w:autoSpaceDN w:val="0"/>
        <w:adjustRightInd w:val="0"/>
        <w:spacing w:before="120" w:after="160" w:line="259" w:lineRule="auto"/>
        <w:rPr>
          <w:rFonts w:cs="Calibri"/>
          <w:i/>
          <w:iCs/>
        </w:rPr>
      </w:pPr>
      <w:r w:rsidRPr="00951480">
        <w:rPr>
          <w:rFonts w:cs="Calibri"/>
          <w:i/>
          <w:iCs/>
        </w:rPr>
        <w:t xml:space="preserve">Comparative safety and tolerability of capivasertib + fulvestrant, compared to </w:t>
      </w:r>
      <w:r w:rsidRPr="00951480">
        <w:rPr>
          <w:rFonts w:cs="Calibri"/>
          <w:i/>
          <w:iCs/>
          <w:color w:val="FF0000"/>
        </w:rPr>
        <w:t>alternative treatments)</w:t>
      </w:r>
      <w:r w:rsidRPr="00951480">
        <w:rPr>
          <w:rFonts w:cs="Calibri"/>
          <w:i/>
          <w:iCs/>
        </w:rPr>
        <w:t xml:space="preserve"> in patients with/without </w:t>
      </w:r>
      <w:r w:rsidR="001713D9">
        <w:rPr>
          <w:rFonts w:cs="Calibri"/>
          <w:i/>
          <w:iCs/>
        </w:rPr>
        <w:t>AKT pathway</w:t>
      </w:r>
      <w:r w:rsidRPr="00951480">
        <w:rPr>
          <w:rFonts w:cs="Calibri"/>
          <w:i/>
          <w:iCs/>
        </w:rPr>
        <w:t xml:space="preserve"> alterations, assessed by adverse events, discontinuation rates, deaths and collection of clinical chemistry/haematology parameters.</w:t>
      </w:r>
    </w:p>
    <w:p w14:paraId="6E476B62" w14:textId="548D8B1B" w:rsidR="00C0754B" w:rsidRPr="00951480" w:rsidRDefault="0066007F" w:rsidP="00400793">
      <w:pPr>
        <w:autoSpaceDE w:val="0"/>
        <w:autoSpaceDN w:val="0"/>
        <w:adjustRightInd w:val="0"/>
        <w:spacing w:before="120" w:after="160" w:line="259" w:lineRule="auto"/>
        <w:rPr>
          <w:rFonts w:cs="Calibri"/>
          <w:i/>
          <w:iCs/>
        </w:rPr>
      </w:pPr>
      <w:r w:rsidRPr="00951480">
        <w:rPr>
          <w:rFonts w:cs="Calibri"/>
          <w:i/>
          <w:iCs/>
        </w:rPr>
        <w:t>The test and treatment outcomes outlined in draft PICO were amended based on PASC’s advice.</w:t>
      </w:r>
    </w:p>
    <w:p w14:paraId="4BBF84CB" w14:textId="420B2BD5" w:rsidR="009B31CC" w:rsidRPr="004E3ABF" w:rsidRDefault="009B31CC" w:rsidP="0023599C">
      <w:pPr>
        <w:pStyle w:val="Heading2"/>
      </w:pPr>
      <w:r w:rsidRPr="00490FBB">
        <w:t>Assessment framework (for investigative technologies)</w:t>
      </w:r>
    </w:p>
    <w:p w14:paraId="7C502F34" w14:textId="2EED853C" w:rsidR="00C40CC4" w:rsidRPr="006428B8" w:rsidRDefault="00565792" w:rsidP="0023599C">
      <w:r>
        <w:fldChar w:fldCharType="begin"/>
      </w:r>
      <w:r>
        <w:instrText xml:space="preserve"> REF _Ref160271299 \h  \* MERGEFORMAT </w:instrText>
      </w:r>
      <w:r>
        <w:fldChar w:fldCharType="separate"/>
      </w:r>
      <w:r w:rsidR="00B561EB">
        <w:t xml:space="preserve">Figure </w:t>
      </w:r>
      <w:r w:rsidR="00B561EB">
        <w:rPr>
          <w:noProof/>
        </w:rPr>
        <w:t>3</w:t>
      </w:r>
      <w:r>
        <w:fldChar w:fldCharType="end"/>
      </w:r>
      <w:r>
        <w:t xml:space="preserve"> illustrates the assessment framework which conceptually </w:t>
      </w:r>
      <w:r w:rsidR="00751552">
        <w:t xml:space="preserve">provides the </w:t>
      </w:r>
      <w:r>
        <w:t xml:space="preserve">steps between the target test population and the final health outcomes. </w:t>
      </w:r>
    </w:p>
    <w:p w14:paraId="4B2DB48C" w14:textId="4C521AD2" w:rsidR="00291273" w:rsidRDefault="00962EDC" w:rsidP="002D2E49">
      <w:pPr>
        <w:keepNext/>
        <w:keepLines/>
      </w:pPr>
      <w:r>
        <w:rPr>
          <w:noProof/>
        </w:rPr>
        <mc:AlternateContent>
          <mc:Choice Requires="wpg">
            <w:drawing>
              <wp:anchor distT="0" distB="0" distL="114300" distR="114300" simplePos="0" relativeHeight="251658240" behindDoc="0" locked="0" layoutInCell="1" allowOverlap="1" wp14:anchorId="6548F3F2" wp14:editId="1BBA9A3B">
                <wp:simplePos x="0" y="0"/>
                <wp:positionH relativeFrom="margin">
                  <wp:posOffset>-36195</wp:posOffset>
                </wp:positionH>
                <wp:positionV relativeFrom="paragraph">
                  <wp:posOffset>-146685</wp:posOffset>
                </wp:positionV>
                <wp:extent cx="6214743" cy="2113280"/>
                <wp:effectExtent l="0" t="0" r="0" b="1270"/>
                <wp:wrapNone/>
                <wp:docPr id="1564150369" name="Group 1564150369" descr="Figure 3 Assessment framework showing the links from the test population to health outcomes&#10;Abbreviations: AKT= serine/threonine kinase; AI=aromatase inhibitor; CDK=cyclin-dependent kinase; HR+/HER2-=hormone receptor positive human epidermal growth factor receptor 2 negative; NGS=next generation sequencing; OS=overall survival; PFS=progression free survival; QoL=quality of life; RR=response rate.&#10;Notes: 1: no direct evidence from test to health outcomes; 2: test accuracy; 3: change in management based on test results; 4: influence of treatment with capivasertib + fulvestrant on health outcomes; 5: influence of the change in management on intermediate outcomes; 6: association of intermediate outcomes with health outcomes; 7: adverse events due to testing; 8: adverse events due to treatment&#10;"/>
                <wp:cNvGraphicFramePr/>
                <a:graphic xmlns:a="http://schemas.openxmlformats.org/drawingml/2006/main">
                  <a:graphicData uri="http://schemas.microsoft.com/office/word/2010/wordprocessingGroup">
                    <wpg:wgp>
                      <wpg:cNvGrpSpPr/>
                      <wpg:grpSpPr>
                        <a:xfrm>
                          <a:off x="0" y="0"/>
                          <a:ext cx="6214743" cy="2113280"/>
                          <a:chOff x="209551" y="0"/>
                          <a:chExt cx="6215294" cy="2113837"/>
                        </a:xfrm>
                      </wpg:grpSpPr>
                      <wps:wsp>
                        <wps:cNvPr id="1717083175" name="Rectangle 1717083175"/>
                        <wps:cNvSpPr/>
                        <wps:spPr>
                          <a:xfrm>
                            <a:off x="5642119" y="938182"/>
                            <a:ext cx="782726" cy="453136"/>
                          </a:xfrm>
                          <a:prstGeom prst="rect">
                            <a:avLst/>
                          </a:prstGeom>
                          <a:solidFill>
                            <a:schemeClr val="bg2"/>
                          </a:solidFill>
                          <a:ln w="12700" cap="flat" cmpd="sng" algn="ctr">
                            <a:noFill/>
                            <a:prstDash val="solid"/>
                            <a:miter lim="800000"/>
                          </a:ln>
                          <a:effectLst/>
                        </wps:spPr>
                        <wps:txbx>
                          <w:txbxContent>
                            <w:p w14:paraId="2EF0F446" w14:textId="68A5F509" w:rsidR="00385B6D" w:rsidRDefault="00385B6D" w:rsidP="00385B6D">
                              <w:pPr>
                                <w:pStyle w:val="TableText0"/>
                                <w:rPr>
                                  <w:b/>
                                  <w:bCs/>
                                  <w:color w:val="1F4E79" w:themeColor="accent1" w:themeShade="80"/>
                                  <w:sz w:val="14"/>
                                  <w:szCs w:val="14"/>
                                  <w:lang w:val="en-US"/>
                                </w:rPr>
                              </w:pPr>
                              <w:r>
                                <w:rPr>
                                  <w:b/>
                                  <w:bCs/>
                                  <w:color w:val="1F4E79" w:themeColor="accent1" w:themeShade="80"/>
                                  <w:sz w:val="14"/>
                                  <w:szCs w:val="14"/>
                                  <w:lang w:val="en-US"/>
                                </w:rPr>
                                <w:t>Health Outcomes:</w:t>
                              </w:r>
                            </w:p>
                            <w:p w14:paraId="346B6F7A" w14:textId="1C39B341" w:rsidR="00385B6D" w:rsidRPr="003D556E" w:rsidRDefault="00385B6D" w:rsidP="00385B6D">
                              <w:pPr>
                                <w:pStyle w:val="TableText0"/>
                                <w:rPr>
                                  <w:color w:val="1F4E79" w:themeColor="accent1" w:themeShade="80"/>
                                  <w:sz w:val="14"/>
                                  <w:szCs w:val="14"/>
                                  <w:lang w:val="en-US"/>
                                </w:rPr>
                              </w:pPr>
                              <w:r>
                                <w:rPr>
                                  <w:color w:val="1F4E79" w:themeColor="accent1" w:themeShade="80"/>
                                  <w:sz w:val="14"/>
                                  <w:szCs w:val="14"/>
                                  <w:lang w:val="en-US"/>
                                </w:rPr>
                                <w:t>PFS, OS, RR, QoL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705249909" name="Group 705249909">
                          <a:extLst>
                            <a:ext uri="{C183D7F6-B498-43B3-948B-1728B52AA6E4}">
                              <adec:decorative xmlns:adec="http://schemas.microsoft.com/office/drawing/2017/decorative" val="1"/>
                            </a:ext>
                          </a:extLst>
                        </wpg:cNvPr>
                        <wpg:cNvGrpSpPr/>
                        <wpg:grpSpPr>
                          <a:xfrm>
                            <a:off x="209551" y="0"/>
                            <a:ext cx="4155627" cy="2113837"/>
                            <a:chOff x="523921" y="230645"/>
                            <a:chExt cx="4155992" cy="2114137"/>
                          </a:xfrm>
                        </wpg:grpSpPr>
                        <wpg:grpSp>
                          <wpg:cNvPr id="1270618437" name="Group 2"/>
                          <wpg:cNvGrpSpPr/>
                          <wpg:grpSpPr>
                            <a:xfrm>
                              <a:off x="523921" y="681992"/>
                              <a:ext cx="1338874" cy="1662790"/>
                              <a:chOff x="663102" y="268236"/>
                              <a:chExt cx="1339285" cy="1663090"/>
                            </a:xfrm>
                          </wpg:grpSpPr>
                          <wps:wsp>
                            <wps:cNvPr id="542341163" name="Rectangle 1"/>
                            <wps:cNvSpPr/>
                            <wps:spPr>
                              <a:xfrm>
                                <a:off x="663102" y="575794"/>
                                <a:ext cx="796284" cy="13555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C0DE59" w14:textId="31E0A350" w:rsidR="008B0BDE" w:rsidRPr="009420C5" w:rsidRDefault="008B0BDE" w:rsidP="009420C5">
                                  <w:pPr>
                                    <w:pStyle w:val="TableText0"/>
                                    <w:rPr>
                                      <w:b/>
                                      <w:bCs/>
                                      <w:color w:val="1F4E79" w:themeColor="accent1" w:themeShade="80"/>
                                      <w:sz w:val="14"/>
                                      <w:szCs w:val="14"/>
                                    </w:rPr>
                                  </w:pPr>
                                  <w:r w:rsidRPr="009420C5">
                                    <w:rPr>
                                      <w:b/>
                                      <w:bCs/>
                                      <w:color w:val="1F4E79" w:themeColor="accent1" w:themeShade="80"/>
                                      <w:sz w:val="14"/>
                                      <w:szCs w:val="14"/>
                                    </w:rPr>
                                    <w:t>Test population:</w:t>
                                  </w:r>
                                </w:p>
                                <w:p w14:paraId="1F3554F6" w14:textId="66B5C4F8" w:rsidR="008B0BDE" w:rsidRPr="009420C5" w:rsidRDefault="008B0BDE" w:rsidP="009420C5">
                                  <w:pPr>
                                    <w:pStyle w:val="TableText0"/>
                                    <w:rPr>
                                      <w:color w:val="1F4E79" w:themeColor="accent1" w:themeShade="80"/>
                                      <w:sz w:val="14"/>
                                      <w:szCs w:val="14"/>
                                    </w:rPr>
                                  </w:pPr>
                                  <w:r w:rsidRPr="009420C5">
                                    <w:rPr>
                                      <w:color w:val="1F4E79" w:themeColor="accent1" w:themeShade="80"/>
                                      <w:sz w:val="14"/>
                                      <w:szCs w:val="14"/>
                                    </w:rPr>
                                    <w:t xml:space="preserve">Patients with locally advanced (inoperable) or metastatic HR+/HER2- breast cancer following recurrence or progression on or after AI therapy +/- a CDK4/6 </w:t>
                                  </w:r>
                                  <w:r w:rsidR="00794B27" w:rsidRPr="009420C5">
                                    <w:rPr>
                                      <w:color w:val="1F4E79" w:themeColor="accent1" w:themeShade="80"/>
                                      <w:sz w:val="14"/>
                                      <w:szCs w:val="14"/>
                                    </w:rPr>
                                    <w:t>inhibitor.</w:t>
                                  </w:r>
                                </w:p>
                                <w:p w14:paraId="498300D6" w14:textId="77777777" w:rsidR="008B0BDE" w:rsidRPr="009420C5" w:rsidRDefault="008B0BDE" w:rsidP="009420C5">
                                  <w:pPr>
                                    <w:pStyle w:val="TableText0"/>
                                    <w:rPr>
                                      <w:color w:val="1F4E79" w:themeColor="accent1" w:themeShade="80"/>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17445646" name="Rectangle 1"/>
                            <wps:cNvSpPr/>
                            <wps:spPr>
                              <a:xfrm>
                                <a:off x="1241484" y="268236"/>
                                <a:ext cx="760903" cy="395201"/>
                              </a:xfrm>
                              <a:prstGeom prst="rect">
                                <a:avLst/>
                              </a:prstGeom>
                              <a:solidFill>
                                <a:sysClr val="window" lastClr="FFFFFF"/>
                              </a:solidFill>
                              <a:ln w="12700" cap="flat" cmpd="sng" algn="ctr">
                                <a:noFill/>
                                <a:prstDash val="solid"/>
                                <a:miter lim="800000"/>
                              </a:ln>
                              <a:effectLst/>
                            </wps:spPr>
                            <wps:txbx>
                              <w:txbxContent>
                                <w:p w14:paraId="379E3F50" w14:textId="6CB9A47C" w:rsidR="009420C5" w:rsidRDefault="009420C5" w:rsidP="003D556E">
                                  <w:pPr>
                                    <w:pStyle w:val="TableText0"/>
                                    <w:rPr>
                                      <w:b/>
                                      <w:bCs/>
                                      <w:color w:val="1F4E79" w:themeColor="accent1" w:themeShade="80"/>
                                      <w:sz w:val="14"/>
                                      <w:szCs w:val="14"/>
                                      <w:lang w:val="en-US"/>
                                    </w:rPr>
                                  </w:pPr>
                                  <w:r>
                                    <w:rPr>
                                      <w:b/>
                                      <w:bCs/>
                                      <w:color w:val="1F4E79" w:themeColor="accent1" w:themeShade="80"/>
                                      <w:sz w:val="14"/>
                                      <w:szCs w:val="14"/>
                                      <w:lang w:val="en-US"/>
                                    </w:rPr>
                                    <w:t>Test:</w:t>
                                  </w:r>
                                </w:p>
                                <w:p w14:paraId="040570F1" w14:textId="64105283" w:rsidR="009420C5" w:rsidRPr="003D556E" w:rsidRDefault="003D556E" w:rsidP="003D556E">
                                  <w:pPr>
                                    <w:pStyle w:val="TableText0"/>
                                    <w:rPr>
                                      <w:color w:val="1F4E79" w:themeColor="accent1" w:themeShade="80"/>
                                      <w:sz w:val="14"/>
                                      <w:szCs w:val="14"/>
                                      <w:lang w:val="en-US"/>
                                    </w:rPr>
                                  </w:pPr>
                                  <w:r>
                                    <w:rPr>
                                      <w:color w:val="1F4E79" w:themeColor="accent1" w:themeShade="80"/>
                                      <w:sz w:val="14"/>
                                      <w:szCs w:val="14"/>
                                      <w:lang w:val="en-US"/>
                                    </w:rPr>
                                    <w:t xml:space="preserve">NGS to detect </w:t>
                                  </w:r>
                                  <w:r w:rsidR="001713D9">
                                    <w:rPr>
                                      <w:color w:val="1F4E79" w:themeColor="accent1" w:themeShade="80"/>
                                      <w:sz w:val="14"/>
                                      <w:szCs w:val="14"/>
                                      <w:lang w:val="en-US"/>
                                    </w:rPr>
                                    <w:t>AKT pathway</w:t>
                                  </w:r>
                                  <w:r w:rsidR="009420C5" w:rsidRPr="009420C5">
                                    <w:rPr>
                                      <w:color w:val="1F4E79" w:themeColor="accent1" w:themeShade="80"/>
                                      <w:sz w:val="14"/>
                                      <w:szCs w:val="14"/>
                                      <w:lang w:val="en-US"/>
                                    </w:rPr>
                                    <w:t xml:space="preserve"> alteration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g:grpSp>
                        <wps:wsp>
                          <wps:cNvPr id="37395892" name="Rectangle 1"/>
                          <wps:cNvSpPr/>
                          <wps:spPr>
                            <a:xfrm>
                              <a:off x="3750882" y="822669"/>
                              <a:ext cx="929031" cy="288117"/>
                            </a:xfrm>
                            <a:prstGeom prst="rect">
                              <a:avLst/>
                            </a:prstGeom>
                            <a:solidFill>
                              <a:sysClr val="window" lastClr="FFFFFF"/>
                            </a:solidFill>
                            <a:ln w="12700" cap="flat" cmpd="sng" algn="ctr">
                              <a:noFill/>
                              <a:prstDash val="solid"/>
                              <a:miter lim="800000"/>
                            </a:ln>
                            <a:effectLst/>
                          </wps:spPr>
                          <wps:txbx>
                            <w:txbxContent>
                              <w:p w14:paraId="34A27486" w14:textId="7B1296AB" w:rsidR="0037753C" w:rsidRDefault="0037753C" w:rsidP="00F00AC9">
                                <w:pPr>
                                  <w:pStyle w:val="TableText0"/>
                                  <w:rPr>
                                    <w:b/>
                                    <w:bCs/>
                                    <w:color w:val="1F4E79" w:themeColor="accent1" w:themeShade="80"/>
                                    <w:sz w:val="14"/>
                                    <w:szCs w:val="14"/>
                                    <w:lang w:val="en-US"/>
                                  </w:rPr>
                                </w:pPr>
                                <w:r>
                                  <w:rPr>
                                    <w:b/>
                                    <w:bCs/>
                                    <w:color w:val="1F4E79" w:themeColor="accent1" w:themeShade="80"/>
                                    <w:sz w:val="14"/>
                                    <w:szCs w:val="14"/>
                                    <w:lang w:val="en-US"/>
                                  </w:rPr>
                                  <w:t>Treatment:</w:t>
                                </w:r>
                              </w:p>
                              <w:p w14:paraId="575D0987" w14:textId="70C7FE59" w:rsidR="0037753C" w:rsidRPr="003D556E" w:rsidRDefault="0037753C" w:rsidP="00F00AC9">
                                <w:pPr>
                                  <w:pStyle w:val="TableText0"/>
                                  <w:rPr>
                                    <w:color w:val="1F4E79" w:themeColor="accent1" w:themeShade="80"/>
                                    <w:sz w:val="14"/>
                                    <w:szCs w:val="14"/>
                                    <w:lang w:val="en-US"/>
                                  </w:rPr>
                                </w:pPr>
                                <w:r>
                                  <w:rPr>
                                    <w:color w:val="1F4E79" w:themeColor="accent1" w:themeShade="80"/>
                                    <w:sz w:val="14"/>
                                    <w:szCs w:val="14"/>
                                    <w:lang w:val="en-US"/>
                                  </w:rPr>
                                  <w:t>Capivasertib + fulvestrant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52512997" name="Multiplication Sign 4"/>
                          <wps:cNvSpPr/>
                          <wps:spPr>
                            <a:xfrm>
                              <a:off x="2937254" y="230645"/>
                              <a:ext cx="504190" cy="548640"/>
                            </a:xfrm>
                            <a:prstGeom prst="mathMultiply">
                              <a:avLst>
                                <a:gd name="adj1" fmla="val 1481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48F3F2" id="Group 1564150369" o:spid="_x0000_s1026" alt="Figure 3 Assessment framework showing the links from the test population to health outcomes&#10;Abbreviations: AKT= serine/threonine kinase; AI=aromatase inhibitor; CDK=cyclin-dependent kinase; HR+/HER2-=hormone receptor positive human epidermal growth factor receptor 2 negative; NGS=next generation sequencing; OS=overall survival; PFS=progression free survival; QoL=quality of life; RR=response rate.&#10;Notes: 1: no direct evidence from test to health outcomes; 2: test accuracy; 3: change in management based on test results; 4: influence of treatment with capivasertib + fulvestrant on health outcomes; 5: influence of the change in management on intermediate outcomes; 6: association of intermediate outcomes with health outcomes; 7: adverse events due to testing; 8: adverse events due to treatment&#10;" style="position:absolute;margin-left:-2.85pt;margin-top:-11.55pt;width:489.35pt;height:166.4pt;z-index:251658240;mso-position-horizontal-relative:margin;mso-width-relative:margin;mso-height-relative:margin" coordorigin="2095" coordsize="62152,2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">
                <v:rect id="Rectangle 1717083175" o:spid="_x0000_s1027" style="position:absolute;left:56421;top:9381;width:7827;height:4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" fillcolor="#e7e6e6 [3214]" stroked="f" strokeweight="1pt">
                  <v:textbox inset="1mm,0,0,0">
                    <w:txbxContent>
                      <w:p w14:paraId="2EF0F446" w14:textId="68A5F509" w:rsidR="00385B6D" w:rsidRDefault="00385B6D" w:rsidP="00385B6D">
                        <w:pPr>
                          <w:pStyle w:val="TableText0"/>
                          <w:rPr>
                            <w:b/>
                            <w:bCs/>
                            <w:color w:val="1F4E79" w:themeColor="accent1" w:themeShade="80"/>
                            <w:sz w:val="14"/>
                            <w:szCs w:val="14"/>
                            <w:lang w:val="en-US"/>
                          </w:rPr>
                        </w:pPr>
                        <w:r>
                          <w:rPr>
                            <w:b/>
                            <w:bCs/>
                            <w:color w:val="1F4E79" w:themeColor="accent1" w:themeShade="80"/>
                            <w:sz w:val="14"/>
                            <w:szCs w:val="14"/>
                            <w:lang w:val="en-US"/>
                          </w:rPr>
                          <w:t>Health Outcomes:</w:t>
                        </w:r>
                      </w:p>
                      <w:p w14:paraId="346B6F7A" w14:textId="1C39B341" w:rsidR="00385B6D" w:rsidRPr="003D556E" w:rsidRDefault="00385B6D" w:rsidP="00385B6D">
                        <w:pPr>
                          <w:pStyle w:val="TableText0"/>
                          <w:rPr>
                            <w:color w:val="1F4E79" w:themeColor="accent1" w:themeShade="80"/>
                            <w:sz w:val="14"/>
                            <w:szCs w:val="14"/>
                            <w:lang w:val="en-US"/>
                          </w:rPr>
                        </w:pPr>
                        <w:r>
                          <w:rPr>
                            <w:color w:val="1F4E79" w:themeColor="accent1" w:themeShade="80"/>
                            <w:sz w:val="14"/>
                            <w:szCs w:val="14"/>
                            <w:lang w:val="en-US"/>
                          </w:rPr>
                          <w:t>PFS, OS, RR, QoL</w:t>
                        </w:r>
                      </w:p>
                    </w:txbxContent>
                  </v:textbox>
                </v:rect>
                <v:group id="Group 705249909" o:spid="_x0000_s1028" alt="&quot;&quot;" style="position:absolute;left:2095;width:41556;height:21138" coordorigin="5239,2306" coordsize="41559,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">
                  <v:group id="Group 2" o:spid="_x0000_s1029" style="position:absolute;left:5239;top:6819;width:13388;height:16628" coordorigin="6631,2682" coordsize="13392,1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">
                    <v:rect id="Rectangle 1" o:spid="_x0000_s1030" style="position:absolute;left:6631;top:5757;width:7962;height:1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" fillcolor="white [3212]" stroked="f" strokeweight="1pt">
                      <v:textbox inset="1mm,0,0,0">
                        <w:txbxContent>
                          <w:p w14:paraId="46C0DE59" w14:textId="31E0A350" w:rsidR="008B0BDE" w:rsidRPr="009420C5" w:rsidRDefault="008B0BDE" w:rsidP="009420C5">
                            <w:pPr>
                              <w:pStyle w:val="TableText0"/>
                              <w:rPr>
                                <w:b/>
                                <w:bCs/>
                                <w:color w:val="1F4E79" w:themeColor="accent1" w:themeShade="80"/>
                                <w:sz w:val="14"/>
                                <w:szCs w:val="14"/>
                              </w:rPr>
                            </w:pPr>
                            <w:r w:rsidRPr="009420C5">
                              <w:rPr>
                                <w:b/>
                                <w:bCs/>
                                <w:color w:val="1F4E79" w:themeColor="accent1" w:themeShade="80"/>
                                <w:sz w:val="14"/>
                                <w:szCs w:val="14"/>
                              </w:rPr>
                              <w:t>Test population:</w:t>
                            </w:r>
                          </w:p>
                          <w:p w14:paraId="1F3554F6" w14:textId="66B5C4F8" w:rsidR="008B0BDE" w:rsidRPr="009420C5" w:rsidRDefault="008B0BDE" w:rsidP="009420C5">
                            <w:pPr>
                              <w:pStyle w:val="TableText0"/>
                              <w:rPr>
                                <w:color w:val="1F4E79" w:themeColor="accent1" w:themeShade="80"/>
                                <w:sz w:val="14"/>
                                <w:szCs w:val="14"/>
                              </w:rPr>
                            </w:pPr>
                            <w:r w:rsidRPr="009420C5">
                              <w:rPr>
                                <w:color w:val="1F4E79" w:themeColor="accent1" w:themeShade="80"/>
                                <w:sz w:val="14"/>
                                <w:szCs w:val="14"/>
                              </w:rPr>
                              <w:t xml:space="preserve">Patients with locally advanced (inoperable) or metastatic HR+/HER2- breast cancer following recurrence or progression on or after AI therapy +/- a CDK4/6 </w:t>
                            </w:r>
                            <w:r w:rsidR="00794B27" w:rsidRPr="009420C5">
                              <w:rPr>
                                <w:color w:val="1F4E79" w:themeColor="accent1" w:themeShade="80"/>
                                <w:sz w:val="14"/>
                                <w:szCs w:val="14"/>
                              </w:rPr>
                              <w:t>inhibitor.</w:t>
                            </w:r>
                          </w:p>
                          <w:p w14:paraId="498300D6" w14:textId="77777777" w:rsidR="008B0BDE" w:rsidRPr="009420C5" w:rsidRDefault="008B0BDE" w:rsidP="009420C5">
                            <w:pPr>
                              <w:pStyle w:val="TableText0"/>
                              <w:rPr>
                                <w:color w:val="1F4E79" w:themeColor="accent1" w:themeShade="80"/>
                                <w:sz w:val="16"/>
                                <w:szCs w:val="16"/>
                              </w:rPr>
                            </w:pPr>
                          </w:p>
                        </w:txbxContent>
                      </v:textbox>
                    </v:rect>
                    <v:rect id="Rectangle 1" o:spid="_x0000_s1031" style="position:absolute;left:12414;top:2682;width:7609;height: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" fillcolor="window" stroked="f" strokeweight="1pt">
                      <v:textbox style="mso-fit-shape-to-text:t" inset="1mm,0,0,0">
                        <w:txbxContent>
                          <w:p w14:paraId="379E3F50" w14:textId="6CB9A47C" w:rsidR="009420C5" w:rsidRDefault="009420C5" w:rsidP="003D556E">
                            <w:pPr>
                              <w:pStyle w:val="TableText0"/>
                              <w:rPr>
                                <w:b/>
                                <w:bCs/>
                                <w:color w:val="1F4E79" w:themeColor="accent1" w:themeShade="80"/>
                                <w:sz w:val="14"/>
                                <w:szCs w:val="14"/>
                                <w:lang w:val="en-US"/>
                              </w:rPr>
                            </w:pPr>
                            <w:r>
                              <w:rPr>
                                <w:b/>
                                <w:bCs/>
                                <w:color w:val="1F4E79" w:themeColor="accent1" w:themeShade="80"/>
                                <w:sz w:val="14"/>
                                <w:szCs w:val="14"/>
                                <w:lang w:val="en-US"/>
                              </w:rPr>
                              <w:t>Test:</w:t>
                            </w:r>
                          </w:p>
                          <w:p w14:paraId="040570F1" w14:textId="64105283" w:rsidR="009420C5" w:rsidRPr="003D556E" w:rsidRDefault="003D556E" w:rsidP="003D556E">
                            <w:pPr>
                              <w:pStyle w:val="TableText0"/>
                              <w:rPr>
                                <w:color w:val="1F4E79" w:themeColor="accent1" w:themeShade="80"/>
                                <w:sz w:val="14"/>
                                <w:szCs w:val="14"/>
                                <w:lang w:val="en-US"/>
                              </w:rPr>
                            </w:pPr>
                            <w:r>
                              <w:rPr>
                                <w:color w:val="1F4E79" w:themeColor="accent1" w:themeShade="80"/>
                                <w:sz w:val="14"/>
                                <w:szCs w:val="14"/>
                                <w:lang w:val="en-US"/>
                              </w:rPr>
                              <w:t xml:space="preserve">NGS to detect </w:t>
                            </w:r>
                            <w:r w:rsidR="001713D9">
                              <w:rPr>
                                <w:color w:val="1F4E79" w:themeColor="accent1" w:themeShade="80"/>
                                <w:sz w:val="14"/>
                                <w:szCs w:val="14"/>
                                <w:lang w:val="en-US"/>
                              </w:rPr>
                              <w:t>AKT pathway</w:t>
                            </w:r>
                            <w:r w:rsidR="009420C5" w:rsidRPr="009420C5">
                              <w:rPr>
                                <w:color w:val="1F4E79" w:themeColor="accent1" w:themeShade="80"/>
                                <w:sz w:val="14"/>
                                <w:szCs w:val="14"/>
                                <w:lang w:val="en-US"/>
                              </w:rPr>
                              <w:t xml:space="preserve"> alteration</w:t>
                            </w:r>
                          </w:p>
                        </w:txbxContent>
                      </v:textbox>
                    </v:rect>
                  </v:group>
                  <v:rect id="Rectangle 1" o:spid="_x0000_s1032" style="position:absolute;left:37508;top:8226;width:9291;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" fillcolor="window" stroked="f" strokeweight="1pt">
                    <v:textbox inset="1mm,0,0,0">
                      <w:txbxContent>
                        <w:p w14:paraId="34A27486" w14:textId="7B1296AB" w:rsidR="0037753C" w:rsidRDefault="0037753C" w:rsidP="00F00AC9">
                          <w:pPr>
                            <w:pStyle w:val="TableText0"/>
                            <w:rPr>
                              <w:b/>
                              <w:bCs/>
                              <w:color w:val="1F4E79" w:themeColor="accent1" w:themeShade="80"/>
                              <w:sz w:val="14"/>
                              <w:szCs w:val="14"/>
                              <w:lang w:val="en-US"/>
                            </w:rPr>
                          </w:pPr>
                          <w:r>
                            <w:rPr>
                              <w:b/>
                              <w:bCs/>
                              <w:color w:val="1F4E79" w:themeColor="accent1" w:themeShade="80"/>
                              <w:sz w:val="14"/>
                              <w:szCs w:val="14"/>
                              <w:lang w:val="en-US"/>
                            </w:rPr>
                            <w:t>Treatment:</w:t>
                          </w:r>
                        </w:p>
                        <w:p w14:paraId="575D0987" w14:textId="70C7FE59" w:rsidR="0037753C" w:rsidRPr="003D556E" w:rsidRDefault="0037753C" w:rsidP="00F00AC9">
                          <w:pPr>
                            <w:pStyle w:val="TableText0"/>
                            <w:rPr>
                              <w:color w:val="1F4E79" w:themeColor="accent1" w:themeShade="80"/>
                              <w:sz w:val="14"/>
                              <w:szCs w:val="14"/>
                              <w:lang w:val="en-US"/>
                            </w:rPr>
                          </w:pPr>
                          <w:r>
                            <w:rPr>
                              <w:color w:val="1F4E79" w:themeColor="accent1" w:themeShade="80"/>
                              <w:sz w:val="14"/>
                              <w:szCs w:val="14"/>
                              <w:lang w:val="en-US"/>
                            </w:rPr>
                            <w:t>Capivasertib + fulvestrant</w:t>
                          </w:r>
                        </w:p>
                      </w:txbxContent>
                    </v:textbox>
                  </v:rect>
                  <v:shape id="Multiplication Sign 4" o:spid="_x0000_s1033" style="position:absolute;left:29372;top:2306;width:5042;height:5486;visibility:visible;mso-wrap-style:square;v-text-anchor:middle" coordsize="50419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" path="m93594,157041r54999,-50543l252095,219125,355597,106498r54999,50543l302818,274320,410596,391599r-54999,50543l252095,329515,148593,442142,93594,391599,201372,274320,93594,157041xe" fillcolor="#5b9bd5 [3204]" strokecolor="#091723 [484]" strokeweight="1pt">
                    <v:stroke joinstyle="miter"/>
                    <v:path arrowok="t" o:connecttype="custom" o:connectlocs="93594,157041;148593,106498;252095,219125;355597,106498;410596,157041;302818,274320;410596,391599;355597,442142;252095,329515;148593,442142;93594,391599;201372,274320;93594,157041" o:connectangles="0,0,0,0,0,0,0,0,0,0,0,0,0"/>
                  </v:shape>
                </v:group>
                <w10:wrap anchorx="margin"/>
              </v:group>
            </w:pict>
          </mc:Fallback>
        </mc:AlternateContent>
      </w:r>
      <w:r w:rsidR="00717443">
        <w:rPr>
          <w:noProof/>
          <w:lang w:eastAsia="en-AU"/>
        </w:rPr>
        <w:drawing>
          <wp:inline distT="0" distB="0" distL="0" distR="0" wp14:anchorId="431FC2CE" wp14:editId="350807B4">
            <wp:extent cx="6010275" cy="2044700"/>
            <wp:effectExtent l="0" t="0" r="9525" b="0"/>
            <wp:docPr id="4" name="Picture 4" descr="Diagrammatic representation of intermediate steps and links between test population and health outcomes. Test population is linked to test results information (numbered 2 and labelled as testing, with a side link to adverse events of the test, numbered 7). Test results information is linked to change in clinical decisions (numbered 3 and labelled as decision-making). change in clinical decisions is linked to intermediate outcomes (numbered 5 and labelled as treatment/management, with a side link to adverse events of treatment, numbered 8). Intermediate outcomes is linked to health outcomes with a dotted line (numbered 6 and labelled as association). Testing is also linked directly to health outcomes (numbered 1). Treatment/management is also linked directly to health outcomes (numb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matic representation of intermediate steps and links between test population and health outcomes. Test population is linked to test results information (numbered 2 and labelled as testing, with a side link to adverse events of the test, numbered 7). Test results information is linked to change in clinical decisions (numbered 3 and labelled as decision-making). change in clinical decisions is linked to intermediate outcomes (numbered 5 and labelled as treatment/management, with a side link to adverse events of treatment, numbered 8). Intermediate outcomes is linked to health outcomes with a dotted line (numbered 6 and labelled as association). Testing is also linked directly to health outcomes (numbered 1). Treatment/management is also linked directly to health outcomes (numbered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0275" cy="2044700"/>
                    </a:xfrm>
                    <a:prstGeom prst="rect">
                      <a:avLst/>
                    </a:prstGeom>
                  </pic:spPr>
                </pic:pic>
              </a:graphicData>
            </a:graphic>
          </wp:inline>
        </w:drawing>
      </w:r>
    </w:p>
    <w:p w14:paraId="58E23E9A" w14:textId="30A8F227" w:rsidR="009B31CC" w:rsidRDefault="00291273" w:rsidP="002D2E49">
      <w:pPr>
        <w:pStyle w:val="Caption"/>
        <w:keepLines/>
        <w:jc w:val="both"/>
      </w:pPr>
      <w:bookmarkStart w:id="12" w:name="_Ref160271299"/>
      <w:r>
        <w:t xml:space="preserve">Figure </w:t>
      </w:r>
      <w:r>
        <w:fldChar w:fldCharType="begin"/>
      </w:r>
      <w:r>
        <w:instrText xml:space="preserve"> SEQ Figure \* ARABIC </w:instrText>
      </w:r>
      <w:r>
        <w:fldChar w:fldCharType="separate"/>
      </w:r>
      <w:r w:rsidR="00B561EB">
        <w:rPr>
          <w:noProof/>
        </w:rPr>
        <w:t>3</w:t>
      </w:r>
      <w:r>
        <w:fldChar w:fldCharType="end"/>
      </w:r>
      <w:bookmarkEnd w:id="12"/>
      <w:r>
        <w:t xml:space="preserve"> Ass</w:t>
      </w:r>
      <w:r w:rsidR="009B31CC" w:rsidRPr="00490FBB">
        <w:t>essment framework showing the links from the test population to health outcomes</w:t>
      </w:r>
    </w:p>
    <w:p w14:paraId="6777DF5C" w14:textId="5A76FBD8" w:rsidR="00291273" w:rsidRPr="00E56F10" w:rsidRDefault="00291273" w:rsidP="002D2E49">
      <w:pPr>
        <w:pStyle w:val="Tablenotes"/>
        <w:keepLines/>
      </w:pPr>
      <w:r w:rsidRPr="00E56F10">
        <w:t>Abbreviations: AKT=</w:t>
      </w:r>
      <w:r w:rsidR="0060536D" w:rsidRPr="00E56F10">
        <w:t xml:space="preserve"> serine/threonine kinase; </w:t>
      </w:r>
      <w:r w:rsidRPr="00E56F10">
        <w:t>AI=aromatase inhibitor; CDK=cyclin-dependent kinase; HR+/HER2-=hormone receptor positive human epidermal growth factor receptor 2 negative; NGS=next generation sequencing</w:t>
      </w:r>
      <w:r w:rsidR="007A11A5" w:rsidRPr="00E56F10">
        <w:t>; OS=overall survival; PFS=progression free survival; QoL=quality of life; RR=response rate.</w:t>
      </w:r>
    </w:p>
    <w:p w14:paraId="5A18AA38" w14:textId="3A91CA3E" w:rsidR="00565792" w:rsidRPr="00E56F10" w:rsidRDefault="00291273" w:rsidP="002D2E49">
      <w:pPr>
        <w:pStyle w:val="Tablenotes"/>
        <w:keepLines/>
      </w:pPr>
      <w:r w:rsidRPr="00E56F10">
        <w:t>N</w:t>
      </w:r>
      <w:r w:rsidR="00C40CC4" w:rsidRPr="00E56F10">
        <w:t>otes: 1:</w:t>
      </w:r>
      <w:r w:rsidR="004F7A44" w:rsidRPr="00E56F10">
        <w:t xml:space="preserve"> no direct evidence </w:t>
      </w:r>
      <w:r w:rsidR="00C40CC4" w:rsidRPr="00E56F10">
        <w:t>from test to health outcomes; 2: test accuracy; 3: change in management</w:t>
      </w:r>
      <w:r w:rsidR="00985F40" w:rsidRPr="00E56F10">
        <w:t xml:space="preserve"> based on test results</w:t>
      </w:r>
      <w:r w:rsidR="00C40CC4" w:rsidRPr="00E56F10">
        <w:t xml:space="preserve">; 4: influence of </w:t>
      </w:r>
      <w:r w:rsidR="00985F40" w:rsidRPr="00E56F10">
        <w:t>treatment with capivasertib</w:t>
      </w:r>
      <w:r w:rsidR="00D75E28">
        <w:t xml:space="preserve"> </w:t>
      </w:r>
      <w:r w:rsidR="00985F40" w:rsidRPr="00E56F10">
        <w:t>+</w:t>
      </w:r>
      <w:r w:rsidR="00D75E28">
        <w:t xml:space="preserve"> </w:t>
      </w:r>
      <w:r w:rsidR="00985F40" w:rsidRPr="00E56F10">
        <w:t>fulvestrant</w:t>
      </w:r>
      <w:r w:rsidR="00C40CC4" w:rsidRPr="00E56F10">
        <w:t xml:space="preserve"> on health outcomes; 5: influence of the change in management on intermediate outcomes; 6: association of intermediate outcomes with health outcomes; 7: adverse events due to testing; 8: adverse events due to treatment</w:t>
      </w:r>
    </w:p>
    <w:p w14:paraId="1F44DAFB" w14:textId="7DB18AB1" w:rsidR="00EE1E7B" w:rsidRDefault="00EE1E7B" w:rsidP="00BD33CC">
      <w:pPr>
        <w:spacing w:before="120" w:after="160" w:line="259" w:lineRule="auto"/>
      </w:pPr>
      <w:r>
        <w:t>The proposed target test population is p</w:t>
      </w:r>
      <w:r w:rsidRPr="00DF4099">
        <w:t>atients with locally advanced (inoperable) or metastatic</w:t>
      </w:r>
      <w:r w:rsidR="00957F3B">
        <w:t xml:space="preserve"> </w:t>
      </w:r>
      <w:r w:rsidRPr="00DF4099">
        <w:t xml:space="preserve">HR+/HER2- </w:t>
      </w:r>
      <w:r w:rsidR="00E84895">
        <w:t>BC</w:t>
      </w:r>
      <w:r w:rsidRPr="00DF4099">
        <w:t xml:space="preserve"> following recurrence or progression on or after AI therapy</w:t>
      </w:r>
      <w:r>
        <w:t xml:space="preserve"> +/-</w:t>
      </w:r>
      <w:r w:rsidRPr="00DF4099">
        <w:t xml:space="preserve"> a CDK4/6 inhibitor.</w:t>
      </w:r>
      <w:r>
        <w:t xml:space="preserve"> The target test population </w:t>
      </w:r>
      <w:r w:rsidR="007356B2">
        <w:t>is</w:t>
      </w:r>
      <w:r>
        <w:t xml:space="preserve"> to be offered genetic testing </w:t>
      </w:r>
      <w:r w:rsidRPr="003505E4">
        <w:t xml:space="preserve">using </w:t>
      </w:r>
      <w:r>
        <w:t xml:space="preserve">NGS, with the purpose of </w:t>
      </w:r>
      <w:r w:rsidRPr="003505E4">
        <w:t>identify</w:t>
      </w:r>
      <w:r>
        <w:t>ing</w:t>
      </w:r>
      <w:r w:rsidRPr="003505E4">
        <w:t xml:space="preserve"> </w:t>
      </w:r>
      <w:r w:rsidR="001713D9">
        <w:t>AKT pathway</w:t>
      </w:r>
      <w:r w:rsidRPr="003505E4">
        <w:t xml:space="preserve"> alterations (</w:t>
      </w:r>
      <w:r w:rsidRPr="00302B40">
        <w:rPr>
          <w:i/>
          <w:iCs/>
        </w:rPr>
        <w:t>PIK3CA, ATK1</w:t>
      </w:r>
      <w:r w:rsidRPr="003505E4">
        <w:t xml:space="preserve"> or </w:t>
      </w:r>
      <w:r w:rsidRPr="00302B40">
        <w:rPr>
          <w:i/>
          <w:iCs/>
        </w:rPr>
        <w:t>PTEN</w:t>
      </w:r>
      <w:r w:rsidRPr="003505E4">
        <w:t xml:space="preserve"> </w:t>
      </w:r>
      <w:r w:rsidR="00413D10">
        <w:t>tier I</w:t>
      </w:r>
      <w:r w:rsidR="00C3088F">
        <w:t xml:space="preserve"> </w:t>
      </w:r>
      <w:r w:rsidR="00D3683B">
        <w:t>variant</w:t>
      </w:r>
      <w:r w:rsidR="00D3683B" w:rsidRPr="003505E4">
        <w:t>s</w:t>
      </w:r>
      <w:r w:rsidRPr="003505E4">
        <w:t>) in tumour tissue.</w:t>
      </w:r>
      <w:r>
        <w:t xml:space="preserve"> The test outcomes can be </w:t>
      </w:r>
      <w:r w:rsidR="001713D9">
        <w:t>AKT pathway</w:t>
      </w:r>
      <w:r>
        <w:t xml:space="preserve"> </w:t>
      </w:r>
      <w:r>
        <w:lastRenderedPageBreak/>
        <w:t xml:space="preserve">alteration positive or negative. Patients with positive test outcome are then eligible for treatment with </w:t>
      </w:r>
      <w:r w:rsidR="007663FA">
        <w:t>capivasertib</w:t>
      </w:r>
      <w:r>
        <w:t xml:space="preserve"> </w:t>
      </w:r>
      <w:r w:rsidR="00DC0C72">
        <w:t xml:space="preserve">+ </w:t>
      </w:r>
      <w:r>
        <w:t xml:space="preserve">fulvestrant. </w:t>
      </w:r>
      <w:r w:rsidRPr="00AD38A1">
        <w:t xml:space="preserve">In the CAPItello-291 trial, </w:t>
      </w:r>
      <w:r>
        <w:t>treatment with</w:t>
      </w:r>
      <w:r w:rsidRPr="00AD38A1">
        <w:t xml:space="preserve"> capivasertib </w:t>
      </w:r>
      <w:r w:rsidR="00DC0C72">
        <w:t>+</w:t>
      </w:r>
      <w:r w:rsidR="00DC0C72" w:rsidRPr="00AD38A1">
        <w:t xml:space="preserve"> </w:t>
      </w:r>
      <w:r w:rsidRPr="00AD38A1">
        <w:t xml:space="preserve">fulvestrant </w:t>
      </w:r>
      <w:r>
        <w:t>resulted in</w:t>
      </w:r>
      <w:r w:rsidRPr="00AD38A1">
        <w:t xml:space="preserve"> significant improvement in </w:t>
      </w:r>
      <w:r>
        <w:t>PFS</w:t>
      </w:r>
      <w:r w:rsidRPr="00AD38A1">
        <w:t xml:space="preserve"> among patients with </w:t>
      </w:r>
      <w:r w:rsidR="001713D9">
        <w:t>AKT pathway</w:t>
      </w:r>
      <w:r w:rsidRPr="00AD38A1">
        <w:t xml:space="preserve"> alter</w:t>
      </w:r>
      <w:r>
        <w:t>ations</w:t>
      </w:r>
      <w:r w:rsidRPr="00AD38A1">
        <w:t xml:space="preserve"> (</w:t>
      </w:r>
      <w:r w:rsidRPr="00302B40">
        <w:rPr>
          <w:i/>
          <w:iCs/>
        </w:rPr>
        <w:t>PIK3CA, AKT1, or PTEN</w:t>
      </w:r>
      <w:r w:rsidRPr="00AD38A1">
        <w:t>)</w:t>
      </w:r>
      <w:r>
        <w:t>, HR+/HER2-</w:t>
      </w:r>
      <w:r w:rsidRPr="00AD38A1">
        <w:t xml:space="preserve"> </w:t>
      </w:r>
      <w:r w:rsidR="00A74221" w:rsidRPr="00A74221">
        <w:t>advanced breast cancer</w:t>
      </w:r>
      <w:r w:rsidR="000300D3" w:rsidRPr="00AD38A1">
        <w:t xml:space="preserve"> </w:t>
      </w:r>
      <w:r w:rsidRPr="00AD38A1">
        <w:t xml:space="preserve">who had disease progression </w:t>
      </w:r>
      <w:r>
        <w:t>following 1L treatment.</w:t>
      </w:r>
    </w:p>
    <w:p w14:paraId="76E82458" w14:textId="746B79B2" w:rsidR="008B1933" w:rsidRDefault="008B1933" w:rsidP="00BD33CC">
      <w:pPr>
        <w:spacing w:before="120" w:after="160" w:line="259" w:lineRule="auto"/>
      </w:pPr>
      <w:r>
        <w:t xml:space="preserve">Referring to </w:t>
      </w:r>
      <w:r>
        <w:fldChar w:fldCharType="begin"/>
      </w:r>
      <w:r>
        <w:instrText xml:space="preserve"> REF _Ref160271299 \h </w:instrText>
      </w:r>
      <w:r w:rsidR="005A2036">
        <w:instrText xml:space="preserve"> \* MERGEFORMAT </w:instrText>
      </w:r>
      <w:r>
        <w:fldChar w:fldCharType="separate"/>
      </w:r>
      <w:r w:rsidR="00B561EB">
        <w:t xml:space="preserve">Figure </w:t>
      </w:r>
      <w:r w:rsidR="00B561EB">
        <w:rPr>
          <w:noProof/>
        </w:rPr>
        <w:t>3</w:t>
      </w:r>
      <w:r>
        <w:fldChar w:fldCharType="end"/>
      </w:r>
      <w:r>
        <w:t xml:space="preserve">, </w:t>
      </w:r>
      <w:r w:rsidR="00EE1E7B">
        <w:t>the assessment</w:t>
      </w:r>
      <w:r>
        <w:t xml:space="preserve"> questions related to the assessment framework</w:t>
      </w:r>
      <w:r w:rsidR="00EE1E7B">
        <w:t xml:space="preserve"> are:</w:t>
      </w:r>
    </w:p>
    <w:p w14:paraId="47EFD282" w14:textId="1C65E674" w:rsidR="00EE1E7B" w:rsidRDefault="00EE1E7B" w:rsidP="00BD33CC">
      <w:pPr>
        <w:pStyle w:val="ListParagraph"/>
        <w:numPr>
          <w:ilvl w:val="0"/>
          <w:numId w:val="17"/>
        </w:numPr>
        <w:spacing w:before="120" w:after="160" w:line="259" w:lineRule="auto"/>
      </w:pPr>
      <w:r>
        <w:t>What is the test accuracy (sensitivity, specificity, PPV, NPV) of the proposed test intervention?</w:t>
      </w:r>
    </w:p>
    <w:p w14:paraId="0D276BB0" w14:textId="1BDEDAB9" w:rsidR="00EE1E7B" w:rsidRDefault="00EE1E7B" w:rsidP="00BD33CC">
      <w:pPr>
        <w:pStyle w:val="ListParagraph"/>
        <w:numPr>
          <w:ilvl w:val="0"/>
          <w:numId w:val="17"/>
        </w:numPr>
        <w:spacing w:before="120" w:after="160" w:line="259" w:lineRule="auto"/>
      </w:pPr>
      <w:r>
        <w:t xml:space="preserve">What are the </w:t>
      </w:r>
      <w:r w:rsidR="00751552">
        <w:t xml:space="preserve">adverse events </w:t>
      </w:r>
      <w:r>
        <w:t>related to the test and treatment invention?</w:t>
      </w:r>
    </w:p>
    <w:p w14:paraId="6DEF4481" w14:textId="77777777" w:rsidR="003D2F1A" w:rsidRDefault="00EE1E7B" w:rsidP="00BD33CC">
      <w:pPr>
        <w:pStyle w:val="ListParagraph"/>
        <w:numPr>
          <w:ilvl w:val="0"/>
          <w:numId w:val="17"/>
        </w:numPr>
        <w:spacing w:before="120" w:after="160" w:line="259" w:lineRule="auto"/>
      </w:pPr>
      <w:r>
        <w:t>What is the effect of capivasertib</w:t>
      </w:r>
      <w:r w:rsidR="00D75E28">
        <w:t xml:space="preserve"> </w:t>
      </w:r>
      <w:r>
        <w:t>+</w:t>
      </w:r>
      <w:r w:rsidR="00D75E28">
        <w:t xml:space="preserve"> </w:t>
      </w:r>
      <w:r>
        <w:t>fulvestrant on health outcomes in AKT pathway-altered, AKT pathway-non</w:t>
      </w:r>
      <w:r w:rsidR="00533CD4">
        <w:t xml:space="preserve"> </w:t>
      </w:r>
      <w:r>
        <w:t>altered and unknown AKT status patients?</w:t>
      </w:r>
    </w:p>
    <w:p w14:paraId="0D2B91B3" w14:textId="5B81427D" w:rsidR="00400793" w:rsidRDefault="003D2F1A" w:rsidP="00400793">
      <w:pPr>
        <w:spacing w:before="120" w:after="160" w:line="259" w:lineRule="auto"/>
        <w:rPr>
          <w:rFonts w:asciiTheme="minorHAnsi" w:hAnsiTheme="minorHAnsi" w:cstheme="minorHAnsi"/>
          <w:i/>
          <w:iCs/>
        </w:rPr>
      </w:pPr>
      <w:r w:rsidRPr="00BD33CC">
        <w:rPr>
          <w:rFonts w:asciiTheme="minorHAnsi" w:hAnsiTheme="minorHAnsi" w:cstheme="minorHAnsi"/>
          <w:i/>
          <w:iCs/>
        </w:rPr>
        <w:t>PASC noted and accepted the assessment framework.</w:t>
      </w:r>
    </w:p>
    <w:p w14:paraId="6069F0B5" w14:textId="7FE4F22C" w:rsidR="00D73332" w:rsidRPr="00490FBB" w:rsidRDefault="00D73332" w:rsidP="0023599C">
      <w:pPr>
        <w:pStyle w:val="Heading2"/>
        <w:rPr>
          <w:b/>
          <w:bCs/>
          <w:i/>
        </w:rPr>
      </w:pPr>
      <w:r w:rsidRPr="00490FBB">
        <w:t>Clinical management algorithms</w:t>
      </w:r>
    </w:p>
    <w:p w14:paraId="137CA153" w14:textId="019E2A2B" w:rsidR="0081214F" w:rsidRDefault="0081214F" w:rsidP="0023599C">
      <w:r w:rsidRPr="0081214F">
        <w:t xml:space="preserve">The applicant proposed current and revised treatment algorithms with capivasertib + fulvestrant for HR+/HER2- </w:t>
      </w:r>
      <w:r w:rsidR="00533F11">
        <w:t>BC</w:t>
      </w:r>
      <w:r w:rsidRPr="0081214F">
        <w:t xml:space="preserve"> (Appendix 1).</w:t>
      </w:r>
    </w:p>
    <w:p w14:paraId="25D59F53" w14:textId="7CF9BAB5" w:rsidR="004A3B22" w:rsidRDefault="004A3B22" w:rsidP="0023599C">
      <w:pPr>
        <w:pStyle w:val="Heading4"/>
      </w:pPr>
      <w:r>
        <w:t>Current clinical management algorithm for identified population</w:t>
      </w:r>
    </w:p>
    <w:p w14:paraId="6C00FEF8" w14:textId="28973D0D" w:rsidR="003B13EE" w:rsidRDefault="00EC073B" w:rsidP="0023599C">
      <w:pPr>
        <w:keepNext/>
      </w:pPr>
      <w:r>
        <w:fldChar w:fldCharType="begin"/>
      </w:r>
      <w:r>
        <w:instrText xml:space="preserve"> REF _Ref162018136 \h </w:instrText>
      </w:r>
      <w:r w:rsidR="0023599C">
        <w:instrText xml:space="preserve"> \* MERGEFORMAT </w:instrText>
      </w:r>
      <w:r>
        <w:fldChar w:fldCharType="separate"/>
      </w:r>
      <w:r w:rsidR="00B561EB" w:rsidRPr="00BD33CC">
        <w:t xml:space="preserve">Figure </w:t>
      </w:r>
      <w:r w:rsidR="00B561EB" w:rsidRPr="00BD33CC">
        <w:rPr>
          <w:noProof/>
        </w:rPr>
        <w:t>4</w:t>
      </w:r>
      <w:r>
        <w:fldChar w:fldCharType="end"/>
      </w:r>
      <w:r>
        <w:t xml:space="preserve"> </w:t>
      </w:r>
      <w:r w:rsidR="001D1F93" w:rsidRPr="001D1F93">
        <w:t>illustrates the current treatment algorithm in test population and the algorithm developed during PICO confirmation development by the assessment group.</w:t>
      </w:r>
      <w:bookmarkStart w:id="13" w:name="_Hlk159575810"/>
      <w:bookmarkStart w:id="14" w:name="_Hlk159505438"/>
      <w:bookmarkStart w:id="15" w:name="_Hlk159508572"/>
    </w:p>
    <w:p w14:paraId="5C15D54F" w14:textId="4C04B783" w:rsidR="00EC073B" w:rsidRDefault="00EC073B" w:rsidP="0023599C">
      <w:pPr>
        <w:keepNext/>
      </w:pPr>
      <w:r>
        <w:rPr>
          <w:noProof/>
        </w:rPr>
        <w:drawing>
          <wp:inline distT="0" distB="0" distL="0" distR="0" wp14:anchorId="50A88F72" wp14:editId="0AE58333">
            <wp:extent cx="6043848" cy="3270763"/>
            <wp:effectExtent l="0" t="0" r="0" b="0"/>
            <wp:docPr id="848794781" name="Picture 848794781" descr="Figure 4 is the current clinical management algorithm. It begins with patients with locally advanced (inoperable) or metastatic HR+/HER2- breast cancer following disease progression on or after AI with or without CDK 4/6 inhibitor. The patients may be eligible for germline PTEN testing via MBS item 73296. Regardless if the PTEN results is positive or negative or untested, patients are eligible for a range of second line treatment options. If they relapse on second line treatment, they can access alternative therapy from the same range of options, if not used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94781" name="Picture 848794781" descr="Figure 4 is the current clinical management algorithm. It begins with patients with locally advanced (inoperable) or metastatic HR+/HER2- breast cancer following disease progression on or after AI with or without CDK 4/6 inhibitor. The patients may be eligible for germline PTEN testing via MBS item 73296. Regardless if the PTEN results is positive or negative or untested, patients are eligible for a range of second line treatment options. If they relapse on second line treatment, they can access alternative therapy from the same range of options, if not used previous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4448" cy="3292734"/>
                    </a:xfrm>
                    <a:prstGeom prst="rect">
                      <a:avLst/>
                    </a:prstGeom>
                    <a:noFill/>
                  </pic:spPr>
                </pic:pic>
              </a:graphicData>
            </a:graphic>
          </wp:inline>
        </w:drawing>
      </w:r>
    </w:p>
    <w:p w14:paraId="2544824D" w14:textId="4D0DDD19" w:rsidR="003B13EE" w:rsidRDefault="00EC073B" w:rsidP="00BD33CC">
      <w:pPr>
        <w:pStyle w:val="Tablenotes"/>
      </w:pPr>
      <w:bookmarkStart w:id="16" w:name="_Ref162018136"/>
      <w:r w:rsidRPr="00E84BA8">
        <w:rPr>
          <w:b/>
          <w:sz w:val="20"/>
          <w:szCs w:val="22"/>
        </w:rPr>
        <w:t xml:space="preserve">Figure </w:t>
      </w:r>
      <w:r w:rsidRPr="00E84BA8">
        <w:rPr>
          <w:b/>
          <w:sz w:val="20"/>
          <w:szCs w:val="22"/>
        </w:rPr>
        <w:fldChar w:fldCharType="begin"/>
      </w:r>
      <w:r w:rsidRPr="00E84BA8">
        <w:rPr>
          <w:b/>
          <w:sz w:val="20"/>
          <w:szCs w:val="22"/>
        </w:rPr>
        <w:instrText xml:space="preserve"> SEQ Figure \* ARABIC </w:instrText>
      </w:r>
      <w:r w:rsidRPr="00E84BA8">
        <w:rPr>
          <w:b/>
          <w:sz w:val="20"/>
          <w:szCs w:val="22"/>
        </w:rPr>
        <w:fldChar w:fldCharType="separate"/>
      </w:r>
      <w:r w:rsidR="00B561EB">
        <w:rPr>
          <w:b/>
          <w:noProof/>
          <w:sz w:val="20"/>
          <w:szCs w:val="22"/>
        </w:rPr>
        <w:t>4</w:t>
      </w:r>
      <w:r w:rsidRPr="00E84BA8">
        <w:rPr>
          <w:b/>
          <w:sz w:val="20"/>
          <w:szCs w:val="22"/>
        </w:rPr>
        <w:fldChar w:fldCharType="end"/>
      </w:r>
      <w:bookmarkEnd w:id="16"/>
      <w:r w:rsidR="0000679D" w:rsidRPr="00E84BA8">
        <w:rPr>
          <w:b/>
          <w:sz w:val="20"/>
          <w:szCs w:val="22"/>
        </w:rPr>
        <w:t xml:space="preserve"> Current clinical management algorithm for patients with locally advanced (inoperable) or metastatic HR+/HER2- breast cancer following disease progression on/after AI +/- CDK4/6 inhibitor</w:t>
      </w:r>
      <w:r w:rsidR="003A244D" w:rsidRPr="00E84BA8">
        <w:rPr>
          <w:b/>
          <w:sz w:val="20"/>
          <w:szCs w:val="22"/>
        </w:rPr>
        <w:t>.</w:t>
      </w:r>
      <w:r w:rsidR="003A244D">
        <w:t xml:space="preserve"> </w:t>
      </w:r>
      <w:bookmarkStart w:id="17" w:name="_Hlk160298294"/>
      <w:bookmarkEnd w:id="13"/>
      <w:bookmarkEnd w:id="14"/>
    </w:p>
    <w:p w14:paraId="1B4DA958" w14:textId="4D014D00" w:rsidR="00F764C4" w:rsidRPr="00C134E3" w:rsidRDefault="00102A8E" w:rsidP="00BD33CC">
      <w:pPr>
        <w:pStyle w:val="Tablenotes"/>
      </w:pPr>
      <w:r w:rsidRPr="00C134E3">
        <w:t>Source:</w:t>
      </w:r>
      <w:r w:rsidR="00025D13" w:rsidRPr="00C134E3">
        <w:t xml:space="preserve"> </w:t>
      </w:r>
      <w:r w:rsidR="003B13EE">
        <w:t xml:space="preserve">Developed by the assessment group during PICO development, </w:t>
      </w:r>
      <w:r w:rsidR="00860A91" w:rsidRPr="00C134E3">
        <w:t xml:space="preserve">adapted from </w:t>
      </w:r>
      <w:r w:rsidR="00433384" w:rsidRPr="00C134E3">
        <w:t xml:space="preserve">Table 1, </w:t>
      </w:r>
      <w:r w:rsidR="00025D13" w:rsidRPr="00C134E3">
        <w:t>p14 of MSAC application 1766</w:t>
      </w:r>
      <w:r w:rsidR="00A274F2" w:rsidRPr="00C134E3">
        <w:t xml:space="preserve"> PICO set</w:t>
      </w:r>
      <w:bookmarkEnd w:id="15"/>
    </w:p>
    <w:p w14:paraId="6BABA162" w14:textId="27E7E136" w:rsidR="00D22BB7" w:rsidRPr="00C134E3" w:rsidRDefault="00DC7F40" w:rsidP="00BD33CC">
      <w:pPr>
        <w:pStyle w:val="Tablenotes"/>
      </w:pPr>
      <w:bookmarkStart w:id="18" w:name="_Hlk161245077"/>
      <w:r w:rsidRPr="00C134E3">
        <w:t xml:space="preserve">Abbreviations: </w:t>
      </w:r>
      <w:r w:rsidR="00347B53" w:rsidRPr="00C134E3">
        <w:t>AI=aromatase inhibitor</w:t>
      </w:r>
      <w:r w:rsidR="00F764C4" w:rsidRPr="00C134E3">
        <w:t xml:space="preserve">; </w:t>
      </w:r>
      <w:r w:rsidR="008631C7" w:rsidRPr="00C134E3">
        <w:t xml:space="preserve">CDK4/6 </w:t>
      </w:r>
      <w:r w:rsidR="00071DC0" w:rsidRPr="00C134E3">
        <w:t>inhibitor</w:t>
      </w:r>
      <w:r w:rsidR="008631C7" w:rsidRPr="00C134E3">
        <w:t>=cyclin dependent kinase 4 and 6</w:t>
      </w:r>
      <w:r w:rsidR="00071DC0" w:rsidRPr="00C134E3">
        <w:t xml:space="preserve"> inhibitor</w:t>
      </w:r>
      <w:r w:rsidR="008631C7" w:rsidRPr="00C134E3">
        <w:t>;</w:t>
      </w:r>
      <w:r w:rsidR="007E4553" w:rsidRPr="00C134E3">
        <w:t xml:space="preserve"> </w:t>
      </w:r>
      <w:r w:rsidR="00311D27" w:rsidRPr="00C134E3">
        <w:t>ET=endocrine therapy;</w:t>
      </w:r>
      <w:r w:rsidR="00CC7055" w:rsidRPr="00C134E3">
        <w:t xml:space="preserve"> </w:t>
      </w:r>
      <w:r w:rsidR="00860A91" w:rsidRPr="00C134E3">
        <w:t xml:space="preserve">HR+/HER2-=hormone receptor–positive/human epidermal growth factor receptor 2–negative; MBS= Medicare Benefits Schedule; </w:t>
      </w:r>
      <w:r w:rsidR="00CC7055" w:rsidRPr="00C134E3">
        <w:t>mTOR=mammalian target of rapamycin;</w:t>
      </w:r>
      <w:r w:rsidR="00860A91" w:rsidRPr="00C134E3">
        <w:t xml:space="preserve"> </w:t>
      </w:r>
      <w:r w:rsidR="00860A91" w:rsidRPr="00302B40">
        <w:rPr>
          <w:i/>
          <w:iCs/>
        </w:rPr>
        <w:t>PTEN</w:t>
      </w:r>
      <w:r w:rsidR="00860A91" w:rsidRPr="00C134E3">
        <w:t>=phosphatase and tensin homolog.</w:t>
      </w:r>
      <w:r w:rsidR="00347B53" w:rsidRPr="00C134E3">
        <w:t xml:space="preserve"> </w:t>
      </w:r>
      <w:r w:rsidR="00D22BB7" w:rsidRPr="00C134E3">
        <w:t xml:space="preserve"> </w:t>
      </w:r>
    </w:p>
    <w:p w14:paraId="27BA4A72" w14:textId="5A64E4D5" w:rsidR="00D22BB7" w:rsidRPr="00C134E3" w:rsidRDefault="00D22BB7" w:rsidP="00BD33CC">
      <w:pPr>
        <w:pStyle w:val="Tablenotes"/>
      </w:pPr>
      <w:r w:rsidRPr="00C134E3">
        <w:t>Note: dashed lines indicate test/treatment in selected patients; solid lines suggest flow of treatment paths.</w:t>
      </w:r>
    </w:p>
    <w:p w14:paraId="30C6B36F" w14:textId="5895DE04" w:rsidR="00D22BB7" w:rsidRPr="00C134E3" w:rsidRDefault="00D22BB7" w:rsidP="00BD33CC">
      <w:pPr>
        <w:pStyle w:val="Tablenotes"/>
      </w:pPr>
      <w:r w:rsidRPr="00C134E3">
        <w:lastRenderedPageBreak/>
        <w:t xml:space="preserve">a Not all patients receive germline </w:t>
      </w:r>
      <w:r w:rsidRPr="00302B40">
        <w:rPr>
          <w:i/>
          <w:iCs/>
        </w:rPr>
        <w:t>PTEN</w:t>
      </w:r>
      <w:r w:rsidRPr="00C134E3">
        <w:t xml:space="preserve"> testing because MBS item 73296 is available to eligible patients who fulfill clinical and family history </w:t>
      </w:r>
      <w:r w:rsidR="00717C54" w:rsidRPr="00C134E3">
        <w:t>criteria,</w:t>
      </w:r>
      <w:r w:rsidRPr="00C134E3">
        <w:t xml:space="preserve"> and this MBS item may include/exclude </w:t>
      </w:r>
      <w:r w:rsidRPr="00302B40">
        <w:rPr>
          <w:i/>
          <w:iCs/>
        </w:rPr>
        <w:t>PTEN</w:t>
      </w:r>
      <w:r w:rsidR="00C3088F">
        <w:t xml:space="preserve"> pathogenic</w:t>
      </w:r>
      <w:r w:rsidRPr="00C134E3">
        <w:t xml:space="preserve"> variants.</w:t>
      </w:r>
    </w:p>
    <w:p w14:paraId="3D2920FC" w14:textId="68E955CC" w:rsidR="00061D65" w:rsidRPr="00C134E3" w:rsidRDefault="00932D56" w:rsidP="00BD33CC">
      <w:pPr>
        <w:pStyle w:val="Tablenotes"/>
      </w:pPr>
      <w:r w:rsidRPr="00302B40">
        <w:rPr>
          <w:vertAlign w:val="superscript"/>
        </w:rPr>
        <w:t>b</w:t>
      </w:r>
      <w:r w:rsidR="00D22BB7" w:rsidRPr="00C134E3">
        <w:t xml:space="preserve"> Other treatment options include </w:t>
      </w:r>
      <w:r w:rsidR="00D22BB7" w:rsidRPr="00302B40">
        <w:rPr>
          <w:i/>
          <w:iCs/>
        </w:rPr>
        <w:t>PIK3CA</w:t>
      </w:r>
      <w:r w:rsidR="00D22BB7" w:rsidRPr="00C134E3">
        <w:t xml:space="preserve"> inhibitor (not PBS-listed) and poly (ADP-ribose) polymerase (PARP) inhibitor</w:t>
      </w:r>
      <w:r w:rsidR="00533CD4">
        <w:t>s (e.g., olaparib</w:t>
      </w:r>
      <w:r w:rsidR="00215C23">
        <w:t>,</w:t>
      </w:r>
      <w:r w:rsidR="00E431F6">
        <w:t xml:space="preserve"> – not PBS listed</w:t>
      </w:r>
      <w:r w:rsidR="00533CD4">
        <w:t>)</w:t>
      </w:r>
      <w:r w:rsidR="00D22BB7" w:rsidRPr="00C134E3">
        <w:t>.</w:t>
      </w:r>
    </w:p>
    <w:bookmarkEnd w:id="17"/>
    <w:bookmarkEnd w:id="18"/>
    <w:p w14:paraId="5CAD2685" w14:textId="332E753E" w:rsidR="00533CD4" w:rsidRPr="00533CD4" w:rsidRDefault="00711AF9" w:rsidP="00BD33CC">
      <w:pPr>
        <w:spacing w:before="120" w:after="160" w:line="259" w:lineRule="auto"/>
      </w:pPr>
      <w:r w:rsidRPr="00533CD4">
        <w:t>In contrast to the applicant’s current treatment algorithm,</w:t>
      </w:r>
      <w:r w:rsidR="00EC073B" w:rsidRPr="00533CD4">
        <w:t xml:space="preserve"> </w:t>
      </w:r>
      <w:r w:rsidR="00EC073B" w:rsidRPr="00533CD4">
        <w:fldChar w:fldCharType="begin"/>
      </w:r>
      <w:r w:rsidR="00EC073B" w:rsidRPr="00533CD4">
        <w:instrText xml:space="preserve"> REF _Ref162018136 \h </w:instrText>
      </w:r>
      <w:r w:rsidR="00533CD4" w:rsidRPr="00302B40">
        <w:instrText xml:space="preserve"> \* MERGEFORMAT </w:instrText>
      </w:r>
      <w:r w:rsidR="00EC073B" w:rsidRPr="00533CD4">
        <w:fldChar w:fldCharType="separate"/>
      </w:r>
      <w:r w:rsidR="00B561EB" w:rsidRPr="00BD33CC">
        <w:t>Figure 4</w:t>
      </w:r>
      <w:r w:rsidR="00EC073B" w:rsidRPr="00533CD4">
        <w:fldChar w:fldCharType="end"/>
      </w:r>
      <w:r w:rsidRPr="00533CD4">
        <w:t xml:space="preserve"> include</w:t>
      </w:r>
      <w:r w:rsidR="00533CD4">
        <w:t>s</w:t>
      </w:r>
      <w:r w:rsidRPr="00533CD4">
        <w:t xml:space="preserve"> germline </w:t>
      </w:r>
      <w:r w:rsidRPr="00533CD4">
        <w:rPr>
          <w:i/>
          <w:iCs/>
        </w:rPr>
        <w:t>PTEN</w:t>
      </w:r>
      <w:r w:rsidRPr="00533CD4">
        <w:t xml:space="preserve"> testing via MBS item 73296. Patients </w:t>
      </w:r>
      <w:r w:rsidR="00FF6726">
        <w:t xml:space="preserve">in the proposed population </w:t>
      </w:r>
      <w:r w:rsidRPr="00533CD4">
        <w:t>may or</w:t>
      </w:r>
      <w:r w:rsidRPr="00533CD4" w:rsidDel="00E07693">
        <w:t xml:space="preserve"> </w:t>
      </w:r>
      <w:r w:rsidR="00E07693">
        <w:t>may</w:t>
      </w:r>
      <w:r w:rsidR="00E07693" w:rsidRPr="00533CD4">
        <w:t xml:space="preserve"> </w:t>
      </w:r>
      <w:r w:rsidRPr="00533CD4">
        <w:t xml:space="preserve">not </w:t>
      </w:r>
      <w:r w:rsidR="00E07693">
        <w:t xml:space="preserve">have </w:t>
      </w:r>
      <w:r w:rsidRPr="00533CD4">
        <w:t xml:space="preserve">received </w:t>
      </w:r>
      <w:r w:rsidR="385E5D80">
        <w:t xml:space="preserve">germline </w:t>
      </w:r>
      <w:r w:rsidR="00651D23" w:rsidRPr="00651D23">
        <w:rPr>
          <w:i/>
          <w:iCs/>
        </w:rPr>
        <w:t>PTEN</w:t>
      </w:r>
      <w:r w:rsidRPr="00533CD4">
        <w:t xml:space="preserve"> testing through MBS item 73296. </w:t>
      </w:r>
      <w:r w:rsidR="00F85823" w:rsidRPr="00533CD4">
        <w:t>MBS item 73296</w:t>
      </w:r>
      <w:r w:rsidR="004A253B" w:rsidRPr="00533CD4">
        <w:t xml:space="preserve"> is for characterisation of germline gene variants in a patient with breast, ovarian, fallopian </w:t>
      </w:r>
      <w:r w:rsidR="00717C54" w:rsidRPr="00533CD4">
        <w:t>tube,</w:t>
      </w:r>
      <w:r w:rsidR="004A253B" w:rsidRPr="00533CD4">
        <w:t xml:space="preserve"> or primary peritoneal cancer; and for whom clinical and family history criteria place the patient at greater than 10% risk of having a pathogenic or likely pathogenic gene associated with breast, ovarian, fallopian </w:t>
      </w:r>
      <w:r w:rsidR="00717C54" w:rsidRPr="00533CD4">
        <w:t>tube,</w:t>
      </w:r>
      <w:r w:rsidR="00717C54">
        <w:t xml:space="preserve"> </w:t>
      </w:r>
      <w:r w:rsidR="004A253B" w:rsidRPr="00533CD4">
        <w:t>or primary peritoneal cancer.</w:t>
      </w:r>
      <w:r w:rsidR="001F20AD" w:rsidRPr="00533CD4" w:rsidDel="004A253B">
        <w:t xml:space="preserve"> </w:t>
      </w:r>
      <w:r w:rsidRPr="00533CD4">
        <w:t xml:space="preserve">However, patients who test positive for </w:t>
      </w:r>
      <w:r w:rsidR="00B61B71">
        <w:t xml:space="preserve">germline </w:t>
      </w:r>
      <w:r w:rsidRPr="00533CD4">
        <w:rPr>
          <w:i/>
          <w:iCs/>
        </w:rPr>
        <w:t>PTEN</w:t>
      </w:r>
      <w:r w:rsidRPr="00533CD4">
        <w:t xml:space="preserve"> </w:t>
      </w:r>
      <w:r w:rsidR="00C3088F" w:rsidRPr="00533CD4">
        <w:t xml:space="preserve">pathogenic </w:t>
      </w:r>
      <w:r w:rsidRPr="00533CD4">
        <w:t>variants</w:t>
      </w:r>
      <w:r w:rsidR="00F8500B" w:rsidRPr="00533CD4">
        <w:t>, currently</w:t>
      </w:r>
      <w:r w:rsidRPr="00533CD4">
        <w:t xml:space="preserve"> </w:t>
      </w:r>
      <w:r w:rsidR="00533CD4">
        <w:t>have</w:t>
      </w:r>
      <w:r w:rsidRPr="00533CD4">
        <w:t xml:space="preserve"> </w:t>
      </w:r>
      <w:r w:rsidR="00533CD4">
        <w:t>no</w:t>
      </w:r>
      <w:r w:rsidRPr="00533CD4">
        <w:t xml:space="preserve"> targeted treatment option</w:t>
      </w:r>
      <w:r w:rsidR="00AD0B5F">
        <w:t>s</w:t>
      </w:r>
      <w:r w:rsidRPr="00533CD4">
        <w:t>.</w:t>
      </w:r>
      <w:r w:rsidRPr="00711AF9">
        <w:t xml:space="preserve"> </w:t>
      </w:r>
    </w:p>
    <w:p w14:paraId="7BC71CE9" w14:textId="0EC68F9E" w:rsidR="004A3B22" w:rsidRDefault="004A3B22" w:rsidP="0023599C">
      <w:pPr>
        <w:pStyle w:val="Heading4"/>
      </w:pPr>
      <w:r>
        <w:t>Proposed clinical management algorithm for identified population</w:t>
      </w:r>
    </w:p>
    <w:p w14:paraId="6D5A4424" w14:textId="36DD7D94" w:rsidR="00B201B8" w:rsidRDefault="0033262D" w:rsidP="0023599C">
      <w:pPr>
        <w:pStyle w:val="Instructionaltext"/>
        <w:keepNext/>
        <w:rPr>
          <w:color w:val="auto"/>
        </w:rPr>
      </w:pPr>
      <w:r w:rsidRPr="00302B40">
        <w:rPr>
          <w:rFonts w:eastAsia="Calibri" w:cs="Times New Roman"/>
          <w:color w:val="auto"/>
        </w:rPr>
        <w:t>The NCCN (2024) guideline</w:t>
      </w:r>
      <w:r w:rsidR="003A5675" w:rsidRPr="00302B40">
        <w:rPr>
          <w:rFonts w:eastAsia="Calibri" w:cs="Times New Roman"/>
          <w:color w:val="auto"/>
        </w:rPr>
        <w:t>s</w:t>
      </w:r>
      <w:r w:rsidRPr="00302B40">
        <w:rPr>
          <w:rFonts w:eastAsia="Calibri" w:cs="Times New Roman"/>
          <w:color w:val="auto"/>
        </w:rPr>
        <w:t xml:space="preserve"> recommend </w:t>
      </w:r>
      <w:r w:rsidR="00533CD4">
        <w:rPr>
          <w:rFonts w:eastAsia="Calibri" w:cs="Times New Roman"/>
          <w:color w:val="auto"/>
        </w:rPr>
        <w:t xml:space="preserve">the </w:t>
      </w:r>
      <w:r w:rsidRPr="00302B40">
        <w:rPr>
          <w:rFonts w:eastAsia="Calibri" w:cs="Times New Roman"/>
          <w:color w:val="auto"/>
        </w:rPr>
        <w:t>assessment</w:t>
      </w:r>
      <w:r w:rsidR="000C592C" w:rsidRPr="5408EB69">
        <w:rPr>
          <w:rFonts w:eastAsia="Calibri" w:cs="Times New Roman"/>
          <w:color w:val="auto"/>
        </w:rPr>
        <w:t xml:space="preserve"> of</w:t>
      </w:r>
      <w:r w:rsidRPr="00302B40">
        <w:rPr>
          <w:rFonts w:eastAsia="Calibri" w:cs="Times New Roman"/>
          <w:color w:val="auto"/>
        </w:rPr>
        <w:t xml:space="preserve"> </w:t>
      </w:r>
      <w:r w:rsidRPr="5408EB69">
        <w:rPr>
          <w:rFonts w:eastAsia="Calibri" w:cs="Times New Roman"/>
          <w:i/>
          <w:iCs/>
          <w:color w:val="auto"/>
        </w:rPr>
        <w:t>PIK3CA or AKT1 or PTEN</w:t>
      </w:r>
      <w:r w:rsidRPr="00302B40">
        <w:rPr>
          <w:rFonts w:eastAsia="Calibri" w:cs="Times New Roman"/>
          <w:color w:val="auto"/>
        </w:rPr>
        <w:t xml:space="preserve"> </w:t>
      </w:r>
      <w:r w:rsidR="00413D10">
        <w:rPr>
          <w:rFonts w:eastAsia="Calibri" w:cs="Times New Roman"/>
          <w:color w:val="auto"/>
        </w:rPr>
        <w:t>tier I</w:t>
      </w:r>
      <w:r w:rsidR="00533CD4">
        <w:rPr>
          <w:rFonts w:eastAsia="Calibri" w:cs="Times New Roman"/>
          <w:color w:val="auto"/>
        </w:rPr>
        <w:t xml:space="preserve"> variants </w:t>
      </w:r>
      <w:r w:rsidRPr="00302B40">
        <w:rPr>
          <w:rFonts w:eastAsia="Calibri" w:cs="Times New Roman"/>
          <w:color w:val="auto"/>
        </w:rPr>
        <w:t>via NGS in patients with HR+/HER2</w:t>
      </w:r>
      <w:r w:rsidR="00657F57" w:rsidRPr="00674EDC">
        <w:rPr>
          <w:rFonts w:eastAsia="Calibri" w:cs="Times New Roman"/>
          <w:color w:val="auto"/>
        </w:rPr>
        <w:t xml:space="preserve">- </w:t>
      </w:r>
      <w:r w:rsidR="00657F57" w:rsidRPr="002E46C4">
        <w:rPr>
          <w:color w:val="auto"/>
        </w:rPr>
        <w:t>advanced</w:t>
      </w:r>
      <w:r w:rsidR="00A74221" w:rsidRPr="00674EDC">
        <w:rPr>
          <w:rFonts w:eastAsia="Calibri" w:cs="Times New Roman"/>
          <w:color w:val="auto"/>
        </w:rPr>
        <w:t xml:space="preserve"> breast </w:t>
      </w:r>
      <w:r w:rsidR="00A74221" w:rsidRPr="00A74221">
        <w:rPr>
          <w:rFonts w:eastAsia="Calibri" w:cs="Times New Roman"/>
          <w:color w:val="auto"/>
        </w:rPr>
        <w:t>cancer</w:t>
      </w:r>
      <w:r w:rsidRPr="00302B40">
        <w:rPr>
          <w:rFonts w:eastAsia="Calibri" w:cs="Times New Roman"/>
          <w:color w:val="auto"/>
        </w:rPr>
        <w:t xml:space="preserve">. Capivasertib + fulvestrant is preferred as </w:t>
      </w:r>
      <w:r w:rsidR="008779F2">
        <w:rPr>
          <w:rFonts w:eastAsia="Calibri" w:cs="Times New Roman"/>
          <w:color w:val="auto"/>
        </w:rPr>
        <w:t>second line</w:t>
      </w:r>
      <w:r w:rsidR="008779F2" w:rsidRPr="00302B40">
        <w:rPr>
          <w:rFonts w:eastAsia="Calibri" w:cs="Times New Roman"/>
          <w:color w:val="auto"/>
        </w:rPr>
        <w:t xml:space="preserve"> </w:t>
      </w:r>
      <w:r w:rsidRPr="00302B40">
        <w:rPr>
          <w:rFonts w:eastAsia="Calibri" w:cs="Times New Roman"/>
          <w:color w:val="auto"/>
        </w:rPr>
        <w:t xml:space="preserve">or subsequent line therapy in the presence of </w:t>
      </w:r>
      <w:r w:rsidRPr="5408EB69">
        <w:rPr>
          <w:rFonts w:eastAsia="Calibri" w:cs="Times New Roman"/>
          <w:i/>
          <w:iCs/>
          <w:color w:val="auto"/>
        </w:rPr>
        <w:t>PIK3CA/AKT1/PTEN</w:t>
      </w:r>
      <w:r w:rsidRPr="00302B40">
        <w:rPr>
          <w:rFonts w:eastAsia="Calibri" w:cs="Times New Roman"/>
          <w:color w:val="auto"/>
        </w:rPr>
        <w:t xml:space="preserve"> alterations (NCCN, 2024</w:t>
      </w:r>
      <w:r w:rsidRPr="00920853">
        <w:rPr>
          <w:rFonts w:eastAsia="Calibri" w:cs="Times New Roman"/>
          <w:color w:val="auto"/>
        </w:rPr>
        <w:t>).</w:t>
      </w:r>
      <w:r w:rsidR="000448F0">
        <w:rPr>
          <w:rFonts w:eastAsia="Calibri" w:cs="Times New Roman"/>
          <w:color w:val="auto"/>
        </w:rPr>
        <w:t xml:space="preserve"> </w:t>
      </w:r>
      <w:r w:rsidR="000448F0" w:rsidRPr="00B561EB">
        <w:rPr>
          <w:rFonts w:eastAsia="Calibri" w:cs="Times New Roman"/>
          <w:color w:val="auto"/>
        </w:rPr>
        <w:fldChar w:fldCharType="begin"/>
      </w:r>
      <w:r w:rsidR="000448F0" w:rsidRPr="00B561EB">
        <w:rPr>
          <w:rFonts w:eastAsia="Calibri" w:cs="Times New Roman"/>
          <w:color w:val="auto"/>
        </w:rPr>
        <w:instrText xml:space="preserve"> REF _Ref166158201 \h </w:instrText>
      </w:r>
      <w:r w:rsidR="000448F0" w:rsidRPr="00B561EB">
        <w:rPr>
          <w:rFonts w:eastAsia="Calibri" w:cs="Times New Roman"/>
          <w:color w:val="auto"/>
        </w:rPr>
      </w:r>
      <w:r w:rsidR="000448F0" w:rsidRPr="00B561EB">
        <w:rPr>
          <w:rFonts w:eastAsia="Calibri" w:cs="Times New Roman"/>
          <w:color w:val="auto"/>
        </w:rPr>
        <w:fldChar w:fldCharType="separate"/>
      </w:r>
      <w:r w:rsidR="00B561EB" w:rsidRPr="00BD33CC">
        <w:rPr>
          <w:color w:val="auto"/>
        </w:rPr>
        <w:t xml:space="preserve">Figure </w:t>
      </w:r>
      <w:r w:rsidR="00B561EB" w:rsidRPr="00BD33CC">
        <w:rPr>
          <w:noProof/>
          <w:color w:val="auto"/>
        </w:rPr>
        <w:t>5</w:t>
      </w:r>
      <w:r w:rsidR="000448F0" w:rsidRPr="00B561EB">
        <w:rPr>
          <w:rFonts w:eastAsia="Calibri" w:cs="Times New Roman"/>
          <w:color w:val="auto"/>
        </w:rPr>
        <w:fldChar w:fldCharType="end"/>
      </w:r>
      <w:r w:rsidR="00037D75" w:rsidRPr="00B561EB">
        <w:rPr>
          <w:rFonts w:eastAsia="Calibri" w:cs="Times New Roman"/>
          <w:color w:val="auto"/>
        </w:rPr>
        <w:t xml:space="preserve"> </w:t>
      </w:r>
      <w:r w:rsidRPr="00037D75">
        <w:rPr>
          <w:rFonts w:eastAsia="Calibri" w:cs="Times New Roman"/>
          <w:color w:val="auto"/>
        </w:rPr>
        <w:t>i</w:t>
      </w:r>
      <w:r w:rsidRPr="00920853">
        <w:rPr>
          <w:rFonts w:eastAsia="Calibri" w:cs="Times New Roman"/>
          <w:color w:val="auto"/>
        </w:rPr>
        <w:t>llustrate</w:t>
      </w:r>
      <w:r w:rsidRPr="00302B40">
        <w:rPr>
          <w:rFonts w:eastAsia="Calibri" w:cs="Times New Roman"/>
          <w:color w:val="auto"/>
        </w:rPr>
        <w:t>s the proposed treatment algorithm, which was developed during PICO confirmation</w:t>
      </w:r>
      <w:r w:rsidR="00F35C68">
        <w:rPr>
          <w:rFonts w:eastAsia="Calibri" w:cs="Times New Roman"/>
          <w:color w:val="auto"/>
        </w:rPr>
        <w:t>.</w:t>
      </w:r>
      <w:r w:rsidRPr="00302B40">
        <w:rPr>
          <w:rFonts w:eastAsia="Calibri" w:cs="Times New Roman"/>
          <w:color w:val="auto"/>
        </w:rPr>
        <w:t xml:space="preserve"> </w:t>
      </w:r>
    </w:p>
    <w:p w14:paraId="3E5038B4" w14:textId="5B820E00" w:rsidR="00A54B23" w:rsidRDefault="007527BD" w:rsidP="00A54B23">
      <w:pPr>
        <w:pStyle w:val="Instructionaltext"/>
        <w:keepNext/>
      </w:pPr>
      <w:r>
        <w:rPr>
          <w:noProof/>
        </w:rPr>
        <w:drawing>
          <wp:inline distT="0" distB="0" distL="0" distR="0" wp14:anchorId="27600CEA" wp14:editId="2ADC2A9A">
            <wp:extent cx="6022800" cy="3812400"/>
            <wp:effectExtent l="0" t="0" r="0" b="0"/>
            <wp:docPr id="48" name="Picture 48" descr="Figure 5 shows the proposed clinical management algorithm. It begins with patients with locally advanced (inoperable) or metastatic HR+/HER2- breast cancer following disease progression on or after AI with or without CDK 4/6 inhibitor, who are tested with AKT pathway testing. There are 3 possible outcomes with AKT pathway testing. &#10;1. If they are tested positive with PIK3CA or AKT1 or PTEN, they can receive treatment with AKT serine/theorinine kinase inhibitor such as capivasertib, in addition to fulvestrant. &#10;2. If patients are tested positive with PIK3CA and PTEN pathogenic variants are excluded, they can receive treatment with PIK3CA inhibitor. &#10;3. If patients are tested negative with AKT pathway testing, they can receive a range of standard of care.&#10;When patients relapse while on treatment , an alternative therapy from the standard of care options (blue boxes) is used for subsequent line of treatment, if not used previ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5 shows the proposed clinical management algorithm. It begins with patients with locally advanced (inoperable) or metastatic HR+/HER2- breast cancer following disease progression on or after AI with or without CDK 4/6 inhibitor, who are tested with AKT pathway testing. There are 3 possible outcomes with AKT pathway testing. &#10;1. If they are tested positive with PIK3CA or AKT1 or PTEN, they can receive treatment with AKT serine/theorinine kinase inhibitor such as capivasertib, in addition to fulvestrant. &#10;2. If patients are tested positive with PIK3CA and PTEN pathogenic variants are excluded, they can receive treatment with PIK3CA inhibitor. &#10;3. If patients are tested negative with AKT pathway testing, they can receive a range of standard of care.&#10;When patients relapse while on treatment , an alternative therapy from the standard of care options (blue boxes) is used for subsequent line of treatment, if not used previousl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2800" cy="3812400"/>
                    </a:xfrm>
                    <a:prstGeom prst="rect">
                      <a:avLst/>
                    </a:prstGeom>
                    <a:noFill/>
                  </pic:spPr>
                </pic:pic>
              </a:graphicData>
            </a:graphic>
          </wp:inline>
        </w:drawing>
      </w:r>
    </w:p>
    <w:p w14:paraId="62649325" w14:textId="21637BCE" w:rsidR="007576B7" w:rsidRPr="00BF2E6B" w:rsidRDefault="00A54B23" w:rsidP="00BD33CC">
      <w:pPr>
        <w:pStyle w:val="Caption"/>
        <w:jc w:val="both"/>
      </w:pPr>
      <w:bookmarkStart w:id="19" w:name="_Ref166158201"/>
      <w:r>
        <w:t xml:space="preserve">Figure </w:t>
      </w:r>
      <w:r>
        <w:fldChar w:fldCharType="begin"/>
      </w:r>
      <w:r>
        <w:instrText xml:space="preserve"> SEQ Figure \* ARABIC </w:instrText>
      </w:r>
      <w:r>
        <w:fldChar w:fldCharType="separate"/>
      </w:r>
      <w:r w:rsidR="00B561EB">
        <w:rPr>
          <w:noProof/>
        </w:rPr>
        <w:t>5</w:t>
      </w:r>
      <w:r>
        <w:fldChar w:fldCharType="end"/>
      </w:r>
      <w:bookmarkEnd w:id="19"/>
      <w:r w:rsidR="00037D75">
        <w:t xml:space="preserve"> </w:t>
      </w:r>
      <w:r w:rsidR="00856B48">
        <w:rPr>
          <w:noProof/>
        </w:rPr>
        <mc:AlternateContent>
          <mc:Choice Requires="wps">
            <w:drawing>
              <wp:anchor distT="0" distB="0" distL="114300" distR="114300" simplePos="0" relativeHeight="251658241" behindDoc="0" locked="0" layoutInCell="1" allowOverlap="1" wp14:anchorId="730DF130" wp14:editId="583E1575">
                <wp:simplePos x="0" y="0"/>
                <wp:positionH relativeFrom="column">
                  <wp:posOffset>2997938</wp:posOffset>
                </wp:positionH>
                <wp:positionV relativeFrom="paragraph">
                  <wp:posOffset>4043680</wp:posOffset>
                </wp:positionV>
                <wp:extent cx="0" cy="248717"/>
                <wp:effectExtent l="0" t="0" r="38100" b="37465"/>
                <wp:wrapNone/>
                <wp:docPr id="542341167" name="Straight Connector 542341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87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7B02F" id="Straight Connector 542341167"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36.05pt,318.4pt" to="236.0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" strokecolor="#5b9bd5 [3204]" strokeweight=".5pt">
                <v:stroke joinstyle="miter"/>
              </v:line>
            </w:pict>
          </mc:Fallback>
        </mc:AlternateContent>
      </w:r>
      <w:r w:rsidR="005112BE" w:rsidRPr="00E84BA8">
        <w:t xml:space="preserve">Proposed clinical management algorithm in patients with locally advanced (inoperable) or metastatic HR+/HER2- breast cancer following disease progression on/after AI +/- CDK4/6 inhibitor. </w:t>
      </w:r>
    </w:p>
    <w:p w14:paraId="3ED95BC7" w14:textId="5805F1EC" w:rsidR="005112BE" w:rsidRDefault="005112BE" w:rsidP="00BD33CC">
      <w:pPr>
        <w:pStyle w:val="Tablenotes"/>
      </w:pPr>
      <w:r>
        <w:t xml:space="preserve">Source: Developed by the </w:t>
      </w:r>
      <w:r w:rsidR="00537C2F">
        <w:t>a</w:t>
      </w:r>
      <w:r w:rsidRPr="007576B7">
        <w:t xml:space="preserve">ssessment </w:t>
      </w:r>
      <w:r w:rsidR="00537C2F">
        <w:t>g</w:t>
      </w:r>
      <w:r w:rsidRPr="007576B7">
        <w:t>roup</w:t>
      </w:r>
      <w:r>
        <w:t xml:space="preserve"> during PICO development, adapted from </w:t>
      </w:r>
      <w:bookmarkStart w:id="20" w:name="_Hlk166167376"/>
      <w:r>
        <w:t>Table 2</w:t>
      </w:r>
      <w:r w:rsidRPr="00025D13">
        <w:t>, p</w:t>
      </w:r>
      <w:r>
        <w:t>14</w:t>
      </w:r>
      <w:r w:rsidRPr="00025D13">
        <w:t xml:space="preserve"> of MSAC application 17</w:t>
      </w:r>
      <w:r>
        <w:t>66 PICO set</w:t>
      </w:r>
    </w:p>
    <w:bookmarkEnd w:id="20"/>
    <w:p w14:paraId="33A2AE2C" w14:textId="29B511DB" w:rsidR="005112BE" w:rsidRPr="0033262D" w:rsidRDefault="005112BE" w:rsidP="00BD33CC">
      <w:pPr>
        <w:pStyle w:val="Tablenotes"/>
      </w:pPr>
      <w:r w:rsidRPr="00EE78B2">
        <w:t>Abbreviations:; AI=aromatase inhibitor;</w:t>
      </w:r>
      <w:r w:rsidRPr="0033262D">
        <w:t xml:space="preserve"> AKT=serine/threonine kinase;</w:t>
      </w:r>
      <w:r>
        <w:t xml:space="preserve"> </w:t>
      </w:r>
      <w:r w:rsidRPr="00EE78B2">
        <w:t xml:space="preserve">CDK4/6 inhibitor=cyclin dependent kinase 4 and 6 inhibitor; ET=endocrine therapy; gBRCAm=germline breast cancer gene mutation; mTOR=mammalian target of rapamycin; </w:t>
      </w:r>
      <w:r>
        <w:t>HR+/</w:t>
      </w:r>
      <w:r w:rsidRPr="00EE78B2">
        <w:t>HER2=</w:t>
      </w:r>
      <w:r w:rsidRPr="00AF4B29">
        <w:t xml:space="preserve"> hormone receptor–positive</w:t>
      </w:r>
      <w:r>
        <w:t>/</w:t>
      </w:r>
      <w:r w:rsidRPr="00EE78B2">
        <w:t xml:space="preserve">human epidermal growth factor receptor 2; </w:t>
      </w:r>
      <w:bookmarkStart w:id="21" w:name="_Hlk162441056"/>
      <w:r w:rsidRPr="0033262D">
        <w:rPr>
          <w:i/>
          <w:iCs/>
        </w:rPr>
        <w:t>PIK3CA</w:t>
      </w:r>
      <w:bookmarkEnd w:id="21"/>
      <w:r w:rsidRPr="0033262D">
        <w:t xml:space="preserve">=phosphatidylinositol-4,5-bisphosphate 3-kinase catalytic subunit alpha; </w:t>
      </w:r>
      <w:r w:rsidRPr="0033262D">
        <w:rPr>
          <w:i/>
          <w:iCs/>
        </w:rPr>
        <w:t>mTOR</w:t>
      </w:r>
      <w:r w:rsidRPr="0033262D">
        <w:t xml:space="preserve">= mammalian target of </w:t>
      </w:r>
      <w:r w:rsidR="00717C54" w:rsidRPr="0033262D">
        <w:t xml:space="preserve">rapamycin; </w:t>
      </w:r>
      <w:r w:rsidR="00651D23" w:rsidRPr="00651D23">
        <w:rPr>
          <w:i/>
          <w:iCs/>
        </w:rPr>
        <w:t>PTEN</w:t>
      </w:r>
      <w:r w:rsidRPr="0033262D">
        <w:t>=phosphatase and tensin homolog;</w:t>
      </w:r>
      <w:r w:rsidR="00626250">
        <w:t xml:space="preserve"> PV = pathogenic variant</w:t>
      </w:r>
    </w:p>
    <w:p w14:paraId="03008F67" w14:textId="227AC239" w:rsidR="005112BE" w:rsidRPr="0033262D" w:rsidRDefault="005112BE" w:rsidP="00BD33CC">
      <w:pPr>
        <w:pStyle w:val="Tablenotes"/>
      </w:pPr>
      <w:r w:rsidRPr="0033262D">
        <w:t>Note: dashed lines indicate treatment in selected patients; solid lines suggest flow of management paths.</w:t>
      </w:r>
    </w:p>
    <w:p w14:paraId="2F8B56CC" w14:textId="77777777" w:rsidR="00A54B23" w:rsidRDefault="00A54B23" w:rsidP="00BD33CC">
      <w:pPr>
        <w:pStyle w:val="Tablenotes"/>
      </w:pPr>
      <w:r>
        <w:rPr>
          <w:vertAlign w:val="superscript"/>
        </w:rPr>
        <w:lastRenderedPageBreak/>
        <w:t>a</w:t>
      </w:r>
      <w:r w:rsidRPr="0033262D">
        <w:t xml:space="preserve"> </w:t>
      </w:r>
      <w:r w:rsidRPr="00651D23">
        <w:rPr>
          <w:i/>
          <w:iCs/>
        </w:rPr>
        <w:t>PIK3CA</w:t>
      </w:r>
      <w:r w:rsidRPr="0033262D">
        <w:t xml:space="preserve"> inhibitor is currently registered with TGA but not PBS-listed.</w:t>
      </w:r>
      <w:r>
        <w:t xml:space="preserve"> </w:t>
      </w:r>
    </w:p>
    <w:p w14:paraId="15014031" w14:textId="25F72761" w:rsidR="005112BE" w:rsidRPr="0033262D" w:rsidRDefault="005112BE" w:rsidP="00BD33CC">
      <w:pPr>
        <w:pStyle w:val="Tablenotes"/>
      </w:pPr>
      <w:r w:rsidRPr="0033262D">
        <w:rPr>
          <w:vertAlign w:val="superscript"/>
        </w:rPr>
        <w:t>b</w:t>
      </w:r>
      <w:r w:rsidRPr="0033262D">
        <w:t xml:space="preserve"> Other treatment options include poly (ADP-ribose) polymerase (PARP) inhibitor</w:t>
      </w:r>
      <w:r w:rsidR="002A0954">
        <w:t xml:space="preserve"> </w:t>
      </w:r>
      <w:r w:rsidR="00E431F6">
        <w:t>(not PBS listed)</w:t>
      </w:r>
      <w:r w:rsidRPr="0033262D">
        <w:t>.</w:t>
      </w:r>
    </w:p>
    <w:p w14:paraId="15E36CF8" w14:textId="0D9338F2" w:rsidR="005112BE" w:rsidRDefault="00A54B23" w:rsidP="00BD33CC">
      <w:pPr>
        <w:pStyle w:val="Tablenotes"/>
      </w:pPr>
      <w:r>
        <w:rPr>
          <w:vertAlign w:val="superscript"/>
        </w:rPr>
        <w:t>c</w:t>
      </w:r>
      <w:r w:rsidR="005112BE">
        <w:t xml:space="preserve"> </w:t>
      </w:r>
      <w:r w:rsidR="005112BE" w:rsidRPr="00B32736">
        <w:t>The</w:t>
      </w:r>
      <w:r w:rsidR="005112BE">
        <w:t xml:space="preserve"> role of AKT-serine/threonine kinase inhibitor as the subsequent line of treatment after relapse with </w:t>
      </w:r>
      <w:r w:rsidR="00651D23" w:rsidRPr="00651D23">
        <w:rPr>
          <w:i/>
          <w:iCs/>
        </w:rPr>
        <w:t>PIK3CA</w:t>
      </w:r>
      <w:r w:rsidR="005112BE">
        <w:t xml:space="preserve"> inhibitor is undefined, vice versa. The NCCN (2024) guidelines recommend both treatment options as preferred second or subsequent lines therapy, based on the presence of biomarkers. </w:t>
      </w:r>
    </w:p>
    <w:p w14:paraId="50D81047" w14:textId="4FE12818" w:rsidR="005112BE" w:rsidRDefault="005112BE" w:rsidP="00BD33CC">
      <w:pPr>
        <w:pStyle w:val="Tablenotes"/>
      </w:pPr>
      <w:r w:rsidRPr="00E84BA8">
        <w:t>*</w:t>
      </w:r>
      <w:r>
        <w:t xml:space="preserve"> Upon disease relapse, an alternative therapy from the options in blue boxes is used for subsequent line of treatment, if not used previously. The sequence of treatment options is not defined, based on NCCN (2024) guidelines and ESMO (2021) guidelines.</w:t>
      </w:r>
    </w:p>
    <w:p w14:paraId="4B84FEBC" w14:textId="77777777" w:rsidR="00400793" w:rsidRDefault="00400793" w:rsidP="00BD33CC">
      <w:pPr>
        <w:pStyle w:val="Tablenotes"/>
      </w:pPr>
    </w:p>
    <w:p w14:paraId="1E9E9782" w14:textId="002F5A72" w:rsidR="003770E9" w:rsidRDefault="003770E9" w:rsidP="00BD33CC">
      <w:pPr>
        <w:spacing w:before="120" w:after="160" w:line="259" w:lineRule="auto"/>
      </w:pPr>
      <w:r>
        <w:t>In contrast to the applicant’s revised algorithm,</w:t>
      </w:r>
      <w:r w:rsidR="007B224A">
        <w:t xml:space="preserve"> </w:t>
      </w:r>
      <w:r w:rsidR="000448F0">
        <w:fldChar w:fldCharType="begin"/>
      </w:r>
      <w:r w:rsidR="000448F0">
        <w:instrText xml:space="preserve"> REF _Ref166158201 \h </w:instrText>
      </w:r>
      <w:r w:rsidR="000448F0">
        <w:fldChar w:fldCharType="separate"/>
      </w:r>
      <w:r w:rsidR="00B561EB">
        <w:t xml:space="preserve">Figure </w:t>
      </w:r>
      <w:r w:rsidR="00B561EB">
        <w:rPr>
          <w:noProof/>
        </w:rPr>
        <w:t>5</w:t>
      </w:r>
      <w:r w:rsidR="000448F0">
        <w:fldChar w:fldCharType="end"/>
      </w:r>
      <w:r w:rsidR="000448F0">
        <w:t xml:space="preserve"> </w:t>
      </w:r>
      <w:r>
        <w:t>include</w:t>
      </w:r>
      <w:r w:rsidR="003A5675">
        <w:t>s the following</w:t>
      </w:r>
      <w:r>
        <w:t>:</w:t>
      </w:r>
    </w:p>
    <w:p w14:paraId="0797A574" w14:textId="103F87AF" w:rsidR="003770E9" w:rsidRDefault="001713D9" w:rsidP="00BD33CC">
      <w:pPr>
        <w:pStyle w:val="ListParagraph"/>
        <w:numPr>
          <w:ilvl w:val="0"/>
          <w:numId w:val="28"/>
        </w:numPr>
        <w:spacing w:before="120" w:after="160" w:line="259" w:lineRule="auto"/>
      </w:pPr>
      <w:r>
        <w:t>AKT pathway</w:t>
      </w:r>
      <w:r w:rsidR="003770E9">
        <w:t xml:space="preserve"> testing </w:t>
      </w:r>
      <w:r w:rsidR="00B90992">
        <w:t>regardless if the test population had or had not receive</w:t>
      </w:r>
      <w:r w:rsidR="00A339BB">
        <w:t>d</w:t>
      </w:r>
      <w:r w:rsidR="00B90992">
        <w:t xml:space="preserve"> germline </w:t>
      </w:r>
      <w:r w:rsidR="00B90992" w:rsidRPr="00BD33CC">
        <w:rPr>
          <w:i/>
          <w:iCs/>
        </w:rPr>
        <w:t>PTEN</w:t>
      </w:r>
      <w:r w:rsidR="00B90992">
        <w:t xml:space="preserve"> testing</w:t>
      </w:r>
      <w:r w:rsidR="003770E9">
        <w:t>.</w:t>
      </w:r>
    </w:p>
    <w:p w14:paraId="5FB306B1" w14:textId="6F6965B7" w:rsidR="003770E9" w:rsidRDefault="003A244D" w:rsidP="00BD33CC">
      <w:pPr>
        <w:pStyle w:val="ListParagraph"/>
        <w:numPr>
          <w:ilvl w:val="0"/>
          <w:numId w:val="28"/>
        </w:numPr>
        <w:spacing w:before="120" w:after="160" w:line="259" w:lineRule="auto"/>
      </w:pPr>
      <w:r>
        <w:t>C</w:t>
      </w:r>
      <w:r w:rsidR="003770E9">
        <w:t>apivasertib, an AKT serine/th</w:t>
      </w:r>
      <w:r w:rsidR="00B04907">
        <w:t>r</w:t>
      </w:r>
      <w:r w:rsidR="003770E9">
        <w:t xml:space="preserve">eonine kinase inhibitor, plus fulvestrant, as the preferred treatment option for patients who tested positive for </w:t>
      </w:r>
      <w:r w:rsidR="003770E9">
        <w:rPr>
          <w:i/>
          <w:iCs/>
        </w:rPr>
        <w:t>PIK3CA/AKT1/PTEN</w:t>
      </w:r>
    </w:p>
    <w:p w14:paraId="72148CF0" w14:textId="7AAA8A2F" w:rsidR="003770E9" w:rsidRDefault="003770E9" w:rsidP="00BD33CC">
      <w:pPr>
        <w:pStyle w:val="ListParagraph"/>
        <w:numPr>
          <w:ilvl w:val="0"/>
          <w:numId w:val="28"/>
        </w:numPr>
        <w:spacing w:before="120" w:after="160" w:line="259" w:lineRule="auto"/>
      </w:pPr>
      <w:r w:rsidRPr="5408EB69">
        <w:rPr>
          <w:i/>
          <w:iCs/>
        </w:rPr>
        <w:t>PIK3CA</w:t>
      </w:r>
      <w:r>
        <w:t xml:space="preserve"> inhibitor </w:t>
      </w:r>
      <w:r w:rsidR="003A5675">
        <w:t xml:space="preserve">(e.g., alpelisib) </w:t>
      </w:r>
      <w:r>
        <w:t xml:space="preserve">as a treatment option for patients who test positive for </w:t>
      </w:r>
      <w:r w:rsidRPr="5408EB69">
        <w:rPr>
          <w:i/>
          <w:iCs/>
        </w:rPr>
        <w:t>PIK3CA</w:t>
      </w:r>
      <w:r>
        <w:t xml:space="preserve"> </w:t>
      </w:r>
      <w:r w:rsidR="00413D10">
        <w:t>tier I</w:t>
      </w:r>
      <w:r w:rsidR="00D24CC2">
        <w:t xml:space="preserve"> </w:t>
      </w:r>
      <w:r>
        <w:t>variants</w:t>
      </w:r>
      <w:r w:rsidR="00EB4203">
        <w:t xml:space="preserve"> </w:t>
      </w:r>
      <w:r w:rsidR="004747AC">
        <w:t xml:space="preserve">and </w:t>
      </w:r>
      <w:r w:rsidR="00046B25">
        <w:t xml:space="preserve">excluding </w:t>
      </w:r>
      <w:r w:rsidR="004747AC" w:rsidRPr="0082662E">
        <w:rPr>
          <w:i/>
          <w:iCs/>
        </w:rPr>
        <w:t>PTEN</w:t>
      </w:r>
      <w:r w:rsidR="004747AC">
        <w:t xml:space="preserve"> </w:t>
      </w:r>
      <w:r w:rsidR="00413D10">
        <w:t>tier I</w:t>
      </w:r>
      <w:r w:rsidR="004747AC">
        <w:t xml:space="preserve"> variants</w:t>
      </w:r>
      <w:r>
        <w:t xml:space="preserve">. </w:t>
      </w:r>
      <w:r w:rsidR="00EC65F8">
        <w:t xml:space="preserve">Although </w:t>
      </w:r>
      <w:r w:rsidR="00EC65F8" w:rsidRPr="00E84BA8">
        <w:rPr>
          <w:i/>
        </w:rPr>
        <w:t xml:space="preserve">PIK3CA </w:t>
      </w:r>
      <w:r w:rsidR="00EC65F8">
        <w:t xml:space="preserve">inhibitors are </w:t>
      </w:r>
      <w:r w:rsidR="009C1464">
        <w:t>currently registered with the TGA</w:t>
      </w:r>
      <w:r>
        <w:t>, the</w:t>
      </w:r>
      <w:r w:rsidR="00EE7B77">
        <w:t>y</w:t>
      </w:r>
      <w:r>
        <w:t xml:space="preserve"> </w:t>
      </w:r>
      <w:r w:rsidR="009C1464">
        <w:t>are</w:t>
      </w:r>
      <w:r>
        <w:t xml:space="preserve"> </w:t>
      </w:r>
      <w:r w:rsidR="009C1464">
        <w:t xml:space="preserve">not </w:t>
      </w:r>
      <w:r>
        <w:t>currently PBS-listed</w:t>
      </w:r>
      <w:r w:rsidR="009C1464">
        <w:t>.</w:t>
      </w:r>
    </w:p>
    <w:p w14:paraId="196FCED2" w14:textId="335CB52D" w:rsidR="003770E9" w:rsidRDefault="003770E9" w:rsidP="00BD33CC">
      <w:pPr>
        <w:pStyle w:val="ListParagraph"/>
        <w:numPr>
          <w:ilvl w:val="0"/>
          <w:numId w:val="28"/>
        </w:numPr>
        <w:spacing w:before="120" w:after="160" w:line="259" w:lineRule="auto"/>
      </w:pPr>
      <w:r>
        <w:t>In the event of disease progression with the treatment using AKT serine/</w:t>
      </w:r>
      <w:r w:rsidR="007663FA">
        <w:t>threonine</w:t>
      </w:r>
      <w:r>
        <w:t xml:space="preserve"> kinase inhibitor and fulvestrant, the next treatment options can be chemotherapy, ET alone, mTOR inhibitor + exemestane, ET + CDK4/6 inhibitor or poly (ADP-ribose) polymerase (PARP) inhibitor, depending on previous lines of treatment, treatment availability and patients’ preference. </w:t>
      </w:r>
    </w:p>
    <w:p w14:paraId="22E967EC" w14:textId="7B84318B" w:rsidR="00D62002" w:rsidRDefault="00A17677" w:rsidP="00BD33CC">
      <w:pPr>
        <w:spacing w:before="120" w:after="160" w:line="259" w:lineRule="auto"/>
      </w:pPr>
      <w:r>
        <w:t>During PICO development</w:t>
      </w:r>
      <w:r w:rsidR="00751552">
        <w:t>, t</w:t>
      </w:r>
      <w:r w:rsidR="00D62002">
        <w:t>he applicant advised that CAPItello-291 trial recruited</w:t>
      </w:r>
      <w:r w:rsidR="00D62002" w:rsidRPr="00D62002">
        <w:t xml:space="preserve"> patients with endocrine resistan</w:t>
      </w:r>
      <w:r w:rsidR="00326206">
        <w:t>t</w:t>
      </w:r>
      <w:r w:rsidR="00D62002" w:rsidRPr="00D62002">
        <w:t xml:space="preserve"> disease (who had received up to </w:t>
      </w:r>
      <w:r w:rsidR="00D62002">
        <w:t>two previous lines</w:t>
      </w:r>
      <w:r w:rsidR="00D62002" w:rsidRPr="00D62002">
        <w:t xml:space="preserve"> of AI for </w:t>
      </w:r>
      <w:r w:rsidR="00504FFE">
        <w:t>M</w:t>
      </w:r>
      <w:r w:rsidR="00504FFE" w:rsidRPr="00D62002">
        <w:t>BC or</w:t>
      </w:r>
      <w:r w:rsidR="00D62002" w:rsidRPr="00D62002">
        <w:t xml:space="preserve"> progressed within 12 months of end of adj</w:t>
      </w:r>
      <w:r w:rsidR="00D62002">
        <w:t>uvant</w:t>
      </w:r>
      <w:r w:rsidR="00D62002" w:rsidRPr="00D62002">
        <w:t xml:space="preserve"> ET </w:t>
      </w:r>
      <w:r w:rsidR="00D62002">
        <w:t xml:space="preserve">treatment) </w:t>
      </w:r>
      <w:r w:rsidR="00504FFE">
        <w:t>as well as</w:t>
      </w:r>
      <w:r w:rsidR="00D62002" w:rsidRPr="00D62002">
        <w:t xml:space="preserve"> patients who had received up to 1L of </w:t>
      </w:r>
      <w:r w:rsidR="00D62002">
        <w:t>treatment</w:t>
      </w:r>
      <w:r w:rsidR="00D62002" w:rsidRPr="00D62002">
        <w:t xml:space="preserve"> for </w:t>
      </w:r>
      <w:r w:rsidR="00D62002">
        <w:t>M</w:t>
      </w:r>
      <w:r w:rsidR="00D62002" w:rsidRPr="00D62002">
        <w:t>BC</w:t>
      </w:r>
      <w:r w:rsidR="00D62002">
        <w:t xml:space="preserve">. </w:t>
      </w:r>
      <w:r w:rsidR="003577FC">
        <w:t xml:space="preserve">However, </w:t>
      </w:r>
      <w:r w:rsidR="00504FFE">
        <w:t>most of</w:t>
      </w:r>
      <w:r w:rsidR="00D62002" w:rsidRPr="00D62002">
        <w:t xml:space="preserve"> the patients (~60%) </w:t>
      </w:r>
      <w:r w:rsidR="00504FFE">
        <w:t xml:space="preserve">in the CAPItello-291 trial </w:t>
      </w:r>
      <w:r w:rsidR="00D62002" w:rsidRPr="00D62002">
        <w:t xml:space="preserve">received </w:t>
      </w:r>
      <w:r w:rsidR="007663FA" w:rsidRPr="00D62002">
        <w:t>Capivasertib</w:t>
      </w:r>
      <w:r w:rsidR="00D62002" w:rsidRPr="00D62002">
        <w:t xml:space="preserve"> in the </w:t>
      </w:r>
      <w:r w:rsidR="008779F2">
        <w:t>second line</w:t>
      </w:r>
      <w:r w:rsidR="008779F2" w:rsidRPr="00D62002">
        <w:t xml:space="preserve"> </w:t>
      </w:r>
      <w:r w:rsidR="00D62002" w:rsidRPr="00D62002">
        <w:t>setting for metastatic disease</w:t>
      </w:r>
      <w:r w:rsidR="00D62002">
        <w:t>.</w:t>
      </w:r>
      <w:r w:rsidR="00302E0C">
        <w:t xml:space="preserve"> </w:t>
      </w:r>
      <w:r w:rsidR="00302B40">
        <w:t>Therefore,</w:t>
      </w:r>
      <w:r w:rsidR="0018588C">
        <w:t xml:space="preserve"> the </w:t>
      </w:r>
      <w:r w:rsidR="0018588C" w:rsidRPr="00BC3B59">
        <w:t>place of capivasertib</w:t>
      </w:r>
      <w:r w:rsidR="0018588C">
        <w:t xml:space="preserve"> (</w:t>
      </w:r>
      <w:r w:rsidR="008779F2">
        <w:t>first-, second- or third-line</w:t>
      </w:r>
      <w:r w:rsidR="0018588C">
        <w:t>)</w:t>
      </w:r>
      <w:r w:rsidR="0018588C" w:rsidRPr="00BC3B59">
        <w:t xml:space="preserve"> in practice is unclear</w:t>
      </w:r>
      <w:r w:rsidR="0018588C">
        <w:t>.</w:t>
      </w:r>
    </w:p>
    <w:p w14:paraId="6DD4D09F" w14:textId="10D2EC1E" w:rsidR="0035287E" w:rsidRPr="00727DBC" w:rsidRDefault="00B95B02" w:rsidP="00BD33CC">
      <w:pPr>
        <w:spacing w:before="120" w:after="160" w:line="259" w:lineRule="auto"/>
        <w:rPr>
          <w:rFonts w:cs="Calibri"/>
        </w:rPr>
      </w:pPr>
      <w:r w:rsidRPr="00797C22">
        <w:t xml:space="preserve">The </w:t>
      </w:r>
      <w:r w:rsidR="00504FFE" w:rsidRPr="00727DBC">
        <w:rPr>
          <w:rFonts w:cs="Calibri"/>
        </w:rPr>
        <w:t xml:space="preserve">timing </w:t>
      </w:r>
      <w:r w:rsidRPr="00727DBC">
        <w:rPr>
          <w:rFonts w:cs="Calibri"/>
        </w:rPr>
        <w:t xml:space="preserve">of </w:t>
      </w:r>
      <w:r w:rsidR="001713D9">
        <w:rPr>
          <w:rFonts w:cs="Calibri"/>
        </w:rPr>
        <w:t>AKT pathway</w:t>
      </w:r>
      <w:r w:rsidRPr="00727DBC">
        <w:rPr>
          <w:rFonts w:cs="Calibri"/>
        </w:rPr>
        <w:t xml:space="preserve"> alteration testing is not specified in the revised treatment algorithm. </w:t>
      </w:r>
      <w:r w:rsidR="00E2089B" w:rsidRPr="00727DBC">
        <w:rPr>
          <w:rFonts w:cs="Calibri"/>
        </w:rPr>
        <w:t>Based on a communication received from the applicant during the PICO development process, the applicant noted that they are of the</w:t>
      </w:r>
      <w:r w:rsidRPr="00727DBC">
        <w:rPr>
          <w:rFonts w:cs="Calibri"/>
        </w:rPr>
        <w:t xml:space="preserve"> underst</w:t>
      </w:r>
      <w:r w:rsidR="00E2089B" w:rsidRPr="00727DBC">
        <w:rPr>
          <w:rFonts w:cs="Calibri"/>
        </w:rPr>
        <w:t>anding</w:t>
      </w:r>
      <w:r w:rsidRPr="00727DBC">
        <w:rPr>
          <w:rFonts w:cs="Calibri"/>
        </w:rPr>
        <w:t xml:space="preserve"> that clinicians’ preference is to request </w:t>
      </w:r>
      <w:r w:rsidR="001713D9">
        <w:rPr>
          <w:rFonts w:cs="Calibri"/>
        </w:rPr>
        <w:t>AKT pathway</w:t>
      </w:r>
      <w:r w:rsidRPr="00727DBC">
        <w:rPr>
          <w:rFonts w:cs="Calibri"/>
        </w:rPr>
        <w:t xml:space="preserve"> alteration testing at time of metastatic disease diagnosis or after resistance to 1L therapy. Clinicians are likely</w:t>
      </w:r>
      <w:r w:rsidR="00372157" w:rsidRPr="00727DBC">
        <w:rPr>
          <w:rFonts w:cs="Calibri"/>
        </w:rPr>
        <w:t xml:space="preserve"> to</w:t>
      </w:r>
      <w:r w:rsidRPr="00727DBC">
        <w:rPr>
          <w:rFonts w:cs="Calibri"/>
        </w:rPr>
        <w:t xml:space="preserve"> initiate CDK4/6</w:t>
      </w:r>
      <w:r w:rsidR="00751552" w:rsidRPr="00727DBC">
        <w:rPr>
          <w:rFonts w:cs="Calibri"/>
        </w:rPr>
        <w:t xml:space="preserve"> </w:t>
      </w:r>
      <w:r w:rsidRPr="00727DBC">
        <w:rPr>
          <w:rFonts w:cs="Calibri"/>
        </w:rPr>
        <w:t>i</w:t>
      </w:r>
      <w:r w:rsidR="00751552" w:rsidRPr="00727DBC">
        <w:rPr>
          <w:rFonts w:cs="Calibri"/>
        </w:rPr>
        <w:t>nhibitor</w:t>
      </w:r>
      <w:r w:rsidRPr="00727DBC">
        <w:rPr>
          <w:rFonts w:cs="Calibri"/>
        </w:rPr>
        <w:t xml:space="preserve"> as 1L therapy due to reimbursed access </w:t>
      </w:r>
      <w:r w:rsidR="00504FFE" w:rsidRPr="00727DBC">
        <w:rPr>
          <w:rFonts w:cs="Calibri"/>
        </w:rPr>
        <w:t xml:space="preserve">(through the PBS) </w:t>
      </w:r>
      <w:r w:rsidRPr="00727DBC">
        <w:rPr>
          <w:rFonts w:cs="Calibri"/>
        </w:rPr>
        <w:t xml:space="preserve">of this treatment and request an </w:t>
      </w:r>
      <w:r w:rsidR="001713D9">
        <w:rPr>
          <w:rFonts w:cs="Calibri"/>
        </w:rPr>
        <w:t>AKT pathway</w:t>
      </w:r>
      <w:r w:rsidRPr="00727DBC">
        <w:rPr>
          <w:rFonts w:cs="Calibri"/>
        </w:rPr>
        <w:t xml:space="preserve"> altered tumour test to identify a targeted </w:t>
      </w:r>
      <w:r w:rsidR="008779F2">
        <w:rPr>
          <w:rFonts w:cs="Calibri"/>
        </w:rPr>
        <w:t>second line</w:t>
      </w:r>
      <w:r w:rsidR="002157B8" w:rsidRPr="00727DBC">
        <w:rPr>
          <w:rFonts w:cs="Calibri"/>
        </w:rPr>
        <w:t xml:space="preserve"> </w:t>
      </w:r>
      <w:r w:rsidRPr="00727DBC">
        <w:rPr>
          <w:rFonts w:cs="Calibri"/>
        </w:rPr>
        <w:t>treatment, in which the test result would be received 6-8 weeks later.</w:t>
      </w:r>
      <w:r w:rsidR="00225B72" w:rsidRPr="00727DBC">
        <w:rPr>
          <w:rFonts w:cs="Calibri"/>
        </w:rPr>
        <w:t xml:space="preserve"> Depending on the result of the NGS test</w:t>
      </w:r>
      <w:r w:rsidR="00EC48D5" w:rsidRPr="00727DBC">
        <w:rPr>
          <w:rFonts w:cs="Calibri"/>
        </w:rPr>
        <w:t>,</w:t>
      </w:r>
      <w:r w:rsidR="00225B72" w:rsidRPr="00727DBC">
        <w:rPr>
          <w:rFonts w:cs="Calibri"/>
        </w:rPr>
        <w:t xml:space="preserve"> a clinician may consider initiating capivasertib as </w:t>
      </w:r>
      <w:r w:rsidR="008779F2">
        <w:rPr>
          <w:rFonts w:cs="Calibri"/>
        </w:rPr>
        <w:t>second line</w:t>
      </w:r>
      <w:r w:rsidR="00225B72" w:rsidRPr="00727DBC">
        <w:rPr>
          <w:rFonts w:cs="Calibri"/>
        </w:rPr>
        <w:t xml:space="preserve"> </w:t>
      </w:r>
      <w:r w:rsidR="00A74221" w:rsidRPr="00A74221">
        <w:rPr>
          <w:rFonts w:cs="Calibri"/>
        </w:rPr>
        <w:t xml:space="preserve">advanced breast cancer </w:t>
      </w:r>
      <w:r w:rsidR="00225B72" w:rsidRPr="00727DBC">
        <w:rPr>
          <w:rFonts w:cs="Calibri"/>
        </w:rPr>
        <w:t>treatment (either after progression on a CDK4/6</w:t>
      </w:r>
      <w:r w:rsidR="00751552" w:rsidRPr="00727DBC">
        <w:rPr>
          <w:rFonts w:cs="Calibri"/>
        </w:rPr>
        <w:t xml:space="preserve"> </w:t>
      </w:r>
      <w:r w:rsidR="00225B72" w:rsidRPr="00727DBC">
        <w:rPr>
          <w:rFonts w:cs="Calibri"/>
        </w:rPr>
        <w:t>i</w:t>
      </w:r>
      <w:r w:rsidR="00751552" w:rsidRPr="00727DBC">
        <w:rPr>
          <w:rFonts w:cs="Calibri"/>
        </w:rPr>
        <w:t>nhibitor</w:t>
      </w:r>
      <w:r w:rsidR="00225B72" w:rsidRPr="00727DBC">
        <w:rPr>
          <w:rFonts w:cs="Calibri"/>
        </w:rPr>
        <w:t xml:space="preserve"> or immediately)</w:t>
      </w:r>
      <w:r w:rsidR="00337AAD" w:rsidRPr="00727DBC">
        <w:rPr>
          <w:rFonts w:cs="Calibri"/>
        </w:rPr>
        <w:t>.</w:t>
      </w:r>
    </w:p>
    <w:p w14:paraId="1E6681D8" w14:textId="28A7C45B" w:rsidR="00B847EE" w:rsidRDefault="00B847EE" w:rsidP="00BD33CC">
      <w:pPr>
        <w:keepNext/>
        <w:spacing w:before="120" w:after="160" w:line="259" w:lineRule="auto"/>
      </w:pPr>
      <w:bookmarkStart w:id="22" w:name="_Hlk162447825"/>
      <w:bookmarkStart w:id="23" w:name="_Hlk162447794"/>
      <w:r w:rsidRPr="00126651">
        <w:t xml:space="preserve">The eviQ </w:t>
      </w:r>
      <w:r>
        <w:t>guidelines recommend</w:t>
      </w:r>
      <w:r w:rsidRPr="00126651">
        <w:t xml:space="preserve"> </w:t>
      </w:r>
      <w:r w:rsidR="006C67FA">
        <w:t xml:space="preserve">germline </w:t>
      </w:r>
      <w:r w:rsidRPr="00E84BA8">
        <w:rPr>
          <w:i/>
        </w:rPr>
        <w:t>PTEN</w:t>
      </w:r>
      <w:r w:rsidRPr="00126651">
        <w:t xml:space="preserve"> genetic testing </w:t>
      </w:r>
      <w:r w:rsidR="00B872D7">
        <w:t>where clinically relevant</w:t>
      </w:r>
      <w:r w:rsidRPr="00126651">
        <w:t xml:space="preserve"> in individuals where a </w:t>
      </w:r>
      <w:r w:rsidR="00675746">
        <w:t xml:space="preserve">tier </w:t>
      </w:r>
      <w:r w:rsidR="006114DD">
        <w:t>I</w:t>
      </w:r>
      <w:r w:rsidRPr="00126651">
        <w:t xml:space="preserve"> variant has been identified</w:t>
      </w:r>
      <w:r w:rsidRPr="00126651" w:rsidDel="00CF168E">
        <w:t xml:space="preserve"> </w:t>
      </w:r>
      <w:r>
        <w:t>using</w:t>
      </w:r>
      <w:r w:rsidRPr="00126651">
        <w:t xml:space="preserve"> somatic tumour testing</w:t>
      </w:r>
      <w:r w:rsidR="006114DD">
        <w:t xml:space="preserve">, and </w:t>
      </w:r>
      <w:r w:rsidR="00273192">
        <w:t>a germlin</w:t>
      </w:r>
      <w:r w:rsidR="002A6361">
        <w:t xml:space="preserve">e </w:t>
      </w:r>
      <w:r w:rsidR="00EA2E86">
        <w:t xml:space="preserve">variant is </w:t>
      </w:r>
      <w:r w:rsidR="00E57F8A">
        <w:t>sus</w:t>
      </w:r>
      <w:r w:rsidR="006F2A2A">
        <w:t>pected</w:t>
      </w:r>
      <w:r>
        <w:t xml:space="preserve">. To be cost-effective, however, the germline </w:t>
      </w:r>
      <w:r w:rsidRPr="00E84BA8">
        <w:rPr>
          <w:i/>
        </w:rPr>
        <w:t>PTEN</w:t>
      </w:r>
      <w:r>
        <w:t xml:space="preserve"> testing needs to be variant </w:t>
      </w:r>
      <w:r w:rsidDel="00CF168E">
        <w:t>specific</w:t>
      </w:r>
      <w:r>
        <w:t xml:space="preserve">. Variant -specific testing is </w:t>
      </w:r>
      <w:r w:rsidR="00717C54">
        <w:t>currently available</w:t>
      </w:r>
      <w:r>
        <w:t xml:space="preserve"> through MBS item 73297, but that</w:t>
      </w:r>
      <w:r w:rsidDel="00CF168E">
        <w:t xml:space="preserve"> </w:t>
      </w:r>
      <w:r w:rsidR="00717C54">
        <w:t>item is</w:t>
      </w:r>
      <w:r>
        <w:t xml:space="preserve"> for patients who have</w:t>
      </w:r>
      <w:r w:rsidRPr="008D3685">
        <w:t xml:space="preserve"> biological relative</w:t>
      </w:r>
      <w:r>
        <w:t>s</w:t>
      </w:r>
      <w:r w:rsidRPr="008D3685">
        <w:t xml:space="preserve"> who ha</w:t>
      </w:r>
      <w:r>
        <w:t>ve</w:t>
      </w:r>
      <w:r w:rsidRPr="008D3685">
        <w:t xml:space="preserve"> had a pathogenic or likely pathogenic gene variant identified in one or more of the genes</w:t>
      </w:r>
      <w:r>
        <w:t xml:space="preserve"> </w:t>
      </w:r>
      <w:r w:rsidR="00A50771">
        <w:t>included in the</w:t>
      </w:r>
      <w:r w:rsidR="00180B57">
        <w:t xml:space="preserve"> MBS item </w:t>
      </w:r>
      <w:r>
        <w:t>(</w:t>
      </w:r>
      <w:r w:rsidRPr="00E84BA8">
        <w:rPr>
          <w:i/>
        </w:rPr>
        <w:t>PTEN</w:t>
      </w:r>
      <w:r>
        <w:t xml:space="preserve"> </w:t>
      </w:r>
      <w:r w:rsidR="00180B57">
        <w:t xml:space="preserve">being </w:t>
      </w:r>
      <w:r>
        <w:t>one of th</w:t>
      </w:r>
      <w:r w:rsidR="00180B57">
        <w:t>es</w:t>
      </w:r>
      <w:r>
        <w:t xml:space="preserve">e genes). Therefore, PASC’s advice </w:t>
      </w:r>
      <w:r w:rsidR="007661D5">
        <w:t>wa</w:t>
      </w:r>
      <w:r>
        <w:t xml:space="preserve">s </w:t>
      </w:r>
      <w:r>
        <w:lastRenderedPageBreak/>
        <w:t xml:space="preserve">sought on whether germline testing through item 73297 needs to be amended to allow for </w:t>
      </w:r>
      <w:r w:rsidR="0058507B">
        <w:t xml:space="preserve">the </w:t>
      </w:r>
      <w:r>
        <w:t xml:space="preserve">testing </w:t>
      </w:r>
      <w:r w:rsidR="0058507B">
        <w:t>of</w:t>
      </w:r>
      <w:r>
        <w:t xml:space="preserve"> patients with somatic </w:t>
      </w:r>
      <w:r w:rsidR="00173BDA">
        <w:t>t</w:t>
      </w:r>
      <w:r w:rsidR="00C9123A">
        <w:t xml:space="preserve">ier </w:t>
      </w:r>
      <w:r w:rsidR="00173BDA">
        <w:t>I</w:t>
      </w:r>
      <w:r w:rsidR="00C9123A">
        <w:t xml:space="preserve"> </w:t>
      </w:r>
      <w:r>
        <w:t>variants</w:t>
      </w:r>
      <w:r w:rsidR="008C6F9B">
        <w:t xml:space="preserve"> or </w:t>
      </w:r>
      <w:r w:rsidR="000553D5">
        <w:t xml:space="preserve">a </w:t>
      </w:r>
      <w:r w:rsidR="000553D5">
        <w:rPr>
          <w:rFonts w:cs="Calibri"/>
        </w:rPr>
        <w:t xml:space="preserve">new item created to allow germline </w:t>
      </w:r>
      <w:r w:rsidR="00651D23" w:rsidRPr="00651D23">
        <w:rPr>
          <w:rFonts w:cs="Calibri"/>
          <w:i/>
          <w:iCs/>
        </w:rPr>
        <w:t>PTEN</w:t>
      </w:r>
      <w:r w:rsidR="000553D5">
        <w:rPr>
          <w:rFonts w:cs="Calibri"/>
        </w:rPr>
        <w:t xml:space="preserve"> testing of </w:t>
      </w:r>
      <w:r w:rsidR="005E4471">
        <w:rPr>
          <w:rFonts w:cs="Calibri"/>
        </w:rPr>
        <w:t>these patients</w:t>
      </w:r>
      <w:r w:rsidDel="008C6F9B">
        <w:t>.</w:t>
      </w:r>
    </w:p>
    <w:p w14:paraId="5D8FF037" w14:textId="0249CBC5" w:rsidR="00B847EE" w:rsidRDefault="00B847EE" w:rsidP="00BD33CC">
      <w:pPr>
        <w:keepNext/>
        <w:spacing w:before="120" w:after="160" w:line="259" w:lineRule="auto"/>
      </w:pPr>
      <w:r>
        <w:t xml:space="preserve">PASC’s advice </w:t>
      </w:r>
      <w:r w:rsidR="007661D5">
        <w:t>wa</w:t>
      </w:r>
      <w:r>
        <w:t xml:space="preserve">s </w:t>
      </w:r>
      <w:r w:rsidR="005E4471">
        <w:t>also</w:t>
      </w:r>
      <w:r>
        <w:t xml:space="preserve"> sought on whether </w:t>
      </w:r>
      <w:r w:rsidR="001713D9">
        <w:t>AKT pathway</w:t>
      </w:r>
      <w:r>
        <w:t xml:space="preserve"> testing is required for patients who have germline </w:t>
      </w:r>
      <w:r w:rsidRPr="00E84BA8">
        <w:rPr>
          <w:i/>
        </w:rPr>
        <w:t>PTEN</w:t>
      </w:r>
      <w:r>
        <w:t xml:space="preserve"> pathogenic variants, as tested with MBS item 73296. </w:t>
      </w:r>
      <w:r w:rsidR="00627EAD">
        <w:t>I</w:t>
      </w:r>
      <w:r>
        <w:t xml:space="preserve">t is not clear if the presence of germline </w:t>
      </w:r>
      <w:r w:rsidRPr="00E84BA8">
        <w:rPr>
          <w:i/>
        </w:rPr>
        <w:t>PTEN</w:t>
      </w:r>
      <w:r>
        <w:t xml:space="preserve"> pathogenic variants is reflective of the </w:t>
      </w:r>
      <w:r w:rsidR="006A7320">
        <w:t xml:space="preserve">somatic </w:t>
      </w:r>
      <w:r w:rsidRPr="00E84BA8">
        <w:rPr>
          <w:i/>
        </w:rPr>
        <w:t>PTEN</w:t>
      </w:r>
      <w:r>
        <w:t xml:space="preserve"> </w:t>
      </w:r>
      <w:r w:rsidR="00405705">
        <w:t xml:space="preserve">tier 1 </w:t>
      </w:r>
      <w:r>
        <w:t xml:space="preserve">variants burden in breast tumour tissue. </w:t>
      </w:r>
    </w:p>
    <w:p w14:paraId="33C6527A" w14:textId="7C1773BC" w:rsidR="003171A2" w:rsidRDefault="00B847EE" w:rsidP="00BD33CC">
      <w:pPr>
        <w:keepNext/>
        <w:spacing w:before="120" w:after="160" w:line="259" w:lineRule="auto"/>
      </w:pPr>
      <w:r>
        <w:t xml:space="preserve">There is no available evidence to inform the sequence of targeted treatments </w:t>
      </w:r>
      <w:r w:rsidR="000109FC">
        <w:t xml:space="preserve">for patients </w:t>
      </w:r>
      <w:r w:rsidR="00C31152">
        <w:t xml:space="preserve">who test positive </w:t>
      </w:r>
      <w:r w:rsidR="0052736C">
        <w:t xml:space="preserve">to </w:t>
      </w:r>
      <w:r w:rsidR="001713D9">
        <w:t>AKT pathway</w:t>
      </w:r>
      <w:r w:rsidR="0052736C">
        <w:t xml:space="preserve"> </w:t>
      </w:r>
      <w:r w:rsidR="0027022D">
        <w:t xml:space="preserve">alteration </w:t>
      </w:r>
      <w:r w:rsidR="0052736C">
        <w:t>testing</w:t>
      </w:r>
      <w:r w:rsidR="00CD7A55">
        <w:t xml:space="preserve">. For example, patients who test positive </w:t>
      </w:r>
      <w:r w:rsidR="00461D93">
        <w:t>for</w:t>
      </w:r>
      <w:r w:rsidR="00CD7A55">
        <w:t xml:space="preserve"> </w:t>
      </w:r>
      <w:r w:rsidR="0096314A">
        <w:t xml:space="preserve">only </w:t>
      </w:r>
      <w:r w:rsidR="00431CDD">
        <w:t>the</w:t>
      </w:r>
      <w:r w:rsidR="00CD7A55">
        <w:t xml:space="preserve"> </w:t>
      </w:r>
      <w:r w:rsidR="00CD7A55" w:rsidRPr="00E84BA8">
        <w:rPr>
          <w:i/>
        </w:rPr>
        <w:t>PIK3CA</w:t>
      </w:r>
      <w:r w:rsidR="00CD7A55">
        <w:t xml:space="preserve"> </w:t>
      </w:r>
      <w:r w:rsidR="0027022D">
        <w:t xml:space="preserve">tier 1 </w:t>
      </w:r>
      <w:r w:rsidR="00461D93">
        <w:t>variant</w:t>
      </w:r>
      <w:r w:rsidR="0027022D">
        <w:t>s</w:t>
      </w:r>
      <w:r w:rsidR="00461D93">
        <w:t xml:space="preserve"> are eligible for both</w:t>
      </w:r>
      <w:r w:rsidR="00CD7A55">
        <w:t xml:space="preserve"> </w:t>
      </w:r>
      <w:r w:rsidRPr="00E84BA8">
        <w:rPr>
          <w:i/>
        </w:rPr>
        <w:t>PIK3CA</w:t>
      </w:r>
      <w:r>
        <w:t xml:space="preserve"> inhibitors and </w:t>
      </w:r>
      <w:r w:rsidR="007663FA">
        <w:t>capivasertib. The</w:t>
      </w:r>
      <w:r w:rsidR="000F2FCA">
        <w:t xml:space="preserve"> exact</w:t>
      </w:r>
      <w:r w:rsidR="006372BF">
        <w:t xml:space="preserve"> treatment sequence</w:t>
      </w:r>
      <w:r w:rsidR="000F2FCA">
        <w:t xml:space="preserve"> for these patients </w:t>
      </w:r>
      <w:r w:rsidR="00612608">
        <w:t xml:space="preserve">and for those who relapse </w:t>
      </w:r>
      <w:r w:rsidR="007E5FF1">
        <w:t>following AKT serine/threonine kinase inhibitors</w:t>
      </w:r>
      <w:r w:rsidR="006372BF">
        <w:t xml:space="preserve"> is not yet established</w:t>
      </w:r>
      <w:r w:rsidR="00861D31">
        <w:t xml:space="preserve"> in guidelines or the literature.</w:t>
      </w:r>
      <w:r>
        <w:t xml:space="preserve"> This </w:t>
      </w:r>
      <w:r w:rsidR="005112BE">
        <w:t>is a matter for PBAC consideration</w:t>
      </w:r>
      <w:r>
        <w:t>.</w:t>
      </w:r>
      <w:bookmarkEnd w:id="22"/>
      <w:bookmarkEnd w:id="23"/>
    </w:p>
    <w:p w14:paraId="69679B98" w14:textId="6A276058" w:rsidR="00552B1E" w:rsidRPr="00BD33CC" w:rsidRDefault="00552B1E" w:rsidP="00BD33CC">
      <w:pPr>
        <w:keepNext/>
        <w:spacing w:before="120" w:after="160" w:line="259" w:lineRule="auto"/>
        <w:rPr>
          <w:bCs/>
        </w:rPr>
      </w:pPr>
      <w:r w:rsidRPr="00BD33CC">
        <w:rPr>
          <w:bCs/>
        </w:rPr>
        <w:t>PASC</w:t>
      </w:r>
      <w:r w:rsidR="00125E53" w:rsidRPr="00BD33CC">
        <w:rPr>
          <w:bCs/>
        </w:rPr>
        <w:t>’s advi</w:t>
      </w:r>
      <w:r w:rsidR="00420A4E">
        <w:rPr>
          <w:bCs/>
        </w:rPr>
        <w:t>c</w:t>
      </w:r>
      <w:r w:rsidR="00125E53" w:rsidRPr="00BD33CC">
        <w:rPr>
          <w:bCs/>
        </w:rPr>
        <w:t>e was sought on the following questions</w:t>
      </w:r>
      <w:r w:rsidR="005D1C6B" w:rsidRPr="00BD33CC">
        <w:rPr>
          <w:bCs/>
        </w:rPr>
        <w:t>:</w:t>
      </w:r>
    </w:p>
    <w:p w14:paraId="137AAA38" w14:textId="7A1638AA" w:rsidR="000C1ED7" w:rsidRPr="00BD33CC" w:rsidRDefault="008114E4" w:rsidP="00D374F6">
      <w:pPr>
        <w:pStyle w:val="ListParagraph"/>
        <w:keepNext/>
        <w:numPr>
          <w:ilvl w:val="0"/>
          <w:numId w:val="31"/>
        </w:numPr>
        <w:spacing w:before="120" w:after="160" w:line="259" w:lineRule="auto"/>
        <w:rPr>
          <w:rFonts w:cs="Calibri"/>
        </w:rPr>
      </w:pPr>
      <w:r>
        <w:rPr>
          <w:rFonts w:cs="Calibri"/>
        </w:rPr>
        <w:t xml:space="preserve">Do patients who are positive </w:t>
      </w:r>
      <w:r w:rsidR="00B505A9">
        <w:rPr>
          <w:rFonts w:cs="Calibri"/>
        </w:rPr>
        <w:t>for</w:t>
      </w:r>
      <w:r>
        <w:rPr>
          <w:rFonts w:cs="Calibri"/>
        </w:rPr>
        <w:t xml:space="preserve"> somatic </w:t>
      </w:r>
      <w:r w:rsidRPr="00E84BA8">
        <w:rPr>
          <w:rFonts w:cs="Calibri"/>
          <w:i/>
        </w:rPr>
        <w:t>PTEN</w:t>
      </w:r>
      <w:r>
        <w:rPr>
          <w:rFonts w:cs="Calibri"/>
        </w:rPr>
        <w:t xml:space="preserve"> </w:t>
      </w:r>
      <w:r w:rsidR="0027022D">
        <w:rPr>
          <w:rFonts w:cs="Calibri"/>
        </w:rPr>
        <w:t>tier I</w:t>
      </w:r>
      <w:r>
        <w:rPr>
          <w:rFonts w:cs="Calibri"/>
        </w:rPr>
        <w:t xml:space="preserve"> variants</w:t>
      </w:r>
      <w:r w:rsidR="00D8255F">
        <w:rPr>
          <w:rFonts w:cs="Calibri"/>
        </w:rPr>
        <w:t xml:space="preserve"> require germline </w:t>
      </w:r>
      <w:r w:rsidR="00D84E7C" w:rsidRPr="00E84BA8">
        <w:rPr>
          <w:rFonts w:cs="Calibri"/>
          <w:i/>
        </w:rPr>
        <w:t>PTEN</w:t>
      </w:r>
      <w:r w:rsidR="00D84E7C">
        <w:rPr>
          <w:rFonts w:cs="Calibri"/>
        </w:rPr>
        <w:t xml:space="preserve"> </w:t>
      </w:r>
      <w:r w:rsidR="00D8255F">
        <w:rPr>
          <w:rFonts w:cs="Calibri"/>
        </w:rPr>
        <w:t>testing</w:t>
      </w:r>
      <w:r w:rsidR="00CE3D26">
        <w:rPr>
          <w:rFonts w:cs="Calibri"/>
        </w:rPr>
        <w:t xml:space="preserve"> to </w:t>
      </w:r>
      <w:r w:rsidR="00F30F85">
        <w:rPr>
          <w:rFonts w:cs="Calibri"/>
        </w:rPr>
        <w:t>investigate whether they have a heritable condition</w:t>
      </w:r>
      <w:r w:rsidR="00D8255F">
        <w:rPr>
          <w:rFonts w:cs="Calibri"/>
        </w:rPr>
        <w:t>?</w:t>
      </w:r>
      <w:r w:rsidR="00983C9D">
        <w:rPr>
          <w:rFonts w:cs="Calibri"/>
        </w:rPr>
        <w:t xml:space="preserve"> </w:t>
      </w:r>
      <w:r w:rsidR="00C50655">
        <w:rPr>
          <w:rFonts w:cs="Calibri"/>
        </w:rPr>
        <w:br/>
      </w:r>
      <w:r w:rsidR="00D84E7C" w:rsidRPr="00861641">
        <w:rPr>
          <w:rFonts w:cs="Calibri"/>
        </w:rPr>
        <w:t xml:space="preserve">If so, </w:t>
      </w:r>
      <w:r w:rsidR="00794B27" w:rsidRPr="00861641">
        <w:rPr>
          <w:rFonts w:cs="Calibri"/>
        </w:rPr>
        <w:t xml:space="preserve">the </w:t>
      </w:r>
      <w:r w:rsidR="00794B27">
        <w:rPr>
          <w:rFonts w:cs="Calibri"/>
        </w:rPr>
        <w:t>Assessment</w:t>
      </w:r>
      <w:r w:rsidR="00611610">
        <w:rPr>
          <w:rFonts w:cs="Calibri"/>
        </w:rPr>
        <w:t xml:space="preserve"> Group suggested that the </w:t>
      </w:r>
      <w:r w:rsidR="00D84E7C" w:rsidRPr="00861641">
        <w:rPr>
          <w:rFonts w:cs="Calibri"/>
        </w:rPr>
        <w:t xml:space="preserve">most appropriate </w:t>
      </w:r>
      <w:r w:rsidR="00AD0517" w:rsidRPr="00861641">
        <w:rPr>
          <w:rFonts w:cs="Calibri"/>
        </w:rPr>
        <w:t xml:space="preserve">MBS </w:t>
      </w:r>
      <w:r w:rsidR="00D84E7C" w:rsidRPr="00861641">
        <w:rPr>
          <w:rFonts w:cs="Calibri"/>
        </w:rPr>
        <w:t xml:space="preserve">item number </w:t>
      </w:r>
      <w:r w:rsidR="00AD0517" w:rsidRPr="00861641">
        <w:rPr>
          <w:rFonts w:cs="Calibri"/>
        </w:rPr>
        <w:t>is 73297</w:t>
      </w:r>
      <w:r w:rsidR="00561CCF">
        <w:rPr>
          <w:rFonts w:cs="Calibri"/>
        </w:rPr>
        <w:t xml:space="preserve"> though noting that this would require amendment as it</w:t>
      </w:r>
      <w:r w:rsidR="001E6E39" w:rsidRPr="00861641">
        <w:rPr>
          <w:rFonts w:cs="Calibri"/>
        </w:rPr>
        <w:t xml:space="preserve"> is currently only available to </w:t>
      </w:r>
      <w:r w:rsidR="00CD7A4F" w:rsidRPr="00861641">
        <w:rPr>
          <w:rFonts w:cs="Calibri"/>
        </w:rPr>
        <w:t xml:space="preserve">a patient who has a </w:t>
      </w:r>
      <w:r w:rsidR="00477166" w:rsidRPr="00861641">
        <w:rPr>
          <w:rFonts w:cs="Calibri"/>
        </w:rPr>
        <w:t>biological relative</w:t>
      </w:r>
      <w:r w:rsidR="00C56518" w:rsidRPr="00861641">
        <w:rPr>
          <w:rFonts w:cs="Calibri"/>
        </w:rPr>
        <w:t xml:space="preserve"> w</w:t>
      </w:r>
      <w:r w:rsidR="009A69F5" w:rsidRPr="00861641">
        <w:rPr>
          <w:rFonts w:cs="Calibri"/>
        </w:rPr>
        <w:t xml:space="preserve">ho has </w:t>
      </w:r>
      <w:r w:rsidR="009A69F5" w:rsidRPr="008D3685">
        <w:t>had</w:t>
      </w:r>
      <w:r w:rsidR="00C56518" w:rsidRPr="008D3685">
        <w:t xml:space="preserve"> a </w:t>
      </w:r>
      <w:r w:rsidR="009A69F5" w:rsidRPr="008D3685">
        <w:t>pathogenic or likely pathogenic gene variant identified in one or more of the genes</w:t>
      </w:r>
      <w:r w:rsidR="009A69F5">
        <w:t xml:space="preserve"> included in the MBS item (</w:t>
      </w:r>
      <w:r w:rsidR="009A69F5" w:rsidRPr="00861641">
        <w:rPr>
          <w:i/>
          <w:iCs/>
        </w:rPr>
        <w:t>PTEN</w:t>
      </w:r>
      <w:r w:rsidR="009A69F5">
        <w:t xml:space="preserve"> being one of these genes</w:t>
      </w:r>
      <w:r w:rsidR="00467666">
        <w:t>)</w:t>
      </w:r>
      <w:r w:rsidR="00A028B7">
        <w:rPr>
          <w:rFonts w:cs="Calibri"/>
        </w:rPr>
        <w:t>.</w:t>
      </w:r>
      <w:r w:rsidR="00A028B7" w:rsidRPr="00861641">
        <w:rPr>
          <w:rFonts w:cs="Calibri"/>
        </w:rPr>
        <w:t xml:space="preserve"> Therefore</w:t>
      </w:r>
      <w:r w:rsidR="00B26DA9" w:rsidRPr="00861641">
        <w:rPr>
          <w:rFonts w:cs="Calibri"/>
        </w:rPr>
        <w:t xml:space="preserve">, should this item be </w:t>
      </w:r>
      <w:r w:rsidR="00717C54" w:rsidRPr="00861641">
        <w:rPr>
          <w:rFonts w:cs="Calibri"/>
        </w:rPr>
        <w:t>amended,</w:t>
      </w:r>
      <w:r w:rsidR="00B26DA9" w:rsidRPr="00861641">
        <w:rPr>
          <w:rFonts w:cs="Calibri"/>
        </w:rPr>
        <w:t xml:space="preserve"> or a new item created to allow </w:t>
      </w:r>
      <w:r w:rsidR="00F80B6E" w:rsidRPr="00861641">
        <w:rPr>
          <w:rFonts w:cs="Calibri"/>
        </w:rPr>
        <w:t xml:space="preserve">germline </w:t>
      </w:r>
      <w:r w:rsidR="00F80B6E" w:rsidRPr="00E84BA8">
        <w:rPr>
          <w:rFonts w:cs="Calibri"/>
          <w:i/>
        </w:rPr>
        <w:t>PTEN</w:t>
      </w:r>
      <w:r w:rsidR="00F80B6E" w:rsidRPr="00861641">
        <w:rPr>
          <w:rFonts w:cs="Calibri"/>
        </w:rPr>
        <w:t xml:space="preserve"> testing of patients</w:t>
      </w:r>
      <w:r w:rsidR="0092134E" w:rsidRPr="00861641">
        <w:rPr>
          <w:rFonts w:cs="Calibri"/>
        </w:rPr>
        <w:t xml:space="preserve"> with somatic </w:t>
      </w:r>
      <w:r w:rsidR="0092134E" w:rsidRPr="00E84BA8">
        <w:rPr>
          <w:rFonts w:cs="Calibri"/>
          <w:i/>
        </w:rPr>
        <w:t>PTEN</w:t>
      </w:r>
      <w:r w:rsidR="0092134E" w:rsidRPr="00861641">
        <w:rPr>
          <w:rFonts w:cs="Calibri"/>
        </w:rPr>
        <w:t xml:space="preserve"> </w:t>
      </w:r>
      <w:r w:rsidR="0027022D">
        <w:rPr>
          <w:rFonts w:cs="Calibri"/>
        </w:rPr>
        <w:t>tier I</w:t>
      </w:r>
      <w:r w:rsidR="0027022D" w:rsidRPr="00861641">
        <w:rPr>
          <w:rFonts w:cs="Calibri"/>
        </w:rPr>
        <w:t xml:space="preserve"> </w:t>
      </w:r>
      <w:r w:rsidR="0092134E" w:rsidRPr="00861641">
        <w:rPr>
          <w:rFonts w:cs="Calibri"/>
        </w:rPr>
        <w:t>variants</w:t>
      </w:r>
      <w:r w:rsidR="00F80B6E" w:rsidRPr="00861641">
        <w:rPr>
          <w:rFonts w:cs="Calibri"/>
        </w:rPr>
        <w:t xml:space="preserve"> to occur</w:t>
      </w:r>
      <w:r w:rsidR="0092134E" w:rsidRPr="00861641">
        <w:rPr>
          <w:rFonts w:cs="Calibri"/>
        </w:rPr>
        <w:t>?</w:t>
      </w:r>
    </w:p>
    <w:p w14:paraId="29AF0022" w14:textId="45ABEAEA" w:rsidR="00F92C72" w:rsidRDefault="00834881" w:rsidP="00BD33CC">
      <w:pPr>
        <w:pStyle w:val="ListParagraph"/>
        <w:keepNext/>
        <w:numPr>
          <w:ilvl w:val="0"/>
          <w:numId w:val="31"/>
        </w:numPr>
        <w:spacing w:before="120" w:after="160" w:line="259" w:lineRule="auto"/>
        <w:rPr>
          <w:rFonts w:cs="Calibri"/>
        </w:rPr>
      </w:pPr>
      <w:r w:rsidRPr="00834881">
        <w:rPr>
          <w:rFonts w:cs="Calibri"/>
        </w:rPr>
        <w:t xml:space="preserve">Should patients who test positive to germline </w:t>
      </w:r>
      <w:r w:rsidR="00651D23" w:rsidRPr="00651D23">
        <w:rPr>
          <w:rFonts w:cs="Calibri"/>
          <w:i/>
          <w:iCs/>
        </w:rPr>
        <w:t>PTEN</w:t>
      </w:r>
      <w:r w:rsidRPr="00834881">
        <w:rPr>
          <w:rFonts w:cs="Calibri"/>
        </w:rPr>
        <w:t xml:space="preserve"> pathogenic variants (tested under MBS item 73296) also receive </w:t>
      </w:r>
      <w:r w:rsidR="001713D9">
        <w:rPr>
          <w:rFonts w:cs="Calibri"/>
        </w:rPr>
        <w:t>AKT pathway</w:t>
      </w:r>
      <w:r w:rsidRPr="00834881">
        <w:rPr>
          <w:rFonts w:cs="Calibri"/>
        </w:rPr>
        <w:t xml:space="preserve"> testing to confirm that their tumour cells are positive to </w:t>
      </w:r>
      <w:r w:rsidR="00651D23" w:rsidRPr="00651D23">
        <w:rPr>
          <w:rFonts w:cs="Calibri"/>
          <w:i/>
          <w:iCs/>
        </w:rPr>
        <w:t>PTEN</w:t>
      </w:r>
      <w:r w:rsidRPr="00834881">
        <w:rPr>
          <w:rFonts w:cs="Calibri"/>
        </w:rPr>
        <w:t xml:space="preserve"> </w:t>
      </w:r>
      <w:r w:rsidR="00601FEA">
        <w:rPr>
          <w:rFonts w:cs="Calibri"/>
        </w:rPr>
        <w:t>tier I</w:t>
      </w:r>
      <w:r w:rsidR="00601FEA" w:rsidRPr="00834881">
        <w:rPr>
          <w:rFonts w:cs="Calibri"/>
        </w:rPr>
        <w:t xml:space="preserve"> </w:t>
      </w:r>
      <w:r w:rsidRPr="00834881">
        <w:rPr>
          <w:rFonts w:cs="Calibri"/>
        </w:rPr>
        <w:t>variants before they are eligible for capivasertib treatment?</w:t>
      </w:r>
    </w:p>
    <w:p w14:paraId="3EBEFF58" w14:textId="5370E41F" w:rsidR="00E17B42" w:rsidRDefault="00E17B42" w:rsidP="00E17B42">
      <w:pPr>
        <w:keepNext/>
        <w:spacing w:before="120" w:after="160" w:line="259" w:lineRule="auto"/>
        <w:rPr>
          <w:rFonts w:asciiTheme="minorHAnsi" w:hAnsiTheme="minorHAnsi" w:cstheme="minorBidi"/>
          <w:i/>
        </w:rPr>
      </w:pPr>
      <w:r w:rsidRPr="00BD33CC">
        <w:rPr>
          <w:rFonts w:asciiTheme="minorHAnsi" w:hAnsiTheme="minorHAnsi" w:cstheme="minorBidi"/>
          <w:i/>
        </w:rPr>
        <w:t xml:space="preserve">PASC suggested that patients with somatic PTEN </w:t>
      </w:r>
      <w:r>
        <w:rPr>
          <w:rFonts w:asciiTheme="minorHAnsi" w:hAnsiTheme="minorHAnsi" w:cstheme="minorBidi"/>
          <w:i/>
        </w:rPr>
        <w:t>tier I</w:t>
      </w:r>
      <w:r w:rsidRPr="00BD33CC">
        <w:rPr>
          <w:rFonts w:asciiTheme="minorHAnsi" w:hAnsiTheme="minorHAnsi" w:cstheme="minorBidi"/>
          <w:i/>
        </w:rPr>
        <w:t xml:space="preserve"> variants could be eligible for characterisation of germline gene variants including copy number variants, in BRCA1 or BRCA2 genes via modifications to an MBS item, such as</w:t>
      </w:r>
      <w:r>
        <w:rPr>
          <w:rFonts w:asciiTheme="minorHAnsi" w:hAnsiTheme="minorHAnsi" w:cstheme="minorBidi"/>
          <w:i/>
        </w:rPr>
        <w:t xml:space="preserve"> </w:t>
      </w:r>
      <w:r w:rsidRPr="00BD33CC">
        <w:rPr>
          <w:rFonts w:asciiTheme="minorHAnsi" w:hAnsiTheme="minorHAnsi" w:cstheme="minorBidi"/>
          <w:i/>
        </w:rPr>
        <w:t>73302, which could be amended to include PTEN variants.</w:t>
      </w:r>
      <w:r>
        <w:rPr>
          <w:rFonts w:asciiTheme="minorHAnsi" w:hAnsiTheme="minorHAnsi" w:cstheme="minorBidi"/>
          <w:i/>
        </w:rPr>
        <w:t xml:space="preserve"> However, post-PASC, the Department advised </w:t>
      </w:r>
      <w:r w:rsidRPr="002959D5">
        <w:rPr>
          <w:rFonts w:asciiTheme="minorHAnsi" w:hAnsiTheme="minorHAnsi" w:cstheme="minorBidi"/>
          <w:i/>
        </w:rPr>
        <w:t>a s</w:t>
      </w:r>
      <w:r>
        <w:rPr>
          <w:rFonts w:asciiTheme="minorHAnsi" w:hAnsiTheme="minorHAnsi" w:cstheme="minorBidi"/>
          <w:i/>
        </w:rPr>
        <w:t>e</w:t>
      </w:r>
      <w:r w:rsidRPr="002959D5">
        <w:rPr>
          <w:rFonts w:asciiTheme="minorHAnsi" w:hAnsiTheme="minorHAnsi" w:cstheme="minorBidi"/>
          <w:i/>
        </w:rPr>
        <w:t>p</w:t>
      </w:r>
      <w:r>
        <w:rPr>
          <w:rFonts w:asciiTheme="minorHAnsi" w:hAnsiTheme="minorHAnsi" w:cstheme="minorBidi"/>
          <w:i/>
        </w:rPr>
        <w:t>a</w:t>
      </w:r>
      <w:r w:rsidRPr="002959D5">
        <w:rPr>
          <w:rFonts w:asciiTheme="minorHAnsi" w:hAnsiTheme="minorHAnsi" w:cstheme="minorBidi"/>
          <w:i/>
        </w:rPr>
        <w:t>rate MBS item should be proposed in the ADAR a</w:t>
      </w:r>
      <w:r>
        <w:rPr>
          <w:rFonts w:asciiTheme="minorHAnsi" w:hAnsiTheme="minorHAnsi" w:cstheme="minorBidi"/>
          <w:i/>
        </w:rPr>
        <w:t xml:space="preserve">s the Department have the following concerns </w:t>
      </w:r>
      <w:r w:rsidRPr="00C56A0D">
        <w:rPr>
          <w:rFonts w:asciiTheme="minorHAnsi" w:hAnsiTheme="minorHAnsi" w:cstheme="minorBidi"/>
          <w:i/>
        </w:rPr>
        <w:t xml:space="preserve">about the ability to amend 73302 to include PTEN copy number </w:t>
      </w:r>
      <w:r>
        <w:rPr>
          <w:rFonts w:asciiTheme="minorHAnsi" w:hAnsiTheme="minorHAnsi" w:cstheme="minorBidi"/>
          <w:i/>
        </w:rPr>
        <w:t>variants</w:t>
      </w:r>
      <w:r w:rsidR="003872F1">
        <w:rPr>
          <w:rFonts w:asciiTheme="minorHAnsi" w:hAnsiTheme="minorHAnsi" w:cstheme="minorBidi"/>
          <w:i/>
        </w:rPr>
        <w:t>:</w:t>
      </w:r>
    </w:p>
    <w:p w14:paraId="4056ADDB" w14:textId="77777777" w:rsidR="00E17B42" w:rsidRPr="00C56A0D" w:rsidRDefault="00E17B42" w:rsidP="00E17B42">
      <w:pPr>
        <w:pStyle w:val="ListParagraph"/>
        <w:keepNext/>
        <w:numPr>
          <w:ilvl w:val="0"/>
          <w:numId w:val="39"/>
        </w:numPr>
        <w:spacing w:before="120" w:after="160" w:line="259" w:lineRule="auto"/>
        <w:rPr>
          <w:rFonts w:asciiTheme="minorHAnsi" w:hAnsiTheme="minorHAnsi" w:cstheme="minorBidi"/>
          <w:i/>
        </w:rPr>
      </w:pPr>
      <w:r w:rsidRPr="00C56A0D">
        <w:rPr>
          <w:rFonts w:asciiTheme="minorHAnsi" w:hAnsiTheme="minorHAnsi" w:cstheme="minorBidi"/>
          <w:i/>
        </w:rPr>
        <w:t>The fee for 73302 is $400 and it is used to test a much larger patient population than is required for this co-dependent application</w:t>
      </w:r>
      <w:r>
        <w:rPr>
          <w:rFonts w:asciiTheme="minorHAnsi" w:hAnsiTheme="minorHAnsi" w:cstheme="minorBidi"/>
          <w:i/>
        </w:rPr>
        <w:t xml:space="preserve"> and </w:t>
      </w:r>
      <w:r w:rsidRPr="00C56A0D">
        <w:rPr>
          <w:rFonts w:asciiTheme="minorHAnsi" w:hAnsiTheme="minorHAnsi" w:cstheme="minorBidi"/>
          <w:i/>
        </w:rPr>
        <w:t xml:space="preserve">cannot </w:t>
      </w:r>
      <w:r w:rsidRPr="007C46A0">
        <w:rPr>
          <w:rFonts w:asciiTheme="minorHAnsi" w:hAnsiTheme="minorHAnsi" w:cstheme="minorBidi"/>
          <w:i/>
        </w:rPr>
        <w:t>be readily increased to accommodate PTEN testing.</w:t>
      </w:r>
    </w:p>
    <w:p w14:paraId="5858910F" w14:textId="43AFB543" w:rsidR="00E17B42" w:rsidRPr="00C56A0D" w:rsidRDefault="00E17B42" w:rsidP="00E17B42">
      <w:pPr>
        <w:pStyle w:val="ListParagraph"/>
        <w:keepNext/>
        <w:numPr>
          <w:ilvl w:val="0"/>
          <w:numId w:val="39"/>
        </w:numPr>
        <w:spacing w:before="120" w:after="160" w:line="259" w:lineRule="auto"/>
        <w:rPr>
          <w:rFonts w:asciiTheme="minorHAnsi" w:hAnsiTheme="minorHAnsi" w:cstheme="minorBidi"/>
          <w:i/>
        </w:rPr>
      </w:pPr>
      <w:r w:rsidRPr="007C46A0">
        <w:rPr>
          <w:rFonts w:asciiTheme="minorHAnsi" w:hAnsiTheme="minorHAnsi" w:cstheme="minorBidi"/>
          <w:i/>
        </w:rPr>
        <w:t xml:space="preserve">Item 73302 has a restriction which means it </w:t>
      </w:r>
      <w:r w:rsidRPr="00063ABD">
        <w:rPr>
          <w:rFonts w:asciiTheme="minorHAnsi" w:hAnsiTheme="minorHAnsi" w:cstheme="minorBidi"/>
          <w:i/>
        </w:rPr>
        <w:t>ca</w:t>
      </w:r>
      <w:r>
        <w:rPr>
          <w:rFonts w:asciiTheme="minorHAnsi" w:hAnsiTheme="minorHAnsi" w:cstheme="minorBidi"/>
          <w:i/>
        </w:rPr>
        <w:t>nnot</w:t>
      </w:r>
      <w:r w:rsidRPr="007C46A0">
        <w:rPr>
          <w:rFonts w:asciiTheme="minorHAnsi" w:hAnsiTheme="minorHAnsi" w:cstheme="minorBidi"/>
          <w:i/>
        </w:rPr>
        <w:t xml:space="preserve"> be used in a patient who underwent initial germline testing under 7329</w:t>
      </w:r>
      <w:r w:rsidRPr="00C56A0D">
        <w:rPr>
          <w:rFonts w:asciiTheme="minorHAnsi" w:hAnsiTheme="minorHAnsi" w:cstheme="minorBidi"/>
          <w:i/>
        </w:rPr>
        <w:t>6</w:t>
      </w:r>
      <w:r w:rsidR="00256736">
        <w:rPr>
          <w:rFonts w:asciiTheme="minorHAnsi" w:hAnsiTheme="minorHAnsi" w:cstheme="minorBidi"/>
          <w:i/>
        </w:rPr>
        <w:t>.</w:t>
      </w:r>
    </w:p>
    <w:p w14:paraId="728B3781" w14:textId="4BB4FB30" w:rsidR="006F51CF" w:rsidRPr="002E46C4" w:rsidRDefault="00743EB2" w:rsidP="002E46C4">
      <w:pPr>
        <w:keepNext/>
        <w:spacing w:before="120" w:after="160" w:line="259" w:lineRule="auto"/>
        <w:rPr>
          <w:rFonts w:asciiTheme="minorHAnsi" w:hAnsiTheme="minorHAnsi" w:cstheme="minorBidi"/>
          <w:i/>
        </w:rPr>
      </w:pPr>
      <w:r>
        <w:rPr>
          <w:rFonts w:asciiTheme="minorHAnsi" w:hAnsiTheme="minorHAnsi" w:cstheme="minorBidi"/>
          <w:i/>
        </w:rPr>
        <w:t>PASC accepted this</w:t>
      </w:r>
      <w:r w:rsidR="002E2628">
        <w:rPr>
          <w:rFonts w:asciiTheme="minorHAnsi" w:hAnsiTheme="minorHAnsi" w:cstheme="minorBidi"/>
          <w:i/>
        </w:rPr>
        <w:t xml:space="preserve"> (out-of-session)</w:t>
      </w:r>
      <w:r>
        <w:rPr>
          <w:rFonts w:asciiTheme="minorHAnsi" w:hAnsiTheme="minorHAnsi" w:cstheme="minorBidi"/>
          <w:i/>
        </w:rPr>
        <w:t xml:space="preserve"> and supported the development of a separate MBS item</w:t>
      </w:r>
      <w:r w:rsidR="008B0B58">
        <w:rPr>
          <w:rFonts w:asciiTheme="minorHAnsi" w:hAnsiTheme="minorHAnsi" w:cstheme="minorBidi"/>
          <w:i/>
        </w:rPr>
        <w:t xml:space="preserve"> for PTEN </w:t>
      </w:r>
      <w:r w:rsidR="00DF177A">
        <w:rPr>
          <w:rFonts w:asciiTheme="minorHAnsi" w:hAnsiTheme="minorHAnsi" w:cstheme="minorBidi"/>
          <w:i/>
        </w:rPr>
        <w:t xml:space="preserve">variant germline confirmation </w:t>
      </w:r>
      <w:r w:rsidR="008B0B58">
        <w:rPr>
          <w:rFonts w:asciiTheme="minorHAnsi" w:hAnsiTheme="minorHAnsi" w:cstheme="minorBidi"/>
          <w:i/>
        </w:rPr>
        <w:t>testing</w:t>
      </w:r>
      <w:r w:rsidR="00816256">
        <w:rPr>
          <w:rFonts w:asciiTheme="minorHAnsi" w:hAnsiTheme="minorHAnsi" w:cstheme="minorBidi"/>
          <w:i/>
        </w:rPr>
        <w:t xml:space="preserve"> for patients with somatic PTEN tier 1 variants</w:t>
      </w:r>
      <w:r w:rsidR="008B0B58">
        <w:rPr>
          <w:rFonts w:asciiTheme="minorHAnsi" w:hAnsiTheme="minorHAnsi" w:cstheme="minorBidi"/>
          <w:i/>
        </w:rPr>
        <w:t xml:space="preserve">. </w:t>
      </w:r>
      <w:r>
        <w:rPr>
          <w:rFonts w:asciiTheme="minorHAnsi" w:hAnsiTheme="minorHAnsi" w:cstheme="minorBidi"/>
          <w:i/>
        </w:rPr>
        <w:t xml:space="preserve"> </w:t>
      </w:r>
    </w:p>
    <w:p w14:paraId="0A44DB75" w14:textId="4EA94B85" w:rsidR="00565945" w:rsidRDefault="00BB4F7B" w:rsidP="00BD33CC">
      <w:pPr>
        <w:autoSpaceDE w:val="0"/>
        <w:autoSpaceDN w:val="0"/>
        <w:adjustRightInd w:val="0"/>
        <w:spacing w:before="120" w:after="160" w:line="259" w:lineRule="auto"/>
        <w:rPr>
          <w:rFonts w:asciiTheme="minorHAnsi" w:hAnsiTheme="minorHAnsi" w:cstheme="minorBidi"/>
          <w:i/>
        </w:rPr>
      </w:pPr>
      <w:r w:rsidRPr="00BB4F7B">
        <w:rPr>
          <w:rFonts w:asciiTheme="minorHAnsi" w:hAnsiTheme="minorHAnsi" w:cstheme="minorBidi"/>
          <w:i/>
        </w:rPr>
        <w:t xml:space="preserve">PASC advised that germline PTEN testing via MBS item 73296 </w:t>
      </w:r>
      <w:r w:rsidR="0024160F">
        <w:rPr>
          <w:rFonts w:asciiTheme="minorHAnsi" w:hAnsiTheme="minorHAnsi" w:cstheme="minorBidi"/>
          <w:i/>
        </w:rPr>
        <w:t>and 73297</w:t>
      </w:r>
      <w:r w:rsidRPr="00BB4F7B">
        <w:rPr>
          <w:rFonts w:asciiTheme="minorHAnsi" w:hAnsiTheme="minorHAnsi" w:cstheme="minorBidi"/>
          <w:i/>
        </w:rPr>
        <w:t xml:space="preserve"> was uninformative </w:t>
      </w:r>
      <w:r w:rsidR="00ED6EFE">
        <w:rPr>
          <w:rFonts w:asciiTheme="minorHAnsi" w:hAnsiTheme="minorHAnsi" w:cstheme="minorBidi"/>
          <w:i/>
        </w:rPr>
        <w:t>for</w:t>
      </w:r>
      <w:r w:rsidR="000F40D5">
        <w:rPr>
          <w:rFonts w:asciiTheme="minorHAnsi" w:hAnsiTheme="minorHAnsi" w:cstheme="minorBidi"/>
          <w:i/>
        </w:rPr>
        <w:t xml:space="preserve"> determin</w:t>
      </w:r>
      <w:r w:rsidR="00ED6EFE">
        <w:rPr>
          <w:rFonts w:asciiTheme="minorHAnsi" w:hAnsiTheme="minorHAnsi" w:cstheme="minorBidi"/>
          <w:i/>
        </w:rPr>
        <w:t>ing</w:t>
      </w:r>
      <w:r w:rsidR="000F40D5">
        <w:rPr>
          <w:rFonts w:asciiTheme="minorHAnsi" w:hAnsiTheme="minorHAnsi" w:cstheme="minorBidi"/>
          <w:i/>
        </w:rPr>
        <w:t xml:space="preserve"> eligibility for </w:t>
      </w:r>
      <w:r w:rsidR="005A687F">
        <w:rPr>
          <w:rFonts w:asciiTheme="minorHAnsi" w:hAnsiTheme="minorHAnsi" w:cstheme="minorBidi"/>
          <w:i/>
        </w:rPr>
        <w:t>ca</w:t>
      </w:r>
      <w:r w:rsidR="00B55688">
        <w:rPr>
          <w:rFonts w:asciiTheme="minorHAnsi" w:hAnsiTheme="minorHAnsi" w:cstheme="minorBidi"/>
          <w:i/>
        </w:rPr>
        <w:t xml:space="preserve">pivasertib </w:t>
      </w:r>
      <w:r w:rsidRPr="00BB4F7B">
        <w:rPr>
          <w:rFonts w:asciiTheme="minorHAnsi" w:hAnsiTheme="minorHAnsi" w:cstheme="minorBidi"/>
          <w:i/>
        </w:rPr>
        <w:t xml:space="preserve">and has been routinely excluded in BC </w:t>
      </w:r>
      <w:r w:rsidR="001A6D82">
        <w:rPr>
          <w:rFonts w:asciiTheme="minorHAnsi" w:hAnsiTheme="minorHAnsi" w:cstheme="minorBidi"/>
          <w:i/>
        </w:rPr>
        <w:t>g</w:t>
      </w:r>
      <w:r w:rsidR="00CA1778">
        <w:rPr>
          <w:rFonts w:asciiTheme="minorHAnsi" w:hAnsiTheme="minorHAnsi" w:cstheme="minorBidi"/>
          <w:i/>
        </w:rPr>
        <w:t>er</w:t>
      </w:r>
      <w:r w:rsidR="001A6D82">
        <w:rPr>
          <w:rFonts w:asciiTheme="minorHAnsi" w:hAnsiTheme="minorHAnsi" w:cstheme="minorBidi"/>
          <w:i/>
        </w:rPr>
        <w:t>mlin</w:t>
      </w:r>
      <w:r w:rsidR="00CA1778">
        <w:rPr>
          <w:rFonts w:asciiTheme="minorHAnsi" w:hAnsiTheme="minorHAnsi" w:cstheme="minorBidi"/>
          <w:i/>
        </w:rPr>
        <w:t>e</w:t>
      </w:r>
      <w:r w:rsidR="001A6D82">
        <w:rPr>
          <w:rFonts w:asciiTheme="minorHAnsi" w:hAnsiTheme="minorHAnsi" w:cstheme="minorBidi"/>
          <w:i/>
        </w:rPr>
        <w:t xml:space="preserve"> </w:t>
      </w:r>
      <w:r w:rsidRPr="00BB4F7B">
        <w:rPr>
          <w:rFonts w:asciiTheme="minorHAnsi" w:hAnsiTheme="minorHAnsi" w:cstheme="minorBidi"/>
          <w:i/>
        </w:rPr>
        <w:t xml:space="preserve">testing </w:t>
      </w:r>
      <w:r w:rsidR="001363B9">
        <w:rPr>
          <w:rFonts w:asciiTheme="minorHAnsi" w:hAnsiTheme="minorHAnsi" w:cstheme="minorBidi"/>
          <w:i/>
        </w:rPr>
        <w:t>in</w:t>
      </w:r>
      <w:r w:rsidR="001363B9" w:rsidRPr="00BB4F7B">
        <w:rPr>
          <w:rFonts w:asciiTheme="minorHAnsi" w:hAnsiTheme="minorHAnsi" w:cstheme="minorBidi"/>
          <w:i/>
        </w:rPr>
        <w:t xml:space="preserve"> </w:t>
      </w:r>
      <w:r w:rsidRPr="00BB4F7B">
        <w:rPr>
          <w:rFonts w:asciiTheme="minorHAnsi" w:hAnsiTheme="minorHAnsi" w:cstheme="minorBidi"/>
          <w:i/>
        </w:rPr>
        <w:t xml:space="preserve">many </w:t>
      </w:r>
      <w:r w:rsidR="001363B9">
        <w:rPr>
          <w:rFonts w:asciiTheme="minorHAnsi" w:hAnsiTheme="minorHAnsi" w:cstheme="minorBidi"/>
          <w:i/>
        </w:rPr>
        <w:t>Australian</w:t>
      </w:r>
      <w:r w:rsidRPr="00BB4F7B">
        <w:rPr>
          <w:rFonts w:asciiTheme="minorHAnsi" w:hAnsiTheme="minorHAnsi" w:cstheme="minorBidi"/>
          <w:i/>
        </w:rPr>
        <w:t xml:space="preserve"> states due to low prevalence (0.02% of BC cases) and</w:t>
      </w:r>
      <w:r w:rsidR="00D140E9">
        <w:rPr>
          <w:rFonts w:asciiTheme="minorHAnsi" w:hAnsiTheme="minorHAnsi" w:cstheme="minorBidi"/>
          <w:i/>
        </w:rPr>
        <w:t xml:space="preserve"> </w:t>
      </w:r>
      <w:r w:rsidR="00485A53">
        <w:rPr>
          <w:rFonts w:asciiTheme="minorHAnsi" w:hAnsiTheme="minorHAnsi" w:cstheme="minorBidi"/>
          <w:i/>
        </w:rPr>
        <w:t xml:space="preserve">therefore </w:t>
      </w:r>
      <w:r w:rsidR="00D140E9">
        <w:rPr>
          <w:rFonts w:asciiTheme="minorHAnsi" w:hAnsiTheme="minorHAnsi" w:cstheme="minorBidi"/>
          <w:i/>
        </w:rPr>
        <w:t>increase</w:t>
      </w:r>
      <w:r w:rsidR="00485A53">
        <w:rPr>
          <w:rFonts w:asciiTheme="minorHAnsi" w:hAnsiTheme="minorHAnsi" w:cstheme="minorBidi"/>
          <w:i/>
        </w:rPr>
        <w:t>d</w:t>
      </w:r>
      <w:r w:rsidR="00D140E9">
        <w:rPr>
          <w:rFonts w:asciiTheme="minorHAnsi" w:hAnsiTheme="minorHAnsi" w:cstheme="minorBidi"/>
          <w:i/>
        </w:rPr>
        <w:t xml:space="preserve"> likelihood of identifying a class 3</w:t>
      </w:r>
      <w:r w:rsidRPr="00BB4F7B">
        <w:rPr>
          <w:rFonts w:asciiTheme="minorHAnsi" w:hAnsiTheme="minorHAnsi" w:cstheme="minorBidi"/>
          <w:i/>
        </w:rPr>
        <w:t xml:space="preserve"> variant of unknown significance</w:t>
      </w:r>
      <w:r w:rsidR="00D140E9">
        <w:rPr>
          <w:rFonts w:asciiTheme="minorHAnsi" w:hAnsiTheme="minorHAnsi" w:cstheme="minorBidi"/>
          <w:i/>
        </w:rPr>
        <w:t xml:space="preserve"> which increases </w:t>
      </w:r>
      <w:r w:rsidR="00320485">
        <w:rPr>
          <w:rFonts w:asciiTheme="minorHAnsi" w:hAnsiTheme="minorHAnsi" w:cstheme="minorBidi"/>
          <w:i/>
        </w:rPr>
        <w:t xml:space="preserve">clinical </w:t>
      </w:r>
      <w:r w:rsidR="00D140E9">
        <w:rPr>
          <w:rFonts w:asciiTheme="minorHAnsi" w:hAnsiTheme="minorHAnsi" w:cstheme="minorBidi"/>
          <w:i/>
        </w:rPr>
        <w:t>uncertainty</w:t>
      </w:r>
      <w:r w:rsidRPr="00BB4F7B">
        <w:rPr>
          <w:rFonts w:asciiTheme="minorHAnsi" w:hAnsiTheme="minorHAnsi" w:cstheme="minorBidi"/>
          <w:i/>
        </w:rPr>
        <w:t>.</w:t>
      </w:r>
      <w:r w:rsidR="007439C1">
        <w:rPr>
          <w:rFonts w:asciiTheme="minorHAnsi" w:hAnsiTheme="minorHAnsi" w:cstheme="minorBidi"/>
          <w:i/>
        </w:rPr>
        <w:t xml:space="preserve"> </w:t>
      </w:r>
      <w:r w:rsidR="00565945" w:rsidRPr="00BD33CC">
        <w:rPr>
          <w:rFonts w:asciiTheme="minorHAnsi" w:hAnsiTheme="minorHAnsi" w:cstheme="minorBidi"/>
          <w:i/>
        </w:rPr>
        <w:t>Therefore</w:t>
      </w:r>
      <w:r w:rsidR="006663CC">
        <w:rPr>
          <w:rFonts w:asciiTheme="minorHAnsi" w:hAnsiTheme="minorHAnsi" w:cstheme="minorBidi"/>
          <w:i/>
        </w:rPr>
        <w:t>,</w:t>
      </w:r>
      <w:r w:rsidR="00565945" w:rsidRPr="00BD33CC">
        <w:rPr>
          <w:rFonts w:asciiTheme="minorHAnsi" w:hAnsiTheme="minorHAnsi" w:cstheme="minorBidi"/>
          <w:i/>
        </w:rPr>
        <w:t xml:space="preserve"> PASC considered that all eligible patients as per ‘test population’ should be eligible for the proposed </w:t>
      </w:r>
      <w:r w:rsidR="001713D9">
        <w:rPr>
          <w:rFonts w:asciiTheme="minorHAnsi" w:hAnsiTheme="minorHAnsi" w:cstheme="minorBidi"/>
          <w:i/>
        </w:rPr>
        <w:t>AKT pathway</w:t>
      </w:r>
      <w:r w:rsidR="00565945" w:rsidRPr="00BD33CC">
        <w:rPr>
          <w:rFonts w:asciiTheme="minorHAnsi" w:hAnsiTheme="minorHAnsi" w:cstheme="minorBidi"/>
          <w:i/>
        </w:rPr>
        <w:t xml:space="preserve"> testing, regardless of whether they had claimed MBS item 73296 or 73297 previously.</w:t>
      </w:r>
    </w:p>
    <w:p w14:paraId="493DD9A8" w14:textId="0A842F7F" w:rsidR="00942C93" w:rsidRPr="00BD33CC" w:rsidRDefault="00942C93" w:rsidP="00BD33CC">
      <w:pPr>
        <w:autoSpaceDE w:val="0"/>
        <w:autoSpaceDN w:val="0"/>
        <w:adjustRightInd w:val="0"/>
        <w:spacing w:before="120" w:after="160" w:line="259" w:lineRule="auto"/>
        <w:rPr>
          <w:rFonts w:asciiTheme="minorHAnsi" w:hAnsiTheme="minorHAnsi" w:cstheme="minorBidi"/>
          <w:i/>
        </w:rPr>
      </w:pPr>
      <w:r>
        <w:rPr>
          <w:rFonts w:asciiTheme="minorHAnsi" w:hAnsiTheme="minorHAnsi" w:cstheme="minorBidi"/>
          <w:i/>
        </w:rPr>
        <w:t>The p</w:t>
      </w:r>
      <w:r w:rsidRPr="00942C93">
        <w:rPr>
          <w:rFonts w:asciiTheme="minorHAnsi" w:hAnsiTheme="minorHAnsi" w:cstheme="minorBidi"/>
          <w:i/>
        </w:rPr>
        <w:t>roposed clinical management algorithm</w:t>
      </w:r>
      <w:r w:rsidR="009B4641">
        <w:rPr>
          <w:rFonts w:asciiTheme="minorHAnsi" w:hAnsiTheme="minorHAnsi" w:cstheme="minorBidi"/>
          <w:i/>
        </w:rPr>
        <w:t xml:space="preserve"> </w:t>
      </w:r>
      <w:r>
        <w:rPr>
          <w:rFonts w:asciiTheme="minorHAnsi" w:hAnsiTheme="minorHAnsi" w:cstheme="minorBidi"/>
          <w:i/>
        </w:rPr>
        <w:t>was amended to exclude germline PTEN testing</w:t>
      </w:r>
      <w:r w:rsidR="00F2078B">
        <w:rPr>
          <w:rFonts w:asciiTheme="minorHAnsi" w:hAnsiTheme="minorHAnsi" w:cstheme="minorBidi"/>
          <w:i/>
        </w:rPr>
        <w:t>.</w:t>
      </w:r>
    </w:p>
    <w:p w14:paraId="2BDE22B9" w14:textId="09032F76" w:rsidR="00D73332" w:rsidRDefault="00D73332" w:rsidP="0023599C">
      <w:pPr>
        <w:pStyle w:val="Heading2"/>
        <w:rPr>
          <w:b/>
          <w:bCs/>
          <w:i/>
        </w:rPr>
      </w:pPr>
      <w:r w:rsidRPr="00490FBB">
        <w:lastRenderedPageBreak/>
        <w:t>Proposed economic evaluation</w:t>
      </w:r>
    </w:p>
    <w:p w14:paraId="0C9113D9" w14:textId="090A4ECB" w:rsidR="00010FC3" w:rsidRDefault="00010FC3" w:rsidP="00E652D4">
      <w:pPr>
        <w:spacing w:before="120" w:after="160" w:line="259" w:lineRule="auto"/>
      </w:pPr>
      <w:r>
        <w:t>The overall clinical claim is for superiority. The applicant has claimed that the proposed codependent technology (</w:t>
      </w:r>
      <w:r w:rsidR="001713D9">
        <w:t>AKT pathway</w:t>
      </w:r>
      <w:r w:rsidR="004C7B80">
        <w:t xml:space="preserve"> </w:t>
      </w:r>
      <w:r>
        <w:t>alteration testing and capivasertib</w:t>
      </w:r>
      <w:r w:rsidR="00D75E28">
        <w:t xml:space="preserve"> </w:t>
      </w:r>
      <w:r>
        <w:t>+</w:t>
      </w:r>
      <w:r w:rsidR="00D75E28">
        <w:t xml:space="preserve"> </w:t>
      </w:r>
      <w:r>
        <w:t xml:space="preserve">fulvestrant treatment) is superior in terms of comparative effectiveness versus the comparator (no testing and current standard practice) in patients with HR+/HER2- </w:t>
      </w:r>
      <w:r w:rsidR="00E652D4">
        <w:t>locally advanced (inoperable) or metastatic</w:t>
      </w:r>
      <w:r w:rsidR="00AB7CDA">
        <w:t xml:space="preserve"> breast </w:t>
      </w:r>
      <w:r w:rsidR="00794B27">
        <w:t>cancer,</w:t>
      </w:r>
      <w:r>
        <w:t xml:space="preserve"> who have progressed on or after treatment with an ET +/- CDK4/6 inhibitor.</w:t>
      </w:r>
      <w:r w:rsidR="005A0E0B">
        <w:t xml:space="preserve"> </w:t>
      </w:r>
      <w:r w:rsidR="00B0286A" w:rsidRPr="00B0286A">
        <w:t xml:space="preserve">Referring to the CAPItello-291 trial, the most frequently reported </w:t>
      </w:r>
      <w:r w:rsidR="00B37AD4">
        <w:t>adverse event</w:t>
      </w:r>
      <w:r w:rsidR="00B37AD4" w:rsidRPr="00B0286A">
        <w:t xml:space="preserve">s </w:t>
      </w:r>
      <w:r w:rsidR="00B0286A" w:rsidRPr="00B0286A">
        <w:t xml:space="preserve">of grade 3 or higher and </w:t>
      </w:r>
      <w:r w:rsidR="00A75C51">
        <w:t>serious adverse events</w:t>
      </w:r>
      <w:r w:rsidR="00B0286A" w:rsidRPr="00B0286A">
        <w:t xml:space="preserve"> were rash, diarrhoea, </w:t>
      </w:r>
      <w:r w:rsidR="00717C54" w:rsidRPr="00B0286A">
        <w:t>hyperglycaemia,</w:t>
      </w:r>
      <w:r w:rsidR="00B0286A" w:rsidRPr="00B0286A">
        <w:t xml:space="preserve"> and vomiting, with higher incidences in the capivasertib + </w:t>
      </w:r>
      <w:r w:rsidR="007663FA" w:rsidRPr="00B0286A">
        <w:t>fulvestrant</w:t>
      </w:r>
      <w:r w:rsidR="00B0286A" w:rsidRPr="00B0286A">
        <w:t xml:space="preserve"> group. </w:t>
      </w:r>
      <w:r w:rsidR="003A244D">
        <w:t xml:space="preserve">Serious adverse </w:t>
      </w:r>
      <w:r w:rsidR="00717C54">
        <w:t xml:space="preserve">events </w:t>
      </w:r>
      <w:r w:rsidR="00717C54" w:rsidRPr="00B0286A">
        <w:t>were</w:t>
      </w:r>
      <w:r w:rsidR="00B0286A" w:rsidRPr="00B0286A">
        <w:t xml:space="preserve"> more common in the </w:t>
      </w:r>
      <w:r w:rsidR="007663FA" w:rsidRPr="00B0286A">
        <w:t>capivasertib</w:t>
      </w:r>
      <w:r w:rsidR="00B0286A" w:rsidRPr="00B0286A">
        <w:t xml:space="preserve"> + fulvestrant group (16% vs 8%, in placebo-</w:t>
      </w:r>
      <w:r w:rsidR="007663FA" w:rsidRPr="00B0286A">
        <w:t>fulvestrant</w:t>
      </w:r>
      <w:r w:rsidR="00B0286A" w:rsidRPr="00B0286A">
        <w:t xml:space="preserve"> group). Therefore, the comparative safety of capivasertib to placebo </w:t>
      </w:r>
      <w:r w:rsidR="00E652D4">
        <w:t>appeared</w:t>
      </w:r>
      <w:r w:rsidR="00E652D4" w:rsidRPr="00B0286A">
        <w:t xml:space="preserve"> </w:t>
      </w:r>
      <w:r w:rsidR="00B0286A" w:rsidRPr="00B0286A">
        <w:t xml:space="preserve">likely inferior, based on the information obtained during PICO development. According to the guidelines for preparing assessments for the MSAC (version 1.2 2021), </w:t>
      </w:r>
      <w:r w:rsidR="00B0286A">
        <w:t>a</w:t>
      </w:r>
      <w:r>
        <w:t xml:space="preserve"> cost-utility analysis</w:t>
      </w:r>
      <w:r w:rsidR="00E153B5">
        <w:t xml:space="preserve"> would be appropriate in this setting</w:t>
      </w:r>
      <w:r w:rsidR="00603DFD">
        <w:t>.</w:t>
      </w:r>
    </w:p>
    <w:p w14:paraId="12EAB94B" w14:textId="77777777" w:rsidR="008A289A" w:rsidRPr="00BD33CC" w:rsidRDefault="008A289A" w:rsidP="00BD33CC">
      <w:pPr>
        <w:autoSpaceDE w:val="0"/>
        <w:autoSpaceDN w:val="0"/>
        <w:adjustRightInd w:val="0"/>
        <w:spacing w:before="120" w:after="160" w:line="259" w:lineRule="auto"/>
        <w:rPr>
          <w:rFonts w:asciiTheme="minorHAnsi" w:hAnsiTheme="minorHAnsi" w:cstheme="minorHAnsi"/>
          <w:i/>
        </w:rPr>
      </w:pPr>
      <w:r w:rsidRPr="00BD33CC">
        <w:rPr>
          <w:rFonts w:asciiTheme="minorHAnsi" w:hAnsiTheme="minorHAnsi" w:cstheme="minorHAnsi"/>
          <w:i/>
        </w:rPr>
        <w:t>PASC noted and accepted the proposed economic evaluation.</w:t>
      </w:r>
    </w:p>
    <w:p w14:paraId="2A197D24" w14:textId="77777777" w:rsidR="004D5951" w:rsidRDefault="008A289A" w:rsidP="00D374F6">
      <w:pPr>
        <w:autoSpaceDE w:val="0"/>
        <w:autoSpaceDN w:val="0"/>
        <w:adjustRightInd w:val="0"/>
        <w:spacing w:before="120" w:after="160" w:line="259" w:lineRule="auto"/>
      </w:pPr>
      <w:r w:rsidRPr="00BD33CC">
        <w:rPr>
          <w:rFonts w:asciiTheme="minorHAnsi" w:hAnsiTheme="minorHAnsi" w:cstheme="minorHAnsi"/>
          <w:i/>
          <w:iCs/>
        </w:rPr>
        <w:t>PASC enquired whether it may be more cost-effective to deliver treatment without requiring AKT pathway testing beforehand.</w:t>
      </w:r>
      <w:r w:rsidR="003126F5">
        <w:rPr>
          <w:rFonts w:asciiTheme="minorHAnsi" w:hAnsiTheme="minorHAnsi" w:cstheme="minorBidi"/>
          <w:i/>
        </w:rPr>
        <w:t xml:space="preserve"> </w:t>
      </w:r>
      <w:r w:rsidRPr="00BD33CC">
        <w:rPr>
          <w:rFonts w:asciiTheme="minorHAnsi" w:hAnsiTheme="minorHAnsi" w:cstheme="minorBidi"/>
          <w:i/>
        </w:rPr>
        <w:t xml:space="preserve">The applicant responded that it depends on the TGA’s approved indication, as to whether the indication is for the overall population (no biomarker testing required for treatment eligibility) or biomarker-specific population. The cost-effectiveness analysis would be based on the TGA approved population. If the TGA indication is approved for the overall population, PASC considered that the applicant may wish to present an economic evaluation allowing a comparison of the cost effectiveness of the treatment with versus without the test. </w:t>
      </w:r>
      <w:r w:rsidR="00534D4E">
        <w:rPr>
          <w:rFonts w:asciiTheme="minorHAnsi" w:hAnsiTheme="minorHAnsi" w:cstheme="minorBidi"/>
          <w:i/>
        </w:rPr>
        <w:t xml:space="preserve">The applicant </w:t>
      </w:r>
      <w:r w:rsidR="007F67B7">
        <w:rPr>
          <w:rFonts w:asciiTheme="minorHAnsi" w:hAnsiTheme="minorHAnsi" w:cstheme="minorBidi"/>
          <w:i/>
        </w:rPr>
        <w:t>noted that the</w:t>
      </w:r>
      <w:r w:rsidRPr="00BD33CC">
        <w:rPr>
          <w:rFonts w:asciiTheme="minorHAnsi" w:hAnsiTheme="minorHAnsi" w:cstheme="minorBidi"/>
          <w:i/>
        </w:rPr>
        <w:t xml:space="preserve"> US FDA and Canada approved the indication in the biomarker population only. PASC noted that the UK National Institute for Health and Care Excellence (NICE) </w:t>
      </w:r>
      <w:r w:rsidR="008735EF">
        <w:rPr>
          <w:rFonts w:asciiTheme="minorHAnsi" w:hAnsiTheme="minorHAnsi" w:cstheme="minorBidi"/>
          <w:i/>
          <w:iCs/>
        </w:rPr>
        <w:t>is planning to analyse</w:t>
      </w:r>
      <w:r w:rsidRPr="00BD33CC">
        <w:rPr>
          <w:rFonts w:asciiTheme="minorHAnsi" w:hAnsiTheme="minorHAnsi" w:cstheme="minorBidi"/>
          <w:i/>
        </w:rPr>
        <w:t xml:space="preserve"> the cost-effectiveness without the test, and a subpopulation analysis included</w:t>
      </w:r>
      <w:r w:rsidR="00EA6B05">
        <w:rPr>
          <w:rFonts w:asciiTheme="minorHAnsi" w:hAnsiTheme="minorHAnsi" w:cstheme="minorBidi"/>
          <w:i/>
        </w:rPr>
        <w:t xml:space="preserve"> patients with</w:t>
      </w:r>
      <w:r w:rsidRPr="00BD33CC">
        <w:rPr>
          <w:rFonts w:asciiTheme="minorHAnsi" w:hAnsiTheme="minorHAnsi" w:cstheme="minorBidi"/>
          <w:i/>
        </w:rPr>
        <w:t xml:space="preserve"> the genetic variants as a secondary analysis.</w:t>
      </w:r>
      <w:r w:rsidR="00AD10A6" w:rsidRPr="00AD10A6">
        <w:t xml:space="preserve"> </w:t>
      </w:r>
    </w:p>
    <w:p w14:paraId="59565F56" w14:textId="4E1C2DE5" w:rsidR="008A289A" w:rsidRPr="00AD10A6" w:rsidRDefault="00AD10A6" w:rsidP="00D374F6">
      <w:pPr>
        <w:autoSpaceDE w:val="0"/>
        <w:autoSpaceDN w:val="0"/>
        <w:adjustRightInd w:val="0"/>
        <w:spacing w:before="120" w:after="160" w:line="259" w:lineRule="auto"/>
        <w:rPr>
          <w:iCs/>
        </w:rPr>
      </w:pPr>
      <w:r w:rsidRPr="00AD10A6">
        <w:rPr>
          <w:rFonts w:asciiTheme="minorHAnsi" w:hAnsiTheme="minorHAnsi" w:cstheme="minorBidi"/>
          <w:iCs/>
        </w:rPr>
        <w:t xml:space="preserve">Capivasertib </w:t>
      </w:r>
      <w:r w:rsidR="0091694F">
        <w:rPr>
          <w:rFonts w:asciiTheme="minorHAnsi" w:hAnsiTheme="minorHAnsi" w:cstheme="minorBidi"/>
          <w:iCs/>
        </w:rPr>
        <w:t>(Trade name: TRUQAP)</w:t>
      </w:r>
      <w:r w:rsidR="00FB0FFB">
        <w:rPr>
          <w:rFonts w:asciiTheme="minorHAnsi" w:hAnsiTheme="minorHAnsi" w:cstheme="minorBidi"/>
          <w:iCs/>
        </w:rPr>
        <w:t xml:space="preserve"> </w:t>
      </w:r>
      <w:r w:rsidRPr="00AD10A6">
        <w:rPr>
          <w:rFonts w:asciiTheme="minorHAnsi" w:hAnsiTheme="minorHAnsi" w:cstheme="minorBidi"/>
          <w:iCs/>
        </w:rPr>
        <w:t>was registered on the ARTG on the 9th of May 2024 (post-PASC meeting) for the following indication: "TRUQAP is indicated in combination with fulvestrant for the treatment of adult patients with hormone receptor (HR) positive, human epidermal growth factor receptor 2 (HER2) negative (defined as IHC 0 or 1+, or IHC 2+/ISH-) locally advanced or metastatic breast cancer following recurrence or progression on or after an endocrine based regimen."</w:t>
      </w:r>
    </w:p>
    <w:p w14:paraId="6F72AC49" w14:textId="25E97542" w:rsidR="0082084C" w:rsidRDefault="00D73332" w:rsidP="0023599C">
      <w:pPr>
        <w:pStyle w:val="Heading2"/>
      </w:pPr>
      <w:r w:rsidRPr="00DE762F">
        <w:lastRenderedPageBreak/>
        <w:t>Propos</w:t>
      </w:r>
      <w:r w:rsidR="000D1FCF" w:rsidRPr="00DE762F">
        <w:t>al for public funding</w:t>
      </w:r>
    </w:p>
    <w:p w14:paraId="5B78803E" w14:textId="3BC56A2D" w:rsidR="004A6338" w:rsidRPr="00E84BA8" w:rsidRDefault="004A6338" w:rsidP="0023599C">
      <w:pPr>
        <w:pStyle w:val="Heading2"/>
        <w:rPr>
          <w:rFonts w:asciiTheme="minorHAnsi" w:hAnsiTheme="minorHAnsi" w:cstheme="minorHAnsi"/>
          <w:sz w:val="22"/>
          <w:szCs w:val="22"/>
        </w:rPr>
      </w:pPr>
      <w:r w:rsidDel="00E044D6">
        <w:rPr>
          <w:rFonts w:asciiTheme="minorHAnsi" w:hAnsiTheme="minorHAnsi" w:cstheme="minorHAnsi"/>
          <w:sz w:val="22"/>
          <w:szCs w:val="22"/>
        </w:rPr>
        <w:t xml:space="preserve">The applicant proposed </w:t>
      </w:r>
      <w:r w:rsidR="00D74700">
        <w:rPr>
          <w:rFonts w:asciiTheme="minorHAnsi" w:hAnsiTheme="minorHAnsi" w:cstheme="minorHAnsi"/>
          <w:sz w:val="22"/>
          <w:szCs w:val="22"/>
        </w:rPr>
        <w:t>the following</w:t>
      </w:r>
      <w:r w:rsidR="00E044D6">
        <w:rPr>
          <w:rFonts w:asciiTheme="minorHAnsi" w:hAnsiTheme="minorHAnsi" w:cstheme="minorHAnsi"/>
          <w:sz w:val="22"/>
          <w:szCs w:val="22"/>
        </w:rPr>
        <w:t xml:space="preserve"> </w:t>
      </w:r>
      <w:r w:rsidRPr="00E84BA8">
        <w:rPr>
          <w:rFonts w:asciiTheme="minorHAnsi" w:hAnsiTheme="minorHAnsi" w:cstheme="minorHAnsi"/>
          <w:sz w:val="22"/>
          <w:szCs w:val="22"/>
        </w:rPr>
        <w:t>MBS item descriptor</w:t>
      </w:r>
      <w:r w:rsidR="003E3376">
        <w:rPr>
          <w:rFonts w:asciiTheme="minorHAnsi" w:hAnsiTheme="minorHAnsi" w:cstheme="minorHAnsi"/>
          <w:sz w:val="22"/>
          <w:szCs w:val="22"/>
        </w:rPr>
        <w:t xml:space="preserve"> and</w:t>
      </w:r>
      <w:r w:rsidR="00D74700">
        <w:rPr>
          <w:rFonts w:asciiTheme="minorHAnsi" w:hAnsiTheme="minorHAnsi" w:cstheme="minorHAnsi"/>
          <w:sz w:val="22"/>
          <w:szCs w:val="22"/>
        </w:rPr>
        <w:t xml:space="preserve"> was </w:t>
      </w:r>
      <w:r w:rsidR="00DC4E59">
        <w:rPr>
          <w:rFonts w:asciiTheme="minorHAnsi" w:hAnsiTheme="minorHAnsi" w:cstheme="minorHAnsi"/>
          <w:sz w:val="22"/>
          <w:szCs w:val="22"/>
        </w:rPr>
        <w:t>updated</w:t>
      </w:r>
      <w:r w:rsidR="00AE62F0">
        <w:rPr>
          <w:rFonts w:asciiTheme="minorHAnsi" w:hAnsiTheme="minorHAnsi" w:cstheme="minorHAnsi"/>
          <w:sz w:val="22"/>
          <w:szCs w:val="22"/>
        </w:rPr>
        <w:t xml:space="preserve"> </w:t>
      </w:r>
      <w:r w:rsidR="004608F2">
        <w:rPr>
          <w:rFonts w:asciiTheme="minorHAnsi" w:hAnsiTheme="minorHAnsi" w:cstheme="minorHAnsi"/>
          <w:sz w:val="22"/>
          <w:szCs w:val="22"/>
        </w:rPr>
        <w:t xml:space="preserve">based on </w:t>
      </w:r>
      <w:r w:rsidR="002541C4">
        <w:rPr>
          <w:rFonts w:asciiTheme="minorHAnsi" w:hAnsiTheme="minorHAnsi" w:cstheme="minorHAnsi"/>
          <w:sz w:val="22"/>
          <w:szCs w:val="22"/>
        </w:rPr>
        <w:t>PASC</w:t>
      </w:r>
      <w:r w:rsidR="002D2E49">
        <w:rPr>
          <w:rFonts w:asciiTheme="minorHAnsi" w:hAnsiTheme="minorHAnsi" w:cstheme="minorHAnsi"/>
          <w:sz w:val="22"/>
          <w:szCs w:val="22"/>
        </w:rPr>
        <w:t xml:space="preserve"> </w:t>
      </w:r>
      <w:r w:rsidR="00A6098B">
        <w:rPr>
          <w:rFonts w:asciiTheme="minorHAnsi" w:hAnsiTheme="minorHAnsi" w:cstheme="minorHAnsi"/>
          <w:sz w:val="22"/>
          <w:szCs w:val="22"/>
        </w:rPr>
        <w:t>advice</w:t>
      </w:r>
      <w:r w:rsidR="003E3376">
        <w:rPr>
          <w:rFonts w:asciiTheme="minorHAnsi" w:hAnsiTheme="minorHAnsi" w:cstheme="minorHAnsi"/>
          <w:sz w:val="22"/>
          <w:szCs w:val="22"/>
        </w:rPr>
        <w:t>, as follows</w:t>
      </w:r>
      <w:r w:rsidRPr="00E84BA8">
        <w:rPr>
          <w:rFonts w:asciiTheme="minorHAnsi" w:hAnsiTheme="minorHAnsi" w:cstheme="minorHAnsi"/>
          <w:sz w:val="22"/>
          <w:szCs w:val="22"/>
        </w:rPr>
        <w:t xml:space="preserve">: </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2F3E40" w:rsidRPr="00D2670B" w14:paraId="4034848D" w14:textId="77777777" w:rsidTr="56CC05A9">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171FF631" w14:textId="4692EC92" w:rsidR="002F3E40" w:rsidRPr="00DE762F" w:rsidRDefault="002F3E40" w:rsidP="0023599C">
            <w:pPr>
              <w:spacing w:before="40" w:after="40" w:line="240" w:lineRule="auto"/>
              <w:rPr>
                <w:rFonts w:ascii="Arial Narrow" w:hAnsi="Arial Narrow"/>
                <w:sz w:val="20"/>
                <w:szCs w:val="20"/>
              </w:rPr>
            </w:pPr>
            <w:r w:rsidRPr="00DE762F">
              <w:rPr>
                <w:rFonts w:ascii="Arial Narrow" w:hAnsi="Arial Narrow"/>
                <w:sz w:val="20"/>
                <w:szCs w:val="20"/>
              </w:rPr>
              <w:t xml:space="preserve">Category </w:t>
            </w:r>
            <w:r w:rsidR="00E44FC9">
              <w:rPr>
                <w:rFonts w:ascii="Arial Narrow" w:hAnsi="Arial Narrow"/>
                <w:sz w:val="20"/>
                <w:szCs w:val="20"/>
              </w:rPr>
              <w:t>6</w:t>
            </w:r>
            <w:r w:rsidRPr="00D2670B">
              <w:t xml:space="preserve"> – </w:t>
            </w:r>
            <w:r w:rsidR="00E44FC9">
              <w:rPr>
                <w:rFonts w:ascii="Arial Narrow" w:hAnsi="Arial Narrow"/>
                <w:sz w:val="20"/>
                <w:szCs w:val="20"/>
              </w:rPr>
              <w:t>PATHOLOGY SERVICES</w:t>
            </w:r>
          </w:p>
        </w:tc>
      </w:tr>
      <w:tr w:rsidR="002F3E40" w:rsidRPr="005771DC" w14:paraId="028C0CFB" w14:textId="77777777" w:rsidTr="56CC05A9">
        <w:trPr>
          <w:cantSplit/>
          <w:tblHeader/>
        </w:trPr>
        <w:tc>
          <w:tcPr>
            <w:tcW w:w="9242" w:type="dxa"/>
            <w:tcBorders>
              <w:top w:val="single" w:sz="4" w:space="0" w:color="auto"/>
              <w:left w:val="single" w:sz="4" w:space="0" w:color="auto"/>
              <w:bottom w:val="single" w:sz="4" w:space="0" w:color="auto"/>
              <w:right w:val="single" w:sz="4" w:space="0" w:color="auto"/>
            </w:tcBorders>
          </w:tcPr>
          <w:p w14:paraId="39CDEB64" w14:textId="26B97890" w:rsidR="002F3E40" w:rsidRPr="00DE762F" w:rsidRDefault="000D1FCF" w:rsidP="0023599C">
            <w:pPr>
              <w:spacing w:before="120" w:after="120" w:line="240" w:lineRule="auto"/>
              <w:rPr>
                <w:rFonts w:ascii="Arial Narrow" w:hAnsi="Arial Narrow"/>
                <w:sz w:val="20"/>
                <w:szCs w:val="20"/>
              </w:rPr>
            </w:pPr>
            <w:r w:rsidRPr="00DE762F">
              <w:rPr>
                <w:rFonts w:ascii="Arial Narrow" w:hAnsi="Arial Narrow"/>
                <w:sz w:val="20"/>
                <w:szCs w:val="20"/>
              </w:rPr>
              <w:t xml:space="preserve">MBS item </w:t>
            </w:r>
            <w:r w:rsidR="004E3ABF" w:rsidRPr="00DE762F">
              <w:rPr>
                <w:rFonts w:ascii="Arial Narrow" w:hAnsi="Arial Narrow"/>
                <w:sz w:val="20"/>
                <w:szCs w:val="20"/>
              </w:rPr>
              <w:t>*</w:t>
            </w:r>
            <w:r w:rsidRPr="00DE762F">
              <w:rPr>
                <w:rFonts w:ascii="Arial Narrow" w:hAnsi="Arial Narrow"/>
                <w:sz w:val="20"/>
                <w:szCs w:val="20"/>
              </w:rPr>
              <w:t>XXXX</w:t>
            </w:r>
          </w:p>
          <w:p w14:paraId="3757DAFA" w14:textId="4529B2D9" w:rsidR="004608F2" w:rsidRPr="004608F2" w:rsidRDefault="004608F2" w:rsidP="004608F2">
            <w:pPr>
              <w:spacing w:before="120" w:after="120" w:line="240" w:lineRule="auto"/>
              <w:rPr>
                <w:rFonts w:ascii="Arial Narrow" w:hAnsi="Arial Narrow"/>
                <w:sz w:val="20"/>
                <w:szCs w:val="20"/>
              </w:rPr>
            </w:pPr>
            <w:r w:rsidRPr="004608F2">
              <w:rPr>
                <w:rFonts w:ascii="Arial Narrow" w:hAnsi="Arial Narrow"/>
                <w:sz w:val="20"/>
                <w:szCs w:val="20"/>
              </w:rPr>
              <w:t xml:space="preserve">A test of tumour tissue for full characterisation of </w:t>
            </w:r>
            <w:r w:rsidR="00D12AB6">
              <w:rPr>
                <w:rFonts w:ascii="Arial Narrow" w:hAnsi="Arial Narrow"/>
                <w:sz w:val="20"/>
                <w:szCs w:val="20"/>
              </w:rPr>
              <w:t>t</w:t>
            </w:r>
            <w:r w:rsidRPr="004608F2">
              <w:rPr>
                <w:rFonts w:ascii="Arial Narrow" w:hAnsi="Arial Narrow"/>
                <w:sz w:val="20"/>
                <w:szCs w:val="20"/>
              </w:rPr>
              <w:t xml:space="preserve">ier 1 </w:t>
            </w:r>
            <w:r w:rsidRPr="00BD33CC">
              <w:rPr>
                <w:rFonts w:ascii="Arial Narrow" w:hAnsi="Arial Narrow"/>
                <w:i/>
                <w:iCs/>
                <w:sz w:val="20"/>
                <w:szCs w:val="20"/>
              </w:rPr>
              <w:t>PIK3CA, AKT1</w:t>
            </w:r>
            <w:r w:rsidRPr="004608F2">
              <w:rPr>
                <w:rFonts w:ascii="Arial Narrow" w:hAnsi="Arial Narrow"/>
                <w:sz w:val="20"/>
                <w:szCs w:val="20"/>
              </w:rPr>
              <w:t xml:space="preserve"> and </w:t>
            </w:r>
            <w:r w:rsidRPr="00BD33CC">
              <w:rPr>
                <w:rFonts w:ascii="Arial Narrow" w:hAnsi="Arial Narrow"/>
                <w:i/>
                <w:iCs/>
                <w:sz w:val="20"/>
                <w:szCs w:val="20"/>
              </w:rPr>
              <w:t>PTEN</w:t>
            </w:r>
            <w:r w:rsidRPr="004608F2">
              <w:rPr>
                <w:rFonts w:ascii="Arial Narrow" w:hAnsi="Arial Narrow"/>
                <w:sz w:val="20"/>
                <w:szCs w:val="20"/>
              </w:rPr>
              <w:t xml:space="preserve"> gene variants including </w:t>
            </w:r>
            <w:r w:rsidRPr="00BD33CC">
              <w:rPr>
                <w:rFonts w:ascii="Arial Narrow" w:hAnsi="Arial Narrow"/>
                <w:i/>
                <w:iCs/>
                <w:sz w:val="20"/>
                <w:szCs w:val="20"/>
              </w:rPr>
              <w:t>PTEN</w:t>
            </w:r>
            <w:r w:rsidRPr="004608F2">
              <w:rPr>
                <w:rFonts w:ascii="Arial Narrow" w:hAnsi="Arial Narrow"/>
                <w:sz w:val="20"/>
                <w:szCs w:val="20"/>
              </w:rPr>
              <w:t xml:space="preserve"> copy number variants, associated with abrogation of the </w:t>
            </w:r>
            <w:r w:rsidR="001713D9">
              <w:rPr>
                <w:rFonts w:ascii="Arial Narrow" w:hAnsi="Arial Narrow"/>
                <w:sz w:val="20"/>
                <w:szCs w:val="20"/>
              </w:rPr>
              <w:t>AKT pathway</w:t>
            </w:r>
            <w:r w:rsidRPr="004608F2">
              <w:rPr>
                <w:rFonts w:ascii="Arial Narrow" w:hAnsi="Arial Narrow"/>
                <w:sz w:val="20"/>
                <w:szCs w:val="20"/>
              </w:rPr>
              <w:t>, in a patient with:</w:t>
            </w:r>
          </w:p>
          <w:p w14:paraId="407872B3" w14:textId="77777777" w:rsidR="004608F2" w:rsidRPr="004608F2" w:rsidRDefault="004608F2" w:rsidP="004608F2">
            <w:pPr>
              <w:spacing w:before="120" w:after="120" w:line="240" w:lineRule="auto"/>
              <w:rPr>
                <w:rFonts w:ascii="Arial Narrow" w:hAnsi="Arial Narrow"/>
                <w:sz w:val="20"/>
                <w:szCs w:val="20"/>
              </w:rPr>
            </w:pPr>
            <w:r w:rsidRPr="004608F2">
              <w:rPr>
                <w:rFonts w:ascii="Arial Narrow" w:hAnsi="Arial Narrow"/>
                <w:sz w:val="20"/>
                <w:szCs w:val="20"/>
              </w:rPr>
              <w:t>•</w:t>
            </w:r>
            <w:r w:rsidRPr="004608F2">
              <w:rPr>
                <w:rFonts w:ascii="Arial Narrow" w:hAnsi="Arial Narrow"/>
                <w:sz w:val="20"/>
                <w:szCs w:val="20"/>
              </w:rPr>
              <w:tab/>
              <w:t>locally advanced (inoperable) or metastatic hormone receptor positive, HER2- breast cancer; AND</w:t>
            </w:r>
          </w:p>
          <w:p w14:paraId="67D51A9C" w14:textId="0C0F024C" w:rsidR="004608F2" w:rsidRPr="004608F2" w:rsidRDefault="004608F2" w:rsidP="004608F2">
            <w:pPr>
              <w:spacing w:before="120" w:after="120" w:line="240" w:lineRule="auto"/>
              <w:rPr>
                <w:rFonts w:ascii="Arial Narrow" w:hAnsi="Arial Narrow"/>
                <w:sz w:val="20"/>
                <w:szCs w:val="20"/>
              </w:rPr>
            </w:pPr>
            <w:r w:rsidRPr="004608F2">
              <w:rPr>
                <w:rFonts w:ascii="Arial Narrow" w:hAnsi="Arial Narrow"/>
                <w:sz w:val="20"/>
                <w:szCs w:val="20"/>
              </w:rPr>
              <w:t>•</w:t>
            </w:r>
            <w:r w:rsidRPr="004608F2">
              <w:rPr>
                <w:rFonts w:ascii="Arial Narrow" w:hAnsi="Arial Narrow"/>
                <w:sz w:val="20"/>
                <w:szCs w:val="20"/>
              </w:rPr>
              <w:tab/>
              <w:t>following recurrence or progression on or after aromatase inhibitor therapy, with or without a CDK4/6 inhibitor.</w:t>
            </w:r>
          </w:p>
          <w:p w14:paraId="00F1E14E" w14:textId="3BB087FC" w:rsidR="004608F2" w:rsidRPr="00E44FC9" w:rsidRDefault="004608F2" w:rsidP="004608F2">
            <w:pPr>
              <w:spacing w:before="120" w:after="120" w:line="240" w:lineRule="auto"/>
              <w:rPr>
                <w:rFonts w:ascii="Arial Narrow" w:hAnsi="Arial Narrow"/>
                <w:sz w:val="20"/>
                <w:szCs w:val="20"/>
              </w:rPr>
            </w:pPr>
            <w:r w:rsidRPr="004608F2">
              <w:rPr>
                <w:rFonts w:ascii="Arial Narrow" w:hAnsi="Arial Narrow"/>
                <w:sz w:val="20"/>
                <w:szCs w:val="20"/>
              </w:rPr>
              <w:t>As requested by a specialist or consultant physician, to determine eligibility for a treatment listed on the Pharmaceutical Benefits Scheme (PBS) for this context.</w:t>
            </w:r>
          </w:p>
          <w:p w14:paraId="5379CBCB" w14:textId="09D5031C" w:rsidR="00A143E0" w:rsidRPr="00A143E0" w:rsidRDefault="00A143E0" w:rsidP="0023599C">
            <w:pPr>
              <w:spacing w:before="120" w:after="120" w:line="240" w:lineRule="auto"/>
              <w:rPr>
                <w:rFonts w:ascii="Arial Narrow" w:hAnsi="Arial Narrow"/>
                <w:iCs/>
                <w:sz w:val="20"/>
                <w:szCs w:val="20"/>
              </w:rPr>
            </w:pPr>
            <w:r w:rsidRPr="00BD33CC">
              <w:rPr>
                <w:rFonts w:ascii="Arial Narrow" w:hAnsi="Arial Narrow" w:cstheme="minorHAnsi"/>
                <w:iCs/>
                <w:sz w:val="20"/>
                <w:szCs w:val="20"/>
              </w:rPr>
              <w:t>Once per primary tumour diagnosis.</w:t>
            </w:r>
          </w:p>
        </w:tc>
      </w:tr>
      <w:tr w:rsidR="00D2670B" w:rsidRPr="005771DC" w14:paraId="4130676A" w14:textId="77777777" w:rsidTr="56CC05A9">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6A2DE20" w14:textId="4AF8C92B" w:rsidR="00D2670B" w:rsidRPr="00DE762F" w:rsidRDefault="005E1565" w:rsidP="0023599C">
            <w:pPr>
              <w:spacing w:before="40" w:after="40" w:line="240" w:lineRule="auto"/>
              <w:rPr>
                <w:rFonts w:ascii="Arial Narrow" w:hAnsi="Arial Narrow"/>
                <w:sz w:val="20"/>
                <w:szCs w:val="20"/>
              </w:rPr>
            </w:pPr>
            <w:r w:rsidRPr="005E1565">
              <w:rPr>
                <w:rFonts w:ascii="Arial Narrow" w:hAnsi="Arial Narrow"/>
                <w:sz w:val="20"/>
                <w:szCs w:val="20"/>
              </w:rPr>
              <w:t>Fee: $XX</w:t>
            </w:r>
            <w:r w:rsidRPr="005E1565">
              <w:rPr>
                <w:rFonts w:ascii="Arial Narrow" w:hAnsi="Arial Narrow"/>
                <w:sz w:val="20"/>
                <w:szCs w:val="20"/>
              </w:rPr>
              <w:tab/>
              <w:t>Benefit: 75% = $XX</w:t>
            </w:r>
            <w:r w:rsidRPr="005E1565">
              <w:rPr>
                <w:rFonts w:ascii="Arial Narrow" w:hAnsi="Arial Narrow"/>
                <w:sz w:val="20"/>
                <w:szCs w:val="20"/>
              </w:rPr>
              <w:tab/>
            </w:r>
            <w:r w:rsidR="00993404">
              <w:rPr>
                <w:rFonts w:ascii="Arial Narrow" w:hAnsi="Arial Narrow"/>
                <w:sz w:val="20"/>
                <w:szCs w:val="20"/>
              </w:rPr>
              <w:t xml:space="preserve"> </w:t>
            </w:r>
            <w:r w:rsidRPr="005E1565">
              <w:rPr>
                <w:rFonts w:ascii="Arial Narrow" w:hAnsi="Arial Narrow"/>
                <w:sz w:val="20"/>
                <w:szCs w:val="20"/>
              </w:rPr>
              <w:t>85% = $XX</w:t>
            </w:r>
          </w:p>
        </w:tc>
      </w:tr>
    </w:tbl>
    <w:p w14:paraId="3EB1FB72" w14:textId="0918AA44" w:rsidR="008A4BCF" w:rsidRDefault="008A4BCF" w:rsidP="00BD33CC">
      <w:pPr>
        <w:pStyle w:val="Tablenotes"/>
        <w:spacing w:after="0"/>
        <w:jc w:val="left"/>
        <w:rPr>
          <w:rFonts w:eastAsia="Calibri"/>
        </w:rPr>
      </w:pPr>
      <w:r>
        <w:rPr>
          <w:rFonts w:eastAsia="Calibri"/>
        </w:rPr>
        <w:br/>
      </w:r>
      <w:r w:rsidR="002224B4" w:rsidRPr="00A77D0A">
        <w:rPr>
          <w:rFonts w:asciiTheme="minorHAnsi" w:hAnsiTheme="minorHAnsi" w:cstheme="minorHAnsi"/>
          <w:i/>
          <w:sz w:val="22"/>
        </w:rPr>
        <w:t>PASC agreed that the MBS item is applicable once per primary tumour diagnosis</w:t>
      </w:r>
      <w:r w:rsidR="002224B4">
        <w:rPr>
          <w:rFonts w:asciiTheme="minorHAnsi" w:hAnsiTheme="minorHAnsi" w:cstheme="minorHAnsi"/>
          <w:i/>
          <w:sz w:val="22"/>
        </w:rPr>
        <w:t xml:space="preserve"> (allowing for</w:t>
      </w:r>
      <w:r w:rsidR="002224B4">
        <w:t xml:space="preserve"> </w:t>
      </w:r>
      <w:r w:rsidR="002224B4" w:rsidRPr="002224B4">
        <w:rPr>
          <w:rFonts w:asciiTheme="minorHAnsi" w:hAnsiTheme="minorHAnsi" w:cstheme="minorHAnsi"/>
          <w:i/>
          <w:sz w:val="22"/>
        </w:rPr>
        <w:t>treatment decision-making for</w:t>
      </w:r>
      <w:r w:rsidR="002224B4">
        <w:rPr>
          <w:rFonts w:asciiTheme="minorHAnsi" w:hAnsiTheme="minorHAnsi" w:cstheme="minorHAnsi"/>
          <w:i/>
          <w:sz w:val="22"/>
        </w:rPr>
        <w:t xml:space="preserve"> a</w:t>
      </w:r>
      <w:r w:rsidR="002224B4" w:rsidRPr="002224B4">
        <w:rPr>
          <w:rFonts w:asciiTheme="minorHAnsi" w:hAnsiTheme="minorHAnsi" w:cstheme="minorHAnsi"/>
          <w:i/>
          <w:sz w:val="22"/>
        </w:rPr>
        <w:t xml:space="preserve"> potential second BC tum</w:t>
      </w:r>
      <w:r w:rsidR="002224B4">
        <w:rPr>
          <w:rFonts w:asciiTheme="minorHAnsi" w:hAnsiTheme="minorHAnsi" w:cstheme="minorHAnsi"/>
          <w:i/>
          <w:sz w:val="22"/>
        </w:rPr>
        <w:t>our).</w:t>
      </w:r>
    </w:p>
    <w:p w14:paraId="33FECF85" w14:textId="4BC8938E" w:rsidR="00160480" w:rsidRDefault="00160480" w:rsidP="00BD33CC">
      <w:pPr>
        <w:pStyle w:val="Instructionaltext-afterfiguretable"/>
        <w:spacing w:before="120"/>
        <w:rPr>
          <w:rFonts w:eastAsia="Calibri" w:cs="Times New Roman"/>
          <w:color w:val="auto"/>
        </w:rPr>
      </w:pPr>
      <w:r w:rsidRPr="00160480">
        <w:rPr>
          <w:rFonts w:eastAsia="Calibri" w:cs="Times New Roman"/>
          <w:color w:val="auto"/>
        </w:rPr>
        <w:t xml:space="preserve">The </w:t>
      </w:r>
      <w:r w:rsidR="00002A95">
        <w:rPr>
          <w:rFonts w:eastAsia="Calibri" w:cs="Times New Roman"/>
          <w:color w:val="auto"/>
        </w:rPr>
        <w:t>applicant</w:t>
      </w:r>
      <w:r w:rsidRPr="00160480">
        <w:rPr>
          <w:rFonts w:eastAsia="Calibri" w:cs="Times New Roman"/>
          <w:color w:val="auto"/>
        </w:rPr>
        <w:t xml:space="preserve"> proposed MBS item descriptor was amended to include</w:t>
      </w:r>
      <w:r>
        <w:rPr>
          <w:rFonts w:eastAsia="Calibri" w:cs="Times New Roman"/>
          <w:color w:val="auto"/>
        </w:rPr>
        <w:t xml:space="preserve"> “</w:t>
      </w:r>
      <w:r w:rsidRPr="00160480">
        <w:rPr>
          <w:rFonts w:eastAsia="Calibri" w:cs="Times New Roman"/>
          <w:color w:val="auto"/>
        </w:rPr>
        <w:t>AND</w:t>
      </w:r>
      <w:r>
        <w:rPr>
          <w:rFonts w:eastAsia="Calibri" w:cs="Times New Roman"/>
          <w:color w:val="auto"/>
        </w:rPr>
        <w:t xml:space="preserve"> </w:t>
      </w:r>
      <w:r w:rsidRPr="00160480">
        <w:rPr>
          <w:rFonts w:eastAsia="Calibri" w:cs="Times New Roman"/>
          <w:color w:val="auto"/>
        </w:rPr>
        <w:t>following recurrence or progression on or after aromatase inhibitor therapy, with or without a CDK4/6 inhibitor</w:t>
      </w:r>
      <w:r>
        <w:rPr>
          <w:rFonts w:eastAsia="Calibri" w:cs="Times New Roman"/>
          <w:color w:val="auto"/>
        </w:rPr>
        <w:t>”, so as to be consistent with the target test population</w:t>
      </w:r>
      <w:r w:rsidR="000B3856">
        <w:rPr>
          <w:rFonts w:eastAsia="Calibri" w:cs="Times New Roman"/>
          <w:color w:val="auto"/>
        </w:rPr>
        <w:t xml:space="preserve"> as well as the study population in</w:t>
      </w:r>
      <w:r w:rsidR="007828E6">
        <w:rPr>
          <w:rFonts w:eastAsia="Calibri" w:cs="Times New Roman"/>
          <w:color w:val="auto"/>
        </w:rPr>
        <w:t xml:space="preserve"> the</w:t>
      </w:r>
      <w:r w:rsidR="000B3856">
        <w:rPr>
          <w:rFonts w:eastAsia="Calibri" w:cs="Times New Roman"/>
          <w:color w:val="auto"/>
        </w:rPr>
        <w:t xml:space="preserve"> CAPitello-291 trial.</w:t>
      </w:r>
    </w:p>
    <w:p w14:paraId="5B9D976F" w14:textId="112EEDF5" w:rsidR="00D66F70" w:rsidRDefault="00D66F70" w:rsidP="00BD33CC">
      <w:pPr>
        <w:pStyle w:val="Instructionaltext-afterfiguretable"/>
        <w:spacing w:before="120"/>
        <w:rPr>
          <w:rFonts w:eastAsia="Calibri" w:cs="Times New Roman"/>
          <w:color w:val="auto"/>
        </w:rPr>
      </w:pPr>
      <w:r>
        <w:rPr>
          <w:rFonts w:eastAsia="Calibri" w:cs="Times New Roman"/>
          <w:color w:val="auto"/>
        </w:rPr>
        <w:t xml:space="preserve">The proposed MBS item descriptor is silent on </w:t>
      </w:r>
      <w:r w:rsidRPr="00D66F70">
        <w:rPr>
          <w:rFonts w:eastAsia="Calibri" w:cs="Times New Roman"/>
          <w:color w:val="auto"/>
        </w:rPr>
        <w:t xml:space="preserve">test methodology </w:t>
      </w:r>
      <w:r w:rsidR="00F051A1">
        <w:rPr>
          <w:rFonts w:eastAsia="Calibri" w:cs="Times New Roman"/>
          <w:color w:val="auto"/>
        </w:rPr>
        <w:t xml:space="preserve">based on the advice of the Department </w:t>
      </w:r>
      <w:r w:rsidRPr="00D66F70">
        <w:rPr>
          <w:rFonts w:eastAsia="Calibri" w:cs="Times New Roman"/>
          <w:color w:val="auto"/>
        </w:rPr>
        <w:t>in order to take into account current laboratory preferences as well as technological advancements to future-proof the descriptor</w:t>
      </w:r>
      <w:r>
        <w:rPr>
          <w:rFonts w:eastAsia="Calibri" w:cs="Times New Roman"/>
          <w:color w:val="auto"/>
        </w:rPr>
        <w:t xml:space="preserve">. </w:t>
      </w:r>
    </w:p>
    <w:p w14:paraId="5C204045" w14:textId="333F5D3C" w:rsidR="004A6338" w:rsidRDefault="004E2CBB" w:rsidP="00BD33CC">
      <w:pPr>
        <w:pStyle w:val="Instructionaltext-afterfiguretable"/>
        <w:spacing w:before="120"/>
        <w:rPr>
          <w:rFonts w:eastAsia="Calibri" w:cs="Times New Roman"/>
          <w:color w:val="auto"/>
        </w:rPr>
      </w:pPr>
      <w:r>
        <w:rPr>
          <w:rFonts w:eastAsia="Calibri" w:cs="Times New Roman"/>
          <w:color w:val="auto"/>
        </w:rPr>
        <w:t>AKT serine/threonine kinase inhibitor</w:t>
      </w:r>
      <w:r w:rsidR="001C57EC">
        <w:rPr>
          <w:rFonts w:eastAsia="Calibri" w:cs="Times New Roman"/>
          <w:color w:val="auto"/>
        </w:rPr>
        <w:t>s</w:t>
      </w:r>
      <w:r>
        <w:rPr>
          <w:rFonts w:eastAsia="Calibri" w:cs="Times New Roman"/>
          <w:color w:val="auto"/>
        </w:rPr>
        <w:t xml:space="preserve"> </w:t>
      </w:r>
      <w:r w:rsidR="001C57EC">
        <w:rPr>
          <w:rFonts w:eastAsia="Calibri" w:cs="Times New Roman"/>
          <w:color w:val="auto"/>
        </w:rPr>
        <w:t>are</w:t>
      </w:r>
      <w:r>
        <w:rPr>
          <w:rFonts w:eastAsia="Calibri" w:cs="Times New Roman"/>
          <w:color w:val="auto"/>
        </w:rPr>
        <w:t xml:space="preserve"> </w:t>
      </w:r>
      <w:r w:rsidR="001C57EC">
        <w:rPr>
          <w:rFonts w:eastAsia="Calibri" w:cs="Times New Roman"/>
          <w:color w:val="auto"/>
        </w:rPr>
        <w:t xml:space="preserve">not </w:t>
      </w:r>
      <w:r>
        <w:rPr>
          <w:rFonts w:eastAsia="Calibri" w:cs="Times New Roman"/>
          <w:color w:val="auto"/>
        </w:rPr>
        <w:t xml:space="preserve">currently PBS-listed. </w:t>
      </w:r>
      <w:r w:rsidR="003F76FB">
        <w:rPr>
          <w:rFonts w:eastAsia="Calibri" w:cs="Times New Roman"/>
          <w:color w:val="auto"/>
        </w:rPr>
        <w:t>An application</w:t>
      </w:r>
      <w:r w:rsidR="000639E8">
        <w:rPr>
          <w:rFonts w:eastAsia="Calibri" w:cs="Times New Roman"/>
          <w:color w:val="auto"/>
        </w:rPr>
        <w:t xml:space="preserve"> </w:t>
      </w:r>
      <w:r w:rsidR="000276BD">
        <w:rPr>
          <w:rFonts w:eastAsia="Calibri" w:cs="Times New Roman"/>
          <w:color w:val="auto"/>
        </w:rPr>
        <w:t>for</w:t>
      </w:r>
      <w:r w:rsidR="000639E8">
        <w:rPr>
          <w:rFonts w:eastAsia="Calibri" w:cs="Times New Roman"/>
          <w:color w:val="auto"/>
        </w:rPr>
        <w:t xml:space="preserve"> capivasertib</w:t>
      </w:r>
      <w:r w:rsidR="003F76FB">
        <w:rPr>
          <w:rFonts w:eastAsia="Calibri" w:cs="Times New Roman"/>
          <w:color w:val="auto"/>
        </w:rPr>
        <w:t xml:space="preserve"> </w:t>
      </w:r>
      <w:r w:rsidR="004A6338" w:rsidRPr="004A6338">
        <w:rPr>
          <w:rFonts w:eastAsia="Calibri" w:cs="Times New Roman"/>
          <w:color w:val="auto"/>
        </w:rPr>
        <w:t xml:space="preserve">will be </w:t>
      </w:r>
      <w:r w:rsidR="000276BD">
        <w:rPr>
          <w:rFonts w:eastAsia="Calibri" w:cs="Times New Roman"/>
          <w:color w:val="auto"/>
        </w:rPr>
        <w:t>submitted</w:t>
      </w:r>
      <w:r w:rsidR="004A6338" w:rsidRPr="004A6338">
        <w:rPr>
          <w:rFonts w:eastAsia="Calibri" w:cs="Times New Roman"/>
          <w:color w:val="auto"/>
        </w:rPr>
        <w:t xml:space="preserve"> to the PBAC and </w:t>
      </w:r>
      <w:r w:rsidR="000276BD">
        <w:rPr>
          <w:rFonts w:eastAsia="Calibri" w:cs="Times New Roman"/>
          <w:color w:val="auto"/>
        </w:rPr>
        <w:t xml:space="preserve">the </w:t>
      </w:r>
      <w:r w:rsidR="00AB12D5">
        <w:rPr>
          <w:rFonts w:eastAsia="Calibri" w:cs="Times New Roman"/>
          <w:color w:val="auto"/>
        </w:rPr>
        <w:t>applicant’s</w:t>
      </w:r>
      <w:r w:rsidR="004A6338" w:rsidRPr="004A6338">
        <w:rPr>
          <w:rFonts w:eastAsia="Calibri" w:cs="Times New Roman"/>
          <w:color w:val="auto"/>
        </w:rPr>
        <w:t xml:space="preserve"> proposed PBAC meeting date relevant to this codependent application </w:t>
      </w:r>
      <w:r w:rsidR="00B60BD1">
        <w:rPr>
          <w:rFonts w:eastAsia="Calibri" w:cs="Times New Roman"/>
          <w:color w:val="auto"/>
        </w:rPr>
        <w:t>is</w:t>
      </w:r>
      <w:r w:rsidR="00416FBA">
        <w:rPr>
          <w:rFonts w:eastAsia="Calibri" w:cs="Times New Roman"/>
          <w:color w:val="auto"/>
        </w:rPr>
        <w:t xml:space="preserve"> </w:t>
      </w:r>
      <w:r w:rsidR="004A6338" w:rsidRPr="004A6338">
        <w:rPr>
          <w:rFonts w:eastAsia="Calibri" w:cs="Times New Roman"/>
          <w:color w:val="auto"/>
        </w:rPr>
        <w:t>6th November 2024.</w:t>
      </w:r>
    </w:p>
    <w:p w14:paraId="2DB64645" w14:textId="17789E1D" w:rsidR="00807123" w:rsidRDefault="00807123" w:rsidP="00BD33CC">
      <w:pPr>
        <w:pStyle w:val="Instructionaltext-afterfiguretable"/>
        <w:spacing w:before="120"/>
        <w:rPr>
          <w:rFonts w:eastAsia="Calibri" w:cs="Times New Roman"/>
          <w:color w:val="auto"/>
        </w:rPr>
      </w:pPr>
      <w:r>
        <w:rPr>
          <w:rFonts w:eastAsia="Calibri" w:cs="Times New Roman"/>
          <w:color w:val="auto"/>
        </w:rPr>
        <w:t xml:space="preserve">The applicant </w:t>
      </w:r>
      <w:r w:rsidR="00E2613C">
        <w:rPr>
          <w:rFonts w:eastAsia="Calibri" w:cs="Times New Roman"/>
          <w:color w:val="auto"/>
        </w:rPr>
        <w:t xml:space="preserve">was </w:t>
      </w:r>
      <w:r>
        <w:rPr>
          <w:rFonts w:eastAsia="Calibri" w:cs="Times New Roman"/>
          <w:color w:val="auto"/>
        </w:rPr>
        <w:t>unable to propose a</w:t>
      </w:r>
      <w:r w:rsidR="001B734A">
        <w:rPr>
          <w:rFonts w:eastAsia="Calibri" w:cs="Times New Roman"/>
          <w:color w:val="auto"/>
        </w:rPr>
        <w:t>n</w:t>
      </w:r>
      <w:r>
        <w:rPr>
          <w:rFonts w:eastAsia="Calibri" w:cs="Times New Roman"/>
          <w:color w:val="auto"/>
        </w:rPr>
        <w:t xml:space="preserve"> MBS fee because the cost of the current test </w:t>
      </w:r>
      <w:r w:rsidR="00414E36">
        <w:rPr>
          <w:rFonts w:eastAsia="Calibri" w:cs="Times New Roman"/>
          <w:color w:val="auto"/>
        </w:rPr>
        <w:t>wa</w:t>
      </w:r>
      <w:r>
        <w:rPr>
          <w:rFonts w:eastAsia="Calibri" w:cs="Times New Roman"/>
          <w:color w:val="auto"/>
        </w:rPr>
        <w:t>s unknown.</w:t>
      </w:r>
      <w:r w:rsidR="00BE2E70">
        <w:rPr>
          <w:rFonts w:eastAsia="Calibri" w:cs="Times New Roman"/>
          <w:color w:val="auto"/>
        </w:rPr>
        <w:t xml:space="preserve"> The applicant </w:t>
      </w:r>
      <w:r w:rsidR="00BE2E70" w:rsidRPr="00BE2E70">
        <w:rPr>
          <w:rFonts w:eastAsia="Calibri" w:cs="Times New Roman"/>
          <w:color w:val="auto"/>
        </w:rPr>
        <w:t>was advised to consult with the RCPA to seek additional advice on any uncertainty, including suitable MBS fee.</w:t>
      </w:r>
    </w:p>
    <w:p w14:paraId="39723DB4" w14:textId="63F3E157" w:rsidR="00A72E9B" w:rsidRPr="00BD33CC" w:rsidRDefault="00A72E9B" w:rsidP="00BD33CC">
      <w:pPr>
        <w:autoSpaceDE w:val="0"/>
        <w:autoSpaceDN w:val="0"/>
        <w:adjustRightInd w:val="0"/>
        <w:spacing w:before="120" w:after="160" w:line="259" w:lineRule="auto"/>
        <w:rPr>
          <w:rFonts w:asciiTheme="minorHAnsi" w:hAnsiTheme="minorHAnsi" w:cstheme="minorHAnsi"/>
          <w:i/>
          <w:iCs/>
        </w:rPr>
      </w:pPr>
      <w:r w:rsidRPr="00A72E9B">
        <w:rPr>
          <w:rFonts w:asciiTheme="minorHAnsi" w:hAnsiTheme="minorHAnsi" w:cstheme="minorHAnsi"/>
          <w:i/>
          <w:iCs/>
        </w:rPr>
        <w:t>PASC noted that no fee had been supplied by applicant.</w:t>
      </w:r>
    </w:p>
    <w:p w14:paraId="1D10F75B" w14:textId="3FFA95A1" w:rsidR="009A1460" w:rsidRDefault="0098179D" w:rsidP="00BD33CC">
      <w:pPr>
        <w:pStyle w:val="Instructionaltext-afterfiguretable"/>
        <w:spacing w:before="120"/>
        <w:rPr>
          <w:rFonts w:eastAsia="Calibri" w:cs="Times New Roman"/>
          <w:color w:val="auto"/>
        </w:rPr>
      </w:pPr>
      <w:r>
        <w:rPr>
          <w:rFonts w:eastAsia="Calibri" w:cs="Times New Roman"/>
          <w:color w:val="auto"/>
        </w:rPr>
        <w:t>Referring to existing and similar MBS items, the fee for AKT pathway-alteration testing which target</w:t>
      </w:r>
      <w:r w:rsidR="00504FFE">
        <w:rPr>
          <w:rFonts w:eastAsia="Calibri" w:cs="Times New Roman"/>
          <w:color w:val="auto"/>
        </w:rPr>
        <w:t>s</w:t>
      </w:r>
      <w:r>
        <w:rPr>
          <w:rFonts w:eastAsia="Calibri" w:cs="Times New Roman"/>
          <w:color w:val="auto"/>
        </w:rPr>
        <w:t xml:space="preserve"> </w:t>
      </w:r>
      <w:r w:rsidR="009E31C9">
        <w:rPr>
          <w:rFonts w:eastAsia="Calibri" w:cs="Times New Roman"/>
          <w:color w:val="auto"/>
        </w:rPr>
        <w:t>three</w:t>
      </w:r>
      <w:r>
        <w:rPr>
          <w:rFonts w:eastAsia="Calibri" w:cs="Times New Roman"/>
          <w:color w:val="auto"/>
        </w:rPr>
        <w:t xml:space="preserve"> genes could potentially cost </w:t>
      </w:r>
      <w:r w:rsidR="00784496">
        <w:rPr>
          <w:rFonts w:eastAsia="Calibri" w:cs="Times New Roman"/>
          <w:color w:val="auto"/>
        </w:rPr>
        <w:t xml:space="preserve">around </w:t>
      </w:r>
      <w:r w:rsidR="007B2769">
        <w:rPr>
          <w:rFonts w:eastAsia="Calibri" w:cs="Times New Roman"/>
          <w:color w:val="auto"/>
        </w:rPr>
        <w:t>$1</w:t>
      </w:r>
      <w:r w:rsidR="00E56C58">
        <w:rPr>
          <w:rFonts w:eastAsia="Calibri" w:cs="Times New Roman"/>
          <w:color w:val="auto"/>
        </w:rPr>
        <w:t>,</w:t>
      </w:r>
      <w:r w:rsidR="007B2769">
        <w:rPr>
          <w:rFonts w:eastAsia="Calibri" w:cs="Times New Roman"/>
          <w:color w:val="auto"/>
        </w:rPr>
        <w:t>000-$</w:t>
      </w:r>
      <w:r>
        <w:rPr>
          <w:rFonts w:eastAsia="Calibri" w:cs="Times New Roman"/>
          <w:color w:val="auto"/>
        </w:rPr>
        <w:t>1</w:t>
      </w:r>
      <w:r w:rsidR="00E56C58">
        <w:rPr>
          <w:rFonts w:eastAsia="Calibri" w:cs="Times New Roman"/>
          <w:color w:val="auto"/>
        </w:rPr>
        <w:t>,</w:t>
      </w:r>
      <w:r>
        <w:rPr>
          <w:rFonts w:eastAsia="Calibri" w:cs="Times New Roman"/>
          <w:color w:val="auto"/>
        </w:rPr>
        <w:t>200</w:t>
      </w:r>
      <w:r w:rsidR="00CA67BD">
        <w:rPr>
          <w:rFonts w:eastAsia="Calibri" w:cs="Times New Roman"/>
          <w:color w:val="auto"/>
        </w:rPr>
        <w:t>.</w:t>
      </w:r>
    </w:p>
    <w:p w14:paraId="68BAA1CF" w14:textId="3D6A83D0" w:rsidR="000A1FB7" w:rsidRDefault="009A1460" w:rsidP="00BD33CC">
      <w:pPr>
        <w:pStyle w:val="Instructionaltext-afterfiguretable"/>
        <w:numPr>
          <w:ilvl w:val="0"/>
          <w:numId w:val="15"/>
        </w:numPr>
        <w:spacing w:before="120"/>
        <w:rPr>
          <w:rFonts w:eastAsia="Calibri" w:cs="Times New Roman"/>
          <w:color w:val="auto"/>
        </w:rPr>
      </w:pPr>
      <w:r>
        <w:rPr>
          <w:rFonts w:eastAsia="Calibri" w:cs="Times New Roman"/>
          <w:color w:val="auto"/>
        </w:rPr>
        <w:t xml:space="preserve">MBS item 73433 using NGS testing for </w:t>
      </w:r>
      <w:r w:rsidRPr="00302B40">
        <w:rPr>
          <w:rFonts w:eastAsia="Calibri" w:cs="Times New Roman"/>
          <w:i/>
          <w:iCs/>
          <w:color w:val="auto"/>
        </w:rPr>
        <w:t>NTRK1, NTRK2, NTRK3</w:t>
      </w:r>
      <w:r>
        <w:rPr>
          <w:rFonts w:eastAsia="Calibri" w:cs="Times New Roman"/>
          <w:color w:val="auto"/>
        </w:rPr>
        <w:t xml:space="preserve"> genes </w:t>
      </w:r>
      <w:r w:rsidR="003E7539">
        <w:rPr>
          <w:rFonts w:eastAsia="Calibri" w:cs="Times New Roman"/>
          <w:color w:val="auto"/>
        </w:rPr>
        <w:t xml:space="preserve">in tumour tissues </w:t>
      </w:r>
      <w:r>
        <w:rPr>
          <w:rFonts w:eastAsia="Calibri" w:cs="Times New Roman"/>
          <w:color w:val="auto"/>
        </w:rPr>
        <w:t>– Fee:</w:t>
      </w:r>
      <w:r w:rsidR="0075031A">
        <w:rPr>
          <w:rFonts w:eastAsia="Calibri" w:cs="Times New Roman"/>
          <w:color w:val="auto"/>
        </w:rPr>
        <w:t xml:space="preserve"> </w:t>
      </w:r>
      <w:r w:rsidR="000001D2">
        <w:rPr>
          <w:rFonts w:eastAsia="Calibri" w:cs="Times New Roman"/>
          <w:color w:val="auto"/>
        </w:rPr>
        <w:t>$</w:t>
      </w:r>
      <w:r>
        <w:rPr>
          <w:rFonts w:eastAsia="Calibri" w:cs="Times New Roman"/>
          <w:color w:val="auto"/>
        </w:rPr>
        <w:t>1,000</w:t>
      </w:r>
    </w:p>
    <w:p w14:paraId="227371B9" w14:textId="3A4F93DB" w:rsidR="003E7539" w:rsidRPr="000A1FB7" w:rsidRDefault="003E7539" w:rsidP="00BD33CC">
      <w:pPr>
        <w:pStyle w:val="Instructionaltext-afterfiguretable"/>
        <w:numPr>
          <w:ilvl w:val="0"/>
          <w:numId w:val="15"/>
        </w:numPr>
        <w:spacing w:before="120"/>
        <w:rPr>
          <w:rFonts w:eastAsia="Calibri" w:cs="Times New Roman"/>
          <w:color w:val="auto"/>
        </w:rPr>
      </w:pPr>
      <w:r w:rsidRPr="000A1FB7">
        <w:rPr>
          <w:rFonts w:eastAsia="Calibri" w:cs="Times New Roman"/>
          <w:color w:val="auto"/>
        </w:rPr>
        <w:t>MBS item 73337 for EGFR gene in tumour tissue – Fee:</w:t>
      </w:r>
      <w:r w:rsidR="0075031A">
        <w:rPr>
          <w:rFonts w:eastAsia="Calibri" w:cs="Times New Roman"/>
          <w:color w:val="auto"/>
        </w:rPr>
        <w:t xml:space="preserve"> </w:t>
      </w:r>
      <w:r w:rsidRPr="000A1FB7">
        <w:rPr>
          <w:rFonts w:eastAsia="Calibri" w:cs="Times New Roman"/>
          <w:color w:val="auto"/>
        </w:rPr>
        <w:t>$397.35</w:t>
      </w:r>
    </w:p>
    <w:p w14:paraId="610FF989" w14:textId="7A55E140" w:rsidR="00943DCB" w:rsidRDefault="0A9D72D9" w:rsidP="00BD33CC">
      <w:pPr>
        <w:spacing w:before="120" w:after="160" w:line="259" w:lineRule="auto"/>
      </w:pPr>
      <w:r>
        <w:t xml:space="preserve">Germline </w:t>
      </w:r>
      <w:r w:rsidR="00651D23" w:rsidRPr="00651D23">
        <w:rPr>
          <w:i/>
          <w:iCs/>
        </w:rPr>
        <w:t>PTEN</w:t>
      </w:r>
      <w:r w:rsidR="15DB77A5">
        <w:t xml:space="preserve"> testing is currently available via MBS item 73296</w:t>
      </w:r>
      <w:r w:rsidR="0004763D">
        <w:t xml:space="preserve"> at a fee of $1</w:t>
      </w:r>
      <w:r w:rsidR="00E56C58">
        <w:t>,</w:t>
      </w:r>
      <w:r w:rsidR="0004763D">
        <w:t>200 (inclusive of at least three genes testing)</w:t>
      </w:r>
      <w:r w:rsidR="15DB77A5">
        <w:t>.</w:t>
      </w:r>
      <w:r w:rsidR="0004763D">
        <w:t xml:space="preserve"> MBS item 73296 includes the characterisation of germline gene variants, in</w:t>
      </w:r>
      <w:r w:rsidR="0004763D">
        <w:rPr>
          <w:color w:val="222222"/>
        </w:rPr>
        <w:t xml:space="preserve"> genes associated with breast, ovarian, fallopian tube or primary peritoneal cancer, which must include at least: </w:t>
      </w:r>
      <w:r w:rsidR="0004763D">
        <w:rPr>
          <w:i/>
          <w:iCs/>
          <w:color w:val="222222"/>
        </w:rPr>
        <w:t>BRCA1</w:t>
      </w:r>
      <w:r w:rsidR="0004763D">
        <w:rPr>
          <w:color w:val="222222"/>
        </w:rPr>
        <w:t xml:space="preserve"> and </w:t>
      </w:r>
      <w:r w:rsidR="0004763D">
        <w:rPr>
          <w:i/>
          <w:iCs/>
          <w:color w:val="222222"/>
        </w:rPr>
        <w:t>BRCA 2</w:t>
      </w:r>
      <w:r w:rsidR="0004763D">
        <w:rPr>
          <w:color w:val="222222"/>
        </w:rPr>
        <w:t xml:space="preserve"> genes; and one or more </w:t>
      </w:r>
      <w:r w:rsidR="0004763D">
        <w:rPr>
          <w:i/>
          <w:iCs/>
          <w:color w:val="222222"/>
        </w:rPr>
        <w:t>STK11, PTEN, CDH1, PALB2</w:t>
      </w:r>
      <w:r w:rsidR="0004763D">
        <w:rPr>
          <w:color w:val="222222"/>
        </w:rPr>
        <w:t xml:space="preserve"> and </w:t>
      </w:r>
      <w:r w:rsidR="0004763D">
        <w:rPr>
          <w:i/>
          <w:iCs/>
          <w:color w:val="222222"/>
        </w:rPr>
        <w:t>TP53</w:t>
      </w:r>
      <w:r w:rsidR="0004763D">
        <w:rPr>
          <w:color w:val="222222"/>
        </w:rPr>
        <w:t>.</w:t>
      </w:r>
      <w:r w:rsidR="15DB77A5">
        <w:t xml:space="preserve"> PASC’s advi</w:t>
      </w:r>
      <w:r w:rsidR="49D0087C">
        <w:t>c</w:t>
      </w:r>
      <w:r w:rsidR="15DB77A5">
        <w:t xml:space="preserve">e </w:t>
      </w:r>
      <w:r w:rsidR="16F4B46A">
        <w:t>is</w:t>
      </w:r>
      <w:r w:rsidR="15DB77A5">
        <w:t xml:space="preserve"> sought </w:t>
      </w:r>
      <w:r w:rsidR="75F6B602">
        <w:t xml:space="preserve">as to </w:t>
      </w:r>
      <w:r w:rsidR="709549FB">
        <w:t>whether</w:t>
      </w:r>
      <w:r w:rsidR="00D45B41">
        <w:t xml:space="preserve"> the </w:t>
      </w:r>
      <w:r w:rsidR="5AAD2E8C">
        <w:t xml:space="preserve">claimed MBS item 73296 </w:t>
      </w:r>
      <w:r w:rsidR="00352490">
        <w:t>sh</w:t>
      </w:r>
      <w:r w:rsidR="5AAD2E8C">
        <w:t>ould affect patients</w:t>
      </w:r>
      <w:r w:rsidR="00352490">
        <w:t>’</w:t>
      </w:r>
      <w:r w:rsidR="5AAD2E8C">
        <w:t xml:space="preserve"> eligibility for this</w:t>
      </w:r>
      <w:r w:rsidR="7E6412CF">
        <w:t xml:space="preserve"> </w:t>
      </w:r>
      <w:r w:rsidR="680EE298">
        <w:t xml:space="preserve">proposed MBS item for </w:t>
      </w:r>
      <w:r w:rsidR="001713D9">
        <w:lastRenderedPageBreak/>
        <w:t>AKT pathway</w:t>
      </w:r>
      <w:r w:rsidR="680EE298">
        <w:t xml:space="preserve"> alteration</w:t>
      </w:r>
      <w:r w:rsidR="60932353">
        <w:t>s</w:t>
      </w:r>
      <w:r w:rsidR="680EE298">
        <w:t xml:space="preserve"> testing</w:t>
      </w:r>
      <w:r w:rsidR="5AAD2E8C">
        <w:t>.</w:t>
      </w:r>
      <w:r w:rsidR="709549FB">
        <w:t xml:space="preserve"> </w:t>
      </w:r>
      <w:bookmarkStart w:id="24" w:name="_Hlk143691641"/>
      <w:r w:rsidR="00D45B41">
        <w:t>On the one hand</w:t>
      </w:r>
      <w:r w:rsidR="00D94B02">
        <w:t xml:space="preserve">, </w:t>
      </w:r>
      <w:r w:rsidR="00943DCB">
        <w:t xml:space="preserve">patients with positive </w:t>
      </w:r>
      <w:r w:rsidR="00C649FA">
        <w:t xml:space="preserve">germline </w:t>
      </w:r>
      <w:r w:rsidR="00943DCB" w:rsidRPr="00302B40">
        <w:rPr>
          <w:i/>
          <w:iCs/>
        </w:rPr>
        <w:t>PTEN</w:t>
      </w:r>
      <w:r w:rsidR="00943DCB">
        <w:t xml:space="preserve"> </w:t>
      </w:r>
      <w:r w:rsidR="00D24CC2">
        <w:t xml:space="preserve">pathogenic </w:t>
      </w:r>
      <w:r w:rsidR="00943DCB">
        <w:t xml:space="preserve">variants (via item 73296) </w:t>
      </w:r>
      <w:r w:rsidR="00D94B02">
        <w:t>c</w:t>
      </w:r>
      <w:r w:rsidR="00943DCB">
        <w:t xml:space="preserve">ould </w:t>
      </w:r>
      <w:r w:rsidR="0045281C">
        <w:t>be excluded from</w:t>
      </w:r>
      <w:r w:rsidR="00943DCB">
        <w:t xml:space="preserve"> access to proposed </w:t>
      </w:r>
      <w:r w:rsidR="001713D9">
        <w:t>AKT pathway</w:t>
      </w:r>
      <w:r w:rsidR="00943DCB">
        <w:t xml:space="preserve"> testing </w:t>
      </w:r>
      <w:r w:rsidR="00D94B02">
        <w:t>because</w:t>
      </w:r>
      <w:r w:rsidR="00943DCB">
        <w:t xml:space="preserve"> they are already deemed eligible for treatment</w:t>
      </w:r>
      <w:r w:rsidR="00D94B02">
        <w:t xml:space="preserve"> due to testing positive </w:t>
      </w:r>
      <w:r w:rsidR="008551E5">
        <w:t xml:space="preserve">for the </w:t>
      </w:r>
      <w:r w:rsidR="00DD2058">
        <w:t xml:space="preserve">germline </w:t>
      </w:r>
      <w:r w:rsidR="008551E5" w:rsidRPr="00E84BA8">
        <w:rPr>
          <w:i/>
        </w:rPr>
        <w:t xml:space="preserve">PTEN </w:t>
      </w:r>
      <w:r w:rsidR="00DD2058" w:rsidRPr="00E84BA8">
        <w:t>patho</w:t>
      </w:r>
      <w:r w:rsidR="001B4F27">
        <w:t>genic</w:t>
      </w:r>
      <w:r w:rsidR="00DD2058" w:rsidRPr="00E84BA8">
        <w:t xml:space="preserve"> </w:t>
      </w:r>
      <w:r w:rsidR="008551E5">
        <w:t>varian</w:t>
      </w:r>
      <w:r w:rsidR="00DD2058">
        <w:t>t</w:t>
      </w:r>
      <w:r w:rsidR="008551E5">
        <w:t xml:space="preserve">. On the other </w:t>
      </w:r>
      <w:r w:rsidR="00717C54">
        <w:t>hand, testing</w:t>
      </w:r>
      <w:r w:rsidR="00943DCB">
        <w:t xml:space="preserve"> for </w:t>
      </w:r>
      <w:r w:rsidR="00943DCB" w:rsidRPr="00302B40">
        <w:rPr>
          <w:i/>
          <w:iCs/>
        </w:rPr>
        <w:t>PIK3CA</w:t>
      </w:r>
      <w:r w:rsidR="00943DCB">
        <w:t xml:space="preserve"> </w:t>
      </w:r>
      <w:r w:rsidR="0018137D">
        <w:t>and</w:t>
      </w:r>
      <w:r w:rsidR="002155FB">
        <w:t xml:space="preserve"> </w:t>
      </w:r>
      <w:r w:rsidR="00943DCB" w:rsidRPr="00302B40">
        <w:rPr>
          <w:i/>
          <w:iCs/>
        </w:rPr>
        <w:t>AKT1</w:t>
      </w:r>
      <w:r w:rsidR="00943DCB">
        <w:t xml:space="preserve"> </w:t>
      </w:r>
      <w:r w:rsidR="00A07EB8">
        <w:t xml:space="preserve">through the proposed </w:t>
      </w:r>
      <w:r w:rsidR="001713D9">
        <w:t>AKT pathway</w:t>
      </w:r>
      <w:r w:rsidR="00A07EB8">
        <w:t xml:space="preserve"> testing</w:t>
      </w:r>
      <w:r w:rsidR="00943DCB">
        <w:t xml:space="preserve"> </w:t>
      </w:r>
      <w:r w:rsidR="008551E5">
        <w:t xml:space="preserve">may </w:t>
      </w:r>
      <w:r w:rsidR="00943DCB">
        <w:t xml:space="preserve">provide extra prognostic/predictive information above </w:t>
      </w:r>
      <w:r w:rsidR="00C649FA">
        <w:t xml:space="preserve">germline </w:t>
      </w:r>
      <w:r w:rsidR="00943DCB" w:rsidRPr="00302B40">
        <w:rPr>
          <w:i/>
          <w:iCs/>
        </w:rPr>
        <w:t>PTEN</w:t>
      </w:r>
      <w:r w:rsidR="00943DCB">
        <w:t xml:space="preserve"> testing alone, in patients with positive </w:t>
      </w:r>
      <w:r w:rsidR="00463B21">
        <w:t xml:space="preserve">germline </w:t>
      </w:r>
      <w:r w:rsidR="00943DCB" w:rsidRPr="00302B40">
        <w:rPr>
          <w:i/>
          <w:iCs/>
        </w:rPr>
        <w:t xml:space="preserve">PTEN </w:t>
      </w:r>
      <w:r w:rsidR="00D24CC2" w:rsidRPr="00302B40">
        <w:t>pathogenic</w:t>
      </w:r>
      <w:r w:rsidR="00D24CC2">
        <w:rPr>
          <w:i/>
          <w:iCs/>
        </w:rPr>
        <w:t xml:space="preserve"> </w:t>
      </w:r>
      <w:r w:rsidR="00943DCB">
        <w:t>variants</w:t>
      </w:r>
      <w:r w:rsidR="008551E5">
        <w:t>.</w:t>
      </w:r>
    </w:p>
    <w:p w14:paraId="7E629108" w14:textId="1B5E2AE9" w:rsidR="00A376DC" w:rsidRDefault="00BA6FA1" w:rsidP="00BD33CC">
      <w:pPr>
        <w:spacing w:before="120" w:after="160" w:line="259" w:lineRule="auto"/>
        <w:rPr>
          <w:i/>
        </w:rPr>
      </w:pPr>
      <w:r>
        <w:t xml:space="preserve">PASC’s advice </w:t>
      </w:r>
      <w:r w:rsidR="00585618">
        <w:t>was</w:t>
      </w:r>
      <w:r>
        <w:t xml:space="preserve"> sought on whether it is appropriate for the MBS item descriptor to be agnostic on treatment</w:t>
      </w:r>
      <w:r w:rsidR="003D1AD1">
        <w:t>.</w:t>
      </w:r>
      <w:r w:rsidR="00DD1F10">
        <w:t xml:space="preserve"> </w:t>
      </w:r>
      <w:r w:rsidR="00A376DC" w:rsidRPr="00BD33CC">
        <w:rPr>
          <w:i/>
          <w:iCs/>
        </w:rPr>
        <w:t xml:space="preserve">PASC </w:t>
      </w:r>
      <w:r w:rsidR="00BB3ACB">
        <w:rPr>
          <w:i/>
          <w:iCs/>
        </w:rPr>
        <w:t>considered</w:t>
      </w:r>
      <w:r w:rsidR="00A376DC">
        <w:rPr>
          <w:i/>
          <w:iCs/>
        </w:rPr>
        <w:t xml:space="preserve"> </w:t>
      </w:r>
      <w:r w:rsidR="00C00B9D">
        <w:rPr>
          <w:i/>
          <w:iCs/>
        </w:rPr>
        <w:t xml:space="preserve">that the MBS item descriptor could be treatment agnostic </w:t>
      </w:r>
      <w:r w:rsidR="00021CF1">
        <w:rPr>
          <w:i/>
          <w:iCs/>
        </w:rPr>
        <w:t>and</w:t>
      </w:r>
      <w:r w:rsidR="005C469A">
        <w:rPr>
          <w:i/>
          <w:iCs/>
        </w:rPr>
        <w:t xml:space="preserve"> </w:t>
      </w:r>
      <w:r w:rsidR="004B6600">
        <w:rPr>
          <w:i/>
          <w:iCs/>
        </w:rPr>
        <w:t>confirmed that using the wording “</w:t>
      </w:r>
      <w:r w:rsidR="00A376DC">
        <w:rPr>
          <w:i/>
          <w:iCs/>
        </w:rPr>
        <w:t xml:space="preserve">treatment listed on the </w:t>
      </w:r>
      <w:r w:rsidR="007972FF">
        <w:rPr>
          <w:i/>
          <w:iCs/>
        </w:rPr>
        <w:t>Pharmaceutical Benefits Scheme (</w:t>
      </w:r>
      <w:r w:rsidR="00A376DC">
        <w:rPr>
          <w:i/>
          <w:iCs/>
        </w:rPr>
        <w:t>PBS</w:t>
      </w:r>
      <w:r w:rsidR="007972FF">
        <w:rPr>
          <w:i/>
          <w:iCs/>
        </w:rPr>
        <w:t>)</w:t>
      </w:r>
      <w:r w:rsidR="009C1D8F">
        <w:rPr>
          <w:i/>
          <w:iCs/>
        </w:rPr>
        <w:t xml:space="preserve"> for this context</w:t>
      </w:r>
      <w:r w:rsidR="004B6600">
        <w:rPr>
          <w:i/>
          <w:iCs/>
        </w:rPr>
        <w:t>”</w:t>
      </w:r>
      <w:r w:rsidR="00A376DC">
        <w:rPr>
          <w:i/>
          <w:iCs/>
        </w:rPr>
        <w:t xml:space="preserve">, as per </w:t>
      </w:r>
      <w:r w:rsidR="009E5765">
        <w:rPr>
          <w:i/>
          <w:iCs/>
        </w:rPr>
        <w:t xml:space="preserve">the </w:t>
      </w:r>
      <w:r w:rsidR="00212769">
        <w:rPr>
          <w:i/>
          <w:iCs/>
        </w:rPr>
        <w:t xml:space="preserve">proposed </w:t>
      </w:r>
      <w:r w:rsidR="00A376DC">
        <w:rPr>
          <w:i/>
          <w:iCs/>
        </w:rPr>
        <w:t>MBS item descriptor above</w:t>
      </w:r>
      <w:r w:rsidR="004B6600">
        <w:rPr>
          <w:i/>
          <w:iCs/>
        </w:rPr>
        <w:t>, was appropriate</w:t>
      </w:r>
      <w:r w:rsidR="00A376DC">
        <w:rPr>
          <w:i/>
          <w:iCs/>
        </w:rPr>
        <w:t>.</w:t>
      </w:r>
    </w:p>
    <w:p w14:paraId="1AFE2421" w14:textId="1D73587B" w:rsidR="00552BD1" w:rsidRDefault="00352490" w:rsidP="00BD33CC">
      <w:pPr>
        <w:autoSpaceDE w:val="0"/>
        <w:autoSpaceDN w:val="0"/>
        <w:adjustRightInd w:val="0"/>
        <w:spacing w:before="120" w:after="160" w:line="259" w:lineRule="auto"/>
        <w:rPr>
          <w:rFonts w:asciiTheme="minorHAnsi" w:hAnsiTheme="minorHAnsi" w:cstheme="minorBidi"/>
          <w:i/>
          <w:iCs/>
        </w:rPr>
      </w:pPr>
      <w:r>
        <w:t xml:space="preserve">PASC’s advice </w:t>
      </w:r>
      <w:r w:rsidR="00585618">
        <w:t>was</w:t>
      </w:r>
      <w:r>
        <w:t xml:space="preserve"> sought as to whether the claimed MBS item 73296 should affect patients’ eligibility for th</w:t>
      </w:r>
      <w:r w:rsidR="007576B7">
        <w:t>e</w:t>
      </w:r>
      <w:r>
        <w:t xml:space="preserve"> proposed MBS item for </w:t>
      </w:r>
      <w:r w:rsidR="001713D9">
        <w:t>AKT pathway</w:t>
      </w:r>
      <w:r>
        <w:t xml:space="preserve"> alterations testing</w:t>
      </w:r>
      <w:r w:rsidR="007435F9">
        <w:t>.</w:t>
      </w:r>
      <w:r w:rsidR="00552BD1" w:rsidRPr="00552BD1">
        <w:rPr>
          <w:rFonts w:asciiTheme="minorHAnsi" w:hAnsiTheme="minorHAnsi" w:cstheme="minorBidi"/>
          <w:i/>
          <w:iCs/>
        </w:rPr>
        <w:t xml:space="preserve"> </w:t>
      </w:r>
    </w:p>
    <w:p w14:paraId="32A4A967" w14:textId="0557F8AA" w:rsidR="002224B4" w:rsidRPr="00400793" w:rsidRDefault="00552BD1" w:rsidP="00400793">
      <w:pPr>
        <w:spacing w:before="120" w:after="160" w:line="259" w:lineRule="auto"/>
        <w:rPr>
          <w:i/>
          <w:iCs/>
        </w:rPr>
      </w:pPr>
      <w:r w:rsidRPr="00C23F59">
        <w:rPr>
          <w:rFonts w:asciiTheme="minorHAnsi" w:hAnsiTheme="minorHAnsi" w:cstheme="minorBidi"/>
          <w:i/>
          <w:iCs/>
        </w:rPr>
        <w:t xml:space="preserve">PASC emphasised that there is high demand for treatment-focussed testing and the proposed </w:t>
      </w:r>
      <w:r w:rsidR="001713D9">
        <w:rPr>
          <w:rFonts w:asciiTheme="minorHAnsi" w:hAnsiTheme="minorHAnsi" w:cstheme="minorBidi"/>
          <w:i/>
          <w:iCs/>
        </w:rPr>
        <w:t>AKT pathway</w:t>
      </w:r>
      <w:r w:rsidRPr="00C23F59">
        <w:rPr>
          <w:rFonts w:asciiTheme="minorHAnsi" w:hAnsiTheme="minorHAnsi" w:cstheme="minorBidi"/>
          <w:i/>
          <w:iCs/>
        </w:rPr>
        <w:t xml:space="preserve"> testing is mainly for assessing the eligibility for second line treatment. </w:t>
      </w:r>
      <w:r w:rsidR="002224B4" w:rsidRPr="00E11610">
        <w:rPr>
          <w:i/>
          <w:iCs/>
        </w:rPr>
        <w:t>PASC queried whether testing prior to third line treatment decision making may also be appropriate</w:t>
      </w:r>
      <w:r w:rsidR="004B69B8">
        <w:rPr>
          <w:i/>
          <w:iCs/>
        </w:rPr>
        <w:t xml:space="preserve"> and</w:t>
      </w:r>
      <w:r w:rsidR="002224B4" w:rsidRPr="00E11610">
        <w:rPr>
          <w:i/>
          <w:iCs/>
        </w:rPr>
        <w:t xml:space="preserve"> considered that the population with this clinical need would be very small. </w:t>
      </w:r>
    </w:p>
    <w:p w14:paraId="00272A89" w14:textId="09D98F6E" w:rsidR="00552BD1" w:rsidRDefault="00552BD1" w:rsidP="00BD33CC">
      <w:pPr>
        <w:autoSpaceDE w:val="0"/>
        <w:autoSpaceDN w:val="0"/>
        <w:adjustRightInd w:val="0"/>
        <w:spacing w:before="120" w:after="160" w:line="259" w:lineRule="auto"/>
        <w:rPr>
          <w:rFonts w:asciiTheme="minorHAnsi" w:hAnsiTheme="minorHAnsi" w:cstheme="minorBidi"/>
          <w:i/>
          <w:iCs/>
        </w:rPr>
      </w:pPr>
      <w:r w:rsidRPr="00C23F59">
        <w:rPr>
          <w:rFonts w:asciiTheme="minorHAnsi" w:hAnsiTheme="minorHAnsi" w:cstheme="minorBidi"/>
          <w:i/>
          <w:iCs/>
        </w:rPr>
        <w:t xml:space="preserve">For the purpose of funding of germline testing of PTEN somatic variants, </w:t>
      </w:r>
      <w:r w:rsidR="00F645FD">
        <w:rPr>
          <w:rFonts w:asciiTheme="minorHAnsi" w:hAnsiTheme="minorHAnsi" w:cstheme="minorBidi"/>
          <w:i/>
          <w:iCs/>
        </w:rPr>
        <w:t xml:space="preserve">PASC </w:t>
      </w:r>
      <w:r w:rsidR="00750EB2">
        <w:rPr>
          <w:rFonts w:asciiTheme="minorHAnsi" w:hAnsiTheme="minorHAnsi" w:cstheme="minorBidi"/>
          <w:i/>
          <w:iCs/>
        </w:rPr>
        <w:t xml:space="preserve">accepted the Department’s advice that this should </w:t>
      </w:r>
      <w:r w:rsidR="003E2ECC">
        <w:rPr>
          <w:rFonts w:asciiTheme="minorHAnsi" w:hAnsiTheme="minorHAnsi" w:cstheme="minorBidi"/>
          <w:i/>
          <w:iCs/>
        </w:rPr>
        <w:t xml:space="preserve">be achieved through the development of a separate MBS item rather than through </w:t>
      </w:r>
      <w:r w:rsidRPr="00C23F59">
        <w:rPr>
          <w:rFonts w:asciiTheme="minorHAnsi" w:hAnsiTheme="minorHAnsi" w:cstheme="minorBidi"/>
          <w:i/>
          <w:iCs/>
        </w:rPr>
        <w:t>modification</w:t>
      </w:r>
      <w:r w:rsidR="005D7EBF">
        <w:rPr>
          <w:rFonts w:asciiTheme="minorHAnsi" w:hAnsiTheme="minorHAnsi" w:cstheme="minorBidi"/>
          <w:i/>
          <w:iCs/>
        </w:rPr>
        <w:t>/amendment</w:t>
      </w:r>
      <w:r w:rsidRPr="00C23F59">
        <w:rPr>
          <w:rFonts w:asciiTheme="minorHAnsi" w:hAnsiTheme="minorHAnsi" w:cstheme="minorBidi"/>
          <w:i/>
          <w:iCs/>
        </w:rPr>
        <w:t xml:space="preserve"> of </w:t>
      </w:r>
      <w:r w:rsidR="00891A0B">
        <w:rPr>
          <w:rFonts w:asciiTheme="minorHAnsi" w:hAnsiTheme="minorHAnsi" w:cstheme="minorBidi"/>
          <w:i/>
          <w:iCs/>
        </w:rPr>
        <w:t xml:space="preserve">MBS </w:t>
      </w:r>
      <w:r w:rsidRPr="00C23F59">
        <w:rPr>
          <w:rFonts w:asciiTheme="minorHAnsi" w:hAnsiTheme="minorHAnsi" w:cstheme="minorBidi"/>
          <w:i/>
          <w:iCs/>
        </w:rPr>
        <w:t>item 73302</w:t>
      </w:r>
      <w:r w:rsidR="003E2ECC">
        <w:rPr>
          <w:rFonts w:asciiTheme="minorHAnsi" w:hAnsiTheme="minorHAnsi" w:cstheme="minorBidi"/>
          <w:i/>
          <w:iCs/>
        </w:rPr>
        <w:t>,</w:t>
      </w:r>
      <w:r w:rsidRPr="00C23F59">
        <w:rPr>
          <w:rFonts w:asciiTheme="minorHAnsi" w:hAnsiTheme="minorHAnsi" w:cstheme="minorBidi"/>
          <w:i/>
          <w:iCs/>
        </w:rPr>
        <w:t xml:space="preserve"> </w:t>
      </w:r>
      <w:r w:rsidR="00F645FD">
        <w:rPr>
          <w:rFonts w:asciiTheme="minorHAnsi" w:hAnsiTheme="minorHAnsi" w:cstheme="minorBidi"/>
          <w:i/>
          <w:iCs/>
        </w:rPr>
        <w:t>as discussed in the previous section</w:t>
      </w:r>
      <w:r w:rsidRPr="00C23F59">
        <w:rPr>
          <w:rFonts w:asciiTheme="minorHAnsi" w:hAnsiTheme="minorHAnsi" w:cstheme="minorBidi"/>
          <w:i/>
          <w:iCs/>
        </w:rPr>
        <w:t xml:space="preserve">. PASC noted that there is also some State-based funding for germline testing in the public setting. </w:t>
      </w:r>
    </w:p>
    <w:p w14:paraId="79976B69" w14:textId="17C1336F" w:rsidR="00552BD1" w:rsidRPr="006E59E8" w:rsidRDefault="00552BD1" w:rsidP="00BD33CC">
      <w:pPr>
        <w:autoSpaceDE w:val="0"/>
        <w:autoSpaceDN w:val="0"/>
        <w:adjustRightInd w:val="0"/>
        <w:spacing w:before="120" w:after="160" w:line="259" w:lineRule="auto"/>
        <w:rPr>
          <w:rFonts w:asciiTheme="minorHAnsi" w:hAnsiTheme="minorHAnsi" w:cstheme="minorHAnsi"/>
          <w:i/>
          <w:iCs/>
        </w:rPr>
      </w:pPr>
      <w:r w:rsidRPr="006E59E8">
        <w:rPr>
          <w:rFonts w:asciiTheme="minorHAnsi" w:hAnsiTheme="minorHAnsi" w:cstheme="minorHAnsi"/>
          <w:i/>
          <w:iCs/>
        </w:rPr>
        <w:t>The applicant’s clinical expert advised that large panel Illumina TSO 500 and AVENIO have similar costs of around AUD $</w:t>
      </w:r>
      <w:r w:rsidR="004256B5">
        <w:rPr>
          <w:rFonts w:asciiTheme="minorHAnsi" w:hAnsiTheme="minorHAnsi" w:cstheme="minorHAnsi"/>
          <w:i/>
          <w:iCs/>
        </w:rPr>
        <w:t>REDACTED</w:t>
      </w:r>
      <w:r w:rsidRPr="006E59E8">
        <w:rPr>
          <w:rFonts w:asciiTheme="minorHAnsi" w:hAnsiTheme="minorHAnsi" w:cstheme="minorHAnsi"/>
          <w:i/>
          <w:iCs/>
        </w:rPr>
        <w:t xml:space="preserve">, which was </w:t>
      </w:r>
      <w:r w:rsidR="004256B5">
        <w:rPr>
          <w:rFonts w:asciiTheme="minorHAnsi" w:hAnsiTheme="minorHAnsi" w:cstheme="minorHAnsi"/>
          <w:i/>
          <w:iCs/>
        </w:rPr>
        <w:t>REDACTED</w:t>
      </w:r>
      <w:r w:rsidR="00BB0098" w:rsidRPr="006E59E8">
        <w:rPr>
          <w:rFonts w:asciiTheme="minorHAnsi" w:hAnsiTheme="minorHAnsi" w:cstheme="minorHAnsi"/>
          <w:i/>
          <w:iCs/>
        </w:rPr>
        <w:t xml:space="preserve"> </w:t>
      </w:r>
      <w:r w:rsidRPr="006E59E8">
        <w:rPr>
          <w:rFonts w:asciiTheme="minorHAnsi" w:hAnsiTheme="minorHAnsi" w:cstheme="minorHAnsi"/>
          <w:i/>
          <w:iCs/>
        </w:rPr>
        <w:t xml:space="preserve">compared to </w:t>
      </w:r>
      <w:proofErr w:type="spellStart"/>
      <w:r w:rsidRPr="006E59E8">
        <w:rPr>
          <w:rFonts w:asciiTheme="minorHAnsi" w:hAnsiTheme="minorHAnsi" w:cstheme="minorHAnsi"/>
          <w:i/>
          <w:iCs/>
        </w:rPr>
        <w:t>FoundationOneCDx</w:t>
      </w:r>
      <w:proofErr w:type="spellEnd"/>
      <w:r w:rsidRPr="006E59E8">
        <w:rPr>
          <w:rFonts w:asciiTheme="minorHAnsi" w:hAnsiTheme="minorHAnsi" w:cstheme="minorHAnsi"/>
          <w:i/>
          <w:iCs/>
        </w:rPr>
        <w:t xml:space="preserve"> (USD $</w:t>
      </w:r>
      <w:r w:rsidR="004256B5">
        <w:rPr>
          <w:rFonts w:asciiTheme="minorHAnsi" w:hAnsiTheme="minorHAnsi" w:cstheme="minorHAnsi"/>
          <w:i/>
          <w:iCs/>
        </w:rPr>
        <w:t>REDACTED</w:t>
      </w:r>
      <w:r w:rsidRPr="006E59E8">
        <w:rPr>
          <w:rFonts w:asciiTheme="minorHAnsi" w:hAnsiTheme="minorHAnsi" w:cstheme="minorHAnsi"/>
          <w:i/>
          <w:iCs/>
        </w:rPr>
        <w:t xml:space="preserve">). While there was no consensus on cost or market price, it was believed that testing cost will eventually reduce. </w:t>
      </w:r>
    </w:p>
    <w:p w14:paraId="0F94CE47" w14:textId="1B0BE86C" w:rsidR="00352490" w:rsidRPr="00BD33CC" w:rsidRDefault="00552BD1" w:rsidP="00BD33CC">
      <w:pPr>
        <w:spacing w:before="120" w:after="160" w:line="259" w:lineRule="auto"/>
        <w:rPr>
          <w:i/>
          <w:iCs/>
        </w:rPr>
      </w:pPr>
      <w:r w:rsidRPr="006E59E8">
        <w:rPr>
          <w:rFonts w:asciiTheme="minorHAnsi" w:hAnsiTheme="minorHAnsi" w:cstheme="minorHAnsi"/>
          <w:i/>
          <w:iCs/>
        </w:rPr>
        <w:t>PASC recommended that a list of IVDs available in Australia and their costs should be compiled to help determine the appropriate fee. PASC mentioned that the genetic tumour tissue testing is agnostic on test methodology and fees could be reimbursed based on the laboratories’ service.</w:t>
      </w:r>
    </w:p>
    <w:p w14:paraId="1C797423" w14:textId="77777777" w:rsidR="00F641C9" w:rsidRDefault="7F1E91DF" w:rsidP="0023599C">
      <w:pPr>
        <w:pStyle w:val="Heading2"/>
      </w:pPr>
      <w:r>
        <w:t>Summary of public consultation input</w:t>
      </w:r>
    </w:p>
    <w:p w14:paraId="0371DFB9" w14:textId="35202D12" w:rsidR="0023599C" w:rsidRDefault="780FE4A4" w:rsidP="1EE5FE9B">
      <w:pPr>
        <w:rPr>
          <w:rFonts w:cs="Calibri"/>
        </w:rPr>
      </w:pPr>
      <w:r w:rsidRPr="1EE5FE9B">
        <w:rPr>
          <w:rFonts w:cs="Calibri"/>
          <w:i/>
          <w:iCs/>
        </w:rPr>
        <w:t>PASC noted and welcomed consultation input from</w:t>
      </w:r>
      <w:r w:rsidRPr="1EE5FE9B">
        <w:rPr>
          <w:rFonts w:cs="Calibri"/>
        </w:rPr>
        <w:t xml:space="preserve"> 2</w:t>
      </w:r>
      <w:r w:rsidRPr="1EE5FE9B">
        <w:rPr>
          <w:rFonts w:cs="Calibri"/>
          <w:i/>
          <w:iCs/>
        </w:rPr>
        <w:t xml:space="preserve"> organisations</w:t>
      </w:r>
      <w:r w:rsidR="23811953" w:rsidRPr="1EE5FE9B">
        <w:rPr>
          <w:rFonts w:cs="Calibri"/>
          <w:i/>
          <w:iCs/>
        </w:rPr>
        <w:t xml:space="preserve">. </w:t>
      </w:r>
      <w:r w:rsidRPr="1EE5FE9B">
        <w:rPr>
          <w:rFonts w:cs="Calibri"/>
          <w:i/>
          <w:iCs/>
        </w:rPr>
        <w:t>The 2 organisations that submitted input were:</w:t>
      </w:r>
      <w:r w:rsidRPr="1EE5FE9B">
        <w:rPr>
          <w:rFonts w:cs="Calibri"/>
        </w:rPr>
        <w:t xml:space="preserve"> </w:t>
      </w:r>
    </w:p>
    <w:p w14:paraId="0A9F1CD6" w14:textId="0C9D645F" w:rsidR="0023599C" w:rsidRDefault="780FE4A4" w:rsidP="1EE5FE9B">
      <w:pPr>
        <w:pStyle w:val="ListParagraph"/>
        <w:numPr>
          <w:ilvl w:val="0"/>
          <w:numId w:val="2"/>
        </w:numPr>
        <w:spacing w:after="0" w:line="257" w:lineRule="auto"/>
        <w:rPr>
          <w:rFonts w:cs="Calibri"/>
        </w:rPr>
      </w:pPr>
      <w:r w:rsidRPr="1EE5FE9B">
        <w:rPr>
          <w:rFonts w:cs="Calibri"/>
        </w:rPr>
        <w:t>Australian Pathology</w:t>
      </w:r>
    </w:p>
    <w:p w14:paraId="61C3E26B" w14:textId="26EB20E3" w:rsidR="0023599C" w:rsidRDefault="780FE4A4" w:rsidP="1EE5FE9B">
      <w:pPr>
        <w:pStyle w:val="ListParagraph"/>
        <w:numPr>
          <w:ilvl w:val="0"/>
          <w:numId w:val="2"/>
        </w:numPr>
        <w:spacing w:after="0" w:line="257" w:lineRule="auto"/>
        <w:rPr>
          <w:rFonts w:cs="Calibri"/>
        </w:rPr>
      </w:pPr>
      <w:r w:rsidRPr="1EE5FE9B">
        <w:rPr>
          <w:rFonts w:cs="Calibri"/>
        </w:rPr>
        <w:t>Breast Cancer Network Australia (BCNA)</w:t>
      </w:r>
    </w:p>
    <w:p w14:paraId="5FB178A7" w14:textId="0FFD15B3" w:rsidR="0023599C" w:rsidRDefault="0023599C" w:rsidP="1EE5FE9B">
      <w:pPr>
        <w:spacing w:after="0" w:line="257" w:lineRule="auto"/>
        <w:rPr>
          <w:rFonts w:cs="Calibri"/>
        </w:rPr>
      </w:pPr>
    </w:p>
    <w:p w14:paraId="47A7729D" w14:textId="21A72DD7" w:rsidR="0023599C" w:rsidRDefault="780FE4A4" w:rsidP="1EE5FE9B">
      <w:pPr>
        <w:spacing w:after="160" w:line="257" w:lineRule="auto"/>
        <w:rPr>
          <w:rFonts w:cs="Calibri"/>
        </w:rPr>
      </w:pPr>
      <w:r w:rsidRPr="1EE5FE9B">
        <w:rPr>
          <w:rFonts w:cs="Calibri"/>
        </w:rPr>
        <w:t xml:space="preserve">The consultation feedback received was all supportive. </w:t>
      </w:r>
    </w:p>
    <w:p w14:paraId="30CDE725" w14:textId="5DEA2F07" w:rsidR="0023599C" w:rsidRDefault="780FE4A4" w:rsidP="1EE5FE9B">
      <w:pPr>
        <w:spacing w:after="160" w:line="257" w:lineRule="auto"/>
        <w:rPr>
          <w:rFonts w:cs="Calibri"/>
          <w:b/>
          <w:bCs/>
        </w:rPr>
      </w:pPr>
      <w:r w:rsidRPr="1EE5FE9B">
        <w:rPr>
          <w:rFonts w:cs="Calibri"/>
          <w:b/>
          <w:bCs/>
        </w:rPr>
        <w:t>Clinical need and public health significance</w:t>
      </w:r>
    </w:p>
    <w:p w14:paraId="05852B1D" w14:textId="17B238EE" w:rsidR="0023599C" w:rsidRDefault="780FE4A4" w:rsidP="1EE5FE9B">
      <w:pPr>
        <w:spacing w:after="160" w:line="257" w:lineRule="auto"/>
        <w:rPr>
          <w:rFonts w:cs="Calibri"/>
        </w:rPr>
      </w:pPr>
      <w:r w:rsidRPr="1EE5FE9B">
        <w:rPr>
          <w:rFonts w:cs="Calibri"/>
        </w:rPr>
        <w:t xml:space="preserve">The main benefits of public funding received in the consultation feedback included equitable access to the test to receive the clinically appropriate PBS listed targeted treatment. BCNA noted that this test will provide more treatment options to patients resistant to </w:t>
      </w:r>
      <w:r w:rsidR="00FD77B6">
        <w:rPr>
          <w:rFonts w:cs="Calibri"/>
        </w:rPr>
        <w:t>1L</w:t>
      </w:r>
      <w:r w:rsidRPr="1EE5FE9B">
        <w:rPr>
          <w:rFonts w:cs="Calibri"/>
        </w:rPr>
        <w:t xml:space="preserve"> endocrine therapies. Consultation noted additional time of overall survival are highly valued by patients and their families. More treatment options give more time with loved ones and allocate more time in paid employment or other roles such as volunteering or caring.</w:t>
      </w:r>
    </w:p>
    <w:p w14:paraId="4035607F" w14:textId="4D842F36" w:rsidR="00222092" w:rsidRPr="00222092" w:rsidRDefault="00222092" w:rsidP="00BD33CC">
      <w:pPr>
        <w:spacing w:before="120" w:after="160" w:line="259" w:lineRule="auto"/>
        <w:rPr>
          <w:rFonts w:cs="Calibri"/>
        </w:rPr>
      </w:pPr>
      <w:r w:rsidRPr="00222092">
        <w:rPr>
          <w:rFonts w:asciiTheme="minorHAnsi" w:hAnsiTheme="minorHAnsi" w:cstheme="minorHAnsi"/>
          <w:i/>
          <w:iCs/>
        </w:rPr>
        <w:lastRenderedPageBreak/>
        <w:t xml:space="preserve">PASC queried if there were any accessibility issues for people who live in remote areas. Monash Pathology </w:t>
      </w:r>
      <w:r w:rsidR="00BB0098">
        <w:rPr>
          <w:rFonts w:asciiTheme="minorHAnsi" w:hAnsiTheme="minorHAnsi" w:cstheme="minorHAnsi"/>
          <w:i/>
          <w:iCs/>
        </w:rPr>
        <w:t xml:space="preserve"> </w:t>
      </w:r>
      <w:r w:rsidRPr="00222092">
        <w:rPr>
          <w:rFonts w:asciiTheme="minorHAnsi" w:hAnsiTheme="minorHAnsi" w:cstheme="minorHAnsi"/>
          <w:i/>
          <w:iCs/>
        </w:rPr>
        <w:t xml:space="preserve">(the applicant’s clinical expert) assured PASC that because the </w:t>
      </w:r>
      <w:r w:rsidR="001713D9">
        <w:rPr>
          <w:rFonts w:asciiTheme="minorHAnsi" w:hAnsiTheme="minorHAnsi" w:cstheme="minorHAnsi"/>
          <w:i/>
          <w:iCs/>
        </w:rPr>
        <w:t>AKT pathway</w:t>
      </w:r>
      <w:r w:rsidRPr="00222092">
        <w:rPr>
          <w:rFonts w:asciiTheme="minorHAnsi" w:hAnsiTheme="minorHAnsi" w:cstheme="minorHAnsi"/>
          <w:i/>
          <w:iCs/>
        </w:rPr>
        <w:t xml:space="preserve"> testing is done on</w:t>
      </w:r>
      <w:r w:rsidRPr="00222092">
        <w:t xml:space="preserve"> </w:t>
      </w:r>
      <w:r w:rsidRPr="00222092">
        <w:rPr>
          <w:rFonts w:asciiTheme="minorHAnsi" w:hAnsiTheme="minorHAnsi" w:cstheme="minorHAnsi"/>
          <w:i/>
          <w:iCs/>
        </w:rPr>
        <w:t>FFPE samples, oncologists could order the test at a regional hospital and then send the sample to metropolitan hospitals for analysis which meant that patients did not need to travel to the main laboratory for the test to be undertaken.</w:t>
      </w:r>
    </w:p>
    <w:p w14:paraId="0B631C94" w14:textId="30C37149" w:rsidR="0023599C" w:rsidRDefault="780FE4A4" w:rsidP="1EE5FE9B">
      <w:pPr>
        <w:spacing w:after="160" w:line="257" w:lineRule="auto"/>
        <w:rPr>
          <w:rFonts w:cs="Calibri"/>
          <w:b/>
          <w:bCs/>
        </w:rPr>
      </w:pPr>
      <w:r w:rsidRPr="1EE5FE9B">
        <w:rPr>
          <w:rFonts w:cs="Calibri"/>
          <w:b/>
          <w:bCs/>
        </w:rPr>
        <w:t>Indication(s) for the proposed medical service and clinical claim</w:t>
      </w:r>
    </w:p>
    <w:p w14:paraId="51177A7E" w14:textId="020A469B" w:rsidR="0023599C" w:rsidRDefault="780FE4A4" w:rsidP="1EE5FE9B">
      <w:pPr>
        <w:spacing w:after="160" w:line="257" w:lineRule="auto"/>
        <w:rPr>
          <w:rFonts w:cs="Calibri"/>
        </w:rPr>
      </w:pPr>
      <w:r w:rsidRPr="1EE5FE9B">
        <w:rPr>
          <w:rFonts w:cs="Calibri"/>
        </w:rPr>
        <w:t xml:space="preserve">The consultation feedback strongly agreed with the proposed population, noting </w:t>
      </w:r>
      <w:r w:rsidR="00CF5067">
        <w:rPr>
          <w:rFonts w:cs="Calibri"/>
        </w:rPr>
        <w:t xml:space="preserve">a </w:t>
      </w:r>
      <w:r w:rsidRPr="1EE5FE9B">
        <w:rPr>
          <w:rFonts w:cs="Calibri"/>
        </w:rPr>
        <w:t xml:space="preserve">minimum </w:t>
      </w:r>
      <w:r w:rsidR="00CF5067">
        <w:rPr>
          <w:rFonts w:cs="Calibri"/>
        </w:rPr>
        <w:t>of</w:t>
      </w:r>
      <w:r w:rsidRPr="1EE5FE9B">
        <w:rPr>
          <w:rFonts w:cs="Calibri"/>
        </w:rPr>
        <w:t xml:space="preserve"> 10,500 people l</w:t>
      </w:r>
      <w:r w:rsidR="00CF5067">
        <w:rPr>
          <w:rFonts w:cs="Calibri"/>
        </w:rPr>
        <w:t>i</w:t>
      </w:r>
      <w:r w:rsidRPr="1EE5FE9B">
        <w:rPr>
          <w:rFonts w:cs="Calibri"/>
        </w:rPr>
        <w:t xml:space="preserve">ving with metastatic </w:t>
      </w:r>
      <w:r w:rsidR="00533F11">
        <w:rPr>
          <w:rFonts w:cs="Calibri"/>
        </w:rPr>
        <w:t>BC</w:t>
      </w:r>
      <w:r w:rsidRPr="1EE5FE9B">
        <w:rPr>
          <w:rFonts w:cs="Calibri"/>
        </w:rPr>
        <w:t xml:space="preserve"> in Australia.</w:t>
      </w:r>
    </w:p>
    <w:p w14:paraId="0E04C39F" w14:textId="22931FF3" w:rsidR="00646F9A" w:rsidRDefault="780FE4A4" w:rsidP="1EE5FE9B">
      <w:pPr>
        <w:spacing w:after="160" w:line="257" w:lineRule="auto"/>
        <w:rPr>
          <w:rFonts w:cs="Calibri"/>
        </w:rPr>
      </w:pPr>
      <w:r w:rsidRPr="1EE5FE9B">
        <w:rPr>
          <w:rFonts w:cs="Calibri"/>
        </w:rPr>
        <w:t xml:space="preserve">The consultation feedback agreed with the proposed comparator. Australian Pathology input noted the complexity of </w:t>
      </w:r>
      <w:r w:rsidRPr="00BD33CC">
        <w:rPr>
          <w:rFonts w:cs="Calibri"/>
          <w:i/>
          <w:iCs/>
        </w:rPr>
        <w:t>PTEN</w:t>
      </w:r>
      <w:r w:rsidRPr="1EE5FE9B">
        <w:rPr>
          <w:rFonts w:cs="Calibri"/>
        </w:rPr>
        <w:t xml:space="preserve"> gene testing as it can have variants anywhere in the gene. The proposed service was not clear whether it included testing for multiple types of </w:t>
      </w:r>
      <w:r w:rsidRPr="00BD33CC">
        <w:rPr>
          <w:rFonts w:cs="Calibri"/>
          <w:i/>
          <w:iCs/>
        </w:rPr>
        <w:t>PTEN</w:t>
      </w:r>
      <w:r w:rsidRPr="1EE5FE9B">
        <w:rPr>
          <w:rFonts w:cs="Calibri"/>
        </w:rPr>
        <w:t xml:space="preserve"> variants including detection of single nucleotide variants and deletions of </w:t>
      </w:r>
      <w:r w:rsidRPr="00BD33CC">
        <w:rPr>
          <w:rFonts w:cs="Calibri"/>
          <w:i/>
          <w:iCs/>
        </w:rPr>
        <w:t>PTEN</w:t>
      </w:r>
      <w:r w:rsidRPr="1EE5FE9B">
        <w:rPr>
          <w:rFonts w:cs="Calibri"/>
        </w:rPr>
        <w:t xml:space="preserve"> gene which makes it more complex to the other current MBS listed items which identify one type of genetic variant.</w:t>
      </w:r>
    </w:p>
    <w:p w14:paraId="05330DA2" w14:textId="77B540CA" w:rsidR="0023599C" w:rsidRDefault="780FE4A4" w:rsidP="1EE5FE9B">
      <w:pPr>
        <w:spacing w:after="160" w:line="257" w:lineRule="auto"/>
        <w:rPr>
          <w:rFonts w:cs="Calibri"/>
        </w:rPr>
      </w:pPr>
      <w:r w:rsidRPr="1EE5FE9B">
        <w:rPr>
          <w:rFonts w:cs="Calibri"/>
        </w:rPr>
        <w:t xml:space="preserve">The consultation feedback strongly agreed with the proposed clinical claim. </w:t>
      </w:r>
    </w:p>
    <w:p w14:paraId="1E72863C" w14:textId="66B4B007" w:rsidR="0023599C" w:rsidRDefault="780FE4A4" w:rsidP="1EE5FE9B">
      <w:pPr>
        <w:spacing w:after="160" w:line="257" w:lineRule="auto"/>
        <w:rPr>
          <w:rFonts w:cs="Calibri"/>
          <w:b/>
          <w:bCs/>
        </w:rPr>
      </w:pPr>
      <w:r w:rsidRPr="1EE5FE9B">
        <w:rPr>
          <w:rFonts w:cs="Calibri"/>
          <w:b/>
          <w:bCs/>
        </w:rPr>
        <w:t>Cost information for the proposed medical service</w:t>
      </w:r>
    </w:p>
    <w:p w14:paraId="3556A046" w14:textId="5D9D34B4" w:rsidR="0023599C" w:rsidRDefault="780FE4A4" w:rsidP="1EE5FE9B">
      <w:pPr>
        <w:spacing w:after="160" w:line="257" w:lineRule="auto"/>
        <w:rPr>
          <w:rFonts w:cs="Calibri"/>
        </w:rPr>
      </w:pPr>
      <w:r w:rsidRPr="1EE5FE9B">
        <w:rPr>
          <w:rFonts w:cs="Calibri"/>
        </w:rPr>
        <w:t xml:space="preserve">The consultation feedback ranged from disagreeing to agreeing with the proposed service descriptor. The input that disagreed with the descriptor indicated lack of adequate description for scope of </w:t>
      </w:r>
      <w:r w:rsidRPr="00BD33CC">
        <w:rPr>
          <w:rFonts w:cs="Calibri"/>
          <w:i/>
          <w:iCs/>
        </w:rPr>
        <w:t>PTEN</w:t>
      </w:r>
      <w:r w:rsidRPr="1EE5FE9B">
        <w:rPr>
          <w:rFonts w:cs="Calibri"/>
        </w:rPr>
        <w:t xml:space="preserve"> gene testing. Australian Pathology advocated for fewer restrictions in the item descriptor for equity and access, noting referral from clinicians should be sufficient to justify most of the tests. With respect to the “once in lifetime” test frequency restriction. Australian Pathology indicated that pathology providers cannot currently verify if patients have been previously tested. They considered Medicare would need to make provision for providers to check patients Medicare claims history prior to the testing being performed.</w:t>
      </w:r>
    </w:p>
    <w:p w14:paraId="5FDDDC45" w14:textId="34C4676C" w:rsidR="0023599C" w:rsidRDefault="780FE4A4" w:rsidP="1EE5FE9B">
      <w:pPr>
        <w:spacing w:after="160" w:line="257" w:lineRule="auto"/>
        <w:rPr>
          <w:rFonts w:cs="Calibri"/>
        </w:rPr>
      </w:pPr>
      <w:r w:rsidRPr="1EE5FE9B">
        <w:rPr>
          <w:rFonts w:cs="Calibri"/>
        </w:rPr>
        <w:t xml:space="preserve">Australian Pathology indicated that no fee has been proposed in the application, advising using the prior similar tests somatic </w:t>
      </w:r>
      <w:r w:rsidRPr="00BD33CC">
        <w:rPr>
          <w:rFonts w:cs="Calibri"/>
          <w:i/>
          <w:iCs/>
        </w:rPr>
        <w:t>BRCA</w:t>
      </w:r>
      <w:r w:rsidRPr="1EE5FE9B">
        <w:rPr>
          <w:rFonts w:cs="Calibri"/>
        </w:rPr>
        <w:t xml:space="preserve"> (73301, 100% fee $1</w:t>
      </w:r>
      <w:r w:rsidR="00E56C58">
        <w:rPr>
          <w:rFonts w:cs="Calibri"/>
        </w:rPr>
        <w:t>,</w:t>
      </w:r>
      <w:r w:rsidRPr="1EE5FE9B">
        <w:rPr>
          <w:rFonts w:cs="Calibri"/>
        </w:rPr>
        <w:t xml:space="preserve">200) or the glioma panel (73249, 100% fee $887.90), as benchmark to setup a cost for the proposed service. </w:t>
      </w:r>
    </w:p>
    <w:p w14:paraId="06A6869C" w14:textId="767F1F2F" w:rsidR="00E20111" w:rsidRPr="00D374F6" w:rsidRDefault="001E4B8E" w:rsidP="00D374F6">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PASC noted that t</w:t>
      </w:r>
      <w:r w:rsidR="00E20111" w:rsidRPr="007130A0">
        <w:rPr>
          <w:rFonts w:asciiTheme="minorHAnsi" w:hAnsiTheme="minorHAnsi" w:cstheme="minorHAnsi"/>
          <w:i/>
          <w:iCs/>
        </w:rPr>
        <w:t>he Breast Cancer Network Australia highly supported the codependent submission as the current out-of-pocket expenses w</w:t>
      </w:r>
      <w:r w:rsidR="00E20111">
        <w:rPr>
          <w:rFonts w:asciiTheme="minorHAnsi" w:hAnsiTheme="minorHAnsi" w:cstheme="minorHAnsi"/>
          <w:i/>
          <w:iCs/>
        </w:rPr>
        <w:t>ere</w:t>
      </w:r>
      <w:r w:rsidR="00E20111" w:rsidRPr="007130A0">
        <w:rPr>
          <w:rFonts w:asciiTheme="minorHAnsi" w:hAnsiTheme="minorHAnsi" w:cstheme="minorHAnsi"/>
          <w:i/>
          <w:iCs/>
        </w:rPr>
        <w:t xml:space="preserve"> $3</w:t>
      </w:r>
      <w:r w:rsidR="00E20111">
        <w:rPr>
          <w:rFonts w:asciiTheme="minorHAnsi" w:hAnsiTheme="minorHAnsi" w:cstheme="minorHAnsi"/>
          <w:i/>
          <w:iCs/>
        </w:rPr>
        <w:t>,</w:t>
      </w:r>
      <w:r w:rsidR="00E20111" w:rsidRPr="007130A0">
        <w:rPr>
          <w:rFonts w:asciiTheme="minorHAnsi" w:hAnsiTheme="minorHAnsi" w:cstheme="minorHAnsi"/>
          <w:i/>
          <w:iCs/>
        </w:rPr>
        <w:t>000</w:t>
      </w:r>
      <w:r w:rsidR="00E20111">
        <w:rPr>
          <w:rFonts w:asciiTheme="minorHAnsi" w:hAnsiTheme="minorHAnsi" w:cstheme="minorHAnsi"/>
          <w:i/>
          <w:iCs/>
        </w:rPr>
        <w:t>-$5,000</w:t>
      </w:r>
      <w:r w:rsidR="00E20111" w:rsidRPr="007130A0">
        <w:rPr>
          <w:rFonts w:asciiTheme="minorHAnsi" w:hAnsiTheme="minorHAnsi" w:cstheme="minorHAnsi"/>
          <w:i/>
          <w:iCs/>
        </w:rPr>
        <w:t xml:space="preserve"> </w:t>
      </w:r>
      <w:r w:rsidR="00E20111">
        <w:rPr>
          <w:rFonts w:asciiTheme="minorHAnsi" w:hAnsiTheme="minorHAnsi" w:cstheme="minorHAnsi"/>
          <w:i/>
          <w:iCs/>
        </w:rPr>
        <w:t xml:space="preserve">for testing </w:t>
      </w:r>
      <w:r w:rsidR="00E20111" w:rsidRPr="007130A0">
        <w:rPr>
          <w:rFonts w:asciiTheme="minorHAnsi" w:hAnsiTheme="minorHAnsi" w:cstheme="minorHAnsi"/>
          <w:i/>
          <w:iCs/>
        </w:rPr>
        <w:t xml:space="preserve">and emphasised the importance of extending </w:t>
      </w:r>
      <w:r w:rsidR="00E20111">
        <w:rPr>
          <w:rFonts w:asciiTheme="minorHAnsi" w:hAnsiTheme="minorHAnsi" w:cstheme="minorHAnsi"/>
          <w:i/>
          <w:iCs/>
        </w:rPr>
        <w:t>patients’</w:t>
      </w:r>
      <w:r w:rsidR="00E20111" w:rsidRPr="007130A0">
        <w:rPr>
          <w:rFonts w:asciiTheme="minorHAnsi" w:hAnsiTheme="minorHAnsi" w:cstheme="minorHAnsi"/>
          <w:i/>
          <w:iCs/>
        </w:rPr>
        <w:t xml:space="preserve"> lives. </w:t>
      </w:r>
    </w:p>
    <w:p w14:paraId="2A40318A" w14:textId="2BF50E23" w:rsidR="0023599C" w:rsidRDefault="009B0D27" w:rsidP="00BD33CC">
      <w:pPr>
        <w:spacing w:before="120" w:after="160" w:line="259" w:lineRule="auto"/>
      </w:pPr>
      <w:r w:rsidRPr="009B0D27">
        <w:rPr>
          <w:rFonts w:asciiTheme="minorHAnsi" w:hAnsiTheme="minorHAnsi" w:cstheme="minorHAnsi"/>
          <w:i/>
          <w:iCs/>
        </w:rPr>
        <w:t xml:space="preserve">PASC agreed on the importance of keeping any </w:t>
      </w:r>
      <w:r w:rsidR="00420A4E" w:rsidRPr="009B0D27">
        <w:rPr>
          <w:rFonts w:asciiTheme="minorHAnsi" w:hAnsiTheme="minorHAnsi" w:cstheme="minorHAnsi"/>
          <w:i/>
          <w:iCs/>
        </w:rPr>
        <w:t>out-of-pocket</w:t>
      </w:r>
      <w:r w:rsidRPr="009B0D27">
        <w:rPr>
          <w:rFonts w:asciiTheme="minorHAnsi" w:hAnsiTheme="minorHAnsi" w:cstheme="minorHAnsi"/>
          <w:i/>
          <w:iCs/>
        </w:rPr>
        <w:t xml:space="preserve"> costs to a minimum.</w:t>
      </w:r>
    </w:p>
    <w:p w14:paraId="4A8D1BB9" w14:textId="5D280160" w:rsidR="00F641C9" w:rsidRDefault="00F641C9" w:rsidP="0023599C">
      <w:pPr>
        <w:pStyle w:val="Heading2"/>
      </w:pPr>
      <w:r w:rsidRPr="00D37A3F">
        <w:t>Next steps</w:t>
      </w:r>
    </w:p>
    <w:p w14:paraId="25D51C46" w14:textId="5823D12E" w:rsidR="0023599C" w:rsidRDefault="004A77C2" w:rsidP="0023599C">
      <w:pPr>
        <w:rPr>
          <w:rFonts w:asciiTheme="minorHAnsi" w:hAnsiTheme="minorHAnsi" w:cstheme="minorHAnsi"/>
          <w:i/>
          <w:iCs/>
        </w:rPr>
      </w:pPr>
      <w:r w:rsidRPr="004A77C2">
        <w:rPr>
          <w:rFonts w:asciiTheme="minorHAnsi" w:hAnsiTheme="minorHAnsi" w:cstheme="minorHAnsi"/>
          <w:i/>
          <w:iCs/>
        </w:rPr>
        <w:t>PASC noted that the applicat</w:t>
      </w:r>
      <w:r w:rsidR="000D6A3D">
        <w:rPr>
          <w:rFonts w:asciiTheme="minorHAnsi" w:hAnsiTheme="minorHAnsi" w:cstheme="minorHAnsi"/>
          <w:i/>
          <w:iCs/>
        </w:rPr>
        <w:t>ion</w:t>
      </w:r>
      <w:r w:rsidRPr="004A77C2">
        <w:rPr>
          <w:rFonts w:asciiTheme="minorHAnsi" w:hAnsiTheme="minorHAnsi" w:cstheme="minorHAnsi"/>
          <w:i/>
          <w:iCs/>
        </w:rPr>
        <w:t xml:space="preserve"> will progress as</w:t>
      </w:r>
      <w:r w:rsidR="00C92974">
        <w:rPr>
          <w:rFonts w:asciiTheme="minorHAnsi" w:hAnsiTheme="minorHAnsi" w:cstheme="minorHAnsi"/>
          <w:i/>
          <w:iCs/>
        </w:rPr>
        <w:t xml:space="preserve"> an integrated</w:t>
      </w:r>
      <w:r w:rsidRPr="004A77C2">
        <w:rPr>
          <w:rFonts w:asciiTheme="minorHAnsi" w:hAnsiTheme="minorHAnsi" w:cstheme="minorHAnsi"/>
          <w:i/>
          <w:iCs/>
        </w:rPr>
        <w:t xml:space="preserve"> codependent </w:t>
      </w:r>
      <w:r w:rsidR="00C92974">
        <w:rPr>
          <w:rFonts w:asciiTheme="minorHAnsi" w:hAnsiTheme="minorHAnsi" w:cstheme="minorHAnsi"/>
          <w:i/>
          <w:iCs/>
        </w:rPr>
        <w:t>submission</w:t>
      </w:r>
      <w:r w:rsidR="00C92974" w:rsidRPr="004A77C2">
        <w:rPr>
          <w:rFonts w:asciiTheme="minorHAnsi" w:hAnsiTheme="minorHAnsi" w:cstheme="minorHAnsi"/>
          <w:i/>
          <w:iCs/>
        </w:rPr>
        <w:t xml:space="preserve"> </w:t>
      </w:r>
      <w:r w:rsidRPr="004A77C2">
        <w:rPr>
          <w:rFonts w:asciiTheme="minorHAnsi" w:hAnsiTheme="minorHAnsi" w:cstheme="minorHAnsi"/>
          <w:i/>
          <w:iCs/>
        </w:rPr>
        <w:t>to both MSAC and PBAC.</w:t>
      </w:r>
    </w:p>
    <w:p w14:paraId="49C3383A" w14:textId="77777777" w:rsidR="00E431F6" w:rsidRPr="00FD4FF3" w:rsidRDefault="00E431F6" w:rsidP="00EF18C5">
      <w:pPr>
        <w:pStyle w:val="Heading2"/>
        <w:rPr>
          <w:rFonts w:eastAsia="Calibri" w:cs="Times New Roman"/>
          <w:szCs w:val="22"/>
        </w:rPr>
      </w:pPr>
      <w:r w:rsidRPr="00EF18C5">
        <w:t>Applicant Comments on Ratified PICO</w:t>
      </w:r>
    </w:p>
    <w:p w14:paraId="70B1E177" w14:textId="3C296B57" w:rsidR="00C7225D" w:rsidRPr="00EF18C5" w:rsidRDefault="00781031" w:rsidP="0023599C">
      <w:pPr>
        <w:rPr>
          <w:rFonts w:asciiTheme="minorHAnsi" w:hAnsiTheme="minorHAnsi"/>
        </w:rPr>
      </w:pPr>
      <w:r w:rsidRPr="00E431F6">
        <w:rPr>
          <w:rFonts w:asciiTheme="minorHAnsi" w:hAnsiTheme="minorHAnsi" w:cstheme="minorHAnsi"/>
        </w:rPr>
        <w:t>The applicant had no comment.</w:t>
      </w:r>
    </w:p>
    <w:p w14:paraId="5AEC91EB" w14:textId="3905EE88" w:rsidR="00C7225D" w:rsidRDefault="00C7225D" w:rsidP="00EF18C5">
      <w:pPr>
        <w:tabs>
          <w:tab w:val="left" w:pos="2430"/>
        </w:tabs>
      </w:pPr>
    </w:p>
    <w:p w14:paraId="573536CA" w14:textId="77777777" w:rsidR="00C7225D" w:rsidRDefault="00C7225D" w:rsidP="0023599C"/>
    <w:p w14:paraId="13F65FD3" w14:textId="6B78885C" w:rsidR="00C7225D" w:rsidRPr="00C7225D" w:rsidRDefault="00C7225D" w:rsidP="00C7225D">
      <w:pPr>
        <w:keepNext/>
        <w:keepLines/>
        <w:tabs>
          <w:tab w:val="left" w:pos="1701"/>
        </w:tabs>
        <w:spacing w:before="360" w:after="120" w:line="240" w:lineRule="auto"/>
        <w:outlineLvl w:val="1"/>
        <w:rPr>
          <w:rFonts w:ascii="Franklin Gothic Medium" w:eastAsia="MS Gothic" w:hAnsi="Franklin Gothic Medium"/>
          <w:color w:val="000000" w:themeColor="text1"/>
          <w:sz w:val="32"/>
          <w:szCs w:val="26"/>
        </w:rPr>
      </w:pPr>
      <w:r w:rsidRPr="00A27A5D">
        <w:rPr>
          <w:rFonts w:ascii="Franklin Gothic Medium" w:eastAsia="MS Gothic" w:hAnsi="Franklin Gothic Medium"/>
          <w:color w:val="000000" w:themeColor="text1"/>
          <w:sz w:val="32"/>
          <w:szCs w:val="26"/>
        </w:rPr>
        <w:lastRenderedPageBreak/>
        <w:t>Appendix 1</w:t>
      </w:r>
    </w:p>
    <w:p w14:paraId="7D732A9E" w14:textId="77777777" w:rsidR="0050191D" w:rsidRDefault="00A27A5D" w:rsidP="0050191D">
      <w:pPr>
        <w:keepNext/>
      </w:pPr>
      <w:r w:rsidRPr="00A27A5D">
        <w:rPr>
          <w:noProof/>
        </w:rPr>
        <w:drawing>
          <wp:inline distT="0" distB="0" distL="0" distR="0" wp14:anchorId="2CB17453" wp14:editId="0B96363B">
            <wp:extent cx="6019800" cy="3381375"/>
            <wp:effectExtent l="0" t="0" r="0" b="9525"/>
            <wp:docPr id="5" name="Picture 5" descr="Table 1: Current treatment algorithm in patients with HR+/HER2-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1: Current treatment algorithm in patients with HR+/HER2- breast canc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3381375"/>
                    </a:xfrm>
                    <a:prstGeom prst="rect">
                      <a:avLst/>
                    </a:prstGeom>
                    <a:noFill/>
                    <a:ln>
                      <a:noFill/>
                    </a:ln>
                  </pic:spPr>
                </pic:pic>
              </a:graphicData>
            </a:graphic>
          </wp:inline>
        </w:drawing>
      </w:r>
    </w:p>
    <w:p w14:paraId="3D8A2F3B" w14:textId="379D98B6" w:rsidR="00A27A5D" w:rsidRDefault="0050191D" w:rsidP="0050191D">
      <w:pPr>
        <w:pStyle w:val="Caption"/>
      </w:pPr>
      <w:r>
        <w:t xml:space="preserve">Appendix Figure </w:t>
      </w:r>
      <w:r>
        <w:fldChar w:fldCharType="begin"/>
      </w:r>
      <w:r>
        <w:instrText xml:space="preserve"> SEQ Appendix_Figure \* ARABIC </w:instrText>
      </w:r>
      <w:r>
        <w:fldChar w:fldCharType="separate"/>
      </w:r>
      <w:r>
        <w:rPr>
          <w:noProof/>
        </w:rPr>
        <w:t>1</w:t>
      </w:r>
      <w:r>
        <w:fldChar w:fldCharType="end"/>
      </w:r>
      <w:r>
        <w:t xml:space="preserve">: </w:t>
      </w:r>
      <w:r w:rsidRPr="0050191D">
        <w:t>Current treatment algorithm in patients with HR+/HER2- breast cancer</w:t>
      </w:r>
    </w:p>
    <w:p w14:paraId="5F2CF774" w14:textId="707EA69B" w:rsidR="0050191D" w:rsidRPr="00BD33CC" w:rsidRDefault="0050191D" w:rsidP="00BD33CC">
      <w:pPr>
        <w:pStyle w:val="Tablenotes"/>
        <w:rPr>
          <w:lang w:val="en-GB" w:eastAsia="ja-JP"/>
        </w:rPr>
      </w:pPr>
      <w:r w:rsidRPr="0050191D">
        <w:rPr>
          <w:lang w:val="en-GB" w:eastAsia="ja-JP"/>
        </w:rPr>
        <w:t>Source: Table 1, p14 of MSAC application 1766 PICO set</w:t>
      </w:r>
    </w:p>
    <w:p w14:paraId="0A3BA273" w14:textId="77777777" w:rsidR="0050191D" w:rsidRDefault="00A27A5D" w:rsidP="00BD33CC">
      <w:pPr>
        <w:keepNext/>
      </w:pPr>
      <w:r w:rsidRPr="00A27A5D">
        <w:rPr>
          <w:noProof/>
        </w:rPr>
        <w:drawing>
          <wp:inline distT="0" distB="0" distL="0" distR="0" wp14:anchorId="57171EA3" wp14:editId="796D5575">
            <wp:extent cx="6019800" cy="3381375"/>
            <wp:effectExtent l="0" t="0" r="0" b="9525"/>
            <wp:docPr id="6" name="Picture 6" descr="Table 2: Revised treatment algorithm in patients with HR+/HER2- breast cancer (capivasert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2: Revised treatment algorithm in patients with HR+/HER2- breast cancer (capivaserti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3381375"/>
                    </a:xfrm>
                    <a:prstGeom prst="rect">
                      <a:avLst/>
                    </a:prstGeom>
                    <a:noFill/>
                    <a:ln>
                      <a:noFill/>
                    </a:ln>
                  </pic:spPr>
                </pic:pic>
              </a:graphicData>
            </a:graphic>
          </wp:inline>
        </w:drawing>
      </w:r>
    </w:p>
    <w:p w14:paraId="13678C79" w14:textId="1B6C3F63" w:rsidR="00A27A5D" w:rsidRPr="00A27A5D" w:rsidRDefault="0050191D" w:rsidP="00BD33CC">
      <w:pPr>
        <w:pStyle w:val="Caption"/>
      </w:pPr>
      <w:r>
        <w:t xml:space="preserve">Appendix Figure </w:t>
      </w:r>
      <w:r>
        <w:fldChar w:fldCharType="begin"/>
      </w:r>
      <w:r>
        <w:instrText xml:space="preserve"> SEQ Appendix_Figure \* ARABIC </w:instrText>
      </w:r>
      <w:r>
        <w:fldChar w:fldCharType="separate"/>
      </w:r>
      <w:r>
        <w:rPr>
          <w:noProof/>
        </w:rPr>
        <w:t>2</w:t>
      </w:r>
      <w:r>
        <w:fldChar w:fldCharType="end"/>
      </w:r>
      <w:r>
        <w:t xml:space="preserve">: </w:t>
      </w:r>
      <w:r w:rsidRPr="0050191D">
        <w:t>Revised treatment algorithm in patients with HR+/HER2- breast cancer (capivasertib)</w:t>
      </w:r>
    </w:p>
    <w:p w14:paraId="0684B8C8" w14:textId="77069D0C" w:rsidR="00A27A5D" w:rsidRPr="0050191D" w:rsidRDefault="0050191D" w:rsidP="00BD33CC">
      <w:pPr>
        <w:pStyle w:val="Tablenotes"/>
      </w:pPr>
      <w:r w:rsidRPr="0050191D">
        <w:t>Source: Table 2, p14 of MSAC application 1766 PICO set</w:t>
      </w:r>
    </w:p>
    <w:p w14:paraId="5345D8F0" w14:textId="77777777" w:rsidR="003D674C" w:rsidRDefault="003D674C" w:rsidP="0023599C">
      <w:pPr>
        <w:pStyle w:val="Instructionaltext"/>
      </w:pPr>
    </w:p>
    <w:bookmarkEnd w:id="24"/>
    <w:p w14:paraId="4B04D800" w14:textId="2673C47A" w:rsidR="00B72634" w:rsidRDefault="00A33126" w:rsidP="00827AB4">
      <w:pPr>
        <w:pStyle w:val="Heading2"/>
      </w:pPr>
      <w:r w:rsidRPr="00A33126">
        <w:lastRenderedPageBreak/>
        <w:t>References</w:t>
      </w:r>
    </w:p>
    <w:p w14:paraId="4882BCE9" w14:textId="3FF955E3" w:rsidR="00B21F12" w:rsidRPr="00B21F12" w:rsidRDefault="00B72634" w:rsidP="00FC33B1">
      <w:pPr>
        <w:pStyle w:val="EndNoteBibliography"/>
        <w:spacing w:after="120"/>
        <w:ind w:left="720" w:hanging="720"/>
      </w:pPr>
      <w:r>
        <w:fldChar w:fldCharType="begin"/>
      </w:r>
      <w:r>
        <w:instrText xml:space="preserve"> ADDIN EN.REFLIST </w:instrText>
      </w:r>
      <w:r>
        <w:fldChar w:fldCharType="separate"/>
      </w:r>
      <w:r w:rsidR="00B21F12" w:rsidRPr="00B21F12">
        <w:t xml:space="preserve">Australian Clinical Labs (2024) </w:t>
      </w:r>
      <w:r w:rsidR="00B21F12" w:rsidRPr="00B21F12">
        <w:rPr>
          <w:i/>
        </w:rPr>
        <w:t>Circulating Tumour DNA (ctDNA) Testing in Plasma</w:t>
      </w:r>
      <w:r w:rsidR="00B21F12" w:rsidRPr="00B21F12">
        <w:t xml:space="preserve">, accessed 2024 March 5. </w:t>
      </w:r>
      <w:hyperlink r:id="rId16" w:history="1">
        <w:r w:rsidR="00B21F12" w:rsidRPr="00B21F12">
          <w:rPr>
            <w:rStyle w:val="Hyperlink"/>
            <w:rFonts w:ascii="Calibri" w:hAnsi="Calibri" w:cs="Calibri"/>
          </w:rPr>
          <w:t>https://www.clinicallabs.com.au/aspect/</w:t>
        </w:r>
      </w:hyperlink>
    </w:p>
    <w:p w14:paraId="430B2ACC" w14:textId="2A1C4F32" w:rsidR="00B21F12" w:rsidRPr="00B21F12" w:rsidRDefault="00B21F12" w:rsidP="00FC33B1">
      <w:pPr>
        <w:pStyle w:val="EndNoteBibliography"/>
        <w:spacing w:after="120"/>
        <w:ind w:left="720" w:hanging="720"/>
      </w:pPr>
      <w:r w:rsidRPr="00B21F12">
        <w:t xml:space="preserve">Australian Institute of Health and Welfare (2022) </w:t>
      </w:r>
      <w:r w:rsidRPr="00B21F12">
        <w:rPr>
          <w:i/>
        </w:rPr>
        <w:t>Cancer</w:t>
      </w:r>
      <w:r w:rsidRPr="00B21F12">
        <w:t xml:space="preserve">, accessed 2024 February 01. </w:t>
      </w:r>
      <w:hyperlink r:id="rId17" w:history="1">
        <w:r w:rsidRPr="00B21F12">
          <w:rPr>
            <w:rStyle w:val="Hyperlink"/>
            <w:rFonts w:ascii="Calibri" w:hAnsi="Calibri" w:cs="Calibri"/>
          </w:rPr>
          <w:t>https://www.aihw.gov.au/reports/australias-health/cancer</w:t>
        </w:r>
      </w:hyperlink>
    </w:p>
    <w:p w14:paraId="59D60D70" w14:textId="016460B3" w:rsidR="00B21F12" w:rsidRPr="00B21F12" w:rsidRDefault="00B21F12" w:rsidP="00FC33B1">
      <w:pPr>
        <w:pStyle w:val="EndNoteBibliography"/>
        <w:spacing w:after="120"/>
        <w:ind w:left="720" w:hanging="720"/>
      </w:pPr>
      <w:r w:rsidRPr="00B21F12">
        <w:t xml:space="preserve">Australian Institute of Health and Welfare (2023) </w:t>
      </w:r>
      <w:r w:rsidRPr="00B21F12">
        <w:rPr>
          <w:i/>
        </w:rPr>
        <w:t>BreastScreen Australia monitoring report 2023</w:t>
      </w:r>
      <w:r w:rsidRPr="00B21F12">
        <w:t xml:space="preserve">, accessed 2024 February 20. </w:t>
      </w:r>
      <w:hyperlink r:id="rId18" w:history="1">
        <w:r w:rsidRPr="00B21F12">
          <w:rPr>
            <w:rStyle w:val="Hyperlink"/>
            <w:rFonts w:ascii="Calibri" w:hAnsi="Calibri" w:cs="Calibri"/>
          </w:rPr>
          <w:t>https://www.aihw.gov.au/reports/cancer-screening/breastscreen-australia-monitoring-report-2023/summary</w:t>
        </w:r>
      </w:hyperlink>
    </w:p>
    <w:p w14:paraId="217FBA5A" w14:textId="79F4EC7D" w:rsidR="00B21F12" w:rsidRPr="00B21F12" w:rsidRDefault="00B21F12" w:rsidP="00FC33B1">
      <w:pPr>
        <w:pStyle w:val="EndNoteBibliography"/>
        <w:spacing w:after="120"/>
        <w:ind w:left="720" w:hanging="720"/>
      </w:pPr>
      <w:r w:rsidRPr="00B21F12">
        <w:t xml:space="preserve">Australian Institute of Health and Welfare (2023 Aug 31) </w:t>
      </w:r>
      <w:r w:rsidRPr="00B21F12">
        <w:rPr>
          <w:i/>
        </w:rPr>
        <w:t>Cancer data in Australia</w:t>
      </w:r>
      <w:r w:rsidRPr="00B21F12">
        <w:t xml:space="preserve">, accessed 2024 February 29. </w:t>
      </w:r>
      <w:hyperlink r:id="rId19" w:history="1">
        <w:r w:rsidRPr="00B21F12">
          <w:rPr>
            <w:rStyle w:val="Hyperlink"/>
            <w:rFonts w:ascii="Calibri" w:hAnsi="Calibri" w:cs="Calibri"/>
          </w:rPr>
          <w:t>https://www.aihw.gov.au/reports/cancer/cancer-data-in-australia/contents/overview-of-cancer-in-australia-2023</w:t>
        </w:r>
      </w:hyperlink>
    </w:p>
    <w:p w14:paraId="4D19661D" w14:textId="177D507D" w:rsidR="00B21F12" w:rsidRPr="00B21F12" w:rsidRDefault="00B21F12" w:rsidP="00FC33B1">
      <w:pPr>
        <w:pStyle w:val="EndNoteBibliography"/>
        <w:spacing w:after="120"/>
        <w:ind w:left="720" w:hanging="720"/>
      </w:pPr>
      <w:r w:rsidRPr="00B21F12">
        <w:t xml:space="preserve">Cancer Australia (2019) </w:t>
      </w:r>
      <w:r w:rsidRPr="00B21F12">
        <w:rPr>
          <w:i/>
        </w:rPr>
        <w:t>Top 10 best practices for people with metastatic breast cancer</w:t>
      </w:r>
      <w:r w:rsidRPr="00B21F12">
        <w:t xml:space="preserve">, accessed 2024 March 13. </w:t>
      </w:r>
      <w:hyperlink r:id="rId20" w:history="1">
        <w:r w:rsidRPr="00B21F12">
          <w:rPr>
            <w:rStyle w:val="Hyperlink"/>
            <w:rFonts w:ascii="Calibri" w:hAnsi="Calibri" w:cs="Calibri"/>
          </w:rPr>
          <w:t>https://www.canceraustralia.gov.au/about-us/news/top-10-best-practices-people-metastatic-breast-cancer</w:t>
        </w:r>
      </w:hyperlink>
    </w:p>
    <w:p w14:paraId="60689EA4" w14:textId="1CE31024" w:rsidR="00B21F12" w:rsidRPr="00B21F12" w:rsidRDefault="00B21F12" w:rsidP="00FC33B1">
      <w:pPr>
        <w:pStyle w:val="EndNoteBibliography"/>
        <w:spacing w:after="120"/>
        <w:ind w:left="720" w:hanging="720"/>
      </w:pPr>
      <w:r w:rsidRPr="00B21F12">
        <w:t xml:space="preserve">Cancer Australia (2020) </w:t>
      </w:r>
      <w:r w:rsidRPr="00B21F12">
        <w:rPr>
          <w:i/>
        </w:rPr>
        <w:t>Guidance for the management of early breast cancer</w:t>
      </w:r>
      <w:r w:rsidRPr="00B21F12">
        <w:t xml:space="preserve">, accessed 2024 February 29. </w:t>
      </w:r>
      <w:hyperlink r:id="rId21" w:history="1">
        <w:r w:rsidRPr="00B21F12">
          <w:rPr>
            <w:rStyle w:val="Hyperlink"/>
            <w:rFonts w:ascii="Calibri" w:hAnsi="Calibri" w:cs="Calibri"/>
          </w:rPr>
          <w:t>https://www.guidancebreastcancer.gov.au/treatment-systemic-therapy/endocrine-therapy/initial-adjuvant-endocrine-therapy-men-and-premenopausal-women</w:t>
        </w:r>
      </w:hyperlink>
    </w:p>
    <w:p w14:paraId="280FADCB" w14:textId="3F6B540B" w:rsidR="00B21F12" w:rsidRPr="00B21F12" w:rsidRDefault="00B21F12" w:rsidP="00FC33B1">
      <w:pPr>
        <w:pStyle w:val="EndNoteBibliography"/>
        <w:spacing w:after="120"/>
        <w:ind w:left="720" w:hanging="720"/>
      </w:pPr>
      <w:r w:rsidRPr="00B21F12">
        <w:t xml:space="preserve">Cerma, K, et al. (2023). Targeting PI3K/AKT/mTOR Pathway in Breast Cancer: From Biology to Clinical Challenges. </w:t>
      </w:r>
      <w:r w:rsidRPr="00B21F12">
        <w:rPr>
          <w:i/>
        </w:rPr>
        <w:t>Biomedicines</w:t>
      </w:r>
      <w:r w:rsidRPr="00B21F12">
        <w:t>,</w:t>
      </w:r>
      <w:r w:rsidRPr="00B21F12">
        <w:rPr>
          <w:i/>
        </w:rPr>
        <w:t xml:space="preserve"> 11</w:t>
      </w:r>
      <w:r w:rsidRPr="00B21F12">
        <w:t xml:space="preserve">(1), 109. </w:t>
      </w:r>
      <w:hyperlink r:id="rId22" w:history="1">
        <w:r w:rsidRPr="00B21F12">
          <w:rPr>
            <w:rStyle w:val="Hyperlink"/>
            <w:rFonts w:ascii="Calibri" w:hAnsi="Calibri" w:cs="Calibri"/>
          </w:rPr>
          <w:t>https://www.mdpi.com/2227-9059/11/1/109</w:t>
        </w:r>
      </w:hyperlink>
      <w:r w:rsidRPr="00B21F12">
        <w:t xml:space="preserve"> </w:t>
      </w:r>
    </w:p>
    <w:p w14:paraId="59ACE034" w14:textId="78ECA8CE" w:rsidR="00B21F12" w:rsidRPr="00B21F12" w:rsidRDefault="00B21F12" w:rsidP="00FC33B1">
      <w:pPr>
        <w:pStyle w:val="EndNoteBibliography"/>
        <w:spacing w:after="120"/>
        <w:ind w:left="720" w:hanging="720"/>
      </w:pPr>
      <w:r w:rsidRPr="00B21F12">
        <w:t xml:space="preserve">Department of Health and Aged Care (2017) </w:t>
      </w:r>
      <w:r w:rsidRPr="00B21F12">
        <w:rPr>
          <w:i/>
        </w:rPr>
        <w:t>Illumina Australia Pty Ltd - Human genetics-related IVDs (297844)</w:t>
      </w:r>
      <w:r w:rsidRPr="00B21F12">
        <w:t xml:space="preserve">, accessed 2024 Feb 28. </w:t>
      </w:r>
      <w:hyperlink r:id="rId23" w:history="1">
        <w:r w:rsidRPr="00B21F12">
          <w:rPr>
            <w:rStyle w:val="Hyperlink"/>
            <w:rFonts w:ascii="Calibri" w:hAnsi="Calibri" w:cs="Calibri"/>
          </w:rPr>
          <w:t>https://www.tga.gov.au/resources/artg/297844</w:t>
        </w:r>
      </w:hyperlink>
    </w:p>
    <w:p w14:paraId="2B47952D" w14:textId="0387D3B1" w:rsidR="00B21F12" w:rsidRPr="00B21F12" w:rsidRDefault="00B21F12" w:rsidP="00FC33B1">
      <w:pPr>
        <w:pStyle w:val="EndNoteBibliography"/>
        <w:spacing w:after="120"/>
        <w:ind w:left="720" w:hanging="720"/>
      </w:pPr>
      <w:r w:rsidRPr="00B21F12">
        <w:t xml:space="preserve">Department of Health and Aged Care (2023) </w:t>
      </w:r>
      <w:r w:rsidRPr="00B21F12">
        <w:rPr>
          <w:i/>
        </w:rPr>
        <w:t>Thermo Fisher Scientific Australia Pty Ltd</w:t>
      </w:r>
      <w:r w:rsidRPr="00B21F12">
        <w:t xml:space="preserve">, accessed 2024 February 28. </w:t>
      </w:r>
      <w:hyperlink r:id="rId24" w:history="1">
        <w:r w:rsidRPr="00B21F12">
          <w:rPr>
            <w:rStyle w:val="Hyperlink"/>
            <w:rFonts w:ascii="Calibri" w:hAnsi="Calibri" w:cs="Calibri"/>
          </w:rPr>
          <w:t>https://www.tga.gov.au/resources/artg/426895</w:t>
        </w:r>
      </w:hyperlink>
    </w:p>
    <w:p w14:paraId="56632735" w14:textId="61072199" w:rsidR="00B21F12" w:rsidRPr="00B21F12" w:rsidRDefault="00B21F12" w:rsidP="00FC33B1">
      <w:pPr>
        <w:pStyle w:val="EndNoteBibliography"/>
        <w:spacing w:after="120"/>
        <w:ind w:left="720" w:hanging="720"/>
      </w:pPr>
      <w:r w:rsidRPr="00B21F12">
        <w:t xml:space="preserve">Department of Health and Aged Care (2024) </w:t>
      </w:r>
      <w:r w:rsidRPr="00B21F12">
        <w:rPr>
          <w:i/>
        </w:rPr>
        <w:t>Medicine Status Website</w:t>
      </w:r>
      <w:r w:rsidRPr="00B21F12">
        <w:t xml:space="preserve">, accessed 2024 February 29. </w:t>
      </w:r>
      <w:hyperlink r:id="rId25" w:history="1">
        <w:r w:rsidRPr="00B21F12">
          <w:rPr>
            <w:rStyle w:val="Hyperlink"/>
            <w:rFonts w:ascii="Calibri" w:hAnsi="Calibri" w:cs="Calibri"/>
          </w:rPr>
          <w:t>https://www.pbs.gov.au/medicinestatus/search.html</w:t>
        </w:r>
      </w:hyperlink>
    </w:p>
    <w:p w14:paraId="38C0E9D8" w14:textId="22C21EA5" w:rsidR="00B21F12" w:rsidRPr="00B21F12" w:rsidRDefault="00B21F12" w:rsidP="00FC33B1">
      <w:pPr>
        <w:pStyle w:val="EndNoteBibliography"/>
        <w:spacing w:after="120"/>
        <w:ind w:left="720" w:hanging="720"/>
      </w:pPr>
      <w:r w:rsidRPr="00B21F12">
        <w:t xml:space="preserve">Food and Drug Administration (2023 Dec 21) </w:t>
      </w:r>
      <w:r w:rsidRPr="00B21F12">
        <w:rPr>
          <w:i/>
        </w:rPr>
        <w:t>List of Cleared or Approved Companion Diagnostic Devices (In Vitro and Imaging Tools)</w:t>
      </w:r>
      <w:r w:rsidRPr="00B21F12">
        <w:t xml:space="preserve">, accessed 2024 February 09. </w:t>
      </w:r>
      <w:hyperlink r:id="rId26" w:history="1">
        <w:r w:rsidRPr="00B21F12">
          <w:rPr>
            <w:rStyle w:val="Hyperlink"/>
            <w:rFonts w:ascii="Calibri" w:hAnsi="Calibri" w:cs="Calibri"/>
          </w:rPr>
          <w:t>https://www.fda.gov/medical-devices/in-vitro-diagnostics/list-cleared-or-approved-companion-diagnostic-devices-in-vitro-and-imaging-tools</w:t>
        </w:r>
      </w:hyperlink>
    </w:p>
    <w:p w14:paraId="6A6E8263" w14:textId="1B5F4F8E" w:rsidR="00B21F12" w:rsidRPr="00B21F12" w:rsidRDefault="00B21F12" w:rsidP="00FC33B1">
      <w:pPr>
        <w:pStyle w:val="EndNoteBibliography"/>
        <w:spacing w:after="120"/>
        <w:ind w:left="720" w:hanging="720"/>
      </w:pPr>
      <w:r w:rsidRPr="00B21F12">
        <w:t xml:space="preserve">Foundation Medicine Inc (2024) </w:t>
      </w:r>
      <w:r w:rsidRPr="00B21F12">
        <w:rPr>
          <w:i/>
        </w:rPr>
        <w:t>FoundationOne®Liquid CDx</w:t>
      </w:r>
      <w:r w:rsidRPr="00B21F12">
        <w:t xml:space="preserve">, accessed 2024 February 09. </w:t>
      </w:r>
      <w:hyperlink r:id="rId27" w:history="1">
        <w:r w:rsidRPr="00B21F12">
          <w:rPr>
            <w:rStyle w:val="Hyperlink"/>
            <w:rFonts w:ascii="Calibri" w:hAnsi="Calibri" w:cs="Calibri"/>
          </w:rPr>
          <w:t>https://www.foundationmedicine.com/test/foundationone-liquid-cdx</w:t>
        </w:r>
      </w:hyperlink>
    </w:p>
    <w:p w14:paraId="3A088890" w14:textId="7FA1F854" w:rsidR="00B21F12" w:rsidRPr="00B21F12" w:rsidRDefault="00B21F12" w:rsidP="00FC33B1">
      <w:pPr>
        <w:pStyle w:val="EndNoteBibliography"/>
        <w:spacing w:after="120"/>
        <w:ind w:left="720" w:hanging="720"/>
      </w:pPr>
      <w:r w:rsidRPr="00B21F12">
        <w:t xml:space="preserve">Gennari, A, et al. (2021). ESMO Clinical Practice Guideline for the diagnosis, staging and treatment of patients with metastatic breast cancer. </w:t>
      </w:r>
      <w:r w:rsidRPr="00B21F12">
        <w:rPr>
          <w:i/>
        </w:rPr>
        <w:t>Annals of Oncology</w:t>
      </w:r>
      <w:r w:rsidRPr="00B21F12">
        <w:t>,</w:t>
      </w:r>
      <w:r w:rsidRPr="00B21F12">
        <w:rPr>
          <w:i/>
        </w:rPr>
        <w:t xml:space="preserve"> 32</w:t>
      </w:r>
      <w:r w:rsidRPr="00B21F12">
        <w:t xml:space="preserve">(12), 1475-1495. </w:t>
      </w:r>
      <w:hyperlink r:id="rId28" w:history="1">
        <w:r w:rsidRPr="00B21F12">
          <w:rPr>
            <w:rStyle w:val="Hyperlink"/>
            <w:rFonts w:ascii="Calibri" w:hAnsi="Calibri" w:cs="Calibri"/>
          </w:rPr>
          <w:t>https://doi.org/10.1016/j.annonc.2021.09.019</w:t>
        </w:r>
      </w:hyperlink>
      <w:r w:rsidRPr="00B21F12">
        <w:t xml:space="preserve"> </w:t>
      </w:r>
    </w:p>
    <w:p w14:paraId="350F3103" w14:textId="108E5F12" w:rsidR="00B21F12" w:rsidRPr="00B21F12" w:rsidRDefault="00B21F12" w:rsidP="00FC33B1">
      <w:pPr>
        <w:pStyle w:val="EndNoteBibliography"/>
        <w:spacing w:after="120"/>
        <w:ind w:left="720" w:hanging="720"/>
      </w:pPr>
      <w:r w:rsidRPr="00B21F12">
        <w:t xml:space="preserve">Glaviano, A, et al. (2023). PI3K/AKT/mTOR signaling transduction pathway and targeted therapies in cancer. </w:t>
      </w:r>
      <w:r w:rsidRPr="00B21F12">
        <w:rPr>
          <w:i/>
        </w:rPr>
        <w:t>Molecular Cancer</w:t>
      </w:r>
      <w:r w:rsidRPr="00B21F12">
        <w:t>,</w:t>
      </w:r>
      <w:r w:rsidRPr="00B21F12">
        <w:rPr>
          <w:i/>
        </w:rPr>
        <w:t xml:space="preserve"> 22</w:t>
      </w:r>
      <w:r w:rsidRPr="00B21F12">
        <w:t xml:space="preserve">(1). </w:t>
      </w:r>
      <w:hyperlink r:id="rId29" w:history="1">
        <w:r w:rsidRPr="00B21F12">
          <w:rPr>
            <w:rStyle w:val="Hyperlink"/>
            <w:rFonts w:ascii="Calibri" w:hAnsi="Calibri" w:cs="Calibri"/>
          </w:rPr>
          <w:t>https://doi.org/10.1186/s12943-023-01827-6</w:t>
        </w:r>
      </w:hyperlink>
      <w:r w:rsidRPr="00B21F12">
        <w:t xml:space="preserve"> </w:t>
      </w:r>
    </w:p>
    <w:p w14:paraId="12B608C6" w14:textId="78A0A026" w:rsidR="00B21F12" w:rsidRPr="00B21F12" w:rsidRDefault="00B21F12" w:rsidP="00FC33B1">
      <w:pPr>
        <w:pStyle w:val="EndNoteBibliography"/>
        <w:spacing w:after="120"/>
        <w:ind w:left="720" w:hanging="720"/>
      </w:pPr>
      <w:r w:rsidRPr="00B21F12">
        <w:t xml:space="preserve">Howell, SJ, et al. (2022). Fulvestrant plus capivasertib versus placebo after relapse or progression on an aromatase inhibitor in metastatic, oestrogen receptor-positive, HER2-negative breast cancer (FAKTION): overall survival, updated progression-free survival, and expanded </w:t>
      </w:r>
      <w:r w:rsidR="009E01AE" w:rsidRPr="009E01AE">
        <w:t>biomarker analysis from a randomised, phase 2 trial</w:t>
      </w:r>
      <w:r w:rsidRPr="00B21F12">
        <w:t xml:space="preserve">. </w:t>
      </w:r>
      <w:r w:rsidRPr="00B21F12">
        <w:rPr>
          <w:i/>
        </w:rPr>
        <w:t>The Lancet Oncology</w:t>
      </w:r>
      <w:r w:rsidRPr="00B21F12">
        <w:t>,</w:t>
      </w:r>
      <w:r w:rsidRPr="00B21F12">
        <w:rPr>
          <w:i/>
        </w:rPr>
        <w:t xml:space="preserve"> 23</w:t>
      </w:r>
      <w:r w:rsidRPr="00B21F12">
        <w:t xml:space="preserve">(7), 851-864. </w:t>
      </w:r>
      <w:hyperlink r:id="rId30" w:history="1">
        <w:r w:rsidRPr="00B21F12">
          <w:rPr>
            <w:rStyle w:val="Hyperlink"/>
            <w:rFonts w:ascii="Calibri" w:hAnsi="Calibri" w:cs="Calibri"/>
          </w:rPr>
          <w:t>https://doi.org/10.1016/s1470-2045(22)00284-4</w:t>
        </w:r>
      </w:hyperlink>
      <w:r w:rsidRPr="00B21F12">
        <w:t xml:space="preserve"> </w:t>
      </w:r>
    </w:p>
    <w:p w14:paraId="4FE258CA" w14:textId="44AA22B9" w:rsidR="00B21F12" w:rsidRPr="00B21F12" w:rsidRDefault="00B21F12" w:rsidP="00FC33B1">
      <w:pPr>
        <w:pStyle w:val="EndNoteBibliography"/>
        <w:spacing w:after="120"/>
        <w:ind w:left="720" w:hanging="720"/>
      </w:pPr>
      <w:r w:rsidRPr="00B21F12">
        <w:t xml:space="preserve">Jin, X, et al. (2023). Molecular classification of hormone receptor-positive HER2-negative breast cancer. </w:t>
      </w:r>
      <w:r w:rsidRPr="00B21F12">
        <w:rPr>
          <w:i/>
        </w:rPr>
        <w:t>Nature Genetics</w:t>
      </w:r>
      <w:r w:rsidRPr="00B21F12">
        <w:t>,</w:t>
      </w:r>
      <w:r w:rsidRPr="00B21F12">
        <w:rPr>
          <w:i/>
        </w:rPr>
        <w:t xml:space="preserve"> 55</w:t>
      </w:r>
      <w:r w:rsidRPr="00B21F12">
        <w:t xml:space="preserve">(10), 1696-1708. </w:t>
      </w:r>
      <w:hyperlink r:id="rId31" w:history="1">
        <w:r w:rsidRPr="00B21F12">
          <w:rPr>
            <w:rStyle w:val="Hyperlink"/>
            <w:rFonts w:ascii="Calibri" w:hAnsi="Calibri" w:cs="Calibri"/>
          </w:rPr>
          <w:t>https://doi.org/10.1038/s41588-023-01507-7</w:t>
        </w:r>
      </w:hyperlink>
      <w:r w:rsidRPr="00B21F12">
        <w:t xml:space="preserve"> </w:t>
      </w:r>
    </w:p>
    <w:p w14:paraId="5531A36A" w14:textId="4C8552D5" w:rsidR="00B21F12" w:rsidRPr="00B21F12" w:rsidRDefault="00B21F12" w:rsidP="00FC33B1">
      <w:pPr>
        <w:pStyle w:val="EndNoteBibliography"/>
        <w:spacing w:after="120"/>
        <w:ind w:left="720" w:hanging="720"/>
      </w:pPr>
      <w:r w:rsidRPr="00B21F12">
        <w:lastRenderedPageBreak/>
        <w:t xml:space="preserve">Li, Y, et al. (2023). Comprehensive characterization of HER2-low breast cancers: implications in prognosis and treatment. </w:t>
      </w:r>
      <w:r w:rsidRPr="00B21F12">
        <w:rPr>
          <w:i/>
        </w:rPr>
        <w:t>eBioMedicine</w:t>
      </w:r>
      <w:r w:rsidRPr="00B21F12">
        <w:t>,</w:t>
      </w:r>
      <w:r w:rsidRPr="00B21F12">
        <w:rPr>
          <w:i/>
        </w:rPr>
        <w:t xml:space="preserve"> 91</w:t>
      </w:r>
      <w:r w:rsidRPr="00B21F12">
        <w:t xml:space="preserve">, 104571. </w:t>
      </w:r>
      <w:hyperlink r:id="rId32" w:history="1">
        <w:r w:rsidRPr="00B21F12">
          <w:rPr>
            <w:rStyle w:val="Hyperlink"/>
            <w:rFonts w:ascii="Calibri" w:hAnsi="Calibri" w:cs="Calibri"/>
          </w:rPr>
          <w:t>https://doi.org/10.1016/j.ebiom.2023.104571</w:t>
        </w:r>
      </w:hyperlink>
      <w:r w:rsidRPr="00B21F12">
        <w:t xml:space="preserve"> </w:t>
      </w:r>
    </w:p>
    <w:p w14:paraId="117C4AB1" w14:textId="19DE71EA" w:rsidR="00B21F12" w:rsidRPr="00B21F12" w:rsidRDefault="00B21F12" w:rsidP="00FC33B1">
      <w:pPr>
        <w:pStyle w:val="EndNoteBibliography"/>
        <w:spacing w:after="120"/>
        <w:ind w:left="720" w:hanging="720"/>
      </w:pPr>
      <w:r w:rsidRPr="00B21F12">
        <w:t xml:space="preserve">Martorana, F, et al. (2021). AKT Inhibitors: New Weapons in the Fight Against Breast Cancer? </w:t>
      </w:r>
      <w:r w:rsidRPr="00B21F12">
        <w:rPr>
          <w:i/>
        </w:rPr>
        <w:t>Frontiers in Pharmacology</w:t>
      </w:r>
      <w:r w:rsidRPr="00B21F12">
        <w:t>,</w:t>
      </w:r>
      <w:r w:rsidRPr="00B21F12">
        <w:rPr>
          <w:i/>
        </w:rPr>
        <w:t xml:space="preserve"> 12</w:t>
      </w:r>
      <w:r w:rsidRPr="00B21F12">
        <w:t xml:space="preserve">. </w:t>
      </w:r>
      <w:hyperlink r:id="rId33" w:history="1">
        <w:r w:rsidRPr="00B21F12">
          <w:rPr>
            <w:rStyle w:val="Hyperlink"/>
            <w:rFonts w:ascii="Calibri" w:hAnsi="Calibri" w:cs="Calibri"/>
          </w:rPr>
          <w:t>https://doi.org/10.3389/fphar.2021.662232</w:t>
        </w:r>
      </w:hyperlink>
      <w:r w:rsidRPr="00B21F12">
        <w:t xml:space="preserve"> </w:t>
      </w:r>
    </w:p>
    <w:p w14:paraId="7C71E5F9" w14:textId="1625D4A9" w:rsidR="00B21F12" w:rsidRPr="00B21F12" w:rsidRDefault="00B21F12" w:rsidP="00FC33B1">
      <w:pPr>
        <w:pStyle w:val="EndNoteBibliography"/>
        <w:spacing w:after="120"/>
        <w:ind w:left="720" w:hanging="720"/>
      </w:pPr>
      <w:r w:rsidRPr="00B21F12">
        <w:t xml:space="preserve">National Association of Testing Authorities Australia (2024a) </w:t>
      </w:r>
      <w:r w:rsidRPr="00B21F12">
        <w:rPr>
          <w:i/>
        </w:rPr>
        <w:t>ISO 15189 Human Pathology</w:t>
      </w:r>
      <w:r w:rsidRPr="00B21F12">
        <w:t xml:space="preserve">, accessed 2024 February 15. </w:t>
      </w:r>
      <w:hyperlink r:id="rId34" w:history="1">
        <w:r w:rsidRPr="00B21F12">
          <w:rPr>
            <w:rStyle w:val="Hyperlink"/>
            <w:rFonts w:ascii="Calibri" w:hAnsi="Calibri" w:cs="Calibri"/>
          </w:rPr>
          <w:t>https://nata.com.au/accreditation/medical-laboratory-accreditation-iso-15189/</w:t>
        </w:r>
      </w:hyperlink>
    </w:p>
    <w:p w14:paraId="4C0C21A9" w14:textId="3E0BA22D" w:rsidR="00B21F12" w:rsidRPr="00B21F12" w:rsidRDefault="00B21F12" w:rsidP="00FC33B1">
      <w:pPr>
        <w:pStyle w:val="EndNoteBibliography"/>
        <w:spacing w:after="120"/>
        <w:ind w:left="720" w:hanging="720"/>
      </w:pPr>
      <w:r w:rsidRPr="00B21F12">
        <w:t xml:space="preserve">National Association of Testing Authorities Australia (2024b) </w:t>
      </w:r>
      <w:r w:rsidRPr="00B21F12">
        <w:rPr>
          <w:i/>
        </w:rPr>
        <w:t>Search accredited organisations</w:t>
      </w:r>
      <w:r w:rsidRPr="00B21F12">
        <w:t xml:space="preserve">, accessed 2024 February 15. </w:t>
      </w:r>
      <w:hyperlink r:id="rId35" w:history="1">
        <w:r w:rsidRPr="00B21F12">
          <w:rPr>
            <w:rStyle w:val="Hyperlink"/>
            <w:rFonts w:ascii="Calibri" w:hAnsi="Calibri" w:cs="Calibri"/>
          </w:rPr>
          <w:t>https://nata.com.au/?post_type=site&amp;s=massively+parallel+seqeuncing&amp;filter=&amp;state=&amp;status</w:t>
        </w:r>
      </w:hyperlink>
      <w:r w:rsidRPr="00B21F12">
        <w:t>=</w:t>
      </w:r>
    </w:p>
    <w:p w14:paraId="7C5840C5" w14:textId="55796BE8" w:rsidR="00B21F12" w:rsidRPr="00B21F12" w:rsidRDefault="00B21F12" w:rsidP="00FC33B1">
      <w:pPr>
        <w:pStyle w:val="EndNoteBibliography"/>
        <w:spacing w:after="120"/>
        <w:ind w:left="720" w:hanging="720"/>
      </w:pPr>
      <w:r w:rsidRPr="00B21F12">
        <w:t xml:space="preserve">National Breast Cancer Foundation (2024) </w:t>
      </w:r>
      <w:r w:rsidRPr="00B21F12">
        <w:rPr>
          <w:i/>
        </w:rPr>
        <w:t>Breast Cancer Stats</w:t>
      </w:r>
      <w:r w:rsidRPr="00B21F12">
        <w:t xml:space="preserve">, accessed 2024 February 01. </w:t>
      </w:r>
      <w:hyperlink r:id="rId36" w:anchor=":~:text=1%20in%207%20women%20are,including%2030%2D40%20males" w:history="1">
        <w:r w:rsidRPr="00B21F12">
          <w:rPr>
            <w:rStyle w:val="Hyperlink"/>
            <w:rFonts w:ascii="Calibri" w:hAnsi="Calibri" w:cs="Calibri"/>
          </w:rPr>
          <w:t>https://nbcf.org.au/about-breast-cancer/breast-cancer-stats/#:~:text=1%20in%207%20women%20are,including%2030%2D40%20males</w:t>
        </w:r>
      </w:hyperlink>
      <w:r w:rsidRPr="00B21F12">
        <w:t>).</w:t>
      </w:r>
    </w:p>
    <w:p w14:paraId="3C7B1C2A" w14:textId="652E81C1" w:rsidR="00B21F12" w:rsidRPr="00B21F12" w:rsidRDefault="00B21F12" w:rsidP="00FC33B1">
      <w:pPr>
        <w:pStyle w:val="EndNoteBibliography"/>
        <w:spacing w:after="120"/>
        <w:ind w:left="720" w:hanging="720"/>
      </w:pPr>
      <w:r w:rsidRPr="00B21F12">
        <w:t xml:space="preserve">National Cancer Control Indicators (2018 Apr) </w:t>
      </w:r>
      <w:r w:rsidRPr="00B21F12">
        <w:rPr>
          <w:i/>
        </w:rPr>
        <w:t>Distribution of cancer stage</w:t>
      </w:r>
      <w:r w:rsidRPr="00B21F12">
        <w:t xml:space="preserve">, accessed 2024 February 05. </w:t>
      </w:r>
      <w:hyperlink r:id="rId37" w:history="1">
        <w:r w:rsidRPr="00B21F12">
          <w:rPr>
            <w:rStyle w:val="Hyperlink"/>
            <w:rFonts w:ascii="Calibri" w:hAnsi="Calibri" w:cs="Calibri"/>
          </w:rPr>
          <w:t>https://ncci.canceraustralia.gov.au/diagnosis/distribution-cancer-stage/distribution-cancer-stage</w:t>
        </w:r>
      </w:hyperlink>
    </w:p>
    <w:p w14:paraId="7B053336" w14:textId="42DA7B16" w:rsidR="00B21F12" w:rsidRPr="00B21F12" w:rsidRDefault="00B21F12" w:rsidP="00FC33B1">
      <w:pPr>
        <w:pStyle w:val="EndNoteBibliography"/>
        <w:spacing w:after="120"/>
        <w:ind w:left="720" w:hanging="720"/>
      </w:pPr>
      <w:r w:rsidRPr="00B21F12">
        <w:t xml:space="preserve">National Cancer Institute (2024) </w:t>
      </w:r>
      <w:r w:rsidRPr="00B21F12">
        <w:rPr>
          <w:i/>
        </w:rPr>
        <w:t>Cancer Stat Facts: Female Breast Cancer Subtypes</w:t>
      </w:r>
      <w:r w:rsidRPr="00B21F12">
        <w:t xml:space="preserve">, accessed 2024 February 02. </w:t>
      </w:r>
      <w:hyperlink r:id="rId38" w:history="1">
        <w:r w:rsidRPr="00B21F12">
          <w:rPr>
            <w:rStyle w:val="Hyperlink"/>
            <w:rFonts w:ascii="Calibri" w:hAnsi="Calibri" w:cs="Calibri"/>
          </w:rPr>
          <w:t>https://seer.cancer.gov/statfacts/html/breast-subtypes.html</w:t>
        </w:r>
      </w:hyperlink>
    </w:p>
    <w:p w14:paraId="0B0D71DE" w14:textId="0A4AC1F7" w:rsidR="00B21F12" w:rsidRPr="00B21F12" w:rsidRDefault="00B21F12" w:rsidP="00FC33B1">
      <w:pPr>
        <w:pStyle w:val="EndNoteBibliography"/>
        <w:spacing w:after="120"/>
        <w:ind w:left="720" w:hanging="720"/>
      </w:pPr>
      <w:r w:rsidRPr="00B21F12">
        <w:t xml:space="preserve">National Comprehensive Cancer Network (2024 Jan 25) </w:t>
      </w:r>
      <w:r w:rsidRPr="00B21F12">
        <w:rPr>
          <w:i/>
        </w:rPr>
        <w:t>NCCN Clinical Practice Guidelines in Oncology Breast Cancer</w:t>
      </w:r>
      <w:r w:rsidRPr="00B21F12">
        <w:t xml:space="preserve">, accessed 2024 February 08. </w:t>
      </w:r>
      <w:hyperlink r:id="rId39" w:history="1">
        <w:r w:rsidRPr="00B21F12">
          <w:rPr>
            <w:rStyle w:val="Hyperlink"/>
            <w:rFonts w:ascii="Calibri" w:hAnsi="Calibri" w:cs="Calibri"/>
          </w:rPr>
          <w:t>https://www.nccn.org/guidelines/recently-published-guidelines</w:t>
        </w:r>
      </w:hyperlink>
    </w:p>
    <w:p w14:paraId="7043833D" w14:textId="77777777" w:rsidR="00B21F12" w:rsidRPr="00B21F12" w:rsidRDefault="00B21F12" w:rsidP="00FC33B1">
      <w:pPr>
        <w:pStyle w:val="EndNoteBibliography"/>
        <w:spacing w:after="120"/>
        <w:ind w:left="720" w:hanging="720"/>
      </w:pPr>
      <w:r w:rsidRPr="00B21F12">
        <w:t xml:space="preserve">National Pathology Accreditation Advisory Council. (2017). </w:t>
      </w:r>
      <w:r w:rsidRPr="00B21F12">
        <w:rPr>
          <w:i/>
        </w:rPr>
        <w:t xml:space="preserve">Requirements for Human Medical Genome Testing Utilising Massively Parallel Sequencing Technologies </w:t>
      </w:r>
      <w:r w:rsidRPr="00B21F12">
        <w:t xml:space="preserve">[Australian Government Department of Health. </w:t>
      </w:r>
    </w:p>
    <w:p w14:paraId="0B8315E3" w14:textId="6B22B19C" w:rsidR="00B21F12" w:rsidRPr="00B21F12" w:rsidRDefault="00B21F12" w:rsidP="00FC33B1">
      <w:pPr>
        <w:pStyle w:val="EndNoteBibliography"/>
        <w:spacing w:after="120"/>
        <w:ind w:left="720" w:hanging="720"/>
      </w:pPr>
      <w:r w:rsidRPr="00B21F12">
        <w:t xml:space="preserve">Qin, D. (2019). Next-generation sequencing and its clinical application. </w:t>
      </w:r>
      <w:r w:rsidRPr="00B21F12">
        <w:rPr>
          <w:i/>
        </w:rPr>
        <w:t>Cancer Biology &amp;amp; Medicine</w:t>
      </w:r>
      <w:r w:rsidRPr="00B21F12">
        <w:t>,</w:t>
      </w:r>
      <w:r w:rsidRPr="00B21F12">
        <w:rPr>
          <w:i/>
        </w:rPr>
        <w:t xml:space="preserve"> 16</w:t>
      </w:r>
      <w:r w:rsidRPr="00B21F12">
        <w:t xml:space="preserve">(1), 4-10. </w:t>
      </w:r>
      <w:hyperlink r:id="rId40" w:history="1">
        <w:r w:rsidRPr="00B21F12">
          <w:rPr>
            <w:rStyle w:val="Hyperlink"/>
            <w:rFonts w:ascii="Calibri" w:hAnsi="Calibri" w:cs="Calibri"/>
          </w:rPr>
          <w:t>https://doi.org/10.20892/j.issn.2095-3941.2018.0055</w:t>
        </w:r>
      </w:hyperlink>
      <w:r w:rsidRPr="00B21F12">
        <w:t xml:space="preserve"> </w:t>
      </w:r>
    </w:p>
    <w:p w14:paraId="417B4A78" w14:textId="73FCC417" w:rsidR="00B21F12" w:rsidRPr="00B21F12" w:rsidRDefault="00B21F12" w:rsidP="00FC33B1">
      <w:pPr>
        <w:pStyle w:val="EndNoteBibliography"/>
        <w:spacing w:after="120"/>
        <w:ind w:left="720" w:hanging="720"/>
      </w:pPr>
      <w:r w:rsidRPr="00B21F12">
        <w:t xml:space="preserve">Rimawi, MF, et al. (2018). Low PTEN levels and PIK3CA mutations predict resistance to neoadjuvant lapatinib and trastuzumab without chemotherapy in patients with HER2 over-expressing breast cancer. </w:t>
      </w:r>
      <w:r w:rsidRPr="00B21F12">
        <w:rPr>
          <w:i/>
        </w:rPr>
        <w:t>Breast Cancer Res Treat</w:t>
      </w:r>
      <w:r w:rsidRPr="00B21F12">
        <w:t>,</w:t>
      </w:r>
      <w:r w:rsidRPr="00B21F12">
        <w:rPr>
          <w:i/>
        </w:rPr>
        <w:t xml:space="preserve"> 167</w:t>
      </w:r>
      <w:r w:rsidRPr="00B21F12">
        <w:t xml:space="preserve">(3), 731-740. </w:t>
      </w:r>
      <w:hyperlink r:id="rId41" w:history="1">
        <w:r w:rsidRPr="00B21F12">
          <w:rPr>
            <w:rStyle w:val="Hyperlink"/>
            <w:rFonts w:ascii="Calibri" w:hAnsi="Calibri" w:cs="Calibri"/>
          </w:rPr>
          <w:t>https://doi.org/10.1007/s10549-017-4533-9</w:t>
        </w:r>
      </w:hyperlink>
      <w:r w:rsidRPr="00B21F12">
        <w:t xml:space="preserve"> </w:t>
      </w:r>
    </w:p>
    <w:p w14:paraId="2DD119D9" w14:textId="220B6B70" w:rsidR="00B21F12" w:rsidRPr="00B21F12" w:rsidRDefault="00B21F12" w:rsidP="00FC33B1">
      <w:pPr>
        <w:pStyle w:val="EndNoteBibliography"/>
        <w:spacing w:after="120"/>
        <w:ind w:left="720" w:hanging="720"/>
      </w:pPr>
      <w:r w:rsidRPr="00B21F12">
        <w:t xml:space="preserve">Skolariki, A, et al. (2022). Role of PI3K/Akt/mTOR pathway in mediating endocrine resistance: concept to clinic. </w:t>
      </w:r>
      <w:r w:rsidRPr="00B21F12">
        <w:rPr>
          <w:i/>
        </w:rPr>
        <w:t>Explor Target Antitumor Ther</w:t>
      </w:r>
      <w:r w:rsidRPr="00B21F12">
        <w:t>,</w:t>
      </w:r>
      <w:r w:rsidRPr="00B21F12">
        <w:rPr>
          <w:i/>
        </w:rPr>
        <w:t xml:space="preserve"> 3</w:t>
      </w:r>
      <w:r w:rsidRPr="00B21F12">
        <w:t xml:space="preserve">(2), 172-199. </w:t>
      </w:r>
      <w:hyperlink r:id="rId42" w:history="1">
        <w:r w:rsidRPr="00B21F12">
          <w:rPr>
            <w:rStyle w:val="Hyperlink"/>
            <w:rFonts w:ascii="Calibri" w:hAnsi="Calibri" w:cs="Calibri"/>
          </w:rPr>
          <w:t>https://doi.org/10.37349/etat.2022.00078</w:t>
        </w:r>
      </w:hyperlink>
      <w:r w:rsidRPr="00B21F12">
        <w:t xml:space="preserve"> </w:t>
      </w:r>
    </w:p>
    <w:p w14:paraId="36D2982C" w14:textId="638409DB" w:rsidR="00B21F12" w:rsidRPr="00B21F12" w:rsidRDefault="00B21F12" w:rsidP="00FC33B1">
      <w:pPr>
        <w:pStyle w:val="EndNoteBibliography"/>
        <w:spacing w:after="120"/>
        <w:ind w:left="720" w:hanging="720"/>
      </w:pPr>
      <w:r w:rsidRPr="00B21F12">
        <w:t xml:space="preserve">Sonic Healthcare (2024) </w:t>
      </w:r>
      <w:r w:rsidRPr="00B21F12">
        <w:rPr>
          <w:i/>
        </w:rPr>
        <w:t>Breast cancer focused gene panel</w:t>
      </w:r>
      <w:r w:rsidRPr="00B21F12">
        <w:t xml:space="preserve">, accessed 2024 February 16. </w:t>
      </w:r>
      <w:hyperlink r:id="rId43" w:history="1">
        <w:r w:rsidRPr="00B21F12">
          <w:rPr>
            <w:rStyle w:val="Hyperlink"/>
            <w:rFonts w:ascii="Calibri" w:hAnsi="Calibri" w:cs="Calibri"/>
          </w:rPr>
          <w:t>https://www.sonicgenetics.com.au/our-tests/all-our-tests/breast-cancer-focused-gene-panel/</w:t>
        </w:r>
      </w:hyperlink>
    </w:p>
    <w:p w14:paraId="39D3600C" w14:textId="12C59EE0" w:rsidR="00B21F12" w:rsidRPr="00B21F12" w:rsidRDefault="00B21F12" w:rsidP="00FC33B1">
      <w:pPr>
        <w:pStyle w:val="EndNoteBibliography"/>
        <w:spacing w:after="120"/>
        <w:ind w:left="720" w:hanging="720"/>
      </w:pPr>
      <w:r w:rsidRPr="00B21F12">
        <w:t xml:space="preserve">Swain, SM, et al. (2023). Targeting HER2-positive breast cancer: advances and future directions. </w:t>
      </w:r>
      <w:r w:rsidRPr="00B21F12">
        <w:rPr>
          <w:i/>
        </w:rPr>
        <w:t>Nature Reviews Drug Discovery</w:t>
      </w:r>
      <w:r w:rsidRPr="00B21F12">
        <w:t>,</w:t>
      </w:r>
      <w:r w:rsidRPr="00B21F12">
        <w:rPr>
          <w:i/>
        </w:rPr>
        <w:t xml:space="preserve"> 22</w:t>
      </w:r>
      <w:r w:rsidRPr="00B21F12">
        <w:t xml:space="preserve">(2), 101-126. </w:t>
      </w:r>
      <w:hyperlink r:id="rId44" w:history="1">
        <w:r w:rsidRPr="00B21F12">
          <w:rPr>
            <w:rStyle w:val="Hyperlink"/>
            <w:rFonts w:ascii="Calibri" w:hAnsi="Calibri" w:cs="Calibri"/>
          </w:rPr>
          <w:t>https://doi.org/10.1038/s41573-022-00579-0</w:t>
        </w:r>
      </w:hyperlink>
      <w:r w:rsidRPr="00B21F12">
        <w:t xml:space="preserve"> </w:t>
      </w:r>
    </w:p>
    <w:p w14:paraId="3AC73870" w14:textId="0D037CDD" w:rsidR="00B21F12" w:rsidRPr="00B21F12" w:rsidRDefault="00B21F12" w:rsidP="00FC33B1">
      <w:pPr>
        <w:pStyle w:val="EndNoteBibliography"/>
        <w:spacing w:after="120"/>
        <w:ind w:left="720" w:hanging="720"/>
      </w:pPr>
      <w:r w:rsidRPr="00B21F12">
        <w:t xml:space="preserve">Turner, NC, et al. (2023). Capivasertib in Hormone Receptor–Positive Advanced Breast Cancer. </w:t>
      </w:r>
      <w:r w:rsidRPr="00B21F12">
        <w:rPr>
          <w:i/>
        </w:rPr>
        <w:t>New England Journal of Medicine</w:t>
      </w:r>
      <w:r w:rsidRPr="00B21F12">
        <w:t>,</w:t>
      </w:r>
      <w:r w:rsidRPr="00B21F12">
        <w:rPr>
          <w:i/>
        </w:rPr>
        <w:t xml:space="preserve"> 388</w:t>
      </w:r>
      <w:r w:rsidRPr="00B21F12">
        <w:t xml:space="preserve">(22), 2058-2070. </w:t>
      </w:r>
      <w:hyperlink r:id="rId45" w:history="1">
        <w:r w:rsidRPr="00B21F12">
          <w:rPr>
            <w:rStyle w:val="Hyperlink"/>
            <w:rFonts w:ascii="Calibri" w:hAnsi="Calibri" w:cs="Calibri"/>
          </w:rPr>
          <w:t>https://doi.org/10.1056/nejmoa2214131</w:t>
        </w:r>
      </w:hyperlink>
      <w:r w:rsidRPr="00B21F12">
        <w:t xml:space="preserve"> </w:t>
      </w:r>
    </w:p>
    <w:p w14:paraId="79E116EA" w14:textId="018B1AE3" w:rsidR="00B21F12" w:rsidRPr="00B21F12" w:rsidRDefault="00B21F12" w:rsidP="00FC33B1">
      <w:pPr>
        <w:pStyle w:val="EndNoteBibliography"/>
        <w:spacing w:after="120"/>
        <w:ind w:left="720" w:hanging="720"/>
      </w:pPr>
      <w:r w:rsidRPr="00B21F12">
        <w:t xml:space="preserve">Venetis, K, et al. (2022). Analytical Performance of Next-Generation Sequencing and RT-PCR on Formalin-Fixed Paraffin-Embedded Tumor Tissues for PIK3CA Testing in HR+/HER2− Breast Cancer. </w:t>
      </w:r>
      <w:r w:rsidRPr="00B21F12">
        <w:rPr>
          <w:i/>
        </w:rPr>
        <w:t>Cells</w:t>
      </w:r>
      <w:r w:rsidRPr="00B21F12">
        <w:t>,</w:t>
      </w:r>
      <w:r w:rsidRPr="00B21F12">
        <w:rPr>
          <w:i/>
        </w:rPr>
        <w:t xml:space="preserve"> 11</w:t>
      </w:r>
      <w:r w:rsidRPr="00B21F12">
        <w:t xml:space="preserve">(22), 3545. </w:t>
      </w:r>
      <w:hyperlink r:id="rId46" w:history="1">
        <w:r w:rsidRPr="00B21F12">
          <w:rPr>
            <w:rStyle w:val="Hyperlink"/>
            <w:rFonts w:ascii="Calibri" w:hAnsi="Calibri" w:cs="Calibri"/>
          </w:rPr>
          <w:t>https://doi.org/10.3390/cells11223545</w:t>
        </w:r>
      </w:hyperlink>
      <w:r w:rsidRPr="00B21F12">
        <w:t xml:space="preserve"> </w:t>
      </w:r>
    </w:p>
    <w:p w14:paraId="4FA8F654" w14:textId="58A1A85C" w:rsidR="00B21F12" w:rsidRPr="00B21F12" w:rsidRDefault="00B21F12" w:rsidP="00FC33B1">
      <w:pPr>
        <w:pStyle w:val="EndNoteBibliography"/>
        <w:spacing w:after="120"/>
        <w:ind w:left="720" w:hanging="720"/>
      </w:pPr>
      <w:r w:rsidRPr="00B21F12">
        <w:t xml:space="preserve">Viale, G, et al. (2023). Retrospective study to estimate the prevalence and describe the clinicopathological characteristics, treatments received, and outcomes of HER2-low breast cancer. </w:t>
      </w:r>
      <w:r w:rsidRPr="00B21F12">
        <w:rPr>
          <w:i/>
        </w:rPr>
        <w:t>ESMO Open</w:t>
      </w:r>
      <w:r w:rsidRPr="00B21F12">
        <w:t>,</w:t>
      </w:r>
      <w:r w:rsidRPr="00B21F12">
        <w:rPr>
          <w:i/>
        </w:rPr>
        <w:t xml:space="preserve"> 8</w:t>
      </w:r>
      <w:r w:rsidRPr="00B21F12">
        <w:t xml:space="preserve">(4), 101615. </w:t>
      </w:r>
      <w:hyperlink r:id="rId47" w:history="1">
        <w:r w:rsidRPr="00B21F12">
          <w:rPr>
            <w:rStyle w:val="Hyperlink"/>
            <w:rFonts w:ascii="Calibri" w:hAnsi="Calibri" w:cs="Calibri"/>
          </w:rPr>
          <w:t>https://doi.org/10.1016/j.esmoop.2023.101615</w:t>
        </w:r>
      </w:hyperlink>
      <w:r w:rsidRPr="00B21F12">
        <w:t xml:space="preserve"> </w:t>
      </w:r>
    </w:p>
    <w:p w14:paraId="53B24F3C" w14:textId="72B586CC" w:rsidR="00B21F12" w:rsidRPr="00B21F12" w:rsidRDefault="00B21F12" w:rsidP="00FC33B1">
      <w:pPr>
        <w:pStyle w:val="EndNoteBibliography"/>
        <w:spacing w:after="120"/>
        <w:ind w:left="720" w:hanging="720"/>
      </w:pPr>
      <w:r w:rsidRPr="00B21F12">
        <w:lastRenderedPageBreak/>
        <w:t xml:space="preserve">Zhang, Z, &amp; Richmond, A. (2021). The Role of PI3K Inhibition in the Treatment of Breast Cancer, Alone or Combined With Immune Checkpoint Inhibitors. </w:t>
      </w:r>
      <w:r w:rsidRPr="00B21F12">
        <w:rPr>
          <w:i/>
        </w:rPr>
        <w:t>Front Mol Biosci</w:t>
      </w:r>
      <w:r w:rsidRPr="00B21F12">
        <w:t>,</w:t>
      </w:r>
      <w:r w:rsidRPr="00B21F12">
        <w:rPr>
          <w:i/>
        </w:rPr>
        <w:t xml:space="preserve"> 8</w:t>
      </w:r>
      <w:r w:rsidRPr="00B21F12">
        <w:t xml:space="preserve">, 648663. </w:t>
      </w:r>
      <w:hyperlink r:id="rId48" w:history="1">
        <w:r w:rsidRPr="00B21F12">
          <w:rPr>
            <w:rStyle w:val="Hyperlink"/>
            <w:rFonts w:ascii="Calibri" w:hAnsi="Calibri" w:cs="Calibri"/>
          </w:rPr>
          <w:t>https://doi.org/10.3389/fmolb.2021.648663</w:t>
        </w:r>
      </w:hyperlink>
      <w:r w:rsidRPr="00B21F12">
        <w:t xml:space="preserve"> </w:t>
      </w:r>
    </w:p>
    <w:p w14:paraId="3923ED2A" w14:textId="0F83F09C" w:rsidR="005A0C40" w:rsidRDefault="00B72634" w:rsidP="00FC33B1">
      <w:pPr>
        <w:pStyle w:val="Instructionaltext"/>
        <w:spacing w:after="120"/>
      </w:pPr>
      <w:r>
        <w:fldChar w:fldCharType="end"/>
      </w:r>
    </w:p>
    <w:sectPr w:rsidR="005A0C40" w:rsidSect="00985F94">
      <w:headerReference w:type="even" r:id="rId49"/>
      <w:headerReference w:type="default" r:id="rId50"/>
      <w:footerReference w:type="even" r:id="rId51"/>
      <w:footerReference w:type="default" r:id="rId52"/>
      <w:headerReference w:type="first" r:id="rId53"/>
      <w:footerReference w:type="first" r:id="rId54"/>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3F5F7" w14:textId="77777777" w:rsidR="000A3C1B" w:rsidRDefault="000A3C1B" w:rsidP="0016315C">
      <w:pPr>
        <w:spacing w:after="0" w:line="240" w:lineRule="auto"/>
      </w:pPr>
      <w:r>
        <w:separator/>
      </w:r>
    </w:p>
  </w:endnote>
  <w:endnote w:type="continuationSeparator" w:id="0">
    <w:p w14:paraId="4E60FC67" w14:textId="77777777" w:rsidR="000A3C1B" w:rsidRDefault="000A3C1B" w:rsidP="0016315C">
      <w:pPr>
        <w:spacing w:after="0" w:line="240" w:lineRule="auto"/>
      </w:pPr>
      <w:r>
        <w:continuationSeparator/>
      </w:r>
    </w:p>
  </w:endnote>
  <w:endnote w:type="continuationNotice" w:id="1">
    <w:p w14:paraId="530E2C7D" w14:textId="77777777" w:rsidR="000A3C1B" w:rsidRDefault="000A3C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3251E85A"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1E02">
      <w:rPr>
        <w:rStyle w:val="PageNumber"/>
        <w:noProof/>
      </w:rPr>
      <w:t>1</w:t>
    </w:r>
    <w:r>
      <w:rPr>
        <w:rStyle w:val="PageNumber"/>
      </w:rPr>
      <w:fldChar w:fldCharType="end"/>
    </w:r>
  </w:p>
  <w:p w14:paraId="74E72C2D" w14:textId="77777777" w:rsidR="00685355" w:rsidRDefault="0068535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39D5A86A" w:rsidR="00685355" w:rsidRDefault="006853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649654" w14:textId="21841865" w:rsidR="0016315C" w:rsidRPr="00685355" w:rsidRDefault="001F0D5A" w:rsidP="00BB0FFB">
    <w:pPr>
      <w:jc w:val="center"/>
    </w:pPr>
    <w:r>
      <w:t>Ratified</w:t>
    </w:r>
    <w:r w:rsidR="005F7091">
      <w:t xml:space="preserve"> </w:t>
    </w:r>
    <w:r w:rsidR="1EE5FE9B">
      <w:t>PICO Confirmation – April 2024 PASC Meeting</w:t>
    </w:r>
    <w:r w:rsidR="0000415A">
      <w:br/>
    </w:r>
    <w:r w:rsidR="1EE5FE9B">
      <w:t xml:space="preserve">Application 1766 </w:t>
    </w:r>
    <w:r w:rsidR="1EE5FE9B" w:rsidRPr="1EE5FE9B">
      <w:rPr>
        <w:rFonts w:cs="Calibri"/>
      </w:rPr>
      <w:t>–</w:t>
    </w:r>
    <w:r w:rsidR="1EE5FE9B">
      <w:t xml:space="preserve"> Genetic testing to detect AKT</w:t>
    </w:r>
    <w:r w:rsidR="00B32766">
      <w:t xml:space="preserve"> </w:t>
    </w:r>
    <w:r w:rsidR="1EE5FE9B">
      <w:t>pathway alterations in patients with HR+/HER2- advanced breast cancer, to determine eligibility for PBS subsidised capivasertib treatment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C4A8" w14:textId="77777777" w:rsidR="009B0938" w:rsidRDefault="009B0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162E4" w14:textId="77777777" w:rsidR="000A3C1B" w:rsidRDefault="000A3C1B" w:rsidP="0016315C">
      <w:pPr>
        <w:spacing w:after="0" w:line="240" w:lineRule="auto"/>
      </w:pPr>
      <w:r>
        <w:separator/>
      </w:r>
    </w:p>
  </w:footnote>
  <w:footnote w:type="continuationSeparator" w:id="0">
    <w:p w14:paraId="32997116" w14:textId="77777777" w:rsidR="000A3C1B" w:rsidRDefault="000A3C1B" w:rsidP="0016315C">
      <w:pPr>
        <w:spacing w:after="0" w:line="240" w:lineRule="auto"/>
      </w:pPr>
      <w:r>
        <w:continuationSeparator/>
      </w:r>
    </w:p>
  </w:footnote>
  <w:footnote w:type="continuationNotice" w:id="1">
    <w:p w14:paraId="250202FD" w14:textId="77777777" w:rsidR="000A3C1B" w:rsidRDefault="000A3C1B">
      <w:pPr>
        <w:spacing w:after="0" w:line="240" w:lineRule="auto"/>
      </w:pPr>
    </w:p>
  </w:footnote>
  <w:footnote w:id="2">
    <w:p w14:paraId="11BADB9C" w14:textId="183AC873" w:rsidR="001F6F10" w:rsidRDefault="001F6F10">
      <w:pPr>
        <w:pStyle w:val="FootnoteText"/>
      </w:pPr>
      <w:r>
        <w:rPr>
          <w:rStyle w:val="FootnoteReference"/>
        </w:rPr>
        <w:footnoteRef/>
      </w:r>
      <w:r>
        <w:t xml:space="preserve"> </w:t>
      </w:r>
      <w:r w:rsidR="00914E48">
        <w:t xml:space="preserve">Patients with unknown </w:t>
      </w:r>
      <w:r w:rsidR="001713D9">
        <w:t>AKT pathway</w:t>
      </w:r>
      <w:r w:rsidR="0055201E">
        <w:t xml:space="preserve"> status are those where no sample was available </w:t>
      </w:r>
      <w:r w:rsidR="00677246">
        <w:t xml:space="preserve">or there was a pre-analytical or post-analytical </w:t>
      </w:r>
      <w:r w:rsidR="00885EDC">
        <w:t xml:space="preserve">failure which </w:t>
      </w:r>
      <w:r w:rsidR="00E802B7">
        <w:t xml:space="preserve">prevented </w:t>
      </w:r>
      <w:r w:rsidR="00E35403">
        <w:t>the sample from being analysed.</w:t>
      </w:r>
    </w:p>
  </w:footnote>
  <w:footnote w:id="3">
    <w:p w14:paraId="54A32F71" w14:textId="0A1FCBB6" w:rsidR="00DD6925" w:rsidRDefault="00DD6925">
      <w:pPr>
        <w:pStyle w:val="FootnoteText"/>
      </w:pPr>
      <w:r>
        <w:rPr>
          <w:rStyle w:val="FootnoteReference"/>
        </w:rPr>
        <w:footnoteRef/>
      </w:r>
      <w:r>
        <w:t xml:space="preserve"> </w:t>
      </w:r>
      <w:r w:rsidR="00EA7B40">
        <w:t xml:space="preserve">Patients with AKT pathway non-altered tumours </w:t>
      </w:r>
      <w:r w:rsidR="00C13B9B">
        <w:t>encompasses</w:t>
      </w:r>
      <w:r w:rsidR="00BA1040">
        <w:t xml:space="preserve"> </w:t>
      </w:r>
      <w:r w:rsidR="00937C05">
        <w:t xml:space="preserve">those where an AKT pathway alteration was not detected and those with unknown </w:t>
      </w:r>
      <w:r w:rsidR="001713D9">
        <w:t>AKT pathway</w:t>
      </w:r>
      <w:r w:rsidR="00937C05">
        <w:t xml:space="preserve"> status.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A2C4" w14:textId="77777777" w:rsidR="009B0938" w:rsidRDefault="009B09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1EE5FE9B" w14:paraId="4A746420" w14:textId="77777777" w:rsidTr="00BD33CC">
      <w:trPr>
        <w:trHeight w:val="300"/>
      </w:trPr>
      <w:tc>
        <w:tcPr>
          <w:tcW w:w="3190" w:type="dxa"/>
        </w:tcPr>
        <w:p w14:paraId="7DEB3989" w14:textId="66A9D6A2" w:rsidR="1EE5FE9B" w:rsidRDefault="1EE5FE9B" w:rsidP="00BD33CC">
          <w:pPr>
            <w:pStyle w:val="Header"/>
            <w:ind w:left="-115"/>
          </w:pPr>
        </w:p>
      </w:tc>
      <w:tc>
        <w:tcPr>
          <w:tcW w:w="3190" w:type="dxa"/>
        </w:tcPr>
        <w:p w14:paraId="5B39DA23" w14:textId="7C93FB17" w:rsidR="1EE5FE9B" w:rsidRDefault="1EE5FE9B" w:rsidP="00BD33CC">
          <w:pPr>
            <w:pStyle w:val="Header"/>
            <w:jc w:val="center"/>
          </w:pPr>
        </w:p>
      </w:tc>
      <w:tc>
        <w:tcPr>
          <w:tcW w:w="3190" w:type="dxa"/>
        </w:tcPr>
        <w:p w14:paraId="63C49020" w14:textId="1B58C0D1" w:rsidR="1EE5FE9B" w:rsidRDefault="1EE5FE9B" w:rsidP="00BD33CC">
          <w:pPr>
            <w:pStyle w:val="Header"/>
            <w:ind w:right="-115"/>
            <w:jc w:val="right"/>
          </w:pPr>
        </w:p>
      </w:tc>
    </w:tr>
  </w:tbl>
  <w:p w14:paraId="3DBA578C" w14:textId="7091D45C" w:rsidR="1EE5FE9B" w:rsidRDefault="1EE5FE9B" w:rsidP="00BD33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534A" w14:textId="77777777" w:rsidR="009B0938" w:rsidRDefault="009B09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50C5"/>
    <w:multiLevelType w:val="hybridMultilevel"/>
    <w:tmpl w:val="65D89DA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68974B1"/>
    <w:multiLevelType w:val="hybridMultilevel"/>
    <w:tmpl w:val="496C0E8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BA97DD0"/>
    <w:multiLevelType w:val="hybridMultilevel"/>
    <w:tmpl w:val="EA7AE4E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3" w15:restartNumberingAfterBreak="0">
    <w:nsid w:val="0CD73A14"/>
    <w:multiLevelType w:val="hybridMultilevel"/>
    <w:tmpl w:val="A32690A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4" w15:restartNumberingAfterBreak="0">
    <w:nsid w:val="0FFB3598"/>
    <w:multiLevelType w:val="hybridMultilevel"/>
    <w:tmpl w:val="B1C0B14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1207579B"/>
    <w:multiLevelType w:val="hybridMultilevel"/>
    <w:tmpl w:val="22E4CB54"/>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1D4C1BF0"/>
    <w:multiLevelType w:val="hybridMultilevel"/>
    <w:tmpl w:val="1380908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D396C"/>
    <w:multiLevelType w:val="hybridMultilevel"/>
    <w:tmpl w:val="3404DB1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4952DA8"/>
    <w:multiLevelType w:val="hybridMultilevel"/>
    <w:tmpl w:val="E9BC91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B72778"/>
    <w:multiLevelType w:val="hybridMultilevel"/>
    <w:tmpl w:val="D852628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298C07C0"/>
    <w:multiLevelType w:val="hybridMultilevel"/>
    <w:tmpl w:val="DCD4659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2ADA2E43"/>
    <w:multiLevelType w:val="hybridMultilevel"/>
    <w:tmpl w:val="54D2559A"/>
    <w:lvl w:ilvl="0" w:tplc="44090001">
      <w:start w:val="1"/>
      <w:numFmt w:val="bullet"/>
      <w:lvlText w:val=""/>
      <w:lvlJc w:val="left"/>
      <w:pPr>
        <w:ind w:left="720" w:hanging="360"/>
      </w:pPr>
      <w:rPr>
        <w:rFonts w:ascii="Symbol" w:hAnsi="Symbol" w:hint="default"/>
      </w:rPr>
    </w:lvl>
    <w:lvl w:ilvl="1" w:tplc="4BEACE08">
      <w:numFmt w:val="bullet"/>
      <w:lvlText w:val="•"/>
      <w:lvlJc w:val="left"/>
      <w:pPr>
        <w:ind w:left="1440" w:hanging="360"/>
      </w:pPr>
      <w:rPr>
        <w:rFonts w:ascii="Calibri" w:eastAsia="Calibri" w:hAnsi="Calibri" w:cs="Calibri"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CA545D"/>
    <w:multiLevelType w:val="hybridMultilevel"/>
    <w:tmpl w:val="7C809E1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2FE6E9B3"/>
    <w:multiLevelType w:val="hybridMultilevel"/>
    <w:tmpl w:val="DA660594"/>
    <w:lvl w:ilvl="0" w:tplc="38043F76">
      <w:start w:val="1"/>
      <w:numFmt w:val="bullet"/>
      <w:lvlText w:val="·"/>
      <w:lvlJc w:val="left"/>
      <w:pPr>
        <w:ind w:left="720" w:hanging="360"/>
      </w:pPr>
      <w:rPr>
        <w:rFonts w:ascii="Symbol" w:hAnsi="Symbol" w:hint="default"/>
      </w:rPr>
    </w:lvl>
    <w:lvl w:ilvl="1" w:tplc="EE3C3D48">
      <w:start w:val="1"/>
      <w:numFmt w:val="bullet"/>
      <w:lvlText w:val="o"/>
      <w:lvlJc w:val="left"/>
      <w:pPr>
        <w:ind w:left="1440" w:hanging="360"/>
      </w:pPr>
      <w:rPr>
        <w:rFonts w:ascii="Courier New" w:hAnsi="Courier New" w:hint="default"/>
      </w:rPr>
    </w:lvl>
    <w:lvl w:ilvl="2" w:tplc="62969150">
      <w:start w:val="1"/>
      <w:numFmt w:val="bullet"/>
      <w:lvlText w:val=""/>
      <w:lvlJc w:val="left"/>
      <w:pPr>
        <w:ind w:left="2160" w:hanging="360"/>
      </w:pPr>
      <w:rPr>
        <w:rFonts w:ascii="Wingdings" w:hAnsi="Wingdings" w:hint="default"/>
      </w:rPr>
    </w:lvl>
    <w:lvl w:ilvl="3" w:tplc="1370028A">
      <w:start w:val="1"/>
      <w:numFmt w:val="bullet"/>
      <w:lvlText w:val=""/>
      <w:lvlJc w:val="left"/>
      <w:pPr>
        <w:ind w:left="2880" w:hanging="360"/>
      </w:pPr>
      <w:rPr>
        <w:rFonts w:ascii="Symbol" w:hAnsi="Symbol" w:hint="default"/>
      </w:rPr>
    </w:lvl>
    <w:lvl w:ilvl="4" w:tplc="EB9EBC08">
      <w:start w:val="1"/>
      <w:numFmt w:val="bullet"/>
      <w:lvlText w:val="o"/>
      <w:lvlJc w:val="left"/>
      <w:pPr>
        <w:ind w:left="3600" w:hanging="360"/>
      </w:pPr>
      <w:rPr>
        <w:rFonts w:ascii="Courier New" w:hAnsi="Courier New" w:hint="default"/>
      </w:rPr>
    </w:lvl>
    <w:lvl w:ilvl="5" w:tplc="200CDF34">
      <w:start w:val="1"/>
      <w:numFmt w:val="bullet"/>
      <w:lvlText w:val=""/>
      <w:lvlJc w:val="left"/>
      <w:pPr>
        <w:ind w:left="4320" w:hanging="360"/>
      </w:pPr>
      <w:rPr>
        <w:rFonts w:ascii="Wingdings" w:hAnsi="Wingdings" w:hint="default"/>
      </w:rPr>
    </w:lvl>
    <w:lvl w:ilvl="6" w:tplc="6E3455BA">
      <w:start w:val="1"/>
      <w:numFmt w:val="bullet"/>
      <w:lvlText w:val=""/>
      <w:lvlJc w:val="left"/>
      <w:pPr>
        <w:ind w:left="5040" w:hanging="360"/>
      </w:pPr>
      <w:rPr>
        <w:rFonts w:ascii="Symbol" w:hAnsi="Symbol" w:hint="default"/>
      </w:rPr>
    </w:lvl>
    <w:lvl w:ilvl="7" w:tplc="5C5E10EE">
      <w:start w:val="1"/>
      <w:numFmt w:val="bullet"/>
      <w:lvlText w:val="o"/>
      <w:lvlJc w:val="left"/>
      <w:pPr>
        <w:ind w:left="5760" w:hanging="360"/>
      </w:pPr>
      <w:rPr>
        <w:rFonts w:ascii="Courier New" w:hAnsi="Courier New" w:hint="default"/>
      </w:rPr>
    </w:lvl>
    <w:lvl w:ilvl="8" w:tplc="C0D092C6">
      <w:start w:val="1"/>
      <w:numFmt w:val="bullet"/>
      <w:lvlText w:val=""/>
      <w:lvlJc w:val="left"/>
      <w:pPr>
        <w:ind w:left="6480" w:hanging="360"/>
      </w:pPr>
      <w:rPr>
        <w:rFonts w:ascii="Wingdings" w:hAnsi="Wingdings" w:hint="default"/>
      </w:rPr>
    </w:lvl>
  </w:abstractNum>
  <w:abstractNum w:abstractNumId="15" w15:restartNumberingAfterBreak="0">
    <w:nsid w:val="332012C5"/>
    <w:multiLevelType w:val="hybridMultilevel"/>
    <w:tmpl w:val="BD36429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35A65132"/>
    <w:multiLevelType w:val="hybridMultilevel"/>
    <w:tmpl w:val="39B678CC"/>
    <w:lvl w:ilvl="0" w:tplc="D618FDC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72264F7"/>
    <w:multiLevelType w:val="hybridMultilevel"/>
    <w:tmpl w:val="5672D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F11BFB"/>
    <w:multiLevelType w:val="hybridMultilevel"/>
    <w:tmpl w:val="591E403C"/>
    <w:lvl w:ilvl="0" w:tplc="73085536">
      <w:start w:val="1"/>
      <w:numFmt w:val="bullet"/>
      <w:lvlText w:val="–"/>
      <w:lvlJc w:val="left"/>
      <w:pPr>
        <w:ind w:left="720" w:hanging="360"/>
      </w:pPr>
      <w:rPr>
        <w:rFonts w:ascii="Arial" w:hAnsi="Aria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3DDF6714"/>
    <w:multiLevelType w:val="hybridMultilevel"/>
    <w:tmpl w:val="E9BC91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3F6538C2"/>
    <w:multiLevelType w:val="hybridMultilevel"/>
    <w:tmpl w:val="483CB7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403B68B9"/>
    <w:multiLevelType w:val="hybridMultilevel"/>
    <w:tmpl w:val="77C41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A82995"/>
    <w:multiLevelType w:val="hybridMultilevel"/>
    <w:tmpl w:val="A22AAA3E"/>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3F40B34"/>
    <w:multiLevelType w:val="hybridMultilevel"/>
    <w:tmpl w:val="57EEB80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5" w15:restartNumberingAfterBreak="0">
    <w:nsid w:val="5849236D"/>
    <w:multiLevelType w:val="hybridMultilevel"/>
    <w:tmpl w:val="93C8CBD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58DBDDBF"/>
    <w:multiLevelType w:val="hybridMultilevel"/>
    <w:tmpl w:val="DE285A54"/>
    <w:lvl w:ilvl="0" w:tplc="B29EF136">
      <w:start w:val="1"/>
      <w:numFmt w:val="bullet"/>
      <w:lvlText w:val="·"/>
      <w:lvlJc w:val="left"/>
      <w:pPr>
        <w:ind w:left="720" w:hanging="360"/>
      </w:pPr>
      <w:rPr>
        <w:rFonts w:ascii="Symbol" w:hAnsi="Symbol" w:hint="default"/>
      </w:rPr>
    </w:lvl>
    <w:lvl w:ilvl="1" w:tplc="6C16FE7E">
      <w:start w:val="1"/>
      <w:numFmt w:val="bullet"/>
      <w:lvlText w:val="o"/>
      <w:lvlJc w:val="left"/>
      <w:pPr>
        <w:ind w:left="1440" w:hanging="360"/>
      </w:pPr>
      <w:rPr>
        <w:rFonts w:ascii="Courier New" w:hAnsi="Courier New" w:hint="default"/>
      </w:rPr>
    </w:lvl>
    <w:lvl w:ilvl="2" w:tplc="AFEC914A">
      <w:start w:val="1"/>
      <w:numFmt w:val="bullet"/>
      <w:lvlText w:val=""/>
      <w:lvlJc w:val="left"/>
      <w:pPr>
        <w:ind w:left="2160" w:hanging="360"/>
      </w:pPr>
      <w:rPr>
        <w:rFonts w:ascii="Wingdings" w:hAnsi="Wingdings" w:hint="default"/>
      </w:rPr>
    </w:lvl>
    <w:lvl w:ilvl="3" w:tplc="68842334">
      <w:start w:val="1"/>
      <w:numFmt w:val="bullet"/>
      <w:lvlText w:val=""/>
      <w:lvlJc w:val="left"/>
      <w:pPr>
        <w:ind w:left="2880" w:hanging="360"/>
      </w:pPr>
      <w:rPr>
        <w:rFonts w:ascii="Symbol" w:hAnsi="Symbol" w:hint="default"/>
      </w:rPr>
    </w:lvl>
    <w:lvl w:ilvl="4" w:tplc="CBFC21D2">
      <w:start w:val="1"/>
      <w:numFmt w:val="bullet"/>
      <w:lvlText w:val="o"/>
      <w:lvlJc w:val="left"/>
      <w:pPr>
        <w:ind w:left="3600" w:hanging="360"/>
      </w:pPr>
      <w:rPr>
        <w:rFonts w:ascii="Courier New" w:hAnsi="Courier New" w:hint="default"/>
      </w:rPr>
    </w:lvl>
    <w:lvl w:ilvl="5" w:tplc="C2643268">
      <w:start w:val="1"/>
      <w:numFmt w:val="bullet"/>
      <w:lvlText w:val=""/>
      <w:lvlJc w:val="left"/>
      <w:pPr>
        <w:ind w:left="4320" w:hanging="360"/>
      </w:pPr>
      <w:rPr>
        <w:rFonts w:ascii="Wingdings" w:hAnsi="Wingdings" w:hint="default"/>
      </w:rPr>
    </w:lvl>
    <w:lvl w:ilvl="6" w:tplc="3A729544">
      <w:start w:val="1"/>
      <w:numFmt w:val="bullet"/>
      <w:lvlText w:val=""/>
      <w:lvlJc w:val="left"/>
      <w:pPr>
        <w:ind w:left="5040" w:hanging="360"/>
      </w:pPr>
      <w:rPr>
        <w:rFonts w:ascii="Symbol" w:hAnsi="Symbol" w:hint="default"/>
      </w:rPr>
    </w:lvl>
    <w:lvl w:ilvl="7" w:tplc="F31CFBB4">
      <w:start w:val="1"/>
      <w:numFmt w:val="bullet"/>
      <w:lvlText w:val="o"/>
      <w:lvlJc w:val="left"/>
      <w:pPr>
        <w:ind w:left="5760" w:hanging="360"/>
      </w:pPr>
      <w:rPr>
        <w:rFonts w:ascii="Courier New" w:hAnsi="Courier New" w:hint="default"/>
      </w:rPr>
    </w:lvl>
    <w:lvl w:ilvl="8" w:tplc="CF7AF72C">
      <w:start w:val="1"/>
      <w:numFmt w:val="bullet"/>
      <w:lvlText w:val=""/>
      <w:lvlJc w:val="left"/>
      <w:pPr>
        <w:ind w:left="6480" w:hanging="360"/>
      </w:pPr>
      <w:rPr>
        <w:rFonts w:ascii="Wingdings" w:hAnsi="Wingdings" w:hint="default"/>
      </w:rPr>
    </w:lvl>
  </w:abstractNum>
  <w:abstractNum w:abstractNumId="27" w15:restartNumberingAfterBreak="0">
    <w:nsid w:val="5D9B47F8"/>
    <w:multiLevelType w:val="hybridMultilevel"/>
    <w:tmpl w:val="9508C81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5F27205A"/>
    <w:multiLevelType w:val="hybridMultilevel"/>
    <w:tmpl w:val="B3461C3C"/>
    <w:lvl w:ilvl="0" w:tplc="44090001">
      <w:start w:val="1"/>
      <w:numFmt w:val="bullet"/>
      <w:lvlText w:val=""/>
      <w:lvlJc w:val="left"/>
      <w:pPr>
        <w:ind w:left="720" w:hanging="360"/>
      </w:pPr>
      <w:rPr>
        <w:rFonts w:ascii="Symbol" w:hAnsi="Symbol" w:hint="default"/>
      </w:rPr>
    </w:lvl>
    <w:lvl w:ilvl="1" w:tplc="76A2ABCE">
      <w:numFmt w:val="bullet"/>
      <w:lvlText w:val="•"/>
      <w:lvlJc w:val="left"/>
      <w:pPr>
        <w:ind w:left="1440" w:hanging="360"/>
      </w:pPr>
      <w:rPr>
        <w:rFonts w:ascii="Calibri" w:eastAsia="Calibri" w:hAnsi="Calibri" w:cs="Calibri"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653F6278"/>
    <w:multiLevelType w:val="hybridMultilevel"/>
    <w:tmpl w:val="C23276C0"/>
    <w:lvl w:ilvl="0" w:tplc="0C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0" w15:restartNumberingAfterBreak="0">
    <w:nsid w:val="66CF6127"/>
    <w:multiLevelType w:val="hybridMultilevel"/>
    <w:tmpl w:val="B2063FAE"/>
    <w:lvl w:ilvl="0" w:tplc="73085536">
      <w:start w:val="1"/>
      <w:numFmt w:val="bullet"/>
      <w:lvlText w:val="–"/>
      <w:lvlJc w:val="left"/>
      <w:pPr>
        <w:ind w:left="360" w:hanging="360"/>
      </w:pPr>
      <w:rPr>
        <w:rFonts w:ascii="Arial" w:hAnsi="Aria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1" w15:restartNumberingAfterBreak="0">
    <w:nsid w:val="74687FC5"/>
    <w:multiLevelType w:val="hybridMultilevel"/>
    <w:tmpl w:val="E474FC1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746C2B15"/>
    <w:multiLevelType w:val="hybridMultilevel"/>
    <w:tmpl w:val="A24CB5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54D4B6E"/>
    <w:multiLevelType w:val="hybridMultilevel"/>
    <w:tmpl w:val="DE9E15AA"/>
    <w:lvl w:ilvl="0" w:tplc="5044D1FA">
      <w:numFmt w:val="bullet"/>
      <w:lvlText w:val="-"/>
      <w:lvlJc w:val="left"/>
      <w:pPr>
        <w:ind w:left="720" w:hanging="360"/>
      </w:pPr>
      <w:rPr>
        <w:rFonts w:ascii="Calibri" w:eastAsia="Calibri" w:hAnsi="Calibri" w:cs="Calibri"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15:restartNumberingAfterBreak="0">
    <w:nsid w:val="783F4A15"/>
    <w:multiLevelType w:val="hybridMultilevel"/>
    <w:tmpl w:val="954298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7A96249A"/>
    <w:multiLevelType w:val="hybridMultilevel"/>
    <w:tmpl w:val="CF86DBF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36" w15:restartNumberingAfterBreak="0">
    <w:nsid w:val="7BCF7B15"/>
    <w:multiLevelType w:val="hybridMultilevel"/>
    <w:tmpl w:val="2FBC8B5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7" w15:restartNumberingAfterBreak="0">
    <w:nsid w:val="7D65634A"/>
    <w:multiLevelType w:val="hybridMultilevel"/>
    <w:tmpl w:val="A0B6F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85643841">
    <w:abstractNumId w:val="14"/>
  </w:num>
  <w:num w:numId="2" w16cid:durableId="796602476">
    <w:abstractNumId w:val="26"/>
  </w:num>
  <w:num w:numId="3" w16cid:durableId="2098093375">
    <w:abstractNumId w:val="24"/>
  </w:num>
  <w:num w:numId="4" w16cid:durableId="1911186006">
    <w:abstractNumId w:val="7"/>
  </w:num>
  <w:num w:numId="5" w16cid:durableId="566646628">
    <w:abstractNumId w:val="29"/>
  </w:num>
  <w:num w:numId="6" w16cid:durableId="1462385485">
    <w:abstractNumId w:val="13"/>
  </w:num>
  <w:num w:numId="7" w16cid:durableId="2005232204">
    <w:abstractNumId w:val="20"/>
  </w:num>
  <w:num w:numId="8" w16cid:durableId="1709183464">
    <w:abstractNumId w:val="10"/>
  </w:num>
  <w:num w:numId="9" w16cid:durableId="1196313811">
    <w:abstractNumId w:val="4"/>
  </w:num>
  <w:num w:numId="10" w16cid:durableId="1661158444">
    <w:abstractNumId w:val="36"/>
  </w:num>
  <w:num w:numId="11" w16cid:durableId="1875341316">
    <w:abstractNumId w:val="11"/>
  </w:num>
  <w:num w:numId="12" w16cid:durableId="1316959962">
    <w:abstractNumId w:val="5"/>
  </w:num>
  <w:num w:numId="13" w16cid:durableId="1521041450">
    <w:abstractNumId w:val="28"/>
  </w:num>
  <w:num w:numId="14" w16cid:durableId="1652561450">
    <w:abstractNumId w:val="34"/>
  </w:num>
  <w:num w:numId="15" w16cid:durableId="1215460144">
    <w:abstractNumId w:val="23"/>
  </w:num>
  <w:num w:numId="16" w16cid:durableId="1913812660">
    <w:abstractNumId w:val="6"/>
  </w:num>
  <w:num w:numId="17" w16cid:durableId="611667820">
    <w:abstractNumId w:val="8"/>
  </w:num>
  <w:num w:numId="18" w16cid:durableId="1736933319">
    <w:abstractNumId w:val="22"/>
  </w:num>
  <w:num w:numId="19" w16cid:durableId="2063168476">
    <w:abstractNumId w:val="0"/>
  </w:num>
  <w:num w:numId="20" w16cid:durableId="97674984">
    <w:abstractNumId w:val="12"/>
  </w:num>
  <w:num w:numId="21" w16cid:durableId="587429168">
    <w:abstractNumId w:val="31"/>
  </w:num>
  <w:num w:numId="22" w16cid:durableId="920413257">
    <w:abstractNumId w:val="1"/>
  </w:num>
  <w:num w:numId="23" w16cid:durableId="630551010">
    <w:abstractNumId w:val="21"/>
  </w:num>
  <w:num w:numId="24" w16cid:durableId="458648727">
    <w:abstractNumId w:val="35"/>
  </w:num>
  <w:num w:numId="25" w16cid:durableId="1114056827">
    <w:abstractNumId w:val="3"/>
  </w:num>
  <w:num w:numId="26" w16cid:durableId="918750058">
    <w:abstractNumId w:val="31"/>
  </w:num>
  <w:num w:numId="27" w16cid:durableId="2047244325">
    <w:abstractNumId w:val="25"/>
  </w:num>
  <w:num w:numId="28" w16cid:durableId="1960213575">
    <w:abstractNumId w:val="2"/>
  </w:num>
  <w:num w:numId="29" w16cid:durableId="16978032">
    <w:abstractNumId w:val="32"/>
  </w:num>
  <w:num w:numId="30" w16cid:durableId="61802272">
    <w:abstractNumId w:val="37"/>
  </w:num>
  <w:num w:numId="31" w16cid:durableId="2089963094">
    <w:abstractNumId w:val="16"/>
  </w:num>
  <w:num w:numId="32" w16cid:durableId="410932875">
    <w:abstractNumId w:val="15"/>
  </w:num>
  <w:num w:numId="33" w16cid:durableId="871920193">
    <w:abstractNumId w:val="19"/>
  </w:num>
  <w:num w:numId="34" w16cid:durableId="967659866">
    <w:abstractNumId w:val="9"/>
  </w:num>
  <w:num w:numId="35" w16cid:durableId="784931705">
    <w:abstractNumId w:val="33"/>
  </w:num>
  <w:num w:numId="36" w16cid:durableId="387338674">
    <w:abstractNumId w:val="27"/>
  </w:num>
  <w:num w:numId="37" w16cid:durableId="1718509449">
    <w:abstractNumId w:val="30"/>
  </w:num>
  <w:num w:numId="38" w16cid:durableId="92864966">
    <w:abstractNumId w:val="18"/>
  </w:num>
  <w:num w:numId="39" w16cid:durableId="159635854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 msa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ftswrv6zts2ke2xrkvxe2zr9e5effztde0&quot;&gt;My EndNote Library_CBEH&lt;record-ids&gt;&lt;item&gt;1&lt;/item&gt;&lt;item&gt;2&lt;/item&gt;&lt;item&gt;4&lt;/item&gt;&lt;item&gt;6&lt;/item&gt;&lt;item&gt;7&lt;/item&gt;&lt;item&gt;8&lt;/item&gt;&lt;item&gt;9&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9&lt;/item&gt;&lt;item&gt;31&lt;/item&gt;&lt;item&gt;32&lt;/item&gt;&lt;item&gt;37&lt;/item&gt;&lt;item&gt;38&lt;/item&gt;&lt;item&gt;39&lt;/item&gt;&lt;/record-ids&gt;&lt;/item&gt;&lt;/Libraries&gt;"/>
  </w:docVars>
  <w:rsids>
    <w:rsidRoot w:val="001E5F9C"/>
    <w:rsid w:val="000001D2"/>
    <w:rsid w:val="000004B5"/>
    <w:rsid w:val="000009C6"/>
    <w:rsid w:val="00000D1B"/>
    <w:rsid w:val="00000E14"/>
    <w:rsid w:val="000015C0"/>
    <w:rsid w:val="0000194D"/>
    <w:rsid w:val="00001DB1"/>
    <w:rsid w:val="0000219F"/>
    <w:rsid w:val="000025C6"/>
    <w:rsid w:val="00002645"/>
    <w:rsid w:val="00002740"/>
    <w:rsid w:val="000027C6"/>
    <w:rsid w:val="00002A95"/>
    <w:rsid w:val="00002B5D"/>
    <w:rsid w:val="00002D80"/>
    <w:rsid w:val="00002F79"/>
    <w:rsid w:val="00002F8A"/>
    <w:rsid w:val="000031F0"/>
    <w:rsid w:val="0000415A"/>
    <w:rsid w:val="00004177"/>
    <w:rsid w:val="00004828"/>
    <w:rsid w:val="000048A2"/>
    <w:rsid w:val="00004B97"/>
    <w:rsid w:val="00005056"/>
    <w:rsid w:val="000053B9"/>
    <w:rsid w:val="00005439"/>
    <w:rsid w:val="000059B5"/>
    <w:rsid w:val="0000679D"/>
    <w:rsid w:val="00006AC0"/>
    <w:rsid w:val="00007278"/>
    <w:rsid w:val="000073AA"/>
    <w:rsid w:val="000076EA"/>
    <w:rsid w:val="00010806"/>
    <w:rsid w:val="0001088C"/>
    <w:rsid w:val="000109FC"/>
    <w:rsid w:val="00010FC3"/>
    <w:rsid w:val="000113FE"/>
    <w:rsid w:val="000115E5"/>
    <w:rsid w:val="00011697"/>
    <w:rsid w:val="00011F47"/>
    <w:rsid w:val="000141B9"/>
    <w:rsid w:val="00015537"/>
    <w:rsid w:val="000156B4"/>
    <w:rsid w:val="00015983"/>
    <w:rsid w:val="00015F76"/>
    <w:rsid w:val="00016830"/>
    <w:rsid w:val="0001706B"/>
    <w:rsid w:val="00017489"/>
    <w:rsid w:val="00017886"/>
    <w:rsid w:val="00017A18"/>
    <w:rsid w:val="00017A4C"/>
    <w:rsid w:val="00020BA2"/>
    <w:rsid w:val="00020D7D"/>
    <w:rsid w:val="00020DBE"/>
    <w:rsid w:val="0002122B"/>
    <w:rsid w:val="0002137F"/>
    <w:rsid w:val="00021B75"/>
    <w:rsid w:val="00021C84"/>
    <w:rsid w:val="00021CF1"/>
    <w:rsid w:val="00023A59"/>
    <w:rsid w:val="00023DAF"/>
    <w:rsid w:val="00023EF6"/>
    <w:rsid w:val="0002447C"/>
    <w:rsid w:val="00024488"/>
    <w:rsid w:val="000247E2"/>
    <w:rsid w:val="00024978"/>
    <w:rsid w:val="00024E8B"/>
    <w:rsid w:val="000251BF"/>
    <w:rsid w:val="000253EF"/>
    <w:rsid w:val="000253F3"/>
    <w:rsid w:val="00025D13"/>
    <w:rsid w:val="00026653"/>
    <w:rsid w:val="0002690E"/>
    <w:rsid w:val="00026955"/>
    <w:rsid w:val="00026A9E"/>
    <w:rsid w:val="00026DC8"/>
    <w:rsid w:val="00027110"/>
    <w:rsid w:val="00027438"/>
    <w:rsid w:val="000276BD"/>
    <w:rsid w:val="000300D3"/>
    <w:rsid w:val="0003038B"/>
    <w:rsid w:val="00030AA2"/>
    <w:rsid w:val="00030F32"/>
    <w:rsid w:val="00030F8E"/>
    <w:rsid w:val="000317A9"/>
    <w:rsid w:val="000324A5"/>
    <w:rsid w:val="000329E8"/>
    <w:rsid w:val="00032E28"/>
    <w:rsid w:val="00033190"/>
    <w:rsid w:val="00035109"/>
    <w:rsid w:val="00035C2F"/>
    <w:rsid w:val="000366B6"/>
    <w:rsid w:val="00036C39"/>
    <w:rsid w:val="000370B2"/>
    <w:rsid w:val="00037440"/>
    <w:rsid w:val="00037A04"/>
    <w:rsid w:val="00037D75"/>
    <w:rsid w:val="00037E2E"/>
    <w:rsid w:val="0004086B"/>
    <w:rsid w:val="0004098D"/>
    <w:rsid w:val="00041538"/>
    <w:rsid w:val="00041AA9"/>
    <w:rsid w:val="00041FBD"/>
    <w:rsid w:val="000426C1"/>
    <w:rsid w:val="00042763"/>
    <w:rsid w:val="00042CB6"/>
    <w:rsid w:val="00042FF5"/>
    <w:rsid w:val="00043357"/>
    <w:rsid w:val="00044469"/>
    <w:rsid w:val="00044677"/>
    <w:rsid w:val="000448F0"/>
    <w:rsid w:val="00044E3E"/>
    <w:rsid w:val="00045AC2"/>
    <w:rsid w:val="00045E76"/>
    <w:rsid w:val="00046313"/>
    <w:rsid w:val="0004685C"/>
    <w:rsid w:val="00046B25"/>
    <w:rsid w:val="00046E46"/>
    <w:rsid w:val="000474E1"/>
    <w:rsid w:val="000475D2"/>
    <w:rsid w:val="0004763D"/>
    <w:rsid w:val="000476FC"/>
    <w:rsid w:val="000477C7"/>
    <w:rsid w:val="000477F2"/>
    <w:rsid w:val="000501FA"/>
    <w:rsid w:val="00051136"/>
    <w:rsid w:val="00051346"/>
    <w:rsid w:val="00052146"/>
    <w:rsid w:val="0005246C"/>
    <w:rsid w:val="00052754"/>
    <w:rsid w:val="00052B83"/>
    <w:rsid w:val="0005369C"/>
    <w:rsid w:val="0005388B"/>
    <w:rsid w:val="00054100"/>
    <w:rsid w:val="0005442E"/>
    <w:rsid w:val="000544E4"/>
    <w:rsid w:val="00054A13"/>
    <w:rsid w:val="00054C38"/>
    <w:rsid w:val="00054C69"/>
    <w:rsid w:val="00055272"/>
    <w:rsid w:val="00055284"/>
    <w:rsid w:val="000553D5"/>
    <w:rsid w:val="0005599E"/>
    <w:rsid w:val="000561D7"/>
    <w:rsid w:val="00056284"/>
    <w:rsid w:val="000563D6"/>
    <w:rsid w:val="0005682D"/>
    <w:rsid w:val="00056EDC"/>
    <w:rsid w:val="00056FE0"/>
    <w:rsid w:val="00057082"/>
    <w:rsid w:val="0005715C"/>
    <w:rsid w:val="00057597"/>
    <w:rsid w:val="000575D7"/>
    <w:rsid w:val="00057658"/>
    <w:rsid w:val="00057ADE"/>
    <w:rsid w:val="00057CE4"/>
    <w:rsid w:val="00057D4F"/>
    <w:rsid w:val="00060005"/>
    <w:rsid w:val="00060873"/>
    <w:rsid w:val="00060B4F"/>
    <w:rsid w:val="00060CB9"/>
    <w:rsid w:val="00061101"/>
    <w:rsid w:val="00061616"/>
    <w:rsid w:val="00061B75"/>
    <w:rsid w:val="00061D65"/>
    <w:rsid w:val="00061E20"/>
    <w:rsid w:val="00062B55"/>
    <w:rsid w:val="00062C54"/>
    <w:rsid w:val="0006318E"/>
    <w:rsid w:val="000638D9"/>
    <w:rsid w:val="000639E8"/>
    <w:rsid w:val="00063B25"/>
    <w:rsid w:val="000645A1"/>
    <w:rsid w:val="00064E50"/>
    <w:rsid w:val="000673D3"/>
    <w:rsid w:val="00067DAE"/>
    <w:rsid w:val="00070126"/>
    <w:rsid w:val="0007156A"/>
    <w:rsid w:val="00071757"/>
    <w:rsid w:val="00071C3A"/>
    <w:rsid w:val="00071DC0"/>
    <w:rsid w:val="000728A9"/>
    <w:rsid w:val="000729F1"/>
    <w:rsid w:val="00072D16"/>
    <w:rsid w:val="00072EE8"/>
    <w:rsid w:val="00072FE8"/>
    <w:rsid w:val="00073BBB"/>
    <w:rsid w:val="00073DA5"/>
    <w:rsid w:val="00073E46"/>
    <w:rsid w:val="00073E8C"/>
    <w:rsid w:val="0007476D"/>
    <w:rsid w:val="00076035"/>
    <w:rsid w:val="0007698B"/>
    <w:rsid w:val="00076E12"/>
    <w:rsid w:val="0007702C"/>
    <w:rsid w:val="0007748A"/>
    <w:rsid w:val="00077CFD"/>
    <w:rsid w:val="00080587"/>
    <w:rsid w:val="00080D19"/>
    <w:rsid w:val="000814DE"/>
    <w:rsid w:val="00081529"/>
    <w:rsid w:val="00081740"/>
    <w:rsid w:val="00081E96"/>
    <w:rsid w:val="00082367"/>
    <w:rsid w:val="00082D8D"/>
    <w:rsid w:val="00082F02"/>
    <w:rsid w:val="00083960"/>
    <w:rsid w:val="00083A39"/>
    <w:rsid w:val="00083CEF"/>
    <w:rsid w:val="00083D51"/>
    <w:rsid w:val="00083F40"/>
    <w:rsid w:val="00084A06"/>
    <w:rsid w:val="00084A7A"/>
    <w:rsid w:val="000852F1"/>
    <w:rsid w:val="00085436"/>
    <w:rsid w:val="00085DB3"/>
    <w:rsid w:val="00085FF1"/>
    <w:rsid w:val="000874E1"/>
    <w:rsid w:val="0009049F"/>
    <w:rsid w:val="00090977"/>
    <w:rsid w:val="00090AB7"/>
    <w:rsid w:val="00090F20"/>
    <w:rsid w:val="0009100A"/>
    <w:rsid w:val="00091EFD"/>
    <w:rsid w:val="000922A8"/>
    <w:rsid w:val="00092C77"/>
    <w:rsid w:val="000939E0"/>
    <w:rsid w:val="00094132"/>
    <w:rsid w:val="00094B1B"/>
    <w:rsid w:val="00094FA8"/>
    <w:rsid w:val="0009531E"/>
    <w:rsid w:val="00095893"/>
    <w:rsid w:val="00095AC2"/>
    <w:rsid w:val="00095FFD"/>
    <w:rsid w:val="000961CC"/>
    <w:rsid w:val="000966A4"/>
    <w:rsid w:val="00096B93"/>
    <w:rsid w:val="00096BD2"/>
    <w:rsid w:val="00096C13"/>
    <w:rsid w:val="000975C0"/>
    <w:rsid w:val="00097C32"/>
    <w:rsid w:val="00097C73"/>
    <w:rsid w:val="000A0246"/>
    <w:rsid w:val="000A05D5"/>
    <w:rsid w:val="000A0ACE"/>
    <w:rsid w:val="000A0D27"/>
    <w:rsid w:val="000A11F4"/>
    <w:rsid w:val="000A12BB"/>
    <w:rsid w:val="000A12CD"/>
    <w:rsid w:val="000A12F6"/>
    <w:rsid w:val="000A19CF"/>
    <w:rsid w:val="000A1FB7"/>
    <w:rsid w:val="000A278A"/>
    <w:rsid w:val="000A2A03"/>
    <w:rsid w:val="000A2B88"/>
    <w:rsid w:val="000A2BBF"/>
    <w:rsid w:val="000A3242"/>
    <w:rsid w:val="000A3C1B"/>
    <w:rsid w:val="000A3C96"/>
    <w:rsid w:val="000A43B5"/>
    <w:rsid w:val="000A45E9"/>
    <w:rsid w:val="000A45F4"/>
    <w:rsid w:val="000A6DBA"/>
    <w:rsid w:val="000A6F8E"/>
    <w:rsid w:val="000A7FCB"/>
    <w:rsid w:val="000B01B8"/>
    <w:rsid w:val="000B02A8"/>
    <w:rsid w:val="000B093A"/>
    <w:rsid w:val="000B130A"/>
    <w:rsid w:val="000B1384"/>
    <w:rsid w:val="000B1E64"/>
    <w:rsid w:val="000B244A"/>
    <w:rsid w:val="000B245B"/>
    <w:rsid w:val="000B250E"/>
    <w:rsid w:val="000B2685"/>
    <w:rsid w:val="000B297F"/>
    <w:rsid w:val="000B325A"/>
    <w:rsid w:val="000B3856"/>
    <w:rsid w:val="000B4C24"/>
    <w:rsid w:val="000B4D50"/>
    <w:rsid w:val="000B5653"/>
    <w:rsid w:val="000B580E"/>
    <w:rsid w:val="000B5A84"/>
    <w:rsid w:val="000B5C14"/>
    <w:rsid w:val="000B5C9F"/>
    <w:rsid w:val="000B6560"/>
    <w:rsid w:val="000B68AB"/>
    <w:rsid w:val="000B68D5"/>
    <w:rsid w:val="000B694B"/>
    <w:rsid w:val="000B6B77"/>
    <w:rsid w:val="000B6D7F"/>
    <w:rsid w:val="000B7265"/>
    <w:rsid w:val="000B78AB"/>
    <w:rsid w:val="000B7E47"/>
    <w:rsid w:val="000C08E7"/>
    <w:rsid w:val="000C0CB6"/>
    <w:rsid w:val="000C12E4"/>
    <w:rsid w:val="000C1714"/>
    <w:rsid w:val="000C1892"/>
    <w:rsid w:val="000C1BB5"/>
    <w:rsid w:val="000C1CB7"/>
    <w:rsid w:val="000C1ED7"/>
    <w:rsid w:val="000C2539"/>
    <w:rsid w:val="000C34E4"/>
    <w:rsid w:val="000C4AD9"/>
    <w:rsid w:val="000C4C69"/>
    <w:rsid w:val="000C592C"/>
    <w:rsid w:val="000C5EE1"/>
    <w:rsid w:val="000C6896"/>
    <w:rsid w:val="000C6A2A"/>
    <w:rsid w:val="000C7E7A"/>
    <w:rsid w:val="000CD51D"/>
    <w:rsid w:val="000D0305"/>
    <w:rsid w:val="000D0AEC"/>
    <w:rsid w:val="000D1B56"/>
    <w:rsid w:val="000D1FCF"/>
    <w:rsid w:val="000D26AB"/>
    <w:rsid w:val="000D30CB"/>
    <w:rsid w:val="000D40BE"/>
    <w:rsid w:val="000D4199"/>
    <w:rsid w:val="000D462B"/>
    <w:rsid w:val="000D4819"/>
    <w:rsid w:val="000D4CB2"/>
    <w:rsid w:val="000D5AFE"/>
    <w:rsid w:val="000D5BEB"/>
    <w:rsid w:val="000D5F36"/>
    <w:rsid w:val="000D6A3D"/>
    <w:rsid w:val="000D725F"/>
    <w:rsid w:val="000D7765"/>
    <w:rsid w:val="000D7895"/>
    <w:rsid w:val="000D7E70"/>
    <w:rsid w:val="000E0A8D"/>
    <w:rsid w:val="000E1CAF"/>
    <w:rsid w:val="000E1DBE"/>
    <w:rsid w:val="000E35F1"/>
    <w:rsid w:val="000E3647"/>
    <w:rsid w:val="000E365D"/>
    <w:rsid w:val="000E3B68"/>
    <w:rsid w:val="000E3F52"/>
    <w:rsid w:val="000E477F"/>
    <w:rsid w:val="000E546F"/>
    <w:rsid w:val="000E567D"/>
    <w:rsid w:val="000E5F37"/>
    <w:rsid w:val="000E623D"/>
    <w:rsid w:val="000E6F6C"/>
    <w:rsid w:val="000E7B78"/>
    <w:rsid w:val="000E7C88"/>
    <w:rsid w:val="000E7EDA"/>
    <w:rsid w:val="000F0197"/>
    <w:rsid w:val="000F04E6"/>
    <w:rsid w:val="000F0E16"/>
    <w:rsid w:val="000F0E84"/>
    <w:rsid w:val="000F0F61"/>
    <w:rsid w:val="000F1F90"/>
    <w:rsid w:val="000F2958"/>
    <w:rsid w:val="000F2A56"/>
    <w:rsid w:val="000F2F37"/>
    <w:rsid w:val="000F2FCA"/>
    <w:rsid w:val="000F31EF"/>
    <w:rsid w:val="000F370B"/>
    <w:rsid w:val="000F40D5"/>
    <w:rsid w:val="000F4849"/>
    <w:rsid w:val="000F4994"/>
    <w:rsid w:val="000F51AF"/>
    <w:rsid w:val="000F51EC"/>
    <w:rsid w:val="000F5A0B"/>
    <w:rsid w:val="000F5B29"/>
    <w:rsid w:val="000F611D"/>
    <w:rsid w:val="000F68B1"/>
    <w:rsid w:val="000F68E8"/>
    <w:rsid w:val="000F6EDA"/>
    <w:rsid w:val="000F7812"/>
    <w:rsid w:val="000F7C35"/>
    <w:rsid w:val="001007B0"/>
    <w:rsid w:val="00100E66"/>
    <w:rsid w:val="00101048"/>
    <w:rsid w:val="001022F0"/>
    <w:rsid w:val="00102A8E"/>
    <w:rsid w:val="00102F4E"/>
    <w:rsid w:val="001034B5"/>
    <w:rsid w:val="001037FE"/>
    <w:rsid w:val="001041C7"/>
    <w:rsid w:val="00104822"/>
    <w:rsid w:val="00105AFF"/>
    <w:rsid w:val="00106655"/>
    <w:rsid w:val="00106D19"/>
    <w:rsid w:val="001071BD"/>
    <w:rsid w:val="00107587"/>
    <w:rsid w:val="001076B7"/>
    <w:rsid w:val="001079EB"/>
    <w:rsid w:val="00107AEC"/>
    <w:rsid w:val="00107AF0"/>
    <w:rsid w:val="0011056E"/>
    <w:rsid w:val="00110726"/>
    <w:rsid w:val="00110D29"/>
    <w:rsid w:val="001116D6"/>
    <w:rsid w:val="00111E47"/>
    <w:rsid w:val="001128E5"/>
    <w:rsid w:val="00114B29"/>
    <w:rsid w:val="00114DCE"/>
    <w:rsid w:val="00114DD6"/>
    <w:rsid w:val="00115FD1"/>
    <w:rsid w:val="00116712"/>
    <w:rsid w:val="001167A4"/>
    <w:rsid w:val="0011749F"/>
    <w:rsid w:val="001176CC"/>
    <w:rsid w:val="00117A09"/>
    <w:rsid w:val="00117B3B"/>
    <w:rsid w:val="00120179"/>
    <w:rsid w:val="001201C3"/>
    <w:rsid w:val="001203DB"/>
    <w:rsid w:val="0012052A"/>
    <w:rsid w:val="00120F8A"/>
    <w:rsid w:val="00121980"/>
    <w:rsid w:val="00121A1A"/>
    <w:rsid w:val="00121BF3"/>
    <w:rsid w:val="00121FF1"/>
    <w:rsid w:val="00122968"/>
    <w:rsid w:val="00122B37"/>
    <w:rsid w:val="00123526"/>
    <w:rsid w:val="001238D9"/>
    <w:rsid w:val="00123B9E"/>
    <w:rsid w:val="001242A7"/>
    <w:rsid w:val="00124F47"/>
    <w:rsid w:val="0012515C"/>
    <w:rsid w:val="001254EC"/>
    <w:rsid w:val="00125612"/>
    <w:rsid w:val="00125C81"/>
    <w:rsid w:val="00125E53"/>
    <w:rsid w:val="0012601C"/>
    <w:rsid w:val="00126290"/>
    <w:rsid w:val="00126443"/>
    <w:rsid w:val="001271AE"/>
    <w:rsid w:val="001274D2"/>
    <w:rsid w:val="00127F69"/>
    <w:rsid w:val="001300C5"/>
    <w:rsid w:val="001310DD"/>
    <w:rsid w:val="00131CF4"/>
    <w:rsid w:val="00132C8B"/>
    <w:rsid w:val="00134081"/>
    <w:rsid w:val="001340FA"/>
    <w:rsid w:val="00134302"/>
    <w:rsid w:val="00134A02"/>
    <w:rsid w:val="00134AB2"/>
    <w:rsid w:val="001356C1"/>
    <w:rsid w:val="0013578F"/>
    <w:rsid w:val="00135BEB"/>
    <w:rsid w:val="00135F4E"/>
    <w:rsid w:val="001361E8"/>
    <w:rsid w:val="001363B9"/>
    <w:rsid w:val="0014014B"/>
    <w:rsid w:val="00140751"/>
    <w:rsid w:val="00140945"/>
    <w:rsid w:val="00140A02"/>
    <w:rsid w:val="001424D0"/>
    <w:rsid w:val="001424DE"/>
    <w:rsid w:val="00142891"/>
    <w:rsid w:val="00142EB3"/>
    <w:rsid w:val="0014304C"/>
    <w:rsid w:val="001432F8"/>
    <w:rsid w:val="00143391"/>
    <w:rsid w:val="00143763"/>
    <w:rsid w:val="00143D5B"/>
    <w:rsid w:val="001445FA"/>
    <w:rsid w:val="00144D63"/>
    <w:rsid w:val="001455DB"/>
    <w:rsid w:val="001457B2"/>
    <w:rsid w:val="001459A2"/>
    <w:rsid w:val="00145B21"/>
    <w:rsid w:val="00146CA8"/>
    <w:rsid w:val="00146EFA"/>
    <w:rsid w:val="001475AB"/>
    <w:rsid w:val="001500F0"/>
    <w:rsid w:val="00150481"/>
    <w:rsid w:val="00150C8D"/>
    <w:rsid w:val="00150EFA"/>
    <w:rsid w:val="00150F59"/>
    <w:rsid w:val="001512DA"/>
    <w:rsid w:val="00151B51"/>
    <w:rsid w:val="0015201B"/>
    <w:rsid w:val="00152021"/>
    <w:rsid w:val="00152B9D"/>
    <w:rsid w:val="00153006"/>
    <w:rsid w:val="00153B1E"/>
    <w:rsid w:val="00154A5F"/>
    <w:rsid w:val="001552E4"/>
    <w:rsid w:val="001554FF"/>
    <w:rsid w:val="00155A62"/>
    <w:rsid w:val="00155BAC"/>
    <w:rsid w:val="0015651E"/>
    <w:rsid w:val="00156949"/>
    <w:rsid w:val="00156CE6"/>
    <w:rsid w:val="00156E41"/>
    <w:rsid w:val="001577FE"/>
    <w:rsid w:val="00157B18"/>
    <w:rsid w:val="0016024A"/>
    <w:rsid w:val="00160480"/>
    <w:rsid w:val="00161727"/>
    <w:rsid w:val="00161F14"/>
    <w:rsid w:val="0016203B"/>
    <w:rsid w:val="00162317"/>
    <w:rsid w:val="001623A2"/>
    <w:rsid w:val="00162DF7"/>
    <w:rsid w:val="0016315C"/>
    <w:rsid w:val="00163510"/>
    <w:rsid w:val="001636D6"/>
    <w:rsid w:val="001637EE"/>
    <w:rsid w:val="00163CD3"/>
    <w:rsid w:val="00164606"/>
    <w:rsid w:val="00164B2F"/>
    <w:rsid w:val="00164E10"/>
    <w:rsid w:val="00164F0F"/>
    <w:rsid w:val="00165125"/>
    <w:rsid w:val="001666AF"/>
    <w:rsid w:val="001666D2"/>
    <w:rsid w:val="0016684A"/>
    <w:rsid w:val="00166C87"/>
    <w:rsid w:val="0016709A"/>
    <w:rsid w:val="001679EC"/>
    <w:rsid w:val="00167AE6"/>
    <w:rsid w:val="00167BE5"/>
    <w:rsid w:val="00167D7E"/>
    <w:rsid w:val="001713D9"/>
    <w:rsid w:val="00171413"/>
    <w:rsid w:val="00171608"/>
    <w:rsid w:val="00171920"/>
    <w:rsid w:val="00172839"/>
    <w:rsid w:val="00172AE6"/>
    <w:rsid w:val="00173033"/>
    <w:rsid w:val="001735BA"/>
    <w:rsid w:val="00173763"/>
    <w:rsid w:val="00173850"/>
    <w:rsid w:val="00173BDA"/>
    <w:rsid w:val="00173D1D"/>
    <w:rsid w:val="00173ED4"/>
    <w:rsid w:val="00173F87"/>
    <w:rsid w:val="00173F92"/>
    <w:rsid w:val="00173FB3"/>
    <w:rsid w:val="00173FCF"/>
    <w:rsid w:val="001749B2"/>
    <w:rsid w:val="00175414"/>
    <w:rsid w:val="001755D0"/>
    <w:rsid w:val="00175AC9"/>
    <w:rsid w:val="00175AE2"/>
    <w:rsid w:val="00175DCA"/>
    <w:rsid w:val="00176666"/>
    <w:rsid w:val="00176949"/>
    <w:rsid w:val="00177161"/>
    <w:rsid w:val="001773A4"/>
    <w:rsid w:val="00177B16"/>
    <w:rsid w:val="00177CEC"/>
    <w:rsid w:val="0018008A"/>
    <w:rsid w:val="00180522"/>
    <w:rsid w:val="00180B57"/>
    <w:rsid w:val="0018137D"/>
    <w:rsid w:val="00181384"/>
    <w:rsid w:val="0018156F"/>
    <w:rsid w:val="0018168B"/>
    <w:rsid w:val="001817FF"/>
    <w:rsid w:val="00181B77"/>
    <w:rsid w:val="00181CA1"/>
    <w:rsid w:val="00181FFA"/>
    <w:rsid w:val="0018396D"/>
    <w:rsid w:val="00183B1A"/>
    <w:rsid w:val="00183DC2"/>
    <w:rsid w:val="00184452"/>
    <w:rsid w:val="00184726"/>
    <w:rsid w:val="00184BA4"/>
    <w:rsid w:val="00184C46"/>
    <w:rsid w:val="00185020"/>
    <w:rsid w:val="00185631"/>
    <w:rsid w:val="001856CD"/>
    <w:rsid w:val="0018588C"/>
    <w:rsid w:val="00185DE2"/>
    <w:rsid w:val="00185E7B"/>
    <w:rsid w:val="0018676A"/>
    <w:rsid w:val="00186A88"/>
    <w:rsid w:val="001872C1"/>
    <w:rsid w:val="00187393"/>
    <w:rsid w:val="00187436"/>
    <w:rsid w:val="001877C4"/>
    <w:rsid w:val="001902E6"/>
    <w:rsid w:val="001908C1"/>
    <w:rsid w:val="00190946"/>
    <w:rsid w:val="00190CAE"/>
    <w:rsid w:val="001914A6"/>
    <w:rsid w:val="001914CE"/>
    <w:rsid w:val="00192503"/>
    <w:rsid w:val="001928B2"/>
    <w:rsid w:val="00192A9E"/>
    <w:rsid w:val="0019312A"/>
    <w:rsid w:val="00193DAD"/>
    <w:rsid w:val="00194087"/>
    <w:rsid w:val="00194217"/>
    <w:rsid w:val="00194489"/>
    <w:rsid w:val="0019481C"/>
    <w:rsid w:val="001959C3"/>
    <w:rsid w:val="00195B52"/>
    <w:rsid w:val="00195E83"/>
    <w:rsid w:val="001964E8"/>
    <w:rsid w:val="001966FC"/>
    <w:rsid w:val="00196A8E"/>
    <w:rsid w:val="001979C4"/>
    <w:rsid w:val="001A08C8"/>
    <w:rsid w:val="001A0E2B"/>
    <w:rsid w:val="001A0E80"/>
    <w:rsid w:val="001A17F1"/>
    <w:rsid w:val="001A3412"/>
    <w:rsid w:val="001A357B"/>
    <w:rsid w:val="001A3FCF"/>
    <w:rsid w:val="001A518C"/>
    <w:rsid w:val="001A54FA"/>
    <w:rsid w:val="001A5D2F"/>
    <w:rsid w:val="001A5E0C"/>
    <w:rsid w:val="001A63CC"/>
    <w:rsid w:val="001A6858"/>
    <w:rsid w:val="001A68C0"/>
    <w:rsid w:val="001A6D82"/>
    <w:rsid w:val="001A7A1A"/>
    <w:rsid w:val="001B060A"/>
    <w:rsid w:val="001B0FC5"/>
    <w:rsid w:val="001B1461"/>
    <w:rsid w:val="001B15A8"/>
    <w:rsid w:val="001B2395"/>
    <w:rsid w:val="001B3838"/>
    <w:rsid w:val="001B3850"/>
    <w:rsid w:val="001B4487"/>
    <w:rsid w:val="001B490C"/>
    <w:rsid w:val="001B4F27"/>
    <w:rsid w:val="001B4FBA"/>
    <w:rsid w:val="001B55FE"/>
    <w:rsid w:val="001B570F"/>
    <w:rsid w:val="001B57E6"/>
    <w:rsid w:val="001B5C95"/>
    <w:rsid w:val="001B5F24"/>
    <w:rsid w:val="001B62FC"/>
    <w:rsid w:val="001B6784"/>
    <w:rsid w:val="001B6CB3"/>
    <w:rsid w:val="001B734A"/>
    <w:rsid w:val="001B77F9"/>
    <w:rsid w:val="001B7B41"/>
    <w:rsid w:val="001B7C7D"/>
    <w:rsid w:val="001C0666"/>
    <w:rsid w:val="001C0A4D"/>
    <w:rsid w:val="001C0D33"/>
    <w:rsid w:val="001C0F82"/>
    <w:rsid w:val="001C1451"/>
    <w:rsid w:val="001C16E0"/>
    <w:rsid w:val="001C2033"/>
    <w:rsid w:val="001C25E6"/>
    <w:rsid w:val="001C25F4"/>
    <w:rsid w:val="001C283C"/>
    <w:rsid w:val="001C2F1A"/>
    <w:rsid w:val="001C30F2"/>
    <w:rsid w:val="001C3156"/>
    <w:rsid w:val="001C32F0"/>
    <w:rsid w:val="001C354D"/>
    <w:rsid w:val="001C357C"/>
    <w:rsid w:val="001C372D"/>
    <w:rsid w:val="001C3860"/>
    <w:rsid w:val="001C4604"/>
    <w:rsid w:val="001C4620"/>
    <w:rsid w:val="001C4863"/>
    <w:rsid w:val="001C4BDF"/>
    <w:rsid w:val="001C533E"/>
    <w:rsid w:val="001C57E3"/>
    <w:rsid w:val="001C57EC"/>
    <w:rsid w:val="001C63FC"/>
    <w:rsid w:val="001C67CC"/>
    <w:rsid w:val="001C6842"/>
    <w:rsid w:val="001C6E90"/>
    <w:rsid w:val="001C7186"/>
    <w:rsid w:val="001C72E0"/>
    <w:rsid w:val="001C7DEE"/>
    <w:rsid w:val="001D002E"/>
    <w:rsid w:val="001D01B2"/>
    <w:rsid w:val="001D02BC"/>
    <w:rsid w:val="001D08B8"/>
    <w:rsid w:val="001D1328"/>
    <w:rsid w:val="001D13C5"/>
    <w:rsid w:val="001D192D"/>
    <w:rsid w:val="001D1F93"/>
    <w:rsid w:val="001D22B5"/>
    <w:rsid w:val="001D247E"/>
    <w:rsid w:val="001D3960"/>
    <w:rsid w:val="001D3C7E"/>
    <w:rsid w:val="001D3ED7"/>
    <w:rsid w:val="001D482D"/>
    <w:rsid w:val="001D55D2"/>
    <w:rsid w:val="001D5612"/>
    <w:rsid w:val="001D581D"/>
    <w:rsid w:val="001D64D0"/>
    <w:rsid w:val="001D68B4"/>
    <w:rsid w:val="001D6B40"/>
    <w:rsid w:val="001D6DAC"/>
    <w:rsid w:val="001D6F94"/>
    <w:rsid w:val="001D7620"/>
    <w:rsid w:val="001D7CDE"/>
    <w:rsid w:val="001D7E90"/>
    <w:rsid w:val="001E097C"/>
    <w:rsid w:val="001E0C1E"/>
    <w:rsid w:val="001E0CD7"/>
    <w:rsid w:val="001E1095"/>
    <w:rsid w:val="001E11E5"/>
    <w:rsid w:val="001E1656"/>
    <w:rsid w:val="001E1CF1"/>
    <w:rsid w:val="001E1E3D"/>
    <w:rsid w:val="001E1EEC"/>
    <w:rsid w:val="001E2759"/>
    <w:rsid w:val="001E36D2"/>
    <w:rsid w:val="001E41B5"/>
    <w:rsid w:val="001E44ED"/>
    <w:rsid w:val="001E4B8E"/>
    <w:rsid w:val="001E4F32"/>
    <w:rsid w:val="001E5DC0"/>
    <w:rsid w:val="001E5E40"/>
    <w:rsid w:val="001E5EAE"/>
    <w:rsid w:val="001E5F9C"/>
    <w:rsid w:val="001E6112"/>
    <w:rsid w:val="001E666C"/>
    <w:rsid w:val="001E6B25"/>
    <w:rsid w:val="001E6E39"/>
    <w:rsid w:val="001E7CF5"/>
    <w:rsid w:val="001F04C2"/>
    <w:rsid w:val="001F0AAF"/>
    <w:rsid w:val="001F0D5A"/>
    <w:rsid w:val="001F1728"/>
    <w:rsid w:val="001F18B6"/>
    <w:rsid w:val="001F20AD"/>
    <w:rsid w:val="001F2B69"/>
    <w:rsid w:val="001F30F4"/>
    <w:rsid w:val="001F3160"/>
    <w:rsid w:val="001F3B72"/>
    <w:rsid w:val="001F3CD3"/>
    <w:rsid w:val="001F4394"/>
    <w:rsid w:val="001F4AC2"/>
    <w:rsid w:val="001F5482"/>
    <w:rsid w:val="001F5BE2"/>
    <w:rsid w:val="001F6064"/>
    <w:rsid w:val="001F661B"/>
    <w:rsid w:val="001F676A"/>
    <w:rsid w:val="001F6A89"/>
    <w:rsid w:val="001F6B20"/>
    <w:rsid w:val="001F6F10"/>
    <w:rsid w:val="002004CB"/>
    <w:rsid w:val="00201B0F"/>
    <w:rsid w:val="00202414"/>
    <w:rsid w:val="00203F7D"/>
    <w:rsid w:val="002047E9"/>
    <w:rsid w:val="00205022"/>
    <w:rsid w:val="0020560C"/>
    <w:rsid w:val="00205A71"/>
    <w:rsid w:val="00206790"/>
    <w:rsid w:val="0020685F"/>
    <w:rsid w:val="0020713E"/>
    <w:rsid w:val="00207BFA"/>
    <w:rsid w:val="002100A5"/>
    <w:rsid w:val="002103D8"/>
    <w:rsid w:val="00210595"/>
    <w:rsid w:val="00210D1C"/>
    <w:rsid w:val="00210EF7"/>
    <w:rsid w:val="00211B19"/>
    <w:rsid w:val="00211E03"/>
    <w:rsid w:val="002122AE"/>
    <w:rsid w:val="002124A3"/>
    <w:rsid w:val="00212769"/>
    <w:rsid w:val="00212A78"/>
    <w:rsid w:val="00212DF2"/>
    <w:rsid w:val="00212ED6"/>
    <w:rsid w:val="002132CA"/>
    <w:rsid w:val="0021376D"/>
    <w:rsid w:val="00213887"/>
    <w:rsid w:val="00214427"/>
    <w:rsid w:val="0021456A"/>
    <w:rsid w:val="00214BCF"/>
    <w:rsid w:val="002155FB"/>
    <w:rsid w:val="00215677"/>
    <w:rsid w:val="002157B8"/>
    <w:rsid w:val="00215C23"/>
    <w:rsid w:val="00216853"/>
    <w:rsid w:val="00217495"/>
    <w:rsid w:val="002174C4"/>
    <w:rsid w:val="00220A8C"/>
    <w:rsid w:val="00220DA5"/>
    <w:rsid w:val="00220E2F"/>
    <w:rsid w:val="00221556"/>
    <w:rsid w:val="00221856"/>
    <w:rsid w:val="002218A9"/>
    <w:rsid w:val="00221BE6"/>
    <w:rsid w:val="00222092"/>
    <w:rsid w:val="00222416"/>
    <w:rsid w:val="002224B4"/>
    <w:rsid w:val="002224E5"/>
    <w:rsid w:val="002230FA"/>
    <w:rsid w:val="0022342C"/>
    <w:rsid w:val="00223C1B"/>
    <w:rsid w:val="00223CBA"/>
    <w:rsid w:val="00223D24"/>
    <w:rsid w:val="00224277"/>
    <w:rsid w:val="002245BD"/>
    <w:rsid w:val="002245FA"/>
    <w:rsid w:val="00224F0D"/>
    <w:rsid w:val="00225A70"/>
    <w:rsid w:val="00225B72"/>
    <w:rsid w:val="002262DF"/>
    <w:rsid w:val="00226521"/>
    <w:rsid w:val="00226F20"/>
    <w:rsid w:val="00230EE8"/>
    <w:rsid w:val="00231339"/>
    <w:rsid w:val="00231345"/>
    <w:rsid w:val="0023134C"/>
    <w:rsid w:val="00231D4D"/>
    <w:rsid w:val="0023258D"/>
    <w:rsid w:val="002327B1"/>
    <w:rsid w:val="00233A86"/>
    <w:rsid w:val="00234142"/>
    <w:rsid w:val="002341CE"/>
    <w:rsid w:val="002344C1"/>
    <w:rsid w:val="00234FC6"/>
    <w:rsid w:val="002355DE"/>
    <w:rsid w:val="0023599C"/>
    <w:rsid w:val="00235B21"/>
    <w:rsid w:val="00236575"/>
    <w:rsid w:val="00236B14"/>
    <w:rsid w:val="00236D88"/>
    <w:rsid w:val="002376D8"/>
    <w:rsid w:val="00237C8A"/>
    <w:rsid w:val="00237E54"/>
    <w:rsid w:val="0024160F"/>
    <w:rsid w:val="00241835"/>
    <w:rsid w:val="00241D0A"/>
    <w:rsid w:val="00241D49"/>
    <w:rsid w:val="00242176"/>
    <w:rsid w:val="00242239"/>
    <w:rsid w:val="00242FFD"/>
    <w:rsid w:val="002436FA"/>
    <w:rsid w:val="00243940"/>
    <w:rsid w:val="00243D03"/>
    <w:rsid w:val="0024400B"/>
    <w:rsid w:val="0024456B"/>
    <w:rsid w:val="00245516"/>
    <w:rsid w:val="00245EE3"/>
    <w:rsid w:val="00246A7F"/>
    <w:rsid w:val="00246DB2"/>
    <w:rsid w:val="00247024"/>
    <w:rsid w:val="0024704C"/>
    <w:rsid w:val="00247812"/>
    <w:rsid w:val="002479E4"/>
    <w:rsid w:val="00247A98"/>
    <w:rsid w:val="00247F8A"/>
    <w:rsid w:val="00250632"/>
    <w:rsid w:val="0025088E"/>
    <w:rsid w:val="00251020"/>
    <w:rsid w:val="00251555"/>
    <w:rsid w:val="00251B5F"/>
    <w:rsid w:val="002541C4"/>
    <w:rsid w:val="00254417"/>
    <w:rsid w:val="00254F5D"/>
    <w:rsid w:val="002550A1"/>
    <w:rsid w:val="002557F0"/>
    <w:rsid w:val="00255933"/>
    <w:rsid w:val="002565A3"/>
    <w:rsid w:val="00256736"/>
    <w:rsid w:val="0025682C"/>
    <w:rsid w:val="00256955"/>
    <w:rsid w:val="00256A45"/>
    <w:rsid w:val="00256A9C"/>
    <w:rsid w:val="00256B03"/>
    <w:rsid w:val="00257A34"/>
    <w:rsid w:val="00257A43"/>
    <w:rsid w:val="00257B52"/>
    <w:rsid w:val="00257BAE"/>
    <w:rsid w:val="00260105"/>
    <w:rsid w:val="002602E0"/>
    <w:rsid w:val="00260502"/>
    <w:rsid w:val="00260EC4"/>
    <w:rsid w:val="00260FC5"/>
    <w:rsid w:val="00261106"/>
    <w:rsid w:val="00261B48"/>
    <w:rsid w:val="00262254"/>
    <w:rsid w:val="0026291D"/>
    <w:rsid w:val="00262A01"/>
    <w:rsid w:val="00263358"/>
    <w:rsid w:val="00263AFD"/>
    <w:rsid w:val="00264730"/>
    <w:rsid w:val="002647A0"/>
    <w:rsid w:val="00265175"/>
    <w:rsid w:val="00265259"/>
    <w:rsid w:val="00265493"/>
    <w:rsid w:val="002657DC"/>
    <w:rsid w:val="00265962"/>
    <w:rsid w:val="00266315"/>
    <w:rsid w:val="00266588"/>
    <w:rsid w:val="00266620"/>
    <w:rsid w:val="00266799"/>
    <w:rsid w:val="00266D83"/>
    <w:rsid w:val="002672B9"/>
    <w:rsid w:val="00267380"/>
    <w:rsid w:val="00267A90"/>
    <w:rsid w:val="00267C4E"/>
    <w:rsid w:val="00267F81"/>
    <w:rsid w:val="0027022D"/>
    <w:rsid w:val="00270CDF"/>
    <w:rsid w:val="00270EE0"/>
    <w:rsid w:val="00271432"/>
    <w:rsid w:val="0027170F"/>
    <w:rsid w:val="0027255E"/>
    <w:rsid w:val="002726A1"/>
    <w:rsid w:val="00272D32"/>
    <w:rsid w:val="00273192"/>
    <w:rsid w:val="002735D9"/>
    <w:rsid w:val="0027377F"/>
    <w:rsid w:val="00274347"/>
    <w:rsid w:val="00274947"/>
    <w:rsid w:val="00275047"/>
    <w:rsid w:val="00275210"/>
    <w:rsid w:val="00275FBF"/>
    <w:rsid w:val="00275FC2"/>
    <w:rsid w:val="00276856"/>
    <w:rsid w:val="002768C6"/>
    <w:rsid w:val="00276A80"/>
    <w:rsid w:val="00276C25"/>
    <w:rsid w:val="00276CF4"/>
    <w:rsid w:val="00276D88"/>
    <w:rsid w:val="002777C6"/>
    <w:rsid w:val="00277DB3"/>
    <w:rsid w:val="002807E4"/>
    <w:rsid w:val="00280DBF"/>
    <w:rsid w:val="00281B1A"/>
    <w:rsid w:val="00281BFE"/>
    <w:rsid w:val="002820F0"/>
    <w:rsid w:val="00282CAF"/>
    <w:rsid w:val="00283532"/>
    <w:rsid w:val="002836C6"/>
    <w:rsid w:val="0028397D"/>
    <w:rsid w:val="00283AEF"/>
    <w:rsid w:val="00283EE5"/>
    <w:rsid w:val="00283F53"/>
    <w:rsid w:val="0028445A"/>
    <w:rsid w:val="00284497"/>
    <w:rsid w:val="002846D4"/>
    <w:rsid w:val="00284E83"/>
    <w:rsid w:val="002850A7"/>
    <w:rsid w:val="0028655F"/>
    <w:rsid w:val="0028661F"/>
    <w:rsid w:val="00286DCB"/>
    <w:rsid w:val="00286FF6"/>
    <w:rsid w:val="002874C5"/>
    <w:rsid w:val="00287867"/>
    <w:rsid w:val="002879E1"/>
    <w:rsid w:val="00287A71"/>
    <w:rsid w:val="00290990"/>
    <w:rsid w:val="0029109D"/>
    <w:rsid w:val="00291273"/>
    <w:rsid w:val="0029134C"/>
    <w:rsid w:val="00292A40"/>
    <w:rsid w:val="00292A5E"/>
    <w:rsid w:val="00292B82"/>
    <w:rsid w:val="0029309E"/>
    <w:rsid w:val="00293E10"/>
    <w:rsid w:val="00294758"/>
    <w:rsid w:val="002959D5"/>
    <w:rsid w:val="00295C2F"/>
    <w:rsid w:val="00295FA6"/>
    <w:rsid w:val="0029645C"/>
    <w:rsid w:val="002965DB"/>
    <w:rsid w:val="00296A1B"/>
    <w:rsid w:val="00296DC0"/>
    <w:rsid w:val="00297134"/>
    <w:rsid w:val="0029718A"/>
    <w:rsid w:val="00297427"/>
    <w:rsid w:val="00297584"/>
    <w:rsid w:val="002976BA"/>
    <w:rsid w:val="00297BE4"/>
    <w:rsid w:val="00297D31"/>
    <w:rsid w:val="002A0954"/>
    <w:rsid w:val="002A173C"/>
    <w:rsid w:val="002A1854"/>
    <w:rsid w:val="002A1A49"/>
    <w:rsid w:val="002A1A78"/>
    <w:rsid w:val="002A1B0C"/>
    <w:rsid w:val="002A24C4"/>
    <w:rsid w:val="002A2533"/>
    <w:rsid w:val="002A2CEA"/>
    <w:rsid w:val="002A2D82"/>
    <w:rsid w:val="002A35FF"/>
    <w:rsid w:val="002A5614"/>
    <w:rsid w:val="002A5875"/>
    <w:rsid w:val="002A5E95"/>
    <w:rsid w:val="002A6361"/>
    <w:rsid w:val="002A6C0E"/>
    <w:rsid w:val="002A7236"/>
    <w:rsid w:val="002A78F3"/>
    <w:rsid w:val="002A7E38"/>
    <w:rsid w:val="002B0127"/>
    <w:rsid w:val="002B0CC4"/>
    <w:rsid w:val="002B103E"/>
    <w:rsid w:val="002B12A5"/>
    <w:rsid w:val="002B1668"/>
    <w:rsid w:val="002B1671"/>
    <w:rsid w:val="002B16B3"/>
    <w:rsid w:val="002B16B9"/>
    <w:rsid w:val="002B16D6"/>
    <w:rsid w:val="002B1B08"/>
    <w:rsid w:val="002B1B0C"/>
    <w:rsid w:val="002B2165"/>
    <w:rsid w:val="002B2485"/>
    <w:rsid w:val="002B2985"/>
    <w:rsid w:val="002B2A44"/>
    <w:rsid w:val="002B308F"/>
    <w:rsid w:val="002B348D"/>
    <w:rsid w:val="002B3863"/>
    <w:rsid w:val="002B3EEF"/>
    <w:rsid w:val="002B3F9A"/>
    <w:rsid w:val="002B42D5"/>
    <w:rsid w:val="002B4A65"/>
    <w:rsid w:val="002B5902"/>
    <w:rsid w:val="002B71F6"/>
    <w:rsid w:val="002B735A"/>
    <w:rsid w:val="002B794E"/>
    <w:rsid w:val="002C022E"/>
    <w:rsid w:val="002C0494"/>
    <w:rsid w:val="002C0B1B"/>
    <w:rsid w:val="002C0C90"/>
    <w:rsid w:val="002C0D6A"/>
    <w:rsid w:val="002C1904"/>
    <w:rsid w:val="002C1F36"/>
    <w:rsid w:val="002C2484"/>
    <w:rsid w:val="002C2B77"/>
    <w:rsid w:val="002C2DD3"/>
    <w:rsid w:val="002C316C"/>
    <w:rsid w:val="002C32D3"/>
    <w:rsid w:val="002C353F"/>
    <w:rsid w:val="002C39F9"/>
    <w:rsid w:val="002C3A03"/>
    <w:rsid w:val="002C3B99"/>
    <w:rsid w:val="002C44B9"/>
    <w:rsid w:val="002C48B8"/>
    <w:rsid w:val="002C4DAB"/>
    <w:rsid w:val="002C5311"/>
    <w:rsid w:val="002C544A"/>
    <w:rsid w:val="002C5478"/>
    <w:rsid w:val="002C5BDC"/>
    <w:rsid w:val="002C5CF1"/>
    <w:rsid w:val="002C6BF4"/>
    <w:rsid w:val="002C6CCB"/>
    <w:rsid w:val="002C6E35"/>
    <w:rsid w:val="002C6EE7"/>
    <w:rsid w:val="002C6EEB"/>
    <w:rsid w:val="002C6F3E"/>
    <w:rsid w:val="002C7B18"/>
    <w:rsid w:val="002D0675"/>
    <w:rsid w:val="002D0FA7"/>
    <w:rsid w:val="002D19F5"/>
    <w:rsid w:val="002D1B21"/>
    <w:rsid w:val="002D1C8D"/>
    <w:rsid w:val="002D2677"/>
    <w:rsid w:val="002D2E24"/>
    <w:rsid w:val="002D2E49"/>
    <w:rsid w:val="002D3184"/>
    <w:rsid w:val="002D377D"/>
    <w:rsid w:val="002D380C"/>
    <w:rsid w:val="002D390F"/>
    <w:rsid w:val="002D41B1"/>
    <w:rsid w:val="002D45A7"/>
    <w:rsid w:val="002D4F29"/>
    <w:rsid w:val="002D51C8"/>
    <w:rsid w:val="002D5670"/>
    <w:rsid w:val="002D5923"/>
    <w:rsid w:val="002D5C87"/>
    <w:rsid w:val="002D5D59"/>
    <w:rsid w:val="002D62C2"/>
    <w:rsid w:val="002E00B2"/>
    <w:rsid w:val="002E02C4"/>
    <w:rsid w:val="002E0AAC"/>
    <w:rsid w:val="002E0C6E"/>
    <w:rsid w:val="002E0CDB"/>
    <w:rsid w:val="002E109B"/>
    <w:rsid w:val="002E1441"/>
    <w:rsid w:val="002E1770"/>
    <w:rsid w:val="002E1898"/>
    <w:rsid w:val="002E21CF"/>
    <w:rsid w:val="002E2628"/>
    <w:rsid w:val="002E2BCA"/>
    <w:rsid w:val="002E3411"/>
    <w:rsid w:val="002E46C4"/>
    <w:rsid w:val="002E4917"/>
    <w:rsid w:val="002E4AFE"/>
    <w:rsid w:val="002E4D40"/>
    <w:rsid w:val="002E5013"/>
    <w:rsid w:val="002E5181"/>
    <w:rsid w:val="002E599D"/>
    <w:rsid w:val="002E5DF8"/>
    <w:rsid w:val="002E6B27"/>
    <w:rsid w:val="002E71EC"/>
    <w:rsid w:val="002E7902"/>
    <w:rsid w:val="002E7961"/>
    <w:rsid w:val="002E7C57"/>
    <w:rsid w:val="002E7C65"/>
    <w:rsid w:val="002E7E9B"/>
    <w:rsid w:val="002F088A"/>
    <w:rsid w:val="002F166E"/>
    <w:rsid w:val="002F270E"/>
    <w:rsid w:val="002F293E"/>
    <w:rsid w:val="002F2CDA"/>
    <w:rsid w:val="002F2D00"/>
    <w:rsid w:val="002F2D19"/>
    <w:rsid w:val="002F3A1A"/>
    <w:rsid w:val="002F3C94"/>
    <w:rsid w:val="002F3E40"/>
    <w:rsid w:val="002F3EEF"/>
    <w:rsid w:val="002F46C8"/>
    <w:rsid w:val="002F4F0F"/>
    <w:rsid w:val="002F5285"/>
    <w:rsid w:val="002F5358"/>
    <w:rsid w:val="002F54B8"/>
    <w:rsid w:val="002F58E4"/>
    <w:rsid w:val="002F5BEE"/>
    <w:rsid w:val="002F6807"/>
    <w:rsid w:val="002F6BBD"/>
    <w:rsid w:val="002F7533"/>
    <w:rsid w:val="002F7952"/>
    <w:rsid w:val="002F7B17"/>
    <w:rsid w:val="003009A7"/>
    <w:rsid w:val="00300D41"/>
    <w:rsid w:val="0030108B"/>
    <w:rsid w:val="003013F6"/>
    <w:rsid w:val="003015BD"/>
    <w:rsid w:val="003018A5"/>
    <w:rsid w:val="00301DA8"/>
    <w:rsid w:val="00302452"/>
    <w:rsid w:val="003026D3"/>
    <w:rsid w:val="003029A3"/>
    <w:rsid w:val="003029AC"/>
    <w:rsid w:val="00302B40"/>
    <w:rsid w:val="00302E0C"/>
    <w:rsid w:val="00303221"/>
    <w:rsid w:val="00303551"/>
    <w:rsid w:val="0030403D"/>
    <w:rsid w:val="003042C4"/>
    <w:rsid w:val="0030464E"/>
    <w:rsid w:val="00304D89"/>
    <w:rsid w:val="00306725"/>
    <w:rsid w:val="0030703E"/>
    <w:rsid w:val="00307BD1"/>
    <w:rsid w:val="00307EEF"/>
    <w:rsid w:val="0031026B"/>
    <w:rsid w:val="003102A5"/>
    <w:rsid w:val="003102F3"/>
    <w:rsid w:val="003104B2"/>
    <w:rsid w:val="00310A71"/>
    <w:rsid w:val="00310D39"/>
    <w:rsid w:val="00311174"/>
    <w:rsid w:val="003114B9"/>
    <w:rsid w:val="00311A1B"/>
    <w:rsid w:val="00311C79"/>
    <w:rsid w:val="00311C7E"/>
    <w:rsid w:val="00311D27"/>
    <w:rsid w:val="003124D4"/>
    <w:rsid w:val="003126F5"/>
    <w:rsid w:val="00312735"/>
    <w:rsid w:val="0031274A"/>
    <w:rsid w:val="003131B6"/>
    <w:rsid w:val="00313208"/>
    <w:rsid w:val="00313234"/>
    <w:rsid w:val="00313ADB"/>
    <w:rsid w:val="00313B77"/>
    <w:rsid w:val="00313CED"/>
    <w:rsid w:val="00313F66"/>
    <w:rsid w:val="00314EC7"/>
    <w:rsid w:val="00314F9A"/>
    <w:rsid w:val="00315456"/>
    <w:rsid w:val="00316447"/>
    <w:rsid w:val="00316BF4"/>
    <w:rsid w:val="00316BF7"/>
    <w:rsid w:val="003171A2"/>
    <w:rsid w:val="003174F5"/>
    <w:rsid w:val="0031795B"/>
    <w:rsid w:val="00317C70"/>
    <w:rsid w:val="00320263"/>
    <w:rsid w:val="003202C0"/>
    <w:rsid w:val="00320485"/>
    <w:rsid w:val="0032102E"/>
    <w:rsid w:val="00321095"/>
    <w:rsid w:val="00321788"/>
    <w:rsid w:val="00321BC6"/>
    <w:rsid w:val="00322752"/>
    <w:rsid w:val="0032295A"/>
    <w:rsid w:val="003229E0"/>
    <w:rsid w:val="00322D4C"/>
    <w:rsid w:val="0032335F"/>
    <w:rsid w:val="00323BC2"/>
    <w:rsid w:val="00323F36"/>
    <w:rsid w:val="0032438B"/>
    <w:rsid w:val="003247E4"/>
    <w:rsid w:val="00324B15"/>
    <w:rsid w:val="00324EF8"/>
    <w:rsid w:val="003257CF"/>
    <w:rsid w:val="003257E9"/>
    <w:rsid w:val="00325DB3"/>
    <w:rsid w:val="00326043"/>
    <w:rsid w:val="00326206"/>
    <w:rsid w:val="00326953"/>
    <w:rsid w:val="00326B77"/>
    <w:rsid w:val="00326C68"/>
    <w:rsid w:val="00326DC5"/>
    <w:rsid w:val="00327161"/>
    <w:rsid w:val="00327391"/>
    <w:rsid w:val="00327897"/>
    <w:rsid w:val="00330336"/>
    <w:rsid w:val="00330795"/>
    <w:rsid w:val="00330E11"/>
    <w:rsid w:val="003313B7"/>
    <w:rsid w:val="0033153A"/>
    <w:rsid w:val="00331F4D"/>
    <w:rsid w:val="003321D1"/>
    <w:rsid w:val="0033262D"/>
    <w:rsid w:val="00332BB3"/>
    <w:rsid w:val="00332BFF"/>
    <w:rsid w:val="00332C05"/>
    <w:rsid w:val="00332C29"/>
    <w:rsid w:val="0033312D"/>
    <w:rsid w:val="00333784"/>
    <w:rsid w:val="003337AE"/>
    <w:rsid w:val="00333F2D"/>
    <w:rsid w:val="0033401C"/>
    <w:rsid w:val="00334078"/>
    <w:rsid w:val="003367F1"/>
    <w:rsid w:val="003368BC"/>
    <w:rsid w:val="00336EC0"/>
    <w:rsid w:val="00336FF1"/>
    <w:rsid w:val="0033726C"/>
    <w:rsid w:val="0033764F"/>
    <w:rsid w:val="00337AAD"/>
    <w:rsid w:val="00337BC0"/>
    <w:rsid w:val="00337CAB"/>
    <w:rsid w:val="00340911"/>
    <w:rsid w:val="00340A9B"/>
    <w:rsid w:val="00340E6E"/>
    <w:rsid w:val="0034143B"/>
    <w:rsid w:val="00341870"/>
    <w:rsid w:val="00341A60"/>
    <w:rsid w:val="00341BD1"/>
    <w:rsid w:val="00341DFD"/>
    <w:rsid w:val="00342ED5"/>
    <w:rsid w:val="00343420"/>
    <w:rsid w:val="003437EF"/>
    <w:rsid w:val="00343B14"/>
    <w:rsid w:val="00343CD5"/>
    <w:rsid w:val="00343E9C"/>
    <w:rsid w:val="00343ED1"/>
    <w:rsid w:val="0034433A"/>
    <w:rsid w:val="00344C70"/>
    <w:rsid w:val="003456C9"/>
    <w:rsid w:val="00345907"/>
    <w:rsid w:val="00345B64"/>
    <w:rsid w:val="00346E82"/>
    <w:rsid w:val="00346EE5"/>
    <w:rsid w:val="00346EF7"/>
    <w:rsid w:val="0034704A"/>
    <w:rsid w:val="003472A8"/>
    <w:rsid w:val="0034732D"/>
    <w:rsid w:val="003473B4"/>
    <w:rsid w:val="00347B53"/>
    <w:rsid w:val="00350331"/>
    <w:rsid w:val="003505E4"/>
    <w:rsid w:val="00351DD8"/>
    <w:rsid w:val="00351FC0"/>
    <w:rsid w:val="003521B5"/>
    <w:rsid w:val="00352206"/>
    <w:rsid w:val="00352490"/>
    <w:rsid w:val="00352724"/>
    <w:rsid w:val="0035287E"/>
    <w:rsid w:val="00352FD4"/>
    <w:rsid w:val="00353B31"/>
    <w:rsid w:val="00353C07"/>
    <w:rsid w:val="00353E51"/>
    <w:rsid w:val="003540E2"/>
    <w:rsid w:val="00354747"/>
    <w:rsid w:val="003548F1"/>
    <w:rsid w:val="00354EF6"/>
    <w:rsid w:val="00354F2E"/>
    <w:rsid w:val="003559F5"/>
    <w:rsid w:val="00356004"/>
    <w:rsid w:val="00356504"/>
    <w:rsid w:val="00356720"/>
    <w:rsid w:val="00356B13"/>
    <w:rsid w:val="00356E2E"/>
    <w:rsid w:val="0035751E"/>
    <w:rsid w:val="00357617"/>
    <w:rsid w:val="003577FC"/>
    <w:rsid w:val="0036037B"/>
    <w:rsid w:val="00360425"/>
    <w:rsid w:val="003608A3"/>
    <w:rsid w:val="003609B9"/>
    <w:rsid w:val="00361045"/>
    <w:rsid w:val="00361771"/>
    <w:rsid w:val="00361C63"/>
    <w:rsid w:val="00362B47"/>
    <w:rsid w:val="00362C18"/>
    <w:rsid w:val="00362EE6"/>
    <w:rsid w:val="00364449"/>
    <w:rsid w:val="00365253"/>
    <w:rsid w:val="003657B5"/>
    <w:rsid w:val="00365D61"/>
    <w:rsid w:val="003661D1"/>
    <w:rsid w:val="00366654"/>
    <w:rsid w:val="00366959"/>
    <w:rsid w:val="00366C2A"/>
    <w:rsid w:val="003670D1"/>
    <w:rsid w:val="003671F3"/>
    <w:rsid w:val="0036774E"/>
    <w:rsid w:val="00367E89"/>
    <w:rsid w:val="0037064D"/>
    <w:rsid w:val="00370676"/>
    <w:rsid w:val="003706B0"/>
    <w:rsid w:val="003706F2"/>
    <w:rsid w:val="00370E7C"/>
    <w:rsid w:val="00372157"/>
    <w:rsid w:val="00372562"/>
    <w:rsid w:val="003726D6"/>
    <w:rsid w:val="00372745"/>
    <w:rsid w:val="00372C8F"/>
    <w:rsid w:val="00372D46"/>
    <w:rsid w:val="00373385"/>
    <w:rsid w:val="0037342E"/>
    <w:rsid w:val="0037394B"/>
    <w:rsid w:val="003765A5"/>
    <w:rsid w:val="003770E9"/>
    <w:rsid w:val="0037753C"/>
    <w:rsid w:val="003778A3"/>
    <w:rsid w:val="00380425"/>
    <w:rsid w:val="00380483"/>
    <w:rsid w:val="003805F7"/>
    <w:rsid w:val="003807C5"/>
    <w:rsid w:val="00380DAD"/>
    <w:rsid w:val="003822A5"/>
    <w:rsid w:val="00382869"/>
    <w:rsid w:val="0038288F"/>
    <w:rsid w:val="003837B1"/>
    <w:rsid w:val="003839A1"/>
    <w:rsid w:val="00383DF9"/>
    <w:rsid w:val="0038415F"/>
    <w:rsid w:val="003845E3"/>
    <w:rsid w:val="00384BC5"/>
    <w:rsid w:val="00384D48"/>
    <w:rsid w:val="00385B49"/>
    <w:rsid w:val="00385B6D"/>
    <w:rsid w:val="00385BAD"/>
    <w:rsid w:val="00385C6A"/>
    <w:rsid w:val="0038649C"/>
    <w:rsid w:val="00386E9B"/>
    <w:rsid w:val="00387287"/>
    <w:rsid w:val="003872F1"/>
    <w:rsid w:val="00387837"/>
    <w:rsid w:val="00387904"/>
    <w:rsid w:val="0038794E"/>
    <w:rsid w:val="003907C2"/>
    <w:rsid w:val="0039080A"/>
    <w:rsid w:val="00390846"/>
    <w:rsid w:val="003908E6"/>
    <w:rsid w:val="00390D9C"/>
    <w:rsid w:val="00391313"/>
    <w:rsid w:val="003913ED"/>
    <w:rsid w:val="00391436"/>
    <w:rsid w:val="003914A7"/>
    <w:rsid w:val="003920F2"/>
    <w:rsid w:val="00392655"/>
    <w:rsid w:val="00392997"/>
    <w:rsid w:val="00392F1C"/>
    <w:rsid w:val="003935DB"/>
    <w:rsid w:val="003939FB"/>
    <w:rsid w:val="0039471C"/>
    <w:rsid w:val="003949CD"/>
    <w:rsid w:val="00394D78"/>
    <w:rsid w:val="00394D9A"/>
    <w:rsid w:val="003951C6"/>
    <w:rsid w:val="003951FF"/>
    <w:rsid w:val="00395838"/>
    <w:rsid w:val="00395C11"/>
    <w:rsid w:val="00395F21"/>
    <w:rsid w:val="003969C7"/>
    <w:rsid w:val="00396F62"/>
    <w:rsid w:val="00397996"/>
    <w:rsid w:val="00397DC3"/>
    <w:rsid w:val="003A046E"/>
    <w:rsid w:val="003A060B"/>
    <w:rsid w:val="003A0F98"/>
    <w:rsid w:val="003A16EB"/>
    <w:rsid w:val="003A1E02"/>
    <w:rsid w:val="003A2097"/>
    <w:rsid w:val="003A215E"/>
    <w:rsid w:val="003A2165"/>
    <w:rsid w:val="003A244D"/>
    <w:rsid w:val="003A3332"/>
    <w:rsid w:val="003A4118"/>
    <w:rsid w:val="003A417F"/>
    <w:rsid w:val="003A498E"/>
    <w:rsid w:val="003A531B"/>
    <w:rsid w:val="003A5641"/>
    <w:rsid w:val="003A5675"/>
    <w:rsid w:val="003A568F"/>
    <w:rsid w:val="003A5AE3"/>
    <w:rsid w:val="003A5D5B"/>
    <w:rsid w:val="003A6021"/>
    <w:rsid w:val="003A6463"/>
    <w:rsid w:val="003A668C"/>
    <w:rsid w:val="003A67B2"/>
    <w:rsid w:val="003A6CF5"/>
    <w:rsid w:val="003A7C6D"/>
    <w:rsid w:val="003B0055"/>
    <w:rsid w:val="003B0177"/>
    <w:rsid w:val="003B045A"/>
    <w:rsid w:val="003B13EE"/>
    <w:rsid w:val="003B158D"/>
    <w:rsid w:val="003B2752"/>
    <w:rsid w:val="003B2A9D"/>
    <w:rsid w:val="003B2E83"/>
    <w:rsid w:val="003B398C"/>
    <w:rsid w:val="003B3DB2"/>
    <w:rsid w:val="003B4852"/>
    <w:rsid w:val="003B4ABC"/>
    <w:rsid w:val="003B4BD0"/>
    <w:rsid w:val="003B4F14"/>
    <w:rsid w:val="003B509D"/>
    <w:rsid w:val="003B5457"/>
    <w:rsid w:val="003B54D4"/>
    <w:rsid w:val="003B57C5"/>
    <w:rsid w:val="003B6056"/>
    <w:rsid w:val="003B6C53"/>
    <w:rsid w:val="003B761F"/>
    <w:rsid w:val="003B7E95"/>
    <w:rsid w:val="003B7EA6"/>
    <w:rsid w:val="003B7F16"/>
    <w:rsid w:val="003C0B4A"/>
    <w:rsid w:val="003C0E08"/>
    <w:rsid w:val="003C10C1"/>
    <w:rsid w:val="003C113E"/>
    <w:rsid w:val="003C1156"/>
    <w:rsid w:val="003C1AF0"/>
    <w:rsid w:val="003C1D2A"/>
    <w:rsid w:val="003C1FAD"/>
    <w:rsid w:val="003C2647"/>
    <w:rsid w:val="003C2773"/>
    <w:rsid w:val="003C35E0"/>
    <w:rsid w:val="003C4138"/>
    <w:rsid w:val="003C4158"/>
    <w:rsid w:val="003C45EB"/>
    <w:rsid w:val="003C4771"/>
    <w:rsid w:val="003C4BCE"/>
    <w:rsid w:val="003C5488"/>
    <w:rsid w:val="003C548B"/>
    <w:rsid w:val="003C610D"/>
    <w:rsid w:val="003C693F"/>
    <w:rsid w:val="003C6B03"/>
    <w:rsid w:val="003C72D4"/>
    <w:rsid w:val="003C7399"/>
    <w:rsid w:val="003C74D7"/>
    <w:rsid w:val="003C79F3"/>
    <w:rsid w:val="003C7A03"/>
    <w:rsid w:val="003D04E2"/>
    <w:rsid w:val="003D0DFA"/>
    <w:rsid w:val="003D129D"/>
    <w:rsid w:val="003D12B2"/>
    <w:rsid w:val="003D151C"/>
    <w:rsid w:val="003D17EF"/>
    <w:rsid w:val="003D180D"/>
    <w:rsid w:val="003D18B3"/>
    <w:rsid w:val="003D1AD1"/>
    <w:rsid w:val="003D20F9"/>
    <w:rsid w:val="003D2542"/>
    <w:rsid w:val="003D28B4"/>
    <w:rsid w:val="003D2CDF"/>
    <w:rsid w:val="003D2F1A"/>
    <w:rsid w:val="003D3752"/>
    <w:rsid w:val="003D3EC9"/>
    <w:rsid w:val="003D3FE0"/>
    <w:rsid w:val="003D4B0E"/>
    <w:rsid w:val="003D4BC5"/>
    <w:rsid w:val="003D4D16"/>
    <w:rsid w:val="003D556E"/>
    <w:rsid w:val="003D674C"/>
    <w:rsid w:val="003D692A"/>
    <w:rsid w:val="003D76B2"/>
    <w:rsid w:val="003D771A"/>
    <w:rsid w:val="003D7FAC"/>
    <w:rsid w:val="003E07E0"/>
    <w:rsid w:val="003E0967"/>
    <w:rsid w:val="003E1267"/>
    <w:rsid w:val="003E1827"/>
    <w:rsid w:val="003E1A15"/>
    <w:rsid w:val="003E1CAA"/>
    <w:rsid w:val="003E2ECC"/>
    <w:rsid w:val="003E3376"/>
    <w:rsid w:val="003E3800"/>
    <w:rsid w:val="003E398D"/>
    <w:rsid w:val="003E3ACB"/>
    <w:rsid w:val="003E3BAF"/>
    <w:rsid w:val="003E4A71"/>
    <w:rsid w:val="003E4E8B"/>
    <w:rsid w:val="003E4ED8"/>
    <w:rsid w:val="003E524E"/>
    <w:rsid w:val="003E5862"/>
    <w:rsid w:val="003E5B35"/>
    <w:rsid w:val="003E5D84"/>
    <w:rsid w:val="003E610F"/>
    <w:rsid w:val="003E6680"/>
    <w:rsid w:val="003E743C"/>
    <w:rsid w:val="003E7539"/>
    <w:rsid w:val="003E773B"/>
    <w:rsid w:val="003F0A39"/>
    <w:rsid w:val="003F0A9F"/>
    <w:rsid w:val="003F0F5D"/>
    <w:rsid w:val="003F140E"/>
    <w:rsid w:val="003F271D"/>
    <w:rsid w:val="003F2ED0"/>
    <w:rsid w:val="003F3047"/>
    <w:rsid w:val="003F3244"/>
    <w:rsid w:val="003F41ED"/>
    <w:rsid w:val="003F432C"/>
    <w:rsid w:val="003F4406"/>
    <w:rsid w:val="003F4967"/>
    <w:rsid w:val="003F4A5D"/>
    <w:rsid w:val="003F50A3"/>
    <w:rsid w:val="003F526B"/>
    <w:rsid w:val="003F61E7"/>
    <w:rsid w:val="003F6268"/>
    <w:rsid w:val="003F62E9"/>
    <w:rsid w:val="003F65F9"/>
    <w:rsid w:val="003F6934"/>
    <w:rsid w:val="003F6B34"/>
    <w:rsid w:val="003F6E76"/>
    <w:rsid w:val="003F6EFC"/>
    <w:rsid w:val="003F6FEB"/>
    <w:rsid w:val="003F71BD"/>
    <w:rsid w:val="003F733E"/>
    <w:rsid w:val="003F747F"/>
    <w:rsid w:val="003F74F7"/>
    <w:rsid w:val="003F76FB"/>
    <w:rsid w:val="003F7930"/>
    <w:rsid w:val="003F7E44"/>
    <w:rsid w:val="00400793"/>
    <w:rsid w:val="00400B94"/>
    <w:rsid w:val="00400D5E"/>
    <w:rsid w:val="00401159"/>
    <w:rsid w:val="004012CA"/>
    <w:rsid w:val="00401C31"/>
    <w:rsid w:val="00402A45"/>
    <w:rsid w:val="0040357E"/>
    <w:rsid w:val="0040397D"/>
    <w:rsid w:val="00403A0F"/>
    <w:rsid w:val="00403FB4"/>
    <w:rsid w:val="00404552"/>
    <w:rsid w:val="004048D7"/>
    <w:rsid w:val="004050CD"/>
    <w:rsid w:val="0040518E"/>
    <w:rsid w:val="00405530"/>
    <w:rsid w:val="00405705"/>
    <w:rsid w:val="004057B6"/>
    <w:rsid w:val="00405D83"/>
    <w:rsid w:val="0040610D"/>
    <w:rsid w:val="0040688D"/>
    <w:rsid w:val="00406EF1"/>
    <w:rsid w:val="00407292"/>
    <w:rsid w:val="00407FC1"/>
    <w:rsid w:val="0041042F"/>
    <w:rsid w:val="0041128B"/>
    <w:rsid w:val="004113FB"/>
    <w:rsid w:val="0041148C"/>
    <w:rsid w:val="0041175E"/>
    <w:rsid w:val="004117B9"/>
    <w:rsid w:val="00411A44"/>
    <w:rsid w:val="00412C97"/>
    <w:rsid w:val="00412E76"/>
    <w:rsid w:val="004135D7"/>
    <w:rsid w:val="00413B67"/>
    <w:rsid w:val="00413D10"/>
    <w:rsid w:val="0041424D"/>
    <w:rsid w:val="004146D0"/>
    <w:rsid w:val="004147AB"/>
    <w:rsid w:val="00414B8C"/>
    <w:rsid w:val="00414E36"/>
    <w:rsid w:val="00415A87"/>
    <w:rsid w:val="00416904"/>
    <w:rsid w:val="00416993"/>
    <w:rsid w:val="00416A5E"/>
    <w:rsid w:val="00416CCC"/>
    <w:rsid w:val="00416E78"/>
    <w:rsid w:val="00416FBA"/>
    <w:rsid w:val="00417641"/>
    <w:rsid w:val="00417768"/>
    <w:rsid w:val="00417DF8"/>
    <w:rsid w:val="00420A4E"/>
    <w:rsid w:val="00420C3C"/>
    <w:rsid w:val="00420F41"/>
    <w:rsid w:val="0042220B"/>
    <w:rsid w:val="0042222F"/>
    <w:rsid w:val="00422318"/>
    <w:rsid w:val="00422716"/>
    <w:rsid w:val="004228C4"/>
    <w:rsid w:val="00422D5C"/>
    <w:rsid w:val="004231F5"/>
    <w:rsid w:val="0042335B"/>
    <w:rsid w:val="00423847"/>
    <w:rsid w:val="00423FD8"/>
    <w:rsid w:val="00424B11"/>
    <w:rsid w:val="004256B5"/>
    <w:rsid w:val="00425A53"/>
    <w:rsid w:val="004264BC"/>
    <w:rsid w:val="00427771"/>
    <w:rsid w:val="00427C4F"/>
    <w:rsid w:val="00427D3B"/>
    <w:rsid w:val="00427F40"/>
    <w:rsid w:val="0043016D"/>
    <w:rsid w:val="00430193"/>
    <w:rsid w:val="00430644"/>
    <w:rsid w:val="00430865"/>
    <w:rsid w:val="00430879"/>
    <w:rsid w:val="004309E1"/>
    <w:rsid w:val="00430BDC"/>
    <w:rsid w:val="0043132B"/>
    <w:rsid w:val="00431740"/>
    <w:rsid w:val="00431A0C"/>
    <w:rsid w:val="00431BC7"/>
    <w:rsid w:val="00431CDD"/>
    <w:rsid w:val="00432468"/>
    <w:rsid w:val="00432619"/>
    <w:rsid w:val="0043267A"/>
    <w:rsid w:val="00432CE2"/>
    <w:rsid w:val="0043301D"/>
    <w:rsid w:val="004330A8"/>
    <w:rsid w:val="00433384"/>
    <w:rsid w:val="0043348B"/>
    <w:rsid w:val="00433974"/>
    <w:rsid w:val="004340A0"/>
    <w:rsid w:val="00434DD2"/>
    <w:rsid w:val="00434FEA"/>
    <w:rsid w:val="0043535D"/>
    <w:rsid w:val="00435763"/>
    <w:rsid w:val="00436111"/>
    <w:rsid w:val="004361A3"/>
    <w:rsid w:val="00436A0F"/>
    <w:rsid w:val="0043747E"/>
    <w:rsid w:val="004374C9"/>
    <w:rsid w:val="0043771A"/>
    <w:rsid w:val="00437C10"/>
    <w:rsid w:val="00437C70"/>
    <w:rsid w:val="00437EAD"/>
    <w:rsid w:val="004403BC"/>
    <w:rsid w:val="00440EC5"/>
    <w:rsid w:val="0044180B"/>
    <w:rsid w:val="004421F4"/>
    <w:rsid w:val="0044228F"/>
    <w:rsid w:val="004422AF"/>
    <w:rsid w:val="00442CF5"/>
    <w:rsid w:val="00442FC6"/>
    <w:rsid w:val="00443BA5"/>
    <w:rsid w:val="004441AC"/>
    <w:rsid w:val="00444678"/>
    <w:rsid w:val="00444A71"/>
    <w:rsid w:val="00444D38"/>
    <w:rsid w:val="00445A71"/>
    <w:rsid w:val="00445DF3"/>
    <w:rsid w:val="00446376"/>
    <w:rsid w:val="00446418"/>
    <w:rsid w:val="00446425"/>
    <w:rsid w:val="00447911"/>
    <w:rsid w:val="00447BF0"/>
    <w:rsid w:val="004501DD"/>
    <w:rsid w:val="00450502"/>
    <w:rsid w:val="00450A87"/>
    <w:rsid w:val="004510D5"/>
    <w:rsid w:val="0045113B"/>
    <w:rsid w:val="004515EA"/>
    <w:rsid w:val="00451A03"/>
    <w:rsid w:val="00452196"/>
    <w:rsid w:val="00452475"/>
    <w:rsid w:val="0045281C"/>
    <w:rsid w:val="00452D02"/>
    <w:rsid w:val="00452D3C"/>
    <w:rsid w:val="00452E06"/>
    <w:rsid w:val="0045355B"/>
    <w:rsid w:val="00453651"/>
    <w:rsid w:val="004552FF"/>
    <w:rsid w:val="0045534F"/>
    <w:rsid w:val="00455CC7"/>
    <w:rsid w:val="004562D3"/>
    <w:rsid w:val="004567AE"/>
    <w:rsid w:val="00457287"/>
    <w:rsid w:val="00457780"/>
    <w:rsid w:val="00457B88"/>
    <w:rsid w:val="00457BBB"/>
    <w:rsid w:val="00457D17"/>
    <w:rsid w:val="00457FCB"/>
    <w:rsid w:val="004608F2"/>
    <w:rsid w:val="00460DA7"/>
    <w:rsid w:val="00461C60"/>
    <w:rsid w:val="00461D93"/>
    <w:rsid w:val="004625CD"/>
    <w:rsid w:val="00463596"/>
    <w:rsid w:val="004638B8"/>
    <w:rsid w:val="00463B21"/>
    <w:rsid w:val="00463F50"/>
    <w:rsid w:val="004642A9"/>
    <w:rsid w:val="0046471A"/>
    <w:rsid w:val="00464772"/>
    <w:rsid w:val="00464C3D"/>
    <w:rsid w:val="00464DD2"/>
    <w:rsid w:val="004653A3"/>
    <w:rsid w:val="004653F5"/>
    <w:rsid w:val="00465574"/>
    <w:rsid w:val="00465B94"/>
    <w:rsid w:val="00466C6B"/>
    <w:rsid w:val="00466EC7"/>
    <w:rsid w:val="0046720C"/>
    <w:rsid w:val="00467666"/>
    <w:rsid w:val="00467ADD"/>
    <w:rsid w:val="00470506"/>
    <w:rsid w:val="004708BF"/>
    <w:rsid w:val="0047121A"/>
    <w:rsid w:val="004713CA"/>
    <w:rsid w:val="004713FA"/>
    <w:rsid w:val="004736F3"/>
    <w:rsid w:val="004740DE"/>
    <w:rsid w:val="00474213"/>
    <w:rsid w:val="004747AC"/>
    <w:rsid w:val="00474FF6"/>
    <w:rsid w:val="00475810"/>
    <w:rsid w:val="00475EE9"/>
    <w:rsid w:val="00476346"/>
    <w:rsid w:val="004764C8"/>
    <w:rsid w:val="00476D17"/>
    <w:rsid w:val="00477036"/>
    <w:rsid w:val="00477166"/>
    <w:rsid w:val="004779D9"/>
    <w:rsid w:val="00480073"/>
    <w:rsid w:val="004802E1"/>
    <w:rsid w:val="00480C5F"/>
    <w:rsid w:val="00481179"/>
    <w:rsid w:val="0048177D"/>
    <w:rsid w:val="00481C4E"/>
    <w:rsid w:val="004824A3"/>
    <w:rsid w:val="004825FD"/>
    <w:rsid w:val="00482D63"/>
    <w:rsid w:val="00482F40"/>
    <w:rsid w:val="004831D0"/>
    <w:rsid w:val="0048340A"/>
    <w:rsid w:val="004838F6"/>
    <w:rsid w:val="00483DA5"/>
    <w:rsid w:val="004840DB"/>
    <w:rsid w:val="00484368"/>
    <w:rsid w:val="00484E60"/>
    <w:rsid w:val="00484EA5"/>
    <w:rsid w:val="00485986"/>
    <w:rsid w:val="00485A53"/>
    <w:rsid w:val="00485B55"/>
    <w:rsid w:val="00486E51"/>
    <w:rsid w:val="0048733D"/>
    <w:rsid w:val="00487794"/>
    <w:rsid w:val="0048796F"/>
    <w:rsid w:val="00487ABB"/>
    <w:rsid w:val="00490292"/>
    <w:rsid w:val="00490368"/>
    <w:rsid w:val="00490441"/>
    <w:rsid w:val="00490D8E"/>
    <w:rsid w:val="00490FBB"/>
    <w:rsid w:val="00490FE5"/>
    <w:rsid w:val="00491152"/>
    <w:rsid w:val="0049134D"/>
    <w:rsid w:val="004917D2"/>
    <w:rsid w:val="004920C6"/>
    <w:rsid w:val="0049448A"/>
    <w:rsid w:val="00494F45"/>
    <w:rsid w:val="00495D58"/>
    <w:rsid w:val="00496017"/>
    <w:rsid w:val="004964CA"/>
    <w:rsid w:val="004969A5"/>
    <w:rsid w:val="00496E7D"/>
    <w:rsid w:val="004970AC"/>
    <w:rsid w:val="00497449"/>
    <w:rsid w:val="0049796A"/>
    <w:rsid w:val="00497C10"/>
    <w:rsid w:val="004A02DC"/>
    <w:rsid w:val="004A035A"/>
    <w:rsid w:val="004A0421"/>
    <w:rsid w:val="004A05BC"/>
    <w:rsid w:val="004A07CB"/>
    <w:rsid w:val="004A0FFE"/>
    <w:rsid w:val="004A102D"/>
    <w:rsid w:val="004A19A7"/>
    <w:rsid w:val="004A221A"/>
    <w:rsid w:val="004A230B"/>
    <w:rsid w:val="004A2506"/>
    <w:rsid w:val="004A253B"/>
    <w:rsid w:val="004A2A12"/>
    <w:rsid w:val="004A2A64"/>
    <w:rsid w:val="004A3462"/>
    <w:rsid w:val="004A35AA"/>
    <w:rsid w:val="004A3B22"/>
    <w:rsid w:val="004A4DA5"/>
    <w:rsid w:val="004A55DE"/>
    <w:rsid w:val="004A61F0"/>
    <w:rsid w:val="004A6338"/>
    <w:rsid w:val="004A74CB"/>
    <w:rsid w:val="004A77C2"/>
    <w:rsid w:val="004B0F62"/>
    <w:rsid w:val="004B14BA"/>
    <w:rsid w:val="004B15D0"/>
    <w:rsid w:val="004B18FD"/>
    <w:rsid w:val="004B1AD1"/>
    <w:rsid w:val="004B1C96"/>
    <w:rsid w:val="004B1D8D"/>
    <w:rsid w:val="004B214C"/>
    <w:rsid w:val="004B24CF"/>
    <w:rsid w:val="004B256F"/>
    <w:rsid w:val="004B341D"/>
    <w:rsid w:val="004B3431"/>
    <w:rsid w:val="004B3E87"/>
    <w:rsid w:val="004B41ED"/>
    <w:rsid w:val="004B42DA"/>
    <w:rsid w:val="004B4449"/>
    <w:rsid w:val="004B4D89"/>
    <w:rsid w:val="004B5192"/>
    <w:rsid w:val="004B52D2"/>
    <w:rsid w:val="004B5BA6"/>
    <w:rsid w:val="004B6125"/>
    <w:rsid w:val="004B61A7"/>
    <w:rsid w:val="004B6600"/>
    <w:rsid w:val="004B69B8"/>
    <w:rsid w:val="004B6AB2"/>
    <w:rsid w:val="004B724B"/>
    <w:rsid w:val="004B7BB6"/>
    <w:rsid w:val="004B7BE6"/>
    <w:rsid w:val="004B7BF9"/>
    <w:rsid w:val="004B7C63"/>
    <w:rsid w:val="004B7CEF"/>
    <w:rsid w:val="004B7E98"/>
    <w:rsid w:val="004B7EDA"/>
    <w:rsid w:val="004C15EE"/>
    <w:rsid w:val="004C1AFB"/>
    <w:rsid w:val="004C21BD"/>
    <w:rsid w:val="004C2BBF"/>
    <w:rsid w:val="004C2BE3"/>
    <w:rsid w:val="004C2C5E"/>
    <w:rsid w:val="004C38F7"/>
    <w:rsid w:val="004C3E87"/>
    <w:rsid w:val="004C4736"/>
    <w:rsid w:val="004C5165"/>
    <w:rsid w:val="004C5467"/>
    <w:rsid w:val="004C5814"/>
    <w:rsid w:val="004C58D7"/>
    <w:rsid w:val="004C6202"/>
    <w:rsid w:val="004C684F"/>
    <w:rsid w:val="004C719C"/>
    <w:rsid w:val="004C734F"/>
    <w:rsid w:val="004C7458"/>
    <w:rsid w:val="004C7B80"/>
    <w:rsid w:val="004D0113"/>
    <w:rsid w:val="004D0D74"/>
    <w:rsid w:val="004D0E20"/>
    <w:rsid w:val="004D10C4"/>
    <w:rsid w:val="004D1BC1"/>
    <w:rsid w:val="004D2501"/>
    <w:rsid w:val="004D2793"/>
    <w:rsid w:val="004D29A8"/>
    <w:rsid w:val="004D2FDE"/>
    <w:rsid w:val="004D3050"/>
    <w:rsid w:val="004D3162"/>
    <w:rsid w:val="004D33DA"/>
    <w:rsid w:val="004D3FBD"/>
    <w:rsid w:val="004D43CB"/>
    <w:rsid w:val="004D4F91"/>
    <w:rsid w:val="004D5203"/>
    <w:rsid w:val="004D5625"/>
    <w:rsid w:val="004D5951"/>
    <w:rsid w:val="004D5D60"/>
    <w:rsid w:val="004D6261"/>
    <w:rsid w:val="004D6A9A"/>
    <w:rsid w:val="004D6C71"/>
    <w:rsid w:val="004D6ECC"/>
    <w:rsid w:val="004D75A6"/>
    <w:rsid w:val="004D7924"/>
    <w:rsid w:val="004D7CB5"/>
    <w:rsid w:val="004E0020"/>
    <w:rsid w:val="004E04AE"/>
    <w:rsid w:val="004E050A"/>
    <w:rsid w:val="004E0B02"/>
    <w:rsid w:val="004E16A7"/>
    <w:rsid w:val="004E18CD"/>
    <w:rsid w:val="004E222F"/>
    <w:rsid w:val="004E24F7"/>
    <w:rsid w:val="004E2AE6"/>
    <w:rsid w:val="004E2B93"/>
    <w:rsid w:val="004E2CBB"/>
    <w:rsid w:val="004E2D55"/>
    <w:rsid w:val="004E2E83"/>
    <w:rsid w:val="004E3478"/>
    <w:rsid w:val="004E3693"/>
    <w:rsid w:val="004E39EB"/>
    <w:rsid w:val="004E3ABF"/>
    <w:rsid w:val="004E3DD1"/>
    <w:rsid w:val="004E3F09"/>
    <w:rsid w:val="004E3F74"/>
    <w:rsid w:val="004E3FF2"/>
    <w:rsid w:val="004E45EC"/>
    <w:rsid w:val="004E4A12"/>
    <w:rsid w:val="004E4E04"/>
    <w:rsid w:val="004E4EC9"/>
    <w:rsid w:val="004E56EA"/>
    <w:rsid w:val="004E56FA"/>
    <w:rsid w:val="004E5C78"/>
    <w:rsid w:val="004E5CD6"/>
    <w:rsid w:val="004E6697"/>
    <w:rsid w:val="004E6EFE"/>
    <w:rsid w:val="004E7928"/>
    <w:rsid w:val="004E79DB"/>
    <w:rsid w:val="004F043D"/>
    <w:rsid w:val="004F0915"/>
    <w:rsid w:val="004F0C8B"/>
    <w:rsid w:val="004F2C2A"/>
    <w:rsid w:val="004F3071"/>
    <w:rsid w:val="004F3405"/>
    <w:rsid w:val="004F3706"/>
    <w:rsid w:val="004F428E"/>
    <w:rsid w:val="004F4602"/>
    <w:rsid w:val="004F489C"/>
    <w:rsid w:val="004F48D7"/>
    <w:rsid w:val="004F4BFF"/>
    <w:rsid w:val="004F5024"/>
    <w:rsid w:val="004F5B47"/>
    <w:rsid w:val="004F5BC1"/>
    <w:rsid w:val="004F654B"/>
    <w:rsid w:val="004F6858"/>
    <w:rsid w:val="004F6DF4"/>
    <w:rsid w:val="004F6FD1"/>
    <w:rsid w:val="004F757E"/>
    <w:rsid w:val="004F7A44"/>
    <w:rsid w:val="004F7B16"/>
    <w:rsid w:val="00500022"/>
    <w:rsid w:val="00500969"/>
    <w:rsid w:val="0050191D"/>
    <w:rsid w:val="005022A1"/>
    <w:rsid w:val="0050312C"/>
    <w:rsid w:val="0050331C"/>
    <w:rsid w:val="00503389"/>
    <w:rsid w:val="005038A3"/>
    <w:rsid w:val="005040C9"/>
    <w:rsid w:val="0050471F"/>
    <w:rsid w:val="0050479D"/>
    <w:rsid w:val="00504A46"/>
    <w:rsid w:val="00504C0C"/>
    <w:rsid w:val="00504FFE"/>
    <w:rsid w:val="005054BC"/>
    <w:rsid w:val="00505609"/>
    <w:rsid w:val="005057A6"/>
    <w:rsid w:val="005057F1"/>
    <w:rsid w:val="00506470"/>
    <w:rsid w:val="00506DB9"/>
    <w:rsid w:val="00506F38"/>
    <w:rsid w:val="0050774B"/>
    <w:rsid w:val="005078EE"/>
    <w:rsid w:val="00507B08"/>
    <w:rsid w:val="0050FB8E"/>
    <w:rsid w:val="0051030C"/>
    <w:rsid w:val="005112BE"/>
    <w:rsid w:val="00511A0B"/>
    <w:rsid w:val="00511E16"/>
    <w:rsid w:val="00512220"/>
    <w:rsid w:val="00512A79"/>
    <w:rsid w:val="00512C33"/>
    <w:rsid w:val="00512EDF"/>
    <w:rsid w:val="00512F7D"/>
    <w:rsid w:val="00513052"/>
    <w:rsid w:val="0051321C"/>
    <w:rsid w:val="00513E84"/>
    <w:rsid w:val="0051488E"/>
    <w:rsid w:val="00514F5D"/>
    <w:rsid w:val="0051574F"/>
    <w:rsid w:val="00515A44"/>
    <w:rsid w:val="00515E3F"/>
    <w:rsid w:val="00515FF9"/>
    <w:rsid w:val="00516370"/>
    <w:rsid w:val="005170B4"/>
    <w:rsid w:val="0051726D"/>
    <w:rsid w:val="00517671"/>
    <w:rsid w:val="00517D04"/>
    <w:rsid w:val="0052022E"/>
    <w:rsid w:val="00520394"/>
    <w:rsid w:val="0052130C"/>
    <w:rsid w:val="00521843"/>
    <w:rsid w:val="005218CC"/>
    <w:rsid w:val="00522497"/>
    <w:rsid w:val="005233CF"/>
    <w:rsid w:val="00523D41"/>
    <w:rsid w:val="00524764"/>
    <w:rsid w:val="00524815"/>
    <w:rsid w:val="00524A02"/>
    <w:rsid w:val="00524CF8"/>
    <w:rsid w:val="00524F80"/>
    <w:rsid w:val="005255FC"/>
    <w:rsid w:val="005260BC"/>
    <w:rsid w:val="00526260"/>
    <w:rsid w:val="0052736C"/>
    <w:rsid w:val="0053015A"/>
    <w:rsid w:val="0053035F"/>
    <w:rsid w:val="005304F2"/>
    <w:rsid w:val="0053064A"/>
    <w:rsid w:val="00530A55"/>
    <w:rsid w:val="00530EFB"/>
    <w:rsid w:val="00531721"/>
    <w:rsid w:val="00531813"/>
    <w:rsid w:val="0053184B"/>
    <w:rsid w:val="00531850"/>
    <w:rsid w:val="005323C4"/>
    <w:rsid w:val="00532718"/>
    <w:rsid w:val="00532782"/>
    <w:rsid w:val="00533149"/>
    <w:rsid w:val="00533646"/>
    <w:rsid w:val="00533918"/>
    <w:rsid w:val="00533A70"/>
    <w:rsid w:val="00533C91"/>
    <w:rsid w:val="00533CD4"/>
    <w:rsid w:val="00533DAB"/>
    <w:rsid w:val="00533F11"/>
    <w:rsid w:val="00534188"/>
    <w:rsid w:val="005342C5"/>
    <w:rsid w:val="005342DE"/>
    <w:rsid w:val="005345AF"/>
    <w:rsid w:val="00534914"/>
    <w:rsid w:val="00534D4E"/>
    <w:rsid w:val="00534F85"/>
    <w:rsid w:val="00535208"/>
    <w:rsid w:val="00535538"/>
    <w:rsid w:val="005370C9"/>
    <w:rsid w:val="0053741D"/>
    <w:rsid w:val="00537474"/>
    <w:rsid w:val="00537A85"/>
    <w:rsid w:val="00537C2F"/>
    <w:rsid w:val="00540750"/>
    <w:rsid w:val="005412BB"/>
    <w:rsid w:val="00541352"/>
    <w:rsid w:val="005423B7"/>
    <w:rsid w:val="00542CB4"/>
    <w:rsid w:val="00542CDD"/>
    <w:rsid w:val="0054307B"/>
    <w:rsid w:val="00543234"/>
    <w:rsid w:val="00543586"/>
    <w:rsid w:val="005436D3"/>
    <w:rsid w:val="00544961"/>
    <w:rsid w:val="00544B8E"/>
    <w:rsid w:val="00544E78"/>
    <w:rsid w:val="00545054"/>
    <w:rsid w:val="00545F05"/>
    <w:rsid w:val="005467C0"/>
    <w:rsid w:val="00546F33"/>
    <w:rsid w:val="00546F54"/>
    <w:rsid w:val="00547C2F"/>
    <w:rsid w:val="00547DF2"/>
    <w:rsid w:val="00547E79"/>
    <w:rsid w:val="00550845"/>
    <w:rsid w:val="005509BD"/>
    <w:rsid w:val="00550CF0"/>
    <w:rsid w:val="00551081"/>
    <w:rsid w:val="0055113A"/>
    <w:rsid w:val="00551164"/>
    <w:rsid w:val="005513F9"/>
    <w:rsid w:val="00551461"/>
    <w:rsid w:val="00551471"/>
    <w:rsid w:val="00551672"/>
    <w:rsid w:val="00551896"/>
    <w:rsid w:val="0055191A"/>
    <w:rsid w:val="0055201E"/>
    <w:rsid w:val="005521CE"/>
    <w:rsid w:val="00552319"/>
    <w:rsid w:val="00552363"/>
    <w:rsid w:val="005523CB"/>
    <w:rsid w:val="00552923"/>
    <w:rsid w:val="00552B1E"/>
    <w:rsid w:val="00552BD1"/>
    <w:rsid w:val="00552ECB"/>
    <w:rsid w:val="005532E0"/>
    <w:rsid w:val="00553FE5"/>
    <w:rsid w:val="0055441E"/>
    <w:rsid w:val="005546DE"/>
    <w:rsid w:val="005552BC"/>
    <w:rsid w:val="00556131"/>
    <w:rsid w:val="0055625A"/>
    <w:rsid w:val="0055629B"/>
    <w:rsid w:val="005567D5"/>
    <w:rsid w:val="005568D5"/>
    <w:rsid w:val="00556C5E"/>
    <w:rsid w:val="00557891"/>
    <w:rsid w:val="00557D90"/>
    <w:rsid w:val="00560064"/>
    <w:rsid w:val="0056025D"/>
    <w:rsid w:val="00560D16"/>
    <w:rsid w:val="00561084"/>
    <w:rsid w:val="00561115"/>
    <w:rsid w:val="00561224"/>
    <w:rsid w:val="00561510"/>
    <w:rsid w:val="005616FC"/>
    <w:rsid w:val="00561CCF"/>
    <w:rsid w:val="0056254F"/>
    <w:rsid w:val="005626EE"/>
    <w:rsid w:val="00563060"/>
    <w:rsid w:val="00563112"/>
    <w:rsid w:val="00563386"/>
    <w:rsid w:val="0056340E"/>
    <w:rsid w:val="0056367C"/>
    <w:rsid w:val="00563776"/>
    <w:rsid w:val="005637FC"/>
    <w:rsid w:val="00565792"/>
    <w:rsid w:val="00565945"/>
    <w:rsid w:val="00565A03"/>
    <w:rsid w:val="00565BE2"/>
    <w:rsid w:val="00566107"/>
    <w:rsid w:val="005663A0"/>
    <w:rsid w:val="0056683B"/>
    <w:rsid w:val="00566B27"/>
    <w:rsid w:val="0056710C"/>
    <w:rsid w:val="0056715B"/>
    <w:rsid w:val="005672AE"/>
    <w:rsid w:val="005677D4"/>
    <w:rsid w:val="00567B99"/>
    <w:rsid w:val="00567BBD"/>
    <w:rsid w:val="005704B5"/>
    <w:rsid w:val="00570528"/>
    <w:rsid w:val="00570998"/>
    <w:rsid w:val="00571213"/>
    <w:rsid w:val="005716BD"/>
    <w:rsid w:val="005719B9"/>
    <w:rsid w:val="00571C40"/>
    <w:rsid w:val="00571CF7"/>
    <w:rsid w:val="00572668"/>
    <w:rsid w:val="00572C16"/>
    <w:rsid w:val="00573630"/>
    <w:rsid w:val="005738CB"/>
    <w:rsid w:val="00573A33"/>
    <w:rsid w:val="00573F10"/>
    <w:rsid w:val="00574472"/>
    <w:rsid w:val="00574575"/>
    <w:rsid w:val="00574693"/>
    <w:rsid w:val="005749D9"/>
    <w:rsid w:val="00574AD5"/>
    <w:rsid w:val="005754F3"/>
    <w:rsid w:val="00575604"/>
    <w:rsid w:val="00576409"/>
    <w:rsid w:val="005768EB"/>
    <w:rsid w:val="005769F0"/>
    <w:rsid w:val="00576AAC"/>
    <w:rsid w:val="00576E31"/>
    <w:rsid w:val="00576E95"/>
    <w:rsid w:val="005771DC"/>
    <w:rsid w:val="005779E2"/>
    <w:rsid w:val="0058095F"/>
    <w:rsid w:val="00580D60"/>
    <w:rsid w:val="00580DA9"/>
    <w:rsid w:val="00580F83"/>
    <w:rsid w:val="005810E4"/>
    <w:rsid w:val="00581700"/>
    <w:rsid w:val="005817D6"/>
    <w:rsid w:val="00581A43"/>
    <w:rsid w:val="00581DB6"/>
    <w:rsid w:val="0058296E"/>
    <w:rsid w:val="00582F9E"/>
    <w:rsid w:val="00582FFC"/>
    <w:rsid w:val="0058390A"/>
    <w:rsid w:val="005840DB"/>
    <w:rsid w:val="0058461C"/>
    <w:rsid w:val="00584755"/>
    <w:rsid w:val="005848F3"/>
    <w:rsid w:val="00584D01"/>
    <w:rsid w:val="00584F57"/>
    <w:rsid w:val="0058507B"/>
    <w:rsid w:val="00585284"/>
    <w:rsid w:val="00585618"/>
    <w:rsid w:val="005861C8"/>
    <w:rsid w:val="005871E9"/>
    <w:rsid w:val="00587284"/>
    <w:rsid w:val="005876F2"/>
    <w:rsid w:val="00587971"/>
    <w:rsid w:val="00587A8B"/>
    <w:rsid w:val="00587DC2"/>
    <w:rsid w:val="00590B44"/>
    <w:rsid w:val="00590C66"/>
    <w:rsid w:val="00591520"/>
    <w:rsid w:val="00591804"/>
    <w:rsid w:val="00591AF5"/>
    <w:rsid w:val="00591F0F"/>
    <w:rsid w:val="00591F94"/>
    <w:rsid w:val="00592448"/>
    <w:rsid w:val="0059260A"/>
    <w:rsid w:val="00592719"/>
    <w:rsid w:val="00592D98"/>
    <w:rsid w:val="0059381A"/>
    <w:rsid w:val="005946B8"/>
    <w:rsid w:val="005952A1"/>
    <w:rsid w:val="005955D3"/>
    <w:rsid w:val="00595B82"/>
    <w:rsid w:val="00596186"/>
    <w:rsid w:val="00596636"/>
    <w:rsid w:val="00596976"/>
    <w:rsid w:val="00596AAC"/>
    <w:rsid w:val="00596BA5"/>
    <w:rsid w:val="005970F2"/>
    <w:rsid w:val="00597214"/>
    <w:rsid w:val="0059728D"/>
    <w:rsid w:val="005A0C1B"/>
    <w:rsid w:val="005A0C40"/>
    <w:rsid w:val="005A0E0B"/>
    <w:rsid w:val="005A0FAF"/>
    <w:rsid w:val="005A123F"/>
    <w:rsid w:val="005A1AB2"/>
    <w:rsid w:val="005A2036"/>
    <w:rsid w:val="005A2F5A"/>
    <w:rsid w:val="005A3F8C"/>
    <w:rsid w:val="005A4D64"/>
    <w:rsid w:val="005A53F5"/>
    <w:rsid w:val="005A56D4"/>
    <w:rsid w:val="005A61C5"/>
    <w:rsid w:val="005A62AB"/>
    <w:rsid w:val="005A64FF"/>
    <w:rsid w:val="005A67F2"/>
    <w:rsid w:val="005A687F"/>
    <w:rsid w:val="005A6C7B"/>
    <w:rsid w:val="005A6FA2"/>
    <w:rsid w:val="005A7010"/>
    <w:rsid w:val="005A78A1"/>
    <w:rsid w:val="005A7E87"/>
    <w:rsid w:val="005B0697"/>
    <w:rsid w:val="005B071F"/>
    <w:rsid w:val="005B10B8"/>
    <w:rsid w:val="005B10F4"/>
    <w:rsid w:val="005B1262"/>
    <w:rsid w:val="005B12C0"/>
    <w:rsid w:val="005B16D9"/>
    <w:rsid w:val="005B1BF2"/>
    <w:rsid w:val="005B1F28"/>
    <w:rsid w:val="005B38E6"/>
    <w:rsid w:val="005B3C64"/>
    <w:rsid w:val="005B40B7"/>
    <w:rsid w:val="005B42A6"/>
    <w:rsid w:val="005B43A5"/>
    <w:rsid w:val="005B4695"/>
    <w:rsid w:val="005B478A"/>
    <w:rsid w:val="005B4813"/>
    <w:rsid w:val="005B4BA9"/>
    <w:rsid w:val="005B4FA7"/>
    <w:rsid w:val="005B51D1"/>
    <w:rsid w:val="005B5828"/>
    <w:rsid w:val="005B592B"/>
    <w:rsid w:val="005B5998"/>
    <w:rsid w:val="005B5F8F"/>
    <w:rsid w:val="005B6797"/>
    <w:rsid w:val="005B715B"/>
    <w:rsid w:val="005B74A0"/>
    <w:rsid w:val="005C0019"/>
    <w:rsid w:val="005C001D"/>
    <w:rsid w:val="005C02D4"/>
    <w:rsid w:val="005C05A6"/>
    <w:rsid w:val="005C13F7"/>
    <w:rsid w:val="005C19A0"/>
    <w:rsid w:val="005C1E1F"/>
    <w:rsid w:val="005C1FC6"/>
    <w:rsid w:val="005C20D1"/>
    <w:rsid w:val="005C2C7E"/>
    <w:rsid w:val="005C2CF8"/>
    <w:rsid w:val="005C2D87"/>
    <w:rsid w:val="005C30DE"/>
    <w:rsid w:val="005C3F92"/>
    <w:rsid w:val="005C436F"/>
    <w:rsid w:val="005C469A"/>
    <w:rsid w:val="005C47BA"/>
    <w:rsid w:val="005C4A1A"/>
    <w:rsid w:val="005C4A8F"/>
    <w:rsid w:val="005C6B75"/>
    <w:rsid w:val="005C72D5"/>
    <w:rsid w:val="005C7D06"/>
    <w:rsid w:val="005D075F"/>
    <w:rsid w:val="005D0E80"/>
    <w:rsid w:val="005D0E97"/>
    <w:rsid w:val="005D0FDB"/>
    <w:rsid w:val="005D1311"/>
    <w:rsid w:val="005D154F"/>
    <w:rsid w:val="005D1C6B"/>
    <w:rsid w:val="005D2393"/>
    <w:rsid w:val="005D2C55"/>
    <w:rsid w:val="005D33D5"/>
    <w:rsid w:val="005D358D"/>
    <w:rsid w:val="005D386A"/>
    <w:rsid w:val="005D4058"/>
    <w:rsid w:val="005D4644"/>
    <w:rsid w:val="005D4EEB"/>
    <w:rsid w:val="005D5238"/>
    <w:rsid w:val="005D5654"/>
    <w:rsid w:val="005D6D6B"/>
    <w:rsid w:val="005D71AB"/>
    <w:rsid w:val="005D7EBF"/>
    <w:rsid w:val="005E025E"/>
    <w:rsid w:val="005E0AE1"/>
    <w:rsid w:val="005E11DE"/>
    <w:rsid w:val="005E140D"/>
    <w:rsid w:val="005E1565"/>
    <w:rsid w:val="005E15B8"/>
    <w:rsid w:val="005E1911"/>
    <w:rsid w:val="005E1AC4"/>
    <w:rsid w:val="005E2259"/>
    <w:rsid w:val="005E2822"/>
    <w:rsid w:val="005E2A21"/>
    <w:rsid w:val="005E33B9"/>
    <w:rsid w:val="005E4471"/>
    <w:rsid w:val="005E4473"/>
    <w:rsid w:val="005E462D"/>
    <w:rsid w:val="005E48F8"/>
    <w:rsid w:val="005E4E34"/>
    <w:rsid w:val="005E50C1"/>
    <w:rsid w:val="005E51AA"/>
    <w:rsid w:val="005E5D5A"/>
    <w:rsid w:val="005E6188"/>
    <w:rsid w:val="005E67A6"/>
    <w:rsid w:val="005E6B42"/>
    <w:rsid w:val="005E6E93"/>
    <w:rsid w:val="005E7DA6"/>
    <w:rsid w:val="005F0E3A"/>
    <w:rsid w:val="005F1078"/>
    <w:rsid w:val="005F10E2"/>
    <w:rsid w:val="005F1155"/>
    <w:rsid w:val="005F19E9"/>
    <w:rsid w:val="005F1A8F"/>
    <w:rsid w:val="005F246A"/>
    <w:rsid w:val="005F2D00"/>
    <w:rsid w:val="005F3075"/>
    <w:rsid w:val="005F3513"/>
    <w:rsid w:val="005F3EEF"/>
    <w:rsid w:val="005F3F9D"/>
    <w:rsid w:val="005F424C"/>
    <w:rsid w:val="005F458A"/>
    <w:rsid w:val="005F4E45"/>
    <w:rsid w:val="005F51CB"/>
    <w:rsid w:val="005F58D3"/>
    <w:rsid w:val="005F5A36"/>
    <w:rsid w:val="005F5CAE"/>
    <w:rsid w:val="005F5CB2"/>
    <w:rsid w:val="005F5D4C"/>
    <w:rsid w:val="005F5FF0"/>
    <w:rsid w:val="005F62B0"/>
    <w:rsid w:val="005F6570"/>
    <w:rsid w:val="005F7091"/>
    <w:rsid w:val="005F79B2"/>
    <w:rsid w:val="0060007C"/>
    <w:rsid w:val="0060057B"/>
    <w:rsid w:val="0060080D"/>
    <w:rsid w:val="00600C3E"/>
    <w:rsid w:val="00600F68"/>
    <w:rsid w:val="00601532"/>
    <w:rsid w:val="006015F3"/>
    <w:rsid w:val="00601905"/>
    <w:rsid w:val="00601A43"/>
    <w:rsid w:val="00601FEA"/>
    <w:rsid w:val="00602C52"/>
    <w:rsid w:val="0060339C"/>
    <w:rsid w:val="00603DFD"/>
    <w:rsid w:val="00603F39"/>
    <w:rsid w:val="0060536D"/>
    <w:rsid w:val="006053D3"/>
    <w:rsid w:val="00605471"/>
    <w:rsid w:val="00605ACF"/>
    <w:rsid w:val="00607FEB"/>
    <w:rsid w:val="00610810"/>
    <w:rsid w:val="00610D47"/>
    <w:rsid w:val="00610E7C"/>
    <w:rsid w:val="0061108F"/>
    <w:rsid w:val="0061145F"/>
    <w:rsid w:val="006114DD"/>
    <w:rsid w:val="00611610"/>
    <w:rsid w:val="00611938"/>
    <w:rsid w:val="006119E8"/>
    <w:rsid w:val="00611B69"/>
    <w:rsid w:val="006122AC"/>
    <w:rsid w:val="00612608"/>
    <w:rsid w:val="006126B9"/>
    <w:rsid w:val="00612C8E"/>
    <w:rsid w:val="00612E33"/>
    <w:rsid w:val="006130AA"/>
    <w:rsid w:val="00613E34"/>
    <w:rsid w:val="00613F4D"/>
    <w:rsid w:val="0061740A"/>
    <w:rsid w:val="00617434"/>
    <w:rsid w:val="006174EF"/>
    <w:rsid w:val="00617538"/>
    <w:rsid w:val="00617F0F"/>
    <w:rsid w:val="00620803"/>
    <w:rsid w:val="00620A78"/>
    <w:rsid w:val="00620ED6"/>
    <w:rsid w:val="00621C6D"/>
    <w:rsid w:val="0062245C"/>
    <w:rsid w:val="00622F5B"/>
    <w:rsid w:val="0062349B"/>
    <w:rsid w:val="00623B06"/>
    <w:rsid w:val="00624006"/>
    <w:rsid w:val="006240AE"/>
    <w:rsid w:val="00625A5C"/>
    <w:rsid w:val="00625DD5"/>
    <w:rsid w:val="00625F35"/>
    <w:rsid w:val="00625F55"/>
    <w:rsid w:val="00626160"/>
    <w:rsid w:val="00626173"/>
    <w:rsid w:val="00626250"/>
    <w:rsid w:val="006263C7"/>
    <w:rsid w:val="00626EBE"/>
    <w:rsid w:val="00627EAD"/>
    <w:rsid w:val="00630C5C"/>
    <w:rsid w:val="00631107"/>
    <w:rsid w:val="00631C7B"/>
    <w:rsid w:val="006320C2"/>
    <w:rsid w:val="006321AB"/>
    <w:rsid w:val="006328F2"/>
    <w:rsid w:val="00632B3F"/>
    <w:rsid w:val="00632B45"/>
    <w:rsid w:val="00632C4B"/>
    <w:rsid w:val="00633318"/>
    <w:rsid w:val="00633319"/>
    <w:rsid w:val="0063343F"/>
    <w:rsid w:val="006334E0"/>
    <w:rsid w:val="00633BC5"/>
    <w:rsid w:val="00633D37"/>
    <w:rsid w:val="00633F18"/>
    <w:rsid w:val="0063471D"/>
    <w:rsid w:val="006350A2"/>
    <w:rsid w:val="006351CE"/>
    <w:rsid w:val="0063522F"/>
    <w:rsid w:val="00635D5A"/>
    <w:rsid w:val="006366C3"/>
    <w:rsid w:val="0063710B"/>
    <w:rsid w:val="006371D9"/>
    <w:rsid w:val="006372BF"/>
    <w:rsid w:val="00640A4F"/>
    <w:rsid w:val="006410BF"/>
    <w:rsid w:val="006422D7"/>
    <w:rsid w:val="006425C2"/>
    <w:rsid w:val="006426C7"/>
    <w:rsid w:val="006428B8"/>
    <w:rsid w:val="00642B98"/>
    <w:rsid w:val="006431DE"/>
    <w:rsid w:val="006434A0"/>
    <w:rsid w:val="00643956"/>
    <w:rsid w:val="00643F10"/>
    <w:rsid w:val="006449C8"/>
    <w:rsid w:val="00644BFB"/>
    <w:rsid w:val="006451A3"/>
    <w:rsid w:val="0064529C"/>
    <w:rsid w:val="00645823"/>
    <w:rsid w:val="006458C8"/>
    <w:rsid w:val="006459C2"/>
    <w:rsid w:val="00645E03"/>
    <w:rsid w:val="00646871"/>
    <w:rsid w:val="00646F9A"/>
    <w:rsid w:val="00647049"/>
    <w:rsid w:val="0064763F"/>
    <w:rsid w:val="00647774"/>
    <w:rsid w:val="006478E7"/>
    <w:rsid w:val="006505D7"/>
    <w:rsid w:val="00650BCB"/>
    <w:rsid w:val="00651215"/>
    <w:rsid w:val="006512C9"/>
    <w:rsid w:val="006513D9"/>
    <w:rsid w:val="006519C2"/>
    <w:rsid w:val="00651D23"/>
    <w:rsid w:val="00651E2C"/>
    <w:rsid w:val="0065205D"/>
    <w:rsid w:val="0065238A"/>
    <w:rsid w:val="0065248D"/>
    <w:rsid w:val="0065269E"/>
    <w:rsid w:val="0065309B"/>
    <w:rsid w:val="00654364"/>
    <w:rsid w:val="00654F90"/>
    <w:rsid w:val="00655745"/>
    <w:rsid w:val="006561AE"/>
    <w:rsid w:val="00656228"/>
    <w:rsid w:val="006564BF"/>
    <w:rsid w:val="00656C98"/>
    <w:rsid w:val="00657AC9"/>
    <w:rsid w:val="00657F57"/>
    <w:rsid w:val="0066007F"/>
    <w:rsid w:val="006603DC"/>
    <w:rsid w:val="00660486"/>
    <w:rsid w:val="00660E27"/>
    <w:rsid w:val="0066157A"/>
    <w:rsid w:val="00662354"/>
    <w:rsid w:val="006624A6"/>
    <w:rsid w:val="00662782"/>
    <w:rsid w:val="00662A7A"/>
    <w:rsid w:val="006637FA"/>
    <w:rsid w:val="00664429"/>
    <w:rsid w:val="00664A08"/>
    <w:rsid w:val="00664A25"/>
    <w:rsid w:val="00664D1C"/>
    <w:rsid w:val="006651E7"/>
    <w:rsid w:val="006655A7"/>
    <w:rsid w:val="00665AD3"/>
    <w:rsid w:val="006663CC"/>
    <w:rsid w:val="00666695"/>
    <w:rsid w:val="006666D4"/>
    <w:rsid w:val="00667332"/>
    <w:rsid w:val="006675D7"/>
    <w:rsid w:val="00667C2D"/>
    <w:rsid w:val="00667C6F"/>
    <w:rsid w:val="006701DB"/>
    <w:rsid w:val="00670D6D"/>
    <w:rsid w:val="00670DA5"/>
    <w:rsid w:val="00671214"/>
    <w:rsid w:val="006713F8"/>
    <w:rsid w:val="00671B49"/>
    <w:rsid w:val="00671E97"/>
    <w:rsid w:val="00672F97"/>
    <w:rsid w:val="00673008"/>
    <w:rsid w:val="0067327B"/>
    <w:rsid w:val="00673A14"/>
    <w:rsid w:val="006747E8"/>
    <w:rsid w:val="00674876"/>
    <w:rsid w:val="006749B2"/>
    <w:rsid w:val="00674EDC"/>
    <w:rsid w:val="0067507D"/>
    <w:rsid w:val="006751E5"/>
    <w:rsid w:val="006753E7"/>
    <w:rsid w:val="006754AC"/>
    <w:rsid w:val="00675746"/>
    <w:rsid w:val="00675A82"/>
    <w:rsid w:val="00675DC2"/>
    <w:rsid w:val="00676E01"/>
    <w:rsid w:val="00677246"/>
    <w:rsid w:val="006776B4"/>
    <w:rsid w:val="006776C9"/>
    <w:rsid w:val="006777D1"/>
    <w:rsid w:val="00677A6A"/>
    <w:rsid w:val="00677AE3"/>
    <w:rsid w:val="00677EE1"/>
    <w:rsid w:val="00680714"/>
    <w:rsid w:val="00680ABD"/>
    <w:rsid w:val="0068159C"/>
    <w:rsid w:val="0068173E"/>
    <w:rsid w:val="00681C09"/>
    <w:rsid w:val="00681EC4"/>
    <w:rsid w:val="00682BA7"/>
    <w:rsid w:val="00683268"/>
    <w:rsid w:val="0068391B"/>
    <w:rsid w:val="00683B50"/>
    <w:rsid w:val="00683D19"/>
    <w:rsid w:val="006841EB"/>
    <w:rsid w:val="00685355"/>
    <w:rsid w:val="006857E4"/>
    <w:rsid w:val="00686010"/>
    <w:rsid w:val="00686B43"/>
    <w:rsid w:val="00686C1D"/>
    <w:rsid w:val="00686C4C"/>
    <w:rsid w:val="00686EED"/>
    <w:rsid w:val="0068770A"/>
    <w:rsid w:val="006879EF"/>
    <w:rsid w:val="00687DA0"/>
    <w:rsid w:val="00691638"/>
    <w:rsid w:val="00691BBF"/>
    <w:rsid w:val="00691D5A"/>
    <w:rsid w:val="00691F85"/>
    <w:rsid w:val="00692073"/>
    <w:rsid w:val="006924D5"/>
    <w:rsid w:val="0069265F"/>
    <w:rsid w:val="00692D0B"/>
    <w:rsid w:val="00692F70"/>
    <w:rsid w:val="006932C7"/>
    <w:rsid w:val="006938E9"/>
    <w:rsid w:val="00693E2E"/>
    <w:rsid w:val="00693F50"/>
    <w:rsid w:val="00694115"/>
    <w:rsid w:val="00694925"/>
    <w:rsid w:val="006958D9"/>
    <w:rsid w:val="00696799"/>
    <w:rsid w:val="00696AA6"/>
    <w:rsid w:val="00696DED"/>
    <w:rsid w:val="00697DAF"/>
    <w:rsid w:val="00697EF8"/>
    <w:rsid w:val="006A047F"/>
    <w:rsid w:val="006A0ACF"/>
    <w:rsid w:val="006A1176"/>
    <w:rsid w:val="006A2617"/>
    <w:rsid w:val="006A299C"/>
    <w:rsid w:val="006A2ACB"/>
    <w:rsid w:val="006A2BDA"/>
    <w:rsid w:val="006A2C66"/>
    <w:rsid w:val="006A3346"/>
    <w:rsid w:val="006A39CE"/>
    <w:rsid w:val="006A3D0B"/>
    <w:rsid w:val="006A3F41"/>
    <w:rsid w:val="006A3F59"/>
    <w:rsid w:val="006A3FCD"/>
    <w:rsid w:val="006A4058"/>
    <w:rsid w:val="006A467F"/>
    <w:rsid w:val="006A4F64"/>
    <w:rsid w:val="006A57B4"/>
    <w:rsid w:val="006A5B74"/>
    <w:rsid w:val="006A67B7"/>
    <w:rsid w:val="006A6A4B"/>
    <w:rsid w:val="006A6E29"/>
    <w:rsid w:val="006A7320"/>
    <w:rsid w:val="006A75E7"/>
    <w:rsid w:val="006A7B50"/>
    <w:rsid w:val="006B098B"/>
    <w:rsid w:val="006B11A7"/>
    <w:rsid w:val="006B11EE"/>
    <w:rsid w:val="006B12EC"/>
    <w:rsid w:val="006B1D83"/>
    <w:rsid w:val="006B3346"/>
    <w:rsid w:val="006B3631"/>
    <w:rsid w:val="006B370C"/>
    <w:rsid w:val="006B3F7D"/>
    <w:rsid w:val="006B4B02"/>
    <w:rsid w:val="006B4E6C"/>
    <w:rsid w:val="006B4EB1"/>
    <w:rsid w:val="006B50C9"/>
    <w:rsid w:val="006B562B"/>
    <w:rsid w:val="006B5D5A"/>
    <w:rsid w:val="006B5EE2"/>
    <w:rsid w:val="006B600B"/>
    <w:rsid w:val="006B686B"/>
    <w:rsid w:val="006B6E0D"/>
    <w:rsid w:val="006B70A1"/>
    <w:rsid w:val="006B7433"/>
    <w:rsid w:val="006C08CF"/>
    <w:rsid w:val="006C092C"/>
    <w:rsid w:val="006C1008"/>
    <w:rsid w:val="006C14B8"/>
    <w:rsid w:val="006C16F9"/>
    <w:rsid w:val="006C184E"/>
    <w:rsid w:val="006C18BF"/>
    <w:rsid w:val="006C2689"/>
    <w:rsid w:val="006C286E"/>
    <w:rsid w:val="006C30BF"/>
    <w:rsid w:val="006C355D"/>
    <w:rsid w:val="006C36C9"/>
    <w:rsid w:val="006C3741"/>
    <w:rsid w:val="006C4121"/>
    <w:rsid w:val="006C470E"/>
    <w:rsid w:val="006C4838"/>
    <w:rsid w:val="006C5892"/>
    <w:rsid w:val="006C5A23"/>
    <w:rsid w:val="006C5C59"/>
    <w:rsid w:val="006C5DA8"/>
    <w:rsid w:val="006C5EED"/>
    <w:rsid w:val="006C6631"/>
    <w:rsid w:val="006C67FA"/>
    <w:rsid w:val="006C705E"/>
    <w:rsid w:val="006C76CD"/>
    <w:rsid w:val="006C7B44"/>
    <w:rsid w:val="006D0168"/>
    <w:rsid w:val="006D07AA"/>
    <w:rsid w:val="006D07F5"/>
    <w:rsid w:val="006D0CD2"/>
    <w:rsid w:val="006D12EB"/>
    <w:rsid w:val="006D226B"/>
    <w:rsid w:val="006D24A6"/>
    <w:rsid w:val="006D2C0F"/>
    <w:rsid w:val="006D38FD"/>
    <w:rsid w:val="006D4791"/>
    <w:rsid w:val="006D5053"/>
    <w:rsid w:val="006D561A"/>
    <w:rsid w:val="006D5E3F"/>
    <w:rsid w:val="006D6383"/>
    <w:rsid w:val="006D63F8"/>
    <w:rsid w:val="006D6492"/>
    <w:rsid w:val="006D6B9E"/>
    <w:rsid w:val="006D7895"/>
    <w:rsid w:val="006D7A44"/>
    <w:rsid w:val="006D7AEE"/>
    <w:rsid w:val="006D7CF6"/>
    <w:rsid w:val="006D7F5E"/>
    <w:rsid w:val="006E0DEE"/>
    <w:rsid w:val="006E0E30"/>
    <w:rsid w:val="006E1686"/>
    <w:rsid w:val="006E19A1"/>
    <w:rsid w:val="006E1ADA"/>
    <w:rsid w:val="006E2323"/>
    <w:rsid w:val="006E3272"/>
    <w:rsid w:val="006E35BE"/>
    <w:rsid w:val="006E367F"/>
    <w:rsid w:val="006E3F1E"/>
    <w:rsid w:val="006E542D"/>
    <w:rsid w:val="006E59E8"/>
    <w:rsid w:val="006E5A81"/>
    <w:rsid w:val="006E64F1"/>
    <w:rsid w:val="006E6760"/>
    <w:rsid w:val="006E70FD"/>
    <w:rsid w:val="006E7150"/>
    <w:rsid w:val="006E73FE"/>
    <w:rsid w:val="006E77A4"/>
    <w:rsid w:val="006E79CD"/>
    <w:rsid w:val="006F01C4"/>
    <w:rsid w:val="006F057B"/>
    <w:rsid w:val="006F2013"/>
    <w:rsid w:val="006F207E"/>
    <w:rsid w:val="006F238A"/>
    <w:rsid w:val="006F2A2A"/>
    <w:rsid w:val="006F2BF6"/>
    <w:rsid w:val="006F3C22"/>
    <w:rsid w:val="006F3CFD"/>
    <w:rsid w:val="006F4284"/>
    <w:rsid w:val="006F445D"/>
    <w:rsid w:val="006F44E3"/>
    <w:rsid w:val="006F4D8F"/>
    <w:rsid w:val="006F4D93"/>
    <w:rsid w:val="006F4F3B"/>
    <w:rsid w:val="006F51CF"/>
    <w:rsid w:val="006F5231"/>
    <w:rsid w:val="006F5520"/>
    <w:rsid w:val="006F5549"/>
    <w:rsid w:val="006F5A7A"/>
    <w:rsid w:val="006F5EC9"/>
    <w:rsid w:val="006F6612"/>
    <w:rsid w:val="006F6829"/>
    <w:rsid w:val="006F6882"/>
    <w:rsid w:val="006F6FA3"/>
    <w:rsid w:val="006F6FE9"/>
    <w:rsid w:val="006F70B6"/>
    <w:rsid w:val="006F77C9"/>
    <w:rsid w:val="006F78D0"/>
    <w:rsid w:val="00701854"/>
    <w:rsid w:val="00701AE4"/>
    <w:rsid w:val="00701FBA"/>
    <w:rsid w:val="0070214D"/>
    <w:rsid w:val="00702970"/>
    <w:rsid w:val="0070309D"/>
    <w:rsid w:val="0070365F"/>
    <w:rsid w:val="0070471B"/>
    <w:rsid w:val="007047C9"/>
    <w:rsid w:val="007053DF"/>
    <w:rsid w:val="007057E3"/>
    <w:rsid w:val="00705BE8"/>
    <w:rsid w:val="00705E13"/>
    <w:rsid w:val="00706E73"/>
    <w:rsid w:val="00707121"/>
    <w:rsid w:val="00707711"/>
    <w:rsid w:val="007103C7"/>
    <w:rsid w:val="007104B0"/>
    <w:rsid w:val="00711056"/>
    <w:rsid w:val="007112DF"/>
    <w:rsid w:val="007116F1"/>
    <w:rsid w:val="00711AF9"/>
    <w:rsid w:val="00711C2E"/>
    <w:rsid w:val="00711D6B"/>
    <w:rsid w:val="007130A0"/>
    <w:rsid w:val="00713728"/>
    <w:rsid w:val="0071454E"/>
    <w:rsid w:val="00715C86"/>
    <w:rsid w:val="00715D5E"/>
    <w:rsid w:val="00716B18"/>
    <w:rsid w:val="00716D39"/>
    <w:rsid w:val="00716D3F"/>
    <w:rsid w:val="00717443"/>
    <w:rsid w:val="00717917"/>
    <w:rsid w:val="00717C54"/>
    <w:rsid w:val="00720112"/>
    <w:rsid w:val="00720AF6"/>
    <w:rsid w:val="00720DC4"/>
    <w:rsid w:val="00720DFD"/>
    <w:rsid w:val="007213C5"/>
    <w:rsid w:val="00721AC4"/>
    <w:rsid w:val="007220E2"/>
    <w:rsid w:val="00722B57"/>
    <w:rsid w:val="00722C1D"/>
    <w:rsid w:val="00723788"/>
    <w:rsid w:val="00723E2B"/>
    <w:rsid w:val="00724350"/>
    <w:rsid w:val="00724525"/>
    <w:rsid w:val="00724788"/>
    <w:rsid w:val="007247AA"/>
    <w:rsid w:val="00725582"/>
    <w:rsid w:val="007272A3"/>
    <w:rsid w:val="007277FA"/>
    <w:rsid w:val="00727DAB"/>
    <w:rsid w:val="00727DBC"/>
    <w:rsid w:val="00730BC7"/>
    <w:rsid w:val="00730D12"/>
    <w:rsid w:val="00731730"/>
    <w:rsid w:val="0073175E"/>
    <w:rsid w:val="00731DF8"/>
    <w:rsid w:val="00731F04"/>
    <w:rsid w:val="00732065"/>
    <w:rsid w:val="007320EC"/>
    <w:rsid w:val="0073240C"/>
    <w:rsid w:val="007325D0"/>
    <w:rsid w:val="0073296B"/>
    <w:rsid w:val="00732B57"/>
    <w:rsid w:val="00732CBA"/>
    <w:rsid w:val="00732D0F"/>
    <w:rsid w:val="007347C8"/>
    <w:rsid w:val="00734B4D"/>
    <w:rsid w:val="0073545A"/>
    <w:rsid w:val="007356B2"/>
    <w:rsid w:val="00735A54"/>
    <w:rsid w:val="00735E0C"/>
    <w:rsid w:val="00735E94"/>
    <w:rsid w:val="007366C5"/>
    <w:rsid w:val="00736C3F"/>
    <w:rsid w:val="00736E1D"/>
    <w:rsid w:val="00737D3F"/>
    <w:rsid w:val="007408EC"/>
    <w:rsid w:val="00740E5C"/>
    <w:rsid w:val="00740FA7"/>
    <w:rsid w:val="00741815"/>
    <w:rsid w:val="0074189E"/>
    <w:rsid w:val="007419F2"/>
    <w:rsid w:val="007423BB"/>
    <w:rsid w:val="007427E7"/>
    <w:rsid w:val="00743366"/>
    <w:rsid w:val="007435F9"/>
    <w:rsid w:val="0074388A"/>
    <w:rsid w:val="007439C1"/>
    <w:rsid w:val="00743EB2"/>
    <w:rsid w:val="007445C4"/>
    <w:rsid w:val="00744B61"/>
    <w:rsid w:val="007454F3"/>
    <w:rsid w:val="00745B90"/>
    <w:rsid w:val="00745F32"/>
    <w:rsid w:val="0074632E"/>
    <w:rsid w:val="0074658A"/>
    <w:rsid w:val="00746895"/>
    <w:rsid w:val="00746B46"/>
    <w:rsid w:val="00747539"/>
    <w:rsid w:val="0074770E"/>
    <w:rsid w:val="0074791F"/>
    <w:rsid w:val="00747971"/>
    <w:rsid w:val="0074799E"/>
    <w:rsid w:val="0075031A"/>
    <w:rsid w:val="007506FB"/>
    <w:rsid w:val="00750DB2"/>
    <w:rsid w:val="00750EB2"/>
    <w:rsid w:val="00751552"/>
    <w:rsid w:val="00752183"/>
    <w:rsid w:val="007523EA"/>
    <w:rsid w:val="00752470"/>
    <w:rsid w:val="007525A2"/>
    <w:rsid w:val="007527BD"/>
    <w:rsid w:val="00753031"/>
    <w:rsid w:val="007537CA"/>
    <w:rsid w:val="00753EC4"/>
    <w:rsid w:val="0075456C"/>
    <w:rsid w:val="00755235"/>
    <w:rsid w:val="007552FB"/>
    <w:rsid w:val="00756890"/>
    <w:rsid w:val="00756A50"/>
    <w:rsid w:val="00756BD7"/>
    <w:rsid w:val="0075731D"/>
    <w:rsid w:val="007576B7"/>
    <w:rsid w:val="00757968"/>
    <w:rsid w:val="00757A19"/>
    <w:rsid w:val="00760871"/>
    <w:rsid w:val="00760F83"/>
    <w:rsid w:val="0076250E"/>
    <w:rsid w:val="007628F7"/>
    <w:rsid w:val="00763C12"/>
    <w:rsid w:val="00763D73"/>
    <w:rsid w:val="00764607"/>
    <w:rsid w:val="007653F7"/>
    <w:rsid w:val="00765C0E"/>
    <w:rsid w:val="007661D5"/>
    <w:rsid w:val="007663FA"/>
    <w:rsid w:val="00766794"/>
    <w:rsid w:val="00766C75"/>
    <w:rsid w:val="0076740E"/>
    <w:rsid w:val="00767E72"/>
    <w:rsid w:val="0077001B"/>
    <w:rsid w:val="007704B7"/>
    <w:rsid w:val="00770506"/>
    <w:rsid w:val="0077052F"/>
    <w:rsid w:val="00770CCE"/>
    <w:rsid w:val="00770D58"/>
    <w:rsid w:val="0077140C"/>
    <w:rsid w:val="00771F70"/>
    <w:rsid w:val="00772458"/>
    <w:rsid w:val="0077286B"/>
    <w:rsid w:val="00772F6D"/>
    <w:rsid w:val="0077310B"/>
    <w:rsid w:val="0077322C"/>
    <w:rsid w:val="0077334D"/>
    <w:rsid w:val="007735F5"/>
    <w:rsid w:val="00773883"/>
    <w:rsid w:val="00773C4D"/>
    <w:rsid w:val="00773E0F"/>
    <w:rsid w:val="00774371"/>
    <w:rsid w:val="0077442C"/>
    <w:rsid w:val="00774493"/>
    <w:rsid w:val="007746BC"/>
    <w:rsid w:val="00774A38"/>
    <w:rsid w:val="00774A6B"/>
    <w:rsid w:val="00775CE3"/>
    <w:rsid w:val="00775DBC"/>
    <w:rsid w:val="00775FCB"/>
    <w:rsid w:val="0077653A"/>
    <w:rsid w:val="00776D70"/>
    <w:rsid w:val="00776D8B"/>
    <w:rsid w:val="00776F21"/>
    <w:rsid w:val="0077786D"/>
    <w:rsid w:val="0078023E"/>
    <w:rsid w:val="00780606"/>
    <w:rsid w:val="00781031"/>
    <w:rsid w:val="007815BC"/>
    <w:rsid w:val="00781FAF"/>
    <w:rsid w:val="007828E6"/>
    <w:rsid w:val="00783209"/>
    <w:rsid w:val="00784325"/>
    <w:rsid w:val="00784496"/>
    <w:rsid w:val="00784571"/>
    <w:rsid w:val="0078485C"/>
    <w:rsid w:val="00784F05"/>
    <w:rsid w:val="00785BD5"/>
    <w:rsid w:val="00785C34"/>
    <w:rsid w:val="00785EB6"/>
    <w:rsid w:val="00787198"/>
    <w:rsid w:val="007872A7"/>
    <w:rsid w:val="007873A5"/>
    <w:rsid w:val="00787403"/>
    <w:rsid w:val="00787611"/>
    <w:rsid w:val="00787AD6"/>
    <w:rsid w:val="00790020"/>
    <w:rsid w:val="0079032A"/>
    <w:rsid w:val="0079111E"/>
    <w:rsid w:val="007911D7"/>
    <w:rsid w:val="00791441"/>
    <w:rsid w:val="007915C8"/>
    <w:rsid w:val="00791F67"/>
    <w:rsid w:val="007921A6"/>
    <w:rsid w:val="007925A4"/>
    <w:rsid w:val="00792753"/>
    <w:rsid w:val="00792EE7"/>
    <w:rsid w:val="0079311F"/>
    <w:rsid w:val="007931D5"/>
    <w:rsid w:val="00793385"/>
    <w:rsid w:val="007935D4"/>
    <w:rsid w:val="00793A19"/>
    <w:rsid w:val="00793FCD"/>
    <w:rsid w:val="00794088"/>
    <w:rsid w:val="007944E0"/>
    <w:rsid w:val="007947A1"/>
    <w:rsid w:val="00794B27"/>
    <w:rsid w:val="00794BBC"/>
    <w:rsid w:val="00794BC3"/>
    <w:rsid w:val="0079554F"/>
    <w:rsid w:val="00795E51"/>
    <w:rsid w:val="0079602B"/>
    <w:rsid w:val="00796132"/>
    <w:rsid w:val="00796C68"/>
    <w:rsid w:val="007972FF"/>
    <w:rsid w:val="007974C7"/>
    <w:rsid w:val="0079777C"/>
    <w:rsid w:val="007979FF"/>
    <w:rsid w:val="00797C22"/>
    <w:rsid w:val="007A084E"/>
    <w:rsid w:val="007A0BA5"/>
    <w:rsid w:val="007A117B"/>
    <w:rsid w:val="007A11A5"/>
    <w:rsid w:val="007A13E3"/>
    <w:rsid w:val="007A19AD"/>
    <w:rsid w:val="007A2FA0"/>
    <w:rsid w:val="007A32CA"/>
    <w:rsid w:val="007A41A6"/>
    <w:rsid w:val="007A447D"/>
    <w:rsid w:val="007A4B30"/>
    <w:rsid w:val="007A4C66"/>
    <w:rsid w:val="007A4FFD"/>
    <w:rsid w:val="007A54F0"/>
    <w:rsid w:val="007A619D"/>
    <w:rsid w:val="007A61A0"/>
    <w:rsid w:val="007A66C8"/>
    <w:rsid w:val="007A67B9"/>
    <w:rsid w:val="007A6A7A"/>
    <w:rsid w:val="007A6CAF"/>
    <w:rsid w:val="007A6DF5"/>
    <w:rsid w:val="007A7064"/>
    <w:rsid w:val="007A7167"/>
    <w:rsid w:val="007A73E6"/>
    <w:rsid w:val="007A766A"/>
    <w:rsid w:val="007B046F"/>
    <w:rsid w:val="007B1045"/>
    <w:rsid w:val="007B1796"/>
    <w:rsid w:val="007B17FD"/>
    <w:rsid w:val="007B18FE"/>
    <w:rsid w:val="007B1EEA"/>
    <w:rsid w:val="007B224A"/>
    <w:rsid w:val="007B22E4"/>
    <w:rsid w:val="007B2769"/>
    <w:rsid w:val="007B29FB"/>
    <w:rsid w:val="007B2D20"/>
    <w:rsid w:val="007B2F85"/>
    <w:rsid w:val="007B2FC2"/>
    <w:rsid w:val="007B3246"/>
    <w:rsid w:val="007B3742"/>
    <w:rsid w:val="007B39DB"/>
    <w:rsid w:val="007B3A88"/>
    <w:rsid w:val="007B4BFA"/>
    <w:rsid w:val="007B5C92"/>
    <w:rsid w:val="007B5FE3"/>
    <w:rsid w:val="007B601A"/>
    <w:rsid w:val="007B6029"/>
    <w:rsid w:val="007B7051"/>
    <w:rsid w:val="007B7776"/>
    <w:rsid w:val="007C0199"/>
    <w:rsid w:val="007C05BE"/>
    <w:rsid w:val="007C0B2A"/>
    <w:rsid w:val="007C1611"/>
    <w:rsid w:val="007C1A6F"/>
    <w:rsid w:val="007C2688"/>
    <w:rsid w:val="007C2EBB"/>
    <w:rsid w:val="007C3DA2"/>
    <w:rsid w:val="007C46A0"/>
    <w:rsid w:val="007C4B86"/>
    <w:rsid w:val="007C4CC7"/>
    <w:rsid w:val="007C5331"/>
    <w:rsid w:val="007C588F"/>
    <w:rsid w:val="007C68A8"/>
    <w:rsid w:val="007C6B7E"/>
    <w:rsid w:val="007C6C41"/>
    <w:rsid w:val="007C7496"/>
    <w:rsid w:val="007D08DB"/>
    <w:rsid w:val="007D1B0C"/>
    <w:rsid w:val="007D1F97"/>
    <w:rsid w:val="007D2043"/>
    <w:rsid w:val="007D22B2"/>
    <w:rsid w:val="007D2E72"/>
    <w:rsid w:val="007D2FFA"/>
    <w:rsid w:val="007D320C"/>
    <w:rsid w:val="007D3420"/>
    <w:rsid w:val="007D34DB"/>
    <w:rsid w:val="007D3574"/>
    <w:rsid w:val="007D3A27"/>
    <w:rsid w:val="007D3FB0"/>
    <w:rsid w:val="007D426E"/>
    <w:rsid w:val="007D4549"/>
    <w:rsid w:val="007D4C90"/>
    <w:rsid w:val="007D518F"/>
    <w:rsid w:val="007D53F5"/>
    <w:rsid w:val="007D5867"/>
    <w:rsid w:val="007D60C2"/>
    <w:rsid w:val="007D6281"/>
    <w:rsid w:val="007D695E"/>
    <w:rsid w:val="007D6B83"/>
    <w:rsid w:val="007D7006"/>
    <w:rsid w:val="007D7175"/>
    <w:rsid w:val="007E020C"/>
    <w:rsid w:val="007E0349"/>
    <w:rsid w:val="007E0D7C"/>
    <w:rsid w:val="007E0F4A"/>
    <w:rsid w:val="007E228A"/>
    <w:rsid w:val="007E2368"/>
    <w:rsid w:val="007E24D4"/>
    <w:rsid w:val="007E376A"/>
    <w:rsid w:val="007E3D9A"/>
    <w:rsid w:val="007E42A2"/>
    <w:rsid w:val="007E4553"/>
    <w:rsid w:val="007E4D8B"/>
    <w:rsid w:val="007E4E8B"/>
    <w:rsid w:val="007E5DC3"/>
    <w:rsid w:val="007E5FF1"/>
    <w:rsid w:val="007E62EA"/>
    <w:rsid w:val="007E633C"/>
    <w:rsid w:val="007E6A87"/>
    <w:rsid w:val="007E7630"/>
    <w:rsid w:val="007E7773"/>
    <w:rsid w:val="007E779E"/>
    <w:rsid w:val="007E7F16"/>
    <w:rsid w:val="007F0598"/>
    <w:rsid w:val="007F07B2"/>
    <w:rsid w:val="007F0BDA"/>
    <w:rsid w:val="007F0DCC"/>
    <w:rsid w:val="007F12D3"/>
    <w:rsid w:val="007F1312"/>
    <w:rsid w:val="007F1777"/>
    <w:rsid w:val="007F1E75"/>
    <w:rsid w:val="007F2C9D"/>
    <w:rsid w:val="007F3104"/>
    <w:rsid w:val="007F3132"/>
    <w:rsid w:val="007F32E6"/>
    <w:rsid w:val="007F3530"/>
    <w:rsid w:val="007F35A4"/>
    <w:rsid w:val="007F41FD"/>
    <w:rsid w:val="007F4898"/>
    <w:rsid w:val="007F4B44"/>
    <w:rsid w:val="007F4DC3"/>
    <w:rsid w:val="007F5325"/>
    <w:rsid w:val="007F54B5"/>
    <w:rsid w:val="007F5A64"/>
    <w:rsid w:val="007F60D8"/>
    <w:rsid w:val="007F6258"/>
    <w:rsid w:val="007F67B7"/>
    <w:rsid w:val="007F6BC5"/>
    <w:rsid w:val="007F6D64"/>
    <w:rsid w:val="007F6DF0"/>
    <w:rsid w:val="007F74F5"/>
    <w:rsid w:val="007F7B17"/>
    <w:rsid w:val="007F7D45"/>
    <w:rsid w:val="00800581"/>
    <w:rsid w:val="008006CF"/>
    <w:rsid w:val="008008A3"/>
    <w:rsid w:val="00801782"/>
    <w:rsid w:val="00801997"/>
    <w:rsid w:val="00801B4B"/>
    <w:rsid w:val="00801D70"/>
    <w:rsid w:val="0080259B"/>
    <w:rsid w:val="0080270A"/>
    <w:rsid w:val="0080292F"/>
    <w:rsid w:val="00802B47"/>
    <w:rsid w:val="00802F23"/>
    <w:rsid w:val="008032F4"/>
    <w:rsid w:val="00803A7B"/>
    <w:rsid w:val="00803B6B"/>
    <w:rsid w:val="00803C2F"/>
    <w:rsid w:val="00803E35"/>
    <w:rsid w:val="00804373"/>
    <w:rsid w:val="00804AE6"/>
    <w:rsid w:val="00804F32"/>
    <w:rsid w:val="0080588D"/>
    <w:rsid w:val="00806146"/>
    <w:rsid w:val="008065D5"/>
    <w:rsid w:val="00806E6A"/>
    <w:rsid w:val="00806FFF"/>
    <w:rsid w:val="00807123"/>
    <w:rsid w:val="00807730"/>
    <w:rsid w:val="00807CF4"/>
    <w:rsid w:val="0081000A"/>
    <w:rsid w:val="00810ADF"/>
    <w:rsid w:val="00810D3B"/>
    <w:rsid w:val="00811417"/>
    <w:rsid w:val="008114E4"/>
    <w:rsid w:val="008114FD"/>
    <w:rsid w:val="00811811"/>
    <w:rsid w:val="00811A8A"/>
    <w:rsid w:val="00812127"/>
    <w:rsid w:val="0081214F"/>
    <w:rsid w:val="008122C0"/>
    <w:rsid w:val="008128E7"/>
    <w:rsid w:val="00813571"/>
    <w:rsid w:val="0081378F"/>
    <w:rsid w:val="00813B49"/>
    <w:rsid w:val="008146C8"/>
    <w:rsid w:val="008159F2"/>
    <w:rsid w:val="00815C29"/>
    <w:rsid w:val="00816256"/>
    <w:rsid w:val="00816D19"/>
    <w:rsid w:val="00816DAC"/>
    <w:rsid w:val="00816E8B"/>
    <w:rsid w:val="0081715E"/>
    <w:rsid w:val="00820755"/>
    <w:rsid w:val="0082084C"/>
    <w:rsid w:val="008209E8"/>
    <w:rsid w:val="00821404"/>
    <w:rsid w:val="00821441"/>
    <w:rsid w:val="00821453"/>
    <w:rsid w:val="00821613"/>
    <w:rsid w:val="008217C9"/>
    <w:rsid w:val="008218C1"/>
    <w:rsid w:val="00821A64"/>
    <w:rsid w:val="00821EAA"/>
    <w:rsid w:val="00823160"/>
    <w:rsid w:val="00823BC0"/>
    <w:rsid w:val="00823D85"/>
    <w:rsid w:val="0082435D"/>
    <w:rsid w:val="00824498"/>
    <w:rsid w:val="00824A01"/>
    <w:rsid w:val="00824B12"/>
    <w:rsid w:val="00824B98"/>
    <w:rsid w:val="008252EE"/>
    <w:rsid w:val="008253A2"/>
    <w:rsid w:val="0082555A"/>
    <w:rsid w:val="00825D82"/>
    <w:rsid w:val="00825F73"/>
    <w:rsid w:val="008264F5"/>
    <w:rsid w:val="0082662E"/>
    <w:rsid w:val="0082749B"/>
    <w:rsid w:val="008277CF"/>
    <w:rsid w:val="00827AB4"/>
    <w:rsid w:val="008305B1"/>
    <w:rsid w:val="00830FCF"/>
    <w:rsid w:val="0083113D"/>
    <w:rsid w:val="0083124E"/>
    <w:rsid w:val="00831D3A"/>
    <w:rsid w:val="00831ECC"/>
    <w:rsid w:val="00831F88"/>
    <w:rsid w:val="008326DA"/>
    <w:rsid w:val="008330A5"/>
    <w:rsid w:val="00833179"/>
    <w:rsid w:val="00834023"/>
    <w:rsid w:val="00834881"/>
    <w:rsid w:val="00835A2C"/>
    <w:rsid w:val="008367BA"/>
    <w:rsid w:val="00836C6C"/>
    <w:rsid w:val="00836C78"/>
    <w:rsid w:val="008372AB"/>
    <w:rsid w:val="00837AB2"/>
    <w:rsid w:val="00841559"/>
    <w:rsid w:val="00841B98"/>
    <w:rsid w:val="00842FAA"/>
    <w:rsid w:val="00843B6D"/>
    <w:rsid w:val="00843DBE"/>
    <w:rsid w:val="00843FA9"/>
    <w:rsid w:val="00844029"/>
    <w:rsid w:val="00844129"/>
    <w:rsid w:val="00844690"/>
    <w:rsid w:val="00844BBF"/>
    <w:rsid w:val="00844E07"/>
    <w:rsid w:val="00845C11"/>
    <w:rsid w:val="00845E9C"/>
    <w:rsid w:val="00846A13"/>
    <w:rsid w:val="00847F3F"/>
    <w:rsid w:val="00847FE9"/>
    <w:rsid w:val="00847FF6"/>
    <w:rsid w:val="0085001F"/>
    <w:rsid w:val="00850406"/>
    <w:rsid w:val="0085054D"/>
    <w:rsid w:val="00850BB5"/>
    <w:rsid w:val="00850E74"/>
    <w:rsid w:val="0085133F"/>
    <w:rsid w:val="00851B28"/>
    <w:rsid w:val="0085318D"/>
    <w:rsid w:val="008531D9"/>
    <w:rsid w:val="008532D4"/>
    <w:rsid w:val="0085349B"/>
    <w:rsid w:val="00853781"/>
    <w:rsid w:val="00853FCF"/>
    <w:rsid w:val="0085443B"/>
    <w:rsid w:val="00854451"/>
    <w:rsid w:val="00854EB2"/>
    <w:rsid w:val="008550AB"/>
    <w:rsid w:val="008551E5"/>
    <w:rsid w:val="00855353"/>
    <w:rsid w:val="0085559D"/>
    <w:rsid w:val="00855906"/>
    <w:rsid w:val="00855916"/>
    <w:rsid w:val="00856961"/>
    <w:rsid w:val="00856A04"/>
    <w:rsid w:val="00856B48"/>
    <w:rsid w:val="0085711B"/>
    <w:rsid w:val="00857ED3"/>
    <w:rsid w:val="00860184"/>
    <w:rsid w:val="00860513"/>
    <w:rsid w:val="00860A91"/>
    <w:rsid w:val="00861430"/>
    <w:rsid w:val="00861641"/>
    <w:rsid w:val="00861B97"/>
    <w:rsid w:val="00861C4A"/>
    <w:rsid w:val="00861D31"/>
    <w:rsid w:val="00861D54"/>
    <w:rsid w:val="00862092"/>
    <w:rsid w:val="00862446"/>
    <w:rsid w:val="008625DB"/>
    <w:rsid w:val="00862C69"/>
    <w:rsid w:val="00862E52"/>
    <w:rsid w:val="00862FF4"/>
    <w:rsid w:val="008631C7"/>
    <w:rsid w:val="00863288"/>
    <w:rsid w:val="00863579"/>
    <w:rsid w:val="00863638"/>
    <w:rsid w:val="008636F5"/>
    <w:rsid w:val="0086428C"/>
    <w:rsid w:val="008652B4"/>
    <w:rsid w:val="008654AE"/>
    <w:rsid w:val="00867079"/>
    <w:rsid w:val="00867FC3"/>
    <w:rsid w:val="00870161"/>
    <w:rsid w:val="00870309"/>
    <w:rsid w:val="0087084D"/>
    <w:rsid w:val="00870A86"/>
    <w:rsid w:val="008718C5"/>
    <w:rsid w:val="00872296"/>
    <w:rsid w:val="008731BC"/>
    <w:rsid w:val="008733E1"/>
    <w:rsid w:val="008735EF"/>
    <w:rsid w:val="008740B1"/>
    <w:rsid w:val="00874EAF"/>
    <w:rsid w:val="00874ED0"/>
    <w:rsid w:val="00875812"/>
    <w:rsid w:val="0087595A"/>
    <w:rsid w:val="0087599D"/>
    <w:rsid w:val="00877025"/>
    <w:rsid w:val="0087728D"/>
    <w:rsid w:val="008779F2"/>
    <w:rsid w:val="008804FB"/>
    <w:rsid w:val="00880981"/>
    <w:rsid w:val="00880C1E"/>
    <w:rsid w:val="00880FA5"/>
    <w:rsid w:val="00881496"/>
    <w:rsid w:val="008814C3"/>
    <w:rsid w:val="0088158E"/>
    <w:rsid w:val="0088171C"/>
    <w:rsid w:val="00881B04"/>
    <w:rsid w:val="00881F0C"/>
    <w:rsid w:val="00881FB3"/>
    <w:rsid w:val="00882041"/>
    <w:rsid w:val="0088257F"/>
    <w:rsid w:val="0088331C"/>
    <w:rsid w:val="00883F05"/>
    <w:rsid w:val="0088547F"/>
    <w:rsid w:val="00885EDC"/>
    <w:rsid w:val="008871BB"/>
    <w:rsid w:val="008904F5"/>
    <w:rsid w:val="00891488"/>
    <w:rsid w:val="0089161C"/>
    <w:rsid w:val="008919CB"/>
    <w:rsid w:val="00891A0B"/>
    <w:rsid w:val="00891D9E"/>
    <w:rsid w:val="00891E6D"/>
    <w:rsid w:val="0089207E"/>
    <w:rsid w:val="00892FFD"/>
    <w:rsid w:val="008933E0"/>
    <w:rsid w:val="00893886"/>
    <w:rsid w:val="0089476F"/>
    <w:rsid w:val="008947E7"/>
    <w:rsid w:val="00894873"/>
    <w:rsid w:val="00895039"/>
    <w:rsid w:val="00895483"/>
    <w:rsid w:val="00895843"/>
    <w:rsid w:val="00895DAC"/>
    <w:rsid w:val="00895DF9"/>
    <w:rsid w:val="0089608B"/>
    <w:rsid w:val="008965B0"/>
    <w:rsid w:val="00896626"/>
    <w:rsid w:val="008967C8"/>
    <w:rsid w:val="00896A77"/>
    <w:rsid w:val="00896BE7"/>
    <w:rsid w:val="00897D57"/>
    <w:rsid w:val="008A05F8"/>
    <w:rsid w:val="008A0653"/>
    <w:rsid w:val="008A0921"/>
    <w:rsid w:val="008A19BD"/>
    <w:rsid w:val="008A244F"/>
    <w:rsid w:val="008A24DC"/>
    <w:rsid w:val="008A27BA"/>
    <w:rsid w:val="008A289A"/>
    <w:rsid w:val="008A2CBB"/>
    <w:rsid w:val="008A367A"/>
    <w:rsid w:val="008A4205"/>
    <w:rsid w:val="008A4723"/>
    <w:rsid w:val="008A4ADB"/>
    <w:rsid w:val="008A4BCF"/>
    <w:rsid w:val="008A4F16"/>
    <w:rsid w:val="008A525B"/>
    <w:rsid w:val="008A531F"/>
    <w:rsid w:val="008A5390"/>
    <w:rsid w:val="008A5400"/>
    <w:rsid w:val="008A5B82"/>
    <w:rsid w:val="008A5E16"/>
    <w:rsid w:val="008A631B"/>
    <w:rsid w:val="008A67AD"/>
    <w:rsid w:val="008A73A5"/>
    <w:rsid w:val="008A7AEE"/>
    <w:rsid w:val="008A7D2D"/>
    <w:rsid w:val="008B0192"/>
    <w:rsid w:val="008B028E"/>
    <w:rsid w:val="008B052C"/>
    <w:rsid w:val="008B0B58"/>
    <w:rsid w:val="008B0BDE"/>
    <w:rsid w:val="008B153B"/>
    <w:rsid w:val="008B1933"/>
    <w:rsid w:val="008B1B94"/>
    <w:rsid w:val="008B1E2F"/>
    <w:rsid w:val="008B1EC2"/>
    <w:rsid w:val="008B200B"/>
    <w:rsid w:val="008B3938"/>
    <w:rsid w:val="008B395C"/>
    <w:rsid w:val="008B3A9D"/>
    <w:rsid w:val="008B3C9F"/>
    <w:rsid w:val="008B4A3C"/>
    <w:rsid w:val="008B5690"/>
    <w:rsid w:val="008B664D"/>
    <w:rsid w:val="008B676A"/>
    <w:rsid w:val="008B6D82"/>
    <w:rsid w:val="008B756A"/>
    <w:rsid w:val="008B77B7"/>
    <w:rsid w:val="008C0031"/>
    <w:rsid w:val="008C04BC"/>
    <w:rsid w:val="008C066C"/>
    <w:rsid w:val="008C0952"/>
    <w:rsid w:val="008C0FD2"/>
    <w:rsid w:val="008C15AE"/>
    <w:rsid w:val="008C17BE"/>
    <w:rsid w:val="008C1DA2"/>
    <w:rsid w:val="008C1EB7"/>
    <w:rsid w:val="008C1F30"/>
    <w:rsid w:val="008C278A"/>
    <w:rsid w:val="008C282B"/>
    <w:rsid w:val="008C2998"/>
    <w:rsid w:val="008C2A12"/>
    <w:rsid w:val="008C2B09"/>
    <w:rsid w:val="008C3759"/>
    <w:rsid w:val="008C4A01"/>
    <w:rsid w:val="008C4B3C"/>
    <w:rsid w:val="008C5474"/>
    <w:rsid w:val="008C5569"/>
    <w:rsid w:val="008C5B4F"/>
    <w:rsid w:val="008C63CD"/>
    <w:rsid w:val="008C6E7E"/>
    <w:rsid w:val="008C6F9B"/>
    <w:rsid w:val="008C7520"/>
    <w:rsid w:val="008C757F"/>
    <w:rsid w:val="008D041A"/>
    <w:rsid w:val="008D063B"/>
    <w:rsid w:val="008D06D4"/>
    <w:rsid w:val="008D0F7C"/>
    <w:rsid w:val="008D1E47"/>
    <w:rsid w:val="008D1F19"/>
    <w:rsid w:val="008D33E6"/>
    <w:rsid w:val="008D340D"/>
    <w:rsid w:val="008D34F9"/>
    <w:rsid w:val="008D3936"/>
    <w:rsid w:val="008D3C9E"/>
    <w:rsid w:val="008D3DD6"/>
    <w:rsid w:val="008D43D0"/>
    <w:rsid w:val="008D4803"/>
    <w:rsid w:val="008D4BD9"/>
    <w:rsid w:val="008D518F"/>
    <w:rsid w:val="008D5626"/>
    <w:rsid w:val="008E0347"/>
    <w:rsid w:val="008E0C30"/>
    <w:rsid w:val="008E0D37"/>
    <w:rsid w:val="008E0FE8"/>
    <w:rsid w:val="008E156F"/>
    <w:rsid w:val="008E1B1C"/>
    <w:rsid w:val="008E26DA"/>
    <w:rsid w:val="008E27B2"/>
    <w:rsid w:val="008E2CA6"/>
    <w:rsid w:val="008E3296"/>
    <w:rsid w:val="008E3618"/>
    <w:rsid w:val="008E3A39"/>
    <w:rsid w:val="008E3F65"/>
    <w:rsid w:val="008E4E40"/>
    <w:rsid w:val="008E4EB6"/>
    <w:rsid w:val="008E50F1"/>
    <w:rsid w:val="008E5CD4"/>
    <w:rsid w:val="008E66A6"/>
    <w:rsid w:val="008E6C98"/>
    <w:rsid w:val="008E6CBE"/>
    <w:rsid w:val="008E70ED"/>
    <w:rsid w:val="008E72CE"/>
    <w:rsid w:val="008E756E"/>
    <w:rsid w:val="008E75AF"/>
    <w:rsid w:val="008F0160"/>
    <w:rsid w:val="008F0836"/>
    <w:rsid w:val="008F0C18"/>
    <w:rsid w:val="008F0EA8"/>
    <w:rsid w:val="008F11ED"/>
    <w:rsid w:val="008F12A7"/>
    <w:rsid w:val="008F1532"/>
    <w:rsid w:val="008F2022"/>
    <w:rsid w:val="008F21AE"/>
    <w:rsid w:val="008F2301"/>
    <w:rsid w:val="008F28A7"/>
    <w:rsid w:val="008F29A4"/>
    <w:rsid w:val="008F36C5"/>
    <w:rsid w:val="008F3708"/>
    <w:rsid w:val="008F37FC"/>
    <w:rsid w:val="008F3BD1"/>
    <w:rsid w:val="008F412F"/>
    <w:rsid w:val="008F484A"/>
    <w:rsid w:val="008F4AC3"/>
    <w:rsid w:val="008F501E"/>
    <w:rsid w:val="008F5A37"/>
    <w:rsid w:val="008F5D36"/>
    <w:rsid w:val="008F6EB3"/>
    <w:rsid w:val="008F71F6"/>
    <w:rsid w:val="008F7CC1"/>
    <w:rsid w:val="009002FE"/>
    <w:rsid w:val="00901152"/>
    <w:rsid w:val="00901306"/>
    <w:rsid w:val="0090171A"/>
    <w:rsid w:val="00901F0A"/>
    <w:rsid w:val="0090214E"/>
    <w:rsid w:val="00902DCA"/>
    <w:rsid w:val="0090325C"/>
    <w:rsid w:val="009032DC"/>
    <w:rsid w:val="009043C0"/>
    <w:rsid w:val="00904A91"/>
    <w:rsid w:val="00904F00"/>
    <w:rsid w:val="00904F55"/>
    <w:rsid w:val="009054DB"/>
    <w:rsid w:val="009054E7"/>
    <w:rsid w:val="0090588E"/>
    <w:rsid w:val="00905ECF"/>
    <w:rsid w:val="00906ABB"/>
    <w:rsid w:val="00906B2B"/>
    <w:rsid w:val="00906F26"/>
    <w:rsid w:val="00907CA4"/>
    <w:rsid w:val="00910205"/>
    <w:rsid w:val="009107A5"/>
    <w:rsid w:val="00910E13"/>
    <w:rsid w:val="00910EAE"/>
    <w:rsid w:val="009112D9"/>
    <w:rsid w:val="00912299"/>
    <w:rsid w:val="00912349"/>
    <w:rsid w:val="00912660"/>
    <w:rsid w:val="009131B6"/>
    <w:rsid w:val="009136A5"/>
    <w:rsid w:val="00913702"/>
    <w:rsid w:val="00913B19"/>
    <w:rsid w:val="00913F13"/>
    <w:rsid w:val="00914093"/>
    <w:rsid w:val="00914348"/>
    <w:rsid w:val="00914404"/>
    <w:rsid w:val="009146E5"/>
    <w:rsid w:val="00914E48"/>
    <w:rsid w:val="0091528C"/>
    <w:rsid w:val="0091578F"/>
    <w:rsid w:val="0091595B"/>
    <w:rsid w:val="00915BA0"/>
    <w:rsid w:val="00915DEF"/>
    <w:rsid w:val="00916427"/>
    <w:rsid w:val="0091694F"/>
    <w:rsid w:val="00916BEC"/>
    <w:rsid w:val="00916E05"/>
    <w:rsid w:val="009171AD"/>
    <w:rsid w:val="00917412"/>
    <w:rsid w:val="00917D7E"/>
    <w:rsid w:val="009205DC"/>
    <w:rsid w:val="009206D2"/>
    <w:rsid w:val="00920853"/>
    <w:rsid w:val="00920E7D"/>
    <w:rsid w:val="009211D9"/>
    <w:rsid w:val="0092134E"/>
    <w:rsid w:val="009214B7"/>
    <w:rsid w:val="00921C02"/>
    <w:rsid w:val="009227AC"/>
    <w:rsid w:val="009227CE"/>
    <w:rsid w:val="00922BD5"/>
    <w:rsid w:val="00923A5E"/>
    <w:rsid w:val="00924188"/>
    <w:rsid w:val="00924E02"/>
    <w:rsid w:val="00925A1F"/>
    <w:rsid w:val="00925CFA"/>
    <w:rsid w:val="009267B3"/>
    <w:rsid w:val="009268B8"/>
    <w:rsid w:val="00927333"/>
    <w:rsid w:val="00927492"/>
    <w:rsid w:val="00927681"/>
    <w:rsid w:val="00927C2E"/>
    <w:rsid w:val="0093010A"/>
    <w:rsid w:val="0093097A"/>
    <w:rsid w:val="00930D03"/>
    <w:rsid w:val="00931837"/>
    <w:rsid w:val="00931899"/>
    <w:rsid w:val="00931AF7"/>
    <w:rsid w:val="00931E3C"/>
    <w:rsid w:val="00931E84"/>
    <w:rsid w:val="0093269D"/>
    <w:rsid w:val="009326FB"/>
    <w:rsid w:val="00932D56"/>
    <w:rsid w:val="00932F69"/>
    <w:rsid w:val="009336A9"/>
    <w:rsid w:val="00933860"/>
    <w:rsid w:val="00933E0A"/>
    <w:rsid w:val="009342D0"/>
    <w:rsid w:val="00934672"/>
    <w:rsid w:val="009346F5"/>
    <w:rsid w:val="009354CE"/>
    <w:rsid w:val="009360C2"/>
    <w:rsid w:val="00936576"/>
    <w:rsid w:val="009367E9"/>
    <w:rsid w:val="00936DE9"/>
    <w:rsid w:val="00937A50"/>
    <w:rsid w:val="00937C05"/>
    <w:rsid w:val="0094009A"/>
    <w:rsid w:val="009407CC"/>
    <w:rsid w:val="00940E38"/>
    <w:rsid w:val="00940E77"/>
    <w:rsid w:val="009411C2"/>
    <w:rsid w:val="00941A1A"/>
    <w:rsid w:val="00941C38"/>
    <w:rsid w:val="00941E03"/>
    <w:rsid w:val="009420C5"/>
    <w:rsid w:val="009429A8"/>
    <w:rsid w:val="00942B02"/>
    <w:rsid w:val="00942C93"/>
    <w:rsid w:val="00943989"/>
    <w:rsid w:val="00943ACE"/>
    <w:rsid w:val="00943DCB"/>
    <w:rsid w:val="00944806"/>
    <w:rsid w:val="0094488F"/>
    <w:rsid w:val="00944DAE"/>
    <w:rsid w:val="00944F79"/>
    <w:rsid w:val="00945081"/>
    <w:rsid w:val="00945684"/>
    <w:rsid w:val="009456D9"/>
    <w:rsid w:val="00945942"/>
    <w:rsid w:val="009462EE"/>
    <w:rsid w:val="009467D3"/>
    <w:rsid w:val="009467E7"/>
    <w:rsid w:val="00946B54"/>
    <w:rsid w:val="00946E12"/>
    <w:rsid w:val="00946EB4"/>
    <w:rsid w:val="00946FA2"/>
    <w:rsid w:val="009478F2"/>
    <w:rsid w:val="009479EE"/>
    <w:rsid w:val="0095006E"/>
    <w:rsid w:val="00950700"/>
    <w:rsid w:val="00951309"/>
    <w:rsid w:val="00951480"/>
    <w:rsid w:val="0095176F"/>
    <w:rsid w:val="00951CC4"/>
    <w:rsid w:val="00951EFA"/>
    <w:rsid w:val="0095214B"/>
    <w:rsid w:val="009521CD"/>
    <w:rsid w:val="00952BAF"/>
    <w:rsid w:val="00952F63"/>
    <w:rsid w:val="00952FBF"/>
    <w:rsid w:val="009539B6"/>
    <w:rsid w:val="00953B81"/>
    <w:rsid w:val="009551E4"/>
    <w:rsid w:val="00956970"/>
    <w:rsid w:val="00956AB1"/>
    <w:rsid w:val="00956DE6"/>
    <w:rsid w:val="0095708D"/>
    <w:rsid w:val="00957513"/>
    <w:rsid w:val="00957F31"/>
    <w:rsid w:val="00957F3B"/>
    <w:rsid w:val="009605CD"/>
    <w:rsid w:val="00961386"/>
    <w:rsid w:val="009613C5"/>
    <w:rsid w:val="00961560"/>
    <w:rsid w:val="009616CF"/>
    <w:rsid w:val="0096170F"/>
    <w:rsid w:val="00961AD2"/>
    <w:rsid w:val="00962011"/>
    <w:rsid w:val="009627FC"/>
    <w:rsid w:val="00962EDC"/>
    <w:rsid w:val="0096314A"/>
    <w:rsid w:val="00964B29"/>
    <w:rsid w:val="00964E45"/>
    <w:rsid w:val="00965D6D"/>
    <w:rsid w:val="009665B4"/>
    <w:rsid w:val="0096670B"/>
    <w:rsid w:val="00966D3A"/>
    <w:rsid w:val="00970020"/>
    <w:rsid w:val="0097049F"/>
    <w:rsid w:val="00970E1F"/>
    <w:rsid w:val="00970F3E"/>
    <w:rsid w:val="00971B9F"/>
    <w:rsid w:val="0097304F"/>
    <w:rsid w:val="009738FC"/>
    <w:rsid w:val="00974626"/>
    <w:rsid w:val="009748AF"/>
    <w:rsid w:val="00975773"/>
    <w:rsid w:val="00975A9B"/>
    <w:rsid w:val="00975B9B"/>
    <w:rsid w:val="00975C40"/>
    <w:rsid w:val="00975EC7"/>
    <w:rsid w:val="00976453"/>
    <w:rsid w:val="00976594"/>
    <w:rsid w:val="00976E2D"/>
    <w:rsid w:val="009774E8"/>
    <w:rsid w:val="009777DA"/>
    <w:rsid w:val="009777FF"/>
    <w:rsid w:val="00977E95"/>
    <w:rsid w:val="00980719"/>
    <w:rsid w:val="009808FD"/>
    <w:rsid w:val="00980BBD"/>
    <w:rsid w:val="0098132D"/>
    <w:rsid w:val="00981476"/>
    <w:rsid w:val="0098179D"/>
    <w:rsid w:val="00981E98"/>
    <w:rsid w:val="0098298F"/>
    <w:rsid w:val="00983C9D"/>
    <w:rsid w:val="0098417E"/>
    <w:rsid w:val="009844EC"/>
    <w:rsid w:val="0098482E"/>
    <w:rsid w:val="00984EB6"/>
    <w:rsid w:val="00985655"/>
    <w:rsid w:val="00985743"/>
    <w:rsid w:val="009857AB"/>
    <w:rsid w:val="009857F2"/>
    <w:rsid w:val="00985CB9"/>
    <w:rsid w:val="00985EAE"/>
    <w:rsid w:val="00985F03"/>
    <w:rsid w:val="00985F40"/>
    <w:rsid w:val="00985F94"/>
    <w:rsid w:val="00986EBF"/>
    <w:rsid w:val="00987303"/>
    <w:rsid w:val="00987709"/>
    <w:rsid w:val="00987B9B"/>
    <w:rsid w:val="00990115"/>
    <w:rsid w:val="009904CB"/>
    <w:rsid w:val="00990A44"/>
    <w:rsid w:val="00990AB8"/>
    <w:rsid w:val="00990E98"/>
    <w:rsid w:val="00991475"/>
    <w:rsid w:val="00991AAE"/>
    <w:rsid w:val="00992111"/>
    <w:rsid w:val="0099220D"/>
    <w:rsid w:val="009922DD"/>
    <w:rsid w:val="009926F9"/>
    <w:rsid w:val="00992B27"/>
    <w:rsid w:val="00993404"/>
    <w:rsid w:val="00993538"/>
    <w:rsid w:val="00993722"/>
    <w:rsid w:val="00993A93"/>
    <w:rsid w:val="00994185"/>
    <w:rsid w:val="009942AF"/>
    <w:rsid w:val="009944C3"/>
    <w:rsid w:val="00994527"/>
    <w:rsid w:val="00994FA5"/>
    <w:rsid w:val="009950A2"/>
    <w:rsid w:val="0099525D"/>
    <w:rsid w:val="0099543F"/>
    <w:rsid w:val="009955B7"/>
    <w:rsid w:val="009955FF"/>
    <w:rsid w:val="00995783"/>
    <w:rsid w:val="00995F1F"/>
    <w:rsid w:val="009963F4"/>
    <w:rsid w:val="009973B8"/>
    <w:rsid w:val="0099742E"/>
    <w:rsid w:val="00997BEF"/>
    <w:rsid w:val="00997E13"/>
    <w:rsid w:val="009A0113"/>
    <w:rsid w:val="009A0C63"/>
    <w:rsid w:val="009A0D57"/>
    <w:rsid w:val="009A128F"/>
    <w:rsid w:val="009A1460"/>
    <w:rsid w:val="009A14A2"/>
    <w:rsid w:val="009A162A"/>
    <w:rsid w:val="009A19CB"/>
    <w:rsid w:val="009A1DCE"/>
    <w:rsid w:val="009A1FF8"/>
    <w:rsid w:val="009A25DF"/>
    <w:rsid w:val="009A26D2"/>
    <w:rsid w:val="009A2ACA"/>
    <w:rsid w:val="009A2C11"/>
    <w:rsid w:val="009A3572"/>
    <w:rsid w:val="009A3842"/>
    <w:rsid w:val="009A4462"/>
    <w:rsid w:val="009A44E7"/>
    <w:rsid w:val="009A490C"/>
    <w:rsid w:val="009A4FFB"/>
    <w:rsid w:val="009A5082"/>
    <w:rsid w:val="009A5249"/>
    <w:rsid w:val="009A52C6"/>
    <w:rsid w:val="009A5738"/>
    <w:rsid w:val="009A609B"/>
    <w:rsid w:val="009A63B1"/>
    <w:rsid w:val="009A66CF"/>
    <w:rsid w:val="009A69F5"/>
    <w:rsid w:val="009A7E35"/>
    <w:rsid w:val="009B0616"/>
    <w:rsid w:val="009B0938"/>
    <w:rsid w:val="009B0D27"/>
    <w:rsid w:val="009B10DB"/>
    <w:rsid w:val="009B1C19"/>
    <w:rsid w:val="009B2530"/>
    <w:rsid w:val="009B2A3C"/>
    <w:rsid w:val="009B2E07"/>
    <w:rsid w:val="009B31CC"/>
    <w:rsid w:val="009B3260"/>
    <w:rsid w:val="009B35B6"/>
    <w:rsid w:val="009B3C09"/>
    <w:rsid w:val="009B3F78"/>
    <w:rsid w:val="009B4641"/>
    <w:rsid w:val="009B4815"/>
    <w:rsid w:val="009B5612"/>
    <w:rsid w:val="009B58E2"/>
    <w:rsid w:val="009B6920"/>
    <w:rsid w:val="009B6999"/>
    <w:rsid w:val="009B6C93"/>
    <w:rsid w:val="009B6EE9"/>
    <w:rsid w:val="009B71A4"/>
    <w:rsid w:val="009B73F6"/>
    <w:rsid w:val="009B7458"/>
    <w:rsid w:val="009C00E9"/>
    <w:rsid w:val="009C073A"/>
    <w:rsid w:val="009C0D76"/>
    <w:rsid w:val="009C0FF3"/>
    <w:rsid w:val="009C1278"/>
    <w:rsid w:val="009C1464"/>
    <w:rsid w:val="009C154A"/>
    <w:rsid w:val="009C1749"/>
    <w:rsid w:val="009C1D8F"/>
    <w:rsid w:val="009C262D"/>
    <w:rsid w:val="009C27BD"/>
    <w:rsid w:val="009C287C"/>
    <w:rsid w:val="009C29DE"/>
    <w:rsid w:val="009C3AD2"/>
    <w:rsid w:val="009C3BC0"/>
    <w:rsid w:val="009C441B"/>
    <w:rsid w:val="009C46D0"/>
    <w:rsid w:val="009C472D"/>
    <w:rsid w:val="009C4A09"/>
    <w:rsid w:val="009C4A6F"/>
    <w:rsid w:val="009C4AF2"/>
    <w:rsid w:val="009C540A"/>
    <w:rsid w:val="009C5723"/>
    <w:rsid w:val="009C57DD"/>
    <w:rsid w:val="009C5A22"/>
    <w:rsid w:val="009C5FB0"/>
    <w:rsid w:val="009C60E2"/>
    <w:rsid w:val="009C613C"/>
    <w:rsid w:val="009C64A8"/>
    <w:rsid w:val="009C66D4"/>
    <w:rsid w:val="009C7017"/>
    <w:rsid w:val="009C7D39"/>
    <w:rsid w:val="009D0712"/>
    <w:rsid w:val="009D0963"/>
    <w:rsid w:val="009D0D51"/>
    <w:rsid w:val="009D1430"/>
    <w:rsid w:val="009D2F36"/>
    <w:rsid w:val="009D3378"/>
    <w:rsid w:val="009D343B"/>
    <w:rsid w:val="009D3BCD"/>
    <w:rsid w:val="009D3FC1"/>
    <w:rsid w:val="009D4349"/>
    <w:rsid w:val="009D4A56"/>
    <w:rsid w:val="009D6D86"/>
    <w:rsid w:val="009D6F1F"/>
    <w:rsid w:val="009D73A0"/>
    <w:rsid w:val="009D75FF"/>
    <w:rsid w:val="009D7C38"/>
    <w:rsid w:val="009E01AE"/>
    <w:rsid w:val="009E0369"/>
    <w:rsid w:val="009E0CDC"/>
    <w:rsid w:val="009E26F2"/>
    <w:rsid w:val="009E274E"/>
    <w:rsid w:val="009E2FDB"/>
    <w:rsid w:val="009E31C9"/>
    <w:rsid w:val="009E3A8A"/>
    <w:rsid w:val="009E3C7B"/>
    <w:rsid w:val="009E3CED"/>
    <w:rsid w:val="009E44F3"/>
    <w:rsid w:val="009E4607"/>
    <w:rsid w:val="009E4683"/>
    <w:rsid w:val="009E52C5"/>
    <w:rsid w:val="009E5332"/>
    <w:rsid w:val="009E5342"/>
    <w:rsid w:val="009E5549"/>
    <w:rsid w:val="009E5765"/>
    <w:rsid w:val="009E590A"/>
    <w:rsid w:val="009E5B77"/>
    <w:rsid w:val="009E60A3"/>
    <w:rsid w:val="009E6716"/>
    <w:rsid w:val="009E681F"/>
    <w:rsid w:val="009E68C3"/>
    <w:rsid w:val="009E69B3"/>
    <w:rsid w:val="009E6BFB"/>
    <w:rsid w:val="009E7671"/>
    <w:rsid w:val="009E7EF2"/>
    <w:rsid w:val="009F0A5D"/>
    <w:rsid w:val="009F1604"/>
    <w:rsid w:val="009F16BF"/>
    <w:rsid w:val="009F1D0F"/>
    <w:rsid w:val="009F2C73"/>
    <w:rsid w:val="009F300E"/>
    <w:rsid w:val="009F3080"/>
    <w:rsid w:val="009F3551"/>
    <w:rsid w:val="009F4396"/>
    <w:rsid w:val="009F4C97"/>
    <w:rsid w:val="009F5911"/>
    <w:rsid w:val="009F5EDE"/>
    <w:rsid w:val="009F65D9"/>
    <w:rsid w:val="009F713E"/>
    <w:rsid w:val="009F7140"/>
    <w:rsid w:val="009F7FFC"/>
    <w:rsid w:val="00A001DD"/>
    <w:rsid w:val="00A004EE"/>
    <w:rsid w:val="00A0059E"/>
    <w:rsid w:val="00A006FE"/>
    <w:rsid w:val="00A008D3"/>
    <w:rsid w:val="00A020C4"/>
    <w:rsid w:val="00A0230D"/>
    <w:rsid w:val="00A028B7"/>
    <w:rsid w:val="00A02AC6"/>
    <w:rsid w:val="00A03112"/>
    <w:rsid w:val="00A031D7"/>
    <w:rsid w:val="00A03458"/>
    <w:rsid w:val="00A03C5C"/>
    <w:rsid w:val="00A03CA9"/>
    <w:rsid w:val="00A03D49"/>
    <w:rsid w:val="00A042D9"/>
    <w:rsid w:val="00A04465"/>
    <w:rsid w:val="00A06514"/>
    <w:rsid w:val="00A07EB8"/>
    <w:rsid w:val="00A10EA1"/>
    <w:rsid w:val="00A1160E"/>
    <w:rsid w:val="00A12323"/>
    <w:rsid w:val="00A126E0"/>
    <w:rsid w:val="00A12751"/>
    <w:rsid w:val="00A12B69"/>
    <w:rsid w:val="00A1398C"/>
    <w:rsid w:val="00A13CA2"/>
    <w:rsid w:val="00A13CD0"/>
    <w:rsid w:val="00A13D34"/>
    <w:rsid w:val="00A143E0"/>
    <w:rsid w:val="00A14936"/>
    <w:rsid w:val="00A149BD"/>
    <w:rsid w:val="00A14DF2"/>
    <w:rsid w:val="00A1505B"/>
    <w:rsid w:val="00A1527D"/>
    <w:rsid w:val="00A16360"/>
    <w:rsid w:val="00A163E6"/>
    <w:rsid w:val="00A17306"/>
    <w:rsid w:val="00A173AF"/>
    <w:rsid w:val="00A1740C"/>
    <w:rsid w:val="00A17677"/>
    <w:rsid w:val="00A17C03"/>
    <w:rsid w:val="00A20CF9"/>
    <w:rsid w:val="00A212A2"/>
    <w:rsid w:val="00A2136F"/>
    <w:rsid w:val="00A218E9"/>
    <w:rsid w:val="00A21BC0"/>
    <w:rsid w:val="00A21D75"/>
    <w:rsid w:val="00A224DC"/>
    <w:rsid w:val="00A22714"/>
    <w:rsid w:val="00A2272C"/>
    <w:rsid w:val="00A22731"/>
    <w:rsid w:val="00A22C8A"/>
    <w:rsid w:val="00A23790"/>
    <w:rsid w:val="00A23856"/>
    <w:rsid w:val="00A23C68"/>
    <w:rsid w:val="00A24008"/>
    <w:rsid w:val="00A24743"/>
    <w:rsid w:val="00A25A5E"/>
    <w:rsid w:val="00A25AD1"/>
    <w:rsid w:val="00A25B64"/>
    <w:rsid w:val="00A26A24"/>
    <w:rsid w:val="00A26B18"/>
    <w:rsid w:val="00A274F2"/>
    <w:rsid w:val="00A27A0A"/>
    <w:rsid w:val="00A27A5D"/>
    <w:rsid w:val="00A27C7A"/>
    <w:rsid w:val="00A3030B"/>
    <w:rsid w:val="00A3048A"/>
    <w:rsid w:val="00A304ED"/>
    <w:rsid w:val="00A30561"/>
    <w:rsid w:val="00A30A1D"/>
    <w:rsid w:val="00A312A8"/>
    <w:rsid w:val="00A312C0"/>
    <w:rsid w:val="00A31386"/>
    <w:rsid w:val="00A313DD"/>
    <w:rsid w:val="00A3201F"/>
    <w:rsid w:val="00A32981"/>
    <w:rsid w:val="00A33126"/>
    <w:rsid w:val="00A337D3"/>
    <w:rsid w:val="00A339BB"/>
    <w:rsid w:val="00A3458F"/>
    <w:rsid w:val="00A3499C"/>
    <w:rsid w:val="00A34A00"/>
    <w:rsid w:val="00A36F20"/>
    <w:rsid w:val="00A3717B"/>
    <w:rsid w:val="00A376DC"/>
    <w:rsid w:val="00A37A4D"/>
    <w:rsid w:val="00A37E20"/>
    <w:rsid w:val="00A37E47"/>
    <w:rsid w:val="00A40DA2"/>
    <w:rsid w:val="00A41027"/>
    <w:rsid w:val="00A411F2"/>
    <w:rsid w:val="00A412A8"/>
    <w:rsid w:val="00A41405"/>
    <w:rsid w:val="00A4197E"/>
    <w:rsid w:val="00A423E1"/>
    <w:rsid w:val="00A425A8"/>
    <w:rsid w:val="00A42AB0"/>
    <w:rsid w:val="00A433CA"/>
    <w:rsid w:val="00A437B1"/>
    <w:rsid w:val="00A43827"/>
    <w:rsid w:val="00A43AE4"/>
    <w:rsid w:val="00A44049"/>
    <w:rsid w:val="00A4439D"/>
    <w:rsid w:val="00A443BE"/>
    <w:rsid w:val="00A4446A"/>
    <w:rsid w:val="00A44606"/>
    <w:rsid w:val="00A44A3E"/>
    <w:rsid w:val="00A45761"/>
    <w:rsid w:val="00A459C9"/>
    <w:rsid w:val="00A45E02"/>
    <w:rsid w:val="00A46114"/>
    <w:rsid w:val="00A4624D"/>
    <w:rsid w:val="00A4627B"/>
    <w:rsid w:val="00A46629"/>
    <w:rsid w:val="00A46D19"/>
    <w:rsid w:val="00A46ED4"/>
    <w:rsid w:val="00A4706B"/>
    <w:rsid w:val="00A50771"/>
    <w:rsid w:val="00A512FB"/>
    <w:rsid w:val="00A5159A"/>
    <w:rsid w:val="00A515CE"/>
    <w:rsid w:val="00A51AEC"/>
    <w:rsid w:val="00A51FBA"/>
    <w:rsid w:val="00A530BA"/>
    <w:rsid w:val="00A5316F"/>
    <w:rsid w:val="00A53315"/>
    <w:rsid w:val="00A53501"/>
    <w:rsid w:val="00A54968"/>
    <w:rsid w:val="00A54B23"/>
    <w:rsid w:val="00A54D07"/>
    <w:rsid w:val="00A55087"/>
    <w:rsid w:val="00A55EAF"/>
    <w:rsid w:val="00A561D6"/>
    <w:rsid w:val="00A56B54"/>
    <w:rsid w:val="00A56BEE"/>
    <w:rsid w:val="00A574BC"/>
    <w:rsid w:val="00A57DBD"/>
    <w:rsid w:val="00A600D1"/>
    <w:rsid w:val="00A6098B"/>
    <w:rsid w:val="00A60A6F"/>
    <w:rsid w:val="00A6151E"/>
    <w:rsid w:val="00A61999"/>
    <w:rsid w:val="00A61BC9"/>
    <w:rsid w:val="00A6213B"/>
    <w:rsid w:val="00A62163"/>
    <w:rsid w:val="00A6365D"/>
    <w:rsid w:val="00A638C9"/>
    <w:rsid w:val="00A6394C"/>
    <w:rsid w:val="00A63DDD"/>
    <w:rsid w:val="00A6477B"/>
    <w:rsid w:val="00A647A0"/>
    <w:rsid w:val="00A657F8"/>
    <w:rsid w:val="00A65B04"/>
    <w:rsid w:val="00A65CE6"/>
    <w:rsid w:val="00A66471"/>
    <w:rsid w:val="00A66509"/>
    <w:rsid w:val="00A666CA"/>
    <w:rsid w:val="00A66745"/>
    <w:rsid w:val="00A67275"/>
    <w:rsid w:val="00A67331"/>
    <w:rsid w:val="00A677DA"/>
    <w:rsid w:val="00A67FBD"/>
    <w:rsid w:val="00A70951"/>
    <w:rsid w:val="00A70CBC"/>
    <w:rsid w:val="00A70DB5"/>
    <w:rsid w:val="00A70E86"/>
    <w:rsid w:val="00A70FF2"/>
    <w:rsid w:val="00A7140A"/>
    <w:rsid w:val="00A7158A"/>
    <w:rsid w:val="00A71C1A"/>
    <w:rsid w:val="00A71EF4"/>
    <w:rsid w:val="00A71FA4"/>
    <w:rsid w:val="00A729DB"/>
    <w:rsid w:val="00A72C00"/>
    <w:rsid w:val="00A72D17"/>
    <w:rsid w:val="00A72E9B"/>
    <w:rsid w:val="00A7344E"/>
    <w:rsid w:val="00A7386C"/>
    <w:rsid w:val="00A7403F"/>
    <w:rsid w:val="00A74221"/>
    <w:rsid w:val="00A7472F"/>
    <w:rsid w:val="00A74AD3"/>
    <w:rsid w:val="00A74B30"/>
    <w:rsid w:val="00A7546B"/>
    <w:rsid w:val="00A75C51"/>
    <w:rsid w:val="00A75E32"/>
    <w:rsid w:val="00A761E7"/>
    <w:rsid w:val="00A764D2"/>
    <w:rsid w:val="00A766BE"/>
    <w:rsid w:val="00A76AC2"/>
    <w:rsid w:val="00A76DB4"/>
    <w:rsid w:val="00A76EBD"/>
    <w:rsid w:val="00A76F4E"/>
    <w:rsid w:val="00A77369"/>
    <w:rsid w:val="00A77C48"/>
    <w:rsid w:val="00A77D0A"/>
    <w:rsid w:val="00A80276"/>
    <w:rsid w:val="00A805CF"/>
    <w:rsid w:val="00A8089A"/>
    <w:rsid w:val="00A8089F"/>
    <w:rsid w:val="00A809ED"/>
    <w:rsid w:val="00A814F8"/>
    <w:rsid w:val="00A81588"/>
    <w:rsid w:val="00A818A4"/>
    <w:rsid w:val="00A81964"/>
    <w:rsid w:val="00A820C0"/>
    <w:rsid w:val="00A82375"/>
    <w:rsid w:val="00A82B2F"/>
    <w:rsid w:val="00A82C1E"/>
    <w:rsid w:val="00A82D26"/>
    <w:rsid w:val="00A8312C"/>
    <w:rsid w:val="00A83C68"/>
    <w:rsid w:val="00A83F18"/>
    <w:rsid w:val="00A843C0"/>
    <w:rsid w:val="00A84DCB"/>
    <w:rsid w:val="00A84EBE"/>
    <w:rsid w:val="00A852BE"/>
    <w:rsid w:val="00A8778F"/>
    <w:rsid w:val="00A903FB"/>
    <w:rsid w:val="00A90965"/>
    <w:rsid w:val="00A91513"/>
    <w:rsid w:val="00A91B2D"/>
    <w:rsid w:val="00A92249"/>
    <w:rsid w:val="00A92783"/>
    <w:rsid w:val="00A92B5A"/>
    <w:rsid w:val="00A92D33"/>
    <w:rsid w:val="00A92F00"/>
    <w:rsid w:val="00A92F4C"/>
    <w:rsid w:val="00A93BA3"/>
    <w:rsid w:val="00A93EF5"/>
    <w:rsid w:val="00A94FD3"/>
    <w:rsid w:val="00A95556"/>
    <w:rsid w:val="00A9587D"/>
    <w:rsid w:val="00A959A1"/>
    <w:rsid w:val="00A95AE6"/>
    <w:rsid w:val="00A9698B"/>
    <w:rsid w:val="00A969D7"/>
    <w:rsid w:val="00A96D82"/>
    <w:rsid w:val="00A970A9"/>
    <w:rsid w:val="00A97679"/>
    <w:rsid w:val="00A97743"/>
    <w:rsid w:val="00A97C7F"/>
    <w:rsid w:val="00AA04C7"/>
    <w:rsid w:val="00AA0C81"/>
    <w:rsid w:val="00AA0DAA"/>
    <w:rsid w:val="00AA12E4"/>
    <w:rsid w:val="00AA14E6"/>
    <w:rsid w:val="00AA1782"/>
    <w:rsid w:val="00AA21D6"/>
    <w:rsid w:val="00AA299B"/>
    <w:rsid w:val="00AA2A22"/>
    <w:rsid w:val="00AA34B3"/>
    <w:rsid w:val="00AA35D0"/>
    <w:rsid w:val="00AA388C"/>
    <w:rsid w:val="00AA3A46"/>
    <w:rsid w:val="00AA4031"/>
    <w:rsid w:val="00AA425C"/>
    <w:rsid w:val="00AA42FD"/>
    <w:rsid w:val="00AA4ADA"/>
    <w:rsid w:val="00AA5606"/>
    <w:rsid w:val="00AA58A6"/>
    <w:rsid w:val="00AA5A5F"/>
    <w:rsid w:val="00AA5B80"/>
    <w:rsid w:val="00AA5C48"/>
    <w:rsid w:val="00AA6129"/>
    <w:rsid w:val="00AA61A3"/>
    <w:rsid w:val="00AA653A"/>
    <w:rsid w:val="00AA695D"/>
    <w:rsid w:val="00AA6B7F"/>
    <w:rsid w:val="00AA6D5D"/>
    <w:rsid w:val="00AA7B48"/>
    <w:rsid w:val="00AB001E"/>
    <w:rsid w:val="00AB003E"/>
    <w:rsid w:val="00AB06AD"/>
    <w:rsid w:val="00AB0968"/>
    <w:rsid w:val="00AB0EEA"/>
    <w:rsid w:val="00AB11DE"/>
    <w:rsid w:val="00AB12D5"/>
    <w:rsid w:val="00AB1D8A"/>
    <w:rsid w:val="00AB1EEA"/>
    <w:rsid w:val="00AB1F0C"/>
    <w:rsid w:val="00AB32C2"/>
    <w:rsid w:val="00AB32D3"/>
    <w:rsid w:val="00AB37E3"/>
    <w:rsid w:val="00AB3FB6"/>
    <w:rsid w:val="00AB459C"/>
    <w:rsid w:val="00AB502C"/>
    <w:rsid w:val="00AB5331"/>
    <w:rsid w:val="00AB5455"/>
    <w:rsid w:val="00AB5ABC"/>
    <w:rsid w:val="00AB5E75"/>
    <w:rsid w:val="00AB60E0"/>
    <w:rsid w:val="00AB6196"/>
    <w:rsid w:val="00AB6B25"/>
    <w:rsid w:val="00AB6CE5"/>
    <w:rsid w:val="00AB6D41"/>
    <w:rsid w:val="00AB746D"/>
    <w:rsid w:val="00AB7CDA"/>
    <w:rsid w:val="00AB7E7B"/>
    <w:rsid w:val="00AC043C"/>
    <w:rsid w:val="00AC0833"/>
    <w:rsid w:val="00AC087B"/>
    <w:rsid w:val="00AC0FF3"/>
    <w:rsid w:val="00AC14C2"/>
    <w:rsid w:val="00AC1B9F"/>
    <w:rsid w:val="00AC1E8D"/>
    <w:rsid w:val="00AC2466"/>
    <w:rsid w:val="00AC3384"/>
    <w:rsid w:val="00AC3682"/>
    <w:rsid w:val="00AC3EE0"/>
    <w:rsid w:val="00AC408E"/>
    <w:rsid w:val="00AC461C"/>
    <w:rsid w:val="00AC4D53"/>
    <w:rsid w:val="00AC5420"/>
    <w:rsid w:val="00AC5CC2"/>
    <w:rsid w:val="00AC630C"/>
    <w:rsid w:val="00AC6640"/>
    <w:rsid w:val="00AC6694"/>
    <w:rsid w:val="00AC6DAE"/>
    <w:rsid w:val="00AC6E4C"/>
    <w:rsid w:val="00AC73DB"/>
    <w:rsid w:val="00AD0098"/>
    <w:rsid w:val="00AD0517"/>
    <w:rsid w:val="00AD060E"/>
    <w:rsid w:val="00AD0A65"/>
    <w:rsid w:val="00AD0B5F"/>
    <w:rsid w:val="00AD0C95"/>
    <w:rsid w:val="00AD0FEA"/>
    <w:rsid w:val="00AD10A6"/>
    <w:rsid w:val="00AD15A5"/>
    <w:rsid w:val="00AD186D"/>
    <w:rsid w:val="00AD1899"/>
    <w:rsid w:val="00AD1BF9"/>
    <w:rsid w:val="00AD1BFD"/>
    <w:rsid w:val="00AD220B"/>
    <w:rsid w:val="00AD259C"/>
    <w:rsid w:val="00AD2CD2"/>
    <w:rsid w:val="00AD32A9"/>
    <w:rsid w:val="00AD38A1"/>
    <w:rsid w:val="00AD4139"/>
    <w:rsid w:val="00AD416F"/>
    <w:rsid w:val="00AD423E"/>
    <w:rsid w:val="00AD48FA"/>
    <w:rsid w:val="00AD4F7D"/>
    <w:rsid w:val="00AD595E"/>
    <w:rsid w:val="00AD5D22"/>
    <w:rsid w:val="00AD5E36"/>
    <w:rsid w:val="00AD5F52"/>
    <w:rsid w:val="00AD619C"/>
    <w:rsid w:val="00AD6426"/>
    <w:rsid w:val="00AD6953"/>
    <w:rsid w:val="00AD6CB0"/>
    <w:rsid w:val="00AD7490"/>
    <w:rsid w:val="00AD77AF"/>
    <w:rsid w:val="00AD7874"/>
    <w:rsid w:val="00AD7CEF"/>
    <w:rsid w:val="00AD7D3C"/>
    <w:rsid w:val="00AE0346"/>
    <w:rsid w:val="00AE0399"/>
    <w:rsid w:val="00AE084C"/>
    <w:rsid w:val="00AE08E5"/>
    <w:rsid w:val="00AE097F"/>
    <w:rsid w:val="00AE0E0E"/>
    <w:rsid w:val="00AE12CF"/>
    <w:rsid w:val="00AE2363"/>
    <w:rsid w:val="00AE27AD"/>
    <w:rsid w:val="00AE2825"/>
    <w:rsid w:val="00AE28FF"/>
    <w:rsid w:val="00AE293B"/>
    <w:rsid w:val="00AE29CF"/>
    <w:rsid w:val="00AE2B56"/>
    <w:rsid w:val="00AE3420"/>
    <w:rsid w:val="00AE3E35"/>
    <w:rsid w:val="00AE40DF"/>
    <w:rsid w:val="00AE45DD"/>
    <w:rsid w:val="00AE460B"/>
    <w:rsid w:val="00AE5011"/>
    <w:rsid w:val="00AE54C6"/>
    <w:rsid w:val="00AE5607"/>
    <w:rsid w:val="00AE6137"/>
    <w:rsid w:val="00AE627C"/>
    <w:rsid w:val="00AE62F0"/>
    <w:rsid w:val="00AE6FE0"/>
    <w:rsid w:val="00AE7139"/>
    <w:rsid w:val="00AE76D2"/>
    <w:rsid w:val="00AE7C01"/>
    <w:rsid w:val="00AE7C23"/>
    <w:rsid w:val="00AE7D51"/>
    <w:rsid w:val="00AF035D"/>
    <w:rsid w:val="00AF0690"/>
    <w:rsid w:val="00AF070C"/>
    <w:rsid w:val="00AF0884"/>
    <w:rsid w:val="00AF1243"/>
    <w:rsid w:val="00AF14C7"/>
    <w:rsid w:val="00AF15D0"/>
    <w:rsid w:val="00AF19B4"/>
    <w:rsid w:val="00AF19DF"/>
    <w:rsid w:val="00AF1BAE"/>
    <w:rsid w:val="00AF26AC"/>
    <w:rsid w:val="00AF2DB8"/>
    <w:rsid w:val="00AF3461"/>
    <w:rsid w:val="00AF39C1"/>
    <w:rsid w:val="00AF39CC"/>
    <w:rsid w:val="00AF3ADD"/>
    <w:rsid w:val="00AF3DBC"/>
    <w:rsid w:val="00AF4750"/>
    <w:rsid w:val="00AF4B29"/>
    <w:rsid w:val="00AF4C13"/>
    <w:rsid w:val="00AF5850"/>
    <w:rsid w:val="00AF5DA5"/>
    <w:rsid w:val="00AF5DBD"/>
    <w:rsid w:val="00AF6211"/>
    <w:rsid w:val="00AF64A8"/>
    <w:rsid w:val="00AF66F9"/>
    <w:rsid w:val="00AF7B16"/>
    <w:rsid w:val="00B0054E"/>
    <w:rsid w:val="00B00DCA"/>
    <w:rsid w:val="00B00E53"/>
    <w:rsid w:val="00B01249"/>
    <w:rsid w:val="00B01492"/>
    <w:rsid w:val="00B0286A"/>
    <w:rsid w:val="00B029B9"/>
    <w:rsid w:val="00B02AB9"/>
    <w:rsid w:val="00B02E34"/>
    <w:rsid w:val="00B02E46"/>
    <w:rsid w:val="00B03078"/>
    <w:rsid w:val="00B039AA"/>
    <w:rsid w:val="00B04479"/>
    <w:rsid w:val="00B04907"/>
    <w:rsid w:val="00B04934"/>
    <w:rsid w:val="00B04D9B"/>
    <w:rsid w:val="00B05391"/>
    <w:rsid w:val="00B05967"/>
    <w:rsid w:val="00B05A2F"/>
    <w:rsid w:val="00B05E65"/>
    <w:rsid w:val="00B0634F"/>
    <w:rsid w:val="00B0698A"/>
    <w:rsid w:val="00B074A9"/>
    <w:rsid w:val="00B075D5"/>
    <w:rsid w:val="00B07B41"/>
    <w:rsid w:val="00B07BFC"/>
    <w:rsid w:val="00B07C84"/>
    <w:rsid w:val="00B07CBE"/>
    <w:rsid w:val="00B10279"/>
    <w:rsid w:val="00B1094B"/>
    <w:rsid w:val="00B11C87"/>
    <w:rsid w:val="00B11E05"/>
    <w:rsid w:val="00B11FB4"/>
    <w:rsid w:val="00B124B3"/>
    <w:rsid w:val="00B12B6B"/>
    <w:rsid w:val="00B12F04"/>
    <w:rsid w:val="00B130D9"/>
    <w:rsid w:val="00B13390"/>
    <w:rsid w:val="00B13851"/>
    <w:rsid w:val="00B139AD"/>
    <w:rsid w:val="00B13A51"/>
    <w:rsid w:val="00B13C99"/>
    <w:rsid w:val="00B1494F"/>
    <w:rsid w:val="00B15EF4"/>
    <w:rsid w:val="00B15FB0"/>
    <w:rsid w:val="00B163FE"/>
    <w:rsid w:val="00B16A86"/>
    <w:rsid w:val="00B17272"/>
    <w:rsid w:val="00B17730"/>
    <w:rsid w:val="00B1799C"/>
    <w:rsid w:val="00B179FA"/>
    <w:rsid w:val="00B17B75"/>
    <w:rsid w:val="00B17C2C"/>
    <w:rsid w:val="00B201B8"/>
    <w:rsid w:val="00B2074F"/>
    <w:rsid w:val="00B20750"/>
    <w:rsid w:val="00B20979"/>
    <w:rsid w:val="00B20D0F"/>
    <w:rsid w:val="00B21CE9"/>
    <w:rsid w:val="00B21E9C"/>
    <w:rsid w:val="00B21F12"/>
    <w:rsid w:val="00B22366"/>
    <w:rsid w:val="00B223A4"/>
    <w:rsid w:val="00B22B2D"/>
    <w:rsid w:val="00B22B6D"/>
    <w:rsid w:val="00B22D78"/>
    <w:rsid w:val="00B23954"/>
    <w:rsid w:val="00B24161"/>
    <w:rsid w:val="00B241F2"/>
    <w:rsid w:val="00B24E3E"/>
    <w:rsid w:val="00B24EB4"/>
    <w:rsid w:val="00B25955"/>
    <w:rsid w:val="00B25E63"/>
    <w:rsid w:val="00B26DA9"/>
    <w:rsid w:val="00B270D5"/>
    <w:rsid w:val="00B27366"/>
    <w:rsid w:val="00B27532"/>
    <w:rsid w:val="00B27C88"/>
    <w:rsid w:val="00B27DDD"/>
    <w:rsid w:val="00B301BA"/>
    <w:rsid w:val="00B302A6"/>
    <w:rsid w:val="00B308CA"/>
    <w:rsid w:val="00B30A58"/>
    <w:rsid w:val="00B3141C"/>
    <w:rsid w:val="00B314B2"/>
    <w:rsid w:val="00B31B2A"/>
    <w:rsid w:val="00B32766"/>
    <w:rsid w:val="00B32A73"/>
    <w:rsid w:val="00B33475"/>
    <w:rsid w:val="00B33561"/>
    <w:rsid w:val="00B339B1"/>
    <w:rsid w:val="00B33A43"/>
    <w:rsid w:val="00B33B45"/>
    <w:rsid w:val="00B33E97"/>
    <w:rsid w:val="00B34088"/>
    <w:rsid w:val="00B352CB"/>
    <w:rsid w:val="00B35D8B"/>
    <w:rsid w:val="00B3679F"/>
    <w:rsid w:val="00B367A4"/>
    <w:rsid w:val="00B36ABE"/>
    <w:rsid w:val="00B37696"/>
    <w:rsid w:val="00B37962"/>
    <w:rsid w:val="00B37AD4"/>
    <w:rsid w:val="00B37C90"/>
    <w:rsid w:val="00B37E28"/>
    <w:rsid w:val="00B37FAF"/>
    <w:rsid w:val="00B402FC"/>
    <w:rsid w:val="00B4066E"/>
    <w:rsid w:val="00B4192E"/>
    <w:rsid w:val="00B41A8C"/>
    <w:rsid w:val="00B41D7D"/>
    <w:rsid w:val="00B42113"/>
    <w:rsid w:val="00B42560"/>
    <w:rsid w:val="00B42B5F"/>
    <w:rsid w:val="00B42EAF"/>
    <w:rsid w:val="00B433CB"/>
    <w:rsid w:val="00B439B2"/>
    <w:rsid w:val="00B45406"/>
    <w:rsid w:val="00B455B3"/>
    <w:rsid w:val="00B4589F"/>
    <w:rsid w:val="00B45CCF"/>
    <w:rsid w:val="00B46B67"/>
    <w:rsid w:val="00B46DFA"/>
    <w:rsid w:val="00B479BF"/>
    <w:rsid w:val="00B505A9"/>
    <w:rsid w:val="00B507AF"/>
    <w:rsid w:val="00B50894"/>
    <w:rsid w:val="00B51088"/>
    <w:rsid w:val="00B51267"/>
    <w:rsid w:val="00B526D1"/>
    <w:rsid w:val="00B52BAE"/>
    <w:rsid w:val="00B53299"/>
    <w:rsid w:val="00B5351B"/>
    <w:rsid w:val="00B53547"/>
    <w:rsid w:val="00B53577"/>
    <w:rsid w:val="00B539B2"/>
    <w:rsid w:val="00B539EB"/>
    <w:rsid w:val="00B53C6F"/>
    <w:rsid w:val="00B5412D"/>
    <w:rsid w:val="00B547FA"/>
    <w:rsid w:val="00B55688"/>
    <w:rsid w:val="00B55745"/>
    <w:rsid w:val="00B55F0A"/>
    <w:rsid w:val="00B561EB"/>
    <w:rsid w:val="00B5644B"/>
    <w:rsid w:val="00B56D23"/>
    <w:rsid w:val="00B56F14"/>
    <w:rsid w:val="00B575F8"/>
    <w:rsid w:val="00B57607"/>
    <w:rsid w:val="00B601DA"/>
    <w:rsid w:val="00B60332"/>
    <w:rsid w:val="00B606B3"/>
    <w:rsid w:val="00B60BD1"/>
    <w:rsid w:val="00B6102A"/>
    <w:rsid w:val="00B61B71"/>
    <w:rsid w:val="00B61E20"/>
    <w:rsid w:val="00B62A04"/>
    <w:rsid w:val="00B6323C"/>
    <w:rsid w:val="00B63DFA"/>
    <w:rsid w:val="00B64737"/>
    <w:rsid w:val="00B65308"/>
    <w:rsid w:val="00B6539A"/>
    <w:rsid w:val="00B6570F"/>
    <w:rsid w:val="00B658B7"/>
    <w:rsid w:val="00B65DED"/>
    <w:rsid w:val="00B65FB0"/>
    <w:rsid w:val="00B66079"/>
    <w:rsid w:val="00B66091"/>
    <w:rsid w:val="00B66174"/>
    <w:rsid w:val="00B66273"/>
    <w:rsid w:val="00B66AFE"/>
    <w:rsid w:val="00B67591"/>
    <w:rsid w:val="00B677F1"/>
    <w:rsid w:val="00B700AA"/>
    <w:rsid w:val="00B703FC"/>
    <w:rsid w:val="00B70DD3"/>
    <w:rsid w:val="00B710A7"/>
    <w:rsid w:val="00B718FF"/>
    <w:rsid w:val="00B71FDA"/>
    <w:rsid w:val="00B72634"/>
    <w:rsid w:val="00B72A51"/>
    <w:rsid w:val="00B72A5C"/>
    <w:rsid w:val="00B7317A"/>
    <w:rsid w:val="00B732D1"/>
    <w:rsid w:val="00B7330A"/>
    <w:rsid w:val="00B73492"/>
    <w:rsid w:val="00B73A75"/>
    <w:rsid w:val="00B73E26"/>
    <w:rsid w:val="00B74081"/>
    <w:rsid w:val="00B7420B"/>
    <w:rsid w:val="00B751B8"/>
    <w:rsid w:val="00B756F5"/>
    <w:rsid w:val="00B7603D"/>
    <w:rsid w:val="00B76195"/>
    <w:rsid w:val="00B7645F"/>
    <w:rsid w:val="00B76619"/>
    <w:rsid w:val="00B76D31"/>
    <w:rsid w:val="00B77178"/>
    <w:rsid w:val="00B772D3"/>
    <w:rsid w:val="00B77AE0"/>
    <w:rsid w:val="00B807E9"/>
    <w:rsid w:val="00B80F4F"/>
    <w:rsid w:val="00B815FB"/>
    <w:rsid w:val="00B819CC"/>
    <w:rsid w:val="00B822C4"/>
    <w:rsid w:val="00B8251D"/>
    <w:rsid w:val="00B82A03"/>
    <w:rsid w:val="00B82BCA"/>
    <w:rsid w:val="00B83592"/>
    <w:rsid w:val="00B837F4"/>
    <w:rsid w:val="00B843F5"/>
    <w:rsid w:val="00B84518"/>
    <w:rsid w:val="00B847EE"/>
    <w:rsid w:val="00B84B29"/>
    <w:rsid w:val="00B84F84"/>
    <w:rsid w:val="00B8599D"/>
    <w:rsid w:val="00B85E41"/>
    <w:rsid w:val="00B85F8A"/>
    <w:rsid w:val="00B8608B"/>
    <w:rsid w:val="00B8691F"/>
    <w:rsid w:val="00B86A91"/>
    <w:rsid w:val="00B86AB2"/>
    <w:rsid w:val="00B86B60"/>
    <w:rsid w:val="00B872D7"/>
    <w:rsid w:val="00B87557"/>
    <w:rsid w:val="00B90992"/>
    <w:rsid w:val="00B90C4F"/>
    <w:rsid w:val="00B918C8"/>
    <w:rsid w:val="00B91B37"/>
    <w:rsid w:val="00B91EB0"/>
    <w:rsid w:val="00B932B5"/>
    <w:rsid w:val="00B94FEC"/>
    <w:rsid w:val="00B95231"/>
    <w:rsid w:val="00B954E6"/>
    <w:rsid w:val="00B95615"/>
    <w:rsid w:val="00B95971"/>
    <w:rsid w:val="00B95B02"/>
    <w:rsid w:val="00B95BA1"/>
    <w:rsid w:val="00B963CF"/>
    <w:rsid w:val="00B966B4"/>
    <w:rsid w:val="00B96B5D"/>
    <w:rsid w:val="00B96D70"/>
    <w:rsid w:val="00B9754F"/>
    <w:rsid w:val="00B97697"/>
    <w:rsid w:val="00B976C6"/>
    <w:rsid w:val="00B97849"/>
    <w:rsid w:val="00B97868"/>
    <w:rsid w:val="00B979AD"/>
    <w:rsid w:val="00B97EA8"/>
    <w:rsid w:val="00BA01D9"/>
    <w:rsid w:val="00BA01E6"/>
    <w:rsid w:val="00BA0808"/>
    <w:rsid w:val="00BA0967"/>
    <w:rsid w:val="00BA0BFE"/>
    <w:rsid w:val="00BA0DFB"/>
    <w:rsid w:val="00BA1040"/>
    <w:rsid w:val="00BA11E6"/>
    <w:rsid w:val="00BA147B"/>
    <w:rsid w:val="00BA18D6"/>
    <w:rsid w:val="00BA1B2E"/>
    <w:rsid w:val="00BA2710"/>
    <w:rsid w:val="00BA2D07"/>
    <w:rsid w:val="00BA2FF5"/>
    <w:rsid w:val="00BA3948"/>
    <w:rsid w:val="00BA3B8B"/>
    <w:rsid w:val="00BA3E5B"/>
    <w:rsid w:val="00BA4CCE"/>
    <w:rsid w:val="00BA4DE2"/>
    <w:rsid w:val="00BA50E1"/>
    <w:rsid w:val="00BA5987"/>
    <w:rsid w:val="00BA650C"/>
    <w:rsid w:val="00BA68AF"/>
    <w:rsid w:val="00BA68BD"/>
    <w:rsid w:val="00BA6EEE"/>
    <w:rsid w:val="00BA6FA1"/>
    <w:rsid w:val="00BA779C"/>
    <w:rsid w:val="00BA78FC"/>
    <w:rsid w:val="00BB0098"/>
    <w:rsid w:val="00BB016D"/>
    <w:rsid w:val="00BB0E7D"/>
    <w:rsid w:val="00BB0FFB"/>
    <w:rsid w:val="00BB139C"/>
    <w:rsid w:val="00BB15B9"/>
    <w:rsid w:val="00BB1698"/>
    <w:rsid w:val="00BB1817"/>
    <w:rsid w:val="00BB207B"/>
    <w:rsid w:val="00BB226B"/>
    <w:rsid w:val="00BB2716"/>
    <w:rsid w:val="00BB2A66"/>
    <w:rsid w:val="00BB3207"/>
    <w:rsid w:val="00BB32A7"/>
    <w:rsid w:val="00BB32B1"/>
    <w:rsid w:val="00BB33ED"/>
    <w:rsid w:val="00BB34C8"/>
    <w:rsid w:val="00BB34F2"/>
    <w:rsid w:val="00BB3ACB"/>
    <w:rsid w:val="00BB43A1"/>
    <w:rsid w:val="00BB482F"/>
    <w:rsid w:val="00BB4933"/>
    <w:rsid w:val="00BB4A08"/>
    <w:rsid w:val="00BB4AC1"/>
    <w:rsid w:val="00BB4B1F"/>
    <w:rsid w:val="00BB4F7B"/>
    <w:rsid w:val="00BB517C"/>
    <w:rsid w:val="00BB57CD"/>
    <w:rsid w:val="00BB581C"/>
    <w:rsid w:val="00BB586B"/>
    <w:rsid w:val="00BB624F"/>
    <w:rsid w:val="00BB6594"/>
    <w:rsid w:val="00BB6852"/>
    <w:rsid w:val="00BB68ED"/>
    <w:rsid w:val="00BB7737"/>
    <w:rsid w:val="00BC0102"/>
    <w:rsid w:val="00BC0232"/>
    <w:rsid w:val="00BC0FE5"/>
    <w:rsid w:val="00BC2769"/>
    <w:rsid w:val="00BC2BD0"/>
    <w:rsid w:val="00BC2E8E"/>
    <w:rsid w:val="00BC330A"/>
    <w:rsid w:val="00BC372D"/>
    <w:rsid w:val="00BC39EF"/>
    <w:rsid w:val="00BC3A3A"/>
    <w:rsid w:val="00BC3B59"/>
    <w:rsid w:val="00BC4142"/>
    <w:rsid w:val="00BC463B"/>
    <w:rsid w:val="00BC473D"/>
    <w:rsid w:val="00BC4AE9"/>
    <w:rsid w:val="00BC52CF"/>
    <w:rsid w:val="00BC5417"/>
    <w:rsid w:val="00BC5F38"/>
    <w:rsid w:val="00BC681D"/>
    <w:rsid w:val="00BC76AF"/>
    <w:rsid w:val="00BC7B17"/>
    <w:rsid w:val="00BC7DD4"/>
    <w:rsid w:val="00BD0617"/>
    <w:rsid w:val="00BD0E33"/>
    <w:rsid w:val="00BD1B1A"/>
    <w:rsid w:val="00BD1BC6"/>
    <w:rsid w:val="00BD2606"/>
    <w:rsid w:val="00BD26FE"/>
    <w:rsid w:val="00BD2B77"/>
    <w:rsid w:val="00BD339D"/>
    <w:rsid w:val="00BD33CC"/>
    <w:rsid w:val="00BD3651"/>
    <w:rsid w:val="00BD3734"/>
    <w:rsid w:val="00BD3B5D"/>
    <w:rsid w:val="00BD3CBA"/>
    <w:rsid w:val="00BD3DD1"/>
    <w:rsid w:val="00BD42E7"/>
    <w:rsid w:val="00BD489B"/>
    <w:rsid w:val="00BD55CC"/>
    <w:rsid w:val="00BD7979"/>
    <w:rsid w:val="00BE04EC"/>
    <w:rsid w:val="00BE0656"/>
    <w:rsid w:val="00BE0B93"/>
    <w:rsid w:val="00BE1359"/>
    <w:rsid w:val="00BE16E5"/>
    <w:rsid w:val="00BE1C0C"/>
    <w:rsid w:val="00BE1EAC"/>
    <w:rsid w:val="00BE2E70"/>
    <w:rsid w:val="00BE34F1"/>
    <w:rsid w:val="00BE39FC"/>
    <w:rsid w:val="00BE4942"/>
    <w:rsid w:val="00BE4E3D"/>
    <w:rsid w:val="00BE524F"/>
    <w:rsid w:val="00BE54D7"/>
    <w:rsid w:val="00BE63B0"/>
    <w:rsid w:val="00BE6C53"/>
    <w:rsid w:val="00BE6CB1"/>
    <w:rsid w:val="00BE6D19"/>
    <w:rsid w:val="00BE7BA9"/>
    <w:rsid w:val="00BF00FB"/>
    <w:rsid w:val="00BF03E0"/>
    <w:rsid w:val="00BF1D4A"/>
    <w:rsid w:val="00BF20E1"/>
    <w:rsid w:val="00BF2E6B"/>
    <w:rsid w:val="00BF2FBD"/>
    <w:rsid w:val="00BF305B"/>
    <w:rsid w:val="00BF3497"/>
    <w:rsid w:val="00BF3808"/>
    <w:rsid w:val="00BF3C15"/>
    <w:rsid w:val="00BF48F6"/>
    <w:rsid w:val="00BF51F3"/>
    <w:rsid w:val="00BF5428"/>
    <w:rsid w:val="00BF599B"/>
    <w:rsid w:val="00BF5D43"/>
    <w:rsid w:val="00BF5D65"/>
    <w:rsid w:val="00BF5F15"/>
    <w:rsid w:val="00BF622A"/>
    <w:rsid w:val="00BF6482"/>
    <w:rsid w:val="00BF6F65"/>
    <w:rsid w:val="00BF7705"/>
    <w:rsid w:val="00BF7FE8"/>
    <w:rsid w:val="00C003E7"/>
    <w:rsid w:val="00C008A2"/>
    <w:rsid w:val="00C00B9D"/>
    <w:rsid w:val="00C010ED"/>
    <w:rsid w:val="00C017EB"/>
    <w:rsid w:val="00C01E1F"/>
    <w:rsid w:val="00C023CD"/>
    <w:rsid w:val="00C02542"/>
    <w:rsid w:val="00C02619"/>
    <w:rsid w:val="00C02CF1"/>
    <w:rsid w:val="00C02F37"/>
    <w:rsid w:val="00C03DFC"/>
    <w:rsid w:val="00C04329"/>
    <w:rsid w:val="00C045B3"/>
    <w:rsid w:val="00C04A9C"/>
    <w:rsid w:val="00C063C0"/>
    <w:rsid w:val="00C06411"/>
    <w:rsid w:val="00C0754B"/>
    <w:rsid w:val="00C07574"/>
    <w:rsid w:val="00C075ED"/>
    <w:rsid w:val="00C07FFC"/>
    <w:rsid w:val="00C1002C"/>
    <w:rsid w:val="00C10033"/>
    <w:rsid w:val="00C10F53"/>
    <w:rsid w:val="00C10FB3"/>
    <w:rsid w:val="00C1161F"/>
    <w:rsid w:val="00C11684"/>
    <w:rsid w:val="00C11BD1"/>
    <w:rsid w:val="00C11F74"/>
    <w:rsid w:val="00C12073"/>
    <w:rsid w:val="00C1209D"/>
    <w:rsid w:val="00C12156"/>
    <w:rsid w:val="00C12210"/>
    <w:rsid w:val="00C127CC"/>
    <w:rsid w:val="00C1301C"/>
    <w:rsid w:val="00C13292"/>
    <w:rsid w:val="00C1338A"/>
    <w:rsid w:val="00C134E3"/>
    <w:rsid w:val="00C13B9B"/>
    <w:rsid w:val="00C13CE1"/>
    <w:rsid w:val="00C13E7D"/>
    <w:rsid w:val="00C14009"/>
    <w:rsid w:val="00C14025"/>
    <w:rsid w:val="00C1425C"/>
    <w:rsid w:val="00C1494E"/>
    <w:rsid w:val="00C149CC"/>
    <w:rsid w:val="00C14B06"/>
    <w:rsid w:val="00C1549D"/>
    <w:rsid w:val="00C15AF9"/>
    <w:rsid w:val="00C15FAA"/>
    <w:rsid w:val="00C160D6"/>
    <w:rsid w:val="00C1671E"/>
    <w:rsid w:val="00C16861"/>
    <w:rsid w:val="00C16BCE"/>
    <w:rsid w:val="00C16F5D"/>
    <w:rsid w:val="00C1712F"/>
    <w:rsid w:val="00C17971"/>
    <w:rsid w:val="00C17B0D"/>
    <w:rsid w:val="00C17E8A"/>
    <w:rsid w:val="00C206E5"/>
    <w:rsid w:val="00C20CAF"/>
    <w:rsid w:val="00C20DCD"/>
    <w:rsid w:val="00C20F01"/>
    <w:rsid w:val="00C214CC"/>
    <w:rsid w:val="00C2163D"/>
    <w:rsid w:val="00C21950"/>
    <w:rsid w:val="00C22BF1"/>
    <w:rsid w:val="00C22C6A"/>
    <w:rsid w:val="00C23C90"/>
    <w:rsid w:val="00C23F59"/>
    <w:rsid w:val="00C24C6A"/>
    <w:rsid w:val="00C2506E"/>
    <w:rsid w:val="00C2620C"/>
    <w:rsid w:val="00C269CC"/>
    <w:rsid w:val="00C26FC2"/>
    <w:rsid w:val="00C277F7"/>
    <w:rsid w:val="00C27B96"/>
    <w:rsid w:val="00C3051B"/>
    <w:rsid w:val="00C3088F"/>
    <w:rsid w:val="00C30AFC"/>
    <w:rsid w:val="00C30EB0"/>
    <w:rsid w:val="00C31152"/>
    <w:rsid w:val="00C32183"/>
    <w:rsid w:val="00C3290D"/>
    <w:rsid w:val="00C32B82"/>
    <w:rsid w:val="00C3349B"/>
    <w:rsid w:val="00C33680"/>
    <w:rsid w:val="00C33DF1"/>
    <w:rsid w:val="00C34ABE"/>
    <w:rsid w:val="00C35A8F"/>
    <w:rsid w:val="00C37042"/>
    <w:rsid w:val="00C3721D"/>
    <w:rsid w:val="00C3790B"/>
    <w:rsid w:val="00C37B63"/>
    <w:rsid w:val="00C37E01"/>
    <w:rsid w:val="00C406DC"/>
    <w:rsid w:val="00C40CC4"/>
    <w:rsid w:val="00C41294"/>
    <w:rsid w:val="00C41513"/>
    <w:rsid w:val="00C41EC1"/>
    <w:rsid w:val="00C4234C"/>
    <w:rsid w:val="00C428C5"/>
    <w:rsid w:val="00C42A3A"/>
    <w:rsid w:val="00C42A44"/>
    <w:rsid w:val="00C431E3"/>
    <w:rsid w:val="00C4340C"/>
    <w:rsid w:val="00C4361D"/>
    <w:rsid w:val="00C43A92"/>
    <w:rsid w:val="00C445C3"/>
    <w:rsid w:val="00C4460D"/>
    <w:rsid w:val="00C447DE"/>
    <w:rsid w:val="00C4536B"/>
    <w:rsid w:val="00C46141"/>
    <w:rsid w:val="00C46707"/>
    <w:rsid w:val="00C46912"/>
    <w:rsid w:val="00C46D9D"/>
    <w:rsid w:val="00C478B9"/>
    <w:rsid w:val="00C47A3D"/>
    <w:rsid w:val="00C5037C"/>
    <w:rsid w:val="00C50655"/>
    <w:rsid w:val="00C50F6F"/>
    <w:rsid w:val="00C51FA9"/>
    <w:rsid w:val="00C53894"/>
    <w:rsid w:val="00C53AAB"/>
    <w:rsid w:val="00C53CD8"/>
    <w:rsid w:val="00C53DB4"/>
    <w:rsid w:val="00C541CD"/>
    <w:rsid w:val="00C542F7"/>
    <w:rsid w:val="00C54349"/>
    <w:rsid w:val="00C543B0"/>
    <w:rsid w:val="00C5460B"/>
    <w:rsid w:val="00C55232"/>
    <w:rsid w:val="00C564F8"/>
    <w:rsid w:val="00C56518"/>
    <w:rsid w:val="00C5677F"/>
    <w:rsid w:val="00C5687E"/>
    <w:rsid w:val="00C5696A"/>
    <w:rsid w:val="00C56A0D"/>
    <w:rsid w:val="00C5709D"/>
    <w:rsid w:val="00C57613"/>
    <w:rsid w:val="00C578C3"/>
    <w:rsid w:val="00C57CF7"/>
    <w:rsid w:val="00C57D4B"/>
    <w:rsid w:val="00C57FA0"/>
    <w:rsid w:val="00C60AE1"/>
    <w:rsid w:val="00C60E85"/>
    <w:rsid w:val="00C60F99"/>
    <w:rsid w:val="00C61990"/>
    <w:rsid w:val="00C61F56"/>
    <w:rsid w:val="00C62714"/>
    <w:rsid w:val="00C6386D"/>
    <w:rsid w:val="00C63B56"/>
    <w:rsid w:val="00C6464F"/>
    <w:rsid w:val="00C64764"/>
    <w:rsid w:val="00C649FA"/>
    <w:rsid w:val="00C6538D"/>
    <w:rsid w:val="00C65C49"/>
    <w:rsid w:val="00C66342"/>
    <w:rsid w:val="00C665BA"/>
    <w:rsid w:val="00C666FD"/>
    <w:rsid w:val="00C672C2"/>
    <w:rsid w:val="00C67FBA"/>
    <w:rsid w:val="00C706DD"/>
    <w:rsid w:val="00C70D97"/>
    <w:rsid w:val="00C711EA"/>
    <w:rsid w:val="00C714FC"/>
    <w:rsid w:val="00C71B70"/>
    <w:rsid w:val="00C7225D"/>
    <w:rsid w:val="00C728B9"/>
    <w:rsid w:val="00C72A09"/>
    <w:rsid w:val="00C73E1B"/>
    <w:rsid w:val="00C73EDC"/>
    <w:rsid w:val="00C740E0"/>
    <w:rsid w:val="00C74352"/>
    <w:rsid w:val="00C74BBB"/>
    <w:rsid w:val="00C76552"/>
    <w:rsid w:val="00C7717B"/>
    <w:rsid w:val="00C77302"/>
    <w:rsid w:val="00C775B2"/>
    <w:rsid w:val="00C77E5B"/>
    <w:rsid w:val="00C8003F"/>
    <w:rsid w:val="00C80AEE"/>
    <w:rsid w:val="00C8144F"/>
    <w:rsid w:val="00C81ED9"/>
    <w:rsid w:val="00C82093"/>
    <w:rsid w:val="00C821EC"/>
    <w:rsid w:val="00C82331"/>
    <w:rsid w:val="00C82A14"/>
    <w:rsid w:val="00C83063"/>
    <w:rsid w:val="00C83135"/>
    <w:rsid w:val="00C8386A"/>
    <w:rsid w:val="00C84225"/>
    <w:rsid w:val="00C8452E"/>
    <w:rsid w:val="00C847AD"/>
    <w:rsid w:val="00C84E1A"/>
    <w:rsid w:val="00C85E5B"/>
    <w:rsid w:val="00C860C5"/>
    <w:rsid w:val="00C86381"/>
    <w:rsid w:val="00C865B9"/>
    <w:rsid w:val="00C86F49"/>
    <w:rsid w:val="00C87852"/>
    <w:rsid w:val="00C87E7C"/>
    <w:rsid w:val="00C90FEE"/>
    <w:rsid w:val="00C9123A"/>
    <w:rsid w:val="00C915C1"/>
    <w:rsid w:val="00C91F6D"/>
    <w:rsid w:val="00C92428"/>
    <w:rsid w:val="00C926FA"/>
    <w:rsid w:val="00C92974"/>
    <w:rsid w:val="00C929A0"/>
    <w:rsid w:val="00C930A7"/>
    <w:rsid w:val="00C943D4"/>
    <w:rsid w:val="00C9458C"/>
    <w:rsid w:val="00C94FE8"/>
    <w:rsid w:val="00C952A1"/>
    <w:rsid w:val="00C9543A"/>
    <w:rsid w:val="00C95503"/>
    <w:rsid w:val="00C95C72"/>
    <w:rsid w:val="00C96259"/>
    <w:rsid w:val="00C96A92"/>
    <w:rsid w:val="00C96F54"/>
    <w:rsid w:val="00C97923"/>
    <w:rsid w:val="00CA042B"/>
    <w:rsid w:val="00CA0897"/>
    <w:rsid w:val="00CA09A1"/>
    <w:rsid w:val="00CA09EB"/>
    <w:rsid w:val="00CA168C"/>
    <w:rsid w:val="00CA1778"/>
    <w:rsid w:val="00CA18A3"/>
    <w:rsid w:val="00CA1B17"/>
    <w:rsid w:val="00CA24D4"/>
    <w:rsid w:val="00CA25EA"/>
    <w:rsid w:val="00CA33A0"/>
    <w:rsid w:val="00CA36A9"/>
    <w:rsid w:val="00CA380B"/>
    <w:rsid w:val="00CA3A5B"/>
    <w:rsid w:val="00CA3F5E"/>
    <w:rsid w:val="00CA41B0"/>
    <w:rsid w:val="00CA43EF"/>
    <w:rsid w:val="00CA4415"/>
    <w:rsid w:val="00CA451E"/>
    <w:rsid w:val="00CA4878"/>
    <w:rsid w:val="00CA5087"/>
    <w:rsid w:val="00CA570E"/>
    <w:rsid w:val="00CA5C63"/>
    <w:rsid w:val="00CA6334"/>
    <w:rsid w:val="00CA6675"/>
    <w:rsid w:val="00CA67BD"/>
    <w:rsid w:val="00CA7259"/>
    <w:rsid w:val="00CA737A"/>
    <w:rsid w:val="00CA7AC2"/>
    <w:rsid w:val="00CB0326"/>
    <w:rsid w:val="00CB10F7"/>
    <w:rsid w:val="00CB1347"/>
    <w:rsid w:val="00CB19C9"/>
    <w:rsid w:val="00CB1BB0"/>
    <w:rsid w:val="00CB236A"/>
    <w:rsid w:val="00CB24F5"/>
    <w:rsid w:val="00CB287F"/>
    <w:rsid w:val="00CB296B"/>
    <w:rsid w:val="00CB42F6"/>
    <w:rsid w:val="00CB460E"/>
    <w:rsid w:val="00CB488A"/>
    <w:rsid w:val="00CB49FB"/>
    <w:rsid w:val="00CB62B5"/>
    <w:rsid w:val="00CB6A63"/>
    <w:rsid w:val="00CB6E1A"/>
    <w:rsid w:val="00CB7F6B"/>
    <w:rsid w:val="00CC0062"/>
    <w:rsid w:val="00CC0170"/>
    <w:rsid w:val="00CC026E"/>
    <w:rsid w:val="00CC0D4F"/>
    <w:rsid w:val="00CC124E"/>
    <w:rsid w:val="00CC1255"/>
    <w:rsid w:val="00CC1711"/>
    <w:rsid w:val="00CC1891"/>
    <w:rsid w:val="00CC20C2"/>
    <w:rsid w:val="00CC3221"/>
    <w:rsid w:val="00CC434A"/>
    <w:rsid w:val="00CC4930"/>
    <w:rsid w:val="00CC5000"/>
    <w:rsid w:val="00CC5B96"/>
    <w:rsid w:val="00CC5F9D"/>
    <w:rsid w:val="00CC67C3"/>
    <w:rsid w:val="00CC69BE"/>
    <w:rsid w:val="00CC6CD5"/>
    <w:rsid w:val="00CC7055"/>
    <w:rsid w:val="00CC741E"/>
    <w:rsid w:val="00CC7AD0"/>
    <w:rsid w:val="00CD0332"/>
    <w:rsid w:val="00CD0542"/>
    <w:rsid w:val="00CD062E"/>
    <w:rsid w:val="00CD07AE"/>
    <w:rsid w:val="00CD080A"/>
    <w:rsid w:val="00CD0D36"/>
    <w:rsid w:val="00CD0D8C"/>
    <w:rsid w:val="00CD151B"/>
    <w:rsid w:val="00CD1CC8"/>
    <w:rsid w:val="00CD2B16"/>
    <w:rsid w:val="00CD36B2"/>
    <w:rsid w:val="00CD36F1"/>
    <w:rsid w:val="00CD39C5"/>
    <w:rsid w:val="00CD3A12"/>
    <w:rsid w:val="00CD3C55"/>
    <w:rsid w:val="00CD4523"/>
    <w:rsid w:val="00CD4F49"/>
    <w:rsid w:val="00CD520B"/>
    <w:rsid w:val="00CD5574"/>
    <w:rsid w:val="00CD55C3"/>
    <w:rsid w:val="00CD5F8E"/>
    <w:rsid w:val="00CD5FB9"/>
    <w:rsid w:val="00CD656B"/>
    <w:rsid w:val="00CD6A93"/>
    <w:rsid w:val="00CD6B12"/>
    <w:rsid w:val="00CD725D"/>
    <w:rsid w:val="00CD7A4F"/>
    <w:rsid w:val="00CD7A55"/>
    <w:rsid w:val="00CD7AE0"/>
    <w:rsid w:val="00CE099A"/>
    <w:rsid w:val="00CE0A0F"/>
    <w:rsid w:val="00CE0D93"/>
    <w:rsid w:val="00CE15F0"/>
    <w:rsid w:val="00CE1B13"/>
    <w:rsid w:val="00CE1CDC"/>
    <w:rsid w:val="00CE1DF7"/>
    <w:rsid w:val="00CE271D"/>
    <w:rsid w:val="00CE2815"/>
    <w:rsid w:val="00CE387D"/>
    <w:rsid w:val="00CE3A46"/>
    <w:rsid w:val="00CE3D26"/>
    <w:rsid w:val="00CE4BF9"/>
    <w:rsid w:val="00CE4D41"/>
    <w:rsid w:val="00CE5182"/>
    <w:rsid w:val="00CE58F2"/>
    <w:rsid w:val="00CE671E"/>
    <w:rsid w:val="00CE762A"/>
    <w:rsid w:val="00CE777D"/>
    <w:rsid w:val="00CE7895"/>
    <w:rsid w:val="00CE7AF2"/>
    <w:rsid w:val="00CF09F6"/>
    <w:rsid w:val="00CF0B16"/>
    <w:rsid w:val="00CF107D"/>
    <w:rsid w:val="00CF139A"/>
    <w:rsid w:val="00CF233D"/>
    <w:rsid w:val="00CF261A"/>
    <w:rsid w:val="00CF2718"/>
    <w:rsid w:val="00CF294E"/>
    <w:rsid w:val="00CF2A84"/>
    <w:rsid w:val="00CF3E83"/>
    <w:rsid w:val="00CF41F9"/>
    <w:rsid w:val="00CF45C9"/>
    <w:rsid w:val="00CF499C"/>
    <w:rsid w:val="00CF4CB5"/>
    <w:rsid w:val="00CF4DA9"/>
    <w:rsid w:val="00CF5067"/>
    <w:rsid w:val="00CF5577"/>
    <w:rsid w:val="00CF55BA"/>
    <w:rsid w:val="00CF55DE"/>
    <w:rsid w:val="00CF5E70"/>
    <w:rsid w:val="00CF5FCF"/>
    <w:rsid w:val="00CF605A"/>
    <w:rsid w:val="00CF62CA"/>
    <w:rsid w:val="00CF6D5B"/>
    <w:rsid w:val="00CF7797"/>
    <w:rsid w:val="00CF7DC8"/>
    <w:rsid w:val="00CF7F8A"/>
    <w:rsid w:val="00D0047B"/>
    <w:rsid w:val="00D00E54"/>
    <w:rsid w:val="00D01BAD"/>
    <w:rsid w:val="00D01CD9"/>
    <w:rsid w:val="00D02417"/>
    <w:rsid w:val="00D0333C"/>
    <w:rsid w:val="00D03592"/>
    <w:rsid w:val="00D03B25"/>
    <w:rsid w:val="00D03CE5"/>
    <w:rsid w:val="00D04136"/>
    <w:rsid w:val="00D0425D"/>
    <w:rsid w:val="00D04904"/>
    <w:rsid w:val="00D04C5A"/>
    <w:rsid w:val="00D06036"/>
    <w:rsid w:val="00D06551"/>
    <w:rsid w:val="00D06BA1"/>
    <w:rsid w:val="00D06F1C"/>
    <w:rsid w:val="00D071C7"/>
    <w:rsid w:val="00D071DB"/>
    <w:rsid w:val="00D07EE4"/>
    <w:rsid w:val="00D103F7"/>
    <w:rsid w:val="00D10AE7"/>
    <w:rsid w:val="00D10FF5"/>
    <w:rsid w:val="00D114A0"/>
    <w:rsid w:val="00D11B8B"/>
    <w:rsid w:val="00D11E51"/>
    <w:rsid w:val="00D124E9"/>
    <w:rsid w:val="00D12AB6"/>
    <w:rsid w:val="00D12C1A"/>
    <w:rsid w:val="00D135A9"/>
    <w:rsid w:val="00D13999"/>
    <w:rsid w:val="00D13EB3"/>
    <w:rsid w:val="00D140E9"/>
    <w:rsid w:val="00D142CF"/>
    <w:rsid w:val="00D14A0F"/>
    <w:rsid w:val="00D14D4F"/>
    <w:rsid w:val="00D15295"/>
    <w:rsid w:val="00D15683"/>
    <w:rsid w:val="00D15E49"/>
    <w:rsid w:val="00D16087"/>
    <w:rsid w:val="00D167FB"/>
    <w:rsid w:val="00D17018"/>
    <w:rsid w:val="00D17192"/>
    <w:rsid w:val="00D17F38"/>
    <w:rsid w:val="00D20CD8"/>
    <w:rsid w:val="00D21802"/>
    <w:rsid w:val="00D2197C"/>
    <w:rsid w:val="00D21E00"/>
    <w:rsid w:val="00D21E72"/>
    <w:rsid w:val="00D220AB"/>
    <w:rsid w:val="00D2256A"/>
    <w:rsid w:val="00D229A4"/>
    <w:rsid w:val="00D22BB7"/>
    <w:rsid w:val="00D22C48"/>
    <w:rsid w:val="00D22F72"/>
    <w:rsid w:val="00D23AC8"/>
    <w:rsid w:val="00D244FD"/>
    <w:rsid w:val="00D249B8"/>
    <w:rsid w:val="00D24CC2"/>
    <w:rsid w:val="00D24EF5"/>
    <w:rsid w:val="00D251B7"/>
    <w:rsid w:val="00D255D1"/>
    <w:rsid w:val="00D256FB"/>
    <w:rsid w:val="00D25952"/>
    <w:rsid w:val="00D262D3"/>
    <w:rsid w:val="00D2670B"/>
    <w:rsid w:val="00D270D1"/>
    <w:rsid w:val="00D315D1"/>
    <w:rsid w:val="00D31788"/>
    <w:rsid w:val="00D31C23"/>
    <w:rsid w:val="00D31CD9"/>
    <w:rsid w:val="00D321F1"/>
    <w:rsid w:val="00D3258F"/>
    <w:rsid w:val="00D329BD"/>
    <w:rsid w:val="00D3383F"/>
    <w:rsid w:val="00D338E2"/>
    <w:rsid w:val="00D33E09"/>
    <w:rsid w:val="00D341D0"/>
    <w:rsid w:val="00D34D60"/>
    <w:rsid w:val="00D34ED8"/>
    <w:rsid w:val="00D351FB"/>
    <w:rsid w:val="00D354F4"/>
    <w:rsid w:val="00D35AF2"/>
    <w:rsid w:val="00D35ECC"/>
    <w:rsid w:val="00D3639C"/>
    <w:rsid w:val="00D3683B"/>
    <w:rsid w:val="00D36E2A"/>
    <w:rsid w:val="00D36EAC"/>
    <w:rsid w:val="00D36F2D"/>
    <w:rsid w:val="00D37423"/>
    <w:rsid w:val="00D374F6"/>
    <w:rsid w:val="00D37A3F"/>
    <w:rsid w:val="00D37CE5"/>
    <w:rsid w:val="00D403A2"/>
    <w:rsid w:val="00D40696"/>
    <w:rsid w:val="00D40AE8"/>
    <w:rsid w:val="00D410F0"/>
    <w:rsid w:val="00D41ACD"/>
    <w:rsid w:val="00D41D67"/>
    <w:rsid w:val="00D41F1B"/>
    <w:rsid w:val="00D42A60"/>
    <w:rsid w:val="00D43863"/>
    <w:rsid w:val="00D43901"/>
    <w:rsid w:val="00D441C2"/>
    <w:rsid w:val="00D441CC"/>
    <w:rsid w:val="00D44394"/>
    <w:rsid w:val="00D454D6"/>
    <w:rsid w:val="00D45720"/>
    <w:rsid w:val="00D458F3"/>
    <w:rsid w:val="00D45B41"/>
    <w:rsid w:val="00D45CE5"/>
    <w:rsid w:val="00D45E60"/>
    <w:rsid w:val="00D45FA2"/>
    <w:rsid w:val="00D46357"/>
    <w:rsid w:val="00D467CC"/>
    <w:rsid w:val="00D47388"/>
    <w:rsid w:val="00D47D25"/>
    <w:rsid w:val="00D47F4A"/>
    <w:rsid w:val="00D5088B"/>
    <w:rsid w:val="00D50F06"/>
    <w:rsid w:val="00D5138D"/>
    <w:rsid w:val="00D51412"/>
    <w:rsid w:val="00D5164E"/>
    <w:rsid w:val="00D51AED"/>
    <w:rsid w:val="00D51C77"/>
    <w:rsid w:val="00D51D35"/>
    <w:rsid w:val="00D52956"/>
    <w:rsid w:val="00D52CDC"/>
    <w:rsid w:val="00D53C02"/>
    <w:rsid w:val="00D53C25"/>
    <w:rsid w:val="00D53CC8"/>
    <w:rsid w:val="00D543AA"/>
    <w:rsid w:val="00D5468A"/>
    <w:rsid w:val="00D558C4"/>
    <w:rsid w:val="00D55D5F"/>
    <w:rsid w:val="00D55FF9"/>
    <w:rsid w:val="00D563AF"/>
    <w:rsid w:val="00D5647F"/>
    <w:rsid w:val="00D566BF"/>
    <w:rsid w:val="00D576E8"/>
    <w:rsid w:val="00D57D74"/>
    <w:rsid w:val="00D57DC0"/>
    <w:rsid w:val="00D60E4F"/>
    <w:rsid w:val="00D62002"/>
    <w:rsid w:val="00D62047"/>
    <w:rsid w:val="00D6214A"/>
    <w:rsid w:val="00D62958"/>
    <w:rsid w:val="00D62A69"/>
    <w:rsid w:val="00D63221"/>
    <w:rsid w:val="00D6358E"/>
    <w:rsid w:val="00D636AE"/>
    <w:rsid w:val="00D63A19"/>
    <w:rsid w:val="00D63FC0"/>
    <w:rsid w:val="00D64555"/>
    <w:rsid w:val="00D64AF7"/>
    <w:rsid w:val="00D64D1B"/>
    <w:rsid w:val="00D64DED"/>
    <w:rsid w:val="00D65106"/>
    <w:rsid w:val="00D65374"/>
    <w:rsid w:val="00D656FC"/>
    <w:rsid w:val="00D6583F"/>
    <w:rsid w:val="00D66145"/>
    <w:rsid w:val="00D662DA"/>
    <w:rsid w:val="00D66447"/>
    <w:rsid w:val="00D66F70"/>
    <w:rsid w:val="00D67235"/>
    <w:rsid w:val="00D678C5"/>
    <w:rsid w:val="00D7022D"/>
    <w:rsid w:val="00D706D3"/>
    <w:rsid w:val="00D719D4"/>
    <w:rsid w:val="00D71A1A"/>
    <w:rsid w:val="00D71A1B"/>
    <w:rsid w:val="00D71B4A"/>
    <w:rsid w:val="00D71B7A"/>
    <w:rsid w:val="00D71FE5"/>
    <w:rsid w:val="00D7238E"/>
    <w:rsid w:val="00D72A44"/>
    <w:rsid w:val="00D72D1A"/>
    <w:rsid w:val="00D72D8E"/>
    <w:rsid w:val="00D72ED3"/>
    <w:rsid w:val="00D72ED9"/>
    <w:rsid w:val="00D730A0"/>
    <w:rsid w:val="00D73332"/>
    <w:rsid w:val="00D738B0"/>
    <w:rsid w:val="00D73E0E"/>
    <w:rsid w:val="00D73EB7"/>
    <w:rsid w:val="00D740C4"/>
    <w:rsid w:val="00D7433E"/>
    <w:rsid w:val="00D745DB"/>
    <w:rsid w:val="00D74700"/>
    <w:rsid w:val="00D74964"/>
    <w:rsid w:val="00D74BC2"/>
    <w:rsid w:val="00D74DDC"/>
    <w:rsid w:val="00D7507F"/>
    <w:rsid w:val="00D753F9"/>
    <w:rsid w:val="00D75E28"/>
    <w:rsid w:val="00D7611B"/>
    <w:rsid w:val="00D76AAF"/>
    <w:rsid w:val="00D76C7C"/>
    <w:rsid w:val="00D775DC"/>
    <w:rsid w:val="00D77680"/>
    <w:rsid w:val="00D801A0"/>
    <w:rsid w:val="00D80892"/>
    <w:rsid w:val="00D80D9C"/>
    <w:rsid w:val="00D80EE5"/>
    <w:rsid w:val="00D811F4"/>
    <w:rsid w:val="00D81403"/>
    <w:rsid w:val="00D81A8B"/>
    <w:rsid w:val="00D81C77"/>
    <w:rsid w:val="00D81E2D"/>
    <w:rsid w:val="00D8252B"/>
    <w:rsid w:val="00D8255F"/>
    <w:rsid w:val="00D83062"/>
    <w:rsid w:val="00D831FE"/>
    <w:rsid w:val="00D84080"/>
    <w:rsid w:val="00D84E12"/>
    <w:rsid w:val="00D84E7C"/>
    <w:rsid w:val="00D85150"/>
    <w:rsid w:val="00D8588E"/>
    <w:rsid w:val="00D85B83"/>
    <w:rsid w:val="00D8644D"/>
    <w:rsid w:val="00D867D5"/>
    <w:rsid w:val="00D87D82"/>
    <w:rsid w:val="00D87F6A"/>
    <w:rsid w:val="00D900B4"/>
    <w:rsid w:val="00D9040B"/>
    <w:rsid w:val="00D90947"/>
    <w:rsid w:val="00D90B4C"/>
    <w:rsid w:val="00D90DC2"/>
    <w:rsid w:val="00D9108F"/>
    <w:rsid w:val="00D913C7"/>
    <w:rsid w:val="00D91ECA"/>
    <w:rsid w:val="00D923CA"/>
    <w:rsid w:val="00D92436"/>
    <w:rsid w:val="00D92542"/>
    <w:rsid w:val="00D9365C"/>
    <w:rsid w:val="00D93CC6"/>
    <w:rsid w:val="00D93E59"/>
    <w:rsid w:val="00D947FE"/>
    <w:rsid w:val="00D94B02"/>
    <w:rsid w:val="00D9517E"/>
    <w:rsid w:val="00D956A3"/>
    <w:rsid w:val="00D95FF0"/>
    <w:rsid w:val="00D969F2"/>
    <w:rsid w:val="00D96B7F"/>
    <w:rsid w:val="00D96CA8"/>
    <w:rsid w:val="00D96E52"/>
    <w:rsid w:val="00D9720D"/>
    <w:rsid w:val="00D97978"/>
    <w:rsid w:val="00D979F7"/>
    <w:rsid w:val="00D97B31"/>
    <w:rsid w:val="00D97C96"/>
    <w:rsid w:val="00DA03B6"/>
    <w:rsid w:val="00DA03C0"/>
    <w:rsid w:val="00DA04EB"/>
    <w:rsid w:val="00DA10BB"/>
    <w:rsid w:val="00DA11A3"/>
    <w:rsid w:val="00DA175C"/>
    <w:rsid w:val="00DA2800"/>
    <w:rsid w:val="00DA2C89"/>
    <w:rsid w:val="00DA2E6F"/>
    <w:rsid w:val="00DA3F1B"/>
    <w:rsid w:val="00DA54E1"/>
    <w:rsid w:val="00DA55D7"/>
    <w:rsid w:val="00DA5E0E"/>
    <w:rsid w:val="00DA607D"/>
    <w:rsid w:val="00DA62B8"/>
    <w:rsid w:val="00DA64B4"/>
    <w:rsid w:val="00DA7715"/>
    <w:rsid w:val="00DA7FC7"/>
    <w:rsid w:val="00DB0DEF"/>
    <w:rsid w:val="00DB118E"/>
    <w:rsid w:val="00DB2736"/>
    <w:rsid w:val="00DB3892"/>
    <w:rsid w:val="00DB40BF"/>
    <w:rsid w:val="00DB4561"/>
    <w:rsid w:val="00DB594D"/>
    <w:rsid w:val="00DB5BAC"/>
    <w:rsid w:val="00DB65DC"/>
    <w:rsid w:val="00DB6811"/>
    <w:rsid w:val="00DB7091"/>
    <w:rsid w:val="00DB742E"/>
    <w:rsid w:val="00DB7458"/>
    <w:rsid w:val="00DB7609"/>
    <w:rsid w:val="00DB79E5"/>
    <w:rsid w:val="00DC02F2"/>
    <w:rsid w:val="00DC0401"/>
    <w:rsid w:val="00DC051D"/>
    <w:rsid w:val="00DC05C9"/>
    <w:rsid w:val="00DC0C72"/>
    <w:rsid w:val="00DC0F4C"/>
    <w:rsid w:val="00DC1BEC"/>
    <w:rsid w:val="00DC2515"/>
    <w:rsid w:val="00DC2CD9"/>
    <w:rsid w:val="00DC2CEE"/>
    <w:rsid w:val="00DC2DC1"/>
    <w:rsid w:val="00DC3180"/>
    <w:rsid w:val="00DC3260"/>
    <w:rsid w:val="00DC3343"/>
    <w:rsid w:val="00DC3582"/>
    <w:rsid w:val="00DC3764"/>
    <w:rsid w:val="00DC38CE"/>
    <w:rsid w:val="00DC38FE"/>
    <w:rsid w:val="00DC4831"/>
    <w:rsid w:val="00DC4975"/>
    <w:rsid w:val="00DC4A78"/>
    <w:rsid w:val="00DC4C4C"/>
    <w:rsid w:val="00DC4C69"/>
    <w:rsid w:val="00DC4E59"/>
    <w:rsid w:val="00DC507D"/>
    <w:rsid w:val="00DC616A"/>
    <w:rsid w:val="00DC645B"/>
    <w:rsid w:val="00DC7811"/>
    <w:rsid w:val="00DC7B88"/>
    <w:rsid w:val="00DC7CD5"/>
    <w:rsid w:val="00DC7D1F"/>
    <w:rsid w:val="00DC7F40"/>
    <w:rsid w:val="00DD08A3"/>
    <w:rsid w:val="00DD1C2D"/>
    <w:rsid w:val="00DD1F10"/>
    <w:rsid w:val="00DD2058"/>
    <w:rsid w:val="00DD35D5"/>
    <w:rsid w:val="00DD3FEA"/>
    <w:rsid w:val="00DD4316"/>
    <w:rsid w:val="00DD4437"/>
    <w:rsid w:val="00DD4FF1"/>
    <w:rsid w:val="00DD5193"/>
    <w:rsid w:val="00DD530F"/>
    <w:rsid w:val="00DD546F"/>
    <w:rsid w:val="00DD57D4"/>
    <w:rsid w:val="00DD5B7A"/>
    <w:rsid w:val="00DD6925"/>
    <w:rsid w:val="00DD6B19"/>
    <w:rsid w:val="00DD6C31"/>
    <w:rsid w:val="00DD7908"/>
    <w:rsid w:val="00DD79CB"/>
    <w:rsid w:val="00DD7D9D"/>
    <w:rsid w:val="00DE010B"/>
    <w:rsid w:val="00DE1011"/>
    <w:rsid w:val="00DE1053"/>
    <w:rsid w:val="00DE140F"/>
    <w:rsid w:val="00DE2074"/>
    <w:rsid w:val="00DE23EA"/>
    <w:rsid w:val="00DE2436"/>
    <w:rsid w:val="00DE3981"/>
    <w:rsid w:val="00DE4290"/>
    <w:rsid w:val="00DE4D50"/>
    <w:rsid w:val="00DE514F"/>
    <w:rsid w:val="00DE5532"/>
    <w:rsid w:val="00DE5B2C"/>
    <w:rsid w:val="00DE762F"/>
    <w:rsid w:val="00DE766D"/>
    <w:rsid w:val="00DE7C33"/>
    <w:rsid w:val="00DF05A5"/>
    <w:rsid w:val="00DF0EEC"/>
    <w:rsid w:val="00DF177A"/>
    <w:rsid w:val="00DF2C5A"/>
    <w:rsid w:val="00DF3E3E"/>
    <w:rsid w:val="00DF3FCB"/>
    <w:rsid w:val="00DF4099"/>
    <w:rsid w:val="00DF433B"/>
    <w:rsid w:val="00DF4E0F"/>
    <w:rsid w:val="00DF5A2E"/>
    <w:rsid w:val="00DF6225"/>
    <w:rsid w:val="00DF6BBA"/>
    <w:rsid w:val="00DF6C11"/>
    <w:rsid w:val="00DF6F5A"/>
    <w:rsid w:val="00DF7C97"/>
    <w:rsid w:val="00E00959"/>
    <w:rsid w:val="00E00A35"/>
    <w:rsid w:val="00E00BEB"/>
    <w:rsid w:val="00E00DE2"/>
    <w:rsid w:val="00E01349"/>
    <w:rsid w:val="00E01464"/>
    <w:rsid w:val="00E0167B"/>
    <w:rsid w:val="00E019D7"/>
    <w:rsid w:val="00E01C21"/>
    <w:rsid w:val="00E01D3D"/>
    <w:rsid w:val="00E020A7"/>
    <w:rsid w:val="00E02395"/>
    <w:rsid w:val="00E03083"/>
    <w:rsid w:val="00E0344C"/>
    <w:rsid w:val="00E0364F"/>
    <w:rsid w:val="00E03982"/>
    <w:rsid w:val="00E03B66"/>
    <w:rsid w:val="00E03C21"/>
    <w:rsid w:val="00E040F1"/>
    <w:rsid w:val="00E044D6"/>
    <w:rsid w:val="00E04EC4"/>
    <w:rsid w:val="00E05101"/>
    <w:rsid w:val="00E05299"/>
    <w:rsid w:val="00E0556F"/>
    <w:rsid w:val="00E0568A"/>
    <w:rsid w:val="00E05AE0"/>
    <w:rsid w:val="00E05DBB"/>
    <w:rsid w:val="00E05F60"/>
    <w:rsid w:val="00E0638B"/>
    <w:rsid w:val="00E06731"/>
    <w:rsid w:val="00E0697F"/>
    <w:rsid w:val="00E06E75"/>
    <w:rsid w:val="00E06EC3"/>
    <w:rsid w:val="00E07558"/>
    <w:rsid w:val="00E07693"/>
    <w:rsid w:val="00E07DC0"/>
    <w:rsid w:val="00E1041A"/>
    <w:rsid w:val="00E10716"/>
    <w:rsid w:val="00E10C58"/>
    <w:rsid w:val="00E10CC8"/>
    <w:rsid w:val="00E115A1"/>
    <w:rsid w:val="00E11C56"/>
    <w:rsid w:val="00E1201D"/>
    <w:rsid w:val="00E120A4"/>
    <w:rsid w:val="00E121A0"/>
    <w:rsid w:val="00E12481"/>
    <w:rsid w:val="00E13C9C"/>
    <w:rsid w:val="00E13EC6"/>
    <w:rsid w:val="00E14508"/>
    <w:rsid w:val="00E14671"/>
    <w:rsid w:val="00E14C55"/>
    <w:rsid w:val="00E15036"/>
    <w:rsid w:val="00E153B5"/>
    <w:rsid w:val="00E153C4"/>
    <w:rsid w:val="00E153F3"/>
    <w:rsid w:val="00E15684"/>
    <w:rsid w:val="00E15C2E"/>
    <w:rsid w:val="00E15C7F"/>
    <w:rsid w:val="00E15F1E"/>
    <w:rsid w:val="00E161CC"/>
    <w:rsid w:val="00E16293"/>
    <w:rsid w:val="00E16590"/>
    <w:rsid w:val="00E169DB"/>
    <w:rsid w:val="00E16BF1"/>
    <w:rsid w:val="00E176C4"/>
    <w:rsid w:val="00E17B42"/>
    <w:rsid w:val="00E17D09"/>
    <w:rsid w:val="00E17FBD"/>
    <w:rsid w:val="00E20111"/>
    <w:rsid w:val="00E2023F"/>
    <w:rsid w:val="00E2089B"/>
    <w:rsid w:val="00E20BB2"/>
    <w:rsid w:val="00E2117B"/>
    <w:rsid w:val="00E222F9"/>
    <w:rsid w:val="00E2296E"/>
    <w:rsid w:val="00E22B0B"/>
    <w:rsid w:val="00E22C0B"/>
    <w:rsid w:val="00E22E43"/>
    <w:rsid w:val="00E22FD3"/>
    <w:rsid w:val="00E234C3"/>
    <w:rsid w:val="00E236EB"/>
    <w:rsid w:val="00E238F6"/>
    <w:rsid w:val="00E23925"/>
    <w:rsid w:val="00E23DBD"/>
    <w:rsid w:val="00E23E12"/>
    <w:rsid w:val="00E242B8"/>
    <w:rsid w:val="00E245BB"/>
    <w:rsid w:val="00E24B65"/>
    <w:rsid w:val="00E25976"/>
    <w:rsid w:val="00E25E41"/>
    <w:rsid w:val="00E2613C"/>
    <w:rsid w:val="00E26C0E"/>
    <w:rsid w:val="00E274F2"/>
    <w:rsid w:val="00E275CB"/>
    <w:rsid w:val="00E27628"/>
    <w:rsid w:val="00E27AB7"/>
    <w:rsid w:val="00E27EA6"/>
    <w:rsid w:val="00E31136"/>
    <w:rsid w:val="00E31663"/>
    <w:rsid w:val="00E320A0"/>
    <w:rsid w:val="00E32375"/>
    <w:rsid w:val="00E32675"/>
    <w:rsid w:val="00E328CB"/>
    <w:rsid w:val="00E328D5"/>
    <w:rsid w:val="00E32A2A"/>
    <w:rsid w:val="00E33821"/>
    <w:rsid w:val="00E33853"/>
    <w:rsid w:val="00E33C01"/>
    <w:rsid w:val="00E33F2F"/>
    <w:rsid w:val="00E33F94"/>
    <w:rsid w:val="00E3400F"/>
    <w:rsid w:val="00E34615"/>
    <w:rsid w:val="00E34F63"/>
    <w:rsid w:val="00E3505F"/>
    <w:rsid w:val="00E352AD"/>
    <w:rsid w:val="00E352FE"/>
    <w:rsid w:val="00E35403"/>
    <w:rsid w:val="00E3594E"/>
    <w:rsid w:val="00E35A43"/>
    <w:rsid w:val="00E36048"/>
    <w:rsid w:val="00E360D3"/>
    <w:rsid w:val="00E361A9"/>
    <w:rsid w:val="00E37C54"/>
    <w:rsid w:val="00E40380"/>
    <w:rsid w:val="00E4072D"/>
    <w:rsid w:val="00E407E9"/>
    <w:rsid w:val="00E41030"/>
    <w:rsid w:val="00E410F8"/>
    <w:rsid w:val="00E4118F"/>
    <w:rsid w:val="00E427E8"/>
    <w:rsid w:val="00E431F6"/>
    <w:rsid w:val="00E4346A"/>
    <w:rsid w:val="00E439EA"/>
    <w:rsid w:val="00E44694"/>
    <w:rsid w:val="00E446C6"/>
    <w:rsid w:val="00E44708"/>
    <w:rsid w:val="00E449B4"/>
    <w:rsid w:val="00E44A90"/>
    <w:rsid w:val="00E44FC9"/>
    <w:rsid w:val="00E452F7"/>
    <w:rsid w:val="00E45E6D"/>
    <w:rsid w:val="00E46F45"/>
    <w:rsid w:val="00E47081"/>
    <w:rsid w:val="00E470B0"/>
    <w:rsid w:val="00E50171"/>
    <w:rsid w:val="00E508DF"/>
    <w:rsid w:val="00E51301"/>
    <w:rsid w:val="00E515F6"/>
    <w:rsid w:val="00E51CB0"/>
    <w:rsid w:val="00E52B93"/>
    <w:rsid w:val="00E53E7C"/>
    <w:rsid w:val="00E541F9"/>
    <w:rsid w:val="00E5500E"/>
    <w:rsid w:val="00E55029"/>
    <w:rsid w:val="00E5507A"/>
    <w:rsid w:val="00E55641"/>
    <w:rsid w:val="00E55B6D"/>
    <w:rsid w:val="00E55E7F"/>
    <w:rsid w:val="00E5619D"/>
    <w:rsid w:val="00E563E1"/>
    <w:rsid w:val="00E56487"/>
    <w:rsid w:val="00E5671D"/>
    <w:rsid w:val="00E56C58"/>
    <w:rsid w:val="00E56F10"/>
    <w:rsid w:val="00E56F86"/>
    <w:rsid w:val="00E5783A"/>
    <w:rsid w:val="00E57A10"/>
    <w:rsid w:val="00E57F8A"/>
    <w:rsid w:val="00E607F3"/>
    <w:rsid w:val="00E609B9"/>
    <w:rsid w:val="00E60A06"/>
    <w:rsid w:val="00E6163F"/>
    <w:rsid w:val="00E61CF0"/>
    <w:rsid w:val="00E62847"/>
    <w:rsid w:val="00E62AF1"/>
    <w:rsid w:val="00E62BF2"/>
    <w:rsid w:val="00E631E8"/>
    <w:rsid w:val="00E63695"/>
    <w:rsid w:val="00E63D43"/>
    <w:rsid w:val="00E63E96"/>
    <w:rsid w:val="00E64220"/>
    <w:rsid w:val="00E644DD"/>
    <w:rsid w:val="00E65236"/>
    <w:rsid w:val="00E6528E"/>
    <w:rsid w:val="00E652D4"/>
    <w:rsid w:val="00E652EC"/>
    <w:rsid w:val="00E669EB"/>
    <w:rsid w:val="00E66C1F"/>
    <w:rsid w:val="00E66D05"/>
    <w:rsid w:val="00E6701F"/>
    <w:rsid w:val="00E679B9"/>
    <w:rsid w:val="00E67A0A"/>
    <w:rsid w:val="00E7065F"/>
    <w:rsid w:val="00E70D3A"/>
    <w:rsid w:val="00E713D9"/>
    <w:rsid w:val="00E71D06"/>
    <w:rsid w:val="00E71DB8"/>
    <w:rsid w:val="00E721F7"/>
    <w:rsid w:val="00E72362"/>
    <w:rsid w:val="00E728F7"/>
    <w:rsid w:val="00E72D35"/>
    <w:rsid w:val="00E72F4F"/>
    <w:rsid w:val="00E73427"/>
    <w:rsid w:val="00E73535"/>
    <w:rsid w:val="00E73C25"/>
    <w:rsid w:val="00E74AC0"/>
    <w:rsid w:val="00E74DAC"/>
    <w:rsid w:val="00E74EBE"/>
    <w:rsid w:val="00E750B1"/>
    <w:rsid w:val="00E75278"/>
    <w:rsid w:val="00E75F90"/>
    <w:rsid w:val="00E760DB"/>
    <w:rsid w:val="00E77007"/>
    <w:rsid w:val="00E802B7"/>
    <w:rsid w:val="00E809B2"/>
    <w:rsid w:val="00E80B23"/>
    <w:rsid w:val="00E8163E"/>
    <w:rsid w:val="00E8193C"/>
    <w:rsid w:val="00E81987"/>
    <w:rsid w:val="00E82258"/>
    <w:rsid w:val="00E82569"/>
    <w:rsid w:val="00E82B87"/>
    <w:rsid w:val="00E82C96"/>
    <w:rsid w:val="00E82F6E"/>
    <w:rsid w:val="00E831CE"/>
    <w:rsid w:val="00E83747"/>
    <w:rsid w:val="00E83B0B"/>
    <w:rsid w:val="00E84895"/>
    <w:rsid w:val="00E84BA8"/>
    <w:rsid w:val="00E84E64"/>
    <w:rsid w:val="00E857D2"/>
    <w:rsid w:val="00E85D23"/>
    <w:rsid w:val="00E85D64"/>
    <w:rsid w:val="00E862C9"/>
    <w:rsid w:val="00E8650D"/>
    <w:rsid w:val="00E86C3F"/>
    <w:rsid w:val="00E86D1F"/>
    <w:rsid w:val="00E87A0F"/>
    <w:rsid w:val="00E87A12"/>
    <w:rsid w:val="00E87B29"/>
    <w:rsid w:val="00E87C7D"/>
    <w:rsid w:val="00E901DA"/>
    <w:rsid w:val="00E901F0"/>
    <w:rsid w:val="00E90234"/>
    <w:rsid w:val="00E9069A"/>
    <w:rsid w:val="00E90C46"/>
    <w:rsid w:val="00E90E4A"/>
    <w:rsid w:val="00E9103E"/>
    <w:rsid w:val="00E91A0D"/>
    <w:rsid w:val="00E9202A"/>
    <w:rsid w:val="00E9292B"/>
    <w:rsid w:val="00E92983"/>
    <w:rsid w:val="00E92C9B"/>
    <w:rsid w:val="00E93180"/>
    <w:rsid w:val="00E93DB1"/>
    <w:rsid w:val="00E9553B"/>
    <w:rsid w:val="00E960F2"/>
    <w:rsid w:val="00E96268"/>
    <w:rsid w:val="00E96A30"/>
    <w:rsid w:val="00E97299"/>
    <w:rsid w:val="00E9757A"/>
    <w:rsid w:val="00EA031B"/>
    <w:rsid w:val="00EA03A8"/>
    <w:rsid w:val="00EA06DC"/>
    <w:rsid w:val="00EA1AF3"/>
    <w:rsid w:val="00EA1D72"/>
    <w:rsid w:val="00EA237C"/>
    <w:rsid w:val="00EA2BCA"/>
    <w:rsid w:val="00EA2E7B"/>
    <w:rsid w:val="00EA2E86"/>
    <w:rsid w:val="00EA33C4"/>
    <w:rsid w:val="00EA340E"/>
    <w:rsid w:val="00EA3EF3"/>
    <w:rsid w:val="00EA451D"/>
    <w:rsid w:val="00EA49CB"/>
    <w:rsid w:val="00EA54D1"/>
    <w:rsid w:val="00EA6314"/>
    <w:rsid w:val="00EA66D4"/>
    <w:rsid w:val="00EA6B05"/>
    <w:rsid w:val="00EA6C4C"/>
    <w:rsid w:val="00EA6DAE"/>
    <w:rsid w:val="00EA7448"/>
    <w:rsid w:val="00EA75EA"/>
    <w:rsid w:val="00EA7B40"/>
    <w:rsid w:val="00EA7F4D"/>
    <w:rsid w:val="00EB017B"/>
    <w:rsid w:val="00EB0766"/>
    <w:rsid w:val="00EB0A02"/>
    <w:rsid w:val="00EB1002"/>
    <w:rsid w:val="00EB12EA"/>
    <w:rsid w:val="00EB19DD"/>
    <w:rsid w:val="00EB2D20"/>
    <w:rsid w:val="00EB2FF0"/>
    <w:rsid w:val="00EB3624"/>
    <w:rsid w:val="00EB3C1C"/>
    <w:rsid w:val="00EB3EF8"/>
    <w:rsid w:val="00EB4203"/>
    <w:rsid w:val="00EB43DB"/>
    <w:rsid w:val="00EB44CB"/>
    <w:rsid w:val="00EB46B9"/>
    <w:rsid w:val="00EB48A2"/>
    <w:rsid w:val="00EB5342"/>
    <w:rsid w:val="00EB72B7"/>
    <w:rsid w:val="00EB7438"/>
    <w:rsid w:val="00EC0255"/>
    <w:rsid w:val="00EC073B"/>
    <w:rsid w:val="00EC1852"/>
    <w:rsid w:val="00EC1A67"/>
    <w:rsid w:val="00EC1C21"/>
    <w:rsid w:val="00EC20AA"/>
    <w:rsid w:val="00EC2AAD"/>
    <w:rsid w:val="00EC2EF2"/>
    <w:rsid w:val="00EC337C"/>
    <w:rsid w:val="00EC36D3"/>
    <w:rsid w:val="00EC37CB"/>
    <w:rsid w:val="00EC466D"/>
    <w:rsid w:val="00EC48D5"/>
    <w:rsid w:val="00EC526B"/>
    <w:rsid w:val="00EC5463"/>
    <w:rsid w:val="00EC5DBC"/>
    <w:rsid w:val="00EC60D2"/>
    <w:rsid w:val="00EC60FF"/>
    <w:rsid w:val="00EC65F8"/>
    <w:rsid w:val="00EC663A"/>
    <w:rsid w:val="00EC66D7"/>
    <w:rsid w:val="00ED0064"/>
    <w:rsid w:val="00ED00E4"/>
    <w:rsid w:val="00ED08B8"/>
    <w:rsid w:val="00ED0AD7"/>
    <w:rsid w:val="00ED1A31"/>
    <w:rsid w:val="00ED2361"/>
    <w:rsid w:val="00ED2B3D"/>
    <w:rsid w:val="00ED2E74"/>
    <w:rsid w:val="00ED31B6"/>
    <w:rsid w:val="00ED4CD5"/>
    <w:rsid w:val="00ED51C6"/>
    <w:rsid w:val="00ED5538"/>
    <w:rsid w:val="00ED6906"/>
    <w:rsid w:val="00ED6EFE"/>
    <w:rsid w:val="00ED7158"/>
    <w:rsid w:val="00EE01F4"/>
    <w:rsid w:val="00EE0A18"/>
    <w:rsid w:val="00EE0D7A"/>
    <w:rsid w:val="00EE125E"/>
    <w:rsid w:val="00EE191D"/>
    <w:rsid w:val="00EE1BF5"/>
    <w:rsid w:val="00EE1E7B"/>
    <w:rsid w:val="00EE2397"/>
    <w:rsid w:val="00EE2DB0"/>
    <w:rsid w:val="00EE3375"/>
    <w:rsid w:val="00EE3BEA"/>
    <w:rsid w:val="00EE3F71"/>
    <w:rsid w:val="00EE4A0A"/>
    <w:rsid w:val="00EE5705"/>
    <w:rsid w:val="00EE576B"/>
    <w:rsid w:val="00EE59BD"/>
    <w:rsid w:val="00EE5ECD"/>
    <w:rsid w:val="00EE6D03"/>
    <w:rsid w:val="00EE6D7E"/>
    <w:rsid w:val="00EE76B5"/>
    <w:rsid w:val="00EE78B2"/>
    <w:rsid w:val="00EE7B77"/>
    <w:rsid w:val="00EF0100"/>
    <w:rsid w:val="00EF0746"/>
    <w:rsid w:val="00EF0D1D"/>
    <w:rsid w:val="00EF0DCA"/>
    <w:rsid w:val="00EF11CF"/>
    <w:rsid w:val="00EF18C5"/>
    <w:rsid w:val="00EF1EBB"/>
    <w:rsid w:val="00EF1F3D"/>
    <w:rsid w:val="00EF207C"/>
    <w:rsid w:val="00EF2488"/>
    <w:rsid w:val="00EF28D8"/>
    <w:rsid w:val="00EF2DA7"/>
    <w:rsid w:val="00EF36B9"/>
    <w:rsid w:val="00EF3C12"/>
    <w:rsid w:val="00EF553B"/>
    <w:rsid w:val="00EF5869"/>
    <w:rsid w:val="00EF6D3D"/>
    <w:rsid w:val="00EF6F92"/>
    <w:rsid w:val="00EF7005"/>
    <w:rsid w:val="00EF7D3F"/>
    <w:rsid w:val="00F0065F"/>
    <w:rsid w:val="00F009B1"/>
    <w:rsid w:val="00F00AC9"/>
    <w:rsid w:val="00F00C4D"/>
    <w:rsid w:val="00F02F96"/>
    <w:rsid w:val="00F031AF"/>
    <w:rsid w:val="00F03C9F"/>
    <w:rsid w:val="00F04488"/>
    <w:rsid w:val="00F04DA0"/>
    <w:rsid w:val="00F04F02"/>
    <w:rsid w:val="00F051A1"/>
    <w:rsid w:val="00F05259"/>
    <w:rsid w:val="00F052AC"/>
    <w:rsid w:val="00F05390"/>
    <w:rsid w:val="00F05518"/>
    <w:rsid w:val="00F05684"/>
    <w:rsid w:val="00F05CF9"/>
    <w:rsid w:val="00F061CD"/>
    <w:rsid w:val="00F0640D"/>
    <w:rsid w:val="00F06440"/>
    <w:rsid w:val="00F06733"/>
    <w:rsid w:val="00F06735"/>
    <w:rsid w:val="00F06AA7"/>
    <w:rsid w:val="00F06CD0"/>
    <w:rsid w:val="00F07EC2"/>
    <w:rsid w:val="00F112E3"/>
    <w:rsid w:val="00F1191B"/>
    <w:rsid w:val="00F11BF1"/>
    <w:rsid w:val="00F11FF3"/>
    <w:rsid w:val="00F120ED"/>
    <w:rsid w:val="00F12100"/>
    <w:rsid w:val="00F12146"/>
    <w:rsid w:val="00F1263C"/>
    <w:rsid w:val="00F12B0E"/>
    <w:rsid w:val="00F1372A"/>
    <w:rsid w:val="00F13D82"/>
    <w:rsid w:val="00F144C3"/>
    <w:rsid w:val="00F14BEB"/>
    <w:rsid w:val="00F14CE8"/>
    <w:rsid w:val="00F15A9F"/>
    <w:rsid w:val="00F15B07"/>
    <w:rsid w:val="00F15B50"/>
    <w:rsid w:val="00F16267"/>
    <w:rsid w:val="00F16B8A"/>
    <w:rsid w:val="00F16C47"/>
    <w:rsid w:val="00F175E2"/>
    <w:rsid w:val="00F17945"/>
    <w:rsid w:val="00F20108"/>
    <w:rsid w:val="00F202E0"/>
    <w:rsid w:val="00F2073A"/>
    <w:rsid w:val="00F2078B"/>
    <w:rsid w:val="00F208EA"/>
    <w:rsid w:val="00F214FD"/>
    <w:rsid w:val="00F21E03"/>
    <w:rsid w:val="00F21E64"/>
    <w:rsid w:val="00F21F24"/>
    <w:rsid w:val="00F229CB"/>
    <w:rsid w:val="00F23535"/>
    <w:rsid w:val="00F2403F"/>
    <w:rsid w:val="00F243D5"/>
    <w:rsid w:val="00F2472F"/>
    <w:rsid w:val="00F2492D"/>
    <w:rsid w:val="00F24AFA"/>
    <w:rsid w:val="00F24D94"/>
    <w:rsid w:val="00F24FDC"/>
    <w:rsid w:val="00F251AC"/>
    <w:rsid w:val="00F252ED"/>
    <w:rsid w:val="00F2638C"/>
    <w:rsid w:val="00F26EF4"/>
    <w:rsid w:val="00F2795E"/>
    <w:rsid w:val="00F27B0F"/>
    <w:rsid w:val="00F27E0C"/>
    <w:rsid w:val="00F300F6"/>
    <w:rsid w:val="00F30366"/>
    <w:rsid w:val="00F306F0"/>
    <w:rsid w:val="00F309B0"/>
    <w:rsid w:val="00F30C4B"/>
    <w:rsid w:val="00F30F85"/>
    <w:rsid w:val="00F3206F"/>
    <w:rsid w:val="00F3234A"/>
    <w:rsid w:val="00F32A11"/>
    <w:rsid w:val="00F32ED7"/>
    <w:rsid w:val="00F33B52"/>
    <w:rsid w:val="00F33C5A"/>
    <w:rsid w:val="00F33D49"/>
    <w:rsid w:val="00F33EFA"/>
    <w:rsid w:val="00F33F70"/>
    <w:rsid w:val="00F340C1"/>
    <w:rsid w:val="00F34EAF"/>
    <w:rsid w:val="00F35266"/>
    <w:rsid w:val="00F355E7"/>
    <w:rsid w:val="00F356C6"/>
    <w:rsid w:val="00F35C68"/>
    <w:rsid w:val="00F35FB3"/>
    <w:rsid w:val="00F360C0"/>
    <w:rsid w:val="00F36E7E"/>
    <w:rsid w:val="00F36EE5"/>
    <w:rsid w:val="00F37036"/>
    <w:rsid w:val="00F3771A"/>
    <w:rsid w:val="00F3778B"/>
    <w:rsid w:val="00F37C76"/>
    <w:rsid w:val="00F37E93"/>
    <w:rsid w:val="00F40894"/>
    <w:rsid w:val="00F40C2E"/>
    <w:rsid w:val="00F412A4"/>
    <w:rsid w:val="00F4185A"/>
    <w:rsid w:val="00F42830"/>
    <w:rsid w:val="00F42CB2"/>
    <w:rsid w:val="00F43A7B"/>
    <w:rsid w:val="00F43E20"/>
    <w:rsid w:val="00F43ED9"/>
    <w:rsid w:val="00F4471D"/>
    <w:rsid w:val="00F44B80"/>
    <w:rsid w:val="00F44BEC"/>
    <w:rsid w:val="00F44C04"/>
    <w:rsid w:val="00F46294"/>
    <w:rsid w:val="00F4665A"/>
    <w:rsid w:val="00F46F08"/>
    <w:rsid w:val="00F46F4C"/>
    <w:rsid w:val="00F474A7"/>
    <w:rsid w:val="00F47837"/>
    <w:rsid w:val="00F4796B"/>
    <w:rsid w:val="00F5054B"/>
    <w:rsid w:val="00F50734"/>
    <w:rsid w:val="00F508C7"/>
    <w:rsid w:val="00F52299"/>
    <w:rsid w:val="00F52329"/>
    <w:rsid w:val="00F527DD"/>
    <w:rsid w:val="00F532C4"/>
    <w:rsid w:val="00F532E9"/>
    <w:rsid w:val="00F5358C"/>
    <w:rsid w:val="00F53951"/>
    <w:rsid w:val="00F54ECE"/>
    <w:rsid w:val="00F5716F"/>
    <w:rsid w:val="00F57276"/>
    <w:rsid w:val="00F60542"/>
    <w:rsid w:val="00F6158B"/>
    <w:rsid w:val="00F62474"/>
    <w:rsid w:val="00F624AC"/>
    <w:rsid w:val="00F63B71"/>
    <w:rsid w:val="00F641A0"/>
    <w:rsid w:val="00F641C9"/>
    <w:rsid w:val="00F64458"/>
    <w:rsid w:val="00F645FD"/>
    <w:rsid w:val="00F648F3"/>
    <w:rsid w:val="00F653B9"/>
    <w:rsid w:val="00F65682"/>
    <w:rsid w:val="00F66058"/>
    <w:rsid w:val="00F660E8"/>
    <w:rsid w:val="00F66994"/>
    <w:rsid w:val="00F66CF0"/>
    <w:rsid w:val="00F6721F"/>
    <w:rsid w:val="00F67358"/>
    <w:rsid w:val="00F678FD"/>
    <w:rsid w:val="00F67F79"/>
    <w:rsid w:val="00F7004F"/>
    <w:rsid w:val="00F70597"/>
    <w:rsid w:val="00F70808"/>
    <w:rsid w:val="00F71308"/>
    <w:rsid w:val="00F71AFC"/>
    <w:rsid w:val="00F71DBE"/>
    <w:rsid w:val="00F71EC1"/>
    <w:rsid w:val="00F72A09"/>
    <w:rsid w:val="00F72C81"/>
    <w:rsid w:val="00F73017"/>
    <w:rsid w:val="00F73642"/>
    <w:rsid w:val="00F736A5"/>
    <w:rsid w:val="00F753BA"/>
    <w:rsid w:val="00F755FC"/>
    <w:rsid w:val="00F761D9"/>
    <w:rsid w:val="00F76329"/>
    <w:rsid w:val="00F764C4"/>
    <w:rsid w:val="00F7679E"/>
    <w:rsid w:val="00F7698F"/>
    <w:rsid w:val="00F76A6D"/>
    <w:rsid w:val="00F76C4A"/>
    <w:rsid w:val="00F76D3A"/>
    <w:rsid w:val="00F773E8"/>
    <w:rsid w:val="00F774A1"/>
    <w:rsid w:val="00F778E8"/>
    <w:rsid w:val="00F77A0A"/>
    <w:rsid w:val="00F77FB8"/>
    <w:rsid w:val="00F801EF"/>
    <w:rsid w:val="00F80320"/>
    <w:rsid w:val="00F809C2"/>
    <w:rsid w:val="00F80B6E"/>
    <w:rsid w:val="00F80CBC"/>
    <w:rsid w:val="00F80DA7"/>
    <w:rsid w:val="00F81128"/>
    <w:rsid w:val="00F8113B"/>
    <w:rsid w:val="00F81352"/>
    <w:rsid w:val="00F8167C"/>
    <w:rsid w:val="00F818FC"/>
    <w:rsid w:val="00F8193F"/>
    <w:rsid w:val="00F82054"/>
    <w:rsid w:val="00F82C32"/>
    <w:rsid w:val="00F82CF3"/>
    <w:rsid w:val="00F82DAB"/>
    <w:rsid w:val="00F82E8C"/>
    <w:rsid w:val="00F831DB"/>
    <w:rsid w:val="00F83B34"/>
    <w:rsid w:val="00F83F33"/>
    <w:rsid w:val="00F84109"/>
    <w:rsid w:val="00F84135"/>
    <w:rsid w:val="00F847ED"/>
    <w:rsid w:val="00F84840"/>
    <w:rsid w:val="00F84F70"/>
    <w:rsid w:val="00F8500B"/>
    <w:rsid w:val="00F85823"/>
    <w:rsid w:val="00F85F6C"/>
    <w:rsid w:val="00F873BF"/>
    <w:rsid w:val="00F87975"/>
    <w:rsid w:val="00F879D3"/>
    <w:rsid w:val="00F87C92"/>
    <w:rsid w:val="00F905C6"/>
    <w:rsid w:val="00F90854"/>
    <w:rsid w:val="00F90A1D"/>
    <w:rsid w:val="00F90DC0"/>
    <w:rsid w:val="00F911F0"/>
    <w:rsid w:val="00F91218"/>
    <w:rsid w:val="00F91341"/>
    <w:rsid w:val="00F913C0"/>
    <w:rsid w:val="00F92A53"/>
    <w:rsid w:val="00F92C72"/>
    <w:rsid w:val="00F933CB"/>
    <w:rsid w:val="00F93E18"/>
    <w:rsid w:val="00F93F3D"/>
    <w:rsid w:val="00F94275"/>
    <w:rsid w:val="00F946E9"/>
    <w:rsid w:val="00F94FF5"/>
    <w:rsid w:val="00F95132"/>
    <w:rsid w:val="00F951BF"/>
    <w:rsid w:val="00F9565E"/>
    <w:rsid w:val="00F95705"/>
    <w:rsid w:val="00F95A15"/>
    <w:rsid w:val="00F95D25"/>
    <w:rsid w:val="00F96450"/>
    <w:rsid w:val="00F96A87"/>
    <w:rsid w:val="00F978D1"/>
    <w:rsid w:val="00FA0281"/>
    <w:rsid w:val="00FA073D"/>
    <w:rsid w:val="00FA0F5F"/>
    <w:rsid w:val="00FA181A"/>
    <w:rsid w:val="00FA183E"/>
    <w:rsid w:val="00FA24A1"/>
    <w:rsid w:val="00FA33F3"/>
    <w:rsid w:val="00FA4816"/>
    <w:rsid w:val="00FA495E"/>
    <w:rsid w:val="00FA4A86"/>
    <w:rsid w:val="00FA4F08"/>
    <w:rsid w:val="00FA5207"/>
    <w:rsid w:val="00FA5689"/>
    <w:rsid w:val="00FA569F"/>
    <w:rsid w:val="00FA5B5D"/>
    <w:rsid w:val="00FA5C99"/>
    <w:rsid w:val="00FA5DE9"/>
    <w:rsid w:val="00FA6552"/>
    <w:rsid w:val="00FA66D0"/>
    <w:rsid w:val="00FA79A8"/>
    <w:rsid w:val="00FA7C3D"/>
    <w:rsid w:val="00FB0254"/>
    <w:rsid w:val="00FB0574"/>
    <w:rsid w:val="00FB0644"/>
    <w:rsid w:val="00FB0FDB"/>
    <w:rsid w:val="00FB0FFB"/>
    <w:rsid w:val="00FB132E"/>
    <w:rsid w:val="00FB1400"/>
    <w:rsid w:val="00FB1417"/>
    <w:rsid w:val="00FB206F"/>
    <w:rsid w:val="00FB27F1"/>
    <w:rsid w:val="00FB2B9F"/>
    <w:rsid w:val="00FB2BCA"/>
    <w:rsid w:val="00FB2DEE"/>
    <w:rsid w:val="00FB2E6A"/>
    <w:rsid w:val="00FB2FD5"/>
    <w:rsid w:val="00FB300F"/>
    <w:rsid w:val="00FB3B9D"/>
    <w:rsid w:val="00FB4934"/>
    <w:rsid w:val="00FB4EA4"/>
    <w:rsid w:val="00FB4EBE"/>
    <w:rsid w:val="00FB4EE4"/>
    <w:rsid w:val="00FB5EAC"/>
    <w:rsid w:val="00FB6511"/>
    <w:rsid w:val="00FB67FD"/>
    <w:rsid w:val="00FB6B02"/>
    <w:rsid w:val="00FB7069"/>
    <w:rsid w:val="00FB7A2B"/>
    <w:rsid w:val="00FB7ACF"/>
    <w:rsid w:val="00FB7C13"/>
    <w:rsid w:val="00FC0463"/>
    <w:rsid w:val="00FC06AB"/>
    <w:rsid w:val="00FC090C"/>
    <w:rsid w:val="00FC0F13"/>
    <w:rsid w:val="00FC11DC"/>
    <w:rsid w:val="00FC1456"/>
    <w:rsid w:val="00FC14BD"/>
    <w:rsid w:val="00FC1BB2"/>
    <w:rsid w:val="00FC1CAB"/>
    <w:rsid w:val="00FC1D3F"/>
    <w:rsid w:val="00FC2318"/>
    <w:rsid w:val="00FC25FF"/>
    <w:rsid w:val="00FC2E76"/>
    <w:rsid w:val="00FC33B1"/>
    <w:rsid w:val="00FC4088"/>
    <w:rsid w:val="00FC4270"/>
    <w:rsid w:val="00FC42EA"/>
    <w:rsid w:val="00FC542D"/>
    <w:rsid w:val="00FC569B"/>
    <w:rsid w:val="00FC576C"/>
    <w:rsid w:val="00FC57DC"/>
    <w:rsid w:val="00FC5994"/>
    <w:rsid w:val="00FC5F70"/>
    <w:rsid w:val="00FC6F80"/>
    <w:rsid w:val="00FC7007"/>
    <w:rsid w:val="00FC77E8"/>
    <w:rsid w:val="00FC7B5E"/>
    <w:rsid w:val="00FC7D4F"/>
    <w:rsid w:val="00FC7DFB"/>
    <w:rsid w:val="00FC7EE8"/>
    <w:rsid w:val="00FC7F5E"/>
    <w:rsid w:val="00FD04BC"/>
    <w:rsid w:val="00FD0BA0"/>
    <w:rsid w:val="00FD1921"/>
    <w:rsid w:val="00FD1A3E"/>
    <w:rsid w:val="00FD1AF3"/>
    <w:rsid w:val="00FD2336"/>
    <w:rsid w:val="00FD2551"/>
    <w:rsid w:val="00FD2E4B"/>
    <w:rsid w:val="00FD359D"/>
    <w:rsid w:val="00FD3BAD"/>
    <w:rsid w:val="00FD4B44"/>
    <w:rsid w:val="00FD4C65"/>
    <w:rsid w:val="00FD4E33"/>
    <w:rsid w:val="00FD4ED6"/>
    <w:rsid w:val="00FD4FF3"/>
    <w:rsid w:val="00FD5115"/>
    <w:rsid w:val="00FD53F6"/>
    <w:rsid w:val="00FD5421"/>
    <w:rsid w:val="00FD5F73"/>
    <w:rsid w:val="00FD622D"/>
    <w:rsid w:val="00FD62C5"/>
    <w:rsid w:val="00FD6EF5"/>
    <w:rsid w:val="00FD747A"/>
    <w:rsid w:val="00FD7696"/>
    <w:rsid w:val="00FD77B6"/>
    <w:rsid w:val="00FE0561"/>
    <w:rsid w:val="00FE0B5C"/>
    <w:rsid w:val="00FE1124"/>
    <w:rsid w:val="00FE11AC"/>
    <w:rsid w:val="00FE13B8"/>
    <w:rsid w:val="00FE178F"/>
    <w:rsid w:val="00FE1A34"/>
    <w:rsid w:val="00FE1F17"/>
    <w:rsid w:val="00FE207A"/>
    <w:rsid w:val="00FE2409"/>
    <w:rsid w:val="00FE2595"/>
    <w:rsid w:val="00FE29A7"/>
    <w:rsid w:val="00FE2AB1"/>
    <w:rsid w:val="00FE331A"/>
    <w:rsid w:val="00FE3459"/>
    <w:rsid w:val="00FE3611"/>
    <w:rsid w:val="00FE3E16"/>
    <w:rsid w:val="00FE4052"/>
    <w:rsid w:val="00FE4105"/>
    <w:rsid w:val="00FE4384"/>
    <w:rsid w:val="00FE52B8"/>
    <w:rsid w:val="00FE5801"/>
    <w:rsid w:val="00FE5BE7"/>
    <w:rsid w:val="00FE5DB6"/>
    <w:rsid w:val="00FE5E29"/>
    <w:rsid w:val="00FE6228"/>
    <w:rsid w:val="00FE649E"/>
    <w:rsid w:val="00FE64D9"/>
    <w:rsid w:val="00FE7B63"/>
    <w:rsid w:val="00FF0896"/>
    <w:rsid w:val="00FF0EED"/>
    <w:rsid w:val="00FF1D60"/>
    <w:rsid w:val="00FF1D65"/>
    <w:rsid w:val="00FF2390"/>
    <w:rsid w:val="00FF28F0"/>
    <w:rsid w:val="00FF2956"/>
    <w:rsid w:val="00FF2A87"/>
    <w:rsid w:val="00FF3241"/>
    <w:rsid w:val="00FF34AA"/>
    <w:rsid w:val="00FF36EF"/>
    <w:rsid w:val="00FF3854"/>
    <w:rsid w:val="00FF3C0B"/>
    <w:rsid w:val="00FF4168"/>
    <w:rsid w:val="00FF4AE7"/>
    <w:rsid w:val="00FF4C46"/>
    <w:rsid w:val="00FF54A8"/>
    <w:rsid w:val="00FF5C2A"/>
    <w:rsid w:val="00FF5D12"/>
    <w:rsid w:val="00FF6288"/>
    <w:rsid w:val="00FF65D2"/>
    <w:rsid w:val="00FF6726"/>
    <w:rsid w:val="00FF76F6"/>
    <w:rsid w:val="0107887C"/>
    <w:rsid w:val="01EF878A"/>
    <w:rsid w:val="02021C0E"/>
    <w:rsid w:val="0303B8D4"/>
    <w:rsid w:val="03910908"/>
    <w:rsid w:val="03B15604"/>
    <w:rsid w:val="0435CF6F"/>
    <w:rsid w:val="04616D16"/>
    <w:rsid w:val="0466BA20"/>
    <w:rsid w:val="051FE25E"/>
    <w:rsid w:val="053CCF9A"/>
    <w:rsid w:val="05FB4373"/>
    <w:rsid w:val="060FFB17"/>
    <w:rsid w:val="065CD361"/>
    <w:rsid w:val="06FEE7C8"/>
    <w:rsid w:val="071DBABC"/>
    <w:rsid w:val="07622A92"/>
    <w:rsid w:val="08E7D286"/>
    <w:rsid w:val="091481D2"/>
    <w:rsid w:val="0970B293"/>
    <w:rsid w:val="09740104"/>
    <w:rsid w:val="09808D65"/>
    <w:rsid w:val="098B7BD1"/>
    <w:rsid w:val="099DC640"/>
    <w:rsid w:val="0A0D2DF3"/>
    <w:rsid w:val="0A18048B"/>
    <w:rsid w:val="0A322EA5"/>
    <w:rsid w:val="0A9D72D9"/>
    <w:rsid w:val="0AF61B1C"/>
    <w:rsid w:val="0B2A8DEC"/>
    <w:rsid w:val="0B54F5C8"/>
    <w:rsid w:val="0BAE0831"/>
    <w:rsid w:val="0BAF825D"/>
    <w:rsid w:val="0BDB7D14"/>
    <w:rsid w:val="0D32B118"/>
    <w:rsid w:val="0D459729"/>
    <w:rsid w:val="0D4CBC3B"/>
    <w:rsid w:val="0E3891A8"/>
    <w:rsid w:val="0E561CD6"/>
    <w:rsid w:val="0E6766B5"/>
    <w:rsid w:val="0E907FF5"/>
    <w:rsid w:val="0EE09F16"/>
    <w:rsid w:val="0EFF35F9"/>
    <w:rsid w:val="0F125492"/>
    <w:rsid w:val="101C3AAD"/>
    <w:rsid w:val="10A9A81D"/>
    <w:rsid w:val="10F5AE1D"/>
    <w:rsid w:val="1111AEFD"/>
    <w:rsid w:val="11326762"/>
    <w:rsid w:val="1160EB88"/>
    <w:rsid w:val="116F9E5F"/>
    <w:rsid w:val="1171802C"/>
    <w:rsid w:val="119C5001"/>
    <w:rsid w:val="12735456"/>
    <w:rsid w:val="12931B20"/>
    <w:rsid w:val="12FA4A57"/>
    <w:rsid w:val="1352ABB7"/>
    <w:rsid w:val="13DDA9DE"/>
    <w:rsid w:val="1400CD11"/>
    <w:rsid w:val="142DCC2B"/>
    <w:rsid w:val="147FF59F"/>
    <w:rsid w:val="14C6B26D"/>
    <w:rsid w:val="14C9596C"/>
    <w:rsid w:val="14CB4C7B"/>
    <w:rsid w:val="15094310"/>
    <w:rsid w:val="15DB77A5"/>
    <w:rsid w:val="167988DF"/>
    <w:rsid w:val="168688C9"/>
    <w:rsid w:val="16F4B46A"/>
    <w:rsid w:val="175B3479"/>
    <w:rsid w:val="17D253F8"/>
    <w:rsid w:val="17EEA016"/>
    <w:rsid w:val="180E877C"/>
    <w:rsid w:val="19AB4E79"/>
    <w:rsid w:val="19B91EEC"/>
    <w:rsid w:val="1A2B3F43"/>
    <w:rsid w:val="1A609FD0"/>
    <w:rsid w:val="1A6B3B55"/>
    <w:rsid w:val="1A7C0462"/>
    <w:rsid w:val="1AEB00FE"/>
    <w:rsid w:val="1AF108EC"/>
    <w:rsid w:val="1BC68F67"/>
    <w:rsid w:val="1C1C2EDA"/>
    <w:rsid w:val="1CA895C0"/>
    <w:rsid w:val="1D4B7ACA"/>
    <w:rsid w:val="1D62E005"/>
    <w:rsid w:val="1D992C54"/>
    <w:rsid w:val="1E0DAF88"/>
    <w:rsid w:val="1EBD0B0A"/>
    <w:rsid w:val="1EE0C20A"/>
    <w:rsid w:val="1EE5FE9B"/>
    <w:rsid w:val="1EE76D43"/>
    <w:rsid w:val="1EEB013E"/>
    <w:rsid w:val="1F2109DF"/>
    <w:rsid w:val="1F39D6AD"/>
    <w:rsid w:val="1F3A3E69"/>
    <w:rsid w:val="1FB0B441"/>
    <w:rsid w:val="1FC6841C"/>
    <w:rsid w:val="2016DD13"/>
    <w:rsid w:val="2036F27C"/>
    <w:rsid w:val="209A80C7"/>
    <w:rsid w:val="215F560F"/>
    <w:rsid w:val="222C5860"/>
    <w:rsid w:val="228E603F"/>
    <w:rsid w:val="22D63895"/>
    <w:rsid w:val="23492476"/>
    <w:rsid w:val="234D5847"/>
    <w:rsid w:val="23811953"/>
    <w:rsid w:val="2388CFE2"/>
    <w:rsid w:val="239C9F45"/>
    <w:rsid w:val="2407DD73"/>
    <w:rsid w:val="240F5A97"/>
    <w:rsid w:val="241157D3"/>
    <w:rsid w:val="241BB2E7"/>
    <w:rsid w:val="242393EA"/>
    <w:rsid w:val="244E787C"/>
    <w:rsid w:val="24BB6DE5"/>
    <w:rsid w:val="250FA804"/>
    <w:rsid w:val="252B7D8B"/>
    <w:rsid w:val="26387B6A"/>
    <w:rsid w:val="26833F80"/>
    <w:rsid w:val="26EB0899"/>
    <w:rsid w:val="272F9125"/>
    <w:rsid w:val="277FEC45"/>
    <w:rsid w:val="27887881"/>
    <w:rsid w:val="283E48CB"/>
    <w:rsid w:val="28C3F212"/>
    <w:rsid w:val="28E95AAB"/>
    <w:rsid w:val="28F75B50"/>
    <w:rsid w:val="298E99A6"/>
    <w:rsid w:val="29A13E36"/>
    <w:rsid w:val="29C7530E"/>
    <w:rsid w:val="29D23431"/>
    <w:rsid w:val="29D998BD"/>
    <w:rsid w:val="2A1F31B9"/>
    <w:rsid w:val="2A39A9F6"/>
    <w:rsid w:val="2B0F9F77"/>
    <w:rsid w:val="2B1BFDA3"/>
    <w:rsid w:val="2B9242A5"/>
    <w:rsid w:val="2BFBD091"/>
    <w:rsid w:val="2C2E7FF1"/>
    <w:rsid w:val="2C338F99"/>
    <w:rsid w:val="2C397D51"/>
    <w:rsid w:val="2CBCBC54"/>
    <w:rsid w:val="2CD2E1B5"/>
    <w:rsid w:val="2CDD70E8"/>
    <w:rsid w:val="2D1DA419"/>
    <w:rsid w:val="2D466ACE"/>
    <w:rsid w:val="2DCF43C6"/>
    <w:rsid w:val="2E891488"/>
    <w:rsid w:val="2ED32B67"/>
    <w:rsid w:val="2F0DA970"/>
    <w:rsid w:val="2F65D174"/>
    <w:rsid w:val="2F80287B"/>
    <w:rsid w:val="2F8A64C3"/>
    <w:rsid w:val="2FB675A6"/>
    <w:rsid w:val="30022555"/>
    <w:rsid w:val="3013D4F5"/>
    <w:rsid w:val="30204C92"/>
    <w:rsid w:val="3064CD01"/>
    <w:rsid w:val="312827E2"/>
    <w:rsid w:val="318B3F27"/>
    <w:rsid w:val="31DF55BB"/>
    <w:rsid w:val="3273BFEC"/>
    <w:rsid w:val="32CD17CE"/>
    <w:rsid w:val="33047BB8"/>
    <w:rsid w:val="330DE72B"/>
    <w:rsid w:val="3329243A"/>
    <w:rsid w:val="337D814C"/>
    <w:rsid w:val="33A8A104"/>
    <w:rsid w:val="33DFE022"/>
    <w:rsid w:val="345481A3"/>
    <w:rsid w:val="34764E12"/>
    <w:rsid w:val="34C2DFE9"/>
    <w:rsid w:val="34EFB10D"/>
    <w:rsid w:val="3523B855"/>
    <w:rsid w:val="35590804"/>
    <w:rsid w:val="35BC369F"/>
    <w:rsid w:val="35D1BB0B"/>
    <w:rsid w:val="35DE8E77"/>
    <w:rsid w:val="3639B8EB"/>
    <w:rsid w:val="3679B0B3"/>
    <w:rsid w:val="36913D5C"/>
    <w:rsid w:val="36A0B830"/>
    <w:rsid w:val="36A645D2"/>
    <w:rsid w:val="36A8BE39"/>
    <w:rsid w:val="36D0AF69"/>
    <w:rsid w:val="36E1CCEA"/>
    <w:rsid w:val="3700C0FF"/>
    <w:rsid w:val="37464F66"/>
    <w:rsid w:val="38006D40"/>
    <w:rsid w:val="381F81B1"/>
    <w:rsid w:val="38232454"/>
    <w:rsid w:val="38569305"/>
    <w:rsid w:val="385E5D80"/>
    <w:rsid w:val="391BFF40"/>
    <w:rsid w:val="399DB17B"/>
    <w:rsid w:val="3ACE8AD0"/>
    <w:rsid w:val="3B7A6F0E"/>
    <w:rsid w:val="3B9C964D"/>
    <w:rsid w:val="3BBA2291"/>
    <w:rsid w:val="3BC2A644"/>
    <w:rsid w:val="3C66B191"/>
    <w:rsid w:val="3D7BD10A"/>
    <w:rsid w:val="3E6A1B9C"/>
    <w:rsid w:val="3EDD6C4F"/>
    <w:rsid w:val="41C48302"/>
    <w:rsid w:val="41DE559A"/>
    <w:rsid w:val="423416ED"/>
    <w:rsid w:val="42AEC4BF"/>
    <w:rsid w:val="42B5DF12"/>
    <w:rsid w:val="42DC60E1"/>
    <w:rsid w:val="42E60B4D"/>
    <w:rsid w:val="432EF4AC"/>
    <w:rsid w:val="44A79F4A"/>
    <w:rsid w:val="46995FA8"/>
    <w:rsid w:val="46B33CCC"/>
    <w:rsid w:val="46CF4706"/>
    <w:rsid w:val="4703EC7F"/>
    <w:rsid w:val="473E5BCF"/>
    <w:rsid w:val="47611216"/>
    <w:rsid w:val="485F2C09"/>
    <w:rsid w:val="48D7746E"/>
    <w:rsid w:val="48E3BCEC"/>
    <w:rsid w:val="4911DB99"/>
    <w:rsid w:val="492A5461"/>
    <w:rsid w:val="4930F2DA"/>
    <w:rsid w:val="497CB623"/>
    <w:rsid w:val="4980CA13"/>
    <w:rsid w:val="49D0087C"/>
    <w:rsid w:val="4A3AD920"/>
    <w:rsid w:val="4A96F4B1"/>
    <w:rsid w:val="4AC52C5F"/>
    <w:rsid w:val="4B615764"/>
    <w:rsid w:val="4B863726"/>
    <w:rsid w:val="4B930B01"/>
    <w:rsid w:val="4BA1C5F2"/>
    <w:rsid w:val="4C284750"/>
    <w:rsid w:val="4C633C7F"/>
    <w:rsid w:val="4CD60F78"/>
    <w:rsid w:val="4DC95656"/>
    <w:rsid w:val="4F7F9012"/>
    <w:rsid w:val="4FB06325"/>
    <w:rsid w:val="4FB8F09C"/>
    <w:rsid w:val="4FBFB16C"/>
    <w:rsid w:val="509C5A06"/>
    <w:rsid w:val="50DD7AC4"/>
    <w:rsid w:val="50E6BEB6"/>
    <w:rsid w:val="51033D7E"/>
    <w:rsid w:val="510B0CBE"/>
    <w:rsid w:val="5197EE95"/>
    <w:rsid w:val="51A86350"/>
    <w:rsid w:val="51B3CD9F"/>
    <w:rsid w:val="526B674D"/>
    <w:rsid w:val="5285428B"/>
    <w:rsid w:val="52B558DC"/>
    <w:rsid w:val="52C8ADF9"/>
    <w:rsid w:val="5313603E"/>
    <w:rsid w:val="538FD847"/>
    <w:rsid w:val="539FE756"/>
    <w:rsid w:val="53E0D1A4"/>
    <w:rsid w:val="5408EB69"/>
    <w:rsid w:val="545044EE"/>
    <w:rsid w:val="546F7F27"/>
    <w:rsid w:val="54ED3A73"/>
    <w:rsid w:val="555CDD39"/>
    <w:rsid w:val="558B43E5"/>
    <w:rsid w:val="560E4157"/>
    <w:rsid w:val="563BEBC3"/>
    <w:rsid w:val="5646D150"/>
    <w:rsid w:val="56CC05A9"/>
    <w:rsid w:val="56FBA157"/>
    <w:rsid w:val="575FCF23"/>
    <w:rsid w:val="576C3BD5"/>
    <w:rsid w:val="5796C5F0"/>
    <w:rsid w:val="57DB6A25"/>
    <w:rsid w:val="57FA6C89"/>
    <w:rsid w:val="58775BBE"/>
    <w:rsid w:val="58D2EB00"/>
    <w:rsid w:val="595736DD"/>
    <w:rsid w:val="59C85104"/>
    <w:rsid w:val="59EC633A"/>
    <w:rsid w:val="5A224EBF"/>
    <w:rsid w:val="5A503CB8"/>
    <w:rsid w:val="5AAD2E8C"/>
    <w:rsid w:val="5AB31E67"/>
    <w:rsid w:val="5B06F547"/>
    <w:rsid w:val="5B359F4D"/>
    <w:rsid w:val="5BC1B32C"/>
    <w:rsid w:val="5C59183D"/>
    <w:rsid w:val="5C88639F"/>
    <w:rsid w:val="5D4513B5"/>
    <w:rsid w:val="5D50EC62"/>
    <w:rsid w:val="5E0AC77D"/>
    <w:rsid w:val="5E30D812"/>
    <w:rsid w:val="5E56ADAE"/>
    <w:rsid w:val="5E72A283"/>
    <w:rsid w:val="5E903C6E"/>
    <w:rsid w:val="5ED6B5ED"/>
    <w:rsid w:val="5F9184BE"/>
    <w:rsid w:val="5FFF2628"/>
    <w:rsid w:val="60009B8A"/>
    <w:rsid w:val="602A55A2"/>
    <w:rsid w:val="6069E3BB"/>
    <w:rsid w:val="609047F3"/>
    <w:rsid w:val="60932353"/>
    <w:rsid w:val="60A3AD22"/>
    <w:rsid w:val="611DC887"/>
    <w:rsid w:val="61AAC3B3"/>
    <w:rsid w:val="62165510"/>
    <w:rsid w:val="62367BBB"/>
    <w:rsid w:val="628F6C62"/>
    <w:rsid w:val="62970A44"/>
    <w:rsid w:val="62A108FD"/>
    <w:rsid w:val="62F4B33B"/>
    <w:rsid w:val="62FD6611"/>
    <w:rsid w:val="6337E004"/>
    <w:rsid w:val="63382353"/>
    <w:rsid w:val="633DC938"/>
    <w:rsid w:val="64EF20EA"/>
    <w:rsid w:val="64FF6978"/>
    <w:rsid w:val="65711129"/>
    <w:rsid w:val="66505473"/>
    <w:rsid w:val="66FC3B18"/>
    <w:rsid w:val="6722589D"/>
    <w:rsid w:val="6799B6D9"/>
    <w:rsid w:val="680EE298"/>
    <w:rsid w:val="68462367"/>
    <w:rsid w:val="68B65F6F"/>
    <w:rsid w:val="68E31E7D"/>
    <w:rsid w:val="698515BB"/>
    <w:rsid w:val="69C09ADF"/>
    <w:rsid w:val="6B0E3C1A"/>
    <w:rsid w:val="6B5D6961"/>
    <w:rsid w:val="6B825998"/>
    <w:rsid w:val="6CF0860E"/>
    <w:rsid w:val="6D49D8ED"/>
    <w:rsid w:val="6DA23D58"/>
    <w:rsid w:val="6E11C9B9"/>
    <w:rsid w:val="6E92922C"/>
    <w:rsid w:val="6E937BD0"/>
    <w:rsid w:val="6EC49E1C"/>
    <w:rsid w:val="6F86D839"/>
    <w:rsid w:val="709549FB"/>
    <w:rsid w:val="70A2E7F7"/>
    <w:rsid w:val="719F09BF"/>
    <w:rsid w:val="72399248"/>
    <w:rsid w:val="727AFBDD"/>
    <w:rsid w:val="73A0F101"/>
    <w:rsid w:val="74506FE2"/>
    <w:rsid w:val="74FEC613"/>
    <w:rsid w:val="75309D06"/>
    <w:rsid w:val="7563B509"/>
    <w:rsid w:val="75A493DE"/>
    <w:rsid w:val="75F6B602"/>
    <w:rsid w:val="76D7D98E"/>
    <w:rsid w:val="7762041E"/>
    <w:rsid w:val="77FC8198"/>
    <w:rsid w:val="780FE4A4"/>
    <w:rsid w:val="790BD1F0"/>
    <w:rsid w:val="790CD04E"/>
    <w:rsid w:val="7958D814"/>
    <w:rsid w:val="7A0D6EB4"/>
    <w:rsid w:val="7A58CD1E"/>
    <w:rsid w:val="7A610F48"/>
    <w:rsid w:val="7B08CED4"/>
    <w:rsid w:val="7B977FD8"/>
    <w:rsid w:val="7C5DB9E3"/>
    <w:rsid w:val="7CD34F0A"/>
    <w:rsid w:val="7D2B5F4B"/>
    <w:rsid w:val="7D8B76A5"/>
    <w:rsid w:val="7DBE1B2E"/>
    <w:rsid w:val="7DCE023A"/>
    <w:rsid w:val="7DFDCC3B"/>
    <w:rsid w:val="7E6412CF"/>
    <w:rsid w:val="7E7C8696"/>
    <w:rsid w:val="7EFC6D9B"/>
    <w:rsid w:val="7F178FC1"/>
    <w:rsid w:val="7F1E91DF"/>
    <w:rsid w:val="7FDAAE5B"/>
    <w:rsid w:val="7FF60A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AE1"/>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E760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3"/>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07730"/>
    <w:rPr>
      <w:color w:val="2B579A"/>
      <w:shd w:val="clear" w:color="auto" w:fill="E1DFDD"/>
    </w:rPr>
  </w:style>
  <w:style w:type="paragraph" w:customStyle="1" w:styleId="EndNoteBibliographyTitle">
    <w:name w:val="EndNote Bibliography Title"/>
    <w:basedOn w:val="Normal"/>
    <w:link w:val="EndNoteBibliographyTitleChar"/>
    <w:rsid w:val="00B72634"/>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B72634"/>
    <w:rPr>
      <w:rFonts w:ascii="Calibri" w:eastAsia="Calibri" w:hAnsi="Calibri" w:cs="Calibri"/>
      <w:noProof/>
      <w:lang w:val="en-US"/>
    </w:rPr>
  </w:style>
  <w:style w:type="paragraph" w:customStyle="1" w:styleId="EndNoteBibliography">
    <w:name w:val="EndNote Bibliography"/>
    <w:basedOn w:val="Normal"/>
    <w:link w:val="EndNoteBibliographyChar"/>
    <w:rsid w:val="00B72634"/>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B72634"/>
    <w:rPr>
      <w:rFonts w:ascii="Calibri" w:eastAsia="Calibri" w:hAnsi="Calibri" w:cs="Calibri"/>
      <w:noProof/>
      <w:lang w:val="en-US"/>
    </w:rPr>
  </w:style>
  <w:style w:type="character" w:customStyle="1" w:styleId="Heading4Char">
    <w:name w:val="Heading 4 Char"/>
    <w:basedOn w:val="DefaultParagraphFont"/>
    <w:link w:val="Heading4"/>
    <w:uiPriority w:val="9"/>
    <w:rsid w:val="00E760DB"/>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4840DB"/>
    <w:rPr>
      <w:i/>
      <w:iCs/>
      <w:color w:val="404040" w:themeColor="text1" w:themeTint="BF"/>
    </w:rPr>
  </w:style>
  <w:style w:type="character" w:styleId="Strong">
    <w:name w:val="Strong"/>
    <w:basedOn w:val="DefaultParagraphFont"/>
    <w:uiPriority w:val="22"/>
    <w:qFormat/>
    <w:rsid w:val="00E85D64"/>
    <w:rPr>
      <w:b/>
      <w:bCs/>
    </w:rPr>
  </w:style>
  <w:style w:type="paragraph" w:styleId="NormalWeb">
    <w:name w:val="Normal (Web)"/>
    <w:basedOn w:val="Normal"/>
    <w:uiPriority w:val="99"/>
    <w:unhideWhenUsed/>
    <w:rsid w:val="002E144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f01">
    <w:name w:val="cf01"/>
    <w:basedOn w:val="DefaultParagraphFont"/>
    <w:rsid w:val="001F1728"/>
    <w:rPr>
      <w:rFonts w:ascii="Segoe UI" w:hAnsi="Segoe UI" w:cs="Segoe UI" w:hint="default"/>
      <w:sz w:val="18"/>
      <w:szCs w:val="18"/>
    </w:rPr>
  </w:style>
  <w:style w:type="paragraph" w:styleId="FootnoteText">
    <w:name w:val="footnote text"/>
    <w:basedOn w:val="Normal"/>
    <w:link w:val="FootnoteTextChar"/>
    <w:uiPriority w:val="99"/>
    <w:semiHidden/>
    <w:unhideWhenUsed/>
    <w:rsid w:val="002B29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2985"/>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B29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382">
      <w:bodyDiv w:val="1"/>
      <w:marLeft w:val="0"/>
      <w:marRight w:val="0"/>
      <w:marTop w:val="0"/>
      <w:marBottom w:val="0"/>
      <w:divBdr>
        <w:top w:val="none" w:sz="0" w:space="0" w:color="auto"/>
        <w:left w:val="none" w:sz="0" w:space="0" w:color="auto"/>
        <w:bottom w:val="none" w:sz="0" w:space="0" w:color="auto"/>
        <w:right w:val="none" w:sz="0" w:space="0" w:color="auto"/>
      </w:divBdr>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126244548">
      <w:bodyDiv w:val="1"/>
      <w:marLeft w:val="0"/>
      <w:marRight w:val="0"/>
      <w:marTop w:val="0"/>
      <w:marBottom w:val="0"/>
      <w:divBdr>
        <w:top w:val="none" w:sz="0" w:space="0" w:color="auto"/>
        <w:left w:val="none" w:sz="0" w:space="0" w:color="auto"/>
        <w:bottom w:val="none" w:sz="0" w:space="0" w:color="auto"/>
        <w:right w:val="none" w:sz="0" w:space="0" w:color="auto"/>
      </w:divBdr>
    </w:div>
    <w:div w:id="141196073">
      <w:bodyDiv w:val="1"/>
      <w:marLeft w:val="0"/>
      <w:marRight w:val="0"/>
      <w:marTop w:val="0"/>
      <w:marBottom w:val="0"/>
      <w:divBdr>
        <w:top w:val="none" w:sz="0" w:space="0" w:color="auto"/>
        <w:left w:val="none" w:sz="0" w:space="0" w:color="auto"/>
        <w:bottom w:val="none" w:sz="0" w:space="0" w:color="auto"/>
        <w:right w:val="none" w:sz="0" w:space="0" w:color="auto"/>
      </w:divBdr>
    </w:div>
    <w:div w:id="144516867">
      <w:bodyDiv w:val="1"/>
      <w:marLeft w:val="0"/>
      <w:marRight w:val="0"/>
      <w:marTop w:val="0"/>
      <w:marBottom w:val="0"/>
      <w:divBdr>
        <w:top w:val="none" w:sz="0" w:space="0" w:color="auto"/>
        <w:left w:val="none" w:sz="0" w:space="0" w:color="auto"/>
        <w:bottom w:val="none" w:sz="0" w:space="0" w:color="auto"/>
        <w:right w:val="none" w:sz="0" w:space="0" w:color="auto"/>
      </w:divBdr>
      <w:divsChild>
        <w:div w:id="156655375">
          <w:marLeft w:val="0"/>
          <w:marRight w:val="0"/>
          <w:marTop w:val="0"/>
          <w:marBottom w:val="0"/>
          <w:divBdr>
            <w:top w:val="none" w:sz="0" w:space="0" w:color="auto"/>
            <w:left w:val="none" w:sz="0" w:space="0" w:color="auto"/>
            <w:bottom w:val="none" w:sz="0" w:space="0" w:color="auto"/>
            <w:right w:val="none" w:sz="0" w:space="0" w:color="auto"/>
          </w:divBdr>
          <w:divsChild>
            <w:div w:id="14964569">
              <w:marLeft w:val="0"/>
              <w:marRight w:val="0"/>
              <w:marTop w:val="0"/>
              <w:marBottom w:val="0"/>
              <w:divBdr>
                <w:top w:val="none" w:sz="0" w:space="0" w:color="auto"/>
                <w:left w:val="none" w:sz="0" w:space="0" w:color="auto"/>
                <w:bottom w:val="none" w:sz="0" w:space="0" w:color="auto"/>
                <w:right w:val="none" w:sz="0" w:space="0" w:color="auto"/>
              </w:divBdr>
            </w:div>
          </w:divsChild>
        </w:div>
        <w:div w:id="1937251265">
          <w:marLeft w:val="0"/>
          <w:marRight w:val="0"/>
          <w:marTop w:val="0"/>
          <w:marBottom w:val="0"/>
          <w:divBdr>
            <w:top w:val="none" w:sz="0" w:space="0" w:color="auto"/>
            <w:left w:val="none" w:sz="0" w:space="0" w:color="auto"/>
            <w:bottom w:val="none" w:sz="0" w:space="0" w:color="auto"/>
            <w:right w:val="none" w:sz="0" w:space="0" w:color="auto"/>
          </w:divBdr>
          <w:divsChild>
            <w:div w:id="1387605779">
              <w:marLeft w:val="0"/>
              <w:marRight w:val="0"/>
              <w:marTop w:val="0"/>
              <w:marBottom w:val="0"/>
              <w:divBdr>
                <w:top w:val="none" w:sz="0" w:space="0" w:color="auto"/>
                <w:left w:val="none" w:sz="0" w:space="0" w:color="auto"/>
                <w:bottom w:val="none" w:sz="0" w:space="0" w:color="auto"/>
                <w:right w:val="none" w:sz="0" w:space="0" w:color="auto"/>
              </w:divBdr>
            </w:div>
          </w:divsChild>
        </w:div>
        <w:div w:id="1973822335">
          <w:marLeft w:val="0"/>
          <w:marRight w:val="0"/>
          <w:marTop w:val="0"/>
          <w:marBottom w:val="0"/>
          <w:divBdr>
            <w:top w:val="none" w:sz="0" w:space="0" w:color="auto"/>
            <w:left w:val="none" w:sz="0" w:space="0" w:color="auto"/>
            <w:bottom w:val="none" w:sz="0" w:space="0" w:color="auto"/>
            <w:right w:val="none" w:sz="0" w:space="0" w:color="auto"/>
          </w:divBdr>
          <w:divsChild>
            <w:div w:id="1848404916">
              <w:marLeft w:val="0"/>
              <w:marRight w:val="0"/>
              <w:marTop w:val="0"/>
              <w:marBottom w:val="0"/>
              <w:divBdr>
                <w:top w:val="none" w:sz="0" w:space="0" w:color="auto"/>
                <w:left w:val="none" w:sz="0" w:space="0" w:color="auto"/>
                <w:bottom w:val="none" w:sz="0" w:space="0" w:color="auto"/>
                <w:right w:val="none" w:sz="0" w:space="0" w:color="auto"/>
              </w:divBdr>
            </w:div>
            <w:div w:id="1898392701">
              <w:marLeft w:val="0"/>
              <w:marRight w:val="0"/>
              <w:marTop w:val="0"/>
              <w:marBottom w:val="0"/>
              <w:divBdr>
                <w:top w:val="none" w:sz="0" w:space="0" w:color="auto"/>
                <w:left w:val="none" w:sz="0" w:space="0" w:color="auto"/>
                <w:bottom w:val="none" w:sz="0" w:space="0" w:color="auto"/>
                <w:right w:val="none" w:sz="0" w:space="0" w:color="auto"/>
              </w:divBdr>
            </w:div>
            <w:div w:id="1932155710">
              <w:marLeft w:val="0"/>
              <w:marRight w:val="0"/>
              <w:marTop w:val="0"/>
              <w:marBottom w:val="0"/>
              <w:divBdr>
                <w:top w:val="none" w:sz="0" w:space="0" w:color="auto"/>
                <w:left w:val="none" w:sz="0" w:space="0" w:color="auto"/>
                <w:bottom w:val="none" w:sz="0" w:space="0" w:color="auto"/>
                <w:right w:val="none" w:sz="0" w:space="0" w:color="auto"/>
              </w:divBdr>
            </w:div>
            <w:div w:id="19791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274">
      <w:bodyDiv w:val="1"/>
      <w:marLeft w:val="0"/>
      <w:marRight w:val="0"/>
      <w:marTop w:val="0"/>
      <w:marBottom w:val="0"/>
      <w:divBdr>
        <w:top w:val="none" w:sz="0" w:space="0" w:color="auto"/>
        <w:left w:val="none" w:sz="0" w:space="0" w:color="auto"/>
        <w:bottom w:val="none" w:sz="0" w:space="0" w:color="auto"/>
        <w:right w:val="none" w:sz="0" w:space="0" w:color="auto"/>
      </w:divBdr>
    </w:div>
    <w:div w:id="214050145">
      <w:bodyDiv w:val="1"/>
      <w:marLeft w:val="0"/>
      <w:marRight w:val="0"/>
      <w:marTop w:val="0"/>
      <w:marBottom w:val="0"/>
      <w:divBdr>
        <w:top w:val="none" w:sz="0" w:space="0" w:color="auto"/>
        <w:left w:val="none" w:sz="0" w:space="0" w:color="auto"/>
        <w:bottom w:val="none" w:sz="0" w:space="0" w:color="auto"/>
        <w:right w:val="none" w:sz="0" w:space="0" w:color="auto"/>
      </w:divBdr>
    </w:div>
    <w:div w:id="331644339">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3143880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37398688">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72955169">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840314851">
      <w:bodyDiv w:val="1"/>
      <w:marLeft w:val="0"/>
      <w:marRight w:val="0"/>
      <w:marTop w:val="0"/>
      <w:marBottom w:val="0"/>
      <w:divBdr>
        <w:top w:val="none" w:sz="0" w:space="0" w:color="auto"/>
        <w:left w:val="none" w:sz="0" w:space="0" w:color="auto"/>
        <w:bottom w:val="none" w:sz="0" w:space="0" w:color="auto"/>
        <w:right w:val="none" w:sz="0" w:space="0" w:color="auto"/>
      </w:divBdr>
    </w:div>
    <w:div w:id="853763465">
      <w:bodyDiv w:val="1"/>
      <w:marLeft w:val="0"/>
      <w:marRight w:val="0"/>
      <w:marTop w:val="0"/>
      <w:marBottom w:val="0"/>
      <w:divBdr>
        <w:top w:val="none" w:sz="0" w:space="0" w:color="auto"/>
        <w:left w:val="none" w:sz="0" w:space="0" w:color="auto"/>
        <w:bottom w:val="none" w:sz="0" w:space="0" w:color="auto"/>
        <w:right w:val="none" w:sz="0" w:space="0" w:color="auto"/>
      </w:divBdr>
    </w:div>
    <w:div w:id="959531291">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166282926">
      <w:bodyDiv w:val="1"/>
      <w:marLeft w:val="0"/>
      <w:marRight w:val="0"/>
      <w:marTop w:val="0"/>
      <w:marBottom w:val="0"/>
      <w:divBdr>
        <w:top w:val="none" w:sz="0" w:space="0" w:color="auto"/>
        <w:left w:val="none" w:sz="0" w:space="0" w:color="auto"/>
        <w:bottom w:val="none" w:sz="0" w:space="0" w:color="auto"/>
        <w:right w:val="none" w:sz="0" w:space="0" w:color="auto"/>
      </w:divBdr>
    </w:div>
    <w:div w:id="1231963325">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273200242">
      <w:bodyDiv w:val="1"/>
      <w:marLeft w:val="0"/>
      <w:marRight w:val="0"/>
      <w:marTop w:val="0"/>
      <w:marBottom w:val="0"/>
      <w:divBdr>
        <w:top w:val="none" w:sz="0" w:space="0" w:color="auto"/>
        <w:left w:val="none" w:sz="0" w:space="0" w:color="auto"/>
        <w:bottom w:val="none" w:sz="0" w:space="0" w:color="auto"/>
        <w:right w:val="none" w:sz="0" w:space="0" w:color="auto"/>
      </w:divBdr>
    </w:div>
    <w:div w:id="1369916894">
      <w:bodyDiv w:val="1"/>
      <w:marLeft w:val="0"/>
      <w:marRight w:val="0"/>
      <w:marTop w:val="0"/>
      <w:marBottom w:val="0"/>
      <w:divBdr>
        <w:top w:val="none" w:sz="0" w:space="0" w:color="auto"/>
        <w:left w:val="none" w:sz="0" w:space="0" w:color="auto"/>
        <w:bottom w:val="none" w:sz="0" w:space="0" w:color="auto"/>
        <w:right w:val="none" w:sz="0" w:space="0" w:color="auto"/>
      </w:divBdr>
    </w:div>
    <w:div w:id="1495874067">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566724703">
      <w:bodyDiv w:val="1"/>
      <w:marLeft w:val="0"/>
      <w:marRight w:val="0"/>
      <w:marTop w:val="0"/>
      <w:marBottom w:val="0"/>
      <w:divBdr>
        <w:top w:val="none" w:sz="0" w:space="0" w:color="auto"/>
        <w:left w:val="none" w:sz="0" w:space="0" w:color="auto"/>
        <w:bottom w:val="none" w:sz="0" w:space="0" w:color="auto"/>
        <w:right w:val="none" w:sz="0" w:space="0" w:color="auto"/>
      </w:divBdr>
    </w:div>
    <w:div w:id="1610501194">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08007519">
      <w:bodyDiv w:val="1"/>
      <w:marLeft w:val="0"/>
      <w:marRight w:val="0"/>
      <w:marTop w:val="0"/>
      <w:marBottom w:val="0"/>
      <w:divBdr>
        <w:top w:val="none" w:sz="0" w:space="0" w:color="auto"/>
        <w:left w:val="none" w:sz="0" w:space="0" w:color="auto"/>
        <w:bottom w:val="none" w:sz="0" w:space="0" w:color="auto"/>
        <w:right w:val="none" w:sz="0" w:space="0" w:color="auto"/>
      </w:divBdr>
    </w:div>
    <w:div w:id="1901595053">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ihw.gov.au/reports/cancer-screening/breastscreen-australia-monitoring-report-2023/summary" TargetMode="External"/><Relationship Id="rId26" Type="http://schemas.openxmlformats.org/officeDocument/2006/relationships/hyperlink" Target="https://www.fda.gov/medical-devices/in-vitro-diagnostics/list-cleared-or-approved-companion-diagnostic-devices-in-vitro-and-imaging-tools" TargetMode="External"/><Relationship Id="rId39" Type="http://schemas.openxmlformats.org/officeDocument/2006/relationships/hyperlink" Target="https://www.nccn.org/guidelines/recently-published-guidelines" TargetMode="External"/><Relationship Id="rId21" Type="http://schemas.openxmlformats.org/officeDocument/2006/relationships/hyperlink" Target="https://www.guidancebreastcancer.gov.au/treatment-systemic-therapy/endocrine-therapy/initial-adjuvant-endocrine-therapy-men-and-premenopausal-women" TargetMode="External"/><Relationship Id="rId34" Type="http://schemas.openxmlformats.org/officeDocument/2006/relationships/hyperlink" Target="https://nata.com.au/accreditation/medical-laboratory-accreditation-iso-15189/" TargetMode="External"/><Relationship Id="rId42" Type="http://schemas.openxmlformats.org/officeDocument/2006/relationships/hyperlink" Target="https://doi.org/10.37349/etat.2022.00078" TargetMode="External"/><Relationship Id="rId47" Type="http://schemas.openxmlformats.org/officeDocument/2006/relationships/hyperlink" Target="https://doi.org/10.1016/j.esmoop.2023.101615"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ihw.gov.au/reports/australias-health/cancer" TargetMode="External"/><Relationship Id="rId25" Type="http://schemas.openxmlformats.org/officeDocument/2006/relationships/hyperlink" Target="https://www.pbs.gov.au/medicinestatus/search.html" TargetMode="External"/><Relationship Id="rId33" Type="http://schemas.openxmlformats.org/officeDocument/2006/relationships/hyperlink" Target="https://doi.org/10.3389/fphar.2021.662232" TargetMode="External"/><Relationship Id="rId38" Type="http://schemas.openxmlformats.org/officeDocument/2006/relationships/hyperlink" Target="https://seer.cancer.gov/statfacts/html/breast-subtypes.html" TargetMode="External"/><Relationship Id="rId46" Type="http://schemas.openxmlformats.org/officeDocument/2006/relationships/hyperlink" Target="https://doi.org/10.3390/cells11223545" TargetMode="External"/><Relationship Id="rId2" Type="http://schemas.openxmlformats.org/officeDocument/2006/relationships/numbering" Target="numbering.xml"/><Relationship Id="rId16" Type="http://schemas.openxmlformats.org/officeDocument/2006/relationships/hyperlink" Target="https://www.clinicallabs.com.au/aspect/" TargetMode="External"/><Relationship Id="rId20" Type="http://schemas.openxmlformats.org/officeDocument/2006/relationships/hyperlink" Target="https://www.canceraustralia.gov.au/about-us/news/top-10-best-practices-people-metastatic-breast-cancer" TargetMode="External"/><Relationship Id="rId29" Type="http://schemas.openxmlformats.org/officeDocument/2006/relationships/hyperlink" Target="https://doi.org/10.1186/s12943-023-01827-6" TargetMode="External"/><Relationship Id="rId41" Type="http://schemas.openxmlformats.org/officeDocument/2006/relationships/hyperlink" Target="https://doi.org/10.1007/s10549-017-4533-9"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tga.gov.au/resources/artg/426895" TargetMode="External"/><Relationship Id="rId32" Type="http://schemas.openxmlformats.org/officeDocument/2006/relationships/hyperlink" Target="https://doi.org/10.1016/j.ebiom.2023.104571" TargetMode="External"/><Relationship Id="rId37" Type="http://schemas.openxmlformats.org/officeDocument/2006/relationships/hyperlink" Target="https://ncci.canceraustralia.gov.au/diagnosis/distribution-cancer-stage/distribution-cancer-stage" TargetMode="External"/><Relationship Id="rId40" Type="http://schemas.openxmlformats.org/officeDocument/2006/relationships/hyperlink" Target="https://doi.org/10.20892/j.issn.2095-3941.2018.0055" TargetMode="External"/><Relationship Id="rId45" Type="http://schemas.openxmlformats.org/officeDocument/2006/relationships/hyperlink" Target="https://doi.org/10.1056/nejmoa2214131"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tga.gov.au/resources/artg/297844" TargetMode="External"/><Relationship Id="rId28" Type="http://schemas.openxmlformats.org/officeDocument/2006/relationships/hyperlink" Target="https://doi.org/10.1016/j.annonc.2021.09.019" TargetMode="External"/><Relationship Id="rId36" Type="http://schemas.openxmlformats.org/officeDocument/2006/relationships/hyperlink" Target="https://nbcf.org.au/about-breast-cancer/breast-cancer-stats/" TargetMode="External"/><Relationship Id="rId49"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hyperlink" Target="https://www.aihw.gov.au/reports/cancer/cancer-data-in-australia/contents/overview-of-cancer-in-australia-2023" TargetMode="External"/><Relationship Id="rId31" Type="http://schemas.openxmlformats.org/officeDocument/2006/relationships/hyperlink" Target="https://doi.org/10.1038/s41588-023-01507-7" TargetMode="External"/><Relationship Id="rId44" Type="http://schemas.openxmlformats.org/officeDocument/2006/relationships/hyperlink" Target="https://doi.org/10.1038/s41573-022-00579-0"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hyperlink" Target="https://www.mdpi.com/2227-9059/11/1/109" TargetMode="External"/><Relationship Id="rId27" Type="http://schemas.openxmlformats.org/officeDocument/2006/relationships/hyperlink" Target="https://www.foundationmedicine.com/test/foundationone-liquid-cdx" TargetMode="External"/><Relationship Id="rId30" Type="http://schemas.openxmlformats.org/officeDocument/2006/relationships/hyperlink" Target="https://doi.org/10.1016/s1470-2045(22)00284-4" TargetMode="External"/><Relationship Id="rId35" Type="http://schemas.openxmlformats.org/officeDocument/2006/relationships/hyperlink" Target="https://nata.com.au/?post_type=site&amp;s=massively+parallel+seqeuncing&amp;filter=&amp;state=&amp;status" TargetMode="External"/><Relationship Id="rId43" Type="http://schemas.openxmlformats.org/officeDocument/2006/relationships/hyperlink" Target="https://www.sonicgenetics.com.au/our-tests/all-our-tests/breast-cancer-focused-gene-panel/" TargetMode="External"/><Relationship Id="rId48" Type="http://schemas.openxmlformats.org/officeDocument/2006/relationships/hyperlink" Target="https://doi.org/10.3389/fmolb.2021.648663" TargetMode="External"/><Relationship Id="rId56" Type="http://schemas.openxmlformats.org/officeDocument/2006/relationships/theme" Target="theme/theme1.xml"/><Relationship Id="rId8" Type="http://schemas.openxmlformats.org/officeDocument/2006/relationships/hyperlink" Target="http://www.msac.gov.au/internet/msac/publishing.nsf/Content/1604-public" TargetMode="External"/><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0ADB-7CCF-4BC9-8F3A-D8E39C8F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22464</Words>
  <Characters>128051</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150215</CharactersWithSpaces>
  <SharedDoc>false</SharedDoc>
  <HLinks>
    <vt:vector size="384" baseType="variant">
      <vt:variant>
        <vt:i4>983063</vt:i4>
      </vt:variant>
      <vt:variant>
        <vt:i4>359</vt:i4>
      </vt:variant>
      <vt:variant>
        <vt:i4>0</vt:i4>
      </vt:variant>
      <vt:variant>
        <vt:i4>5</vt:i4>
      </vt:variant>
      <vt:variant>
        <vt:lpwstr>https://doi.org/10.3389/fmolb.2021.648663</vt:lpwstr>
      </vt:variant>
      <vt:variant>
        <vt:lpwstr/>
      </vt:variant>
      <vt:variant>
        <vt:i4>5046349</vt:i4>
      </vt:variant>
      <vt:variant>
        <vt:i4>356</vt:i4>
      </vt:variant>
      <vt:variant>
        <vt:i4>0</vt:i4>
      </vt:variant>
      <vt:variant>
        <vt:i4>5</vt:i4>
      </vt:variant>
      <vt:variant>
        <vt:lpwstr>https://doi.org/10.1016/j.esmoop.2023.101615</vt:lpwstr>
      </vt:variant>
      <vt:variant>
        <vt:lpwstr/>
      </vt:variant>
      <vt:variant>
        <vt:i4>1376275</vt:i4>
      </vt:variant>
      <vt:variant>
        <vt:i4>353</vt:i4>
      </vt:variant>
      <vt:variant>
        <vt:i4>0</vt:i4>
      </vt:variant>
      <vt:variant>
        <vt:i4>5</vt:i4>
      </vt:variant>
      <vt:variant>
        <vt:lpwstr>https://doi.org/10.3390/cells11223545</vt:lpwstr>
      </vt:variant>
      <vt:variant>
        <vt:lpwstr/>
      </vt:variant>
      <vt:variant>
        <vt:i4>4849669</vt:i4>
      </vt:variant>
      <vt:variant>
        <vt:i4>350</vt:i4>
      </vt:variant>
      <vt:variant>
        <vt:i4>0</vt:i4>
      </vt:variant>
      <vt:variant>
        <vt:i4>5</vt:i4>
      </vt:variant>
      <vt:variant>
        <vt:lpwstr>https://doi.org/10.1056/nejmoa2214131</vt:lpwstr>
      </vt:variant>
      <vt:variant>
        <vt:lpwstr/>
      </vt:variant>
      <vt:variant>
        <vt:i4>2883647</vt:i4>
      </vt:variant>
      <vt:variant>
        <vt:i4>347</vt:i4>
      </vt:variant>
      <vt:variant>
        <vt:i4>0</vt:i4>
      </vt:variant>
      <vt:variant>
        <vt:i4>5</vt:i4>
      </vt:variant>
      <vt:variant>
        <vt:lpwstr>https://doi.org/10.1038/s41573-022-00579-0</vt:lpwstr>
      </vt:variant>
      <vt:variant>
        <vt:lpwstr/>
      </vt:variant>
      <vt:variant>
        <vt:i4>7536679</vt:i4>
      </vt:variant>
      <vt:variant>
        <vt:i4>344</vt:i4>
      </vt:variant>
      <vt:variant>
        <vt:i4>0</vt:i4>
      </vt:variant>
      <vt:variant>
        <vt:i4>5</vt:i4>
      </vt:variant>
      <vt:variant>
        <vt:lpwstr>https://www.sonicgenetics.com.au/our-tests/all-our-tests/breast-cancer-focused-gene-panel/</vt:lpwstr>
      </vt:variant>
      <vt:variant>
        <vt:lpwstr/>
      </vt:variant>
      <vt:variant>
        <vt:i4>1310815</vt:i4>
      </vt:variant>
      <vt:variant>
        <vt:i4>341</vt:i4>
      </vt:variant>
      <vt:variant>
        <vt:i4>0</vt:i4>
      </vt:variant>
      <vt:variant>
        <vt:i4>5</vt:i4>
      </vt:variant>
      <vt:variant>
        <vt:lpwstr>https://doi.org/10.37349/etat.2022.00078</vt:lpwstr>
      </vt:variant>
      <vt:variant>
        <vt:lpwstr/>
      </vt:variant>
      <vt:variant>
        <vt:i4>196637</vt:i4>
      </vt:variant>
      <vt:variant>
        <vt:i4>338</vt:i4>
      </vt:variant>
      <vt:variant>
        <vt:i4>0</vt:i4>
      </vt:variant>
      <vt:variant>
        <vt:i4>5</vt:i4>
      </vt:variant>
      <vt:variant>
        <vt:lpwstr>https://doi.org/10.1007/s10549-017-4533-9</vt:lpwstr>
      </vt:variant>
      <vt:variant>
        <vt:lpwstr/>
      </vt:variant>
      <vt:variant>
        <vt:i4>7995516</vt:i4>
      </vt:variant>
      <vt:variant>
        <vt:i4>335</vt:i4>
      </vt:variant>
      <vt:variant>
        <vt:i4>0</vt:i4>
      </vt:variant>
      <vt:variant>
        <vt:i4>5</vt:i4>
      </vt:variant>
      <vt:variant>
        <vt:lpwstr>https://doi.org/10.20892/j.issn.2095-3941.2018.0055</vt:lpwstr>
      </vt:variant>
      <vt:variant>
        <vt:lpwstr/>
      </vt:variant>
      <vt:variant>
        <vt:i4>1572945</vt:i4>
      </vt:variant>
      <vt:variant>
        <vt:i4>332</vt:i4>
      </vt:variant>
      <vt:variant>
        <vt:i4>0</vt:i4>
      </vt:variant>
      <vt:variant>
        <vt:i4>5</vt:i4>
      </vt:variant>
      <vt:variant>
        <vt:lpwstr>https://www.nccn.org/guidelines/recently-published-guidelines</vt:lpwstr>
      </vt:variant>
      <vt:variant>
        <vt:lpwstr/>
      </vt:variant>
      <vt:variant>
        <vt:i4>8126567</vt:i4>
      </vt:variant>
      <vt:variant>
        <vt:i4>329</vt:i4>
      </vt:variant>
      <vt:variant>
        <vt:i4>0</vt:i4>
      </vt:variant>
      <vt:variant>
        <vt:i4>5</vt:i4>
      </vt:variant>
      <vt:variant>
        <vt:lpwstr>https://seer.cancer.gov/statfacts/html/breast-subtypes.html</vt:lpwstr>
      </vt:variant>
      <vt:variant>
        <vt:lpwstr/>
      </vt:variant>
      <vt:variant>
        <vt:i4>4784142</vt:i4>
      </vt:variant>
      <vt:variant>
        <vt:i4>326</vt:i4>
      </vt:variant>
      <vt:variant>
        <vt:i4>0</vt:i4>
      </vt:variant>
      <vt:variant>
        <vt:i4>5</vt:i4>
      </vt:variant>
      <vt:variant>
        <vt:lpwstr>https://ncci.canceraustralia.gov.au/diagnosis/distribution-cancer-stage/distribution-cancer-stage</vt:lpwstr>
      </vt:variant>
      <vt:variant>
        <vt:lpwstr/>
      </vt:variant>
      <vt:variant>
        <vt:i4>4456529</vt:i4>
      </vt:variant>
      <vt:variant>
        <vt:i4>323</vt:i4>
      </vt:variant>
      <vt:variant>
        <vt:i4>0</vt:i4>
      </vt:variant>
      <vt:variant>
        <vt:i4>5</vt:i4>
      </vt:variant>
      <vt:variant>
        <vt:lpwstr>https://nbcf.org.au/about-breast-cancer/breast-cancer-stats/</vt:lpwstr>
      </vt:variant>
      <vt:variant>
        <vt:lpwstr>:~:text=1%20in%207%20women%20are,including%2030%2D40%20males</vt:lpwstr>
      </vt:variant>
      <vt:variant>
        <vt:i4>6357002</vt:i4>
      </vt:variant>
      <vt:variant>
        <vt:i4>320</vt:i4>
      </vt:variant>
      <vt:variant>
        <vt:i4>0</vt:i4>
      </vt:variant>
      <vt:variant>
        <vt:i4>5</vt:i4>
      </vt:variant>
      <vt:variant>
        <vt:lpwstr>https://nata.com.au/?post_type=site&amp;s=massively+parallel+seqeuncing&amp;filter=&amp;state=&amp;status</vt:lpwstr>
      </vt:variant>
      <vt:variant>
        <vt:lpwstr/>
      </vt:variant>
      <vt:variant>
        <vt:i4>655389</vt:i4>
      </vt:variant>
      <vt:variant>
        <vt:i4>317</vt:i4>
      </vt:variant>
      <vt:variant>
        <vt:i4>0</vt:i4>
      </vt:variant>
      <vt:variant>
        <vt:i4>5</vt:i4>
      </vt:variant>
      <vt:variant>
        <vt:lpwstr>https://nata.com.au/accreditation/medical-laboratory-accreditation-iso-15189/</vt:lpwstr>
      </vt:variant>
      <vt:variant>
        <vt:lpwstr/>
      </vt:variant>
      <vt:variant>
        <vt:i4>1048582</vt:i4>
      </vt:variant>
      <vt:variant>
        <vt:i4>314</vt:i4>
      </vt:variant>
      <vt:variant>
        <vt:i4>0</vt:i4>
      </vt:variant>
      <vt:variant>
        <vt:i4>5</vt:i4>
      </vt:variant>
      <vt:variant>
        <vt:lpwstr>https://doi.org/10.3389/fphar.2021.662232</vt:lpwstr>
      </vt:variant>
      <vt:variant>
        <vt:lpwstr/>
      </vt:variant>
      <vt:variant>
        <vt:i4>3014780</vt:i4>
      </vt:variant>
      <vt:variant>
        <vt:i4>311</vt:i4>
      </vt:variant>
      <vt:variant>
        <vt:i4>0</vt:i4>
      </vt:variant>
      <vt:variant>
        <vt:i4>5</vt:i4>
      </vt:variant>
      <vt:variant>
        <vt:lpwstr>https://doi.org/10.1016/j.ebiom.2023.104571</vt:lpwstr>
      </vt:variant>
      <vt:variant>
        <vt:lpwstr/>
      </vt:variant>
      <vt:variant>
        <vt:i4>3080246</vt:i4>
      </vt:variant>
      <vt:variant>
        <vt:i4>308</vt:i4>
      </vt:variant>
      <vt:variant>
        <vt:i4>0</vt:i4>
      </vt:variant>
      <vt:variant>
        <vt:i4>5</vt:i4>
      </vt:variant>
      <vt:variant>
        <vt:lpwstr>https://doi.org/10.1038/s41588-023-01507-7</vt:lpwstr>
      </vt:variant>
      <vt:variant>
        <vt:lpwstr/>
      </vt:variant>
      <vt:variant>
        <vt:i4>131073</vt:i4>
      </vt:variant>
      <vt:variant>
        <vt:i4>305</vt:i4>
      </vt:variant>
      <vt:variant>
        <vt:i4>0</vt:i4>
      </vt:variant>
      <vt:variant>
        <vt:i4>5</vt:i4>
      </vt:variant>
      <vt:variant>
        <vt:lpwstr>https://doi.org/10.1016/s1470-2045(22)00284-4</vt:lpwstr>
      </vt:variant>
      <vt:variant>
        <vt:lpwstr/>
      </vt:variant>
      <vt:variant>
        <vt:i4>2752564</vt:i4>
      </vt:variant>
      <vt:variant>
        <vt:i4>302</vt:i4>
      </vt:variant>
      <vt:variant>
        <vt:i4>0</vt:i4>
      </vt:variant>
      <vt:variant>
        <vt:i4>5</vt:i4>
      </vt:variant>
      <vt:variant>
        <vt:lpwstr>https://doi.org/10.1186/s12943-023-01827-6</vt:lpwstr>
      </vt:variant>
      <vt:variant>
        <vt:lpwstr/>
      </vt:variant>
      <vt:variant>
        <vt:i4>4194391</vt:i4>
      </vt:variant>
      <vt:variant>
        <vt:i4>299</vt:i4>
      </vt:variant>
      <vt:variant>
        <vt:i4>0</vt:i4>
      </vt:variant>
      <vt:variant>
        <vt:i4>5</vt:i4>
      </vt:variant>
      <vt:variant>
        <vt:lpwstr>https://doi.org/10.1016/j.annonc.2021.09.019</vt:lpwstr>
      </vt:variant>
      <vt:variant>
        <vt:lpwstr/>
      </vt:variant>
      <vt:variant>
        <vt:i4>5111820</vt:i4>
      </vt:variant>
      <vt:variant>
        <vt:i4>296</vt:i4>
      </vt:variant>
      <vt:variant>
        <vt:i4>0</vt:i4>
      </vt:variant>
      <vt:variant>
        <vt:i4>5</vt:i4>
      </vt:variant>
      <vt:variant>
        <vt:lpwstr>https://www.foundationmedicine.com/test/foundationone-liquid-cdx</vt:lpwstr>
      </vt:variant>
      <vt:variant>
        <vt:lpwstr/>
      </vt:variant>
      <vt:variant>
        <vt:i4>4849741</vt:i4>
      </vt:variant>
      <vt:variant>
        <vt:i4>293</vt:i4>
      </vt:variant>
      <vt:variant>
        <vt:i4>0</vt:i4>
      </vt:variant>
      <vt:variant>
        <vt:i4>5</vt:i4>
      </vt:variant>
      <vt:variant>
        <vt:lpwstr>https://www.fda.gov/medical-devices/in-vitro-diagnostics/list-cleared-or-approved-companion-diagnostic-devices-in-vitro-and-imaging-tools</vt:lpwstr>
      </vt:variant>
      <vt:variant>
        <vt:lpwstr/>
      </vt:variant>
      <vt:variant>
        <vt:i4>393284</vt:i4>
      </vt:variant>
      <vt:variant>
        <vt:i4>290</vt:i4>
      </vt:variant>
      <vt:variant>
        <vt:i4>0</vt:i4>
      </vt:variant>
      <vt:variant>
        <vt:i4>5</vt:i4>
      </vt:variant>
      <vt:variant>
        <vt:lpwstr>https://www.pbs.gov.au/medicinestatus/search.html</vt:lpwstr>
      </vt:variant>
      <vt:variant>
        <vt:lpwstr/>
      </vt:variant>
      <vt:variant>
        <vt:i4>5505046</vt:i4>
      </vt:variant>
      <vt:variant>
        <vt:i4>287</vt:i4>
      </vt:variant>
      <vt:variant>
        <vt:i4>0</vt:i4>
      </vt:variant>
      <vt:variant>
        <vt:i4>5</vt:i4>
      </vt:variant>
      <vt:variant>
        <vt:lpwstr>https://www.tga.gov.au/resources/artg/426895</vt:lpwstr>
      </vt:variant>
      <vt:variant>
        <vt:lpwstr/>
      </vt:variant>
      <vt:variant>
        <vt:i4>6160412</vt:i4>
      </vt:variant>
      <vt:variant>
        <vt:i4>284</vt:i4>
      </vt:variant>
      <vt:variant>
        <vt:i4>0</vt:i4>
      </vt:variant>
      <vt:variant>
        <vt:i4>5</vt:i4>
      </vt:variant>
      <vt:variant>
        <vt:lpwstr>https://www.tga.gov.au/resources/artg/297844</vt:lpwstr>
      </vt:variant>
      <vt:variant>
        <vt:lpwstr/>
      </vt:variant>
      <vt:variant>
        <vt:i4>7208996</vt:i4>
      </vt:variant>
      <vt:variant>
        <vt:i4>281</vt:i4>
      </vt:variant>
      <vt:variant>
        <vt:i4>0</vt:i4>
      </vt:variant>
      <vt:variant>
        <vt:i4>5</vt:i4>
      </vt:variant>
      <vt:variant>
        <vt:lpwstr>https://www.mdpi.com/2227-9059/11/1/109</vt:lpwstr>
      </vt:variant>
      <vt:variant>
        <vt:lpwstr/>
      </vt:variant>
      <vt:variant>
        <vt:i4>4128871</vt:i4>
      </vt:variant>
      <vt:variant>
        <vt:i4>278</vt:i4>
      </vt:variant>
      <vt:variant>
        <vt:i4>0</vt:i4>
      </vt:variant>
      <vt:variant>
        <vt:i4>5</vt:i4>
      </vt:variant>
      <vt:variant>
        <vt:lpwstr>https://www.guidancebreastcancer.gov.au/treatment-systemic-therapy/endocrine-therapy/initial-adjuvant-endocrine-therapy-men-and-premenopausal-women</vt:lpwstr>
      </vt:variant>
      <vt:variant>
        <vt:lpwstr/>
      </vt:variant>
      <vt:variant>
        <vt:i4>7405611</vt:i4>
      </vt:variant>
      <vt:variant>
        <vt:i4>275</vt:i4>
      </vt:variant>
      <vt:variant>
        <vt:i4>0</vt:i4>
      </vt:variant>
      <vt:variant>
        <vt:i4>5</vt:i4>
      </vt:variant>
      <vt:variant>
        <vt:lpwstr>https://www.canceraustralia.gov.au/about-us/news/top-10-best-practices-people-metastatic-breast-cancer</vt:lpwstr>
      </vt:variant>
      <vt:variant>
        <vt:lpwstr/>
      </vt:variant>
      <vt:variant>
        <vt:i4>1900562</vt:i4>
      </vt:variant>
      <vt:variant>
        <vt:i4>272</vt:i4>
      </vt:variant>
      <vt:variant>
        <vt:i4>0</vt:i4>
      </vt:variant>
      <vt:variant>
        <vt:i4>5</vt:i4>
      </vt:variant>
      <vt:variant>
        <vt:lpwstr>https://www.aihw.gov.au/reports/cancer/cancer-data-in-australia/contents/overview-of-cancer-in-australia-2023</vt:lpwstr>
      </vt:variant>
      <vt:variant>
        <vt:lpwstr/>
      </vt:variant>
      <vt:variant>
        <vt:i4>6553635</vt:i4>
      </vt:variant>
      <vt:variant>
        <vt:i4>269</vt:i4>
      </vt:variant>
      <vt:variant>
        <vt:i4>0</vt:i4>
      </vt:variant>
      <vt:variant>
        <vt:i4>5</vt:i4>
      </vt:variant>
      <vt:variant>
        <vt:lpwstr>https://www.aihw.gov.au/reports/cancer-screening/breastscreen-australia-monitoring-report-2023/summary</vt:lpwstr>
      </vt:variant>
      <vt:variant>
        <vt:lpwstr/>
      </vt:variant>
      <vt:variant>
        <vt:i4>25</vt:i4>
      </vt:variant>
      <vt:variant>
        <vt:i4>266</vt:i4>
      </vt:variant>
      <vt:variant>
        <vt:i4>0</vt:i4>
      </vt:variant>
      <vt:variant>
        <vt:i4>5</vt:i4>
      </vt:variant>
      <vt:variant>
        <vt:lpwstr>https://www.aihw.gov.au/reports/australias-health/cancer</vt:lpwstr>
      </vt:variant>
      <vt:variant>
        <vt:lpwstr/>
      </vt:variant>
      <vt:variant>
        <vt:i4>7667748</vt:i4>
      </vt:variant>
      <vt:variant>
        <vt:i4>263</vt:i4>
      </vt:variant>
      <vt:variant>
        <vt:i4>0</vt:i4>
      </vt:variant>
      <vt:variant>
        <vt:i4>5</vt:i4>
      </vt:variant>
      <vt:variant>
        <vt:lpwstr>https://www.clinicallabs.com.au/aspect/</vt:lpwstr>
      </vt:variant>
      <vt:variant>
        <vt:lpwstr/>
      </vt:variant>
      <vt:variant>
        <vt:i4>2359400</vt:i4>
      </vt:variant>
      <vt:variant>
        <vt:i4>3</vt:i4>
      </vt:variant>
      <vt:variant>
        <vt:i4>0</vt:i4>
      </vt:variant>
      <vt:variant>
        <vt:i4>5</vt:i4>
      </vt:variant>
      <vt:variant>
        <vt:lpwstr>http://www.msac.gov.au/internet/msac/publishing.nsf/Content/1604-public</vt:lpwstr>
      </vt:variant>
      <vt:variant>
        <vt:lpwstr/>
      </vt:variant>
      <vt:variant>
        <vt:i4>4915318</vt:i4>
      </vt:variant>
      <vt:variant>
        <vt:i4>87</vt:i4>
      </vt:variant>
      <vt:variant>
        <vt:i4>0</vt:i4>
      </vt:variant>
      <vt:variant>
        <vt:i4>5</vt:i4>
      </vt:variant>
      <vt:variant>
        <vt:lpwstr>mailto:TetFar.SOON@Health.gov.au</vt:lpwstr>
      </vt:variant>
      <vt:variant>
        <vt:lpwstr/>
      </vt:variant>
      <vt:variant>
        <vt:i4>4915318</vt:i4>
      </vt:variant>
      <vt:variant>
        <vt:i4>84</vt:i4>
      </vt:variant>
      <vt:variant>
        <vt:i4>0</vt:i4>
      </vt:variant>
      <vt:variant>
        <vt:i4>5</vt:i4>
      </vt:variant>
      <vt:variant>
        <vt:lpwstr>mailto:TetFar.SOON@Health.gov.au</vt:lpwstr>
      </vt:variant>
      <vt:variant>
        <vt:lpwstr/>
      </vt:variant>
      <vt:variant>
        <vt:i4>2752530</vt:i4>
      </vt:variant>
      <vt:variant>
        <vt:i4>81</vt:i4>
      </vt:variant>
      <vt:variant>
        <vt:i4>0</vt:i4>
      </vt:variant>
      <vt:variant>
        <vt:i4>5</vt:i4>
      </vt:variant>
      <vt:variant>
        <vt:lpwstr>mailto:Sanduni.HAPUARACHCHI@Health.gov.au</vt:lpwstr>
      </vt:variant>
      <vt:variant>
        <vt:lpwstr/>
      </vt:variant>
      <vt:variant>
        <vt:i4>6946897</vt:i4>
      </vt:variant>
      <vt:variant>
        <vt:i4>78</vt:i4>
      </vt:variant>
      <vt:variant>
        <vt:i4>0</vt:i4>
      </vt:variant>
      <vt:variant>
        <vt:i4>5</vt:i4>
      </vt:variant>
      <vt:variant>
        <vt:lpwstr>mailto:Angela.LUANGRATH@Health.gov.au</vt:lpwstr>
      </vt:variant>
      <vt:variant>
        <vt:lpwstr/>
      </vt:variant>
      <vt:variant>
        <vt:i4>4915318</vt:i4>
      </vt:variant>
      <vt:variant>
        <vt:i4>75</vt:i4>
      </vt:variant>
      <vt:variant>
        <vt:i4>0</vt:i4>
      </vt:variant>
      <vt:variant>
        <vt:i4>5</vt:i4>
      </vt:variant>
      <vt:variant>
        <vt:lpwstr>mailto:TetFar.SOON@Health.gov.au</vt:lpwstr>
      </vt:variant>
      <vt:variant>
        <vt:lpwstr/>
      </vt:variant>
      <vt:variant>
        <vt:i4>6946897</vt:i4>
      </vt:variant>
      <vt:variant>
        <vt:i4>72</vt:i4>
      </vt:variant>
      <vt:variant>
        <vt:i4>0</vt:i4>
      </vt:variant>
      <vt:variant>
        <vt:i4>5</vt:i4>
      </vt:variant>
      <vt:variant>
        <vt:lpwstr>mailto:Angela.LUANGRATH@Health.gov.au</vt:lpwstr>
      </vt:variant>
      <vt:variant>
        <vt:lpwstr/>
      </vt:variant>
      <vt:variant>
        <vt:i4>2752530</vt:i4>
      </vt:variant>
      <vt:variant>
        <vt:i4>69</vt:i4>
      </vt:variant>
      <vt:variant>
        <vt:i4>0</vt:i4>
      </vt:variant>
      <vt:variant>
        <vt:i4>5</vt:i4>
      </vt:variant>
      <vt:variant>
        <vt:lpwstr>mailto:Sanduni.HAPUARACHCHI@Health.gov.au</vt:lpwstr>
      </vt:variant>
      <vt:variant>
        <vt:lpwstr/>
      </vt:variant>
      <vt:variant>
        <vt:i4>2818055</vt:i4>
      </vt:variant>
      <vt:variant>
        <vt:i4>66</vt:i4>
      </vt:variant>
      <vt:variant>
        <vt:i4>0</vt:i4>
      </vt:variant>
      <vt:variant>
        <vt:i4>5</vt:i4>
      </vt:variant>
      <vt:variant>
        <vt:lpwstr>mailto:Chalyn.MARTIN@Health.gov.au</vt:lpwstr>
      </vt:variant>
      <vt:variant>
        <vt:lpwstr/>
      </vt:variant>
      <vt:variant>
        <vt:i4>4915318</vt:i4>
      </vt:variant>
      <vt:variant>
        <vt:i4>63</vt:i4>
      </vt:variant>
      <vt:variant>
        <vt:i4>0</vt:i4>
      </vt:variant>
      <vt:variant>
        <vt:i4>5</vt:i4>
      </vt:variant>
      <vt:variant>
        <vt:lpwstr>mailto:TetFar.SOON@Health.gov.au</vt:lpwstr>
      </vt:variant>
      <vt:variant>
        <vt:lpwstr/>
      </vt:variant>
      <vt:variant>
        <vt:i4>4915318</vt:i4>
      </vt:variant>
      <vt:variant>
        <vt:i4>60</vt:i4>
      </vt:variant>
      <vt:variant>
        <vt:i4>0</vt:i4>
      </vt:variant>
      <vt:variant>
        <vt:i4>5</vt:i4>
      </vt:variant>
      <vt:variant>
        <vt:lpwstr>mailto:TetFar.SOON@Health.gov.au</vt:lpwstr>
      </vt:variant>
      <vt:variant>
        <vt:lpwstr/>
      </vt:variant>
      <vt:variant>
        <vt:i4>2752530</vt:i4>
      </vt:variant>
      <vt:variant>
        <vt:i4>57</vt:i4>
      </vt:variant>
      <vt:variant>
        <vt:i4>0</vt:i4>
      </vt:variant>
      <vt:variant>
        <vt:i4>5</vt:i4>
      </vt:variant>
      <vt:variant>
        <vt:lpwstr>mailto:Sanduni.HAPUARACHCHI@Health.gov.au</vt:lpwstr>
      </vt:variant>
      <vt:variant>
        <vt:lpwstr/>
      </vt:variant>
      <vt:variant>
        <vt:i4>6946897</vt:i4>
      </vt:variant>
      <vt:variant>
        <vt:i4>54</vt:i4>
      </vt:variant>
      <vt:variant>
        <vt:i4>0</vt:i4>
      </vt:variant>
      <vt:variant>
        <vt:i4>5</vt:i4>
      </vt:variant>
      <vt:variant>
        <vt:lpwstr>mailto:Angela.LUANGRATH@Health.gov.au</vt:lpwstr>
      </vt:variant>
      <vt:variant>
        <vt:lpwstr/>
      </vt:variant>
      <vt:variant>
        <vt:i4>917550</vt:i4>
      </vt:variant>
      <vt:variant>
        <vt:i4>51</vt:i4>
      </vt:variant>
      <vt:variant>
        <vt:i4>0</vt:i4>
      </vt:variant>
      <vt:variant>
        <vt:i4>5</vt:i4>
      </vt:variant>
      <vt:variant>
        <vt:lpwstr>https://assets.ctfassets.net/w98cd481qyp0/YqqKHaqQmFeqc5ueQk48w/0a34fcdaa3a71dbe460cdcb01cebe8ad/F1CDx_Technical_Specifications_072020.pdf</vt:lpwstr>
      </vt:variant>
      <vt:variant>
        <vt:lpwstr/>
      </vt:variant>
      <vt:variant>
        <vt:i4>4915318</vt:i4>
      </vt:variant>
      <vt:variant>
        <vt:i4>48</vt:i4>
      </vt:variant>
      <vt:variant>
        <vt:i4>0</vt:i4>
      </vt:variant>
      <vt:variant>
        <vt:i4>5</vt:i4>
      </vt:variant>
      <vt:variant>
        <vt:lpwstr>mailto:TetFar.SOON@Health.gov.au</vt:lpwstr>
      </vt:variant>
      <vt:variant>
        <vt:lpwstr/>
      </vt:variant>
      <vt:variant>
        <vt:i4>6946897</vt:i4>
      </vt:variant>
      <vt:variant>
        <vt:i4>45</vt:i4>
      </vt:variant>
      <vt:variant>
        <vt:i4>0</vt:i4>
      </vt:variant>
      <vt:variant>
        <vt:i4>5</vt:i4>
      </vt:variant>
      <vt:variant>
        <vt:lpwstr>mailto:Angela.LUANGRATH@Health.gov.au</vt:lpwstr>
      </vt:variant>
      <vt:variant>
        <vt:lpwstr/>
      </vt:variant>
      <vt:variant>
        <vt:i4>6946897</vt:i4>
      </vt:variant>
      <vt:variant>
        <vt:i4>42</vt:i4>
      </vt:variant>
      <vt:variant>
        <vt:i4>0</vt:i4>
      </vt:variant>
      <vt:variant>
        <vt:i4>5</vt:i4>
      </vt:variant>
      <vt:variant>
        <vt:lpwstr>mailto:Angela.LUANGRATH@Health.gov.au</vt:lpwstr>
      </vt:variant>
      <vt:variant>
        <vt:lpwstr/>
      </vt:variant>
      <vt:variant>
        <vt:i4>917550</vt:i4>
      </vt:variant>
      <vt:variant>
        <vt:i4>39</vt:i4>
      </vt:variant>
      <vt:variant>
        <vt:i4>0</vt:i4>
      </vt:variant>
      <vt:variant>
        <vt:i4>5</vt:i4>
      </vt:variant>
      <vt:variant>
        <vt:lpwstr>https://assets.ctfassets.net/w98cd481qyp0/YqqKHaqQmFeqc5ueQk48w/0a34fcdaa3a71dbe460cdcb01cebe8ad/F1CDx_Technical_Specifications_072020.pdf</vt:lpwstr>
      </vt:variant>
      <vt:variant>
        <vt:lpwstr/>
      </vt:variant>
      <vt:variant>
        <vt:i4>2752530</vt:i4>
      </vt:variant>
      <vt:variant>
        <vt:i4>36</vt:i4>
      </vt:variant>
      <vt:variant>
        <vt:i4>0</vt:i4>
      </vt:variant>
      <vt:variant>
        <vt:i4>5</vt:i4>
      </vt:variant>
      <vt:variant>
        <vt:lpwstr>mailto:Sanduni.HAPUARACHCHI@Health.gov.au</vt:lpwstr>
      </vt:variant>
      <vt:variant>
        <vt:lpwstr/>
      </vt:variant>
      <vt:variant>
        <vt:i4>4915318</vt:i4>
      </vt:variant>
      <vt:variant>
        <vt:i4>33</vt:i4>
      </vt:variant>
      <vt:variant>
        <vt:i4>0</vt:i4>
      </vt:variant>
      <vt:variant>
        <vt:i4>5</vt:i4>
      </vt:variant>
      <vt:variant>
        <vt:lpwstr>mailto:TetFar.SOON@Health.gov.au</vt:lpwstr>
      </vt:variant>
      <vt:variant>
        <vt:lpwstr/>
      </vt:variant>
      <vt:variant>
        <vt:i4>4784210</vt:i4>
      </vt:variant>
      <vt:variant>
        <vt:i4>30</vt:i4>
      </vt:variant>
      <vt:variant>
        <vt:i4>0</vt:i4>
      </vt:variant>
      <vt:variant>
        <vt:i4>5</vt:i4>
      </vt:variant>
      <vt:variant>
        <vt:lpwstr>https://www.foundationmedicine.com/test/foundationone-cdx</vt:lpwstr>
      </vt:variant>
      <vt:variant>
        <vt:lpwstr/>
      </vt:variant>
      <vt:variant>
        <vt:i4>2752530</vt:i4>
      </vt:variant>
      <vt:variant>
        <vt:i4>27</vt:i4>
      </vt:variant>
      <vt:variant>
        <vt:i4>0</vt:i4>
      </vt:variant>
      <vt:variant>
        <vt:i4>5</vt:i4>
      </vt:variant>
      <vt:variant>
        <vt:lpwstr>mailto:Sanduni.HAPUARACHCHI@Health.gov.au</vt:lpwstr>
      </vt:variant>
      <vt:variant>
        <vt:lpwstr/>
      </vt:variant>
      <vt:variant>
        <vt:i4>6946897</vt:i4>
      </vt:variant>
      <vt:variant>
        <vt:i4>24</vt:i4>
      </vt:variant>
      <vt:variant>
        <vt:i4>0</vt:i4>
      </vt:variant>
      <vt:variant>
        <vt:i4>5</vt:i4>
      </vt:variant>
      <vt:variant>
        <vt:lpwstr>mailto:Angela.LUANGRATH@Health.gov.au</vt:lpwstr>
      </vt:variant>
      <vt:variant>
        <vt:lpwstr/>
      </vt:variant>
      <vt:variant>
        <vt:i4>917550</vt:i4>
      </vt:variant>
      <vt:variant>
        <vt:i4>21</vt:i4>
      </vt:variant>
      <vt:variant>
        <vt:i4>0</vt:i4>
      </vt:variant>
      <vt:variant>
        <vt:i4>5</vt:i4>
      </vt:variant>
      <vt:variant>
        <vt:lpwstr>https://assets.ctfassets.net/w98cd481qyp0/YqqKHaqQmFeqc5ueQk48w/0a34fcdaa3a71dbe460cdcb01cebe8ad/F1CDx_Technical_Specifications_072020.pdf</vt:lpwstr>
      </vt:variant>
      <vt:variant>
        <vt:lpwstr/>
      </vt:variant>
      <vt:variant>
        <vt:i4>4915318</vt:i4>
      </vt:variant>
      <vt:variant>
        <vt:i4>18</vt:i4>
      </vt:variant>
      <vt:variant>
        <vt:i4>0</vt:i4>
      </vt:variant>
      <vt:variant>
        <vt:i4>5</vt:i4>
      </vt:variant>
      <vt:variant>
        <vt:lpwstr>mailto:TetFar.SOON@Health.gov.au</vt:lpwstr>
      </vt:variant>
      <vt:variant>
        <vt:lpwstr/>
      </vt:variant>
      <vt:variant>
        <vt:i4>4915318</vt:i4>
      </vt:variant>
      <vt:variant>
        <vt:i4>15</vt:i4>
      </vt:variant>
      <vt:variant>
        <vt:i4>0</vt:i4>
      </vt:variant>
      <vt:variant>
        <vt:i4>5</vt:i4>
      </vt:variant>
      <vt:variant>
        <vt:lpwstr>mailto:TetFar.SOON@Health.gov.au</vt:lpwstr>
      </vt:variant>
      <vt:variant>
        <vt:lpwstr/>
      </vt:variant>
      <vt:variant>
        <vt:i4>4915318</vt:i4>
      </vt:variant>
      <vt:variant>
        <vt:i4>12</vt:i4>
      </vt:variant>
      <vt:variant>
        <vt:i4>0</vt:i4>
      </vt:variant>
      <vt:variant>
        <vt:i4>5</vt:i4>
      </vt:variant>
      <vt:variant>
        <vt:lpwstr>mailto:TetFar.SOON@Health.gov.au</vt:lpwstr>
      </vt:variant>
      <vt:variant>
        <vt:lpwstr/>
      </vt:variant>
      <vt:variant>
        <vt:i4>4587625</vt:i4>
      </vt:variant>
      <vt:variant>
        <vt:i4>9</vt:i4>
      </vt:variant>
      <vt:variant>
        <vt:i4>0</vt:i4>
      </vt:variant>
      <vt:variant>
        <vt:i4>5</vt:i4>
      </vt:variant>
      <vt:variant>
        <vt:lpwstr>mailto:Vandhana.BHARTI@Health.gov.au</vt:lpwstr>
      </vt:variant>
      <vt:variant>
        <vt:lpwstr/>
      </vt:variant>
      <vt:variant>
        <vt:i4>6946897</vt:i4>
      </vt:variant>
      <vt:variant>
        <vt:i4>6</vt:i4>
      </vt:variant>
      <vt:variant>
        <vt:i4>0</vt:i4>
      </vt:variant>
      <vt:variant>
        <vt:i4>5</vt:i4>
      </vt:variant>
      <vt:variant>
        <vt:lpwstr>mailto:Angela.LUANGRATH@Health.gov.au</vt:lpwstr>
      </vt:variant>
      <vt:variant>
        <vt:lpwstr/>
      </vt:variant>
      <vt:variant>
        <vt:i4>4915318</vt:i4>
      </vt:variant>
      <vt:variant>
        <vt:i4>3</vt:i4>
      </vt:variant>
      <vt:variant>
        <vt:i4>0</vt:i4>
      </vt:variant>
      <vt:variant>
        <vt:i4>5</vt:i4>
      </vt:variant>
      <vt:variant>
        <vt:lpwstr>mailto:TetFar.SOON@Health.gov.au</vt:lpwstr>
      </vt:variant>
      <vt:variant>
        <vt:lpwstr/>
      </vt:variant>
      <vt:variant>
        <vt:i4>2752530</vt:i4>
      </vt:variant>
      <vt:variant>
        <vt:i4>0</vt:i4>
      </vt:variant>
      <vt:variant>
        <vt:i4>0</vt:i4>
      </vt:variant>
      <vt:variant>
        <vt:i4>5</vt:i4>
      </vt:variant>
      <vt:variant>
        <vt:lpwstr>mailto:Sanduni.HAPUARACHCHI@Health.gov.au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1766 PICO</dc:title>
  <dc:subject/>
  <dc:creator/>
  <cp:keywords/>
  <dc:description/>
  <cp:lastModifiedBy/>
  <cp:revision>1</cp:revision>
  <dcterms:created xsi:type="dcterms:W3CDTF">2024-06-17T03:48:00Z</dcterms:created>
  <dcterms:modified xsi:type="dcterms:W3CDTF">2024-06-20T23:12:00Z</dcterms:modified>
</cp:coreProperties>
</file>