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D1C2B">
      <w:pPr>
        <w:pStyle w:val="Title"/>
        <w:tabs>
          <w:tab w:val="left" w:pos="1926"/>
          <w:tab w:val="center" w:pos="4513"/>
        </w:tabs>
        <w:spacing w:before="360"/>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774882" w:rsidRPr="00774882">
        <w:t>1511 – Extended half-life clotting factor concentrates for the treatment of haemophilia A and B</w:t>
      </w:r>
    </w:p>
    <w:p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496B46">
        <w:rPr>
          <w:rFonts w:ascii="Arial" w:hAnsi="Arial" w:cs="Arial"/>
          <w:b/>
          <w:szCs w:val="24"/>
        </w:rPr>
        <w:t>National Blood Authority</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4E4EB9">
        <w:rPr>
          <w:rFonts w:ascii="Arial" w:hAnsi="Arial" w:cs="Arial"/>
          <w:b/>
          <w:szCs w:val="24"/>
        </w:rPr>
        <w:t>73</w:t>
      </w:r>
      <w:r w:rsidR="004E4EB9" w:rsidRPr="004E4EB9">
        <w:rPr>
          <w:rFonts w:ascii="Arial" w:hAnsi="Arial" w:cs="Arial"/>
          <w:b/>
          <w:szCs w:val="24"/>
          <w:vertAlign w:val="superscript"/>
        </w:rPr>
        <w:t>rd</w:t>
      </w:r>
      <w:r w:rsidR="004E4EB9">
        <w:rPr>
          <w:rFonts w:ascii="Arial" w:hAnsi="Arial" w:cs="Arial"/>
          <w:b/>
          <w:szCs w:val="24"/>
        </w:rPr>
        <w:t xml:space="preserve"> </w:t>
      </w:r>
      <w:r w:rsidRPr="00F715D1">
        <w:rPr>
          <w:rFonts w:ascii="Arial" w:hAnsi="Arial" w:cs="Arial"/>
          <w:b/>
          <w:szCs w:val="24"/>
        </w:rPr>
        <w:t xml:space="preserve">Meeting, </w:t>
      </w:r>
      <w:r w:rsidR="004E4EB9">
        <w:rPr>
          <w:rFonts w:ascii="Arial" w:hAnsi="Arial" w:cs="Arial"/>
          <w:b/>
          <w:szCs w:val="24"/>
        </w:rPr>
        <w:t>26-27 July 2018</w:t>
      </w:r>
    </w:p>
    <w:p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p>
    <w:p w:rsidR="00021FDC" w:rsidRDefault="00496B46" w:rsidP="00021FDC">
      <w:pPr>
        <w:rPr>
          <w:szCs w:val="24"/>
        </w:rPr>
      </w:pPr>
      <w:r>
        <w:rPr>
          <w:szCs w:val="24"/>
        </w:rPr>
        <w:t>The application i</w:t>
      </w:r>
      <w:r w:rsidR="00330655">
        <w:rPr>
          <w:szCs w:val="24"/>
        </w:rPr>
        <w:t>s t</w:t>
      </w:r>
      <w:r w:rsidR="00373F3A" w:rsidRPr="00B265E3">
        <w:rPr>
          <w:szCs w:val="24"/>
        </w:rPr>
        <w:t>o inform public funding</w:t>
      </w:r>
      <w:r w:rsidR="00373F3A">
        <w:rPr>
          <w:szCs w:val="24"/>
        </w:rPr>
        <w:t xml:space="preserve"> for</w:t>
      </w:r>
      <w:r w:rsidR="00373F3A" w:rsidRPr="00B265E3">
        <w:rPr>
          <w:szCs w:val="24"/>
        </w:rPr>
        <w:t xml:space="preserve"> extended half-life (EHL) clotting factors VIII and IX </w:t>
      </w:r>
      <w:r w:rsidR="00AE5147">
        <w:rPr>
          <w:szCs w:val="24"/>
        </w:rPr>
        <w:t xml:space="preserve">products </w:t>
      </w:r>
      <w:r w:rsidR="00373F3A" w:rsidRPr="00B265E3">
        <w:rPr>
          <w:szCs w:val="24"/>
        </w:rPr>
        <w:t>thro</w:t>
      </w:r>
      <w:r w:rsidR="00373F3A">
        <w:rPr>
          <w:szCs w:val="24"/>
        </w:rPr>
        <w:t>ugh the national blood a</w:t>
      </w:r>
      <w:r w:rsidR="00373F3A" w:rsidRPr="00B265E3">
        <w:rPr>
          <w:szCs w:val="24"/>
        </w:rPr>
        <w:t>rrangements.</w:t>
      </w:r>
    </w:p>
    <w:p w:rsidR="00E977EE" w:rsidRPr="00F715D1" w:rsidRDefault="00E977EE" w:rsidP="00F715D1">
      <w:pPr>
        <w:pStyle w:val="Heading1"/>
      </w:pPr>
      <w:r w:rsidRPr="00F715D1">
        <w:t>MSAC’s advice to the Minister</w:t>
      </w:r>
    </w:p>
    <w:p w:rsidR="00496B46" w:rsidRPr="00CA5587" w:rsidRDefault="00496B46" w:rsidP="00496B46">
      <w:pPr>
        <w:rPr>
          <w:color w:val="000000"/>
        </w:rPr>
      </w:pPr>
      <w:r w:rsidRPr="00CA5587">
        <w:t xml:space="preserve">After considering the strength of the available evidence in relation to comparative safety, clinical effectiveness </w:t>
      </w:r>
      <w:r w:rsidRPr="009B1A8E">
        <w:t>and</w:t>
      </w:r>
      <w:r w:rsidRPr="00CA5587">
        <w:t xml:space="preserve"> cost effectiveness, </w:t>
      </w:r>
      <w:r w:rsidRPr="00CE34BB">
        <w:rPr>
          <w:color w:val="000000"/>
        </w:rPr>
        <w:t>MSAC supported the inclusion of extended half-life clotting factor concentrates (factors VIII and IX) in the National Products Price List maintained by the National Blood Authority</w:t>
      </w:r>
      <w:r w:rsidR="00EA0712">
        <w:rPr>
          <w:color w:val="000000"/>
        </w:rPr>
        <w:t xml:space="preserve"> (NBA)</w:t>
      </w:r>
      <w:r w:rsidRPr="00CE34BB">
        <w:rPr>
          <w:color w:val="000000"/>
        </w:rPr>
        <w:t>. MSAC gave detailed advice on establishing prices for the requested products</w:t>
      </w:r>
      <w:r w:rsidR="00FD1C2B">
        <w:rPr>
          <w:color w:val="000000"/>
        </w:rPr>
        <w:t>,</w:t>
      </w:r>
      <w:r w:rsidRPr="00CE34BB">
        <w:rPr>
          <w:color w:val="000000"/>
        </w:rPr>
        <w:t xml:space="preserve"> relative to the existing standard half-life products, and advised that appropriate risk</w:t>
      </w:r>
      <w:r w:rsidR="00FD1C2B">
        <w:rPr>
          <w:color w:val="000000"/>
        </w:rPr>
        <w:t>-</w:t>
      </w:r>
      <w:r w:rsidRPr="00CE34BB">
        <w:rPr>
          <w:color w:val="000000"/>
        </w:rPr>
        <w:t>sharing arrangements be implemented to manage the budget uncertainties associated with these listings.</w:t>
      </w:r>
      <w:bookmarkStart w:id="1" w:name="Editing"/>
      <w:bookmarkEnd w:id="1"/>
    </w:p>
    <w:p w:rsidR="00550354" w:rsidRPr="00F715D1" w:rsidRDefault="00550354" w:rsidP="00F715D1">
      <w:pPr>
        <w:pStyle w:val="Heading1"/>
      </w:pPr>
      <w:r w:rsidRPr="00F715D1">
        <w:t xml:space="preserve">Summary of consideration </w:t>
      </w:r>
      <w:r w:rsidR="00FF394C">
        <w:t>and rationale for MSAC’s advice</w:t>
      </w:r>
    </w:p>
    <w:p w:rsidR="00496B46" w:rsidRDefault="00496B46" w:rsidP="00496B46">
      <w:r>
        <w:t>MSAC noted that this application is seeking health technology assessment advice on the evidence for EHL clotting factors VIII and IX compared to currently available options</w:t>
      </w:r>
      <w:r w:rsidR="00FD1C2B">
        <w:t>, in order</w:t>
      </w:r>
      <w:r>
        <w:t xml:space="preserve"> to inform future public funding through the NBA.</w:t>
      </w:r>
    </w:p>
    <w:p w:rsidR="00496B46" w:rsidRDefault="00496B46" w:rsidP="00496B46">
      <w:pPr>
        <w:spacing w:before="240"/>
      </w:pPr>
      <w:r>
        <w:t>MSAC noted that the incidence of haemophilia A (caused by deficiency of factor VIII) is approximately 1 in 10,000, and the incidence of haemophilia B (caused by deficiency of factor IX) is approximately 1 in 50,000. Female carriers of gene mutations for coagulation protein factors may also exhibit symptoms. MSAC noted that there is a high disease burden in patients with moderate and severe haemophilia. Recurrent bleeding can cause arthropathy, intracranial and retroperitoneal bleeds, and haematomas. If untreated, haemophilia reduces life expectancy to 25 years; if treated, normal life expectancy can be maintained or reduced by less than 10 years.</w:t>
      </w:r>
    </w:p>
    <w:p w:rsidR="00496B46" w:rsidRDefault="00496B46" w:rsidP="00496B46">
      <w:pPr>
        <w:spacing w:before="240"/>
      </w:pPr>
      <w:r>
        <w:t xml:space="preserve">MSAC noted that patients managed with prophylactic products require infrequent hospital admission for bleeding episodes, and each bleed requires 2–4 days absence from work. Recurrent bleeding episodes may lead to the need for joint replacements. This occurs mainly </w:t>
      </w:r>
      <w:r>
        <w:lastRenderedPageBreak/>
        <w:t>in the older population (55 years and older)</w:t>
      </w:r>
      <w:r w:rsidR="009E4519">
        <w:t>,</w:t>
      </w:r>
      <w:r>
        <w:t xml:space="preserve"> but is less likely with prophylactic treatment, and has become less common. </w:t>
      </w:r>
    </w:p>
    <w:p w:rsidR="00496B46" w:rsidRDefault="00496B46" w:rsidP="00496B46">
      <w:pPr>
        <w:spacing w:before="240"/>
      </w:pPr>
      <w:r>
        <w:t xml:space="preserve">MSAC noted that approximately 80% of clotting factor use is for prophylaxis to prevent or reduce the frequency of bleeding episodes (i.e. standard care for </w:t>
      </w:r>
      <w:r w:rsidR="00EA0712">
        <w:t xml:space="preserve">patients with </w:t>
      </w:r>
      <w:r>
        <w:t>haemophilia). The remainder is on-demand use to control or prevent bleeding episodes. Treatment is provided by a haematologist, and most patients are treated at haemophilia treatment centres. MSAC noted that prophylactic d</w:t>
      </w:r>
      <w:r w:rsidRPr="005E17DC">
        <w:t xml:space="preserve">osing </w:t>
      </w:r>
      <w:r>
        <w:t xml:space="preserve">consists of </w:t>
      </w:r>
      <w:r w:rsidRPr="005E17DC">
        <w:t xml:space="preserve">standardised </w:t>
      </w:r>
      <w:r>
        <w:t>regimes to achieve target trough levels and low annual bleed rates (ABR), or</w:t>
      </w:r>
      <w:r w:rsidRPr="005E17DC">
        <w:t xml:space="preserve"> individualised </w:t>
      </w:r>
      <w:r>
        <w:t xml:space="preserve">treatment regimes </w:t>
      </w:r>
      <w:r w:rsidRPr="005E17DC">
        <w:t>in difficult</w:t>
      </w:r>
      <w:r>
        <w:t>-</w:t>
      </w:r>
      <w:r w:rsidRPr="005E17DC">
        <w:t>to</w:t>
      </w:r>
      <w:r>
        <w:t>-</w:t>
      </w:r>
      <w:r w:rsidRPr="005E17DC">
        <w:t>manage patients.</w:t>
      </w:r>
      <w:r>
        <w:t xml:space="preserve"> Clotting factors are administered using Portacaths in children under 13 years of age. Clotting factors are also used as surgical prophylaxis</w:t>
      </w:r>
      <w:r w:rsidR="00C75C00">
        <w:t>, in order to better control</w:t>
      </w:r>
      <w:r w:rsidR="00FF394C">
        <w:t xml:space="preserve"> bleed</w:t>
      </w:r>
      <w:r w:rsidR="00C75C00">
        <w:t>ing</w:t>
      </w:r>
      <w:r w:rsidR="00FF394C">
        <w:t xml:space="preserve"> in the context of planned surgery</w:t>
      </w:r>
      <w:r>
        <w:t>.</w:t>
      </w:r>
    </w:p>
    <w:p w:rsidR="00496B46" w:rsidRDefault="00496B46" w:rsidP="00496B46">
      <w:pPr>
        <w:spacing w:before="240"/>
      </w:pPr>
      <w:r>
        <w:t>MSAC noted that there is high heterogeneity in treatment regime</w:t>
      </w:r>
      <w:r w:rsidR="00FB0B75">
        <w:t>n</w:t>
      </w:r>
      <w:r>
        <w:t>s according to the individual EHL product, age of the patient and individualisation of treatment.</w:t>
      </w:r>
    </w:p>
    <w:p w:rsidR="00496B46" w:rsidRDefault="00496B46" w:rsidP="00496B46">
      <w:pPr>
        <w:spacing w:before="240"/>
      </w:pPr>
      <w:r>
        <w:t xml:space="preserve">MSAC noted that EHL clotting factors are produced by combining the recombinant factor VIII or IX with Fc (antibody fragments) or </w:t>
      </w:r>
      <w:r w:rsidRPr="00681F8E">
        <w:t xml:space="preserve">polyethylene glycol </w:t>
      </w:r>
      <w:r>
        <w:t>(PEG). MSAC noted that EHL factor IX</w:t>
      </w:r>
      <w:r w:rsidR="00EE6372">
        <w:t xml:space="preserve"> products</w:t>
      </w:r>
      <w:r>
        <w:t xml:space="preserve"> for haemophilia B </w:t>
      </w:r>
      <w:r w:rsidR="00B20EE7">
        <w:t>have a</w:t>
      </w:r>
      <w:r>
        <w:t xml:space="preserve"> half-life </w:t>
      </w:r>
      <w:r w:rsidR="00B20EE7">
        <w:t>approximately 4 times longer than</w:t>
      </w:r>
      <w:r w:rsidR="00FB0B75">
        <w:t xml:space="preserve"> standard half-life (SHL) factor IX products</w:t>
      </w:r>
      <w:r>
        <w:t xml:space="preserve">, which has a significant impact for patients by reducing dosing frequency. The difference </w:t>
      </w:r>
      <w:r w:rsidR="00FB0B75">
        <w:t xml:space="preserve">in half-lives </w:t>
      </w:r>
      <w:r>
        <w:t xml:space="preserve">is not so significant </w:t>
      </w:r>
      <w:r w:rsidR="00FB0B75">
        <w:t xml:space="preserve">across </w:t>
      </w:r>
      <w:r>
        <w:t xml:space="preserve">EHL </w:t>
      </w:r>
      <w:r w:rsidR="00FB0B75">
        <w:t xml:space="preserve">and SHL </w:t>
      </w:r>
      <w:r>
        <w:t>factor VIII</w:t>
      </w:r>
      <w:r w:rsidR="00FB0B75">
        <w:t xml:space="preserve"> products</w:t>
      </w:r>
      <w:r>
        <w:t xml:space="preserve"> for haemophilia A. MSAC acknowledged that even one less dose per week would be valuable to patients.</w:t>
      </w:r>
    </w:p>
    <w:p w:rsidR="00496B46" w:rsidRDefault="006554EC" w:rsidP="00496B46">
      <w:pPr>
        <w:spacing w:before="240"/>
      </w:pPr>
      <w:r>
        <w:t>Overall, MSAC noted that</w:t>
      </w:r>
      <w:r w:rsidR="00496B46">
        <w:t xml:space="preserve"> the level of evidence </w:t>
      </w:r>
      <w:r w:rsidR="00724EC3">
        <w:t xml:space="preserve">presented </w:t>
      </w:r>
      <w:r w:rsidR="00496B46">
        <w:t>for safety and effectiveness of EHL products compared with SHL products was low</w:t>
      </w:r>
      <w:r w:rsidR="00BE3D3C">
        <w:t xml:space="preserve"> across all EHL products and across different age ranges</w:t>
      </w:r>
      <w:r w:rsidR="00496B46">
        <w:t xml:space="preserve">. The evidence base consisted largely of comparative studies </w:t>
      </w:r>
      <w:r w:rsidR="00FB0B75">
        <w:t>with historical</w:t>
      </w:r>
      <w:r w:rsidR="00496B46">
        <w:t xml:space="preserve"> controls, or case series with before-and-after data. Treatment regime</w:t>
      </w:r>
      <w:r w:rsidR="00FB0B75">
        <w:t>n</w:t>
      </w:r>
      <w:r w:rsidR="00496B46">
        <w:t xml:space="preserve">s in different studies were not </w:t>
      </w:r>
      <w:r w:rsidR="00FB0B75">
        <w:t>similar</w:t>
      </w:r>
      <w:r w:rsidR="00496B46">
        <w:t>.</w:t>
      </w:r>
    </w:p>
    <w:p w:rsidR="00496B46" w:rsidRDefault="00496B46" w:rsidP="00496B46">
      <w:pPr>
        <w:spacing w:before="240"/>
      </w:pPr>
      <w:r>
        <w:t xml:space="preserve">MSAC noted from this evidence that </w:t>
      </w:r>
      <w:r w:rsidR="00724EC3">
        <w:t xml:space="preserve">EHL </w:t>
      </w:r>
      <w:r>
        <w:t xml:space="preserve">factor VIII products appeared to slightly reduce ABRs compared with SHL </w:t>
      </w:r>
      <w:r w:rsidR="00724EC3">
        <w:t xml:space="preserve">factor VIII </w:t>
      </w:r>
      <w:r>
        <w:t xml:space="preserve">products, but there was no significant difference in terms of quality of life. MSAC also noted some evidence that adherence to treatment was higher for EHL factor VIII than for SHL </w:t>
      </w:r>
      <w:r w:rsidR="00EE6372">
        <w:t xml:space="preserve">factor VIII </w:t>
      </w:r>
      <w:r>
        <w:t xml:space="preserve">products, but there were no direct comparisons of </w:t>
      </w:r>
      <w:r w:rsidR="00EE6372">
        <w:t xml:space="preserve">these </w:t>
      </w:r>
      <w:r w:rsidR="00CB1C39">
        <w:t>EHL and SHL products.</w:t>
      </w:r>
    </w:p>
    <w:p w:rsidR="00496B46" w:rsidRDefault="00496B46" w:rsidP="00496B46">
      <w:pPr>
        <w:spacing w:before="240"/>
      </w:pPr>
      <w:r>
        <w:t>MSAC noted from th</w:t>
      </w:r>
      <w:r w:rsidR="00724EC3">
        <w:t>is</w:t>
      </w:r>
      <w:r>
        <w:t xml:space="preserve"> evidence that </w:t>
      </w:r>
      <w:r w:rsidR="00EE6372">
        <w:t xml:space="preserve">EHL </w:t>
      </w:r>
      <w:r>
        <w:t>factor IX products appeared to reduce ABRs and improve quality of life</w:t>
      </w:r>
      <w:r w:rsidR="00EE6372">
        <w:t xml:space="preserve"> compared with SHL factor IX products</w:t>
      </w:r>
      <w:r>
        <w:t xml:space="preserve">. </w:t>
      </w:r>
      <w:r w:rsidR="00724EC3">
        <w:t xml:space="preserve">Some evidence </w:t>
      </w:r>
      <w:r>
        <w:t xml:space="preserve">showed higher </w:t>
      </w:r>
      <w:r w:rsidR="00724EC3">
        <w:t xml:space="preserve">adherence </w:t>
      </w:r>
      <w:r w:rsidR="00EE6372">
        <w:t xml:space="preserve">with </w:t>
      </w:r>
      <w:r>
        <w:t xml:space="preserve">EHL </w:t>
      </w:r>
      <w:r w:rsidR="00EE6372">
        <w:t xml:space="preserve">factor IX </w:t>
      </w:r>
      <w:r>
        <w:t xml:space="preserve">products than for SHL </w:t>
      </w:r>
      <w:r w:rsidR="00EE6372">
        <w:t xml:space="preserve">factor IX </w:t>
      </w:r>
      <w:r>
        <w:t>products.</w:t>
      </w:r>
    </w:p>
    <w:p w:rsidR="00CB1C39" w:rsidRDefault="00CB1C39" w:rsidP="00496B46">
      <w:pPr>
        <w:spacing w:before="240"/>
      </w:pPr>
      <w:r>
        <w:t>MSAC considered there was little basis to be confident that the estimated reductions in ABRs would translate into longer</w:t>
      </w:r>
      <w:r w:rsidR="00383A39">
        <w:t>-</w:t>
      </w:r>
      <w:r>
        <w:t>term differences in patient-relevant outcomes. Although this potential could not be excluded, even the optimistic modelling of this translation of EHL products to address the residual unmet clinical need with the existing SHL products suggested that any incremental benefit would be small.</w:t>
      </w:r>
    </w:p>
    <w:p w:rsidR="00496B46" w:rsidRPr="00C4121B" w:rsidRDefault="00496B46" w:rsidP="00496B46">
      <w:pPr>
        <w:spacing w:before="240"/>
      </w:pPr>
      <w:r>
        <w:t>MSAC noted that the safety of EHL products is similar to that of SHL products</w:t>
      </w:r>
      <w:r w:rsidRPr="00C4121B">
        <w:t xml:space="preserve">. </w:t>
      </w:r>
      <w:r>
        <w:t xml:space="preserve">The rate of serious adverse events after </w:t>
      </w:r>
      <w:r w:rsidR="00383A39">
        <w:t xml:space="preserve">receiving </w:t>
      </w:r>
      <w:r>
        <w:t>EHL products appears to be low (&lt;1%).</w:t>
      </w:r>
      <w:r w:rsidRPr="00DD42AA">
        <w:t xml:space="preserve"> </w:t>
      </w:r>
      <w:r>
        <w:t>MSAC noted that EHL products appear to be no more likely than SHL products to result in development of inhibitors.</w:t>
      </w:r>
    </w:p>
    <w:p w:rsidR="00496B46" w:rsidRDefault="00496B46" w:rsidP="00773437">
      <w:pPr>
        <w:spacing w:before="240"/>
      </w:pPr>
      <w:r>
        <w:t xml:space="preserve">MSAC noted that </w:t>
      </w:r>
      <w:r w:rsidR="00EE6372">
        <w:t xml:space="preserve">EHL products of </w:t>
      </w:r>
      <w:r>
        <w:t>both factor VIII and factor IX extend the duration of action</w:t>
      </w:r>
      <w:r w:rsidR="00383A39">
        <w:t>,</w:t>
      </w:r>
      <w:r>
        <w:t xml:space="preserve"> compared with SHL products. MSAC noted that this might reduce consumption; </w:t>
      </w:r>
      <w:r>
        <w:lastRenderedPageBreak/>
        <w:t>however, this is hard to quantify</w:t>
      </w:r>
      <w:r w:rsidRPr="00D36AD0">
        <w:t xml:space="preserve"> </w:t>
      </w:r>
      <w:r>
        <w:t xml:space="preserve">due to the poor </w:t>
      </w:r>
      <w:r w:rsidR="00EE6372">
        <w:t xml:space="preserve">quality </w:t>
      </w:r>
      <w:r>
        <w:t>data</w:t>
      </w:r>
      <w:r w:rsidR="00383A39">
        <w:t xml:space="preserve"> available</w:t>
      </w:r>
      <w:r w:rsidR="00EE6372">
        <w:t xml:space="preserve"> </w:t>
      </w:r>
      <w:r w:rsidR="00383A39">
        <w:t>to assess</w:t>
      </w:r>
      <w:r w:rsidR="00EE6372">
        <w:t xml:space="preserve"> this outcome</w:t>
      </w:r>
      <w:r>
        <w:t>. The A</w:t>
      </w:r>
      <w:r w:rsidR="00257995">
        <w:t>-</w:t>
      </w:r>
      <w:r>
        <w:t xml:space="preserve">LONG </w:t>
      </w:r>
      <w:r w:rsidRPr="00D36AD0">
        <w:t xml:space="preserve">trial suggested reduced consumption </w:t>
      </w:r>
      <w:r>
        <w:t xml:space="preserve">with the use of </w:t>
      </w:r>
      <w:r w:rsidR="00EE6372">
        <w:t xml:space="preserve">EHL </w:t>
      </w:r>
      <w:r>
        <w:t xml:space="preserve">factor VIII products, </w:t>
      </w:r>
      <w:r w:rsidRPr="00D36AD0">
        <w:t xml:space="preserve">but </w:t>
      </w:r>
      <w:r>
        <w:t>the study</w:t>
      </w:r>
      <w:r w:rsidRPr="00D36AD0">
        <w:t xml:space="preserve"> was</w:t>
      </w:r>
      <w:r>
        <w:t xml:space="preserve"> </w:t>
      </w:r>
      <w:r w:rsidRPr="00D36AD0">
        <w:t>n</w:t>
      </w:r>
      <w:r>
        <w:t>o</w:t>
      </w:r>
      <w:r w:rsidRPr="00D36AD0">
        <w:t xml:space="preserve">t specifically designed to measure this. </w:t>
      </w:r>
      <w:r>
        <w:t xml:space="preserve">MSAC noted a number of studies in adults and children </w:t>
      </w:r>
      <w:r w:rsidR="00383A39">
        <w:t>which showed</w:t>
      </w:r>
      <w:r>
        <w:t xml:space="preserve"> significantly reduced consumption with </w:t>
      </w:r>
      <w:r w:rsidR="00B20EE7">
        <w:t xml:space="preserve">the </w:t>
      </w:r>
      <w:r>
        <w:t xml:space="preserve">use of </w:t>
      </w:r>
      <w:r w:rsidR="00EE6372">
        <w:t xml:space="preserve">EHL </w:t>
      </w:r>
      <w:r>
        <w:t>factor IX products.</w:t>
      </w:r>
    </w:p>
    <w:p w:rsidR="00496B46" w:rsidRDefault="00496B46" w:rsidP="00773437">
      <w:pPr>
        <w:spacing w:before="240"/>
      </w:pPr>
      <w:r>
        <w:t xml:space="preserve">MSAC noted that, in clinical practice, EHL products may directly replace SHL products </w:t>
      </w:r>
      <w:r w:rsidR="00B20EE7">
        <w:t xml:space="preserve">in either individualised dosing or standardised dosing </w:t>
      </w:r>
      <w:r>
        <w:t>prophylaxis regime</w:t>
      </w:r>
      <w:r w:rsidR="00EE6372">
        <w:t>n</w:t>
      </w:r>
      <w:r>
        <w:t>s</w:t>
      </w:r>
      <w:r w:rsidR="00B20EE7">
        <w:t xml:space="preserve"> to reduce dose frequency</w:t>
      </w:r>
      <w:r>
        <w:t xml:space="preserve">, </w:t>
      </w:r>
      <w:r w:rsidR="00536478">
        <w:t>,</w:t>
      </w:r>
      <w:r>
        <w:t xml:space="preserve"> .</w:t>
      </w:r>
      <w:r w:rsidRPr="000D7781">
        <w:t xml:space="preserve"> </w:t>
      </w:r>
      <w:r w:rsidR="00EE6372">
        <w:t xml:space="preserve">However, </w:t>
      </w:r>
      <w:r>
        <w:t>MSAC noted that, for on-demand use and surgical prophylaxis, there is insufficient evidence to support a clinical claim for EHL relative to SHL products. SHL products should continue to be used for these purposes.</w:t>
      </w:r>
    </w:p>
    <w:p w:rsidR="00496B46" w:rsidRDefault="00496B46" w:rsidP="00773437">
      <w:pPr>
        <w:spacing w:before="240"/>
      </w:pPr>
      <w:r>
        <w:t xml:space="preserve">For prophylactic use, MSAC </w:t>
      </w:r>
      <w:r w:rsidR="00C75C00">
        <w:t xml:space="preserve">concluded from the evidence available that </w:t>
      </w:r>
      <w:r>
        <w:t>there was little</w:t>
      </w:r>
      <w:r w:rsidRPr="0007576B">
        <w:t xml:space="preserve"> clinically</w:t>
      </w:r>
      <w:r w:rsidR="00536478">
        <w:t>-</w:t>
      </w:r>
      <w:r w:rsidRPr="0007576B">
        <w:t xml:space="preserve">important improvement in </w:t>
      </w:r>
      <w:r>
        <w:t xml:space="preserve">patient </w:t>
      </w:r>
      <w:r w:rsidRPr="0007576B">
        <w:t>out</w:t>
      </w:r>
      <w:r>
        <w:t xml:space="preserve">comes between the two types of products, but accepted that EHL products would </w:t>
      </w:r>
      <w:r w:rsidRPr="0007576B">
        <w:t>reduc</w:t>
      </w:r>
      <w:r>
        <w:t>e</w:t>
      </w:r>
      <w:r w:rsidRPr="0007576B">
        <w:t xml:space="preserve"> dosing frequency</w:t>
      </w:r>
      <w:r>
        <w:t>.</w:t>
      </w:r>
    </w:p>
    <w:p w:rsidR="00496B46" w:rsidRDefault="00496B46" w:rsidP="00773437">
      <w:pPr>
        <w:spacing w:before="240"/>
      </w:pPr>
      <w:r>
        <w:t>MSAC commented that interpretation of the economic analysis was difficult. The ICERs were highly variable depending on the age group and source data used to inform the annualised number of factor doses and bleeding rates. ICERs were highly sensitive to changes in relative factor consumption</w:t>
      </w:r>
      <w:r w:rsidR="00536478">
        <w:t>,</w:t>
      </w:r>
      <w:r>
        <w:t xml:space="preserve"> and it is uncertain whether </w:t>
      </w:r>
      <w:r w:rsidR="005210A3">
        <w:t xml:space="preserve">study estimates </w:t>
      </w:r>
      <w:r>
        <w:t xml:space="preserve">will be realised in practice. </w:t>
      </w:r>
      <w:r w:rsidR="005210A3">
        <w:t xml:space="preserve">Although </w:t>
      </w:r>
      <w:r>
        <w:t xml:space="preserve">MSAC </w:t>
      </w:r>
      <w:r w:rsidR="005210A3">
        <w:t xml:space="preserve">considered </w:t>
      </w:r>
      <w:r>
        <w:t xml:space="preserve">that </w:t>
      </w:r>
      <w:r w:rsidR="005210A3">
        <w:t xml:space="preserve">the base case </w:t>
      </w:r>
      <w:r>
        <w:t xml:space="preserve">ICERs </w:t>
      </w:r>
      <w:r w:rsidR="005210A3">
        <w:t xml:space="preserve">might </w:t>
      </w:r>
      <w:r>
        <w:t xml:space="preserve">underestimate the benefit of EHL products </w:t>
      </w:r>
      <w:r w:rsidR="00536478">
        <w:t>(</w:t>
      </w:r>
      <w:r>
        <w:t>due to simplistic modelling and factor</w:t>
      </w:r>
      <w:r w:rsidR="00EE6372">
        <w:t xml:space="preserve"> reduction data used</w:t>
      </w:r>
      <w:r w:rsidR="00536478">
        <w:t>)</w:t>
      </w:r>
      <w:r w:rsidR="005210A3">
        <w:t>, the committee noted that sensitivity analyses seeking to translate ABRs into later patient-relevant outcomes did not substantially improve the ICERs</w:t>
      </w:r>
      <w:r w:rsidR="00EE6372">
        <w:t>.</w:t>
      </w:r>
    </w:p>
    <w:p w:rsidR="00EB6DF7" w:rsidRDefault="00496B46" w:rsidP="00773437">
      <w:pPr>
        <w:spacing w:before="240"/>
      </w:pPr>
      <w:r>
        <w:t xml:space="preserve">MSAC noted that the economic model was sensitive to </w:t>
      </w:r>
      <w:r w:rsidR="00EB6DF7">
        <w:t xml:space="preserve">differences in </w:t>
      </w:r>
      <w:r>
        <w:t>price</w:t>
      </w:r>
      <w:r w:rsidR="00EB6DF7">
        <w:t>s between EHL and SHL products</w:t>
      </w:r>
      <w:r>
        <w:t xml:space="preserve">. Because there is uncertainty about what the supplier price will be, </w:t>
      </w:r>
      <w:r w:rsidR="00EB6DF7">
        <w:t xml:space="preserve">sensitivity </w:t>
      </w:r>
      <w:r>
        <w:t xml:space="preserve">analyses </w:t>
      </w:r>
      <w:r w:rsidR="00EB6DF7">
        <w:t xml:space="preserve">also </w:t>
      </w:r>
      <w:r>
        <w:t>explored the effect of different prices on the ICER.</w:t>
      </w:r>
    </w:p>
    <w:p w:rsidR="00496B46" w:rsidRDefault="00496B46" w:rsidP="00773437">
      <w:pPr>
        <w:spacing w:before="240"/>
      </w:pPr>
      <w:r>
        <w:t xml:space="preserve">MSAC noted that </w:t>
      </w:r>
      <w:r w:rsidR="00C75C00">
        <w:t xml:space="preserve">the </w:t>
      </w:r>
      <w:r>
        <w:t>financial implications of funding EHL products are dependent on the rate of uptake, changes in factor consumption and the price per unit.</w:t>
      </w:r>
    </w:p>
    <w:p w:rsidR="00496B46" w:rsidRDefault="00496B46" w:rsidP="00773437">
      <w:pPr>
        <w:spacing w:before="240"/>
      </w:pPr>
      <w:r>
        <w:t xml:space="preserve">MSAC noted that the most </w:t>
      </w:r>
      <w:r w:rsidR="00C75C00">
        <w:t xml:space="preserve">appropriate funding </w:t>
      </w:r>
      <w:r>
        <w:t xml:space="preserve">scenario is </w:t>
      </w:r>
      <w:r w:rsidR="005A3980">
        <w:t xml:space="preserve">where the </w:t>
      </w:r>
      <w:r>
        <w:t>use of EHL products</w:t>
      </w:r>
      <w:r w:rsidR="00EA0712">
        <w:t xml:space="preserve"> </w:t>
      </w:r>
      <w:r>
        <w:t>reduce</w:t>
      </w:r>
      <w:r w:rsidR="005A3980">
        <w:t>s</w:t>
      </w:r>
      <w:r>
        <w:t xml:space="preserve"> dosing frequency </w:t>
      </w:r>
      <w:r w:rsidR="00C75C00">
        <w:t xml:space="preserve">in </w:t>
      </w:r>
      <w:r w:rsidR="005A3980">
        <w:t xml:space="preserve">non-surgical </w:t>
      </w:r>
      <w:r>
        <w:t>prophylaxis. MSAC acknowledged that patients with poorly controlled haemophilia may benefit from individualised trough targeting.</w:t>
      </w:r>
    </w:p>
    <w:p w:rsidR="00496B46" w:rsidRPr="0007576B" w:rsidRDefault="00496B46" w:rsidP="00773437">
      <w:pPr>
        <w:spacing w:before="240"/>
      </w:pPr>
      <w:r>
        <w:t>MSAC therefore r</w:t>
      </w:r>
      <w:r w:rsidRPr="0007576B">
        <w:t>ecommend</w:t>
      </w:r>
      <w:r>
        <w:t>ed</w:t>
      </w:r>
      <w:r w:rsidRPr="0007576B">
        <w:t xml:space="preserve"> a </w:t>
      </w:r>
      <w:r>
        <w:t>cost-minimisation approach be adopted to generate suitable price relativity between EHL and SHL</w:t>
      </w:r>
      <w:r w:rsidRPr="0007576B">
        <w:t xml:space="preserve"> products </w:t>
      </w:r>
      <w:r>
        <w:t xml:space="preserve">for factor VIII and IX </w:t>
      </w:r>
      <w:r w:rsidR="006554EC">
        <w:t xml:space="preserve">for </w:t>
      </w:r>
      <w:r>
        <w:t xml:space="preserve">prophylactic use. This approach would result in the </w:t>
      </w:r>
      <w:r w:rsidRPr="00D01082">
        <w:t xml:space="preserve">same cost </w:t>
      </w:r>
      <w:r>
        <w:t xml:space="preserve">per patient </w:t>
      </w:r>
      <w:r w:rsidRPr="00D01082">
        <w:t xml:space="preserve">to achieve the same effect </w:t>
      </w:r>
      <w:r>
        <w:t xml:space="preserve">per patient </w:t>
      </w:r>
      <w:r w:rsidRPr="00D01082">
        <w:t>(at least)</w:t>
      </w:r>
      <w:r>
        <w:t>,</w:t>
      </w:r>
      <w:r w:rsidRPr="00D01082">
        <w:t xml:space="preserve"> based on </w:t>
      </w:r>
      <w:r>
        <w:t xml:space="preserve">observed </w:t>
      </w:r>
      <w:r w:rsidRPr="00D01082">
        <w:t xml:space="preserve">comparative </w:t>
      </w:r>
      <w:r>
        <w:t xml:space="preserve">consumption </w:t>
      </w:r>
      <w:r w:rsidRPr="00D01082">
        <w:t>data</w:t>
      </w:r>
      <w:r>
        <w:t xml:space="preserve"> as a weighted average across the studies presented:</w:t>
      </w:r>
    </w:p>
    <w:p w:rsidR="00496B46" w:rsidRPr="00D01082" w:rsidRDefault="00496B46" w:rsidP="00496B46">
      <w:pPr>
        <w:pStyle w:val="ListParagraph"/>
        <w:numPr>
          <w:ilvl w:val="0"/>
          <w:numId w:val="34"/>
        </w:numPr>
      </w:pPr>
      <w:r>
        <w:t>factor VIII –</w:t>
      </w:r>
      <w:r w:rsidRPr="00D01082">
        <w:t xml:space="preserve"> </w:t>
      </w:r>
      <w:r>
        <w:t xml:space="preserve">a price increase </w:t>
      </w:r>
      <w:r w:rsidRPr="00D01082">
        <w:t>in relative t</w:t>
      </w:r>
      <w:r>
        <w:t xml:space="preserve">erms of about </w:t>
      </w:r>
      <w:r w:rsidR="006E2F2C" w:rsidRPr="006E2F2C">
        <w:rPr>
          <w:b/>
        </w:rPr>
        <w:t>redacted</w:t>
      </w:r>
      <w:r w:rsidRPr="007B731F">
        <w:t xml:space="preserve"> per IU</w:t>
      </w:r>
      <w:r>
        <w:t xml:space="preserve"> for EHL products over SHL products</w:t>
      </w:r>
    </w:p>
    <w:p w:rsidR="00496B46" w:rsidRDefault="00496B46" w:rsidP="00496B46">
      <w:pPr>
        <w:pStyle w:val="ListParagraph"/>
        <w:numPr>
          <w:ilvl w:val="0"/>
          <w:numId w:val="34"/>
        </w:numPr>
      </w:pPr>
      <w:r>
        <w:t>factor IX –</w:t>
      </w:r>
      <w:r w:rsidRPr="00D01082">
        <w:t xml:space="preserve"> </w:t>
      </w:r>
      <w:r>
        <w:t xml:space="preserve">a price increase </w:t>
      </w:r>
      <w:r w:rsidRPr="00D01082">
        <w:t xml:space="preserve">in relative terms </w:t>
      </w:r>
      <w:r>
        <w:t xml:space="preserve">of </w:t>
      </w:r>
      <w:r w:rsidRPr="00D01082">
        <w:t xml:space="preserve">about </w:t>
      </w:r>
      <w:r w:rsidR="006E2F2C" w:rsidRPr="006E2F2C">
        <w:rPr>
          <w:b/>
        </w:rPr>
        <w:t>redacted</w:t>
      </w:r>
      <w:r w:rsidRPr="007B731F">
        <w:t xml:space="preserve"> per IU</w:t>
      </w:r>
      <w:r>
        <w:t xml:space="preserve"> for EHL products over SHL products.</w:t>
      </w:r>
    </w:p>
    <w:p w:rsidR="00BE3D3C" w:rsidRDefault="00BE3D3C" w:rsidP="00725DB3">
      <w:pPr>
        <w:spacing w:before="240"/>
      </w:pPr>
      <w:r>
        <w:t xml:space="preserve">The reasons for adopting this approach to determine EHL pricing for use in prophylaxis </w:t>
      </w:r>
      <w:r w:rsidR="007C7383">
        <w:t>(</w:t>
      </w:r>
      <w:r>
        <w:t>rather than any other approach</w:t>
      </w:r>
      <w:r w:rsidR="007C7383">
        <w:t>)</w:t>
      </w:r>
      <w:r>
        <w:t xml:space="preserve"> are that:</w:t>
      </w:r>
    </w:p>
    <w:p w:rsidR="00BE3D3C" w:rsidRDefault="00BE3D3C" w:rsidP="00BE3D3C">
      <w:pPr>
        <w:pStyle w:val="ListParagraph"/>
        <w:numPr>
          <w:ilvl w:val="0"/>
          <w:numId w:val="34"/>
        </w:numPr>
      </w:pPr>
      <w:r>
        <w:t xml:space="preserve"> it is most directly based on the study level evidence of use from which MSAC </w:t>
      </w:r>
      <w:r w:rsidR="005A3980">
        <w:t>determined that EHL products are non-inferior to SHL products</w:t>
      </w:r>
    </w:p>
    <w:p w:rsidR="00BE3D3C" w:rsidRDefault="00BE3D3C" w:rsidP="00BE3D3C">
      <w:pPr>
        <w:pStyle w:val="ListParagraph"/>
        <w:numPr>
          <w:ilvl w:val="0"/>
          <w:numId w:val="34"/>
        </w:numPr>
      </w:pPr>
      <w:r>
        <w:t>estimating the increase in relative terms is less subject to variability across baseline doses than estimating the increase in absolute terms.</w:t>
      </w:r>
    </w:p>
    <w:p w:rsidR="00496B46" w:rsidRDefault="00496B46" w:rsidP="00725DB3">
      <w:pPr>
        <w:spacing w:before="240"/>
      </w:pPr>
      <w:r>
        <w:lastRenderedPageBreak/>
        <w:t xml:space="preserve">MSAC considered that the evidence did not support any clinical advantage or usage differential between EHL and SHL products for on-demand or surgical prophylaxis use, and therefore recommended there </w:t>
      </w:r>
      <w:r w:rsidR="007C7383">
        <w:t xml:space="preserve">either </w:t>
      </w:r>
      <w:r>
        <w:t>be no price differential per IU between these products for these uses</w:t>
      </w:r>
      <w:r w:rsidR="007C7383">
        <w:t>,</w:t>
      </w:r>
      <w:r w:rsidR="00F91475">
        <w:t xml:space="preserve"> or the funding of EHL products </w:t>
      </w:r>
      <w:r w:rsidR="005A3980">
        <w:t xml:space="preserve">via the NBA </w:t>
      </w:r>
      <w:r w:rsidR="00F91475">
        <w:t>should exclude these uses</w:t>
      </w:r>
      <w:r>
        <w:t>.</w:t>
      </w:r>
    </w:p>
    <w:p w:rsidR="00496B46" w:rsidRDefault="00F91475" w:rsidP="00773437">
      <w:pPr>
        <w:spacing w:before="240"/>
      </w:pPr>
      <w:r>
        <w:t xml:space="preserve">MSAC recommended that there is a need for more than one EHL product in the market to meet the NBA’s desire for security of supply. </w:t>
      </w:r>
      <w:r w:rsidR="00496B46">
        <w:t xml:space="preserve">MSAC </w:t>
      </w:r>
      <w:r>
        <w:t xml:space="preserve">therefore </w:t>
      </w:r>
      <w:r w:rsidR="00496B46">
        <w:t xml:space="preserve">also advised that the evidence did not support any clinical or usage differential between each of the EHL products for either factor VIII or factor IX. </w:t>
      </w:r>
      <w:r>
        <w:t>As such</w:t>
      </w:r>
      <w:r w:rsidR="00496B46">
        <w:t xml:space="preserve">, MSAC recommended </w:t>
      </w:r>
      <w:r>
        <w:t xml:space="preserve">that </w:t>
      </w:r>
      <w:r w:rsidR="00496B46">
        <w:t xml:space="preserve">there be no price differential </w:t>
      </w:r>
      <w:r>
        <w:t xml:space="preserve">across the EHL </w:t>
      </w:r>
      <w:r w:rsidR="00496B46">
        <w:t xml:space="preserve">factor VIII </w:t>
      </w:r>
      <w:r>
        <w:t xml:space="preserve">products or across the EHL factor </w:t>
      </w:r>
      <w:r w:rsidR="00496B46">
        <w:t>IX products, which is consistent with the accepted current lack of clinical basis to justify a price differential across the SHL factor VIII products or acr</w:t>
      </w:r>
      <w:r w:rsidR="00725DB3">
        <w:t>oss the SHL factor IX products.</w:t>
      </w:r>
    </w:p>
    <w:p w:rsidR="00496B46" w:rsidRDefault="00496B46" w:rsidP="00773437">
      <w:pPr>
        <w:spacing w:before="240"/>
      </w:pPr>
      <w:r>
        <w:t>MSAC further advised that</w:t>
      </w:r>
      <w:r w:rsidR="00F91475">
        <w:t>, if the on-demand or surgical prophylaxis use of EHL products cannot be excluded, then</w:t>
      </w:r>
      <w:r>
        <w:t xml:space="preserve"> a single price should be derived for EHL factor VIII prod</w:t>
      </w:r>
      <w:r w:rsidR="00773437">
        <w:t>ucts</w:t>
      </w:r>
      <w:r>
        <w:t xml:space="preserve"> and a single price should be derived for EHL factor IX products. Each price should be weighted by proportions of use of these products for these different purposes. Noting the proportions of patients may be </w:t>
      </w:r>
      <w:r w:rsidRPr="0007576B">
        <w:t>difficult to estimate</w:t>
      </w:r>
      <w:r>
        <w:t xml:space="preserve"> (and there may be changes in these proportions over time), MSAC advised that the </w:t>
      </w:r>
      <w:r w:rsidR="005A3980">
        <w:t>NBA</w:t>
      </w:r>
      <w:r>
        <w:t xml:space="preserve"> introduce appropriate risk-sharing arrangements with product suppliers of factors VIII and IX, to manage budget uncertainties associated with these listings.</w:t>
      </w:r>
    </w:p>
    <w:p w:rsidR="00BC1364" w:rsidRPr="00F715D1" w:rsidRDefault="00BC1364" w:rsidP="00F715D1">
      <w:pPr>
        <w:pStyle w:val="Heading1"/>
      </w:pPr>
      <w:r w:rsidRPr="00F715D1">
        <w:t>Background</w:t>
      </w:r>
    </w:p>
    <w:p w:rsidR="00BC1364" w:rsidRPr="00A354FC" w:rsidRDefault="00A354FC" w:rsidP="00F715D1">
      <w:pPr>
        <w:spacing w:after="240"/>
        <w:rPr>
          <w:szCs w:val="24"/>
        </w:rPr>
      </w:pPr>
      <w:r w:rsidRPr="00A354FC">
        <w:rPr>
          <w:szCs w:val="24"/>
        </w:rPr>
        <w:t xml:space="preserve">MSAC has not considered </w:t>
      </w:r>
      <w:r w:rsidR="00C62CD5">
        <w:rPr>
          <w:szCs w:val="24"/>
        </w:rPr>
        <w:t>this a</w:t>
      </w:r>
      <w:r w:rsidRPr="00A354FC">
        <w:rPr>
          <w:szCs w:val="24"/>
        </w:rPr>
        <w:t>pplication before.</w:t>
      </w:r>
    </w:p>
    <w:p w:rsidR="00BC1364" w:rsidRPr="00F715D1" w:rsidRDefault="00BC1364" w:rsidP="00F715D1">
      <w:pPr>
        <w:pStyle w:val="Heading1"/>
      </w:pPr>
      <w:r w:rsidRPr="00F715D1">
        <w:t>Prerequisites to implementation of any funding advice</w:t>
      </w:r>
    </w:p>
    <w:p w:rsidR="00F439FB" w:rsidRDefault="00F439FB" w:rsidP="00F439FB">
      <w:pPr>
        <w:tabs>
          <w:tab w:val="left" w:pos="720"/>
          <w:tab w:val="left" w:pos="1140"/>
        </w:tabs>
        <w:spacing w:before="120"/>
      </w:pPr>
      <w:r w:rsidRPr="009609BD">
        <w:t>Recombinant blood products, including these EHL clotting factors, are regulated in Australia by the Therapeutic Goods Administration (TGA) as biological medicines.</w:t>
      </w:r>
    </w:p>
    <w:p w:rsidR="00BC1364" w:rsidRPr="00F715D1" w:rsidRDefault="00BC1364" w:rsidP="00F715D1">
      <w:pPr>
        <w:pStyle w:val="Heading1"/>
      </w:pPr>
      <w:r w:rsidRPr="00F715D1">
        <w:t>Proposal for public funding</w:t>
      </w:r>
    </w:p>
    <w:p w:rsidR="00F439FB" w:rsidRDefault="00AE5147" w:rsidP="00F439FB">
      <w:pPr>
        <w:rPr>
          <w:rFonts w:eastAsia="Calibri"/>
          <w:lang w:eastAsia="en-US"/>
        </w:rPr>
      </w:pPr>
      <w:r>
        <w:rPr>
          <w:szCs w:val="24"/>
        </w:rPr>
        <w:t xml:space="preserve">The </w:t>
      </w:r>
      <w:r w:rsidR="00F439FB" w:rsidRPr="00C814C0">
        <w:rPr>
          <w:szCs w:val="24"/>
        </w:rPr>
        <w:t>proposal for public funding</w:t>
      </w:r>
      <w:r w:rsidR="00F439FB">
        <w:rPr>
          <w:szCs w:val="24"/>
        </w:rPr>
        <w:t xml:space="preserve"> was </w:t>
      </w:r>
      <w:r w:rsidRPr="00AE5147">
        <w:rPr>
          <w:szCs w:val="24"/>
        </w:rPr>
        <w:t xml:space="preserve">for EHL factor VIII and IX </w:t>
      </w:r>
      <w:r>
        <w:rPr>
          <w:szCs w:val="24"/>
        </w:rPr>
        <w:t xml:space="preserve">products </w:t>
      </w:r>
      <w:r w:rsidRPr="00AE5147">
        <w:rPr>
          <w:szCs w:val="24"/>
        </w:rPr>
        <w:t>through the national blood arrangements</w:t>
      </w:r>
    </w:p>
    <w:p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rsidR="00293116" w:rsidRDefault="00293116" w:rsidP="00293116">
      <w:r>
        <w:t xml:space="preserve">Six public consultation responses were received (3 companies, 1 haematologist, </w:t>
      </w:r>
      <w:r w:rsidR="00C62CD5">
        <w:t>and 2 professional organisations). T</w:t>
      </w:r>
      <w:r>
        <w:t xml:space="preserve">he responses received </w:t>
      </w:r>
      <w:r w:rsidR="00C62CD5">
        <w:t>stated</w:t>
      </w:r>
      <w:r>
        <w:t xml:space="preserve"> that EHL products can raise a persons’ </w:t>
      </w:r>
      <w:r w:rsidR="00477A86">
        <w:t xml:space="preserve">factor </w:t>
      </w:r>
      <w:r>
        <w:t xml:space="preserve">VIII or </w:t>
      </w:r>
      <w:r w:rsidR="00AE5147">
        <w:t xml:space="preserve">factor </w:t>
      </w:r>
      <w:r>
        <w:t>IX trough level, reduce infusion frequency and the frequency of bleeds. This can have a large benefit to the patient and to their parents/carers.</w:t>
      </w:r>
    </w:p>
    <w:p w:rsidR="00BC1364" w:rsidRPr="00F715D1" w:rsidRDefault="00BC1364" w:rsidP="00F715D1">
      <w:pPr>
        <w:pStyle w:val="Heading1"/>
      </w:pPr>
      <w:r w:rsidRPr="00F715D1">
        <w:t>Proposed intervention’s place in clinical management</w:t>
      </w:r>
    </w:p>
    <w:p w:rsidR="00910FC6" w:rsidRPr="006E2F2C" w:rsidRDefault="00910FC6" w:rsidP="006E2F2C">
      <w:pPr>
        <w:spacing w:after="240"/>
      </w:pPr>
      <w:r w:rsidRPr="00D06755">
        <w:t>The mainstay of treatment for haemophilia is the replacement of the missing or defective clotting factors. The aim is to achieve sufficient levels of that blood plasma protein level to avoid bleeding or to stop bleeding that has already occurred</w:t>
      </w:r>
      <w:r>
        <w:t xml:space="preserve">. </w:t>
      </w:r>
      <w:r w:rsidRPr="009609BD">
        <w:t xml:space="preserve">EHL recombinant clotting factor products </w:t>
      </w:r>
      <w:r>
        <w:t xml:space="preserve">are used </w:t>
      </w:r>
      <w:r w:rsidRPr="009609BD">
        <w:t>for the treatment of haemophilia A and B</w:t>
      </w:r>
      <w:r w:rsidR="00AE5147">
        <w:t>.</w:t>
      </w:r>
    </w:p>
    <w:p w:rsidR="00293116" w:rsidRPr="00AE5147" w:rsidRDefault="00293116" w:rsidP="00293116">
      <w:pPr>
        <w:tabs>
          <w:tab w:val="left" w:pos="426"/>
        </w:tabs>
        <w:rPr>
          <w:szCs w:val="24"/>
        </w:rPr>
      </w:pPr>
      <w:r w:rsidRPr="00D06755">
        <w:t xml:space="preserve">The current clinical management algorithm for patients receiving routine prophylaxis or on-demand treatment </w:t>
      </w:r>
      <w:r w:rsidR="00AE5147">
        <w:t>is</w:t>
      </w:r>
      <w:r w:rsidRPr="00D06755">
        <w:t xml:space="preserve"> shown in </w:t>
      </w:r>
      <w:r w:rsidRPr="00D06755">
        <w:fldChar w:fldCharType="begin"/>
      </w:r>
      <w:r w:rsidRPr="00D06755">
        <w:instrText xml:space="preserve"> REF _Ref505262860 \h  \* MERGEFORMAT </w:instrText>
      </w:r>
      <w:r w:rsidRPr="00D06755">
        <w:fldChar w:fldCharType="separate"/>
      </w:r>
      <w:r w:rsidRPr="00544360">
        <w:t xml:space="preserve">Figure </w:t>
      </w:r>
      <w:r>
        <w:t>1</w:t>
      </w:r>
      <w:r w:rsidRPr="00D06755">
        <w:fldChar w:fldCharType="end"/>
      </w:r>
      <w:r w:rsidRPr="00D06755">
        <w:t>.</w:t>
      </w:r>
      <w:r>
        <w:t xml:space="preserve"> </w:t>
      </w:r>
      <w:r>
        <w:fldChar w:fldCharType="begin"/>
      </w:r>
      <w:r>
        <w:instrText xml:space="preserve"> REF _Ref510689052 \h </w:instrText>
      </w:r>
      <w:r>
        <w:fldChar w:fldCharType="separate"/>
      </w:r>
      <w:r w:rsidRPr="00544360">
        <w:rPr>
          <w:lang w:eastAsia="en-US"/>
        </w:rPr>
        <w:t xml:space="preserve">Figure </w:t>
      </w:r>
      <w:r>
        <w:rPr>
          <w:noProof/>
          <w:lang w:eastAsia="en-US"/>
        </w:rPr>
        <w:t>2</w:t>
      </w:r>
      <w:r>
        <w:fldChar w:fldCharType="end"/>
      </w:r>
      <w:r w:rsidRPr="00D06755">
        <w:t xml:space="preserve"> shows the proposed clinical management algorithm, with EHL products as a replacement for SHL products for those undergoing prophylaxis, and as alternative to SHL products for those receiving on-demand treatment.</w:t>
      </w:r>
    </w:p>
    <w:p w:rsidR="00293116" w:rsidRPr="00544360" w:rsidRDefault="00293116" w:rsidP="00293116">
      <w:pPr>
        <w:spacing w:after="200" w:line="276" w:lineRule="auto"/>
      </w:pPr>
      <w:r w:rsidRPr="00544360">
        <w:object w:dxaOrig="8550" w:dyaOrig="5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Current clinical pathway for delivery of SHL FVIII and FIX products for prophylactic and on demand treatment of haemophilia A and B&#10;&#10;Abbreviations: FVIII = factor VIII; FIX = factor IX; SHL = standard half-life products " style="width:428.25pt;height:235.5pt" o:ole="">
            <v:imagedata r:id="rId9" o:title=""/>
          </v:shape>
          <o:OLEObject Type="Embed" ProgID="Visio.Drawing.15" ShapeID="_x0000_i1025" DrawAspect="Content" ObjectID="_1606733135" r:id="rId10"/>
        </w:object>
      </w:r>
    </w:p>
    <w:p w:rsidR="00293116" w:rsidRPr="00544360" w:rsidRDefault="00293116" w:rsidP="00293116">
      <w:pPr>
        <w:pStyle w:val="TableHeading"/>
        <w:ind w:left="1134" w:hanging="1134"/>
        <w:rPr>
          <w:rFonts w:eastAsia="Calibri"/>
          <w:lang w:val="en-GB" w:eastAsia="en-US"/>
        </w:rPr>
      </w:pPr>
      <w:bookmarkStart w:id="2" w:name="_Ref505262860"/>
      <w:bookmarkStart w:id="3" w:name="_Toc505264506"/>
      <w:bookmarkStart w:id="4" w:name="_Toc511207227"/>
      <w:bookmarkStart w:id="5" w:name="_Toc513112689"/>
      <w:r w:rsidRPr="00544360">
        <w:rPr>
          <w:lang w:eastAsia="en-US"/>
        </w:rPr>
        <w:t xml:space="preserve">Figure </w:t>
      </w:r>
      <w:r w:rsidRPr="00544360">
        <w:rPr>
          <w:lang w:eastAsia="en-US"/>
        </w:rPr>
        <w:fldChar w:fldCharType="begin"/>
      </w:r>
      <w:r w:rsidRPr="00544360">
        <w:rPr>
          <w:lang w:eastAsia="en-US"/>
        </w:rPr>
        <w:instrText xml:space="preserve"> SEQ Figure \* ARABIC </w:instrText>
      </w:r>
      <w:r w:rsidRPr="00544360">
        <w:rPr>
          <w:lang w:eastAsia="en-US"/>
        </w:rPr>
        <w:fldChar w:fldCharType="separate"/>
      </w:r>
      <w:r>
        <w:rPr>
          <w:noProof/>
          <w:lang w:eastAsia="en-US"/>
        </w:rPr>
        <w:t>1</w:t>
      </w:r>
      <w:r w:rsidRPr="00544360">
        <w:rPr>
          <w:noProof/>
          <w:lang w:eastAsia="en-US"/>
        </w:rPr>
        <w:fldChar w:fldCharType="end"/>
      </w:r>
      <w:bookmarkEnd w:id="2"/>
      <w:r w:rsidRPr="00544360">
        <w:rPr>
          <w:lang w:eastAsia="en-US"/>
        </w:rPr>
        <w:tab/>
      </w:r>
      <w:r w:rsidRPr="00544360">
        <w:rPr>
          <w:rFonts w:eastAsia="Calibri"/>
          <w:lang w:val="en-GB" w:eastAsia="en-US"/>
        </w:rPr>
        <w:t xml:space="preserve">Current clinical pathway for delivery of SHL </w:t>
      </w:r>
      <w:r w:rsidR="00477A86">
        <w:rPr>
          <w:rFonts w:eastAsia="Calibri"/>
          <w:lang w:val="en-GB" w:eastAsia="en-US"/>
        </w:rPr>
        <w:t xml:space="preserve">factor </w:t>
      </w:r>
      <w:r w:rsidRPr="00544360">
        <w:rPr>
          <w:rFonts w:eastAsia="Calibri"/>
          <w:lang w:val="en-GB" w:eastAsia="en-US"/>
        </w:rPr>
        <w:t xml:space="preserve">VIII and </w:t>
      </w:r>
      <w:r w:rsidR="00AE5147">
        <w:rPr>
          <w:rFonts w:eastAsia="Calibri"/>
          <w:lang w:val="en-GB" w:eastAsia="en-US"/>
        </w:rPr>
        <w:t xml:space="preserve">factor </w:t>
      </w:r>
      <w:r w:rsidRPr="00544360">
        <w:rPr>
          <w:rFonts w:eastAsia="Calibri"/>
          <w:lang w:val="en-GB" w:eastAsia="en-US"/>
        </w:rPr>
        <w:t>IX products for prophylactic and on demand treatment of haemophilia A and B</w:t>
      </w:r>
      <w:bookmarkEnd w:id="3"/>
      <w:bookmarkEnd w:id="4"/>
      <w:bookmarkEnd w:id="5"/>
    </w:p>
    <w:p w:rsidR="00293116" w:rsidRPr="00544360" w:rsidRDefault="00293116" w:rsidP="006E2F2C">
      <w:pPr>
        <w:pStyle w:val="TableNote"/>
        <w:spacing w:after="240"/>
        <w:rPr>
          <w:rFonts w:eastAsia="Calibri"/>
          <w:snapToGrid w:val="0"/>
          <w:lang w:val="en-GB" w:eastAsia="en-US"/>
        </w:rPr>
      </w:pPr>
      <w:r w:rsidRPr="00544360">
        <w:rPr>
          <w:rFonts w:eastAsia="Calibri"/>
          <w:snapToGrid w:val="0"/>
          <w:lang w:val="en-GB" w:eastAsia="en-US"/>
        </w:rPr>
        <w:t>FVIII = factor VIII; FIX = factor IX; SH</w:t>
      </w:r>
      <w:r w:rsidR="00AE5147">
        <w:rPr>
          <w:rFonts w:eastAsia="Calibri"/>
          <w:snapToGrid w:val="0"/>
          <w:lang w:val="en-GB" w:eastAsia="en-US"/>
        </w:rPr>
        <w:t>L = standard half-life products</w:t>
      </w:r>
    </w:p>
    <w:p w:rsidR="00293116" w:rsidRPr="00544360" w:rsidRDefault="00F46CFD" w:rsidP="006E2F2C">
      <w:pPr>
        <w:keepNext/>
        <w:rPr>
          <w:rFonts w:eastAsia="Calibri"/>
          <w:lang w:eastAsia="en-US"/>
        </w:rPr>
      </w:pPr>
      <w:r w:rsidRPr="00544360">
        <w:rPr>
          <w:rFonts w:ascii="Arial Narrow" w:hAnsi="Arial Narrow"/>
          <w:b/>
          <w:sz w:val="20"/>
          <w:lang w:eastAsia="en-US"/>
        </w:rPr>
        <w:object w:dxaOrig="10500" w:dyaOrig="5970">
          <v:shape id="_x0000_i1026" type="#_x0000_t75" alt="Figure 2 Proposed clinical pathway for delivery of EHL FVIII and FIX products for prophylactic and on demand treatment of haemophilia A and B&#10;&#10;Abbreviations: EHL = extended half-life products FVIII = factor VIII; FIX = factor IX; SHL = standard half-life products&#10;" style="width:504.75pt;height:287.25pt" o:ole="">
            <v:imagedata r:id="rId11" o:title=""/>
          </v:shape>
          <o:OLEObject Type="Embed" ProgID="Visio.Drawing.15" ShapeID="_x0000_i1026" DrawAspect="Content" ObjectID="_1606733136" r:id="rId12"/>
        </w:object>
      </w:r>
      <w:bookmarkStart w:id="6" w:name="_Ref505262881"/>
      <w:bookmarkStart w:id="7" w:name="_Ref510689052"/>
      <w:bookmarkStart w:id="8" w:name="_Toc505264507"/>
      <w:bookmarkStart w:id="9" w:name="_Toc511207228"/>
      <w:bookmarkStart w:id="10" w:name="_Toc513112690"/>
      <w:r w:rsidR="00293116" w:rsidRPr="006E2F2C">
        <w:rPr>
          <w:rFonts w:ascii="Arial Narrow" w:hAnsi="Arial Narrow" w:cs="Arial"/>
          <w:b/>
          <w:sz w:val="20"/>
          <w:lang w:eastAsia="en-US"/>
        </w:rPr>
        <w:t xml:space="preserve">Figure </w:t>
      </w:r>
      <w:r w:rsidR="00293116" w:rsidRPr="006E2F2C">
        <w:rPr>
          <w:rFonts w:ascii="Arial Narrow" w:hAnsi="Arial Narrow" w:cs="Arial"/>
          <w:b/>
          <w:sz w:val="20"/>
          <w:lang w:eastAsia="en-US"/>
        </w:rPr>
        <w:fldChar w:fldCharType="begin"/>
      </w:r>
      <w:r w:rsidR="00293116" w:rsidRPr="006E2F2C">
        <w:rPr>
          <w:rFonts w:ascii="Arial Narrow" w:hAnsi="Arial Narrow" w:cs="Arial"/>
          <w:b/>
          <w:sz w:val="20"/>
          <w:lang w:eastAsia="en-US"/>
        </w:rPr>
        <w:instrText xml:space="preserve"> SEQ Figure \* ARABIC </w:instrText>
      </w:r>
      <w:r w:rsidR="00293116" w:rsidRPr="006E2F2C">
        <w:rPr>
          <w:rFonts w:ascii="Arial Narrow" w:hAnsi="Arial Narrow" w:cs="Arial"/>
          <w:b/>
          <w:sz w:val="20"/>
          <w:lang w:eastAsia="en-US"/>
        </w:rPr>
        <w:fldChar w:fldCharType="separate"/>
      </w:r>
      <w:r w:rsidR="00293116" w:rsidRPr="006E2F2C">
        <w:rPr>
          <w:rFonts w:ascii="Arial Narrow" w:hAnsi="Arial Narrow" w:cs="Arial"/>
          <w:b/>
          <w:noProof/>
          <w:sz w:val="20"/>
          <w:lang w:eastAsia="en-US"/>
        </w:rPr>
        <w:t>2</w:t>
      </w:r>
      <w:r w:rsidR="00293116" w:rsidRPr="006E2F2C">
        <w:rPr>
          <w:rFonts w:ascii="Arial Narrow" w:hAnsi="Arial Narrow" w:cs="Arial"/>
          <w:b/>
          <w:noProof/>
          <w:sz w:val="20"/>
          <w:lang w:eastAsia="en-US"/>
        </w:rPr>
        <w:fldChar w:fldCharType="end"/>
      </w:r>
      <w:bookmarkEnd w:id="6"/>
      <w:bookmarkEnd w:id="7"/>
      <w:r w:rsidR="00293116" w:rsidRPr="006E2F2C">
        <w:rPr>
          <w:rFonts w:ascii="Arial Narrow" w:hAnsi="Arial Narrow" w:cs="Arial"/>
          <w:b/>
          <w:sz w:val="20"/>
          <w:lang w:eastAsia="en-US"/>
        </w:rPr>
        <w:tab/>
        <w:t xml:space="preserve">Proposed clinical pathway </w:t>
      </w:r>
      <w:r w:rsidR="00293116" w:rsidRPr="006E2F2C">
        <w:rPr>
          <w:rFonts w:ascii="Arial Narrow" w:eastAsia="Calibri" w:hAnsi="Arial Narrow" w:cs="Arial"/>
          <w:b/>
          <w:sz w:val="20"/>
          <w:lang w:eastAsia="en-US"/>
        </w:rPr>
        <w:t xml:space="preserve">for delivery of EHL </w:t>
      </w:r>
      <w:r w:rsidR="00477A86" w:rsidRPr="006E2F2C">
        <w:rPr>
          <w:rFonts w:ascii="Arial Narrow" w:eastAsia="Calibri" w:hAnsi="Arial Narrow" w:cs="Arial"/>
          <w:b/>
          <w:sz w:val="20"/>
          <w:lang w:eastAsia="en-US"/>
        </w:rPr>
        <w:t xml:space="preserve">factor </w:t>
      </w:r>
      <w:r w:rsidR="00293116" w:rsidRPr="006E2F2C">
        <w:rPr>
          <w:rFonts w:ascii="Arial Narrow" w:eastAsia="Calibri" w:hAnsi="Arial Narrow" w:cs="Arial"/>
          <w:b/>
          <w:sz w:val="20"/>
          <w:lang w:eastAsia="en-US"/>
        </w:rPr>
        <w:t xml:space="preserve">VIII and </w:t>
      </w:r>
      <w:r w:rsidR="00AE5147" w:rsidRPr="006E2F2C">
        <w:rPr>
          <w:rFonts w:ascii="Arial Narrow" w:eastAsia="Calibri" w:hAnsi="Arial Narrow" w:cs="Arial"/>
          <w:b/>
          <w:sz w:val="20"/>
          <w:lang w:eastAsia="en-US"/>
        </w:rPr>
        <w:t xml:space="preserve">factor </w:t>
      </w:r>
      <w:r w:rsidR="00293116" w:rsidRPr="006E2F2C">
        <w:rPr>
          <w:rFonts w:ascii="Arial Narrow" w:eastAsia="Calibri" w:hAnsi="Arial Narrow" w:cs="Arial"/>
          <w:b/>
          <w:sz w:val="20"/>
          <w:lang w:eastAsia="en-US"/>
        </w:rPr>
        <w:t>IX products for prophylactic and on demand treatment of haemophilia A and B</w:t>
      </w:r>
      <w:bookmarkEnd w:id="8"/>
      <w:bookmarkEnd w:id="9"/>
      <w:bookmarkEnd w:id="10"/>
    </w:p>
    <w:p w:rsidR="00293116" w:rsidRPr="00544360" w:rsidRDefault="00293116" w:rsidP="00293116">
      <w:pPr>
        <w:pStyle w:val="TableNote"/>
        <w:rPr>
          <w:rFonts w:eastAsia="Calibri"/>
          <w:snapToGrid w:val="0"/>
          <w:lang w:val="en-GB" w:eastAsia="en-US"/>
        </w:rPr>
      </w:pPr>
      <w:r w:rsidRPr="00544360">
        <w:rPr>
          <w:rFonts w:eastAsia="Calibri"/>
          <w:snapToGrid w:val="0"/>
          <w:lang w:val="en-GB" w:eastAsia="en-US"/>
        </w:rPr>
        <w:t>EHL = extended half-life products FVIII = factor VIII; FIX = factor IX; SHL = standard half-life products</w:t>
      </w:r>
    </w:p>
    <w:p w:rsidR="00BC1364" w:rsidRPr="00F715D1" w:rsidRDefault="00AE5147" w:rsidP="00F715D1">
      <w:pPr>
        <w:pStyle w:val="Heading1"/>
      </w:pPr>
      <w:r>
        <w:t>Comparator</w:t>
      </w:r>
    </w:p>
    <w:p w:rsidR="00293116" w:rsidRDefault="00B13E7D" w:rsidP="00293116">
      <w:r>
        <w:t xml:space="preserve">The main comparator comprises SHL factor </w:t>
      </w:r>
      <w:r w:rsidRPr="00D06755">
        <w:t xml:space="preserve">VIII or </w:t>
      </w:r>
      <w:r>
        <w:t xml:space="preserve">factor </w:t>
      </w:r>
      <w:r w:rsidRPr="00D06755">
        <w:t>IX containing products</w:t>
      </w:r>
      <w:r>
        <w:t xml:space="preserve">. </w:t>
      </w:r>
      <w:r w:rsidR="00293116">
        <w:t>F</w:t>
      </w:r>
      <w:r w:rsidR="00293116" w:rsidRPr="00D06755">
        <w:t xml:space="preserve">or patients with </w:t>
      </w:r>
      <w:r w:rsidR="00293116">
        <w:t>severe haemophilia</w:t>
      </w:r>
      <w:r w:rsidR="00293116" w:rsidRPr="00D06755">
        <w:t xml:space="preserve">, the main form of treatment is prophylaxis with regular infusions of SHL factor </w:t>
      </w:r>
      <w:r>
        <w:t>products</w:t>
      </w:r>
      <w:r w:rsidR="00293116" w:rsidRPr="00D06755">
        <w:t>. Alternative style</w:t>
      </w:r>
      <w:r>
        <w:t>s</w:t>
      </w:r>
      <w:r w:rsidR="00293116" w:rsidRPr="00D06755">
        <w:t xml:space="preserve"> of treatment i</w:t>
      </w:r>
      <w:r>
        <w:t>nclude</w:t>
      </w:r>
      <w:r w:rsidR="00293116" w:rsidRPr="00D06755">
        <w:t xml:space="preserve"> “on-demand”, administering </w:t>
      </w:r>
      <w:r>
        <w:t xml:space="preserve">SHL </w:t>
      </w:r>
      <w:r w:rsidR="00293116" w:rsidRPr="00D06755">
        <w:t>factor</w:t>
      </w:r>
      <w:r>
        <w:t xml:space="preserve"> product</w:t>
      </w:r>
      <w:r w:rsidR="00293116" w:rsidRPr="00D06755">
        <w:t>s only after bleeds appe</w:t>
      </w:r>
      <w:r w:rsidR="00AE5147">
        <w:t>ar</w:t>
      </w:r>
      <w:r>
        <w:t>, and “surgical prophylaxis” administering SHL factor products before planned surgery</w:t>
      </w:r>
      <w:r w:rsidR="00AE5147">
        <w:t>.</w:t>
      </w:r>
    </w:p>
    <w:p w:rsidR="00BC1364" w:rsidRPr="00F715D1" w:rsidRDefault="00BC1364" w:rsidP="00F715D1">
      <w:pPr>
        <w:pStyle w:val="Heading1"/>
      </w:pPr>
      <w:r w:rsidRPr="00F715D1">
        <w:lastRenderedPageBreak/>
        <w:t>Comparative safety</w:t>
      </w:r>
    </w:p>
    <w:p w:rsidR="00293116" w:rsidRPr="00C60294" w:rsidRDefault="00293116" w:rsidP="006E2F2C">
      <w:pPr>
        <w:tabs>
          <w:tab w:val="left" w:pos="720"/>
          <w:tab w:val="left" w:pos="1140"/>
        </w:tabs>
        <w:spacing w:after="120"/>
        <w:rPr>
          <w:i/>
        </w:rPr>
      </w:pPr>
      <w:r w:rsidRPr="00C60294">
        <w:rPr>
          <w:i/>
        </w:rPr>
        <w:t>Haemophilia A</w:t>
      </w:r>
    </w:p>
    <w:p w:rsidR="00293116" w:rsidRDefault="00293116" w:rsidP="006E2F2C">
      <w:pPr>
        <w:tabs>
          <w:tab w:val="left" w:pos="720"/>
          <w:tab w:val="left" w:pos="1140"/>
        </w:tabs>
        <w:spacing w:after="240"/>
      </w:pPr>
      <w:r w:rsidRPr="00D06755">
        <w:t>No studies directly compared the safety of SHL products and EHL products. However, the overall rate of adverse events due to EHL products was low, and there were no data to suggest that EHL products are associated with a higher rate of adverse events than SHL products. Non-comparative studies reported a total of five serious adverse events related to the EHL product occurred in adults and nine in children</w:t>
      </w:r>
      <w:r>
        <w:t xml:space="preserve"> </w:t>
      </w:r>
      <w:r w:rsidRPr="00D06755">
        <w:t>- the majority being hypersensitivity.</w:t>
      </w:r>
    </w:p>
    <w:p w:rsidR="00293116" w:rsidRPr="00C60294" w:rsidRDefault="00293116" w:rsidP="006E2F2C">
      <w:pPr>
        <w:tabs>
          <w:tab w:val="left" w:pos="720"/>
          <w:tab w:val="left" w:pos="1140"/>
        </w:tabs>
        <w:spacing w:after="120"/>
        <w:rPr>
          <w:i/>
        </w:rPr>
      </w:pPr>
      <w:r w:rsidRPr="00C60294">
        <w:rPr>
          <w:i/>
        </w:rPr>
        <w:t>Haemophilia B</w:t>
      </w:r>
    </w:p>
    <w:p w:rsidR="00293116" w:rsidRDefault="00293116" w:rsidP="00293116">
      <w:pPr>
        <w:tabs>
          <w:tab w:val="left" w:pos="720"/>
          <w:tab w:val="left" w:pos="1140"/>
        </w:tabs>
      </w:pPr>
      <w:r w:rsidRPr="00D06755">
        <w:t>There were no data to suggest that EHL products are associated with a higher rate of adverse events than SHL products.</w:t>
      </w:r>
    </w:p>
    <w:p w:rsidR="00BC1364" w:rsidRPr="00F715D1" w:rsidRDefault="00BC1364" w:rsidP="00F715D1">
      <w:pPr>
        <w:pStyle w:val="Heading1"/>
      </w:pPr>
      <w:r w:rsidRPr="00F715D1">
        <w:t>Comparative effectiveness</w:t>
      </w:r>
    </w:p>
    <w:p w:rsidR="00293116" w:rsidRPr="00C60294" w:rsidRDefault="00293116" w:rsidP="006E2F2C">
      <w:pPr>
        <w:spacing w:after="120"/>
        <w:rPr>
          <w:i/>
        </w:rPr>
      </w:pPr>
      <w:r w:rsidRPr="00C60294">
        <w:rPr>
          <w:i/>
        </w:rPr>
        <w:t>Haemophilia A</w:t>
      </w:r>
    </w:p>
    <w:p w:rsidR="00293116" w:rsidRDefault="00293116" w:rsidP="006E2F2C">
      <w:pPr>
        <w:spacing w:after="240"/>
      </w:pPr>
      <w:r w:rsidRPr="00D06755">
        <w:t>The primary clinical outcome of interest was annualised bleeding rate (ABR). Four EHL products (BAX 855, BAY 81-8973, N8-GP and rFVIIIFc) provided historical data on bleeding rates of patients when they were receiving SHL factors.</w:t>
      </w:r>
      <w:r w:rsidRPr="002C5D79">
        <w:t xml:space="preserve"> </w:t>
      </w:r>
      <w:r w:rsidRPr="00D06755">
        <w:t>In these studies, the ABRs in the patients receiving prophylactic treatment with EHL products were between 11-8</w:t>
      </w:r>
      <w:r>
        <w:t>3</w:t>
      </w:r>
      <w:r w:rsidRPr="00D06755">
        <w:t xml:space="preserve">% </w:t>
      </w:r>
      <w:r w:rsidR="00B13E7D">
        <w:t xml:space="preserve">of </w:t>
      </w:r>
      <w:r w:rsidRPr="00D06755">
        <w:t xml:space="preserve">the rates of </w:t>
      </w:r>
      <w:r w:rsidR="00B13E7D">
        <w:t xml:space="preserve">patients receiving </w:t>
      </w:r>
      <w:r w:rsidRPr="00D06755">
        <w:t>SHL prophylaxis.</w:t>
      </w:r>
    </w:p>
    <w:p w:rsidR="00293116" w:rsidRPr="00C60294" w:rsidRDefault="00293116" w:rsidP="006E2F2C">
      <w:pPr>
        <w:spacing w:after="120"/>
        <w:rPr>
          <w:i/>
        </w:rPr>
      </w:pPr>
      <w:r w:rsidRPr="00C60294">
        <w:rPr>
          <w:i/>
        </w:rPr>
        <w:t>Haemophilia B</w:t>
      </w:r>
    </w:p>
    <w:p w:rsidR="003E1687" w:rsidRPr="00480291" w:rsidRDefault="00293116" w:rsidP="00480291">
      <w:r w:rsidRPr="00A2366B">
        <w:t xml:space="preserve">The primary clinical outcome of interest was </w:t>
      </w:r>
      <w:r w:rsidR="00B13E7D">
        <w:t>ABR</w:t>
      </w:r>
      <w:r w:rsidRPr="00A2366B">
        <w:t xml:space="preserve">. All studies comparing prophylaxis with SHL </w:t>
      </w:r>
      <w:r w:rsidR="00477A86">
        <w:t xml:space="preserve">factor </w:t>
      </w:r>
      <w:r w:rsidRPr="00A2366B">
        <w:t xml:space="preserve">IX products (historical data) with prophylaxis with EHL </w:t>
      </w:r>
      <w:r w:rsidR="00477A86">
        <w:t xml:space="preserve">factor </w:t>
      </w:r>
      <w:r w:rsidRPr="00A2366B">
        <w:t>IX products (trial data) in adolescents and adults reported that bleeding rates were reduced through the use of EHL products. Likewise, bleeding rates in those treated on-demand with EHL products were reduced compared to historical bleeding rates in those treated on-demand with SHL products.</w:t>
      </w:r>
    </w:p>
    <w:p w:rsidR="00BC1364" w:rsidRPr="00F715D1" w:rsidRDefault="00BC1364" w:rsidP="00F715D1">
      <w:pPr>
        <w:pStyle w:val="Heading1"/>
      </w:pPr>
      <w:r w:rsidRPr="00F715D1">
        <w:t>Economic evaluation</w:t>
      </w:r>
    </w:p>
    <w:p w:rsidR="00293116" w:rsidRDefault="00293116" w:rsidP="006E2F2C">
      <w:pPr>
        <w:spacing w:after="240"/>
      </w:pPr>
      <w:r w:rsidRPr="00BA0C8C">
        <w:t>Based o</w:t>
      </w:r>
      <w:r>
        <w:t>n the clinical claims presented</w:t>
      </w:r>
      <w:r w:rsidRPr="00BA0C8C">
        <w:t xml:space="preserve">, cost-utility analyses </w:t>
      </w:r>
      <w:r>
        <w:t>were</w:t>
      </w:r>
      <w:r w:rsidRPr="00BA0C8C">
        <w:t xml:space="preserve"> </w:t>
      </w:r>
      <w:r>
        <w:t>conducted</w:t>
      </w:r>
      <w:r w:rsidRPr="00BA0C8C">
        <w:t xml:space="preserve"> for patients switching from SHL prophylaxis to EHL prophylaxis. Cost-effectiveness analyses </w:t>
      </w:r>
      <w:r>
        <w:t>were</w:t>
      </w:r>
      <w:r w:rsidRPr="00BA0C8C">
        <w:t xml:space="preserve"> presented estimating a cost per infusion avoided and cost per bleed avo</w:t>
      </w:r>
      <w:r w:rsidR="00B13E7D">
        <w:t>ided.</w:t>
      </w:r>
    </w:p>
    <w:p w:rsidR="00293116" w:rsidRPr="00480291" w:rsidRDefault="00293116" w:rsidP="00480291">
      <w:pPr>
        <w:spacing w:after="120"/>
        <w:rPr>
          <w:i/>
        </w:rPr>
      </w:pPr>
      <w:r w:rsidRPr="00480291">
        <w:rPr>
          <w:i/>
        </w:rPr>
        <w:t>Haemophilia A</w:t>
      </w:r>
    </w:p>
    <w:p w:rsidR="006E2F2C" w:rsidRPr="006E2F2C" w:rsidRDefault="00293116" w:rsidP="006E2F2C">
      <w:pPr>
        <w:spacing w:after="240"/>
      </w:pPr>
      <w:r w:rsidRPr="003D0391">
        <w:t>A summary of the results of the economic analyses are presented in</w:t>
      </w:r>
      <w:r>
        <w:t xml:space="preserve"> Table 1</w:t>
      </w:r>
      <w:r w:rsidR="00B13E7D">
        <w:t>.</w:t>
      </w:r>
      <w:bookmarkStart w:id="11" w:name="_Ref512503673"/>
      <w:bookmarkStart w:id="12" w:name="_Toc513112427"/>
      <w:r w:rsidR="006E2F2C">
        <w:br w:type="page"/>
      </w:r>
    </w:p>
    <w:p w:rsidR="00293116" w:rsidRPr="00F46CFD" w:rsidRDefault="00293116" w:rsidP="00F46CFD">
      <w:pPr>
        <w:rPr>
          <w:rFonts w:ascii="Arial Narrow" w:hAnsi="Arial Narrow"/>
          <w:b/>
          <w:sz w:val="20"/>
        </w:rPr>
      </w:pPr>
      <w:r w:rsidRPr="00F46CFD">
        <w:rPr>
          <w:rFonts w:ascii="Arial Narrow" w:hAnsi="Arial Narrow"/>
          <w:b/>
          <w:sz w:val="20"/>
        </w:rPr>
        <w:lastRenderedPageBreak/>
        <w:t>Table</w:t>
      </w:r>
      <w:bookmarkEnd w:id="11"/>
      <w:r w:rsidRPr="00F46CFD">
        <w:rPr>
          <w:rFonts w:ascii="Arial Narrow" w:hAnsi="Arial Narrow"/>
          <w:b/>
          <w:sz w:val="20"/>
        </w:rPr>
        <w:t xml:space="preserve"> 1</w:t>
      </w:r>
      <w:r w:rsidRPr="00F46CFD">
        <w:rPr>
          <w:rFonts w:ascii="Arial Narrow" w:hAnsi="Arial Narrow"/>
          <w:b/>
          <w:sz w:val="20"/>
        </w:rPr>
        <w:tab/>
        <w:t>Summary of the results of the economic evaluations, haemophilia A</w:t>
      </w:r>
      <w:bookmarkEnd w:id="12"/>
    </w:p>
    <w:tbl>
      <w:tblPr>
        <w:tblStyle w:val="TableGrid2"/>
        <w:tblW w:w="5000" w:type="pct"/>
        <w:tblLayout w:type="fixed"/>
        <w:tblLook w:val="04A0" w:firstRow="1" w:lastRow="0" w:firstColumn="1" w:lastColumn="0" w:noHBand="0" w:noVBand="1"/>
        <w:tblCaption w:val="Summary of the results of the economic evaluations, haemophilia A"/>
        <w:tblDescription w:val="Summary of the results of the economic evaluations, haemophilia A"/>
      </w:tblPr>
      <w:tblGrid>
        <w:gridCol w:w="4073"/>
        <w:gridCol w:w="1033"/>
        <w:gridCol w:w="1035"/>
        <w:gridCol w:w="1033"/>
        <w:gridCol w:w="1035"/>
        <w:gridCol w:w="1033"/>
      </w:tblGrid>
      <w:tr w:rsidR="00293116" w:rsidRPr="00EE4B12" w:rsidTr="00373F3A">
        <w:trPr>
          <w:cnfStyle w:val="100000000000" w:firstRow="1" w:lastRow="0" w:firstColumn="0" w:lastColumn="0" w:oddVBand="0" w:evenVBand="0" w:oddHBand="0" w:evenHBand="0" w:firstRowFirstColumn="0" w:firstRowLastColumn="0" w:lastRowFirstColumn="0" w:lastRowLastColumn="0"/>
          <w:trHeight w:val="300"/>
          <w:tblHeader/>
        </w:trPr>
        <w:tc>
          <w:tcPr>
            <w:tcW w:w="2203" w:type="pct"/>
            <w:tcBorders>
              <w:bottom w:val="nil"/>
            </w:tcBorders>
            <w:noWrap/>
          </w:tcPr>
          <w:p w:rsidR="00293116" w:rsidRPr="00EE4B12" w:rsidRDefault="00293116" w:rsidP="00373F3A">
            <w:pPr>
              <w:pStyle w:val="TableHeading"/>
            </w:pPr>
          </w:p>
        </w:tc>
        <w:tc>
          <w:tcPr>
            <w:tcW w:w="559" w:type="pct"/>
            <w:tcBorders>
              <w:right w:val="nil"/>
            </w:tcBorders>
            <w:noWrap/>
          </w:tcPr>
          <w:p w:rsidR="00293116" w:rsidRPr="00EE4B12" w:rsidRDefault="00293116" w:rsidP="00373F3A">
            <w:pPr>
              <w:pStyle w:val="TableHeading"/>
              <w:jc w:val="center"/>
            </w:pPr>
            <w:r w:rsidRPr="003D1B61">
              <w:rPr>
                <w:color w:val="FFFFFF" w:themeColor="background1"/>
              </w:rPr>
              <w:t>-</w:t>
            </w:r>
          </w:p>
        </w:tc>
        <w:tc>
          <w:tcPr>
            <w:tcW w:w="560" w:type="pct"/>
            <w:tcBorders>
              <w:left w:val="nil"/>
              <w:right w:val="nil"/>
            </w:tcBorders>
            <w:noWrap/>
          </w:tcPr>
          <w:p w:rsidR="00293116" w:rsidRPr="00EE4B12" w:rsidRDefault="00293116" w:rsidP="00373F3A">
            <w:pPr>
              <w:pStyle w:val="TableHeading"/>
              <w:jc w:val="center"/>
            </w:pPr>
            <w:r w:rsidRPr="003D1B61">
              <w:rPr>
                <w:color w:val="FFFFFF" w:themeColor="background1"/>
              </w:rPr>
              <w:t>-</w:t>
            </w:r>
          </w:p>
        </w:tc>
        <w:tc>
          <w:tcPr>
            <w:tcW w:w="559" w:type="pct"/>
            <w:tcBorders>
              <w:left w:val="nil"/>
              <w:right w:val="nil"/>
            </w:tcBorders>
            <w:noWrap/>
          </w:tcPr>
          <w:p w:rsidR="00293116" w:rsidRPr="00EE4B12" w:rsidRDefault="00293116" w:rsidP="00373F3A">
            <w:pPr>
              <w:pStyle w:val="TableHeading"/>
              <w:jc w:val="center"/>
            </w:pPr>
            <w:r>
              <w:t>ICERs</w:t>
            </w:r>
          </w:p>
        </w:tc>
        <w:tc>
          <w:tcPr>
            <w:tcW w:w="560" w:type="pct"/>
            <w:tcBorders>
              <w:left w:val="nil"/>
              <w:bottom w:val="single" w:sz="4" w:space="0" w:color="auto"/>
              <w:right w:val="nil"/>
            </w:tcBorders>
            <w:noWrap/>
          </w:tcPr>
          <w:p w:rsidR="00293116" w:rsidRPr="00EE4B12" w:rsidRDefault="00293116" w:rsidP="00373F3A">
            <w:pPr>
              <w:pStyle w:val="TableHeading"/>
              <w:jc w:val="center"/>
            </w:pPr>
            <w:r w:rsidRPr="00C631AD">
              <w:rPr>
                <w:color w:val="FFFFFF" w:themeColor="background1"/>
              </w:rPr>
              <w:t>-</w:t>
            </w:r>
          </w:p>
        </w:tc>
        <w:tc>
          <w:tcPr>
            <w:tcW w:w="559" w:type="pct"/>
            <w:tcBorders>
              <w:left w:val="nil"/>
              <w:bottom w:val="single" w:sz="4" w:space="0" w:color="auto"/>
            </w:tcBorders>
          </w:tcPr>
          <w:p w:rsidR="00293116" w:rsidRDefault="00293116" w:rsidP="00373F3A">
            <w:pPr>
              <w:pStyle w:val="TableHeading"/>
              <w:jc w:val="center"/>
            </w:pPr>
            <w:r w:rsidRPr="00C631AD">
              <w:rPr>
                <w:color w:val="FFFFFF" w:themeColor="background1"/>
              </w:rPr>
              <w:t>-</w:t>
            </w:r>
          </w:p>
        </w:tc>
      </w:tr>
      <w:tr w:rsidR="00293116" w:rsidRPr="00EE4B12" w:rsidTr="00373F3A">
        <w:trPr>
          <w:cnfStyle w:val="100000000000" w:firstRow="1" w:lastRow="0" w:firstColumn="0" w:lastColumn="0" w:oddVBand="0" w:evenVBand="0" w:oddHBand="0" w:evenHBand="0" w:firstRowFirstColumn="0" w:firstRowLastColumn="0" w:lastRowFirstColumn="0" w:lastRowLastColumn="0"/>
          <w:trHeight w:val="300"/>
          <w:tblHeader/>
        </w:trPr>
        <w:tc>
          <w:tcPr>
            <w:tcW w:w="2203" w:type="pct"/>
            <w:tcBorders>
              <w:top w:val="nil"/>
              <w:bottom w:val="nil"/>
            </w:tcBorders>
            <w:noWrap/>
          </w:tcPr>
          <w:p w:rsidR="00293116" w:rsidRPr="00EE4B12" w:rsidRDefault="00293116" w:rsidP="00373F3A">
            <w:pPr>
              <w:pStyle w:val="TableHeading"/>
            </w:pPr>
            <w:r w:rsidRPr="00316D79">
              <w:rPr>
                <w:color w:val="FFFFFF" w:themeColor="background1"/>
              </w:rPr>
              <w:t>-</w:t>
            </w:r>
          </w:p>
        </w:tc>
        <w:tc>
          <w:tcPr>
            <w:tcW w:w="559" w:type="pct"/>
            <w:tcBorders>
              <w:right w:val="nil"/>
            </w:tcBorders>
            <w:noWrap/>
          </w:tcPr>
          <w:p w:rsidR="00293116" w:rsidRPr="003D1B61" w:rsidRDefault="00293116" w:rsidP="00373F3A">
            <w:pPr>
              <w:pStyle w:val="TableHeading"/>
              <w:jc w:val="center"/>
              <w:rPr>
                <w:color w:val="FFFFFF" w:themeColor="background1"/>
              </w:rPr>
            </w:pPr>
          </w:p>
        </w:tc>
        <w:tc>
          <w:tcPr>
            <w:tcW w:w="560" w:type="pct"/>
            <w:tcBorders>
              <w:left w:val="nil"/>
              <w:right w:val="nil"/>
            </w:tcBorders>
            <w:noWrap/>
          </w:tcPr>
          <w:p w:rsidR="00293116" w:rsidRPr="00316D79" w:rsidRDefault="00293116" w:rsidP="00373F3A">
            <w:pPr>
              <w:pStyle w:val="TableHeading"/>
              <w:jc w:val="right"/>
            </w:pPr>
            <w:r>
              <w:t>One year</w:t>
            </w:r>
          </w:p>
        </w:tc>
        <w:tc>
          <w:tcPr>
            <w:tcW w:w="559" w:type="pct"/>
            <w:tcBorders>
              <w:left w:val="nil"/>
              <w:right w:val="nil"/>
            </w:tcBorders>
            <w:noWrap/>
          </w:tcPr>
          <w:p w:rsidR="00293116" w:rsidRPr="00316D79" w:rsidRDefault="00293116" w:rsidP="00373F3A">
            <w:pPr>
              <w:pStyle w:val="TableHeading"/>
            </w:pPr>
            <w:r>
              <w:t>analyses</w:t>
            </w:r>
          </w:p>
        </w:tc>
        <w:tc>
          <w:tcPr>
            <w:tcW w:w="560" w:type="pct"/>
            <w:tcBorders>
              <w:left w:val="nil"/>
              <w:right w:val="single" w:sz="4" w:space="0" w:color="auto"/>
            </w:tcBorders>
            <w:noWrap/>
          </w:tcPr>
          <w:p w:rsidR="00293116" w:rsidRPr="00C631AD" w:rsidRDefault="00293116" w:rsidP="00373F3A">
            <w:pPr>
              <w:pStyle w:val="TableHeading"/>
              <w:jc w:val="center"/>
              <w:rPr>
                <w:color w:val="FFFFFF" w:themeColor="background1"/>
              </w:rPr>
            </w:pPr>
          </w:p>
        </w:tc>
        <w:tc>
          <w:tcPr>
            <w:tcW w:w="559" w:type="pct"/>
            <w:tcBorders>
              <w:left w:val="single" w:sz="4" w:space="0" w:color="auto"/>
              <w:bottom w:val="nil"/>
            </w:tcBorders>
          </w:tcPr>
          <w:p w:rsidR="00293116" w:rsidRPr="00C631AD" w:rsidRDefault="00293116" w:rsidP="00373F3A">
            <w:pPr>
              <w:pStyle w:val="TableHeading"/>
              <w:jc w:val="center"/>
              <w:rPr>
                <w:color w:val="FFFFFF" w:themeColor="background1"/>
              </w:rPr>
            </w:pPr>
            <w:r>
              <w:t>Lifetime</w:t>
            </w:r>
          </w:p>
        </w:tc>
      </w:tr>
      <w:tr w:rsidR="00293116" w:rsidRPr="00EE4B12" w:rsidTr="00373F3A">
        <w:trPr>
          <w:cnfStyle w:val="100000000000" w:firstRow="1" w:lastRow="0" w:firstColumn="0" w:lastColumn="0" w:oddVBand="0" w:evenVBand="0" w:oddHBand="0" w:evenHBand="0" w:firstRowFirstColumn="0" w:firstRowLastColumn="0" w:lastRowFirstColumn="0" w:lastRowLastColumn="0"/>
          <w:trHeight w:val="300"/>
          <w:tblHeader/>
        </w:trPr>
        <w:tc>
          <w:tcPr>
            <w:tcW w:w="2203" w:type="pct"/>
            <w:tcBorders>
              <w:top w:val="nil"/>
              <w:bottom w:val="single" w:sz="4" w:space="0" w:color="auto"/>
            </w:tcBorders>
            <w:noWrap/>
            <w:hideMark/>
          </w:tcPr>
          <w:p w:rsidR="00293116" w:rsidRPr="00EE4B12" w:rsidRDefault="00293116" w:rsidP="00373F3A">
            <w:pPr>
              <w:pStyle w:val="TableHeading"/>
            </w:pPr>
            <w:r w:rsidRPr="00A861BA">
              <w:rPr>
                <w:color w:val="FFFFFF" w:themeColor="background1"/>
              </w:rPr>
              <w:t>-</w:t>
            </w:r>
          </w:p>
        </w:tc>
        <w:tc>
          <w:tcPr>
            <w:tcW w:w="559" w:type="pct"/>
            <w:tcBorders>
              <w:bottom w:val="single" w:sz="4" w:space="0" w:color="auto"/>
            </w:tcBorders>
            <w:noWrap/>
            <w:hideMark/>
          </w:tcPr>
          <w:p w:rsidR="00293116" w:rsidRPr="00EE4B12" w:rsidRDefault="00293116" w:rsidP="00373F3A">
            <w:pPr>
              <w:pStyle w:val="TableHeading"/>
              <w:jc w:val="center"/>
            </w:pPr>
            <w:r w:rsidRPr="00EE4B12">
              <w:t>&lt;6</w:t>
            </w:r>
          </w:p>
        </w:tc>
        <w:tc>
          <w:tcPr>
            <w:tcW w:w="560" w:type="pct"/>
            <w:tcBorders>
              <w:bottom w:val="single" w:sz="4" w:space="0" w:color="auto"/>
            </w:tcBorders>
            <w:noWrap/>
            <w:hideMark/>
          </w:tcPr>
          <w:p w:rsidR="00293116" w:rsidRPr="00EE4B12" w:rsidRDefault="00293116" w:rsidP="00373F3A">
            <w:pPr>
              <w:pStyle w:val="TableHeading"/>
              <w:jc w:val="center"/>
            </w:pPr>
            <w:r w:rsidRPr="00EE4B12">
              <w:t>6-11</w:t>
            </w:r>
          </w:p>
        </w:tc>
        <w:tc>
          <w:tcPr>
            <w:tcW w:w="559" w:type="pct"/>
            <w:tcBorders>
              <w:bottom w:val="single" w:sz="4" w:space="0" w:color="auto"/>
            </w:tcBorders>
            <w:noWrap/>
            <w:hideMark/>
          </w:tcPr>
          <w:p w:rsidR="00293116" w:rsidRPr="00EE4B12" w:rsidRDefault="00293116" w:rsidP="00373F3A">
            <w:pPr>
              <w:pStyle w:val="TableHeading"/>
              <w:jc w:val="center"/>
            </w:pPr>
            <w:r w:rsidRPr="00EE4B12">
              <w:t>12-17</w:t>
            </w:r>
          </w:p>
        </w:tc>
        <w:tc>
          <w:tcPr>
            <w:tcW w:w="560" w:type="pct"/>
            <w:tcBorders>
              <w:bottom w:val="single" w:sz="4" w:space="0" w:color="auto"/>
            </w:tcBorders>
            <w:noWrap/>
            <w:hideMark/>
          </w:tcPr>
          <w:p w:rsidR="00293116" w:rsidRPr="00EE4B12" w:rsidRDefault="00293116" w:rsidP="00373F3A">
            <w:pPr>
              <w:pStyle w:val="TableHeading"/>
              <w:jc w:val="center"/>
            </w:pPr>
            <w:r w:rsidRPr="00EE4B12">
              <w:t>18+</w:t>
            </w:r>
          </w:p>
        </w:tc>
        <w:tc>
          <w:tcPr>
            <w:tcW w:w="559" w:type="pct"/>
            <w:tcBorders>
              <w:top w:val="nil"/>
              <w:bottom w:val="single" w:sz="4" w:space="0" w:color="auto"/>
            </w:tcBorders>
          </w:tcPr>
          <w:p w:rsidR="00293116" w:rsidRPr="00EE4B12" w:rsidRDefault="00293116" w:rsidP="00373F3A">
            <w:pPr>
              <w:pStyle w:val="TableHeading"/>
              <w:jc w:val="center"/>
            </w:pPr>
            <w:r w:rsidRPr="00316D79">
              <w:rPr>
                <w:color w:val="FFFFFF" w:themeColor="background1"/>
              </w:rPr>
              <w:t>-</w:t>
            </w:r>
          </w:p>
        </w:tc>
      </w:tr>
      <w:tr w:rsidR="00293116" w:rsidRPr="00A66A4D" w:rsidTr="00373F3A">
        <w:trPr>
          <w:cnfStyle w:val="100000000000" w:firstRow="1" w:lastRow="0" w:firstColumn="0" w:lastColumn="0" w:oddVBand="0" w:evenVBand="0" w:oddHBand="0" w:evenHBand="0" w:firstRowFirstColumn="0" w:firstRowLastColumn="0" w:lastRowFirstColumn="0" w:lastRowLastColumn="0"/>
          <w:trHeight w:val="300"/>
          <w:tblHeader/>
        </w:trPr>
        <w:tc>
          <w:tcPr>
            <w:tcW w:w="2203" w:type="pct"/>
            <w:tcBorders>
              <w:top w:val="single" w:sz="4" w:space="0" w:color="auto"/>
              <w:right w:val="nil"/>
            </w:tcBorders>
            <w:noWrap/>
          </w:tcPr>
          <w:p w:rsidR="00293116" w:rsidRPr="00A66A4D" w:rsidRDefault="00293116" w:rsidP="00373F3A">
            <w:pPr>
              <w:pStyle w:val="TableHeading"/>
            </w:pPr>
            <w:r w:rsidRPr="00A66A4D">
              <w:t>Base case analysis</w:t>
            </w:r>
          </w:p>
        </w:tc>
        <w:tc>
          <w:tcPr>
            <w:tcW w:w="559" w:type="pct"/>
            <w:tcBorders>
              <w:top w:val="single" w:sz="4" w:space="0" w:color="auto"/>
              <w:left w:val="nil"/>
              <w:right w:val="nil"/>
            </w:tcBorders>
            <w:noWrap/>
          </w:tcPr>
          <w:p w:rsidR="00293116" w:rsidRPr="00A66A4D" w:rsidRDefault="00293116" w:rsidP="00373F3A">
            <w:pPr>
              <w:pStyle w:val="TableHeading"/>
              <w:jc w:val="center"/>
            </w:pPr>
            <w:r w:rsidRPr="00A66A4D">
              <w:rPr>
                <w:color w:val="FFFFFF" w:themeColor="background1"/>
              </w:rPr>
              <w:t>-</w:t>
            </w:r>
          </w:p>
        </w:tc>
        <w:tc>
          <w:tcPr>
            <w:tcW w:w="560" w:type="pct"/>
            <w:tcBorders>
              <w:top w:val="single" w:sz="4" w:space="0" w:color="auto"/>
              <w:left w:val="nil"/>
              <w:right w:val="nil"/>
            </w:tcBorders>
            <w:noWrap/>
          </w:tcPr>
          <w:p w:rsidR="00293116" w:rsidRPr="00A66A4D" w:rsidRDefault="00293116" w:rsidP="00373F3A">
            <w:pPr>
              <w:pStyle w:val="TableHeading"/>
              <w:jc w:val="center"/>
            </w:pPr>
            <w:r w:rsidRPr="00520C5F">
              <w:rPr>
                <w:color w:val="FFFFFF" w:themeColor="background1"/>
              </w:rPr>
              <w:t>-</w:t>
            </w:r>
          </w:p>
        </w:tc>
        <w:tc>
          <w:tcPr>
            <w:tcW w:w="559" w:type="pct"/>
            <w:tcBorders>
              <w:top w:val="single" w:sz="4" w:space="0" w:color="auto"/>
              <w:left w:val="nil"/>
              <w:right w:val="nil"/>
            </w:tcBorders>
            <w:noWrap/>
          </w:tcPr>
          <w:p w:rsidR="00293116" w:rsidRPr="00A66A4D" w:rsidRDefault="00293116" w:rsidP="00373F3A">
            <w:pPr>
              <w:pStyle w:val="TableHeading"/>
              <w:jc w:val="center"/>
            </w:pPr>
            <w:r w:rsidRPr="00520C5F">
              <w:rPr>
                <w:color w:val="FFFFFF" w:themeColor="background1"/>
              </w:rPr>
              <w:t>-</w:t>
            </w:r>
          </w:p>
        </w:tc>
        <w:tc>
          <w:tcPr>
            <w:tcW w:w="560" w:type="pct"/>
            <w:tcBorders>
              <w:top w:val="single" w:sz="4" w:space="0" w:color="auto"/>
              <w:left w:val="nil"/>
              <w:right w:val="nil"/>
            </w:tcBorders>
            <w:noWrap/>
          </w:tcPr>
          <w:p w:rsidR="00293116" w:rsidRPr="00A66A4D" w:rsidRDefault="00293116" w:rsidP="00373F3A">
            <w:pPr>
              <w:pStyle w:val="TableHeading"/>
              <w:jc w:val="center"/>
            </w:pPr>
            <w:r w:rsidRPr="00520C5F">
              <w:rPr>
                <w:color w:val="FFFFFF" w:themeColor="background1"/>
              </w:rPr>
              <w:t>-</w:t>
            </w:r>
          </w:p>
        </w:tc>
        <w:tc>
          <w:tcPr>
            <w:tcW w:w="559" w:type="pct"/>
            <w:tcBorders>
              <w:top w:val="single" w:sz="4" w:space="0" w:color="auto"/>
              <w:left w:val="nil"/>
            </w:tcBorders>
          </w:tcPr>
          <w:p w:rsidR="00293116" w:rsidRPr="00A66A4D" w:rsidRDefault="00293116" w:rsidP="00373F3A">
            <w:pPr>
              <w:pStyle w:val="TableHeading"/>
              <w:jc w:val="center"/>
            </w:pPr>
            <w:r w:rsidRPr="00520C5F">
              <w:rPr>
                <w:color w:val="FFFFFF" w:themeColor="background1"/>
              </w:rPr>
              <w:t>-</w:t>
            </w:r>
          </w:p>
        </w:tc>
      </w:tr>
      <w:tr w:rsidR="00293116" w:rsidRPr="00EE4B12" w:rsidTr="00373F3A">
        <w:trPr>
          <w:trHeight w:val="300"/>
        </w:trPr>
        <w:tc>
          <w:tcPr>
            <w:tcW w:w="2203" w:type="pct"/>
            <w:tcBorders>
              <w:bottom w:val="nil"/>
            </w:tcBorders>
            <w:noWrap/>
            <w:hideMark/>
          </w:tcPr>
          <w:p w:rsidR="00293116" w:rsidRPr="00446DC0" w:rsidRDefault="00293116" w:rsidP="00373F3A">
            <w:pPr>
              <w:pStyle w:val="Tabletext"/>
            </w:pPr>
            <w:r w:rsidRPr="00446DC0">
              <w:t>Incremental cost</w:t>
            </w:r>
          </w:p>
        </w:tc>
        <w:tc>
          <w:tcPr>
            <w:tcW w:w="559" w:type="pct"/>
            <w:tcBorders>
              <w:bottom w:val="nil"/>
            </w:tcBorders>
            <w:noWrap/>
            <w:hideMark/>
          </w:tcPr>
          <w:p w:rsidR="00293116" w:rsidRPr="008D7CBC" w:rsidRDefault="00293116" w:rsidP="00373F3A">
            <w:pPr>
              <w:pStyle w:val="Tabletext"/>
              <w:jc w:val="right"/>
            </w:pPr>
            <w:r w:rsidRPr="008D7CBC">
              <w:t>$2,476</w:t>
            </w:r>
          </w:p>
        </w:tc>
        <w:tc>
          <w:tcPr>
            <w:tcW w:w="560" w:type="pct"/>
            <w:tcBorders>
              <w:bottom w:val="nil"/>
            </w:tcBorders>
            <w:noWrap/>
            <w:hideMark/>
          </w:tcPr>
          <w:p w:rsidR="00293116" w:rsidRPr="008D7CBC" w:rsidRDefault="00293116" w:rsidP="00373F3A">
            <w:pPr>
              <w:pStyle w:val="Tabletext"/>
              <w:jc w:val="right"/>
            </w:pPr>
            <w:r w:rsidRPr="008D7CBC">
              <w:t>$1,427</w:t>
            </w:r>
          </w:p>
        </w:tc>
        <w:tc>
          <w:tcPr>
            <w:tcW w:w="559" w:type="pct"/>
            <w:tcBorders>
              <w:bottom w:val="nil"/>
            </w:tcBorders>
            <w:noWrap/>
            <w:hideMark/>
          </w:tcPr>
          <w:p w:rsidR="00293116" w:rsidRPr="008D7CBC" w:rsidRDefault="00293116" w:rsidP="00373F3A">
            <w:pPr>
              <w:pStyle w:val="Tabletext"/>
              <w:jc w:val="right"/>
            </w:pPr>
            <w:r w:rsidRPr="008D7CBC">
              <w:t>$15,842</w:t>
            </w:r>
          </w:p>
        </w:tc>
        <w:tc>
          <w:tcPr>
            <w:tcW w:w="560" w:type="pct"/>
            <w:tcBorders>
              <w:bottom w:val="nil"/>
            </w:tcBorders>
            <w:noWrap/>
            <w:hideMark/>
          </w:tcPr>
          <w:p w:rsidR="00293116" w:rsidRPr="008D7CBC" w:rsidRDefault="00293116" w:rsidP="00373F3A">
            <w:pPr>
              <w:pStyle w:val="Tabletext"/>
              <w:jc w:val="right"/>
            </w:pPr>
            <w:r w:rsidRPr="008D7CBC">
              <w:t>$24,737</w:t>
            </w:r>
          </w:p>
        </w:tc>
        <w:tc>
          <w:tcPr>
            <w:tcW w:w="559" w:type="pct"/>
            <w:tcBorders>
              <w:bottom w:val="nil"/>
            </w:tcBorders>
          </w:tcPr>
          <w:p w:rsidR="00293116" w:rsidRPr="008D7CBC" w:rsidRDefault="00293116" w:rsidP="00373F3A">
            <w:pPr>
              <w:pStyle w:val="Tabletext"/>
              <w:jc w:val="right"/>
            </w:pPr>
            <w:r w:rsidRPr="008D7CBC">
              <w:t>$287,093</w:t>
            </w:r>
          </w:p>
        </w:tc>
      </w:tr>
      <w:tr w:rsidR="00293116" w:rsidRPr="00EE4B12" w:rsidTr="00373F3A">
        <w:trPr>
          <w:trHeight w:val="300"/>
        </w:trPr>
        <w:tc>
          <w:tcPr>
            <w:tcW w:w="2203" w:type="pct"/>
            <w:tcBorders>
              <w:top w:val="nil"/>
              <w:bottom w:val="nil"/>
            </w:tcBorders>
            <w:noWrap/>
          </w:tcPr>
          <w:p w:rsidR="00293116" w:rsidRPr="00B80D0A" w:rsidRDefault="00293116" w:rsidP="00373F3A">
            <w:pPr>
              <w:pStyle w:val="Tabletext"/>
            </w:pPr>
            <w:r w:rsidRPr="00B80D0A">
              <w:t>Incremental QALYs</w:t>
            </w:r>
          </w:p>
        </w:tc>
        <w:tc>
          <w:tcPr>
            <w:tcW w:w="559" w:type="pct"/>
            <w:tcBorders>
              <w:top w:val="nil"/>
              <w:bottom w:val="nil"/>
            </w:tcBorders>
            <w:noWrap/>
          </w:tcPr>
          <w:p w:rsidR="00293116" w:rsidRPr="008D7CBC" w:rsidRDefault="00293116" w:rsidP="00373F3A">
            <w:pPr>
              <w:pStyle w:val="Tabletext"/>
              <w:jc w:val="right"/>
            </w:pPr>
            <w:r w:rsidRPr="008D7CBC">
              <w:t>0.0368</w:t>
            </w:r>
          </w:p>
        </w:tc>
        <w:tc>
          <w:tcPr>
            <w:tcW w:w="560" w:type="pct"/>
            <w:tcBorders>
              <w:top w:val="nil"/>
              <w:bottom w:val="nil"/>
            </w:tcBorders>
            <w:noWrap/>
          </w:tcPr>
          <w:p w:rsidR="00293116" w:rsidRPr="008D7CBC" w:rsidRDefault="00293116" w:rsidP="00373F3A">
            <w:pPr>
              <w:pStyle w:val="Tabletext"/>
              <w:jc w:val="right"/>
            </w:pPr>
            <w:r w:rsidRPr="008D7CBC">
              <w:t>0.0307</w:t>
            </w:r>
          </w:p>
        </w:tc>
        <w:tc>
          <w:tcPr>
            <w:tcW w:w="559" w:type="pct"/>
            <w:tcBorders>
              <w:top w:val="nil"/>
              <w:bottom w:val="nil"/>
            </w:tcBorders>
            <w:noWrap/>
          </w:tcPr>
          <w:p w:rsidR="00293116" w:rsidRPr="008D7CBC" w:rsidRDefault="00293116" w:rsidP="00373F3A">
            <w:pPr>
              <w:pStyle w:val="Tabletext"/>
              <w:jc w:val="right"/>
            </w:pPr>
            <w:r w:rsidRPr="008D7CBC">
              <w:t>0.0510</w:t>
            </w:r>
          </w:p>
        </w:tc>
        <w:tc>
          <w:tcPr>
            <w:tcW w:w="560" w:type="pct"/>
            <w:tcBorders>
              <w:top w:val="nil"/>
              <w:bottom w:val="nil"/>
            </w:tcBorders>
            <w:noWrap/>
          </w:tcPr>
          <w:p w:rsidR="00293116" w:rsidRPr="008D7CBC" w:rsidRDefault="00293116" w:rsidP="00373F3A">
            <w:pPr>
              <w:pStyle w:val="Tabletext"/>
              <w:jc w:val="right"/>
            </w:pPr>
            <w:r w:rsidRPr="008D7CBC">
              <w:t>0.0510</w:t>
            </w:r>
          </w:p>
        </w:tc>
        <w:tc>
          <w:tcPr>
            <w:tcW w:w="559" w:type="pct"/>
            <w:tcBorders>
              <w:top w:val="nil"/>
              <w:bottom w:val="nil"/>
            </w:tcBorders>
          </w:tcPr>
          <w:p w:rsidR="00293116" w:rsidRPr="008D7CBC" w:rsidRDefault="00293116" w:rsidP="00373F3A">
            <w:pPr>
              <w:pStyle w:val="Tabletext"/>
              <w:jc w:val="right"/>
            </w:pPr>
            <w:r w:rsidRPr="008D7CBC">
              <w:t>0.8790</w:t>
            </w:r>
          </w:p>
        </w:tc>
      </w:tr>
      <w:tr w:rsidR="00293116" w:rsidRPr="00EE4B12" w:rsidTr="00373F3A">
        <w:trPr>
          <w:trHeight w:val="300"/>
        </w:trPr>
        <w:tc>
          <w:tcPr>
            <w:tcW w:w="2203" w:type="pct"/>
            <w:tcBorders>
              <w:top w:val="nil"/>
              <w:bottom w:val="single" w:sz="4" w:space="0" w:color="auto"/>
            </w:tcBorders>
            <w:noWrap/>
          </w:tcPr>
          <w:p w:rsidR="00293116" w:rsidRPr="007401AE" w:rsidRDefault="00293116" w:rsidP="00373F3A">
            <w:pPr>
              <w:pStyle w:val="Tabletext"/>
              <w:rPr>
                <w:b/>
              </w:rPr>
            </w:pPr>
            <w:r w:rsidRPr="007401AE">
              <w:rPr>
                <w:b/>
              </w:rPr>
              <w:t>ICER per QALY gained</w:t>
            </w:r>
          </w:p>
        </w:tc>
        <w:tc>
          <w:tcPr>
            <w:tcW w:w="559" w:type="pct"/>
            <w:tcBorders>
              <w:top w:val="nil"/>
              <w:bottom w:val="single" w:sz="4" w:space="0" w:color="auto"/>
            </w:tcBorders>
            <w:noWrap/>
          </w:tcPr>
          <w:p w:rsidR="00293116" w:rsidRPr="007401AE" w:rsidRDefault="00293116" w:rsidP="00373F3A">
            <w:pPr>
              <w:pStyle w:val="Tabletext"/>
              <w:jc w:val="right"/>
              <w:rPr>
                <w:b/>
              </w:rPr>
            </w:pPr>
            <w:r w:rsidRPr="007401AE">
              <w:rPr>
                <w:b/>
              </w:rPr>
              <w:t>$67,266</w:t>
            </w:r>
          </w:p>
        </w:tc>
        <w:tc>
          <w:tcPr>
            <w:tcW w:w="560" w:type="pct"/>
            <w:tcBorders>
              <w:top w:val="nil"/>
              <w:bottom w:val="single" w:sz="4" w:space="0" w:color="auto"/>
            </w:tcBorders>
            <w:noWrap/>
          </w:tcPr>
          <w:p w:rsidR="00293116" w:rsidRPr="007401AE" w:rsidRDefault="00293116" w:rsidP="00373F3A">
            <w:pPr>
              <w:pStyle w:val="Tabletext"/>
              <w:jc w:val="right"/>
              <w:rPr>
                <w:b/>
              </w:rPr>
            </w:pPr>
            <w:r w:rsidRPr="007401AE">
              <w:rPr>
                <w:b/>
              </w:rPr>
              <w:t>$46,526</w:t>
            </w:r>
          </w:p>
        </w:tc>
        <w:tc>
          <w:tcPr>
            <w:tcW w:w="559" w:type="pct"/>
            <w:tcBorders>
              <w:top w:val="nil"/>
              <w:bottom w:val="single" w:sz="4" w:space="0" w:color="auto"/>
            </w:tcBorders>
            <w:noWrap/>
          </w:tcPr>
          <w:p w:rsidR="00293116" w:rsidRPr="007401AE" w:rsidRDefault="00293116" w:rsidP="00373F3A">
            <w:pPr>
              <w:pStyle w:val="Tabletext"/>
              <w:jc w:val="right"/>
              <w:rPr>
                <w:b/>
              </w:rPr>
            </w:pPr>
            <w:r w:rsidRPr="007401AE">
              <w:rPr>
                <w:b/>
              </w:rPr>
              <w:t>$310,537</w:t>
            </w:r>
          </w:p>
        </w:tc>
        <w:tc>
          <w:tcPr>
            <w:tcW w:w="560" w:type="pct"/>
            <w:tcBorders>
              <w:top w:val="nil"/>
              <w:bottom w:val="single" w:sz="4" w:space="0" w:color="auto"/>
            </w:tcBorders>
            <w:noWrap/>
          </w:tcPr>
          <w:p w:rsidR="00293116" w:rsidRPr="007401AE" w:rsidRDefault="00293116" w:rsidP="00373F3A">
            <w:pPr>
              <w:pStyle w:val="Tabletext"/>
              <w:jc w:val="right"/>
              <w:rPr>
                <w:b/>
              </w:rPr>
            </w:pPr>
            <w:r w:rsidRPr="007401AE">
              <w:rPr>
                <w:b/>
              </w:rPr>
              <w:t>$484,887</w:t>
            </w:r>
          </w:p>
        </w:tc>
        <w:tc>
          <w:tcPr>
            <w:tcW w:w="559" w:type="pct"/>
            <w:tcBorders>
              <w:top w:val="nil"/>
              <w:bottom w:val="single" w:sz="4" w:space="0" w:color="auto"/>
            </w:tcBorders>
          </w:tcPr>
          <w:p w:rsidR="00293116" w:rsidRPr="007401AE" w:rsidRDefault="00293116" w:rsidP="00373F3A">
            <w:pPr>
              <w:pStyle w:val="Tabletext"/>
              <w:jc w:val="right"/>
              <w:rPr>
                <w:b/>
              </w:rPr>
            </w:pPr>
            <w:r w:rsidRPr="007401AE">
              <w:rPr>
                <w:b/>
              </w:rPr>
              <w:t>$326,589</w:t>
            </w:r>
          </w:p>
        </w:tc>
      </w:tr>
      <w:tr w:rsidR="00293116" w:rsidRPr="00EE4B12" w:rsidTr="00373F3A">
        <w:trPr>
          <w:trHeight w:val="300"/>
        </w:trPr>
        <w:tc>
          <w:tcPr>
            <w:tcW w:w="2203" w:type="pct"/>
            <w:tcBorders>
              <w:top w:val="single" w:sz="4" w:space="0" w:color="auto"/>
              <w:bottom w:val="nil"/>
            </w:tcBorders>
            <w:noWrap/>
          </w:tcPr>
          <w:p w:rsidR="00293116" w:rsidRPr="00B80D0A" w:rsidRDefault="00293116" w:rsidP="00373F3A">
            <w:pPr>
              <w:pStyle w:val="Tabletext"/>
            </w:pPr>
            <w:r w:rsidRPr="00B80D0A">
              <w:t>No. bleeds avoided</w:t>
            </w:r>
          </w:p>
        </w:tc>
        <w:tc>
          <w:tcPr>
            <w:tcW w:w="559" w:type="pct"/>
            <w:tcBorders>
              <w:top w:val="single" w:sz="4" w:space="0" w:color="auto"/>
              <w:bottom w:val="nil"/>
            </w:tcBorders>
            <w:noWrap/>
          </w:tcPr>
          <w:p w:rsidR="00293116" w:rsidRPr="008D7CBC" w:rsidRDefault="00293116" w:rsidP="00373F3A">
            <w:pPr>
              <w:pStyle w:val="Tabletext"/>
              <w:jc w:val="right"/>
            </w:pPr>
            <w:r w:rsidRPr="008D7CBC">
              <w:t>1.5</w:t>
            </w:r>
          </w:p>
        </w:tc>
        <w:tc>
          <w:tcPr>
            <w:tcW w:w="560" w:type="pct"/>
            <w:tcBorders>
              <w:top w:val="single" w:sz="4" w:space="0" w:color="auto"/>
              <w:bottom w:val="nil"/>
            </w:tcBorders>
            <w:noWrap/>
          </w:tcPr>
          <w:p w:rsidR="00293116" w:rsidRPr="008D7CBC" w:rsidRDefault="00293116" w:rsidP="00373F3A">
            <w:pPr>
              <w:pStyle w:val="Tabletext"/>
              <w:jc w:val="right"/>
            </w:pPr>
            <w:r w:rsidRPr="008D7CBC">
              <w:t>0.49</w:t>
            </w:r>
          </w:p>
        </w:tc>
        <w:tc>
          <w:tcPr>
            <w:tcW w:w="559" w:type="pct"/>
            <w:tcBorders>
              <w:top w:val="single" w:sz="4" w:space="0" w:color="auto"/>
              <w:bottom w:val="nil"/>
            </w:tcBorders>
            <w:noWrap/>
          </w:tcPr>
          <w:p w:rsidR="00293116" w:rsidRPr="008D7CBC" w:rsidRDefault="00293116" w:rsidP="00373F3A">
            <w:pPr>
              <w:pStyle w:val="Tabletext"/>
              <w:jc w:val="right"/>
            </w:pPr>
            <w:r w:rsidRPr="008D7CBC">
              <w:t>3.9</w:t>
            </w:r>
          </w:p>
        </w:tc>
        <w:tc>
          <w:tcPr>
            <w:tcW w:w="560" w:type="pct"/>
            <w:tcBorders>
              <w:top w:val="single" w:sz="4" w:space="0" w:color="auto"/>
              <w:bottom w:val="nil"/>
            </w:tcBorders>
            <w:noWrap/>
          </w:tcPr>
          <w:p w:rsidR="00293116" w:rsidRPr="008D7CBC" w:rsidRDefault="00293116" w:rsidP="00373F3A">
            <w:pPr>
              <w:pStyle w:val="Tabletext"/>
              <w:jc w:val="right"/>
            </w:pPr>
            <w:r w:rsidRPr="008D7CBC">
              <w:t>3.9</w:t>
            </w:r>
          </w:p>
        </w:tc>
        <w:tc>
          <w:tcPr>
            <w:tcW w:w="559" w:type="pct"/>
            <w:tcBorders>
              <w:top w:val="single" w:sz="4" w:space="0" w:color="auto"/>
              <w:bottom w:val="nil"/>
            </w:tcBorders>
          </w:tcPr>
          <w:p w:rsidR="00293116" w:rsidRPr="008D7CBC" w:rsidRDefault="00293116" w:rsidP="00373F3A">
            <w:pPr>
              <w:pStyle w:val="Tabletext"/>
              <w:jc w:val="right"/>
            </w:pPr>
            <w:r w:rsidRPr="008D7CBC">
              <w:t>54.8</w:t>
            </w:r>
          </w:p>
        </w:tc>
      </w:tr>
      <w:tr w:rsidR="00293116" w:rsidRPr="00EE4B12" w:rsidTr="00373F3A">
        <w:trPr>
          <w:trHeight w:val="300"/>
        </w:trPr>
        <w:tc>
          <w:tcPr>
            <w:tcW w:w="2203" w:type="pct"/>
            <w:tcBorders>
              <w:top w:val="nil"/>
              <w:bottom w:val="single" w:sz="4" w:space="0" w:color="auto"/>
            </w:tcBorders>
            <w:noWrap/>
          </w:tcPr>
          <w:p w:rsidR="00293116" w:rsidRPr="00B80D0A" w:rsidRDefault="00293116" w:rsidP="00373F3A">
            <w:pPr>
              <w:pStyle w:val="Tabletext"/>
            </w:pPr>
            <w:r w:rsidRPr="00B80D0A">
              <w:t>ICER per bleed avoided</w:t>
            </w:r>
          </w:p>
        </w:tc>
        <w:tc>
          <w:tcPr>
            <w:tcW w:w="559" w:type="pct"/>
            <w:tcBorders>
              <w:top w:val="nil"/>
              <w:bottom w:val="single" w:sz="4" w:space="0" w:color="auto"/>
            </w:tcBorders>
            <w:noWrap/>
          </w:tcPr>
          <w:p w:rsidR="00293116" w:rsidRPr="008D7CBC" w:rsidRDefault="00293116" w:rsidP="00373F3A">
            <w:pPr>
              <w:pStyle w:val="Tabletext"/>
              <w:jc w:val="right"/>
            </w:pPr>
            <w:r w:rsidRPr="008D7CBC">
              <w:t>$1,651</w:t>
            </w:r>
          </w:p>
        </w:tc>
        <w:tc>
          <w:tcPr>
            <w:tcW w:w="560" w:type="pct"/>
            <w:tcBorders>
              <w:top w:val="nil"/>
              <w:bottom w:val="single" w:sz="4" w:space="0" w:color="auto"/>
            </w:tcBorders>
            <w:noWrap/>
          </w:tcPr>
          <w:p w:rsidR="00293116" w:rsidRPr="008D7CBC" w:rsidRDefault="00293116" w:rsidP="00373F3A">
            <w:pPr>
              <w:pStyle w:val="Tabletext"/>
              <w:jc w:val="right"/>
            </w:pPr>
            <w:r w:rsidRPr="008D7CBC">
              <w:t>$2,912</w:t>
            </w:r>
          </w:p>
        </w:tc>
        <w:tc>
          <w:tcPr>
            <w:tcW w:w="559" w:type="pct"/>
            <w:tcBorders>
              <w:top w:val="nil"/>
              <w:bottom w:val="single" w:sz="4" w:space="0" w:color="auto"/>
            </w:tcBorders>
            <w:noWrap/>
          </w:tcPr>
          <w:p w:rsidR="00293116" w:rsidRPr="008D7CBC" w:rsidRDefault="00293116" w:rsidP="00373F3A">
            <w:pPr>
              <w:pStyle w:val="Tabletext"/>
              <w:jc w:val="right"/>
            </w:pPr>
            <w:r w:rsidRPr="008D7CBC">
              <w:t>$4,062</w:t>
            </w:r>
          </w:p>
        </w:tc>
        <w:tc>
          <w:tcPr>
            <w:tcW w:w="560" w:type="pct"/>
            <w:tcBorders>
              <w:top w:val="nil"/>
              <w:bottom w:val="single" w:sz="4" w:space="0" w:color="auto"/>
            </w:tcBorders>
            <w:noWrap/>
          </w:tcPr>
          <w:p w:rsidR="00293116" w:rsidRPr="008D7CBC" w:rsidRDefault="00293116" w:rsidP="00373F3A">
            <w:pPr>
              <w:pStyle w:val="Tabletext"/>
              <w:jc w:val="right"/>
            </w:pPr>
            <w:r w:rsidRPr="008D7CBC">
              <w:t>$6,343</w:t>
            </w:r>
          </w:p>
        </w:tc>
        <w:tc>
          <w:tcPr>
            <w:tcW w:w="559" w:type="pct"/>
            <w:tcBorders>
              <w:top w:val="nil"/>
              <w:bottom w:val="single" w:sz="4" w:space="0" w:color="auto"/>
            </w:tcBorders>
          </w:tcPr>
          <w:p w:rsidR="00293116" w:rsidRPr="008D7CBC" w:rsidRDefault="00293116" w:rsidP="00373F3A">
            <w:pPr>
              <w:pStyle w:val="Tabletext"/>
              <w:jc w:val="right"/>
            </w:pPr>
            <w:r w:rsidRPr="008D7CBC">
              <w:t>$5,235</w:t>
            </w:r>
          </w:p>
        </w:tc>
      </w:tr>
      <w:tr w:rsidR="00293116" w:rsidRPr="00EE4B12" w:rsidTr="00373F3A">
        <w:trPr>
          <w:trHeight w:val="300"/>
        </w:trPr>
        <w:tc>
          <w:tcPr>
            <w:tcW w:w="2203" w:type="pct"/>
            <w:tcBorders>
              <w:top w:val="single" w:sz="4" w:space="0" w:color="auto"/>
              <w:bottom w:val="nil"/>
            </w:tcBorders>
            <w:noWrap/>
          </w:tcPr>
          <w:p w:rsidR="00293116" w:rsidRPr="00B80D0A" w:rsidRDefault="00293116" w:rsidP="00373F3A">
            <w:pPr>
              <w:pStyle w:val="Tabletext"/>
            </w:pPr>
            <w:r w:rsidRPr="00B80D0A">
              <w:t>No. infusions avoided</w:t>
            </w:r>
          </w:p>
        </w:tc>
        <w:tc>
          <w:tcPr>
            <w:tcW w:w="559" w:type="pct"/>
            <w:tcBorders>
              <w:top w:val="single" w:sz="4" w:space="0" w:color="auto"/>
              <w:bottom w:val="nil"/>
            </w:tcBorders>
            <w:noWrap/>
          </w:tcPr>
          <w:p w:rsidR="00293116" w:rsidRPr="008D7CBC" w:rsidRDefault="00293116" w:rsidP="00373F3A">
            <w:pPr>
              <w:pStyle w:val="Tabletext"/>
              <w:jc w:val="right"/>
            </w:pPr>
            <w:r w:rsidRPr="008D7CBC">
              <w:t>80</w:t>
            </w:r>
          </w:p>
        </w:tc>
        <w:tc>
          <w:tcPr>
            <w:tcW w:w="560" w:type="pct"/>
            <w:tcBorders>
              <w:top w:val="single" w:sz="4" w:space="0" w:color="auto"/>
              <w:bottom w:val="nil"/>
            </w:tcBorders>
            <w:noWrap/>
          </w:tcPr>
          <w:p w:rsidR="00293116" w:rsidRPr="008D7CBC" w:rsidRDefault="00293116" w:rsidP="00373F3A">
            <w:pPr>
              <w:pStyle w:val="Tabletext"/>
              <w:jc w:val="right"/>
            </w:pPr>
            <w:r w:rsidRPr="008D7CBC">
              <w:t>79</w:t>
            </w:r>
          </w:p>
        </w:tc>
        <w:tc>
          <w:tcPr>
            <w:tcW w:w="559" w:type="pct"/>
            <w:tcBorders>
              <w:top w:val="single" w:sz="4" w:space="0" w:color="auto"/>
              <w:bottom w:val="nil"/>
            </w:tcBorders>
            <w:noWrap/>
          </w:tcPr>
          <w:p w:rsidR="00293116" w:rsidRPr="008D7CBC" w:rsidRDefault="00293116" w:rsidP="00373F3A">
            <w:pPr>
              <w:pStyle w:val="Tabletext"/>
              <w:jc w:val="right"/>
            </w:pPr>
            <w:r w:rsidRPr="008D7CBC">
              <w:t>83</w:t>
            </w:r>
          </w:p>
        </w:tc>
        <w:tc>
          <w:tcPr>
            <w:tcW w:w="560" w:type="pct"/>
            <w:tcBorders>
              <w:top w:val="single" w:sz="4" w:space="0" w:color="auto"/>
              <w:bottom w:val="nil"/>
            </w:tcBorders>
            <w:noWrap/>
          </w:tcPr>
          <w:p w:rsidR="00293116" w:rsidRPr="008D7CBC" w:rsidRDefault="00293116" w:rsidP="00373F3A">
            <w:pPr>
              <w:pStyle w:val="Tabletext"/>
              <w:jc w:val="right"/>
            </w:pPr>
            <w:r w:rsidRPr="008D7CBC">
              <w:t>83</w:t>
            </w:r>
          </w:p>
        </w:tc>
        <w:tc>
          <w:tcPr>
            <w:tcW w:w="559" w:type="pct"/>
            <w:tcBorders>
              <w:top w:val="single" w:sz="4" w:space="0" w:color="auto"/>
              <w:bottom w:val="nil"/>
            </w:tcBorders>
          </w:tcPr>
          <w:p w:rsidR="00293116" w:rsidRPr="008D7CBC" w:rsidRDefault="00293116" w:rsidP="00373F3A">
            <w:pPr>
              <w:pStyle w:val="Tabletext"/>
              <w:jc w:val="right"/>
            </w:pPr>
            <w:r w:rsidRPr="008D7CBC">
              <w:t>1</w:t>
            </w:r>
            <w:r>
              <w:t>,</w:t>
            </w:r>
            <w:r w:rsidRPr="008D7CBC">
              <w:t>622</w:t>
            </w:r>
          </w:p>
        </w:tc>
      </w:tr>
      <w:tr w:rsidR="00293116" w:rsidRPr="00EE4B12" w:rsidTr="00373F3A">
        <w:trPr>
          <w:trHeight w:val="300"/>
        </w:trPr>
        <w:tc>
          <w:tcPr>
            <w:tcW w:w="2203" w:type="pct"/>
            <w:tcBorders>
              <w:top w:val="nil"/>
              <w:bottom w:val="double" w:sz="4" w:space="0" w:color="auto"/>
            </w:tcBorders>
            <w:noWrap/>
            <w:hideMark/>
          </w:tcPr>
          <w:p w:rsidR="00293116" w:rsidRPr="00B80D0A" w:rsidRDefault="00293116" w:rsidP="00373F3A">
            <w:pPr>
              <w:pStyle w:val="Tabletext"/>
            </w:pPr>
            <w:r w:rsidRPr="00B80D0A">
              <w:t>ICER per infusion avoided</w:t>
            </w:r>
          </w:p>
        </w:tc>
        <w:tc>
          <w:tcPr>
            <w:tcW w:w="559" w:type="pct"/>
            <w:tcBorders>
              <w:top w:val="nil"/>
              <w:bottom w:val="double" w:sz="4" w:space="0" w:color="auto"/>
            </w:tcBorders>
            <w:noWrap/>
            <w:hideMark/>
          </w:tcPr>
          <w:p w:rsidR="00293116" w:rsidRPr="008D7CBC" w:rsidRDefault="00293116" w:rsidP="00373F3A">
            <w:pPr>
              <w:pStyle w:val="Tabletext"/>
              <w:jc w:val="right"/>
            </w:pPr>
            <w:r w:rsidRPr="008D7CBC">
              <w:t>$31</w:t>
            </w:r>
          </w:p>
        </w:tc>
        <w:tc>
          <w:tcPr>
            <w:tcW w:w="560" w:type="pct"/>
            <w:tcBorders>
              <w:top w:val="nil"/>
              <w:bottom w:val="double" w:sz="4" w:space="0" w:color="auto"/>
            </w:tcBorders>
            <w:noWrap/>
            <w:hideMark/>
          </w:tcPr>
          <w:p w:rsidR="00293116" w:rsidRPr="008D7CBC" w:rsidRDefault="00293116" w:rsidP="00373F3A">
            <w:pPr>
              <w:pStyle w:val="Tabletext"/>
              <w:jc w:val="right"/>
            </w:pPr>
            <w:r w:rsidRPr="008D7CBC">
              <w:t>$18</w:t>
            </w:r>
          </w:p>
        </w:tc>
        <w:tc>
          <w:tcPr>
            <w:tcW w:w="559" w:type="pct"/>
            <w:tcBorders>
              <w:top w:val="nil"/>
              <w:bottom w:val="double" w:sz="4" w:space="0" w:color="auto"/>
            </w:tcBorders>
            <w:noWrap/>
            <w:hideMark/>
          </w:tcPr>
          <w:p w:rsidR="00293116" w:rsidRPr="008D7CBC" w:rsidRDefault="00293116" w:rsidP="00373F3A">
            <w:pPr>
              <w:pStyle w:val="Tabletext"/>
              <w:jc w:val="right"/>
            </w:pPr>
            <w:r w:rsidRPr="008D7CBC">
              <w:t>$191</w:t>
            </w:r>
          </w:p>
        </w:tc>
        <w:tc>
          <w:tcPr>
            <w:tcW w:w="560" w:type="pct"/>
            <w:tcBorders>
              <w:top w:val="nil"/>
              <w:bottom w:val="double" w:sz="4" w:space="0" w:color="auto"/>
            </w:tcBorders>
            <w:noWrap/>
            <w:hideMark/>
          </w:tcPr>
          <w:p w:rsidR="00293116" w:rsidRPr="008D7CBC" w:rsidRDefault="00293116" w:rsidP="00373F3A">
            <w:pPr>
              <w:pStyle w:val="Tabletext"/>
              <w:jc w:val="right"/>
            </w:pPr>
            <w:r w:rsidRPr="008D7CBC">
              <w:t>$298</w:t>
            </w:r>
          </w:p>
        </w:tc>
        <w:tc>
          <w:tcPr>
            <w:tcW w:w="559" w:type="pct"/>
            <w:tcBorders>
              <w:top w:val="nil"/>
              <w:bottom w:val="double" w:sz="4" w:space="0" w:color="auto"/>
            </w:tcBorders>
          </w:tcPr>
          <w:p w:rsidR="00293116" w:rsidRDefault="00293116" w:rsidP="00373F3A">
            <w:pPr>
              <w:pStyle w:val="Tabletext"/>
              <w:jc w:val="right"/>
            </w:pPr>
            <w:r w:rsidRPr="008D7CBC">
              <w:t>$177</w:t>
            </w:r>
          </w:p>
        </w:tc>
      </w:tr>
    </w:tbl>
    <w:p w:rsidR="00293116" w:rsidRDefault="00293116" w:rsidP="006E2F2C">
      <w:pPr>
        <w:spacing w:before="240" w:after="240"/>
      </w:pPr>
      <w:r>
        <w:t xml:space="preserve">The analyses were most sensitive to the source of data used to inform comparative </w:t>
      </w:r>
      <w:r w:rsidR="00477A86">
        <w:t xml:space="preserve">factor </w:t>
      </w:r>
      <w:r>
        <w:t xml:space="preserve">VIII consumption and ABR, and the frequency of SHL </w:t>
      </w:r>
      <w:r w:rsidR="00477A86">
        <w:t xml:space="preserve">factor </w:t>
      </w:r>
      <w:r>
        <w:t xml:space="preserve">VIII infusion. The analyses were also moderately sensitive to reductions in EHL </w:t>
      </w:r>
      <w:r w:rsidR="00477A86">
        <w:t xml:space="preserve">factor </w:t>
      </w:r>
      <w:r>
        <w:t>VIII use to treat a bleed.</w:t>
      </w:r>
    </w:p>
    <w:p w:rsidR="00293116" w:rsidRPr="00B538D6" w:rsidRDefault="00293116" w:rsidP="00B538D6">
      <w:pPr>
        <w:spacing w:after="120"/>
        <w:rPr>
          <w:i/>
        </w:rPr>
      </w:pPr>
      <w:r w:rsidRPr="00B538D6">
        <w:rPr>
          <w:i/>
        </w:rPr>
        <w:t>Haemophilia B</w:t>
      </w:r>
    </w:p>
    <w:p w:rsidR="002A7C45" w:rsidRPr="006E2F2C" w:rsidRDefault="00293116" w:rsidP="006E2F2C">
      <w:pPr>
        <w:spacing w:after="240"/>
      </w:pPr>
      <w:r>
        <w:t>A summary of the results of the economic ana</w:t>
      </w:r>
      <w:r w:rsidR="00477A86">
        <w:t>lyses are presented in Table 2.</w:t>
      </w:r>
      <w:bookmarkStart w:id="13" w:name="_Ref512504225"/>
      <w:bookmarkStart w:id="14" w:name="_Toc513112429"/>
    </w:p>
    <w:p w:rsidR="00293116" w:rsidRPr="00F46CFD" w:rsidRDefault="00293116" w:rsidP="00F46CFD">
      <w:pPr>
        <w:rPr>
          <w:rFonts w:ascii="Arial Narrow" w:hAnsi="Arial Narrow"/>
          <w:b/>
          <w:sz w:val="20"/>
        </w:rPr>
      </w:pPr>
      <w:r w:rsidRPr="00F46CFD">
        <w:rPr>
          <w:rFonts w:ascii="Arial Narrow" w:hAnsi="Arial Narrow"/>
          <w:b/>
          <w:sz w:val="20"/>
        </w:rPr>
        <w:t>Table</w:t>
      </w:r>
      <w:bookmarkEnd w:id="13"/>
      <w:r w:rsidRPr="00F46CFD">
        <w:rPr>
          <w:rFonts w:ascii="Arial Narrow" w:hAnsi="Arial Narrow"/>
          <w:b/>
          <w:sz w:val="20"/>
        </w:rPr>
        <w:t xml:space="preserve"> 2</w:t>
      </w:r>
      <w:r w:rsidRPr="00F46CFD">
        <w:rPr>
          <w:rFonts w:ascii="Arial Narrow" w:hAnsi="Arial Narrow"/>
          <w:b/>
          <w:sz w:val="20"/>
        </w:rPr>
        <w:tab/>
        <w:t>Summary of the results of the economic evaluations, haemophilia B</w:t>
      </w:r>
      <w:bookmarkEnd w:id="14"/>
    </w:p>
    <w:tbl>
      <w:tblPr>
        <w:tblStyle w:val="TableGrid2"/>
        <w:tblW w:w="5000" w:type="pct"/>
        <w:tblLayout w:type="fixed"/>
        <w:tblLook w:val="04A0" w:firstRow="1" w:lastRow="0" w:firstColumn="1" w:lastColumn="0" w:noHBand="0" w:noVBand="1"/>
        <w:tblCaption w:val="Summary of the results of the economic evaluations, haemophilia B"/>
        <w:tblDescription w:val="Summary of the results of the economic evaluations, haemophilia B"/>
      </w:tblPr>
      <w:tblGrid>
        <w:gridCol w:w="3918"/>
        <w:gridCol w:w="1064"/>
        <w:gridCol w:w="1065"/>
        <w:gridCol w:w="1065"/>
        <w:gridCol w:w="1065"/>
        <w:gridCol w:w="1065"/>
      </w:tblGrid>
      <w:tr w:rsidR="00293116" w:rsidRPr="00EE4B12" w:rsidTr="00373F3A">
        <w:trPr>
          <w:cnfStyle w:val="100000000000" w:firstRow="1" w:lastRow="0" w:firstColumn="0" w:lastColumn="0" w:oddVBand="0" w:evenVBand="0" w:oddHBand="0" w:evenHBand="0" w:firstRowFirstColumn="0" w:firstRowLastColumn="0" w:lastRowFirstColumn="0" w:lastRowLastColumn="0"/>
          <w:trHeight w:val="300"/>
          <w:tblHeader/>
        </w:trPr>
        <w:tc>
          <w:tcPr>
            <w:tcW w:w="2120" w:type="pct"/>
            <w:tcBorders>
              <w:bottom w:val="nil"/>
            </w:tcBorders>
            <w:noWrap/>
          </w:tcPr>
          <w:p w:rsidR="00293116" w:rsidRPr="00EE4B12" w:rsidRDefault="00293116" w:rsidP="00373F3A">
            <w:pPr>
              <w:pStyle w:val="TableHeading"/>
            </w:pPr>
          </w:p>
        </w:tc>
        <w:tc>
          <w:tcPr>
            <w:tcW w:w="576" w:type="pct"/>
            <w:tcBorders>
              <w:right w:val="nil"/>
            </w:tcBorders>
            <w:noWrap/>
          </w:tcPr>
          <w:p w:rsidR="00293116" w:rsidRPr="00EE4B12" w:rsidRDefault="00293116" w:rsidP="00373F3A">
            <w:pPr>
              <w:pStyle w:val="TableHeading"/>
              <w:jc w:val="center"/>
            </w:pPr>
            <w:r w:rsidRPr="003D1B61">
              <w:rPr>
                <w:color w:val="FFFFFF" w:themeColor="background1"/>
              </w:rPr>
              <w:t>-</w:t>
            </w:r>
          </w:p>
        </w:tc>
        <w:tc>
          <w:tcPr>
            <w:tcW w:w="576" w:type="pct"/>
            <w:tcBorders>
              <w:left w:val="nil"/>
              <w:right w:val="nil"/>
            </w:tcBorders>
            <w:noWrap/>
          </w:tcPr>
          <w:p w:rsidR="00293116" w:rsidRPr="00EE4B12" w:rsidRDefault="00293116" w:rsidP="00373F3A">
            <w:pPr>
              <w:pStyle w:val="TableHeading"/>
              <w:jc w:val="center"/>
            </w:pPr>
            <w:r w:rsidRPr="003D1B61">
              <w:rPr>
                <w:color w:val="FFFFFF" w:themeColor="background1"/>
              </w:rPr>
              <w:t>-</w:t>
            </w:r>
          </w:p>
        </w:tc>
        <w:tc>
          <w:tcPr>
            <w:tcW w:w="576" w:type="pct"/>
            <w:tcBorders>
              <w:left w:val="nil"/>
              <w:right w:val="nil"/>
            </w:tcBorders>
            <w:noWrap/>
          </w:tcPr>
          <w:p w:rsidR="00293116" w:rsidRPr="00EE4B12" w:rsidRDefault="00293116" w:rsidP="00373F3A">
            <w:pPr>
              <w:pStyle w:val="TableHeading"/>
              <w:jc w:val="center"/>
            </w:pPr>
            <w:r>
              <w:t>ICERs</w:t>
            </w:r>
          </w:p>
        </w:tc>
        <w:tc>
          <w:tcPr>
            <w:tcW w:w="576" w:type="pct"/>
            <w:tcBorders>
              <w:left w:val="nil"/>
              <w:bottom w:val="single" w:sz="4" w:space="0" w:color="auto"/>
              <w:right w:val="nil"/>
            </w:tcBorders>
            <w:noWrap/>
          </w:tcPr>
          <w:p w:rsidR="00293116" w:rsidRPr="00EE4B12" w:rsidRDefault="00293116" w:rsidP="00373F3A">
            <w:pPr>
              <w:pStyle w:val="TableHeading"/>
              <w:jc w:val="center"/>
            </w:pPr>
            <w:r w:rsidRPr="00C631AD">
              <w:rPr>
                <w:color w:val="FFFFFF" w:themeColor="background1"/>
              </w:rPr>
              <w:t>-</w:t>
            </w:r>
          </w:p>
        </w:tc>
        <w:tc>
          <w:tcPr>
            <w:tcW w:w="576" w:type="pct"/>
            <w:tcBorders>
              <w:left w:val="nil"/>
              <w:bottom w:val="single" w:sz="4" w:space="0" w:color="auto"/>
            </w:tcBorders>
          </w:tcPr>
          <w:p w:rsidR="00293116" w:rsidRDefault="00293116" w:rsidP="00373F3A">
            <w:pPr>
              <w:pStyle w:val="TableHeading"/>
              <w:jc w:val="center"/>
            </w:pPr>
            <w:r w:rsidRPr="00C631AD">
              <w:rPr>
                <w:color w:val="FFFFFF" w:themeColor="background1"/>
              </w:rPr>
              <w:t>-</w:t>
            </w:r>
          </w:p>
        </w:tc>
      </w:tr>
      <w:tr w:rsidR="00293116" w:rsidRPr="00EE4B12" w:rsidTr="00373F3A">
        <w:trPr>
          <w:cnfStyle w:val="100000000000" w:firstRow="1" w:lastRow="0" w:firstColumn="0" w:lastColumn="0" w:oddVBand="0" w:evenVBand="0" w:oddHBand="0" w:evenHBand="0" w:firstRowFirstColumn="0" w:firstRowLastColumn="0" w:lastRowFirstColumn="0" w:lastRowLastColumn="0"/>
          <w:trHeight w:val="300"/>
          <w:tblHeader/>
        </w:trPr>
        <w:tc>
          <w:tcPr>
            <w:tcW w:w="2120" w:type="pct"/>
            <w:tcBorders>
              <w:top w:val="nil"/>
              <w:bottom w:val="nil"/>
            </w:tcBorders>
            <w:noWrap/>
          </w:tcPr>
          <w:p w:rsidR="00293116" w:rsidRPr="00EE4B12" w:rsidRDefault="00293116" w:rsidP="00373F3A">
            <w:pPr>
              <w:pStyle w:val="TableHeading"/>
            </w:pPr>
            <w:r w:rsidRPr="00316D79">
              <w:rPr>
                <w:color w:val="FFFFFF" w:themeColor="background1"/>
              </w:rPr>
              <w:t>-</w:t>
            </w:r>
          </w:p>
        </w:tc>
        <w:tc>
          <w:tcPr>
            <w:tcW w:w="576" w:type="pct"/>
            <w:tcBorders>
              <w:right w:val="nil"/>
            </w:tcBorders>
            <w:noWrap/>
          </w:tcPr>
          <w:p w:rsidR="00293116" w:rsidRPr="003D1B61" w:rsidRDefault="00293116" w:rsidP="00373F3A">
            <w:pPr>
              <w:pStyle w:val="TableHeading"/>
              <w:jc w:val="center"/>
              <w:rPr>
                <w:color w:val="FFFFFF" w:themeColor="background1"/>
              </w:rPr>
            </w:pPr>
          </w:p>
        </w:tc>
        <w:tc>
          <w:tcPr>
            <w:tcW w:w="576" w:type="pct"/>
            <w:tcBorders>
              <w:left w:val="nil"/>
              <w:right w:val="nil"/>
            </w:tcBorders>
            <w:noWrap/>
          </w:tcPr>
          <w:p w:rsidR="00293116" w:rsidRPr="00316D79" w:rsidRDefault="00293116" w:rsidP="00373F3A">
            <w:pPr>
              <w:pStyle w:val="TableHeading"/>
              <w:jc w:val="right"/>
            </w:pPr>
            <w:r>
              <w:t>One year</w:t>
            </w:r>
          </w:p>
        </w:tc>
        <w:tc>
          <w:tcPr>
            <w:tcW w:w="576" w:type="pct"/>
            <w:tcBorders>
              <w:left w:val="nil"/>
              <w:right w:val="nil"/>
            </w:tcBorders>
            <w:noWrap/>
          </w:tcPr>
          <w:p w:rsidR="00293116" w:rsidRPr="00316D79" w:rsidRDefault="00293116" w:rsidP="00373F3A">
            <w:pPr>
              <w:pStyle w:val="TableHeading"/>
            </w:pPr>
            <w:r>
              <w:t>analyses</w:t>
            </w:r>
          </w:p>
        </w:tc>
        <w:tc>
          <w:tcPr>
            <w:tcW w:w="576" w:type="pct"/>
            <w:tcBorders>
              <w:left w:val="nil"/>
              <w:right w:val="single" w:sz="4" w:space="0" w:color="auto"/>
            </w:tcBorders>
            <w:noWrap/>
          </w:tcPr>
          <w:p w:rsidR="00293116" w:rsidRPr="00C631AD" w:rsidRDefault="00293116" w:rsidP="00373F3A">
            <w:pPr>
              <w:pStyle w:val="TableHeading"/>
              <w:jc w:val="center"/>
              <w:rPr>
                <w:color w:val="FFFFFF" w:themeColor="background1"/>
              </w:rPr>
            </w:pPr>
          </w:p>
        </w:tc>
        <w:tc>
          <w:tcPr>
            <w:tcW w:w="576" w:type="pct"/>
            <w:tcBorders>
              <w:left w:val="single" w:sz="4" w:space="0" w:color="auto"/>
              <w:bottom w:val="nil"/>
            </w:tcBorders>
          </w:tcPr>
          <w:p w:rsidR="00293116" w:rsidRPr="00C631AD" w:rsidRDefault="00293116" w:rsidP="00373F3A">
            <w:pPr>
              <w:pStyle w:val="TableHeading"/>
              <w:jc w:val="center"/>
              <w:rPr>
                <w:color w:val="FFFFFF" w:themeColor="background1"/>
              </w:rPr>
            </w:pPr>
            <w:r>
              <w:t>Lifetime</w:t>
            </w:r>
          </w:p>
        </w:tc>
      </w:tr>
      <w:tr w:rsidR="00293116" w:rsidRPr="00EE4B12" w:rsidTr="00373F3A">
        <w:trPr>
          <w:cnfStyle w:val="100000000000" w:firstRow="1" w:lastRow="0" w:firstColumn="0" w:lastColumn="0" w:oddVBand="0" w:evenVBand="0" w:oddHBand="0" w:evenHBand="0" w:firstRowFirstColumn="0" w:firstRowLastColumn="0" w:lastRowFirstColumn="0" w:lastRowLastColumn="0"/>
          <w:trHeight w:val="300"/>
          <w:tblHeader/>
        </w:trPr>
        <w:tc>
          <w:tcPr>
            <w:tcW w:w="2120" w:type="pct"/>
            <w:tcBorders>
              <w:top w:val="nil"/>
              <w:bottom w:val="single" w:sz="4" w:space="0" w:color="auto"/>
            </w:tcBorders>
            <w:noWrap/>
            <w:hideMark/>
          </w:tcPr>
          <w:p w:rsidR="00293116" w:rsidRPr="00EE4B12" w:rsidRDefault="00293116" w:rsidP="00373F3A">
            <w:pPr>
              <w:pStyle w:val="TableHeading"/>
            </w:pPr>
            <w:r w:rsidRPr="00A861BA">
              <w:rPr>
                <w:color w:val="FFFFFF" w:themeColor="background1"/>
              </w:rPr>
              <w:t>-</w:t>
            </w:r>
          </w:p>
        </w:tc>
        <w:tc>
          <w:tcPr>
            <w:tcW w:w="576" w:type="pct"/>
            <w:tcBorders>
              <w:bottom w:val="single" w:sz="4" w:space="0" w:color="auto"/>
            </w:tcBorders>
            <w:noWrap/>
            <w:hideMark/>
          </w:tcPr>
          <w:p w:rsidR="00293116" w:rsidRPr="00EE4B12" w:rsidRDefault="00293116" w:rsidP="00373F3A">
            <w:pPr>
              <w:pStyle w:val="TableHeading"/>
              <w:jc w:val="center"/>
            </w:pPr>
            <w:r w:rsidRPr="00EE4B12">
              <w:t>&lt;6</w:t>
            </w:r>
          </w:p>
        </w:tc>
        <w:tc>
          <w:tcPr>
            <w:tcW w:w="576" w:type="pct"/>
            <w:tcBorders>
              <w:bottom w:val="single" w:sz="4" w:space="0" w:color="auto"/>
            </w:tcBorders>
            <w:noWrap/>
            <w:hideMark/>
          </w:tcPr>
          <w:p w:rsidR="00293116" w:rsidRPr="00EE4B12" w:rsidRDefault="00293116" w:rsidP="00373F3A">
            <w:pPr>
              <w:pStyle w:val="TableHeading"/>
              <w:jc w:val="center"/>
            </w:pPr>
            <w:r w:rsidRPr="00EE4B12">
              <w:t>6-11</w:t>
            </w:r>
          </w:p>
        </w:tc>
        <w:tc>
          <w:tcPr>
            <w:tcW w:w="576" w:type="pct"/>
            <w:tcBorders>
              <w:bottom w:val="single" w:sz="4" w:space="0" w:color="auto"/>
            </w:tcBorders>
            <w:noWrap/>
            <w:hideMark/>
          </w:tcPr>
          <w:p w:rsidR="00293116" w:rsidRPr="00EE4B12" w:rsidRDefault="00293116" w:rsidP="00373F3A">
            <w:pPr>
              <w:pStyle w:val="TableHeading"/>
              <w:jc w:val="center"/>
            </w:pPr>
            <w:r w:rsidRPr="00EE4B12">
              <w:t>12-17</w:t>
            </w:r>
          </w:p>
        </w:tc>
        <w:tc>
          <w:tcPr>
            <w:tcW w:w="576" w:type="pct"/>
            <w:tcBorders>
              <w:bottom w:val="single" w:sz="4" w:space="0" w:color="auto"/>
            </w:tcBorders>
            <w:noWrap/>
            <w:hideMark/>
          </w:tcPr>
          <w:p w:rsidR="00293116" w:rsidRPr="00EE4B12" w:rsidRDefault="00293116" w:rsidP="00373F3A">
            <w:pPr>
              <w:pStyle w:val="TableHeading"/>
              <w:jc w:val="center"/>
            </w:pPr>
            <w:r w:rsidRPr="00EE4B12">
              <w:t>18+</w:t>
            </w:r>
          </w:p>
        </w:tc>
        <w:tc>
          <w:tcPr>
            <w:tcW w:w="576" w:type="pct"/>
            <w:tcBorders>
              <w:top w:val="nil"/>
              <w:bottom w:val="single" w:sz="4" w:space="0" w:color="auto"/>
            </w:tcBorders>
          </w:tcPr>
          <w:p w:rsidR="00293116" w:rsidRPr="00EE4B12" w:rsidRDefault="00293116" w:rsidP="00373F3A">
            <w:pPr>
              <w:pStyle w:val="TableHeading"/>
              <w:jc w:val="center"/>
            </w:pPr>
            <w:r w:rsidRPr="00316D79">
              <w:rPr>
                <w:color w:val="FFFFFF" w:themeColor="background1"/>
              </w:rPr>
              <w:t>-</w:t>
            </w:r>
          </w:p>
        </w:tc>
      </w:tr>
      <w:tr w:rsidR="00293116" w:rsidRPr="00A66A4D" w:rsidTr="00373F3A">
        <w:trPr>
          <w:cnfStyle w:val="100000000000" w:firstRow="1" w:lastRow="0" w:firstColumn="0" w:lastColumn="0" w:oddVBand="0" w:evenVBand="0" w:oddHBand="0" w:evenHBand="0" w:firstRowFirstColumn="0" w:firstRowLastColumn="0" w:lastRowFirstColumn="0" w:lastRowLastColumn="0"/>
          <w:trHeight w:val="300"/>
          <w:tblHeader/>
        </w:trPr>
        <w:tc>
          <w:tcPr>
            <w:tcW w:w="2120" w:type="pct"/>
            <w:tcBorders>
              <w:top w:val="single" w:sz="4" w:space="0" w:color="auto"/>
              <w:right w:val="nil"/>
            </w:tcBorders>
            <w:noWrap/>
          </w:tcPr>
          <w:p w:rsidR="00293116" w:rsidRPr="00A66A4D" w:rsidRDefault="00293116" w:rsidP="00373F3A">
            <w:pPr>
              <w:pStyle w:val="TableHeading"/>
            </w:pPr>
            <w:r w:rsidRPr="00A66A4D">
              <w:t>Base case analysis</w:t>
            </w:r>
          </w:p>
        </w:tc>
        <w:tc>
          <w:tcPr>
            <w:tcW w:w="576" w:type="pct"/>
            <w:tcBorders>
              <w:top w:val="single" w:sz="4" w:space="0" w:color="auto"/>
              <w:left w:val="nil"/>
              <w:right w:val="nil"/>
            </w:tcBorders>
            <w:noWrap/>
          </w:tcPr>
          <w:p w:rsidR="00293116" w:rsidRPr="00A66A4D" w:rsidRDefault="00293116" w:rsidP="00373F3A">
            <w:pPr>
              <w:pStyle w:val="TableHeading"/>
              <w:jc w:val="center"/>
            </w:pPr>
            <w:r w:rsidRPr="00A66A4D">
              <w:rPr>
                <w:color w:val="FFFFFF" w:themeColor="background1"/>
              </w:rPr>
              <w:t>-</w:t>
            </w:r>
          </w:p>
        </w:tc>
        <w:tc>
          <w:tcPr>
            <w:tcW w:w="576" w:type="pct"/>
            <w:tcBorders>
              <w:top w:val="single" w:sz="4" w:space="0" w:color="auto"/>
              <w:left w:val="nil"/>
              <w:right w:val="nil"/>
            </w:tcBorders>
            <w:noWrap/>
          </w:tcPr>
          <w:p w:rsidR="00293116" w:rsidRPr="00A66A4D" w:rsidRDefault="00293116" w:rsidP="00373F3A">
            <w:pPr>
              <w:pStyle w:val="TableHeading"/>
              <w:jc w:val="center"/>
            </w:pPr>
            <w:r w:rsidRPr="00520C5F">
              <w:rPr>
                <w:color w:val="FFFFFF" w:themeColor="background1"/>
              </w:rPr>
              <w:t>-</w:t>
            </w:r>
          </w:p>
        </w:tc>
        <w:tc>
          <w:tcPr>
            <w:tcW w:w="576" w:type="pct"/>
            <w:tcBorders>
              <w:top w:val="single" w:sz="4" w:space="0" w:color="auto"/>
              <w:left w:val="nil"/>
              <w:right w:val="nil"/>
            </w:tcBorders>
            <w:noWrap/>
          </w:tcPr>
          <w:p w:rsidR="00293116" w:rsidRPr="00A66A4D" w:rsidRDefault="00293116" w:rsidP="00373F3A">
            <w:pPr>
              <w:pStyle w:val="TableHeading"/>
              <w:jc w:val="center"/>
            </w:pPr>
            <w:r w:rsidRPr="00520C5F">
              <w:rPr>
                <w:color w:val="FFFFFF" w:themeColor="background1"/>
              </w:rPr>
              <w:t>-</w:t>
            </w:r>
          </w:p>
        </w:tc>
        <w:tc>
          <w:tcPr>
            <w:tcW w:w="576" w:type="pct"/>
            <w:tcBorders>
              <w:top w:val="single" w:sz="4" w:space="0" w:color="auto"/>
              <w:left w:val="nil"/>
              <w:right w:val="nil"/>
            </w:tcBorders>
            <w:noWrap/>
          </w:tcPr>
          <w:p w:rsidR="00293116" w:rsidRPr="00A66A4D" w:rsidRDefault="00293116" w:rsidP="00373F3A">
            <w:pPr>
              <w:pStyle w:val="TableHeading"/>
              <w:jc w:val="center"/>
            </w:pPr>
            <w:r w:rsidRPr="00520C5F">
              <w:rPr>
                <w:color w:val="FFFFFF" w:themeColor="background1"/>
              </w:rPr>
              <w:t>-</w:t>
            </w:r>
          </w:p>
        </w:tc>
        <w:tc>
          <w:tcPr>
            <w:tcW w:w="576" w:type="pct"/>
            <w:tcBorders>
              <w:top w:val="single" w:sz="4" w:space="0" w:color="auto"/>
              <w:left w:val="nil"/>
            </w:tcBorders>
          </w:tcPr>
          <w:p w:rsidR="00293116" w:rsidRPr="00A66A4D" w:rsidRDefault="00293116" w:rsidP="00373F3A">
            <w:pPr>
              <w:pStyle w:val="TableHeading"/>
              <w:jc w:val="center"/>
            </w:pPr>
            <w:r w:rsidRPr="00520C5F">
              <w:rPr>
                <w:color w:val="FFFFFF" w:themeColor="background1"/>
              </w:rPr>
              <w:t>-</w:t>
            </w:r>
          </w:p>
        </w:tc>
      </w:tr>
      <w:tr w:rsidR="00293116" w:rsidRPr="00EE4B12" w:rsidTr="00373F3A">
        <w:trPr>
          <w:trHeight w:val="300"/>
        </w:trPr>
        <w:tc>
          <w:tcPr>
            <w:tcW w:w="2120" w:type="pct"/>
            <w:tcBorders>
              <w:bottom w:val="nil"/>
            </w:tcBorders>
            <w:noWrap/>
            <w:hideMark/>
          </w:tcPr>
          <w:p w:rsidR="00293116" w:rsidRPr="00B80D0A" w:rsidRDefault="00293116" w:rsidP="00373F3A">
            <w:pPr>
              <w:pStyle w:val="Tabletext"/>
            </w:pPr>
            <w:r w:rsidRPr="00B80D0A">
              <w:t>Incremental cost</w:t>
            </w:r>
          </w:p>
        </w:tc>
        <w:tc>
          <w:tcPr>
            <w:tcW w:w="576" w:type="pct"/>
            <w:tcBorders>
              <w:bottom w:val="nil"/>
            </w:tcBorders>
            <w:noWrap/>
            <w:hideMark/>
          </w:tcPr>
          <w:p w:rsidR="00293116" w:rsidRPr="008D7CBC" w:rsidRDefault="00293116" w:rsidP="00373F3A">
            <w:pPr>
              <w:pStyle w:val="Tabletext"/>
              <w:jc w:val="right"/>
            </w:pPr>
            <w:r w:rsidRPr="00053697">
              <w:t>$4,003</w:t>
            </w:r>
          </w:p>
        </w:tc>
        <w:tc>
          <w:tcPr>
            <w:tcW w:w="576" w:type="pct"/>
            <w:tcBorders>
              <w:bottom w:val="nil"/>
            </w:tcBorders>
            <w:noWrap/>
            <w:hideMark/>
          </w:tcPr>
          <w:p w:rsidR="00293116" w:rsidRPr="008D7CBC" w:rsidRDefault="00293116" w:rsidP="00373F3A">
            <w:pPr>
              <w:pStyle w:val="Tabletext"/>
              <w:jc w:val="right"/>
            </w:pPr>
            <w:r w:rsidRPr="00053697">
              <w:t>$29,911</w:t>
            </w:r>
          </w:p>
        </w:tc>
        <w:tc>
          <w:tcPr>
            <w:tcW w:w="576" w:type="pct"/>
            <w:tcBorders>
              <w:bottom w:val="nil"/>
            </w:tcBorders>
            <w:noWrap/>
            <w:hideMark/>
          </w:tcPr>
          <w:p w:rsidR="00293116" w:rsidRPr="008D7CBC" w:rsidRDefault="00293116" w:rsidP="00373F3A">
            <w:pPr>
              <w:pStyle w:val="Tabletext"/>
              <w:jc w:val="right"/>
            </w:pPr>
            <w:r>
              <w:t>–</w:t>
            </w:r>
            <w:r w:rsidRPr="00053697">
              <w:t>$6,845</w:t>
            </w:r>
          </w:p>
        </w:tc>
        <w:tc>
          <w:tcPr>
            <w:tcW w:w="576" w:type="pct"/>
            <w:tcBorders>
              <w:bottom w:val="nil"/>
            </w:tcBorders>
            <w:noWrap/>
            <w:hideMark/>
          </w:tcPr>
          <w:p w:rsidR="00293116" w:rsidRPr="008D7CBC" w:rsidRDefault="00293116" w:rsidP="00373F3A">
            <w:pPr>
              <w:pStyle w:val="Tabletext"/>
              <w:jc w:val="right"/>
            </w:pPr>
            <w:r>
              <w:t>–</w:t>
            </w:r>
            <w:r w:rsidRPr="00053697">
              <w:t>$10,688</w:t>
            </w:r>
          </w:p>
        </w:tc>
        <w:tc>
          <w:tcPr>
            <w:tcW w:w="576" w:type="pct"/>
            <w:tcBorders>
              <w:bottom w:val="nil"/>
            </w:tcBorders>
          </w:tcPr>
          <w:p w:rsidR="00293116" w:rsidRPr="008D7CBC" w:rsidRDefault="00293116" w:rsidP="00373F3A">
            <w:pPr>
              <w:pStyle w:val="Tabletext"/>
              <w:jc w:val="right"/>
            </w:pPr>
            <w:r w:rsidRPr="00053697">
              <w:t>$28,292</w:t>
            </w:r>
          </w:p>
        </w:tc>
      </w:tr>
      <w:tr w:rsidR="00293116" w:rsidRPr="00EE4B12" w:rsidTr="00373F3A">
        <w:trPr>
          <w:trHeight w:val="300"/>
        </w:trPr>
        <w:tc>
          <w:tcPr>
            <w:tcW w:w="2120" w:type="pct"/>
            <w:tcBorders>
              <w:top w:val="nil"/>
              <w:bottom w:val="nil"/>
            </w:tcBorders>
            <w:noWrap/>
          </w:tcPr>
          <w:p w:rsidR="00293116" w:rsidRPr="00B80D0A" w:rsidRDefault="00293116" w:rsidP="00373F3A">
            <w:pPr>
              <w:pStyle w:val="Tabletext"/>
            </w:pPr>
            <w:r w:rsidRPr="00B80D0A">
              <w:t>Incremental QALYs</w:t>
            </w:r>
          </w:p>
        </w:tc>
        <w:tc>
          <w:tcPr>
            <w:tcW w:w="576" w:type="pct"/>
            <w:tcBorders>
              <w:top w:val="nil"/>
              <w:bottom w:val="nil"/>
            </w:tcBorders>
            <w:noWrap/>
          </w:tcPr>
          <w:p w:rsidR="00293116" w:rsidRPr="008D7CBC" w:rsidRDefault="00293116" w:rsidP="00373F3A">
            <w:pPr>
              <w:pStyle w:val="Tabletext"/>
              <w:jc w:val="right"/>
            </w:pPr>
            <w:r w:rsidRPr="00053697">
              <w:t>0.0820</w:t>
            </w:r>
          </w:p>
        </w:tc>
        <w:tc>
          <w:tcPr>
            <w:tcW w:w="576" w:type="pct"/>
            <w:tcBorders>
              <w:top w:val="nil"/>
              <w:bottom w:val="nil"/>
            </w:tcBorders>
            <w:noWrap/>
          </w:tcPr>
          <w:p w:rsidR="00293116" w:rsidRPr="008D7CBC" w:rsidRDefault="00293116" w:rsidP="00373F3A">
            <w:pPr>
              <w:pStyle w:val="Tabletext"/>
              <w:jc w:val="right"/>
            </w:pPr>
            <w:r w:rsidRPr="00053697">
              <w:t>0.0820</w:t>
            </w:r>
          </w:p>
        </w:tc>
        <w:tc>
          <w:tcPr>
            <w:tcW w:w="576" w:type="pct"/>
            <w:tcBorders>
              <w:top w:val="nil"/>
              <w:bottom w:val="nil"/>
            </w:tcBorders>
            <w:noWrap/>
          </w:tcPr>
          <w:p w:rsidR="00293116" w:rsidRPr="008D7CBC" w:rsidRDefault="00293116" w:rsidP="00373F3A">
            <w:pPr>
              <w:pStyle w:val="Tabletext"/>
              <w:jc w:val="right"/>
            </w:pPr>
            <w:r w:rsidRPr="00053697">
              <w:t>0.0820</w:t>
            </w:r>
          </w:p>
        </w:tc>
        <w:tc>
          <w:tcPr>
            <w:tcW w:w="576" w:type="pct"/>
            <w:tcBorders>
              <w:top w:val="nil"/>
              <w:bottom w:val="nil"/>
            </w:tcBorders>
            <w:noWrap/>
          </w:tcPr>
          <w:p w:rsidR="00293116" w:rsidRPr="008D7CBC" w:rsidRDefault="00293116" w:rsidP="00373F3A">
            <w:pPr>
              <w:pStyle w:val="Tabletext"/>
              <w:jc w:val="right"/>
            </w:pPr>
            <w:r w:rsidRPr="00053697">
              <w:t>0.0820</w:t>
            </w:r>
          </w:p>
        </w:tc>
        <w:tc>
          <w:tcPr>
            <w:tcW w:w="576" w:type="pct"/>
            <w:tcBorders>
              <w:top w:val="nil"/>
              <w:bottom w:val="nil"/>
            </w:tcBorders>
          </w:tcPr>
          <w:p w:rsidR="00293116" w:rsidRPr="008D7CBC" w:rsidRDefault="00293116" w:rsidP="00373F3A">
            <w:pPr>
              <w:pStyle w:val="Tabletext"/>
              <w:jc w:val="right"/>
            </w:pPr>
            <w:r w:rsidRPr="00053697">
              <w:t>1.6298</w:t>
            </w:r>
          </w:p>
        </w:tc>
      </w:tr>
      <w:tr w:rsidR="00293116" w:rsidRPr="00EE4B12" w:rsidTr="00373F3A">
        <w:trPr>
          <w:trHeight w:val="300"/>
        </w:trPr>
        <w:tc>
          <w:tcPr>
            <w:tcW w:w="2120" w:type="pct"/>
            <w:tcBorders>
              <w:top w:val="nil"/>
              <w:bottom w:val="single" w:sz="4" w:space="0" w:color="auto"/>
            </w:tcBorders>
            <w:noWrap/>
          </w:tcPr>
          <w:p w:rsidR="00293116" w:rsidRPr="00FA699F" w:rsidRDefault="00293116" w:rsidP="00373F3A">
            <w:pPr>
              <w:pStyle w:val="Tabletext"/>
              <w:rPr>
                <w:b/>
              </w:rPr>
            </w:pPr>
            <w:r w:rsidRPr="00FA699F">
              <w:rPr>
                <w:b/>
              </w:rPr>
              <w:t>ICER per QALY gained</w:t>
            </w:r>
          </w:p>
        </w:tc>
        <w:tc>
          <w:tcPr>
            <w:tcW w:w="576" w:type="pct"/>
            <w:tcBorders>
              <w:top w:val="nil"/>
              <w:bottom w:val="single" w:sz="4" w:space="0" w:color="auto"/>
            </w:tcBorders>
            <w:noWrap/>
          </w:tcPr>
          <w:p w:rsidR="00293116" w:rsidRPr="00446DC0" w:rsidRDefault="00293116" w:rsidP="00373F3A">
            <w:pPr>
              <w:pStyle w:val="Tabletext"/>
              <w:jc w:val="right"/>
              <w:rPr>
                <w:b/>
              </w:rPr>
            </w:pPr>
            <w:r w:rsidRPr="00446DC0">
              <w:rPr>
                <w:b/>
              </w:rPr>
              <w:t>$48,811</w:t>
            </w:r>
          </w:p>
        </w:tc>
        <w:tc>
          <w:tcPr>
            <w:tcW w:w="576" w:type="pct"/>
            <w:tcBorders>
              <w:top w:val="nil"/>
              <w:bottom w:val="single" w:sz="4" w:space="0" w:color="auto"/>
            </w:tcBorders>
            <w:noWrap/>
          </w:tcPr>
          <w:p w:rsidR="00293116" w:rsidRPr="00446DC0" w:rsidRDefault="00293116" w:rsidP="00373F3A">
            <w:pPr>
              <w:pStyle w:val="Tabletext"/>
              <w:jc w:val="right"/>
              <w:rPr>
                <w:b/>
              </w:rPr>
            </w:pPr>
            <w:r w:rsidRPr="00446DC0">
              <w:rPr>
                <w:b/>
              </w:rPr>
              <w:t>$364,769</w:t>
            </w:r>
          </w:p>
        </w:tc>
        <w:tc>
          <w:tcPr>
            <w:tcW w:w="576" w:type="pct"/>
            <w:tcBorders>
              <w:top w:val="nil"/>
              <w:bottom w:val="single" w:sz="4" w:space="0" w:color="auto"/>
            </w:tcBorders>
            <w:noWrap/>
          </w:tcPr>
          <w:p w:rsidR="00293116" w:rsidRPr="00446DC0" w:rsidRDefault="00293116" w:rsidP="00373F3A">
            <w:pPr>
              <w:pStyle w:val="Tabletext"/>
              <w:jc w:val="right"/>
              <w:rPr>
                <w:b/>
              </w:rPr>
            </w:pPr>
            <w:r w:rsidRPr="00446DC0">
              <w:rPr>
                <w:b/>
              </w:rPr>
              <w:t>Dominant</w:t>
            </w:r>
          </w:p>
        </w:tc>
        <w:tc>
          <w:tcPr>
            <w:tcW w:w="576" w:type="pct"/>
            <w:tcBorders>
              <w:top w:val="nil"/>
              <w:bottom w:val="single" w:sz="4" w:space="0" w:color="auto"/>
            </w:tcBorders>
            <w:noWrap/>
          </w:tcPr>
          <w:p w:rsidR="00293116" w:rsidRPr="00446DC0" w:rsidRDefault="00293116" w:rsidP="00373F3A">
            <w:pPr>
              <w:pStyle w:val="Tabletext"/>
              <w:jc w:val="right"/>
              <w:rPr>
                <w:b/>
              </w:rPr>
            </w:pPr>
            <w:r w:rsidRPr="00446DC0">
              <w:rPr>
                <w:b/>
              </w:rPr>
              <w:t>Dominant</w:t>
            </w:r>
          </w:p>
        </w:tc>
        <w:tc>
          <w:tcPr>
            <w:tcW w:w="576" w:type="pct"/>
            <w:tcBorders>
              <w:top w:val="nil"/>
              <w:bottom w:val="single" w:sz="4" w:space="0" w:color="auto"/>
            </w:tcBorders>
          </w:tcPr>
          <w:p w:rsidR="00293116" w:rsidRPr="00446DC0" w:rsidRDefault="00293116" w:rsidP="00373F3A">
            <w:pPr>
              <w:pStyle w:val="Tabletext"/>
              <w:jc w:val="right"/>
              <w:rPr>
                <w:b/>
              </w:rPr>
            </w:pPr>
            <w:r w:rsidRPr="00446DC0">
              <w:rPr>
                <w:b/>
              </w:rPr>
              <w:t>$17,359</w:t>
            </w:r>
          </w:p>
        </w:tc>
      </w:tr>
      <w:tr w:rsidR="00293116" w:rsidRPr="00EE4B12" w:rsidTr="00373F3A">
        <w:trPr>
          <w:trHeight w:val="300"/>
        </w:trPr>
        <w:tc>
          <w:tcPr>
            <w:tcW w:w="2120" w:type="pct"/>
            <w:tcBorders>
              <w:top w:val="single" w:sz="4" w:space="0" w:color="auto"/>
              <w:bottom w:val="nil"/>
            </w:tcBorders>
            <w:noWrap/>
          </w:tcPr>
          <w:p w:rsidR="00293116" w:rsidRPr="00B80D0A" w:rsidRDefault="00293116" w:rsidP="00373F3A">
            <w:pPr>
              <w:pStyle w:val="Tabletext"/>
            </w:pPr>
            <w:r w:rsidRPr="00B80D0A">
              <w:t>No. bleeds avoided</w:t>
            </w:r>
          </w:p>
        </w:tc>
        <w:tc>
          <w:tcPr>
            <w:tcW w:w="576" w:type="pct"/>
            <w:tcBorders>
              <w:top w:val="single" w:sz="4" w:space="0" w:color="auto"/>
              <w:bottom w:val="nil"/>
            </w:tcBorders>
            <w:noWrap/>
          </w:tcPr>
          <w:p w:rsidR="00293116" w:rsidRPr="008D7CBC" w:rsidRDefault="00293116" w:rsidP="00373F3A">
            <w:pPr>
              <w:pStyle w:val="Tabletext"/>
              <w:jc w:val="right"/>
            </w:pPr>
            <w:r w:rsidRPr="00053697">
              <w:t>1.90</w:t>
            </w:r>
          </w:p>
        </w:tc>
        <w:tc>
          <w:tcPr>
            <w:tcW w:w="576" w:type="pct"/>
            <w:tcBorders>
              <w:top w:val="single" w:sz="4" w:space="0" w:color="auto"/>
              <w:bottom w:val="nil"/>
            </w:tcBorders>
            <w:noWrap/>
          </w:tcPr>
          <w:p w:rsidR="00293116" w:rsidRPr="008D7CBC" w:rsidRDefault="00293116" w:rsidP="00373F3A">
            <w:pPr>
              <w:pStyle w:val="Tabletext"/>
              <w:jc w:val="right"/>
            </w:pPr>
            <w:r>
              <w:t>–</w:t>
            </w:r>
            <w:r w:rsidRPr="00053697">
              <w:t>0.10</w:t>
            </w:r>
          </w:p>
        </w:tc>
        <w:tc>
          <w:tcPr>
            <w:tcW w:w="576" w:type="pct"/>
            <w:tcBorders>
              <w:top w:val="single" w:sz="4" w:space="0" w:color="auto"/>
              <w:bottom w:val="nil"/>
            </w:tcBorders>
            <w:noWrap/>
          </w:tcPr>
          <w:p w:rsidR="00293116" w:rsidRPr="008D7CBC" w:rsidRDefault="00293116" w:rsidP="00373F3A">
            <w:pPr>
              <w:pStyle w:val="Tabletext"/>
              <w:jc w:val="right"/>
            </w:pPr>
            <w:r w:rsidRPr="00053697">
              <w:t>2.60</w:t>
            </w:r>
          </w:p>
        </w:tc>
        <w:tc>
          <w:tcPr>
            <w:tcW w:w="576" w:type="pct"/>
            <w:tcBorders>
              <w:top w:val="single" w:sz="4" w:space="0" w:color="auto"/>
              <w:bottom w:val="nil"/>
            </w:tcBorders>
            <w:noWrap/>
          </w:tcPr>
          <w:p w:rsidR="00293116" w:rsidRPr="008D7CBC" w:rsidRDefault="00293116" w:rsidP="00373F3A">
            <w:pPr>
              <w:pStyle w:val="Tabletext"/>
              <w:jc w:val="right"/>
            </w:pPr>
            <w:r w:rsidRPr="00053697">
              <w:t>2.60</w:t>
            </w:r>
          </w:p>
        </w:tc>
        <w:tc>
          <w:tcPr>
            <w:tcW w:w="576" w:type="pct"/>
            <w:tcBorders>
              <w:top w:val="single" w:sz="4" w:space="0" w:color="auto"/>
              <w:bottom w:val="nil"/>
            </w:tcBorders>
          </w:tcPr>
          <w:p w:rsidR="00293116" w:rsidRPr="008D7CBC" w:rsidRDefault="00293116" w:rsidP="00373F3A">
            <w:pPr>
              <w:pStyle w:val="Tabletext"/>
              <w:jc w:val="right"/>
            </w:pPr>
            <w:r w:rsidRPr="00053697">
              <w:t>37.6</w:t>
            </w:r>
          </w:p>
        </w:tc>
      </w:tr>
      <w:tr w:rsidR="00293116" w:rsidRPr="00EE4B12" w:rsidTr="00373F3A">
        <w:trPr>
          <w:trHeight w:val="300"/>
        </w:trPr>
        <w:tc>
          <w:tcPr>
            <w:tcW w:w="2120" w:type="pct"/>
            <w:tcBorders>
              <w:top w:val="nil"/>
              <w:bottom w:val="single" w:sz="4" w:space="0" w:color="auto"/>
            </w:tcBorders>
            <w:noWrap/>
          </w:tcPr>
          <w:p w:rsidR="00293116" w:rsidRPr="00B80D0A" w:rsidRDefault="00293116" w:rsidP="00373F3A">
            <w:pPr>
              <w:pStyle w:val="Tabletext"/>
            </w:pPr>
            <w:r w:rsidRPr="00B80D0A">
              <w:t>ICER per bleed avoided</w:t>
            </w:r>
          </w:p>
        </w:tc>
        <w:tc>
          <w:tcPr>
            <w:tcW w:w="576" w:type="pct"/>
            <w:tcBorders>
              <w:top w:val="nil"/>
              <w:bottom w:val="single" w:sz="4" w:space="0" w:color="auto"/>
            </w:tcBorders>
            <w:noWrap/>
          </w:tcPr>
          <w:p w:rsidR="00293116" w:rsidRPr="008D7CBC" w:rsidRDefault="00293116" w:rsidP="00373F3A">
            <w:pPr>
              <w:pStyle w:val="Tabletext"/>
              <w:jc w:val="right"/>
            </w:pPr>
            <w:r w:rsidRPr="00053697">
              <w:t>$2,107</w:t>
            </w:r>
          </w:p>
        </w:tc>
        <w:tc>
          <w:tcPr>
            <w:tcW w:w="576" w:type="pct"/>
            <w:tcBorders>
              <w:top w:val="nil"/>
              <w:bottom w:val="single" w:sz="4" w:space="0" w:color="auto"/>
            </w:tcBorders>
            <w:noWrap/>
          </w:tcPr>
          <w:p w:rsidR="00293116" w:rsidRPr="008D7CBC" w:rsidRDefault="00293116" w:rsidP="00373F3A">
            <w:pPr>
              <w:pStyle w:val="Tabletext"/>
              <w:jc w:val="right"/>
            </w:pPr>
            <w:r w:rsidRPr="00053697">
              <w:t>Dominated</w:t>
            </w:r>
          </w:p>
        </w:tc>
        <w:tc>
          <w:tcPr>
            <w:tcW w:w="576" w:type="pct"/>
            <w:tcBorders>
              <w:top w:val="nil"/>
              <w:bottom w:val="single" w:sz="4" w:space="0" w:color="auto"/>
            </w:tcBorders>
            <w:noWrap/>
          </w:tcPr>
          <w:p w:rsidR="00293116" w:rsidRPr="008D7CBC" w:rsidRDefault="00293116" w:rsidP="00373F3A">
            <w:pPr>
              <w:pStyle w:val="Tabletext"/>
              <w:jc w:val="right"/>
            </w:pPr>
            <w:r w:rsidRPr="00053697">
              <w:t>Dominant</w:t>
            </w:r>
          </w:p>
        </w:tc>
        <w:tc>
          <w:tcPr>
            <w:tcW w:w="576" w:type="pct"/>
            <w:tcBorders>
              <w:top w:val="nil"/>
              <w:bottom w:val="single" w:sz="4" w:space="0" w:color="auto"/>
            </w:tcBorders>
            <w:noWrap/>
          </w:tcPr>
          <w:p w:rsidR="00293116" w:rsidRPr="008D7CBC" w:rsidRDefault="00293116" w:rsidP="00373F3A">
            <w:pPr>
              <w:pStyle w:val="Tabletext"/>
              <w:jc w:val="right"/>
            </w:pPr>
            <w:r w:rsidRPr="00053697">
              <w:t>Dominant</w:t>
            </w:r>
          </w:p>
        </w:tc>
        <w:tc>
          <w:tcPr>
            <w:tcW w:w="576" w:type="pct"/>
            <w:tcBorders>
              <w:top w:val="nil"/>
              <w:bottom w:val="single" w:sz="4" w:space="0" w:color="auto"/>
            </w:tcBorders>
          </w:tcPr>
          <w:p w:rsidR="00293116" w:rsidRPr="008D7CBC" w:rsidRDefault="00293116" w:rsidP="00373F3A">
            <w:pPr>
              <w:pStyle w:val="Tabletext"/>
              <w:jc w:val="right"/>
            </w:pPr>
            <w:r w:rsidRPr="00053697">
              <w:t>$753</w:t>
            </w:r>
          </w:p>
        </w:tc>
      </w:tr>
      <w:tr w:rsidR="00293116" w:rsidRPr="00EE4B12" w:rsidTr="00373F3A">
        <w:trPr>
          <w:trHeight w:val="300"/>
        </w:trPr>
        <w:tc>
          <w:tcPr>
            <w:tcW w:w="2120" w:type="pct"/>
            <w:tcBorders>
              <w:top w:val="single" w:sz="4" w:space="0" w:color="auto"/>
              <w:bottom w:val="nil"/>
            </w:tcBorders>
            <w:noWrap/>
          </w:tcPr>
          <w:p w:rsidR="00293116" w:rsidRPr="00B80D0A" w:rsidRDefault="00293116" w:rsidP="00373F3A">
            <w:pPr>
              <w:pStyle w:val="Tabletext"/>
            </w:pPr>
            <w:r w:rsidRPr="00B80D0A">
              <w:t>No. infusions avoided</w:t>
            </w:r>
          </w:p>
        </w:tc>
        <w:tc>
          <w:tcPr>
            <w:tcW w:w="576" w:type="pct"/>
            <w:tcBorders>
              <w:top w:val="single" w:sz="4" w:space="0" w:color="auto"/>
              <w:bottom w:val="nil"/>
            </w:tcBorders>
            <w:noWrap/>
          </w:tcPr>
          <w:p w:rsidR="00293116" w:rsidRPr="008D7CBC" w:rsidRDefault="00293116" w:rsidP="00373F3A">
            <w:pPr>
              <w:pStyle w:val="Tabletext"/>
              <w:jc w:val="right"/>
            </w:pPr>
            <w:r w:rsidRPr="00053697">
              <w:t>54</w:t>
            </w:r>
          </w:p>
        </w:tc>
        <w:tc>
          <w:tcPr>
            <w:tcW w:w="576" w:type="pct"/>
            <w:tcBorders>
              <w:top w:val="single" w:sz="4" w:space="0" w:color="auto"/>
              <w:bottom w:val="nil"/>
            </w:tcBorders>
            <w:noWrap/>
          </w:tcPr>
          <w:p w:rsidR="00293116" w:rsidRPr="008D7CBC" w:rsidRDefault="00293116" w:rsidP="00373F3A">
            <w:pPr>
              <w:pStyle w:val="Tabletext"/>
              <w:jc w:val="right"/>
            </w:pPr>
            <w:r w:rsidRPr="00053697">
              <w:t>52</w:t>
            </w:r>
          </w:p>
        </w:tc>
        <w:tc>
          <w:tcPr>
            <w:tcW w:w="576" w:type="pct"/>
            <w:tcBorders>
              <w:top w:val="single" w:sz="4" w:space="0" w:color="auto"/>
              <w:bottom w:val="nil"/>
            </w:tcBorders>
            <w:noWrap/>
          </w:tcPr>
          <w:p w:rsidR="00293116" w:rsidRPr="008D7CBC" w:rsidRDefault="00293116" w:rsidP="00373F3A">
            <w:pPr>
              <w:pStyle w:val="Tabletext"/>
              <w:jc w:val="right"/>
            </w:pPr>
            <w:r w:rsidRPr="00053697">
              <w:t>55</w:t>
            </w:r>
          </w:p>
        </w:tc>
        <w:tc>
          <w:tcPr>
            <w:tcW w:w="576" w:type="pct"/>
            <w:tcBorders>
              <w:top w:val="single" w:sz="4" w:space="0" w:color="auto"/>
              <w:bottom w:val="nil"/>
            </w:tcBorders>
            <w:noWrap/>
          </w:tcPr>
          <w:p w:rsidR="00293116" w:rsidRPr="008D7CBC" w:rsidRDefault="00293116" w:rsidP="00373F3A">
            <w:pPr>
              <w:pStyle w:val="Tabletext"/>
              <w:jc w:val="right"/>
            </w:pPr>
            <w:r w:rsidRPr="00053697">
              <w:t>55</w:t>
            </w:r>
          </w:p>
        </w:tc>
        <w:tc>
          <w:tcPr>
            <w:tcW w:w="576" w:type="pct"/>
            <w:tcBorders>
              <w:top w:val="single" w:sz="4" w:space="0" w:color="auto"/>
              <w:bottom w:val="nil"/>
            </w:tcBorders>
          </w:tcPr>
          <w:p w:rsidR="00293116" w:rsidRPr="008D7CBC" w:rsidRDefault="00293116" w:rsidP="00373F3A">
            <w:pPr>
              <w:pStyle w:val="Tabletext"/>
              <w:jc w:val="right"/>
            </w:pPr>
            <w:r w:rsidRPr="00053697">
              <w:t>1079</w:t>
            </w:r>
          </w:p>
        </w:tc>
      </w:tr>
      <w:tr w:rsidR="00293116" w:rsidRPr="00EE4B12" w:rsidTr="00373F3A">
        <w:trPr>
          <w:trHeight w:val="300"/>
        </w:trPr>
        <w:tc>
          <w:tcPr>
            <w:tcW w:w="2120" w:type="pct"/>
            <w:tcBorders>
              <w:top w:val="nil"/>
              <w:bottom w:val="double" w:sz="4" w:space="0" w:color="auto"/>
            </w:tcBorders>
            <w:noWrap/>
            <w:hideMark/>
          </w:tcPr>
          <w:p w:rsidR="00293116" w:rsidRPr="00B80D0A" w:rsidRDefault="00293116" w:rsidP="00373F3A">
            <w:pPr>
              <w:pStyle w:val="Tabletext"/>
            </w:pPr>
            <w:r w:rsidRPr="00B80D0A">
              <w:t>ICER per infusion avoided</w:t>
            </w:r>
          </w:p>
        </w:tc>
        <w:tc>
          <w:tcPr>
            <w:tcW w:w="576" w:type="pct"/>
            <w:tcBorders>
              <w:top w:val="nil"/>
              <w:bottom w:val="double" w:sz="4" w:space="0" w:color="auto"/>
            </w:tcBorders>
            <w:noWrap/>
            <w:hideMark/>
          </w:tcPr>
          <w:p w:rsidR="00293116" w:rsidRPr="008D7CBC" w:rsidRDefault="00293116" w:rsidP="00373F3A">
            <w:pPr>
              <w:pStyle w:val="Tabletext"/>
              <w:jc w:val="right"/>
            </w:pPr>
            <w:r w:rsidRPr="00053697">
              <w:t>$74</w:t>
            </w:r>
          </w:p>
        </w:tc>
        <w:tc>
          <w:tcPr>
            <w:tcW w:w="576" w:type="pct"/>
            <w:tcBorders>
              <w:top w:val="nil"/>
              <w:bottom w:val="double" w:sz="4" w:space="0" w:color="auto"/>
            </w:tcBorders>
            <w:noWrap/>
            <w:hideMark/>
          </w:tcPr>
          <w:p w:rsidR="00293116" w:rsidRPr="008D7CBC" w:rsidRDefault="00293116" w:rsidP="00373F3A">
            <w:pPr>
              <w:pStyle w:val="Tabletext"/>
              <w:jc w:val="right"/>
            </w:pPr>
            <w:r w:rsidRPr="00053697">
              <w:t>$576</w:t>
            </w:r>
          </w:p>
        </w:tc>
        <w:tc>
          <w:tcPr>
            <w:tcW w:w="576" w:type="pct"/>
            <w:tcBorders>
              <w:top w:val="nil"/>
              <w:bottom w:val="double" w:sz="4" w:space="0" w:color="auto"/>
            </w:tcBorders>
            <w:noWrap/>
            <w:hideMark/>
          </w:tcPr>
          <w:p w:rsidR="00293116" w:rsidRPr="008D7CBC" w:rsidRDefault="00293116" w:rsidP="00373F3A">
            <w:pPr>
              <w:pStyle w:val="Tabletext"/>
              <w:jc w:val="right"/>
            </w:pPr>
            <w:r w:rsidRPr="00053697">
              <w:t>Dominant</w:t>
            </w:r>
          </w:p>
        </w:tc>
        <w:tc>
          <w:tcPr>
            <w:tcW w:w="576" w:type="pct"/>
            <w:tcBorders>
              <w:top w:val="nil"/>
              <w:bottom w:val="double" w:sz="4" w:space="0" w:color="auto"/>
            </w:tcBorders>
            <w:noWrap/>
            <w:hideMark/>
          </w:tcPr>
          <w:p w:rsidR="00293116" w:rsidRPr="008D7CBC" w:rsidRDefault="00293116" w:rsidP="00373F3A">
            <w:pPr>
              <w:pStyle w:val="Tabletext"/>
              <w:jc w:val="right"/>
            </w:pPr>
            <w:r w:rsidRPr="00053697">
              <w:t>Dominant</w:t>
            </w:r>
          </w:p>
        </w:tc>
        <w:tc>
          <w:tcPr>
            <w:tcW w:w="576" w:type="pct"/>
            <w:tcBorders>
              <w:top w:val="nil"/>
              <w:bottom w:val="double" w:sz="4" w:space="0" w:color="auto"/>
            </w:tcBorders>
          </w:tcPr>
          <w:p w:rsidR="00293116" w:rsidRDefault="00293116" w:rsidP="00373F3A">
            <w:pPr>
              <w:pStyle w:val="Tabletext"/>
              <w:jc w:val="right"/>
            </w:pPr>
            <w:r w:rsidRPr="00053697">
              <w:t>$26</w:t>
            </w:r>
          </w:p>
        </w:tc>
      </w:tr>
    </w:tbl>
    <w:p w:rsidR="00293116" w:rsidRDefault="00293116" w:rsidP="006E2F2C">
      <w:pPr>
        <w:spacing w:before="240"/>
      </w:pPr>
      <w:r>
        <w:t xml:space="preserve">The analyses were most sensitive to the source of data used to inform comparative </w:t>
      </w:r>
      <w:r w:rsidR="00477A86">
        <w:t xml:space="preserve">factor </w:t>
      </w:r>
      <w:r>
        <w:t>IX consumption and AB</w:t>
      </w:r>
      <w:r w:rsidR="00B13E7D">
        <w:t>R and to utility weights used.</w:t>
      </w:r>
    </w:p>
    <w:p w:rsidR="00BC1364" w:rsidRPr="00F715D1" w:rsidRDefault="00BC1364" w:rsidP="00F715D1">
      <w:pPr>
        <w:pStyle w:val="Heading1"/>
      </w:pPr>
      <w:r w:rsidRPr="00F715D1">
        <w:t>Financial/budgetary impacts</w:t>
      </w:r>
    </w:p>
    <w:p w:rsidR="00293116" w:rsidRDefault="00293116" w:rsidP="006E2F2C">
      <w:pPr>
        <w:spacing w:after="240"/>
      </w:pPr>
      <w:r>
        <w:t xml:space="preserve">A market-based approach is used to estimate the financial implications for the introduction of EHL factors for haemophilia treatment. These were based on data reported in the ABDR Annual Report 2015-16 </w:t>
      </w:r>
      <w:r>
        <w:fldChar w:fldCharType="begin"/>
      </w:r>
      <w:r>
        <w:instrText xml:space="preserve"> ADDIN EN.CITE &lt;EndNote&gt;&lt;Cite ExcludeAuth="1"&gt;&lt;Author&gt;National Blood Authority Australia&lt;/Author&gt;&lt;Year&gt;2017&lt;/Year&gt;&lt;RecNum&gt;17&lt;/RecNum&gt;&lt;Prefix&gt;NBA &lt;/Prefix&gt;&lt;DisplayText&gt;(NBA 2017)&lt;/DisplayText&gt;&lt;record&gt;&lt;rec-number&gt;17&lt;/rec-number&gt;&lt;foreign-keys&gt;&lt;key app="EN" db-id="xretss00sefzzje90auprxxmdfwwvv9e5ezs" timestamp="1524450919"&gt;17&lt;/key&gt;&lt;key app="ENWeb" db-id=""&gt;0&lt;/key&gt;&lt;/foreign-keys&gt;&lt;ref-type name="Report"&gt;27&lt;/ref-type&gt;&lt;contributors&gt;&lt;authors&gt;&lt;author&gt;National Blood Authority Australia [NBA],&lt;/author&gt;&lt;/authors&gt;&lt;/contributors&gt;&lt;titles&gt;&lt;title&gt;Australian Bleeding Disorders Registry Annual Report 2015-16&lt;/title&gt;&lt;/titles&gt;&lt;dates&gt;&lt;year&gt;2017&lt;/year&gt;&lt;/dates&gt;&lt;urls&gt;&lt;/urls&gt;&lt;/record&gt;&lt;/Cite&gt;&lt;/EndNote&gt;</w:instrText>
      </w:r>
      <w:r>
        <w:fldChar w:fldCharType="separate"/>
      </w:r>
      <w:r>
        <w:rPr>
          <w:noProof/>
        </w:rPr>
        <w:t>(</w:t>
      </w:r>
      <w:hyperlink w:anchor="_ENREF_103" w:tooltip="National Blood Authority Australia [NBA], 2017 #17" w:history="1">
        <w:r>
          <w:rPr>
            <w:noProof/>
          </w:rPr>
          <w:t>NBA 2017</w:t>
        </w:r>
      </w:hyperlink>
      <w:r>
        <w:rPr>
          <w:noProof/>
        </w:rPr>
        <w:t>)</w:t>
      </w:r>
      <w:r>
        <w:fldChar w:fldCharType="end"/>
      </w:r>
      <w:r>
        <w:t>.</w:t>
      </w:r>
    </w:p>
    <w:p w:rsidR="002A7C45" w:rsidRPr="006E2F2C" w:rsidRDefault="00293116">
      <w:r w:rsidRPr="005C061E">
        <w:t xml:space="preserve">The financial implications resulting from </w:t>
      </w:r>
      <w:r>
        <w:t>the funding</w:t>
      </w:r>
      <w:r w:rsidRPr="005C061E">
        <w:t xml:space="preserve"> of </w:t>
      </w:r>
      <w:r>
        <w:t>EHL factor concentrates</w:t>
      </w:r>
      <w:r w:rsidRPr="005C061E">
        <w:t xml:space="preserve"> are summarised in </w:t>
      </w:r>
      <w:r w:rsidRPr="00632594">
        <w:fldChar w:fldCharType="begin"/>
      </w:r>
      <w:r w:rsidRPr="00632594">
        <w:instrText xml:space="preserve"> REF _Ref395200110 \h  \* MERGEFORMAT </w:instrText>
      </w:r>
      <w:r w:rsidRPr="00632594">
        <w:fldChar w:fldCharType="separate"/>
      </w:r>
      <w:r w:rsidRPr="00632594">
        <w:t xml:space="preserve">Table </w:t>
      </w:r>
      <w:r>
        <w:rPr>
          <w:noProof/>
        </w:rPr>
        <w:t>3</w:t>
      </w:r>
      <w:r w:rsidRPr="00632594">
        <w:fldChar w:fldCharType="end"/>
      </w:r>
      <w:r>
        <w:t xml:space="preserve"> and </w:t>
      </w:r>
      <w:r>
        <w:fldChar w:fldCharType="begin"/>
      </w:r>
      <w:r>
        <w:instrText xml:space="preserve"> REF _Ref512268964 \h </w:instrText>
      </w:r>
      <w:r>
        <w:fldChar w:fldCharType="separate"/>
      </w:r>
      <w:r w:rsidRPr="002F7E26">
        <w:t xml:space="preserve">Table </w:t>
      </w:r>
      <w:r>
        <w:rPr>
          <w:noProof/>
        </w:rPr>
        <w:t>4</w:t>
      </w:r>
      <w:r>
        <w:fldChar w:fldCharType="end"/>
      </w:r>
      <w:r>
        <w:t>, for haemophilia A and B, respectively.</w:t>
      </w:r>
      <w:r w:rsidR="002A7C45">
        <w:rPr>
          <w:i/>
        </w:rPr>
        <w:br w:type="page"/>
      </w:r>
    </w:p>
    <w:p w:rsidR="00293116" w:rsidRPr="00DD0502" w:rsidRDefault="00293116" w:rsidP="00DD0502">
      <w:pPr>
        <w:spacing w:after="120"/>
        <w:rPr>
          <w:i/>
        </w:rPr>
      </w:pPr>
      <w:r w:rsidRPr="00DD0502">
        <w:rPr>
          <w:i/>
        </w:rPr>
        <w:lastRenderedPageBreak/>
        <w:t>Haemophilia A</w:t>
      </w:r>
    </w:p>
    <w:p w:rsidR="00293116" w:rsidRPr="00F46CFD" w:rsidRDefault="00293116" w:rsidP="00F46CFD">
      <w:pPr>
        <w:rPr>
          <w:rFonts w:ascii="Arial Narrow" w:hAnsi="Arial Narrow" w:cs="Arial"/>
          <w:b/>
          <w:sz w:val="20"/>
        </w:rPr>
      </w:pPr>
      <w:bookmarkStart w:id="15" w:name="_Ref395200110"/>
      <w:bookmarkStart w:id="16" w:name="_Toc393197779"/>
      <w:bookmarkStart w:id="17" w:name="_Toc393378192"/>
      <w:bookmarkStart w:id="18" w:name="_Toc511983013"/>
      <w:bookmarkStart w:id="19" w:name="_Toc513112433"/>
      <w:r w:rsidRPr="00F46CFD">
        <w:rPr>
          <w:rFonts w:ascii="Arial Narrow" w:hAnsi="Arial Narrow" w:cs="Arial"/>
          <w:b/>
          <w:sz w:val="20"/>
        </w:rPr>
        <w:t xml:space="preserve">Table </w:t>
      </w:r>
      <w:r w:rsidR="00B20EE7" w:rsidRPr="00F46CFD">
        <w:rPr>
          <w:rFonts w:ascii="Arial Narrow" w:hAnsi="Arial Narrow" w:cs="Arial"/>
          <w:b/>
          <w:noProof/>
          <w:sz w:val="20"/>
        </w:rPr>
        <w:fldChar w:fldCharType="begin"/>
      </w:r>
      <w:r w:rsidR="00B20EE7" w:rsidRPr="00F46CFD">
        <w:rPr>
          <w:rFonts w:ascii="Arial Narrow" w:hAnsi="Arial Narrow" w:cs="Arial"/>
          <w:b/>
          <w:noProof/>
          <w:sz w:val="20"/>
        </w:rPr>
        <w:instrText xml:space="preserve"> SEQ Table \* ARABIC </w:instrText>
      </w:r>
      <w:r w:rsidR="00B20EE7" w:rsidRPr="00F46CFD">
        <w:rPr>
          <w:rFonts w:ascii="Arial Narrow" w:hAnsi="Arial Narrow" w:cs="Arial"/>
          <w:b/>
          <w:noProof/>
          <w:sz w:val="20"/>
        </w:rPr>
        <w:fldChar w:fldCharType="separate"/>
      </w:r>
      <w:r w:rsidRPr="00F46CFD">
        <w:rPr>
          <w:rFonts w:ascii="Arial Narrow" w:hAnsi="Arial Narrow" w:cs="Arial"/>
          <w:b/>
          <w:noProof/>
          <w:sz w:val="20"/>
        </w:rPr>
        <w:t>3</w:t>
      </w:r>
      <w:r w:rsidR="00B20EE7" w:rsidRPr="00F46CFD">
        <w:rPr>
          <w:rFonts w:ascii="Arial Narrow" w:hAnsi="Arial Narrow" w:cs="Arial"/>
          <w:b/>
          <w:noProof/>
          <w:sz w:val="20"/>
        </w:rPr>
        <w:fldChar w:fldCharType="end"/>
      </w:r>
      <w:bookmarkEnd w:id="15"/>
      <w:r w:rsidRPr="00F46CFD">
        <w:rPr>
          <w:rFonts w:ascii="Arial Narrow" w:hAnsi="Arial Narrow" w:cs="Arial"/>
          <w:b/>
          <w:sz w:val="20"/>
        </w:rPr>
        <w:tab/>
      </w:r>
      <w:bookmarkEnd w:id="16"/>
      <w:bookmarkEnd w:id="17"/>
      <w:bookmarkEnd w:id="18"/>
      <w:r w:rsidRPr="00F46CFD">
        <w:rPr>
          <w:rFonts w:ascii="Arial Narrow" w:hAnsi="Arial Narrow" w:cs="Arial"/>
          <w:b/>
          <w:sz w:val="20"/>
        </w:rPr>
        <w:t xml:space="preserve">Estimation of the financial impact of funding EHL </w:t>
      </w:r>
      <w:r w:rsidR="00477A86" w:rsidRPr="00F46CFD">
        <w:rPr>
          <w:rFonts w:ascii="Arial Narrow" w:hAnsi="Arial Narrow" w:cs="Arial"/>
          <w:b/>
          <w:sz w:val="20"/>
        </w:rPr>
        <w:t xml:space="preserve">factor </w:t>
      </w:r>
      <w:r w:rsidRPr="00F46CFD">
        <w:rPr>
          <w:rFonts w:ascii="Arial Narrow" w:hAnsi="Arial Narrow" w:cs="Arial"/>
          <w:b/>
          <w:sz w:val="20"/>
        </w:rPr>
        <w:t>VIII products</w:t>
      </w:r>
      <w:bookmarkEnd w:id="19"/>
    </w:p>
    <w:tbl>
      <w:tblPr>
        <w:tblStyle w:val="TableGrid"/>
        <w:tblW w:w="5138" w:type="pct"/>
        <w:tblInd w:w="-176" w:type="dxa"/>
        <w:tblLayout w:type="fixed"/>
        <w:tblLook w:val="04A0" w:firstRow="1" w:lastRow="0" w:firstColumn="1" w:lastColumn="0" w:noHBand="0" w:noVBand="1"/>
        <w:tblCaption w:val="Estimation of the financial impact of funding EHL FVIII products"/>
        <w:tblDescription w:val="Estimation of the financial impact of funding EHL FVIII products"/>
      </w:tblPr>
      <w:tblGrid>
        <w:gridCol w:w="2270"/>
        <w:gridCol w:w="1263"/>
        <w:gridCol w:w="1178"/>
        <w:gridCol w:w="1180"/>
        <w:gridCol w:w="1178"/>
        <w:gridCol w:w="1178"/>
        <w:gridCol w:w="1250"/>
      </w:tblGrid>
      <w:tr w:rsidR="00293116" w:rsidRPr="006E55EC" w:rsidTr="007B731F">
        <w:trPr>
          <w:cantSplit/>
          <w:trHeight w:val="315"/>
          <w:tblHeader/>
        </w:trPr>
        <w:tc>
          <w:tcPr>
            <w:tcW w:w="1195" w:type="pct"/>
            <w:noWrap/>
            <w:hideMark/>
          </w:tcPr>
          <w:p w:rsidR="00293116" w:rsidRPr="006E55EC" w:rsidRDefault="00293116" w:rsidP="00373F3A">
            <w:pPr>
              <w:pStyle w:val="TableHeading"/>
            </w:pPr>
          </w:p>
        </w:tc>
        <w:tc>
          <w:tcPr>
            <w:tcW w:w="665" w:type="pct"/>
            <w:hideMark/>
          </w:tcPr>
          <w:p w:rsidR="00293116" w:rsidRPr="006E55EC" w:rsidRDefault="00293116" w:rsidP="00373F3A">
            <w:pPr>
              <w:pStyle w:val="TableHeading"/>
              <w:jc w:val="center"/>
            </w:pPr>
            <w:r w:rsidRPr="006E55EC">
              <w:t>2018</w:t>
            </w:r>
            <w:r>
              <w:t>–</w:t>
            </w:r>
            <w:r w:rsidRPr="006E55EC">
              <w:t>19</w:t>
            </w:r>
          </w:p>
        </w:tc>
        <w:tc>
          <w:tcPr>
            <w:tcW w:w="620" w:type="pct"/>
            <w:hideMark/>
          </w:tcPr>
          <w:p w:rsidR="00293116" w:rsidRPr="006E55EC" w:rsidRDefault="00293116" w:rsidP="00373F3A">
            <w:pPr>
              <w:pStyle w:val="TableHeading"/>
              <w:jc w:val="center"/>
            </w:pPr>
            <w:r w:rsidRPr="006E55EC">
              <w:t>2019</w:t>
            </w:r>
            <w:r>
              <w:t>–</w:t>
            </w:r>
            <w:r w:rsidRPr="006E55EC">
              <w:t>20</w:t>
            </w:r>
          </w:p>
        </w:tc>
        <w:tc>
          <w:tcPr>
            <w:tcW w:w="621" w:type="pct"/>
            <w:hideMark/>
          </w:tcPr>
          <w:p w:rsidR="00293116" w:rsidRPr="006E55EC" w:rsidRDefault="00293116" w:rsidP="00373F3A">
            <w:pPr>
              <w:pStyle w:val="TableHeading"/>
              <w:jc w:val="center"/>
            </w:pPr>
            <w:r w:rsidRPr="006E55EC">
              <w:t>2020</w:t>
            </w:r>
            <w:r>
              <w:t>–</w:t>
            </w:r>
            <w:r w:rsidRPr="006E55EC">
              <w:t>21</w:t>
            </w:r>
          </w:p>
        </w:tc>
        <w:tc>
          <w:tcPr>
            <w:tcW w:w="620" w:type="pct"/>
            <w:hideMark/>
          </w:tcPr>
          <w:p w:rsidR="00293116" w:rsidRPr="006E55EC" w:rsidRDefault="00293116" w:rsidP="00373F3A">
            <w:pPr>
              <w:pStyle w:val="TableHeading"/>
              <w:jc w:val="center"/>
            </w:pPr>
            <w:r w:rsidRPr="006E55EC">
              <w:t>2021</w:t>
            </w:r>
            <w:r>
              <w:t>–</w:t>
            </w:r>
            <w:r w:rsidRPr="006E55EC">
              <w:t>22</w:t>
            </w:r>
          </w:p>
        </w:tc>
        <w:tc>
          <w:tcPr>
            <w:tcW w:w="620" w:type="pct"/>
            <w:hideMark/>
          </w:tcPr>
          <w:p w:rsidR="00293116" w:rsidRPr="006E55EC" w:rsidRDefault="00293116" w:rsidP="00373F3A">
            <w:pPr>
              <w:pStyle w:val="TableHeading"/>
              <w:jc w:val="center"/>
            </w:pPr>
            <w:r w:rsidRPr="006E55EC">
              <w:t>2022</w:t>
            </w:r>
            <w:r>
              <w:t>–</w:t>
            </w:r>
            <w:r w:rsidRPr="006E55EC">
              <w:t>23</w:t>
            </w:r>
          </w:p>
        </w:tc>
        <w:tc>
          <w:tcPr>
            <w:tcW w:w="658" w:type="pct"/>
          </w:tcPr>
          <w:p w:rsidR="00293116" w:rsidRPr="006E55EC" w:rsidRDefault="00293116" w:rsidP="00373F3A">
            <w:pPr>
              <w:pStyle w:val="TableHeading"/>
              <w:jc w:val="center"/>
            </w:pPr>
            <w:r w:rsidRPr="006E55EC">
              <w:t>2023</w:t>
            </w:r>
            <w:r>
              <w:t>–</w:t>
            </w:r>
            <w:r w:rsidRPr="006E55EC">
              <w:t>24</w:t>
            </w:r>
          </w:p>
        </w:tc>
      </w:tr>
      <w:tr w:rsidR="00293116" w:rsidRPr="000F6997" w:rsidTr="007B731F">
        <w:trPr>
          <w:cantSplit/>
          <w:trHeight w:val="330"/>
        </w:trPr>
        <w:tc>
          <w:tcPr>
            <w:tcW w:w="1195" w:type="pct"/>
            <w:noWrap/>
            <w:hideMark/>
          </w:tcPr>
          <w:p w:rsidR="00293116" w:rsidRPr="000F6997" w:rsidRDefault="00293116" w:rsidP="00373F3A">
            <w:pPr>
              <w:pStyle w:val="Tabletext"/>
            </w:pPr>
            <w:r>
              <w:t>Projected</w:t>
            </w:r>
            <w:r w:rsidRPr="000F6997">
              <w:t xml:space="preserve"> number of </w:t>
            </w:r>
            <w:r>
              <w:t>people with HA</w:t>
            </w:r>
          </w:p>
        </w:tc>
        <w:tc>
          <w:tcPr>
            <w:tcW w:w="665" w:type="pct"/>
            <w:hideMark/>
          </w:tcPr>
          <w:p w:rsidR="00293116" w:rsidRPr="000F6997" w:rsidRDefault="00293116" w:rsidP="00373F3A">
            <w:pPr>
              <w:pStyle w:val="Tabletext"/>
              <w:jc w:val="center"/>
            </w:pPr>
            <w:r w:rsidRPr="00F7498A">
              <w:t>2,555</w:t>
            </w:r>
          </w:p>
        </w:tc>
        <w:tc>
          <w:tcPr>
            <w:tcW w:w="620" w:type="pct"/>
            <w:hideMark/>
          </w:tcPr>
          <w:p w:rsidR="00293116" w:rsidRPr="000F6997" w:rsidRDefault="00293116" w:rsidP="00373F3A">
            <w:pPr>
              <w:pStyle w:val="Tabletext"/>
              <w:jc w:val="center"/>
            </w:pPr>
            <w:r w:rsidRPr="00F7498A">
              <w:t>2,626</w:t>
            </w:r>
          </w:p>
        </w:tc>
        <w:tc>
          <w:tcPr>
            <w:tcW w:w="621" w:type="pct"/>
            <w:hideMark/>
          </w:tcPr>
          <w:p w:rsidR="00293116" w:rsidRPr="000F6997" w:rsidRDefault="00293116" w:rsidP="00373F3A">
            <w:pPr>
              <w:pStyle w:val="Tabletext"/>
              <w:jc w:val="center"/>
            </w:pPr>
            <w:r w:rsidRPr="00F7498A">
              <w:t>2,697</w:t>
            </w:r>
          </w:p>
        </w:tc>
        <w:tc>
          <w:tcPr>
            <w:tcW w:w="620" w:type="pct"/>
            <w:hideMark/>
          </w:tcPr>
          <w:p w:rsidR="00293116" w:rsidRPr="000F6997" w:rsidRDefault="00293116" w:rsidP="00373F3A">
            <w:pPr>
              <w:pStyle w:val="Tabletext"/>
              <w:jc w:val="center"/>
            </w:pPr>
            <w:r w:rsidRPr="00F7498A">
              <w:t>2,769</w:t>
            </w:r>
          </w:p>
        </w:tc>
        <w:tc>
          <w:tcPr>
            <w:tcW w:w="620" w:type="pct"/>
            <w:hideMark/>
          </w:tcPr>
          <w:p w:rsidR="00293116" w:rsidRPr="000F6997" w:rsidRDefault="00293116" w:rsidP="00373F3A">
            <w:pPr>
              <w:pStyle w:val="Tabletext"/>
              <w:jc w:val="center"/>
            </w:pPr>
            <w:r w:rsidRPr="00F7498A">
              <w:t>2,840</w:t>
            </w:r>
          </w:p>
        </w:tc>
        <w:tc>
          <w:tcPr>
            <w:tcW w:w="658" w:type="pct"/>
          </w:tcPr>
          <w:p w:rsidR="00293116" w:rsidRPr="000F6997" w:rsidRDefault="00293116" w:rsidP="00373F3A">
            <w:pPr>
              <w:pStyle w:val="Tabletext"/>
              <w:jc w:val="center"/>
            </w:pPr>
            <w:r w:rsidRPr="00F7498A">
              <w:t>2,912</w:t>
            </w:r>
          </w:p>
        </w:tc>
      </w:tr>
      <w:tr w:rsidR="00293116" w:rsidRPr="000F6997" w:rsidTr="007B731F">
        <w:trPr>
          <w:cantSplit/>
          <w:trHeight w:val="330"/>
        </w:trPr>
        <w:tc>
          <w:tcPr>
            <w:tcW w:w="1195" w:type="pct"/>
            <w:tcBorders>
              <w:bottom w:val="double" w:sz="4" w:space="0" w:color="auto"/>
            </w:tcBorders>
            <w:hideMark/>
          </w:tcPr>
          <w:p w:rsidR="00293116" w:rsidRPr="000F6997" w:rsidRDefault="00293116" w:rsidP="00373F3A">
            <w:pPr>
              <w:pStyle w:val="Tabletext"/>
            </w:pPr>
            <w:r>
              <w:t>Number</w:t>
            </w:r>
            <w:r w:rsidRPr="000F6997">
              <w:t xml:space="preserve"> who receive</w:t>
            </w:r>
            <w:r>
              <w:t>d</w:t>
            </w:r>
            <w:r w:rsidRPr="000F6997">
              <w:t xml:space="preserve"> product</w:t>
            </w:r>
            <w:r>
              <w:t xml:space="preserve"> (45.1%)</w:t>
            </w:r>
          </w:p>
        </w:tc>
        <w:tc>
          <w:tcPr>
            <w:tcW w:w="665" w:type="pct"/>
            <w:tcBorders>
              <w:bottom w:val="double" w:sz="4" w:space="0" w:color="auto"/>
            </w:tcBorders>
            <w:hideMark/>
          </w:tcPr>
          <w:p w:rsidR="00293116" w:rsidRPr="000F6997" w:rsidRDefault="00293116" w:rsidP="00373F3A">
            <w:pPr>
              <w:pStyle w:val="Tabletext"/>
              <w:jc w:val="center"/>
            </w:pPr>
            <w:r w:rsidRPr="00F7498A">
              <w:t>1,151</w:t>
            </w:r>
          </w:p>
        </w:tc>
        <w:tc>
          <w:tcPr>
            <w:tcW w:w="620" w:type="pct"/>
            <w:tcBorders>
              <w:bottom w:val="double" w:sz="4" w:space="0" w:color="auto"/>
            </w:tcBorders>
            <w:hideMark/>
          </w:tcPr>
          <w:p w:rsidR="00293116" w:rsidRPr="000F6997" w:rsidRDefault="00293116" w:rsidP="00373F3A">
            <w:pPr>
              <w:pStyle w:val="Tabletext"/>
              <w:jc w:val="center"/>
            </w:pPr>
            <w:r w:rsidRPr="00F7498A">
              <w:t>1,183</w:t>
            </w:r>
          </w:p>
        </w:tc>
        <w:tc>
          <w:tcPr>
            <w:tcW w:w="621" w:type="pct"/>
            <w:tcBorders>
              <w:bottom w:val="double" w:sz="4" w:space="0" w:color="auto"/>
            </w:tcBorders>
            <w:hideMark/>
          </w:tcPr>
          <w:p w:rsidR="00293116" w:rsidRPr="000F6997" w:rsidRDefault="00293116" w:rsidP="00373F3A">
            <w:pPr>
              <w:pStyle w:val="Tabletext"/>
              <w:jc w:val="center"/>
            </w:pPr>
            <w:r w:rsidRPr="00F7498A">
              <w:t>1,215</w:t>
            </w:r>
          </w:p>
        </w:tc>
        <w:tc>
          <w:tcPr>
            <w:tcW w:w="620" w:type="pct"/>
            <w:tcBorders>
              <w:bottom w:val="double" w:sz="4" w:space="0" w:color="auto"/>
            </w:tcBorders>
            <w:hideMark/>
          </w:tcPr>
          <w:p w:rsidR="00293116" w:rsidRPr="000F6997" w:rsidRDefault="00293116" w:rsidP="00373F3A">
            <w:pPr>
              <w:pStyle w:val="Tabletext"/>
              <w:jc w:val="center"/>
            </w:pPr>
            <w:r w:rsidRPr="00F7498A">
              <w:t>1,247</w:t>
            </w:r>
          </w:p>
        </w:tc>
        <w:tc>
          <w:tcPr>
            <w:tcW w:w="620" w:type="pct"/>
            <w:tcBorders>
              <w:bottom w:val="double" w:sz="4" w:space="0" w:color="auto"/>
            </w:tcBorders>
            <w:hideMark/>
          </w:tcPr>
          <w:p w:rsidR="00293116" w:rsidRPr="000F6997" w:rsidRDefault="00293116" w:rsidP="00373F3A">
            <w:pPr>
              <w:pStyle w:val="Tabletext"/>
              <w:jc w:val="center"/>
            </w:pPr>
            <w:r w:rsidRPr="00F7498A">
              <w:t>1,280</w:t>
            </w:r>
          </w:p>
        </w:tc>
        <w:tc>
          <w:tcPr>
            <w:tcW w:w="658" w:type="pct"/>
            <w:tcBorders>
              <w:bottom w:val="double" w:sz="4" w:space="0" w:color="auto"/>
            </w:tcBorders>
          </w:tcPr>
          <w:p w:rsidR="00293116" w:rsidRPr="000F6997" w:rsidRDefault="00293116" w:rsidP="00373F3A">
            <w:pPr>
              <w:pStyle w:val="Tabletext"/>
              <w:jc w:val="center"/>
            </w:pPr>
            <w:r w:rsidRPr="00F7498A">
              <w:t>1,312</w:t>
            </w:r>
          </w:p>
        </w:tc>
      </w:tr>
      <w:tr w:rsidR="00293116" w:rsidRPr="000F6997" w:rsidTr="007B731F">
        <w:trPr>
          <w:cantSplit/>
          <w:trHeight w:val="330"/>
        </w:trPr>
        <w:tc>
          <w:tcPr>
            <w:tcW w:w="1195" w:type="pct"/>
            <w:tcBorders>
              <w:top w:val="double" w:sz="4" w:space="0" w:color="auto"/>
              <w:right w:val="nil"/>
            </w:tcBorders>
          </w:tcPr>
          <w:p w:rsidR="00293116" w:rsidRPr="00F9581C" w:rsidRDefault="00293116" w:rsidP="00373F3A">
            <w:pPr>
              <w:pStyle w:val="Tabletext"/>
              <w:rPr>
                <w:b/>
              </w:rPr>
            </w:pPr>
            <w:r w:rsidRPr="00F9581C">
              <w:rPr>
                <w:b/>
              </w:rPr>
              <w:t>Prophylaxis</w:t>
            </w:r>
          </w:p>
        </w:tc>
        <w:tc>
          <w:tcPr>
            <w:tcW w:w="665"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20"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21"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20"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20"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58" w:type="pct"/>
            <w:tcBorders>
              <w:top w:val="double" w:sz="4" w:space="0" w:color="auto"/>
              <w:left w:val="nil"/>
            </w:tcBorders>
          </w:tcPr>
          <w:p w:rsidR="00293116" w:rsidRPr="001811E5" w:rsidRDefault="00293116" w:rsidP="00373F3A">
            <w:pPr>
              <w:pStyle w:val="Tabletext"/>
              <w:jc w:val="center"/>
            </w:pPr>
            <w:r w:rsidRPr="00237E76">
              <w:rPr>
                <w:color w:val="FFFFFF" w:themeColor="background1"/>
              </w:rPr>
              <w:t>–</w:t>
            </w:r>
          </w:p>
        </w:tc>
      </w:tr>
      <w:tr w:rsidR="00293116" w:rsidRPr="000F6997" w:rsidTr="007B731F">
        <w:trPr>
          <w:cantSplit/>
          <w:trHeight w:val="330"/>
        </w:trPr>
        <w:tc>
          <w:tcPr>
            <w:tcW w:w="1195" w:type="pct"/>
          </w:tcPr>
          <w:p w:rsidR="00293116" w:rsidRDefault="00293116" w:rsidP="00373F3A">
            <w:pPr>
              <w:pStyle w:val="Tabletext"/>
            </w:pPr>
            <w:r>
              <w:t>Number on factor prophylaxis (53.8%)</w:t>
            </w:r>
          </w:p>
        </w:tc>
        <w:tc>
          <w:tcPr>
            <w:tcW w:w="665" w:type="pct"/>
          </w:tcPr>
          <w:p w:rsidR="00293116" w:rsidRPr="001811E5" w:rsidRDefault="00293116" w:rsidP="00373F3A">
            <w:pPr>
              <w:pStyle w:val="Tabletext"/>
              <w:jc w:val="center"/>
            </w:pPr>
            <w:r w:rsidRPr="00AE4FD9">
              <w:t>619</w:t>
            </w:r>
          </w:p>
        </w:tc>
        <w:tc>
          <w:tcPr>
            <w:tcW w:w="620" w:type="pct"/>
          </w:tcPr>
          <w:p w:rsidR="00293116" w:rsidRPr="001811E5" w:rsidRDefault="00293116" w:rsidP="00373F3A">
            <w:pPr>
              <w:pStyle w:val="Tabletext"/>
              <w:jc w:val="center"/>
            </w:pPr>
            <w:r w:rsidRPr="00AE4FD9">
              <w:t>636</w:t>
            </w:r>
          </w:p>
        </w:tc>
        <w:tc>
          <w:tcPr>
            <w:tcW w:w="621" w:type="pct"/>
          </w:tcPr>
          <w:p w:rsidR="00293116" w:rsidRPr="001811E5" w:rsidRDefault="00293116" w:rsidP="00373F3A">
            <w:pPr>
              <w:pStyle w:val="Tabletext"/>
              <w:jc w:val="center"/>
            </w:pPr>
            <w:r w:rsidRPr="00AE4FD9">
              <w:t>653</w:t>
            </w:r>
          </w:p>
        </w:tc>
        <w:tc>
          <w:tcPr>
            <w:tcW w:w="620" w:type="pct"/>
          </w:tcPr>
          <w:p w:rsidR="00293116" w:rsidRPr="001811E5" w:rsidRDefault="00293116" w:rsidP="00373F3A">
            <w:pPr>
              <w:pStyle w:val="Tabletext"/>
              <w:jc w:val="center"/>
            </w:pPr>
            <w:r w:rsidRPr="00AE4FD9">
              <w:t>671</w:t>
            </w:r>
          </w:p>
        </w:tc>
        <w:tc>
          <w:tcPr>
            <w:tcW w:w="620" w:type="pct"/>
          </w:tcPr>
          <w:p w:rsidR="00293116" w:rsidRPr="001811E5" w:rsidRDefault="00293116" w:rsidP="00373F3A">
            <w:pPr>
              <w:pStyle w:val="Tabletext"/>
              <w:jc w:val="center"/>
            </w:pPr>
            <w:r w:rsidRPr="00AE4FD9">
              <w:t>688</w:t>
            </w:r>
          </w:p>
        </w:tc>
        <w:tc>
          <w:tcPr>
            <w:tcW w:w="658" w:type="pct"/>
          </w:tcPr>
          <w:p w:rsidR="00293116" w:rsidRPr="001811E5" w:rsidRDefault="00293116" w:rsidP="00373F3A">
            <w:pPr>
              <w:pStyle w:val="Tabletext"/>
              <w:jc w:val="center"/>
            </w:pPr>
            <w:r w:rsidRPr="00AE4FD9">
              <w:t>705</w:t>
            </w:r>
          </w:p>
        </w:tc>
      </w:tr>
      <w:tr w:rsidR="00293116" w:rsidRPr="000F6997" w:rsidTr="007B731F">
        <w:trPr>
          <w:cantSplit/>
          <w:trHeight w:val="330"/>
        </w:trPr>
        <w:tc>
          <w:tcPr>
            <w:tcW w:w="1195" w:type="pct"/>
          </w:tcPr>
          <w:p w:rsidR="00293116" w:rsidRDefault="00293116" w:rsidP="00373F3A">
            <w:pPr>
              <w:pStyle w:val="Tabletext"/>
            </w:pPr>
            <w:r>
              <w:t>Proportion who switch</w:t>
            </w:r>
          </w:p>
        </w:tc>
        <w:tc>
          <w:tcPr>
            <w:tcW w:w="665" w:type="pct"/>
          </w:tcPr>
          <w:p w:rsidR="00293116" w:rsidRPr="00266504" w:rsidRDefault="00293116" w:rsidP="00373F3A">
            <w:pPr>
              <w:pStyle w:val="Tabletext"/>
              <w:jc w:val="center"/>
              <w:rPr>
                <w:highlight w:val="cyan"/>
              </w:rPr>
            </w:pPr>
            <w:r w:rsidRPr="00AE4FD9">
              <w:t>60%</w:t>
            </w:r>
          </w:p>
        </w:tc>
        <w:tc>
          <w:tcPr>
            <w:tcW w:w="620" w:type="pct"/>
          </w:tcPr>
          <w:p w:rsidR="00293116" w:rsidRPr="00266504" w:rsidRDefault="00293116" w:rsidP="00373F3A">
            <w:pPr>
              <w:pStyle w:val="Tabletext"/>
              <w:jc w:val="center"/>
              <w:rPr>
                <w:highlight w:val="cyan"/>
              </w:rPr>
            </w:pPr>
            <w:r w:rsidRPr="00AE4FD9">
              <w:t>70%</w:t>
            </w:r>
          </w:p>
        </w:tc>
        <w:tc>
          <w:tcPr>
            <w:tcW w:w="621" w:type="pct"/>
          </w:tcPr>
          <w:p w:rsidR="00293116" w:rsidRPr="00266504" w:rsidRDefault="00293116" w:rsidP="00373F3A">
            <w:pPr>
              <w:pStyle w:val="Tabletext"/>
              <w:jc w:val="center"/>
              <w:rPr>
                <w:highlight w:val="cyan"/>
              </w:rPr>
            </w:pPr>
            <w:r w:rsidRPr="00AE4FD9">
              <w:t>80%</w:t>
            </w:r>
          </w:p>
        </w:tc>
        <w:tc>
          <w:tcPr>
            <w:tcW w:w="620" w:type="pct"/>
          </w:tcPr>
          <w:p w:rsidR="00293116" w:rsidRPr="00266504" w:rsidRDefault="00293116" w:rsidP="00373F3A">
            <w:pPr>
              <w:pStyle w:val="Tabletext"/>
              <w:jc w:val="center"/>
              <w:rPr>
                <w:highlight w:val="cyan"/>
              </w:rPr>
            </w:pPr>
            <w:r w:rsidRPr="00AE4FD9">
              <w:t>85%</w:t>
            </w:r>
          </w:p>
        </w:tc>
        <w:tc>
          <w:tcPr>
            <w:tcW w:w="620" w:type="pct"/>
          </w:tcPr>
          <w:p w:rsidR="00293116" w:rsidRPr="00266504" w:rsidRDefault="00293116" w:rsidP="00373F3A">
            <w:pPr>
              <w:pStyle w:val="Tabletext"/>
              <w:jc w:val="center"/>
              <w:rPr>
                <w:highlight w:val="cyan"/>
              </w:rPr>
            </w:pPr>
            <w:r w:rsidRPr="00AE4FD9">
              <w:t>90%</w:t>
            </w:r>
          </w:p>
        </w:tc>
        <w:tc>
          <w:tcPr>
            <w:tcW w:w="658" w:type="pct"/>
          </w:tcPr>
          <w:p w:rsidR="00293116" w:rsidRPr="00266504" w:rsidRDefault="00293116" w:rsidP="00373F3A">
            <w:pPr>
              <w:pStyle w:val="Tabletext"/>
              <w:jc w:val="center"/>
              <w:rPr>
                <w:highlight w:val="cyan"/>
              </w:rPr>
            </w:pPr>
            <w:r w:rsidRPr="00AE4FD9">
              <w:t>95%</w:t>
            </w:r>
          </w:p>
        </w:tc>
      </w:tr>
      <w:tr w:rsidR="00293116" w:rsidRPr="000F6997" w:rsidTr="007B731F">
        <w:trPr>
          <w:cantSplit/>
          <w:trHeight w:val="330"/>
        </w:trPr>
        <w:tc>
          <w:tcPr>
            <w:tcW w:w="1195" w:type="pct"/>
          </w:tcPr>
          <w:p w:rsidR="00293116" w:rsidRDefault="00293116" w:rsidP="00373F3A">
            <w:pPr>
              <w:pStyle w:val="Tabletext"/>
            </w:pPr>
            <w:r>
              <w:t>Number of people who switch</w:t>
            </w:r>
          </w:p>
        </w:tc>
        <w:tc>
          <w:tcPr>
            <w:tcW w:w="665" w:type="pct"/>
          </w:tcPr>
          <w:p w:rsidR="00293116" w:rsidRPr="001811E5" w:rsidRDefault="00293116" w:rsidP="00373F3A">
            <w:pPr>
              <w:pStyle w:val="Tabletext"/>
              <w:jc w:val="center"/>
            </w:pPr>
            <w:r w:rsidRPr="00AE4FD9">
              <w:t>371</w:t>
            </w:r>
          </w:p>
        </w:tc>
        <w:tc>
          <w:tcPr>
            <w:tcW w:w="620" w:type="pct"/>
          </w:tcPr>
          <w:p w:rsidR="00293116" w:rsidRPr="001811E5" w:rsidRDefault="00293116" w:rsidP="00373F3A">
            <w:pPr>
              <w:pStyle w:val="Tabletext"/>
              <w:jc w:val="center"/>
            </w:pPr>
            <w:r w:rsidRPr="00AE4FD9">
              <w:t>445</w:t>
            </w:r>
          </w:p>
        </w:tc>
        <w:tc>
          <w:tcPr>
            <w:tcW w:w="621" w:type="pct"/>
          </w:tcPr>
          <w:p w:rsidR="00293116" w:rsidRPr="001811E5" w:rsidRDefault="00293116" w:rsidP="00373F3A">
            <w:pPr>
              <w:pStyle w:val="Tabletext"/>
              <w:jc w:val="center"/>
            </w:pPr>
            <w:r w:rsidRPr="00AE4FD9">
              <w:t>523</w:t>
            </w:r>
          </w:p>
        </w:tc>
        <w:tc>
          <w:tcPr>
            <w:tcW w:w="620" w:type="pct"/>
          </w:tcPr>
          <w:p w:rsidR="00293116" w:rsidRPr="001811E5" w:rsidRDefault="00293116" w:rsidP="00373F3A">
            <w:pPr>
              <w:pStyle w:val="Tabletext"/>
              <w:jc w:val="center"/>
            </w:pPr>
            <w:r w:rsidRPr="00AE4FD9">
              <w:t>570</w:t>
            </w:r>
          </w:p>
        </w:tc>
        <w:tc>
          <w:tcPr>
            <w:tcW w:w="620" w:type="pct"/>
          </w:tcPr>
          <w:p w:rsidR="00293116" w:rsidRPr="001811E5" w:rsidRDefault="00293116" w:rsidP="00373F3A">
            <w:pPr>
              <w:pStyle w:val="Tabletext"/>
              <w:jc w:val="center"/>
            </w:pPr>
            <w:r w:rsidRPr="00AE4FD9">
              <w:t>619</w:t>
            </w:r>
          </w:p>
        </w:tc>
        <w:tc>
          <w:tcPr>
            <w:tcW w:w="658" w:type="pct"/>
          </w:tcPr>
          <w:p w:rsidR="00293116" w:rsidRPr="001811E5" w:rsidRDefault="00293116" w:rsidP="00373F3A">
            <w:pPr>
              <w:pStyle w:val="Tabletext"/>
              <w:jc w:val="center"/>
            </w:pPr>
            <w:r w:rsidRPr="00AE4FD9">
              <w:t>670</w:t>
            </w:r>
          </w:p>
        </w:tc>
      </w:tr>
      <w:tr w:rsidR="00293116" w:rsidRPr="000F6997" w:rsidTr="007B731F">
        <w:trPr>
          <w:cantSplit/>
          <w:trHeight w:val="330"/>
        </w:trPr>
        <w:tc>
          <w:tcPr>
            <w:tcW w:w="1195" w:type="pct"/>
            <w:tcBorders>
              <w:bottom w:val="single" w:sz="4" w:space="0" w:color="auto"/>
            </w:tcBorders>
          </w:tcPr>
          <w:p w:rsidR="00293116" w:rsidRDefault="00293116" w:rsidP="00373F3A">
            <w:pPr>
              <w:pStyle w:val="Tabletext"/>
            </w:pPr>
            <w:r w:rsidRPr="0065011D">
              <w:t>No. of EHL IUs</w:t>
            </w:r>
          </w:p>
          <w:p w:rsidR="00293116" w:rsidRDefault="00293116" w:rsidP="00373F3A">
            <w:pPr>
              <w:pStyle w:val="Tabletext"/>
            </w:pPr>
            <w:r>
              <w:t>(</w:t>
            </w:r>
            <w:r w:rsidRPr="00E655B2">
              <w:t>226,775</w:t>
            </w:r>
            <w:r>
              <w:t>IU/person/year)</w:t>
            </w:r>
            <w:r w:rsidRPr="003913EA">
              <w:rPr>
                <w:vertAlign w:val="superscript"/>
              </w:rPr>
              <w:t xml:space="preserve"> a</w:t>
            </w:r>
          </w:p>
        </w:tc>
        <w:tc>
          <w:tcPr>
            <w:tcW w:w="665" w:type="pct"/>
            <w:tcBorders>
              <w:bottom w:val="single" w:sz="4" w:space="0" w:color="auto"/>
            </w:tcBorders>
          </w:tcPr>
          <w:p w:rsidR="00293116" w:rsidRPr="008E610E" w:rsidRDefault="00293116" w:rsidP="00373F3A">
            <w:pPr>
              <w:pStyle w:val="Tabletext"/>
              <w:jc w:val="center"/>
            </w:pPr>
            <w:r w:rsidRPr="00E655B2">
              <w:t>84,205,267</w:t>
            </w:r>
          </w:p>
        </w:tc>
        <w:tc>
          <w:tcPr>
            <w:tcW w:w="620" w:type="pct"/>
            <w:tcBorders>
              <w:bottom w:val="single" w:sz="4" w:space="0" w:color="auto"/>
            </w:tcBorders>
          </w:tcPr>
          <w:p w:rsidR="00293116" w:rsidRPr="008E610E" w:rsidRDefault="00293116" w:rsidP="00373F3A">
            <w:pPr>
              <w:pStyle w:val="Tabletext"/>
              <w:jc w:val="center"/>
            </w:pPr>
            <w:r w:rsidRPr="00E655B2">
              <w:t>100,985,230</w:t>
            </w:r>
          </w:p>
        </w:tc>
        <w:tc>
          <w:tcPr>
            <w:tcW w:w="621" w:type="pct"/>
            <w:tcBorders>
              <w:bottom w:val="single" w:sz="4" w:space="0" w:color="auto"/>
            </w:tcBorders>
          </w:tcPr>
          <w:p w:rsidR="00293116" w:rsidRPr="008E610E" w:rsidRDefault="00293116" w:rsidP="00373F3A">
            <w:pPr>
              <w:pStyle w:val="Tabletext"/>
              <w:jc w:val="center"/>
            </w:pPr>
            <w:r w:rsidRPr="00E655B2">
              <w:t>118,549,694</w:t>
            </w:r>
          </w:p>
        </w:tc>
        <w:tc>
          <w:tcPr>
            <w:tcW w:w="620" w:type="pct"/>
            <w:tcBorders>
              <w:bottom w:val="single" w:sz="4" w:space="0" w:color="auto"/>
            </w:tcBorders>
          </w:tcPr>
          <w:p w:rsidR="00293116" w:rsidRPr="008E610E" w:rsidRDefault="00293116" w:rsidP="00373F3A">
            <w:pPr>
              <w:pStyle w:val="Tabletext"/>
              <w:jc w:val="center"/>
            </w:pPr>
            <w:r w:rsidRPr="00E655B2">
              <w:t>129,293,178</w:t>
            </w:r>
          </w:p>
        </w:tc>
        <w:tc>
          <w:tcPr>
            <w:tcW w:w="620" w:type="pct"/>
            <w:tcBorders>
              <w:bottom w:val="single" w:sz="4" w:space="0" w:color="auto"/>
            </w:tcBorders>
          </w:tcPr>
          <w:p w:rsidR="00293116" w:rsidRPr="008E610E" w:rsidRDefault="00293116" w:rsidP="00373F3A">
            <w:pPr>
              <w:pStyle w:val="Tabletext"/>
              <w:jc w:val="center"/>
            </w:pPr>
            <w:r w:rsidRPr="00E655B2">
              <w:t>140,428,912</w:t>
            </w:r>
          </w:p>
        </w:tc>
        <w:tc>
          <w:tcPr>
            <w:tcW w:w="658" w:type="pct"/>
            <w:tcBorders>
              <w:bottom w:val="single" w:sz="4" w:space="0" w:color="auto"/>
            </w:tcBorders>
          </w:tcPr>
          <w:p w:rsidR="00293116" w:rsidRPr="008E610E" w:rsidRDefault="00293116" w:rsidP="00373F3A">
            <w:pPr>
              <w:pStyle w:val="Tabletext"/>
              <w:jc w:val="center"/>
            </w:pPr>
            <w:r w:rsidRPr="00E655B2">
              <w:t>151,956,896</w:t>
            </w:r>
          </w:p>
        </w:tc>
      </w:tr>
      <w:tr w:rsidR="007B731F" w:rsidRPr="00626A22" w:rsidTr="007B731F">
        <w:trPr>
          <w:cantSplit/>
          <w:trHeight w:val="330"/>
        </w:trPr>
        <w:tc>
          <w:tcPr>
            <w:tcW w:w="1195" w:type="pct"/>
            <w:tcBorders>
              <w:bottom w:val="single" w:sz="4" w:space="0" w:color="auto"/>
            </w:tcBorders>
          </w:tcPr>
          <w:p w:rsidR="007B731F" w:rsidRPr="007B731F" w:rsidRDefault="007B731F" w:rsidP="00373F3A">
            <w:pPr>
              <w:pStyle w:val="Tabletext"/>
              <w:rPr>
                <w:b/>
              </w:rPr>
            </w:pPr>
            <w:r w:rsidRPr="007B731F">
              <w:rPr>
                <w:b/>
              </w:rPr>
              <w:t>EHL cost ($</w:t>
            </w:r>
            <w:r w:rsidR="006E2F2C" w:rsidRPr="006E2F2C">
              <w:rPr>
                <w:b/>
              </w:rPr>
              <w:t>redacted</w:t>
            </w:r>
            <w:r w:rsidR="006E2F2C" w:rsidRPr="007B731F">
              <w:rPr>
                <w:b/>
              </w:rPr>
              <w:t xml:space="preserve"> </w:t>
            </w:r>
            <w:r w:rsidRPr="007B731F">
              <w:rPr>
                <w:b/>
              </w:rPr>
              <w:t>per IU)</w:t>
            </w:r>
          </w:p>
        </w:tc>
        <w:tc>
          <w:tcPr>
            <w:tcW w:w="665" w:type="pct"/>
            <w:tcBorders>
              <w:bottom w:val="single" w:sz="4" w:space="0" w:color="auto"/>
            </w:tcBorders>
          </w:tcPr>
          <w:p w:rsidR="007B731F" w:rsidRPr="006E2F2C" w:rsidRDefault="006E2F2C">
            <w:pPr>
              <w:rPr>
                <w:rFonts w:ascii="Arial Narrow" w:hAnsi="Arial Narrow"/>
                <w:sz w:val="20"/>
              </w:rPr>
            </w:pPr>
            <w:r w:rsidRPr="006E2F2C">
              <w:rPr>
                <w:rFonts w:ascii="Arial Narrow" w:hAnsi="Arial Narrow"/>
                <w:b/>
                <w:sz w:val="20"/>
              </w:rPr>
              <w:t>redacted</w:t>
            </w:r>
          </w:p>
        </w:tc>
        <w:tc>
          <w:tcPr>
            <w:tcW w:w="620" w:type="pct"/>
            <w:tcBorders>
              <w:bottom w:val="single" w:sz="4" w:space="0" w:color="auto"/>
            </w:tcBorders>
          </w:tcPr>
          <w:p w:rsidR="007B731F" w:rsidRPr="007B731F" w:rsidRDefault="006E2F2C">
            <w:pPr>
              <w:rPr>
                <w:sz w:val="18"/>
                <w:szCs w:val="18"/>
              </w:rPr>
            </w:pPr>
            <w:r w:rsidRPr="006E2F2C">
              <w:rPr>
                <w:rFonts w:ascii="Arial Narrow" w:hAnsi="Arial Narrow"/>
                <w:b/>
                <w:sz w:val="20"/>
              </w:rPr>
              <w:t>redacted</w:t>
            </w:r>
          </w:p>
        </w:tc>
        <w:tc>
          <w:tcPr>
            <w:tcW w:w="621" w:type="pct"/>
            <w:tcBorders>
              <w:bottom w:val="single" w:sz="4" w:space="0" w:color="auto"/>
            </w:tcBorders>
          </w:tcPr>
          <w:p w:rsidR="007B731F" w:rsidRPr="007B731F" w:rsidRDefault="006E2F2C">
            <w:pPr>
              <w:rPr>
                <w:sz w:val="18"/>
                <w:szCs w:val="18"/>
              </w:rPr>
            </w:pPr>
            <w:r w:rsidRPr="006E2F2C">
              <w:rPr>
                <w:rFonts w:ascii="Arial Narrow" w:hAnsi="Arial Narrow"/>
                <w:b/>
                <w:sz w:val="20"/>
              </w:rPr>
              <w:t>redacted</w:t>
            </w:r>
          </w:p>
        </w:tc>
        <w:tc>
          <w:tcPr>
            <w:tcW w:w="620" w:type="pct"/>
            <w:tcBorders>
              <w:bottom w:val="single" w:sz="4" w:space="0" w:color="auto"/>
            </w:tcBorders>
          </w:tcPr>
          <w:p w:rsidR="007B731F" w:rsidRPr="007B731F" w:rsidRDefault="006E2F2C">
            <w:pPr>
              <w:rPr>
                <w:sz w:val="18"/>
                <w:szCs w:val="18"/>
              </w:rPr>
            </w:pPr>
            <w:r w:rsidRPr="006E2F2C">
              <w:rPr>
                <w:rFonts w:ascii="Arial Narrow" w:hAnsi="Arial Narrow"/>
                <w:b/>
                <w:sz w:val="20"/>
              </w:rPr>
              <w:t>redacted</w:t>
            </w:r>
          </w:p>
        </w:tc>
        <w:tc>
          <w:tcPr>
            <w:tcW w:w="620" w:type="pct"/>
            <w:tcBorders>
              <w:bottom w:val="single" w:sz="4" w:space="0" w:color="auto"/>
            </w:tcBorders>
          </w:tcPr>
          <w:p w:rsidR="007B731F" w:rsidRPr="007B731F" w:rsidRDefault="006E2F2C">
            <w:pPr>
              <w:rPr>
                <w:sz w:val="18"/>
                <w:szCs w:val="18"/>
              </w:rPr>
            </w:pPr>
            <w:r w:rsidRPr="006E2F2C">
              <w:rPr>
                <w:rFonts w:ascii="Arial Narrow" w:hAnsi="Arial Narrow"/>
                <w:b/>
                <w:sz w:val="20"/>
              </w:rPr>
              <w:t>redacted</w:t>
            </w:r>
          </w:p>
        </w:tc>
        <w:tc>
          <w:tcPr>
            <w:tcW w:w="658" w:type="pct"/>
            <w:tcBorders>
              <w:bottom w:val="single" w:sz="4" w:space="0" w:color="auto"/>
            </w:tcBorders>
          </w:tcPr>
          <w:p w:rsidR="007B731F" w:rsidRPr="007B731F" w:rsidRDefault="006E2F2C">
            <w:pPr>
              <w:rPr>
                <w:sz w:val="18"/>
                <w:szCs w:val="18"/>
              </w:rPr>
            </w:pPr>
            <w:r w:rsidRPr="006E2F2C">
              <w:rPr>
                <w:rFonts w:ascii="Arial Narrow" w:hAnsi="Arial Narrow"/>
                <w:b/>
                <w:sz w:val="20"/>
              </w:rPr>
              <w:t>redacted</w:t>
            </w:r>
          </w:p>
        </w:tc>
      </w:tr>
      <w:tr w:rsidR="00293116" w:rsidRPr="000F6997" w:rsidTr="007B731F">
        <w:trPr>
          <w:cantSplit/>
          <w:trHeight w:val="330"/>
        </w:trPr>
        <w:tc>
          <w:tcPr>
            <w:tcW w:w="1195" w:type="pct"/>
            <w:tcBorders>
              <w:bottom w:val="single" w:sz="4" w:space="0" w:color="auto"/>
            </w:tcBorders>
          </w:tcPr>
          <w:p w:rsidR="00293116" w:rsidRDefault="00293116" w:rsidP="00373F3A">
            <w:pPr>
              <w:pStyle w:val="Tabletext"/>
            </w:pPr>
            <w:r w:rsidRPr="008C5937">
              <w:t>No. of SHL IUs</w:t>
            </w:r>
          </w:p>
          <w:p w:rsidR="00293116" w:rsidRDefault="00293116" w:rsidP="00373F3A">
            <w:pPr>
              <w:pStyle w:val="Tabletext"/>
            </w:pPr>
            <w:r>
              <w:t>(</w:t>
            </w:r>
            <w:r w:rsidRPr="007957A4">
              <w:t>229,066</w:t>
            </w:r>
            <w:r>
              <w:t>IU/person/year)</w:t>
            </w:r>
          </w:p>
        </w:tc>
        <w:tc>
          <w:tcPr>
            <w:tcW w:w="665" w:type="pct"/>
            <w:tcBorders>
              <w:bottom w:val="single" w:sz="4" w:space="0" w:color="auto"/>
            </w:tcBorders>
          </w:tcPr>
          <w:p w:rsidR="00293116" w:rsidRPr="008E610E" w:rsidRDefault="00293116" w:rsidP="00373F3A">
            <w:pPr>
              <w:pStyle w:val="Tabletext"/>
              <w:jc w:val="center"/>
            </w:pPr>
            <w:r w:rsidRPr="00433477">
              <w:t>85,055,825</w:t>
            </w:r>
          </w:p>
        </w:tc>
        <w:tc>
          <w:tcPr>
            <w:tcW w:w="620" w:type="pct"/>
            <w:tcBorders>
              <w:bottom w:val="single" w:sz="4" w:space="0" w:color="auto"/>
            </w:tcBorders>
          </w:tcPr>
          <w:p w:rsidR="00293116" w:rsidRPr="008E610E" w:rsidRDefault="00293116" w:rsidP="00373F3A">
            <w:pPr>
              <w:pStyle w:val="Tabletext"/>
              <w:jc w:val="center"/>
            </w:pPr>
            <w:r w:rsidRPr="00433477">
              <w:t>102,005,283</w:t>
            </w:r>
          </w:p>
        </w:tc>
        <w:tc>
          <w:tcPr>
            <w:tcW w:w="621" w:type="pct"/>
            <w:tcBorders>
              <w:bottom w:val="single" w:sz="4" w:space="0" w:color="auto"/>
            </w:tcBorders>
          </w:tcPr>
          <w:p w:rsidR="00293116" w:rsidRPr="008E610E" w:rsidRDefault="00293116" w:rsidP="00373F3A">
            <w:pPr>
              <w:pStyle w:val="Tabletext"/>
              <w:jc w:val="center"/>
            </w:pPr>
            <w:r w:rsidRPr="00433477">
              <w:t>119,747,166</w:t>
            </w:r>
          </w:p>
        </w:tc>
        <w:tc>
          <w:tcPr>
            <w:tcW w:w="620" w:type="pct"/>
            <w:tcBorders>
              <w:bottom w:val="single" w:sz="4" w:space="0" w:color="auto"/>
            </w:tcBorders>
          </w:tcPr>
          <w:p w:rsidR="00293116" w:rsidRPr="008E610E" w:rsidRDefault="00293116" w:rsidP="00373F3A">
            <w:pPr>
              <w:pStyle w:val="Tabletext"/>
              <w:jc w:val="center"/>
            </w:pPr>
            <w:r w:rsidRPr="00433477">
              <w:t>130,599,170</w:t>
            </w:r>
          </w:p>
        </w:tc>
        <w:tc>
          <w:tcPr>
            <w:tcW w:w="620" w:type="pct"/>
            <w:tcBorders>
              <w:bottom w:val="single" w:sz="4" w:space="0" w:color="auto"/>
            </w:tcBorders>
          </w:tcPr>
          <w:p w:rsidR="00293116" w:rsidRPr="008E610E" w:rsidRDefault="00293116" w:rsidP="00373F3A">
            <w:pPr>
              <w:pStyle w:val="Tabletext"/>
              <w:jc w:val="center"/>
            </w:pPr>
            <w:r w:rsidRPr="00433477">
              <w:t>141,847,386</w:t>
            </w:r>
          </w:p>
        </w:tc>
        <w:tc>
          <w:tcPr>
            <w:tcW w:w="658" w:type="pct"/>
            <w:tcBorders>
              <w:bottom w:val="single" w:sz="4" w:space="0" w:color="auto"/>
            </w:tcBorders>
          </w:tcPr>
          <w:p w:rsidR="00293116" w:rsidRPr="008E610E" w:rsidRDefault="00293116" w:rsidP="00373F3A">
            <w:pPr>
              <w:pStyle w:val="Tabletext"/>
              <w:jc w:val="center"/>
            </w:pPr>
            <w:r w:rsidRPr="00433477">
              <w:t>153,491,814</w:t>
            </w:r>
          </w:p>
        </w:tc>
      </w:tr>
      <w:tr w:rsidR="00293116" w:rsidRPr="002B1BB1" w:rsidTr="007B731F">
        <w:trPr>
          <w:cantSplit/>
          <w:trHeight w:val="330"/>
        </w:trPr>
        <w:tc>
          <w:tcPr>
            <w:tcW w:w="1195" w:type="pct"/>
            <w:tcBorders>
              <w:bottom w:val="single" w:sz="4" w:space="0" w:color="auto"/>
            </w:tcBorders>
          </w:tcPr>
          <w:p w:rsidR="00293116" w:rsidRPr="002B1BB1" w:rsidRDefault="00293116" w:rsidP="00373F3A">
            <w:pPr>
              <w:pStyle w:val="Tabletext"/>
              <w:rPr>
                <w:b/>
              </w:rPr>
            </w:pPr>
            <w:r w:rsidRPr="002B1BB1">
              <w:rPr>
                <w:b/>
              </w:rPr>
              <w:t>SHL cost ($0.36 per IU)</w:t>
            </w:r>
          </w:p>
        </w:tc>
        <w:tc>
          <w:tcPr>
            <w:tcW w:w="665" w:type="pct"/>
            <w:tcBorders>
              <w:bottom w:val="single" w:sz="4" w:space="0" w:color="auto"/>
            </w:tcBorders>
          </w:tcPr>
          <w:p w:rsidR="00293116" w:rsidRPr="000F69F1" w:rsidRDefault="00293116" w:rsidP="00373F3A">
            <w:pPr>
              <w:pStyle w:val="Tabletext"/>
              <w:jc w:val="right"/>
              <w:rPr>
                <w:b/>
              </w:rPr>
            </w:pPr>
            <w:r w:rsidRPr="000F69F1">
              <w:rPr>
                <w:b/>
              </w:rPr>
              <w:t>$30,974,089</w:t>
            </w:r>
          </w:p>
        </w:tc>
        <w:tc>
          <w:tcPr>
            <w:tcW w:w="620" w:type="pct"/>
            <w:tcBorders>
              <w:bottom w:val="single" w:sz="4" w:space="0" w:color="auto"/>
            </w:tcBorders>
          </w:tcPr>
          <w:p w:rsidR="00293116" w:rsidRPr="000F69F1" w:rsidRDefault="00293116" w:rsidP="00373F3A">
            <w:pPr>
              <w:pStyle w:val="Tabletext"/>
              <w:jc w:val="right"/>
              <w:rPr>
                <w:b/>
              </w:rPr>
            </w:pPr>
            <w:r w:rsidRPr="000F69F1">
              <w:rPr>
                <w:b/>
              </w:rPr>
              <w:t>$37,146,436</w:t>
            </w:r>
          </w:p>
        </w:tc>
        <w:tc>
          <w:tcPr>
            <w:tcW w:w="621" w:type="pct"/>
            <w:tcBorders>
              <w:bottom w:val="single" w:sz="4" w:space="0" w:color="auto"/>
            </w:tcBorders>
          </w:tcPr>
          <w:p w:rsidR="00293116" w:rsidRPr="000F69F1" w:rsidRDefault="00293116" w:rsidP="00373F3A">
            <w:pPr>
              <w:pStyle w:val="Tabletext"/>
              <w:jc w:val="right"/>
              <w:rPr>
                <w:b/>
              </w:rPr>
            </w:pPr>
            <w:r w:rsidRPr="000F69F1">
              <w:rPr>
                <w:b/>
              </w:rPr>
              <w:t>$43,607,353</w:t>
            </w:r>
          </w:p>
        </w:tc>
        <w:tc>
          <w:tcPr>
            <w:tcW w:w="620" w:type="pct"/>
            <w:tcBorders>
              <w:bottom w:val="single" w:sz="4" w:space="0" w:color="auto"/>
            </w:tcBorders>
          </w:tcPr>
          <w:p w:rsidR="00293116" w:rsidRPr="000F69F1" w:rsidRDefault="00293116" w:rsidP="00373F3A">
            <w:pPr>
              <w:pStyle w:val="Tabletext"/>
              <w:jc w:val="right"/>
              <w:rPr>
                <w:b/>
              </w:rPr>
            </w:pPr>
            <w:r w:rsidRPr="000F69F1">
              <w:rPr>
                <w:b/>
              </w:rPr>
              <w:t>$47,559,239</w:t>
            </w:r>
          </w:p>
        </w:tc>
        <w:tc>
          <w:tcPr>
            <w:tcW w:w="620" w:type="pct"/>
            <w:tcBorders>
              <w:bottom w:val="single" w:sz="4" w:space="0" w:color="auto"/>
            </w:tcBorders>
          </w:tcPr>
          <w:p w:rsidR="00293116" w:rsidRPr="000F69F1" w:rsidRDefault="00293116" w:rsidP="00373F3A">
            <w:pPr>
              <w:pStyle w:val="Tabletext"/>
              <w:jc w:val="right"/>
              <w:rPr>
                <w:b/>
              </w:rPr>
            </w:pPr>
            <w:r w:rsidRPr="000F69F1">
              <w:rPr>
                <w:b/>
              </w:rPr>
              <w:t>$51,655,411</w:t>
            </w:r>
          </w:p>
        </w:tc>
        <w:tc>
          <w:tcPr>
            <w:tcW w:w="658" w:type="pct"/>
            <w:tcBorders>
              <w:bottom w:val="single" w:sz="4" w:space="0" w:color="auto"/>
            </w:tcBorders>
          </w:tcPr>
          <w:p w:rsidR="00293116" w:rsidRPr="000F69F1" w:rsidRDefault="00293116" w:rsidP="00373F3A">
            <w:pPr>
              <w:pStyle w:val="Tabletext"/>
              <w:jc w:val="right"/>
              <w:rPr>
                <w:b/>
              </w:rPr>
            </w:pPr>
            <w:r w:rsidRPr="000F69F1">
              <w:rPr>
                <w:b/>
              </w:rPr>
              <w:t>$55,895,868</w:t>
            </w:r>
          </w:p>
        </w:tc>
      </w:tr>
      <w:tr w:rsidR="00FE0F3D" w:rsidRPr="009C710F" w:rsidTr="007B731F">
        <w:trPr>
          <w:cantSplit/>
          <w:trHeight w:val="330"/>
        </w:trPr>
        <w:tc>
          <w:tcPr>
            <w:tcW w:w="1195" w:type="pct"/>
            <w:tcBorders>
              <w:bottom w:val="double" w:sz="4" w:space="0" w:color="auto"/>
            </w:tcBorders>
          </w:tcPr>
          <w:p w:rsidR="00FE0F3D" w:rsidRPr="009C710F" w:rsidRDefault="00FE0F3D" w:rsidP="00373F3A">
            <w:pPr>
              <w:pStyle w:val="Tabletext"/>
              <w:rPr>
                <w:b/>
              </w:rPr>
            </w:pPr>
            <w:r w:rsidRPr="009C710F">
              <w:rPr>
                <w:b/>
              </w:rPr>
              <w:t>Net prophylaxis cost</w:t>
            </w:r>
          </w:p>
        </w:tc>
        <w:tc>
          <w:tcPr>
            <w:tcW w:w="665" w:type="pct"/>
            <w:tcBorders>
              <w:bottom w:val="double" w:sz="4" w:space="0" w:color="auto"/>
            </w:tcBorders>
          </w:tcPr>
          <w:p w:rsidR="00FE0F3D" w:rsidRDefault="006E2F2C">
            <w:r w:rsidRPr="006E2F2C">
              <w:rPr>
                <w:rFonts w:ascii="Arial Narrow" w:hAnsi="Arial Narrow"/>
                <w:b/>
                <w:sz w:val="20"/>
              </w:rPr>
              <w:t>redacted</w:t>
            </w:r>
          </w:p>
        </w:tc>
        <w:tc>
          <w:tcPr>
            <w:tcW w:w="620" w:type="pct"/>
            <w:tcBorders>
              <w:bottom w:val="double" w:sz="4" w:space="0" w:color="auto"/>
            </w:tcBorders>
          </w:tcPr>
          <w:p w:rsidR="00FE0F3D" w:rsidRDefault="006E2F2C">
            <w:r w:rsidRPr="006E2F2C">
              <w:rPr>
                <w:rFonts w:ascii="Arial Narrow" w:hAnsi="Arial Narrow"/>
                <w:b/>
                <w:sz w:val="20"/>
              </w:rPr>
              <w:t>redacted</w:t>
            </w:r>
          </w:p>
        </w:tc>
        <w:tc>
          <w:tcPr>
            <w:tcW w:w="621" w:type="pct"/>
            <w:tcBorders>
              <w:bottom w:val="double" w:sz="4" w:space="0" w:color="auto"/>
            </w:tcBorders>
          </w:tcPr>
          <w:p w:rsidR="00FE0F3D" w:rsidRDefault="006E2F2C">
            <w:r w:rsidRPr="006E2F2C">
              <w:rPr>
                <w:rFonts w:ascii="Arial Narrow" w:hAnsi="Arial Narrow"/>
                <w:b/>
                <w:sz w:val="20"/>
              </w:rPr>
              <w:t>redacted</w:t>
            </w:r>
          </w:p>
        </w:tc>
        <w:tc>
          <w:tcPr>
            <w:tcW w:w="620" w:type="pct"/>
            <w:tcBorders>
              <w:bottom w:val="double" w:sz="4" w:space="0" w:color="auto"/>
            </w:tcBorders>
          </w:tcPr>
          <w:p w:rsidR="00FE0F3D" w:rsidRDefault="006E2F2C">
            <w:r w:rsidRPr="006E2F2C">
              <w:rPr>
                <w:rFonts w:ascii="Arial Narrow" w:hAnsi="Arial Narrow"/>
                <w:b/>
                <w:sz w:val="20"/>
              </w:rPr>
              <w:t>redacted</w:t>
            </w:r>
          </w:p>
        </w:tc>
        <w:tc>
          <w:tcPr>
            <w:tcW w:w="620" w:type="pct"/>
            <w:tcBorders>
              <w:bottom w:val="double" w:sz="4" w:space="0" w:color="auto"/>
            </w:tcBorders>
          </w:tcPr>
          <w:p w:rsidR="00FE0F3D" w:rsidRDefault="006E2F2C">
            <w:r w:rsidRPr="006E2F2C">
              <w:rPr>
                <w:rFonts w:ascii="Arial Narrow" w:hAnsi="Arial Narrow"/>
                <w:b/>
                <w:sz w:val="20"/>
              </w:rPr>
              <w:t>redacted</w:t>
            </w:r>
          </w:p>
        </w:tc>
        <w:tc>
          <w:tcPr>
            <w:tcW w:w="658" w:type="pct"/>
            <w:tcBorders>
              <w:bottom w:val="double" w:sz="4" w:space="0" w:color="auto"/>
            </w:tcBorders>
          </w:tcPr>
          <w:p w:rsidR="00FE0F3D" w:rsidRDefault="006E2F2C">
            <w:r w:rsidRPr="006E2F2C">
              <w:rPr>
                <w:rFonts w:ascii="Arial Narrow" w:hAnsi="Arial Narrow"/>
                <w:b/>
                <w:sz w:val="20"/>
              </w:rPr>
              <w:t>redacted</w:t>
            </w:r>
          </w:p>
        </w:tc>
      </w:tr>
      <w:tr w:rsidR="00293116" w:rsidRPr="000F6997" w:rsidTr="007B731F">
        <w:trPr>
          <w:cantSplit/>
          <w:trHeight w:val="330"/>
        </w:trPr>
        <w:tc>
          <w:tcPr>
            <w:tcW w:w="1195" w:type="pct"/>
            <w:tcBorders>
              <w:top w:val="double" w:sz="4" w:space="0" w:color="auto"/>
              <w:right w:val="nil"/>
            </w:tcBorders>
          </w:tcPr>
          <w:p w:rsidR="00293116" w:rsidRPr="00F9581C" w:rsidRDefault="00293116" w:rsidP="00373F3A">
            <w:pPr>
              <w:pStyle w:val="Tabletext"/>
              <w:rPr>
                <w:b/>
              </w:rPr>
            </w:pPr>
            <w:r w:rsidRPr="00F9581C">
              <w:rPr>
                <w:b/>
              </w:rPr>
              <w:t>On demand</w:t>
            </w:r>
          </w:p>
        </w:tc>
        <w:tc>
          <w:tcPr>
            <w:tcW w:w="665"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20"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21"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20"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20"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58" w:type="pct"/>
            <w:tcBorders>
              <w:top w:val="double" w:sz="4" w:space="0" w:color="auto"/>
              <w:left w:val="nil"/>
            </w:tcBorders>
          </w:tcPr>
          <w:p w:rsidR="00293116" w:rsidRPr="001811E5" w:rsidRDefault="00293116" w:rsidP="00373F3A">
            <w:pPr>
              <w:pStyle w:val="Tabletext"/>
              <w:jc w:val="center"/>
            </w:pPr>
            <w:r w:rsidRPr="00774713">
              <w:rPr>
                <w:color w:val="FFFFFF" w:themeColor="background1"/>
              </w:rPr>
              <w:t>–</w:t>
            </w:r>
          </w:p>
        </w:tc>
      </w:tr>
      <w:tr w:rsidR="00293116" w:rsidRPr="000F6997" w:rsidTr="007B731F">
        <w:trPr>
          <w:cantSplit/>
          <w:trHeight w:val="330"/>
        </w:trPr>
        <w:tc>
          <w:tcPr>
            <w:tcW w:w="1195" w:type="pct"/>
          </w:tcPr>
          <w:p w:rsidR="00293116" w:rsidRDefault="00293116" w:rsidP="00373F3A">
            <w:pPr>
              <w:pStyle w:val="Tabletext"/>
            </w:pPr>
            <w:r>
              <w:t>Number on demand (46.2%)</w:t>
            </w:r>
          </w:p>
        </w:tc>
        <w:tc>
          <w:tcPr>
            <w:tcW w:w="665" w:type="pct"/>
          </w:tcPr>
          <w:p w:rsidR="00293116" w:rsidRPr="001811E5" w:rsidRDefault="00293116" w:rsidP="00373F3A">
            <w:pPr>
              <w:pStyle w:val="Tabletext"/>
              <w:jc w:val="center"/>
            </w:pPr>
            <w:r w:rsidRPr="00AE4FD9">
              <w:t>532</w:t>
            </w:r>
          </w:p>
        </w:tc>
        <w:tc>
          <w:tcPr>
            <w:tcW w:w="620" w:type="pct"/>
          </w:tcPr>
          <w:p w:rsidR="00293116" w:rsidRPr="001811E5" w:rsidRDefault="00293116" w:rsidP="00373F3A">
            <w:pPr>
              <w:pStyle w:val="Tabletext"/>
              <w:jc w:val="center"/>
            </w:pPr>
            <w:r w:rsidRPr="00AE4FD9">
              <w:t>547</w:t>
            </w:r>
          </w:p>
        </w:tc>
        <w:tc>
          <w:tcPr>
            <w:tcW w:w="621" w:type="pct"/>
          </w:tcPr>
          <w:p w:rsidR="00293116" w:rsidRPr="001811E5" w:rsidRDefault="00293116" w:rsidP="00373F3A">
            <w:pPr>
              <w:pStyle w:val="Tabletext"/>
              <w:jc w:val="center"/>
            </w:pPr>
            <w:r w:rsidRPr="00AE4FD9">
              <w:t>562</w:t>
            </w:r>
          </w:p>
        </w:tc>
        <w:tc>
          <w:tcPr>
            <w:tcW w:w="620" w:type="pct"/>
          </w:tcPr>
          <w:p w:rsidR="00293116" w:rsidRPr="001811E5" w:rsidRDefault="00293116" w:rsidP="00373F3A">
            <w:pPr>
              <w:pStyle w:val="Tabletext"/>
              <w:jc w:val="center"/>
            </w:pPr>
            <w:r w:rsidRPr="00AE4FD9">
              <w:t>577</w:t>
            </w:r>
          </w:p>
        </w:tc>
        <w:tc>
          <w:tcPr>
            <w:tcW w:w="620" w:type="pct"/>
          </w:tcPr>
          <w:p w:rsidR="00293116" w:rsidRPr="001811E5" w:rsidRDefault="00293116" w:rsidP="00373F3A">
            <w:pPr>
              <w:pStyle w:val="Tabletext"/>
              <w:jc w:val="center"/>
            </w:pPr>
            <w:r w:rsidRPr="00AE4FD9">
              <w:t>592</w:t>
            </w:r>
          </w:p>
        </w:tc>
        <w:tc>
          <w:tcPr>
            <w:tcW w:w="658" w:type="pct"/>
          </w:tcPr>
          <w:p w:rsidR="00293116" w:rsidRPr="001811E5" w:rsidRDefault="00293116" w:rsidP="00373F3A">
            <w:pPr>
              <w:pStyle w:val="Tabletext"/>
              <w:jc w:val="center"/>
            </w:pPr>
            <w:r w:rsidRPr="00AE4FD9">
              <w:t>606</w:t>
            </w:r>
          </w:p>
        </w:tc>
      </w:tr>
      <w:tr w:rsidR="00293116" w:rsidRPr="000F6997" w:rsidTr="007B731F">
        <w:trPr>
          <w:cantSplit/>
          <w:trHeight w:val="330"/>
        </w:trPr>
        <w:tc>
          <w:tcPr>
            <w:tcW w:w="1195" w:type="pct"/>
          </w:tcPr>
          <w:p w:rsidR="00293116" w:rsidRDefault="00293116" w:rsidP="00373F3A">
            <w:pPr>
              <w:pStyle w:val="Tabletext"/>
            </w:pPr>
            <w:r>
              <w:t>Proportion who switch</w:t>
            </w:r>
          </w:p>
        </w:tc>
        <w:tc>
          <w:tcPr>
            <w:tcW w:w="665" w:type="pct"/>
          </w:tcPr>
          <w:p w:rsidR="00293116" w:rsidRPr="00266504" w:rsidRDefault="00293116" w:rsidP="00373F3A">
            <w:pPr>
              <w:pStyle w:val="Tabletext"/>
              <w:jc w:val="center"/>
              <w:rPr>
                <w:highlight w:val="cyan"/>
              </w:rPr>
            </w:pPr>
            <w:r w:rsidRPr="00AE4FD9">
              <w:t>60%</w:t>
            </w:r>
          </w:p>
        </w:tc>
        <w:tc>
          <w:tcPr>
            <w:tcW w:w="620" w:type="pct"/>
          </w:tcPr>
          <w:p w:rsidR="00293116" w:rsidRPr="00266504" w:rsidRDefault="00293116" w:rsidP="00373F3A">
            <w:pPr>
              <w:pStyle w:val="Tabletext"/>
              <w:jc w:val="center"/>
              <w:rPr>
                <w:highlight w:val="cyan"/>
              </w:rPr>
            </w:pPr>
            <w:r w:rsidRPr="00AE4FD9">
              <w:t>70%</w:t>
            </w:r>
          </w:p>
        </w:tc>
        <w:tc>
          <w:tcPr>
            <w:tcW w:w="621" w:type="pct"/>
          </w:tcPr>
          <w:p w:rsidR="00293116" w:rsidRPr="00266504" w:rsidRDefault="00293116" w:rsidP="00373F3A">
            <w:pPr>
              <w:pStyle w:val="Tabletext"/>
              <w:jc w:val="center"/>
              <w:rPr>
                <w:highlight w:val="cyan"/>
              </w:rPr>
            </w:pPr>
            <w:r w:rsidRPr="00AE4FD9">
              <w:t>80%</w:t>
            </w:r>
          </w:p>
        </w:tc>
        <w:tc>
          <w:tcPr>
            <w:tcW w:w="620" w:type="pct"/>
          </w:tcPr>
          <w:p w:rsidR="00293116" w:rsidRPr="00266504" w:rsidRDefault="00293116" w:rsidP="00373F3A">
            <w:pPr>
              <w:pStyle w:val="Tabletext"/>
              <w:jc w:val="center"/>
              <w:rPr>
                <w:highlight w:val="cyan"/>
              </w:rPr>
            </w:pPr>
            <w:r w:rsidRPr="00AE4FD9">
              <w:t>85%</w:t>
            </w:r>
          </w:p>
        </w:tc>
        <w:tc>
          <w:tcPr>
            <w:tcW w:w="620" w:type="pct"/>
          </w:tcPr>
          <w:p w:rsidR="00293116" w:rsidRPr="00266504" w:rsidRDefault="00293116" w:rsidP="00373F3A">
            <w:pPr>
              <w:pStyle w:val="Tabletext"/>
              <w:jc w:val="center"/>
              <w:rPr>
                <w:highlight w:val="cyan"/>
              </w:rPr>
            </w:pPr>
            <w:r w:rsidRPr="00AE4FD9">
              <w:t>90%</w:t>
            </w:r>
          </w:p>
        </w:tc>
        <w:tc>
          <w:tcPr>
            <w:tcW w:w="658" w:type="pct"/>
          </w:tcPr>
          <w:p w:rsidR="00293116" w:rsidRPr="00266504" w:rsidRDefault="00293116" w:rsidP="00373F3A">
            <w:pPr>
              <w:pStyle w:val="Tabletext"/>
              <w:jc w:val="center"/>
              <w:rPr>
                <w:highlight w:val="cyan"/>
              </w:rPr>
            </w:pPr>
            <w:r w:rsidRPr="00AE4FD9">
              <w:t>95%</w:t>
            </w:r>
          </w:p>
        </w:tc>
      </w:tr>
      <w:tr w:rsidR="00293116" w:rsidRPr="000F6997" w:rsidTr="007B731F">
        <w:trPr>
          <w:cantSplit/>
          <w:trHeight w:val="330"/>
        </w:trPr>
        <w:tc>
          <w:tcPr>
            <w:tcW w:w="1195" w:type="pct"/>
          </w:tcPr>
          <w:p w:rsidR="00293116" w:rsidRDefault="00293116" w:rsidP="00373F3A">
            <w:pPr>
              <w:pStyle w:val="Tabletext"/>
            </w:pPr>
            <w:r>
              <w:t>Number of people who switch</w:t>
            </w:r>
          </w:p>
        </w:tc>
        <w:tc>
          <w:tcPr>
            <w:tcW w:w="665" w:type="pct"/>
          </w:tcPr>
          <w:p w:rsidR="00293116" w:rsidRPr="001811E5" w:rsidRDefault="00293116" w:rsidP="00373F3A">
            <w:pPr>
              <w:pStyle w:val="Tabletext"/>
              <w:jc w:val="center"/>
            </w:pPr>
            <w:r w:rsidRPr="00AE4FD9">
              <w:t>319</w:t>
            </w:r>
          </w:p>
        </w:tc>
        <w:tc>
          <w:tcPr>
            <w:tcW w:w="620" w:type="pct"/>
          </w:tcPr>
          <w:p w:rsidR="00293116" w:rsidRPr="001811E5" w:rsidRDefault="00293116" w:rsidP="00373F3A">
            <w:pPr>
              <w:pStyle w:val="Tabletext"/>
              <w:jc w:val="center"/>
            </w:pPr>
            <w:r w:rsidRPr="00AE4FD9">
              <w:t>383</w:t>
            </w:r>
          </w:p>
        </w:tc>
        <w:tc>
          <w:tcPr>
            <w:tcW w:w="621" w:type="pct"/>
          </w:tcPr>
          <w:p w:rsidR="00293116" w:rsidRPr="001811E5" w:rsidRDefault="00293116" w:rsidP="00373F3A">
            <w:pPr>
              <w:pStyle w:val="Tabletext"/>
              <w:jc w:val="center"/>
            </w:pPr>
            <w:r w:rsidRPr="00AE4FD9">
              <w:t>449</w:t>
            </w:r>
          </w:p>
        </w:tc>
        <w:tc>
          <w:tcPr>
            <w:tcW w:w="620" w:type="pct"/>
          </w:tcPr>
          <w:p w:rsidR="00293116" w:rsidRPr="001811E5" w:rsidRDefault="00293116" w:rsidP="00373F3A">
            <w:pPr>
              <w:pStyle w:val="Tabletext"/>
              <w:jc w:val="center"/>
            </w:pPr>
            <w:r w:rsidRPr="00AE4FD9">
              <w:t>490</w:t>
            </w:r>
          </w:p>
        </w:tc>
        <w:tc>
          <w:tcPr>
            <w:tcW w:w="620" w:type="pct"/>
          </w:tcPr>
          <w:p w:rsidR="00293116" w:rsidRPr="001811E5" w:rsidRDefault="00293116" w:rsidP="00373F3A">
            <w:pPr>
              <w:pStyle w:val="Tabletext"/>
              <w:jc w:val="center"/>
            </w:pPr>
            <w:r w:rsidRPr="00AE4FD9">
              <w:t>532</w:t>
            </w:r>
          </w:p>
        </w:tc>
        <w:tc>
          <w:tcPr>
            <w:tcW w:w="658" w:type="pct"/>
          </w:tcPr>
          <w:p w:rsidR="00293116" w:rsidRPr="001811E5" w:rsidRDefault="00293116" w:rsidP="00373F3A">
            <w:pPr>
              <w:pStyle w:val="Tabletext"/>
              <w:jc w:val="center"/>
            </w:pPr>
            <w:r w:rsidRPr="00AE4FD9">
              <w:t>576</w:t>
            </w:r>
          </w:p>
        </w:tc>
      </w:tr>
      <w:tr w:rsidR="00293116" w:rsidRPr="000F6997" w:rsidTr="007B731F">
        <w:trPr>
          <w:cantSplit/>
          <w:trHeight w:val="330"/>
        </w:trPr>
        <w:tc>
          <w:tcPr>
            <w:tcW w:w="1195" w:type="pct"/>
          </w:tcPr>
          <w:p w:rsidR="00293116" w:rsidRDefault="00293116" w:rsidP="00373F3A">
            <w:pPr>
              <w:pStyle w:val="Tabletext"/>
            </w:pPr>
            <w:r w:rsidRPr="0065011D">
              <w:t>No. of EHL IUs</w:t>
            </w:r>
          </w:p>
          <w:p w:rsidR="00293116" w:rsidRDefault="00293116" w:rsidP="00373F3A">
            <w:pPr>
              <w:pStyle w:val="Tabletext"/>
            </w:pPr>
            <w:r>
              <w:t>(</w:t>
            </w:r>
            <w:r w:rsidRPr="007957A4">
              <w:t>65,385</w:t>
            </w:r>
            <w:r>
              <w:t>IU/person/year)</w:t>
            </w:r>
            <w:r w:rsidRPr="003913EA">
              <w:rPr>
                <w:vertAlign w:val="superscript"/>
              </w:rPr>
              <w:t>b</w:t>
            </w:r>
          </w:p>
        </w:tc>
        <w:tc>
          <w:tcPr>
            <w:tcW w:w="665" w:type="pct"/>
          </w:tcPr>
          <w:p w:rsidR="00293116" w:rsidRPr="00FF079C" w:rsidRDefault="00293116" w:rsidP="00373F3A">
            <w:pPr>
              <w:pStyle w:val="Tabletext"/>
              <w:jc w:val="center"/>
            </w:pPr>
            <w:r w:rsidRPr="00E655B2">
              <w:t>20,875,823</w:t>
            </w:r>
          </w:p>
        </w:tc>
        <w:tc>
          <w:tcPr>
            <w:tcW w:w="620" w:type="pct"/>
          </w:tcPr>
          <w:p w:rsidR="00293116" w:rsidRPr="00FF079C" w:rsidRDefault="00293116" w:rsidP="00373F3A">
            <w:pPr>
              <w:pStyle w:val="Tabletext"/>
              <w:jc w:val="center"/>
            </w:pPr>
            <w:r w:rsidRPr="00E655B2">
              <w:t>25,035,843</w:t>
            </w:r>
          </w:p>
        </w:tc>
        <w:tc>
          <w:tcPr>
            <w:tcW w:w="621" w:type="pct"/>
          </w:tcPr>
          <w:p w:rsidR="00293116" w:rsidRPr="00FF079C" w:rsidRDefault="00293116" w:rsidP="00373F3A">
            <w:pPr>
              <w:pStyle w:val="Tabletext"/>
              <w:jc w:val="center"/>
            </w:pPr>
            <w:r w:rsidRPr="00E655B2">
              <w:t>29,390,353</w:t>
            </w:r>
          </w:p>
        </w:tc>
        <w:tc>
          <w:tcPr>
            <w:tcW w:w="620" w:type="pct"/>
          </w:tcPr>
          <w:p w:rsidR="00293116" w:rsidRPr="00FF079C" w:rsidRDefault="00293116" w:rsidP="00373F3A">
            <w:pPr>
              <w:pStyle w:val="Tabletext"/>
              <w:jc w:val="center"/>
            </w:pPr>
            <w:r w:rsidRPr="00E655B2">
              <w:t>32,053,833</w:t>
            </w:r>
          </w:p>
        </w:tc>
        <w:tc>
          <w:tcPr>
            <w:tcW w:w="620" w:type="pct"/>
          </w:tcPr>
          <w:p w:rsidR="00293116" w:rsidRPr="00FF079C" w:rsidRDefault="00293116" w:rsidP="00373F3A">
            <w:pPr>
              <w:pStyle w:val="Tabletext"/>
              <w:jc w:val="center"/>
            </w:pPr>
            <w:r w:rsidRPr="00E655B2">
              <w:t>34,814,558</w:t>
            </w:r>
          </w:p>
        </w:tc>
        <w:tc>
          <w:tcPr>
            <w:tcW w:w="658" w:type="pct"/>
          </w:tcPr>
          <w:p w:rsidR="00293116" w:rsidRPr="00FF079C" w:rsidRDefault="00293116" w:rsidP="00373F3A">
            <w:pPr>
              <w:pStyle w:val="Tabletext"/>
              <w:jc w:val="center"/>
            </w:pPr>
            <w:r w:rsidRPr="00E655B2">
              <w:t>37,672,529</w:t>
            </w:r>
          </w:p>
        </w:tc>
      </w:tr>
      <w:tr w:rsidR="007B731F" w:rsidRPr="00626A22" w:rsidTr="007B731F">
        <w:trPr>
          <w:cantSplit/>
          <w:trHeight w:val="330"/>
        </w:trPr>
        <w:tc>
          <w:tcPr>
            <w:tcW w:w="1195" w:type="pct"/>
          </w:tcPr>
          <w:p w:rsidR="007B731F" w:rsidRPr="007B731F" w:rsidRDefault="007B731F" w:rsidP="00373F3A">
            <w:pPr>
              <w:pStyle w:val="Tabletext"/>
              <w:rPr>
                <w:b/>
              </w:rPr>
            </w:pPr>
            <w:r w:rsidRPr="007B731F">
              <w:rPr>
                <w:b/>
              </w:rPr>
              <w:t>EHL cost (</w:t>
            </w:r>
            <w:r>
              <w:rPr>
                <w:b/>
              </w:rPr>
              <w:t>$</w:t>
            </w:r>
            <w:r w:rsidR="006E2F2C" w:rsidRPr="006E2F2C">
              <w:rPr>
                <w:b/>
              </w:rPr>
              <w:t>redacted</w:t>
            </w:r>
            <w:r w:rsidR="006E2F2C" w:rsidRPr="007B731F">
              <w:rPr>
                <w:b/>
              </w:rPr>
              <w:t xml:space="preserve"> </w:t>
            </w:r>
            <w:r w:rsidRPr="007B731F">
              <w:rPr>
                <w:b/>
              </w:rPr>
              <w:t>per IU)</w:t>
            </w:r>
          </w:p>
        </w:tc>
        <w:tc>
          <w:tcPr>
            <w:tcW w:w="665" w:type="pct"/>
          </w:tcPr>
          <w:p w:rsidR="007B731F" w:rsidRPr="007B731F" w:rsidRDefault="006E2F2C" w:rsidP="007B731F">
            <w:pPr>
              <w:rPr>
                <w:sz w:val="18"/>
                <w:szCs w:val="18"/>
              </w:rPr>
            </w:pPr>
            <w:r w:rsidRPr="006E2F2C">
              <w:rPr>
                <w:rFonts w:ascii="Arial Narrow" w:hAnsi="Arial Narrow"/>
                <w:b/>
                <w:sz w:val="20"/>
              </w:rPr>
              <w:t>redacted</w:t>
            </w:r>
          </w:p>
        </w:tc>
        <w:tc>
          <w:tcPr>
            <w:tcW w:w="620" w:type="pct"/>
          </w:tcPr>
          <w:p w:rsidR="007B731F" w:rsidRPr="007B731F" w:rsidRDefault="006E2F2C" w:rsidP="007B731F">
            <w:pPr>
              <w:rPr>
                <w:sz w:val="18"/>
                <w:szCs w:val="18"/>
              </w:rPr>
            </w:pPr>
            <w:r w:rsidRPr="006E2F2C">
              <w:rPr>
                <w:rFonts w:ascii="Arial Narrow" w:hAnsi="Arial Narrow"/>
                <w:b/>
                <w:sz w:val="20"/>
              </w:rPr>
              <w:t>redacted</w:t>
            </w:r>
          </w:p>
        </w:tc>
        <w:tc>
          <w:tcPr>
            <w:tcW w:w="621" w:type="pct"/>
          </w:tcPr>
          <w:p w:rsidR="007B731F" w:rsidRPr="007B731F" w:rsidRDefault="006E2F2C" w:rsidP="007B731F">
            <w:pPr>
              <w:rPr>
                <w:sz w:val="18"/>
                <w:szCs w:val="18"/>
              </w:rPr>
            </w:pPr>
            <w:r w:rsidRPr="006E2F2C">
              <w:rPr>
                <w:rFonts w:ascii="Arial Narrow" w:hAnsi="Arial Narrow"/>
                <w:b/>
                <w:sz w:val="20"/>
              </w:rPr>
              <w:t>redacted</w:t>
            </w:r>
          </w:p>
        </w:tc>
        <w:tc>
          <w:tcPr>
            <w:tcW w:w="620" w:type="pct"/>
          </w:tcPr>
          <w:p w:rsidR="007B731F" w:rsidRPr="007B731F" w:rsidRDefault="006E2F2C" w:rsidP="007B731F">
            <w:pPr>
              <w:rPr>
                <w:sz w:val="18"/>
                <w:szCs w:val="18"/>
              </w:rPr>
            </w:pPr>
            <w:r w:rsidRPr="006E2F2C">
              <w:rPr>
                <w:rFonts w:ascii="Arial Narrow" w:hAnsi="Arial Narrow"/>
                <w:b/>
                <w:sz w:val="20"/>
              </w:rPr>
              <w:t>redacted</w:t>
            </w:r>
          </w:p>
        </w:tc>
        <w:tc>
          <w:tcPr>
            <w:tcW w:w="620" w:type="pct"/>
          </w:tcPr>
          <w:p w:rsidR="007B731F" w:rsidRPr="007B731F" w:rsidRDefault="006E2F2C" w:rsidP="007B731F">
            <w:pPr>
              <w:rPr>
                <w:sz w:val="18"/>
                <w:szCs w:val="18"/>
              </w:rPr>
            </w:pPr>
            <w:r w:rsidRPr="006E2F2C">
              <w:rPr>
                <w:rFonts w:ascii="Arial Narrow" w:hAnsi="Arial Narrow"/>
                <w:b/>
                <w:sz w:val="20"/>
              </w:rPr>
              <w:t>redacted</w:t>
            </w:r>
          </w:p>
        </w:tc>
        <w:tc>
          <w:tcPr>
            <w:tcW w:w="658" w:type="pct"/>
          </w:tcPr>
          <w:p w:rsidR="007B731F" w:rsidRPr="007B731F" w:rsidRDefault="006E2F2C" w:rsidP="007B731F">
            <w:pPr>
              <w:rPr>
                <w:sz w:val="18"/>
                <w:szCs w:val="18"/>
              </w:rPr>
            </w:pPr>
            <w:r w:rsidRPr="006E2F2C">
              <w:rPr>
                <w:rFonts w:ascii="Arial Narrow" w:hAnsi="Arial Narrow"/>
                <w:b/>
                <w:sz w:val="20"/>
              </w:rPr>
              <w:t>redacted</w:t>
            </w:r>
          </w:p>
        </w:tc>
      </w:tr>
      <w:tr w:rsidR="00293116" w:rsidRPr="000F6997" w:rsidTr="007B731F">
        <w:trPr>
          <w:cantSplit/>
          <w:trHeight w:val="330"/>
        </w:trPr>
        <w:tc>
          <w:tcPr>
            <w:tcW w:w="1195" w:type="pct"/>
          </w:tcPr>
          <w:p w:rsidR="00293116" w:rsidRDefault="00293116" w:rsidP="00373F3A">
            <w:pPr>
              <w:pStyle w:val="Tabletext"/>
            </w:pPr>
            <w:r w:rsidRPr="008C5937">
              <w:t>No. of SHL IUs</w:t>
            </w:r>
          </w:p>
          <w:p w:rsidR="00293116" w:rsidRDefault="00293116" w:rsidP="00373F3A">
            <w:pPr>
              <w:pStyle w:val="Tabletext"/>
            </w:pPr>
            <w:r>
              <w:t>(</w:t>
            </w:r>
            <w:r w:rsidRPr="007957A4">
              <w:t>65,385</w:t>
            </w:r>
            <w:r>
              <w:t>IU/person/year)</w:t>
            </w:r>
          </w:p>
        </w:tc>
        <w:tc>
          <w:tcPr>
            <w:tcW w:w="665" w:type="pct"/>
          </w:tcPr>
          <w:p w:rsidR="00293116" w:rsidRPr="00FF079C" w:rsidRDefault="00293116" w:rsidP="00373F3A">
            <w:pPr>
              <w:pStyle w:val="Tabletext"/>
              <w:jc w:val="center"/>
            </w:pPr>
            <w:r w:rsidRPr="00433477">
              <w:t>20,875,823</w:t>
            </w:r>
          </w:p>
        </w:tc>
        <w:tc>
          <w:tcPr>
            <w:tcW w:w="620" w:type="pct"/>
          </w:tcPr>
          <w:p w:rsidR="00293116" w:rsidRPr="00FF079C" w:rsidRDefault="00293116" w:rsidP="00373F3A">
            <w:pPr>
              <w:pStyle w:val="Tabletext"/>
              <w:jc w:val="center"/>
            </w:pPr>
            <w:r w:rsidRPr="00433477">
              <w:t>25,035,843</w:t>
            </w:r>
          </w:p>
        </w:tc>
        <w:tc>
          <w:tcPr>
            <w:tcW w:w="621" w:type="pct"/>
          </w:tcPr>
          <w:p w:rsidR="00293116" w:rsidRPr="00FF079C" w:rsidRDefault="00293116" w:rsidP="00373F3A">
            <w:pPr>
              <w:pStyle w:val="Tabletext"/>
              <w:jc w:val="center"/>
            </w:pPr>
            <w:r w:rsidRPr="00433477">
              <w:t>29,390,353</w:t>
            </w:r>
          </w:p>
        </w:tc>
        <w:tc>
          <w:tcPr>
            <w:tcW w:w="620" w:type="pct"/>
          </w:tcPr>
          <w:p w:rsidR="00293116" w:rsidRPr="00FF079C" w:rsidRDefault="00293116" w:rsidP="00373F3A">
            <w:pPr>
              <w:pStyle w:val="Tabletext"/>
              <w:jc w:val="center"/>
            </w:pPr>
            <w:r w:rsidRPr="00433477">
              <w:t>32,053,833</w:t>
            </w:r>
          </w:p>
        </w:tc>
        <w:tc>
          <w:tcPr>
            <w:tcW w:w="620" w:type="pct"/>
          </w:tcPr>
          <w:p w:rsidR="00293116" w:rsidRPr="00FF079C" w:rsidRDefault="00293116" w:rsidP="00373F3A">
            <w:pPr>
              <w:pStyle w:val="Tabletext"/>
              <w:jc w:val="center"/>
            </w:pPr>
            <w:r w:rsidRPr="00433477">
              <w:t>34,814,558</w:t>
            </w:r>
          </w:p>
        </w:tc>
        <w:tc>
          <w:tcPr>
            <w:tcW w:w="658" w:type="pct"/>
          </w:tcPr>
          <w:p w:rsidR="00293116" w:rsidRPr="00FF079C" w:rsidRDefault="00293116" w:rsidP="00373F3A">
            <w:pPr>
              <w:pStyle w:val="Tabletext"/>
              <w:jc w:val="center"/>
            </w:pPr>
            <w:r w:rsidRPr="00433477">
              <w:t>37,672,529</w:t>
            </w:r>
          </w:p>
        </w:tc>
      </w:tr>
      <w:tr w:rsidR="00293116" w:rsidRPr="002B1BB1" w:rsidTr="007B731F">
        <w:trPr>
          <w:cantSplit/>
          <w:trHeight w:val="330"/>
        </w:trPr>
        <w:tc>
          <w:tcPr>
            <w:tcW w:w="1195" w:type="pct"/>
          </w:tcPr>
          <w:p w:rsidR="00293116" w:rsidRPr="002B1BB1" w:rsidRDefault="00293116" w:rsidP="00373F3A">
            <w:pPr>
              <w:pStyle w:val="Tabletext"/>
              <w:rPr>
                <w:b/>
              </w:rPr>
            </w:pPr>
            <w:r w:rsidRPr="002B1BB1">
              <w:rPr>
                <w:b/>
              </w:rPr>
              <w:t>SHL cost ($0.36 per IU)</w:t>
            </w:r>
          </w:p>
        </w:tc>
        <w:tc>
          <w:tcPr>
            <w:tcW w:w="665" w:type="pct"/>
          </w:tcPr>
          <w:p w:rsidR="00293116" w:rsidRPr="009E45FF" w:rsidRDefault="00293116" w:rsidP="00373F3A">
            <w:pPr>
              <w:pStyle w:val="Tabletext"/>
              <w:jc w:val="right"/>
              <w:rPr>
                <w:b/>
              </w:rPr>
            </w:pPr>
            <w:r w:rsidRPr="009E45FF">
              <w:rPr>
                <w:b/>
              </w:rPr>
              <w:t>$7,602,179</w:t>
            </w:r>
          </w:p>
        </w:tc>
        <w:tc>
          <w:tcPr>
            <w:tcW w:w="620" w:type="pct"/>
          </w:tcPr>
          <w:p w:rsidR="00293116" w:rsidRPr="009E45FF" w:rsidRDefault="00293116" w:rsidP="00373F3A">
            <w:pPr>
              <w:pStyle w:val="Tabletext"/>
              <w:jc w:val="right"/>
              <w:rPr>
                <w:b/>
              </w:rPr>
            </w:pPr>
            <w:r w:rsidRPr="009E45FF">
              <w:rPr>
                <w:b/>
              </w:rPr>
              <w:t>$9,117,100</w:t>
            </w:r>
          </w:p>
        </w:tc>
        <w:tc>
          <w:tcPr>
            <w:tcW w:w="621" w:type="pct"/>
          </w:tcPr>
          <w:p w:rsidR="00293116" w:rsidRPr="009E45FF" w:rsidRDefault="00293116" w:rsidP="00373F3A">
            <w:pPr>
              <w:pStyle w:val="Tabletext"/>
              <w:jc w:val="right"/>
              <w:rPr>
                <w:b/>
              </w:rPr>
            </w:pPr>
            <w:r w:rsidRPr="009E45FF">
              <w:rPr>
                <w:b/>
              </w:rPr>
              <w:t>$10,702,846</w:t>
            </w:r>
          </w:p>
        </w:tc>
        <w:tc>
          <w:tcPr>
            <w:tcW w:w="620" w:type="pct"/>
          </w:tcPr>
          <w:p w:rsidR="00293116" w:rsidRPr="009E45FF" w:rsidRDefault="00293116" w:rsidP="00373F3A">
            <w:pPr>
              <w:pStyle w:val="Tabletext"/>
              <w:jc w:val="right"/>
              <w:rPr>
                <w:b/>
              </w:rPr>
            </w:pPr>
            <w:r w:rsidRPr="009E45FF">
              <w:rPr>
                <w:b/>
              </w:rPr>
              <w:t>$11,672,784</w:t>
            </w:r>
          </w:p>
        </w:tc>
        <w:tc>
          <w:tcPr>
            <w:tcW w:w="620" w:type="pct"/>
          </w:tcPr>
          <w:p w:rsidR="00293116" w:rsidRPr="009E45FF" w:rsidRDefault="00293116" w:rsidP="00373F3A">
            <w:pPr>
              <w:pStyle w:val="Tabletext"/>
              <w:jc w:val="right"/>
              <w:rPr>
                <w:b/>
              </w:rPr>
            </w:pPr>
            <w:r w:rsidRPr="009E45FF">
              <w:rPr>
                <w:b/>
              </w:rPr>
              <w:t>$12,678,135</w:t>
            </w:r>
          </w:p>
        </w:tc>
        <w:tc>
          <w:tcPr>
            <w:tcW w:w="658" w:type="pct"/>
          </w:tcPr>
          <w:p w:rsidR="00293116" w:rsidRPr="009E45FF" w:rsidRDefault="00293116" w:rsidP="00373F3A">
            <w:pPr>
              <w:pStyle w:val="Tabletext"/>
              <w:jc w:val="right"/>
              <w:rPr>
                <w:b/>
              </w:rPr>
            </w:pPr>
            <w:r w:rsidRPr="009E45FF">
              <w:rPr>
                <w:b/>
              </w:rPr>
              <w:t>$13,718,899</w:t>
            </w:r>
          </w:p>
        </w:tc>
      </w:tr>
      <w:tr w:rsidR="00FE0F3D" w:rsidRPr="009C710F" w:rsidTr="007B731F">
        <w:trPr>
          <w:cantSplit/>
          <w:trHeight w:val="330"/>
        </w:trPr>
        <w:tc>
          <w:tcPr>
            <w:tcW w:w="1195" w:type="pct"/>
            <w:tcBorders>
              <w:bottom w:val="double" w:sz="4" w:space="0" w:color="auto"/>
            </w:tcBorders>
          </w:tcPr>
          <w:p w:rsidR="00FE0F3D" w:rsidRPr="009C710F" w:rsidRDefault="00FE0F3D" w:rsidP="00373F3A">
            <w:pPr>
              <w:pStyle w:val="Tabletext"/>
              <w:rPr>
                <w:b/>
              </w:rPr>
            </w:pPr>
            <w:r w:rsidRPr="009C710F">
              <w:rPr>
                <w:b/>
              </w:rPr>
              <w:t>Net on demand cost</w:t>
            </w:r>
          </w:p>
        </w:tc>
        <w:tc>
          <w:tcPr>
            <w:tcW w:w="665" w:type="pct"/>
            <w:tcBorders>
              <w:bottom w:val="double" w:sz="4" w:space="0" w:color="auto"/>
            </w:tcBorders>
          </w:tcPr>
          <w:p w:rsidR="00FE0F3D" w:rsidRDefault="006E2F2C">
            <w:r w:rsidRPr="006E2F2C">
              <w:rPr>
                <w:rFonts w:ascii="Arial Narrow" w:hAnsi="Arial Narrow"/>
                <w:b/>
                <w:sz w:val="20"/>
              </w:rPr>
              <w:t>redacted</w:t>
            </w:r>
          </w:p>
        </w:tc>
        <w:tc>
          <w:tcPr>
            <w:tcW w:w="620" w:type="pct"/>
            <w:tcBorders>
              <w:bottom w:val="double" w:sz="4" w:space="0" w:color="auto"/>
            </w:tcBorders>
          </w:tcPr>
          <w:p w:rsidR="00FE0F3D" w:rsidRDefault="006E2F2C">
            <w:r w:rsidRPr="006E2F2C">
              <w:rPr>
                <w:rFonts w:ascii="Arial Narrow" w:hAnsi="Arial Narrow"/>
                <w:b/>
                <w:sz w:val="20"/>
              </w:rPr>
              <w:t>redacted</w:t>
            </w:r>
          </w:p>
        </w:tc>
        <w:tc>
          <w:tcPr>
            <w:tcW w:w="621" w:type="pct"/>
            <w:tcBorders>
              <w:bottom w:val="double" w:sz="4" w:space="0" w:color="auto"/>
            </w:tcBorders>
          </w:tcPr>
          <w:p w:rsidR="00FE0F3D" w:rsidRDefault="006E2F2C">
            <w:r w:rsidRPr="006E2F2C">
              <w:rPr>
                <w:rFonts w:ascii="Arial Narrow" w:hAnsi="Arial Narrow"/>
                <w:b/>
                <w:sz w:val="20"/>
              </w:rPr>
              <w:t>redacted</w:t>
            </w:r>
          </w:p>
        </w:tc>
        <w:tc>
          <w:tcPr>
            <w:tcW w:w="620" w:type="pct"/>
            <w:tcBorders>
              <w:bottom w:val="double" w:sz="4" w:space="0" w:color="auto"/>
            </w:tcBorders>
          </w:tcPr>
          <w:p w:rsidR="00FE0F3D" w:rsidRDefault="006E2F2C">
            <w:r w:rsidRPr="006E2F2C">
              <w:rPr>
                <w:rFonts w:ascii="Arial Narrow" w:hAnsi="Arial Narrow"/>
                <w:b/>
                <w:sz w:val="20"/>
              </w:rPr>
              <w:t>redacted</w:t>
            </w:r>
          </w:p>
        </w:tc>
        <w:tc>
          <w:tcPr>
            <w:tcW w:w="620" w:type="pct"/>
            <w:tcBorders>
              <w:bottom w:val="double" w:sz="4" w:space="0" w:color="auto"/>
            </w:tcBorders>
          </w:tcPr>
          <w:p w:rsidR="00FE0F3D" w:rsidRDefault="006E2F2C">
            <w:r w:rsidRPr="006E2F2C">
              <w:rPr>
                <w:rFonts w:ascii="Arial Narrow" w:hAnsi="Arial Narrow"/>
                <w:b/>
                <w:sz w:val="20"/>
              </w:rPr>
              <w:t>redacted</w:t>
            </w:r>
          </w:p>
        </w:tc>
        <w:tc>
          <w:tcPr>
            <w:tcW w:w="658" w:type="pct"/>
            <w:tcBorders>
              <w:bottom w:val="double" w:sz="4" w:space="0" w:color="auto"/>
            </w:tcBorders>
          </w:tcPr>
          <w:p w:rsidR="00FE0F3D" w:rsidRDefault="006E2F2C">
            <w:r w:rsidRPr="006E2F2C">
              <w:rPr>
                <w:rFonts w:ascii="Arial Narrow" w:hAnsi="Arial Narrow"/>
                <w:b/>
                <w:sz w:val="20"/>
              </w:rPr>
              <w:t>redacted</w:t>
            </w:r>
          </w:p>
        </w:tc>
      </w:tr>
      <w:tr w:rsidR="007B731F" w:rsidRPr="009C710F" w:rsidTr="007B731F">
        <w:trPr>
          <w:cantSplit/>
          <w:trHeight w:val="330"/>
        </w:trPr>
        <w:tc>
          <w:tcPr>
            <w:tcW w:w="1195" w:type="pct"/>
          </w:tcPr>
          <w:p w:rsidR="007B731F" w:rsidRPr="007B731F" w:rsidRDefault="007B731F" w:rsidP="00477A86">
            <w:pPr>
              <w:pStyle w:val="Tabletext"/>
              <w:rPr>
                <w:b/>
              </w:rPr>
            </w:pPr>
            <w:r w:rsidRPr="007B731F">
              <w:rPr>
                <w:b/>
              </w:rPr>
              <w:t>Net cost of EHL factor VIII</w:t>
            </w:r>
          </w:p>
        </w:tc>
        <w:tc>
          <w:tcPr>
            <w:tcW w:w="665" w:type="pct"/>
          </w:tcPr>
          <w:p w:rsidR="007B731F" w:rsidRPr="007B731F" w:rsidRDefault="006E2F2C" w:rsidP="007B731F">
            <w:pPr>
              <w:rPr>
                <w:sz w:val="18"/>
                <w:szCs w:val="18"/>
              </w:rPr>
            </w:pPr>
            <w:r w:rsidRPr="006E2F2C">
              <w:rPr>
                <w:rFonts w:ascii="Arial Narrow" w:hAnsi="Arial Narrow"/>
                <w:b/>
                <w:sz w:val="20"/>
              </w:rPr>
              <w:t>redacted</w:t>
            </w:r>
          </w:p>
        </w:tc>
        <w:tc>
          <w:tcPr>
            <w:tcW w:w="620" w:type="pct"/>
          </w:tcPr>
          <w:p w:rsidR="007B731F" w:rsidRPr="007B731F" w:rsidRDefault="006E2F2C" w:rsidP="007B731F">
            <w:pPr>
              <w:rPr>
                <w:sz w:val="18"/>
                <w:szCs w:val="18"/>
              </w:rPr>
            </w:pPr>
            <w:r w:rsidRPr="006E2F2C">
              <w:rPr>
                <w:rFonts w:ascii="Arial Narrow" w:hAnsi="Arial Narrow"/>
                <w:b/>
                <w:sz w:val="20"/>
              </w:rPr>
              <w:t>redacted</w:t>
            </w:r>
          </w:p>
        </w:tc>
        <w:tc>
          <w:tcPr>
            <w:tcW w:w="621" w:type="pct"/>
          </w:tcPr>
          <w:p w:rsidR="007B731F" w:rsidRPr="007B731F" w:rsidRDefault="006E2F2C" w:rsidP="007B731F">
            <w:pPr>
              <w:rPr>
                <w:sz w:val="18"/>
                <w:szCs w:val="18"/>
              </w:rPr>
            </w:pPr>
            <w:r w:rsidRPr="006E2F2C">
              <w:rPr>
                <w:rFonts w:ascii="Arial Narrow" w:hAnsi="Arial Narrow"/>
                <w:b/>
                <w:sz w:val="20"/>
              </w:rPr>
              <w:t>redacted</w:t>
            </w:r>
          </w:p>
        </w:tc>
        <w:tc>
          <w:tcPr>
            <w:tcW w:w="620" w:type="pct"/>
          </w:tcPr>
          <w:p w:rsidR="007B731F" w:rsidRPr="007B731F" w:rsidRDefault="006E2F2C" w:rsidP="007B731F">
            <w:pPr>
              <w:rPr>
                <w:sz w:val="18"/>
                <w:szCs w:val="18"/>
              </w:rPr>
            </w:pPr>
            <w:r w:rsidRPr="006E2F2C">
              <w:rPr>
                <w:rFonts w:ascii="Arial Narrow" w:hAnsi="Arial Narrow"/>
                <w:b/>
                <w:sz w:val="20"/>
              </w:rPr>
              <w:t>redacted</w:t>
            </w:r>
          </w:p>
        </w:tc>
        <w:tc>
          <w:tcPr>
            <w:tcW w:w="620" w:type="pct"/>
          </w:tcPr>
          <w:p w:rsidR="007B731F" w:rsidRPr="007B731F" w:rsidRDefault="006E2F2C" w:rsidP="007B731F">
            <w:pPr>
              <w:rPr>
                <w:sz w:val="18"/>
                <w:szCs w:val="18"/>
              </w:rPr>
            </w:pPr>
            <w:r w:rsidRPr="006E2F2C">
              <w:rPr>
                <w:rFonts w:ascii="Arial Narrow" w:hAnsi="Arial Narrow"/>
                <w:b/>
                <w:sz w:val="20"/>
              </w:rPr>
              <w:t>redacted</w:t>
            </w:r>
          </w:p>
        </w:tc>
        <w:tc>
          <w:tcPr>
            <w:tcW w:w="658" w:type="pct"/>
          </w:tcPr>
          <w:p w:rsidR="007B731F" w:rsidRPr="007B731F" w:rsidRDefault="006E2F2C" w:rsidP="007B731F">
            <w:pPr>
              <w:rPr>
                <w:sz w:val="18"/>
                <w:szCs w:val="18"/>
              </w:rPr>
            </w:pPr>
            <w:r w:rsidRPr="006E2F2C">
              <w:rPr>
                <w:rFonts w:ascii="Arial Narrow" w:hAnsi="Arial Narrow"/>
                <w:b/>
                <w:sz w:val="20"/>
              </w:rPr>
              <w:t>redacted</w:t>
            </w:r>
          </w:p>
        </w:tc>
      </w:tr>
    </w:tbl>
    <w:p w:rsidR="00DD0502" w:rsidRPr="006E2F2C" w:rsidRDefault="00293116" w:rsidP="006E2F2C">
      <w:pPr>
        <w:pStyle w:val="Tablenotes"/>
        <w:jc w:val="left"/>
        <w:rPr>
          <w:sz w:val="16"/>
          <w:lang w:eastAsia="en-AU"/>
        </w:rPr>
      </w:pPr>
      <w:r w:rsidRPr="00B23AFC">
        <w:rPr>
          <w:sz w:val="16"/>
          <w:lang w:eastAsia="en-AU"/>
        </w:rPr>
        <w:t>EHL = extended half-life; HA=haemophilia A; IU = international unit; SHL = standard half-life.</w:t>
      </w:r>
      <w:r>
        <w:rPr>
          <w:sz w:val="16"/>
          <w:lang w:eastAsia="en-AU"/>
        </w:rPr>
        <w:br/>
      </w:r>
      <w:r w:rsidRPr="00B23AFC">
        <w:rPr>
          <w:sz w:val="16"/>
          <w:vertAlign w:val="superscript"/>
          <w:lang w:eastAsia="en-AU"/>
        </w:rPr>
        <w:t>a</w:t>
      </w:r>
      <w:r w:rsidRPr="00B23AFC">
        <w:rPr>
          <w:sz w:val="16"/>
          <w:lang w:eastAsia="en-AU"/>
        </w:rPr>
        <w:t xml:space="preserve"> The average number of SHL </w:t>
      </w:r>
      <w:r w:rsidR="00477A86">
        <w:rPr>
          <w:sz w:val="16"/>
          <w:lang w:eastAsia="en-AU"/>
        </w:rPr>
        <w:t xml:space="preserve">factor </w:t>
      </w:r>
      <w:r w:rsidRPr="00B23AFC">
        <w:rPr>
          <w:sz w:val="16"/>
          <w:lang w:eastAsia="en-AU"/>
        </w:rPr>
        <w:t xml:space="preserve">VIII IUs per person per year was estimated from the </w:t>
      </w:r>
      <w:r w:rsidRPr="00B23AFC">
        <w:rPr>
          <w:sz w:val="16"/>
          <w:szCs w:val="18"/>
        </w:rPr>
        <w:t xml:space="preserve">ABDR Annual Report 2015-16 </w:t>
      </w:r>
      <w:r w:rsidRPr="00B23AFC">
        <w:rPr>
          <w:sz w:val="16"/>
        </w:rPr>
        <w:t>(NBA 2017)</w:t>
      </w:r>
      <w:r w:rsidRPr="00B23AFC">
        <w:rPr>
          <w:sz w:val="16"/>
          <w:lang w:eastAsia="en-AU"/>
        </w:rPr>
        <w:t xml:space="preserve">. The percentage decrease in </w:t>
      </w:r>
      <w:r w:rsidR="00477A86">
        <w:rPr>
          <w:sz w:val="16"/>
          <w:lang w:eastAsia="en-AU"/>
        </w:rPr>
        <w:t xml:space="preserve">factor </w:t>
      </w:r>
      <w:r w:rsidRPr="00B23AFC">
        <w:rPr>
          <w:sz w:val="16"/>
          <w:lang w:eastAsia="en-AU"/>
        </w:rPr>
        <w:t>VIII use, as estimated in the economic analysis, was then applied to this estimate.</w:t>
      </w:r>
      <w:r>
        <w:rPr>
          <w:sz w:val="16"/>
          <w:lang w:eastAsia="en-AU"/>
        </w:rPr>
        <w:br/>
      </w:r>
      <w:r w:rsidRPr="00B23AFC">
        <w:rPr>
          <w:sz w:val="16"/>
          <w:vertAlign w:val="superscript"/>
          <w:lang w:eastAsia="en-AU"/>
        </w:rPr>
        <w:t>b</w:t>
      </w:r>
      <w:r w:rsidRPr="00B23AFC">
        <w:rPr>
          <w:sz w:val="16"/>
          <w:lang w:eastAsia="en-AU"/>
        </w:rPr>
        <w:t xml:space="preserve"> No difference in </w:t>
      </w:r>
      <w:r w:rsidR="00477A86">
        <w:rPr>
          <w:sz w:val="16"/>
          <w:lang w:eastAsia="en-AU"/>
        </w:rPr>
        <w:t xml:space="preserve">factor </w:t>
      </w:r>
      <w:r w:rsidRPr="00B23AFC">
        <w:rPr>
          <w:sz w:val="16"/>
          <w:lang w:eastAsia="en-AU"/>
        </w:rPr>
        <w:t>VIII consumption has been assumed for on demand use. This was tested in sensitivity analyses.</w:t>
      </w:r>
      <w:r w:rsidR="00DD0502">
        <w:rPr>
          <w:i/>
        </w:rPr>
        <w:br w:type="page"/>
      </w:r>
    </w:p>
    <w:p w:rsidR="00293116" w:rsidRPr="00DD0502" w:rsidRDefault="00293116" w:rsidP="00DD0502">
      <w:pPr>
        <w:spacing w:after="120"/>
        <w:rPr>
          <w:i/>
        </w:rPr>
      </w:pPr>
      <w:r w:rsidRPr="00DD0502">
        <w:rPr>
          <w:i/>
        </w:rPr>
        <w:lastRenderedPageBreak/>
        <w:t>Haemophilia B</w:t>
      </w:r>
    </w:p>
    <w:p w:rsidR="00293116" w:rsidRPr="00F46CFD" w:rsidRDefault="00293116" w:rsidP="00F46CFD">
      <w:pPr>
        <w:rPr>
          <w:rFonts w:ascii="Arial Narrow" w:hAnsi="Arial Narrow"/>
          <w:b/>
          <w:sz w:val="20"/>
        </w:rPr>
      </w:pPr>
      <w:bookmarkStart w:id="20" w:name="_Ref512268964"/>
      <w:bookmarkStart w:id="21" w:name="_Toc513112434"/>
      <w:r w:rsidRPr="00F46CFD">
        <w:rPr>
          <w:rFonts w:ascii="Arial Narrow" w:hAnsi="Arial Narrow"/>
          <w:b/>
          <w:sz w:val="20"/>
        </w:rPr>
        <w:t xml:space="preserve">Table </w:t>
      </w:r>
      <w:r w:rsidR="00B20EE7" w:rsidRPr="00F46CFD">
        <w:rPr>
          <w:rFonts w:ascii="Arial Narrow" w:hAnsi="Arial Narrow"/>
          <w:b/>
          <w:sz w:val="20"/>
        </w:rPr>
        <w:fldChar w:fldCharType="begin"/>
      </w:r>
      <w:r w:rsidR="00B20EE7" w:rsidRPr="00F46CFD">
        <w:rPr>
          <w:rFonts w:ascii="Arial Narrow" w:hAnsi="Arial Narrow"/>
          <w:b/>
          <w:sz w:val="20"/>
        </w:rPr>
        <w:instrText xml:space="preserve"> SEQ Table \* ARABIC </w:instrText>
      </w:r>
      <w:r w:rsidR="00B20EE7" w:rsidRPr="00F46CFD">
        <w:rPr>
          <w:rFonts w:ascii="Arial Narrow" w:hAnsi="Arial Narrow"/>
          <w:b/>
          <w:sz w:val="20"/>
        </w:rPr>
        <w:fldChar w:fldCharType="separate"/>
      </w:r>
      <w:r w:rsidRPr="00F46CFD">
        <w:rPr>
          <w:rFonts w:ascii="Arial Narrow" w:hAnsi="Arial Narrow"/>
          <w:b/>
          <w:sz w:val="20"/>
        </w:rPr>
        <w:t>4</w:t>
      </w:r>
      <w:r w:rsidR="00B20EE7" w:rsidRPr="00F46CFD">
        <w:rPr>
          <w:rFonts w:ascii="Arial Narrow" w:hAnsi="Arial Narrow"/>
          <w:b/>
          <w:sz w:val="20"/>
        </w:rPr>
        <w:fldChar w:fldCharType="end"/>
      </w:r>
      <w:bookmarkEnd w:id="20"/>
      <w:r w:rsidRPr="00F46CFD">
        <w:rPr>
          <w:rFonts w:ascii="Arial Narrow" w:hAnsi="Arial Narrow"/>
          <w:b/>
          <w:sz w:val="20"/>
        </w:rPr>
        <w:tab/>
        <w:t xml:space="preserve">Estimation of the financial impact of funding EHL </w:t>
      </w:r>
      <w:r w:rsidR="00477A86" w:rsidRPr="00F46CFD">
        <w:rPr>
          <w:rFonts w:ascii="Arial Narrow" w:hAnsi="Arial Narrow"/>
          <w:b/>
          <w:sz w:val="20"/>
        </w:rPr>
        <w:t xml:space="preserve">factor </w:t>
      </w:r>
      <w:r w:rsidRPr="00F46CFD">
        <w:rPr>
          <w:rFonts w:ascii="Arial Narrow" w:hAnsi="Arial Narrow"/>
          <w:b/>
          <w:sz w:val="20"/>
        </w:rPr>
        <w:t>IX products</w:t>
      </w:r>
      <w:bookmarkEnd w:id="21"/>
    </w:p>
    <w:tbl>
      <w:tblPr>
        <w:tblStyle w:val="TableGrid"/>
        <w:tblW w:w="5000" w:type="pct"/>
        <w:tblLayout w:type="fixed"/>
        <w:tblLook w:val="04A0" w:firstRow="1" w:lastRow="0" w:firstColumn="1" w:lastColumn="0" w:noHBand="0" w:noVBand="1"/>
        <w:tblCaption w:val="Estimation of the financial impact of funding EHL FIX products"/>
        <w:tblDescription w:val="Estimation of the financial impact of funding EHL FIX products"/>
      </w:tblPr>
      <w:tblGrid>
        <w:gridCol w:w="2178"/>
        <w:gridCol w:w="1178"/>
        <w:gridCol w:w="1177"/>
        <w:gridCol w:w="1179"/>
        <w:gridCol w:w="1177"/>
        <w:gridCol w:w="1177"/>
        <w:gridCol w:w="1176"/>
      </w:tblGrid>
      <w:tr w:rsidR="00293116" w:rsidRPr="006E55EC" w:rsidTr="007B731F">
        <w:trPr>
          <w:cantSplit/>
          <w:trHeight w:val="315"/>
          <w:tblHeader/>
        </w:trPr>
        <w:tc>
          <w:tcPr>
            <w:tcW w:w="1178" w:type="pct"/>
            <w:noWrap/>
            <w:hideMark/>
          </w:tcPr>
          <w:p w:rsidR="00293116" w:rsidRPr="006E55EC" w:rsidRDefault="00293116" w:rsidP="00373F3A">
            <w:pPr>
              <w:pStyle w:val="TableHeading"/>
            </w:pPr>
          </w:p>
        </w:tc>
        <w:tc>
          <w:tcPr>
            <w:tcW w:w="637" w:type="pct"/>
            <w:hideMark/>
          </w:tcPr>
          <w:p w:rsidR="00293116" w:rsidRPr="006E55EC" w:rsidRDefault="00293116" w:rsidP="00373F3A">
            <w:pPr>
              <w:pStyle w:val="TableHeading"/>
              <w:jc w:val="center"/>
            </w:pPr>
            <w:r w:rsidRPr="006E55EC">
              <w:t>2018</w:t>
            </w:r>
            <w:r>
              <w:t>–</w:t>
            </w:r>
            <w:r w:rsidRPr="006E55EC">
              <w:t>19</w:t>
            </w:r>
          </w:p>
        </w:tc>
        <w:tc>
          <w:tcPr>
            <w:tcW w:w="637" w:type="pct"/>
            <w:hideMark/>
          </w:tcPr>
          <w:p w:rsidR="00293116" w:rsidRPr="006E55EC" w:rsidRDefault="00293116" w:rsidP="00373F3A">
            <w:pPr>
              <w:pStyle w:val="TableHeading"/>
              <w:jc w:val="center"/>
            </w:pPr>
            <w:r w:rsidRPr="006E55EC">
              <w:t>2019</w:t>
            </w:r>
            <w:r>
              <w:t>–</w:t>
            </w:r>
            <w:r w:rsidRPr="006E55EC">
              <w:t>20</w:t>
            </w:r>
          </w:p>
        </w:tc>
        <w:tc>
          <w:tcPr>
            <w:tcW w:w="638" w:type="pct"/>
            <w:hideMark/>
          </w:tcPr>
          <w:p w:rsidR="00293116" w:rsidRPr="006E55EC" w:rsidRDefault="00293116" w:rsidP="00373F3A">
            <w:pPr>
              <w:pStyle w:val="TableHeading"/>
              <w:jc w:val="center"/>
            </w:pPr>
            <w:r w:rsidRPr="006E55EC">
              <w:t>2020</w:t>
            </w:r>
            <w:r>
              <w:t>–</w:t>
            </w:r>
            <w:r w:rsidRPr="006E55EC">
              <w:t>21</w:t>
            </w:r>
          </w:p>
        </w:tc>
        <w:tc>
          <w:tcPr>
            <w:tcW w:w="637" w:type="pct"/>
            <w:hideMark/>
          </w:tcPr>
          <w:p w:rsidR="00293116" w:rsidRPr="006E55EC" w:rsidRDefault="00293116" w:rsidP="00373F3A">
            <w:pPr>
              <w:pStyle w:val="TableHeading"/>
              <w:jc w:val="center"/>
            </w:pPr>
            <w:r w:rsidRPr="006E55EC">
              <w:t>2021</w:t>
            </w:r>
            <w:r>
              <w:t>–</w:t>
            </w:r>
            <w:r w:rsidRPr="006E55EC">
              <w:t>22</w:t>
            </w:r>
          </w:p>
        </w:tc>
        <w:tc>
          <w:tcPr>
            <w:tcW w:w="637" w:type="pct"/>
            <w:hideMark/>
          </w:tcPr>
          <w:p w:rsidR="00293116" w:rsidRPr="006E55EC" w:rsidRDefault="00293116" w:rsidP="00373F3A">
            <w:pPr>
              <w:pStyle w:val="TableHeading"/>
              <w:jc w:val="center"/>
            </w:pPr>
            <w:r w:rsidRPr="006E55EC">
              <w:t>2022</w:t>
            </w:r>
            <w:r>
              <w:t>–</w:t>
            </w:r>
            <w:r w:rsidRPr="006E55EC">
              <w:t>23</w:t>
            </w:r>
          </w:p>
        </w:tc>
        <w:tc>
          <w:tcPr>
            <w:tcW w:w="636" w:type="pct"/>
          </w:tcPr>
          <w:p w:rsidR="00293116" w:rsidRPr="006E55EC" w:rsidRDefault="00293116" w:rsidP="00373F3A">
            <w:pPr>
              <w:pStyle w:val="TableHeading"/>
              <w:jc w:val="center"/>
            </w:pPr>
            <w:r w:rsidRPr="006E55EC">
              <w:t>2023</w:t>
            </w:r>
            <w:r>
              <w:t>–</w:t>
            </w:r>
            <w:r w:rsidRPr="006E55EC">
              <w:t>24</w:t>
            </w:r>
          </w:p>
        </w:tc>
      </w:tr>
      <w:tr w:rsidR="00293116" w:rsidRPr="000F6997" w:rsidTr="007B731F">
        <w:trPr>
          <w:cantSplit/>
          <w:trHeight w:val="330"/>
        </w:trPr>
        <w:tc>
          <w:tcPr>
            <w:tcW w:w="1178" w:type="pct"/>
            <w:noWrap/>
            <w:hideMark/>
          </w:tcPr>
          <w:p w:rsidR="00293116" w:rsidRPr="000F6997" w:rsidRDefault="00293116" w:rsidP="00373F3A">
            <w:pPr>
              <w:pStyle w:val="Tabletext"/>
            </w:pPr>
            <w:r>
              <w:t>Projected</w:t>
            </w:r>
            <w:r w:rsidRPr="000F6997">
              <w:t xml:space="preserve"> number of </w:t>
            </w:r>
            <w:r>
              <w:t>people with HB</w:t>
            </w:r>
          </w:p>
        </w:tc>
        <w:tc>
          <w:tcPr>
            <w:tcW w:w="637" w:type="pct"/>
            <w:hideMark/>
          </w:tcPr>
          <w:p w:rsidR="00293116" w:rsidRPr="000F6997" w:rsidRDefault="00293116" w:rsidP="00373F3A">
            <w:pPr>
              <w:pStyle w:val="Tabletext"/>
              <w:jc w:val="center"/>
            </w:pPr>
            <w:r w:rsidRPr="009C1ECB">
              <w:t>579</w:t>
            </w:r>
          </w:p>
        </w:tc>
        <w:tc>
          <w:tcPr>
            <w:tcW w:w="637" w:type="pct"/>
            <w:hideMark/>
          </w:tcPr>
          <w:p w:rsidR="00293116" w:rsidRPr="000F6997" w:rsidRDefault="00293116" w:rsidP="00373F3A">
            <w:pPr>
              <w:pStyle w:val="Tabletext"/>
              <w:jc w:val="center"/>
            </w:pPr>
            <w:r w:rsidRPr="009C1ECB">
              <w:t>590</w:t>
            </w:r>
          </w:p>
        </w:tc>
        <w:tc>
          <w:tcPr>
            <w:tcW w:w="638" w:type="pct"/>
            <w:hideMark/>
          </w:tcPr>
          <w:p w:rsidR="00293116" w:rsidRPr="000F6997" w:rsidRDefault="00293116" w:rsidP="00373F3A">
            <w:pPr>
              <w:pStyle w:val="Tabletext"/>
              <w:jc w:val="center"/>
            </w:pPr>
            <w:r w:rsidRPr="009C1ECB">
              <w:t>601</w:t>
            </w:r>
          </w:p>
        </w:tc>
        <w:tc>
          <w:tcPr>
            <w:tcW w:w="637" w:type="pct"/>
            <w:hideMark/>
          </w:tcPr>
          <w:p w:rsidR="00293116" w:rsidRPr="000F6997" w:rsidRDefault="00293116" w:rsidP="00373F3A">
            <w:pPr>
              <w:pStyle w:val="Tabletext"/>
              <w:jc w:val="center"/>
            </w:pPr>
            <w:r w:rsidRPr="009C1ECB">
              <w:t>611</w:t>
            </w:r>
          </w:p>
        </w:tc>
        <w:tc>
          <w:tcPr>
            <w:tcW w:w="637" w:type="pct"/>
            <w:hideMark/>
          </w:tcPr>
          <w:p w:rsidR="00293116" w:rsidRPr="000F6997" w:rsidRDefault="00293116" w:rsidP="00373F3A">
            <w:pPr>
              <w:pStyle w:val="Tabletext"/>
              <w:jc w:val="center"/>
            </w:pPr>
            <w:r w:rsidRPr="009C1ECB">
              <w:t>622</w:t>
            </w:r>
          </w:p>
        </w:tc>
        <w:tc>
          <w:tcPr>
            <w:tcW w:w="636" w:type="pct"/>
          </w:tcPr>
          <w:p w:rsidR="00293116" w:rsidRPr="000F6997" w:rsidRDefault="00293116" w:rsidP="00373F3A">
            <w:pPr>
              <w:pStyle w:val="Tabletext"/>
              <w:jc w:val="center"/>
            </w:pPr>
            <w:r w:rsidRPr="009C1ECB">
              <w:t>633</w:t>
            </w:r>
          </w:p>
        </w:tc>
      </w:tr>
      <w:tr w:rsidR="00293116" w:rsidRPr="000F6997" w:rsidTr="007B731F">
        <w:trPr>
          <w:cantSplit/>
          <w:trHeight w:val="330"/>
        </w:trPr>
        <w:tc>
          <w:tcPr>
            <w:tcW w:w="1178" w:type="pct"/>
            <w:tcBorders>
              <w:bottom w:val="double" w:sz="4" w:space="0" w:color="auto"/>
            </w:tcBorders>
            <w:hideMark/>
          </w:tcPr>
          <w:p w:rsidR="00293116" w:rsidRPr="000F6997" w:rsidRDefault="00293116" w:rsidP="00373F3A">
            <w:pPr>
              <w:pStyle w:val="Tabletext"/>
            </w:pPr>
            <w:r>
              <w:t>Number</w:t>
            </w:r>
            <w:r w:rsidRPr="000F6997">
              <w:t xml:space="preserve"> who receive</w:t>
            </w:r>
            <w:r>
              <w:t>d</w:t>
            </w:r>
            <w:r w:rsidRPr="000F6997">
              <w:t xml:space="preserve"> product</w:t>
            </w:r>
            <w:r>
              <w:t xml:space="preserve"> (39.6%)</w:t>
            </w:r>
          </w:p>
        </w:tc>
        <w:tc>
          <w:tcPr>
            <w:tcW w:w="637" w:type="pct"/>
            <w:tcBorders>
              <w:bottom w:val="double" w:sz="4" w:space="0" w:color="auto"/>
            </w:tcBorders>
            <w:hideMark/>
          </w:tcPr>
          <w:p w:rsidR="00293116" w:rsidRPr="000F6997" w:rsidRDefault="00293116" w:rsidP="00373F3A">
            <w:pPr>
              <w:pStyle w:val="Tabletext"/>
              <w:jc w:val="center"/>
            </w:pPr>
            <w:r w:rsidRPr="009E52B3">
              <w:t>230</w:t>
            </w:r>
          </w:p>
        </w:tc>
        <w:tc>
          <w:tcPr>
            <w:tcW w:w="637" w:type="pct"/>
            <w:tcBorders>
              <w:bottom w:val="double" w:sz="4" w:space="0" w:color="auto"/>
            </w:tcBorders>
            <w:hideMark/>
          </w:tcPr>
          <w:p w:rsidR="00293116" w:rsidRPr="000F6997" w:rsidRDefault="00293116" w:rsidP="00373F3A">
            <w:pPr>
              <w:pStyle w:val="Tabletext"/>
              <w:jc w:val="center"/>
            </w:pPr>
            <w:r w:rsidRPr="009E52B3">
              <w:t>234</w:t>
            </w:r>
          </w:p>
        </w:tc>
        <w:tc>
          <w:tcPr>
            <w:tcW w:w="638" w:type="pct"/>
            <w:tcBorders>
              <w:bottom w:val="double" w:sz="4" w:space="0" w:color="auto"/>
            </w:tcBorders>
            <w:hideMark/>
          </w:tcPr>
          <w:p w:rsidR="00293116" w:rsidRPr="000F6997" w:rsidRDefault="00293116" w:rsidP="00373F3A">
            <w:pPr>
              <w:pStyle w:val="Tabletext"/>
              <w:jc w:val="center"/>
            </w:pPr>
            <w:r w:rsidRPr="009E52B3">
              <w:t>238</w:t>
            </w:r>
          </w:p>
        </w:tc>
        <w:tc>
          <w:tcPr>
            <w:tcW w:w="637" w:type="pct"/>
            <w:tcBorders>
              <w:bottom w:val="double" w:sz="4" w:space="0" w:color="auto"/>
            </w:tcBorders>
            <w:hideMark/>
          </w:tcPr>
          <w:p w:rsidR="00293116" w:rsidRPr="000F6997" w:rsidRDefault="00293116" w:rsidP="00373F3A">
            <w:pPr>
              <w:pStyle w:val="Tabletext"/>
              <w:jc w:val="center"/>
            </w:pPr>
            <w:r w:rsidRPr="009E52B3">
              <w:t>242</w:t>
            </w:r>
          </w:p>
        </w:tc>
        <w:tc>
          <w:tcPr>
            <w:tcW w:w="637" w:type="pct"/>
            <w:tcBorders>
              <w:bottom w:val="double" w:sz="4" w:space="0" w:color="auto"/>
            </w:tcBorders>
            <w:hideMark/>
          </w:tcPr>
          <w:p w:rsidR="00293116" w:rsidRPr="000F6997" w:rsidRDefault="00293116" w:rsidP="00373F3A">
            <w:pPr>
              <w:pStyle w:val="Tabletext"/>
              <w:jc w:val="center"/>
            </w:pPr>
            <w:r w:rsidRPr="009E52B3">
              <w:t>247</w:t>
            </w:r>
          </w:p>
        </w:tc>
        <w:tc>
          <w:tcPr>
            <w:tcW w:w="636" w:type="pct"/>
            <w:tcBorders>
              <w:bottom w:val="double" w:sz="4" w:space="0" w:color="auto"/>
            </w:tcBorders>
          </w:tcPr>
          <w:p w:rsidR="00293116" w:rsidRPr="000F6997" w:rsidRDefault="00293116" w:rsidP="00373F3A">
            <w:pPr>
              <w:pStyle w:val="Tabletext"/>
              <w:jc w:val="center"/>
            </w:pPr>
            <w:r w:rsidRPr="009E52B3">
              <w:t>251</w:t>
            </w:r>
          </w:p>
        </w:tc>
      </w:tr>
      <w:tr w:rsidR="00293116" w:rsidRPr="000F6997" w:rsidTr="007B731F">
        <w:trPr>
          <w:cantSplit/>
          <w:trHeight w:val="330"/>
        </w:trPr>
        <w:tc>
          <w:tcPr>
            <w:tcW w:w="1178" w:type="pct"/>
            <w:tcBorders>
              <w:top w:val="double" w:sz="4" w:space="0" w:color="auto"/>
              <w:right w:val="nil"/>
            </w:tcBorders>
          </w:tcPr>
          <w:p w:rsidR="00293116" w:rsidRPr="00F9581C" w:rsidRDefault="00293116" w:rsidP="00373F3A">
            <w:pPr>
              <w:pStyle w:val="Tabletext"/>
              <w:rPr>
                <w:b/>
              </w:rPr>
            </w:pPr>
            <w:r w:rsidRPr="00F9581C">
              <w:rPr>
                <w:b/>
              </w:rPr>
              <w:t>Prophylaxis</w:t>
            </w:r>
          </w:p>
        </w:tc>
        <w:tc>
          <w:tcPr>
            <w:tcW w:w="637"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37"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38"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37"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37" w:type="pct"/>
            <w:tcBorders>
              <w:top w:val="double" w:sz="4" w:space="0" w:color="auto"/>
              <w:left w:val="nil"/>
              <w:right w:val="nil"/>
            </w:tcBorders>
          </w:tcPr>
          <w:p w:rsidR="00293116" w:rsidRPr="001811E5" w:rsidRDefault="00293116" w:rsidP="00373F3A">
            <w:pPr>
              <w:pStyle w:val="Tabletext"/>
              <w:jc w:val="center"/>
            </w:pPr>
            <w:r w:rsidRPr="00237E76">
              <w:rPr>
                <w:color w:val="FFFFFF" w:themeColor="background1"/>
              </w:rPr>
              <w:t>–</w:t>
            </w:r>
          </w:p>
        </w:tc>
        <w:tc>
          <w:tcPr>
            <w:tcW w:w="636" w:type="pct"/>
            <w:tcBorders>
              <w:top w:val="double" w:sz="4" w:space="0" w:color="auto"/>
              <w:left w:val="nil"/>
            </w:tcBorders>
          </w:tcPr>
          <w:p w:rsidR="00293116" w:rsidRPr="001811E5" w:rsidRDefault="00293116" w:rsidP="00373F3A">
            <w:pPr>
              <w:pStyle w:val="Tabletext"/>
              <w:jc w:val="center"/>
            </w:pPr>
            <w:r w:rsidRPr="00237E76">
              <w:rPr>
                <w:color w:val="FFFFFF" w:themeColor="background1"/>
              </w:rPr>
              <w:t>–</w:t>
            </w:r>
          </w:p>
        </w:tc>
      </w:tr>
      <w:tr w:rsidR="00293116" w:rsidRPr="000F6997" w:rsidTr="007B731F">
        <w:trPr>
          <w:cantSplit/>
          <w:trHeight w:val="330"/>
        </w:trPr>
        <w:tc>
          <w:tcPr>
            <w:tcW w:w="1178" w:type="pct"/>
          </w:tcPr>
          <w:p w:rsidR="00293116" w:rsidRDefault="00293116" w:rsidP="00373F3A">
            <w:pPr>
              <w:pStyle w:val="Tabletext"/>
            </w:pPr>
            <w:r>
              <w:t>Number on factor prophylaxis (37.6%)</w:t>
            </w:r>
          </w:p>
        </w:tc>
        <w:tc>
          <w:tcPr>
            <w:tcW w:w="637" w:type="pct"/>
          </w:tcPr>
          <w:p w:rsidR="00293116" w:rsidRPr="001811E5" w:rsidRDefault="00293116" w:rsidP="00373F3A">
            <w:pPr>
              <w:pStyle w:val="Tabletext"/>
              <w:jc w:val="center"/>
            </w:pPr>
            <w:r w:rsidRPr="009735E4">
              <w:t>86</w:t>
            </w:r>
          </w:p>
        </w:tc>
        <w:tc>
          <w:tcPr>
            <w:tcW w:w="637" w:type="pct"/>
          </w:tcPr>
          <w:p w:rsidR="00293116" w:rsidRPr="001811E5" w:rsidRDefault="00293116" w:rsidP="00373F3A">
            <w:pPr>
              <w:pStyle w:val="Tabletext"/>
              <w:jc w:val="center"/>
            </w:pPr>
            <w:r w:rsidRPr="009735E4">
              <w:t>88</w:t>
            </w:r>
          </w:p>
        </w:tc>
        <w:tc>
          <w:tcPr>
            <w:tcW w:w="638" w:type="pct"/>
          </w:tcPr>
          <w:p w:rsidR="00293116" w:rsidRPr="001811E5" w:rsidRDefault="00293116" w:rsidP="00373F3A">
            <w:pPr>
              <w:pStyle w:val="Tabletext"/>
              <w:jc w:val="center"/>
            </w:pPr>
            <w:r w:rsidRPr="009735E4">
              <w:t>90</w:t>
            </w:r>
          </w:p>
        </w:tc>
        <w:tc>
          <w:tcPr>
            <w:tcW w:w="637" w:type="pct"/>
          </w:tcPr>
          <w:p w:rsidR="00293116" w:rsidRPr="001811E5" w:rsidRDefault="00293116" w:rsidP="00373F3A">
            <w:pPr>
              <w:pStyle w:val="Tabletext"/>
              <w:jc w:val="center"/>
            </w:pPr>
            <w:r w:rsidRPr="009735E4">
              <w:t>91</w:t>
            </w:r>
          </w:p>
        </w:tc>
        <w:tc>
          <w:tcPr>
            <w:tcW w:w="637" w:type="pct"/>
          </w:tcPr>
          <w:p w:rsidR="00293116" w:rsidRPr="001811E5" w:rsidRDefault="00293116" w:rsidP="00373F3A">
            <w:pPr>
              <w:pStyle w:val="Tabletext"/>
              <w:jc w:val="center"/>
            </w:pPr>
            <w:r w:rsidRPr="009735E4">
              <w:t>93</w:t>
            </w:r>
          </w:p>
        </w:tc>
        <w:tc>
          <w:tcPr>
            <w:tcW w:w="636" w:type="pct"/>
          </w:tcPr>
          <w:p w:rsidR="00293116" w:rsidRPr="001811E5" w:rsidRDefault="00293116" w:rsidP="00373F3A">
            <w:pPr>
              <w:pStyle w:val="Tabletext"/>
              <w:jc w:val="center"/>
            </w:pPr>
            <w:r w:rsidRPr="009735E4">
              <w:t>94</w:t>
            </w:r>
          </w:p>
        </w:tc>
      </w:tr>
      <w:tr w:rsidR="00293116" w:rsidRPr="000F6997" w:rsidTr="007B731F">
        <w:trPr>
          <w:cantSplit/>
          <w:trHeight w:val="330"/>
        </w:trPr>
        <w:tc>
          <w:tcPr>
            <w:tcW w:w="1178" w:type="pct"/>
          </w:tcPr>
          <w:p w:rsidR="00293116" w:rsidRDefault="00293116" w:rsidP="00373F3A">
            <w:pPr>
              <w:pStyle w:val="Tabletext"/>
            </w:pPr>
            <w:r>
              <w:t>Proportion who switch</w:t>
            </w:r>
          </w:p>
        </w:tc>
        <w:tc>
          <w:tcPr>
            <w:tcW w:w="637" w:type="pct"/>
          </w:tcPr>
          <w:p w:rsidR="00293116" w:rsidRPr="00266504" w:rsidRDefault="00293116" w:rsidP="00373F3A">
            <w:pPr>
              <w:pStyle w:val="Tabletext"/>
              <w:jc w:val="center"/>
              <w:rPr>
                <w:highlight w:val="cyan"/>
              </w:rPr>
            </w:pPr>
            <w:r w:rsidRPr="009735E4">
              <w:t>60%</w:t>
            </w:r>
          </w:p>
        </w:tc>
        <w:tc>
          <w:tcPr>
            <w:tcW w:w="637" w:type="pct"/>
          </w:tcPr>
          <w:p w:rsidR="00293116" w:rsidRPr="00266504" w:rsidRDefault="00293116" w:rsidP="00373F3A">
            <w:pPr>
              <w:pStyle w:val="Tabletext"/>
              <w:jc w:val="center"/>
              <w:rPr>
                <w:highlight w:val="cyan"/>
              </w:rPr>
            </w:pPr>
            <w:r w:rsidRPr="009735E4">
              <w:t>70%</w:t>
            </w:r>
          </w:p>
        </w:tc>
        <w:tc>
          <w:tcPr>
            <w:tcW w:w="638" w:type="pct"/>
          </w:tcPr>
          <w:p w:rsidR="00293116" w:rsidRPr="00266504" w:rsidRDefault="00293116" w:rsidP="00373F3A">
            <w:pPr>
              <w:pStyle w:val="Tabletext"/>
              <w:jc w:val="center"/>
              <w:rPr>
                <w:highlight w:val="cyan"/>
              </w:rPr>
            </w:pPr>
            <w:r w:rsidRPr="009735E4">
              <w:t>80%</w:t>
            </w:r>
          </w:p>
        </w:tc>
        <w:tc>
          <w:tcPr>
            <w:tcW w:w="637" w:type="pct"/>
          </w:tcPr>
          <w:p w:rsidR="00293116" w:rsidRPr="00266504" w:rsidRDefault="00293116" w:rsidP="00373F3A">
            <w:pPr>
              <w:pStyle w:val="Tabletext"/>
              <w:jc w:val="center"/>
              <w:rPr>
                <w:highlight w:val="cyan"/>
              </w:rPr>
            </w:pPr>
            <w:r w:rsidRPr="009735E4">
              <w:t>85%</w:t>
            </w:r>
          </w:p>
        </w:tc>
        <w:tc>
          <w:tcPr>
            <w:tcW w:w="637" w:type="pct"/>
          </w:tcPr>
          <w:p w:rsidR="00293116" w:rsidRPr="00266504" w:rsidRDefault="00293116" w:rsidP="00373F3A">
            <w:pPr>
              <w:pStyle w:val="Tabletext"/>
              <w:jc w:val="center"/>
              <w:rPr>
                <w:highlight w:val="cyan"/>
              </w:rPr>
            </w:pPr>
            <w:r w:rsidRPr="009735E4">
              <w:t>90%</w:t>
            </w:r>
          </w:p>
        </w:tc>
        <w:tc>
          <w:tcPr>
            <w:tcW w:w="636" w:type="pct"/>
          </w:tcPr>
          <w:p w:rsidR="00293116" w:rsidRPr="00266504" w:rsidRDefault="00293116" w:rsidP="00373F3A">
            <w:pPr>
              <w:pStyle w:val="Tabletext"/>
              <w:jc w:val="center"/>
              <w:rPr>
                <w:highlight w:val="cyan"/>
              </w:rPr>
            </w:pPr>
            <w:r w:rsidRPr="009735E4">
              <w:t>95%</w:t>
            </w:r>
          </w:p>
        </w:tc>
      </w:tr>
      <w:tr w:rsidR="00293116" w:rsidRPr="000F6997" w:rsidTr="007B731F">
        <w:trPr>
          <w:cantSplit/>
          <w:trHeight w:val="330"/>
        </w:trPr>
        <w:tc>
          <w:tcPr>
            <w:tcW w:w="1178" w:type="pct"/>
          </w:tcPr>
          <w:p w:rsidR="00293116" w:rsidRDefault="00293116" w:rsidP="00373F3A">
            <w:pPr>
              <w:pStyle w:val="Tabletext"/>
            </w:pPr>
            <w:r>
              <w:t>Number of people who switch</w:t>
            </w:r>
          </w:p>
        </w:tc>
        <w:tc>
          <w:tcPr>
            <w:tcW w:w="637" w:type="pct"/>
          </w:tcPr>
          <w:p w:rsidR="00293116" w:rsidRPr="001811E5" w:rsidRDefault="00293116" w:rsidP="00373F3A">
            <w:pPr>
              <w:pStyle w:val="Tabletext"/>
              <w:jc w:val="center"/>
            </w:pPr>
            <w:r w:rsidRPr="009735E4">
              <w:t>52</w:t>
            </w:r>
          </w:p>
        </w:tc>
        <w:tc>
          <w:tcPr>
            <w:tcW w:w="637" w:type="pct"/>
          </w:tcPr>
          <w:p w:rsidR="00293116" w:rsidRPr="001811E5" w:rsidRDefault="00293116" w:rsidP="00373F3A">
            <w:pPr>
              <w:pStyle w:val="Tabletext"/>
              <w:jc w:val="center"/>
            </w:pPr>
            <w:r w:rsidRPr="009735E4">
              <w:t>62</w:t>
            </w:r>
          </w:p>
        </w:tc>
        <w:tc>
          <w:tcPr>
            <w:tcW w:w="638" w:type="pct"/>
          </w:tcPr>
          <w:p w:rsidR="00293116" w:rsidRPr="001811E5" w:rsidRDefault="00293116" w:rsidP="00373F3A">
            <w:pPr>
              <w:pStyle w:val="Tabletext"/>
              <w:jc w:val="center"/>
            </w:pPr>
            <w:r w:rsidRPr="009735E4">
              <w:t>72</w:t>
            </w:r>
          </w:p>
        </w:tc>
        <w:tc>
          <w:tcPr>
            <w:tcW w:w="637" w:type="pct"/>
          </w:tcPr>
          <w:p w:rsidR="00293116" w:rsidRPr="001811E5" w:rsidRDefault="00293116" w:rsidP="00373F3A">
            <w:pPr>
              <w:pStyle w:val="Tabletext"/>
              <w:jc w:val="center"/>
            </w:pPr>
            <w:r w:rsidRPr="009735E4">
              <w:t>77</w:t>
            </w:r>
          </w:p>
        </w:tc>
        <w:tc>
          <w:tcPr>
            <w:tcW w:w="637" w:type="pct"/>
          </w:tcPr>
          <w:p w:rsidR="00293116" w:rsidRPr="001811E5" w:rsidRDefault="00293116" w:rsidP="00373F3A">
            <w:pPr>
              <w:pStyle w:val="Tabletext"/>
              <w:jc w:val="center"/>
            </w:pPr>
            <w:r w:rsidRPr="009735E4">
              <w:t>83</w:t>
            </w:r>
          </w:p>
        </w:tc>
        <w:tc>
          <w:tcPr>
            <w:tcW w:w="636" w:type="pct"/>
          </w:tcPr>
          <w:p w:rsidR="00293116" w:rsidRPr="001811E5" w:rsidRDefault="00293116" w:rsidP="00373F3A">
            <w:pPr>
              <w:pStyle w:val="Tabletext"/>
              <w:jc w:val="center"/>
            </w:pPr>
            <w:r w:rsidRPr="009735E4">
              <w:t>90</w:t>
            </w:r>
          </w:p>
        </w:tc>
      </w:tr>
      <w:tr w:rsidR="00293116" w:rsidRPr="000F6997" w:rsidTr="007B731F">
        <w:trPr>
          <w:cantSplit/>
          <w:trHeight w:val="330"/>
        </w:trPr>
        <w:tc>
          <w:tcPr>
            <w:tcW w:w="1178" w:type="pct"/>
            <w:tcBorders>
              <w:bottom w:val="single" w:sz="4" w:space="0" w:color="auto"/>
            </w:tcBorders>
          </w:tcPr>
          <w:p w:rsidR="00293116" w:rsidRDefault="00293116" w:rsidP="00373F3A">
            <w:pPr>
              <w:pStyle w:val="Tabletext"/>
            </w:pPr>
            <w:r w:rsidRPr="0065011D">
              <w:t>No. of EHL IUs</w:t>
            </w:r>
          </w:p>
          <w:p w:rsidR="00293116" w:rsidRDefault="00293116" w:rsidP="00373F3A">
            <w:pPr>
              <w:pStyle w:val="Tabletext"/>
            </w:pPr>
            <w:r>
              <w:t>(</w:t>
            </w:r>
            <w:r w:rsidRPr="008A4EE0">
              <w:t>100,732</w:t>
            </w:r>
            <w:r>
              <w:t>IU/person/year)</w:t>
            </w:r>
            <w:r w:rsidRPr="003913EA">
              <w:rPr>
                <w:vertAlign w:val="superscript"/>
              </w:rPr>
              <w:t xml:space="preserve"> a</w:t>
            </w:r>
          </w:p>
        </w:tc>
        <w:tc>
          <w:tcPr>
            <w:tcW w:w="637" w:type="pct"/>
            <w:tcBorders>
              <w:bottom w:val="single" w:sz="4" w:space="0" w:color="auto"/>
            </w:tcBorders>
          </w:tcPr>
          <w:p w:rsidR="00293116" w:rsidRPr="008E610E" w:rsidRDefault="00293116" w:rsidP="00373F3A">
            <w:pPr>
              <w:pStyle w:val="Tabletext"/>
              <w:jc w:val="center"/>
            </w:pPr>
            <w:r w:rsidRPr="008A4EE0">
              <w:t>5,218,623</w:t>
            </w:r>
          </w:p>
        </w:tc>
        <w:tc>
          <w:tcPr>
            <w:tcW w:w="637" w:type="pct"/>
            <w:tcBorders>
              <w:bottom w:val="single" w:sz="4" w:space="0" w:color="auto"/>
            </w:tcBorders>
          </w:tcPr>
          <w:p w:rsidR="00293116" w:rsidRPr="008E610E" w:rsidRDefault="00293116" w:rsidP="00373F3A">
            <w:pPr>
              <w:pStyle w:val="Tabletext"/>
              <w:jc w:val="center"/>
            </w:pPr>
            <w:r w:rsidRPr="008A4EE0">
              <w:t>6,200,889</w:t>
            </w:r>
          </w:p>
        </w:tc>
        <w:tc>
          <w:tcPr>
            <w:tcW w:w="638" w:type="pct"/>
            <w:tcBorders>
              <w:bottom w:val="single" w:sz="4" w:space="0" w:color="auto"/>
            </w:tcBorders>
          </w:tcPr>
          <w:p w:rsidR="00293116" w:rsidRPr="008E610E" w:rsidRDefault="00293116" w:rsidP="00373F3A">
            <w:pPr>
              <w:pStyle w:val="Tabletext"/>
              <w:jc w:val="center"/>
            </w:pPr>
            <w:r w:rsidRPr="008A4EE0">
              <w:t>7,215,296</w:t>
            </w:r>
          </w:p>
        </w:tc>
        <w:tc>
          <w:tcPr>
            <w:tcW w:w="637" w:type="pct"/>
            <w:tcBorders>
              <w:bottom w:val="single" w:sz="4" w:space="0" w:color="auto"/>
            </w:tcBorders>
          </w:tcPr>
          <w:p w:rsidR="00293116" w:rsidRPr="008E610E" w:rsidRDefault="00293116" w:rsidP="00373F3A">
            <w:pPr>
              <w:pStyle w:val="Tabletext"/>
              <w:jc w:val="center"/>
            </w:pPr>
            <w:r w:rsidRPr="008A4EE0">
              <w:t>7,802,853</w:t>
            </w:r>
          </w:p>
        </w:tc>
        <w:tc>
          <w:tcPr>
            <w:tcW w:w="637" w:type="pct"/>
            <w:tcBorders>
              <w:bottom w:val="single" w:sz="4" w:space="0" w:color="auto"/>
            </w:tcBorders>
          </w:tcPr>
          <w:p w:rsidR="00293116" w:rsidRPr="008E610E" w:rsidRDefault="00293116" w:rsidP="00373F3A">
            <w:pPr>
              <w:pStyle w:val="Tabletext"/>
              <w:jc w:val="center"/>
            </w:pPr>
            <w:r w:rsidRPr="008A4EE0">
              <w:t>8,406,480</w:t>
            </w:r>
          </w:p>
        </w:tc>
        <w:tc>
          <w:tcPr>
            <w:tcW w:w="636" w:type="pct"/>
            <w:tcBorders>
              <w:bottom w:val="single" w:sz="4" w:space="0" w:color="auto"/>
            </w:tcBorders>
          </w:tcPr>
          <w:p w:rsidR="00293116" w:rsidRPr="008E610E" w:rsidRDefault="00293116" w:rsidP="00373F3A">
            <w:pPr>
              <w:pStyle w:val="Tabletext"/>
              <w:jc w:val="center"/>
            </w:pPr>
            <w:r w:rsidRPr="008A4EE0">
              <w:t>9,026,179</w:t>
            </w:r>
          </w:p>
        </w:tc>
      </w:tr>
      <w:tr w:rsidR="007B731F" w:rsidRPr="00626A22" w:rsidTr="007B731F">
        <w:trPr>
          <w:cantSplit/>
          <w:trHeight w:val="330"/>
        </w:trPr>
        <w:tc>
          <w:tcPr>
            <w:tcW w:w="1178" w:type="pct"/>
            <w:tcBorders>
              <w:bottom w:val="single" w:sz="4" w:space="0" w:color="auto"/>
            </w:tcBorders>
          </w:tcPr>
          <w:p w:rsidR="007B731F" w:rsidRPr="007B731F" w:rsidRDefault="007B731F" w:rsidP="00373F3A">
            <w:pPr>
              <w:pStyle w:val="Tabletext"/>
              <w:rPr>
                <w:b/>
              </w:rPr>
            </w:pPr>
            <w:r w:rsidRPr="007B731F">
              <w:rPr>
                <w:b/>
              </w:rPr>
              <w:t>EHL cost ($</w:t>
            </w:r>
            <w:r w:rsidR="006E2F2C" w:rsidRPr="006E2F2C">
              <w:rPr>
                <w:b/>
                <w:szCs w:val="20"/>
              </w:rPr>
              <w:t>redacted</w:t>
            </w:r>
            <w:r w:rsidR="006E2F2C" w:rsidRPr="007B731F">
              <w:rPr>
                <w:b/>
              </w:rPr>
              <w:t xml:space="preserve"> </w:t>
            </w:r>
            <w:r w:rsidRPr="007B731F">
              <w:rPr>
                <w:b/>
              </w:rPr>
              <w:t>per IU)</w:t>
            </w:r>
          </w:p>
        </w:tc>
        <w:tc>
          <w:tcPr>
            <w:tcW w:w="637" w:type="pct"/>
            <w:tcBorders>
              <w:bottom w:val="single" w:sz="4" w:space="0" w:color="auto"/>
            </w:tcBorders>
          </w:tcPr>
          <w:p w:rsidR="007B731F" w:rsidRDefault="006E2F2C">
            <w:r w:rsidRPr="006E2F2C">
              <w:rPr>
                <w:rFonts w:ascii="Arial Narrow" w:hAnsi="Arial Narrow"/>
                <w:b/>
                <w:sz w:val="20"/>
              </w:rPr>
              <w:t>redacted</w:t>
            </w:r>
          </w:p>
        </w:tc>
        <w:tc>
          <w:tcPr>
            <w:tcW w:w="637" w:type="pct"/>
            <w:tcBorders>
              <w:bottom w:val="single" w:sz="4" w:space="0" w:color="auto"/>
            </w:tcBorders>
          </w:tcPr>
          <w:p w:rsidR="007B731F" w:rsidRDefault="006E2F2C">
            <w:r w:rsidRPr="006E2F2C">
              <w:rPr>
                <w:rFonts w:ascii="Arial Narrow" w:hAnsi="Arial Narrow"/>
                <w:b/>
                <w:sz w:val="20"/>
              </w:rPr>
              <w:t>redacted</w:t>
            </w:r>
          </w:p>
        </w:tc>
        <w:tc>
          <w:tcPr>
            <w:tcW w:w="638" w:type="pct"/>
            <w:tcBorders>
              <w:bottom w:val="single" w:sz="4" w:space="0" w:color="auto"/>
            </w:tcBorders>
          </w:tcPr>
          <w:p w:rsidR="007B731F" w:rsidRDefault="006E2F2C">
            <w:r w:rsidRPr="006E2F2C">
              <w:rPr>
                <w:rFonts w:ascii="Arial Narrow" w:hAnsi="Arial Narrow"/>
                <w:b/>
                <w:sz w:val="20"/>
              </w:rPr>
              <w:t>redacted</w:t>
            </w:r>
          </w:p>
        </w:tc>
        <w:tc>
          <w:tcPr>
            <w:tcW w:w="637" w:type="pct"/>
            <w:tcBorders>
              <w:bottom w:val="single" w:sz="4" w:space="0" w:color="auto"/>
            </w:tcBorders>
          </w:tcPr>
          <w:p w:rsidR="007B731F" w:rsidRDefault="006E2F2C">
            <w:r w:rsidRPr="006E2F2C">
              <w:rPr>
                <w:rFonts w:ascii="Arial Narrow" w:hAnsi="Arial Narrow"/>
                <w:b/>
                <w:sz w:val="20"/>
              </w:rPr>
              <w:t>redacted</w:t>
            </w:r>
          </w:p>
        </w:tc>
        <w:tc>
          <w:tcPr>
            <w:tcW w:w="637" w:type="pct"/>
            <w:tcBorders>
              <w:bottom w:val="single" w:sz="4" w:space="0" w:color="auto"/>
            </w:tcBorders>
          </w:tcPr>
          <w:p w:rsidR="007B731F" w:rsidRDefault="006E2F2C">
            <w:r w:rsidRPr="006E2F2C">
              <w:rPr>
                <w:rFonts w:ascii="Arial Narrow" w:hAnsi="Arial Narrow"/>
                <w:b/>
                <w:sz w:val="20"/>
              </w:rPr>
              <w:t>redacted</w:t>
            </w:r>
          </w:p>
        </w:tc>
        <w:tc>
          <w:tcPr>
            <w:tcW w:w="636" w:type="pct"/>
            <w:tcBorders>
              <w:bottom w:val="single" w:sz="4" w:space="0" w:color="auto"/>
            </w:tcBorders>
          </w:tcPr>
          <w:p w:rsidR="007B731F" w:rsidRDefault="006E2F2C">
            <w:r w:rsidRPr="006E2F2C">
              <w:rPr>
                <w:rFonts w:ascii="Arial Narrow" w:hAnsi="Arial Narrow"/>
                <w:b/>
                <w:sz w:val="20"/>
              </w:rPr>
              <w:t>redacted</w:t>
            </w:r>
          </w:p>
        </w:tc>
      </w:tr>
      <w:tr w:rsidR="00293116" w:rsidRPr="000F6997" w:rsidTr="007B731F">
        <w:trPr>
          <w:cantSplit/>
          <w:trHeight w:val="330"/>
        </w:trPr>
        <w:tc>
          <w:tcPr>
            <w:tcW w:w="1178" w:type="pct"/>
            <w:tcBorders>
              <w:bottom w:val="single" w:sz="4" w:space="0" w:color="auto"/>
            </w:tcBorders>
          </w:tcPr>
          <w:p w:rsidR="00293116" w:rsidRDefault="00293116" w:rsidP="00373F3A">
            <w:pPr>
              <w:pStyle w:val="Tabletext"/>
            </w:pPr>
            <w:r w:rsidRPr="008C5937">
              <w:t>No. of SHL IUs</w:t>
            </w:r>
          </w:p>
          <w:p w:rsidR="00293116" w:rsidRDefault="00293116" w:rsidP="00373F3A">
            <w:pPr>
              <w:pStyle w:val="Tabletext"/>
            </w:pPr>
            <w:r>
              <w:t>(</w:t>
            </w:r>
            <w:r w:rsidRPr="00120803">
              <w:t>201,463</w:t>
            </w:r>
            <w:r>
              <w:t>IU/person/year)</w:t>
            </w:r>
          </w:p>
        </w:tc>
        <w:tc>
          <w:tcPr>
            <w:tcW w:w="637" w:type="pct"/>
            <w:tcBorders>
              <w:bottom w:val="single" w:sz="4" w:space="0" w:color="auto"/>
            </w:tcBorders>
          </w:tcPr>
          <w:p w:rsidR="00293116" w:rsidRPr="008E610E" w:rsidRDefault="00293116" w:rsidP="00373F3A">
            <w:pPr>
              <w:pStyle w:val="Tabletext"/>
              <w:jc w:val="center"/>
            </w:pPr>
            <w:r w:rsidRPr="00A92518">
              <w:t>10,437,246</w:t>
            </w:r>
          </w:p>
        </w:tc>
        <w:tc>
          <w:tcPr>
            <w:tcW w:w="637" w:type="pct"/>
            <w:tcBorders>
              <w:bottom w:val="single" w:sz="4" w:space="0" w:color="auto"/>
            </w:tcBorders>
          </w:tcPr>
          <w:p w:rsidR="00293116" w:rsidRPr="008E610E" w:rsidRDefault="00293116" w:rsidP="00373F3A">
            <w:pPr>
              <w:pStyle w:val="Tabletext"/>
              <w:jc w:val="center"/>
            </w:pPr>
            <w:r w:rsidRPr="00A92518">
              <w:t>12,401,777</w:t>
            </w:r>
          </w:p>
        </w:tc>
        <w:tc>
          <w:tcPr>
            <w:tcW w:w="638" w:type="pct"/>
            <w:tcBorders>
              <w:bottom w:val="single" w:sz="4" w:space="0" w:color="auto"/>
            </w:tcBorders>
          </w:tcPr>
          <w:p w:rsidR="00293116" w:rsidRPr="008E610E" w:rsidRDefault="00293116" w:rsidP="00373F3A">
            <w:pPr>
              <w:pStyle w:val="Tabletext"/>
              <w:jc w:val="center"/>
            </w:pPr>
            <w:r w:rsidRPr="00A92518">
              <w:t>14,430,591</w:t>
            </w:r>
          </w:p>
        </w:tc>
        <w:tc>
          <w:tcPr>
            <w:tcW w:w="637" w:type="pct"/>
            <w:tcBorders>
              <w:bottom w:val="single" w:sz="4" w:space="0" w:color="auto"/>
            </w:tcBorders>
          </w:tcPr>
          <w:p w:rsidR="00293116" w:rsidRPr="008E610E" w:rsidRDefault="00293116" w:rsidP="00373F3A">
            <w:pPr>
              <w:pStyle w:val="Tabletext"/>
              <w:jc w:val="center"/>
            </w:pPr>
            <w:r w:rsidRPr="00A92518">
              <w:t>15,605,705</w:t>
            </w:r>
          </w:p>
        </w:tc>
        <w:tc>
          <w:tcPr>
            <w:tcW w:w="637" w:type="pct"/>
            <w:tcBorders>
              <w:bottom w:val="single" w:sz="4" w:space="0" w:color="auto"/>
            </w:tcBorders>
          </w:tcPr>
          <w:p w:rsidR="00293116" w:rsidRPr="008E610E" w:rsidRDefault="00293116" w:rsidP="00373F3A">
            <w:pPr>
              <w:pStyle w:val="Tabletext"/>
              <w:jc w:val="center"/>
            </w:pPr>
            <w:r w:rsidRPr="00A92518">
              <w:t>16,812,960</w:t>
            </w:r>
          </w:p>
        </w:tc>
        <w:tc>
          <w:tcPr>
            <w:tcW w:w="636" w:type="pct"/>
            <w:tcBorders>
              <w:bottom w:val="single" w:sz="4" w:space="0" w:color="auto"/>
            </w:tcBorders>
          </w:tcPr>
          <w:p w:rsidR="00293116" w:rsidRPr="008E610E" w:rsidRDefault="00293116" w:rsidP="00373F3A">
            <w:pPr>
              <w:pStyle w:val="Tabletext"/>
              <w:jc w:val="center"/>
            </w:pPr>
            <w:r w:rsidRPr="00A92518">
              <w:t>18,052,357</w:t>
            </w:r>
          </w:p>
        </w:tc>
      </w:tr>
      <w:tr w:rsidR="00293116" w:rsidRPr="002B1BB1" w:rsidTr="007B731F">
        <w:trPr>
          <w:cantSplit/>
          <w:trHeight w:val="330"/>
        </w:trPr>
        <w:tc>
          <w:tcPr>
            <w:tcW w:w="1178" w:type="pct"/>
            <w:tcBorders>
              <w:bottom w:val="single" w:sz="4" w:space="0" w:color="auto"/>
            </w:tcBorders>
          </w:tcPr>
          <w:p w:rsidR="00293116" w:rsidRPr="002B1BB1" w:rsidRDefault="00293116" w:rsidP="00373F3A">
            <w:pPr>
              <w:pStyle w:val="Tabletext"/>
              <w:rPr>
                <w:b/>
              </w:rPr>
            </w:pPr>
            <w:r w:rsidRPr="002B1BB1">
              <w:rPr>
                <w:b/>
              </w:rPr>
              <w:t>SHL cost ($0.</w:t>
            </w:r>
            <w:r>
              <w:rPr>
                <w:b/>
              </w:rPr>
              <w:t>79</w:t>
            </w:r>
            <w:r w:rsidRPr="002B1BB1">
              <w:rPr>
                <w:b/>
              </w:rPr>
              <w:t xml:space="preserve"> per IU)</w:t>
            </w:r>
          </w:p>
        </w:tc>
        <w:tc>
          <w:tcPr>
            <w:tcW w:w="637" w:type="pct"/>
            <w:tcBorders>
              <w:bottom w:val="single" w:sz="4" w:space="0" w:color="auto"/>
            </w:tcBorders>
          </w:tcPr>
          <w:p w:rsidR="00293116" w:rsidRPr="00846DF4" w:rsidRDefault="00293116" w:rsidP="00373F3A">
            <w:pPr>
              <w:pStyle w:val="Tabletext"/>
              <w:jc w:val="right"/>
              <w:rPr>
                <w:b/>
              </w:rPr>
            </w:pPr>
            <w:r w:rsidRPr="00846DF4">
              <w:rPr>
                <w:b/>
              </w:rPr>
              <w:t>$8,266,280</w:t>
            </w:r>
          </w:p>
        </w:tc>
        <w:tc>
          <w:tcPr>
            <w:tcW w:w="637" w:type="pct"/>
            <w:tcBorders>
              <w:bottom w:val="single" w:sz="4" w:space="0" w:color="auto"/>
            </w:tcBorders>
          </w:tcPr>
          <w:p w:rsidR="00293116" w:rsidRPr="00846DF4" w:rsidRDefault="00293116" w:rsidP="00373F3A">
            <w:pPr>
              <w:pStyle w:val="Tabletext"/>
              <w:jc w:val="right"/>
              <w:rPr>
                <w:b/>
              </w:rPr>
            </w:pPr>
            <w:r w:rsidRPr="00846DF4">
              <w:rPr>
                <w:b/>
              </w:rPr>
              <w:t>$9,822,185</w:t>
            </w:r>
          </w:p>
        </w:tc>
        <w:tc>
          <w:tcPr>
            <w:tcW w:w="638" w:type="pct"/>
            <w:tcBorders>
              <w:bottom w:val="single" w:sz="4" w:space="0" w:color="auto"/>
            </w:tcBorders>
          </w:tcPr>
          <w:p w:rsidR="00293116" w:rsidRPr="00846DF4" w:rsidRDefault="00293116" w:rsidP="00373F3A">
            <w:pPr>
              <w:pStyle w:val="Tabletext"/>
              <w:jc w:val="right"/>
              <w:rPr>
                <w:b/>
              </w:rPr>
            </w:pPr>
            <w:r w:rsidRPr="00846DF4">
              <w:rPr>
                <w:b/>
              </w:rPr>
              <w:t>$11,429,002</w:t>
            </w:r>
          </w:p>
        </w:tc>
        <w:tc>
          <w:tcPr>
            <w:tcW w:w="637" w:type="pct"/>
            <w:tcBorders>
              <w:bottom w:val="single" w:sz="4" w:space="0" w:color="auto"/>
            </w:tcBorders>
          </w:tcPr>
          <w:p w:rsidR="00293116" w:rsidRPr="00846DF4" w:rsidRDefault="00293116" w:rsidP="00373F3A">
            <w:pPr>
              <w:pStyle w:val="Tabletext"/>
              <w:jc w:val="right"/>
              <w:rPr>
                <w:b/>
              </w:rPr>
            </w:pPr>
            <w:r w:rsidRPr="00846DF4">
              <w:rPr>
                <w:b/>
              </w:rPr>
              <w:t>$12,359,690</w:t>
            </w:r>
          </w:p>
        </w:tc>
        <w:tc>
          <w:tcPr>
            <w:tcW w:w="637" w:type="pct"/>
            <w:tcBorders>
              <w:bottom w:val="single" w:sz="4" w:space="0" w:color="auto"/>
            </w:tcBorders>
          </w:tcPr>
          <w:p w:rsidR="00293116" w:rsidRPr="00846DF4" w:rsidRDefault="00293116" w:rsidP="00373F3A">
            <w:pPr>
              <w:pStyle w:val="Tabletext"/>
              <w:jc w:val="right"/>
              <w:rPr>
                <w:b/>
              </w:rPr>
            </w:pPr>
            <w:r w:rsidRPr="00846DF4">
              <w:rPr>
                <w:b/>
              </w:rPr>
              <w:t>$13,315,834</w:t>
            </w:r>
          </w:p>
        </w:tc>
        <w:tc>
          <w:tcPr>
            <w:tcW w:w="636" w:type="pct"/>
            <w:tcBorders>
              <w:bottom w:val="single" w:sz="4" w:space="0" w:color="auto"/>
            </w:tcBorders>
          </w:tcPr>
          <w:p w:rsidR="00293116" w:rsidRPr="00846DF4" w:rsidRDefault="00293116" w:rsidP="00373F3A">
            <w:pPr>
              <w:pStyle w:val="Tabletext"/>
              <w:jc w:val="right"/>
              <w:rPr>
                <w:b/>
              </w:rPr>
            </w:pPr>
            <w:r w:rsidRPr="00846DF4">
              <w:rPr>
                <w:b/>
              </w:rPr>
              <w:t>$14,297,434</w:t>
            </w:r>
          </w:p>
        </w:tc>
      </w:tr>
      <w:tr w:rsidR="00FE0F3D" w:rsidRPr="009C710F" w:rsidTr="007B731F">
        <w:trPr>
          <w:cantSplit/>
          <w:trHeight w:val="330"/>
        </w:trPr>
        <w:tc>
          <w:tcPr>
            <w:tcW w:w="1178" w:type="pct"/>
            <w:tcBorders>
              <w:bottom w:val="double" w:sz="4" w:space="0" w:color="auto"/>
            </w:tcBorders>
          </w:tcPr>
          <w:p w:rsidR="00FE0F3D" w:rsidRPr="009C710F" w:rsidRDefault="00FE0F3D" w:rsidP="00373F3A">
            <w:pPr>
              <w:pStyle w:val="Tabletext"/>
              <w:rPr>
                <w:b/>
              </w:rPr>
            </w:pPr>
            <w:r w:rsidRPr="009C710F">
              <w:rPr>
                <w:b/>
              </w:rPr>
              <w:t>Net prophylaxis cost</w:t>
            </w:r>
          </w:p>
        </w:tc>
        <w:tc>
          <w:tcPr>
            <w:tcW w:w="637" w:type="pct"/>
            <w:tcBorders>
              <w:bottom w:val="double" w:sz="4" w:space="0" w:color="auto"/>
            </w:tcBorders>
          </w:tcPr>
          <w:p w:rsidR="00FE0F3D" w:rsidRDefault="006E2F2C">
            <w:r w:rsidRPr="006E2F2C">
              <w:rPr>
                <w:rFonts w:ascii="Arial Narrow" w:hAnsi="Arial Narrow"/>
                <w:b/>
                <w:sz w:val="20"/>
              </w:rPr>
              <w:t>redacted</w:t>
            </w:r>
          </w:p>
        </w:tc>
        <w:tc>
          <w:tcPr>
            <w:tcW w:w="637" w:type="pct"/>
            <w:tcBorders>
              <w:bottom w:val="double" w:sz="4" w:space="0" w:color="auto"/>
            </w:tcBorders>
          </w:tcPr>
          <w:p w:rsidR="00FE0F3D" w:rsidRDefault="006E2F2C">
            <w:r w:rsidRPr="006E2F2C">
              <w:rPr>
                <w:rFonts w:ascii="Arial Narrow" w:hAnsi="Arial Narrow"/>
                <w:b/>
                <w:sz w:val="20"/>
              </w:rPr>
              <w:t>redacted</w:t>
            </w:r>
          </w:p>
        </w:tc>
        <w:tc>
          <w:tcPr>
            <w:tcW w:w="638" w:type="pct"/>
            <w:tcBorders>
              <w:bottom w:val="double" w:sz="4" w:space="0" w:color="auto"/>
            </w:tcBorders>
          </w:tcPr>
          <w:p w:rsidR="00FE0F3D" w:rsidRDefault="006E2F2C">
            <w:r w:rsidRPr="006E2F2C">
              <w:rPr>
                <w:rFonts w:ascii="Arial Narrow" w:hAnsi="Arial Narrow"/>
                <w:b/>
                <w:sz w:val="20"/>
              </w:rPr>
              <w:t>redacted</w:t>
            </w:r>
          </w:p>
        </w:tc>
        <w:tc>
          <w:tcPr>
            <w:tcW w:w="637" w:type="pct"/>
            <w:tcBorders>
              <w:bottom w:val="double" w:sz="4" w:space="0" w:color="auto"/>
            </w:tcBorders>
          </w:tcPr>
          <w:p w:rsidR="00FE0F3D" w:rsidRDefault="006E2F2C">
            <w:r w:rsidRPr="006E2F2C">
              <w:rPr>
                <w:rFonts w:ascii="Arial Narrow" w:hAnsi="Arial Narrow"/>
                <w:b/>
                <w:sz w:val="20"/>
              </w:rPr>
              <w:t>redacted</w:t>
            </w:r>
          </w:p>
        </w:tc>
        <w:tc>
          <w:tcPr>
            <w:tcW w:w="637" w:type="pct"/>
            <w:tcBorders>
              <w:bottom w:val="double" w:sz="4" w:space="0" w:color="auto"/>
            </w:tcBorders>
          </w:tcPr>
          <w:p w:rsidR="00FE0F3D" w:rsidRDefault="006E2F2C">
            <w:r w:rsidRPr="006E2F2C">
              <w:rPr>
                <w:rFonts w:ascii="Arial Narrow" w:hAnsi="Arial Narrow"/>
                <w:b/>
                <w:sz w:val="20"/>
              </w:rPr>
              <w:t>redacted</w:t>
            </w:r>
          </w:p>
        </w:tc>
        <w:tc>
          <w:tcPr>
            <w:tcW w:w="636" w:type="pct"/>
            <w:tcBorders>
              <w:bottom w:val="double" w:sz="4" w:space="0" w:color="auto"/>
            </w:tcBorders>
          </w:tcPr>
          <w:p w:rsidR="00FE0F3D" w:rsidRDefault="006E2F2C">
            <w:r w:rsidRPr="006E2F2C">
              <w:rPr>
                <w:rFonts w:ascii="Arial Narrow" w:hAnsi="Arial Narrow"/>
                <w:b/>
                <w:sz w:val="20"/>
              </w:rPr>
              <w:t>redacted</w:t>
            </w:r>
          </w:p>
        </w:tc>
      </w:tr>
      <w:tr w:rsidR="00293116" w:rsidRPr="000F6997" w:rsidTr="007B731F">
        <w:trPr>
          <w:cantSplit/>
          <w:trHeight w:val="330"/>
        </w:trPr>
        <w:tc>
          <w:tcPr>
            <w:tcW w:w="1178" w:type="pct"/>
            <w:tcBorders>
              <w:top w:val="double" w:sz="4" w:space="0" w:color="auto"/>
              <w:right w:val="nil"/>
            </w:tcBorders>
          </w:tcPr>
          <w:p w:rsidR="00293116" w:rsidRPr="00F9581C" w:rsidRDefault="00293116" w:rsidP="00373F3A">
            <w:pPr>
              <w:pStyle w:val="Tabletext"/>
              <w:rPr>
                <w:b/>
              </w:rPr>
            </w:pPr>
            <w:r w:rsidRPr="00F9581C">
              <w:rPr>
                <w:b/>
              </w:rPr>
              <w:t>On demand</w:t>
            </w:r>
          </w:p>
        </w:tc>
        <w:tc>
          <w:tcPr>
            <w:tcW w:w="637"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37"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38"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37"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37" w:type="pct"/>
            <w:tcBorders>
              <w:top w:val="double" w:sz="4" w:space="0" w:color="auto"/>
              <w:left w:val="nil"/>
              <w:right w:val="nil"/>
            </w:tcBorders>
          </w:tcPr>
          <w:p w:rsidR="00293116" w:rsidRPr="001811E5" w:rsidRDefault="00293116" w:rsidP="00373F3A">
            <w:pPr>
              <w:pStyle w:val="Tabletext"/>
              <w:jc w:val="center"/>
            </w:pPr>
            <w:r w:rsidRPr="00774713">
              <w:rPr>
                <w:color w:val="FFFFFF" w:themeColor="background1"/>
              </w:rPr>
              <w:t>–</w:t>
            </w:r>
          </w:p>
        </w:tc>
        <w:tc>
          <w:tcPr>
            <w:tcW w:w="636" w:type="pct"/>
            <w:tcBorders>
              <w:top w:val="double" w:sz="4" w:space="0" w:color="auto"/>
              <w:left w:val="nil"/>
            </w:tcBorders>
          </w:tcPr>
          <w:p w:rsidR="00293116" w:rsidRPr="001811E5" w:rsidRDefault="00293116" w:rsidP="00373F3A">
            <w:pPr>
              <w:pStyle w:val="Tabletext"/>
              <w:jc w:val="center"/>
            </w:pPr>
            <w:r w:rsidRPr="00774713">
              <w:rPr>
                <w:color w:val="FFFFFF" w:themeColor="background1"/>
              </w:rPr>
              <w:t>–</w:t>
            </w:r>
          </w:p>
        </w:tc>
      </w:tr>
      <w:tr w:rsidR="00293116" w:rsidRPr="000F6997" w:rsidTr="007B731F">
        <w:trPr>
          <w:cantSplit/>
          <w:trHeight w:val="330"/>
        </w:trPr>
        <w:tc>
          <w:tcPr>
            <w:tcW w:w="1178" w:type="pct"/>
          </w:tcPr>
          <w:p w:rsidR="00293116" w:rsidRDefault="00293116" w:rsidP="00373F3A">
            <w:pPr>
              <w:pStyle w:val="Tabletext"/>
            </w:pPr>
            <w:r>
              <w:t>Number on demand (62.4%)</w:t>
            </w:r>
          </w:p>
        </w:tc>
        <w:tc>
          <w:tcPr>
            <w:tcW w:w="637" w:type="pct"/>
          </w:tcPr>
          <w:p w:rsidR="00293116" w:rsidRPr="001811E5" w:rsidRDefault="00293116" w:rsidP="00373F3A">
            <w:pPr>
              <w:pStyle w:val="Tabletext"/>
              <w:jc w:val="center"/>
            </w:pPr>
            <w:r w:rsidRPr="001359B7">
              <w:t>143</w:t>
            </w:r>
          </w:p>
        </w:tc>
        <w:tc>
          <w:tcPr>
            <w:tcW w:w="637" w:type="pct"/>
          </w:tcPr>
          <w:p w:rsidR="00293116" w:rsidRPr="001811E5" w:rsidRDefault="00293116" w:rsidP="00373F3A">
            <w:pPr>
              <w:pStyle w:val="Tabletext"/>
              <w:jc w:val="center"/>
            </w:pPr>
            <w:r w:rsidRPr="001359B7">
              <w:t>146</w:t>
            </w:r>
          </w:p>
        </w:tc>
        <w:tc>
          <w:tcPr>
            <w:tcW w:w="638" w:type="pct"/>
          </w:tcPr>
          <w:p w:rsidR="00293116" w:rsidRPr="001811E5" w:rsidRDefault="00293116" w:rsidP="00373F3A">
            <w:pPr>
              <w:pStyle w:val="Tabletext"/>
              <w:jc w:val="center"/>
            </w:pPr>
            <w:r w:rsidRPr="001359B7">
              <w:t>148</w:t>
            </w:r>
          </w:p>
        </w:tc>
        <w:tc>
          <w:tcPr>
            <w:tcW w:w="637" w:type="pct"/>
          </w:tcPr>
          <w:p w:rsidR="00293116" w:rsidRPr="001811E5" w:rsidRDefault="00293116" w:rsidP="00373F3A">
            <w:pPr>
              <w:pStyle w:val="Tabletext"/>
              <w:jc w:val="center"/>
            </w:pPr>
            <w:r w:rsidRPr="001359B7">
              <w:t>151</w:t>
            </w:r>
          </w:p>
        </w:tc>
        <w:tc>
          <w:tcPr>
            <w:tcW w:w="637" w:type="pct"/>
          </w:tcPr>
          <w:p w:rsidR="00293116" w:rsidRPr="001811E5" w:rsidRDefault="00293116" w:rsidP="00373F3A">
            <w:pPr>
              <w:pStyle w:val="Tabletext"/>
              <w:jc w:val="center"/>
            </w:pPr>
            <w:r w:rsidRPr="001359B7">
              <w:t>154</w:t>
            </w:r>
          </w:p>
        </w:tc>
        <w:tc>
          <w:tcPr>
            <w:tcW w:w="636" w:type="pct"/>
          </w:tcPr>
          <w:p w:rsidR="00293116" w:rsidRPr="001811E5" w:rsidRDefault="00293116" w:rsidP="00373F3A">
            <w:pPr>
              <w:pStyle w:val="Tabletext"/>
              <w:jc w:val="center"/>
            </w:pPr>
            <w:r w:rsidRPr="001359B7">
              <w:t>156</w:t>
            </w:r>
          </w:p>
        </w:tc>
      </w:tr>
      <w:tr w:rsidR="00293116" w:rsidRPr="000F6997" w:rsidTr="007B731F">
        <w:trPr>
          <w:cantSplit/>
          <w:trHeight w:val="330"/>
        </w:trPr>
        <w:tc>
          <w:tcPr>
            <w:tcW w:w="1178" w:type="pct"/>
          </w:tcPr>
          <w:p w:rsidR="00293116" w:rsidRDefault="00293116" w:rsidP="00373F3A">
            <w:pPr>
              <w:pStyle w:val="Tabletext"/>
            </w:pPr>
            <w:r>
              <w:t>Proportion who switch</w:t>
            </w:r>
          </w:p>
        </w:tc>
        <w:tc>
          <w:tcPr>
            <w:tcW w:w="637" w:type="pct"/>
          </w:tcPr>
          <w:p w:rsidR="00293116" w:rsidRPr="00266504" w:rsidRDefault="00293116" w:rsidP="00373F3A">
            <w:pPr>
              <w:pStyle w:val="Tabletext"/>
              <w:jc w:val="center"/>
              <w:rPr>
                <w:highlight w:val="cyan"/>
              </w:rPr>
            </w:pPr>
            <w:r w:rsidRPr="001359B7">
              <w:t>60%</w:t>
            </w:r>
          </w:p>
        </w:tc>
        <w:tc>
          <w:tcPr>
            <w:tcW w:w="637" w:type="pct"/>
          </w:tcPr>
          <w:p w:rsidR="00293116" w:rsidRPr="00266504" w:rsidRDefault="00293116" w:rsidP="00373F3A">
            <w:pPr>
              <w:pStyle w:val="Tabletext"/>
              <w:jc w:val="center"/>
              <w:rPr>
                <w:highlight w:val="cyan"/>
              </w:rPr>
            </w:pPr>
            <w:r w:rsidRPr="001359B7">
              <w:t>70%</w:t>
            </w:r>
          </w:p>
        </w:tc>
        <w:tc>
          <w:tcPr>
            <w:tcW w:w="638" w:type="pct"/>
          </w:tcPr>
          <w:p w:rsidR="00293116" w:rsidRPr="00266504" w:rsidRDefault="00293116" w:rsidP="00373F3A">
            <w:pPr>
              <w:pStyle w:val="Tabletext"/>
              <w:jc w:val="center"/>
              <w:rPr>
                <w:highlight w:val="cyan"/>
              </w:rPr>
            </w:pPr>
            <w:r w:rsidRPr="001359B7">
              <w:t>80%</w:t>
            </w:r>
          </w:p>
        </w:tc>
        <w:tc>
          <w:tcPr>
            <w:tcW w:w="637" w:type="pct"/>
          </w:tcPr>
          <w:p w:rsidR="00293116" w:rsidRPr="00266504" w:rsidRDefault="00293116" w:rsidP="00373F3A">
            <w:pPr>
              <w:pStyle w:val="Tabletext"/>
              <w:jc w:val="center"/>
              <w:rPr>
                <w:highlight w:val="cyan"/>
              </w:rPr>
            </w:pPr>
            <w:r w:rsidRPr="001359B7">
              <w:t>85%</w:t>
            </w:r>
          </w:p>
        </w:tc>
        <w:tc>
          <w:tcPr>
            <w:tcW w:w="637" w:type="pct"/>
          </w:tcPr>
          <w:p w:rsidR="00293116" w:rsidRPr="00266504" w:rsidRDefault="00293116" w:rsidP="00373F3A">
            <w:pPr>
              <w:pStyle w:val="Tabletext"/>
              <w:jc w:val="center"/>
              <w:rPr>
                <w:highlight w:val="cyan"/>
              </w:rPr>
            </w:pPr>
            <w:r w:rsidRPr="001359B7">
              <w:t>90%</w:t>
            </w:r>
          </w:p>
        </w:tc>
        <w:tc>
          <w:tcPr>
            <w:tcW w:w="636" w:type="pct"/>
          </w:tcPr>
          <w:p w:rsidR="00293116" w:rsidRPr="00266504" w:rsidRDefault="00293116" w:rsidP="00373F3A">
            <w:pPr>
              <w:pStyle w:val="Tabletext"/>
              <w:jc w:val="center"/>
              <w:rPr>
                <w:highlight w:val="cyan"/>
              </w:rPr>
            </w:pPr>
            <w:r w:rsidRPr="001359B7">
              <w:t>95%</w:t>
            </w:r>
          </w:p>
        </w:tc>
      </w:tr>
      <w:tr w:rsidR="00293116" w:rsidRPr="000F6997" w:rsidTr="007B731F">
        <w:trPr>
          <w:cantSplit/>
          <w:trHeight w:val="330"/>
        </w:trPr>
        <w:tc>
          <w:tcPr>
            <w:tcW w:w="1178" w:type="pct"/>
          </w:tcPr>
          <w:p w:rsidR="00293116" w:rsidRDefault="00293116" w:rsidP="00373F3A">
            <w:pPr>
              <w:pStyle w:val="Tabletext"/>
            </w:pPr>
            <w:r>
              <w:t>Number of people who switch</w:t>
            </w:r>
          </w:p>
        </w:tc>
        <w:tc>
          <w:tcPr>
            <w:tcW w:w="637" w:type="pct"/>
          </w:tcPr>
          <w:p w:rsidR="00293116" w:rsidRPr="001811E5" w:rsidRDefault="00293116" w:rsidP="00373F3A">
            <w:pPr>
              <w:pStyle w:val="Tabletext"/>
              <w:jc w:val="center"/>
            </w:pPr>
            <w:r w:rsidRPr="001359B7">
              <w:t>86</w:t>
            </w:r>
          </w:p>
        </w:tc>
        <w:tc>
          <w:tcPr>
            <w:tcW w:w="637" w:type="pct"/>
          </w:tcPr>
          <w:p w:rsidR="00293116" w:rsidRPr="001811E5" w:rsidRDefault="00293116" w:rsidP="00373F3A">
            <w:pPr>
              <w:pStyle w:val="Tabletext"/>
              <w:jc w:val="center"/>
            </w:pPr>
            <w:r w:rsidRPr="001359B7">
              <w:t>102</w:t>
            </w:r>
          </w:p>
        </w:tc>
        <w:tc>
          <w:tcPr>
            <w:tcW w:w="638" w:type="pct"/>
          </w:tcPr>
          <w:p w:rsidR="00293116" w:rsidRPr="001811E5" w:rsidRDefault="00293116" w:rsidP="00373F3A">
            <w:pPr>
              <w:pStyle w:val="Tabletext"/>
              <w:jc w:val="center"/>
            </w:pPr>
            <w:r w:rsidRPr="001359B7">
              <w:t>119</w:t>
            </w:r>
          </w:p>
        </w:tc>
        <w:tc>
          <w:tcPr>
            <w:tcW w:w="637" w:type="pct"/>
          </w:tcPr>
          <w:p w:rsidR="00293116" w:rsidRPr="001811E5" w:rsidRDefault="00293116" w:rsidP="00373F3A">
            <w:pPr>
              <w:pStyle w:val="Tabletext"/>
              <w:jc w:val="center"/>
            </w:pPr>
            <w:r w:rsidRPr="001359B7">
              <w:t>128</w:t>
            </w:r>
          </w:p>
        </w:tc>
        <w:tc>
          <w:tcPr>
            <w:tcW w:w="637" w:type="pct"/>
          </w:tcPr>
          <w:p w:rsidR="00293116" w:rsidRPr="001811E5" w:rsidRDefault="00293116" w:rsidP="00373F3A">
            <w:pPr>
              <w:pStyle w:val="Tabletext"/>
              <w:jc w:val="center"/>
            </w:pPr>
            <w:r w:rsidRPr="001359B7">
              <w:t>138</w:t>
            </w:r>
          </w:p>
        </w:tc>
        <w:tc>
          <w:tcPr>
            <w:tcW w:w="636" w:type="pct"/>
          </w:tcPr>
          <w:p w:rsidR="00293116" w:rsidRPr="001811E5" w:rsidRDefault="00293116" w:rsidP="00373F3A">
            <w:pPr>
              <w:pStyle w:val="Tabletext"/>
              <w:jc w:val="center"/>
            </w:pPr>
            <w:r w:rsidRPr="001359B7">
              <w:t>149</w:t>
            </w:r>
          </w:p>
        </w:tc>
      </w:tr>
      <w:tr w:rsidR="00293116" w:rsidRPr="000F6997" w:rsidTr="007B731F">
        <w:trPr>
          <w:cantSplit/>
          <w:trHeight w:val="330"/>
        </w:trPr>
        <w:tc>
          <w:tcPr>
            <w:tcW w:w="1178" w:type="pct"/>
          </w:tcPr>
          <w:p w:rsidR="00293116" w:rsidRDefault="00293116" w:rsidP="00373F3A">
            <w:pPr>
              <w:pStyle w:val="Tabletext"/>
            </w:pPr>
            <w:r w:rsidRPr="0065011D">
              <w:t>No. of EHL IUs</w:t>
            </w:r>
          </w:p>
          <w:p w:rsidR="00293116" w:rsidRDefault="00293116" w:rsidP="00373F3A">
            <w:pPr>
              <w:pStyle w:val="Tabletext"/>
            </w:pPr>
            <w:r>
              <w:t>(</w:t>
            </w:r>
            <w:r w:rsidRPr="008A4EE0">
              <w:t>65,996</w:t>
            </w:r>
            <w:r>
              <w:t>IU/person/year)</w:t>
            </w:r>
            <w:r w:rsidRPr="003913EA">
              <w:rPr>
                <w:vertAlign w:val="superscript"/>
              </w:rPr>
              <w:t xml:space="preserve"> b</w:t>
            </w:r>
          </w:p>
        </w:tc>
        <w:tc>
          <w:tcPr>
            <w:tcW w:w="637" w:type="pct"/>
          </w:tcPr>
          <w:p w:rsidR="00293116" w:rsidRPr="00FF079C" w:rsidRDefault="00293116" w:rsidP="00373F3A">
            <w:pPr>
              <w:pStyle w:val="Tabletext"/>
              <w:jc w:val="center"/>
            </w:pPr>
            <w:r w:rsidRPr="00852526">
              <w:t>5,670,672</w:t>
            </w:r>
          </w:p>
        </w:tc>
        <w:tc>
          <w:tcPr>
            <w:tcW w:w="637" w:type="pct"/>
          </w:tcPr>
          <w:p w:rsidR="00293116" w:rsidRPr="00FF079C" w:rsidRDefault="00293116" w:rsidP="00373F3A">
            <w:pPr>
              <w:pStyle w:val="Tabletext"/>
              <w:jc w:val="center"/>
            </w:pPr>
            <w:r w:rsidRPr="00852526">
              <w:t>6,738,024</w:t>
            </w:r>
          </w:p>
        </w:tc>
        <w:tc>
          <w:tcPr>
            <w:tcW w:w="638" w:type="pct"/>
          </w:tcPr>
          <w:p w:rsidR="00293116" w:rsidRPr="00FF079C" w:rsidRDefault="00293116" w:rsidP="00373F3A">
            <w:pPr>
              <w:pStyle w:val="Tabletext"/>
              <w:jc w:val="center"/>
            </w:pPr>
            <w:r w:rsidRPr="00852526">
              <w:t>7,840,301</w:t>
            </w:r>
          </w:p>
        </w:tc>
        <w:tc>
          <w:tcPr>
            <w:tcW w:w="637" w:type="pct"/>
          </w:tcPr>
          <w:p w:rsidR="00293116" w:rsidRPr="00FF079C" w:rsidRDefault="00293116" w:rsidP="00373F3A">
            <w:pPr>
              <w:pStyle w:val="Tabletext"/>
              <w:jc w:val="center"/>
            </w:pPr>
            <w:r w:rsidRPr="00852526">
              <w:t>8,478,753</w:t>
            </w:r>
          </w:p>
        </w:tc>
        <w:tc>
          <w:tcPr>
            <w:tcW w:w="637" w:type="pct"/>
          </w:tcPr>
          <w:p w:rsidR="00293116" w:rsidRPr="00FF079C" w:rsidRDefault="00293116" w:rsidP="00373F3A">
            <w:pPr>
              <w:pStyle w:val="Tabletext"/>
              <w:jc w:val="center"/>
            </w:pPr>
            <w:r w:rsidRPr="00852526">
              <w:t>9,134,669</w:t>
            </w:r>
          </w:p>
        </w:tc>
        <w:tc>
          <w:tcPr>
            <w:tcW w:w="636" w:type="pct"/>
          </w:tcPr>
          <w:p w:rsidR="00293116" w:rsidRPr="00FF079C" w:rsidRDefault="00293116" w:rsidP="00373F3A">
            <w:pPr>
              <w:pStyle w:val="Tabletext"/>
              <w:jc w:val="center"/>
            </w:pPr>
            <w:r w:rsidRPr="00852526">
              <w:t>9,808,047</w:t>
            </w:r>
          </w:p>
        </w:tc>
      </w:tr>
      <w:tr w:rsidR="007B731F" w:rsidRPr="00626A22" w:rsidTr="007B731F">
        <w:trPr>
          <w:cantSplit/>
          <w:trHeight w:val="330"/>
        </w:trPr>
        <w:tc>
          <w:tcPr>
            <w:tcW w:w="1178" w:type="pct"/>
          </w:tcPr>
          <w:p w:rsidR="007B731F" w:rsidRPr="007B731F" w:rsidRDefault="007B731F" w:rsidP="00373F3A">
            <w:pPr>
              <w:pStyle w:val="Tabletext"/>
              <w:rPr>
                <w:b/>
              </w:rPr>
            </w:pPr>
            <w:r w:rsidRPr="007B731F">
              <w:rPr>
                <w:b/>
              </w:rPr>
              <w:t>EHL cost ($</w:t>
            </w:r>
            <w:r w:rsidR="006E2F2C" w:rsidRPr="006E2F2C">
              <w:rPr>
                <w:b/>
                <w:szCs w:val="20"/>
              </w:rPr>
              <w:t>redacted</w:t>
            </w:r>
            <w:r w:rsidR="006E2F2C" w:rsidRPr="007B731F">
              <w:rPr>
                <w:b/>
              </w:rPr>
              <w:t xml:space="preserve"> </w:t>
            </w:r>
            <w:r w:rsidRPr="007B731F">
              <w:rPr>
                <w:b/>
              </w:rPr>
              <w:t>per IU)</w:t>
            </w:r>
          </w:p>
        </w:tc>
        <w:tc>
          <w:tcPr>
            <w:tcW w:w="637" w:type="pct"/>
          </w:tcPr>
          <w:p w:rsidR="007B731F" w:rsidRDefault="006E2F2C">
            <w:r w:rsidRPr="006E2F2C">
              <w:rPr>
                <w:rFonts w:ascii="Arial Narrow" w:hAnsi="Arial Narrow"/>
                <w:b/>
                <w:sz w:val="20"/>
              </w:rPr>
              <w:t>redacted</w:t>
            </w:r>
          </w:p>
        </w:tc>
        <w:tc>
          <w:tcPr>
            <w:tcW w:w="637" w:type="pct"/>
          </w:tcPr>
          <w:p w:rsidR="007B731F" w:rsidRDefault="006E2F2C">
            <w:r w:rsidRPr="006E2F2C">
              <w:rPr>
                <w:rFonts w:ascii="Arial Narrow" w:hAnsi="Arial Narrow"/>
                <w:b/>
                <w:sz w:val="20"/>
              </w:rPr>
              <w:t>redacted</w:t>
            </w:r>
          </w:p>
        </w:tc>
        <w:tc>
          <w:tcPr>
            <w:tcW w:w="638" w:type="pct"/>
          </w:tcPr>
          <w:p w:rsidR="007B731F" w:rsidRDefault="006E2F2C">
            <w:r w:rsidRPr="006E2F2C">
              <w:rPr>
                <w:rFonts w:ascii="Arial Narrow" w:hAnsi="Arial Narrow"/>
                <w:b/>
                <w:sz w:val="20"/>
              </w:rPr>
              <w:t>redacted</w:t>
            </w:r>
          </w:p>
        </w:tc>
        <w:tc>
          <w:tcPr>
            <w:tcW w:w="637" w:type="pct"/>
          </w:tcPr>
          <w:p w:rsidR="007B731F" w:rsidRDefault="006E2F2C">
            <w:r w:rsidRPr="006E2F2C">
              <w:rPr>
                <w:rFonts w:ascii="Arial Narrow" w:hAnsi="Arial Narrow"/>
                <w:b/>
                <w:sz w:val="20"/>
              </w:rPr>
              <w:t>redacted</w:t>
            </w:r>
          </w:p>
        </w:tc>
        <w:tc>
          <w:tcPr>
            <w:tcW w:w="637" w:type="pct"/>
          </w:tcPr>
          <w:p w:rsidR="007B731F" w:rsidRDefault="006E2F2C">
            <w:r w:rsidRPr="006E2F2C">
              <w:rPr>
                <w:rFonts w:ascii="Arial Narrow" w:hAnsi="Arial Narrow"/>
                <w:b/>
                <w:sz w:val="20"/>
              </w:rPr>
              <w:t>redacted</w:t>
            </w:r>
          </w:p>
        </w:tc>
        <w:tc>
          <w:tcPr>
            <w:tcW w:w="636" w:type="pct"/>
          </w:tcPr>
          <w:p w:rsidR="007B731F" w:rsidRDefault="006E2F2C">
            <w:r w:rsidRPr="006E2F2C">
              <w:rPr>
                <w:rFonts w:ascii="Arial Narrow" w:hAnsi="Arial Narrow"/>
                <w:b/>
                <w:sz w:val="20"/>
              </w:rPr>
              <w:t>redacted</w:t>
            </w:r>
          </w:p>
        </w:tc>
      </w:tr>
      <w:tr w:rsidR="00293116" w:rsidRPr="000F6997" w:rsidTr="007B731F">
        <w:trPr>
          <w:cantSplit/>
          <w:trHeight w:val="330"/>
        </w:trPr>
        <w:tc>
          <w:tcPr>
            <w:tcW w:w="1178" w:type="pct"/>
          </w:tcPr>
          <w:p w:rsidR="00293116" w:rsidRDefault="00293116" w:rsidP="00373F3A">
            <w:pPr>
              <w:pStyle w:val="Tabletext"/>
            </w:pPr>
            <w:r w:rsidRPr="008C5937">
              <w:t>No. of SHL IUs</w:t>
            </w:r>
          </w:p>
          <w:p w:rsidR="00293116" w:rsidRDefault="00293116" w:rsidP="00373F3A">
            <w:pPr>
              <w:pStyle w:val="Tabletext"/>
            </w:pPr>
            <w:r>
              <w:t>(</w:t>
            </w:r>
            <w:r w:rsidRPr="008A4EE0">
              <w:t>65,996</w:t>
            </w:r>
            <w:r>
              <w:t>IU/person/year)</w:t>
            </w:r>
          </w:p>
        </w:tc>
        <w:tc>
          <w:tcPr>
            <w:tcW w:w="637" w:type="pct"/>
          </w:tcPr>
          <w:p w:rsidR="00293116" w:rsidRPr="00FF079C" w:rsidRDefault="00293116" w:rsidP="00373F3A">
            <w:pPr>
              <w:pStyle w:val="Tabletext"/>
              <w:jc w:val="center"/>
            </w:pPr>
            <w:r w:rsidRPr="00120803">
              <w:t>5,670,672</w:t>
            </w:r>
          </w:p>
        </w:tc>
        <w:tc>
          <w:tcPr>
            <w:tcW w:w="637" w:type="pct"/>
          </w:tcPr>
          <w:p w:rsidR="00293116" w:rsidRPr="00FF079C" w:rsidRDefault="00293116" w:rsidP="00373F3A">
            <w:pPr>
              <w:pStyle w:val="Tabletext"/>
              <w:jc w:val="center"/>
            </w:pPr>
            <w:r w:rsidRPr="00120803">
              <w:t>6,738,024</w:t>
            </w:r>
          </w:p>
        </w:tc>
        <w:tc>
          <w:tcPr>
            <w:tcW w:w="638" w:type="pct"/>
          </w:tcPr>
          <w:p w:rsidR="00293116" w:rsidRPr="00FF079C" w:rsidRDefault="00293116" w:rsidP="00373F3A">
            <w:pPr>
              <w:pStyle w:val="Tabletext"/>
              <w:jc w:val="center"/>
            </w:pPr>
            <w:r w:rsidRPr="00120803">
              <w:t>7,840,301</w:t>
            </w:r>
          </w:p>
        </w:tc>
        <w:tc>
          <w:tcPr>
            <w:tcW w:w="637" w:type="pct"/>
          </w:tcPr>
          <w:p w:rsidR="00293116" w:rsidRPr="00FF079C" w:rsidRDefault="00293116" w:rsidP="00373F3A">
            <w:pPr>
              <w:pStyle w:val="Tabletext"/>
              <w:jc w:val="center"/>
            </w:pPr>
            <w:r w:rsidRPr="00120803">
              <w:t>8,478,753</w:t>
            </w:r>
          </w:p>
        </w:tc>
        <w:tc>
          <w:tcPr>
            <w:tcW w:w="637" w:type="pct"/>
          </w:tcPr>
          <w:p w:rsidR="00293116" w:rsidRPr="00FF079C" w:rsidRDefault="00293116" w:rsidP="00373F3A">
            <w:pPr>
              <w:pStyle w:val="Tabletext"/>
              <w:jc w:val="center"/>
            </w:pPr>
            <w:r w:rsidRPr="00120803">
              <w:t>9,134,669</w:t>
            </w:r>
          </w:p>
        </w:tc>
        <w:tc>
          <w:tcPr>
            <w:tcW w:w="636" w:type="pct"/>
          </w:tcPr>
          <w:p w:rsidR="00293116" w:rsidRPr="00FF079C" w:rsidRDefault="00293116" w:rsidP="00373F3A">
            <w:pPr>
              <w:pStyle w:val="Tabletext"/>
              <w:jc w:val="center"/>
            </w:pPr>
            <w:r w:rsidRPr="00120803">
              <w:t>9,808,047</w:t>
            </w:r>
          </w:p>
        </w:tc>
      </w:tr>
      <w:tr w:rsidR="00293116" w:rsidRPr="002B1BB1" w:rsidTr="007B731F">
        <w:trPr>
          <w:cantSplit/>
          <w:trHeight w:val="330"/>
        </w:trPr>
        <w:tc>
          <w:tcPr>
            <w:tcW w:w="1178" w:type="pct"/>
          </w:tcPr>
          <w:p w:rsidR="00293116" w:rsidRPr="002B1BB1" w:rsidRDefault="00293116" w:rsidP="00373F3A">
            <w:pPr>
              <w:pStyle w:val="Tabletext"/>
              <w:rPr>
                <w:b/>
              </w:rPr>
            </w:pPr>
            <w:r>
              <w:rPr>
                <w:b/>
              </w:rPr>
              <w:t>SHL cost ($0.79</w:t>
            </w:r>
            <w:r w:rsidRPr="002B1BB1">
              <w:rPr>
                <w:b/>
              </w:rPr>
              <w:t xml:space="preserve"> per IU)</w:t>
            </w:r>
          </w:p>
        </w:tc>
        <w:tc>
          <w:tcPr>
            <w:tcW w:w="637" w:type="pct"/>
          </w:tcPr>
          <w:p w:rsidR="00293116" w:rsidRPr="009E45FF" w:rsidRDefault="00293116" w:rsidP="00373F3A">
            <w:pPr>
              <w:pStyle w:val="Tabletext"/>
              <w:jc w:val="right"/>
              <w:rPr>
                <w:b/>
              </w:rPr>
            </w:pPr>
            <w:r w:rsidRPr="009E45FF">
              <w:rPr>
                <w:b/>
              </w:rPr>
              <w:t>$4,491,162</w:t>
            </w:r>
          </w:p>
        </w:tc>
        <w:tc>
          <w:tcPr>
            <w:tcW w:w="637" w:type="pct"/>
          </w:tcPr>
          <w:p w:rsidR="00293116" w:rsidRPr="009E45FF" w:rsidRDefault="00293116" w:rsidP="00373F3A">
            <w:pPr>
              <w:pStyle w:val="Tabletext"/>
              <w:jc w:val="right"/>
              <w:rPr>
                <w:b/>
              </w:rPr>
            </w:pPr>
            <w:r w:rsidRPr="009E45FF">
              <w:rPr>
                <w:b/>
              </w:rPr>
              <w:t>$5,336,502</w:t>
            </w:r>
          </w:p>
        </w:tc>
        <w:tc>
          <w:tcPr>
            <w:tcW w:w="638" w:type="pct"/>
          </w:tcPr>
          <w:p w:rsidR="00293116" w:rsidRPr="009E45FF" w:rsidRDefault="00293116" w:rsidP="00373F3A">
            <w:pPr>
              <w:pStyle w:val="Tabletext"/>
              <w:jc w:val="right"/>
              <w:rPr>
                <w:b/>
              </w:rPr>
            </w:pPr>
            <w:r w:rsidRPr="009E45FF">
              <w:rPr>
                <w:b/>
              </w:rPr>
              <w:t>$6,209,504</w:t>
            </w:r>
          </w:p>
        </w:tc>
        <w:tc>
          <w:tcPr>
            <w:tcW w:w="637" w:type="pct"/>
          </w:tcPr>
          <w:p w:rsidR="00293116" w:rsidRPr="009E45FF" w:rsidRDefault="00293116" w:rsidP="00373F3A">
            <w:pPr>
              <w:pStyle w:val="Tabletext"/>
              <w:jc w:val="right"/>
              <w:rPr>
                <w:b/>
              </w:rPr>
            </w:pPr>
            <w:r w:rsidRPr="009E45FF">
              <w:rPr>
                <w:b/>
              </w:rPr>
              <w:t>$6,715,157</w:t>
            </w:r>
          </w:p>
        </w:tc>
        <w:tc>
          <w:tcPr>
            <w:tcW w:w="637" w:type="pct"/>
          </w:tcPr>
          <w:p w:rsidR="00293116" w:rsidRPr="009E45FF" w:rsidRDefault="00293116" w:rsidP="00373F3A">
            <w:pPr>
              <w:pStyle w:val="Tabletext"/>
              <w:jc w:val="right"/>
              <w:rPr>
                <w:b/>
              </w:rPr>
            </w:pPr>
            <w:r w:rsidRPr="009E45FF">
              <w:rPr>
                <w:b/>
              </w:rPr>
              <w:t>$7,234,641</w:t>
            </w:r>
          </w:p>
        </w:tc>
        <w:tc>
          <w:tcPr>
            <w:tcW w:w="636" w:type="pct"/>
          </w:tcPr>
          <w:p w:rsidR="00293116" w:rsidRPr="009E45FF" w:rsidRDefault="00293116" w:rsidP="00373F3A">
            <w:pPr>
              <w:pStyle w:val="Tabletext"/>
              <w:jc w:val="right"/>
              <w:rPr>
                <w:b/>
              </w:rPr>
            </w:pPr>
            <w:r w:rsidRPr="009E45FF">
              <w:rPr>
                <w:b/>
              </w:rPr>
              <w:t>$7,767,955</w:t>
            </w:r>
          </w:p>
        </w:tc>
      </w:tr>
      <w:tr w:rsidR="00FE0F3D" w:rsidRPr="009C710F" w:rsidTr="007B731F">
        <w:trPr>
          <w:cantSplit/>
          <w:trHeight w:val="330"/>
        </w:trPr>
        <w:tc>
          <w:tcPr>
            <w:tcW w:w="1178" w:type="pct"/>
            <w:tcBorders>
              <w:bottom w:val="double" w:sz="4" w:space="0" w:color="auto"/>
            </w:tcBorders>
          </w:tcPr>
          <w:p w:rsidR="00FE0F3D" w:rsidRPr="009C710F" w:rsidRDefault="00FE0F3D" w:rsidP="00373F3A">
            <w:pPr>
              <w:pStyle w:val="Tabletext"/>
              <w:rPr>
                <w:b/>
              </w:rPr>
            </w:pPr>
            <w:r w:rsidRPr="009C710F">
              <w:rPr>
                <w:b/>
              </w:rPr>
              <w:t>Net on demand cost</w:t>
            </w:r>
          </w:p>
        </w:tc>
        <w:tc>
          <w:tcPr>
            <w:tcW w:w="637" w:type="pct"/>
            <w:tcBorders>
              <w:bottom w:val="double" w:sz="4" w:space="0" w:color="auto"/>
            </w:tcBorders>
          </w:tcPr>
          <w:p w:rsidR="00FE0F3D" w:rsidRDefault="006E2F2C">
            <w:r w:rsidRPr="006E2F2C">
              <w:rPr>
                <w:rFonts w:ascii="Arial Narrow" w:hAnsi="Arial Narrow"/>
                <w:b/>
                <w:sz w:val="20"/>
              </w:rPr>
              <w:t>redacted</w:t>
            </w:r>
          </w:p>
        </w:tc>
        <w:tc>
          <w:tcPr>
            <w:tcW w:w="637" w:type="pct"/>
            <w:tcBorders>
              <w:bottom w:val="double" w:sz="4" w:space="0" w:color="auto"/>
            </w:tcBorders>
          </w:tcPr>
          <w:p w:rsidR="00FE0F3D" w:rsidRDefault="006E2F2C">
            <w:r w:rsidRPr="006E2F2C">
              <w:rPr>
                <w:rFonts w:ascii="Arial Narrow" w:hAnsi="Arial Narrow"/>
                <w:b/>
                <w:sz w:val="20"/>
              </w:rPr>
              <w:t>redacted</w:t>
            </w:r>
          </w:p>
        </w:tc>
        <w:tc>
          <w:tcPr>
            <w:tcW w:w="638" w:type="pct"/>
            <w:tcBorders>
              <w:bottom w:val="double" w:sz="4" w:space="0" w:color="auto"/>
            </w:tcBorders>
          </w:tcPr>
          <w:p w:rsidR="00FE0F3D" w:rsidRDefault="006E2F2C">
            <w:r w:rsidRPr="006E2F2C">
              <w:rPr>
                <w:rFonts w:ascii="Arial Narrow" w:hAnsi="Arial Narrow"/>
                <w:b/>
                <w:sz w:val="20"/>
              </w:rPr>
              <w:t>redacted</w:t>
            </w:r>
          </w:p>
        </w:tc>
        <w:tc>
          <w:tcPr>
            <w:tcW w:w="637" w:type="pct"/>
            <w:tcBorders>
              <w:bottom w:val="double" w:sz="4" w:space="0" w:color="auto"/>
            </w:tcBorders>
          </w:tcPr>
          <w:p w:rsidR="00FE0F3D" w:rsidRDefault="006E2F2C">
            <w:r w:rsidRPr="006E2F2C">
              <w:rPr>
                <w:rFonts w:ascii="Arial Narrow" w:hAnsi="Arial Narrow"/>
                <w:b/>
                <w:sz w:val="20"/>
              </w:rPr>
              <w:t>redacted</w:t>
            </w:r>
          </w:p>
        </w:tc>
        <w:tc>
          <w:tcPr>
            <w:tcW w:w="637" w:type="pct"/>
            <w:tcBorders>
              <w:bottom w:val="double" w:sz="4" w:space="0" w:color="auto"/>
            </w:tcBorders>
          </w:tcPr>
          <w:p w:rsidR="00FE0F3D" w:rsidRDefault="006E2F2C">
            <w:r w:rsidRPr="006E2F2C">
              <w:rPr>
                <w:rFonts w:ascii="Arial Narrow" w:hAnsi="Arial Narrow"/>
                <w:b/>
                <w:sz w:val="20"/>
              </w:rPr>
              <w:t>redacted</w:t>
            </w:r>
          </w:p>
        </w:tc>
        <w:tc>
          <w:tcPr>
            <w:tcW w:w="636" w:type="pct"/>
            <w:tcBorders>
              <w:bottom w:val="double" w:sz="4" w:space="0" w:color="auto"/>
            </w:tcBorders>
          </w:tcPr>
          <w:p w:rsidR="00FE0F3D" w:rsidRDefault="006E2F2C">
            <w:r w:rsidRPr="006E2F2C">
              <w:rPr>
                <w:rFonts w:ascii="Arial Narrow" w:hAnsi="Arial Narrow"/>
                <w:b/>
                <w:sz w:val="20"/>
              </w:rPr>
              <w:t>redacted</w:t>
            </w:r>
          </w:p>
        </w:tc>
      </w:tr>
      <w:tr w:rsidR="007B731F" w:rsidRPr="009C710F" w:rsidTr="007B731F">
        <w:trPr>
          <w:cantSplit/>
          <w:trHeight w:val="330"/>
        </w:trPr>
        <w:tc>
          <w:tcPr>
            <w:tcW w:w="1178" w:type="pct"/>
          </w:tcPr>
          <w:p w:rsidR="007B731F" w:rsidRPr="007B731F" w:rsidRDefault="007B731F" w:rsidP="00477A86">
            <w:pPr>
              <w:pStyle w:val="Tabletext"/>
              <w:rPr>
                <w:b/>
              </w:rPr>
            </w:pPr>
            <w:r w:rsidRPr="007B731F">
              <w:rPr>
                <w:b/>
              </w:rPr>
              <w:t>Net cost of EHL factor IX</w:t>
            </w:r>
          </w:p>
        </w:tc>
        <w:tc>
          <w:tcPr>
            <w:tcW w:w="637" w:type="pct"/>
          </w:tcPr>
          <w:p w:rsidR="007B731F" w:rsidRDefault="006E2F2C">
            <w:r w:rsidRPr="006E2F2C">
              <w:rPr>
                <w:rFonts w:ascii="Arial Narrow" w:hAnsi="Arial Narrow"/>
                <w:b/>
                <w:sz w:val="20"/>
              </w:rPr>
              <w:t>redacted</w:t>
            </w:r>
          </w:p>
        </w:tc>
        <w:tc>
          <w:tcPr>
            <w:tcW w:w="637" w:type="pct"/>
          </w:tcPr>
          <w:p w:rsidR="007B731F" w:rsidRDefault="006E2F2C">
            <w:r w:rsidRPr="006E2F2C">
              <w:rPr>
                <w:rFonts w:ascii="Arial Narrow" w:hAnsi="Arial Narrow"/>
                <w:b/>
                <w:sz w:val="20"/>
              </w:rPr>
              <w:t>redacted</w:t>
            </w:r>
          </w:p>
        </w:tc>
        <w:tc>
          <w:tcPr>
            <w:tcW w:w="638" w:type="pct"/>
          </w:tcPr>
          <w:p w:rsidR="007B731F" w:rsidRDefault="006E2F2C">
            <w:r w:rsidRPr="006E2F2C">
              <w:rPr>
                <w:rFonts w:ascii="Arial Narrow" w:hAnsi="Arial Narrow"/>
                <w:b/>
                <w:sz w:val="20"/>
              </w:rPr>
              <w:t>redacted</w:t>
            </w:r>
          </w:p>
        </w:tc>
        <w:tc>
          <w:tcPr>
            <w:tcW w:w="637" w:type="pct"/>
          </w:tcPr>
          <w:p w:rsidR="007B731F" w:rsidRDefault="006E2F2C">
            <w:r w:rsidRPr="006E2F2C">
              <w:rPr>
                <w:rFonts w:ascii="Arial Narrow" w:hAnsi="Arial Narrow"/>
                <w:b/>
                <w:sz w:val="20"/>
              </w:rPr>
              <w:t>redacted</w:t>
            </w:r>
          </w:p>
        </w:tc>
        <w:tc>
          <w:tcPr>
            <w:tcW w:w="637" w:type="pct"/>
          </w:tcPr>
          <w:p w:rsidR="007B731F" w:rsidRDefault="006E2F2C">
            <w:r w:rsidRPr="006E2F2C">
              <w:rPr>
                <w:rFonts w:ascii="Arial Narrow" w:hAnsi="Arial Narrow"/>
                <w:b/>
                <w:sz w:val="20"/>
              </w:rPr>
              <w:t>redacted</w:t>
            </w:r>
          </w:p>
        </w:tc>
        <w:tc>
          <w:tcPr>
            <w:tcW w:w="636" w:type="pct"/>
          </w:tcPr>
          <w:p w:rsidR="007B731F" w:rsidRDefault="006E2F2C">
            <w:r w:rsidRPr="006E2F2C">
              <w:rPr>
                <w:rFonts w:ascii="Arial Narrow" w:hAnsi="Arial Narrow"/>
                <w:b/>
                <w:sz w:val="20"/>
              </w:rPr>
              <w:t>redacted</w:t>
            </w:r>
          </w:p>
        </w:tc>
      </w:tr>
    </w:tbl>
    <w:p w:rsidR="00DD0502" w:rsidRDefault="00293116" w:rsidP="006E2F2C">
      <w:pPr>
        <w:pStyle w:val="Tablenotes"/>
        <w:jc w:val="left"/>
        <w:rPr>
          <w:sz w:val="16"/>
          <w:lang w:eastAsia="en-AU"/>
        </w:rPr>
      </w:pPr>
      <w:r w:rsidRPr="00B23AFC">
        <w:rPr>
          <w:sz w:val="16"/>
          <w:lang w:eastAsia="en-AU"/>
        </w:rPr>
        <w:t>EHL = extended half-life; B=haemophilia B; IU = international unit; SHL = standard half-life.</w:t>
      </w:r>
      <w:r>
        <w:rPr>
          <w:sz w:val="16"/>
          <w:lang w:eastAsia="en-AU"/>
        </w:rPr>
        <w:br/>
      </w:r>
      <w:r w:rsidRPr="00B23AFC">
        <w:rPr>
          <w:sz w:val="16"/>
          <w:vertAlign w:val="superscript"/>
          <w:lang w:eastAsia="en-AU"/>
        </w:rPr>
        <w:t>a</w:t>
      </w:r>
      <w:r w:rsidRPr="00B23AFC">
        <w:rPr>
          <w:sz w:val="16"/>
          <w:lang w:eastAsia="en-AU"/>
        </w:rPr>
        <w:t xml:space="preserve"> The average number of SHL </w:t>
      </w:r>
      <w:r w:rsidR="00477A86">
        <w:rPr>
          <w:sz w:val="16"/>
          <w:lang w:eastAsia="en-AU"/>
        </w:rPr>
        <w:t xml:space="preserve">factor </w:t>
      </w:r>
      <w:r w:rsidRPr="00B23AFC">
        <w:rPr>
          <w:sz w:val="16"/>
          <w:lang w:eastAsia="en-AU"/>
        </w:rPr>
        <w:t xml:space="preserve">IX IUs per person per year was estimated from the </w:t>
      </w:r>
      <w:r w:rsidRPr="00B23AFC">
        <w:rPr>
          <w:sz w:val="16"/>
          <w:szCs w:val="18"/>
        </w:rPr>
        <w:t xml:space="preserve">ABDR Annual Report 2015-16 </w:t>
      </w:r>
      <w:r w:rsidRPr="00B23AFC">
        <w:rPr>
          <w:sz w:val="16"/>
        </w:rPr>
        <w:t>(NBA 2017)</w:t>
      </w:r>
      <w:r w:rsidRPr="00B23AFC">
        <w:rPr>
          <w:sz w:val="16"/>
          <w:lang w:eastAsia="en-AU"/>
        </w:rPr>
        <w:t xml:space="preserve">. The percentage decrease in </w:t>
      </w:r>
      <w:r w:rsidR="00477A86">
        <w:rPr>
          <w:sz w:val="16"/>
          <w:lang w:eastAsia="en-AU"/>
        </w:rPr>
        <w:t xml:space="preserve">factor </w:t>
      </w:r>
      <w:r w:rsidRPr="00B23AFC">
        <w:rPr>
          <w:sz w:val="16"/>
          <w:lang w:eastAsia="en-AU"/>
        </w:rPr>
        <w:t>IX use, as estimated in the economic analysis, was then applied to this estimate.</w:t>
      </w:r>
      <w:r>
        <w:rPr>
          <w:sz w:val="16"/>
          <w:lang w:eastAsia="en-AU"/>
        </w:rPr>
        <w:br/>
      </w:r>
      <w:r w:rsidRPr="00B23AFC">
        <w:rPr>
          <w:sz w:val="16"/>
          <w:vertAlign w:val="superscript"/>
          <w:lang w:eastAsia="en-AU"/>
        </w:rPr>
        <w:t>b</w:t>
      </w:r>
      <w:r w:rsidRPr="00B23AFC">
        <w:rPr>
          <w:sz w:val="16"/>
          <w:lang w:eastAsia="en-AU"/>
        </w:rPr>
        <w:t xml:space="preserve"> No difference in </w:t>
      </w:r>
      <w:r w:rsidR="00477A86">
        <w:rPr>
          <w:sz w:val="16"/>
          <w:lang w:eastAsia="en-AU"/>
        </w:rPr>
        <w:t xml:space="preserve">factor </w:t>
      </w:r>
      <w:r w:rsidRPr="00B23AFC">
        <w:rPr>
          <w:sz w:val="16"/>
          <w:lang w:eastAsia="en-AU"/>
        </w:rPr>
        <w:t>IX consumption has been assumed for on demand use. This was tested in sensitivity analyses.</w:t>
      </w:r>
      <w:r w:rsidR="00DD0502">
        <w:rPr>
          <w:sz w:val="16"/>
        </w:rPr>
        <w:br w:type="page"/>
      </w:r>
    </w:p>
    <w:p w:rsidR="006A0D97" w:rsidRPr="00F715D1" w:rsidRDefault="006A0D97" w:rsidP="00F715D1">
      <w:pPr>
        <w:pStyle w:val="Heading1"/>
      </w:pPr>
      <w:r w:rsidRPr="00F715D1">
        <w:lastRenderedPageBreak/>
        <w:t>Key issues from ESC for MSAC</w:t>
      </w:r>
    </w:p>
    <w:tbl>
      <w:tblPr>
        <w:tblW w:w="9743" w:type="dxa"/>
        <w:tblInd w:w="-191" w:type="dxa"/>
        <w:tblCellMar>
          <w:left w:w="0" w:type="dxa"/>
          <w:right w:w="0" w:type="dxa"/>
        </w:tblCellMar>
        <w:tblLook w:val="04A0" w:firstRow="1" w:lastRow="0" w:firstColumn="1" w:lastColumn="0" w:noHBand="0" w:noVBand="1"/>
      </w:tblPr>
      <w:tblGrid>
        <w:gridCol w:w="3921"/>
        <w:gridCol w:w="5822"/>
      </w:tblGrid>
      <w:tr w:rsidR="00040522" w:rsidRPr="006A3F1B" w:rsidTr="00373F3A">
        <w:trPr>
          <w:trHeight w:val="755"/>
        </w:trPr>
        <w:tc>
          <w:tcPr>
            <w:tcW w:w="3921"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15" w:type="dxa"/>
              <w:left w:w="93" w:type="dxa"/>
              <w:bottom w:w="0" w:type="dxa"/>
              <w:right w:w="93" w:type="dxa"/>
            </w:tcMar>
            <w:vAlign w:val="center"/>
            <w:hideMark/>
          </w:tcPr>
          <w:p w:rsidR="00040522" w:rsidRPr="006A3F1B" w:rsidRDefault="00040522" w:rsidP="00111A71">
            <w:r w:rsidRPr="006A3F1B">
              <w:rPr>
                <w:b/>
                <w:bCs/>
              </w:rPr>
              <w:t>ESC K</w:t>
            </w:r>
            <w:r w:rsidR="00111A71">
              <w:rPr>
                <w:b/>
                <w:bCs/>
              </w:rPr>
              <w:t>EY</w:t>
            </w:r>
            <w:r w:rsidRPr="006A3F1B">
              <w:rPr>
                <w:b/>
                <w:bCs/>
              </w:rPr>
              <w:t xml:space="preserve"> ISSUES</w:t>
            </w:r>
          </w:p>
        </w:tc>
        <w:tc>
          <w:tcPr>
            <w:tcW w:w="5822"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15" w:type="dxa"/>
              <w:left w:w="93" w:type="dxa"/>
              <w:bottom w:w="0" w:type="dxa"/>
              <w:right w:w="93" w:type="dxa"/>
            </w:tcMar>
            <w:vAlign w:val="center"/>
            <w:hideMark/>
          </w:tcPr>
          <w:p w:rsidR="00040522" w:rsidRPr="006A3F1B" w:rsidRDefault="00040522" w:rsidP="00373F3A">
            <w:pPr>
              <w:jc w:val="center"/>
            </w:pPr>
            <w:r w:rsidRPr="006A3F1B">
              <w:rPr>
                <w:b/>
                <w:bCs/>
              </w:rPr>
              <w:t>ESC ADVICE</w:t>
            </w:r>
          </w:p>
        </w:tc>
      </w:tr>
      <w:tr w:rsidR="00040522" w:rsidRPr="006A3F1B" w:rsidTr="00111A71">
        <w:trPr>
          <w:trHeight w:val="630"/>
        </w:trPr>
        <w:tc>
          <w:tcPr>
            <w:tcW w:w="3921"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rsidR="00040522" w:rsidRPr="006A3F1B" w:rsidRDefault="00040522" w:rsidP="00111A71">
            <w:r w:rsidRPr="006A3F1B">
              <w:rPr>
                <w:b/>
                <w:bCs/>
              </w:rPr>
              <w:t>Clinical evidence base is poor with little direct comparative evidence</w:t>
            </w:r>
          </w:p>
        </w:tc>
        <w:tc>
          <w:tcPr>
            <w:tcW w:w="5822"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rsidR="00040522" w:rsidRPr="006A3F1B" w:rsidRDefault="00040522" w:rsidP="00373F3A">
            <w:r w:rsidRPr="006A3F1B">
              <w:t>No clinical reason to doubt the comparative safety and effectiveness findings from low-level studies</w:t>
            </w:r>
          </w:p>
        </w:tc>
      </w:tr>
      <w:tr w:rsidR="00040522" w:rsidRPr="006A3F1B" w:rsidTr="00373F3A">
        <w:trPr>
          <w:trHeight w:val="969"/>
        </w:trPr>
        <w:tc>
          <w:tcPr>
            <w:tcW w:w="3921"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rsidR="00040522" w:rsidRPr="006A3F1B" w:rsidRDefault="00040522" w:rsidP="00373F3A">
            <w:r w:rsidRPr="006A3F1B">
              <w:rPr>
                <w:b/>
                <w:bCs/>
              </w:rPr>
              <w:t>The PK-data suggest considerable half-life</w:t>
            </w:r>
            <w:r w:rsidR="00111A71">
              <w:rPr>
                <w:b/>
                <w:bCs/>
              </w:rPr>
              <w:t xml:space="preserve"> variation between EHL products</w:t>
            </w:r>
          </w:p>
        </w:tc>
        <w:tc>
          <w:tcPr>
            <w:tcW w:w="582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rsidR="00040522" w:rsidRPr="006A3F1B" w:rsidRDefault="00040522" w:rsidP="00373F3A">
            <w:r>
              <w:t xml:space="preserve">This may have </w:t>
            </w:r>
            <w:r w:rsidRPr="006A3F1B">
              <w:t>implications for negotiating unit cost of different products</w:t>
            </w:r>
          </w:p>
        </w:tc>
      </w:tr>
      <w:tr w:rsidR="00040522" w:rsidRPr="006A3F1B" w:rsidTr="00111A71">
        <w:trPr>
          <w:trHeight w:val="2637"/>
        </w:trPr>
        <w:tc>
          <w:tcPr>
            <w:tcW w:w="3921"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rsidR="00040522" w:rsidRPr="006A3F1B" w:rsidRDefault="00040522" w:rsidP="00373F3A">
            <w:r w:rsidRPr="006A3F1B">
              <w:rPr>
                <w:b/>
                <w:bCs/>
              </w:rPr>
              <w:t>Section F– Q4</w:t>
            </w:r>
          </w:p>
        </w:tc>
        <w:tc>
          <w:tcPr>
            <w:tcW w:w="582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rsidR="00040522" w:rsidRPr="006A3F1B" w:rsidRDefault="00040522" w:rsidP="00373F3A">
            <w:r>
              <w:t xml:space="preserve">No change from current process for </w:t>
            </w:r>
            <w:r w:rsidR="00AE5147" w:rsidRPr="006A3F1B">
              <w:t>s</w:t>
            </w:r>
            <w:r w:rsidR="00AE5147">
              <w:t xml:space="preserve">tandard </w:t>
            </w:r>
            <w:r w:rsidR="00AE5147" w:rsidRPr="006A3F1B">
              <w:t>h</w:t>
            </w:r>
            <w:r w:rsidR="00AE5147">
              <w:t>alf-</w:t>
            </w:r>
            <w:r w:rsidR="00AE5147" w:rsidRPr="006A3F1B">
              <w:t>l</w:t>
            </w:r>
            <w:r w:rsidR="00AE5147">
              <w:t>ife</w:t>
            </w:r>
            <w:r>
              <w:t xml:space="preserve"> (SHL)</w:t>
            </w:r>
            <w:r w:rsidRPr="006A3F1B">
              <w:t xml:space="preserve"> </w:t>
            </w:r>
            <w:r>
              <w:t>products.</w:t>
            </w:r>
          </w:p>
          <w:p w:rsidR="00040522" w:rsidRPr="006A3F1B" w:rsidRDefault="00040522" w:rsidP="00373F3A">
            <w:r>
              <w:t xml:space="preserve">No specific limitation on the type of clinician who can </w:t>
            </w:r>
            <w:r w:rsidRPr="006A3F1B">
              <w:t xml:space="preserve">prescribe or authorise </w:t>
            </w:r>
            <w:r w:rsidR="00477A86">
              <w:t xml:space="preserve">factor </w:t>
            </w:r>
            <w:r w:rsidRPr="006A3F1B">
              <w:t xml:space="preserve">VIII and </w:t>
            </w:r>
            <w:r w:rsidR="00477A86">
              <w:t xml:space="preserve">factor </w:t>
            </w:r>
            <w:r w:rsidRPr="006A3F1B">
              <w:t>IX products</w:t>
            </w:r>
            <w:r>
              <w:t xml:space="preserve">, </w:t>
            </w:r>
            <w:r w:rsidRPr="00BE1939">
              <w:t xml:space="preserve">but in practice </w:t>
            </w:r>
            <w:r>
              <w:t>it tends to be haematologists</w:t>
            </w:r>
            <w:r w:rsidRPr="00BE1939">
              <w:t xml:space="preserve"> because of the concentration of clinical care at specialised haemophilia care centres.</w:t>
            </w:r>
          </w:p>
          <w:p w:rsidR="00040522" w:rsidRPr="006A3F1B" w:rsidRDefault="00040522" w:rsidP="00373F3A">
            <w:r w:rsidRPr="006A3F1B">
              <w:t>The majority of people with these conditions are treated at Haemop</w:t>
            </w:r>
            <w:r w:rsidR="00111A71">
              <w:t>hilia Treatment Centres (HTCs).</w:t>
            </w:r>
          </w:p>
        </w:tc>
      </w:tr>
      <w:tr w:rsidR="00040522" w:rsidRPr="006A3F1B" w:rsidTr="00373F3A">
        <w:trPr>
          <w:trHeight w:val="1331"/>
        </w:trPr>
        <w:tc>
          <w:tcPr>
            <w:tcW w:w="3921"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rsidR="00040522" w:rsidRPr="008952DE" w:rsidRDefault="00111A71" w:rsidP="00373F3A">
            <w:pPr>
              <w:jc w:val="both"/>
              <w:rPr>
                <w:b/>
              </w:rPr>
            </w:pPr>
            <w:r>
              <w:rPr>
                <w:b/>
              </w:rPr>
              <w:t>Economic i</w:t>
            </w:r>
            <w:r w:rsidR="00040522" w:rsidRPr="008952DE">
              <w:rPr>
                <w:b/>
              </w:rPr>
              <w:t>ssues</w:t>
            </w:r>
          </w:p>
        </w:tc>
        <w:tc>
          <w:tcPr>
            <w:tcW w:w="582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rsidR="00040522" w:rsidRPr="00A55E45" w:rsidRDefault="00040522" w:rsidP="00040522">
            <w:pPr>
              <w:numPr>
                <w:ilvl w:val="0"/>
                <w:numId w:val="33"/>
              </w:numPr>
              <w:ind w:left="616" w:hanging="284"/>
            </w:pPr>
            <w:r w:rsidRPr="00A55E45">
              <w:rPr>
                <w:lang w:val="en-US"/>
              </w:rPr>
              <w:t>The interpretation of the analyses are difficult; the ICERs are highly variable depending on age group and the source data used to inform annualised doses of factor and/or bleeding rates</w:t>
            </w:r>
          </w:p>
          <w:p w:rsidR="00040522" w:rsidRPr="00A55E45" w:rsidRDefault="00040522" w:rsidP="00040522">
            <w:pPr>
              <w:numPr>
                <w:ilvl w:val="0"/>
                <w:numId w:val="33"/>
              </w:numPr>
              <w:ind w:left="616" w:hanging="284"/>
            </w:pPr>
            <w:r w:rsidRPr="00A55E45">
              <w:rPr>
                <w:lang w:val="en-US"/>
              </w:rPr>
              <w:t>The ICERs are highly sensitive to changes in relative factor consumption. Uncertain if trial results will be realized in practice</w:t>
            </w:r>
          </w:p>
          <w:p w:rsidR="00040522" w:rsidRPr="00A55E45" w:rsidRDefault="00040522" w:rsidP="00040522">
            <w:pPr>
              <w:numPr>
                <w:ilvl w:val="0"/>
                <w:numId w:val="33"/>
              </w:numPr>
              <w:ind w:left="616" w:hanging="284"/>
            </w:pPr>
            <w:r w:rsidRPr="00A55E45">
              <w:rPr>
                <w:lang w:val="en-US"/>
              </w:rPr>
              <w:t>ICERs likely underestimate benefit due to simplistic modelling structure and factor reduction used</w:t>
            </w:r>
          </w:p>
          <w:p w:rsidR="00040522" w:rsidRPr="00A55E45" w:rsidRDefault="00040522" w:rsidP="00040522">
            <w:pPr>
              <w:numPr>
                <w:ilvl w:val="0"/>
                <w:numId w:val="33"/>
              </w:numPr>
              <w:ind w:left="616" w:hanging="284"/>
            </w:pPr>
            <w:r w:rsidRPr="00A55E45">
              <w:rPr>
                <w:lang w:val="en-US"/>
              </w:rPr>
              <w:t xml:space="preserve">Price sensitive – </w:t>
            </w:r>
            <w:r w:rsidR="00111A71">
              <w:rPr>
                <w:lang w:val="en-US"/>
              </w:rPr>
              <w:t>u</w:t>
            </w:r>
            <w:r w:rsidRPr="00A55E45">
              <w:rPr>
                <w:lang w:val="en-US"/>
              </w:rPr>
              <w:t>ncertainty as to supplier price. Analyses have been presented exploring the effect of different prices on the ICERs.</w:t>
            </w:r>
          </w:p>
          <w:p w:rsidR="00040522" w:rsidRPr="006A3F1B" w:rsidRDefault="00040522" w:rsidP="00111A71">
            <w:pPr>
              <w:numPr>
                <w:ilvl w:val="0"/>
                <w:numId w:val="33"/>
              </w:numPr>
              <w:ind w:left="616" w:hanging="284"/>
            </w:pPr>
            <w:r w:rsidRPr="00A55E45">
              <w:rPr>
                <w:lang w:val="en-US"/>
              </w:rPr>
              <w:t>Financial implications dependent on rate of uptake, change in factor use and price per IU</w:t>
            </w:r>
          </w:p>
        </w:tc>
      </w:tr>
    </w:tbl>
    <w:p w:rsidR="00040522" w:rsidRPr="00F46CFD" w:rsidRDefault="00040522" w:rsidP="00F46CFD">
      <w:pPr>
        <w:pStyle w:val="Heading2"/>
      </w:pPr>
      <w:r w:rsidRPr="00F46CFD">
        <w:t xml:space="preserve">ESC </w:t>
      </w:r>
      <w:r w:rsidR="00477A86" w:rsidRPr="00F46CFD">
        <w:t>d</w:t>
      </w:r>
      <w:r w:rsidRPr="00F46CFD">
        <w:t>iscussion</w:t>
      </w:r>
    </w:p>
    <w:p w:rsidR="00040522" w:rsidRPr="006E2F2C" w:rsidRDefault="00040522" w:rsidP="006E2F2C">
      <w:pPr>
        <w:spacing w:after="240"/>
        <w:rPr>
          <w:szCs w:val="24"/>
          <w:lang w:val="en-US"/>
        </w:rPr>
      </w:pPr>
      <w:r w:rsidRPr="00023401">
        <w:rPr>
          <w:szCs w:val="24"/>
        </w:rPr>
        <w:t xml:space="preserve">ESC noted that this was not </w:t>
      </w:r>
      <w:r>
        <w:rPr>
          <w:szCs w:val="24"/>
        </w:rPr>
        <w:t xml:space="preserve">an </w:t>
      </w:r>
      <w:r w:rsidRPr="00023401">
        <w:rPr>
          <w:szCs w:val="24"/>
        </w:rPr>
        <w:t xml:space="preserve">application for listing on the MBS. </w:t>
      </w:r>
      <w:r>
        <w:rPr>
          <w:szCs w:val="24"/>
          <w:lang w:val="en-US"/>
        </w:rPr>
        <w:t>A</w:t>
      </w:r>
      <w:r w:rsidRPr="00023401">
        <w:rPr>
          <w:szCs w:val="24"/>
          <w:lang w:val="en-US"/>
        </w:rPr>
        <w:t>s such</w:t>
      </w:r>
      <w:r w:rsidR="007C7383">
        <w:rPr>
          <w:szCs w:val="24"/>
          <w:lang w:val="en-US"/>
        </w:rPr>
        <w:t>,</w:t>
      </w:r>
      <w:r w:rsidRPr="00023401">
        <w:rPr>
          <w:szCs w:val="24"/>
          <w:lang w:val="en-US"/>
        </w:rPr>
        <w:t xml:space="preserve"> there is no proposed </w:t>
      </w:r>
      <w:r w:rsidR="00111A71">
        <w:rPr>
          <w:szCs w:val="24"/>
          <w:lang w:val="en-US"/>
        </w:rPr>
        <w:t xml:space="preserve">MBS </w:t>
      </w:r>
      <w:r w:rsidRPr="00023401">
        <w:rPr>
          <w:szCs w:val="24"/>
          <w:lang w:val="en-US"/>
        </w:rPr>
        <w:t>item descriptor</w:t>
      </w:r>
      <w:r w:rsidRPr="00A07A97">
        <w:rPr>
          <w:szCs w:val="24"/>
          <w:lang w:val="en-US"/>
        </w:rPr>
        <w:t>.</w:t>
      </w:r>
    </w:p>
    <w:p w:rsidR="00040522" w:rsidRPr="006E2F2C" w:rsidRDefault="00040522" w:rsidP="006E2F2C">
      <w:pPr>
        <w:spacing w:after="240"/>
        <w:rPr>
          <w:szCs w:val="24"/>
        </w:rPr>
      </w:pPr>
      <w:r w:rsidRPr="00023401">
        <w:rPr>
          <w:szCs w:val="24"/>
          <w:lang w:val="en-US"/>
        </w:rPr>
        <w:t xml:space="preserve">ESC noted that </w:t>
      </w:r>
      <w:r w:rsidRPr="00023401">
        <w:rPr>
          <w:szCs w:val="24"/>
        </w:rPr>
        <w:t>haemophilia A and B are X-linked genetic diseases, caused by mutations affecting the coagulation protein factors VIII (</w:t>
      </w:r>
      <w:r w:rsidR="00477A86">
        <w:rPr>
          <w:szCs w:val="24"/>
        </w:rPr>
        <w:t>causing</w:t>
      </w:r>
      <w:r w:rsidRPr="00023401">
        <w:rPr>
          <w:szCs w:val="24"/>
        </w:rPr>
        <w:t xml:space="preserve"> haemophilia A) and </w:t>
      </w:r>
      <w:r w:rsidR="00477A86">
        <w:rPr>
          <w:szCs w:val="24"/>
        </w:rPr>
        <w:t xml:space="preserve">factor </w:t>
      </w:r>
      <w:r w:rsidRPr="00023401">
        <w:rPr>
          <w:szCs w:val="24"/>
        </w:rPr>
        <w:t>IX (</w:t>
      </w:r>
      <w:r w:rsidR="00477A86">
        <w:rPr>
          <w:szCs w:val="24"/>
        </w:rPr>
        <w:t xml:space="preserve">causing </w:t>
      </w:r>
      <w:r w:rsidRPr="00023401">
        <w:rPr>
          <w:szCs w:val="24"/>
        </w:rPr>
        <w:t xml:space="preserve">haemophilia B). </w:t>
      </w:r>
      <w:r>
        <w:rPr>
          <w:szCs w:val="24"/>
        </w:rPr>
        <w:t>T</w:t>
      </w:r>
      <w:r w:rsidRPr="00023401">
        <w:rPr>
          <w:szCs w:val="24"/>
        </w:rPr>
        <w:t xml:space="preserve">reatment with clotting factor VIII and clotting factor IX </w:t>
      </w:r>
      <w:r>
        <w:rPr>
          <w:szCs w:val="24"/>
        </w:rPr>
        <w:t xml:space="preserve">is required </w:t>
      </w:r>
      <w:r w:rsidRPr="00023401">
        <w:rPr>
          <w:szCs w:val="24"/>
        </w:rPr>
        <w:t xml:space="preserve">for people affected by haemophilia A or B, respectively. ESC noted that there are two main approaches to treatment: preventive (to prevent episodes of bleeding and subsequent joint and muscle damage), and on-demand (to treat </w:t>
      </w:r>
      <w:r>
        <w:rPr>
          <w:szCs w:val="24"/>
        </w:rPr>
        <w:t xml:space="preserve">clinically significant bleeding </w:t>
      </w:r>
      <w:r w:rsidRPr="00023401">
        <w:rPr>
          <w:szCs w:val="24"/>
        </w:rPr>
        <w:t>episodes).</w:t>
      </w:r>
    </w:p>
    <w:p w:rsidR="00040522" w:rsidRPr="006E2F2C" w:rsidRDefault="00040522" w:rsidP="006E2F2C">
      <w:pPr>
        <w:spacing w:after="240"/>
        <w:rPr>
          <w:szCs w:val="24"/>
        </w:rPr>
      </w:pPr>
      <w:r w:rsidRPr="00023401">
        <w:rPr>
          <w:szCs w:val="24"/>
        </w:rPr>
        <w:t>ESC noted that the extension in half-life allows longer intervals between prophylactic doses, and/or a higher trough level to be maintained, as the clotting factors remain elevated for longer compared</w:t>
      </w:r>
      <w:r w:rsidR="00111A71">
        <w:rPr>
          <w:szCs w:val="24"/>
        </w:rPr>
        <w:t xml:space="preserve"> with short half-life products.</w:t>
      </w:r>
    </w:p>
    <w:p w:rsidR="00040522" w:rsidRPr="00023401" w:rsidRDefault="00040522" w:rsidP="00040522">
      <w:pPr>
        <w:rPr>
          <w:szCs w:val="24"/>
          <w:lang w:val="en-US"/>
        </w:rPr>
      </w:pPr>
      <w:r w:rsidRPr="00023401">
        <w:rPr>
          <w:szCs w:val="24"/>
          <w:lang w:val="en-US"/>
        </w:rPr>
        <w:lastRenderedPageBreak/>
        <w:t>ESC noted that regarding comparative safety, for prophylaxis:</w:t>
      </w:r>
    </w:p>
    <w:p w:rsidR="00040522" w:rsidRPr="00023401" w:rsidRDefault="00040522" w:rsidP="00040522">
      <w:pPr>
        <w:pStyle w:val="ListParagraph"/>
        <w:numPr>
          <w:ilvl w:val="0"/>
          <w:numId w:val="26"/>
        </w:numPr>
        <w:spacing w:after="160" w:line="259" w:lineRule="auto"/>
        <w:rPr>
          <w:szCs w:val="24"/>
          <w:lang w:val="en-US"/>
        </w:rPr>
      </w:pPr>
      <w:r w:rsidRPr="00023401">
        <w:rPr>
          <w:szCs w:val="24"/>
          <w:lang w:val="en-US"/>
        </w:rPr>
        <w:t xml:space="preserve">EHL </w:t>
      </w:r>
      <w:r w:rsidR="00AE5147">
        <w:rPr>
          <w:szCs w:val="24"/>
          <w:lang w:val="en-US"/>
        </w:rPr>
        <w:t xml:space="preserve">factor </w:t>
      </w:r>
      <w:r w:rsidRPr="00023401">
        <w:rPr>
          <w:szCs w:val="24"/>
          <w:lang w:val="en-US"/>
        </w:rPr>
        <w:t xml:space="preserve">VIII has non-inferior safety for adults, adolescents and children with haemophilia A, compared with SHL </w:t>
      </w:r>
      <w:r w:rsidR="00477A86">
        <w:rPr>
          <w:szCs w:val="24"/>
          <w:lang w:val="en-US"/>
        </w:rPr>
        <w:t xml:space="preserve">factor </w:t>
      </w:r>
      <w:r w:rsidRPr="00023401">
        <w:rPr>
          <w:szCs w:val="24"/>
          <w:lang w:val="en-US"/>
        </w:rPr>
        <w:t>VIII products; and</w:t>
      </w:r>
    </w:p>
    <w:p w:rsidR="00040522" w:rsidRPr="00023401" w:rsidRDefault="00040522" w:rsidP="00040522">
      <w:pPr>
        <w:pStyle w:val="ListParagraph"/>
        <w:numPr>
          <w:ilvl w:val="0"/>
          <w:numId w:val="26"/>
        </w:numPr>
        <w:spacing w:after="160" w:line="259" w:lineRule="auto"/>
        <w:rPr>
          <w:szCs w:val="24"/>
          <w:lang w:val="en-US"/>
        </w:rPr>
      </w:pPr>
      <w:r w:rsidRPr="00023401">
        <w:rPr>
          <w:szCs w:val="24"/>
          <w:lang w:val="en-US"/>
        </w:rPr>
        <w:t xml:space="preserve">EHL </w:t>
      </w:r>
      <w:r w:rsidR="00AE5147">
        <w:rPr>
          <w:szCs w:val="24"/>
          <w:lang w:val="en-US"/>
        </w:rPr>
        <w:t xml:space="preserve">factor </w:t>
      </w:r>
      <w:r w:rsidRPr="00023401">
        <w:rPr>
          <w:szCs w:val="24"/>
          <w:lang w:val="en-US"/>
        </w:rPr>
        <w:t>IX has non-inferior safety in adults, adolescents and children with haemophilia B</w:t>
      </w:r>
      <w:r w:rsidR="00477A86">
        <w:rPr>
          <w:szCs w:val="24"/>
          <w:lang w:val="en-US"/>
        </w:rPr>
        <w:t>, compared with SHL factor IX products</w:t>
      </w:r>
      <w:r w:rsidRPr="00023401">
        <w:rPr>
          <w:szCs w:val="24"/>
          <w:lang w:val="en-US"/>
        </w:rPr>
        <w:t>.</w:t>
      </w:r>
    </w:p>
    <w:p w:rsidR="00040522" w:rsidRDefault="00040522" w:rsidP="006E2F2C">
      <w:pPr>
        <w:spacing w:after="240"/>
        <w:rPr>
          <w:szCs w:val="24"/>
          <w:lang w:val="en-US"/>
        </w:rPr>
      </w:pPr>
      <w:r w:rsidRPr="00023401">
        <w:rPr>
          <w:szCs w:val="24"/>
          <w:lang w:val="en-US"/>
        </w:rPr>
        <w:t>ESC noted that regarding comparative safety</w:t>
      </w:r>
      <w:r w:rsidR="00477A86">
        <w:rPr>
          <w:szCs w:val="24"/>
          <w:lang w:val="en-US"/>
        </w:rPr>
        <w:t xml:space="preserve"> for other uses</w:t>
      </w:r>
      <w:r w:rsidRPr="00023401">
        <w:rPr>
          <w:szCs w:val="24"/>
          <w:lang w:val="en-US"/>
        </w:rPr>
        <w:t xml:space="preserve">, there is insufficient evidence to support a clinical claim for either EHL </w:t>
      </w:r>
      <w:r w:rsidR="00477A86">
        <w:rPr>
          <w:szCs w:val="24"/>
          <w:lang w:val="en-US"/>
        </w:rPr>
        <w:t xml:space="preserve">factor </w:t>
      </w:r>
      <w:r w:rsidRPr="00023401">
        <w:rPr>
          <w:szCs w:val="24"/>
          <w:lang w:val="en-US"/>
        </w:rPr>
        <w:t xml:space="preserve">VIII or </w:t>
      </w:r>
      <w:r w:rsidR="00477A86">
        <w:rPr>
          <w:szCs w:val="24"/>
          <w:lang w:val="en-US"/>
        </w:rPr>
        <w:t xml:space="preserve">factor </w:t>
      </w:r>
      <w:r w:rsidRPr="00023401">
        <w:rPr>
          <w:szCs w:val="24"/>
          <w:lang w:val="en-US"/>
        </w:rPr>
        <w:t>IX relative to SHL products.</w:t>
      </w:r>
    </w:p>
    <w:p w:rsidR="00040522" w:rsidRPr="00023401" w:rsidRDefault="00040522" w:rsidP="00040522">
      <w:pPr>
        <w:rPr>
          <w:szCs w:val="24"/>
          <w:lang w:val="en-US"/>
        </w:rPr>
      </w:pPr>
      <w:r w:rsidRPr="00023401">
        <w:rPr>
          <w:szCs w:val="24"/>
          <w:lang w:val="en-US"/>
        </w:rPr>
        <w:t>ESC noted that the clinical data consisted of low</w:t>
      </w:r>
      <w:r>
        <w:rPr>
          <w:szCs w:val="24"/>
          <w:lang w:val="en-US"/>
        </w:rPr>
        <w:t>-</w:t>
      </w:r>
      <w:r w:rsidRPr="00023401">
        <w:rPr>
          <w:szCs w:val="24"/>
          <w:lang w:val="en-US"/>
        </w:rPr>
        <w:t xml:space="preserve">level </w:t>
      </w:r>
      <w:r>
        <w:rPr>
          <w:szCs w:val="24"/>
          <w:lang w:val="en-US"/>
        </w:rPr>
        <w:t>evidence,</w:t>
      </w:r>
      <w:r w:rsidRPr="00023401">
        <w:rPr>
          <w:szCs w:val="24"/>
          <w:lang w:val="en-US"/>
        </w:rPr>
        <w:t xml:space="preserve"> and that no data from randomised controlled trials or head-to-head trials </w:t>
      </w:r>
      <w:r>
        <w:rPr>
          <w:szCs w:val="24"/>
          <w:lang w:val="en-US"/>
        </w:rPr>
        <w:t>were</w:t>
      </w:r>
      <w:r w:rsidRPr="00023401">
        <w:rPr>
          <w:szCs w:val="24"/>
          <w:lang w:val="en-US"/>
        </w:rPr>
        <w:t xml:space="preserve"> provided. ESC noted that the submission </w:t>
      </w:r>
      <w:r>
        <w:rPr>
          <w:szCs w:val="24"/>
          <w:lang w:val="en-US"/>
        </w:rPr>
        <w:t>included</w:t>
      </w:r>
      <w:r w:rsidRPr="00023401">
        <w:rPr>
          <w:szCs w:val="24"/>
          <w:lang w:val="en-US"/>
        </w:rPr>
        <w:t xml:space="preserve"> two systematic reviews, one of which was an indirect comparison of SHL and EHL products, and one matched adjusted indirect comparison of SHL and EHL products. </w:t>
      </w:r>
      <w:r>
        <w:rPr>
          <w:szCs w:val="24"/>
          <w:lang w:val="en-US"/>
        </w:rPr>
        <w:t>B</w:t>
      </w:r>
      <w:r w:rsidRPr="00023401">
        <w:rPr>
          <w:szCs w:val="24"/>
          <w:lang w:val="en-US"/>
        </w:rPr>
        <w:t>ased on this evidence</w:t>
      </w:r>
      <w:r>
        <w:rPr>
          <w:szCs w:val="24"/>
          <w:lang w:val="en-US"/>
        </w:rPr>
        <w:t>,</w:t>
      </w:r>
      <w:r w:rsidRPr="00023401">
        <w:rPr>
          <w:szCs w:val="24"/>
          <w:lang w:val="en-US"/>
        </w:rPr>
        <w:t xml:space="preserve"> ESC noted that, compared to SHL products:</w:t>
      </w:r>
    </w:p>
    <w:p w:rsidR="00040522" w:rsidRPr="00023401" w:rsidRDefault="00040522" w:rsidP="00040522">
      <w:pPr>
        <w:pStyle w:val="ListParagraph"/>
        <w:numPr>
          <w:ilvl w:val="0"/>
          <w:numId w:val="27"/>
        </w:numPr>
        <w:spacing w:after="160" w:line="259" w:lineRule="auto"/>
        <w:rPr>
          <w:szCs w:val="24"/>
          <w:lang w:val="en-US"/>
        </w:rPr>
      </w:pPr>
      <w:r w:rsidRPr="00023401">
        <w:rPr>
          <w:szCs w:val="24"/>
          <w:lang w:val="en-US"/>
        </w:rPr>
        <w:t xml:space="preserve">EHL </w:t>
      </w:r>
      <w:r w:rsidR="00AE5147">
        <w:rPr>
          <w:szCs w:val="24"/>
          <w:lang w:val="en-US"/>
        </w:rPr>
        <w:t xml:space="preserve">factor VIII </w:t>
      </w:r>
      <w:r w:rsidRPr="00023401">
        <w:rPr>
          <w:szCs w:val="24"/>
          <w:lang w:val="en-US"/>
        </w:rPr>
        <w:t xml:space="preserve">has superior effectiveness to SHL </w:t>
      </w:r>
      <w:r w:rsidR="00477A86">
        <w:rPr>
          <w:szCs w:val="24"/>
          <w:lang w:val="en-US"/>
        </w:rPr>
        <w:t xml:space="preserve">factor </w:t>
      </w:r>
      <w:r w:rsidRPr="00023401">
        <w:rPr>
          <w:szCs w:val="24"/>
          <w:lang w:val="en-US"/>
        </w:rPr>
        <w:t>VIII for prophylaxis of haemophilia A in adults, adolescents and children</w:t>
      </w:r>
    </w:p>
    <w:p w:rsidR="00040522" w:rsidRPr="00023401" w:rsidRDefault="00040522" w:rsidP="00040522">
      <w:pPr>
        <w:pStyle w:val="ListParagraph"/>
        <w:numPr>
          <w:ilvl w:val="0"/>
          <w:numId w:val="27"/>
        </w:numPr>
        <w:spacing w:after="160" w:line="259" w:lineRule="auto"/>
        <w:rPr>
          <w:szCs w:val="24"/>
          <w:lang w:val="en-US"/>
        </w:rPr>
      </w:pPr>
      <w:r w:rsidRPr="00023401">
        <w:rPr>
          <w:szCs w:val="24"/>
          <w:lang w:val="en-US"/>
        </w:rPr>
        <w:t xml:space="preserve">EHL </w:t>
      </w:r>
      <w:r w:rsidR="00AE5147">
        <w:rPr>
          <w:szCs w:val="24"/>
          <w:lang w:val="en-US"/>
        </w:rPr>
        <w:t xml:space="preserve">factor </w:t>
      </w:r>
      <w:r w:rsidRPr="00023401">
        <w:rPr>
          <w:szCs w:val="24"/>
          <w:lang w:val="en-US"/>
        </w:rPr>
        <w:t xml:space="preserve">IX has superior effectiveness to SHL </w:t>
      </w:r>
      <w:r w:rsidR="00477A86">
        <w:rPr>
          <w:szCs w:val="24"/>
          <w:lang w:val="en-US"/>
        </w:rPr>
        <w:t xml:space="preserve">factor </w:t>
      </w:r>
      <w:r w:rsidRPr="00023401">
        <w:rPr>
          <w:szCs w:val="24"/>
          <w:lang w:val="en-US"/>
        </w:rPr>
        <w:t>IX for prophylaxis of haemophilia B in adults and adolescents</w:t>
      </w:r>
    </w:p>
    <w:p w:rsidR="00040522" w:rsidRPr="00023401" w:rsidRDefault="00040522" w:rsidP="00040522">
      <w:pPr>
        <w:pStyle w:val="ListParagraph"/>
        <w:numPr>
          <w:ilvl w:val="0"/>
          <w:numId w:val="27"/>
        </w:numPr>
        <w:spacing w:after="160" w:line="259" w:lineRule="auto"/>
        <w:rPr>
          <w:szCs w:val="24"/>
          <w:lang w:val="en-US"/>
        </w:rPr>
      </w:pPr>
      <w:r w:rsidRPr="00023401">
        <w:rPr>
          <w:szCs w:val="24"/>
          <w:lang w:val="en-US"/>
        </w:rPr>
        <w:t xml:space="preserve">evidence is insufficient to support a clinical claim of superiority of EHL </w:t>
      </w:r>
      <w:r w:rsidR="00AE5147">
        <w:rPr>
          <w:szCs w:val="24"/>
          <w:lang w:val="en-US"/>
        </w:rPr>
        <w:t xml:space="preserve">factor </w:t>
      </w:r>
      <w:r w:rsidRPr="00023401">
        <w:rPr>
          <w:szCs w:val="24"/>
          <w:lang w:val="en-US"/>
        </w:rPr>
        <w:t xml:space="preserve">IX over SHL </w:t>
      </w:r>
      <w:r w:rsidR="00AE5147">
        <w:rPr>
          <w:szCs w:val="24"/>
          <w:lang w:val="en-US"/>
        </w:rPr>
        <w:t xml:space="preserve">factor </w:t>
      </w:r>
      <w:r w:rsidRPr="00023401">
        <w:rPr>
          <w:szCs w:val="24"/>
          <w:lang w:val="en-US"/>
        </w:rPr>
        <w:t>IX for prophylaxis in children with haemophilia B; and</w:t>
      </w:r>
    </w:p>
    <w:p w:rsidR="00040522" w:rsidRPr="00023401" w:rsidRDefault="00040522" w:rsidP="00040522">
      <w:pPr>
        <w:pStyle w:val="ListParagraph"/>
        <w:numPr>
          <w:ilvl w:val="0"/>
          <w:numId w:val="27"/>
        </w:numPr>
        <w:spacing w:after="160" w:line="259" w:lineRule="auto"/>
        <w:rPr>
          <w:szCs w:val="24"/>
          <w:lang w:val="en-US"/>
        </w:rPr>
      </w:pPr>
      <w:r w:rsidRPr="00023401">
        <w:rPr>
          <w:szCs w:val="24"/>
          <w:lang w:val="en-US"/>
        </w:rPr>
        <w:t xml:space="preserve">evidence is insufficient to support a clinical claim of superiority of either </w:t>
      </w:r>
      <w:r w:rsidR="00111A71">
        <w:rPr>
          <w:szCs w:val="24"/>
          <w:lang w:val="en-US"/>
        </w:rPr>
        <w:t xml:space="preserve">EHL </w:t>
      </w:r>
      <w:r w:rsidRPr="00023401">
        <w:rPr>
          <w:szCs w:val="24"/>
          <w:lang w:val="en-US"/>
        </w:rPr>
        <w:t>product for on-demand and surgical prophylaxis compared to SHL products for either haemophilia A or B.</w:t>
      </w:r>
    </w:p>
    <w:p w:rsidR="00040522" w:rsidRDefault="00040522" w:rsidP="006E2F2C">
      <w:pPr>
        <w:spacing w:after="240"/>
        <w:rPr>
          <w:szCs w:val="24"/>
          <w:lang w:val="en-US"/>
        </w:rPr>
      </w:pPr>
      <w:r w:rsidRPr="00023401">
        <w:rPr>
          <w:szCs w:val="24"/>
          <w:lang w:val="en-US"/>
        </w:rPr>
        <w:t>ESC considered that</w:t>
      </w:r>
      <w:r w:rsidR="00111A71">
        <w:rPr>
          <w:szCs w:val="24"/>
          <w:lang w:val="en-US"/>
        </w:rPr>
        <w:t>,</w:t>
      </w:r>
      <w:r w:rsidRPr="00023401">
        <w:rPr>
          <w:szCs w:val="24"/>
          <w:lang w:val="en-US"/>
        </w:rPr>
        <w:t xml:space="preserve"> although the data w</w:t>
      </w:r>
      <w:r>
        <w:rPr>
          <w:szCs w:val="24"/>
          <w:lang w:val="en-US"/>
        </w:rPr>
        <w:t>ere</w:t>
      </w:r>
      <w:r w:rsidRPr="00023401">
        <w:rPr>
          <w:szCs w:val="24"/>
          <w:lang w:val="en-US"/>
        </w:rPr>
        <w:t xml:space="preserve"> from studies</w:t>
      </w:r>
      <w:r>
        <w:rPr>
          <w:szCs w:val="24"/>
          <w:lang w:val="en-US"/>
        </w:rPr>
        <w:t xml:space="preserve"> with low-level evidence</w:t>
      </w:r>
      <w:r w:rsidRPr="00023401">
        <w:rPr>
          <w:szCs w:val="24"/>
          <w:lang w:val="en-US"/>
        </w:rPr>
        <w:t xml:space="preserve">, the findings were clinically </w:t>
      </w:r>
      <w:r>
        <w:rPr>
          <w:szCs w:val="24"/>
          <w:lang w:val="en-US"/>
        </w:rPr>
        <w:t>plausible</w:t>
      </w:r>
      <w:r w:rsidRPr="00023401">
        <w:rPr>
          <w:szCs w:val="24"/>
          <w:lang w:val="en-US"/>
        </w:rPr>
        <w:t xml:space="preserve">. </w:t>
      </w:r>
      <w:r w:rsidRPr="00023401">
        <w:rPr>
          <w:szCs w:val="24"/>
        </w:rPr>
        <w:t>ESC noted that all trials were conducted in moderately-severe to severe haemophilia A or B, previously treated patients, with no history of inhibitors. ESC considered that</w:t>
      </w:r>
      <w:r w:rsidR="00111A71">
        <w:rPr>
          <w:szCs w:val="24"/>
        </w:rPr>
        <w:t>,</w:t>
      </w:r>
      <w:r w:rsidRPr="00023401">
        <w:rPr>
          <w:szCs w:val="24"/>
        </w:rPr>
        <w:t xml:space="preserve"> although the safety and effectiveness of EHL products outside this population are therefore unknown, there was no reason to believe that the evidence for moderate and severe disease should not also apply to mild disease.</w:t>
      </w:r>
    </w:p>
    <w:p w:rsidR="00040522" w:rsidRPr="00023401" w:rsidRDefault="00040522" w:rsidP="006E2F2C">
      <w:pPr>
        <w:spacing w:after="240"/>
        <w:rPr>
          <w:szCs w:val="24"/>
          <w:lang w:val="en-US"/>
        </w:rPr>
      </w:pPr>
      <w:r w:rsidRPr="00023401">
        <w:rPr>
          <w:szCs w:val="24"/>
          <w:lang w:val="en-US"/>
        </w:rPr>
        <w:t>ESC noted that adherence rates were higher for EHL products compared with SHL products (85% versus 65%, respectively) in haemophilia A, and also for haemophilia B (85% versus 52%), but that the quality of the data was poor.</w:t>
      </w:r>
    </w:p>
    <w:p w:rsidR="00040522" w:rsidRDefault="00040522" w:rsidP="006E2F2C">
      <w:pPr>
        <w:spacing w:after="240"/>
        <w:rPr>
          <w:szCs w:val="24"/>
          <w:lang w:val="en-US"/>
        </w:rPr>
      </w:pPr>
      <w:r w:rsidRPr="00023401">
        <w:rPr>
          <w:szCs w:val="24"/>
          <w:lang w:val="en-US"/>
        </w:rPr>
        <w:t>ESC noted that the pharmacokinetic data suggested considerable variation in the half-life between EHL products, and that this might have implications for negotiating the unit cost of different products.</w:t>
      </w:r>
    </w:p>
    <w:p w:rsidR="00040522" w:rsidRPr="00023401" w:rsidRDefault="00040522" w:rsidP="006E2F2C">
      <w:pPr>
        <w:spacing w:after="240"/>
        <w:rPr>
          <w:szCs w:val="24"/>
          <w:lang w:val="en-US"/>
        </w:rPr>
      </w:pPr>
      <w:r w:rsidRPr="00023401">
        <w:rPr>
          <w:szCs w:val="24"/>
          <w:lang w:val="en-US"/>
        </w:rPr>
        <w:t>ESC noted that the economic evaluation for prophylaxis consisted of a cost-utility analysis (CUA) and a cost-effectiveness analysis (CEA)</w:t>
      </w:r>
      <w:r>
        <w:rPr>
          <w:szCs w:val="24"/>
          <w:lang w:val="en-US"/>
        </w:rPr>
        <w:t>,</w:t>
      </w:r>
      <w:r w:rsidRPr="00023401">
        <w:rPr>
          <w:szCs w:val="24"/>
          <w:lang w:val="en-US"/>
        </w:rPr>
        <w:t xml:space="preserve"> which evaluated cost per infusion avoided and cost per bleed avoided. ESC noted that as the evidence for on-demand and surgical </w:t>
      </w:r>
      <w:r w:rsidR="00111A71">
        <w:rPr>
          <w:szCs w:val="24"/>
          <w:lang w:val="en-US"/>
        </w:rPr>
        <w:t xml:space="preserve">prophylaxis </w:t>
      </w:r>
      <w:r w:rsidRPr="00023401">
        <w:rPr>
          <w:szCs w:val="24"/>
          <w:lang w:val="en-US"/>
        </w:rPr>
        <w:t>usage was insufficient, a cost-minimisation model had been applied.</w:t>
      </w:r>
    </w:p>
    <w:p w:rsidR="00040522" w:rsidRPr="00023401" w:rsidRDefault="00040522" w:rsidP="00040522">
      <w:pPr>
        <w:rPr>
          <w:szCs w:val="24"/>
        </w:rPr>
      </w:pPr>
      <w:r w:rsidRPr="00023401">
        <w:rPr>
          <w:szCs w:val="24"/>
        </w:rPr>
        <w:t xml:space="preserve">ESC noted that an alternative scenario using data from the study by Miners AH et al (2016) had been modelled alongside the base case which used data from the A-LONG study </w:t>
      </w:r>
      <w:r w:rsidRPr="00023401">
        <w:rPr>
          <w:szCs w:val="24"/>
        </w:rPr>
        <w:fldChar w:fldCharType="begin">
          <w:fldData xml:space="preserve">PEVuZE5vdGU+PENpdGU+PEF1dGhvcj5TaGFwaXJvPC9BdXRob3I+PFllYXI+MjAxNDwvWWVhcj48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</w:fldData>
        </w:fldChar>
      </w:r>
      <w:r w:rsidRPr="00023401">
        <w:rPr>
          <w:szCs w:val="24"/>
        </w:rPr>
        <w:instrText xml:space="preserve"> ADDIN EN.CITE </w:instrText>
      </w:r>
      <w:r w:rsidRPr="00023401">
        <w:rPr>
          <w:szCs w:val="24"/>
        </w:rPr>
        <w:fldChar w:fldCharType="begin">
          <w:fldData xml:space="preserve">PEVuZE5vdGU+PENpdGU+PEF1dGhvcj5TaGFwaXJvPC9BdXRob3I+PFllYXI+MjAxNDwvWWVhcj48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</w:fldData>
        </w:fldChar>
      </w:r>
      <w:r w:rsidRPr="00023401">
        <w:rPr>
          <w:szCs w:val="24"/>
        </w:rPr>
        <w:instrText xml:space="preserve"> ADDIN EN.CITE.DATA </w:instrText>
      </w:r>
      <w:r w:rsidRPr="00023401">
        <w:rPr>
          <w:szCs w:val="24"/>
        </w:rPr>
      </w:r>
      <w:r w:rsidRPr="00023401">
        <w:rPr>
          <w:szCs w:val="24"/>
        </w:rPr>
        <w:fldChar w:fldCharType="end"/>
      </w:r>
      <w:r w:rsidRPr="00023401">
        <w:rPr>
          <w:szCs w:val="24"/>
        </w:rPr>
      </w:r>
      <w:r w:rsidRPr="00023401">
        <w:rPr>
          <w:szCs w:val="24"/>
        </w:rPr>
        <w:fldChar w:fldCharType="separate"/>
      </w:r>
      <w:r w:rsidRPr="00023401">
        <w:rPr>
          <w:noProof/>
          <w:szCs w:val="24"/>
        </w:rPr>
        <w:t>(</w:t>
      </w:r>
      <w:hyperlink w:anchor="_ENREF_135" w:tooltip="Shapiro, 2014 #79" w:history="1">
        <w:r w:rsidRPr="00023401">
          <w:rPr>
            <w:noProof/>
            <w:szCs w:val="24"/>
          </w:rPr>
          <w:t>Shapiro AD et al 2014</w:t>
        </w:r>
      </w:hyperlink>
      <w:r w:rsidRPr="00023401">
        <w:rPr>
          <w:noProof/>
          <w:szCs w:val="24"/>
        </w:rPr>
        <w:t>)</w:t>
      </w:r>
      <w:r w:rsidRPr="00023401">
        <w:rPr>
          <w:szCs w:val="24"/>
        </w:rPr>
        <w:fldChar w:fldCharType="end"/>
      </w:r>
      <w:r w:rsidRPr="00023401">
        <w:rPr>
          <w:szCs w:val="24"/>
        </w:rPr>
        <w:t>. ESC noted that for haemophilia A, the CUA found:</w:t>
      </w:r>
    </w:p>
    <w:p w:rsidR="00040522" w:rsidRPr="00023401" w:rsidRDefault="00040522" w:rsidP="00040522">
      <w:pPr>
        <w:pStyle w:val="ListParagraph"/>
        <w:numPr>
          <w:ilvl w:val="0"/>
          <w:numId w:val="28"/>
        </w:numPr>
        <w:spacing w:after="160" w:line="259" w:lineRule="auto"/>
        <w:rPr>
          <w:szCs w:val="24"/>
          <w:lang w:val="en-US"/>
        </w:rPr>
      </w:pPr>
      <w:r w:rsidRPr="00023401">
        <w:rPr>
          <w:szCs w:val="24"/>
          <w:lang w:val="en-US"/>
        </w:rPr>
        <w:t>a wide range of ICER/QALY gain in different age groups, which were lower in the under 12 years age groups but high (~$485,000) in the 18+ years age group in the base case analysis</w:t>
      </w:r>
    </w:p>
    <w:p w:rsidR="00040522" w:rsidRPr="00023401" w:rsidRDefault="00040522" w:rsidP="00040522">
      <w:pPr>
        <w:pStyle w:val="ListParagraph"/>
        <w:numPr>
          <w:ilvl w:val="0"/>
          <w:numId w:val="28"/>
        </w:numPr>
        <w:spacing w:after="160" w:line="259" w:lineRule="auto"/>
        <w:rPr>
          <w:szCs w:val="24"/>
          <w:lang w:val="en-US"/>
        </w:rPr>
      </w:pPr>
      <w:r w:rsidRPr="00023401">
        <w:rPr>
          <w:szCs w:val="24"/>
          <w:lang w:val="en-US"/>
        </w:rPr>
        <w:lastRenderedPageBreak/>
        <w:t>a much narrower range of ICER/QALY gain for the alternative scenario, ranging from ~$42,000 to $65,000</w:t>
      </w:r>
    </w:p>
    <w:p w:rsidR="00040522" w:rsidRPr="00023401" w:rsidRDefault="00040522" w:rsidP="00040522">
      <w:pPr>
        <w:pStyle w:val="ListParagraph"/>
        <w:numPr>
          <w:ilvl w:val="0"/>
          <w:numId w:val="28"/>
        </w:numPr>
        <w:spacing w:after="160" w:line="259" w:lineRule="auto"/>
        <w:rPr>
          <w:szCs w:val="24"/>
          <w:lang w:val="en-US"/>
        </w:rPr>
      </w:pPr>
      <w:r w:rsidRPr="00023401">
        <w:rPr>
          <w:szCs w:val="24"/>
          <w:lang w:val="en-US"/>
        </w:rPr>
        <w:t>ICER/QALY gain of ~$326,500 in the lifetime model</w:t>
      </w:r>
    </w:p>
    <w:p w:rsidR="00040522" w:rsidRPr="00023401" w:rsidRDefault="00040522" w:rsidP="00040522">
      <w:pPr>
        <w:pStyle w:val="ListParagraph"/>
        <w:numPr>
          <w:ilvl w:val="0"/>
          <w:numId w:val="28"/>
        </w:numPr>
        <w:spacing w:after="160" w:line="259" w:lineRule="auto"/>
        <w:rPr>
          <w:szCs w:val="24"/>
          <w:lang w:val="en-US"/>
        </w:rPr>
      </w:pPr>
      <w:r w:rsidRPr="00023401">
        <w:rPr>
          <w:szCs w:val="24"/>
          <w:lang w:val="en-US"/>
        </w:rPr>
        <w:t>ICER/QALY gain of ~$60,000 in the alternative scenario lifetime model</w:t>
      </w:r>
      <w:r w:rsidR="00111A71">
        <w:rPr>
          <w:szCs w:val="24"/>
          <w:lang w:val="en-US"/>
        </w:rPr>
        <w:t>.</w:t>
      </w:r>
    </w:p>
    <w:p w:rsidR="00040522" w:rsidRPr="00023401" w:rsidRDefault="00040522" w:rsidP="00040522">
      <w:pPr>
        <w:rPr>
          <w:szCs w:val="24"/>
        </w:rPr>
      </w:pPr>
      <w:r w:rsidRPr="00023401">
        <w:rPr>
          <w:szCs w:val="24"/>
        </w:rPr>
        <w:t>ESC noted that results of the CEA showed a difference in lifetime costs between the base case and alternative scenarios:</w:t>
      </w:r>
    </w:p>
    <w:p w:rsidR="00040522" w:rsidRPr="00023401" w:rsidRDefault="00040522" w:rsidP="00040522">
      <w:pPr>
        <w:pStyle w:val="ListParagraph"/>
        <w:numPr>
          <w:ilvl w:val="0"/>
          <w:numId w:val="32"/>
        </w:numPr>
        <w:spacing w:after="160" w:line="259" w:lineRule="auto"/>
        <w:rPr>
          <w:szCs w:val="24"/>
        </w:rPr>
      </w:pPr>
      <w:r w:rsidRPr="00023401">
        <w:rPr>
          <w:szCs w:val="24"/>
        </w:rPr>
        <w:t>ICER per infusion avoided $177; ICER per bleed avoided ~$5,200 (base case)</w:t>
      </w:r>
    </w:p>
    <w:p w:rsidR="00040522" w:rsidRPr="00023401" w:rsidRDefault="00040522" w:rsidP="00040522">
      <w:pPr>
        <w:pStyle w:val="ListParagraph"/>
        <w:numPr>
          <w:ilvl w:val="0"/>
          <w:numId w:val="32"/>
        </w:numPr>
        <w:spacing w:after="160" w:line="259" w:lineRule="auto"/>
        <w:rPr>
          <w:szCs w:val="24"/>
        </w:rPr>
      </w:pPr>
      <w:r w:rsidRPr="00023401">
        <w:rPr>
          <w:szCs w:val="24"/>
        </w:rPr>
        <w:t>ICER per infusion avoided $23; ICER per bleed avoided ~$4,500 (alternative scenario)</w:t>
      </w:r>
      <w:r w:rsidR="00111A71">
        <w:rPr>
          <w:szCs w:val="24"/>
        </w:rPr>
        <w:t>.</w:t>
      </w:r>
    </w:p>
    <w:p w:rsidR="00040522" w:rsidRPr="00023401" w:rsidRDefault="00040522" w:rsidP="00040522">
      <w:pPr>
        <w:rPr>
          <w:szCs w:val="24"/>
        </w:rPr>
      </w:pPr>
      <w:r w:rsidRPr="00023401">
        <w:rPr>
          <w:szCs w:val="24"/>
        </w:rPr>
        <w:t>ESC noted that for haemophilia B, results of the CUA found:</w:t>
      </w:r>
    </w:p>
    <w:p w:rsidR="00040522" w:rsidRPr="00023401" w:rsidRDefault="00477A86" w:rsidP="00040522">
      <w:pPr>
        <w:pStyle w:val="ListParagraph"/>
        <w:numPr>
          <w:ilvl w:val="0"/>
          <w:numId w:val="29"/>
        </w:numPr>
        <w:spacing w:after="160" w:line="259" w:lineRule="auto"/>
        <w:rPr>
          <w:szCs w:val="24"/>
        </w:rPr>
      </w:pPr>
      <w:r>
        <w:rPr>
          <w:szCs w:val="24"/>
        </w:rPr>
        <w:t xml:space="preserve">factor </w:t>
      </w:r>
      <w:r w:rsidR="00040522" w:rsidRPr="00023401">
        <w:rPr>
          <w:szCs w:val="24"/>
        </w:rPr>
        <w:t xml:space="preserve">IX was generally more cost-effective than </w:t>
      </w:r>
      <w:r>
        <w:rPr>
          <w:szCs w:val="24"/>
        </w:rPr>
        <w:t xml:space="preserve">factor </w:t>
      </w:r>
      <w:r w:rsidR="00040522" w:rsidRPr="00023401">
        <w:rPr>
          <w:szCs w:val="24"/>
        </w:rPr>
        <w:t>VIII; for the older age groups (12–17 and 18+ years), EHL was dominant (less costly, more effective) and had an ICER/QALY gain ranging from ~$48,800 to ~$364,700 in the younger age groups</w:t>
      </w:r>
    </w:p>
    <w:p w:rsidR="00040522" w:rsidRPr="00023401" w:rsidRDefault="00477A86" w:rsidP="00040522">
      <w:pPr>
        <w:pStyle w:val="ListParagraph"/>
        <w:numPr>
          <w:ilvl w:val="0"/>
          <w:numId w:val="29"/>
        </w:numPr>
        <w:spacing w:after="160" w:line="259" w:lineRule="auto"/>
        <w:rPr>
          <w:szCs w:val="24"/>
        </w:rPr>
      </w:pPr>
      <w:r>
        <w:rPr>
          <w:szCs w:val="24"/>
        </w:rPr>
        <w:t xml:space="preserve">factor </w:t>
      </w:r>
      <w:r w:rsidR="00040522" w:rsidRPr="00023401">
        <w:rPr>
          <w:szCs w:val="24"/>
        </w:rPr>
        <w:t>IX was cost-effective, with an ICER/bleed avoided of up to $2,107</w:t>
      </w:r>
    </w:p>
    <w:p w:rsidR="00040522" w:rsidRPr="00023401" w:rsidRDefault="00040522" w:rsidP="00040522">
      <w:pPr>
        <w:pStyle w:val="ListParagraph"/>
        <w:numPr>
          <w:ilvl w:val="0"/>
          <w:numId w:val="29"/>
        </w:numPr>
        <w:spacing w:after="160" w:line="259" w:lineRule="auto"/>
        <w:rPr>
          <w:szCs w:val="24"/>
        </w:rPr>
      </w:pPr>
      <w:r w:rsidRPr="00023401">
        <w:rPr>
          <w:szCs w:val="24"/>
          <w:lang w:val="en-US"/>
        </w:rPr>
        <w:t>ICER/QALY gain of ~$17,300 in the lifetime model</w:t>
      </w:r>
      <w:r w:rsidR="00111A71">
        <w:rPr>
          <w:szCs w:val="24"/>
          <w:lang w:val="en-US"/>
        </w:rPr>
        <w:t>.</w:t>
      </w:r>
    </w:p>
    <w:p w:rsidR="00040522" w:rsidRDefault="00040522" w:rsidP="006E2F2C">
      <w:pPr>
        <w:spacing w:after="240"/>
        <w:rPr>
          <w:szCs w:val="24"/>
        </w:rPr>
      </w:pPr>
      <w:r w:rsidRPr="00023401">
        <w:rPr>
          <w:szCs w:val="24"/>
        </w:rPr>
        <w:t>ESC noted that results of the CEA showed that although there was a substantial decrease in the ICERs for infusions/bleeds avoided, the alternative scenario was dominant.</w:t>
      </w:r>
    </w:p>
    <w:p w:rsidR="00040522" w:rsidRDefault="00040522" w:rsidP="006E2F2C">
      <w:pPr>
        <w:spacing w:after="240"/>
        <w:rPr>
          <w:szCs w:val="24"/>
        </w:rPr>
      </w:pPr>
      <w:r w:rsidRPr="00023401">
        <w:rPr>
          <w:szCs w:val="24"/>
        </w:rPr>
        <w:t>ESC noted that</w:t>
      </w:r>
      <w:r w:rsidR="00111A71">
        <w:rPr>
          <w:szCs w:val="24"/>
        </w:rPr>
        <w:t>,</w:t>
      </w:r>
      <w:r w:rsidRPr="00023401">
        <w:rPr>
          <w:szCs w:val="24"/>
        </w:rPr>
        <w:t xml:space="preserve"> for the haemophilia A model, the variation in the ICER across the age ranges was due to: changes in dosing patterns in the different age groups (affecting both costs and QALYs), changes in the relative bleeding rates (affecting both costs and QALYs) and changes in incremental costs per dose due to weight differences associated with age (af</w:t>
      </w:r>
      <w:r w:rsidR="00111A71">
        <w:rPr>
          <w:szCs w:val="24"/>
        </w:rPr>
        <w:t>fecting costs).</w:t>
      </w:r>
    </w:p>
    <w:p w:rsidR="00040522" w:rsidRDefault="00040522" w:rsidP="006E2F2C">
      <w:pPr>
        <w:spacing w:after="240"/>
        <w:rPr>
          <w:szCs w:val="24"/>
        </w:rPr>
      </w:pPr>
      <w:r w:rsidRPr="00023401">
        <w:rPr>
          <w:szCs w:val="24"/>
        </w:rPr>
        <w:t>ESC noted that</w:t>
      </w:r>
      <w:r w:rsidR="000D3F9B">
        <w:rPr>
          <w:szCs w:val="24"/>
        </w:rPr>
        <w:t xml:space="preserve"> </w:t>
      </w:r>
      <w:r w:rsidRPr="00023401">
        <w:rPr>
          <w:szCs w:val="24"/>
        </w:rPr>
        <w:t xml:space="preserve">in contrast to the base case scenario, the ICERs per QALY gained in adults and adolescents were substantially lower in the alternative scenario over a one year time horizon. ESC noted that this was due to the data sources used, as the decrease in </w:t>
      </w:r>
      <w:r w:rsidR="00477A86">
        <w:rPr>
          <w:szCs w:val="24"/>
        </w:rPr>
        <w:t xml:space="preserve">factor </w:t>
      </w:r>
      <w:r w:rsidRPr="00023401">
        <w:rPr>
          <w:szCs w:val="24"/>
        </w:rPr>
        <w:t xml:space="preserve">VIII consumption reported in the Miners study (17%), compared to a slight increase in </w:t>
      </w:r>
      <w:r w:rsidR="00477A86">
        <w:rPr>
          <w:szCs w:val="24"/>
        </w:rPr>
        <w:t xml:space="preserve">factor </w:t>
      </w:r>
      <w:r w:rsidRPr="00023401">
        <w:rPr>
          <w:szCs w:val="24"/>
        </w:rPr>
        <w:t xml:space="preserve">VIII use, in the A-LONG study </w:t>
      </w:r>
      <w:r w:rsidRPr="00023401">
        <w:rPr>
          <w:szCs w:val="24"/>
        </w:rPr>
        <w:fldChar w:fldCharType="begin">
          <w:fldData xml:space="preserve">PEVuZE5vdGU+PENpdGU+PEF1dGhvcj5TaGFwaXJvPC9BdXRob3I+PFllYXI+MjAxNDwvWWVhcj48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</w:fldData>
        </w:fldChar>
      </w:r>
      <w:r w:rsidRPr="00023401">
        <w:rPr>
          <w:szCs w:val="24"/>
        </w:rPr>
        <w:instrText xml:space="preserve"> ADDIN EN.CITE </w:instrText>
      </w:r>
      <w:r w:rsidRPr="00023401">
        <w:rPr>
          <w:szCs w:val="24"/>
        </w:rPr>
        <w:fldChar w:fldCharType="begin">
          <w:fldData xml:space="preserve">PEVuZE5vdGU+PENpdGU+PEF1dGhvcj5TaGFwaXJvPC9BdXRob3I+PFllYXI+MjAxNDwvWWVhcj48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</w:fldData>
        </w:fldChar>
      </w:r>
      <w:r w:rsidRPr="00023401">
        <w:rPr>
          <w:szCs w:val="24"/>
        </w:rPr>
        <w:instrText xml:space="preserve"> ADDIN EN.CITE.DATA </w:instrText>
      </w:r>
      <w:r w:rsidRPr="00023401">
        <w:rPr>
          <w:szCs w:val="24"/>
        </w:rPr>
      </w:r>
      <w:r w:rsidRPr="00023401">
        <w:rPr>
          <w:szCs w:val="24"/>
        </w:rPr>
        <w:fldChar w:fldCharType="end"/>
      </w:r>
      <w:r w:rsidRPr="00023401">
        <w:rPr>
          <w:szCs w:val="24"/>
        </w:rPr>
      </w:r>
      <w:r w:rsidRPr="00023401">
        <w:rPr>
          <w:szCs w:val="24"/>
        </w:rPr>
        <w:fldChar w:fldCharType="separate"/>
      </w:r>
      <w:r w:rsidRPr="00023401">
        <w:rPr>
          <w:noProof/>
          <w:szCs w:val="24"/>
        </w:rPr>
        <w:t>(</w:t>
      </w:r>
      <w:hyperlink w:anchor="_ENREF_135" w:tooltip="Shapiro, 2014 #79" w:history="1">
        <w:r w:rsidRPr="00023401">
          <w:rPr>
            <w:noProof/>
            <w:szCs w:val="24"/>
          </w:rPr>
          <w:t>Shapiro AD et al 2014</w:t>
        </w:r>
      </w:hyperlink>
      <w:r w:rsidRPr="00023401">
        <w:rPr>
          <w:noProof/>
          <w:szCs w:val="24"/>
        </w:rPr>
        <w:t>)</w:t>
      </w:r>
      <w:r w:rsidRPr="00023401">
        <w:rPr>
          <w:szCs w:val="24"/>
        </w:rPr>
        <w:fldChar w:fldCharType="end"/>
      </w:r>
      <w:r w:rsidRPr="00023401">
        <w:rPr>
          <w:szCs w:val="24"/>
        </w:rPr>
        <w:t>. ESC noted the base case for the lifetime model was not cost-effective because of the relatively small reduction in factor consumption compared to the increase in price per IU modelled. ESC considered that consequently the model was based on an inappropriately small decrease in factor consumption.</w:t>
      </w:r>
    </w:p>
    <w:p w:rsidR="00040522" w:rsidRPr="00023401" w:rsidRDefault="00040522" w:rsidP="006E2F2C">
      <w:pPr>
        <w:spacing w:before="240" w:after="240"/>
        <w:rPr>
          <w:szCs w:val="24"/>
        </w:rPr>
      </w:pPr>
      <w:r w:rsidRPr="00023401">
        <w:rPr>
          <w:szCs w:val="24"/>
        </w:rPr>
        <w:t>ESC noted that</w:t>
      </w:r>
      <w:r w:rsidR="00111A71">
        <w:rPr>
          <w:szCs w:val="24"/>
        </w:rPr>
        <w:t>,</w:t>
      </w:r>
      <w:r w:rsidRPr="00023401">
        <w:rPr>
          <w:szCs w:val="24"/>
        </w:rPr>
        <w:t xml:space="preserve"> for the haemophilia B model, the incremental cost within each age group was observed to increase from $4,000 to $30,000 in children, while in adolescents and adults</w:t>
      </w:r>
      <w:r>
        <w:rPr>
          <w:szCs w:val="24"/>
        </w:rPr>
        <w:t>;</w:t>
      </w:r>
      <w:r w:rsidRPr="00023401">
        <w:rPr>
          <w:szCs w:val="24"/>
        </w:rPr>
        <w:t xml:space="preserve"> EHL </w:t>
      </w:r>
      <w:r w:rsidR="00477A86">
        <w:rPr>
          <w:szCs w:val="24"/>
        </w:rPr>
        <w:t xml:space="preserve">factor </w:t>
      </w:r>
      <w:r w:rsidRPr="00023401">
        <w:rPr>
          <w:szCs w:val="24"/>
        </w:rPr>
        <w:t>IX was estimated to be cost-saving. ESC noted that</w:t>
      </w:r>
      <w:r w:rsidR="00111A71">
        <w:rPr>
          <w:szCs w:val="24"/>
        </w:rPr>
        <w:t>,</w:t>
      </w:r>
      <w:r w:rsidRPr="00023401">
        <w:rPr>
          <w:szCs w:val="24"/>
        </w:rPr>
        <w:t xml:space="preserve"> as for haemophilia A, the main driver of incremental costs was the difference in factor consumption modelled, relative to the price increase. This resulted in a dramatic increase in ICER/QALY gain in the 6–11 age group, whereas dominant ICERs were observed in adults.</w:t>
      </w:r>
    </w:p>
    <w:p w:rsidR="00040522" w:rsidRPr="006E2F2C" w:rsidRDefault="00040522" w:rsidP="006E2F2C">
      <w:pPr>
        <w:spacing w:after="240"/>
        <w:rPr>
          <w:szCs w:val="24"/>
        </w:rPr>
      </w:pPr>
      <w:r w:rsidRPr="00023401">
        <w:rPr>
          <w:szCs w:val="24"/>
        </w:rPr>
        <w:t>ESC considered that the interpretation of the ICERs was difficult as there was large variation depending on the age group modelled and the source data used to inform annualised doses of factor consumption and/or bleeding rates. ESC queried whether the trial results used in the economic model would be realised in practice.</w:t>
      </w:r>
    </w:p>
    <w:p w:rsidR="00040522" w:rsidRPr="006E2F2C" w:rsidRDefault="00040522" w:rsidP="006E2F2C">
      <w:pPr>
        <w:pStyle w:val="Tabletext"/>
        <w:spacing w:after="240"/>
        <w:rPr>
          <w:rFonts w:ascii="Times New Roman" w:hAnsi="Times New Roman"/>
          <w:sz w:val="24"/>
          <w:lang w:val="en-US"/>
        </w:rPr>
      </w:pPr>
      <w:r w:rsidRPr="00023401">
        <w:rPr>
          <w:rFonts w:ascii="Times New Roman" w:hAnsi="Times New Roman"/>
          <w:sz w:val="24"/>
          <w:lang w:val="en-US"/>
        </w:rPr>
        <w:t xml:space="preserve">ESC noted that three </w:t>
      </w:r>
      <w:r w:rsidR="00477A86">
        <w:rPr>
          <w:rFonts w:ascii="Times New Roman" w:hAnsi="Times New Roman"/>
          <w:sz w:val="24"/>
          <w:lang w:val="en-US"/>
        </w:rPr>
        <w:t xml:space="preserve">SHL factor </w:t>
      </w:r>
      <w:r w:rsidRPr="00023401">
        <w:rPr>
          <w:rFonts w:ascii="Times New Roman" w:hAnsi="Times New Roman"/>
          <w:sz w:val="24"/>
        </w:rPr>
        <w:t xml:space="preserve">VIII and </w:t>
      </w:r>
      <w:r w:rsidR="00477A86">
        <w:rPr>
          <w:rFonts w:ascii="Times New Roman" w:hAnsi="Times New Roman"/>
          <w:sz w:val="24"/>
        </w:rPr>
        <w:t xml:space="preserve">factor </w:t>
      </w:r>
      <w:r w:rsidR="00111A71">
        <w:rPr>
          <w:rFonts w:ascii="Times New Roman" w:hAnsi="Times New Roman"/>
          <w:sz w:val="24"/>
        </w:rPr>
        <w:t xml:space="preserve">IX </w:t>
      </w:r>
      <w:r w:rsidRPr="00023401">
        <w:rPr>
          <w:rFonts w:ascii="Times New Roman" w:hAnsi="Times New Roman"/>
          <w:sz w:val="24"/>
        </w:rPr>
        <w:t xml:space="preserve">products currently being used in Australia are assumed to be only those listed on the NBA Australia’s National Product List. ESC noted that these products appeared to be considered interchangeable, with a weighted cost per IU for both groups derived from total IU issued of all products. ESC considered that </w:t>
      </w:r>
      <w:r w:rsidRPr="00023401">
        <w:rPr>
          <w:rFonts w:ascii="Times New Roman" w:hAnsi="Times New Roman"/>
          <w:sz w:val="24"/>
        </w:rPr>
        <w:lastRenderedPageBreak/>
        <w:t>the aggregation of products with differing</w:t>
      </w:r>
      <w:r w:rsidRPr="00023401">
        <w:rPr>
          <w:rFonts w:ascii="Times New Roman" w:hAnsi="Times New Roman"/>
          <w:sz w:val="24"/>
          <w:lang w:val="en-US"/>
        </w:rPr>
        <w:t xml:space="preserve"> estimated annualised doses was inappropriate, potentially aff</w:t>
      </w:r>
      <w:r w:rsidR="00111A71">
        <w:rPr>
          <w:rFonts w:ascii="Times New Roman" w:hAnsi="Times New Roman"/>
          <w:sz w:val="24"/>
          <w:lang w:val="en-US"/>
        </w:rPr>
        <w:t>ecting costs and hence savings.</w:t>
      </w:r>
    </w:p>
    <w:p w:rsidR="00040522" w:rsidRPr="00DD521A" w:rsidRDefault="00040522" w:rsidP="006E2F2C">
      <w:pPr>
        <w:spacing w:after="240"/>
        <w:rPr>
          <w:szCs w:val="24"/>
        </w:rPr>
      </w:pPr>
      <w:r w:rsidRPr="00023401">
        <w:rPr>
          <w:szCs w:val="24"/>
          <w:lang w:val="en-US"/>
        </w:rPr>
        <w:t>ESC noted that no evidence was</w:t>
      </w:r>
      <w:r w:rsidRPr="00023401">
        <w:rPr>
          <w:szCs w:val="24"/>
        </w:rPr>
        <w:t xml:space="preserve"> identified to support the differential consumption of </w:t>
      </w:r>
      <w:r w:rsidR="00B13E7D">
        <w:rPr>
          <w:szCs w:val="24"/>
        </w:rPr>
        <w:t xml:space="preserve">factor </w:t>
      </w:r>
      <w:r w:rsidRPr="00023401">
        <w:rPr>
          <w:szCs w:val="24"/>
        </w:rPr>
        <w:t xml:space="preserve">VIII and </w:t>
      </w:r>
      <w:r w:rsidR="00477A86">
        <w:rPr>
          <w:szCs w:val="24"/>
        </w:rPr>
        <w:t xml:space="preserve">factor </w:t>
      </w:r>
      <w:r w:rsidRPr="00023401">
        <w:rPr>
          <w:szCs w:val="24"/>
        </w:rPr>
        <w:t>IX IU between SHL and EHL products in the on-demand and surgical prophylaxis indications. Therefore, the base</w:t>
      </w:r>
      <w:r w:rsidR="00111A71">
        <w:rPr>
          <w:szCs w:val="24"/>
        </w:rPr>
        <w:t xml:space="preserve"> </w:t>
      </w:r>
      <w:r w:rsidRPr="00023401">
        <w:rPr>
          <w:szCs w:val="24"/>
        </w:rPr>
        <w:t>case had assumed no difference in unit use between SHL and EHL for these indications, which may not have been accurate.</w:t>
      </w:r>
    </w:p>
    <w:p w:rsidR="00040522" w:rsidRPr="00023401" w:rsidRDefault="00040522" w:rsidP="00040522">
      <w:pPr>
        <w:rPr>
          <w:szCs w:val="24"/>
          <w:lang w:val="en-US"/>
        </w:rPr>
      </w:pPr>
      <w:r w:rsidRPr="00023401">
        <w:rPr>
          <w:szCs w:val="24"/>
          <w:lang w:val="en-US"/>
        </w:rPr>
        <w:t xml:space="preserve">ESC noted that a treatment benefit as measured by reduction in annualised bleed rates (ABR) had not been converted </w:t>
      </w:r>
      <w:r w:rsidRPr="00023401">
        <w:rPr>
          <w:szCs w:val="24"/>
        </w:rPr>
        <w:t>into long-term outcomes (bleeding into joints, arthritis, and joint replacements) in the CUA. ESC considered that treatment benefit with EHL products had</w:t>
      </w:r>
      <w:r w:rsidRPr="00023401">
        <w:rPr>
          <w:szCs w:val="24"/>
          <w:lang w:val="en-US"/>
        </w:rPr>
        <w:t xml:space="preserve"> most likely been underestimated because:</w:t>
      </w:r>
    </w:p>
    <w:p w:rsidR="00040522" w:rsidRPr="00023401" w:rsidRDefault="00040522" w:rsidP="00040522">
      <w:pPr>
        <w:pStyle w:val="ListParagraph"/>
        <w:numPr>
          <w:ilvl w:val="0"/>
          <w:numId w:val="30"/>
        </w:numPr>
        <w:spacing w:after="160" w:line="259" w:lineRule="auto"/>
        <w:rPr>
          <w:szCs w:val="24"/>
          <w:lang w:val="en-US"/>
        </w:rPr>
      </w:pPr>
      <w:r w:rsidRPr="00023401">
        <w:rPr>
          <w:szCs w:val="24"/>
        </w:rPr>
        <w:t>the long-term effect of bleeds on quality-of-life or medical costs, in terms of development of target joints and joint surgery, had not been modelled in the base case. ESC considered that this most likely underestimated the benefits of EHL products</w:t>
      </w:r>
      <w:r w:rsidRPr="00023401">
        <w:rPr>
          <w:szCs w:val="24"/>
          <w:lang w:val="en-US"/>
        </w:rPr>
        <w:t xml:space="preserve"> particularly for patients with haemophilia A who have three times the risk of arthroplasty compared</w:t>
      </w:r>
      <w:r w:rsidR="00111A71">
        <w:rPr>
          <w:szCs w:val="24"/>
          <w:lang w:val="en-US"/>
        </w:rPr>
        <w:t xml:space="preserve"> to patients with haemophilia B</w:t>
      </w:r>
    </w:p>
    <w:p w:rsidR="00040522" w:rsidRPr="00023401" w:rsidRDefault="00040522" w:rsidP="00040522">
      <w:pPr>
        <w:pStyle w:val="ListParagraph"/>
        <w:numPr>
          <w:ilvl w:val="0"/>
          <w:numId w:val="30"/>
        </w:numPr>
        <w:spacing w:after="160" w:line="259" w:lineRule="auto"/>
        <w:rPr>
          <w:szCs w:val="24"/>
        </w:rPr>
      </w:pPr>
      <w:r w:rsidRPr="00023401">
        <w:rPr>
          <w:szCs w:val="24"/>
          <w:lang w:val="en-US"/>
        </w:rPr>
        <w:t>the Markov model structure (two states; alive with haemophilia, and dead) used to evaluate lifetime costs and benefits was an oversimplification and did not capture the benefits of a reduction in bleeds</w:t>
      </w:r>
    </w:p>
    <w:p w:rsidR="00040522" w:rsidRPr="00023401" w:rsidRDefault="00040522" w:rsidP="00040522">
      <w:pPr>
        <w:pStyle w:val="ListParagraph"/>
        <w:numPr>
          <w:ilvl w:val="0"/>
          <w:numId w:val="30"/>
        </w:numPr>
        <w:spacing w:after="160" w:line="259" w:lineRule="auto"/>
        <w:rPr>
          <w:szCs w:val="24"/>
        </w:rPr>
      </w:pPr>
      <w:r w:rsidRPr="00023401">
        <w:rPr>
          <w:szCs w:val="24"/>
          <w:lang w:val="en-US"/>
        </w:rPr>
        <w:t>a one</w:t>
      </w:r>
      <w:r>
        <w:rPr>
          <w:szCs w:val="24"/>
          <w:lang w:val="en-US"/>
        </w:rPr>
        <w:t>-</w:t>
      </w:r>
      <w:r w:rsidRPr="00023401">
        <w:rPr>
          <w:szCs w:val="24"/>
          <w:lang w:val="en-US"/>
        </w:rPr>
        <w:t>year time horizon used in the decision tree may have been too short to capture the benefits accrued from treatment with EHL.</w:t>
      </w:r>
    </w:p>
    <w:p w:rsidR="00040522" w:rsidRDefault="00040522" w:rsidP="006E2F2C">
      <w:pPr>
        <w:spacing w:after="240"/>
        <w:rPr>
          <w:szCs w:val="24"/>
          <w:lang w:val="en-US"/>
        </w:rPr>
      </w:pPr>
      <w:r w:rsidRPr="00023401">
        <w:rPr>
          <w:szCs w:val="24"/>
          <w:lang w:val="en-US"/>
        </w:rPr>
        <w:t>ESC considered that as the simplistic structure Markov model removed potential health gains and savings from the ICER, the model would benefit from a revision to enable the capture of all health gains.</w:t>
      </w:r>
    </w:p>
    <w:p w:rsidR="00040522" w:rsidRDefault="00040522" w:rsidP="006E2F2C">
      <w:pPr>
        <w:spacing w:after="240"/>
        <w:rPr>
          <w:szCs w:val="24"/>
          <w:lang w:val="en-US"/>
        </w:rPr>
      </w:pPr>
      <w:r w:rsidRPr="00023401">
        <w:rPr>
          <w:szCs w:val="24"/>
          <w:lang w:val="en-US"/>
        </w:rPr>
        <w:t>ESC noted that the baseline utility used in the haemophilia A model had been applied per year across the lifetime of the model, which ESC did not consi</w:t>
      </w:r>
      <w:r w:rsidR="00111A71">
        <w:rPr>
          <w:szCs w:val="24"/>
          <w:lang w:val="en-US"/>
        </w:rPr>
        <w:t>der was an appropriate method.</w:t>
      </w:r>
      <w:r w:rsidRPr="00023401">
        <w:rPr>
          <w:szCs w:val="24"/>
          <w:lang w:val="en-US"/>
        </w:rPr>
        <w:t xml:space="preserve"> ESC also queried the methodology by which a visual analogue score derived from a study (Chowdary P et al 2016) estimating the benefits of switching treatments had been directly incorporated into the model for haemophilia B, affecting results. ESC considered that the correct method would have been to con</w:t>
      </w:r>
      <w:r w:rsidR="00111A71">
        <w:rPr>
          <w:szCs w:val="24"/>
          <w:lang w:val="en-US"/>
        </w:rPr>
        <w:t>vert this into a utility score.</w:t>
      </w:r>
    </w:p>
    <w:p w:rsidR="00040522" w:rsidRPr="006E2F2C" w:rsidRDefault="00040522" w:rsidP="006E2F2C">
      <w:pPr>
        <w:spacing w:after="240"/>
        <w:rPr>
          <w:szCs w:val="24"/>
        </w:rPr>
      </w:pPr>
      <w:r w:rsidRPr="00023401">
        <w:rPr>
          <w:szCs w:val="24"/>
          <w:lang w:val="en-US"/>
        </w:rPr>
        <w:t>ESC noted that</w:t>
      </w:r>
      <w:r w:rsidR="00111A71">
        <w:rPr>
          <w:szCs w:val="24"/>
          <w:lang w:val="en-US"/>
        </w:rPr>
        <w:t>,</w:t>
      </w:r>
      <w:r w:rsidRPr="00023401">
        <w:rPr>
          <w:szCs w:val="24"/>
          <w:lang w:val="en-US"/>
        </w:rPr>
        <w:t xml:space="preserve"> as </w:t>
      </w:r>
      <w:r w:rsidRPr="00023401">
        <w:rPr>
          <w:szCs w:val="24"/>
        </w:rPr>
        <w:t xml:space="preserve">proposed prices per IU of EHL factors for use in Australia have not been published, the base case analysis for EHL </w:t>
      </w:r>
      <w:r w:rsidR="00B13E7D">
        <w:rPr>
          <w:szCs w:val="24"/>
        </w:rPr>
        <w:t xml:space="preserve">factor </w:t>
      </w:r>
      <w:r w:rsidRPr="00023401">
        <w:rPr>
          <w:szCs w:val="24"/>
        </w:rPr>
        <w:t xml:space="preserve">VIII assumed a 20% increase in price relative to the price per IU of SHL </w:t>
      </w:r>
      <w:r w:rsidR="00B13E7D">
        <w:rPr>
          <w:szCs w:val="24"/>
        </w:rPr>
        <w:t xml:space="preserve">factor </w:t>
      </w:r>
      <w:r w:rsidRPr="00023401">
        <w:rPr>
          <w:szCs w:val="24"/>
        </w:rPr>
        <w:t xml:space="preserve">VIII, and for EHL </w:t>
      </w:r>
      <w:r w:rsidR="00477A86">
        <w:rPr>
          <w:szCs w:val="24"/>
        </w:rPr>
        <w:t xml:space="preserve">factor </w:t>
      </w:r>
      <w:r w:rsidRPr="00023401">
        <w:rPr>
          <w:szCs w:val="24"/>
        </w:rPr>
        <w:t xml:space="preserve">IX assumed a 100% increase in price of EHL </w:t>
      </w:r>
      <w:r w:rsidR="00477A86">
        <w:rPr>
          <w:szCs w:val="24"/>
        </w:rPr>
        <w:t xml:space="preserve">factor </w:t>
      </w:r>
      <w:r w:rsidRPr="00023401">
        <w:rPr>
          <w:szCs w:val="24"/>
        </w:rPr>
        <w:t xml:space="preserve">IX relative to the price per IU of SHL </w:t>
      </w:r>
      <w:r w:rsidR="00477A86">
        <w:rPr>
          <w:szCs w:val="24"/>
        </w:rPr>
        <w:t xml:space="preserve">factor </w:t>
      </w:r>
      <w:r w:rsidRPr="00023401">
        <w:rPr>
          <w:szCs w:val="24"/>
        </w:rPr>
        <w:t>IX, weighted by use. The results of both analyses once again showed that cost-effectiveness was highly sensitive to changes in relative factor consumption, based on the different data sources used.</w:t>
      </w:r>
    </w:p>
    <w:p w:rsidR="00040522" w:rsidRPr="00023401" w:rsidRDefault="00040522" w:rsidP="00040522">
      <w:pPr>
        <w:pStyle w:val="Tabletext"/>
        <w:rPr>
          <w:rFonts w:ascii="Times New Roman" w:hAnsi="Times New Roman"/>
          <w:sz w:val="24"/>
          <w:lang w:val="en-US"/>
        </w:rPr>
      </w:pPr>
      <w:r w:rsidRPr="00023401">
        <w:rPr>
          <w:rFonts w:ascii="Times New Roman" w:hAnsi="Times New Roman"/>
          <w:sz w:val="24"/>
          <w:lang w:val="en-US"/>
        </w:rPr>
        <w:t xml:space="preserve">ESC noted that the submission had included a literature review investigating price differentials for EHL products internationally to inform prices to be tested in the economic model. </w:t>
      </w:r>
      <w:r w:rsidRPr="00023401">
        <w:rPr>
          <w:rFonts w:ascii="Times New Roman" w:hAnsi="Times New Roman"/>
          <w:sz w:val="24"/>
        </w:rPr>
        <w:t xml:space="preserve">For </w:t>
      </w:r>
      <w:r w:rsidR="00B13E7D">
        <w:rPr>
          <w:rFonts w:ascii="Times New Roman" w:hAnsi="Times New Roman"/>
          <w:sz w:val="24"/>
        </w:rPr>
        <w:t xml:space="preserve">factor </w:t>
      </w:r>
      <w:r w:rsidRPr="00023401">
        <w:rPr>
          <w:rFonts w:ascii="Times New Roman" w:hAnsi="Times New Roman"/>
          <w:sz w:val="24"/>
        </w:rPr>
        <w:t xml:space="preserve">VIII products, the increase in price of EHL relative to SHL ranged from 8–80%, and for </w:t>
      </w:r>
      <w:r w:rsidR="00477A86">
        <w:rPr>
          <w:rFonts w:ascii="Times New Roman" w:hAnsi="Times New Roman"/>
          <w:sz w:val="24"/>
        </w:rPr>
        <w:t xml:space="preserve">factor </w:t>
      </w:r>
      <w:r w:rsidRPr="00023401">
        <w:rPr>
          <w:rFonts w:ascii="Times New Roman" w:hAnsi="Times New Roman"/>
          <w:sz w:val="24"/>
        </w:rPr>
        <w:t xml:space="preserve">IX, the increase in price ranged from 100–219%. </w:t>
      </w:r>
      <w:r w:rsidRPr="00023401">
        <w:rPr>
          <w:rFonts w:ascii="Times New Roman" w:hAnsi="Times New Roman"/>
          <w:sz w:val="24"/>
          <w:lang w:val="en-US"/>
        </w:rPr>
        <w:t>However, ESC noted that modelling of the base case using these price ranges did not include consumables, or a potential decrease in the number of central venous access lines in children, both of which may decrease due to few</w:t>
      </w:r>
      <w:r w:rsidR="00111A71">
        <w:rPr>
          <w:rFonts w:ascii="Times New Roman" w:hAnsi="Times New Roman"/>
          <w:sz w:val="24"/>
          <w:lang w:val="en-US"/>
        </w:rPr>
        <w:t>er infusions with EHL products.</w:t>
      </w:r>
    </w:p>
    <w:p w:rsidR="00040522" w:rsidRPr="00023401" w:rsidRDefault="00040522" w:rsidP="00F21F9D">
      <w:pPr>
        <w:spacing w:before="240"/>
        <w:rPr>
          <w:szCs w:val="24"/>
        </w:rPr>
      </w:pPr>
      <w:r w:rsidRPr="00023401">
        <w:rPr>
          <w:szCs w:val="24"/>
        </w:rPr>
        <w:t>ESC considered that the uncertainty in the supplier price made the model highly price-sensitive, and that there was potential for costs to blow out as cost per IU increased.</w:t>
      </w:r>
    </w:p>
    <w:p w:rsidR="00040522" w:rsidRPr="00023401" w:rsidRDefault="00040522" w:rsidP="00040522">
      <w:pPr>
        <w:rPr>
          <w:szCs w:val="24"/>
        </w:rPr>
      </w:pPr>
      <w:r w:rsidRPr="00023401">
        <w:rPr>
          <w:szCs w:val="24"/>
        </w:rPr>
        <w:lastRenderedPageBreak/>
        <w:t xml:space="preserve">ESC noted that for on-demand and surgical prophylaxis, a range of the cost-minimisation price per IU for EHL </w:t>
      </w:r>
      <w:r w:rsidR="00B13E7D">
        <w:rPr>
          <w:szCs w:val="24"/>
        </w:rPr>
        <w:t xml:space="preserve">factor </w:t>
      </w:r>
      <w:r w:rsidRPr="00023401">
        <w:rPr>
          <w:szCs w:val="24"/>
        </w:rPr>
        <w:t xml:space="preserve">VIII and </w:t>
      </w:r>
      <w:r w:rsidR="00477A86">
        <w:rPr>
          <w:szCs w:val="24"/>
        </w:rPr>
        <w:t xml:space="preserve">factor </w:t>
      </w:r>
      <w:r w:rsidRPr="00023401">
        <w:rPr>
          <w:szCs w:val="24"/>
        </w:rPr>
        <w:t>IX in order to maintain equi-effectiveness was presented, based on the assumption of a 1:1 ratio of dose equivalence (in IU) for EHL:SHL. The cost-minimisation model found that equi-ef</w:t>
      </w:r>
      <w:r w:rsidR="00111A71">
        <w:rPr>
          <w:szCs w:val="24"/>
        </w:rPr>
        <w:t>fective dosing would result in:</w:t>
      </w:r>
    </w:p>
    <w:p w:rsidR="00040522" w:rsidRPr="00023401" w:rsidRDefault="00040522" w:rsidP="00040522">
      <w:pPr>
        <w:pStyle w:val="ListParagraph"/>
        <w:numPr>
          <w:ilvl w:val="0"/>
          <w:numId w:val="31"/>
        </w:numPr>
        <w:spacing w:after="160" w:line="259" w:lineRule="auto"/>
        <w:rPr>
          <w:szCs w:val="24"/>
        </w:rPr>
      </w:pPr>
      <w:r w:rsidRPr="00023401">
        <w:rPr>
          <w:szCs w:val="24"/>
        </w:rPr>
        <w:t xml:space="preserve">prices ranging from </w:t>
      </w:r>
      <w:r w:rsidR="00436B72">
        <w:rPr>
          <w:szCs w:val="24"/>
        </w:rPr>
        <w:t>$</w:t>
      </w:r>
      <w:r w:rsidR="00436B72" w:rsidRPr="00436B72">
        <w:rPr>
          <w:b/>
          <w:szCs w:val="24"/>
        </w:rPr>
        <w:t>redacted</w:t>
      </w:r>
      <w:r w:rsidRPr="00023401">
        <w:rPr>
          <w:szCs w:val="24"/>
        </w:rPr>
        <w:t xml:space="preserve"> </w:t>
      </w:r>
      <w:r w:rsidR="00436B72">
        <w:rPr>
          <w:szCs w:val="24"/>
        </w:rPr>
        <w:t>– $</w:t>
      </w:r>
      <w:r w:rsidR="00436B72" w:rsidRPr="00436B72">
        <w:rPr>
          <w:b/>
          <w:szCs w:val="24"/>
        </w:rPr>
        <w:t>redacted</w:t>
      </w:r>
      <w:r w:rsidR="00436B72" w:rsidRPr="00023401">
        <w:rPr>
          <w:szCs w:val="24"/>
        </w:rPr>
        <w:t xml:space="preserve"> </w:t>
      </w:r>
      <w:r w:rsidR="00436B72">
        <w:rPr>
          <w:szCs w:val="24"/>
        </w:rPr>
        <w:t>f</w:t>
      </w:r>
      <w:r w:rsidRPr="00023401">
        <w:rPr>
          <w:szCs w:val="24"/>
        </w:rPr>
        <w:t xml:space="preserve">or </w:t>
      </w:r>
      <w:r w:rsidR="00B13E7D">
        <w:rPr>
          <w:szCs w:val="24"/>
        </w:rPr>
        <w:t xml:space="preserve">factor </w:t>
      </w:r>
      <w:r w:rsidRPr="00023401">
        <w:rPr>
          <w:szCs w:val="24"/>
        </w:rPr>
        <w:t>VIII; and</w:t>
      </w:r>
    </w:p>
    <w:p w:rsidR="00040522" w:rsidRPr="00023401" w:rsidRDefault="00040522" w:rsidP="00040522">
      <w:pPr>
        <w:pStyle w:val="ListParagraph"/>
        <w:numPr>
          <w:ilvl w:val="0"/>
          <w:numId w:val="31"/>
        </w:numPr>
        <w:spacing w:after="160" w:line="259" w:lineRule="auto"/>
        <w:rPr>
          <w:szCs w:val="24"/>
        </w:rPr>
      </w:pPr>
      <w:r w:rsidRPr="00023401">
        <w:rPr>
          <w:szCs w:val="24"/>
        </w:rPr>
        <w:t>prices ranging from $</w:t>
      </w:r>
      <w:r w:rsidR="00436B72" w:rsidRPr="00436B72">
        <w:rPr>
          <w:b/>
          <w:szCs w:val="24"/>
        </w:rPr>
        <w:t>redacted</w:t>
      </w:r>
      <w:r w:rsidR="00436B72" w:rsidRPr="00023401">
        <w:rPr>
          <w:szCs w:val="24"/>
        </w:rPr>
        <w:t xml:space="preserve"> </w:t>
      </w:r>
      <w:r w:rsidRPr="00023401">
        <w:rPr>
          <w:szCs w:val="24"/>
        </w:rPr>
        <w:t>–</w:t>
      </w:r>
      <w:r w:rsidR="00B13E7D">
        <w:rPr>
          <w:szCs w:val="24"/>
        </w:rPr>
        <w:t xml:space="preserve"> </w:t>
      </w:r>
      <w:r w:rsidRPr="00023401">
        <w:rPr>
          <w:szCs w:val="24"/>
        </w:rPr>
        <w:t>$</w:t>
      </w:r>
      <w:r w:rsidR="00436B72" w:rsidRPr="00436B72">
        <w:rPr>
          <w:b/>
          <w:szCs w:val="24"/>
        </w:rPr>
        <w:t>redacted</w:t>
      </w:r>
      <w:r w:rsidR="00436B72" w:rsidRPr="00023401">
        <w:rPr>
          <w:szCs w:val="24"/>
        </w:rPr>
        <w:t xml:space="preserve"> </w:t>
      </w:r>
      <w:r w:rsidRPr="00023401">
        <w:rPr>
          <w:szCs w:val="24"/>
        </w:rPr>
        <w:t xml:space="preserve">for </w:t>
      </w:r>
      <w:r w:rsidR="00477A86">
        <w:rPr>
          <w:szCs w:val="24"/>
        </w:rPr>
        <w:t xml:space="preserve">factor </w:t>
      </w:r>
      <w:r w:rsidRPr="00023401">
        <w:rPr>
          <w:szCs w:val="24"/>
        </w:rPr>
        <w:t>IX.</w:t>
      </w:r>
    </w:p>
    <w:p w:rsidR="00040522" w:rsidRPr="00023401" w:rsidRDefault="00040522" w:rsidP="00F21F9D">
      <w:pPr>
        <w:spacing w:after="240"/>
        <w:rPr>
          <w:szCs w:val="24"/>
        </w:rPr>
      </w:pPr>
      <w:r w:rsidRPr="00023401">
        <w:rPr>
          <w:szCs w:val="24"/>
        </w:rPr>
        <w:t>ESC noted that a market-based approach had been used to estimate the financial implications for the introduction of EHL factors for haemophilia treatment.</w:t>
      </w:r>
      <w:r>
        <w:rPr>
          <w:szCs w:val="24"/>
        </w:rPr>
        <w:t xml:space="preserve"> </w:t>
      </w:r>
      <w:r w:rsidRPr="00023401">
        <w:rPr>
          <w:szCs w:val="24"/>
        </w:rPr>
        <w:t xml:space="preserve">ESC noted that the net cost for EHL </w:t>
      </w:r>
      <w:r w:rsidR="00B13E7D">
        <w:rPr>
          <w:szCs w:val="24"/>
        </w:rPr>
        <w:t xml:space="preserve">factor </w:t>
      </w:r>
      <w:r w:rsidRPr="00023401">
        <w:rPr>
          <w:szCs w:val="24"/>
        </w:rPr>
        <w:t xml:space="preserve">VIII prophylaxis ranged from </w:t>
      </w:r>
      <w:r w:rsidRPr="00023401">
        <w:rPr>
          <w:b/>
          <w:bCs/>
          <w:color w:val="757575"/>
          <w:szCs w:val="24"/>
        </w:rPr>
        <w:t>~</w:t>
      </w:r>
      <w:r w:rsidRPr="00023401">
        <w:rPr>
          <w:szCs w:val="24"/>
        </w:rPr>
        <w:t xml:space="preserve">$5.8 million to </w:t>
      </w:r>
      <w:r w:rsidRPr="00023401">
        <w:rPr>
          <w:b/>
          <w:bCs/>
          <w:color w:val="757575"/>
          <w:szCs w:val="24"/>
        </w:rPr>
        <w:t>~</w:t>
      </w:r>
      <w:r w:rsidRPr="00023401">
        <w:rPr>
          <w:szCs w:val="24"/>
        </w:rPr>
        <w:t xml:space="preserve">$10.5 million per year over five years, with a net cost for EHL </w:t>
      </w:r>
      <w:r w:rsidR="00B13E7D">
        <w:rPr>
          <w:szCs w:val="24"/>
        </w:rPr>
        <w:t xml:space="preserve">factor </w:t>
      </w:r>
      <w:r w:rsidRPr="00023401">
        <w:rPr>
          <w:szCs w:val="24"/>
        </w:rPr>
        <w:t xml:space="preserve">VIII on-demand ranging from </w:t>
      </w:r>
      <w:r w:rsidRPr="00023401">
        <w:rPr>
          <w:b/>
          <w:bCs/>
          <w:color w:val="757575"/>
          <w:szCs w:val="24"/>
        </w:rPr>
        <w:t>~</w:t>
      </w:r>
      <w:r w:rsidRPr="00023401">
        <w:rPr>
          <w:szCs w:val="24"/>
        </w:rPr>
        <w:t xml:space="preserve">$7.3 million to </w:t>
      </w:r>
      <w:r w:rsidRPr="00023401">
        <w:rPr>
          <w:b/>
          <w:bCs/>
          <w:color w:val="757575"/>
          <w:szCs w:val="24"/>
        </w:rPr>
        <w:t>~</w:t>
      </w:r>
      <w:r w:rsidRPr="00023401">
        <w:rPr>
          <w:szCs w:val="24"/>
        </w:rPr>
        <w:t>$13.3</w:t>
      </w:r>
      <w:r w:rsidR="000955A2">
        <w:rPr>
          <w:szCs w:val="24"/>
        </w:rPr>
        <w:t> </w:t>
      </w:r>
      <w:r w:rsidRPr="00023401">
        <w:rPr>
          <w:szCs w:val="24"/>
        </w:rPr>
        <w:t>million.</w:t>
      </w:r>
      <w:r>
        <w:rPr>
          <w:szCs w:val="24"/>
        </w:rPr>
        <w:t xml:space="preserve"> </w:t>
      </w:r>
      <w:r w:rsidRPr="00023401">
        <w:rPr>
          <w:szCs w:val="24"/>
        </w:rPr>
        <w:t xml:space="preserve">ESC noted that the net cost for EHL </w:t>
      </w:r>
      <w:r w:rsidR="00477A86">
        <w:rPr>
          <w:szCs w:val="24"/>
        </w:rPr>
        <w:t xml:space="preserve">factor </w:t>
      </w:r>
      <w:r w:rsidRPr="00023401">
        <w:rPr>
          <w:szCs w:val="24"/>
        </w:rPr>
        <w:t>IX prophylaxis ranged from $19</w:t>
      </w:r>
      <w:r w:rsidR="000955A2">
        <w:rPr>
          <w:szCs w:val="24"/>
        </w:rPr>
        <w:t> </w:t>
      </w:r>
      <w:r w:rsidRPr="00023401">
        <w:rPr>
          <w:szCs w:val="24"/>
        </w:rPr>
        <w:t xml:space="preserve">to $33 per year over five years, with a net cost for EHL </w:t>
      </w:r>
      <w:r w:rsidR="00477A86">
        <w:rPr>
          <w:szCs w:val="24"/>
        </w:rPr>
        <w:t xml:space="preserve">factor </w:t>
      </w:r>
      <w:r w:rsidRPr="00023401">
        <w:rPr>
          <w:szCs w:val="24"/>
        </w:rPr>
        <w:t>IX on-demand ranging from ~$4.5 million to ~$7.8 million.</w:t>
      </w:r>
    </w:p>
    <w:p w:rsidR="00040522" w:rsidRPr="00023401" w:rsidRDefault="00040522" w:rsidP="00F21F9D">
      <w:pPr>
        <w:spacing w:after="240"/>
        <w:rPr>
          <w:szCs w:val="24"/>
        </w:rPr>
      </w:pPr>
      <w:r w:rsidRPr="00023401">
        <w:rPr>
          <w:szCs w:val="24"/>
        </w:rPr>
        <w:t>ESC noted that there was considerable uncertainty around the financial impacts based on the rate of uptake (60% in year 1, increasing to 95% in year 5), change in factor use (offsets) and price per IU.</w:t>
      </w:r>
    </w:p>
    <w:p w:rsidR="00040522" w:rsidRPr="00023401" w:rsidRDefault="00040522" w:rsidP="00F21F9D">
      <w:pPr>
        <w:spacing w:after="240"/>
        <w:rPr>
          <w:szCs w:val="24"/>
          <w:lang w:val="en-US"/>
        </w:rPr>
      </w:pPr>
      <w:r w:rsidRPr="00023401">
        <w:rPr>
          <w:szCs w:val="24"/>
          <w:lang w:val="en-US"/>
        </w:rPr>
        <w:t xml:space="preserve">ESC noted that the majority of </w:t>
      </w:r>
      <w:r w:rsidR="00EA0712">
        <w:rPr>
          <w:szCs w:val="24"/>
          <w:lang w:val="en-US"/>
        </w:rPr>
        <w:t xml:space="preserve">patients with </w:t>
      </w:r>
      <w:r w:rsidRPr="00023401">
        <w:rPr>
          <w:szCs w:val="24"/>
          <w:lang w:val="en-US"/>
        </w:rPr>
        <w:t xml:space="preserve">haemophilia were treated at specialist haemophilia treatment centres and </w:t>
      </w:r>
      <w:r w:rsidR="00EA0712">
        <w:rPr>
          <w:szCs w:val="24"/>
          <w:lang w:val="en-US"/>
        </w:rPr>
        <w:t xml:space="preserve">that </w:t>
      </w:r>
      <w:r w:rsidRPr="00023401">
        <w:rPr>
          <w:szCs w:val="24"/>
          <w:lang w:val="en-US"/>
        </w:rPr>
        <w:t xml:space="preserve">current prescribing and authorisation of SHL </w:t>
      </w:r>
      <w:r w:rsidR="00B13E7D">
        <w:rPr>
          <w:szCs w:val="24"/>
          <w:lang w:val="en-US"/>
        </w:rPr>
        <w:t xml:space="preserve">factor </w:t>
      </w:r>
      <w:r w:rsidRPr="00023401">
        <w:rPr>
          <w:szCs w:val="24"/>
          <w:lang w:val="en-US"/>
        </w:rPr>
        <w:t xml:space="preserve">VIII and </w:t>
      </w:r>
      <w:r w:rsidR="00477A86">
        <w:rPr>
          <w:szCs w:val="24"/>
          <w:lang w:val="en-US"/>
        </w:rPr>
        <w:t xml:space="preserve">factor </w:t>
      </w:r>
      <w:r w:rsidRPr="00023401">
        <w:rPr>
          <w:szCs w:val="24"/>
          <w:lang w:val="en-US"/>
        </w:rPr>
        <w:t>IX products is limited to haematologists, suggesting that this process was also suitable for EHL product</w:t>
      </w:r>
      <w:r w:rsidR="00D43C7C">
        <w:rPr>
          <w:szCs w:val="24"/>
          <w:lang w:val="en-US"/>
        </w:rPr>
        <w:t>s and did not require changing.</w:t>
      </w:r>
    </w:p>
    <w:p w:rsidR="00040522" w:rsidRPr="00023401" w:rsidRDefault="00040522" w:rsidP="00040522">
      <w:pPr>
        <w:rPr>
          <w:szCs w:val="24"/>
          <w:lang w:val="en-US"/>
        </w:rPr>
      </w:pPr>
      <w:r w:rsidRPr="00023401">
        <w:rPr>
          <w:szCs w:val="24"/>
          <w:lang w:val="en-US"/>
        </w:rPr>
        <w:t xml:space="preserve">ESC noted that there is an existing Australian Blood Disorders registry, provided through the NBA, which currently captures usage and outcomes in </w:t>
      </w:r>
      <w:r w:rsidR="00EA0712">
        <w:rPr>
          <w:szCs w:val="24"/>
          <w:lang w:val="en-US"/>
        </w:rPr>
        <w:t xml:space="preserve">patients with </w:t>
      </w:r>
      <w:r w:rsidRPr="00023401">
        <w:rPr>
          <w:szCs w:val="24"/>
          <w:lang w:val="en-US"/>
        </w:rPr>
        <w:t>haemophilia, and that there was the potential for this dataset to be enhanced over time to provide local data for future modelling.</w:t>
      </w:r>
    </w:p>
    <w:p w:rsidR="00D90A38" w:rsidRPr="00F715D1" w:rsidRDefault="00BC1364" w:rsidP="00F715D1">
      <w:pPr>
        <w:pStyle w:val="Heading1"/>
      </w:pPr>
      <w:r w:rsidRPr="00F715D1">
        <w:t>Other significant factors</w:t>
      </w:r>
    </w:p>
    <w:p w:rsidR="00BC1364" w:rsidRPr="00DD0502" w:rsidRDefault="00BC1364" w:rsidP="00F715D1">
      <w:pPr>
        <w:spacing w:after="240"/>
        <w:rPr>
          <w:szCs w:val="24"/>
        </w:rPr>
      </w:pPr>
      <w:r w:rsidRPr="00DD0502">
        <w:rPr>
          <w:szCs w:val="24"/>
        </w:rPr>
        <w:t>Nil</w:t>
      </w:r>
    </w:p>
    <w:p w:rsidR="00BC1364" w:rsidRPr="00F715D1" w:rsidRDefault="00BC1364" w:rsidP="00F715D1">
      <w:pPr>
        <w:pStyle w:val="Heading1"/>
      </w:pPr>
      <w:r w:rsidRPr="00F715D1">
        <w:t xml:space="preserve">Applicant’s comments on MSAC’s </w:t>
      </w:r>
      <w:r w:rsidR="00DA56AA" w:rsidRPr="00F715D1">
        <w:t>Public Summary Document</w:t>
      </w:r>
    </w:p>
    <w:p w:rsidR="00BC1364" w:rsidRPr="00F21F9D" w:rsidRDefault="00F21F9D" w:rsidP="00F715D1">
      <w:pPr>
        <w:spacing w:after="240"/>
        <w:rPr>
          <w:szCs w:val="24"/>
        </w:rPr>
      </w:pPr>
      <w:r w:rsidRPr="00F21F9D">
        <w:rPr>
          <w:szCs w:val="24"/>
        </w:rPr>
        <w:t>The applicant had no comment.</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3"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F2C" w:rsidRDefault="006E2F2C" w:rsidP="00065623">
      <w:r>
        <w:separator/>
      </w:r>
    </w:p>
  </w:endnote>
  <w:endnote w:type="continuationSeparator" w:id="0">
    <w:p w:rsidR="006E2F2C" w:rsidRDefault="006E2F2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34507"/>
      <w:docPartObj>
        <w:docPartGallery w:val="Page Numbers (Bottom of Page)"/>
        <w:docPartUnique/>
      </w:docPartObj>
    </w:sdtPr>
    <w:sdtEndPr>
      <w:rPr>
        <w:noProof/>
      </w:rPr>
    </w:sdtEndPr>
    <w:sdtContent>
      <w:p w:rsidR="000955A2" w:rsidRDefault="000955A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E2F2C" w:rsidRPr="00983520" w:rsidRDefault="006E2F2C" w:rsidP="00983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F2C" w:rsidRDefault="006E2F2C" w:rsidP="00065623">
      <w:r>
        <w:separator/>
      </w:r>
    </w:p>
  </w:footnote>
  <w:footnote w:type="continuationSeparator" w:id="0">
    <w:p w:rsidR="006E2F2C" w:rsidRDefault="006E2F2C" w:rsidP="00065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0E13"/>
    <w:multiLevelType w:val="hybridMultilevel"/>
    <w:tmpl w:val="63AEA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D0D24"/>
    <w:multiLevelType w:val="hybridMultilevel"/>
    <w:tmpl w:val="7F626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5A7169C"/>
    <w:multiLevelType w:val="hybridMultilevel"/>
    <w:tmpl w:val="4C3A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D54BF"/>
    <w:multiLevelType w:val="hybridMultilevel"/>
    <w:tmpl w:val="D56A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B222E"/>
    <w:multiLevelType w:val="hybridMultilevel"/>
    <w:tmpl w:val="F602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B87C4E"/>
    <w:multiLevelType w:val="hybridMultilevel"/>
    <w:tmpl w:val="34F0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9BE5D7D"/>
    <w:multiLevelType w:val="hybridMultilevel"/>
    <w:tmpl w:val="B5A04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5060F6"/>
    <w:multiLevelType w:val="hybridMultilevel"/>
    <w:tmpl w:val="EEEC568A"/>
    <w:lvl w:ilvl="0" w:tplc="411E8950">
      <w:start w:val="1"/>
      <w:numFmt w:val="bullet"/>
      <w:lvlText w:val="•"/>
      <w:lvlJc w:val="left"/>
      <w:pPr>
        <w:tabs>
          <w:tab w:val="num" w:pos="720"/>
        </w:tabs>
        <w:ind w:left="720" w:hanging="360"/>
      </w:pPr>
      <w:rPr>
        <w:rFonts w:ascii="Arial" w:hAnsi="Arial" w:hint="default"/>
      </w:rPr>
    </w:lvl>
    <w:lvl w:ilvl="1" w:tplc="58C02ECA" w:tentative="1">
      <w:start w:val="1"/>
      <w:numFmt w:val="bullet"/>
      <w:lvlText w:val="•"/>
      <w:lvlJc w:val="left"/>
      <w:pPr>
        <w:tabs>
          <w:tab w:val="num" w:pos="1440"/>
        </w:tabs>
        <w:ind w:left="1440" w:hanging="360"/>
      </w:pPr>
      <w:rPr>
        <w:rFonts w:ascii="Arial" w:hAnsi="Arial" w:hint="default"/>
      </w:rPr>
    </w:lvl>
    <w:lvl w:ilvl="2" w:tplc="490804FC" w:tentative="1">
      <w:start w:val="1"/>
      <w:numFmt w:val="bullet"/>
      <w:lvlText w:val="•"/>
      <w:lvlJc w:val="left"/>
      <w:pPr>
        <w:tabs>
          <w:tab w:val="num" w:pos="2160"/>
        </w:tabs>
        <w:ind w:left="2160" w:hanging="360"/>
      </w:pPr>
      <w:rPr>
        <w:rFonts w:ascii="Arial" w:hAnsi="Arial" w:hint="default"/>
      </w:rPr>
    </w:lvl>
    <w:lvl w:ilvl="3" w:tplc="7CB0EE8A" w:tentative="1">
      <w:start w:val="1"/>
      <w:numFmt w:val="bullet"/>
      <w:lvlText w:val="•"/>
      <w:lvlJc w:val="left"/>
      <w:pPr>
        <w:tabs>
          <w:tab w:val="num" w:pos="2880"/>
        </w:tabs>
        <w:ind w:left="2880" w:hanging="360"/>
      </w:pPr>
      <w:rPr>
        <w:rFonts w:ascii="Arial" w:hAnsi="Arial" w:hint="default"/>
      </w:rPr>
    </w:lvl>
    <w:lvl w:ilvl="4" w:tplc="C1DEE850" w:tentative="1">
      <w:start w:val="1"/>
      <w:numFmt w:val="bullet"/>
      <w:lvlText w:val="•"/>
      <w:lvlJc w:val="left"/>
      <w:pPr>
        <w:tabs>
          <w:tab w:val="num" w:pos="3600"/>
        </w:tabs>
        <w:ind w:left="3600" w:hanging="360"/>
      </w:pPr>
      <w:rPr>
        <w:rFonts w:ascii="Arial" w:hAnsi="Arial" w:hint="default"/>
      </w:rPr>
    </w:lvl>
    <w:lvl w:ilvl="5" w:tplc="08E805B8" w:tentative="1">
      <w:start w:val="1"/>
      <w:numFmt w:val="bullet"/>
      <w:lvlText w:val="•"/>
      <w:lvlJc w:val="left"/>
      <w:pPr>
        <w:tabs>
          <w:tab w:val="num" w:pos="4320"/>
        </w:tabs>
        <w:ind w:left="4320" w:hanging="360"/>
      </w:pPr>
      <w:rPr>
        <w:rFonts w:ascii="Arial" w:hAnsi="Arial" w:hint="default"/>
      </w:rPr>
    </w:lvl>
    <w:lvl w:ilvl="6" w:tplc="AA0C03A8" w:tentative="1">
      <w:start w:val="1"/>
      <w:numFmt w:val="bullet"/>
      <w:lvlText w:val="•"/>
      <w:lvlJc w:val="left"/>
      <w:pPr>
        <w:tabs>
          <w:tab w:val="num" w:pos="5040"/>
        </w:tabs>
        <w:ind w:left="5040" w:hanging="360"/>
      </w:pPr>
      <w:rPr>
        <w:rFonts w:ascii="Arial" w:hAnsi="Arial" w:hint="default"/>
      </w:rPr>
    </w:lvl>
    <w:lvl w:ilvl="7" w:tplc="B6BA6E3E" w:tentative="1">
      <w:start w:val="1"/>
      <w:numFmt w:val="bullet"/>
      <w:lvlText w:val="•"/>
      <w:lvlJc w:val="left"/>
      <w:pPr>
        <w:tabs>
          <w:tab w:val="num" w:pos="5760"/>
        </w:tabs>
        <w:ind w:left="5760" w:hanging="360"/>
      </w:pPr>
      <w:rPr>
        <w:rFonts w:ascii="Arial" w:hAnsi="Arial" w:hint="default"/>
      </w:rPr>
    </w:lvl>
    <w:lvl w:ilvl="8" w:tplc="AE48AC4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250744"/>
    <w:multiLevelType w:val="hybridMultilevel"/>
    <w:tmpl w:val="E758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
  </w:num>
  <w:num w:numId="4">
    <w:abstractNumId w:val="21"/>
  </w:num>
  <w:num w:numId="5">
    <w:abstractNumId w:val="12"/>
  </w:num>
  <w:num w:numId="6">
    <w:abstractNumId w:val="19"/>
  </w:num>
  <w:num w:numId="7">
    <w:abstractNumId w:val="24"/>
  </w:num>
  <w:num w:numId="8">
    <w:abstractNumId w:val="14"/>
  </w:num>
  <w:num w:numId="9">
    <w:abstractNumId w:val="32"/>
  </w:num>
  <w:num w:numId="10">
    <w:abstractNumId w:val="1"/>
  </w:num>
  <w:num w:numId="11">
    <w:abstractNumId w:val="23"/>
  </w:num>
  <w:num w:numId="12">
    <w:abstractNumId w:val="25"/>
  </w:num>
  <w:num w:numId="13">
    <w:abstractNumId w:val="5"/>
  </w:num>
  <w:num w:numId="14">
    <w:abstractNumId w:val="31"/>
  </w:num>
  <w:num w:numId="15">
    <w:abstractNumId w:val="22"/>
  </w:num>
  <w:num w:numId="16">
    <w:abstractNumId w:val="26"/>
  </w:num>
  <w:num w:numId="17">
    <w:abstractNumId w:val="15"/>
  </w:num>
  <w:num w:numId="18">
    <w:abstractNumId w:val="16"/>
  </w:num>
  <w:num w:numId="19">
    <w:abstractNumId w:val="29"/>
  </w:num>
  <w:num w:numId="20">
    <w:abstractNumId w:val="27"/>
  </w:num>
  <w:num w:numId="21">
    <w:abstractNumId w:val="4"/>
  </w:num>
  <w:num w:numId="22">
    <w:abstractNumId w:val="11"/>
  </w:num>
  <w:num w:numId="23">
    <w:abstractNumId w:val="3"/>
  </w:num>
  <w:num w:numId="24">
    <w:abstractNumId w:val="9"/>
  </w:num>
  <w:num w:numId="25">
    <w:abstractNumId w:val="6"/>
  </w:num>
  <w:num w:numId="26">
    <w:abstractNumId w:val="0"/>
  </w:num>
  <w:num w:numId="27">
    <w:abstractNumId w:val="10"/>
  </w:num>
  <w:num w:numId="28">
    <w:abstractNumId w:val="17"/>
  </w:num>
  <w:num w:numId="29">
    <w:abstractNumId w:val="33"/>
  </w:num>
  <w:num w:numId="30">
    <w:abstractNumId w:val="20"/>
  </w:num>
  <w:num w:numId="31">
    <w:abstractNumId w:val="8"/>
  </w:num>
  <w:num w:numId="32">
    <w:abstractNumId w:val="28"/>
  </w:num>
  <w:num w:numId="33">
    <w:abstractNumId w:val="3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21FDC"/>
    <w:rsid w:val="00040522"/>
    <w:rsid w:val="00047606"/>
    <w:rsid w:val="00065623"/>
    <w:rsid w:val="000756B9"/>
    <w:rsid w:val="000955A2"/>
    <w:rsid w:val="00096B67"/>
    <w:rsid w:val="00096DAF"/>
    <w:rsid w:val="000C2F47"/>
    <w:rsid w:val="000D2B9A"/>
    <w:rsid w:val="000D3F9B"/>
    <w:rsid w:val="000D6C00"/>
    <w:rsid w:val="000E4E04"/>
    <w:rsid w:val="000F14B4"/>
    <w:rsid w:val="000F75DF"/>
    <w:rsid w:val="001023DC"/>
    <w:rsid w:val="00111A71"/>
    <w:rsid w:val="001245A6"/>
    <w:rsid w:val="0012508A"/>
    <w:rsid w:val="001328FA"/>
    <w:rsid w:val="00147AAF"/>
    <w:rsid w:val="001552C0"/>
    <w:rsid w:val="001640B1"/>
    <w:rsid w:val="0016764D"/>
    <w:rsid w:val="0018435E"/>
    <w:rsid w:val="001A5D6D"/>
    <w:rsid w:val="002041A1"/>
    <w:rsid w:val="002054F0"/>
    <w:rsid w:val="00222379"/>
    <w:rsid w:val="00230D6B"/>
    <w:rsid w:val="00232068"/>
    <w:rsid w:val="002330F2"/>
    <w:rsid w:val="00243D9E"/>
    <w:rsid w:val="00244B23"/>
    <w:rsid w:val="00246E8B"/>
    <w:rsid w:val="00253B66"/>
    <w:rsid w:val="00257995"/>
    <w:rsid w:val="00261DF1"/>
    <w:rsid w:val="00271F18"/>
    <w:rsid w:val="00282779"/>
    <w:rsid w:val="0028334D"/>
    <w:rsid w:val="00293116"/>
    <w:rsid w:val="002A7C45"/>
    <w:rsid w:val="002B7FFA"/>
    <w:rsid w:val="002C2BCF"/>
    <w:rsid w:val="002F279D"/>
    <w:rsid w:val="002F43B8"/>
    <w:rsid w:val="002F671B"/>
    <w:rsid w:val="00330655"/>
    <w:rsid w:val="00336856"/>
    <w:rsid w:val="00341B9D"/>
    <w:rsid w:val="0034554D"/>
    <w:rsid w:val="00352224"/>
    <w:rsid w:val="003671E6"/>
    <w:rsid w:val="00373F3A"/>
    <w:rsid w:val="00377425"/>
    <w:rsid w:val="00383A39"/>
    <w:rsid w:val="00384272"/>
    <w:rsid w:val="00386D67"/>
    <w:rsid w:val="003945B8"/>
    <w:rsid w:val="003D7F29"/>
    <w:rsid w:val="003E1687"/>
    <w:rsid w:val="00405A6B"/>
    <w:rsid w:val="00407B1F"/>
    <w:rsid w:val="0041184F"/>
    <w:rsid w:val="00414C57"/>
    <w:rsid w:val="0041758C"/>
    <w:rsid w:val="00436B72"/>
    <w:rsid w:val="004539DE"/>
    <w:rsid w:val="00462659"/>
    <w:rsid w:val="00477A86"/>
    <w:rsid w:val="00480291"/>
    <w:rsid w:val="00496B46"/>
    <w:rsid w:val="004A2CF1"/>
    <w:rsid w:val="004C3035"/>
    <w:rsid w:val="004C307F"/>
    <w:rsid w:val="004E4BA8"/>
    <w:rsid w:val="004E4EB9"/>
    <w:rsid w:val="004F340F"/>
    <w:rsid w:val="004F7B7C"/>
    <w:rsid w:val="005210A3"/>
    <w:rsid w:val="0052243D"/>
    <w:rsid w:val="00532435"/>
    <w:rsid w:val="00536478"/>
    <w:rsid w:val="00550354"/>
    <w:rsid w:val="00571236"/>
    <w:rsid w:val="005953A1"/>
    <w:rsid w:val="005A3980"/>
    <w:rsid w:val="005A4362"/>
    <w:rsid w:val="005B5434"/>
    <w:rsid w:val="005D0332"/>
    <w:rsid w:val="005D0D8C"/>
    <w:rsid w:val="00612AD6"/>
    <w:rsid w:val="006554EC"/>
    <w:rsid w:val="00661130"/>
    <w:rsid w:val="006776AE"/>
    <w:rsid w:val="006A0D97"/>
    <w:rsid w:val="006B1F86"/>
    <w:rsid w:val="006C0A91"/>
    <w:rsid w:val="006C376E"/>
    <w:rsid w:val="006E0CB9"/>
    <w:rsid w:val="006E2F2C"/>
    <w:rsid w:val="007054BB"/>
    <w:rsid w:val="00707064"/>
    <w:rsid w:val="00724EC3"/>
    <w:rsid w:val="00725DB3"/>
    <w:rsid w:val="00730683"/>
    <w:rsid w:val="007329AE"/>
    <w:rsid w:val="0075261F"/>
    <w:rsid w:val="0075468E"/>
    <w:rsid w:val="007665D8"/>
    <w:rsid w:val="00766E36"/>
    <w:rsid w:val="00773437"/>
    <w:rsid w:val="00774882"/>
    <w:rsid w:val="007765F4"/>
    <w:rsid w:val="00776633"/>
    <w:rsid w:val="00784D53"/>
    <w:rsid w:val="00797797"/>
    <w:rsid w:val="007A63C9"/>
    <w:rsid w:val="007B32D1"/>
    <w:rsid w:val="007B7095"/>
    <w:rsid w:val="007B731F"/>
    <w:rsid w:val="007B7CD9"/>
    <w:rsid w:val="007C7383"/>
    <w:rsid w:val="007D24E1"/>
    <w:rsid w:val="007D6288"/>
    <w:rsid w:val="007E43DF"/>
    <w:rsid w:val="007F4CE9"/>
    <w:rsid w:val="007F4E20"/>
    <w:rsid w:val="0080613B"/>
    <w:rsid w:val="00822C7E"/>
    <w:rsid w:val="00847060"/>
    <w:rsid w:val="00847A36"/>
    <w:rsid w:val="00856A33"/>
    <w:rsid w:val="0088124E"/>
    <w:rsid w:val="00892620"/>
    <w:rsid w:val="008C7D37"/>
    <w:rsid w:val="008D5885"/>
    <w:rsid w:val="008F6BDD"/>
    <w:rsid w:val="00910FC6"/>
    <w:rsid w:val="00923FA2"/>
    <w:rsid w:val="009277F6"/>
    <w:rsid w:val="0096060D"/>
    <w:rsid w:val="00974A50"/>
    <w:rsid w:val="0097585A"/>
    <w:rsid w:val="00983520"/>
    <w:rsid w:val="0098741B"/>
    <w:rsid w:val="009924B0"/>
    <w:rsid w:val="009942C9"/>
    <w:rsid w:val="009B35C4"/>
    <w:rsid w:val="009C630A"/>
    <w:rsid w:val="009E0D98"/>
    <w:rsid w:val="009E4519"/>
    <w:rsid w:val="00A068A1"/>
    <w:rsid w:val="00A1207D"/>
    <w:rsid w:val="00A12249"/>
    <w:rsid w:val="00A12FD8"/>
    <w:rsid w:val="00A346FC"/>
    <w:rsid w:val="00A354FC"/>
    <w:rsid w:val="00A63587"/>
    <w:rsid w:val="00A846F2"/>
    <w:rsid w:val="00A84F93"/>
    <w:rsid w:val="00A93B39"/>
    <w:rsid w:val="00AB1AC5"/>
    <w:rsid w:val="00AB3BFC"/>
    <w:rsid w:val="00AC4F2E"/>
    <w:rsid w:val="00AD0C37"/>
    <w:rsid w:val="00AD385F"/>
    <w:rsid w:val="00AE5147"/>
    <w:rsid w:val="00AE6E2A"/>
    <w:rsid w:val="00B03EAB"/>
    <w:rsid w:val="00B0786F"/>
    <w:rsid w:val="00B13E7D"/>
    <w:rsid w:val="00B20EE7"/>
    <w:rsid w:val="00B31E9C"/>
    <w:rsid w:val="00B35595"/>
    <w:rsid w:val="00B51C6D"/>
    <w:rsid w:val="00B538D6"/>
    <w:rsid w:val="00B56C68"/>
    <w:rsid w:val="00B83DD2"/>
    <w:rsid w:val="00B86D64"/>
    <w:rsid w:val="00BA4AC5"/>
    <w:rsid w:val="00BC1364"/>
    <w:rsid w:val="00BC2667"/>
    <w:rsid w:val="00BC7DE9"/>
    <w:rsid w:val="00BE3D3C"/>
    <w:rsid w:val="00BF479B"/>
    <w:rsid w:val="00C02577"/>
    <w:rsid w:val="00C204FB"/>
    <w:rsid w:val="00C20BEE"/>
    <w:rsid w:val="00C2158D"/>
    <w:rsid w:val="00C24FE1"/>
    <w:rsid w:val="00C516A4"/>
    <w:rsid w:val="00C60294"/>
    <w:rsid w:val="00C62CD5"/>
    <w:rsid w:val="00C67DD2"/>
    <w:rsid w:val="00C725CB"/>
    <w:rsid w:val="00C75C00"/>
    <w:rsid w:val="00C76F5C"/>
    <w:rsid w:val="00C96BAD"/>
    <w:rsid w:val="00CA6944"/>
    <w:rsid w:val="00CB0F8E"/>
    <w:rsid w:val="00CB1C39"/>
    <w:rsid w:val="00CB7E7D"/>
    <w:rsid w:val="00CC2911"/>
    <w:rsid w:val="00CF0C6D"/>
    <w:rsid w:val="00CF7307"/>
    <w:rsid w:val="00CF7C68"/>
    <w:rsid w:val="00D124FA"/>
    <w:rsid w:val="00D340DE"/>
    <w:rsid w:val="00D43C7C"/>
    <w:rsid w:val="00D55723"/>
    <w:rsid w:val="00D62FAD"/>
    <w:rsid w:val="00D64355"/>
    <w:rsid w:val="00D70450"/>
    <w:rsid w:val="00D83BFD"/>
    <w:rsid w:val="00D90A38"/>
    <w:rsid w:val="00DA0515"/>
    <w:rsid w:val="00DA171E"/>
    <w:rsid w:val="00DA56AA"/>
    <w:rsid w:val="00DB5833"/>
    <w:rsid w:val="00DD0502"/>
    <w:rsid w:val="00DD2858"/>
    <w:rsid w:val="00E03E33"/>
    <w:rsid w:val="00E059E0"/>
    <w:rsid w:val="00E3642A"/>
    <w:rsid w:val="00E415C4"/>
    <w:rsid w:val="00E50016"/>
    <w:rsid w:val="00E50EAA"/>
    <w:rsid w:val="00E656D6"/>
    <w:rsid w:val="00E977EE"/>
    <w:rsid w:val="00EA0712"/>
    <w:rsid w:val="00EA2F24"/>
    <w:rsid w:val="00EA67A2"/>
    <w:rsid w:val="00EB630F"/>
    <w:rsid w:val="00EB6B6F"/>
    <w:rsid w:val="00EB6DF7"/>
    <w:rsid w:val="00EC4F98"/>
    <w:rsid w:val="00EE6372"/>
    <w:rsid w:val="00F12F02"/>
    <w:rsid w:val="00F21F9D"/>
    <w:rsid w:val="00F32E0D"/>
    <w:rsid w:val="00F35134"/>
    <w:rsid w:val="00F37B9C"/>
    <w:rsid w:val="00F41812"/>
    <w:rsid w:val="00F439FB"/>
    <w:rsid w:val="00F46CFD"/>
    <w:rsid w:val="00F62D1D"/>
    <w:rsid w:val="00F715D1"/>
    <w:rsid w:val="00F72715"/>
    <w:rsid w:val="00F73333"/>
    <w:rsid w:val="00F84FF2"/>
    <w:rsid w:val="00F91475"/>
    <w:rsid w:val="00F95D8F"/>
    <w:rsid w:val="00FB0B75"/>
    <w:rsid w:val="00FB350A"/>
    <w:rsid w:val="00FB4C5D"/>
    <w:rsid w:val="00FD1C2B"/>
    <w:rsid w:val="00FE0F3D"/>
    <w:rsid w:val="00FE1C3F"/>
    <w:rsid w:val="00FE731D"/>
    <w:rsid w:val="00FF3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5CF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F46CFD"/>
    <w:pPr>
      <w:tabs>
        <w:tab w:val="left" w:pos="2265"/>
        <w:tab w:val="left" w:pos="3420"/>
        <w:tab w:val="left" w:pos="4320"/>
      </w:tabs>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F46CFD"/>
    <w:rPr>
      <w:rFonts w:eastAsia="Times New Roman"/>
      <w:b/>
      <w:sz w:val="24"/>
      <w:szCs w:val="20"/>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040522"/>
    <w:rPr>
      <w:rFonts w:ascii="Arial Narrow" w:hAnsi="Arial Narrow"/>
      <w:sz w:val="20"/>
      <w:szCs w:val="24"/>
      <w:lang w:eastAsia="en-US"/>
    </w:rPr>
  </w:style>
  <w:style w:type="character" w:customStyle="1" w:styleId="TabletextChar">
    <w:name w:val="Table text Char"/>
    <w:basedOn w:val="DefaultParagraphFont"/>
    <w:link w:val="Tabletext"/>
    <w:rsid w:val="00040522"/>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293116"/>
    <w:pPr>
      <w:keepNext/>
      <w:spacing w:before="40" w:after="40"/>
    </w:pPr>
    <w:rPr>
      <w:rFonts w:ascii="Arial Narrow" w:hAnsi="Arial Narrow" w:cs="Tahoma"/>
      <w:b/>
      <w:sz w:val="20"/>
    </w:rPr>
  </w:style>
  <w:style w:type="character" w:customStyle="1" w:styleId="TableHeadingChar">
    <w:name w:val="TableHeading Char"/>
    <w:link w:val="TableHeading"/>
    <w:rsid w:val="00293116"/>
    <w:rPr>
      <w:rFonts w:ascii="Arial Narrow" w:eastAsia="Times New Roman" w:hAnsi="Arial Narrow" w:cs="Tahoma"/>
      <w:b/>
      <w:sz w:val="20"/>
      <w:szCs w:val="20"/>
    </w:rPr>
  </w:style>
  <w:style w:type="paragraph" w:customStyle="1" w:styleId="TableNote">
    <w:name w:val="Table Note"/>
    <w:basedOn w:val="Normal"/>
    <w:link w:val="TableNoteChar"/>
    <w:qFormat/>
    <w:rsid w:val="00293116"/>
    <w:pPr>
      <w:keepNext/>
      <w:ind w:left="131" w:hanging="131"/>
      <w:jc w:val="both"/>
    </w:pPr>
    <w:rPr>
      <w:rFonts w:ascii="Arial Narrow" w:hAnsi="Arial Narrow"/>
      <w:sz w:val="16"/>
      <w:szCs w:val="16"/>
    </w:rPr>
  </w:style>
  <w:style w:type="character" w:customStyle="1" w:styleId="TableNoteChar">
    <w:name w:val="Table Note Char"/>
    <w:basedOn w:val="DefaultParagraphFont"/>
    <w:link w:val="TableNote"/>
    <w:rsid w:val="00293116"/>
    <w:rPr>
      <w:rFonts w:ascii="Arial Narrow" w:eastAsia="Times New Roman" w:hAnsi="Arial Narrow"/>
      <w:sz w:val="16"/>
      <w:szCs w:val="16"/>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293116"/>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293116"/>
    <w:rPr>
      <w:rFonts w:ascii="Arial Narrow" w:eastAsia="Times New Roman" w:hAnsi="Arial Narrow" w:cs="Arial"/>
      <w:b/>
      <w:bCs/>
      <w:iCs/>
      <w:sz w:val="20"/>
      <w:szCs w:val="20"/>
      <w:lang w:eastAsia="en-US"/>
    </w:rPr>
  </w:style>
  <w:style w:type="table" w:customStyle="1" w:styleId="TableGrid2">
    <w:name w:val="Table Grid2"/>
    <w:basedOn w:val="TableNormal"/>
    <w:next w:val="TableGrid"/>
    <w:rsid w:val="0029311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uiPriority w:val="39"/>
    <w:locked/>
    <w:rsid w:val="00293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notes"/>
    <w:basedOn w:val="Normal"/>
    <w:link w:val="TablenotesChar"/>
    <w:qFormat/>
    <w:rsid w:val="00293116"/>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293116"/>
    <w:rPr>
      <w:rFonts w:ascii="Arial Narrow" w:eastAsia="Times New Roman" w:hAnsi="Arial Narrow" w:cs="Arial"/>
      <w:snapToGrid w:val="0"/>
      <w:sz w:val="18"/>
      <w:szCs w:val="20"/>
      <w:lang w:eastAsia="en-US"/>
    </w:rPr>
  </w:style>
  <w:style w:type="character" w:customStyle="1" w:styleId="ListParagraphChar">
    <w:name w:val="List Paragraph Char"/>
    <w:basedOn w:val="DefaultParagraphFont"/>
    <w:link w:val="ListParagraph"/>
    <w:uiPriority w:val="99"/>
    <w:locked/>
    <w:rsid w:val="00496B46"/>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Visio_Drawing2222222222222222222222222222222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Visio_Drawing1111111111111111111111111111111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5597</Words>
  <Characters>31903</Characters>
  <Application>Microsoft Office Word</Application>
  <DocSecurity>0</DocSecurity>
  <Lines>265</Lines>
  <Paragraphs>74</Paragraphs>
  <ScaleCrop>false</ScaleCrop>
  <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1511 - Final PSD</dc:title>
  <dc:creator/>
  <cp:lastModifiedBy/>
  <cp:revision>1</cp:revision>
  <dcterms:created xsi:type="dcterms:W3CDTF">2018-12-19T02:57:00Z</dcterms:created>
  <dcterms:modified xsi:type="dcterms:W3CDTF">2018-12-19T02:59:00Z</dcterms:modified>
</cp:coreProperties>
</file>