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7DD73" w14:textId="77777777" w:rsidR="0044715D" w:rsidRPr="00323092" w:rsidRDefault="0044715D" w:rsidP="00A6110F">
      <w:pPr>
        <w:spacing w:before="120" w:after="120" w:line="312" w:lineRule="auto"/>
        <w:jc w:val="center"/>
      </w:pPr>
      <w:bookmarkStart w:id="0" w:name="_Toc403747457"/>
      <w:bookmarkStart w:id="1" w:name="_Toc412039297"/>
      <w:r w:rsidRPr="008D5584">
        <w:rPr>
          <w:b/>
          <w:noProof/>
          <w:lang w:eastAsia="en-AU"/>
        </w:rPr>
        <w:drawing>
          <wp:inline distT="0" distB="0" distL="0" distR="0" wp14:anchorId="2AF5E1F7" wp14:editId="35EA9194">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0F9BFC5" w14:textId="47F17F72" w:rsidR="00D46C89" w:rsidRDefault="003F2847" w:rsidP="007C376E">
      <w:pPr>
        <w:pStyle w:val="Heading10"/>
        <w:spacing w:before="1200"/>
        <w:jc w:val="center"/>
        <w:rPr>
          <w:sz w:val="72"/>
          <w:szCs w:val="72"/>
        </w:rPr>
      </w:pPr>
      <w:r>
        <w:rPr>
          <w:sz w:val="72"/>
          <w:szCs w:val="72"/>
        </w:rPr>
        <w:t>Ratified</w:t>
      </w:r>
      <w:r>
        <w:rPr>
          <w:sz w:val="72"/>
          <w:szCs w:val="72"/>
        </w:rPr>
        <w:br/>
      </w:r>
      <w:r w:rsidR="00D46C89">
        <w:rPr>
          <w:sz w:val="72"/>
          <w:szCs w:val="72"/>
        </w:rPr>
        <w:t>PICO Confirmation</w:t>
      </w:r>
    </w:p>
    <w:p w14:paraId="376F3375" w14:textId="77777777" w:rsidR="003F2847" w:rsidRDefault="003F2847" w:rsidP="003F2847">
      <w:pPr>
        <w:pStyle w:val="Heading10"/>
        <w:spacing w:before="1440"/>
        <w:jc w:val="center"/>
        <w:rPr>
          <w:sz w:val="48"/>
          <w:szCs w:val="48"/>
        </w:rPr>
      </w:pPr>
      <w:r>
        <w:rPr>
          <w:sz w:val="48"/>
          <w:szCs w:val="48"/>
        </w:rPr>
        <w:t>Application 1669:</w:t>
      </w:r>
    </w:p>
    <w:p w14:paraId="4015F183" w14:textId="28EEC21D" w:rsidR="003F2847" w:rsidRPr="00F01086" w:rsidRDefault="003F2847" w:rsidP="003F2847">
      <w:pPr>
        <w:pStyle w:val="Heading10"/>
        <w:tabs>
          <w:tab w:val="left" w:pos="5613"/>
        </w:tabs>
        <w:jc w:val="center"/>
        <w:rPr>
          <w:color w:val="auto"/>
          <w:sz w:val="48"/>
          <w:szCs w:val="48"/>
        </w:rPr>
      </w:pPr>
      <w:r w:rsidRPr="00A97034">
        <w:rPr>
          <w:i/>
          <w:iCs/>
          <w:color w:val="548DD4"/>
          <w:sz w:val="48"/>
          <w:szCs w:val="48"/>
        </w:rPr>
        <w:t>KRAS</w:t>
      </w:r>
      <w:r w:rsidRPr="00A97034">
        <w:rPr>
          <w:iCs/>
          <w:color w:val="548DD4"/>
          <w:sz w:val="48"/>
          <w:szCs w:val="48"/>
        </w:rPr>
        <w:t xml:space="preserve"> G12C</w:t>
      </w:r>
      <w:r w:rsidRPr="003B79E2">
        <w:rPr>
          <w:color w:val="548DD4"/>
          <w:sz w:val="48"/>
          <w:szCs w:val="48"/>
        </w:rPr>
        <w:t xml:space="preserve"> variant testing in patients with </w:t>
      </w:r>
      <w:r w:rsidRPr="00F54101">
        <w:rPr>
          <w:color w:val="548DD4"/>
          <w:sz w:val="48"/>
          <w:szCs w:val="48"/>
        </w:rPr>
        <w:t>non-squamous histology or histology not otherwise specified</w:t>
      </w:r>
      <w:r>
        <w:t xml:space="preserve"> </w:t>
      </w:r>
      <w:r w:rsidR="00600F21" w:rsidRPr="003B79E2">
        <w:rPr>
          <w:color w:val="548DD4"/>
          <w:sz w:val="48"/>
          <w:szCs w:val="48"/>
        </w:rPr>
        <w:t>non-small</w:t>
      </w:r>
      <w:r w:rsidRPr="003B79E2">
        <w:rPr>
          <w:color w:val="548DD4"/>
          <w:sz w:val="48"/>
          <w:szCs w:val="48"/>
        </w:rPr>
        <w:t xml:space="preserve"> cell lung cancer to </w:t>
      </w:r>
      <w:r>
        <w:rPr>
          <w:color w:val="548DD4"/>
          <w:sz w:val="48"/>
          <w:szCs w:val="48"/>
        </w:rPr>
        <w:t xml:space="preserve">help </w:t>
      </w:r>
      <w:r w:rsidRPr="003B79E2">
        <w:rPr>
          <w:color w:val="548DD4"/>
          <w:sz w:val="48"/>
          <w:szCs w:val="48"/>
        </w:rPr>
        <w:t>determine eligibility for PBS-</w:t>
      </w:r>
      <w:proofErr w:type="spellStart"/>
      <w:r w:rsidRPr="003B79E2">
        <w:rPr>
          <w:color w:val="548DD4"/>
          <w:sz w:val="48"/>
          <w:szCs w:val="48"/>
        </w:rPr>
        <w:t>subsidised</w:t>
      </w:r>
      <w:proofErr w:type="spellEnd"/>
      <w:r w:rsidRPr="003B79E2">
        <w:rPr>
          <w:color w:val="548DD4"/>
          <w:sz w:val="48"/>
          <w:szCs w:val="48"/>
        </w:rPr>
        <w:t xml:space="preserve"> </w:t>
      </w:r>
      <w:proofErr w:type="spellStart"/>
      <w:r w:rsidRPr="003B79E2">
        <w:rPr>
          <w:color w:val="548DD4"/>
          <w:sz w:val="48"/>
          <w:szCs w:val="48"/>
        </w:rPr>
        <w:t>sotorasib</w:t>
      </w:r>
      <w:proofErr w:type="spellEnd"/>
    </w:p>
    <w:p w14:paraId="4EF9EE4E" w14:textId="77777777" w:rsidR="007E7E23" w:rsidRDefault="007E7E23" w:rsidP="00C00B6A">
      <w:pPr>
        <w:jc w:val="both"/>
        <w:rPr>
          <w:sz w:val="20"/>
          <w:szCs w:val="20"/>
        </w:rPr>
      </w:pPr>
      <w:r>
        <w:rPr>
          <w:sz w:val="20"/>
          <w:szCs w:val="20"/>
        </w:rPr>
        <w:br w:type="page"/>
      </w:r>
    </w:p>
    <w:p w14:paraId="57F2D529" w14:textId="47D6079C" w:rsidR="009113AC" w:rsidRDefault="0044715D" w:rsidP="003E6062">
      <w:pPr>
        <w:pStyle w:val="Heading2"/>
        <w:spacing w:line="240" w:lineRule="auto"/>
        <w:jc w:val="both"/>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1E1EAA" w14:paraId="7C7B2100"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2D4EB156" w14:textId="77777777" w:rsidR="0044715D" w:rsidRPr="001E1EAA" w:rsidRDefault="00A84A56" w:rsidP="00C00B6A">
            <w:pPr>
              <w:spacing w:after="0" w:line="240" w:lineRule="auto"/>
              <w:jc w:val="both"/>
              <w:rPr>
                <w:rFonts w:cs="Arial"/>
                <w:b/>
                <w:sz w:val="20"/>
              </w:rPr>
            </w:pPr>
            <w:r w:rsidRPr="001E1EAA">
              <w:rPr>
                <w:rFonts w:cs="Arial"/>
                <w:b/>
                <w:sz w:val="20"/>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EF5F314" w14:textId="77777777" w:rsidR="0044715D" w:rsidRPr="001E1EAA" w:rsidRDefault="0044715D" w:rsidP="00C00B6A">
            <w:pPr>
              <w:spacing w:after="0" w:line="240" w:lineRule="auto"/>
              <w:jc w:val="both"/>
              <w:rPr>
                <w:rFonts w:cs="Arial"/>
                <w:b/>
                <w:sz w:val="20"/>
              </w:rPr>
            </w:pPr>
            <w:r w:rsidRPr="001E1EAA">
              <w:rPr>
                <w:rFonts w:cs="Arial"/>
                <w:b/>
                <w:sz w:val="20"/>
              </w:rPr>
              <w:t>Description</w:t>
            </w:r>
          </w:p>
        </w:tc>
      </w:tr>
      <w:tr w:rsidR="0044715D" w:rsidRPr="001E1EAA" w14:paraId="1FAA4549" w14:textId="77777777" w:rsidTr="00A84A56">
        <w:tc>
          <w:tcPr>
            <w:tcW w:w="1005" w:type="pct"/>
            <w:tcBorders>
              <w:top w:val="single" w:sz="8" w:space="0" w:color="auto"/>
              <w:right w:val="single" w:sz="4" w:space="0" w:color="auto"/>
            </w:tcBorders>
          </w:tcPr>
          <w:p w14:paraId="1AADFBEE" w14:textId="77777777" w:rsidR="0044715D" w:rsidRPr="001E1EAA" w:rsidRDefault="0044715D" w:rsidP="00C00B6A">
            <w:pPr>
              <w:spacing w:after="0" w:line="240" w:lineRule="auto"/>
              <w:jc w:val="both"/>
              <w:rPr>
                <w:rFonts w:cs="Arial"/>
                <w:sz w:val="20"/>
              </w:rPr>
            </w:pPr>
            <w:r w:rsidRPr="001E1EAA">
              <w:rPr>
                <w:rFonts w:cs="Arial"/>
                <w:sz w:val="20"/>
              </w:rPr>
              <w:t>Patients</w:t>
            </w:r>
          </w:p>
        </w:tc>
        <w:tc>
          <w:tcPr>
            <w:tcW w:w="3995" w:type="pct"/>
            <w:tcBorders>
              <w:top w:val="single" w:sz="4" w:space="0" w:color="auto"/>
              <w:left w:val="single" w:sz="4" w:space="0" w:color="auto"/>
              <w:bottom w:val="single" w:sz="4" w:space="0" w:color="auto"/>
              <w:right w:val="single" w:sz="4" w:space="0" w:color="auto"/>
            </w:tcBorders>
          </w:tcPr>
          <w:p w14:paraId="14D340B8" w14:textId="151B0E1C" w:rsidR="0050635B" w:rsidRPr="001E1EAA" w:rsidRDefault="00DF7F2C" w:rsidP="00C00B6A">
            <w:pPr>
              <w:spacing w:after="0" w:line="240" w:lineRule="auto"/>
              <w:jc w:val="both"/>
              <w:rPr>
                <w:rFonts w:cs="Arial"/>
                <w:sz w:val="20"/>
              </w:rPr>
            </w:pPr>
            <w:r w:rsidRPr="001E1EAA">
              <w:rPr>
                <w:rFonts w:cs="Arial"/>
                <w:b/>
                <w:sz w:val="20"/>
              </w:rPr>
              <w:t>Test:</w:t>
            </w:r>
            <w:r w:rsidRPr="001E1EAA">
              <w:rPr>
                <w:rFonts w:cs="Arial"/>
                <w:sz w:val="20"/>
              </w:rPr>
              <w:t xml:space="preserve"> </w:t>
            </w:r>
            <w:r w:rsidR="0050635B" w:rsidRPr="001E1EAA">
              <w:rPr>
                <w:rFonts w:cs="Arial"/>
                <w:sz w:val="20"/>
              </w:rPr>
              <w:t>Patients with non-squamous (or histology not otherwise specified) non-small cell lung cancer (NSCLC).</w:t>
            </w:r>
          </w:p>
          <w:p w14:paraId="0FBB4DF4" w14:textId="2CF2FF67" w:rsidR="0044715D" w:rsidRPr="005D0C3D" w:rsidRDefault="00DF7F2C" w:rsidP="003B0D6E">
            <w:pPr>
              <w:spacing w:after="0" w:line="240" w:lineRule="auto"/>
              <w:jc w:val="both"/>
              <w:rPr>
                <w:sz w:val="20"/>
              </w:rPr>
            </w:pPr>
            <w:r w:rsidRPr="001E1EAA">
              <w:rPr>
                <w:rFonts w:cs="Arial"/>
                <w:b/>
                <w:sz w:val="20"/>
              </w:rPr>
              <w:t>Drug:</w:t>
            </w:r>
            <w:r w:rsidRPr="001E1EAA">
              <w:rPr>
                <w:rFonts w:cs="Arial"/>
                <w:sz w:val="20"/>
              </w:rPr>
              <w:t xml:space="preserve"> </w:t>
            </w:r>
            <w:r w:rsidR="003B0D6E" w:rsidRPr="003B0D6E">
              <w:rPr>
                <w:rFonts w:cs="Arial"/>
                <w:sz w:val="20"/>
              </w:rPr>
              <w:t xml:space="preserve">Patients with </w:t>
            </w:r>
            <w:r w:rsidR="00953FB7">
              <w:rPr>
                <w:rFonts w:cs="Arial"/>
                <w:sz w:val="20"/>
              </w:rPr>
              <w:t>histologically or cytologically</w:t>
            </w:r>
            <w:r w:rsidR="00953FB7" w:rsidRPr="003B0D6E">
              <w:rPr>
                <w:rFonts w:cs="Arial"/>
                <w:sz w:val="20"/>
              </w:rPr>
              <w:t xml:space="preserve"> </w:t>
            </w:r>
            <w:r w:rsidR="00953FB7">
              <w:rPr>
                <w:rFonts w:cs="Arial"/>
                <w:sz w:val="20"/>
              </w:rPr>
              <w:t xml:space="preserve">confirmed </w:t>
            </w:r>
            <w:r w:rsidR="003B0D6E" w:rsidRPr="003B0D6E">
              <w:rPr>
                <w:rFonts w:cs="Arial"/>
                <w:sz w:val="20"/>
              </w:rPr>
              <w:t>non-squamous or not otherwise specified (NOS) stage IIIB (locally advanced) or Stage IV (metastatic) NSCLC, with WHO performance status 0-2, who have progressed on prior therapy, and who</w:t>
            </w:r>
            <w:r w:rsidR="00953FB7">
              <w:rPr>
                <w:rFonts w:cs="Arial"/>
                <w:sz w:val="20"/>
              </w:rPr>
              <w:t>se</w:t>
            </w:r>
            <w:r w:rsidR="003B0D6E" w:rsidRPr="003B0D6E">
              <w:rPr>
                <w:rFonts w:cs="Arial"/>
                <w:sz w:val="20"/>
              </w:rPr>
              <w:t xml:space="preserve"> </w:t>
            </w:r>
            <w:r w:rsidR="00953FB7">
              <w:rPr>
                <w:rFonts w:cs="Arial"/>
                <w:sz w:val="20"/>
              </w:rPr>
              <w:t xml:space="preserve">tumour has the </w:t>
            </w:r>
            <w:r w:rsidR="003B0D6E" w:rsidRPr="003B0D6E">
              <w:rPr>
                <w:rFonts w:cs="Arial"/>
                <w:sz w:val="20"/>
              </w:rPr>
              <w:t>Kirsten rat sarcoma (</w:t>
            </w:r>
            <w:r w:rsidR="00A97034" w:rsidRPr="00A97034">
              <w:rPr>
                <w:rFonts w:cs="Arial"/>
                <w:i/>
                <w:sz w:val="20"/>
              </w:rPr>
              <w:t>KRAS</w:t>
            </w:r>
            <w:r w:rsidR="003B0D6E" w:rsidRPr="003B0D6E">
              <w:rPr>
                <w:rFonts w:cs="Arial"/>
                <w:sz w:val="20"/>
              </w:rPr>
              <w:t>) G12C variant.</w:t>
            </w:r>
          </w:p>
        </w:tc>
      </w:tr>
      <w:tr w:rsidR="00A84A56" w:rsidRPr="001E1EAA" w14:paraId="4E22F969" w14:textId="77777777" w:rsidTr="00A84A56">
        <w:tc>
          <w:tcPr>
            <w:tcW w:w="1005" w:type="pct"/>
            <w:tcBorders>
              <w:top w:val="single" w:sz="8" w:space="0" w:color="auto"/>
              <w:right w:val="single" w:sz="4" w:space="0" w:color="auto"/>
            </w:tcBorders>
          </w:tcPr>
          <w:p w14:paraId="6230CB79" w14:textId="77777777" w:rsidR="00A84A56" w:rsidRPr="001E1EAA" w:rsidRDefault="00F12E59" w:rsidP="00C00B6A">
            <w:pPr>
              <w:spacing w:after="0" w:line="240" w:lineRule="auto"/>
              <w:jc w:val="both"/>
              <w:rPr>
                <w:rFonts w:cs="Arial"/>
                <w:sz w:val="20"/>
              </w:rPr>
            </w:pPr>
            <w:r w:rsidRPr="001E1EAA">
              <w:rPr>
                <w:rFonts w:cs="Arial"/>
                <w:sz w:val="20"/>
              </w:rPr>
              <w:t>Prior tests</w:t>
            </w:r>
          </w:p>
        </w:tc>
        <w:tc>
          <w:tcPr>
            <w:tcW w:w="3995" w:type="pct"/>
            <w:tcBorders>
              <w:top w:val="single" w:sz="4" w:space="0" w:color="auto"/>
              <w:left w:val="single" w:sz="4" w:space="0" w:color="auto"/>
              <w:bottom w:val="single" w:sz="4" w:space="0" w:color="auto"/>
              <w:right w:val="single" w:sz="4" w:space="0" w:color="auto"/>
            </w:tcBorders>
          </w:tcPr>
          <w:p w14:paraId="2378034A" w14:textId="6972D411" w:rsidR="00A84A56" w:rsidRPr="001E1EAA" w:rsidRDefault="00623E43" w:rsidP="00C00B6A">
            <w:pPr>
              <w:spacing w:after="0" w:line="240" w:lineRule="auto"/>
              <w:jc w:val="both"/>
              <w:rPr>
                <w:rFonts w:cs="Arial"/>
                <w:sz w:val="20"/>
              </w:rPr>
            </w:pPr>
            <w:r w:rsidRPr="001E1EAA">
              <w:rPr>
                <w:rFonts w:cs="Arial"/>
                <w:sz w:val="20"/>
              </w:rPr>
              <w:t>Radiologic and pathologic investigation</w:t>
            </w:r>
          </w:p>
        </w:tc>
      </w:tr>
      <w:tr w:rsidR="00A84A56" w:rsidRPr="001E1EAA" w14:paraId="21E80C25" w14:textId="77777777" w:rsidTr="00A84A56">
        <w:tc>
          <w:tcPr>
            <w:tcW w:w="1005" w:type="pct"/>
            <w:tcBorders>
              <w:right w:val="single" w:sz="4" w:space="0" w:color="auto"/>
            </w:tcBorders>
          </w:tcPr>
          <w:p w14:paraId="2EC70E95" w14:textId="77777777" w:rsidR="00A84A56" w:rsidRPr="001E1EAA" w:rsidRDefault="00A84A56" w:rsidP="00C00B6A">
            <w:pPr>
              <w:spacing w:after="0" w:line="240" w:lineRule="auto"/>
              <w:jc w:val="both"/>
              <w:rPr>
                <w:rFonts w:cs="Arial"/>
                <w:sz w:val="20"/>
              </w:rPr>
            </w:pPr>
            <w:r w:rsidRPr="001E1EAA">
              <w:rPr>
                <w:rFonts w:cs="Arial"/>
                <w:sz w:val="20"/>
              </w:rPr>
              <w:t>Intervention</w:t>
            </w:r>
          </w:p>
        </w:tc>
        <w:tc>
          <w:tcPr>
            <w:tcW w:w="3995" w:type="pct"/>
            <w:tcBorders>
              <w:top w:val="single" w:sz="4" w:space="0" w:color="auto"/>
              <w:left w:val="single" w:sz="4" w:space="0" w:color="auto"/>
              <w:bottom w:val="single" w:sz="4" w:space="0" w:color="auto"/>
              <w:right w:val="single" w:sz="4" w:space="0" w:color="auto"/>
            </w:tcBorders>
          </w:tcPr>
          <w:p w14:paraId="25873103" w14:textId="5E9EDA03" w:rsidR="0090063F" w:rsidRPr="001E1EAA" w:rsidRDefault="0090063F" w:rsidP="00C00B6A">
            <w:pPr>
              <w:spacing w:after="0" w:line="240" w:lineRule="auto"/>
              <w:jc w:val="both"/>
              <w:rPr>
                <w:rFonts w:cs="Arial"/>
                <w:sz w:val="20"/>
              </w:rPr>
            </w:pPr>
            <w:r w:rsidRPr="001E1EAA">
              <w:rPr>
                <w:rFonts w:cs="Arial"/>
                <w:b/>
                <w:sz w:val="20"/>
              </w:rPr>
              <w:t>Test:</w:t>
            </w:r>
            <w:r w:rsidR="009B46C1" w:rsidRPr="001E1EAA">
              <w:rPr>
                <w:rFonts w:cs="Arial"/>
                <w:sz w:val="20"/>
              </w:rPr>
              <w:t xml:space="preserve"> </w:t>
            </w:r>
            <w:r w:rsidR="00A97034" w:rsidRPr="00A97034">
              <w:rPr>
                <w:rFonts w:cs="Arial"/>
                <w:i/>
                <w:sz w:val="20"/>
              </w:rPr>
              <w:t>KRAS</w:t>
            </w:r>
            <w:r w:rsidR="00A97034" w:rsidRPr="00A97034">
              <w:rPr>
                <w:rFonts w:cs="Arial"/>
                <w:sz w:val="20"/>
              </w:rPr>
              <w:t xml:space="preserve"> G12C</w:t>
            </w:r>
            <w:r w:rsidR="009B46C1" w:rsidRPr="001E1EAA">
              <w:rPr>
                <w:rFonts w:cs="Arial"/>
                <w:sz w:val="20"/>
              </w:rPr>
              <w:t xml:space="preserve"> testing in patients with </w:t>
            </w:r>
            <w:r w:rsidR="0050635B" w:rsidRPr="001E1EAA">
              <w:rPr>
                <w:rFonts w:cs="Arial"/>
                <w:sz w:val="20"/>
              </w:rPr>
              <w:t xml:space="preserve">non-squamous (or histology not otherwise specified) </w:t>
            </w:r>
            <w:r w:rsidR="009B46C1" w:rsidRPr="001E1EAA">
              <w:rPr>
                <w:rFonts w:cs="Arial"/>
                <w:sz w:val="20"/>
              </w:rPr>
              <w:t>NSCLC</w:t>
            </w:r>
          </w:p>
          <w:p w14:paraId="3CA85C41" w14:textId="2297CC5A" w:rsidR="00A84A56" w:rsidRPr="001E1EAA" w:rsidRDefault="0090063F" w:rsidP="00C00B6A">
            <w:pPr>
              <w:spacing w:after="0" w:line="240" w:lineRule="auto"/>
              <w:jc w:val="both"/>
              <w:rPr>
                <w:rFonts w:cs="Arial"/>
                <w:sz w:val="20"/>
              </w:rPr>
            </w:pPr>
            <w:r w:rsidRPr="001E1EAA">
              <w:rPr>
                <w:rFonts w:cs="Arial"/>
                <w:b/>
                <w:sz w:val="20"/>
              </w:rPr>
              <w:t>Drug:</w:t>
            </w:r>
            <w:r w:rsidR="009B46C1" w:rsidRPr="001E1EAA">
              <w:rPr>
                <w:rFonts w:cs="Arial"/>
                <w:sz w:val="20"/>
              </w:rPr>
              <w:t xml:space="preserve"> </w:t>
            </w:r>
            <w:r w:rsidR="009B46C1" w:rsidRPr="00C44E5E">
              <w:rPr>
                <w:rFonts w:cs="Arial"/>
                <w:sz w:val="20"/>
                <w:szCs w:val="20"/>
              </w:rPr>
              <w:t>Sotorasib</w:t>
            </w:r>
            <w:r w:rsidR="0050635B" w:rsidRPr="00C44E5E">
              <w:rPr>
                <w:rFonts w:cs="Arial"/>
                <w:sz w:val="20"/>
                <w:szCs w:val="20"/>
              </w:rPr>
              <w:t xml:space="preserve"> </w:t>
            </w:r>
            <w:r w:rsidR="00553730" w:rsidRPr="00C44E5E">
              <w:rPr>
                <w:rFonts w:cs="Arial"/>
                <w:sz w:val="20"/>
                <w:szCs w:val="20"/>
              </w:rPr>
              <w:t xml:space="preserve">as a second-line therapy </w:t>
            </w:r>
            <w:r w:rsidR="0050635B" w:rsidRPr="00C44E5E">
              <w:rPr>
                <w:rFonts w:cs="Arial"/>
                <w:sz w:val="20"/>
                <w:szCs w:val="20"/>
              </w:rPr>
              <w:t xml:space="preserve">for patients found to be positive for </w:t>
            </w:r>
            <w:r w:rsidR="00A97034" w:rsidRPr="00A97034">
              <w:rPr>
                <w:rFonts w:cs="Arial"/>
                <w:i/>
                <w:sz w:val="20"/>
                <w:szCs w:val="20"/>
              </w:rPr>
              <w:t>KRAS</w:t>
            </w:r>
            <w:r w:rsidR="00A97034" w:rsidRPr="00A97034">
              <w:rPr>
                <w:rFonts w:cs="Arial"/>
                <w:sz w:val="20"/>
                <w:szCs w:val="20"/>
              </w:rPr>
              <w:t xml:space="preserve"> G12C</w:t>
            </w:r>
            <w:r w:rsidR="0050635B" w:rsidRPr="00C44E5E">
              <w:rPr>
                <w:rFonts w:cs="Arial"/>
                <w:sz w:val="20"/>
                <w:szCs w:val="20"/>
              </w:rPr>
              <w:t>.</w:t>
            </w:r>
            <w:r w:rsidR="00743BBE" w:rsidRPr="00C44E5E">
              <w:rPr>
                <w:rFonts w:cs="Arial"/>
                <w:sz w:val="20"/>
                <w:szCs w:val="20"/>
              </w:rPr>
              <w:t xml:space="preserve"> Standard care in those negative for </w:t>
            </w:r>
            <w:r w:rsidR="00A97034" w:rsidRPr="00A97034">
              <w:rPr>
                <w:rFonts w:cs="Arial"/>
                <w:i/>
                <w:sz w:val="20"/>
                <w:szCs w:val="20"/>
              </w:rPr>
              <w:t>KRAS</w:t>
            </w:r>
            <w:r w:rsidR="00A97034" w:rsidRPr="00A97034">
              <w:rPr>
                <w:rFonts w:cs="Arial"/>
                <w:sz w:val="20"/>
                <w:szCs w:val="20"/>
              </w:rPr>
              <w:t xml:space="preserve"> G12C</w:t>
            </w:r>
            <w:r w:rsidR="00743BBE" w:rsidRPr="00C44E5E">
              <w:rPr>
                <w:rFonts w:cs="Arial"/>
                <w:i/>
                <w:sz w:val="20"/>
                <w:szCs w:val="20"/>
              </w:rPr>
              <w:t>.</w:t>
            </w:r>
          </w:p>
        </w:tc>
      </w:tr>
      <w:tr w:rsidR="00FB3CF6" w:rsidRPr="001E1EAA" w14:paraId="2BD2F72E" w14:textId="77777777" w:rsidTr="00A84A56">
        <w:tc>
          <w:tcPr>
            <w:tcW w:w="1005" w:type="pct"/>
            <w:tcBorders>
              <w:right w:val="single" w:sz="4" w:space="0" w:color="auto"/>
            </w:tcBorders>
          </w:tcPr>
          <w:p w14:paraId="30567D22" w14:textId="7B6E418B" w:rsidR="00FB3CF6" w:rsidRPr="001E1EAA" w:rsidRDefault="00B7433A" w:rsidP="00C00B6A">
            <w:pPr>
              <w:spacing w:after="0" w:line="240" w:lineRule="auto"/>
              <w:jc w:val="both"/>
              <w:rPr>
                <w:rFonts w:cs="Arial"/>
                <w:sz w:val="20"/>
              </w:rPr>
            </w:pPr>
            <w:r>
              <w:rPr>
                <w:rFonts w:cs="Arial"/>
                <w:sz w:val="20"/>
              </w:rPr>
              <w:t>Clinical utility</w:t>
            </w:r>
            <w:r w:rsidR="00FB3CF6" w:rsidRPr="001E1EAA">
              <w:rPr>
                <w:rFonts w:cs="Arial"/>
                <w:sz w:val="20"/>
              </w:rPr>
              <w:t xml:space="preserve"> </w:t>
            </w:r>
            <w:r>
              <w:rPr>
                <w:rFonts w:cs="Arial"/>
                <w:sz w:val="20"/>
              </w:rPr>
              <w:t>s</w:t>
            </w:r>
            <w:r w:rsidR="00FB3CF6" w:rsidRPr="001E1EAA">
              <w:rPr>
                <w:rFonts w:cs="Arial"/>
                <w:sz w:val="20"/>
              </w:rPr>
              <w:t>tandard</w:t>
            </w:r>
          </w:p>
        </w:tc>
        <w:tc>
          <w:tcPr>
            <w:tcW w:w="3995" w:type="pct"/>
            <w:tcBorders>
              <w:top w:val="single" w:sz="4" w:space="0" w:color="auto"/>
              <w:left w:val="single" w:sz="4" w:space="0" w:color="auto"/>
              <w:bottom w:val="single" w:sz="4" w:space="0" w:color="auto"/>
              <w:right w:val="single" w:sz="4" w:space="0" w:color="auto"/>
            </w:tcBorders>
          </w:tcPr>
          <w:p w14:paraId="010B5BF2" w14:textId="491CBC24" w:rsidR="00FB3CF6" w:rsidRPr="001E1EAA" w:rsidRDefault="00FB3CF6" w:rsidP="0063464A">
            <w:pPr>
              <w:spacing w:after="0" w:line="240" w:lineRule="auto"/>
              <w:jc w:val="both"/>
              <w:rPr>
                <w:rFonts w:cs="Arial"/>
                <w:b/>
                <w:sz w:val="20"/>
              </w:rPr>
            </w:pPr>
            <w:proofErr w:type="spellStart"/>
            <w:r w:rsidRPr="001E1EAA">
              <w:rPr>
                <w:i/>
                <w:sz w:val="20"/>
              </w:rPr>
              <w:t>Therascreen</w:t>
            </w:r>
            <w:proofErr w:type="spellEnd"/>
            <w:r w:rsidRPr="001E1EAA">
              <w:rPr>
                <w:sz w:val="20"/>
              </w:rPr>
              <w:t xml:space="preserve">® </w:t>
            </w:r>
            <w:r w:rsidR="00A97034" w:rsidRPr="00A97034">
              <w:rPr>
                <w:i/>
                <w:sz w:val="20"/>
              </w:rPr>
              <w:t>KRAS</w:t>
            </w:r>
            <w:r w:rsidRPr="001E1EAA">
              <w:rPr>
                <w:sz w:val="20"/>
              </w:rPr>
              <w:t xml:space="preserve"> RGQ (Rotor-Gene Q) PCR kit (Qiagen)</w:t>
            </w:r>
            <w:r w:rsidR="0063464A">
              <w:rPr>
                <w:sz w:val="20"/>
              </w:rPr>
              <w:t xml:space="preserve"> using DNA samples on formalin-fixed, paraffin embedded tumour tissue </w:t>
            </w:r>
            <w:r w:rsidR="0075394D">
              <w:rPr>
                <w:sz w:val="20"/>
              </w:rPr>
              <w:t>from a biopsy sample</w:t>
            </w:r>
          </w:p>
        </w:tc>
      </w:tr>
      <w:tr w:rsidR="00A84A56" w:rsidRPr="001E1EAA" w14:paraId="7EF4B07D" w14:textId="77777777" w:rsidTr="00A84A56">
        <w:tc>
          <w:tcPr>
            <w:tcW w:w="1005" w:type="pct"/>
            <w:tcBorders>
              <w:right w:val="single" w:sz="4" w:space="0" w:color="auto"/>
            </w:tcBorders>
          </w:tcPr>
          <w:p w14:paraId="5E26BBCF" w14:textId="77777777" w:rsidR="00A84A56" w:rsidRPr="001E1EAA" w:rsidRDefault="00A84A56" w:rsidP="0063464A">
            <w:pPr>
              <w:spacing w:after="0" w:line="240" w:lineRule="auto"/>
              <w:jc w:val="both"/>
              <w:rPr>
                <w:rFonts w:cs="Arial"/>
                <w:sz w:val="20"/>
              </w:rPr>
            </w:pPr>
            <w:r w:rsidRPr="001E1EAA">
              <w:rPr>
                <w:rFonts w:cs="Arial"/>
                <w:sz w:val="20"/>
              </w:rPr>
              <w:t>Comparator</w:t>
            </w:r>
          </w:p>
        </w:tc>
        <w:tc>
          <w:tcPr>
            <w:tcW w:w="3995" w:type="pct"/>
            <w:tcBorders>
              <w:top w:val="single" w:sz="4" w:space="0" w:color="auto"/>
              <w:left w:val="single" w:sz="4" w:space="0" w:color="auto"/>
              <w:bottom w:val="single" w:sz="4" w:space="0" w:color="auto"/>
              <w:right w:val="single" w:sz="4" w:space="0" w:color="auto"/>
            </w:tcBorders>
          </w:tcPr>
          <w:p w14:paraId="0EFFE246" w14:textId="77777777" w:rsidR="0090063F" w:rsidRPr="001E1EAA" w:rsidRDefault="004F0B1C" w:rsidP="0063464A">
            <w:pPr>
              <w:spacing w:after="0" w:line="240" w:lineRule="auto"/>
              <w:jc w:val="both"/>
              <w:rPr>
                <w:rFonts w:cs="Arial"/>
                <w:sz w:val="20"/>
              </w:rPr>
            </w:pPr>
            <w:r w:rsidRPr="001E1EAA">
              <w:rPr>
                <w:rFonts w:cs="Arial"/>
                <w:b/>
                <w:sz w:val="20"/>
              </w:rPr>
              <w:t>Test:</w:t>
            </w:r>
            <w:r w:rsidRPr="001E1EAA">
              <w:rPr>
                <w:rFonts w:cs="Arial"/>
                <w:sz w:val="20"/>
              </w:rPr>
              <w:t xml:space="preserve"> </w:t>
            </w:r>
            <w:r w:rsidR="005C0913" w:rsidRPr="001E1EAA">
              <w:rPr>
                <w:rFonts w:cs="Arial"/>
                <w:sz w:val="20"/>
              </w:rPr>
              <w:t>No testing</w:t>
            </w:r>
          </w:p>
          <w:p w14:paraId="3EDEA88B" w14:textId="71845452" w:rsidR="00A84A56" w:rsidRPr="001E1EAA" w:rsidRDefault="003248C2" w:rsidP="0063464A">
            <w:pPr>
              <w:spacing w:after="0" w:line="240" w:lineRule="auto"/>
              <w:jc w:val="both"/>
              <w:rPr>
                <w:rFonts w:cs="Arial"/>
                <w:sz w:val="20"/>
              </w:rPr>
            </w:pPr>
            <w:r w:rsidRPr="001E1EAA">
              <w:rPr>
                <w:rFonts w:cs="Arial"/>
                <w:b/>
                <w:sz w:val="20"/>
              </w:rPr>
              <w:t>Drug:</w:t>
            </w:r>
            <w:r w:rsidRPr="001E1EAA">
              <w:rPr>
                <w:rFonts w:cs="Arial"/>
                <w:sz w:val="20"/>
              </w:rPr>
              <w:t xml:space="preserve"> </w:t>
            </w:r>
            <w:r w:rsidR="005C0913" w:rsidRPr="001E1EAA">
              <w:rPr>
                <w:rFonts w:cs="Arial"/>
                <w:sz w:val="20"/>
              </w:rPr>
              <w:t>Docetaxel which is standard of care second-line therapy in patients without a</w:t>
            </w:r>
            <w:r w:rsidR="00DB40BA" w:rsidRPr="001E1EAA">
              <w:rPr>
                <w:rFonts w:cs="Arial"/>
                <w:sz w:val="20"/>
              </w:rPr>
              <w:t xml:space="preserve"> currently actionable biomarker.</w:t>
            </w:r>
          </w:p>
        </w:tc>
      </w:tr>
      <w:tr w:rsidR="00A84A56" w:rsidRPr="001E1EAA" w14:paraId="615C1CA5" w14:textId="77777777" w:rsidTr="00A84A56">
        <w:tc>
          <w:tcPr>
            <w:tcW w:w="1005" w:type="pct"/>
            <w:tcBorders>
              <w:right w:val="single" w:sz="4" w:space="0" w:color="auto"/>
            </w:tcBorders>
          </w:tcPr>
          <w:p w14:paraId="0C239D01" w14:textId="77777777" w:rsidR="00A84A56" w:rsidRPr="001E1EAA" w:rsidRDefault="00A84A56" w:rsidP="00C00B6A">
            <w:pPr>
              <w:spacing w:after="0" w:line="240" w:lineRule="auto"/>
              <w:jc w:val="both"/>
              <w:rPr>
                <w:rFonts w:cs="Arial"/>
                <w:sz w:val="20"/>
              </w:rPr>
            </w:pPr>
            <w:r w:rsidRPr="001E1EAA">
              <w:rPr>
                <w:rFonts w:cs="Arial"/>
                <w:sz w:val="20"/>
              </w:rPr>
              <w:t>Outcomes</w:t>
            </w:r>
          </w:p>
        </w:tc>
        <w:tc>
          <w:tcPr>
            <w:tcW w:w="3995" w:type="pct"/>
            <w:tcBorders>
              <w:top w:val="single" w:sz="4" w:space="0" w:color="auto"/>
              <w:left w:val="single" w:sz="4" w:space="0" w:color="auto"/>
              <w:bottom w:val="single" w:sz="4" w:space="0" w:color="auto"/>
              <w:right w:val="single" w:sz="4" w:space="0" w:color="auto"/>
            </w:tcBorders>
          </w:tcPr>
          <w:p w14:paraId="7C989D88" w14:textId="6582BDBD" w:rsidR="0050635B" w:rsidRPr="001E1EAA" w:rsidRDefault="0050635B" w:rsidP="00C00B6A">
            <w:pPr>
              <w:spacing w:after="0" w:line="240" w:lineRule="auto"/>
              <w:jc w:val="both"/>
              <w:rPr>
                <w:rFonts w:cs="Arial"/>
                <w:b/>
                <w:sz w:val="20"/>
              </w:rPr>
            </w:pPr>
            <w:r w:rsidRPr="001E1EAA">
              <w:rPr>
                <w:rFonts w:cs="Arial"/>
                <w:b/>
                <w:sz w:val="20"/>
              </w:rPr>
              <w:t>Test outcomes:</w:t>
            </w:r>
          </w:p>
          <w:p w14:paraId="63B5F7F7" w14:textId="032C6015" w:rsidR="00547EEC" w:rsidRPr="001E1EAA" w:rsidRDefault="00547EEC" w:rsidP="00C00B6A">
            <w:pPr>
              <w:spacing w:after="0" w:line="240" w:lineRule="auto"/>
              <w:jc w:val="both"/>
              <w:rPr>
                <w:rFonts w:cs="Arial"/>
                <w:b/>
                <w:sz w:val="20"/>
              </w:rPr>
            </w:pPr>
            <w:r w:rsidRPr="001E1EAA">
              <w:rPr>
                <w:rFonts w:cs="Arial"/>
                <w:sz w:val="20"/>
              </w:rPr>
              <w:t>Safety:</w:t>
            </w:r>
            <w:r w:rsidRPr="001E1EAA">
              <w:rPr>
                <w:rFonts w:cs="Arial"/>
                <w:b/>
                <w:sz w:val="20"/>
              </w:rPr>
              <w:t xml:space="preserve"> </w:t>
            </w:r>
            <w:r w:rsidR="005B5B7F" w:rsidRPr="001E1EAA">
              <w:rPr>
                <w:sz w:val="20"/>
              </w:rPr>
              <w:t>a</w:t>
            </w:r>
            <w:r w:rsidRPr="001E1EAA">
              <w:rPr>
                <w:sz w:val="20"/>
              </w:rPr>
              <w:t>dverse events associated with biopsy/re-biopsy</w:t>
            </w:r>
          </w:p>
          <w:p w14:paraId="05E05BDA" w14:textId="42641F90" w:rsidR="0050635B" w:rsidRPr="001E1EAA" w:rsidRDefault="0050635B" w:rsidP="00C00B6A">
            <w:pPr>
              <w:spacing w:after="0" w:line="240" w:lineRule="auto"/>
              <w:jc w:val="both"/>
              <w:rPr>
                <w:rFonts w:cs="Arial"/>
                <w:sz w:val="20"/>
              </w:rPr>
            </w:pPr>
            <w:r w:rsidRPr="001E1EAA">
              <w:rPr>
                <w:rFonts w:cs="Arial"/>
                <w:sz w:val="20"/>
              </w:rPr>
              <w:t xml:space="preserve">Analytical performance </w:t>
            </w:r>
            <w:bookmarkStart w:id="2" w:name="_Hlk77266732"/>
            <w:r w:rsidR="005B5B7F">
              <w:rPr>
                <w:rFonts w:cs="Arial"/>
                <w:sz w:val="20"/>
              </w:rPr>
              <w:t xml:space="preserve">of Australian test options </w:t>
            </w:r>
            <w:bookmarkEnd w:id="2"/>
            <w:r w:rsidRPr="001E1EAA">
              <w:rPr>
                <w:rFonts w:cs="Arial"/>
                <w:sz w:val="20"/>
              </w:rPr>
              <w:t xml:space="preserve">compared to </w:t>
            </w:r>
            <w:r w:rsidR="00975E04">
              <w:rPr>
                <w:rFonts w:cs="Arial"/>
                <w:sz w:val="20"/>
              </w:rPr>
              <w:t xml:space="preserve">the </w:t>
            </w:r>
            <w:r w:rsidR="00B7433A">
              <w:rPr>
                <w:rFonts w:cs="Arial"/>
                <w:sz w:val="20"/>
              </w:rPr>
              <w:t>clinical utility</w:t>
            </w:r>
            <w:r w:rsidR="00B7433A" w:rsidRPr="001E1EAA">
              <w:rPr>
                <w:rFonts w:cs="Arial"/>
                <w:sz w:val="20"/>
              </w:rPr>
              <w:t xml:space="preserve"> </w:t>
            </w:r>
            <w:r w:rsidRPr="001E1EAA">
              <w:rPr>
                <w:rFonts w:cs="Arial"/>
                <w:sz w:val="20"/>
              </w:rPr>
              <w:t>standard:</w:t>
            </w:r>
          </w:p>
          <w:p w14:paraId="0B306DF9" w14:textId="77777777" w:rsidR="0050635B" w:rsidRPr="001E1EAA" w:rsidRDefault="0050635B" w:rsidP="00C00B6A">
            <w:pPr>
              <w:pStyle w:val="ListParagraph"/>
              <w:numPr>
                <w:ilvl w:val="0"/>
                <w:numId w:val="22"/>
              </w:numPr>
              <w:spacing w:after="0" w:line="240" w:lineRule="auto"/>
              <w:jc w:val="both"/>
              <w:rPr>
                <w:rFonts w:cs="Arial"/>
                <w:sz w:val="20"/>
              </w:rPr>
            </w:pPr>
            <w:r w:rsidRPr="001E1EAA">
              <w:rPr>
                <w:rFonts w:cs="Arial"/>
                <w:sz w:val="20"/>
              </w:rPr>
              <w:t>Positive percent agreement</w:t>
            </w:r>
          </w:p>
          <w:p w14:paraId="5BF7B0A3" w14:textId="77777777" w:rsidR="0050635B" w:rsidRPr="001E1EAA" w:rsidRDefault="0050635B" w:rsidP="00C00B6A">
            <w:pPr>
              <w:pStyle w:val="ListParagraph"/>
              <w:numPr>
                <w:ilvl w:val="0"/>
                <w:numId w:val="22"/>
              </w:numPr>
              <w:spacing w:after="0" w:line="240" w:lineRule="auto"/>
              <w:jc w:val="both"/>
              <w:rPr>
                <w:rFonts w:cs="Arial"/>
                <w:sz w:val="20"/>
              </w:rPr>
            </w:pPr>
            <w:r w:rsidRPr="001E1EAA">
              <w:rPr>
                <w:rFonts w:cs="Arial"/>
                <w:sz w:val="20"/>
              </w:rPr>
              <w:t>Negative percent agreement</w:t>
            </w:r>
          </w:p>
          <w:p w14:paraId="65C300C5" w14:textId="492DE50F" w:rsidR="0050635B" w:rsidRPr="001E1EAA" w:rsidRDefault="0050635B" w:rsidP="00C00B6A">
            <w:pPr>
              <w:spacing w:after="0" w:line="240" w:lineRule="auto"/>
              <w:jc w:val="both"/>
              <w:rPr>
                <w:rFonts w:cs="Arial"/>
                <w:sz w:val="20"/>
              </w:rPr>
            </w:pPr>
            <w:r w:rsidRPr="001E1EAA">
              <w:rPr>
                <w:rFonts w:cs="Arial"/>
                <w:sz w:val="20"/>
              </w:rPr>
              <w:t>Clinical validity of test:</w:t>
            </w:r>
          </w:p>
          <w:p w14:paraId="05016999" w14:textId="0B48A98D" w:rsidR="0050635B" w:rsidRPr="001E1EAA" w:rsidRDefault="0050635B" w:rsidP="00C00B6A">
            <w:pPr>
              <w:pStyle w:val="ListParagraph"/>
              <w:numPr>
                <w:ilvl w:val="0"/>
                <w:numId w:val="23"/>
              </w:numPr>
              <w:spacing w:after="0" w:line="240" w:lineRule="auto"/>
              <w:jc w:val="both"/>
              <w:rPr>
                <w:rFonts w:cs="Arial"/>
                <w:sz w:val="20"/>
              </w:rPr>
            </w:pPr>
            <w:r w:rsidRPr="001E1EAA">
              <w:rPr>
                <w:rFonts w:cs="Arial"/>
                <w:sz w:val="20"/>
              </w:rPr>
              <w:t>Comparative prognosis of patients with advanced</w:t>
            </w:r>
            <w:r w:rsidR="004250AC" w:rsidRPr="001E1EAA">
              <w:rPr>
                <w:rFonts w:cs="Arial"/>
                <w:sz w:val="20"/>
              </w:rPr>
              <w:t xml:space="preserve"> or metastatic</w:t>
            </w:r>
            <w:r w:rsidRPr="001E1EAA">
              <w:rPr>
                <w:rFonts w:cs="Arial"/>
                <w:sz w:val="20"/>
              </w:rPr>
              <w:t xml:space="preserve"> NSCLC between those whose tumours do and do not have</w:t>
            </w:r>
            <w:r w:rsidR="005B5B7F">
              <w:rPr>
                <w:rFonts w:cs="Arial"/>
                <w:sz w:val="20"/>
              </w:rPr>
              <w:t xml:space="preserve"> the</w:t>
            </w:r>
            <w:r w:rsidRPr="001E1EAA">
              <w:rPr>
                <w:rFonts w:cs="Arial"/>
                <w:sz w:val="20"/>
              </w:rPr>
              <w:t xml:space="preserve"> </w:t>
            </w:r>
            <w:r w:rsidR="00A97034" w:rsidRPr="00A97034">
              <w:rPr>
                <w:rFonts w:cs="Arial"/>
                <w:i/>
                <w:sz w:val="20"/>
              </w:rPr>
              <w:t>KRAS</w:t>
            </w:r>
            <w:r w:rsidR="00A97034" w:rsidRPr="00A97034">
              <w:rPr>
                <w:rFonts w:cs="Arial"/>
                <w:sz w:val="20"/>
              </w:rPr>
              <w:t xml:space="preserve"> G12C</w:t>
            </w:r>
            <w:r w:rsidR="009862DA" w:rsidRPr="001E1EAA">
              <w:rPr>
                <w:rFonts w:cs="Arial"/>
                <w:sz w:val="20"/>
              </w:rPr>
              <w:t xml:space="preserve"> </w:t>
            </w:r>
            <w:r w:rsidR="00C45C15">
              <w:rPr>
                <w:rFonts w:cs="Arial"/>
                <w:sz w:val="20"/>
              </w:rPr>
              <w:t>variant</w:t>
            </w:r>
            <w:r w:rsidR="00547EEC" w:rsidRPr="001E1EAA">
              <w:rPr>
                <w:rFonts w:cs="Arial"/>
                <w:sz w:val="20"/>
              </w:rPr>
              <w:t>.</w:t>
            </w:r>
          </w:p>
          <w:p w14:paraId="223CD8DE" w14:textId="77777777" w:rsidR="0050635B" w:rsidRPr="001E1EAA" w:rsidRDefault="0050635B" w:rsidP="00C00B6A">
            <w:pPr>
              <w:spacing w:after="0" w:line="240" w:lineRule="auto"/>
              <w:jc w:val="both"/>
              <w:rPr>
                <w:rFonts w:cs="Arial"/>
                <w:sz w:val="20"/>
              </w:rPr>
            </w:pPr>
            <w:r w:rsidRPr="001E1EAA">
              <w:rPr>
                <w:rFonts w:cs="Arial"/>
                <w:sz w:val="20"/>
              </w:rPr>
              <w:t>Clinical utility of test:</w:t>
            </w:r>
          </w:p>
          <w:p w14:paraId="5C2B94D1" w14:textId="14B28E95" w:rsidR="0050635B" w:rsidRPr="001E1EAA" w:rsidRDefault="0050635B" w:rsidP="00C00B6A">
            <w:pPr>
              <w:pStyle w:val="ListParagraph"/>
              <w:numPr>
                <w:ilvl w:val="0"/>
                <w:numId w:val="23"/>
              </w:numPr>
              <w:spacing w:after="0" w:line="240" w:lineRule="auto"/>
              <w:jc w:val="both"/>
              <w:rPr>
                <w:rFonts w:cs="Arial"/>
                <w:sz w:val="20"/>
              </w:rPr>
            </w:pPr>
            <w:r w:rsidRPr="001E1EAA">
              <w:rPr>
                <w:rFonts w:cs="Arial"/>
                <w:sz w:val="20"/>
              </w:rPr>
              <w:t xml:space="preserve">Treatment effect modification of </w:t>
            </w:r>
            <w:r w:rsidR="00A97034" w:rsidRPr="00A97034">
              <w:rPr>
                <w:rFonts w:cs="Arial"/>
                <w:i/>
                <w:sz w:val="20"/>
              </w:rPr>
              <w:t>KRAS</w:t>
            </w:r>
            <w:r w:rsidR="00A97034" w:rsidRPr="00A97034">
              <w:rPr>
                <w:rFonts w:cs="Arial"/>
                <w:sz w:val="20"/>
              </w:rPr>
              <w:t xml:space="preserve"> G12C</w:t>
            </w:r>
            <w:r w:rsidRPr="001E1EAA">
              <w:rPr>
                <w:rFonts w:cs="Arial"/>
                <w:sz w:val="20"/>
              </w:rPr>
              <w:t xml:space="preserve"> </w:t>
            </w:r>
            <w:r w:rsidR="00975E04">
              <w:rPr>
                <w:rFonts w:cs="Arial"/>
                <w:sz w:val="20"/>
              </w:rPr>
              <w:t xml:space="preserve">in terms of </w:t>
            </w:r>
            <w:r w:rsidRPr="001E1EAA">
              <w:rPr>
                <w:rFonts w:cs="Arial"/>
                <w:sz w:val="20"/>
              </w:rPr>
              <w:t xml:space="preserve">response to </w:t>
            </w:r>
            <w:r w:rsidR="004250AC" w:rsidRPr="001E1EAA">
              <w:rPr>
                <w:rFonts w:cs="Arial"/>
                <w:sz w:val="20"/>
              </w:rPr>
              <w:t>sotorasib</w:t>
            </w:r>
            <w:r w:rsidRPr="001E1EAA">
              <w:rPr>
                <w:rFonts w:cs="Arial"/>
                <w:sz w:val="20"/>
              </w:rPr>
              <w:t xml:space="preserve"> in patients with advanced </w:t>
            </w:r>
            <w:r w:rsidR="004250AC" w:rsidRPr="001E1EAA">
              <w:rPr>
                <w:rFonts w:cs="Arial"/>
                <w:sz w:val="20"/>
              </w:rPr>
              <w:t xml:space="preserve">or metastatic </w:t>
            </w:r>
            <w:r w:rsidRPr="001E1EAA">
              <w:rPr>
                <w:rFonts w:cs="Arial"/>
                <w:sz w:val="20"/>
              </w:rPr>
              <w:t>NSCLC</w:t>
            </w:r>
            <w:r w:rsidR="00547EEC" w:rsidRPr="001E1EAA">
              <w:rPr>
                <w:rFonts w:cs="Arial"/>
                <w:sz w:val="20"/>
              </w:rPr>
              <w:t>.</w:t>
            </w:r>
          </w:p>
          <w:p w14:paraId="0EF90665" w14:textId="7EA7A8CB" w:rsidR="0050635B" w:rsidRPr="001E1EAA" w:rsidRDefault="0050635B" w:rsidP="00C00B6A">
            <w:pPr>
              <w:spacing w:after="0" w:line="240" w:lineRule="auto"/>
              <w:jc w:val="both"/>
              <w:rPr>
                <w:rFonts w:cs="Arial"/>
                <w:sz w:val="20"/>
              </w:rPr>
            </w:pPr>
            <w:r w:rsidRPr="001E1EAA">
              <w:rPr>
                <w:rFonts w:cs="Arial"/>
                <w:sz w:val="20"/>
              </w:rPr>
              <w:t>Other test-related considerations</w:t>
            </w:r>
          </w:p>
          <w:p w14:paraId="02771CD3" w14:textId="77777777" w:rsidR="0050635B" w:rsidRPr="001E1EAA" w:rsidRDefault="0050635B" w:rsidP="00C00B6A">
            <w:pPr>
              <w:pStyle w:val="ListParagraph"/>
              <w:numPr>
                <w:ilvl w:val="0"/>
                <w:numId w:val="23"/>
              </w:numPr>
              <w:spacing w:after="0" w:line="240" w:lineRule="auto"/>
              <w:jc w:val="both"/>
              <w:rPr>
                <w:rFonts w:cs="Arial"/>
                <w:sz w:val="20"/>
              </w:rPr>
            </w:pPr>
            <w:r w:rsidRPr="001E1EAA">
              <w:rPr>
                <w:rFonts w:cs="Arial"/>
                <w:sz w:val="20"/>
              </w:rPr>
              <w:t>Re-biopsy rates (including test failure and inadequate sample rate)</w:t>
            </w:r>
          </w:p>
          <w:p w14:paraId="31334380" w14:textId="5E6D53FB" w:rsidR="0050635B" w:rsidRPr="001E1EAA" w:rsidRDefault="0050635B">
            <w:pPr>
              <w:pStyle w:val="ListParagraph"/>
              <w:numPr>
                <w:ilvl w:val="0"/>
                <w:numId w:val="23"/>
              </w:numPr>
              <w:spacing w:after="0" w:line="240" w:lineRule="auto"/>
              <w:jc w:val="both"/>
              <w:rPr>
                <w:rFonts w:cs="Arial"/>
                <w:sz w:val="20"/>
              </w:rPr>
            </w:pPr>
            <w:r w:rsidRPr="001E1EAA">
              <w:rPr>
                <w:rFonts w:cs="Arial"/>
                <w:sz w:val="20"/>
              </w:rPr>
              <w:t>Test turn-around time</w:t>
            </w:r>
          </w:p>
          <w:p w14:paraId="2A8C67A6" w14:textId="77777777" w:rsidR="0050635B" w:rsidRPr="001E1EAA" w:rsidRDefault="0050635B" w:rsidP="00C00B6A">
            <w:pPr>
              <w:spacing w:after="0" w:line="240" w:lineRule="auto"/>
              <w:jc w:val="both"/>
              <w:rPr>
                <w:rFonts w:cs="Arial"/>
                <w:sz w:val="20"/>
              </w:rPr>
            </w:pPr>
          </w:p>
          <w:p w14:paraId="16B15D78" w14:textId="77451EE3" w:rsidR="0050635B" w:rsidRPr="001E1EAA" w:rsidRDefault="0050635B" w:rsidP="00C00B6A">
            <w:pPr>
              <w:spacing w:after="0" w:line="240" w:lineRule="auto"/>
              <w:jc w:val="both"/>
              <w:rPr>
                <w:rFonts w:cs="Arial"/>
                <w:b/>
                <w:sz w:val="20"/>
              </w:rPr>
            </w:pPr>
            <w:r w:rsidRPr="001E1EAA">
              <w:rPr>
                <w:rFonts w:cs="Arial"/>
                <w:b/>
                <w:sz w:val="20"/>
              </w:rPr>
              <w:t xml:space="preserve">Drug </w:t>
            </w:r>
            <w:r w:rsidR="005B5B7F" w:rsidRPr="001E1EAA">
              <w:rPr>
                <w:rFonts w:cs="Arial"/>
                <w:b/>
                <w:sz w:val="20"/>
              </w:rPr>
              <w:t>o</w:t>
            </w:r>
            <w:r w:rsidRPr="001E1EAA">
              <w:rPr>
                <w:rFonts w:cs="Arial"/>
                <w:b/>
                <w:sz w:val="20"/>
              </w:rPr>
              <w:t>utcomes:</w:t>
            </w:r>
          </w:p>
          <w:p w14:paraId="2D5B8183" w14:textId="621134B8" w:rsidR="0050635B" w:rsidRPr="001E1EAA" w:rsidRDefault="0050635B" w:rsidP="00C00B6A">
            <w:pPr>
              <w:pStyle w:val="ListParagraph"/>
              <w:numPr>
                <w:ilvl w:val="0"/>
                <w:numId w:val="24"/>
              </w:numPr>
              <w:spacing w:after="0" w:line="240" w:lineRule="auto"/>
              <w:jc w:val="both"/>
              <w:rPr>
                <w:rFonts w:cs="Arial"/>
                <w:sz w:val="20"/>
              </w:rPr>
            </w:pPr>
            <w:r w:rsidRPr="001E1EAA">
              <w:rPr>
                <w:rFonts w:cs="Arial"/>
                <w:sz w:val="20"/>
              </w:rPr>
              <w:t>Safety and tolerability (</w:t>
            </w:r>
            <w:r w:rsidR="00B7433A">
              <w:rPr>
                <w:rFonts w:cs="Arial"/>
                <w:sz w:val="20"/>
              </w:rPr>
              <w:t>adverse events [</w:t>
            </w:r>
            <w:r w:rsidRPr="001E1EAA">
              <w:rPr>
                <w:rFonts w:cs="Arial"/>
                <w:sz w:val="20"/>
              </w:rPr>
              <w:t>AEs</w:t>
            </w:r>
            <w:r w:rsidR="00B7433A">
              <w:rPr>
                <w:rFonts w:cs="Arial"/>
                <w:sz w:val="20"/>
              </w:rPr>
              <w:t>]</w:t>
            </w:r>
            <w:r w:rsidRPr="001E1EAA">
              <w:rPr>
                <w:rFonts w:cs="Arial"/>
                <w:sz w:val="20"/>
              </w:rPr>
              <w:t>, physical examinations, laboratory findings, vital signs)</w:t>
            </w:r>
          </w:p>
          <w:p w14:paraId="2A844BEB" w14:textId="77777777" w:rsidR="0050635B" w:rsidRPr="001E1EAA" w:rsidRDefault="0050635B" w:rsidP="00C00B6A">
            <w:pPr>
              <w:pStyle w:val="ListParagraph"/>
              <w:numPr>
                <w:ilvl w:val="0"/>
                <w:numId w:val="24"/>
              </w:numPr>
              <w:spacing w:after="0" w:line="240" w:lineRule="auto"/>
              <w:jc w:val="both"/>
              <w:rPr>
                <w:rFonts w:cs="Arial"/>
                <w:sz w:val="20"/>
              </w:rPr>
            </w:pPr>
            <w:r w:rsidRPr="001E1EAA">
              <w:rPr>
                <w:rFonts w:cs="Arial"/>
                <w:sz w:val="20"/>
              </w:rPr>
              <w:t>Objective response rate</w:t>
            </w:r>
          </w:p>
          <w:p w14:paraId="30613B3B" w14:textId="77777777" w:rsidR="0050635B" w:rsidRPr="001E1EAA" w:rsidRDefault="0050635B" w:rsidP="00C00B6A">
            <w:pPr>
              <w:pStyle w:val="ListParagraph"/>
              <w:numPr>
                <w:ilvl w:val="0"/>
                <w:numId w:val="24"/>
              </w:numPr>
              <w:spacing w:after="0" w:line="240" w:lineRule="auto"/>
              <w:jc w:val="both"/>
              <w:rPr>
                <w:rFonts w:cs="Arial"/>
                <w:sz w:val="20"/>
              </w:rPr>
            </w:pPr>
            <w:r w:rsidRPr="001E1EAA">
              <w:rPr>
                <w:rFonts w:cs="Arial"/>
                <w:sz w:val="20"/>
              </w:rPr>
              <w:t>Overall survival</w:t>
            </w:r>
          </w:p>
          <w:p w14:paraId="1D2A1D81" w14:textId="77777777" w:rsidR="0050635B" w:rsidRPr="001E1EAA" w:rsidRDefault="0050635B" w:rsidP="00C00B6A">
            <w:pPr>
              <w:pStyle w:val="ListParagraph"/>
              <w:numPr>
                <w:ilvl w:val="0"/>
                <w:numId w:val="24"/>
              </w:numPr>
              <w:spacing w:after="0" w:line="240" w:lineRule="auto"/>
              <w:jc w:val="both"/>
              <w:rPr>
                <w:rFonts w:cs="Arial"/>
                <w:sz w:val="20"/>
              </w:rPr>
            </w:pPr>
            <w:r w:rsidRPr="001E1EAA">
              <w:rPr>
                <w:rFonts w:cs="Arial"/>
                <w:sz w:val="20"/>
              </w:rPr>
              <w:t>Progression-free survival</w:t>
            </w:r>
          </w:p>
          <w:p w14:paraId="73BA93E2" w14:textId="77777777" w:rsidR="0050635B" w:rsidRPr="001E1EAA" w:rsidRDefault="0050635B" w:rsidP="00C00B6A">
            <w:pPr>
              <w:pStyle w:val="ListParagraph"/>
              <w:numPr>
                <w:ilvl w:val="0"/>
                <w:numId w:val="24"/>
              </w:numPr>
              <w:spacing w:after="0" w:line="240" w:lineRule="auto"/>
              <w:jc w:val="both"/>
              <w:rPr>
                <w:rFonts w:cs="Arial"/>
                <w:sz w:val="20"/>
              </w:rPr>
            </w:pPr>
            <w:r w:rsidRPr="001E1EAA">
              <w:rPr>
                <w:rFonts w:cs="Arial"/>
                <w:sz w:val="20"/>
              </w:rPr>
              <w:t>Partial response</w:t>
            </w:r>
          </w:p>
          <w:p w14:paraId="2E583E3D" w14:textId="77777777" w:rsidR="00DC2EB9" w:rsidRPr="001E1EAA" w:rsidRDefault="0050635B" w:rsidP="00C00B6A">
            <w:pPr>
              <w:pStyle w:val="ListParagraph"/>
              <w:numPr>
                <w:ilvl w:val="0"/>
                <w:numId w:val="24"/>
              </w:numPr>
              <w:spacing w:after="0" w:line="240" w:lineRule="auto"/>
              <w:jc w:val="both"/>
              <w:rPr>
                <w:rFonts w:cs="Arial"/>
                <w:sz w:val="20"/>
              </w:rPr>
            </w:pPr>
            <w:r w:rsidRPr="001E1EAA">
              <w:rPr>
                <w:rFonts w:cs="Arial"/>
                <w:sz w:val="20"/>
              </w:rPr>
              <w:t>Complete response</w:t>
            </w:r>
          </w:p>
          <w:p w14:paraId="0B3A318C" w14:textId="77777777" w:rsidR="0050635B" w:rsidRPr="001E1EAA" w:rsidRDefault="0050635B" w:rsidP="00C00B6A">
            <w:pPr>
              <w:pStyle w:val="ListParagraph"/>
              <w:numPr>
                <w:ilvl w:val="0"/>
                <w:numId w:val="24"/>
              </w:numPr>
              <w:spacing w:after="0" w:line="240" w:lineRule="auto"/>
              <w:jc w:val="both"/>
              <w:rPr>
                <w:rFonts w:cs="Arial"/>
                <w:sz w:val="20"/>
              </w:rPr>
            </w:pPr>
            <w:r w:rsidRPr="001E1EAA">
              <w:rPr>
                <w:rFonts w:cs="Arial"/>
                <w:sz w:val="20"/>
              </w:rPr>
              <w:t>Health-related quality of life</w:t>
            </w:r>
          </w:p>
          <w:p w14:paraId="4C5FF117" w14:textId="77777777" w:rsidR="001E1EAA" w:rsidRPr="001E1EAA" w:rsidRDefault="001E1EAA" w:rsidP="001E1EAA">
            <w:pPr>
              <w:spacing w:after="0" w:line="240" w:lineRule="auto"/>
              <w:jc w:val="both"/>
              <w:rPr>
                <w:rFonts w:cs="Arial"/>
                <w:sz w:val="20"/>
              </w:rPr>
            </w:pPr>
          </w:p>
          <w:p w14:paraId="481AABE0" w14:textId="77777777" w:rsidR="001E1EAA" w:rsidRPr="001E1EAA" w:rsidRDefault="001E1EAA" w:rsidP="001E1EAA">
            <w:pPr>
              <w:spacing w:after="0" w:line="240" w:lineRule="auto"/>
              <w:jc w:val="both"/>
              <w:rPr>
                <w:rFonts w:cs="Arial"/>
                <w:b/>
                <w:sz w:val="20"/>
              </w:rPr>
            </w:pPr>
            <w:r w:rsidRPr="001E1EAA">
              <w:rPr>
                <w:rFonts w:cs="Arial"/>
                <w:b/>
                <w:sz w:val="20"/>
              </w:rPr>
              <w:t>Healthcare system:</w:t>
            </w:r>
          </w:p>
          <w:p w14:paraId="42409CCC" w14:textId="6E4BF23B" w:rsidR="001E1EAA" w:rsidRPr="001E1EAA" w:rsidRDefault="001E1EAA" w:rsidP="001E1EAA">
            <w:pPr>
              <w:pStyle w:val="ListParagraph"/>
              <w:numPr>
                <w:ilvl w:val="0"/>
                <w:numId w:val="33"/>
              </w:numPr>
              <w:jc w:val="both"/>
              <w:rPr>
                <w:sz w:val="20"/>
              </w:rPr>
            </w:pPr>
            <w:r w:rsidRPr="001E1EAA">
              <w:rPr>
                <w:sz w:val="20"/>
              </w:rPr>
              <w:t xml:space="preserve">Cost of testing per patient </w:t>
            </w:r>
            <w:r w:rsidR="005B5B7F">
              <w:rPr>
                <w:sz w:val="20"/>
              </w:rPr>
              <w:t>with</w:t>
            </w:r>
            <w:r w:rsidRPr="001E1EAA">
              <w:rPr>
                <w:sz w:val="20"/>
              </w:rPr>
              <w:t xml:space="preserve"> associate</w:t>
            </w:r>
            <w:r w:rsidR="005B5B7F">
              <w:rPr>
                <w:sz w:val="20"/>
              </w:rPr>
              <w:t>d</w:t>
            </w:r>
            <w:r w:rsidRPr="001E1EAA">
              <w:rPr>
                <w:sz w:val="20"/>
              </w:rPr>
              <w:t xml:space="preserve"> re-biopsies</w:t>
            </w:r>
          </w:p>
          <w:p w14:paraId="43CC1194" w14:textId="77777777" w:rsidR="001E1EAA" w:rsidRPr="001E1EAA" w:rsidRDefault="001E1EAA" w:rsidP="001E1EAA">
            <w:pPr>
              <w:pStyle w:val="ListParagraph"/>
              <w:numPr>
                <w:ilvl w:val="0"/>
                <w:numId w:val="33"/>
              </w:numPr>
              <w:jc w:val="both"/>
              <w:rPr>
                <w:sz w:val="20"/>
              </w:rPr>
            </w:pPr>
            <w:r w:rsidRPr="001E1EAA">
              <w:rPr>
                <w:sz w:val="20"/>
              </w:rPr>
              <w:t>Cost-effectiveness of testing and treatment</w:t>
            </w:r>
          </w:p>
          <w:p w14:paraId="35ADA33D" w14:textId="3C8D432E" w:rsidR="001E1EAA" w:rsidRPr="00B23873" w:rsidRDefault="001E1EAA" w:rsidP="00B23873">
            <w:pPr>
              <w:pStyle w:val="ListParagraph"/>
              <w:numPr>
                <w:ilvl w:val="0"/>
                <w:numId w:val="33"/>
              </w:numPr>
              <w:jc w:val="both"/>
              <w:rPr>
                <w:sz w:val="20"/>
              </w:rPr>
            </w:pPr>
            <w:r w:rsidRPr="001E1EAA">
              <w:rPr>
                <w:sz w:val="20"/>
              </w:rPr>
              <w:t>Financial implications</w:t>
            </w:r>
          </w:p>
        </w:tc>
      </w:tr>
    </w:tbl>
    <w:p w14:paraId="458072B3" w14:textId="66F909B6" w:rsidR="007F4E20" w:rsidRPr="00383DF5" w:rsidRDefault="00E364F7" w:rsidP="00C00B6A">
      <w:pPr>
        <w:pStyle w:val="Heading2"/>
        <w:spacing w:line="240" w:lineRule="auto"/>
        <w:jc w:val="both"/>
        <w:rPr>
          <w:color w:val="548DD4"/>
          <w:u w:val="none"/>
        </w:rPr>
      </w:pPr>
      <w:r w:rsidRPr="00383DF5">
        <w:rPr>
          <w:color w:val="548DD4"/>
          <w:u w:val="none"/>
        </w:rPr>
        <w:lastRenderedPageBreak/>
        <w:t>PICO</w:t>
      </w:r>
      <w:r w:rsidR="00953ED7" w:rsidRPr="00383DF5">
        <w:rPr>
          <w:color w:val="548DD4"/>
          <w:u w:val="none"/>
        </w:rPr>
        <w:t xml:space="preserve"> or PPICO</w:t>
      </w:r>
      <w:r w:rsidRPr="00383DF5">
        <w:rPr>
          <w:color w:val="548DD4"/>
          <w:u w:val="none"/>
        </w:rPr>
        <w:t xml:space="preserve"> rationale</w:t>
      </w:r>
      <w:r w:rsidR="006D1643" w:rsidRPr="00383DF5">
        <w:rPr>
          <w:color w:val="548DD4"/>
          <w:u w:val="none"/>
        </w:rPr>
        <w:t xml:space="preserve"> for therapeutic </w:t>
      </w:r>
      <w:r w:rsidR="00B45971" w:rsidRPr="00383DF5">
        <w:rPr>
          <w:color w:val="548DD4"/>
          <w:u w:val="none"/>
        </w:rPr>
        <w:t xml:space="preserve">and investigative </w:t>
      </w:r>
      <w:r w:rsidR="00BA63AA" w:rsidRPr="00383DF5">
        <w:rPr>
          <w:color w:val="548DD4"/>
          <w:u w:val="none"/>
        </w:rPr>
        <w:t>medical services only</w:t>
      </w:r>
    </w:p>
    <w:p w14:paraId="4FC601B7" w14:textId="0DCDEB2B" w:rsidR="00F558C1" w:rsidRDefault="00F558C1" w:rsidP="00953FB7">
      <w:pPr>
        <w:pStyle w:val="Heading3"/>
        <w:keepNext/>
        <w:jc w:val="both"/>
      </w:pPr>
      <w:r w:rsidRPr="00F558C1">
        <w:t xml:space="preserve">Research </w:t>
      </w:r>
      <w:r w:rsidR="005B5B7F" w:rsidRPr="00F558C1">
        <w:t>q</w:t>
      </w:r>
      <w:r w:rsidRPr="00F558C1">
        <w:t>uestions</w:t>
      </w:r>
    </w:p>
    <w:p w14:paraId="150CD962" w14:textId="55A4BF20" w:rsidR="00F558C1" w:rsidRDefault="00FE4177" w:rsidP="00C00B6A">
      <w:pPr>
        <w:jc w:val="both"/>
      </w:pPr>
      <w:r>
        <w:t xml:space="preserve">What is the safety, effectiveness and cost-effectiveness of </w:t>
      </w:r>
      <w:bookmarkStart w:id="3" w:name="_Hlk66157399"/>
      <w:r w:rsidR="00A97034" w:rsidRPr="00A97034">
        <w:rPr>
          <w:i/>
        </w:rPr>
        <w:t>KRAS</w:t>
      </w:r>
      <w:r w:rsidR="00A97034" w:rsidRPr="00A97034">
        <w:t xml:space="preserve"> G12C</w:t>
      </w:r>
      <w:r w:rsidRPr="00FE4177">
        <w:t xml:space="preserve"> variant testing to determine eligibility for PBS-subsidised sotorasib second-line therapy in patients with locally advanced or metastatic NSCLC</w:t>
      </w:r>
      <w:bookmarkEnd w:id="3"/>
      <w:r w:rsidR="002610E6">
        <w:t xml:space="preserve">, </w:t>
      </w:r>
      <w:r w:rsidR="002610E6" w:rsidRPr="00284777">
        <w:t xml:space="preserve">shown to have non-squamous histology or histology not otherwise </w:t>
      </w:r>
      <w:r w:rsidR="00BD0BDC" w:rsidRPr="00284777">
        <w:t>specified?</w:t>
      </w:r>
    </w:p>
    <w:p w14:paraId="7A3BABDF" w14:textId="0440E5E7" w:rsidR="002610E6" w:rsidRDefault="002610E6" w:rsidP="00C00B6A">
      <w:pPr>
        <w:jc w:val="both"/>
      </w:pPr>
      <w:r>
        <w:t xml:space="preserve">Do results from </w:t>
      </w:r>
      <w:r w:rsidR="00A97034" w:rsidRPr="00A97034">
        <w:rPr>
          <w:i/>
        </w:rPr>
        <w:t>KRAS</w:t>
      </w:r>
      <w:r w:rsidR="00A97034" w:rsidRPr="00A97034">
        <w:t xml:space="preserve"> G12C</w:t>
      </w:r>
      <w:r w:rsidRPr="00FE4177">
        <w:t xml:space="preserve"> variant testing </w:t>
      </w:r>
      <w:r>
        <w:rPr>
          <w:rFonts w:cs="Arial"/>
        </w:rPr>
        <w:t xml:space="preserve">predict a treatment effect modification with </w:t>
      </w:r>
      <w:r w:rsidRPr="00FE4177">
        <w:t>sotorasib</w:t>
      </w:r>
      <w:r>
        <w:t>?</w:t>
      </w:r>
      <w:r w:rsidR="005D0C3D">
        <w:t xml:space="preserve"> Is this distinguishable from the variation in prognosis following the results of </w:t>
      </w:r>
      <w:r w:rsidR="00A97034" w:rsidRPr="00A97034">
        <w:rPr>
          <w:i/>
        </w:rPr>
        <w:t>KRAS</w:t>
      </w:r>
      <w:r w:rsidR="00A97034" w:rsidRPr="00A97034">
        <w:t xml:space="preserve"> G12C</w:t>
      </w:r>
      <w:r w:rsidR="005D0C3D" w:rsidRPr="00FE4177">
        <w:t xml:space="preserve"> variant testing</w:t>
      </w:r>
      <w:r w:rsidR="005D0C3D">
        <w:t>?</w:t>
      </w:r>
    </w:p>
    <w:p w14:paraId="3FDFC6DD" w14:textId="486DB905" w:rsidR="00E24AB9" w:rsidRDefault="00E24AB9" w:rsidP="00C00B6A">
      <w:pPr>
        <w:jc w:val="both"/>
      </w:pPr>
      <w:r>
        <w:rPr>
          <w:rFonts w:cs="Arial"/>
        </w:rPr>
        <w:t xml:space="preserve">How will the range of testing options likely to be used in Australian pathology practices compare (in regard to the extent of positive and negative discordance) to the </w:t>
      </w:r>
      <w:r w:rsidR="00B7433A">
        <w:rPr>
          <w:rFonts w:cs="Arial"/>
        </w:rPr>
        <w:t>clinical utility</w:t>
      </w:r>
      <w:r>
        <w:rPr>
          <w:rFonts w:cs="Arial"/>
        </w:rPr>
        <w:t xml:space="preserve"> standard?</w:t>
      </w:r>
    </w:p>
    <w:p w14:paraId="3F092046" w14:textId="1C90ABC7" w:rsidR="002610E6" w:rsidRPr="00F558C1" w:rsidRDefault="005F4666" w:rsidP="00C00B6A">
      <w:pPr>
        <w:jc w:val="both"/>
      </w:pPr>
      <w:r>
        <w:t xml:space="preserve">Is the </w:t>
      </w:r>
      <w:r>
        <w:rPr>
          <w:rFonts w:cs="Arial"/>
        </w:rPr>
        <w:t xml:space="preserve">proposed </w:t>
      </w:r>
      <w:r w:rsidR="00A97034" w:rsidRPr="00A97034">
        <w:rPr>
          <w:i/>
        </w:rPr>
        <w:t>KRAS</w:t>
      </w:r>
      <w:r w:rsidR="00A97034" w:rsidRPr="00A97034">
        <w:t xml:space="preserve"> G12C</w:t>
      </w:r>
      <w:r w:rsidRPr="00FE4177">
        <w:t xml:space="preserve"> variant testing </w:t>
      </w:r>
      <w:r>
        <w:t>safe in the test-eligible population compared with no testing?</w:t>
      </w:r>
    </w:p>
    <w:p w14:paraId="6BBD28C6" w14:textId="42674FC8" w:rsidR="00896845" w:rsidRDefault="00896845" w:rsidP="00C00B6A">
      <w:pPr>
        <w:pStyle w:val="Heading3"/>
        <w:jc w:val="both"/>
      </w:pPr>
      <w:r w:rsidRPr="00E364F7">
        <w:t>Population</w:t>
      </w:r>
    </w:p>
    <w:p w14:paraId="700F730A" w14:textId="04FA12A4" w:rsidR="004B0623" w:rsidRPr="008B72D1" w:rsidRDefault="004B0623" w:rsidP="009A20EA">
      <w:pPr>
        <w:spacing w:before="200"/>
        <w:jc w:val="both"/>
      </w:pPr>
      <w:r w:rsidRPr="0050635B">
        <w:rPr>
          <w:rFonts w:cs="Arial"/>
          <w:b/>
        </w:rPr>
        <w:t>Test:</w:t>
      </w:r>
      <w:r w:rsidRPr="0050635B">
        <w:rPr>
          <w:rFonts w:cs="Arial"/>
        </w:rPr>
        <w:t xml:space="preserve"> </w:t>
      </w:r>
      <w:r w:rsidR="008B72D1" w:rsidRPr="008B72D1">
        <w:t xml:space="preserve">The </w:t>
      </w:r>
      <w:r w:rsidR="009A4861">
        <w:t xml:space="preserve">applicant </w:t>
      </w:r>
      <w:r w:rsidR="00EA040C">
        <w:t xml:space="preserve">proposed </w:t>
      </w:r>
      <w:r w:rsidR="008B72D1" w:rsidRPr="008B72D1">
        <w:t xml:space="preserve">population for testing of </w:t>
      </w:r>
      <w:r w:rsidR="00A97034" w:rsidRPr="00A97034">
        <w:rPr>
          <w:i/>
        </w:rPr>
        <w:t>KRAS</w:t>
      </w:r>
      <w:r w:rsidR="00A97034" w:rsidRPr="00A97034">
        <w:t xml:space="preserve"> G12C</w:t>
      </w:r>
      <w:r w:rsidR="008B72D1" w:rsidRPr="008B72D1">
        <w:t xml:space="preserve"> </w:t>
      </w:r>
      <w:r w:rsidR="00AA6446">
        <w:t>is</w:t>
      </w:r>
      <w:r w:rsidR="00EA040C" w:rsidRPr="008B72D1">
        <w:t xml:space="preserve"> </w:t>
      </w:r>
      <w:r w:rsidR="009A4861" w:rsidRPr="00D734F1">
        <w:rPr>
          <w:iCs/>
        </w:rPr>
        <w:t>“</w:t>
      </w:r>
      <w:r w:rsidR="008B72D1" w:rsidRPr="00D734F1">
        <w:rPr>
          <w:iCs/>
        </w:rPr>
        <w:t xml:space="preserve">patients </w:t>
      </w:r>
      <w:r w:rsidR="009A4861" w:rsidRPr="00D734F1">
        <w:rPr>
          <w:iCs/>
        </w:rPr>
        <w:t xml:space="preserve">diagnosed </w:t>
      </w:r>
      <w:r w:rsidR="008B72D1" w:rsidRPr="00D734F1">
        <w:rPr>
          <w:iCs/>
        </w:rPr>
        <w:t xml:space="preserve">with non-squamous </w:t>
      </w:r>
      <w:r w:rsidR="0010623F" w:rsidRPr="00D734F1">
        <w:rPr>
          <w:iCs/>
        </w:rPr>
        <w:t xml:space="preserve">histology </w:t>
      </w:r>
      <w:r w:rsidRPr="00D734F1">
        <w:rPr>
          <w:iCs/>
        </w:rPr>
        <w:t xml:space="preserve">or histology </w:t>
      </w:r>
      <w:r w:rsidR="008B72D1" w:rsidRPr="00D734F1">
        <w:rPr>
          <w:iCs/>
        </w:rPr>
        <w:t>not otherwise specified (NOS)</w:t>
      </w:r>
      <w:r w:rsidRPr="00D734F1">
        <w:rPr>
          <w:iCs/>
        </w:rPr>
        <w:t xml:space="preserve"> non-small cell lung cancer (NSCLC)</w:t>
      </w:r>
      <w:r w:rsidR="009A4861" w:rsidRPr="00D734F1">
        <w:rPr>
          <w:iCs/>
        </w:rPr>
        <w:t>”</w:t>
      </w:r>
      <w:r w:rsidR="008B72D1" w:rsidRPr="00D734F1">
        <w:rPr>
          <w:iCs/>
        </w:rPr>
        <w:t>,</w:t>
      </w:r>
      <w:r w:rsidR="008B72D1" w:rsidRPr="008B72D1">
        <w:t xml:space="preserve"> </w:t>
      </w:r>
      <w:r w:rsidR="00AA6446">
        <w:t>at the point of diagnosis,</w:t>
      </w:r>
      <w:r w:rsidR="00AA6446" w:rsidRPr="008B72D1">
        <w:t xml:space="preserve"> </w:t>
      </w:r>
      <w:r w:rsidR="008B72D1" w:rsidRPr="008B72D1">
        <w:t xml:space="preserve">to determine their eligibility for PBS-subsidised </w:t>
      </w:r>
      <w:r w:rsidR="0023438A">
        <w:t>second-line treatment with sotorasib</w:t>
      </w:r>
      <w:r w:rsidR="00961178">
        <w:t xml:space="preserve"> of locally advanced or metastatic disease</w:t>
      </w:r>
      <w:r w:rsidR="0023438A">
        <w:t>.</w:t>
      </w:r>
    </w:p>
    <w:p w14:paraId="46B0CDC7" w14:textId="439F14E4" w:rsidR="004B0623" w:rsidRPr="008B72D1" w:rsidRDefault="004B0623" w:rsidP="008B72D1">
      <w:pPr>
        <w:jc w:val="both"/>
      </w:pPr>
      <w:r w:rsidRPr="008B72D1">
        <w:rPr>
          <w:b/>
        </w:rPr>
        <w:t>Drug:</w:t>
      </w:r>
      <w:r w:rsidRPr="008B72D1">
        <w:t xml:space="preserve"> </w:t>
      </w:r>
      <w:r w:rsidR="003B0D6E" w:rsidRPr="003B0D6E">
        <w:t xml:space="preserve">Patients with </w:t>
      </w:r>
      <w:r w:rsidR="00953FB7">
        <w:t xml:space="preserve">histologically or cytologically confirmed </w:t>
      </w:r>
      <w:r w:rsidR="003B0D6E" w:rsidRPr="003B0D6E">
        <w:t>non-squamous or not otherwise specified (NOS) stage IIIB (locally advanced) or Stage IV (metastatic) NSCLC, with WHO performance status 0-2, who have progressed on prior therapy, and who</w:t>
      </w:r>
      <w:r w:rsidR="00953FB7">
        <w:t>se tumour has the</w:t>
      </w:r>
      <w:r w:rsidR="003B0D6E" w:rsidRPr="003B0D6E">
        <w:t xml:space="preserve"> Kirsten rat sarcoma (</w:t>
      </w:r>
      <w:r w:rsidR="00A97034" w:rsidRPr="00A97034">
        <w:rPr>
          <w:i/>
        </w:rPr>
        <w:t>KRAS</w:t>
      </w:r>
      <w:r w:rsidR="003B0D6E" w:rsidRPr="003B0D6E">
        <w:t>) G12C variant.</w:t>
      </w:r>
    </w:p>
    <w:p w14:paraId="04841D84" w14:textId="4DD38562" w:rsidR="000D274A" w:rsidRDefault="007B31A3" w:rsidP="004B0623">
      <w:pPr>
        <w:pStyle w:val="Heading4"/>
        <w:jc w:val="both"/>
        <w:rPr>
          <w:rFonts w:ascii="Calibri" w:hAnsi="Calibri" w:cs="Calibri"/>
          <w:color w:val="auto"/>
          <w:u w:val="single"/>
        </w:rPr>
      </w:pPr>
      <w:r>
        <w:rPr>
          <w:rFonts w:ascii="Calibri" w:hAnsi="Calibri" w:cs="Calibri"/>
          <w:color w:val="auto"/>
          <w:u w:val="single"/>
        </w:rPr>
        <w:t>Background</w:t>
      </w:r>
    </w:p>
    <w:p w14:paraId="1C32C105" w14:textId="345FCD02" w:rsidR="00A0509C" w:rsidRDefault="00CE7CF5" w:rsidP="00C00B6A">
      <w:pPr>
        <w:jc w:val="both"/>
      </w:pPr>
      <w:r>
        <w:t xml:space="preserve">With more than 2 million new cases each year, lung cancer remains </w:t>
      </w:r>
      <w:r w:rsidR="0087697E">
        <w:t xml:space="preserve">one of </w:t>
      </w:r>
      <w:r w:rsidR="00902F4B">
        <w:t>the most common cancer</w:t>
      </w:r>
      <w:r w:rsidR="0091130F">
        <w:t>s</w:t>
      </w:r>
      <w:r w:rsidR="00902F4B">
        <w:t xml:space="preserve"> worldwide</w:t>
      </w:r>
      <w:r w:rsidR="0087697E">
        <w:t xml:space="preserve"> </w:t>
      </w:r>
      <w:r w:rsidR="0087697E">
        <w:fldChar w:fldCharType="begin"/>
      </w:r>
      <w:r w:rsidR="00825F5C">
        <w:instrText xml:space="preserve"> ADDIN EN.CITE &lt;EndNote&gt;&lt;Cite&gt;&lt;Author&gt;Sung&lt;/Author&gt;&lt;Year&gt;2021&lt;/Year&gt;&lt;RecNum&gt;39&lt;/RecNum&gt;&lt;DisplayText&gt;(Sung et al. 2021)&lt;/DisplayText&gt;&lt;record&gt;&lt;rec-number&gt;39&lt;/rec-number&gt;&lt;foreign-keys&gt;&lt;key app="EN" db-id="sxzw59f9u2erpaezf9mv0ptm9rwfzp5999rs" timestamp="1624856902"&gt;39&lt;/key&gt;&lt;/foreign-keys&gt;&lt;ref-type name="Journal Article"&gt;17&lt;/ref-type&gt;&lt;contributors&gt;&lt;authors&gt;&lt;author&gt;Sung, Hyuna&lt;/author&gt;&lt;author&gt;Ferlay, Jacques&lt;/author&gt;&lt;author&gt;Siegel, Rebecca L.&lt;/author&gt;&lt;author&gt;Laversanne, Mathieu&lt;/author&gt;&lt;author&gt;Soerjomataram, Isabelle&lt;/author&gt;&lt;author&gt;Jemal, Ahmedin&lt;/author&gt;&lt;author&gt;Bray, Freddie&lt;/author&gt;&lt;/authors&gt;&lt;/contributors&gt;&lt;titles&gt;&lt;title&gt;Global Cancer Statistics 2020: GLOBOCAN Estimates of Incidence and Mortality Worldwide for 36 Cancers in 185 Countries&lt;/title&gt;&lt;secondary-title&gt;CA: A Cancer Journal for Clinicians&lt;/secondary-title&gt;&lt;/titles&gt;&lt;periodical&gt;&lt;full-title&gt;CA: A Cancer Journal for Clinicians&lt;/full-title&gt;&lt;/periodical&gt;&lt;pages&gt;209-249&lt;/pages&gt;&lt;volume&gt;71&lt;/volume&gt;&lt;number&gt;3&lt;/number&gt;&lt;dates&gt;&lt;year&gt;2021&lt;/year&gt;&lt;/dates&gt;&lt;isbn&gt;0007-9235&lt;/isbn&gt;&lt;urls&gt;&lt;related-urls&gt;&lt;url&gt;https://acsjournals.onlinelibrary.wiley.com/doi/abs/10.3322/caac.21660&lt;/url&gt;&lt;/related-urls&gt;&lt;/urls&gt;&lt;electronic-resource-num&gt;https://doi.org/10.3322/caac.21660&lt;/electronic-resource-num&gt;&lt;/record&gt;&lt;/Cite&gt;&lt;/EndNote&gt;</w:instrText>
      </w:r>
      <w:r w:rsidR="0087697E">
        <w:fldChar w:fldCharType="separate"/>
      </w:r>
      <w:r w:rsidR="00825F5C">
        <w:rPr>
          <w:noProof/>
        </w:rPr>
        <w:t>(Sung et al. 2021)</w:t>
      </w:r>
      <w:r w:rsidR="0087697E">
        <w:fldChar w:fldCharType="end"/>
      </w:r>
      <w:r w:rsidR="00902F4B">
        <w:t>. In Australia, l</w:t>
      </w:r>
      <w:r w:rsidR="00555EB2">
        <w:t>ung cancer was the 5</w:t>
      </w:r>
      <w:r w:rsidR="00555EB2" w:rsidRPr="00555EB2">
        <w:rPr>
          <w:vertAlign w:val="superscript"/>
        </w:rPr>
        <w:t>th</w:t>
      </w:r>
      <w:r w:rsidR="00555EB2">
        <w:t xml:space="preserve"> mo</w:t>
      </w:r>
      <w:r w:rsidR="00902F4B">
        <w:t>st commonly diagnosed cancer</w:t>
      </w:r>
      <w:r w:rsidR="00555EB2">
        <w:t xml:space="preserve"> and estimated to remain 5</w:t>
      </w:r>
      <w:r w:rsidR="00555EB2" w:rsidRPr="00555EB2">
        <w:rPr>
          <w:vertAlign w:val="superscript"/>
        </w:rPr>
        <w:t>th</w:t>
      </w:r>
      <w:r w:rsidR="00555EB2">
        <w:t xml:space="preserve"> most commonly diagnosed in 2021</w:t>
      </w:r>
      <w:r w:rsidR="0023438A">
        <w:t xml:space="preserve"> </w:t>
      </w:r>
      <w:r w:rsidR="0023438A">
        <w:fldChar w:fldCharType="begin"/>
      </w:r>
      <w:r w:rsidR="0023438A">
        <w:instrText xml:space="preserve"> ADDIN EN.CITE &lt;EndNote&gt;&lt;Cite&gt;&lt;Author&gt;AIHW&lt;/Author&gt;&lt;Year&gt;2021&lt;/Year&gt;&lt;RecNum&gt;37&lt;/RecNum&gt;&lt;DisplayText&gt;(AIHW 2021)&lt;/DisplayText&gt;&lt;record&gt;&lt;rec-number&gt;37&lt;/rec-number&gt;&lt;foreign-keys&gt;&lt;key app="EN" db-id="sxzw59f9u2erpaezf9mv0ptm9rwfzp5999rs" timestamp="1624855861"&gt;37&lt;/key&gt;&lt;/foreign-keys&gt;&lt;ref-type name="Report"&gt;27&lt;/ref-type&gt;&lt;contributors&gt;&lt;authors&gt;&lt;author&gt;AIHW&lt;/author&gt;&lt;/authors&gt;&lt;/contributors&gt;&lt;titles&gt;&lt;title&gt;Cancer data in Australia&lt;/title&gt;&lt;/titles&gt;&lt;dates&gt;&lt;year&gt;2021&lt;/year&gt;&lt;/dates&gt;&lt;pub-location&gt;Canberra&lt;/pub-location&gt;&lt;publisher&gt;AIHW&lt;/publisher&gt;&lt;urls&gt;&lt;related-urls&gt;&lt;url&gt;https://www.aihw.gov.au/reports/cancer/cancer-data-in-australia&lt;/url&gt;&lt;/related-urls&gt;&lt;/urls&gt;&lt;/record&gt;&lt;/Cite&gt;&lt;/EndNote&gt;</w:instrText>
      </w:r>
      <w:r w:rsidR="0023438A">
        <w:fldChar w:fldCharType="separate"/>
      </w:r>
      <w:r w:rsidR="0023438A">
        <w:rPr>
          <w:noProof/>
        </w:rPr>
        <w:t>(AIHW 2021)</w:t>
      </w:r>
      <w:r w:rsidR="0023438A">
        <w:fldChar w:fldCharType="end"/>
      </w:r>
      <w:r w:rsidR="00555EB2">
        <w:t xml:space="preserve">. It is estimated that there </w:t>
      </w:r>
      <w:r w:rsidR="008217AB">
        <w:t>will</w:t>
      </w:r>
      <w:r w:rsidR="00555EB2">
        <w:t xml:space="preserve"> be 13,810 cases of lung cancer diagnosed in 2021 in Australia increasing from 13,610 in 2020</w:t>
      </w:r>
      <w:r w:rsidR="0087697E">
        <w:t xml:space="preserve"> </w:t>
      </w:r>
      <w:r w:rsidR="007A6076">
        <w:fldChar w:fldCharType="begin"/>
      </w:r>
      <w:r w:rsidR="007A6076">
        <w:instrText xml:space="preserve"> ADDIN EN.CITE &lt;EndNote&gt;&lt;Cite&gt;&lt;Author&gt;AIHW&lt;/Author&gt;&lt;Year&gt;2021&lt;/Year&gt;&lt;RecNum&gt;37&lt;/RecNum&gt;&lt;DisplayText&gt;(AIHW 2021)&lt;/DisplayText&gt;&lt;record&gt;&lt;rec-number&gt;37&lt;/rec-number&gt;&lt;foreign-keys&gt;&lt;key app="EN" db-id="sxzw59f9u2erpaezf9mv0ptm9rwfzp5999rs" timestamp="1624855861"&gt;37&lt;/key&gt;&lt;/foreign-keys&gt;&lt;ref-type name="Report"&gt;27&lt;/ref-type&gt;&lt;contributors&gt;&lt;authors&gt;&lt;author&gt;AIHW&lt;/author&gt;&lt;/authors&gt;&lt;/contributors&gt;&lt;titles&gt;&lt;title&gt;Cancer data in Australia&lt;/title&gt;&lt;/titles&gt;&lt;dates&gt;&lt;year&gt;2021&lt;/year&gt;&lt;/dates&gt;&lt;pub-location&gt;Canberra&lt;/pub-location&gt;&lt;publisher&gt;AIHW&lt;/publisher&gt;&lt;urls&gt;&lt;related-urls&gt;&lt;url&gt;https://www.aihw.gov.au/reports/cancer/cancer-data-in-australia&lt;/url&gt;&lt;/related-urls&gt;&lt;/urls&gt;&lt;/record&gt;&lt;/Cite&gt;&lt;/EndNote&gt;</w:instrText>
      </w:r>
      <w:r w:rsidR="007A6076">
        <w:fldChar w:fldCharType="separate"/>
      </w:r>
      <w:r w:rsidR="007A6076">
        <w:rPr>
          <w:noProof/>
        </w:rPr>
        <w:t>(AIHW 2021)</w:t>
      </w:r>
      <w:r w:rsidR="007A6076">
        <w:fldChar w:fldCharType="end"/>
      </w:r>
      <w:r w:rsidR="00555EB2">
        <w:t xml:space="preserve">. With the current age-standardised incidence rate of 42.6 per 100,000 people, the incidence rate of lung cancer is </w:t>
      </w:r>
      <w:r w:rsidR="009A4861">
        <w:t xml:space="preserve">only </w:t>
      </w:r>
      <w:r w:rsidR="00555EB2">
        <w:t>expected to increase with age. Lung cancer is the leading cause of death among all the cancers in Australia with an estimated 26.5 deaths per 100,000 people in 2021</w:t>
      </w:r>
      <w:r w:rsidR="0087697E">
        <w:t xml:space="preserve"> </w:t>
      </w:r>
      <w:r w:rsidR="007A6076">
        <w:fldChar w:fldCharType="begin"/>
      </w:r>
      <w:r w:rsidR="007A6076">
        <w:instrText xml:space="preserve"> ADDIN EN.CITE &lt;EndNote&gt;&lt;Cite&gt;&lt;Author&gt;AIHW&lt;/Author&gt;&lt;Year&gt;2021&lt;/Year&gt;&lt;RecNum&gt;37&lt;/RecNum&gt;&lt;DisplayText&gt;(AIHW 2021)&lt;/DisplayText&gt;&lt;record&gt;&lt;rec-number&gt;37&lt;/rec-number&gt;&lt;foreign-keys&gt;&lt;key app="EN" db-id="sxzw59f9u2erpaezf9mv0ptm9rwfzp5999rs" timestamp="1624855861"&gt;37&lt;/key&gt;&lt;/foreign-keys&gt;&lt;ref-type name="Report"&gt;27&lt;/ref-type&gt;&lt;contributors&gt;&lt;authors&gt;&lt;author&gt;AIHW&lt;/author&gt;&lt;/authors&gt;&lt;/contributors&gt;&lt;titles&gt;&lt;title&gt;Cancer data in Australia&lt;/title&gt;&lt;/titles&gt;&lt;dates&gt;&lt;year&gt;2021&lt;/year&gt;&lt;/dates&gt;&lt;pub-location&gt;Canberra&lt;/pub-location&gt;&lt;publisher&gt;AIHW&lt;/publisher&gt;&lt;urls&gt;&lt;related-urls&gt;&lt;url&gt;https://www.aihw.gov.au/reports/cancer/cancer-data-in-australia&lt;/url&gt;&lt;/related-urls&gt;&lt;/urls&gt;&lt;/record&gt;&lt;/Cite&gt;&lt;/EndNote&gt;</w:instrText>
      </w:r>
      <w:r w:rsidR="007A6076">
        <w:fldChar w:fldCharType="separate"/>
      </w:r>
      <w:r w:rsidR="007A6076">
        <w:rPr>
          <w:noProof/>
        </w:rPr>
        <w:t>(AIHW 2021)</w:t>
      </w:r>
      <w:r w:rsidR="007A6076">
        <w:fldChar w:fldCharType="end"/>
      </w:r>
      <w:r w:rsidR="009A4861">
        <w:t xml:space="preserve"> and it is estimated that 8,693 people will die with lung cancer in Australia in 2021. </w:t>
      </w:r>
      <w:r w:rsidR="00E77A92">
        <w:t xml:space="preserve">The five-year survival data </w:t>
      </w:r>
      <w:r w:rsidR="000351E1">
        <w:t>from 2013 to 2017 shows that only 20.2% of population diagnosed with lung cancer survived 5 years after diagnosis with a higher survival among females (24.7%) compared to males (17.0%)</w:t>
      </w:r>
      <w:r w:rsidR="0087697E">
        <w:t xml:space="preserve"> </w:t>
      </w:r>
      <w:r w:rsidR="0087697E">
        <w:fldChar w:fldCharType="begin"/>
      </w:r>
      <w:r w:rsidR="0087697E">
        <w:instrText xml:space="preserve"> ADDIN EN.CITE &lt;EndNote&gt;&lt;Cite&gt;&lt;Author&gt;AIHW&lt;/Author&gt;&lt;Year&gt;2021&lt;/Year&gt;&lt;RecNum&gt;37&lt;/RecNum&gt;&lt;DisplayText&gt;(AIHW 2021)&lt;/DisplayText&gt;&lt;record&gt;&lt;rec-number&gt;37&lt;/rec-number&gt;&lt;foreign-keys&gt;&lt;key app="EN" db-id="sxzw59f9u2erpaezf9mv0ptm9rwfzp5999rs" timestamp="1624855861"&gt;37&lt;/key&gt;&lt;/foreign-keys&gt;&lt;ref-type name="Report"&gt;27&lt;/ref-type&gt;&lt;contributors&gt;&lt;authors&gt;&lt;author&gt;AIHW&lt;/author&gt;&lt;/authors&gt;&lt;/contributors&gt;&lt;titles&gt;&lt;title&gt;Cancer data in Australia&lt;/title&gt;&lt;/titles&gt;&lt;dates&gt;&lt;year&gt;2021&lt;/year&gt;&lt;/dates&gt;&lt;pub-location&gt;Canberra&lt;/pub-location&gt;&lt;publisher&gt;AIHW&lt;/publisher&gt;&lt;urls&gt;&lt;related-urls&gt;&lt;url&gt;https://www.aihw.gov.au/reports/cancer/cancer-data-in-australia&lt;/url&gt;&lt;/related-urls&gt;&lt;/urls&gt;&lt;/record&gt;&lt;/Cite&gt;&lt;/EndNote&gt;</w:instrText>
      </w:r>
      <w:r w:rsidR="0087697E">
        <w:fldChar w:fldCharType="separate"/>
      </w:r>
      <w:r w:rsidR="0087697E">
        <w:rPr>
          <w:noProof/>
        </w:rPr>
        <w:t>(AIHW 2021)</w:t>
      </w:r>
      <w:r w:rsidR="0087697E">
        <w:fldChar w:fldCharType="end"/>
      </w:r>
      <w:r w:rsidR="000351E1">
        <w:t>.</w:t>
      </w:r>
    </w:p>
    <w:p w14:paraId="372845AD" w14:textId="77777777" w:rsidR="00D734F1" w:rsidRDefault="00D734F1">
      <w:r>
        <w:br w:type="page"/>
      </w:r>
    </w:p>
    <w:p w14:paraId="76E61CAC" w14:textId="27CE79ED" w:rsidR="000351E1" w:rsidRDefault="000351E1" w:rsidP="00C00B6A">
      <w:pPr>
        <w:jc w:val="both"/>
      </w:pPr>
      <w:r>
        <w:lastRenderedPageBreak/>
        <w:t xml:space="preserve">Lung cancers are classified into two </w:t>
      </w:r>
      <w:r w:rsidR="00AA6446">
        <w:t xml:space="preserve">main </w:t>
      </w:r>
      <w:r>
        <w:t>types; non-small cell lung cancer (NSCLC) and small cell lung cancer (SCLC)</w:t>
      </w:r>
      <w:r w:rsidR="00A0509C">
        <w:rPr>
          <w:rStyle w:val="FootnoteReference"/>
        </w:rPr>
        <w:footnoteReference w:id="2"/>
      </w:r>
      <w:r>
        <w:t>. NSCLC is the most common ty</w:t>
      </w:r>
      <w:r w:rsidR="007A6076">
        <w:t>pe accounting for about 86.6</w:t>
      </w:r>
      <w:r>
        <w:t>% of all lung cancers</w:t>
      </w:r>
      <w:r w:rsidR="0087697E">
        <w:t xml:space="preserve"> </w:t>
      </w:r>
      <w:r w:rsidR="007A6076">
        <w:fldChar w:fldCharType="begin">
          <w:fldData xml:space="preserve">PEVuZE5vdGU+PENpdGU+PEF1dGhvcj5NaXRjaGVsbDwvQXV0aG9yPjxZZWFyPjIwMTM8L1llYXI+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</w:fldData>
        </w:fldChar>
      </w:r>
      <w:r w:rsidR="00825F5C">
        <w:instrText xml:space="preserve"> ADDIN EN.CITE </w:instrText>
      </w:r>
      <w:r w:rsidR="00825F5C">
        <w:fldChar w:fldCharType="begin">
          <w:fldData xml:space="preserve">PEVuZE5vdGU+PENpdGU+PEF1dGhvcj5NaXRjaGVsbDwvQXV0aG9yPjxZZWFyPjIwMTM8L1llYXI+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</w:fldData>
        </w:fldChar>
      </w:r>
      <w:r w:rsidR="00825F5C">
        <w:instrText xml:space="preserve"> ADDIN EN.CITE.DATA </w:instrText>
      </w:r>
      <w:r w:rsidR="00825F5C">
        <w:fldChar w:fldCharType="end"/>
      </w:r>
      <w:r w:rsidR="007A6076">
        <w:fldChar w:fldCharType="separate"/>
      </w:r>
      <w:r w:rsidR="00825F5C">
        <w:rPr>
          <w:noProof/>
        </w:rPr>
        <w:t>(Mitchell et al. 2013)</w:t>
      </w:r>
      <w:r w:rsidR="007A6076">
        <w:fldChar w:fldCharType="end"/>
      </w:r>
      <w:r>
        <w:t>. NSCLC is further classified into three major sub-types:</w:t>
      </w:r>
    </w:p>
    <w:p w14:paraId="7E868548" w14:textId="71CD413B" w:rsidR="000351E1" w:rsidRDefault="000351E1" w:rsidP="00C00B6A">
      <w:pPr>
        <w:pStyle w:val="ListParagraph"/>
        <w:numPr>
          <w:ilvl w:val="0"/>
          <w:numId w:val="17"/>
        </w:numPr>
        <w:jc w:val="both"/>
      </w:pPr>
      <w:r>
        <w:t xml:space="preserve">Adenocarcinoma – This cancer </w:t>
      </w:r>
      <w:r w:rsidR="008217AB">
        <w:t xml:space="preserve">develops in mucus-producing cells and </w:t>
      </w:r>
      <w:r>
        <w:t>is commonly diagnosed in both smokers and no</w:t>
      </w:r>
      <w:r w:rsidR="008217AB">
        <w:t>n-smokers.</w:t>
      </w:r>
      <w:r>
        <w:t xml:space="preserve"> This accounts for about 40% of all lung cancers.</w:t>
      </w:r>
    </w:p>
    <w:p w14:paraId="5DE29E42" w14:textId="418545E7" w:rsidR="000351E1" w:rsidRDefault="000351E1" w:rsidP="00C00B6A">
      <w:pPr>
        <w:pStyle w:val="ListParagraph"/>
        <w:numPr>
          <w:ilvl w:val="0"/>
          <w:numId w:val="17"/>
        </w:numPr>
        <w:jc w:val="both"/>
      </w:pPr>
      <w:r>
        <w:t xml:space="preserve">Squamous cell carcinoma </w:t>
      </w:r>
      <w:r w:rsidR="008217AB">
        <w:t>–</w:t>
      </w:r>
      <w:r>
        <w:t xml:space="preserve"> </w:t>
      </w:r>
      <w:r w:rsidR="008217AB">
        <w:t>commonly develops in large airways of lungs.</w:t>
      </w:r>
    </w:p>
    <w:p w14:paraId="3ED92DCB" w14:textId="66BA23E4" w:rsidR="000351E1" w:rsidRDefault="008217AB" w:rsidP="00C00B6A">
      <w:pPr>
        <w:pStyle w:val="ListParagraph"/>
        <w:numPr>
          <w:ilvl w:val="0"/>
          <w:numId w:val="17"/>
        </w:numPr>
        <w:jc w:val="both"/>
      </w:pPr>
      <w:r>
        <w:t>Large cell carcinoma - can appear in any part of the lung and are not clearly squamous cell or adenocarcinoma.</w:t>
      </w:r>
    </w:p>
    <w:p w14:paraId="0DFFDBBD" w14:textId="5F1CE899" w:rsidR="002117AF" w:rsidRPr="000D274A" w:rsidRDefault="002117AF" w:rsidP="00C00B6A">
      <w:pPr>
        <w:jc w:val="both"/>
      </w:pPr>
      <w:r>
        <w:rPr>
          <w:color w:val="000000"/>
          <w:shd w:val="clear" w:color="auto" w:fill="FFFFFF"/>
        </w:rPr>
        <w:t>Approximately 30–40% of NSCLC patients present with metastatic disease at the time of diagnosis and about 30% of patients found to have locally advanced disease</w:t>
      </w:r>
      <w:r w:rsidR="00C90EE4">
        <w:rPr>
          <w:color w:val="000000"/>
          <w:shd w:val="clear" w:color="auto" w:fill="FFFFFF"/>
        </w:rPr>
        <w:t xml:space="preserve"> </w:t>
      </w:r>
      <w:r w:rsidR="0037393B">
        <w:rPr>
          <w:color w:val="000000"/>
          <w:shd w:val="clear" w:color="auto" w:fill="FFFFFF"/>
        </w:rPr>
        <w:fldChar w:fldCharType="begin"/>
      </w:r>
      <w:r w:rsidR="0037393B">
        <w:rPr>
          <w:color w:val="000000"/>
          <w:shd w:val="clear" w:color="auto" w:fill="FFFFFF"/>
        </w:rPr>
        <w:instrText xml:space="preserve"> ADDIN EN.CITE &lt;EndNote&gt;&lt;Cite&gt;&lt;Author&gt;Tamura&lt;/Author&gt;&lt;Year&gt;2015&lt;/Year&gt;&lt;RecNum&gt;40&lt;/RecNum&gt;&lt;DisplayText&gt;(Tamura et al. 2015)&lt;/DisplayText&gt;&lt;record&gt;&lt;rec-number&gt;40&lt;/rec-number&gt;&lt;foreign-keys&gt;&lt;key app="EN" db-id="sxzw59f9u2erpaezf9mv0ptm9rwfzp5999rs" timestamp="1624860208"&gt;40&lt;/key&gt;&lt;/foreign-keys&gt;&lt;ref-type name="Journal Article"&gt;17&lt;/ref-type&gt;&lt;contributors&gt;&lt;authors&gt;&lt;author&gt;Tamura, Tomohiro&lt;/author&gt;&lt;author&gt;Kurishima, Koichi&lt;/author&gt;&lt;author&gt;Nakazawa, Kensuke&lt;/author&gt;&lt;author&gt;Kagohashi, Katsunori&lt;/author&gt;&lt;author&gt;Ishikawa, Hiroichi&lt;/author&gt;&lt;author&gt;Satoh, Hiroaki&lt;/author&gt;&lt;author&gt;Hizawa, Nobuyuki&lt;/author&gt;&lt;/authors&gt;&lt;/contributors&gt;&lt;titles&gt;&lt;title&gt;Specific organ metastases and survival in metastatic non-small-cell lung cancer&lt;/title&gt;&lt;secondary-title&gt;Molecular and clinical oncology&lt;/secondary-title&gt;&lt;alt-title&gt;Mol Clin Oncol&lt;/alt-title&gt;&lt;/titles&gt;&lt;periodical&gt;&lt;full-title&gt;Molecular and clinical oncology&lt;/full-title&gt;&lt;abbr-1&gt;Mol Clin Oncol&lt;/abbr-1&gt;&lt;/periodical&gt;&lt;alt-periodical&gt;&lt;full-title&gt;Molecular and clinical oncology&lt;/full-title&gt;&lt;abbr-1&gt;Mol Clin Oncol&lt;/abbr-1&gt;&lt;/alt-periodical&gt;&lt;pages&gt;217-221&lt;/pages&gt;&lt;volume&gt;3&lt;/volume&gt;&lt;number&gt;1&lt;/number&gt;&lt;edition&gt;2014/09/04&lt;/edition&gt;&lt;keywords&gt;&lt;keyword&gt;metastasis&lt;/keyword&gt;&lt;keyword&gt;non-small-cell lung cancer&lt;/keyword&gt;&lt;keyword&gt;survival&lt;/keyword&gt;&lt;/keywords&gt;&lt;dates&gt;&lt;year&gt;2015&lt;/year&gt;&lt;/dates&gt;&lt;publisher&gt;D.A. Spandidos&lt;/publisher&gt;&lt;isbn&gt;2049-9450&amp;#xD;2049-9469&lt;/isbn&gt;&lt;accession-num&gt;25469298&lt;/accession-num&gt;&lt;urls&gt;&lt;related-urls&gt;&lt;url&gt;https://pubmed.ncbi.nlm.nih.gov/25469298&lt;/url&gt;&lt;url&gt;https://www.ncbi.nlm.nih.gov/pmc/articles/PMC4251107/&lt;/url&gt;&lt;/related-urls&gt;&lt;/urls&gt;&lt;electronic-resource-num&gt;10.3892/mco.2014.410&lt;/electronic-resource-num&gt;&lt;remote-database-name&gt;PubMed&lt;/remote-database-name&gt;&lt;language&gt;eng&lt;/language&gt;&lt;/record&gt;&lt;/Cite&gt;&lt;/EndNote&gt;</w:instrText>
      </w:r>
      <w:r w:rsidR="0037393B">
        <w:rPr>
          <w:color w:val="000000"/>
          <w:shd w:val="clear" w:color="auto" w:fill="FFFFFF"/>
        </w:rPr>
        <w:fldChar w:fldCharType="separate"/>
      </w:r>
      <w:r w:rsidR="0037393B">
        <w:rPr>
          <w:noProof/>
          <w:color w:val="000000"/>
          <w:shd w:val="clear" w:color="auto" w:fill="FFFFFF"/>
        </w:rPr>
        <w:t>(Tamura et al. 2015)</w:t>
      </w:r>
      <w:r w:rsidR="0037393B">
        <w:rPr>
          <w:color w:val="000000"/>
          <w:shd w:val="clear" w:color="auto" w:fill="FFFFFF"/>
        </w:rPr>
        <w:fldChar w:fldCharType="end"/>
      </w:r>
      <w:r w:rsidR="00C90EE4">
        <w:rPr>
          <w:color w:val="000000"/>
          <w:shd w:val="clear" w:color="auto" w:fill="FFFFFF"/>
        </w:rPr>
        <w:t xml:space="preserve"> </w:t>
      </w:r>
      <w:r w:rsidR="0037393B">
        <w:rPr>
          <w:color w:val="000000"/>
          <w:shd w:val="clear" w:color="auto" w:fill="FFFFFF"/>
        </w:rPr>
        <w:fldChar w:fldCharType="begin"/>
      </w:r>
      <w:r w:rsidR="0037393B">
        <w:rPr>
          <w:color w:val="000000"/>
          <w:shd w:val="clear" w:color="auto" w:fill="FFFFFF"/>
        </w:rPr>
        <w:instrText xml:space="preserve"> ADDIN EN.CITE &lt;EndNote&gt;&lt;Cite&gt;&lt;Author&gt;Filippi&lt;/Author&gt;&lt;Year&gt;2018&lt;/Year&gt;&lt;RecNum&gt;41&lt;/RecNum&gt;&lt;DisplayText&gt;(Filippi et al. 2018)&lt;/DisplayText&gt;&lt;record&gt;&lt;rec-number&gt;41&lt;/rec-number&gt;&lt;foreign-keys&gt;&lt;key app="EN" db-id="sxzw59f9u2erpaezf9mv0ptm9rwfzp5999rs" timestamp="1624860359"&gt;41&lt;/key&gt;&lt;/foreign-keys&gt;&lt;ref-type name="Journal Article"&gt;17&lt;/ref-type&gt;&lt;contributors&gt;&lt;authors&gt;&lt;author&gt;Filippi, Andrea Riccardo&lt;/author&gt;&lt;author&gt;Di Muzio, Jacopo&lt;/author&gt;&lt;author&gt;Badellino, Serena&lt;/author&gt;&lt;author&gt;Mantovani, Cristina&lt;/author&gt;&lt;author&gt;Ricardi, Umberto&lt;/author&gt;&lt;/authors&gt;&lt;/contributors&gt;&lt;titles&gt;&lt;title&gt;Locally-advanced non-small cell lung cancer: shall immunotherapy be a new chance?&lt;/title&gt;&lt;secondary-title&gt;Journal of thoracic disease&lt;/secondary-title&gt;&lt;alt-title&gt;J Thorac Dis&lt;/alt-title&gt;&lt;/titles&gt;&lt;periodical&gt;&lt;full-title&gt;Journal of thoracic disease&lt;/full-title&gt;&lt;abbr-1&gt;J Thorac Dis&lt;/abbr-1&gt;&lt;/periodical&gt;&lt;alt-periodical&gt;&lt;full-title&gt;Journal of thoracic disease&lt;/full-title&gt;&lt;abbr-1&gt;J Thorac Dis&lt;/abbr-1&gt;&lt;/alt-periodical&gt;&lt;pages&gt;S1461-S1467&lt;/pages&gt;&lt;volume&gt;10&lt;/volume&gt;&lt;number&gt;Suppl 13&lt;/number&gt;&lt;keywords&gt;&lt;keyword&gt;Radiotherapy&lt;/keyword&gt;&lt;keyword&gt;immunotherapy&lt;/keyword&gt;&lt;keyword&gt;locally advanced non-small cell lung cancer (NSCLC)&lt;/keyword&gt;&lt;/keywords&gt;&lt;dates&gt;&lt;year&gt;2018&lt;/year&gt;&lt;/dates&gt;&lt;publisher&gt;AME Publishing Company&lt;/publisher&gt;&lt;isbn&gt;2072-1439&amp;#xD;2077-6624&lt;/isbn&gt;&lt;accession-num&gt;29951297&lt;/accession-num&gt;&lt;urls&gt;&lt;related-urls&gt;&lt;url&gt;https://pubmed.ncbi.nlm.nih.gov/29951297&lt;/url&gt;&lt;url&gt;https://www.ncbi.nlm.nih.gov/pmc/articles/PMC5994493/&lt;/url&gt;&lt;/related-urls&gt;&lt;/urls&gt;&lt;electronic-resource-num&gt;10.21037/jtd.2017.12.53&lt;/electronic-resource-num&gt;&lt;remote-database-name&gt;PubMed&lt;/remote-database-name&gt;&lt;language&gt;eng&lt;/language&gt;&lt;/record&gt;&lt;/Cite&gt;&lt;/EndNote&gt;</w:instrText>
      </w:r>
      <w:r w:rsidR="0037393B">
        <w:rPr>
          <w:color w:val="000000"/>
          <w:shd w:val="clear" w:color="auto" w:fill="FFFFFF"/>
        </w:rPr>
        <w:fldChar w:fldCharType="separate"/>
      </w:r>
      <w:r w:rsidR="0037393B">
        <w:rPr>
          <w:noProof/>
          <w:color w:val="000000"/>
          <w:shd w:val="clear" w:color="auto" w:fill="FFFFFF"/>
        </w:rPr>
        <w:t>(Filippi et al. 2018)</w:t>
      </w:r>
      <w:r w:rsidR="0037393B">
        <w:rPr>
          <w:color w:val="000000"/>
          <w:shd w:val="clear" w:color="auto" w:fill="FFFFFF"/>
        </w:rPr>
        <w:fldChar w:fldCharType="end"/>
      </w:r>
      <w:r>
        <w:rPr>
          <w:color w:val="000000"/>
          <w:shd w:val="clear" w:color="auto" w:fill="FFFFFF"/>
        </w:rPr>
        <w:t>.</w:t>
      </w:r>
    </w:p>
    <w:p w14:paraId="7FB08F8E" w14:textId="6D7404DE" w:rsidR="00CC7328" w:rsidRPr="00CC7328" w:rsidRDefault="001E0F9A" w:rsidP="00CC7328">
      <w:pPr>
        <w:pStyle w:val="Heading4"/>
        <w:jc w:val="both"/>
        <w:rPr>
          <w:rFonts w:ascii="Calibri" w:hAnsi="Calibri" w:cs="Calibri"/>
          <w:color w:val="auto"/>
          <w:u w:val="single"/>
        </w:rPr>
      </w:pPr>
      <w:r w:rsidRPr="00CC7328">
        <w:rPr>
          <w:rFonts w:ascii="Calibri" w:hAnsi="Calibri" w:cs="Calibri"/>
          <w:color w:val="auto"/>
          <w:u w:val="single"/>
        </w:rPr>
        <w:t>Rationale</w:t>
      </w:r>
      <w:r>
        <w:rPr>
          <w:rFonts w:ascii="Calibri" w:hAnsi="Calibri" w:cs="Calibri"/>
          <w:color w:val="auto"/>
          <w:u w:val="single"/>
        </w:rPr>
        <w:t xml:space="preserve"> for testing b</w:t>
      </w:r>
      <w:r w:rsidR="007B31A3" w:rsidRPr="00CC7328">
        <w:rPr>
          <w:rFonts w:ascii="Calibri" w:hAnsi="Calibri" w:cs="Calibri"/>
          <w:color w:val="auto"/>
          <w:u w:val="single"/>
        </w:rPr>
        <w:t xml:space="preserve">iomarker – </w:t>
      </w:r>
      <w:r w:rsidR="00A97034" w:rsidRPr="005258C5">
        <w:rPr>
          <w:rFonts w:ascii="Calibri" w:hAnsi="Calibri" w:cs="Calibri"/>
          <w:color w:val="auto"/>
          <w:u w:val="single"/>
        </w:rPr>
        <w:t>KRAS G12C</w:t>
      </w:r>
      <w:r w:rsidR="005F4666" w:rsidRPr="00CC7328">
        <w:rPr>
          <w:rFonts w:ascii="Calibri" w:hAnsi="Calibri" w:cs="Calibri"/>
          <w:color w:val="auto"/>
          <w:u w:val="single"/>
        </w:rPr>
        <w:t xml:space="preserve"> in NSCLC</w:t>
      </w:r>
    </w:p>
    <w:p w14:paraId="5ED32ECB" w14:textId="12439685" w:rsidR="001E743F" w:rsidRDefault="00452B22" w:rsidP="00C00B6A">
      <w:pPr>
        <w:jc w:val="both"/>
      </w:pPr>
      <w:r>
        <w:t>Lung cancer represents one of the most mutated of solid tumo</w:t>
      </w:r>
      <w:r w:rsidR="00D44FB7">
        <w:t>u</w:t>
      </w:r>
      <w:r>
        <w:t xml:space="preserve">rs. Over the years, oncogenic drivers in NSCLC </w:t>
      </w:r>
      <w:r w:rsidR="008E67D9">
        <w:t>were</w:t>
      </w:r>
      <w:r>
        <w:t xml:space="preserve"> identified and several targeted therapies have been developed to benefit the </w:t>
      </w:r>
      <w:r w:rsidR="008E67D9">
        <w:t>patients</w:t>
      </w:r>
      <w:r>
        <w:t xml:space="preserve">. Molecular genotyping has now become common and guiding the clinical care of </w:t>
      </w:r>
      <w:r w:rsidR="008E67D9">
        <w:t>patients</w:t>
      </w:r>
      <w:r>
        <w:t xml:space="preserve"> with locally advanced or inoperable and metastatic lung adenocarcinomas</w:t>
      </w:r>
      <w:r w:rsidR="006C0BC7">
        <w:t>.</w:t>
      </w:r>
    </w:p>
    <w:p w14:paraId="6DE47609" w14:textId="30AF05A9" w:rsidR="00CC7328" w:rsidRPr="00CC7328" w:rsidRDefault="0008404A" w:rsidP="00C00B6A">
      <w:pPr>
        <w:jc w:val="both"/>
      </w:pPr>
      <w:r w:rsidRPr="00CC7328">
        <w:t>Kirsten rat sarcoma (</w:t>
      </w:r>
      <w:r w:rsidR="00A97034" w:rsidRPr="00A97034">
        <w:rPr>
          <w:i/>
        </w:rPr>
        <w:t>KRAS</w:t>
      </w:r>
      <w:r w:rsidRPr="00CC7328">
        <w:t>)</w:t>
      </w:r>
      <w:r>
        <w:t xml:space="preserve"> oncogene is a G-protein with intrinsic GTPase activity and activating </w:t>
      </w:r>
      <w:r w:rsidR="00D44FB7">
        <w:t xml:space="preserve">variants </w:t>
      </w:r>
      <w:r>
        <w:t>result in unregulated signal</w:t>
      </w:r>
      <w:r w:rsidR="0037393B">
        <w:t>l</w:t>
      </w:r>
      <w:r w:rsidR="006D03A4">
        <w:t>ing through the MAP/ERK pathway</w:t>
      </w:r>
      <w:r w:rsidR="00E66EE3">
        <w:t xml:space="preserve"> </w:t>
      </w:r>
      <w:r w:rsidR="00DB6304">
        <w:fldChar w:fldCharType="begin"/>
      </w:r>
      <w:r w:rsidR="00DB6304">
        <w:instrText xml:space="preserve"> ADDIN EN.CITE &lt;EndNote&gt;&lt;Cite&gt;&lt;Author&gt;NCCN&lt;/Author&gt;&lt;Year&gt;2021&lt;/Year&gt;&lt;RecNum&gt;42&lt;/RecNum&gt;&lt;DisplayText&gt;(NCCN 2021)&lt;/DisplayText&gt;&lt;record&gt;&lt;rec-number&gt;42&lt;/rec-number&gt;&lt;foreign-keys&gt;&lt;key app="EN" db-id="sxzw59f9u2erpaezf9mv0ptm9rwfzp5999rs" timestamp="1624861400"&gt;42&lt;/key&gt;&lt;/foreign-keys&gt;&lt;ref-type name="Journal Article"&gt;17&lt;/ref-type&gt;&lt;contributors&gt;&lt;authors&gt;&lt;author&gt;NCCN&lt;/author&gt;&lt;/authors&gt;&lt;/contributors&gt;&lt;titles&gt;&lt;title&gt;NCCN Clinical Practice Guidelines in Oncology (NCCN Guidelines), Non-Small Cell Lung Cancer (Version 5.2021)&lt;/title&gt;&lt;/titles&gt;&lt;dates&gt;&lt;year&gt;2021&lt;/year&gt;&lt;/dates&gt;&lt;urls&gt;&lt;/urls&gt;&lt;/record&gt;&lt;/Cite&gt;&lt;/EndNote&gt;</w:instrText>
      </w:r>
      <w:r w:rsidR="00DB6304">
        <w:fldChar w:fldCharType="separate"/>
      </w:r>
      <w:r w:rsidR="00DB6304">
        <w:rPr>
          <w:noProof/>
        </w:rPr>
        <w:t>(NCCN 2021)</w:t>
      </w:r>
      <w:r w:rsidR="00DB6304">
        <w:fldChar w:fldCharType="end"/>
      </w:r>
      <w:r w:rsidR="006D03A4">
        <w:t xml:space="preserve">. </w:t>
      </w:r>
      <w:r w:rsidR="00A97034" w:rsidRPr="00A97034">
        <w:rPr>
          <w:i/>
        </w:rPr>
        <w:t>KRAS</w:t>
      </w:r>
      <w:r>
        <w:t xml:space="preserve"> is the most frequently mutated oncogene in NSCLC. </w:t>
      </w:r>
      <w:r w:rsidR="00D44FB7">
        <w:t xml:space="preserve">Variants </w:t>
      </w:r>
      <w:r>
        <w:t xml:space="preserve">in </w:t>
      </w:r>
      <w:r w:rsidR="00A97034" w:rsidRPr="00A97034">
        <w:rPr>
          <w:i/>
        </w:rPr>
        <w:t>KRAS</w:t>
      </w:r>
      <w:r>
        <w:t xml:space="preserve"> are most commonly seen at codon 12, although other </w:t>
      </w:r>
      <w:r w:rsidR="00D44FB7">
        <w:t xml:space="preserve">variants </w:t>
      </w:r>
      <w:r>
        <w:t xml:space="preserve">can be seen in NSCLC. </w:t>
      </w:r>
      <w:r w:rsidR="0043288E">
        <w:t>W</w:t>
      </w:r>
      <w:r w:rsidR="00961178">
        <w:t xml:space="preserve">hether </w:t>
      </w:r>
      <w:r w:rsidR="0043288E">
        <w:t>t</w:t>
      </w:r>
      <w:r w:rsidR="00C45C15">
        <w:t>he p</w:t>
      </w:r>
      <w:r>
        <w:t>resence of</w:t>
      </w:r>
      <w:r w:rsidR="0043288E">
        <w:t xml:space="preserve"> the</w:t>
      </w:r>
      <w:r>
        <w:t xml:space="preserve"> </w:t>
      </w:r>
      <w:r w:rsidR="00A97034" w:rsidRPr="00A97034">
        <w:rPr>
          <w:i/>
        </w:rPr>
        <w:t>KRAS</w:t>
      </w:r>
      <w:r w:rsidR="00A97034" w:rsidRPr="00A97034">
        <w:t xml:space="preserve"> G12C</w:t>
      </w:r>
      <w:r>
        <w:t xml:space="preserve"> </w:t>
      </w:r>
      <w:r w:rsidR="001E0F9A">
        <w:t>variant</w:t>
      </w:r>
      <w:r w:rsidR="008E67D9">
        <w:t xml:space="preserve"> </w:t>
      </w:r>
      <w:r>
        <w:t>is prognostic of poor survival</w:t>
      </w:r>
      <w:r w:rsidR="0043288E">
        <w:t xml:space="preserve"> is a matter for the assessment</w:t>
      </w:r>
      <w:r w:rsidR="008E67D9">
        <w:t xml:space="preserve">. Similar clinical management for patients with </w:t>
      </w:r>
      <w:r w:rsidR="008E67D9" w:rsidRPr="009C7BC2">
        <w:rPr>
          <w:i/>
        </w:rPr>
        <w:t>G12C</w:t>
      </w:r>
      <w:r w:rsidR="008E67D9">
        <w:t xml:space="preserve"> and </w:t>
      </w:r>
      <w:r w:rsidR="008E67D9" w:rsidRPr="009C7BC2">
        <w:rPr>
          <w:i/>
        </w:rPr>
        <w:t>non-G12C</w:t>
      </w:r>
      <w:r w:rsidR="008E67D9">
        <w:t xml:space="preserve"> </w:t>
      </w:r>
      <w:r w:rsidR="001E0F9A">
        <w:t>variants</w:t>
      </w:r>
      <w:r w:rsidR="008E67D9">
        <w:t xml:space="preserve"> in any stage lung adenocarcinoma result in poorer prognosis for patients with </w:t>
      </w:r>
      <w:r w:rsidR="00D44FB7">
        <w:t xml:space="preserve">a </w:t>
      </w:r>
      <w:r w:rsidR="008E67D9" w:rsidRPr="009C7BC2">
        <w:rPr>
          <w:i/>
        </w:rPr>
        <w:t>G12C</w:t>
      </w:r>
      <w:r w:rsidR="008E67D9">
        <w:t xml:space="preserve"> </w:t>
      </w:r>
      <w:r w:rsidR="001E0F9A">
        <w:t>variant</w:t>
      </w:r>
      <w:r w:rsidR="00C3734A">
        <w:t xml:space="preserve"> </w:t>
      </w:r>
      <w:r w:rsidR="00DB6304">
        <w:fldChar w:fldCharType="begin"/>
      </w:r>
      <w:r w:rsidR="00DB6304">
        <w:instrText xml:space="preserve"> ADDIN EN.CITE &lt;EndNote&gt;&lt;Cite&gt;&lt;Author&gt;SVATON&lt;/Author&gt;&lt;Year&gt;2016&lt;/Year&gt;&lt;RecNum&gt;12&lt;/RecNum&gt;&lt;DisplayText&gt;(SVATON et al. 2016)&lt;/DisplayText&gt;&lt;record&gt;&lt;rec-number&gt;12&lt;/rec-number&gt;&lt;foreign-keys&gt;&lt;key app="EN" db-id="sxzw59f9u2erpaezf9mv0ptm9rwfzp5999rs" timestamp="1623051363"&gt;12&lt;/key&gt;&lt;/foreign-keys&gt;&lt;ref-type name="Journal Article"&gt;17&lt;/ref-type&gt;&lt;contributors&gt;&lt;authors&gt;&lt;author&gt;SVATON, MARTIN&lt;/author&gt;&lt;author&gt;FIALA, ONDREJ&lt;/author&gt;&lt;author&gt;PESEK, MILOS&lt;/author&gt;&lt;author&gt;BORTLICEK, ZBYNEK&lt;/author&gt;&lt;author&gt;MINARIK, MAREK&lt;/author&gt;&lt;author&gt;BENESOVA, LUCIE&lt;/author&gt;&lt;author&gt;TOPOLCAN, ONDREJ&lt;/author&gt;&lt;/authors&gt;&lt;/contributors&gt;&lt;titles&gt;&lt;title&gt;The Prognostic Role of &amp;lt;em&amp;gt;KRAS&amp;lt;/em&amp;gt; Mutation in Patients with Advanced NSCLC Treated with Second- or Third-line Chemotherapy&lt;/title&gt;&lt;secondary-title&gt;Anticancer Research&lt;/secondary-title&gt;&lt;/titles&gt;&lt;periodical&gt;&lt;full-title&gt;Anticancer Research&lt;/full-title&gt;&lt;/periodical&gt;&lt;pages&gt;1077-1082&lt;/pages&gt;&lt;volume&gt;36&lt;/volume&gt;&lt;number&gt;3&lt;/number&gt;&lt;dates&gt;&lt;year&gt;2016&lt;/year&gt;&lt;/dates&gt;&lt;urls&gt;&lt;related-urls&gt;&lt;url&gt;https://ar.iiarjournals.org/content/anticanres/36/3/1077.full.pdf&lt;/url&gt;&lt;/related-urls&gt;&lt;/urls&gt;&lt;/record&gt;&lt;/Cite&gt;&lt;/EndNote&gt;</w:instrText>
      </w:r>
      <w:r w:rsidR="00DB6304">
        <w:fldChar w:fldCharType="separate"/>
      </w:r>
      <w:r w:rsidR="00DB6304">
        <w:rPr>
          <w:noProof/>
        </w:rPr>
        <w:t>(SVATON et al. 2016)</w:t>
      </w:r>
      <w:r w:rsidR="00DB6304">
        <w:fldChar w:fldCharType="end"/>
      </w:r>
      <w:r w:rsidR="00C3734A">
        <w:t xml:space="preserve"> </w:t>
      </w:r>
      <w:r w:rsidR="00DB6304">
        <w:fldChar w:fldCharType="begin">
          <w:fldData xml:space="preserve">PEVuZE5vdGU+PENpdGU+PEF1dGhvcj5QYW48L0F1dGhvcj48WWVhcj4yMDE2PC9ZZWFyPjxSZWNO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</w:fldData>
        </w:fldChar>
      </w:r>
      <w:r w:rsidR="00DB6304">
        <w:instrText xml:space="preserve"> ADDIN EN.CITE </w:instrText>
      </w:r>
      <w:r w:rsidR="00DB6304">
        <w:fldChar w:fldCharType="begin">
          <w:fldData xml:space="preserve">PEVuZE5vdGU+PENpdGU+PEF1dGhvcj5QYW48L0F1dGhvcj48WWVhcj4yMDE2PC9ZZWFyPjxSZWNO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</w:fldData>
        </w:fldChar>
      </w:r>
      <w:r w:rsidR="00DB6304">
        <w:instrText xml:space="preserve"> ADDIN EN.CITE.DATA </w:instrText>
      </w:r>
      <w:r w:rsidR="00DB6304">
        <w:fldChar w:fldCharType="end"/>
      </w:r>
      <w:r w:rsidR="00DB6304">
        <w:fldChar w:fldCharType="separate"/>
      </w:r>
      <w:r w:rsidR="00DB6304">
        <w:rPr>
          <w:noProof/>
        </w:rPr>
        <w:t>(Pan et al. 2016)</w:t>
      </w:r>
      <w:r w:rsidR="00DB6304">
        <w:fldChar w:fldCharType="end"/>
      </w:r>
      <w:r w:rsidR="008E67D9">
        <w:t xml:space="preserve">. </w:t>
      </w:r>
      <w:r w:rsidR="006C0BC7">
        <w:t xml:space="preserve">About 30% (25% to 35%) of newly diagnosed NSCLC cases are found to have </w:t>
      </w:r>
      <w:r w:rsidR="00D44FB7">
        <w:t xml:space="preserve">a </w:t>
      </w:r>
      <w:r w:rsidR="00A97034" w:rsidRPr="00A97034">
        <w:rPr>
          <w:i/>
        </w:rPr>
        <w:t>KRAS</w:t>
      </w:r>
      <w:r w:rsidR="006C0BC7">
        <w:t xml:space="preserve"> </w:t>
      </w:r>
      <w:r w:rsidR="00D44FB7">
        <w:t xml:space="preserve">variant </w:t>
      </w:r>
      <w:r w:rsidR="006C0BC7">
        <w:t xml:space="preserve">out of which ~42% are identified to have </w:t>
      </w:r>
      <w:r w:rsidR="00D44FB7">
        <w:t xml:space="preserve">a </w:t>
      </w:r>
      <w:r w:rsidR="006C0BC7" w:rsidRPr="001E0F9A">
        <w:rPr>
          <w:i/>
        </w:rPr>
        <w:t>G12C</w:t>
      </w:r>
      <w:r w:rsidR="006C0BC7">
        <w:t xml:space="preserve"> </w:t>
      </w:r>
      <w:r w:rsidR="001E0F9A">
        <w:t>variant</w:t>
      </w:r>
      <w:r w:rsidR="00C90EE4">
        <w:t xml:space="preserve"> </w:t>
      </w:r>
      <w:r w:rsidR="0037393B">
        <w:fldChar w:fldCharType="begin"/>
      </w:r>
      <w:r w:rsidR="0037393B">
        <w:instrText xml:space="preserve"> ADDIN EN.CITE &lt;EndNote&gt;&lt;Cite&gt;&lt;Author&gt;Arbour&lt;/Author&gt;&lt;Year&gt;2021&lt;/Year&gt;&lt;RecNum&gt;28&lt;/RecNum&gt;&lt;DisplayText&gt;(Arbour et al. 2021)&lt;/DisplayText&gt;&lt;record&gt;&lt;rec-number&gt;28&lt;/rec-number&gt;&lt;foreign-keys&gt;&lt;key app="EN" db-id="sxzw59f9u2erpaezf9mv0ptm9rwfzp5999rs" timestamp="1623051764"&gt;28&lt;/key&gt;&lt;/foreign-keys&gt;&lt;ref-type name="Journal Article"&gt;17&lt;/ref-type&gt;&lt;contributors&gt;&lt;authors&gt;&lt;author&gt;Arbour, Kathryn C.&lt;/author&gt;&lt;author&gt;Rizvi, Hira&lt;/author&gt;&lt;author&gt;Plodkowski, Andrew J.&lt;/author&gt;&lt;author&gt;Hellmann, Matthew D.&lt;/author&gt;&lt;author&gt;Knezevic, Andrea&lt;/author&gt;&lt;author&gt;Heller, Glenn&lt;/author&gt;&lt;author&gt;Yu, Helena A.&lt;/author&gt;&lt;author&gt;Ladanyi, Marc&lt;/author&gt;&lt;author&gt;Kris, Mark G.&lt;/author&gt;&lt;author&gt;Arcila, Maria E.&lt;/author&gt;&lt;author&gt;Rudin, Charles M.&lt;/author&gt;&lt;author&gt;Lito, Piro&lt;/author&gt;&lt;author&gt;Riely, Gregory J.&lt;/author&gt;&lt;/authors&gt;&lt;/contributors&gt;&lt;titles&gt;&lt;title&gt;Treatment Outcomes and Clinical Characteristics of Patients with KRAS-G12C–Mutant Non–Small Cell Lung Cancer&lt;/title&gt;&lt;secondary-title&gt;Clinical Cancer Research&lt;/secondary-title&gt;&lt;/titles&gt;&lt;periodical&gt;&lt;full-title&gt;Clinical Cancer Research&lt;/full-title&gt;&lt;/periodical&gt;&lt;pages&gt;2209-2215&lt;/pages&gt;&lt;volume&gt;27&lt;/volume&gt;&lt;number&gt;8&lt;/number&gt;&lt;dates&gt;&lt;year&gt;2021&lt;/year&gt;&lt;/dates&gt;&lt;urls&gt;&lt;related-urls&gt;&lt;url&gt;https://clincancerres.aacrjournals.org/content/clincanres/27/8/2209.full.pdf&lt;/url&gt;&lt;/related-urls&gt;&lt;/urls&gt;&lt;electronic-resource-num&gt;10.1158/1078-0432.Ccr-20-4023&lt;/electronic-resource-num&gt;&lt;/record&gt;&lt;/Cite&gt;&lt;/EndNote&gt;</w:instrText>
      </w:r>
      <w:r w:rsidR="0037393B">
        <w:fldChar w:fldCharType="separate"/>
      </w:r>
      <w:r w:rsidR="0037393B">
        <w:rPr>
          <w:noProof/>
        </w:rPr>
        <w:t>(Arbour et al. 2021)</w:t>
      </w:r>
      <w:r w:rsidR="0037393B">
        <w:fldChar w:fldCharType="end"/>
      </w:r>
      <w:r w:rsidR="006C0BC7">
        <w:t xml:space="preserve">. Therefore, </w:t>
      </w:r>
      <w:r w:rsidR="00A97034" w:rsidRPr="00A97034">
        <w:rPr>
          <w:i/>
        </w:rPr>
        <w:t>KRAS</w:t>
      </w:r>
      <w:r w:rsidR="00A97034" w:rsidRPr="00A97034">
        <w:t xml:space="preserve"> G12C</w:t>
      </w:r>
      <w:r w:rsidR="006C0BC7">
        <w:t xml:space="preserve"> </w:t>
      </w:r>
      <w:r w:rsidR="001E0F9A">
        <w:t>variants</w:t>
      </w:r>
      <w:r w:rsidR="006C0BC7">
        <w:t xml:space="preserve"> can be identified in about 13% of newly diagnosed NSCLC cases.</w:t>
      </w:r>
      <w:r>
        <w:t xml:space="preserve"> </w:t>
      </w:r>
      <w:r w:rsidR="00BC7EA3">
        <w:t xml:space="preserve">Owing to the low probability of overlapping targetable alterations, the presence of </w:t>
      </w:r>
      <w:r w:rsidR="00D44FB7">
        <w:t xml:space="preserve">a </w:t>
      </w:r>
      <w:r w:rsidR="00A97034" w:rsidRPr="00A97034">
        <w:rPr>
          <w:i/>
        </w:rPr>
        <w:t>KRAS</w:t>
      </w:r>
      <w:r w:rsidR="00A97034" w:rsidRPr="00A97034">
        <w:t xml:space="preserve"> G12C</w:t>
      </w:r>
      <w:r w:rsidR="005A447C">
        <w:t xml:space="preserve"> variant</w:t>
      </w:r>
      <w:r w:rsidR="00BC7EA3">
        <w:t xml:space="preserve"> identifies patients who are unlikely to benefit from further molecular testing</w:t>
      </w:r>
      <w:r w:rsidR="00F706F5">
        <w:t xml:space="preserve"> </w:t>
      </w:r>
      <w:r w:rsidR="00DB6304">
        <w:fldChar w:fldCharType="begin"/>
      </w:r>
      <w:r w:rsidR="00A4263A">
        <w:instrText xml:space="preserve"> ADDIN EN.CITE &lt;EndNote&gt;&lt;Cite&gt;&lt;Author&gt;Lindeman&lt;/Author&gt;&lt;Year&gt;2018&lt;/Year&gt;&lt;RecNum&gt;45&lt;/RecNum&gt;&lt;DisplayText&gt;(Lindeman, Neal I. et al. 2018)&lt;/DisplayText&gt;&lt;record&gt;&lt;rec-number&gt;45&lt;/rec-number&gt;&lt;foreign-keys&gt;&lt;key app="EN" db-id="sxzw59f9u2erpaezf9mv0ptm9rwfzp5999rs" timestamp="1624867668"&gt;45&lt;/key&gt;&lt;/foreign-keys&gt;&lt;ref-type name="Journal Article"&gt;17&lt;/ref-type&gt;&lt;contributors&gt;&lt;authors&gt;&lt;author&gt;Lindeman, Neal I.&lt;/author&gt;&lt;author&gt;Cagle, Philip T.&lt;/author&gt;&lt;author&gt;Aisner, Dara L.&lt;/author&gt;&lt;author&gt;Arcila, Maria E.&lt;/author&gt;&lt;author&gt;Beasley, Mary Beth&lt;/author&gt;&lt;author&gt;Bernicker, Eric H.&lt;/author&gt;&lt;author&gt;Colasacco, Carol&lt;/author&gt;&lt;author&gt;Dacic, Sanja&lt;/author&gt;&lt;author&gt;Hirsch, Fred R.&lt;/author&gt;&lt;author&gt;Kerr, Keith&lt;/author&gt;&lt;author&gt;Kwiatkowski, David J.&lt;/author&gt;&lt;author&gt;Ladanyi, Marc&lt;/author&gt;&lt;author&gt;Nowak, Jan A.&lt;/author&gt;&lt;author&gt;Sholl, Lynette&lt;/author&gt;&lt;author&gt;Temple-Smolkin, Robyn&lt;/author&gt;&lt;author&gt;Solomon, Benjamin&lt;/author&gt;&lt;author&gt;Souter, Lesley H.&lt;/author&gt;&lt;author&gt;Thunnissen, Erik&lt;/author&gt;&lt;author&gt;Tsao, Ming S.&lt;/author&gt;&lt;author&gt;Ventura, Christina B.&lt;/author&gt;&lt;author&gt;Wynes, Murry W.&lt;/author&gt;&lt;author&gt;Yatabe, Yasushi&lt;/author&gt;&lt;/authors&gt;&lt;/contributors&gt;&lt;titles&gt;&lt;title&gt;Updated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Pathology&lt;/title&gt;&lt;secondary-title&gt;Journal of Thoracic Oncology&lt;/secondary-title&gt;&lt;/titles&gt;&lt;periodical&gt;&lt;full-title&gt;Journal of Thoracic Oncology&lt;/full-title&gt;&lt;/periodical&gt;&lt;pages&gt;323-358&lt;/pages&gt;&lt;volume&gt;13&lt;/volume&gt;&lt;number&gt;3&lt;/number&gt;&lt;dates&gt;&lt;year&gt;2018&lt;/year&gt;&lt;pub-dates&gt;&lt;date&gt;2018/03/01/&lt;/date&gt;&lt;/pub-dates&gt;&lt;/dates&gt;&lt;isbn&gt;1556-0864&lt;/isbn&gt;&lt;urls&gt;&lt;related-urls&gt;&lt;url&gt;https://www.sciencedirect.com/science/article/pii/S155608641733071X&lt;/url&gt;&lt;/related-urls&gt;&lt;/urls&gt;&lt;electronic-resource-num&gt;https://doi.org/10.1016/j.jtho.2017.12.001&lt;/electronic-resource-num&gt;&lt;/record&gt;&lt;/Cite&gt;&lt;/EndNote&gt;</w:instrText>
      </w:r>
      <w:r w:rsidR="00DB6304">
        <w:fldChar w:fldCharType="separate"/>
      </w:r>
      <w:r w:rsidR="00A4263A">
        <w:rPr>
          <w:noProof/>
        </w:rPr>
        <w:t>(Lindeman, Neal I. et al. 2018)</w:t>
      </w:r>
      <w:r w:rsidR="00DB6304">
        <w:fldChar w:fldCharType="end"/>
      </w:r>
      <w:r w:rsidR="00BC7EA3">
        <w:t>.</w:t>
      </w:r>
      <w:r w:rsidR="005A447C">
        <w:t xml:space="preserve"> It </w:t>
      </w:r>
      <w:r w:rsidR="008A3BE2">
        <w:t>has</w:t>
      </w:r>
      <w:r w:rsidR="005A447C">
        <w:t xml:space="preserve"> also </w:t>
      </w:r>
      <w:r w:rsidR="008A3BE2">
        <w:t xml:space="preserve">been </w:t>
      </w:r>
      <w:r w:rsidR="005A447C">
        <w:t xml:space="preserve">found that </w:t>
      </w:r>
      <w:r w:rsidR="00A97034" w:rsidRPr="00A97034">
        <w:rPr>
          <w:i/>
        </w:rPr>
        <w:t>KRAS</w:t>
      </w:r>
      <w:r w:rsidR="005A447C">
        <w:t xml:space="preserve"> pathogenic variants are early oncogenic events and do not alter over time</w:t>
      </w:r>
      <w:r w:rsidR="008A3BE2">
        <w:t>, being</w:t>
      </w:r>
      <w:r w:rsidR="005A447C">
        <w:t xml:space="preserve"> preserved in </w:t>
      </w:r>
      <w:r w:rsidR="008A3BE2">
        <w:t>the tumour</w:t>
      </w:r>
      <w:r w:rsidR="005A447C">
        <w:t xml:space="preserve"> </w:t>
      </w:r>
      <w:r w:rsidR="00DB6304">
        <w:fldChar w:fldCharType="begin"/>
      </w:r>
      <w:r w:rsidR="00DB6304">
        <w:instrText xml:space="preserve"> ADDIN EN.CITE &lt;EndNote&gt;&lt;Cite&gt;&lt;Author&gt;Kris&lt;/Author&gt;&lt;Year&gt;2014&lt;/Year&gt;&lt;RecNum&gt;46&lt;/RecNum&gt;&lt;DisplayText&gt;(Kris et al. 2014)&lt;/DisplayText&gt;&lt;record&gt;&lt;rec-number&gt;46&lt;/rec-number&gt;&lt;foreign-keys&gt;&lt;key app="EN" db-id="sxzw59f9u2erpaezf9mv0ptm9rwfzp5999rs" timestamp="1624931788"&gt;46&lt;/key&gt;&lt;/foreign-keys&gt;&lt;ref-type name="Journal Article"&gt;17&lt;/ref-type&gt;&lt;contributors&gt;&lt;authors&gt;&lt;author&gt;Kris, Mark G.&lt;/author&gt;&lt;author&gt;Johnson, Bruce E.&lt;/author&gt;&lt;author&gt;Berry, Lynne D.&lt;/author&gt;&lt;author&gt;Kwiatkowski, David J.&lt;/author&gt;&lt;author&gt;Iafrate, A. John&lt;/author&gt;&lt;author&gt;Wistuba, Ignacio I.&lt;/author&gt;&lt;author&gt;Varella-Garcia, Marileila&lt;/author&gt;&lt;author&gt;Franklin, Wilbur A.&lt;/author&gt;&lt;author&gt;Aronson, Samuel L.&lt;/author&gt;&lt;author&gt;Su, Pei-Fang&lt;/author&gt;&lt;author&gt;Shyr, Yu&lt;/author&gt;&lt;author&gt;Camidge, D. Ross&lt;/author&gt;&lt;author&gt;Sequist, Lecia V.&lt;/author&gt;&lt;author&gt;Glisson, Bonnie S.&lt;/author&gt;&lt;author&gt;Khuri, Fadlo R.&lt;/author&gt;&lt;author&gt;Garon, Edward B.&lt;/author&gt;&lt;author&gt;Pao, William&lt;/author&gt;&lt;author&gt;Rudin, Charles&lt;/author&gt;&lt;author&gt;Schiller, Joan&lt;/author&gt;&lt;author&gt;Haura, Eric B.&lt;/author&gt;&lt;author&gt;Socinski, Mark&lt;/author&gt;&lt;author&gt;Shirai, Keisuke&lt;/author&gt;&lt;author&gt;Chen, Heidi&lt;/author&gt;&lt;author&gt;Giaccone, Giuseppe&lt;/author&gt;&lt;author&gt;Ladanyi, Marc&lt;/author&gt;&lt;author&gt;Kugler, Kelly&lt;/author&gt;&lt;author&gt;Minna, John D.&lt;/author&gt;&lt;author&gt;Bunn, Paul A.&lt;/author&gt;&lt;/authors&gt;&lt;/contributors&gt;&lt;titles&gt;&lt;title&gt;Using Multiplexed Assays of Oncogenic Drivers in Lung Cancers to Select Targeted Drugs&lt;/title&gt;&lt;secondary-title&gt;JAMA&lt;/secondary-title&gt;&lt;/titles&gt;&lt;periodical&gt;&lt;full-title&gt;JAMA&lt;/full-title&gt;&lt;/periodical&gt;&lt;pages&gt;1998-2006&lt;/pages&gt;&lt;volume&gt;311&lt;/volume&gt;&lt;number&gt;19&lt;/number&gt;&lt;dates&gt;&lt;year&gt;2014&lt;/year&gt;&lt;/dates&gt;&lt;isbn&gt;0098-7484&lt;/isbn&gt;&lt;urls&gt;&lt;related-urls&gt;&lt;url&gt;https://doi.org/10.1001/jama.2014.3741&lt;/url&gt;&lt;/related-urls&gt;&lt;/urls&gt;&lt;electronic-resource-num&gt;10.1001/jama.2014.3741&lt;/electronic-resource-num&gt;&lt;access-date&gt;6/29/2021&lt;/access-date&gt;&lt;/record&gt;&lt;/Cite&gt;&lt;/EndNote&gt;</w:instrText>
      </w:r>
      <w:r w:rsidR="00DB6304">
        <w:fldChar w:fldCharType="separate"/>
      </w:r>
      <w:r w:rsidR="00DB6304">
        <w:rPr>
          <w:noProof/>
        </w:rPr>
        <w:t>(Kris et al. 2014)</w:t>
      </w:r>
      <w:r w:rsidR="00DB6304">
        <w:fldChar w:fldCharType="end"/>
      </w:r>
      <w:r w:rsidR="00F54BEC">
        <w:t xml:space="preserve"> </w:t>
      </w:r>
      <w:r w:rsidR="00DB6304">
        <w:fldChar w:fldCharType="begin"/>
      </w:r>
      <w:r w:rsidR="00DB6304">
        <w:instrText xml:space="preserve"> ADDIN EN.CITE &lt;EndNote&gt;&lt;Cite&gt;&lt;Author&gt;Sherwood&lt;/Author&gt;&lt;Year&gt;2015&lt;/Year&gt;&lt;RecNum&gt;47&lt;/RecNum&gt;&lt;DisplayText&gt;(Sherwood, J et al. 2015)&lt;/DisplayText&gt;&lt;record&gt;&lt;rec-number&gt;47&lt;/rec-number&gt;&lt;foreign-keys&gt;&lt;key app="EN" db-id="sxzw59f9u2erpaezf9mv0ptm9rwfzp5999rs" timestamp="1624931951"&gt;47&lt;/key&gt;&lt;/foreign-keys&gt;&lt;ref-type name="Journal Article"&gt;17&lt;/ref-type&gt;&lt;contributors&gt;&lt;authors&gt;&lt;author&gt;Sherwood, James&lt;/author&gt;&lt;author&gt;Dearden, Simon&lt;/author&gt;&lt;author&gt;Ratcliffe, Marianne&lt;/author&gt;&lt;author&gt;Walker, Jill&lt;/author&gt;&lt;/authors&gt;&lt;/contributors&gt;&lt;titles&gt;&lt;title&gt;Mutation status concordance between primary lesions and metastatic sites of advanced non-small-cell lung cancer and the impact of mutation testing methodologies: a literature review&lt;/title&gt;&lt;secondary-title&gt;Journal of Experimental &amp;amp; Clinical Cancer Research&lt;/secondary-title&gt;&lt;/titles&gt;&lt;periodical&gt;&lt;full-title&gt;Journal of Experimental &amp;amp; Clinical Cancer Research&lt;/full-title&gt;&lt;/periodical&gt;&lt;pages&gt;92&lt;/pages&gt;&lt;volume&gt;34&lt;/volume&gt;&lt;number&gt;1&lt;/number&gt;&lt;dates&gt;&lt;year&gt;2015&lt;/year&gt;&lt;pub-dates&gt;&lt;date&gt;2015/09/04&lt;/date&gt;&lt;/pub-dates&gt;&lt;/dates&gt;&lt;isbn&gt;1756-9966&lt;/isbn&gt;&lt;urls&gt;&lt;related-urls&gt;&lt;url&gt;https://doi.org/10.1186/s13046-015-0207-9&lt;/url&gt;&lt;/related-urls&gt;&lt;/urls&gt;&lt;electronic-resource-num&gt;10.1186/s13046-015-0207-9&lt;/electronic-resource-num&gt;&lt;/record&gt;&lt;/Cite&gt;&lt;/EndNote&gt;</w:instrText>
      </w:r>
      <w:r w:rsidR="00DB6304">
        <w:fldChar w:fldCharType="separate"/>
      </w:r>
      <w:r w:rsidR="00DB6304">
        <w:rPr>
          <w:noProof/>
        </w:rPr>
        <w:t>(Sherwood, J et al. 2015)</w:t>
      </w:r>
      <w:r w:rsidR="00DB6304">
        <w:fldChar w:fldCharType="end"/>
      </w:r>
      <w:r w:rsidR="00F54BEC">
        <w:t xml:space="preserve">. Therefore, </w:t>
      </w:r>
      <w:r w:rsidR="00DF78A3">
        <w:t xml:space="preserve">the applicant considered that </w:t>
      </w:r>
      <w:r w:rsidR="00F54BEC">
        <w:t xml:space="preserve">there is no reason to delay testing of the </w:t>
      </w:r>
      <w:r w:rsidR="00A97034" w:rsidRPr="00A97034">
        <w:rPr>
          <w:i/>
        </w:rPr>
        <w:t>KRAS</w:t>
      </w:r>
      <w:r w:rsidR="00A97034" w:rsidRPr="00A97034">
        <w:t xml:space="preserve"> G12C</w:t>
      </w:r>
      <w:r w:rsidR="00F54BEC">
        <w:t xml:space="preserve"> variant until the consideration of second-line therapy, which is when sotorasib is intended to be used.</w:t>
      </w:r>
    </w:p>
    <w:p w14:paraId="329FAC6E" w14:textId="21C4FCD2" w:rsidR="0048158D" w:rsidRDefault="007B31A3" w:rsidP="00C00B6A">
      <w:pPr>
        <w:contextualSpacing/>
        <w:jc w:val="both"/>
      </w:pPr>
      <w:r>
        <w:t xml:space="preserve">The applicant </w:t>
      </w:r>
      <w:r w:rsidR="00A939DE">
        <w:t xml:space="preserve">also </w:t>
      </w:r>
      <w:r w:rsidR="00DF78A3">
        <w:t>claimed</w:t>
      </w:r>
      <w:r>
        <w:t xml:space="preserve"> that </w:t>
      </w:r>
      <w:r w:rsidR="008A3BE2">
        <w:t xml:space="preserve">delaying </w:t>
      </w:r>
      <w:r w:rsidR="00A97034" w:rsidRPr="00A97034">
        <w:rPr>
          <w:i/>
        </w:rPr>
        <w:t>KRAS</w:t>
      </w:r>
      <w:r w:rsidR="008A3BE2">
        <w:rPr>
          <w:i/>
        </w:rPr>
        <w:t xml:space="preserve"> </w:t>
      </w:r>
      <w:r w:rsidR="008A3BE2" w:rsidRPr="00B850A2">
        <w:t>G12C</w:t>
      </w:r>
      <w:r w:rsidR="008A3BE2">
        <w:t xml:space="preserve"> testing would result in </w:t>
      </w:r>
      <w:r w:rsidRPr="008A3BE2">
        <w:t>attrition</w:t>
      </w:r>
      <w:r>
        <w:t xml:space="preserve"> of tumour tissue</w:t>
      </w:r>
      <w:r w:rsidR="00B850A2">
        <w:t>, an</w:t>
      </w:r>
      <w:r>
        <w:t xml:space="preserve"> increased rate of re-biopsy in NSCLC patients, </w:t>
      </w:r>
      <w:r w:rsidR="006A7FD8">
        <w:t>and increased</w:t>
      </w:r>
      <w:r w:rsidR="00F54BEC">
        <w:t xml:space="preserve"> risk</w:t>
      </w:r>
      <w:r>
        <w:t xml:space="preserve"> of biopsy-related morbidity. It therefore </w:t>
      </w:r>
      <w:r w:rsidR="00F54BEC">
        <w:t xml:space="preserve">may be </w:t>
      </w:r>
      <w:r>
        <w:t xml:space="preserve">safer for NSCLC patients to perform </w:t>
      </w:r>
      <w:r w:rsidR="00A97034" w:rsidRPr="00A97034">
        <w:rPr>
          <w:i/>
        </w:rPr>
        <w:t>KRAS</w:t>
      </w:r>
      <w:r w:rsidR="00A97034" w:rsidRPr="00A97034">
        <w:t xml:space="preserve"> G12C</w:t>
      </w:r>
      <w:r>
        <w:t xml:space="preserve"> testing prior to the initiation of therapy at the same time as testing for </w:t>
      </w:r>
      <w:r w:rsidRPr="009C7BC2">
        <w:rPr>
          <w:i/>
        </w:rPr>
        <w:t>EGFR</w:t>
      </w:r>
      <w:r>
        <w:t xml:space="preserve"> pathogenic variants</w:t>
      </w:r>
      <w:r w:rsidR="000D4D0F">
        <w:t xml:space="preserve">, under </w:t>
      </w:r>
      <w:r w:rsidR="0017771B">
        <w:t>Medical Benefits Schedule (</w:t>
      </w:r>
      <w:r w:rsidR="000D4D0F">
        <w:t>MBS</w:t>
      </w:r>
      <w:r w:rsidR="0017771B">
        <w:t>)</w:t>
      </w:r>
      <w:r w:rsidR="000D4D0F">
        <w:t xml:space="preserve"> item 73337.</w:t>
      </w:r>
    </w:p>
    <w:p w14:paraId="3C19A4AA" w14:textId="77777777" w:rsidR="00D734F1" w:rsidRDefault="00D734F1">
      <w:pPr>
        <w:rPr>
          <w:rFonts w:eastAsiaTheme="majorEastAsia" w:cs="Calibri"/>
          <w:i/>
          <w:iCs/>
          <w:u w:val="single"/>
        </w:rPr>
      </w:pPr>
      <w:r>
        <w:rPr>
          <w:rFonts w:cs="Calibri"/>
          <w:u w:val="single"/>
        </w:rPr>
        <w:br w:type="page"/>
      </w:r>
    </w:p>
    <w:p w14:paraId="6909F8ED" w14:textId="1F05C9C1" w:rsidR="00CC7328" w:rsidRPr="00CC7328" w:rsidRDefault="0048158D" w:rsidP="00CC7328">
      <w:pPr>
        <w:pStyle w:val="Heading4"/>
        <w:jc w:val="both"/>
        <w:rPr>
          <w:rFonts w:ascii="Calibri" w:hAnsi="Calibri" w:cs="Calibri"/>
          <w:color w:val="auto"/>
          <w:u w:val="single"/>
        </w:rPr>
      </w:pPr>
      <w:r w:rsidRPr="00CC7328">
        <w:rPr>
          <w:rFonts w:ascii="Calibri" w:hAnsi="Calibri" w:cs="Calibri"/>
          <w:color w:val="auto"/>
          <w:u w:val="single"/>
        </w:rPr>
        <w:lastRenderedPageBreak/>
        <w:t>Utili</w:t>
      </w:r>
      <w:r w:rsidR="001F6E08">
        <w:rPr>
          <w:rFonts w:ascii="Calibri" w:hAnsi="Calibri" w:cs="Calibri"/>
          <w:color w:val="auto"/>
          <w:u w:val="single"/>
        </w:rPr>
        <w:t>s</w:t>
      </w:r>
      <w:r w:rsidRPr="00CC7328">
        <w:rPr>
          <w:rFonts w:ascii="Calibri" w:hAnsi="Calibri" w:cs="Calibri"/>
          <w:color w:val="auto"/>
          <w:u w:val="single"/>
        </w:rPr>
        <w:t xml:space="preserve">ation of testing to detect </w:t>
      </w:r>
      <w:r w:rsidR="00A97034" w:rsidRPr="00A97034">
        <w:rPr>
          <w:rFonts w:ascii="Calibri" w:hAnsi="Calibri" w:cs="Calibri"/>
          <w:color w:val="auto"/>
          <w:u w:val="single"/>
        </w:rPr>
        <w:t>KRAS</w:t>
      </w:r>
      <w:r w:rsidR="00A97034" w:rsidRPr="00A97034">
        <w:rPr>
          <w:rFonts w:ascii="Calibri" w:hAnsi="Calibri" w:cs="Calibri"/>
          <w:i w:val="0"/>
          <w:color w:val="auto"/>
          <w:u w:val="single"/>
        </w:rPr>
        <w:t xml:space="preserve"> </w:t>
      </w:r>
      <w:r w:rsidR="00A97034" w:rsidRPr="005258C5">
        <w:rPr>
          <w:rFonts w:ascii="Calibri" w:hAnsi="Calibri" w:cs="Calibri"/>
          <w:color w:val="auto"/>
          <w:u w:val="single"/>
        </w:rPr>
        <w:t>G12C</w:t>
      </w:r>
      <w:r w:rsidRPr="005258C5">
        <w:rPr>
          <w:rFonts w:ascii="Calibri" w:hAnsi="Calibri" w:cs="Calibri"/>
          <w:color w:val="auto"/>
          <w:u w:val="single"/>
        </w:rPr>
        <w:t xml:space="preserve"> </w:t>
      </w:r>
      <w:r w:rsidRPr="00CC7328">
        <w:rPr>
          <w:rFonts w:ascii="Calibri" w:hAnsi="Calibri" w:cs="Calibri"/>
          <w:color w:val="auto"/>
          <w:u w:val="single"/>
        </w:rPr>
        <w:t>variant</w:t>
      </w:r>
    </w:p>
    <w:p w14:paraId="60A05180" w14:textId="787DD20F" w:rsidR="001E743F" w:rsidRDefault="0072678B" w:rsidP="001E743F">
      <w:pPr>
        <w:jc w:val="both"/>
      </w:pPr>
      <w:r>
        <w:t xml:space="preserve">There are two different methods </w:t>
      </w:r>
      <w:r w:rsidR="001F6E08">
        <w:t>for</w:t>
      </w:r>
      <w:r>
        <w:t xml:space="preserve"> estimating the </w:t>
      </w:r>
      <w:r w:rsidR="001F6E08">
        <w:t>utilisation of the testing service</w:t>
      </w:r>
      <w:r>
        <w:t>. The epidemiology-based approach suggests that there will be 13,810 cases of lung cancer in 2021 in Australia</w:t>
      </w:r>
      <w:r w:rsidR="001F6E08">
        <w:t xml:space="preserve">, of which </w:t>
      </w:r>
      <w:r>
        <w:t>86.6%</w:t>
      </w:r>
      <w:r w:rsidR="001F6E08">
        <w:t xml:space="preserve"> (</w:t>
      </w:r>
      <w:r>
        <w:t>11,959 cases</w:t>
      </w:r>
      <w:r w:rsidR="001F6E08">
        <w:t>) will have</w:t>
      </w:r>
      <w:r>
        <w:t xml:space="preserve"> NSCLC</w:t>
      </w:r>
      <w:r w:rsidR="001F6E08">
        <w:t xml:space="preserve"> histology, and</w:t>
      </w:r>
      <w:r w:rsidR="007C376E">
        <w:t xml:space="preserve"> </w:t>
      </w:r>
      <w:r>
        <w:t>74.2%</w:t>
      </w:r>
      <w:r w:rsidR="001F6E08">
        <w:t xml:space="preserve"> of NSCLC tumours (8,874 cases) will have</w:t>
      </w:r>
      <w:r>
        <w:t xml:space="preserve"> non-squamous/NOS histology</w:t>
      </w:r>
      <w:r w:rsidR="001F6E08">
        <w:t>. Thus, an estimated 8,874 patients</w:t>
      </w:r>
      <w:r w:rsidR="000315C5">
        <w:t xml:space="preserve"> would be </w:t>
      </w:r>
      <w:r w:rsidR="00F64F04">
        <w:t xml:space="preserve">eligible for </w:t>
      </w:r>
      <w:r w:rsidR="00A97034" w:rsidRPr="00A97034">
        <w:rPr>
          <w:i/>
        </w:rPr>
        <w:t>KRAS</w:t>
      </w:r>
      <w:r w:rsidR="00A97034" w:rsidRPr="00A97034">
        <w:t xml:space="preserve"> G12C</w:t>
      </w:r>
      <w:r w:rsidR="006E3369">
        <w:t xml:space="preserve"> testing in Australia in 2021</w:t>
      </w:r>
      <w:r w:rsidR="000315C5">
        <w:t xml:space="preserve"> (</w:t>
      </w:r>
      <w:r w:rsidR="00C8706B">
        <w:fldChar w:fldCharType="begin"/>
      </w:r>
      <w:r w:rsidR="00C8706B">
        <w:instrText xml:space="preserve"> REF _Ref76049027 \h </w:instrText>
      </w:r>
      <w:r w:rsidR="00C8706B">
        <w:fldChar w:fldCharType="separate"/>
      </w:r>
      <w:r w:rsidR="002D0127">
        <w:t xml:space="preserve">Table </w:t>
      </w:r>
      <w:r w:rsidR="002D0127">
        <w:rPr>
          <w:noProof/>
        </w:rPr>
        <w:t>1</w:t>
      </w:r>
      <w:r w:rsidR="00C8706B">
        <w:fldChar w:fldCharType="end"/>
      </w:r>
      <w:r w:rsidR="000315C5">
        <w:t>)</w:t>
      </w:r>
      <w:r w:rsidR="006E3369">
        <w:t>.</w:t>
      </w:r>
    </w:p>
    <w:p w14:paraId="221E48CF" w14:textId="5DF4F366" w:rsidR="001E743F" w:rsidRPr="00B54F9D" w:rsidRDefault="000315C5" w:rsidP="00CB4E52">
      <w:pPr>
        <w:rPr>
          <w:iCs/>
          <w:u w:val="single"/>
        </w:rPr>
      </w:pPr>
      <w:r>
        <w:t>T</w:t>
      </w:r>
      <w:r w:rsidR="00F64F04">
        <w:t xml:space="preserve">he </w:t>
      </w:r>
      <w:r w:rsidR="00724415">
        <w:t>market</w:t>
      </w:r>
      <w:r w:rsidR="00F64F04">
        <w:t xml:space="preserve">-based approach </w:t>
      </w:r>
      <w:r>
        <w:t xml:space="preserve">estimates the </w:t>
      </w:r>
      <w:r w:rsidR="004B40CA">
        <w:t xml:space="preserve">utilisation of the testing service </w:t>
      </w:r>
      <w:r w:rsidR="00F64F04">
        <w:t xml:space="preserve">based on </w:t>
      </w:r>
      <w:r w:rsidR="00E43055">
        <w:t>previous utilisation</w:t>
      </w:r>
      <w:r w:rsidR="004B40CA">
        <w:t xml:space="preserve"> of MBS item 73337.</w:t>
      </w:r>
      <w:r w:rsidR="00F64F04">
        <w:t xml:space="preserve"> </w:t>
      </w:r>
      <w:r w:rsidR="004B40CA">
        <w:t>As t</w:t>
      </w:r>
      <w:r w:rsidR="00F64F04">
        <w:t xml:space="preserve">he population for </w:t>
      </w:r>
      <w:r w:rsidR="004B40CA">
        <w:t xml:space="preserve">MBS item 73337 will remain the same, despite the proposed inclusion of </w:t>
      </w:r>
      <w:r w:rsidR="00A97034" w:rsidRPr="00A97034">
        <w:rPr>
          <w:i/>
        </w:rPr>
        <w:t>KRAS</w:t>
      </w:r>
      <w:r w:rsidR="004B40CA">
        <w:t xml:space="preserve"> G12C in addition to </w:t>
      </w:r>
      <w:r w:rsidR="0061479A" w:rsidRPr="00283137">
        <w:rPr>
          <w:i/>
        </w:rPr>
        <w:t>EGFR</w:t>
      </w:r>
      <w:r w:rsidR="0061479A">
        <w:t xml:space="preserve"> testing, the future uptake </w:t>
      </w:r>
      <w:r w:rsidR="008A3BE2">
        <w:t xml:space="preserve">can be </w:t>
      </w:r>
      <w:r w:rsidR="0061479A">
        <w:t xml:space="preserve">projected based on the </w:t>
      </w:r>
      <w:r w:rsidR="00724415">
        <w:t>previous</w:t>
      </w:r>
      <w:r w:rsidR="00CE021A">
        <w:t xml:space="preserve"> uti</w:t>
      </w:r>
      <w:r w:rsidR="006E3369">
        <w:t>lisation of the MBS item 73337.</w:t>
      </w:r>
      <w:r w:rsidR="004B40CA">
        <w:t xml:space="preserve"> This approach projects a utilisation of 5,135 services in Australia for 2021 (</w:t>
      </w:r>
      <w:r w:rsidR="00C52F24">
        <w:fldChar w:fldCharType="begin"/>
      </w:r>
      <w:r w:rsidR="00C52F24">
        <w:instrText xml:space="preserve"> REF _Ref76049057 \h </w:instrText>
      </w:r>
      <w:r w:rsidR="00C52F24">
        <w:fldChar w:fldCharType="separate"/>
      </w:r>
      <w:r w:rsidR="00C52F24">
        <w:t xml:space="preserve">Table </w:t>
      </w:r>
      <w:r w:rsidR="00C52F24">
        <w:rPr>
          <w:noProof/>
        </w:rPr>
        <w:t>2</w:t>
      </w:r>
      <w:r w:rsidR="00C52F24">
        <w:fldChar w:fldCharType="end"/>
      </w:r>
      <w:r w:rsidR="004B40CA">
        <w:t>).</w:t>
      </w:r>
    </w:p>
    <w:p w14:paraId="55344699" w14:textId="391E6F6C" w:rsidR="00D163C6" w:rsidRDefault="00CE021A" w:rsidP="00C00B6A">
      <w:pPr>
        <w:jc w:val="both"/>
      </w:pPr>
      <w:r>
        <w:t xml:space="preserve">Given that </w:t>
      </w:r>
      <w:proofErr w:type="spellStart"/>
      <w:r w:rsidR="0063464A">
        <w:t>i</w:t>
      </w:r>
      <w:proofErr w:type="spellEnd"/>
      <w:r w:rsidR="0063464A">
        <w:t xml:space="preserve">) </w:t>
      </w:r>
      <w:r>
        <w:t>not all patient</w:t>
      </w:r>
      <w:r w:rsidR="00D662A7">
        <w:t>s</w:t>
      </w:r>
      <w:r>
        <w:t xml:space="preserve"> w</w:t>
      </w:r>
      <w:r w:rsidR="00B54F9D">
        <w:t>ould</w:t>
      </w:r>
      <w:r>
        <w:t xml:space="preserve"> be willing to </w:t>
      </w:r>
      <w:r w:rsidR="00724415">
        <w:t>undergo</w:t>
      </w:r>
      <w:r>
        <w:t xml:space="preserve"> testing</w:t>
      </w:r>
      <w:r w:rsidR="00E43055">
        <w:t xml:space="preserve">, </w:t>
      </w:r>
      <w:r w:rsidR="0063464A">
        <w:t xml:space="preserve">and ii) some patients would be tested within the public hospital system, and therefore not </w:t>
      </w:r>
      <w:r w:rsidR="0091433B">
        <w:t>necessarily billed</w:t>
      </w:r>
      <w:r w:rsidR="0063464A">
        <w:t xml:space="preserve"> to the MBS, </w:t>
      </w:r>
      <w:r w:rsidR="00D662A7">
        <w:t xml:space="preserve">the </w:t>
      </w:r>
      <w:r>
        <w:t xml:space="preserve">market-based approach </w:t>
      </w:r>
      <w:r w:rsidR="00D662A7">
        <w:t>may be a more appropriate estimate</w:t>
      </w:r>
      <w:r>
        <w:t xml:space="preserve"> </w:t>
      </w:r>
      <w:r w:rsidR="00A96E32">
        <w:t xml:space="preserve">of MBS service volumes </w:t>
      </w:r>
      <w:r w:rsidR="00D662A7">
        <w:t xml:space="preserve">than </w:t>
      </w:r>
      <w:r>
        <w:t>the epidemiol</w:t>
      </w:r>
      <w:r w:rsidR="00724415">
        <w:t>og</w:t>
      </w:r>
      <w:r>
        <w:t>y-based approach</w:t>
      </w:r>
      <w:r w:rsidR="00E43055">
        <w:t>.</w:t>
      </w:r>
    </w:p>
    <w:p w14:paraId="79D2A42D" w14:textId="5EAA21A5" w:rsidR="00CE021A" w:rsidRDefault="009113AC" w:rsidP="009113AC">
      <w:pPr>
        <w:pStyle w:val="Caption"/>
      </w:pPr>
      <w:bookmarkStart w:id="4" w:name="_Ref76049027"/>
      <w:r>
        <w:t xml:space="preserve">Table </w:t>
      </w:r>
      <w:r>
        <w:fldChar w:fldCharType="begin"/>
      </w:r>
      <w:r>
        <w:instrText xml:space="preserve"> SEQ Table \* ARABIC </w:instrText>
      </w:r>
      <w:r>
        <w:fldChar w:fldCharType="separate"/>
      </w:r>
      <w:r w:rsidR="002D0127">
        <w:rPr>
          <w:noProof/>
        </w:rPr>
        <w:t>1</w:t>
      </w:r>
      <w:r>
        <w:fldChar w:fldCharType="end"/>
      </w:r>
      <w:bookmarkEnd w:id="4"/>
      <w:r w:rsidR="00CE021A">
        <w:t xml:space="preserve">: Estimated uptake of </w:t>
      </w:r>
      <w:r w:rsidR="00A97034" w:rsidRPr="00A97034">
        <w:rPr>
          <w:i/>
        </w:rPr>
        <w:t>KRAS</w:t>
      </w:r>
      <w:r w:rsidR="00A97034" w:rsidRPr="00A97034">
        <w:t xml:space="preserve"> G12C</w:t>
      </w:r>
      <w:r w:rsidR="00CE021A">
        <w:t xml:space="preserve"> testing – epidemiology-based approach</w:t>
      </w:r>
    </w:p>
    <w:tbl>
      <w:tblPr>
        <w:tblStyle w:val="ListTable4-Accent5"/>
        <w:tblW w:w="0" w:type="auto"/>
        <w:tblLook w:val="04A0" w:firstRow="1" w:lastRow="0" w:firstColumn="1" w:lastColumn="0" w:noHBand="0" w:noVBand="1"/>
        <w:tblCaption w:val="Estimated uptake of KRAS G12C testing – epidemiology-based approach"/>
      </w:tblPr>
      <w:tblGrid>
        <w:gridCol w:w="993"/>
        <w:gridCol w:w="1575"/>
        <w:gridCol w:w="2247"/>
        <w:gridCol w:w="2297"/>
        <w:gridCol w:w="1886"/>
      </w:tblGrid>
      <w:tr w:rsidR="00CE021A" w:rsidRPr="00452811" w14:paraId="217F9560" w14:textId="77777777" w:rsidTr="00AF5DC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43BE4B69" w14:textId="77777777" w:rsidR="00CE021A" w:rsidRPr="00937177" w:rsidRDefault="00CE021A" w:rsidP="00D57844">
            <w:pPr>
              <w:pStyle w:val="Tabletext"/>
            </w:pPr>
            <w:r w:rsidRPr="00937177">
              <w:t>Year</w:t>
            </w:r>
          </w:p>
        </w:tc>
        <w:tc>
          <w:tcPr>
            <w:tcW w:w="1575" w:type="dxa"/>
            <w:noWrap/>
            <w:hideMark/>
          </w:tcPr>
          <w:p w14:paraId="765FE265" w14:textId="2A910925" w:rsidR="00CE021A" w:rsidRPr="00937177" w:rsidRDefault="00CE021A" w:rsidP="00E066A0">
            <w:pPr>
              <w:pStyle w:val="Tabletext"/>
              <w:jc w:val="center"/>
              <w:cnfStyle w:val="100000000000" w:firstRow="1" w:lastRow="0" w:firstColumn="0" w:lastColumn="0" w:oddVBand="0" w:evenVBand="0" w:oddHBand="0" w:evenHBand="0" w:firstRowFirstColumn="0" w:firstRowLastColumn="0" w:lastRowFirstColumn="0" w:lastRowLastColumn="0"/>
              <w:rPr>
                <w:vertAlign w:val="superscript"/>
              </w:rPr>
            </w:pPr>
            <w:r w:rsidRPr="00937177">
              <w:t xml:space="preserve">Incidence of lung </w:t>
            </w:r>
            <w:proofErr w:type="spellStart"/>
            <w:r w:rsidRPr="00937177">
              <w:t>cancer</w:t>
            </w:r>
            <w:r w:rsidR="000D4D0F" w:rsidRPr="00937177">
              <w:rPr>
                <w:vertAlign w:val="superscript"/>
              </w:rPr>
              <w:t>a</w:t>
            </w:r>
            <w:proofErr w:type="spellEnd"/>
          </w:p>
        </w:tc>
        <w:tc>
          <w:tcPr>
            <w:tcW w:w="2247" w:type="dxa"/>
            <w:noWrap/>
            <w:hideMark/>
          </w:tcPr>
          <w:p w14:paraId="577D2211" w14:textId="75AD6021" w:rsidR="00CE021A" w:rsidRPr="00937177" w:rsidRDefault="00CE021A" w:rsidP="00E066A0">
            <w:pPr>
              <w:pStyle w:val="Tabletext"/>
              <w:jc w:val="center"/>
              <w:cnfStyle w:val="100000000000" w:firstRow="1" w:lastRow="0" w:firstColumn="0" w:lastColumn="0" w:oddVBand="0" w:evenVBand="0" w:oddHBand="0" w:evenHBand="0" w:firstRowFirstColumn="0" w:firstRowLastColumn="0" w:lastRowFirstColumn="0" w:lastRowLastColumn="0"/>
              <w:rPr>
                <w:vertAlign w:val="superscript"/>
              </w:rPr>
            </w:pPr>
            <w:r w:rsidRPr="00937177">
              <w:t xml:space="preserve">Estimated NSCLC </w:t>
            </w:r>
            <w:proofErr w:type="spellStart"/>
            <w:r w:rsidRPr="00937177">
              <w:t>cases</w:t>
            </w:r>
            <w:r w:rsidR="000D4D0F" w:rsidRPr="00937177">
              <w:rPr>
                <w:vertAlign w:val="superscript"/>
              </w:rPr>
              <w:t>b</w:t>
            </w:r>
            <w:proofErr w:type="spellEnd"/>
          </w:p>
        </w:tc>
        <w:tc>
          <w:tcPr>
            <w:tcW w:w="2297" w:type="dxa"/>
            <w:noWrap/>
            <w:hideMark/>
          </w:tcPr>
          <w:p w14:paraId="7690DD3C" w14:textId="535C71E2" w:rsidR="00CE021A" w:rsidRPr="00937177" w:rsidRDefault="00CE021A" w:rsidP="00E066A0">
            <w:pPr>
              <w:pStyle w:val="Tabletext"/>
              <w:jc w:val="center"/>
              <w:cnfStyle w:val="100000000000" w:firstRow="1" w:lastRow="0" w:firstColumn="0" w:lastColumn="0" w:oddVBand="0" w:evenVBand="0" w:oddHBand="0" w:evenHBand="0" w:firstRowFirstColumn="0" w:firstRowLastColumn="0" w:lastRowFirstColumn="0" w:lastRowLastColumn="0"/>
              <w:rPr>
                <w:vertAlign w:val="superscript"/>
              </w:rPr>
            </w:pPr>
            <w:r w:rsidRPr="00937177">
              <w:t xml:space="preserve">Eligible for </w:t>
            </w:r>
            <w:r w:rsidR="00A97034" w:rsidRPr="00A97034">
              <w:rPr>
                <w:i/>
              </w:rPr>
              <w:t>KRAS</w:t>
            </w:r>
            <w:r w:rsidR="00A97034" w:rsidRPr="00A97034">
              <w:t xml:space="preserve"> G12C</w:t>
            </w:r>
            <w:r w:rsidRPr="00937177">
              <w:t xml:space="preserve"> </w:t>
            </w:r>
            <w:proofErr w:type="spellStart"/>
            <w:r w:rsidRPr="00937177">
              <w:t>te</w:t>
            </w:r>
            <w:r w:rsidR="0093080F" w:rsidRPr="00937177">
              <w:t>sting</w:t>
            </w:r>
            <w:r w:rsidR="000D4D0F" w:rsidRPr="00937177">
              <w:rPr>
                <w:vertAlign w:val="superscript"/>
              </w:rPr>
              <w:t>c</w:t>
            </w:r>
            <w:proofErr w:type="spellEnd"/>
          </w:p>
        </w:tc>
        <w:tc>
          <w:tcPr>
            <w:tcW w:w="0" w:type="auto"/>
            <w:noWrap/>
            <w:hideMark/>
          </w:tcPr>
          <w:p w14:paraId="2E8438B0" w14:textId="6E51EC54" w:rsidR="00CE021A" w:rsidRPr="00937177" w:rsidRDefault="00A97034" w:rsidP="00E066A0">
            <w:pPr>
              <w:pStyle w:val="Tabletext"/>
              <w:jc w:val="center"/>
              <w:cnfStyle w:val="100000000000" w:firstRow="1" w:lastRow="0" w:firstColumn="0" w:lastColumn="0" w:oddVBand="0" w:evenVBand="0" w:oddHBand="0" w:evenHBand="0" w:firstRowFirstColumn="0" w:firstRowLastColumn="0" w:lastRowFirstColumn="0" w:lastRowLastColumn="0"/>
              <w:rPr>
                <w:vertAlign w:val="superscript"/>
              </w:rPr>
            </w:pPr>
            <w:r w:rsidRPr="00A97034">
              <w:rPr>
                <w:i/>
              </w:rPr>
              <w:t>KRAS</w:t>
            </w:r>
            <w:r w:rsidRPr="00A97034">
              <w:t xml:space="preserve"> G12C</w:t>
            </w:r>
            <w:r w:rsidR="00ED7E30" w:rsidRPr="00937177">
              <w:t xml:space="preserve"> </w:t>
            </w:r>
            <w:proofErr w:type="spellStart"/>
            <w:r w:rsidR="00ED7E30" w:rsidRPr="00937177">
              <w:t>p</w:t>
            </w:r>
            <w:r w:rsidR="00CE021A" w:rsidRPr="00937177">
              <w:t>ositive</w:t>
            </w:r>
            <w:r w:rsidR="000D4D0F" w:rsidRPr="00937177">
              <w:rPr>
                <w:vertAlign w:val="superscript"/>
              </w:rPr>
              <w:t>d</w:t>
            </w:r>
            <w:proofErr w:type="spellEnd"/>
          </w:p>
        </w:tc>
      </w:tr>
      <w:tr w:rsidR="00CE021A" w:rsidRPr="00452811" w14:paraId="7C00FC17" w14:textId="77777777" w:rsidTr="00ED0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6924AC2" w14:textId="77777777" w:rsidR="00CE021A" w:rsidRPr="00452811" w:rsidRDefault="00CE021A" w:rsidP="00D57844">
            <w:pPr>
              <w:pStyle w:val="Tabletext"/>
              <w:rPr>
                <w:color w:val="000000"/>
              </w:rPr>
            </w:pPr>
            <w:r w:rsidRPr="00452811">
              <w:rPr>
                <w:color w:val="000000"/>
              </w:rPr>
              <w:t>2015</w:t>
            </w:r>
          </w:p>
        </w:tc>
        <w:tc>
          <w:tcPr>
            <w:tcW w:w="1575" w:type="dxa"/>
            <w:noWrap/>
            <w:hideMark/>
          </w:tcPr>
          <w:p w14:paraId="254AC7E0"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11841</w:t>
            </w:r>
          </w:p>
        </w:tc>
        <w:tc>
          <w:tcPr>
            <w:tcW w:w="2247" w:type="dxa"/>
            <w:noWrap/>
            <w:hideMark/>
          </w:tcPr>
          <w:p w14:paraId="40E29638"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10254</w:t>
            </w:r>
          </w:p>
        </w:tc>
        <w:tc>
          <w:tcPr>
            <w:tcW w:w="2297" w:type="dxa"/>
            <w:noWrap/>
            <w:hideMark/>
          </w:tcPr>
          <w:p w14:paraId="4FA9C4E0"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7609</w:t>
            </w:r>
          </w:p>
        </w:tc>
        <w:tc>
          <w:tcPr>
            <w:tcW w:w="0" w:type="auto"/>
            <w:noWrap/>
            <w:hideMark/>
          </w:tcPr>
          <w:p w14:paraId="3EF299BF"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989</w:t>
            </w:r>
          </w:p>
        </w:tc>
      </w:tr>
      <w:tr w:rsidR="00CE021A" w:rsidRPr="00452811" w14:paraId="428DBA50" w14:textId="77777777" w:rsidTr="00ED0CD8">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CD3F80A" w14:textId="77777777" w:rsidR="00CE021A" w:rsidRPr="00452811" w:rsidRDefault="00CE021A" w:rsidP="00D57844">
            <w:pPr>
              <w:pStyle w:val="Tabletext"/>
              <w:rPr>
                <w:color w:val="000000"/>
              </w:rPr>
            </w:pPr>
            <w:r w:rsidRPr="00452811">
              <w:rPr>
                <w:color w:val="000000"/>
              </w:rPr>
              <w:t>2016</w:t>
            </w:r>
          </w:p>
        </w:tc>
        <w:tc>
          <w:tcPr>
            <w:tcW w:w="1575" w:type="dxa"/>
            <w:noWrap/>
            <w:hideMark/>
          </w:tcPr>
          <w:p w14:paraId="7ADF70DF"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12441</w:t>
            </w:r>
          </w:p>
        </w:tc>
        <w:tc>
          <w:tcPr>
            <w:tcW w:w="2247" w:type="dxa"/>
            <w:noWrap/>
            <w:hideMark/>
          </w:tcPr>
          <w:p w14:paraId="68FA01A9"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10774</w:t>
            </w:r>
          </w:p>
        </w:tc>
        <w:tc>
          <w:tcPr>
            <w:tcW w:w="2297" w:type="dxa"/>
            <w:noWrap/>
            <w:hideMark/>
          </w:tcPr>
          <w:p w14:paraId="5A1EAAE7"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7994</w:t>
            </w:r>
          </w:p>
        </w:tc>
        <w:tc>
          <w:tcPr>
            <w:tcW w:w="0" w:type="auto"/>
            <w:noWrap/>
            <w:hideMark/>
          </w:tcPr>
          <w:p w14:paraId="658F3915"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1039</w:t>
            </w:r>
          </w:p>
        </w:tc>
      </w:tr>
      <w:tr w:rsidR="00CE021A" w:rsidRPr="00452811" w14:paraId="30F5B403" w14:textId="77777777" w:rsidTr="00ED0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231672D" w14:textId="77777777" w:rsidR="00CE021A" w:rsidRPr="00452811" w:rsidRDefault="00CE021A" w:rsidP="00D57844">
            <w:pPr>
              <w:pStyle w:val="Tabletext"/>
              <w:rPr>
                <w:color w:val="000000"/>
              </w:rPr>
            </w:pPr>
            <w:r w:rsidRPr="00452811">
              <w:rPr>
                <w:color w:val="000000"/>
              </w:rPr>
              <w:t>2017</w:t>
            </w:r>
          </w:p>
        </w:tc>
        <w:tc>
          <w:tcPr>
            <w:tcW w:w="1575" w:type="dxa"/>
            <w:noWrap/>
            <w:hideMark/>
          </w:tcPr>
          <w:p w14:paraId="4C501A90"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12585</w:t>
            </w:r>
          </w:p>
        </w:tc>
        <w:tc>
          <w:tcPr>
            <w:tcW w:w="2247" w:type="dxa"/>
            <w:noWrap/>
            <w:hideMark/>
          </w:tcPr>
          <w:p w14:paraId="3817F1C3"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10899</w:t>
            </w:r>
          </w:p>
        </w:tc>
        <w:tc>
          <w:tcPr>
            <w:tcW w:w="2297" w:type="dxa"/>
            <w:noWrap/>
            <w:hideMark/>
          </w:tcPr>
          <w:p w14:paraId="09A28B74"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8087</w:t>
            </w:r>
          </w:p>
        </w:tc>
        <w:tc>
          <w:tcPr>
            <w:tcW w:w="0" w:type="auto"/>
            <w:noWrap/>
            <w:hideMark/>
          </w:tcPr>
          <w:p w14:paraId="3BCC8ACD"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1051</w:t>
            </w:r>
          </w:p>
        </w:tc>
      </w:tr>
      <w:tr w:rsidR="00CE021A" w:rsidRPr="00452811" w14:paraId="178FA371" w14:textId="77777777" w:rsidTr="00ED0CD8">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D07B340" w14:textId="77777777" w:rsidR="00CE021A" w:rsidRPr="00452811" w:rsidRDefault="00CE021A" w:rsidP="00D57844">
            <w:pPr>
              <w:pStyle w:val="Tabletext"/>
              <w:rPr>
                <w:color w:val="000000"/>
              </w:rPr>
            </w:pPr>
            <w:r w:rsidRPr="00452811">
              <w:rPr>
                <w:color w:val="000000"/>
              </w:rPr>
              <w:t>2018</w:t>
            </w:r>
          </w:p>
        </w:tc>
        <w:tc>
          <w:tcPr>
            <w:tcW w:w="1575" w:type="dxa"/>
            <w:noWrap/>
            <w:hideMark/>
          </w:tcPr>
          <w:p w14:paraId="0B748821"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12880</w:t>
            </w:r>
          </w:p>
        </w:tc>
        <w:tc>
          <w:tcPr>
            <w:tcW w:w="2247" w:type="dxa"/>
            <w:noWrap/>
            <w:hideMark/>
          </w:tcPr>
          <w:p w14:paraId="1097005B"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11154</w:t>
            </w:r>
          </w:p>
        </w:tc>
        <w:tc>
          <w:tcPr>
            <w:tcW w:w="2297" w:type="dxa"/>
            <w:noWrap/>
            <w:hideMark/>
          </w:tcPr>
          <w:p w14:paraId="0BF5568A"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8276</w:t>
            </w:r>
          </w:p>
        </w:tc>
        <w:tc>
          <w:tcPr>
            <w:tcW w:w="0" w:type="auto"/>
            <w:noWrap/>
            <w:hideMark/>
          </w:tcPr>
          <w:p w14:paraId="5E059771"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1076</w:t>
            </w:r>
          </w:p>
        </w:tc>
      </w:tr>
      <w:tr w:rsidR="00CE021A" w:rsidRPr="00452811" w14:paraId="244718CA" w14:textId="77777777" w:rsidTr="00ED0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C7DF446" w14:textId="77777777" w:rsidR="00CE021A" w:rsidRPr="00452811" w:rsidRDefault="00CE021A" w:rsidP="00D57844">
            <w:pPr>
              <w:pStyle w:val="Tabletext"/>
              <w:rPr>
                <w:color w:val="000000"/>
              </w:rPr>
            </w:pPr>
            <w:r w:rsidRPr="00452811">
              <w:rPr>
                <w:color w:val="000000"/>
              </w:rPr>
              <w:t>2019</w:t>
            </w:r>
          </w:p>
        </w:tc>
        <w:tc>
          <w:tcPr>
            <w:tcW w:w="1575" w:type="dxa"/>
            <w:noWrap/>
            <w:hideMark/>
          </w:tcPr>
          <w:p w14:paraId="0711138D"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13218</w:t>
            </w:r>
          </w:p>
        </w:tc>
        <w:tc>
          <w:tcPr>
            <w:tcW w:w="2247" w:type="dxa"/>
            <w:noWrap/>
            <w:hideMark/>
          </w:tcPr>
          <w:p w14:paraId="3527ADEA"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11447</w:t>
            </w:r>
          </w:p>
        </w:tc>
        <w:tc>
          <w:tcPr>
            <w:tcW w:w="2297" w:type="dxa"/>
            <w:noWrap/>
            <w:hideMark/>
          </w:tcPr>
          <w:p w14:paraId="4E47AB7F"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8494</w:t>
            </w:r>
          </w:p>
        </w:tc>
        <w:tc>
          <w:tcPr>
            <w:tcW w:w="0" w:type="auto"/>
            <w:noWrap/>
            <w:hideMark/>
          </w:tcPr>
          <w:p w14:paraId="2E8AF789"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1104</w:t>
            </w:r>
          </w:p>
        </w:tc>
      </w:tr>
      <w:tr w:rsidR="00CE021A" w:rsidRPr="00452811" w14:paraId="25ED4B9B" w14:textId="77777777" w:rsidTr="00ED0CD8">
        <w:trPr>
          <w:trHeight w:val="31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68EC4F0" w14:textId="77777777" w:rsidR="00CE021A" w:rsidRPr="00452811" w:rsidRDefault="00CE021A" w:rsidP="00D57844">
            <w:pPr>
              <w:pStyle w:val="Tabletext"/>
              <w:rPr>
                <w:color w:val="000000"/>
              </w:rPr>
            </w:pPr>
            <w:r w:rsidRPr="00452811">
              <w:rPr>
                <w:color w:val="000000"/>
              </w:rPr>
              <w:t>2020</w:t>
            </w:r>
          </w:p>
        </w:tc>
        <w:tc>
          <w:tcPr>
            <w:tcW w:w="1575" w:type="dxa"/>
            <w:noWrap/>
            <w:hideMark/>
          </w:tcPr>
          <w:p w14:paraId="3E2616EF"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13604</w:t>
            </w:r>
          </w:p>
        </w:tc>
        <w:tc>
          <w:tcPr>
            <w:tcW w:w="2247" w:type="dxa"/>
            <w:noWrap/>
            <w:hideMark/>
          </w:tcPr>
          <w:p w14:paraId="564AB04E"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11781</w:t>
            </w:r>
          </w:p>
        </w:tc>
        <w:tc>
          <w:tcPr>
            <w:tcW w:w="2297" w:type="dxa"/>
            <w:noWrap/>
            <w:hideMark/>
          </w:tcPr>
          <w:p w14:paraId="0A5A863E"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8742</w:t>
            </w:r>
          </w:p>
        </w:tc>
        <w:tc>
          <w:tcPr>
            <w:tcW w:w="0" w:type="auto"/>
            <w:noWrap/>
            <w:hideMark/>
          </w:tcPr>
          <w:p w14:paraId="4DDCAD33"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1136</w:t>
            </w:r>
          </w:p>
        </w:tc>
      </w:tr>
      <w:tr w:rsidR="00CE021A" w:rsidRPr="00452811" w14:paraId="07191841" w14:textId="77777777" w:rsidTr="00ED0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B7A3721" w14:textId="77777777" w:rsidR="00CE021A" w:rsidRPr="00452811" w:rsidRDefault="00CE021A" w:rsidP="00D57844">
            <w:pPr>
              <w:pStyle w:val="Tabletext"/>
              <w:rPr>
                <w:color w:val="000000"/>
              </w:rPr>
            </w:pPr>
            <w:r w:rsidRPr="00452811">
              <w:rPr>
                <w:color w:val="000000"/>
              </w:rPr>
              <w:t>2021</w:t>
            </w:r>
          </w:p>
        </w:tc>
        <w:tc>
          <w:tcPr>
            <w:tcW w:w="1575" w:type="dxa"/>
            <w:noWrap/>
            <w:hideMark/>
          </w:tcPr>
          <w:p w14:paraId="3AA19AD8"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13810</w:t>
            </w:r>
          </w:p>
        </w:tc>
        <w:tc>
          <w:tcPr>
            <w:tcW w:w="2247" w:type="dxa"/>
            <w:noWrap/>
            <w:hideMark/>
          </w:tcPr>
          <w:p w14:paraId="64BE309A"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11959</w:t>
            </w:r>
          </w:p>
        </w:tc>
        <w:tc>
          <w:tcPr>
            <w:tcW w:w="2297" w:type="dxa"/>
            <w:noWrap/>
            <w:hideMark/>
          </w:tcPr>
          <w:p w14:paraId="6F5B5F81"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8874</w:t>
            </w:r>
          </w:p>
        </w:tc>
        <w:tc>
          <w:tcPr>
            <w:tcW w:w="0" w:type="auto"/>
            <w:noWrap/>
            <w:hideMark/>
          </w:tcPr>
          <w:p w14:paraId="1F6BD6B8"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1154</w:t>
            </w:r>
          </w:p>
        </w:tc>
      </w:tr>
      <w:tr w:rsidR="00CE021A" w:rsidRPr="00452811" w14:paraId="2AF0BD57" w14:textId="77777777" w:rsidTr="00ED0CD8">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68C42D0F" w14:textId="77777777" w:rsidR="00CE021A" w:rsidRPr="00452811" w:rsidRDefault="00CE021A" w:rsidP="00D57844">
            <w:pPr>
              <w:pStyle w:val="Tabletext"/>
              <w:rPr>
                <w:color w:val="000000"/>
              </w:rPr>
            </w:pPr>
            <w:r w:rsidRPr="00452811">
              <w:rPr>
                <w:color w:val="000000"/>
              </w:rPr>
              <w:t>2022</w:t>
            </w:r>
          </w:p>
        </w:tc>
        <w:tc>
          <w:tcPr>
            <w:tcW w:w="1575" w:type="dxa"/>
            <w:noWrap/>
            <w:hideMark/>
          </w:tcPr>
          <w:p w14:paraId="4901822C"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14114</w:t>
            </w:r>
          </w:p>
        </w:tc>
        <w:tc>
          <w:tcPr>
            <w:tcW w:w="2247" w:type="dxa"/>
            <w:noWrap/>
            <w:hideMark/>
          </w:tcPr>
          <w:p w14:paraId="59EBB723"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12222</w:t>
            </w:r>
          </w:p>
        </w:tc>
        <w:tc>
          <w:tcPr>
            <w:tcW w:w="2297" w:type="dxa"/>
            <w:noWrap/>
            <w:hideMark/>
          </w:tcPr>
          <w:p w14:paraId="42DD9BCC"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9069</w:t>
            </w:r>
          </w:p>
        </w:tc>
        <w:tc>
          <w:tcPr>
            <w:tcW w:w="0" w:type="auto"/>
            <w:noWrap/>
            <w:hideMark/>
          </w:tcPr>
          <w:p w14:paraId="4AAEB208"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1179</w:t>
            </w:r>
          </w:p>
        </w:tc>
      </w:tr>
      <w:tr w:rsidR="00CE021A" w:rsidRPr="00452811" w14:paraId="69796EC4" w14:textId="77777777" w:rsidTr="00ED0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09C83AD" w14:textId="77777777" w:rsidR="00CE021A" w:rsidRPr="00452811" w:rsidRDefault="00CE021A" w:rsidP="00D57844">
            <w:pPr>
              <w:pStyle w:val="Tabletext"/>
              <w:rPr>
                <w:color w:val="000000"/>
              </w:rPr>
            </w:pPr>
            <w:r w:rsidRPr="00452811">
              <w:rPr>
                <w:color w:val="000000"/>
              </w:rPr>
              <w:t>2023</w:t>
            </w:r>
          </w:p>
        </w:tc>
        <w:tc>
          <w:tcPr>
            <w:tcW w:w="1575" w:type="dxa"/>
            <w:noWrap/>
            <w:hideMark/>
          </w:tcPr>
          <w:p w14:paraId="3F747238"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14406</w:t>
            </w:r>
          </w:p>
        </w:tc>
        <w:tc>
          <w:tcPr>
            <w:tcW w:w="2247" w:type="dxa"/>
            <w:noWrap/>
            <w:hideMark/>
          </w:tcPr>
          <w:p w14:paraId="714E973F"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12476</w:t>
            </w:r>
          </w:p>
        </w:tc>
        <w:tc>
          <w:tcPr>
            <w:tcW w:w="2297" w:type="dxa"/>
            <w:noWrap/>
            <w:hideMark/>
          </w:tcPr>
          <w:p w14:paraId="6F0D41F9"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9257</w:t>
            </w:r>
          </w:p>
        </w:tc>
        <w:tc>
          <w:tcPr>
            <w:tcW w:w="0" w:type="auto"/>
            <w:noWrap/>
            <w:hideMark/>
          </w:tcPr>
          <w:p w14:paraId="6AA8D17C"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1203</w:t>
            </w:r>
          </w:p>
        </w:tc>
      </w:tr>
      <w:tr w:rsidR="00CE021A" w:rsidRPr="00452811" w14:paraId="5FFDE88A" w14:textId="77777777" w:rsidTr="00ED0CD8">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9B448B" w14:textId="77777777" w:rsidR="00CE021A" w:rsidRPr="00452811" w:rsidRDefault="00CE021A" w:rsidP="00D57844">
            <w:pPr>
              <w:pStyle w:val="Tabletext"/>
              <w:rPr>
                <w:color w:val="000000"/>
              </w:rPr>
            </w:pPr>
            <w:r w:rsidRPr="00452811">
              <w:rPr>
                <w:color w:val="000000"/>
              </w:rPr>
              <w:t>2024</w:t>
            </w:r>
          </w:p>
        </w:tc>
        <w:tc>
          <w:tcPr>
            <w:tcW w:w="1575" w:type="dxa"/>
            <w:noWrap/>
            <w:hideMark/>
          </w:tcPr>
          <w:p w14:paraId="49A1858D"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14699</w:t>
            </w:r>
          </w:p>
        </w:tc>
        <w:tc>
          <w:tcPr>
            <w:tcW w:w="2247" w:type="dxa"/>
            <w:noWrap/>
            <w:hideMark/>
          </w:tcPr>
          <w:p w14:paraId="548D5234"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12729</w:t>
            </w:r>
          </w:p>
        </w:tc>
        <w:tc>
          <w:tcPr>
            <w:tcW w:w="2297" w:type="dxa"/>
            <w:noWrap/>
            <w:hideMark/>
          </w:tcPr>
          <w:p w14:paraId="4C9788E1"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9445</w:t>
            </w:r>
          </w:p>
        </w:tc>
        <w:tc>
          <w:tcPr>
            <w:tcW w:w="0" w:type="auto"/>
            <w:noWrap/>
            <w:hideMark/>
          </w:tcPr>
          <w:p w14:paraId="6C6B0078"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1228</w:t>
            </w:r>
          </w:p>
        </w:tc>
      </w:tr>
      <w:tr w:rsidR="00CE021A" w:rsidRPr="00452811" w14:paraId="4A29FD49" w14:textId="77777777" w:rsidTr="00ED0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ACED42B" w14:textId="77777777" w:rsidR="00CE021A" w:rsidRPr="00452811" w:rsidRDefault="00CE021A" w:rsidP="00D57844">
            <w:pPr>
              <w:pStyle w:val="Tabletext"/>
              <w:rPr>
                <w:color w:val="000000"/>
              </w:rPr>
            </w:pPr>
            <w:r w:rsidRPr="00452811">
              <w:rPr>
                <w:color w:val="000000"/>
              </w:rPr>
              <w:t>2025</w:t>
            </w:r>
          </w:p>
        </w:tc>
        <w:tc>
          <w:tcPr>
            <w:tcW w:w="1575" w:type="dxa"/>
            <w:noWrap/>
            <w:hideMark/>
          </w:tcPr>
          <w:p w14:paraId="5BAE4DE3"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14991</w:t>
            </w:r>
          </w:p>
        </w:tc>
        <w:tc>
          <w:tcPr>
            <w:tcW w:w="2247" w:type="dxa"/>
            <w:noWrap/>
            <w:hideMark/>
          </w:tcPr>
          <w:p w14:paraId="48EED641"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12983</w:t>
            </w:r>
          </w:p>
        </w:tc>
        <w:tc>
          <w:tcPr>
            <w:tcW w:w="2297" w:type="dxa"/>
            <w:noWrap/>
            <w:hideMark/>
          </w:tcPr>
          <w:p w14:paraId="0D9E5ED2"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9633</w:t>
            </w:r>
          </w:p>
        </w:tc>
        <w:tc>
          <w:tcPr>
            <w:tcW w:w="0" w:type="auto"/>
            <w:noWrap/>
            <w:hideMark/>
          </w:tcPr>
          <w:p w14:paraId="0FA864A6"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1252</w:t>
            </w:r>
          </w:p>
        </w:tc>
      </w:tr>
      <w:tr w:rsidR="00CE021A" w:rsidRPr="00452811" w14:paraId="2BAF0100" w14:textId="77777777" w:rsidTr="00ED0CD8">
        <w:trPr>
          <w:trHeight w:val="31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7E6B036" w14:textId="77777777" w:rsidR="00CE021A" w:rsidRPr="00452811" w:rsidRDefault="00CE021A" w:rsidP="00D57844">
            <w:pPr>
              <w:pStyle w:val="Tabletext"/>
              <w:rPr>
                <w:color w:val="000000"/>
              </w:rPr>
            </w:pPr>
            <w:r w:rsidRPr="00452811">
              <w:rPr>
                <w:color w:val="000000"/>
              </w:rPr>
              <w:t>2026</w:t>
            </w:r>
          </w:p>
        </w:tc>
        <w:tc>
          <w:tcPr>
            <w:tcW w:w="1575" w:type="dxa"/>
            <w:noWrap/>
            <w:hideMark/>
          </w:tcPr>
          <w:p w14:paraId="7802E786"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15284</w:t>
            </w:r>
          </w:p>
        </w:tc>
        <w:tc>
          <w:tcPr>
            <w:tcW w:w="2247" w:type="dxa"/>
            <w:noWrap/>
            <w:hideMark/>
          </w:tcPr>
          <w:p w14:paraId="2278ECB4"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13236</w:t>
            </w:r>
          </w:p>
        </w:tc>
        <w:tc>
          <w:tcPr>
            <w:tcW w:w="2297" w:type="dxa"/>
            <w:noWrap/>
            <w:hideMark/>
          </w:tcPr>
          <w:p w14:paraId="141D73F5"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9821</w:t>
            </w:r>
          </w:p>
        </w:tc>
        <w:tc>
          <w:tcPr>
            <w:tcW w:w="0" w:type="auto"/>
            <w:noWrap/>
            <w:hideMark/>
          </w:tcPr>
          <w:p w14:paraId="48F64B2E" w14:textId="77777777" w:rsidR="00CE021A" w:rsidRPr="00452811" w:rsidRDefault="00CE021A"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1277</w:t>
            </w:r>
          </w:p>
        </w:tc>
      </w:tr>
      <w:tr w:rsidR="00CE021A" w:rsidRPr="00452811" w14:paraId="55343252" w14:textId="77777777" w:rsidTr="00ED0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3C615F1" w14:textId="77777777" w:rsidR="00CE021A" w:rsidRPr="00452811" w:rsidRDefault="00CE021A" w:rsidP="00D57844">
            <w:pPr>
              <w:pStyle w:val="Tabletext"/>
              <w:rPr>
                <w:color w:val="000000"/>
              </w:rPr>
            </w:pPr>
            <w:r w:rsidRPr="00452811">
              <w:rPr>
                <w:color w:val="000000"/>
              </w:rPr>
              <w:t>2027</w:t>
            </w:r>
          </w:p>
        </w:tc>
        <w:tc>
          <w:tcPr>
            <w:tcW w:w="1575" w:type="dxa"/>
            <w:noWrap/>
            <w:hideMark/>
          </w:tcPr>
          <w:p w14:paraId="1144C08E"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15577</w:t>
            </w:r>
          </w:p>
        </w:tc>
        <w:tc>
          <w:tcPr>
            <w:tcW w:w="2247" w:type="dxa"/>
            <w:noWrap/>
            <w:hideMark/>
          </w:tcPr>
          <w:p w14:paraId="159BC0C2"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13489</w:t>
            </w:r>
          </w:p>
        </w:tc>
        <w:tc>
          <w:tcPr>
            <w:tcW w:w="2297" w:type="dxa"/>
            <w:noWrap/>
            <w:hideMark/>
          </w:tcPr>
          <w:p w14:paraId="133E9CA9"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10009</w:t>
            </w:r>
          </w:p>
        </w:tc>
        <w:tc>
          <w:tcPr>
            <w:tcW w:w="0" w:type="auto"/>
            <w:noWrap/>
            <w:hideMark/>
          </w:tcPr>
          <w:p w14:paraId="640CAC20" w14:textId="77777777" w:rsidR="00CE021A" w:rsidRPr="00452811" w:rsidRDefault="00CE021A"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1301</w:t>
            </w:r>
          </w:p>
        </w:tc>
      </w:tr>
    </w:tbl>
    <w:p w14:paraId="32922C41" w14:textId="24D1EF40" w:rsidR="00CE021A" w:rsidRPr="003D2965" w:rsidRDefault="000D4D0F" w:rsidP="00C00B6A">
      <w:pPr>
        <w:contextualSpacing/>
        <w:jc w:val="both"/>
        <w:rPr>
          <w:sz w:val="18"/>
        </w:rPr>
      </w:pPr>
      <w:r w:rsidRPr="003D2965">
        <w:rPr>
          <w:sz w:val="18"/>
        </w:rPr>
        <w:t>a – Estimates of incidence of lung cancer are based on the data available from AIHW for the years 2015 to 2021.</w:t>
      </w:r>
    </w:p>
    <w:p w14:paraId="47F8E8B1" w14:textId="38682B71" w:rsidR="000D4D0F" w:rsidRPr="003D2965" w:rsidRDefault="000D4D0F" w:rsidP="00C00B6A">
      <w:pPr>
        <w:contextualSpacing/>
        <w:jc w:val="both"/>
        <w:rPr>
          <w:sz w:val="18"/>
        </w:rPr>
      </w:pPr>
      <w:r w:rsidRPr="003D2965">
        <w:rPr>
          <w:sz w:val="18"/>
        </w:rPr>
        <w:t>b – 86.6% of lung cancer cases are estimated to be NSCLC.</w:t>
      </w:r>
    </w:p>
    <w:p w14:paraId="0F574E91" w14:textId="71FF8026" w:rsidR="000D4D0F" w:rsidRPr="003D2965" w:rsidRDefault="000D4D0F" w:rsidP="00C00B6A">
      <w:pPr>
        <w:contextualSpacing/>
        <w:jc w:val="both"/>
        <w:rPr>
          <w:sz w:val="18"/>
        </w:rPr>
      </w:pPr>
      <w:r w:rsidRPr="003D2965">
        <w:rPr>
          <w:sz w:val="18"/>
        </w:rPr>
        <w:t>c – 74.2% of NSCLC are estimated to be non-squamous/NOS histology.</w:t>
      </w:r>
    </w:p>
    <w:p w14:paraId="542B4A41" w14:textId="6D20D058" w:rsidR="006E3369" w:rsidRPr="006E3369" w:rsidRDefault="000D4D0F" w:rsidP="006E3369">
      <w:pPr>
        <w:jc w:val="both"/>
        <w:rPr>
          <w:sz w:val="18"/>
        </w:rPr>
      </w:pPr>
      <w:r w:rsidRPr="003D2965">
        <w:rPr>
          <w:sz w:val="18"/>
        </w:rPr>
        <w:t xml:space="preserve">d - ~13% of tested population is found to be </w:t>
      </w:r>
      <w:r w:rsidR="00A97034" w:rsidRPr="00A97034">
        <w:rPr>
          <w:i/>
          <w:sz w:val="18"/>
        </w:rPr>
        <w:t>KRAS</w:t>
      </w:r>
      <w:r w:rsidR="00A97034" w:rsidRPr="00A97034">
        <w:rPr>
          <w:sz w:val="18"/>
        </w:rPr>
        <w:t xml:space="preserve"> G12C</w:t>
      </w:r>
      <w:r w:rsidRPr="003D2965">
        <w:rPr>
          <w:sz w:val="18"/>
        </w:rPr>
        <w:t xml:space="preserve"> positive.</w:t>
      </w:r>
    </w:p>
    <w:p w14:paraId="1F02F417" w14:textId="6D975A7D" w:rsidR="00355688" w:rsidRDefault="00355688" w:rsidP="00355688">
      <w:pPr>
        <w:jc w:val="both"/>
      </w:pPr>
      <w:r>
        <w:t xml:space="preserve">The </w:t>
      </w:r>
      <w:r w:rsidR="00A97034" w:rsidRPr="00A97034">
        <w:rPr>
          <w:i/>
        </w:rPr>
        <w:t>KRAS</w:t>
      </w:r>
      <w:r w:rsidR="00A97034" w:rsidRPr="00A97034">
        <w:t xml:space="preserve"> G12C</w:t>
      </w:r>
      <w:r>
        <w:t xml:space="preserve"> variant is present in ~13% of NSCLC cases </w:t>
      </w:r>
      <w:r>
        <w:fldChar w:fldCharType="begin"/>
      </w:r>
      <w:r>
        <w:instrText xml:space="preserve"> ADDIN EN.CITE &lt;EndNote&gt;&lt;Cite&gt;&lt;Author&gt;Arbour&lt;/Author&gt;&lt;Year&gt;2021&lt;/Year&gt;&lt;RecNum&gt;28&lt;/RecNum&gt;&lt;DisplayText&gt;(Arbour et al. 2021)&lt;/DisplayText&gt;&lt;record&gt;&lt;rec-number&gt;28&lt;/rec-number&gt;&lt;foreign-keys&gt;&lt;key app="EN" db-id="sxzw59f9u2erpaezf9mv0ptm9rwfzp5999rs" timestamp="1623051764"&gt;28&lt;/key&gt;&lt;/foreign-keys&gt;&lt;ref-type name="Journal Article"&gt;17&lt;/ref-type&gt;&lt;contributors&gt;&lt;authors&gt;&lt;author&gt;Arbour, Kathryn C.&lt;/author&gt;&lt;author&gt;Rizvi, Hira&lt;/author&gt;&lt;author&gt;Plodkowski, Andrew J.&lt;/author&gt;&lt;author&gt;Hellmann, Matthew D.&lt;/author&gt;&lt;author&gt;Knezevic, Andrea&lt;/author&gt;&lt;author&gt;Heller, Glenn&lt;/author&gt;&lt;author&gt;Yu, Helena A.&lt;/author&gt;&lt;author&gt;Ladanyi, Marc&lt;/author&gt;&lt;author&gt;Kris, Mark G.&lt;/author&gt;&lt;author&gt;Arcila, Maria E.&lt;/author&gt;&lt;author&gt;Rudin, Charles M.&lt;/author&gt;&lt;author&gt;Lito, Piro&lt;/author&gt;&lt;author&gt;Riely, Gregory J.&lt;/author&gt;&lt;/authors&gt;&lt;/contributors&gt;&lt;titles&gt;&lt;title&gt;Treatment Outcomes and Clinical Characteristics of Patients with KRAS-G12C–Mutant Non–Small Cell Lung Cancer&lt;/title&gt;&lt;secondary-title&gt;Clinical Cancer Research&lt;/secondary-title&gt;&lt;/titles&gt;&lt;periodical&gt;&lt;full-title&gt;Clinical Cancer Research&lt;/full-title&gt;&lt;/periodical&gt;&lt;pages&gt;2209-2215&lt;/pages&gt;&lt;volume&gt;27&lt;/volume&gt;&lt;number&gt;8&lt;/number&gt;&lt;dates&gt;&lt;year&gt;2021&lt;/year&gt;&lt;/dates&gt;&lt;urls&gt;&lt;related-urls&gt;&lt;url&gt;https://clincancerres.aacrjournals.org/content/clincanres/27/8/2209.full.pdf&lt;/url&gt;&lt;/related-urls&gt;&lt;/urls&gt;&lt;electronic-resource-num&gt;10.1158/1078-0432.Ccr-20-4023&lt;/electronic-resource-num&gt;&lt;/record&gt;&lt;/Cite&gt;&lt;/EndNote&gt;</w:instrText>
      </w:r>
      <w:r>
        <w:fldChar w:fldCharType="separate"/>
      </w:r>
      <w:r>
        <w:rPr>
          <w:noProof/>
        </w:rPr>
        <w:t>(Arbour et al. 2021)</w:t>
      </w:r>
      <w:r>
        <w:fldChar w:fldCharType="end"/>
      </w:r>
      <w:r>
        <w:t xml:space="preserve">, suggesting that approximately 667 patients might be eligible for the second-line treatment of locally advanced or metastatic disease with sotorasib in 2021. However, as testing is proposed to be conducted at diagnosis and followed by first-line treatment of locally advanced or metastatic disease, survival and frailty of the population after first-line therapy need to be taken into consideration while estimating the exact eligibility for sotorasib. </w:t>
      </w:r>
      <w:r w:rsidRPr="009F6FF0">
        <w:t xml:space="preserve">It is anticipated that patients would be tested only once per lifetime, at </w:t>
      </w:r>
      <w:r>
        <w:t xml:space="preserve">initial </w:t>
      </w:r>
      <w:r w:rsidRPr="009F6FF0">
        <w:t>diagnosis.</w:t>
      </w:r>
      <w:r>
        <w:t xml:space="preserve"> The applicant considered that l</w:t>
      </w:r>
      <w:r w:rsidRPr="005E1C9E">
        <w:t xml:space="preserve">eakage to populations not targeted by the service </w:t>
      </w:r>
      <w:r w:rsidRPr="005E1C9E">
        <w:lastRenderedPageBreak/>
        <w:t>w</w:t>
      </w:r>
      <w:r>
        <w:t>ould</w:t>
      </w:r>
      <w:r w:rsidRPr="005E1C9E">
        <w:t xml:space="preserve"> be constrained by the MBS item descriptor to ensure testing is applied only where clinically indicated.</w:t>
      </w:r>
    </w:p>
    <w:p w14:paraId="39050B38" w14:textId="726C8CBC" w:rsidR="00D662A7" w:rsidRPr="002902D7" w:rsidRDefault="00D662A7" w:rsidP="00DA360E">
      <w:pPr>
        <w:jc w:val="both"/>
      </w:pPr>
      <w:r>
        <w:t>The n</w:t>
      </w:r>
      <w:r w:rsidR="00CE20C8">
        <w:t xml:space="preserve">umber of people tested in the first two years may be slightly higher than the estimated numbers. This is because of the cases who previously underwent </w:t>
      </w:r>
      <w:r w:rsidR="00CE20C8" w:rsidRPr="007565B4">
        <w:rPr>
          <w:i/>
        </w:rPr>
        <w:t>EGFR</w:t>
      </w:r>
      <w:r w:rsidR="00CE20C8">
        <w:t xml:space="preserve"> testing and </w:t>
      </w:r>
      <w:r>
        <w:t xml:space="preserve">were </w:t>
      </w:r>
      <w:r w:rsidR="00CE20C8">
        <w:t xml:space="preserve">found to be negative may undergo </w:t>
      </w:r>
      <w:r w:rsidR="00A97034" w:rsidRPr="00A97034">
        <w:rPr>
          <w:i/>
        </w:rPr>
        <w:t>KRAS</w:t>
      </w:r>
      <w:r w:rsidR="00A97034" w:rsidRPr="00A97034">
        <w:t xml:space="preserve"> G12C</w:t>
      </w:r>
      <w:r w:rsidR="00CE20C8">
        <w:t xml:space="preserve"> testing if the test is approved. However, it </w:t>
      </w:r>
      <w:r>
        <w:t>wa</w:t>
      </w:r>
      <w:r w:rsidR="00CE20C8">
        <w:t>s noted in the pre</w:t>
      </w:r>
      <w:r w:rsidR="003E082F">
        <w:t>-</w:t>
      </w:r>
      <w:r w:rsidR="00CE20C8">
        <w:t>PASC meeting that</w:t>
      </w:r>
      <w:r>
        <w:t xml:space="preserve"> the majority of those who have undergone </w:t>
      </w:r>
      <w:r>
        <w:rPr>
          <w:i/>
        </w:rPr>
        <w:t>EGFR</w:t>
      </w:r>
      <w:r>
        <w:t xml:space="preserve"> testing will have had the test performed using a small gene panel, which already incorporates </w:t>
      </w:r>
      <w:r w:rsidR="00A97034" w:rsidRPr="00A97034">
        <w:rPr>
          <w:i/>
        </w:rPr>
        <w:t>KRAS</w:t>
      </w:r>
      <w:r w:rsidR="00A97034" w:rsidRPr="00A97034">
        <w:t xml:space="preserve"> G12C</w:t>
      </w:r>
      <w:r>
        <w:t xml:space="preserve"> variants. There is no restriction on the frequency of </w:t>
      </w:r>
      <w:r w:rsidR="002902D7">
        <w:t xml:space="preserve">use of </w:t>
      </w:r>
      <w:r>
        <w:t xml:space="preserve">MBS item 73337, so if </w:t>
      </w:r>
      <w:r w:rsidR="002902D7">
        <w:t xml:space="preserve">the item is amended to incorporate </w:t>
      </w:r>
      <w:r w:rsidR="00A97034" w:rsidRPr="00A97034">
        <w:rPr>
          <w:i/>
        </w:rPr>
        <w:t>KRAS</w:t>
      </w:r>
      <w:r w:rsidR="00A97034" w:rsidRPr="00A97034">
        <w:t xml:space="preserve"> G12C</w:t>
      </w:r>
      <w:r w:rsidR="002902D7">
        <w:rPr>
          <w:i/>
        </w:rPr>
        <w:t xml:space="preserve"> </w:t>
      </w:r>
      <w:r w:rsidR="002902D7">
        <w:t xml:space="preserve">testing, those patients who have not already been tested for </w:t>
      </w:r>
      <w:r w:rsidR="00A97034" w:rsidRPr="00A97034">
        <w:rPr>
          <w:i/>
        </w:rPr>
        <w:t>KRAS</w:t>
      </w:r>
      <w:r w:rsidR="00A97034" w:rsidRPr="00A97034">
        <w:t xml:space="preserve"> G12C</w:t>
      </w:r>
      <w:r w:rsidR="002902D7">
        <w:rPr>
          <w:i/>
        </w:rPr>
        <w:t xml:space="preserve"> </w:t>
      </w:r>
      <w:r w:rsidR="006E3369">
        <w:t>may claim the item again.</w:t>
      </w:r>
    </w:p>
    <w:p w14:paraId="28E7E6EF" w14:textId="02026165" w:rsidR="0011149F" w:rsidRDefault="009113AC" w:rsidP="009113AC">
      <w:pPr>
        <w:pStyle w:val="Caption"/>
      </w:pPr>
      <w:bookmarkStart w:id="5" w:name="_Ref76049057"/>
      <w:r>
        <w:t xml:space="preserve">Table </w:t>
      </w:r>
      <w:r>
        <w:fldChar w:fldCharType="begin"/>
      </w:r>
      <w:r>
        <w:instrText xml:space="preserve"> SEQ Table \* ARABIC </w:instrText>
      </w:r>
      <w:r>
        <w:fldChar w:fldCharType="separate"/>
      </w:r>
      <w:r w:rsidR="002D0127">
        <w:rPr>
          <w:noProof/>
        </w:rPr>
        <w:t>2</w:t>
      </w:r>
      <w:r>
        <w:fldChar w:fldCharType="end"/>
      </w:r>
      <w:bookmarkEnd w:id="5"/>
      <w:r>
        <w:t xml:space="preserve">: </w:t>
      </w:r>
      <w:r w:rsidR="0011149F">
        <w:t xml:space="preserve">Estimated uptake of </w:t>
      </w:r>
      <w:r w:rsidR="00A97034" w:rsidRPr="00A97034">
        <w:rPr>
          <w:i/>
        </w:rPr>
        <w:t>KRAS</w:t>
      </w:r>
      <w:r w:rsidR="00A97034" w:rsidRPr="00A97034">
        <w:t xml:space="preserve"> G12C</w:t>
      </w:r>
      <w:r w:rsidR="002827D5">
        <w:t xml:space="preserve"> testing – market-</w:t>
      </w:r>
      <w:r w:rsidR="0011149F">
        <w:t>based approach</w:t>
      </w:r>
    </w:p>
    <w:tbl>
      <w:tblPr>
        <w:tblStyle w:val="ListTable4-Accent5"/>
        <w:tblW w:w="5000" w:type="pct"/>
        <w:tblLook w:val="04A0" w:firstRow="1" w:lastRow="0" w:firstColumn="1" w:lastColumn="0" w:noHBand="0" w:noVBand="1"/>
        <w:tblCaption w:val="Estimated uptake of KRAS G12C testing – market-based approach"/>
      </w:tblPr>
      <w:tblGrid>
        <w:gridCol w:w="1507"/>
        <w:gridCol w:w="1187"/>
        <w:gridCol w:w="3161"/>
        <w:gridCol w:w="3161"/>
      </w:tblGrid>
      <w:tr w:rsidR="002827D5" w:rsidRPr="00452811" w14:paraId="73500032" w14:textId="6972B625" w:rsidTr="00AF5DCB">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836" w:type="pct"/>
          </w:tcPr>
          <w:p w14:paraId="7BC7C30D" w14:textId="77777777" w:rsidR="002827D5" w:rsidRPr="00AF5DCB" w:rsidRDefault="002827D5" w:rsidP="00D57844">
            <w:pPr>
              <w:pStyle w:val="Tabletext"/>
            </w:pPr>
          </w:p>
        </w:tc>
        <w:tc>
          <w:tcPr>
            <w:tcW w:w="658" w:type="pct"/>
            <w:noWrap/>
            <w:hideMark/>
          </w:tcPr>
          <w:p w14:paraId="247B4F43" w14:textId="3C469B7C" w:rsidR="002827D5" w:rsidRPr="00AF5DCB" w:rsidRDefault="002827D5" w:rsidP="00E066A0">
            <w:pPr>
              <w:pStyle w:val="Tabletext"/>
              <w:jc w:val="center"/>
              <w:cnfStyle w:val="100000000000" w:firstRow="1" w:lastRow="0" w:firstColumn="0" w:lastColumn="0" w:oddVBand="0" w:evenVBand="0" w:oddHBand="0" w:evenHBand="0" w:firstRowFirstColumn="0" w:firstRowLastColumn="0" w:lastRowFirstColumn="0" w:lastRowLastColumn="0"/>
            </w:pPr>
            <w:r w:rsidRPr="00AF5DCB">
              <w:t>Year</w:t>
            </w:r>
          </w:p>
        </w:tc>
        <w:tc>
          <w:tcPr>
            <w:tcW w:w="1753" w:type="pct"/>
            <w:noWrap/>
            <w:hideMark/>
          </w:tcPr>
          <w:p w14:paraId="299C7C0E" w14:textId="3535E794" w:rsidR="002827D5" w:rsidRPr="00AF5DCB" w:rsidRDefault="002827D5" w:rsidP="00E066A0">
            <w:pPr>
              <w:pStyle w:val="Tabletext"/>
              <w:jc w:val="center"/>
              <w:cnfStyle w:val="100000000000" w:firstRow="1" w:lastRow="0" w:firstColumn="0" w:lastColumn="0" w:oddVBand="0" w:evenVBand="0" w:oddHBand="0" w:evenHBand="0" w:firstRowFirstColumn="0" w:firstRowLastColumn="0" w:lastRowFirstColumn="0" w:lastRowLastColumn="0"/>
              <w:rPr>
                <w:vertAlign w:val="superscript"/>
              </w:rPr>
            </w:pPr>
            <w:proofErr w:type="spellStart"/>
            <w:r w:rsidRPr="00AF5DCB">
              <w:t>Uptake</w:t>
            </w:r>
            <w:r w:rsidR="0077592B" w:rsidRPr="00AF5DCB">
              <w:rPr>
                <w:vertAlign w:val="superscript"/>
              </w:rPr>
              <w:t>a</w:t>
            </w:r>
            <w:proofErr w:type="spellEnd"/>
          </w:p>
        </w:tc>
        <w:tc>
          <w:tcPr>
            <w:tcW w:w="1753" w:type="pct"/>
          </w:tcPr>
          <w:p w14:paraId="70C2A957" w14:textId="4A104E90" w:rsidR="002827D5" w:rsidRPr="00AF5DCB" w:rsidRDefault="00A97034" w:rsidP="00E066A0">
            <w:pPr>
              <w:pStyle w:val="Tabletext"/>
              <w:jc w:val="center"/>
              <w:cnfStyle w:val="100000000000" w:firstRow="1" w:lastRow="0" w:firstColumn="0" w:lastColumn="0" w:oddVBand="0" w:evenVBand="0" w:oddHBand="0" w:evenHBand="0" w:firstRowFirstColumn="0" w:firstRowLastColumn="0" w:lastRowFirstColumn="0" w:lastRowLastColumn="0"/>
            </w:pPr>
            <w:r w:rsidRPr="00A97034">
              <w:rPr>
                <w:i/>
              </w:rPr>
              <w:t>KRAS</w:t>
            </w:r>
            <w:r w:rsidRPr="00A97034">
              <w:t xml:space="preserve"> G12C</w:t>
            </w:r>
            <w:r w:rsidR="0077592B" w:rsidRPr="00AF5DCB">
              <w:t xml:space="preserve"> p</w:t>
            </w:r>
            <w:r w:rsidR="002827D5" w:rsidRPr="00AF5DCB">
              <w:t>ositive</w:t>
            </w:r>
          </w:p>
        </w:tc>
      </w:tr>
      <w:tr w:rsidR="00AF5DCB" w:rsidRPr="00452811" w14:paraId="0751918D" w14:textId="76E77121" w:rsidTr="00B62F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6" w:type="pct"/>
            <w:vMerge w:val="restart"/>
          </w:tcPr>
          <w:p w14:paraId="11DFA7CD" w14:textId="77777777" w:rsidR="00AF5DCB" w:rsidRPr="00452811" w:rsidRDefault="00AF5DCB" w:rsidP="00D57844">
            <w:pPr>
              <w:pStyle w:val="Tabletext"/>
              <w:rPr>
                <w:color w:val="000000"/>
              </w:rPr>
            </w:pPr>
          </w:p>
          <w:p w14:paraId="3E40C10D" w14:textId="77777777" w:rsidR="00AF5DCB" w:rsidRPr="00452811" w:rsidRDefault="00AF5DCB" w:rsidP="00D57844">
            <w:pPr>
              <w:pStyle w:val="Tabletext"/>
              <w:rPr>
                <w:color w:val="000000"/>
              </w:rPr>
            </w:pPr>
          </w:p>
          <w:p w14:paraId="5130C5A2" w14:textId="75BF12CA" w:rsidR="00AF5DCB" w:rsidRPr="00452811" w:rsidRDefault="00AF5DCB" w:rsidP="00D57844">
            <w:pPr>
              <w:pStyle w:val="Tabletext"/>
              <w:rPr>
                <w:color w:val="000000"/>
              </w:rPr>
            </w:pPr>
            <w:r w:rsidRPr="00452811">
              <w:rPr>
                <w:color w:val="000000"/>
              </w:rPr>
              <w:t>Actuals from the MBS item report</w:t>
            </w:r>
          </w:p>
        </w:tc>
        <w:tc>
          <w:tcPr>
            <w:tcW w:w="658" w:type="pct"/>
            <w:noWrap/>
            <w:hideMark/>
          </w:tcPr>
          <w:p w14:paraId="5F247992" w14:textId="3992D63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2015</w:t>
            </w:r>
          </w:p>
        </w:tc>
        <w:tc>
          <w:tcPr>
            <w:tcW w:w="1753" w:type="pct"/>
            <w:noWrap/>
            <w:hideMark/>
          </w:tcPr>
          <w:p w14:paraId="1558B62D" w14:textId="7777777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3368</w:t>
            </w:r>
          </w:p>
        </w:tc>
        <w:tc>
          <w:tcPr>
            <w:tcW w:w="1753" w:type="pct"/>
          </w:tcPr>
          <w:p w14:paraId="27EBE903" w14:textId="7D4D7D7E"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438</w:t>
            </w:r>
          </w:p>
        </w:tc>
      </w:tr>
      <w:tr w:rsidR="00AF5DCB" w:rsidRPr="00452811" w14:paraId="6DE61762" w14:textId="2056F2D5" w:rsidTr="00AF5DCB">
        <w:trPr>
          <w:trHeight w:val="315"/>
        </w:trPr>
        <w:tc>
          <w:tcPr>
            <w:cnfStyle w:val="001000000000" w:firstRow="0" w:lastRow="0" w:firstColumn="1" w:lastColumn="0" w:oddVBand="0" w:evenVBand="0" w:oddHBand="0" w:evenHBand="0" w:firstRowFirstColumn="0" w:firstRowLastColumn="0" w:lastRowFirstColumn="0" w:lastRowLastColumn="0"/>
            <w:tcW w:w="836" w:type="pct"/>
            <w:vMerge/>
            <w:shd w:val="clear" w:color="auto" w:fill="DAEEF3" w:themeFill="accent5" w:themeFillTint="33"/>
          </w:tcPr>
          <w:p w14:paraId="394D2060" w14:textId="77777777" w:rsidR="00AF5DCB" w:rsidRPr="00452811" w:rsidRDefault="00AF5DCB" w:rsidP="00D57844">
            <w:pPr>
              <w:pStyle w:val="Tabletext"/>
              <w:rPr>
                <w:color w:val="000000"/>
              </w:rPr>
            </w:pPr>
          </w:p>
        </w:tc>
        <w:tc>
          <w:tcPr>
            <w:tcW w:w="658" w:type="pct"/>
            <w:noWrap/>
            <w:hideMark/>
          </w:tcPr>
          <w:p w14:paraId="5F498059" w14:textId="571AC6E5"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2016</w:t>
            </w:r>
          </w:p>
        </w:tc>
        <w:tc>
          <w:tcPr>
            <w:tcW w:w="1753" w:type="pct"/>
            <w:noWrap/>
            <w:hideMark/>
          </w:tcPr>
          <w:p w14:paraId="21CDC407" w14:textId="77777777"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3419</w:t>
            </w:r>
          </w:p>
        </w:tc>
        <w:tc>
          <w:tcPr>
            <w:tcW w:w="1753" w:type="pct"/>
          </w:tcPr>
          <w:p w14:paraId="42AE8795" w14:textId="20D44E33"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444</w:t>
            </w:r>
          </w:p>
        </w:tc>
      </w:tr>
      <w:tr w:rsidR="00AF5DCB" w:rsidRPr="00452811" w14:paraId="13278726" w14:textId="3C942D6E" w:rsidTr="00B62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tcPr>
          <w:p w14:paraId="4AC4A571" w14:textId="77777777" w:rsidR="00AF5DCB" w:rsidRPr="00452811" w:rsidRDefault="00AF5DCB" w:rsidP="00D57844">
            <w:pPr>
              <w:pStyle w:val="Tabletext"/>
              <w:rPr>
                <w:color w:val="000000"/>
              </w:rPr>
            </w:pPr>
          </w:p>
        </w:tc>
        <w:tc>
          <w:tcPr>
            <w:tcW w:w="658" w:type="pct"/>
            <w:noWrap/>
            <w:hideMark/>
          </w:tcPr>
          <w:p w14:paraId="2F1BF873" w14:textId="5EDFCCE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2017</w:t>
            </w:r>
          </w:p>
        </w:tc>
        <w:tc>
          <w:tcPr>
            <w:tcW w:w="1753" w:type="pct"/>
            <w:noWrap/>
            <w:hideMark/>
          </w:tcPr>
          <w:p w14:paraId="5F171257" w14:textId="7777777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3863</w:t>
            </w:r>
          </w:p>
        </w:tc>
        <w:tc>
          <w:tcPr>
            <w:tcW w:w="1753" w:type="pct"/>
          </w:tcPr>
          <w:p w14:paraId="1B9FA7AF" w14:textId="0BC8C516"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502</w:t>
            </w:r>
          </w:p>
        </w:tc>
      </w:tr>
      <w:tr w:rsidR="00AF5DCB" w:rsidRPr="00452811" w14:paraId="7BA8E45F" w14:textId="56F0AC6E" w:rsidTr="00AF5DCB">
        <w:trPr>
          <w:trHeight w:val="315"/>
        </w:trPr>
        <w:tc>
          <w:tcPr>
            <w:cnfStyle w:val="001000000000" w:firstRow="0" w:lastRow="0" w:firstColumn="1" w:lastColumn="0" w:oddVBand="0" w:evenVBand="0" w:oddHBand="0" w:evenHBand="0" w:firstRowFirstColumn="0" w:firstRowLastColumn="0" w:lastRowFirstColumn="0" w:lastRowLastColumn="0"/>
            <w:tcW w:w="836" w:type="pct"/>
            <w:vMerge/>
            <w:shd w:val="clear" w:color="auto" w:fill="DAEEF3" w:themeFill="accent5" w:themeFillTint="33"/>
          </w:tcPr>
          <w:p w14:paraId="5BEA6864" w14:textId="77777777" w:rsidR="00AF5DCB" w:rsidRPr="00452811" w:rsidRDefault="00AF5DCB" w:rsidP="00D57844">
            <w:pPr>
              <w:pStyle w:val="Tabletext"/>
              <w:rPr>
                <w:color w:val="000000"/>
              </w:rPr>
            </w:pPr>
          </w:p>
        </w:tc>
        <w:tc>
          <w:tcPr>
            <w:tcW w:w="658" w:type="pct"/>
            <w:noWrap/>
            <w:hideMark/>
          </w:tcPr>
          <w:p w14:paraId="6E7873BA" w14:textId="750BACA0"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2018</w:t>
            </w:r>
          </w:p>
        </w:tc>
        <w:tc>
          <w:tcPr>
            <w:tcW w:w="1753" w:type="pct"/>
            <w:noWrap/>
            <w:hideMark/>
          </w:tcPr>
          <w:p w14:paraId="1DFC85E2" w14:textId="77777777"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4147</w:t>
            </w:r>
          </w:p>
        </w:tc>
        <w:tc>
          <w:tcPr>
            <w:tcW w:w="1753" w:type="pct"/>
          </w:tcPr>
          <w:p w14:paraId="6A13D937" w14:textId="303D8634"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539</w:t>
            </w:r>
          </w:p>
        </w:tc>
      </w:tr>
      <w:tr w:rsidR="00AF5DCB" w:rsidRPr="00452811" w14:paraId="30A68D1A" w14:textId="16810A58" w:rsidTr="00B62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tcPr>
          <w:p w14:paraId="67CD6908" w14:textId="77777777" w:rsidR="00AF5DCB" w:rsidRPr="00452811" w:rsidRDefault="00AF5DCB" w:rsidP="00D57844">
            <w:pPr>
              <w:pStyle w:val="Tabletext"/>
              <w:rPr>
                <w:color w:val="000000"/>
              </w:rPr>
            </w:pPr>
          </w:p>
        </w:tc>
        <w:tc>
          <w:tcPr>
            <w:tcW w:w="658" w:type="pct"/>
            <w:noWrap/>
            <w:hideMark/>
          </w:tcPr>
          <w:p w14:paraId="194E1656" w14:textId="4AB39E51"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2019</w:t>
            </w:r>
          </w:p>
        </w:tc>
        <w:tc>
          <w:tcPr>
            <w:tcW w:w="1753" w:type="pct"/>
            <w:noWrap/>
            <w:hideMark/>
          </w:tcPr>
          <w:p w14:paraId="63BBA49A" w14:textId="7777777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4603</w:t>
            </w:r>
          </w:p>
        </w:tc>
        <w:tc>
          <w:tcPr>
            <w:tcW w:w="1753" w:type="pct"/>
          </w:tcPr>
          <w:p w14:paraId="6F769301" w14:textId="43524EFC"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598</w:t>
            </w:r>
          </w:p>
        </w:tc>
      </w:tr>
      <w:tr w:rsidR="00AF5DCB" w:rsidRPr="00452811" w14:paraId="35811B25" w14:textId="32F280AE" w:rsidTr="00AF5DCB">
        <w:trPr>
          <w:trHeight w:val="300"/>
        </w:trPr>
        <w:tc>
          <w:tcPr>
            <w:cnfStyle w:val="001000000000" w:firstRow="0" w:lastRow="0" w:firstColumn="1" w:lastColumn="0" w:oddVBand="0" w:evenVBand="0" w:oddHBand="0" w:evenHBand="0" w:firstRowFirstColumn="0" w:firstRowLastColumn="0" w:lastRowFirstColumn="0" w:lastRowLastColumn="0"/>
            <w:tcW w:w="836" w:type="pct"/>
            <w:vMerge/>
            <w:shd w:val="clear" w:color="auto" w:fill="DAEEF3" w:themeFill="accent5" w:themeFillTint="33"/>
          </w:tcPr>
          <w:p w14:paraId="074A8AD9" w14:textId="77777777" w:rsidR="00AF5DCB" w:rsidRPr="00452811" w:rsidRDefault="00AF5DCB" w:rsidP="00D57844">
            <w:pPr>
              <w:pStyle w:val="Tabletext"/>
              <w:rPr>
                <w:color w:val="000000"/>
              </w:rPr>
            </w:pPr>
          </w:p>
        </w:tc>
        <w:tc>
          <w:tcPr>
            <w:tcW w:w="658" w:type="pct"/>
            <w:noWrap/>
            <w:hideMark/>
          </w:tcPr>
          <w:p w14:paraId="007FDA2B" w14:textId="4E434F6B"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2020</w:t>
            </w:r>
          </w:p>
        </w:tc>
        <w:tc>
          <w:tcPr>
            <w:tcW w:w="1753" w:type="pct"/>
            <w:noWrap/>
            <w:hideMark/>
          </w:tcPr>
          <w:p w14:paraId="43E14E2E" w14:textId="77777777"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4697</w:t>
            </w:r>
          </w:p>
        </w:tc>
        <w:tc>
          <w:tcPr>
            <w:tcW w:w="1753" w:type="pct"/>
          </w:tcPr>
          <w:p w14:paraId="1C3F5BAB" w14:textId="47ACE812"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611</w:t>
            </w:r>
          </w:p>
        </w:tc>
      </w:tr>
      <w:tr w:rsidR="00AF5DCB" w:rsidRPr="00452811" w14:paraId="5048A578" w14:textId="45AC7B66" w:rsidTr="00B62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val="restart"/>
          </w:tcPr>
          <w:p w14:paraId="5ABB5BD7" w14:textId="77777777" w:rsidR="00AF5DCB" w:rsidRPr="00452811" w:rsidRDefault="00AF5DCB" w:rsidP="00D57844">
            <w:pPr>
              <w:pStyle w:val="Tabletext"/>
              <w:rPr>
                <w:color w:val="000000"/>
              </w:rPr>
            </w:pPr>
          </w:p>
          <w:p w14:paraId="4C5B8E76" w14:textId="77777777" w:rsidR="00AF5DCB" w:rsidRPr="00452811" w:rsidRDefault="00AF5DCB" w:rsidP="00D57844">
            <w:pPr>
              <w:pStyle w:val="Tabletext"/>
              <w:rPr>
                <w:color w:val="000000"/>
              </w:rPr>
            </w:pPr>
          </w:p>
          <w:p w14:paraId="38115EC3" w14:textId="77777777" w:rsidR="00AF5DCB" w:rsidRPr="00452811" w:rsidRDefault="00AF5DCB" w:rsidP="00D57844">
            <w:pPr>
              <w:pStyle w:val="Tabletext"/>
              <w:rPr>
                <w:color w:val="000000"/>
              </w:rPr>
            </w:pPr>
          </w:p>
          <w:p w14:paraId="41FB586B" w14:textId="0BFE5BB8" w:rsidR="00AF5DCB" w:rsidRPr="00452811" w:rsidRDefault="00AF5DCB" w:rsidP="00D57844">
            <w:pPr>
              <w:pStyle w:val="Tabletext"/>
              <w:rPr>
                <w:color w:val="000000"/>
              </w:rPr>
            </w:pPr>
            <w:r w:rsidRPr="00452811">
              <w:rPr>
                <w:color w:val="000000"/>
              </w:rPr>
              <w:t>Projections</w:t>
            </w:r>
          </w:p>
          <w:p w14:paraId="6AD37CA0" w14:textId="38EB9D39" w:rsidR="00AF5DCB" w:rsidRPr="00452811" w:rsidRDefault="00AF5DCB" w:rsidP="00D57844">
            <w:pPr>
              <w:pStyle w:val="Tabletext"/>
              <w:rPr>
                <w:color w:val="000000"/>
              </w:rPr>
            </w:pPr>
          </w:p>
        </w:tc>
        <w:tc>
          <w:tcPr>
            <w:tcW w:w="658" w:type="pct"/>
            <w:noWrap/>
            <w:hideMark/>
          </w:tcPr>
          <w:p w14:paraId="34FB36FB" w14:textId="51BD6B8A"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2021</w:t>
            </w:r>
          </w:p>
        </w:tc>
        <w:tc>
          <w:tcPr>
            <w:tcW w:w="1753" w:type="pct"/>
            <w:noWrap/>
            <w:hideMark/>
          </w:tcPr>
          <w:p w14:paraId="2478FB2D" w14:textId="7777777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5135</w:t>
            </w:r>
          </w:p>
        </w:tc>
        <w:tc>
          <w:tcPr>
            <w:tcW w:w="1753" w:type="pct"/>
          </w:tcPr>
          <w:p w14:paraId="0506CE73" w14:textId="4F4FE22A"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667</w:t>
            </w:r>
          </w:p>
        </w:tc>
      </w:tr>
      <w:tr w:rsidR="00AF5DCB" w:rsidRPr="00452811" w14:paraId="63A1A44A" w14:textId="712AD5CF" w:rsidTr="00B62F9B">
        <w:trPr>
          <w:trHeight w:val="315"/>
        </w:trPr>
        <w:tc>
          <w:tcPr>
            <w:cnfStyle w:val="001000000000" w:firstRow="0" w:lastRow="0" w:firstColumn="1" w:lastColumn="0" w:oddVBand="0" w:evenVBand="0" w:oddHBand="0" w:evenHBand="0" w:firstRowFirstColumn="0" w:firstRowLastColumn="0" w:lastRowFirstColumn="0" w:lastRowLastColumn="0"/>
            <w:tcW w:w="836" w:type="pct"/>
            <w:vMerge/>
          </w:tcPr>
          <w:p w14:paraId="771AC5DA" w14:textId="77777777" w:rsidR="00AF5DCB" w:rsidRPr="00452811" w:rsidRDefault="00AF5DCB" w:rsidP="00D57844">
            <w:pPr>
              <w:pStyle w:val="Tabletext"/>
              <w:rPr>
                <w:color w:val="000000"/>
              </w:rPr>
            </w:pPr>
          </w:p>
        </w:tc>
        <w:tc>
          <w:tcPr>
            <w:tcW w:w="658" w:type="pct"/>
            <w:noWrap/>
            <w:hideMark/>
          </w:tcPr>
          <w:p w14:paraId="0E00C84F" w14:textId="4E60EAC1"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2022</w:t>
            </w:r>
          </w:p>
        </w:tc>
        <w:tc>
          <w:tcPr>
            <w:tcW w:w="1753" w:type="pct"/>
            <w:noWrap/>
            <w:hideMark/>
          </w:tcPr>
          <w:p w14:paraId="4F113EC3" w14:textId="77777777"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5464</w:t>
            </w:r>
          </w:p>
        </w:tc>
        <w:tc>
          <w:tcPr>
            <w:tcW w:w="1753" w:type="pct"/>
          </w:tcPr>
          <w:p w14:paraId="135963B5" w14:textId="46A4471D"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710</w:t>
            </w:r>
          </w:p>
        </w:tc>
      </w:tr>
      <w:tr w:rsidR="00AF5DCB" w:rsidRPr="00452811" w14:paraId="063BB66E" w14:textId="6752D3D2" w:rsidTr="00B62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tcPr>
          <w:p w14:paraId="02D31AAB" w14:textId="77777777" w:rsidR="00AF5DCB" w:rsidRPr="00452811" w:rsidRDefault="00AF5DCB" w:rsidP="00D57844">
            <w:pPr>
              <w:pStyle w:val="Tabletext"/>
              <w:rPr>
                <w:color w:val="000000"/>
              </w:rPr>
            </w:pPr>
          </w:p>
        </w:tc>
        <w:tc>
          <w:tcPr>
            <w:tcW w:w="658" w:type="pct"/>
            <w:noWrap/>
            <w:hideMark/>
          </w:tcPr>
          <w:p w14:paraId="4B28A8D6" w14:textId="592530EF"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2023</w:t>
            </w:r>
          </w:p>
        </w:tc>
        <w:tc>
          <w:tcPr>
            <w:tcW w:w="1753" w:type="pct"/>
            <w:noWrap/>
            <w:hideMark/>
          </w:tcPr>
          <w:p w14:paraId="71E2008B" w14:textId="7777777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5794</w:t>
            </w:r>
          </w:p>
        </w:tc>
        <w:tc>
          <w:tcPr>
            <w:tcW w:w="1753" w:type="pct"/>
          </w:tcPr>
          <w:p w14:paraId="6F94FA8D" w14:textId="274905EB"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753</w:t>
            </w:r>
          </w:p>
        </w:tc>
      </w:tr>
      <w:tr w:rsidR="00AF5DCB" w:rsidRPr="00452811" w14:paraId="20E51312" w14:textId="415CD634" w:rsidTr="00B62F9B">
        <w:trPr>
          <w:trHeight w:val="315"/>
        </w:trPr>
        <w:tc>
          <w:tcPr>
            <w:cnfStyle w:val="001000000000" w:firstRow="0" w:lastRow="0" w:firstColumn="1" w:lastColumn="0" w:oddVBand="0" w:evenVBand="0" w:oddHBand="0" w:evenHBand="0" w:firstRowFirstColumn="0" w:firstRowLastColumn="0" w:lastRowFirstColumn="0" w:lastRowLastColumn="0"/>
            <w:tcW w:w="836" w:type="pct"/>
            <w:vMerge/>
          </w:tcPr>
          <w:p w14:paraId="1F19FE5B" w14:textId="77777777" w:rsidR="00AF5DCB" w:rsidRPr="00452811" w:rsidRDefault="00AF5DCB" w:rsidP="00D57844">
            <w:pPr>
              <w:pStyle w:val="Tabletext"/>
              <w:rPr>
                <w:color w:val="000000"/>
              </w:rPr>
            </w:pPr>
          </w:p>
        </w:tc>
        <w:tc>
          <w:tcPr>
            <w:tcW w:w="658" w:type="pct"/>
            <w:noWrap/>
            <w:hideMark/>
          </w:tcPr>
          <w:p w14:paraId="3BD25D06" w14:textId="77B2BD6D"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2024</w:t>
            </w:r>
          </w:p>
        </w:tc>
        <w:tc>
          <w:tcPr>
            <w:tcW w:w="1753" w:type="pct"/>
            <w:noWrap/>
            <w:hideMark/>
          </w:tcPr>
          <w:p w14:paraId="10477876" w14:textId="77777777"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6123</w:t>
            </w:r>
          </w:p>
        </w:tc>
        <w:tc>
          <w:tcPr>
            <w:tcW w:w="1753" w:type="pct"/>
          </w:tcPr>
          <w:p w14:paraId="219260C9" w14:textId="3774CECE"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796</w:t>
            </w:r>
          </w:p>
        </w:tc>
      </w:tr>
      <w:tr w:rsidR="00AF5DCB" w:rsidRPr="00452811" w14:paraId="1522423C" w14:textId="0797B4F9" w:rsidTr="00B62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tcPr>
          <w:p w14:paraId="7C19F1C8" w14:textId="77777777" w:rsidR="00AF5DCB" w:rsidRPr="00452811" w:rsidRDefault="00AF5DCB" w:rsidP="00D57844">
            <w:pPr>
              <w:pStyle w:val="Tabletext"/>
              <w:rPr>
                <w:color w:val="000000"/>
              </w:rPr>
            </w:pPr>
          </w:p>
        </w:tc>
        <w:tc>
          <w:tcPr>
            <w:tcW w:w="658" w:type="pct"/>
            <w:noWrap/>
            <w:hideMark/>
          </w:tcPr>
          <w:p w14:paraId="0F1968F7" w14:textId="433FA7EC"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2025</w:t>
            </w:r>
          </w:p>
        </w:tc>
        <w:tc>
          <w:tcPr>
            <w:tcW w:w="1753" w:type="pct"/>
            <w:noWrap/>
            <w:hideMark/>
          </w:tcPr>
          <w:p w14:paraId="5CDC93E3" w14:textId="7777777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6453</w:t>
            </w:r>
          </w:p>
        </w:tc>
        <w:tc>
          <w:tcPr>
            <w:tcW w:w="1753" w:type="pct"/>
          </w:tcPr>
          <w:p w14:paraId="62065F8A" w14:textId="172E84CA"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839</w:t>
            </w:r>
          </w:p>
        </w:tc>
      </w:tr>
      <w:tr w:rsidR="00AF5DCB" w:rsidRPr="00452811" w14:paraId="460EADCF" w14:textId="298C1BFB" w:rsidTr="00B62F9B">
        <w:trPr>
          <w:trHeight w:val="300"/>
        </w:trPr>
        <w:tc>
          <w:tcPr>
            <w:cnfStyle w:val="001000000000" w:firstRow="0" w:lastRow="0" w:firstColumn="1" w:lastColumn="0" w:oddVBand="0" w:evenVBand="0" w:oddHBand="0" w:evenHBand="0" w:firstRowFirstColumn="0" w:firstRowLastColumn="0" w:lastRowFirstColumn="0" w:lastRowLastColumn="0"/>
            <w:tcW w:w="836" w:type="pct"/>
            <w:vMerge/>
          </w:tcPr>
          <w:p w14:paraId="3EF0F12C" w14:textId="77777777" w:rsidR="00AF5DCB" w:rsidRPr="00452811" w:rsidRDefault="00AF5DCB" w:rsidP="00D57844">
            <w:pPr>
              <w:pStyle w:val="Tabletext"/>
              <w:rPr>
                <w:color w:val="000000"/>
              </w:rPr>
            </w:pPr>
          </w:p>
        </w:tc>
        <w:tc>
          <w:tcPr>
            <w:tcW w:w="658" w:type="pct"/>
            <w:noWrap/>
            <w:hideMark/>
          </w:tcPr>
          <w:p w14:paraId="5E53B84F" w14:textId="0A5D78D3"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2026</w:t>
            </w:r>
          </w:p>
        </w:tc>
        <w:tc>
          <w:tcPr>
            <w:tcW w:w="1753" w:type="pct"/>
            <w:noWrap/>
            <w:hideMark/>
          </w:tcPr>
          <w:p w14:paraId="4CD29799" w14:textId="77777777"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6783</w:t>
            </w:r>
          </w:p>
        </w:tc>
        <w:tc>
          <w:tcPr>
            <w:tcW w:w="1753" w:type="pct"/>
          </w:tcPr>
          <w:p w14:paraId="7F1A46C5" w14:textId="6EA8E597" w:rsidR="00AF5DCB" w:rsidRPr="00452811" w:rsidRDefault="00AF5DCB" w:rsidP="00E066A0">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452811">
              <w:rPr>
                <w:color w:val="000000"/>
              </w:rPr>
              <w:t>882</w:t>
            </w:r>
          </w:p>
        </w:tc>
      </w:tr>
      <w:tr w:rsidR="00AF5DCB" w:rsidRPr="00452811" w14:paraId="07AE6689" w14:textId="2E19E48F" w:rsidTr="00B62F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tcPr>
          <w:p w14:paraId="6F509F81" w14:textId="77777777" w:rsidR="00AF5DCB" w:rsidRPr="00452811" w:rsidRDefault="00AF5DCB" w:rsidP="00D57844">
            <w:pPr>
              <w:pStyle w:val="Tabletext"/>
              <w:rPr>
                <w:color w:val="000000"/>
              </w:rPr>
            </w:pPr>
          </w:p>
        </w:tc>
        <w:tc>
          <w:tcPr>
            <w:tcW w:w="658" w:type="pct"/>
            <w:noWrap/>
            <w:hideMark/>
          </w:tcPr>
          <w:p w14:paraId="3C2EC740" w14:textId="3C60F981"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2027</w:t>
            </w:r>
          </w:p>
        </w:tc>
        <w:tc>
          <w:tcPr>
            <w:tcW w:w="1753" w:type="pct"/>
            <w:noWrap/>
            <w:hideMark/>
          </w:tcPr>
          <w:p w14:paraId="699EAF0D" w14:textId="77777777"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7112</w:t>
            </w:r>
          </w:p>
        </w:tc>
        <w:tc>
          <w:tcPr>
            <w:tcW w:w="1753" w:type="pct"/>
          </w:tcPr>
          <w:p w14:paraId="3262187E" w14:textId="607CB223" w:rsidR="00AF5DCB" w:rsidRPr="00452811" w:rsidRDefault="00AF5DCB" w:rsidP="00E066A0">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452811">
              <w:rPr>
                <w:color w:val="000000"/>
              </w:rPr>
              <w:t>925</w:t>
            </w:r>
          </w:p>
        </w:tc>
      </w:tr>
    </w:tbl>
    <w:p w14:paraId="68213D72" w14:textId="71D739B1" w:rsidR="0011149F" w:rsidRPr="00F209CC" w:rsidRDefault="0077592B" w:rsidP="00C00B6A">
      <w:pPr>
        <w:contextualSpacing/>
        <w:jc w:val="both"/>
        <w:rPr>
          <w:sz w:val="18"/>
        </w:rPr>
      </w:pPr>
      <w:r w:rsidRPr="00F209CC">
        <w:rPr>
          <w:sz w:val="18"/>
        </w:rPr>
        <w:t xml:space="preserve">a – </w:t>
      </w:r>
      <w:r w:rsidR="00B62F9B" w:rsidRPr="00F209CC">
        <w:rPr>
          <w:sz w:val="18"/>
        </w:rPr>
        <w:t>From year 2021, uptake is e</w:t>
      </w:r>
      <w:r w:rsidRPr="00F209CC">
        <w:rPr>
          <w:sz w:val="18"/>
        </w:rPr>
        <w:t xml:space="preserve">stimated based on the claims made for </w:t>
      </w:r>
      <w:r w:rsidR="00145DE2" w:rsidRPr="00D734F1">
        <w:rPr>
          <w:i/>
          <w:iCs/>
          <w:sz w:val="18"/>
        </w:rPr>
        <w:t>EGFR</w:t>
      </w:r>
      <w:r w:rsidR="00145DE2" w:rsidRPr="00F209CC">
        <w:rPr>
          <w:sz w:val="18"/>
        </w:rPr>
        <w:t xml:space="preserve"> testing (MBS Item 73337)</w:t>
      </w:r>
      <w:r w:rsidR="00B62F9B" w:rsidRPr="00F209CC">
        <w:rPr>
          <w:sz w:val="18"/>
        </w:rPr>
        <w:t xml:space="preserve"> from 2015 to 2020.</w:t>
      </w:r>
    </w:p>
    <w:p w14:paraId="0FADF27A" w14:textId="496621E1" w:rsidR="00953ED7" w:rsidRPr="00E364F7" w:rsidRDefault="0009218B" w:rsidP="00C00B6A">
      <w:pPr>
        <w:pStyle w:val="Heading3"/>
        <w:jc w:val="both"/>
      </w:pPr>
      <w:r>
        <w:t>Prior test</w:t>
      </w:r>
      <w:r w:rsidR="002902D7">
        <w:t>s</w:t>
      </w:r>
    </w:p>
    <w:p w14:paraId="0181020A" w14:textId="00AD04BC" w:rsidR="00DD2405" w:rsidRDefault="00DD2405" w:rsidP="00C52F24">
      <w:r w:rsidRPr="00DD2405">
        <w:t>The common diagnostic tests us</w:t>
      </w:r>
      <w:r w:rsidR="00581CFE">
        <w:t>ually undertaken to detect lung cancer</w:t>
      </w:r>
      <w:r w:rsidRPr="00DD2405">
        <w:t xml:space="preserve"> are chest x-ray, CT scan, PET scan, lung function test, biopsy, and sputum cytology. </w:t>
      </w:r>
      <w:r w:rsidR="00A76404">
        <w:t>P</w:t>
      </w:r>
      <w:r w:rsidR="00F12476">
        <w:t xml:space="preserve">rior testing </w:t>
      </w:r>
      <w:r w:rsidR="00A76404">
        <w:t xml:space="preserve">procedures are common </w:t>
      </w:r>
      <w:r w:rsidR="00F12476">
        <w:t>for both intervention and comparator.</w:t>
      </w:r>
      <w:r w:rsidR="00C52F24">
        <w:t xml:space="preserve"> </w:t>
      </w:r>
      <w:r w:rsidR="00CE2861">
        <w:fldChar w:fldCharType="begin"/>
      </w:r>
      <w:r w:rsidR="00CE2861">
        <w:instrText xml:space="preserve"> REF _Ref76049088 \h </w:instrText>
      </w:r>
      <w:r w:rsidR="00CE2861">
        <w:fldChar w:fldCharType="separate"/>
      </w:r>
      <w:r w:rsidR="00CE2861">
        <w:t xml:space="preserve">Table </w:t>
      </w:r>
      <w:r w:rsidR="00CE2861">
        <w:rPr>
          <w:noProof/>
        </w:rPr>
        <w:t>3</w:t>
      </w:r>
      <w:r w:rsidR="00CE2861">
        <w:fldChar w:fldCharType="end"/>
      </w:r>
      <w:r w:rsidR="000159C6">
        <w:t xml:space="preserve"> </w:t>
      </w:r>
      <w:r w:rsidR="00A76404">
        <w:t>summarises the prior investigative procedures to detect non-squamous or NOS histology NSCLC.</w:t>
      </w:r>
    </w:p>
    <w:p w14:paraId="089B5979" w14:textId="76E257F5" w:rsidR="00463966" w:rsidRPr="00463966" w:rsidRDefault="00463966" w:rsidP="00C52F24">
      <w:r>
        <w:t xml:space="preserve">Other tests which occur at the point of diagnosis (for both the intervention and comparator scenario), are </w:t>
      </w:r>
      <w:r>
        <w:rPr>
          <w:i/>
        </w:rPr>
        <w:t>EGFR</w:t>
      </w:r>
      <w:r>
        <w:t xml:space="preserve"> testing, and immunohistochemistry (IHC) testing </w:t>
      </w:r>
      <w:r w:rsidR="00953FB7">
        <w:t>of</w:t>
      </w:r>
      <w:r>
        <w:t xml:space="preserve"> PD-L1, and for triage testing of ALK and ROS1.</w:t>
      </w:r>
    </w:p>
    <w:p w14:paraId="42BA4E43" w14:textId="77777777" w:rsidR="004226AB" w:rsidRDefault="004226AB">
      <w:pPr>
        <w:rPr>
          <w:rFonts w:ascii="Arial Narrow" w:eastAsia="Times New Roman" w:hAnsi="Arial Narrow" w:cs="Tahoma"/>
          <w:b/>
          <w:sz w:val="20"/>
          <w:szCs w:val="20"/>
          <w:lang w:val="en-GB" w:eastAsia="ja-JP"/>
        </w:rPr>
      </w:pPr>
      <w:bookmarkStart w:id="6" w:name="_Ref76049088"/>
      <w:r>
        <w:br w:type="page"/>
      </w:r>
    </w:p>
    <w:p w14:paraId="10BEA56E" w14:textId="6FF5C603" w:rsidR="00AD1AE6" w:rsidRDefault="009113AC" w:rsidP="009113AC">
      <w:pPr>
        <w:pStyle w:val="Caption"/>
      </w:pPr>
      <w:r>
        <w:lastRenderedPageBreak/>
        <w:t xml:space="preserve">Table </w:t>
      </w:r>
      <w:r>
        <w:fldChar w:fldCharType="begin"/>
      </w:r>
      <w:r>
        <w:instrText xml:space="preserve"> SEQ Table \* ARABIC </w:instrText>
      </w:r>
      <w:r>
        <w:fldChar w:fldCharType="separate"/>
      </w:r>
      <w:r w:rsidR="002D0127">
        <w:rPr>
          <w:noProof/>
        </w:rPr>
        <w:t>3</w:t>
      </w:r>
      <w:r>
        <w:fldChar w:fldCharType="end"/>
      </w:r>
      <w:bookmarkEnd w:id="6"/>
      <w:r w:rsidR="00AD1AE6">
        <w:t>: Investigative procedures to detect lung cancer</w:t>
      </w:r>
    </w:p>
    <w:tbl>
      <w:tblPr>
        <w:tblStyle w:val="ListTable4-Accent5"/>
        <w:tblW w:w="0" w:type="auto"/>
        <w:tblLook w:val="04A0" w:firstRow="1" w:lastRow="0" w:firstColumn="1" w:lastColumn="0" w:noHBand="0" w:noVBand="1"/>
        <w:tblCaption w:val="Investigative procedures to detect lung cancer"/>
      </w:tblPr>
      <w:tblGrid>
        <w:gridCol w:w="3005"/>
        <w:gridCol w:w="3005"/>
        <w:gridCol w:w="3006"/>
      </w:tblGrid>
      <w:tr w:rsidR="00581CFE" w:rsidRPr="00452811" w14:paraId="3CEDB290" w14:textId="77777777" w:rsidTr="00AF5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3DEBC50B" w14:textId="756C79CB" w:rsidR="00581CFE" w:rsidRPr="00452811" w:rsidRDefault="00581CFE" w:rsidP="00D57844">
            <w:pPr>
              <w:pStyle w:val="Tabletext"/>
            </w:pPr>
          </w:p>
        </w:tc>
        <w:tc>
          <w:tcPr>
            <w:tcW w:w="3005" w:type="dxa"/>
          </w:tcPr>
          <w:p w14:paraId="18F31EC6" w14:textId="2FD42E65" w:rsidR="00581CFE" w:rsidRPr="00452811" w:rsidRDefault="00581CFE" w:rsidP="00D57844">
            <w:pPr>
              <w:pStyle w:val="Tabletext"/>
              <w:cnfStyle w:val="100000000000" w:firstRow="1" w:lastRow="0" w:firstColumn="0" w:lastColumn="0" w:oddVBand="0" w:evenVBand="0" w:oddHBand="0" w:evenHBand="0" w:firstRowFirstColumn="0" w:firstRowLastColumn="0" w:lastRowFirstColumn="0" w:lastRowLastColumn="0"/>
            </w:pPr>
            <w:r w:rsidRPr="00452811">
              <w:t>Mandatory</w:t>
            </w:r>
          </w:p>
        </w:tc>
        <w:tc>
          <w:tcPr>
            <w:tcW w:w="3006" w:type="dxa"/>
          </w:tcPr>
          <w:p w14:paraId="41F05B5C" w14:textId="49CA207C" w:rsidR="00581CFE" w:rsidRPr="00452811" w:rsidRDefault="00581CFE" w:rsidP="00D57844">
            <w:pPr>
              <w:pStyle w:val="Tabletext"/>
              <w:cnfStyle w:val="100000000000" w:firstRow="1" w:lastRow="0" w:firstColumn="0" w:lastColumn="0" w:oddVBand="0" w:evenVBand="0" w:oddHBand="0" w:evenHBand="0" w:firstRowFirstColumn="0" w:firstRowLastColumn="0" w:lastRowFirstColumn="0" w:lastRowLastColumn="0"/>
            </w:pPr>
            <w:r w:rsidRPr="00452811">
              <w:t>Optional</w:t>
            </w:r>
          </w:p>
        </w:tc>
      </w:tr>
      <w:tr w:rsidR="00581CFE" w:rsidRPr="00452811" w14:paraId="4D7F29DF" w14:textId="77777777" w:rsidTr="00B62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5E80580" w14:textId="26A4DFD0" w:rsidR="00581CFE" w:rsidRPr="00452811" w:rsidRDefault="00581CFE" w:rsidP="00D57844">
            <w:pPr>
              <w:pStyle w:val="Tabletext"/>
            </w:pPr>
            <w:r w:rsidRPr="00452811">
              <w:t>General</w:t>
            </w:r>
          </w:p>
        </w:tc>
        <w:tc>
          <w:tcPr>
            <w:tcW w:w="3005" w:type="dxa"/>
          </w:tcPr>
          <w:p w14:paraId="58750E45"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Medical history</w:t>
            </w:r>
          </w:p>
          <w:p w14:paraId="267956B5"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Physical examination</w:t>
            </w:r>
          </w:p>
          <w:p w14:paraId="4E27D398" w14:textId="0686AAB4" w:rsidR="00581CFE" w:rsidRPr="00452811" w:rsidRDefault="00F64FC9" w:rsidP="00D57844">
            <w:pPr>
              <w:pStyle w:val="Tabletext"/>
              <w:cnfStyle w:val="000000100000" w:firstRow="0" w:lastRow="0" w:firstColumn="0" w:lastColumn="0" w:oddVBand="0" w:evenVBand="0" w:oddHBand="1" w:evenHBand="0" w:firstRowFirstColumn="0" w:firstRowLastColumn="0" w:lastRowFirstColumn="0" w:lastRowLastColumn="0"/>
            </w:pPr>
            <w:r w:rsidRPr="00452811">
              <w:t>Assessing</w:t>
            </w:r>
            <w:r w:rsidR="00581CFE" w:rsidRPr="00452811">
              <w:t xml:space="preserve"> comorbidity</w:t>
            </w:r>
          </w:p>
          <w:p w14:paraId="3127A20B" w14:textId="4C65919C"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PS</w:t>
            </w:r>
          </w:p>
        </w:tc>
        <w:tc>
          <w:tcPr>
            <w:tcW w:w="3006" w:type="dxa"/>
          </w:tcPr>
          <w:p w14:paraId="58804FB8"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p>
        </w:tc>
      </w:tr>
      <w:tr w:rsidR="00581CFE" w:rsidRPr="00452811" w14:paraId="45AEFFC1" w14:textId="77777777" w:rsidTr="00B62F9B">
        <w:tc>
          <w:tcPr>
            <w:cnfStyle w:val="001000000000" w:firstRow="0" w:lastRow="0" w:firstColumn="1" w:lastColumn="0" w:oddVBand="0" w:evenVBand="0" w:oddHBand="0" w:evenHBand="0" w:firstRowFirstColumn="0" w:firstRowLastColumn="0" w:lastRowFirstColumn="0" w:lastRowLastColumn="0"/>
            <w:tcW w:w="3005" w:type="dxa"/>
          </w:tcPr>
          <w:p w14:paraId="22763CA9" w14:textId="5D8D077D" w:rsidR="00581CFE" w:rsidRPr="00452811" w:rsidRDefault="00581CFE" w:rsidP="00D57844">
            <w:pPr>
              <w:pStyle w:val="Tabletext"/>
            </w:pPr>
            <w:r w:rsidRPr="00452811">
              <w:t>Imaging</w:t>
            </w:r>
          </w:p>
        </w:tc>
        <w:tc>
          <w:tcPr>
            <w:tcW w:w="3005" w:type="dxa"/>
          </w:tcPr>
          <w:p w14:paraId="297B24BD" w14:textId="77777777"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X-ray thorax</w:t>
            </w:r>
          </w:p>
          <w:p w14:paraId="61E936EB" w14:textId="77777777"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CT thorax</w:t>
            </w:r>
          </w:p>
          <w:p w14:paraId="2BE368C5" w14:textId="77777777"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PET-CT thorax</w:t>
            </w:r>
          </w:p>
          <w:p w14:paraId="2D01E168" w14:textId="73D02D8C"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MRI brain</w:t>
            </w:r>
          </w:p>
        </w:tc>
        <w:tc>
          <w:tcPr>
            <w:tcW w:w="3006" w:type="dxa"/>
          </w:tcPr>
          <w:p w14:paraId="42B91B92" w14:textId="77777777"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Bone scintigraphy</w:t>
            </w:r>
          </w:p>
          <w:p w14:paraId="3C312D98" w14:textId="290DE3E7"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Contrast enhanced CT-brain</w:t>
            </w:r>
          </w:p>
        </w:tc>
      </w:tr>
      <w:tr w:rsidR="00581CFE" w:rsidRPr="00452811" w14:paraId="13EA6DFE" w14:textId="77777777" w:rsidTr="00B62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596594A" w14:textId="5576C01B" w:rsidR="00581CFE" w:rsidRPr="00452811" w:rsidRDefault="00581CFE" w:rsidP="00D57844">
            <w:pPr>
              <w:pStyle w:val="Tabletext"/>
            </w:pPr>
            <w:r w:rsidRPr="00452811">
              <w:t>Laboratory</w:t>
            </w:r>
          </w:p>
        </w:tc>
        <w:tc>
          <w:tcPr>
            <w:tcW w:w="3005" w:type="dxa"/>
          </w:tcPr>
          <w:p w14:paraId="20A21AD6"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Blood cell counts</w:t>
            </w:r>
          </w:p>
          <w:p w14:paraId="3DE84CF9"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Renal function</w:t>
            </w:r>
          </w:p>
          <w:p w14:paraId="4CD46F11"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Liver enzymes</w:t>
            </w:r>
          </w:p>
          <w:p w14:paraId="53EC6557" w14:textId="526370FB"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Bone parameters</w:t>
            </w:r>
          </w:p>
        </w:tc>
        <w:tc>
          <w:tcPr>
            <w:tcW w:w="3006" w:type="dxa"/>
          </w:tcPr>
          <w:p w14:paraId="2EF8A54E"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p>
        </w:tc>
      </w:tr>
      <w:tr w:rsidR="00581CFE" w:rsidRPr="00452811" w14:paraId="5FDDE87E" w14:textId="77777777" w:rsidTr="00B62F9B">
        <w:tc>
          <w:tcPr>
            <w:cnfStyle w:val="001000000000" w:firstRow="0" w:lastRow="0" w:firstColumn="1" w:lastColumn="0" w:oddVBand="0" w:evenVBand="0" w:oddHBand="0" w:evenHBand="0" w:firstRowFirstColumn="0" w:firstRowLastColumn="0" w:lastRowFirstColumn="0" w:lastRowLastColumn="0"/>
            <w:tcW w:w="3005" w:type="dxa"/>
          </w:tcPr>
          <w:p w14:paraId="238A55C8" w14:textId="3C03FD14" w:rsidR="00581CFE" w:rsidRPr="00452811" w:rsidRDefault="00581CFE" w:rsidP="00D57844">
            <w:pPr>
              <w:pStyle w:val="Tabletext"/>
            </w:pPr>
            <w:r w:rsidRPr="00452811">
              <w:t>Cardio-pulmonary function</w:t>
            </w:r>
          </w:p>
        </w:tc>
        <w:tc>
          <w:tcPr>
            <w:tcW w:w="3005" w:type="dxa"/>
          </w:tcPr>
          <w:p w14:paraId="09DBC9B2" w14:textId="77777777"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FVC, FEV1, DLCO, ECG</w:t>
            </w:r>
          </w:p>
          <w:p w14:paraId="0D09AF74" w14:textId="256A781F" w:rsidR="00581CFE" w:rsidRPr="00452811" w:rsidRDefault="00581CFE" w:rsidP="00D57844">
            <w:pPr>
              <w:pStyle w:val="Tabletext"/>
              <w:cnfStyle w:val="000000000000" w:firstRow="0" w:lastRow="0" w:firstColumn="0" w:lastColumn="0" w:oddVBand="0" w:evenVBand="0" w:oddHBand="0" w:evenHBand="0" w:firstRowFirstColumn="0" w:firstRowLastColumn="0" w:lastRowFirstColumn="0" w:lastRowLastColumn="0"/>
            </w:pPr>
            <w:r w:rsidRPr="00452811">
              <w:t>If indicated: CPET</w:t>
            </w:r>
          </w:p>
        </w:tc>
        <w:tc>
          <w:tcPr>
            <w:tcW w:w="3006" w:type="dxa"/>
          </w:tcPr>
          <w:p w14:paraId="453CD235" w14:textId="77777777" w:rsidR="00581CFE" w:rsidRPr="00452811" w:rsidRDefault="007835E6" w:rsidP="00D57844">
            <w:pPr>
              <w:pStyle w:val="Tabletext"/>
              <w:cnfStyle w:val="000000000000" w:firstRow="0" w:lastRow="0" w:firstColumn="0" w:lastColumn="0" w:oddVBand="0" w:evenVBand="0" w:oddHBand="0" w:evenHBand="0" w:firstRowFirstColumn="0" w:firstRowLastColumn="0" w:lastRowFirstColumn="0" w:lastRowLastColumn="0"/>
            </w:pPr>
            <w:r w:rsidRPr="00452811">
              <w:t>Ejection fraction</w:t>
            </w:r>
          </w:p>
          <w:p w14:paraId="479CA7CB" w14:textId="7B3246FA" w:rsidR="007835E6" w:rsidRPr="00452811" w:rsidRDefault="007835E6" w:rsidP="00D57844">
            <w:pPr>
              <w:pStyle w:val="Tabletext"/>
              <w:cnfStyle w:val="000000000000" w:firstRow="0" w:lastRow="0" w:firstColumn="0" w:lastColumn="0" w:oddVBand="0" w:evenVBand="0" w:oddHBand="0" w:evenHBand="0" w:firstRowFirstColumn="0" w:firstRowLastColumn="0" w:lastRowFirstColumn="0" w:lastRowLastColumn="0"/>
            </w:pPr>
            <w:r w:rsidRPr="00452811">
              <w:t>CAG</w:t>
            </w:r>
          </w:p>
        </w:tc>
      </w:tr>
      <w:tr w:rsidR="00581CFE" w:rsidRPr="00452811" w14:paraId="390EDB28" w14:textId="77777777" w:rsidTr="00B62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3C87B6A" w14:textId="45921BFF" w:rsidR="00581CFE" w:rsidRPr="00452811" w:rsidRDefault="00581CFE" w:rsidP="00D57844">
            <w:pPr>
              <w:pStyle w:val="Tabletext"/>
            </w:pPr>
            <w:r w:rsidRPr="00452811">
              <w:t>Tissue Procurement</w:t>
            </w:r>
          </w:p>
        </w:tc>
        <w:tc>
          <w:tcPr>
            <w:tcW w:w="3005" w:type="dxa"/>
          </w:tcPr>
          <w:p w14:paraId="43011849"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Bronchoscopy</w:t>
            </w:r>
          </w:p>
          <w:p w14:paraId="7B333B57" w14:textId="77777777"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EBUS/EUS mediastinal nodes</w:t>
            </w:r>
          </w:p>
          <w:p w14:paraId="5D3348CE" w14:textId="4C9B2C29" w:rsidR="00581CFE" w:rsidRPr="00452811" w:rsidRDefault="00581CFE" w:rsidP="00D57844">
            <w:pPr>
              <w:pStyle w:val="Tabletext"/>
              <w:cnfStyle w:val="000000100000" w:firstRow="0" w:lastRow="0" w:firstColumn="0" w:lastColumn="0" w:oddVBand="0" w:evenVBand="0" w:oddHBand="1" w:evenHBand="0" w:firstRowFirstColumn="0" w:firstRowLastColumn="0" w:lastRowFirstColumn="0" w:lastRowLastColumn="0"/>
            </w:pPr>
            <w:r w:rsidRPr="00452811">
              <w:t>CT-guided biopsy</w:t>
            </w:r>
          </w:p>
        </w:tc>
        <w:tc>
          <w:tcPr>
            <w:tcW w:w="3006" w:type="dxa"/>
          </w:tcPr>
          <w:p w14:paraId="137CE2A0" w14:textId="5BD053DA" w:rsidR="00581CFE" w:rsidRPr="00452811" w:rsidRDefault="007835E6" w:rsidP="00D57844">
            <w:pPr>
              <w:pStyle w:val="Tabletext"/>
              <w:cnfStyle w:val="000000100000" w:firstRow="0" w:lastRow="0" w:firstColumn="0" w:lastColumn="0" w:oddVBand="0" w:evenVBand="0" w:oddHBand="1" w:evenHBand="0" w:firstRowFirstColumn="0" w:firstRowLastColumn="0" w:lastRowFirstColumn="0" w:lastRowLastColumn="0"/>
            </w:pPr>
            <w:r w:rsidRPr="00452811">
              <w:t>Mediastinoscopy</w:t>
            </w:r>
          </w:p>
        </w:tc>
      </w:tr>
    </w:tbl>
    <w:p w14:paraId="08678C09" w14:textId="2CDE5682" w:rsidR="00D03706" w:rsidRDefault="000D4D0F" w:rsidP="00320679">
      <w:pPr>
        <w:spacing w:after="0"/>
        <w:jc w:val="both"/>
        <w:rPr>
          <w:sz w:val="18"/>
        </w:rPr>
      </w:pPr>
      <w:r w:rsidRPr="00642F74">
        <w:rPr>
          <w:sz w:val="18"/>
        </w:rPr>
        <w:t xml:space="preserve">Source: </w:t>
      </w:r>
      <w:r w:rsidR="00DB6304">
        <w:rPr>
          <w:sz w:val="18"/>
        </w:rPr>
        <w:fldChar w:fldCharType="begin"/>
      </w:r>
      <w:r w:rsidR="00DB6304">
        <w:rPr>
          <w:sz w:val="18"/>
        </w:rPr>
        <w:instrText xml:space="preserve"> ADDIN EN.CITE &lt;EndNote&gt;&lt;Cite&gt;&lt;Author&gt;Postmus&lt;/Author&gt;&lt;Year&gt;2017&lt;/Year&gt;&lt;RecNum&gt;43&lt;/RecNum&gt;&lt;DisplayText&gt;(Postmus et al. 2017)&lt;/DisplayText&gt;&lt;record&gt;&lt;rec-number&gt;43&lt;/rec-number&gt;&lt;foreign-keys&gt;&lt;key app="EN" db-id="sxzw59f9u2erpaezf9mv0ptm9rwfzp5999rs" timestamp="1624865431"&gt;43&lt;/key&gt;&lt;/foreign-keys&gt;&lt;ref-type name="Journal Article"&gt;17&lt;/ref-type&gt;&lt;contributors&gt;&lt;authors&gt;&lt;author&gt;Postmus, P. E.&lt;/author&gt;&lt;author&gt;Kerr, K. M.&lt;/author&gt;&lt;author&gt;Oudkerk, M.&lt;/author&gt;&lt;author&gt;Senan, S.&lt;/author&gt;&lt;author&gt;Waller, D. A.&lt;/author&gt;&lt;author&gt;Vansteenkiste, J.&lt;/author&gt;&lt;author&gt;Escriu, C.&lt;/author&gt;&lt;author&gt;Peters, S.&lt;/author&gt;&lt;/authors&gt;&lt;/contributors&gt;&lt;titles&gt;&lt;title&gt;Early and locally advanced non-small-cell lung cancer (NSCLC): ESMO Clinical Practice Guidelines for diagnosis, treatment and follow-up†&lt;/title&gt;&lt;secondary-title&gt;Annals of Oncology&lt;/secondary-title&gt;&lt;/titles&gt;&lt;periodical&gt;&lt;full-title&gt;Annals of Oncology&lt;/full-title&gt;&lt;/periodical&gt;&lt;pages&gt;iv1-iv21&lt;/pages&gt;&lt;volume&gt;28&lt;/volume&gt;&lt;dates&gt;&lt;year&gt;2017&lt;/year&gt;&lt;pub-dates&gt;&lt;date&gt;2017/07/01/&lt;/date&gt;&lt;/pub-dates&gt;&lt;/dates&gt;&lt;isbn&gt;0923-7534&lt;/isbn&gt;&lt;urls&gt;&lt;related-urls&gt;&lt;url&gt;https://www.sciencedirect.com/science/article/pii/S0923753419421509&lt;/url&gt;&lt;/related-urls&gt;&lt;/urls&gt;&lt;electronic-resource-num&gt;https://doi.org/10.1093/annonc/mdx222&lt;/electronic-resource-num&gt;&lt;/record&gt;&lt;/Cite&gt;&lt;/EndNote&gt;</w:instrText>
      </w:r>
      <w:r w:rsidR="00DB6304">
        <w:rPr>
          <w:sz w:val="18"/>
        </w:rPr>
        <w:fldChar w:fldCharType="separate"/>
      </w:r>
      <w:r w:rsidR="00DB6304">
        <w:rPr>
          <w:noProof/>
          <w:sz w:val="18"/>
        </w:rPr>
        <w:t>(Postmus et al. 2017)</w:t>
      </w:r>
      <w:r w:rsidR="00DB6304">
        <w:rPr>
          <w:sz w:val="18"/>
        </w:rPr>
        <w:fldChar w:fldCharType="end"/>
      </w:r>
    </w:p>
    <w:p w14:paraId="593171A2" w14:textId="34B640B9" w:rsidR="004F6C7E" w:rsidRDefault="007565B4" w:rsidP="00320679">
      <w:pPr>
        <w:spacing w:after="0"/>
        <w:jc w:val="both"/>
        <w:rPr>
          <w:sz w:val="18"/>
        </w:rPr>
      </w:pPr>
      <w:r w:rsidRPr="007565B4">
        <w:rPr>
          <w:sz w:val="18"/>
        </w:rPr>
        <w:t>CAG</w:t>
      </w:r>
      <w:r w:rsidR="00C97B88">
        <w:rPr>
          <w:sz w:val="18"/>
        </w:rPr>
        <w:t xml:space="preserve"> =</w:t>
      </w:r>
      <w:r w:rsidRPr="007565B4">
        <w:rPr>
          <w:sz w:val="18"/>
        </w:rPr>
        <w:t xml:space="preserve"> coronary angiography; CPET</w:t>
      </w:r>
      <w:r w:rsidR="00C97B88">
        <w:rPr>
          <w:sz w:val="18"/>
        </w:rPr>
        <w:t xml:space="preserve"> =</w:t>
      </w:r>
      <w:r w:rsidRPr="007565B4">
        <w:rPr>
          <w:sz w:val="18"/>
        </w:rPr>
        <w:t xml:space="preserve"> cardio pulmonary exercise testing;</w:t>
      </w:r>
      <w:r>
        <w:rPr>
          <w:sz w:val="18"/>
        </w:rPr>
        <w:t xml:space="preserve"> </w:t>
      </w:r>
      <w:r w:rsidRPr="007565B4">
        <w:rPr>
          <w:sz w:val="18"/>
        </w:rPr>
        <w:t>CT</w:t>
      </w:r>
      <w:r w:rsidR="00C97B88">
        <w:rPr>
          <w:sz w:val="18"/>
        </w:rPr>
        <w:t xml:space="preserve"> =</w:t>
      </w:r>
      <w:r w:rsidRPr="007565B4">
        <w:rPr>
          <w:sz w:val="18"/>
        </w:rPr>
        <w:t xml:space="preserve"> computed tomography; DLCO</w:t>
      </w:r>
      <w:r w:rsidR="00C97B88">
        <w:rPr>
          <w:sz w:val="18"/>
        </w:rPr>
        <w:t xml:space="preserve"> =</w:t>
      </w:r>
      <w:r w:rsidRPr="007565B4">
        <w:rPr>
          <w:sz w:val="18"/>
        </w:rPr>
        <w:t xml:space="preserve"> diffusing capacity of the lungs for</w:t>
      </w:r>
      <w:r>
        <w:rPr>
          <w:sz w:val="18"/>
        </w:rPr>
        <w:t xml:space="preserve"> </w:t>
      </w:r>
      <w:r w:rsidRPr="007565B4">
        <w:rPr>
          <w:sz w:val="18"/>
        </w:rPr>
        <w:t>carbon monoxide; EBUS</w:t>
      </w:r>
      <w:r w:rsidR="00C97B88">
        <w:rPr>
          <w:sz w:val="18"/>
        </w:rPr>
        <w:t xml:space="preserve"> =</w:t>
      </w:r>
      <w:r w:rsidRPr="007565B4">
        <w:rPr>
          <w:sz w:val="18"/>
        </w:rPr>
        <w:t xml:space="preserve"> endoscopic </w:t>
      </w:r>
      <w:r>
        <w:rPr>
          <w:sz w:val="18"/>
        </w:rPr>
        <w:t>bronchial ultrasound; ECG</w:t>
      </w:r>
      <w:r w:rsidR="00C97B88">
        <w:rPr>
          <w:sz w:val="18"/>
        </w:rPr>
        <w:t xml:space="preserve"> =</w:t>
      </w:r>
      <w:r>
        <w:rPr>
          <w:sz w:val="18"/>
        </w:rPr>
        <w:t xml:space="preserve"> elec</w:t>
      </w:r>
      <w:r w:rsidRPr="007565B4">
        <w:rPr>
          <w:sz w:val="18"/>
        </w:rPr>
        <w:t>trocardiogram; EUS</w:t>
      </w:r>
      <w:r w:rsidR="00C97B88">
        <w:rPr>
          <w:sz w:val="18"/>
        </w:rPr>
        <w:t xml:space="preserve"> =</w:t>
      </w:r>
      <w:r w:rsidRPr="007565B4">
        <w:rPr>
          <w:sz w:val="18"/>
        </w:rPr>
        <w:t xml:space="preserve"> endoscopic ultrasou</w:t>
      </w:r>
      <w:r>
        <w:rPr>
          <w:sz w:val="18"/>
        </w:rPr>
        <w:t>nd; FEV1</w:t>
      </w:r>
      <w:r w:rsidR="00C97B88">
        <w:rPr>
          <w:sz w:val="18"/>
        </w:rPr>
        <w:t xml:space="preserve"> =</w:t>
      </w:r>
      <w:r>
        <w:rPr>
          <w:sz w:val="18"/>
        </w:rPr>
        <w:t xml:space="preserve"> forced expiratory vol</w:t>
      </w:r>
      <w:r w:rsidRPr="007565B4">
        <w:rPr>
          <w:sz w:val="18"/>
        </w:rPr>
        <w:t>ume in 1 second; FVC</w:t>
      </w:r>
      <w:r w:rsidR="00C97B88">
        <w:rPr>
          <w:sz w:val="18"/>
        </w:rPr>
        <w:t xml:space="preserve"> =</w:t>
      </w:r>
      <w:r w:rsidRPr="007565B4">
        <w:rPr>
          <w:sz w:val="18"/>
        </w:rPr>
        <w:t xml:space="preserve"> forced expiratory vital capacity; MRI</w:t>
      </w:r>
      <w:r w:rsidR="00C97B88">
        <w:rPr>
          <w:sz w:val="18"/>
        </w:rPr>
        <w:t xml:space="preserve"> =</w:t>
      </w:r>
      <w:r w:rsidRPr="007565B4">
        <w:rPr>
          <w:sz w:val="18"/>
        </w:rPr>
        <w:t xml:space="preserve"> magnetic</w:t>
      </w:r>
      <w:r>
        <w:rPr>
          <w:sz w:val="18"/>
        </w:rPr>
        <w:t xml:space="preserve"> </w:t>
      </w:r>
      <w:r w:rsidRPr="007565B4">
        <w:rPr>
          <w:sz w:val="18"/>
        </w:rPr>
        <w:t>resonance imaging; PET-CT</w:t>
      </w:r>
      <w:r w:rsidR="00C97B88">
        <w:rPr>
          <w:sz w:val="18"/>
        </w:rPr>
        <w:t xml:space="preserve"> =</w:t>
      </w:r>
      <w:r w:rsidRPr="007565B4">
        <w:rPr>
          <w:sz w:val="18"/>
        </w:rPr>
        <w:t xml:space="preserve"> positron emission tomography computed</w:t>
      </w:r>
      <w:r>
        <w:rPr>
          <w:sz w:val="18"/>
        </w:rPr>
        <w:t xml:space="preserve"> </w:t>
      </w:r>
      <w:r w:rsidRPr="007565B4">
        <w:rPr>
          <w:sz w:val="18"/>
        </w:rPr>
        <w:t>tom</w:t>
      </w:r>
      <w:r>
        <w:rPr>
          <w:sz w:val="18"/>
        </w:rPr>
        <w:t>ography; PS</w:t>
      </w:r>
      <w:r w:rsidR="00C97B88">
        <w:rPr>
          <w:sz w:val="18"/>
        </w:rPr>
        <w:t xml:space="preserve"> =</w:t>
      </w:r>
      <w:r>
        <w:rPr>
          <w:sz w:val="18"/>
        </w:rPr>
        <w:t xml:space="preserve"> performance status</w:t>
      </w:r>
    </w:p>
    <w:p w14:paraId="304C1FE7" w14:textId="77777777" w:rsidR="00896845" w:rsidRPr="00E364F7" w:rsidRDefault="00896845" w:rsidP="007C376E">
      <w:pPr>
        <w:pStyle w:val="Heading3"/>
        <w:spacing w:before="360"/>
        <w:jc w:val="both"/>
      </w:pPr>
      <w:r w:rsidRPr="00E364F7">
        <w:t>Intervention</w:t>
      </w:r>
    </w:p>
    <w:p w14:paraId="16F75D91" w14:textId="6933B2C6" w:rsidR="00C26DAA" w:rsidRDefault="00540DA8" w:rsidP="009A20EA">
      <w:pPr>
        <w:pStyle w:val="Heading4"/>
        <w:spacing w:before="200"/>
        <w:jc w:val="both"/>
        <w:rPr>
          <w:rFonts w:ascii="Calibri" w:hAnsi="Calibri" w:cs="Calibri"/>
          <w:color w:val="auto"/>
          <w:u w:val="single"/>
        </w:rPr>
      </w:pPr>
      <w:r w:rsidRPr="00C26DAA">
        <w:rPr>
          <w:rFonts w:ascii="Calibri" w:hAnsi="Calibri" w:cs="Calibri"/>
          <w:color w:val="auto"/>
          <w:u w:val="single"/>
        </w:rPr>
        <w:t>Test:</w:t>
      </w:r>
    </w:p>
    <w:p w14:paraId="7F5E3AC8" w14:textId="70B4C205" w:rsidR="00C26DAA" w:rsidRPr="00C26DAA" w:rsidRDefault="00C26DAA" w:rsidP="00C26DAA">
      <w:pPr>
        <w:pStyle w:val="Heading5"/>
        <w:rPr>
          <w:rFonts w:asciiTheme="minorHAnsi" w:hAnsiTheme="minorHAnsi" w:cstheme="minorHAnsi"/>
          <w:color w:val="auto"/>
        </w:rPr>
      </w:pPr>
      <w:r w:rsidRPr="00C26DAA">
        <w:rPr>
          <w:rFonts w:asciiTheme="minorHAnsi" w:hAnsiTheme="minorHAnsi" w:cstheme="minorHAnsi"/>
          <w:color w:val="auto"/>
        </w:rPr>
        <w:t>Purpose of the test:</w:t>
      </w:r>
    </w:p>
    <w:p w14:paraId="054D5DE6" w14:textId="4AD3F339" w:rsidR="00933055" w:rsidRDefault="005F0788" w:rsidP="00C00B6A">
      <w:pPr>
        <w:jc w:val="both"/>
      </w:pPr>
      <w:r>
        <w:t xml:space="preserve">The proposed test is </w:t>
      </w:r>
      <w:r w:rsidR="00A97034" w:rsidRPr="00A97034">
        <w:rPr>
          <w:i/>
        </w:rPr>
        <w:t>KRAS</w:t>
      </w:r>
      <w:r w:rsidR="00A97034" w:rsidRPr="00A97034">
        <w:t xml:space="preserve"> G12C</w:t>
      </w:r>
      <w:r>
        <w:t xml:space="preserve"> testing in patients diagnosed with non-squamo</w:t>
      </w:r>
      <w:r w:rsidR="00BB6434">
        <w:t>us histology or histology NOS</w:t>
      </w:r>
      <w:r>
        <w:t xml:space="preserve"> NSCLC. </w:t>
      </w:r>
      <w:r w:rsidR="00BE130B" w:rsidRPr="004B0593">
        <w:t xml:space="preserve">The applicant proposes to include </w:t>
      </w:r>
      <w:r w:rsidR="00A97034" w:rsidRPr="00A97034">
        <w:rPr>
          <w:i/>
        </w:rPr>
        <w:t>KRAS</w:t>
      </w:r>
      <w:r w:rsidR="00A97034" w:rsidRPr="00A97034">
        <w:t xml:space="preserve"> G12C</w:t>
      </w:r>
      <w:r w:rsidR="00BE130B" w:rsidRPr="004B0593">
        <w:t xml:space="preserve"> testing in the existing MBS item 73337</w:t>
      </w:r>
      <w:r w:rsidR="0008289A">
        <w:t xml:space="preserve"> (see </w:t>
      </w:r>
      <w:r w:rsidR="001C5EBB">
        <w:fldChar w:fldCharType="begin"/>
      </w:r>
      <w:r w:rsidR="001C5EBB">
        <w:instrText xml:space="preserve"> REF _Ref76035244 \h </w:instrText>
      </w:r>
      <w:r w:rsidR="001C5EBB">
        <w:fldChar w:fldCharType="separate"/>
      </w:r>
      <w:r w:rsidR="002D0127">
        <w:t xml:space="preserve">Table </w:t>
      </w:r>
      <w:r w:rsidR="002D0127">
        <w:rPr>
          <w:noProof/>
        </w:rPr>
        <w:t>5</w:t>
      </w:r>
      <w:r w:rsidR="001C5EBB">
        <w:fldChar w:fldCharType="end"/>
      </w:r>
      <w:r w:rsidR="001C5EBB">
        <w:t xml:space="preserve"> </w:t>
      </w:r>
      <w:r w:rsidR="0008289A">
        <w:t xml:space="preserve">on page </w:t>
      </w:r>
      <w:r w:rsidR="001C5EBB">
        <w:fldChar w:fldCharType="begin"/>
      </w:r>
      <w:r w:rsidR="001C5EBB">
        <w:instrText xml:space="preserve"> PAGEREF _Ref76035253 \h </w:instrText>
      </w:r>
      <w:r w:rsidR="001C5EBB">
        <w:fldChar w:fldCharType="separate"/>
      </w:r>
      <w:r w:rsidR="002D0127">
        <w:rPr>
          <w:noProof/>
        </w:rPr>
        <w:t>23</w:t>
      </w:r>
      <w:r w:rsidR="001C5EBB">
        <w:fldChar w:fldCharType="end"/>
      </w:r>
      <w:r w:rsidR="0008289A">
        <w:t xml:space="preserve"> for more details)</w:t>
      </w:r>
      <w:r w:rsidR="00BE130B" w:rsidRPr="004B0593">
        <w:t>.</w:t>
      </w:r>
    </w:p>
    <w:p w14:paraId="7BD3734D" w14:textId="0660818A" w:rsidR="009C573E" w:rsidRDefault="0008289A" w:rsidP="00C00B6A">
      <w:pPr>
        <w:jc w:val="both"/>
      </w:pPr>
      <w:r>
        <w:t>T</w:t>
      </w:r>
      <w:r w:rsidR="00AD5781">
        <w:t>he purpose of</w:t>
      </w:r>
      <w:r w:rsidR="00D33C5A">
        <w:t xml:space="preserve"> the proposed test</w:t>
      </w:r>
      <w:r w:rsidR="00AD5781">
        <w:t xml:space="preserve"> is to determine the eligibility for PBS-subsidised sotorasib second-line therapy in patients with locally advanced or metastatic NSCLC</w:t>
      </w:r>
      <w:r w:rsidR="00933055">
        <w:t>, shown to have non-squamous histology/histology NOS</w:t>
      </w:r>
      <w:r w:rsidR="00AD5781">
        <w:t>.</w:t>
      </w:r>
    </w:p>
    <w:p w14:paraId="1D4B4E96" w14:textId="1B346678" w:rsidR="00C26DAA" w:rsidRPr="00C26DAA" w:rsidRDefault="00C26DAA" w:rsidP="00C26DAA">
      <w:pPr>
        <w:pStyle w:val="Heading5"/>
        <w:rPr>
          <w:rFonts w:asciiTheme="minorHAnsi" w:hAnsiTheme="minorHAnsi" w:cstheme="minorHAnsi"/>
          <w:color w:val="auto"/>
        </w:rPr>
      </w:pPr>
      <w:r w:rsidRPr="00C26DAA">
        <w:rPr>
          <w:rFonts w:asciiTheme="minorHAnsi" w:hAnsiTheme="minorHAnsi" w:cstheme="minorHAnsi"/>
          <w:color w:val="auto"/>
        </w:rPr>
        <w:t>Methods of testing:</w:t>
      </w:r>
    </w:p>
    <w:p w14:paraId="5AABC042" w14:textId="135802DD" w:rsidR="0008289A" w:rsidRDefault="00D33C5A" w:rsidP="00C00B6A">
      <w:pPr>
        <w:jc w:val="both"/>
      </w:pPr>
      <w:r>
        <w:t xml:space="preserve">The proposed </w:t>
      </w:r>
      <w:r w:rsidR="005F0788">
        <w:t>test is a</w:t>
      </w:r>
      <w:r>
        <w:t xml:space="preserve">n </w:t>
      </w:r>
      <w:r w:rsidRPr="00DA360E">
        <w:rPr>
          <w:i/>
          <w:iCs/>
        </w:rPr>
        <w:t>in</w:t>
      </w:r>
      <w:r w:rsidR="00DA360E" w:rsidRPr="00DA360E">
        <w:rPr>
          <w:i/>
          <w:iCs/>
        </w:rPr>
        <w:t xml:space="preserve"> </w:t>
      </w:r>
      <w:r w:rsidRPr="00DA360E">
        <w:rPr>
          <w:i/>
          <w:iCs/>
        </w:rPr>
        <w:t>vitro</w:t>
      </w:r>
      <w:r>
        <w:t xml:space="preserve"> diagnostic test and does not </w:t>
      </w:r>
      <w:r w:rsidR="005F0788">
        <w:t>specify</w:t>
      </w:r>
      <w:r>
        <w:t xml:space="preserve"> any </w:t>
      </w:r>
      <w:r w:rsidR="005F0788">
        <w:t>particular</w:t>
      </w:r>
      <w:r>
        <w:t xml:space="preserve"> technology or platform. Any accredited and validated </w:t>
      </w:r>
      <w:r w:rsidR="005F0788">
        <w:t>testing</w:t>
      </w:r>
      <w:r>
        <w:t xml:space="preserve"> of </w:t>
      </w:r>
      <w:r w:rsidR="00A97034" w:rsidRPr="00A97034">
        <w:rPr>
          <w:i/>
        </w:rPr>
        <w:t>KRAS</w:t>
      </w:r>
      <w:r w:rsidR="00A97034" w:rsidRPr="00A97034">
        <w:t xml:space="preserve"> G12C</w:t>
      </w:r>
      <w:r>
        <w:t xml:space="preserve"> is within the scope</w:t>
      </w:r>
      <w:r w:rsidR="00DA360E">
        <w:t xml:space="preserve"> of the application</w:t>
      </w:r>
      <w:r>
        <w:t xml:space="preserve">. </w:t>
      </w:r>
      <w:r w:rsidR="0008289A">
        <w:t>Th</w:t>
      </w:r>
      <w:r w:rsidR="006F67FB">
        <w:t xml:space="preserve">e </w:t>
      </w:r>
      <w:r w:rsidR="0008289A">
        <w:t xml:space="preserve">options </w:t>
      </w:r>
      <w:r w:rsidR="003A2D3A">
        <w:t xml:space="preserve">currently </w:t>
      </w:r>
      <w:r w:rsidR="00B21942">
        <w:t>available</w:t>
      </w:r>
      <w:r w:rsidR="006F67FB">
        <w:t xml:space="preserve"> are</w:t>
      </w:r>
      <w:r w:rsidR="0008289A">
        <w:t>:</w:t>
      </w:r>
    </w:p>
    <w:p w14:paraId="1F86D588" w14:textId="32729427" w:rsidR="006F67FB" w:rsidRDefault="006F67FB" w:rsidP="006F67FB">
      <w:pPr>
        <w:pStyle w:val="ListParagraph"/>
        <w:numPr>
          <w:ilvl w:val="0"/>
          <w:numId w:val="35"/>
        </w:numPr>
        <w:jc w:val="both"/>
      </w:pPr>
      <w:r>
        <w:t>Single genes using direct or Sanger sequencing</w:t>
      </w:r>
      <w:r w:rsidR="000F7C0B">
        <w:t>,</w:t>
      </w:r>
    </w:p>
    <w:p w14:paraId="12BA7476" w14:textId="0A616C9E" w:rsidR="006F67FB" w:rsidRDefault="006F67FB" w:rsidP="006F67FB">
      <w:pPr>
        <w:pStyle w:val="ListParagraph"/>
        <w:numPr>
          <w:ilvl w:val="0"/>
          <w:numId w:val="35"/>
        </w:numPr>
        <w:jc w:val="both"/>
      </w:pPr>
      <w:r>
        <w:t xml:space="preserve">Single genes using </w:t>
      </w:r>
      <w:r w:rsidRPr="00DE47DA">
        <w:t xml:space="preserve">polymerase chain reaction </w:t>
      </w:r>
      <w:r>
        <w:t xml:space="preserve">(PCR)-based methods (e.g. the </w:t>
      </w:r>
      <w:proofErr w:type="spellStart"/>
      <w:r>
        <w:rPr>
          <w:i/>
        </w:rPr>
        <w:t>Therascreen</w:t>
      </w:r>
      <w:proofErr w:type="spellEnd"/>
      <w:r>
        <w:rPr>
          <w:i/>
        </w:rPr>
        <w:t xml:space="preserve">® </w:t>
      </w:r>
      <w:r w:rsidR="00A97034" w:rsidRPr="00A97034">
        <w:rPr>
          <w:i/>
        </w:rPr>
        <w:t>KRAS</w:t>
      </w:r>
      <w:r>
        <w:rPr>
          <w:i/>
        </w:rPr>
        <w:t xml:space="preserve"> </w:t>
      </w:r>
      <w:r>
        <w:t>RGQ PCR kit),</w:t>
      </w:r>
    </w:p>
    <w:p w14:paraId="1612933C" w14:textId="64ACAC91" w:rsidR="006F67FB" w:rsidRDefault="006F67FB" w:rsidP="006F67FB">
      <w:pPr>
        <w:pStyle w:val="ListParagraph"/>
        <w:numPr>
          <w:ilvl w:val="0"/>
          <w:numId w:val="35"/>
        </w:numPr>
        <w:jc w:val="both"/>
      </w:pPr>
      <w:r>
        <w:t xml:space="preserve">Multiple genes using </w:t>
      </w:r>
      <w:r>
        <w:rPr>
          <w:szCs w:val="24"/>
        </w:rPr>
        <w:t>m</w:t>
      </w:r>
      <w:r w:rsidRPr="00236F63">
        <w:rPr>
          <w:szCs w:val="24"/>
        </w:rPr>
        <w:t>atrix-assisted laser desorption/ionization-time of flight (MALDI-TOF) mass spectrometry (MS)</w:t>
      </w:r>
      <w:r>
        <w:t>,</w:t>
      </w:r>
    </w:p>
    <w:p w14:paraId="61A71965" w14:textId="77777777" w:rsidR="006F67FB" w:rsidRDefault="006F67FB" w:rsidP="006F67FB">
      <w:pPr>
        <w:pStyle w:val="ListParagraph"/>
        <w:numPr>
          <w:ilvl w:val="0"/>
          <w:numId w:val="35"/>
        </w:numPr>
        <w:jc w:val="both"/>
      </w:pPr>
      <w:r>
        <w:t>Multiple genes using targeted next generation sequencing (NGS) with a small gene panel, and</w:t>
      </w:r>
    </w:p>
    <w:p w14:paraId="62862529" w14:textId="695A8ADD" w:rsidR="006F67FB" w:rsidRDefault="006F67FB" w:rsidP="006F67FB">
      <w:pPr>
        <w:pStyle w:val="ListParagraph"/>
        <w:numPr>
          <w:ilvl w:val="0"/>
          <w:numId w:val="35"/>
        </w:numPr>
        <w:jc w:val="both"/>
      </w:pPr>
      <w:r>
        <w:lastRenderedPageBreak/>
        <w:t>Comprehensive genomic profiling using very large NGS panels.</w:t>
      </w:r>
    </w:p>
    <w:p w14:paraId="41C86085" w14:textId="770A54DF" w:rsidR="00D33C5A" w:rsidRDefault="00B21942" w:rsidP="00C00B6A">
      <w:pPr>
        <w:jc w:val="both"/>
      </w:pPr>
      <w:r>
        <w:t>M</w:t>
      </w:r>
      <w:r w:rsidR="005F0788">
        <w:t xml:space="preserve">ost of the </w:t>
      </w:r>
      <w:r w:rsidR="00D33C5A">
        <w:t xml:space="preserve">molecular pathology testing services in Australia currently use </w:t>
      </w:r>
      <w:r>
        <w:t xml:space="preserve">small gene panels on </w:t>
      </w:r>
      <w:r w:rsidR="00D33C5A">
        <w:t xml:space="preserve">NGS platforms. </w:t>
      </w:r>
      <w:r w:rsidR="005F0788">
        <w:t xml:space="preserve">These laboratories are already testing for </w:t>
      </w:r>
      <w:r w:rsidR="00A97034" w:rsidRPr="00A97034">
        <w:rPr>
          <w:i/>
        </w:rPr>
        <w:t>KRAS</w:t>
      </w:r>
      <w:r w:rsidR="001C13D2">
        <w:t xml:space="preserve"> pathogenic variants due to its inclusion in NSCLC gene panels along with </w:t>
      </w:r>
      <w:r w:rsidR="001C13D2" w:rsidRPr="00832840">
        <w:rPr>
          <w:i/>
        </w:rPr>
        <w:t>EGFR</w:t>
      </w:r>
      <w:r w:rsidR="001C13D2">
        <w:t>. There are a few laboratories using single-gen</w:t>
      </w:r>
      <w:r w:rsidR="00B11146">
        <w:t>e testing by PCR-based methods.</w:t>
      </w:r>
      <w:r>
        <w:t xml:space="preserve"> In the event that the parallel application for comprehensive genomic profiling for patients with NSCLC (MSAC application 1634) receives funding approval, the applicant</w:t>
      </w:r>
      <w:r w:rsidR="00BD2CCB">
        <w:t xml:space="preserve"> ha</w:t>
      </w:r>
      <w:r>
        <w:t xml:space="preserve">s no objection to </w:t>
      </w:r>
      <w:r w:rsidR="00A97034" w:rsidRPr="00D734F1">
        <w:t>KRAS</w:t>
      </w:r>
      <w:r w:rsidRPr="00D734F1">
        <w:t xml:space="preserve"> </w:t>
      </w:r>
      <w:r>
        <w:t>testing being incorporat</w:t>
      </w:r>
      <w:r w:rsidR="006E3369">
        <w:t>ed into this proposed MBS item.</w:t>
      </w:r>
    </w:p>
    <w:p w14:paraId="094C558A" w14:textId="257ECB4E" w:rsidR="00E25C26" w:rsidRPr="00D734F1" w:rsidRDefault="00E25C26" w:rsidP="00D734F1">
      <w:pPr>
        <w:jc w:val="both"/>
        <w:rPr>
          <w:i/>
          <w:iCs/>
        </w:rPr>
      </w:pPr>
      <w:r w:rsidRPr="00D734F1">
        <w:rPr>
          <w:i/>
          <w:iCs/>
        </w:rPr>
        <w:t xml:space="preserve">PASC noted that most testing of </w:t>
      </w:r>
      <w:r w:rsidRPr="00D734F1">
        <w:t>KRAS</w:t>
      </w:r>
      <w:r w:rsidRPr="00D734F1">
        <w:rPr>
          <w:i/>
          <w:iCs/>
        </w:rPr>
        <w:t xml:space="preserve"> in Australia is done using next-generation sequencing with gene panels that include </w:t>
      </w:r>
      <w:r w:rsidRPr="00D734F1">
        <w:t>KRAS</w:t>
      </w:r>
      <w:r w:rsidRPr="00D734F1">
        <w:rPr>
          <w:i/>
          <w:iCs/>
        </w:rPr>
        <w:t>. PASC mentioned that some smaller laboratories may still be using single gene testing. However, the applicant claimed that none of the laboratories included in a small survey, and none of the hospital centres included in a large survey</w:t>
      </w:r>
      <w:r w:rsidR="000F7C0B" w:rsidRPr="00D734F1">
        <w:rPr>
          <w:i/>
          <w:iCs/>
        </w:rPr>
        <w:t>,</w:t>
      </w:r>
      <w:r w:rsidRPr="00D734F1">
        <w:rPr>
          <w:i/>
          <w:iCs/>
        </w:rPr>
        <w:t xml:space="preserve"> reported conducting single gene testing of </w:t>
      </w:r>
      <w:r w:rsidRPr="00D734F1">
        <w:t>KRAS G12C</w:t>
      </w:r>
      <w:r w:rsidRPr="00D734F1">
        <w:rPr>
          <w:i/>
          <w:iCs/>
        </w:rPr>
        <w:t>.</w:t>
      </w:r>
    </w:p>
    <w:p w14:paraId="0FFC28E4" w14:textId="0C661C1A" w:rsidR="00801E9F" w:rsidRDefault="00801E9F" w:rsidP="00F036BF">
      <w:pPr>
        <w:spacing w:after="0"/>
        <w:jc w:val="both"/>
      </w:pPr>
      <w:r>
        <w:t xml:space="preserve">The initial steps in both NGS </w:t>
      </w:r>
      <w:r w:rsidR="00663F70">
        <w:t>and</w:t>
      </w:r>
      <w:r>
        <w:t xml:space="preserve"> PCR methods include:</w:t>
      </w:r>
    </w:p>
    <w:p w14:paraId="42F81C72" w14:textId="35202C2D" w:rsidR="00801E9F" w:rsidRDefault="003A2D3A" w:rsidP="00C00B6A">
      <w:pPr>
        <w:pStyle w:val="ListParagraph"/>
        <w:numPr>
          <w:ilvl w:val="0"/>
          <w:numId w:val="25"/>
        </w:numPr>
        <w:jc w:val="both"/>
      </w:pPr>
      <w:r>
        <w:t>e</w:t>
      </w:r>
      <w:r w:rsidR="00801E9F">
        <w:t>xtraction</w:t>
      </w:r>
      <w:r w:rsidR="00DE47DA">
        <w:t>,</w:t>
      </w:r>
    </w:p>
    <w:p w14:paraId="5A3881E8" w14:textId="223381A0" w:rsidR="00801E9F" w:rsidRDefault="003A2D3A" w:rsidP="00C00B6A">
      <w:pPr>
        <w:pStyle w:val="ListParagraph"/>
        <w:numPr>
          <w:ilvl w:val="0"/>
          <w:numId w:val="25"/>
        </w:numPr>
        <w:jc w:val="both"/>
      </w:pPr>
      <w:r>
        <w:t>i</w:t>
      </w:r>
      <w:r w:rsidR="00801E9F">
        <w:t>solation</w:t>
      </w:r>
      <w:r w:rsidR="00DE47DA">
        <w:t>,</w:t>
      </w:r>
      <w:r w:rsidR="00801E9F">
        <w:t xml:space="preserve"> and</w:t>
      </w:r>
    </w:p>
    <w:p w14:paraId="06776D58" w14:textId="08E066F9" w:rsidR="00801E9F" w:rsidRDefault="003A2D3A" w:rsidP="00C00B6A">
      <w:pPr>
        <w:pStyle w:val="ListParagraph"/>
        <w:numPr>
          <w:ilvl w:val="0"/>
          <w:numId w:val="25"/>
        </w:numPr>
        <w:jc w:val="both"/>
      </w:pPr>
      <w:r>
        <w:t>q</w:t>
      </w:r>
      <w:r w:rsidR="00663F70">
        <w:t>uantification</w:t>
      </w:r>
      <w:r w:rsidR="00801E9F">
        <w:t xml:space="preserve"> of tumo</w:t>
      </w:r>
      <w:r w:rsidR="00F65892">
        <w:t>u</w:t>
      </w:r>
      <w:r w:rsidR="00801E9F">
        <w:t xml:space="preserve">r DNA from the biopsy </w:t>
      </w:r>
      <w:r w:rsidR="00663F70">
        <w:t>specimens</w:t>
      </w:r>
      <w:r w:rsidR="00DE47DA">
        <w:t>.</w:t>
      </w:r>
    </w:p>
    <w:p w14:paraId="2269AC53" w14:textId="77777777" w:rsidR="00D734F1" w:rsidRDefault="00496766" w:rsidP="00CB4E52">
      <w:pPr>
        <w:autoSpaceDE w:val="0"/>
        <w:autoSpaceDN w:val="0"/>
        <w:adjustRightInd w:val="0"/>
        <w:spacing w:line="23" w:lineRule="atLeast"/>
      </w:pPr>
      <w:r>
        <w:t xml:space="preserve">The DNA is extracted </w:t>
      </w:r>
      <w:r w:rsidRPr="00496766">
        <w:t>from formalin fixed paraffin embedded (FFPE) tumour biopsy samples</w:t>
      </w:r>
      <w:r>
        <w:t>.</w:t>
      </w:r>
    </w:p>
    <w:p w14:paraId="6881C998" w14:textId="3246BE10" w:rsidR="00496766" w:rsidRPr="00D734F1" w:rsidRDefault="002C4A67" w:rsidP="00D734F1">
      <w:pPr>
        <w:jc w:val="both"/>
        <w:rPr>
          <w:i/>
          <w:iCs/>
        </w:rPr>
      </w:pPr>
      <w:r w:rsidRPr="00D734F1">
        <w:rPr>
          <w:i/>
          <w:iCs/>
        </w:rPr>
        <w:t xml:space="preserve">PASC noted that the test was proposed to be pathologist determinable like testing for </w:t>
      </w:r>
      <w:r w:rsidR="00D734F1" w:rsidRPr="00D734F1">
        <w:t>EGFR</w:t>
      </w:r>
      <w:r w:rsidRPr="00D734F1">
        <w:rPr>
          <w:i/>
          <w:iCs/>
        </w:rPr>
        <w:t>. PASC advised that cytology samples should be eligible if confirmed by a pathologist to have adequate tumour tissue fragments for assessment.</w:t>
      </w:r>
    </w:p>
    <w:p w14:paraId="1D958CFB" w14:textId="7C977952" w:rsidR="00801E9F" w:rsidRDefault="00801E9F" w:rsidP="00F036BF">
      <w:pPr>
        <w:spacing w:after="0"/>
        <w:jc w:val="both"/>
      </w:pPr>
      <w:r>
        <w:t xml:space="preserve">Next steps involved in NGS </w:t>
      </w:r>
      <w:r w:rsidR="00663F70">
        <w:t>methods</w:t>
      </w:r>
      <w:r>
        <w:t xml:space="preserve"> include:</w:t>
      </w:r>
    </w:p>
    <w:p w14:paraId="6160B6DA" w14:textId="6CAE336F" w:rsidR="00801E9F" w:rsidRDefault="00801E9F" w:rsidP="00C00B6A">
      <w:pPr>
        <w:pStyle w:val="ListParagraph"/>
        <w:numPr>
          <w:ilvl w:val="0"/>
          <w:numId w:val="26"/>
        </w:numPr>
        <w:jc w:val="both"/>
      </w:pPr>
      <w:r>
        <w:t>preparation of sequencing libraries,</w:t>
      </w:r>
    </w:p>
    <w:p w14:paraId="4B27824B" w14:textId="28E3D1A0" w:rsidR="00801E9F" w:rsidRDefault="00801E9F" w:rsidP="00C00B6A">
      <w:pPr>
        <w:pStyle w:val="ListParagraph"/>
        <w:numPr>
          <w:ilvl w:val="0"/>
          <w:numId w:val="26"/>
        </w:numPr>
        <w:jc w:val="both"/>
      </w:pPr>
      <w:r>
        <w:t>enrichment of sequencing libraries for the genes of interest,</w:t>
      </w:r>
    </w:p>
    <w:p w14:paraId="037779DC" w14:textId="46EDA145" w:rsidR="00801E9F" w:rsidRDefault="00801E9F" w:rsidP="00C00B6A">
      <w:pPr>
        <w:pStyle w:val="ListParagraph"/>
        <w:numPr>
          <w:ilvl w:val="0"/>
          <w:numId w:val="26"/>
        </w:numPr>
        <w:jc w:val="both"/>
      </w:pPr>
      <w:r>
        <w:t>sequencing of enriched libraries, and</w:t>
      </w:r>
    </w:p>
    <w:p w14:paraId="16D67B12" w14:textId="5D631E9C" w:rsidR="00801E9F" w:rsidRDefault="00801E9F" w:rsidP="00C00B6A">
      <w:pPr>
        <w:pStyle w:val="ListParagraph"/>
        <w:numPr>
          <w:ilvl w:val="0"/>
          <w:numId w:val="26"/>
        </w:numPr>
        <w:jc w:val="both"/>
      </w:pPr>
      <w:r>
        <w:t>analysis and reporting of test results</w:t>
      </w:r>
      <w:r w:rsidR="00DE47DA">
        <w:t>.</w:t>
      </w:r>
    </w:p>
    <w:p w14:paraId="7586978C" w14:textId="38781545" w:rsidR="00801E9F" w:rsidRDefault="00801E9F" w:rsidP="00F036BF">
      <w:pPr>
        <w:spacing w:after="0"/>
        <w:jc w:val="both"/>
      </w:pPr>
      <w:r>
        <w:t>Next steps involved in PCR-based methods:</w:t>
      </w:r>
    </w:p>
    <w:p w14:paraId="69C1470B" w14:textId="2550AC1C" w:rsidR="00801E9F" w:rsidRDefault="00801E9F" w:rsidP="00C00B6A">
      <w:pPr>
        <w:pStyle w:val="ListParagraph"/>
        <w:numPr>
          <w:ilvl w:val="0"/>
          <w:numId w:val="27"/>
        </w:numPr>
        <w:jc w:val="both"/>
      </w:pPr>
      <w:r>
        <w:t>amplification,</w:t>
      </w:r>
    </w:p>
    <w:p w14:paraId="329EEC52" w14:textId="240F72A8" w:rsidR="00801E9F" w:rsidRDefault="00801E9F" w:rsidP="00C00B6A">
      <w:pPr>
        <w:pStyle w:val="ListParagraph"/>
        <w:numPr>
          <w:ilvl w:val="0"/>
          <w:numId w:val="27"/>
        </w:numPr>
        <w:jc w:val="both"/>
      </w:pPr>
      <w:r>
        <w:t>post-PCR analysis</w:t>
      </w:r>
      <w:r w:rsidR="003A2D3A">
        <w:t>,</w:t>
      </w:r>
      <w:r>
        <w:t xml:space="preserve"> and</w:t>
      </w:r>
    </w:p>
    <w:p w14:paraId="71D4DA38" w14:textId="1FB29B53" w:rsidR="00801E9F" w:rsidRDefault="00801E9F" w:rsidP="00C00B6A">
      <w:pPr>
        <w:pStyle w:val="ListParagraph"/>
        <w:numPr>
          <w:ilvl w:val="0"/>
          <w:numId w:val="27"/>
        </w:numPr>
        <w:jc w:val="both"/>
      </w:pPr>
      <w:r>
        <w:t>reporting of test results</w:t>
      </w:r>
      <w:r w:rsidR="00DE47DA">
        <w:t>.</w:t>
      </w:r>
    </w:p>
    <w:p w14:paraId="61966CF9" w14:textId="484CE7CD" w:rsidR="002E7D15" w:rsidRDefault="002E7D15" w:rsidP="00C00B6A">
      <w:pPr>
        <w:jc w:val="both"/>
      </w:pPr>
      <w:r>
        <w:t>Studies have shown that PCR-based methods demonstrated concordance with NGS methods in NSCLC</w:t>
      </w:r>
      <w:r w:rsidR="00B11146">
        <w:t xml:space="preserve"> </w:t>
      </w:r>
      <w:r w:rsidR="00DB6304">
        <w:fldChar w:fldCharType="begin"/>
      </w:r>
      <w:r w:rsidR="00DB6304">
        <w:instrText xml:space="preserve"> ADDIN EN.CITE &lt;EndNote&gt;&lt;Cite&gt;&lt;Author&gt;Sherwood&lt;/Author&gt;&lt;Year&gt;2017&lt;/Year&gt;&lt;RecNum&gt;48&lt;/RecNum&gt;&lt;DisplayText&gt;(Sherwood, JL et al. 2017)&lt;/DisplayText&gt;&lt;record&gt;&lt;rec-number&gt;48&lt;/rec-number&gt;&lt;foreign-keys&gt;&lt;key app="EN" db-id="sxzw59f9u2erpaezf9mv0ptm9rwfzp5999rs" timestamp="1624932674"&gt;48&lt;/key&gt;&lt;/foreign-keys&gt;&lt;ref-type name="Journal Article"&gt;17&lt;/ref-type&gt;&lt;contributors&gt;&lt;authors&gt;&lt;author&gt;Sherwood, James L.&lt;/author&gt;&lt;author&gt;Brown, Helen&lt;/author&gt;&lt;author&gt;Rettino, Alessandro&lt;/author&gt;&lt;author&gt;Schreieck, Amelie&lt;/author&gt;&lt;author&gt;Clark, Graeme&lt;/author&gt;&lt;author&gt;Claes, Bart&lt;/author&gt;&lt;author&gt;Agrawal, Bhuwnesh&lt;/author&gt;&lt;author&gt;Chaston, Ria&lt;/author&gt;&lt;author&gt;Kong, Benjamin S. G.&lt;/author&gt;&lt;author&gt;Choppa, Paul&lt;/author&gt;&lt;author&gt;Nygren, Anders O. H.&lt;/author&gt;&lt;author&gt;Deras, Ina L.&lt;/author&gt;&lt;author&gt;Kohlmann, Alexander&lt;/author&gt;&lt;/authors&gt;&lt;/contributors&gt;&lt;titles&gt;&lt;title&gt;Key differences between 13 KRAS mutation detection technologies and their relevance for clinical practice&lt;/title&gt;&lt;secondary-title&gt;ESMO open&lt;/secondary-title&gt;&lt;alt-title&gt;ESMO Open&lt;/alt-title&gt;&lt;/titles&gt;&lt;periodical&gt;&lt;full-title&gt;ESMO open&lt;/full-title&gt;&lt;abbr-1&gt;ESMO Open&lt;/abbr-1&gt;&lt;/periodical&gt;&lt;alt-periodical&gt;&lt;full-title&gt;ESMO open&lt;/full-title&gt;&lt;abbr-1&gt;ESMO Open&lt;/abbr-1&gt;&lt;/alt-periodical&gt;&lt;pages&gt;e000235-e000235&lt;/pages&gt;&lt;volume&gt;2&lt;/volume&gt;&lt;number&gt;4&lt;/number&gt;&lt;keywords&gt;&lt;keyword&gt;EGFR mutation&lt;/keyword&gt;&lt;keyword&gt;MALDITOF&lt;/keyword&gt;&lt;keyword&gt;NGS&lt;/keyword&gt;&lt;keyword&gt;NSCLC&lt;/keyword&gt;&lt;keyword&gt;ddPCR&lt;/keyword&gt;&lt;keyword&gt;platform comparison&lt;/keyword&gt;&lt;keyword&gt;qPCR&lt;/keyword&gt;&lt;/keywords&gt;&lt;dates&gt;&lt;year&gt;2017&lt;/year&gt;&lt;/dates&gt;&lt;publisher&gt;BMJ Publishing Group&lt;/publisher&gt;&lt;isbn&gt;2059-7029&lt;/isbn&gt;&lt;accession-num&gt;29018576&lt;/accession-num&gt;&lt;urls&gt;&lt;related-urls&gt;&lt;url&gt;https://pubmed.ncbi.nlm.nih.gov/29018576&lt;/url&gt;&lt;url&gt;https://www.ncbi.nlm.nih.gov/pmc/articles/PMC5623342/&lt;/url&gt;&lt;/related-urls&gt;&lt;/urls&gt;&lt;electronic-resource-num&gt;10.1136/esmoopen-2017-000235&lt;/electronic-resource-num&gt;&lt;remote-database-name&gt;PubMed&lt;/remote-database-name&gt;&lt;language&gt;eng&lt;/language&gt;&lt;/record&gt;&lt;/Cite&gt;&lt;/EndNote&gt;</w:instrText>
      </w:r>
      <w:r w:rsidR="00DB6304">
        <w:fldChar w:fldCharType="separate"/>
      </w:r>
      <w:r w:rsidR="00DB6304">
        <w:rPr>
          <w:noProof/>
        </w:rPr>
        <w:t>(Sherwood, JL et al. 2017)</w:t>
      </w:r>
      <w:r w:rsidR="00DB6304">
        <w:fldChar w:fldCharType="end"/>
      </w:r>
      <w:r>
        <w:t xml:space="preserve">. However, NGS methods detected rare </w:t>
      </w:r>
      <w:r w:rsidRPr="00B11146">
        <w:rPr>
          <w:i/>
        </w:rPr>
        <w:t>EGFR</w:t>
      </w:r>
      <w:r>
        <w:t xml:space="preserve"> and </w:t>
      </w:r>
      <w:r w:rsidR="00A97034" w:rsidRPr="00A97034">
        <w:rPr>
          <w:i/>
        </w:rPr>
        <w:t>KRAS</w:t>
      </w:r>
      <w:r>
        <w:t xml:space="preserve"> pathogenic variants</w:t>
      </w:r>
      <w:r w:rsidR="00B9263F">
        <w:t xml:space="preserve"> </w:t>
      </w:r>
      <w:r w:rsidR="00B9263F" w:rsidRPr="008643FC">
        <w:t>which will not be detected by PCR assays which only detect the specific variants for which primers are included</w:t>
      </w:r>
      <w:r>
        <w:t>.</w:t>
      </w:r>
    </w:p>
    <w:p w14:paraId="09C47AF2" w14:textId="6C12D979" w:rsidR="00B11146" w:rsidRPr="00C26DAA" w:rsidRDefault="00B11146" w:rsidP="00C26DAA">
      <w:pPr>
        <w:pStyle w:val="Heading5"/>
        <w:rPr>
          <w:rFonts w:asciiTheme="minorHAnsi" w:hAnsiTheme="minorHAnsi" w:cstheme="minorHAnsi"/>
          <w:color w:val="auto"/>
        </w:rPr>
      </w:pPr>
      <w:r w:rsidRPr="00C26DAA">
        <w:rPr>
          <w:rFonts w:asciiTheme="minorHAnsi" w:hAnsiTheme="minorHAnsi" w:cstheme="minorHAnsi"/>
          <w:color w:val="auto"/>
        </w:rPr>
        <w:t>Registration status of testing devices</w:t>
      </w:r>
      <w:r w:rsidR="0092372D" w:rsidRPr="00C26DAA">
        <w:rPr>
          <w:rFonts w:asciiTheme="minorHAnsi" w:hAnsiTheme="minorHAnsi" w:cstheme="minorHAnsi"/>
          <w:color w:val="auto"/>
        </w:rPr>
        <w:t>:</w:t>
      </w:r>
    </w:p>
    <w:p w14:paraId="591A42E6" w14:textId="4974EC10" w:rsidR="00E132A3" w:rsidRDefault="00E132A3" w:rsidP="00C00B6A">
      <w:pPr>
        <w:jc w:val="both"/>
      </w:pPr>
      <w:r>
        <w:t xml:space="preserve">The </w:t>
      </w:r>
      <w:r w:rsidRPr="00DA360E">
        <w:rPr>
          <w:i/>
          <w:iCs/>
        </w:rPr>
        <w:t>in</w:t>
      </w:r>
      <w:r w:rsidR="00DA360E" w:rsidRPr="00DA360E">
        <w:rPr>
          <w:i/>
          <w:iCs/>
        </w:rPr>
        <w:t xml:space="preserve"> </w:t>
      </w:r>
      <w:r w:rsidRPr="00DA360E">
        <w:rPr>
          <w:i/>
          <w:iCs/>
        </w:rPr>
        <w:t>vitro</w:t>
      </w:r>
      <w:r>
        <w:t xml:space="preserve"> </w:t>
      </w:r>
      <w:r w:rsidR="00DA360E">
        <w:t xml:space="preserve">diagnostic </w:t>
      </w:r>
      <w:r>
        <w:t>devices used for the proposed testing are classified as Class III under T</w:t>
      </w:r>
      <w:r w:rsidR="00197BB4">
        <w:t>herapeutic Goods Administration (TGA)</w:t>
      </w:r>
      <w:r>
        <w:t xml:space="preserve">. </w:t>
      </w:r>
      <w:r w:rsidR="00F65892">
        <w:t>The a</w:t>
      </w:r>
      <w:r w:rsidR="00A8083D">
        <w:t>pplicant has identified</w:t>
      </w:r>
      <w:r w:rsidR="007A7551">
        <w:t xml:space="preserve"> many</w:t>
      </w:r>
      <w:r>
        <w:t xml:space="preserve"> manufacturers </w:t>
      </w:r>
      <w:r w:rsidR="007A7551">
        <w:t>supplying these devices which</w:t>
      </w:r>
      <w:r>
        <w:t xml:space="preserve"> are registered in the Australian Register of Therapeutic Goods (ARTG) by the TGA. </w:t>
      </w:r>
      <w:r w:rsidR="007A7551">
        <w:t>Some of the most commonly used registered devices include:</w:t>
      </w:r>
    </w:p>
    <w:p w14:paraId="7B7349F9" w14:textId="78292927" w:rsidR="00197BB4" w:rsidRDefault="00197BB4" w:rsidP="006E3369">
      <w:pPr>
        <w:autoSpaceDE w:val="0"/>
        <w:autoSpaceDN w:val="0"/>
        <w:adjustRightInd w:val="0"/>
        <w:spacing w:after="0"/>
        <w:ind w:firstLine="720"/>
        <w:rPr>
          <w:rFonts w:ascii="_‡ ˛" w:hAnsi="_‡ ˛" w:cs="_‡ ˛"/>
          <w:color w:val="000000"/>
          <w:sz w:val="19"/>
          <w:szCs w:val="19"/>
          <w:lang w:val="en-GB"/>
        </w:rPr>
      </w:pPr>
      <w:r>
        <w:rPr>
          <w:rFonts w:ascii="_‡ ˛" w:hAnsi="_‡ ˛" w:cs="_‡ ˛"/>
          <w:color w:val="000000"/>
          <w:sz w:val="19"/>
          <w:szCs w:val="19"/>
          <w:lang w:val="en-GB"/>
        </w:rPr>
        <w:lastRenderedPageBreak/>
        <w:t>Thermo Fisher Scientific Australia Pty Ltd - Acquired genetic alteration IVDs</w:t>
      </w:r>
    </w:p>
    <w:p w14:paraId="10E9D570" w14:textId="77777777" w:rsidR="00197BB4" w:rsidRDefault="00197BB4" w:rsidP="006E3369">
      <w:pPr>
        <w:autoSpaceDE w:val="0"/>
        <w:autoSpaceDN w:val="0"/>
        <w:adjustRightInd w:val="0"/>
        <w:spacing w:after="0"/>
        <w:ind w:firstLine="720"/>
        <w:rPr>
          <w:rFonts w:ascii="_‡ ˛" w:hAnsi="_‡ ˛" w:cs="_‡ ˛"/>
          <w:color w:val="000000"/>
          <w:sz w:val="19"/>
          <w:szCs w:val="19"/>
          <w:lang w:val="en-GB"/>
        </w:rPr>
      </w:pPr>
      <w:r>
        <w:rPr>
          <w:rFonts w:ascii="_‡ ˛" w:hAnsi="_‡ ˛" w:cs="_‡ ˛"/>
          <w:color w:val="000000"/>
          <w:sz w:val="19"/>
          <w:szCs w:val="19"/>
          <w:lang w:val="en-GB"/>
        </w:rPr>
        <w:t>ARTG ID: 256113</w:t>
      </w:r>
    </w:p>
    <w:p w14:paraId="75ADE674" w14:textId="77777777" w:rsidR="00197BB4" w:rsidRDefault="00197BB4" w:rsidP="006E3369">
      <w:pPr>
        <w:autoSpaceDE w:val="0"/>
        <w:autoSpaceDN w:val="0"/>
        <w:adjustRightInd w:val="0"/>
        <w:spacing w:after="0"/>
        <w:ind w:firstLine="720"/>
        <w:rPr>
          <w:rFonts w:ascii="_‡ ˛" w:hAnsi="_‡ ˛" w:cs="_‡ ˛"/>
          <w:color w:val="000000"/>
          <w:sz w:val="19"/>
          <w:szCs w:val="19"/>
          <w:lang w:val="en-GB"/>
        </w:rPr>
      </w:pPr>
      <w:r>
        <w:rPr>
          <w:rFonts w:ascii="_‡ ˛" w:hAnsi="_‡ ˛" w:cs="_‡ ˛"/>
          <w:color w:val="000000"/>
          <w:sz w:val="19"/>
          <w:szCs w:val="19"/>
          <w:lang w:val="en-GB"/>
        </w:rPr>
        <w:t>Product name: Acquired genetic alteration IVDs</w:t>
      </w:r>
    </w:p>
    <w:p w14:paraId="2B6ED5E5" w14:textId="77777777" w:rsidR="00197BB4" w:rsidRDefault="00197BB4" w:rsidP="006E3369">
      <w:pPr>
        <w:autoSpaceDE w:val="0"/>
        <w:autoSpaceDN w:val="0"/>
        <w:adjustRightInd w:val="0"/>
        <w:spacing w:after="0"/>
        <w:ind w:firstLine="720"/>
        <w:rPr>
          <w:rFonts w:ascii="_‡ ˛" w:hAnsi="_‡ ˛" w:cs="_‡ ˛"/>
          <w:color w:val="000000"/>
          <w:sz w:val="19"/>
          <w:szCs w:val="19"/>
          <w:lang w:val="en-GB"/>
        </w:rPr>
      </w:pPr>
      <w:r>
        <w:rPr>
          <w:rFonts w:ascii="_‡ ˛" w:hAnsi="_‡ ˛" w:cs="_‡ ˛"/>
          <w:color w:val="000000"/>
          <w:sz w:val="19"/>
          <w:szCs w:val="19"/>
          <w:lang w:val="en-GB"/>
        </w:rPr>
        <w:t>Sponsor: Thermo Fisher Scientific Australia Pty Ltd</w:t>
      </w:r>
    </w:p>
    <w:p w14:paraId="56107F71" w14:textId="12FD3345" w:rsidR="00197BB4" w:rsidRDefault="00197BB4" w:rsidP="008643FC">
      <w:pPr>
        <w:autoSpaceDE w:val="0"/>
        <w:autoSpaceDN w:val="0"/>
        <w:adjustRightInd w:val="0"/>
        <w:spacing w:after="360"/>
        <w:ind w:firstLine="72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Microgenics</w:t>
      </w:r>
      <w:proofErr w:type="spellEnd"/>
      <w:r>
        <w:rPr>
          <w:rFonts w:ascii="_‡ ˛" w:hAnsi="_‡ ˛" w:cs="_‡ ˛"/>
          <w:color w:val="000000"/>
          <w:sz w:val="19"/>
          <w:szCs w:val="19"/>
          <w:lang w:val="en-GB"/>
        </w:rPr>
        <w:t xml:space="preserve"> Corporation</w:t>
      </w:r>
    </w:p>
    <w:p w14:paraId="7739E0B9" w14:textId="77777777" w:rsidR="00197BB4" w:rsidRDefault="00197BB4" w:rsidP="006E3369">
      <w:pPr>
        <w:spacing w:after="0"/>
        <w:ind w:firstLine="720"/>
        <w:rPr>
          <w:rFonts w:ascii="_‡ ˛" w:hAnsi="_‡ ˛" w:cs="_‡ ˛"/>
          <w:color w:val="000000"/>
          <w:sz w:val="19"/>
          <w:szCs w:val="19"/>
          <w:lang w:val="en-GB"/>
        </w:rPr>
      </w:pPr>
      <w:r>
        <w:rPr>
          <w:rFonts w:ascii="_‡ ˛" w:hAnsi="_‡ ˛" w:cs="_‡ ˛"/>
          <w:color w:val="000000"/>
          <w:sz w:val="19"/>
          <w:szCs w:val="19"/>
          <w:lang w:val="en-GB"/>
        </w:rPr>
        <w:t>Illumina Australia Pty Ltd – Human genetics-related IVDs</w:t>
      </w:r>
    </w:p>
    <w:p w14:paraId="026F05DB" w14:textId="77777777" w:rsidR="00197BB4" w:rsidRDefault="00197BB4" w:rsidP="006E3369">
      <w:pPr>
        <w:spacing w:after="0"/>
        <w:ind w:firstLine="720"/>
        <w:rPr>
          <w:rFonts w:ascii="_‡ ˛" w:hAnsi="_‡ ˛" w:cs="_‡ ˛"/>
          <w:color w:val="000000"/>
          <w:sz w:val="19"/>
          <w:szCs w:val="19"/>
          <w:lang w:val="en-GB"/>
        </w:rPr>
      </w:pPr>
      <w:r>
        <w:rPr>
          <w:rFonts w:ascii="_‡ ˛" w:hAnsi="_‡ ˛" w:cs="_‡ ˛"/>
          <w:color w:val="000000"/>
          <w:sz w:val="19"/>
          <w:szCs w:val="19"/>
          <w:lang w:val="en-GB"/>
        </w:rPr>
        <w:t>ARTG ID: 297844</w:t>
      </w:r>
    </w:p>
    <w:p w14:paraId="784064B8" w14:textId="77777777" w:rsidR="00197BB4" w:rsidRDefault="00197BB4" w:rsidP="006E3369">
      <w:pPr>
        <w:spacing w:after="0"/>
        <w:ind w:firstLine="720"/>
        <w:rPr>
          <w:rFonts w:ascii="_‡ ˛" w:hAnsi="_‡ ˛" w:cs="_‡ ˛"/>
          <w:color w:val="000000"/>
          <w:sz w:val="19"/>
          <w:szCs w:val="19"/>
          <w:lang w:val="en-GB"/>
        </w:rPr>
      </w:pPr>
      <w:r>
        <w:rPr>
          <w:rFonts w:ascii="_‡ ˛" w:hAnsi="_‡ ˛" w:cs="_‡ ˛"/>
          <w:color w:val="000000"/>
          <w:sz w:val="19"/>
          <w:szCs w:val="19"/>
          <w:lang w:val="en-GB"/>
        </w:rPr>
        <w:t>Product name: Human genetics related IVDs</w:t>
      </w:r>
    </w:p>
    <w:p w14:paraId="5964CF98" w14:textId="77777777" w:rsidR="00197BB4" w:rsidRDefault="00197BB4" w:rsidP="006E3369">
      <w:pPr>
        <w:spacing w:after="0"/>
        <w:ind w:firstLine="720"/>
        <w:rPr>
          <w:rFonts w:ascii="_‡ ˛" w:hAnsi="_‡ ˛" w:cs="_‡ ˛"/>
          <w:color w:val="000000"/>
          <w:sz w:val="19"/>
          <w:szCs w:val="19"/>
          <w:lang w:val="en-GB"/>
        </w:rPr>
      </w:pPr>
      <w:r>
        <w:rPr>
          <w:rFonts w:ascii="_‡ ˛" w:hAnsi="_‡ ˛" w:cs="_‡ ˛"/>
          <w:color w:val="000000"/>
          <w:sz w:val="19"/>
          <w:szCs w:val="19"/>
          <w:lang w:val="en-GB"/>
        </w:rPr>
        <w:t>Sponsor: Illumina Australia Pty Ltd</w:t>
      </w:r>
    </w:p>
    <w:p w14:paraId="3107E7E7" w14:textId="3772FF0D" w:rsidR="00F036BF" w:rsidRDefault="00197BB4" w:rsidP="009A20EA">
      <w:pPr>
        <w:ind w:firstLine="720"/>
        <w:rPr>
          <w:rFonts w:ascii="_‡ ˛" w:hAnsi="_‡ ˛" w:cs="_‡ ˛"/>
          <w:color w:val="000000"/>
          <w:sz w:val="19"/>
          <w:szCs w:val="19"/>
          <w:lang w:val="en-GB"/>
        </w:rPr>
      </w:pPr>
      <w:r>
        <w:rPr>
          <w:rFonts w:ascii="_‡ ˛" w:hAnsi="_‡ ˛" w:cs="_‡ ˛"/>
          <w:color w:val="000000"/>
          <w:sz w:val="19"/>
          <w:szCs w:val="19"/>
          <w:lang w:val="en-GB"/>
        </w:rPr>
        <w:t>Manufacturer: Illumina Inc</w:t>
      </w:r>
    </w:p>
    <w:p w14:paraId="682442AC" w14:textId="32BDFD4E" w:rsidR="00E132A3" w:rsidRPr="00F036BF" w:rsidRDefault="00B7433A" w:rsidP="00F036BF">
      <w:pPr>
        <w:pStyle w:val="Heading5"/>
        <w:rPr>
          <w:rFonts w:asciiTheme="minorHAnsi" w:hAnsiTheme="minorHAnsi" w:cstheme="minorHAnsi"/>
          <w:color w:val="auto"/>
        </w:rPr>
      </w:pPr>
      <w:r>
        <w:rPr>
          <w:rFonts w:asciiTheme="minorHAnsi" w:hAnsiTheme="minorHAnsi" w:cstheme="minorHAnsi"/>
          <w:color w:val="auto"/>
        </w:rPr>
        <w:t>Clinical utility</w:t>
      </w:r>
      <w:r w:rsidR="00E132A3" w:rsidRPr="00C26DAA">
        <w:rPr>
          <w:rFonts w:asciiTheme="minorHAnsi" w:hAnsiTheme="minorHAnsi" w:cstheme="minorHAnsi"/>
          <w:color w:val="auto"/>
        </w:rPr>
        <w:t xml:space="preserve"> standard</w:t>
      </w:r>
      <w:r w:rsidR="0092372D" w:rsidRPr="00C26DAA">
        <w:rPr>
          <w:rFonts w:asciiTheme="minorHAnsi" w:hAnsiTheme="minorHAnsi" w:cstheme="minorHAnsi"/>
          <w:color w:val="auto"/>
        </w:rPr>
        <w:t>:</w:t>
      </w:r>
    </w:p>
    <w:p w14:paraId="4C5EE510" w14:textId="0C4A2DFB" w:rsidR="0092372D" w:rsidRDefault="00F65892" w:rsidP="00C00B6A">
      <w:pPr>
        <w:jc w:val="both"/>
      </w:pPr>
      <w:r>
        <w:t xml:space="preserve">The </w:t>
      </w:r>
      <w:proofErr w:type="spellStart"/>
      <w:r w:rsidR="0092372D" w:rsidRPr="0092372D">
        <w:rPr>
          <w:i/>
        </w:rPr>
        <w:t>Therascreen</w:t>
      </w:r>
      <w:proofErr w:type="spellEnd"/>
      <w:r w:rsidR="0092372D" w:rsidRPr="0092372D">
        <w:t xml:space="preserve">® </w:t>
      </w:r>
      <w:r w:rsidR="00A97034" w:rsidRPr="00A97034">
        <w:rPr>
          <w:i/>
        </w:rPr>
        <w:t>KRAS</w:t>
      </w:r>
      <w:r w:rsidR="0092372D" w:rsidRPr="0092372D">
        <w:t xml:space="preserve"> RGQ (Rotor-Gene Q) PCR Kit</w:t>
      </w:r>
      <w:r w:rsidR="0092372D">
        <w:t xml:space="preserve"> manufactured by Qiagen </w:t>
      </w:r>
      <w:r>
        <w:t xml:space="preserve">is </w:t>
      </w:r>
      <w:r w:rsidR="0092372D">
        <w:t xml:space="preserve">the </w:t>
      </w:r>
      <w:r w:rsidR="00B7433A">
        <w:t>clinical utility</w:t>
      </w:r>
      <w:r w:rsidR="0092372D">
        <w:t xml:space="preserve"> standard</w:t>
      </w:r>
      <w:r>
        <w:t xml:space="preserve"> (used in the key trial demonstrating the clinical utility of </w:t>
      </w:r>
      <w:r w:rsidR="00A97034" w:rsidRPr="00A97034">
        <w:rPr>
          <w:i/>
        </w:rPr>
        <w:t>KRAS</w:t>
      </w:r>
      <w:r w:rsidR="00A97034" w:rsidRPr="00A97034">
        <w:t xml:space="preserve"> G12C</w:t>
      </w:r>
      <w:r>
        <w:rPr>
          <w:i/>
        </w:rPr>
        <w:t xml:space="preserve"> </w:t>
      </w:r>
      <w:r>
        <w:t>testing and treatment with sotorasib)</w:t>
      </w:r>
      <w:r w:rsidR="0092372D">
        <w:t xml:space="preserve">. </w:t>
      </w:r>
      <w:r w:rsidR="00830F5E">
        <w:t xml:space="preserve">The </w:t>
      </w:r>
      <w:proofErr w:type="spellStart"/>
      <w:r w:rsidR="00830F5E" w:rsidRPr="00F54101">
        <w:rPr>
          <w:i/>
        </w:rPr>
        <w:t>Therascreen</w:t>
      </w:r>
      <w:proofErr w:type="spellEnd"/>
      <w:r w:rsidR="00830F5E">
        <w:rPr>
          <w:i/>
        </w:rPr>
        <w:t>®</w:t>
      </w:r>
      <w:r w:rsidR="00830F5E" w:rsidRPr="00F54101">
        <w:rPr>
          <w:i/>
        </w:rPr>
        <w:t xml:space="preserve"> </w:t>
      </w:r>
      <w:r w:rsidR="00830F5E">
        <w:t xml:space="preserve">kit uses DNA extracted from </w:t>
      </w:r>
      <w:r w:rsidR="00830F5E" w:rsidRPr="0038413C">
        <w:t>formalin</w:t>
      </w:r>
      <w:r w:rsidR="00830F5E">
        <w:t>-</w:t>
      </w:r>
      <w:r w:rsidR="00830F5E" w:rsidRPr="0038413C">
        <w:t>fixed paraffin embedded (FFPE) tumour biopsy samples</w:t>
      </w:r>
      <w:r w:rsidR="00830F5E">
        <w:t xml:space="preserve">. </w:t>
      </w:r>
      <w:r w:rsidR="0092372D">
        <w:t xml:space="preserve">However, </w:t>
      </w:r>
      <w:r>
        <w:t xml:space="preserve">the </w:t>
      </w:r>
      <w:proofErr w:type="spellStart"/>
      <w:r>
        <w:rPr>
          <w:i/>
        </w:rPr>
        <w:t>Therascreen</w:t>
      </w:r>
      <w:proofErr w:type="spellEnd"/>
      <w:r>
        <w:rPr>
          <w:i/>
        </w:rPr>
        <w:t xml:space="preserve">® </w:t>
      </w:r>
      <w:r>
        <w:t xml:space="preserve">kit </w:t>
      </w:r>
      <w:r w:rsidR="0092372D">
        <w:t xml:space="preserve">is not yet registered as a companion </w:t>
      </w:r>
      <w:r w:rsidR="0092372D" w:rsidRPr="0092372D">
        <w:t>diagnostic test for sotorasib in NSCLC</w:t>
      </w:r>
      <w:r w:rsidR="0008289A">
        <w:t>. The</w:t>
      </w:r>
      <w:r w:rsidR="0092372D" w:rsidRPr="0092372D">
        <w:t xml:space="preserve"> applicant </w:t>
      </w:r>
      <w:r w:rsidR="004B2B61">
        <w:t xml:space="preserve">confirmed that a regulatory application for the </w:t>
      </w:r>
      <w:proofErr w:type="spellStart"/>
      <w:r w:rsidR="004B2B61" w:rsidRPr="0092372D">
        <w:rPr>
          <w:i/>
        </w:rPr>
        <w:t>Therascreen</w:t>
      </w:r>
      <w:proofErr w:type="spellEnd"/>
      <w:r w:rsidR="004B2B61" w:rsidRPr="0092372D">
        <w:t xml:space="preserve">® </w:t>
      </w:r>
      <w:r w:rsidR="00A97034" w:rsidRPr="00A97034">
        <w:rPr>
          <w:i/>
        </w:rPr>
        <w:t>KRAS</w:t>
      </w:r>
      <w:r w:rsidR="004B2B61" w:rsidRPr="0092372D">
        <w:t xml:space="preserve"> RGQ (Rotor-Gene Q) PCR Kit</w:t>
      </w:r>
      <w:r w:rsidR="004B2B61">
        <w:t xml:space="preserve"> was submitted to the TGA in May 2021</w:t>
      </w:r>
      <w:r w:rsidR="0092372D" w:rsidRPr="0092372D">
        <w:t xml:space="preserve"> as a companion diagnostic test to aid clinicians in the identification of NSCLC cancer patients who may be eligible for treatment with sotorasib, based on a positive </w:t>
      </w:r>
      <w:r w:rsidR="00A97034" w:rsidRPr="00A97034">
        <w:rPr>
          <w:i/>
        </w:rPr>
        <w:t>KRAS</w:t>
      </w:r>
      <w:r w:rsidR="00A97034" w:rsidRPr="00A97034">
        <w:t xml:space="preserve"> G12C</w:t>
      </w:r>
      <w:r w:rsidR="0092372D" w:rsidRPr="0092372D">
        <w:t xml:space="preserve"> pathogenic variant result.</w:t>
      </w:r>
      <w:r w:rsidR="002C4A67" w:rsidRPr="00C92E98">
        <w:rPr>
          <w:i/>
          <w:iCs/>
        </w:rPr>
        <w:t xml:space="preserve"> However, </w:t>
      </w:r>
      <w:r w:rsidR="00946478" w:rsidRPr="00C92E98">
        <w:rPr>
          <w:i/>
          <w:iCs/>
        </w:rPr>
        <w:t>PASC</w:t>
      </w:r>
      <w:r w:rsidR="002C4A67" w:rsidRPr="00C92E98">
        <w:rPr>
          <w:i/>
          <w:iCs/>
        </w:rPr>
        <w:t xml:space="preserve"> confirmed that, although </w:t>
      </w:r>
      <w:proofErr w:type="spellStart"/>
      <w:r w:rsidR="002C4A67" w:rsidRPr="00C92E98">
        <w:rPr>
          <w:i/>
          <w:iCs/>
        </w:rPr>
        <w:t>Therascreen</w:t>
      </w:r>
      <w:proofErr w:type="spellEnd"/>
      <w:r w:rsidR="002C4A67" w:rsidRPr="00C92E98">
        <w:rPr>
          <w:i/>
          <w:iCs/>
        </w:rPr>
        <w:t>® is the clinical utility standard, other test options are available to be used in Australia.</w:t>
      </w:r>
    </w:p>
    <w:p w14:paraId="58DC1934" w14:textId="3260F334" w:rsidR="0092372D" w:rsidRPr="00C26DAA" w:rsidRDefault="0092372D" w:rsidP="00C26DAA">
      <w:pPr>
        <w:pStyle w:val="Heading5"/>
        <w:rPr>
          <w:rFonts w:asciiTheme="minorHAnsi" w:hAnsiTheme="minorHAnsi" w:cstheme="minorHAnsi"/>
          <w:color w:val="auto"/>
        </w:rPr>
      </w:pPr>
      <w:r w:rsidRPr="00C26DAA">
        <w:rPr>
          <w:rFonts w:asciiTheme="minorHAnsi" w:hAnsiTheme="minorHAnsi" w:cstheme="minorHAnsi"/>
          <w:color w:val="auto"/>
        </w:rPr>
        <w:t>Health professionals:</w:t>
      </w:r>
    </w:p>
    <w:p w14:paraId="73232CB2" w14:textId="48315F12" w:rsidR="00F65892" w:rsidRPr="00970C45" w:rsidRDefault="002E7D15" w:rsidP="00970C45">
      <w:pPr>
        <w:jc w:val="both"/>
      </w:pPr>
      <w:r>
        <w:t xml:space="preserve">The </w:t>
      </w:r>
      <w:r w:rsidR="00D709F1">
        <w:t>request</w:t>
      </w:r>
      <w:r>
        <w:t xml:space="preserve"> for the proposed testing would come from patient’s treating clinician prior to the initiation of therapy. Medical oncologists and thoracic physicians are the most likely </w:t>
      </w:r>
      <w:r w:rsidR="003A2D3A">
        <w:t>specialist</w:t>
      </w:r>
      <w:r w:rsidR="00BD2CCB">
        <w:t>s</w:t>
      </w:r>
      <w:r w:rsidR="003A2D3A">
        <w:t xml:space="preserve"> or consultant physicians</w:t>
      </w:r>
      <w:r w:rsidR="00D709F1">
        <w:t xml:space="preserve"> requesting for the test. </w:t>
      </w:r>
      <w:r w:rsidR="00970C45">
        <w:t>However,</w:t>
      </w:r>
      <w:r w:rsidR="00D84D4E">
        <w:t xml:space="preserve"> as testing is proposed to be conducted at diagnosis</w:t>
      </w:r>
      <w:r w:rsidR="00CB604B">
        <w:t xml:space="preserve"> along with </w:t>
      </w:r>
      <w:r w:rsidR="00CB604B">
        <w:rPr>
          <w:i/>
        </w:rPr>
        <w:t>EGFR</w:t>
      </w:r>
      <w:r w:rsidR="00CB604B">
        <w:t xml:space="preserve"> testing</w:t>
      </w:r>
      <w:r w:rsidR="00D84D4E">
        <w:t>,</w:t>
      </w:r>
      <w:r w:rsidR="00970C45">
        <w:t xml:space="preserve"> </w:t>
      </w:r>
      <w:r w:rsidR="00A97034" w:rsidRPr="00A97034">
        <w:rPr>
          <w:i/>
        </w:rPr>
        <w:t>KRAS</w:t>
      </w:r>
      <w:r w:rsidR="00970C45">
        <w:rPr>
          <w:i/>
        </w:rPr>
        <w:t xml:space="preserve"> </w:t>
      </w:r>
      <w:r w:rsidR="00970C45">
        <w:t>testing should also be pathologist determinable</w:t>
      </w:r>
      <w:r w:rsidR="00CB604B">
        <w:t xml:space="preserve"> (since the biopsy is usually submitted to make a diagnosis of malignancy)</w:t>
      </w:r>
      <w:r w:rsidR="006E3369">
        <w:t>.</w:t>
      </w:r>
    </w:p>
    <w:p w14:paraId="5E94FD90" w14:textId="27E4900C" w:rsidR="002E7D15" w:rsidRDefault="00D709F1" w:rsidP="00C00B6A">
      <w:pPr>
        <w:jc w:val="both"/>
      </w:pPr>
      <w:r>
        <w:t>Both PCR-based and NGS assays w</w:t>
      </w:r>
      <w:r w:rsidR="00BD2CCB">
        <w:t>ould</w:t>
      </w:r>
      <w:r>
        <w:t xml:space="preserve"> be conducted by </w:t>
      </w:r>
      <w:r w:rsidRPr="000F5EB0">
        <w:t>pathologist</w:t>
      </w:r>
      <w:r>
        <w:t>s and laboratory technicians (Approved Pathology Practitioners in Accredited Pathology Laboratories as defined in the MBS Pathology table)</w:t>
      </w:r>
      <w:r w:rsidRPr="000F5EB0">
        <w:t xml:space="preserve">, with results of </w:t>
      </w:r>
      <w:r>
        <w:t xml:space="preserve">testing </w:t>
      </w:r>
      <w:r w:rsidRPr="000F5EB0">
        <w:t>being reported back to the treating clinician to guide treatment selection.</w:t>
      </w:r>
    </w:p>
    <w:p w14:paraId="47FF26B9" w14:textId="08378F9F" w:rsidR="00296796" w:rsidRPr="00C26DAA" w:rsidRDefault="00296796" w:rsidP="00C26DAA">
      <w:pPr>
        <w:pStyle w:val="Heading5"/>
        <w:rPr>
          <w:rFonts w:asciiTheme="minorHAnsi" w:hAnsiTheme="minorHAnsi" w:cstheme="minorHAnsi"/>
          <w:color w:val="auto"/>
        </w:rPr>
      </w:pPr>
      <w:r w:rsidRPr="00C26DAA">
        <w:rPr>
          <w:rFonts w:asciiTheme="minorHAnsi" w:hAnsiTheme="minorHAnsi" w:cstheme="minorHAnsi"/>
          <w:color w:val="auto"/>
        </w:rPr>
        <w:t>Frequency of test:</w:t>
      </w:r>
    </w:p>
    <w:p w14:paraId="1B0EADAD" w14:textId="305D7A57" w:rsidR="000F27B3" w:rsidRDefault="00391587" w:rsidP="00C00B6A">
      <w:pPr>
        <w:jc w:val="both"/>
      </w:pPr>
      <w:r>
        <w:t xml:space="preserve">Most of the NSCLC patients would require only one </w:t>
      </w:r>
      <w:r w:rsidR="00A97034" w:rsidRPr="00A97034">
        <w:rPr>
          <w:i/>
        </w:rPr>
        <w:t>KRAS</w:t>
      </w:r>
      <w:r w:rsidR="00A97034" w:rsidRPr="00A97034">
        <w:t xml:space="preserve"> G12C</w:t>
      </w:r>
      <w:r>
        <w:t xml:space="preserve"> testing in their lifetime because </w:t>
      </w:r>
      <w:r w:rsidR="00A97034" w:rsidRPr="00A97034">
        <w:rPr>
          <w:i/>
        </w:rPr>
        <w:t>KRAS</w:t>
      </w:r>
      <w:r w:rsidRPr="00642F74">
        <w:rPr>
          <w:i/>
        </w:rPr>
        <w:t xml:space="preserve"> </w:t>
      </w:r>
      <w:r>
        <w:t xml:space="preserve">pathogenic variants are known to be stable over time. </w:t>
      </w:r>
      <w:r w:rsidR="005D773B">
        <w:t xml:space="preserve">However, re-testing may be required in a small group of patients if </w:t>
      </w:r>
      <w:r w:rsidR="00BD2CCB">
        <w:t xml:space="preserve">initial </w:t>
      </w:r>
      <w:r w:rsidR="005D773B">
        <w:t>DNA testing is inconclusive.</w:t>
      </w:r>
      <w:r w:rsidR="00114DA4">
        <w:t xml:space="preserve"> </w:t>
      </w:r>
      <w:r w:rsidR="00FB4CF3">
        <w:t>In another small group of patients, r</w:t>
      </w:r>
      <w:r w:rsidR="00CB1475">
        <w:t>e-biop</w:t>
      </w:r>
      <w:r w:rsidR="007E3468">
        <w:t>s</w:t>
      </w:r>
      <w:r w:rsidR="00CB1475">
        <w:t xml:space="preserve">y might be required </w:t>
      </w:r>
      <w:r w:rsidR="00114DA4">
        <w:t xml:space="preserve">if </w:t>
      </w:r>
      <w:r w:rsidR="007E3468">
        <w:t xml:space="preserve">there is </w:t>
      </w:r>
      <w:r w:rsidR="00114DA4" w:rsidRPr="00E43FEB">
        <w:t>inadequate tissue</w:t>
      </w:r>
      <w:r w:rsidR="00114DA4">
        <w:t xml:space="preserve"> </w:t>
      </w:r>
      <w:r w:rsidR="007E3468">
        <w:t xml:space="preserve">remaining </w:t>
      </w:r>
      <w:r w:rsidR="00114DA4">
        <w:t xml:space="preserve">for </w:t>
      </w:r>
      <w:r w:rsidR="007E3468" w:rsidRPr="00A97034">
        <w:rPr>
          <w:i/>
        </w:rPr>
        <w:t>KRAS</w:t>
      </w:r>
      <w:r w:rsidR="007E3468" w:rsidRPr="00A97034">
        <w:t xml:space="preserve"> G12C</w:t>
      </w:r>
      <w:r w:rsidR="007E3468">
        <w:t xml:space="preserve"> </w:t>
      </w:r>
      <w:r w:rsidR="00114DA4">
        <w:t>testing (with associated costs and clinical risks).</w:t>
      </w:r>
    </w:p>
    <w:p w14:paraId="3D3F783D" w14:textId="168F9882" w:rsidR="00B11146" w:rsidRPr="00C26DAA" w:rsidRDefault="00B11146" w:rsidP="00C26DAA">
      <w:pPr>
        <w:pStyle w:val="Heading4"/>
        <w:jc w:val="both"/>
        <w:rPr>
          <w:rFonts w:ascii="Calibri" w:hAnsi="Calibri" w:cs="Calibri"/>
          <w:color w:val="auto"/>
          <w:u w:val="single"/>
        </w:rPr>
      </w:pPr>
      <w:r w:rsidRPr="00C26DAA">
        <w:rPr>
          <w:rFonts w:ascii="Calibri" w:hAnsi="Calibri" w:cs="Calibri"/>
          <w:color w:val="auto"/>
          <w:u w:val="single"/>
        </w:rPr>
        <w:t>Drug:</w:t>
      </w:r>
    </w:p>
    <w:p w14:paraId="2152ABAE" w14:textId="7F5B5650" w:rsidR="00A437EB" w:rsidRDefault="002F3AE0" w:rsidP="00C00B6A">
      <w:pPr>
        <w:jc w:val="both"/>
      </w:pPr>
      <w:r>
        <w:t xml:space="preserve">The proposed testing </w:t>
      </w:r>
      <w:r w:rsidR="002E6477">
        <w:t xml:space="preserve">is to </w:t>
      </w:r>
      <w:r w:rsidR="00BD2CCB">
        <w:t xml:space="preserve">help </w:t>
      </w:r>
      <w:r w:rsidR="002E6477">
        <w:t>determine</w:t>
      </w:r>
      <w:r>
        <w:t xml:space="preserve"> eligibility for second-line therapy with sotorasib</w:t>
      </w:r>
      <w:r w:rsidR="002E6477">
        <w:t xml:space="preserve"> in </w:t>
      </w:r>
      <w:r w:rsidR="00BD2CCB">
        <w:t>patients</w:t>
      </w:r>
      <w:r w:rsidR="002E6477">
        <w:t xml:space="preserve"> diagnosed with advanced or metastatic non-squamous/NOS histology NSCLC and identified to be positive for </w:t>
      </w:r>
      <w:r w:rsidR="00A97034" w:rsidRPr="00A97034">
        <w:rPr>
          <w:i/>
        </w:rPr>
        <w:t>KRAS</w:t>
      </w:r>
      <w:r w:rsidR="00A97034" w:rsidRPr="00A97034">
        <w:t xml:space="preserve"> G12C</w:t>
      </w:r>
      <w:r w:rsidR="002E6477">
        <w:t xml:space="preserve"> variant</w:t>
      </w:r>
      <w:r>
        <w:t xml:space="preserve">. </w:t>
      </w:r>
      <w:r w:rsidR="002E6477">
        <w:t xml:space="preserve">Therefore, the intervention drug is sotorasib in those found to be positive for </w:t>
      </w:r>
      <w:r w:rsidR="00A97034" w:rsidRPr="00A97034">
        <w:rPr>
          <w:i/>
        </w:rPr>
        <w:t>KRAS</w:t>
      </w:r>
      <w:r w:rsidR="00A97034" w:rsidRPr="00A97034">
        <w:t xml:space="preserve"> G12C</w:t>
      </w:r>
      <w:r w:rsidR="00234CAC">
        <w:t xml:space="preserve"> </w:t>
      </w:r>
      <w:r w:rsidR="002E6477">
        <w:t xml:space="preserve">and </w:t>
      </w:r>
      <w:r w:rsidR="00070887">
        <w:t>standard of care (</w:t>
      </w:r>
      <w:r w:rsidR="00234CAC">
        <w:t>docetaxel</w:t>
      </w:r>
      <w:r w:rsidR="00070887">
        <w:t>)</w:t>
      </w:r>
      <w:r w:rsidR="006E3369">
        <w:t xml:space="preserve"> in those found to be negative.</w:t>
      </w:r>
    </w:p>
    <w:p w14:paraId="1DDA5E3D" w14:textId="5C435F88" w:rsidR="002F3AE0" w:rsidRDefault="002F3AE0" w:rsidP="00C00B6A">
      <w:pPr>
        <w:jc w:val="both"/>
      </w:pPr>
      <w:r>
        <w:lastRenderedPageBreak/>
        <w:t xml:space="preserve">Sotorasib </w:t>
      </w:r>
      <w:r w:rsidR="0090096F">
        <w:t>specifically and irreversibly inhibits</w:t>
      </w:r>
      <w:r>
        <w:t xml:space="preserve"> </w:t>
      </w:r>
      <w:r w:rsidR="00A97034" w:rsidRPr="00A97034">
        <w:rPr>
          <w:i/>
        </w:rPr>
        <w:t>KRAS</w:t>
      </w:r>
      <w:r w:rsidR="00A97034" w:rsidRPr="00A97034">
        <w:t xml:space="preserve"> G12C</w:t>
      </w:r>
      <w:r w:rsidR="0090096F">
        <w:rPr>
          <w:i/>
        </w:rPr>
        <w:t xml:space="preserve"> </w:t>
      </w:r>
      <w:r w:rsidR="0090096F">
        <w:t xml:space="preserve">by trapping it in the inactive GDP-bound state </w:t>
      </w:r>
      <w:r w:rsidR="00DB6304">
        <w:fldChar w:fldCharType="begin">
          <w:fldData xml:space="preserve">PEVuZE5vdGU+PENpdGU+PEF1dGhvcj5Ib25nPC9BdXRob3I+PFllYXI+MjAyMDwvWWVhcj48UmVj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YWw+PHBhZ2VzPjEyMDctMTIxNzwvcGFnZXM+PHZvbHVtZT4zODM8L3ZvbHVtZT48bnVtYmVyPjEz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</w:fldData>
        </w:fldChar>
      </w:r>
      <w:r w:rsidR="00DB6304">
        <w:instrText xml:space="preserve"> ADDIN EN.CITE </w:instrText>
      </w:r>
      <w:r w:rsidR="00DB6304">
        <w:fldChar w:fldCharType="begin">
          <w:fldData xml:space="preserve">PEVuZE5vdGU+PENpdGU+PEF1dGhvcj5Ib25nPC9BdXRob3I+PFllYXI+MjAyMDwvWWVhcj48UmVj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YWw+PHBhZ2VzPjEyMDctMTIxNzwvcGFnZXM+PHZvbHVtZT4zODM8L3ZvbHVtZT48bnVtYmVyPjEz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</w:fldData>
        </w:fldChar>
      </w:r>
      <w:r w:rsidR="00DB6304">
        <w:instrText xml:space="preserve"> ADDIN EN.CITE.DATA </w:instrText>
      </w:r>
      <w:r w:rsidR="00DB6304">
        <w:fldChar w:fldCharType="end"/>
      </w:r>
      <w:r w:rsidR="00DB6304">
        <w:fldChar w:fldCharType="separate"/>
      </w:r>
      <w:r w:rsidR="00DB6304">
        <w:rPr>
          <w:noProof/>
        </w:rPr>
        <w:t>(Hong et al. 2020)</w:t>
      </w:r>
      <w:r w:rsidR="00DB6304">
        <w:fldChar w:fldCharType="end"/>
      </w:r>
      <w:r w:rsidR="0090096F">
        <w:t xml:space="preserve">. </w:t>
      </w:r>
      <w:r w:rsidR="00F23C55">
        <w:t>Phase 1 trials of sotorasib were conducted in patients with advanced solid tumo</w:t>
      </w:r>
      <w:r w:rsidR="00970C45">
        <w:t>u</w:t>
      </w:r>
      <w:r w:rsidR="00F23C55">
        <w:t>rs identified to have</w:t>
      </w:r>
      <w:r w:rsidR="00970C45">
        <w:t xml:space="preserve"> a</w:t>
      </w:r>
      <w:r w:rsidR="00F23C55">
        <w:t xml:space="preserve"> </w:t>
      </w:r>
      <w:r w:rsidR="00A97034" w:rsidRPr="00A97034">
        <w:rPr>
          <w:i/>
        </w:rPr>
        <w:t>KRAS</w:t>
      </w:r>
      <w:r w:rsidR="00A97034" w:rsidRPr="00A97034">
        <w:t xml:space="preserve"> G12C</w:t>
      </w:r>
      <w:r w:rsidR="00F23C55" w:rsidRPr="00F23C55">
        <w:rPr>
          <w:i/>
        </w:rPr>
        <w:t xml:space="preserve"> </w:t>
      </w:r>
      <w:r w:rsidR="00F23C55">
        <w:t>variant. Phase 1 trials showed promising anticancer activity among patients with heavily pre-treated advanced solid tumo</w:t>
      </w:r>
      <w:r w:rsidR="00970C45">
        <w:t>u</w:t>
      </w:r>
      <w:r w:rsidR="00F23C55">
        <w:t xml:space="preserve">rs </w:t>
      </w:r>
      <w:r w:rsidR="00DB6304">
        <w:fldChar w:fldCharType="begin">
          <w:fldData xml:space="preserve">PEVuZE5vdGU+PENpdGU+PEF1dGhvcj5Ib25nPC9BdXRob3I+PFllYXI+MjAyMDwvWWVhcj48UmVj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YWw+PHBhZ2VzPjEyMDctMTIxNzwvcGFnZXM+PHZvbHVtZT4zODM8L3ZvbHVtZT48bnVtYmVyPjEz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</w:fldData>
        </w:fldChar>
      </w:r>
      <w:r w:rsidR="00DB6304">
        <w:instrText xml:space="preserve"> ADDIN EN.CITE </w:instrText>
      </w:r>
      <w:r w:rsidR="00DB6304">
        <w:fldChar w:fldCharType="begin">
          <w:fldData xml:space="preserve">PEVuZE5vdGU+PENpdGU+PEF1dGhvcj5Ib25nPC9BdXRob3I+PFllYXI+MjAyMDwvWWVhcj48UmVj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YWw+PHBhZ2VzPjEyMDctMTIxNzwvcGFnZXM+PHZvbHVtZT4zODM8L3ZvbHVtZT48bnVtYmVyPjEz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</w:fldData>
        </w:fldChar>
      </w:r>
      <w:r w:rsidR="00DB6304">
        <w:instrText xml:space="preserve"> ADDIN EN.CITE.DATA </w:instrText>
      </w:r>
      <w:r w:rsidR="00DB6304">
        <w:fldChar w:fldCharType="end"/>
      </w:r>
      <w:r w:rsidR="00DB6304">
        <w:fldChar w:fldCharType="separate"/>
      </w:r>
      <w:r w:rsidR="00DB6304">
        <w:rPr>
          <w:noProof/>
        </w:rPr>
        <w:t>(Hong et al. 2020)</w:t>
      </w:r>
      <w:r w:rsidR="00DB6304">
        <w:fldChar w:fldCharType="end"/>
      </w:r>
      <w:r w:rsidR="00F23C55">
        <w:t>. About 11% of patients were found to have grade 3 or 4 treatment-related adverse effects.</w:t>
      </w:r>
    </w:p>
    <w:p w14:paraId="67662DB7" w14:textId="7699AA09" w:rsidR="00B642BC" w:rsidRPr="000475A1" w:rsidRDefault="00B642BC" w:rsidP="00C00B6A">
      <w:pPr>
        <w:jc w:val="both"/>
      </w:pPr>
      <w:r>
        <w:t>The applicant claim</w:t>
      </w:r>
      <w:r w:rsidR="00BD2CCB">
        <w:t>ed</w:t>
      </w:r>
      <w:r>
        <w:t xml:space="preserve"> that use of </w:t>
      </w:r>
      <w:r w:rsidR="00A97034" w:rsidRPr="00A97034">
        <w:rPr>
          <w:i/>
        </w:rPr>
        <w:t>KRAS</w:t>
      </w:r>
      <w:r w:rsidR="00A97034" w:rsidRPr="00A97034">
        <w:t xml:space="preserve"> G12C</w:t>
      </w:r>
      <w:r>
        <w:t xml:space="preserve"> testing and access to sotorasib will not change the use of first-line treatments for locally advanced or metastatic non-squamous or NOS NSCLC in patients without </w:t>
      </w:r>
      <w:r>
        <w:rPr>
          <w:i/>
        </w:rPr>
        <w:t>EGFR</w:t>
      </w:r>
      <w:r>
        <w:t xml:space="preserve"> variants (immunotherapy ± chemotherapy).</w:t>
      </w:r>
    </w:p>
    <w:p w14:paraId="0558E59A" w14:textId="708FF81D" w:rsidR="00B11146" w:rsidRPr="00C26DAA" w:rsidRDefault="002F3AE0" w:rsidP="00C26DAA">
      <w:pPr>
        <w:pStyle w:val="Heading5"/>
        <w:rPr>
          <w:rFonts w:asciiTheme="minorHAnsi" w:hAnsiTheme="minorHAnsi" w:cstheme="minorHAnsi"/>
          <w:color w:val="auto"/>
        </w:rPr>
      </w:pPr>
      <w:r w:rsidRPr="00C26DAA">
        <w:rPr>
          <w:rFonts w:asciiTheme="minorHAnsi" w:hAnsiTheme="minorHAnsi" w:cstheme="minorHAnsi"/>
          <w:color w:val="auto"/>
        </w:rPr>
        <w:t>Registration status of the drug:</w:t>
      </w:r>
    </w:p>
    <w:p w14:paraId="17055F60" w14:textId="07D9BD02" w:rsidR="00A83CE9" w:rsidRDefault="00D77FC9" w:rsidP="00D602FA">
      <w:pPr>
        <w:jc w:val="both"/>
        <w:rPr>
          <w:b/>
        </w:rPr>
      </w:pPr>
      <w:r>
        <w:t>The a</w:t>
      </w:r>
      <w:r w:rsidR="002F3AE0">
        <w:t xml:space="preserve">pplicant </w:t>
      </w:r>
      <w:r w:rsidR="00BD2CCB">
        <w:t>confirmed</w:t>
      </w:r>
      <w:r w:rsidR="002F3AE0">
        <w:t xml:space="preserve"> that the registration application </w:t>
      </w:r>
      <w:r w:rsidR="00F23C55">
        <w:t>of s</w:t>
      </w:r>
      <w:r w:rsidR="002F3AE0">
        <w:t xml:space="preserve">otorasib has been accepted for evaluation under the TGA’s provisional pathway process. Initial provisional registration will be based on </w:t>
      </w:r>
      <w:r w:rsidR="00BD2CCB">
        <w:t>the</w:t>
      </w:r>
      <w:r w:rsidR="002F3AE0">
        <w:t xml:space="preserve"> phase 2</w:t>
      </w:r>
      <w:r w:rsidR="00C011E2">
        <w:t xml:space="preserve"> component of </w:t>
      </w:r>
      <w:r w:rsidR="00BD2CCB">
        <w:t xml:space="preserve">a </w:t>
      </w:r>
      <w:r w:rsidR="00C011E2">
        <w:t>phase1/2</w:t>
      </w:r>
      <w:r w:rsidR="002F3AE0">
        <w:t xml:space="preserve"> trial</w:t>
      </w:r>
      <w:r w:rsidR="0068243D">
        <w:t xml:space="preserve"> (</w:t>
      </w:r>
      <w:hyperlink r:id="rId10" w:history="1">
        <w:r w:rsidR="0068243D" w:rsidRPr="0068243D">
          <w:rPr>
            <w:rStyle w:val="Hyperlink"/>
          </w:rPr>
          <w:t>NCT03600883</w:t>
        </w:r>
      </w:hyperlink>
      <w:r w:rsidR="0068243D">
        <w:t>)</w:t>
      </w:r>
      <w:r w:rsidR="002F3AE0">
        <w:t xml:space="preserve"> with conversion to full registration once the phase 3 trial</w:t>
      </w:r>
      <w:r w:rsidR="00C011E2">
        <w:t xml:space="preserve"> (</w:t>
      </w:r>
      <w:hyperlink r:id="rId11" w:history="1">
        <w:r w:rsidR="00C011E2" w:rsidRPr="00C011E2">
          <w:rPr>
            <w:rStyle w:val="Hyperlink"/>
          </w:rPr>
          <w:t>NCT04303780</w:t>
        </w:r>
      </w:hyperlink>
      <w:r w:rsidR="00C011E2">
        <w:t>)</w:t>
      </w:r>
      <w:r w:rsidR="002F3AE0">
        <w:t xml:space="preserve"> is completed. Sotorasib has also received TGA orphan designation.</w:t>
      </w:r>
    </w:p>
    <w:p w14:paraId="3F102615" w14:textId="7183F50D" w:rsidR="00896845" w:rsidRPr="00E364F7" w:rsidRDefault="00896845" w:rsidP="00C00B6A">
      <w:pPr>
        <w:pStyle w:val="Heading3"/>
        <w:jc w:val="both"/>
      </w:pPr>
      <w:r w:rsidRPr="00E364F7">
        <w:t>Comparator</w:t>
      </w:r>
    </w:p>
    <w:p w14:paraId="4A22B898" w14:textId="1E549F63" w:rsidR="00131866" w:rsidRDefault="00131866" w:rsidP="009A20EA">
      <w:pPr>
        <w:spacing w:before="200"/>
        <w:jc w:val="both"/>
      </w:pPr>
      <w:r w:rsidRPr="00224981">
        <w:t xml:space="preserve">The </w:t>
      </w:r>
      <w:r>
        <w:t>proposed comparator</w:t>
      </w:r>
      <w:r w:rsidRPr="00224981">
        <w:t xml:space="preserve"> reflect</w:t>
      </w:r>
      <w:r>
        <w:t>s</w:t>
      </w:r>
      <w:r w:rsidRPr="00224981">
        <w:t xml:space="preserve"> the current </w:t>
      </w:r>
      <w:r>
        <w:t xml:space="preserve">testing and </w:t>
      </w:r>
      <w:r w:rsidRPr="00224981">
        <w:t xml:space="preserve">treatment pathways for </w:t>
      </w:r>
      <w:r w:rsidR="00970C45">
        <w:t>patients with</w:t>
      </w:r>
      <w:r w:rsidRPr="00224981">
        <w:t xml:space="preserve"> NSCLC</w:t>
      </w:r>
      <w:r w:rsidR="0079786F">
        <w:t xml:space="preserve"> shown to have non-squamous/NOS histology</w:t>
      </w:r>
      <w:r>
        <w:t>.</w:t>
      </w:r>
    </w:p>
    <w:p w14:paraId="35E5112F" w14:textId="37D4707B" w:rsidR="00131866" w:rsidRPr="00C26DAA" w:rsidRDefault="00131866" w:rsidP="00C26DAA">
      <w:pPr>
        <w:pStyle w:val="Heading4"/>
        <w:jc w:val="both"/>
        <w:rPr>
          <w:rFonts w:ascii="Calibri" w:hAnsi="Calibri" w:cs="Calibri"/>
          <w:color w:val="auto"/>
          <w:u w:val="single"/>
        </w:rPr>
      </w:pPr>
      <w:r w:rsidRPr="00C26DAA">
        <w:rPr>
          <w:rFonts w:ascii="Calibri" w:hAnsi="Calibri" w:cs="Calibri"/>
          <w:color w:val="auto"/>
          <w:u w:val="single"/>
        </w:rPr>
        <w:t>Test:</w:t>
      </w:r>
    </w:p>
    <w:p w14:paraId="1DAE5302" w14:textId="428643C9" w:rsidR="0098648B" w:rsidRPr="00830F5E" w:rsidRDefault="008B5D17" w:rsidP="00C00B6A">
      <w:pPr>
        <w:jc w:val="both"/>
        <w:rPr>
          <w:i/>
        </w:rPr>
      </w:pPr>
      <w:r w:rsidRPr="008B5D17">
        <w:t xml:space="preserve">In the </w:t>
      </w:r>
      <w:r>
        <w:t xml:space="preserve">current treatment pathway for </w:t>
      </w:r>
      <w:r w:rsidR="00970C45">
        <w:t>patients with</w:t>
      </w:r>
      <w:r>
        <w:t xml:space="preserve"> NSCLC, there is no </w:t>
      </w:r>
      <w:r w:rsidR="00A97034" w:rsidRPr="00A97034">
        <w:rPr>
          <w:i/>
        </w:rPr>
        <w:t>KRAS</w:t>
      </w:r>
      <w:r w:rsidR="00A97034" w:rsidRPr="00A97034">
        <w:t xml:space="preserve"> G12C</w:t>
      </w:r>
      <w:r>
        <w:t xml:space="preserve"> testing</w:t>
      </w:r>
      <w:r w:rsidR="00FE1A69">
        <w:t xml:space="preserve">. </w:t>
      </w:r>
      <w:r w:rsidR="00F767D8">
        <w:t xml:space="preserve">The comparator therefore is ‘no </w:t>
      </w:r>
      <w:r w:rsidR="00A97034" w:rsidRPr="00A97034">
        <w:rPr>
          <w:i/>
        </w:rPr>
        <w:t>KRAS</w:t>
      </w:r>
      <w:r w:rsidR="00B642BC">
        <w:rPr>
          <w:i/>
        </w:rPr>
        <w:t xml:space="preserve"> </w:t>
      </w:r>
      <w:r w:rsidR="00F767D8">
        <w:t xml:space="preserve">testing’. </w:t>
      </w:r>
      <w:r w:rsidR="0098648B" w:rsidRPr="008B5D17">
        <w:t xml:space="preserve">The proposed medical testing is expected to </w:t>
      </w:r>
      <w:r w:rsidR="00EA5EC5">
        <w:t>be an add-on test</w:t>
      </w:r>
      <w:r w:rsidR="00B642BC">
        <w:t>.</w:t>
      </w:r>
      <w:r w:rsidR="00BE098E">
        <w:t xml:space="preserve"> </w:t>
      </w:r>
    </w:p>
    <w:p w14:paraId="1AAFFE50" w14:textId="03B5F582" w:rsidR="00131866" w:rsidRPr="00C26DAA" w:rsidRDefault="00131866" w:rsidP="00C26DAA">
      <w:pPr>
        <w:pStyle w:val="Heading4"/>
        <w:jc w:val="both"/>
        <w:rPr>
          <w:rFonts w:ascii="Calibri" w:hAnsi="Calibri" w:cs="Calibri"/>
          <w:color w:val="auto"/>
          <w:u w:val="single"/>
        </w:rPr>
      </w:pPr>
      <w:r w:rsidRPr="00C26DAA">
        <w:rPr>
          <w:rFonts w:ascii="Calibri" w:hAnsi="Calibri" w:cs="Calibri"/>
          <w:color w:val="auto"/>
          <w:u w:val="single"/>
        </w:rPr>
        <w:t>Drug:</w:t>
      </w:r>
    </w:p>
    <w:p w14:paraId="76982030" w14:textId="53AE07D6" w:rsidR="00131866" w:rsidRDefault="0056694A" w:rsidP="00C00B6A">
      <w:pPr>
        <w:jc w:val="both"/>
      </w:pPr>
      <w:r w:rsidRPr="008B5D17">
        <w:t xml:space="preserve">The applicant proposes Docetaxel as the </w:t>
      </w:r>
      <w:r w:rsidR="006D250A" w:rsidRPr="008B5D17">
        <w:t xml:space="preserve">standard </w:t>
      </w:r>
      <w:r w:rsidRPr="008B5D17">
        <w:t xml:space="preserve">second-line </w:t>
      </w:r>
      <w:r w:rsidR="006D250A" w:rsidRPr="008B5D17">
        <w:t xml:space="preserve">treatment in patients with </w:t>
      </w:r>
      <w:r w:rsidR="00F767D8">
        <w:t xml:space="preserve">no actionable biomarkers in advanced or metastatic </w:t>
      </w:r>
      <w:r w:rsidR="004B3D19">
        <w:t xml:space="preserve">non-squamous/NOS histology </w:t>
      </w:r>
      <w:r w:rsidR="006E3369">
        <w:t>NSCLC.</w:t>
      </w:r>
      <w:r w:rsidR="00D84DF2">
        <w:t xml:space="preserve"> No objection regarding the use of docetaxel as the main comparator has been raised by the PBAC Secretariat in pre-submission meetings with the applicant.</w:t>
      </w:r>
    </w:p>
    <w:p w14:paraId="65283C83" w14:textId="004545EE" w:rsidR="00A83CE9" w:rsidRDefault="003F063F" w:rsidP="00C92E98">
      <w:pPr>
        <w:jc w:val="both"/>
        <w:rPr>
          <w:b/>
        </w:rPr>
      </w:pPr>
      <w:r>
        <w:t>Alternative second-line treatments for advanced or metastatic non-squamous/NOS histology NSCLC available in Australia include pemetrex</w:t>
      </w:r>
      <w:r w:rsidR="006E3369">
        <w:t>ed, nivolumab and atezolizumab.</w:t>
      </w:r>
      <w:r w:rsidR="00D84DF2">
        <w:t xml:space="preserve"> The applicant advised that 1</w:t>
      </w:r>
      <w:r w:rsidR="00D84DF2" w:rsidRPr="00B344BB">
        <w:rPr>
          <w:vertAlign w:val="superscript"/>
        </w:rPr>
        <w:t>st</w:t>
      </w:r>
      <w:r w:rsidR="00D84DF2">
        <w:t>-line treatment predominantly consists of PD-(L)1 inhibitors, usually in combination with chemotherapy. In the minority of patients unsuitable for PD-(L)1 inhibitors, 1</w:t>
      </w:r>
      <w:r w:rsidR="00D84DF2" w:rsidRPr="00B344BB">
        <w:rPr>
          <w:vertAlign w:val="superscript"/>
        </w:rPr>
        <w:t>st</w:t>
      </w:r>
      <w:r w:rsidR="00D84DF2">
        <w:t>-line treatment would be platinum doublet chemotherapy. In both instances, the chemotherapy will include pemetrexed (so it would not be used 2</w:t>
      </w:r>
      <w:r w:rsidR="00D84DF2" w:rsidRPr="00D3532E">
        <w:rPr>
          <w:vertAlign w:val="superscript"/>
        </w:rPr>
        <w:t>nd</w:t>
      </w:r>
      <w:r w:rsidR="00D84DF2">
        <w:t xml:space="preserve"> line). Use of PD-(L)1 inhibitors on the PBS is limited to “once-per-lifetime”. Therefore, use of nivolumab and atezolizumab would also be uncommon at 2</w:t>
      </w:r>
      <w:r w:rsidR="00D84DF2" w:rsidRPr="00B344BB">
        <w:rPr>
          <w:vertAlign w:val="superscript"/>
        </w:rPr>
        <w:t>nd</w:t>
      </w:r>
      <w:r w:rsidR="00D84DF2">
        <w:t>-line.</w:t>
      </w:r>
    </w:p>
    <w:p w14:paraId="3366727B" w14:textId="44289D52" w:rsidR="00896845" w:rsidRDefault="00896845" w:rsidP="00C00B6A">
      <w:pPr>
        <w:pStyle w:val="Heading3"/>
        <w:jc w:val="both"/>
      </w:pPr>
      <w:r w:rsidRPr="00E364F7">
        <w:t>Outcomes</w:t>
      </w:r>
    </w:p>
    <w:p w14:paraId="7320AC8D" w14:textId="1DEAB3DE" w:rsidR="001C1857" w:rsidRPr="00C26DAA" w:rsidRDefault="001C1857" w:rsidP="009A20EA">
      <w:pPr>
        <w:pStyle w:val="Heading4"/>
        <w:spacing w:before="200"/>
        <w:jc w:val="both"/>
        <w:rPr>
          <w:rFonts w:ascii="Calibri" w:hAnsi="Calibri" w:cs="Calibri"/>
          <w:color w:val="auto"/>
          <w:u w:val="single"/>
        </w:rPr>
      </w:pPr>
      <w:r w:rsidRPr="00C26DAA">
        <w:rPr>
          <w:rFonts w:ascii="Calibri" w:hAnsi="Calibri" w:cs="Calibri"/>
          <w:color w:val="auto"/>
          <w:u w:val="single"/>
        </w:rPr>
        <w:t>Test</w:t>
      </w:r>
      <w:r w:rsidR="002C682A" w:rsidRPr="00C26DAA">
        <w:rPr>
          <w:rFonts w:ascii="Calibri" w:hAnsi="Calibri" w:cs="Calibri"/>
          <w:color w:val="auto"/>
          <w:u w:val="single"/>
        </w:rPr>
        <w:t>-related outcomes</w:t>
      </w:r>
      <w:r w:rsidRPr="00C26DAA">
        <w:rPr>
          <w:rFonts w:ascii="Calibri" w:hAnsi="Calibri" w:cs="Calibri"/>
          <w:color w:val="auto"/>
          <w:u w:val="single"/>
        </w:rPr>
        <w:t>:</w:t>
      </w:r>
    </w:p>
    <w:p w14:paraId="2710C786" w14:textId="77777777" w:rsidR="00D65430" w:rsidRPr="00C26DAA" w:rsidRDefault="00D65430" w:rsidP="00C26DAA">
      <w:pPr>
        <w:pStyle w:val="Heading5"/>
        <w:rPr>
          <w:rFonts w:asciiTheme="minorHAnsi" w:hAnsiTheme="minorHAnsi" w:cstheme="minorHAnsi"/>
          <w:color w:val="auto"/>
        </w:rPr>
      </w:pPr>
      <w:r w:rsidRPr="00C26DAA">
        <w:rPr>
          <w:rFonts w:asciiTheme="minorHAnsi" w:hAnsiTheme="minorHAnsi" w:cstheme="minorHAnsi"/>
          <w:color w:val="auto"/>
        </w:rPr>
        <w:t>Safety:</w:t>
      </w:r>
    </w:p>
    <w:p w14:paraId="5002FEF9" w14:textId="27F4AC44" w:rsidR="00D65430" w:rsidRPr="00736525" w:rsidRDefault="00D65430" w:rsidP="00975E04">
      <w:pPr>
        <w:jc w:val="both"/>
      </w:pPr>
      <w:r w:rsidRPr="00E43FEB">
        <w:t>Adverse events associated with biopsy/re-biopsy for patients with inadequate tissue</w:t>
      </w:r>
      <w:r>
        <w:t xml:space="preserve"> for tumour testing.</w:t>
      </w:r>
    </w:p>
    <w:p w14:paraId="4CC80AE0" w14:textId="2E32DDFD" w:rsidR="001C1857" w:rsidRPr="00975E04" w:rsidRDefault="001C1857" w:rsidP="00C26DAA">
      <w:pPr>
        <w:pStyle w:val="Heading5"/>
        <w:rPr>
          <w:color w:val="auto"/>
        </w:rPr>
      </w:pPr>
      <w:r w:rsidRPr="00C26DAA">
        <w:rPr>
          <w:rFonts w:asciiTheme="minorHAnsi" w:hAnsiTheme="minorHAnsi" w:cstheme="minorHAnsi"/>
          <w:color w:val="auto"/>
        </w:rPr>
        <w:lastRenderedPageBreak/>
        <w:t xml:space="preserve">Analytical performance </w:t>
      </w:r>
      <w:r w:rsidR="00975E04" w:rsidRPr="00975E04">
        <w:rPr>
          <w:rFonts w:asciiTheme="minorHAnsi" w:hAnsiTheme="minorHAnsi" w:cstheme="minorHAnsi"/>
          <w:color w:val="auto"/>
        </w:rPr>
        <w:t xml:space="preserve">of Australian test options </w:t>
      </w:r>
      <w:r w:rsidRPr="00C26DAA">
        <w:rPr>
          <w:rFonts w:asciiTheme="minorHAnsi" w:hAnsiTheme="minorHAnsi" w:cstheme="minorHAnsi"/>
          <w:color w:val="auto"/>
        </w:rPr>
        <w:t xml:space="preserve">compared to </w:t>
      </w:r>
      <w:r w:rsidR="00975E04">
        <w:rPr>
          <w:rFonts w:asciiTheme="minorHAnsi" w:hAnsiTheme="minorHAnsi" w:cstheme="minorHAnsi"/>
          <w:color w:val="auto"/>
        </w:rPr>
        <w:t xml:space="preserve">the </w:t>
      </w:r>
      <w:r w:rsidR="00B7433A">
        <w:rPr>
          <w:rFonts w:asciiTheme="minorHAnsi" w:hAnsiTheme="minorHAnsi" w:cstheme="minorHAnsi"/>
          <w:color w:val="auto"/>
        </w:rPr>
        <w:t>clinical utility</w:t>
      </w:r>
      <w:r w:rsidRPr="00C26DAA">
        <w:rPr>
          <w:rFonts w:asciiTheme="minorHAnsi" w:hAnsiTheme="minorHAnsi" w:cstheme="minorHAnsi"/>
          <w:color w:val="auto"/>
        </w:rPr>
        <w:t xml:space="preserve"> standard:</w:t>
      </w:r>
    </w:p>
    <w:p w14:paraId="57EAC8C1" w14:textId="64FB74BE" w:rsidR="001C1857" w:rsidRPr="002C682A" w:rsidRDefault="001C1857" w:rsidP="00C00B6A">
      <w:pPr>
        <w:pStyle w:val="ListParagraph"/>
        <w:numPr>
          <w:ilvl w:val="0"/>
          <w:numId w:val="28"/>
        </w:numPr>
        <w:jc w:val="both"/>
      </w:pPr>
      <w:r w:rsidRPr="002C682A">
        <w:t>Positive percentage agreement</w:t>
      </w:r>
    </w:p>
    <w:p w14:paraId="1BAF1DDF" w14:textId="77777777" w:rsidR="001C1857" w:rsidRPr="002C682A" w:rsidRDefault="001C1857" w:rsidP="00C00B6A">
      <w:pPr>
        <w:pStyle w:val="ListParagraph"/>
        <w:numPr>
          <w:ilvl w:val="0"/>
          <w:numId w:val="28"/>
        </w:numPr>
        <w:jc w:val="both"/>
      </w:pPr>
      <w:r w:rsidRPr="002C682A">
        <w:t>Negative percentage agreement</w:t>
      </w:r>
    </w:p>
    <w:p w14:paraId="6C23FD08" w14:textId="72E5CB99" w:rsidR="001C1857" w:rsidRPr="00C26DAA" w:rsidRDefault="00553730" w:rsidP="00C26DAA">
      <w:pPr>
        <w:pStyle w:val="Heading5"/>
        <w:rPr>
          <w:rFonts w:asciiTheme="minorHAnsi" w:hAnsiTheme="minorHAnsi" w:cstheme="minorHAnsi"/>
          <w:color w:val="auto"/>
        </w:rPr>
      </w:pPr>
      <w:r w:rsidRPr="00C26DAA">
        <w:rPr>
          <w:rFonts w:asciiTheme="minorHAnsi" w:hAnsiTheme="minorHAnsi" w:cstheme="minorHAnsi"/>
          <w:color w:val="auto"/>
        </w:rPr>
        <w:t>Clinical v</w:t>
      </w:r>
      <w:r w:rsidR="001C1857" w:rsidRPr="00C26DAA">
        <w:rPr>
          <w:rFonts w:asciiTheme="minorHAnsi" w:hAnsiTheme="minorHAnsi" w:cstheme="minorHAnsi"/>
          <w:color w:val="auto"/>
        </w:rPr>
        <w:t>alidity</w:t>
      </w:r>
      <w:r w:rsidRPr="00C26DAA">
        <w:rPr>
          <w:rFonts w:asciiTheme="minorHAnsi" w:hAnsiTheme="minorHAnsi" w:cstheme="minorHAnsi"/>
          <w:color w:val="auto"/>
        </w:rPr>
        <w:t xml:space="preserve"> of the test</w:t>
      </w:r>
      <w:r w:rsidR="002C682A" w:rsidRPr="00C26DAA">
        <w:rPr>
          <w:rFonts w:asciiTheme="minorHAnsi" w:hAnsiTheme="minorHAnsi" w:cstheme="minorHAnsi"/>
          <w:color w:val="auto"/>
        </w:rPr>
        <w:t>:</w:t>
      </w:r>
    </w:p>
    <w:p w14:paraId="7047A107" w14:textId="3C2D3C6B" w:rsidR="001C1857" w:rsidRPr="008643FC" w:rsidRDefault="00553730" w:rsidP="008643FC">
      <w:pPr>
        <w:spacing w:line="240" w:lineRule="auto"/>
      </w:pPr>
      <w:r>
        <w:t xml:space="preserve">Evaluate the </w:t>
      </w:r>
      <w:r>
        <w:rPr>
          <w:rFonts w:cs="Arial"/>
        </w:rPr>
        <w:t>c</w:t>
      </w:r>
      <w:r w:rsidRPr="00553730">
        <w:rPr>
          <w:rFonts w:cs="Arial"/>
        </w:rPr>
        <w:t xml:space="preserve">omparative prognosis of patients with advanced or metastatic NSCLC between those </w:t>
      </w:r>
      <w:r w:rsidRPr="008643FC">
        <w:t>whose tumours do and do not have</w:t>
      </w:r>
      <w:r w:rsidR="00975E04" w:rsidRPr="008643FC">
        <w:t xml:space="preserve"> the</w:t>
      </w:r>
      <w:r w:rsidRPr="008643FC">
        <w:t xml:space="preserve"> </w:t>
      </w:r>
      <w:r w:rsidR="00A97034" w:rsidRPr="008643FC">
        <w:t>KRAS G12C</w:t>
      </w:r>
      <w:r w:rsidRPr="008643FC">
        <w:t xml:space="preserve"> </w:t>
      </w:r>
      <w:r w:rsidR="00C45C15" w:rsidRPr="008643FC">
        <w:t>variant</w:t>
      </w:r>
      <w:r w:rsidR="00975E04" w:rsidRPr="008643FC">
        <w:t>.</w:t>
      </w:r>
    </w:p>
    <w:p w14:paraId="02CFD25B" w14:textId="6F01A27F" w:rsidR="001C1857" w:rsidRPr="00C26DAA" w:rsidRDefault="00553730" w:rsidP="00C26DAA">
      <w:pPr>
        <w:pStyle w:val="Heading5"/>
        <w:rPr>
          <w:rFonts w:asciiTheme="minorHAnsi" w:hAnsiTheme="minorHAnsi" w:cstheme="minorHAnsi"/>
          <w:color w:val="auto"/>
        </w:rPr>
      </w:pPr>
      <w:r w:rsidRPr="00C26DAA">
        <w:rPr>
          <w:rFonts w:asciiTheme="minorHAnsi" w:hAnsiTheme="minorHAnsi" w:cstheme="minorHAnsi"/>
          <w:color w:val="auto"/>
        </w:rPr>
        <w:t>Clinical u</w:t>
      </w:r>
      <w:r w:rsidR="001C1857" w:rsidRPr="00C26DAA">
        <w:rPr>
          <w:rFonts w:asciiTheme="minorHAnsi" w:hAnsiTheme="minorHAnsi" w:cstheme="minorHAnsi"/>
          <w:color w:val="auto"/>
        </w:rPr>
        <w:t>tility</w:t>
      </w:r>
      <w:r w:rsidRPr="00C26DAA">
        <w:rPr>
          <w:rFonts w:asciiTheme="minorHAnsi" w:hAnsiTheme="minorHAnsi" w:cstheme="minorHAnsi"/>
          <w:color w:val="auto"/>
        </w:rPr>
        <w:t xml:space="preserve"> of the test</w:t>
      </w:r>
      <w:r w:rsidR="002C682A" w:rsidRPr="00C26DAA">
        <w:rPr>
          <w:rFonts w:asciiTheme="minorHAnsi" w:hAnsiTheme="minorHAnsi" w:cstheme="minorHAnsi"/>
          <w:color w:val="auto"/>
        </w:rPr>
        <w:t>:</w:t>
      </w:r>
    </w:p>
    <w:p w14:paraId="40253F47" w14:textId="2613B886" w:rsidR="002C682A" w:rsidRDefault="00993106" w:rsidP="00C00B6A">
      <w:pPr>
        <w:jc w:val="both"/>
      </w:pPr>
      <w:r>
        <w:t>Determine w</w:t>
      </w:r>
      <w:r w:rsidR="001C1857" w:rsidRPr="002C682A">
        <w:t xml:space="preserve">hether </w:t>
      </w:r>
      <w:r w:rsidR="002C682A" w:rsidRPr="002C682A">
        <w:t xml:space="preserve">testing for </w:t>
      </w:r>
      <w:r w:rsidR="00A97034" w:rsidRPr="00A97034">
        <w:rPr>
          <w:i/>
        </w:rPr>
        <w:t>KRAS</w:t>
      </w:r>
      <w:r w:rsidR="00A97034" w:rsidRPr="00A97034">
        <w:t xml:space="preserve"> G12C</w:t>
      </w:r>
      <w:r w:rsidR="002C682A" w:rsidRPr="002C682A">
        <w:t xml:space="preserve"> </w:t>
      </w:r>
      <w:r w:rsidR="00975E04">
        <w:t xml:space="preserve">predicts variation in the treatment effect of sotorasib </w:t>
      </w:r>
      <w:r w:rsidR="002C682A" w:rsidRPr="002C682A">
        <w:t xml:space="preserve">in </w:t>
      </w:r>
      <w:r w:rsidR="00975E04">
        <w:t xml:space="preserve">terms of </w:t>
      </w:r>
      <w:r w:rsidR="002C682A" w:rsidRPr="002C682A">
        <w:t xml:space="preserve">health </w:t>
      </w:r>
      <w:r w:rsidR="00975E04">
        <w:t xml:space="preserve">outcomes for </w:t>
      </w:r>
      <w:r w:rsidR="002C682A" w:rsidRPr="002C682A">
        <w:t>patients</w:t>
      </w:r>
      <w:r w:rsidR="00553730">
        <w:t>.</w:t>
      </w:r>
    </w:p>
    <w:p w14:paraId="3CD90345" w14:textId="563B62DC" w:rsidR="002C682A" w:rsidRPr="00C26DAA" w:rsidRDefault="002C682A" w:rsidP="00C26DAA">
      <w:pPr>
        <w:pStyle w:val="Heading5"/>
        <w:rPr>
          <w:rFonts w:asciiTheme="minorHAnsi" w:hAnsiTheme="minorHAnsi" w:cstheme="minorHAnsi"/>
          <w:color w:val="auto"/>
        </w:rPr>
      </w:pPr>
      <w:r w:rsidRPr="00C26DAA">
        <w:rPr>
          <w:rFonts w:asciiTheme="minorHAnsi" w:hAnsiTheme="minorHAnsi" w:cstheme="minorHAnsi"/>
          <w:color w:val="auto"/>
        </w:rPr>
        <w:t>Other test-related considerations</w:t>
      </w:r>
      <w:r w:rsidR="00993106" w:rsidRPr="00C26DAA">
        <w:rPr>
          <w:rFonts w:asciiTheme="minorHAnsi" w:hAnsiTheme="minorHAnsi" w:cstheme="minorHAnsi"/>
          <w:color w:val="auto"/>
        </w:rPr>
        <w:t>:</w:t>
      </w:r>
    </w:p>
    <w:p w14:paraId="136C9E12" w14:textId="4CAFA5C2" w:rsidR="001C1857" w:rsidRPr="002C682A" w:rsidRDefault="002C682A" w:rsidP="00C00B6A">
      <w:pPr>
        <w:pStyle w:val="ListParagraph"/>
        <w:numPr>
          <w:ilvl w:val="0"/>
          <w:numId w:val="31"/>
        </w:numPr>
        <w:jc w:val="both"/>
      </w:pPr>
      <w:r w:rsidRPr="002C682A">
        <w:t>Re-biopsy rates (also include test failure and inadequate sample rate as a proxy for re-biopsy rate)</w:t>
      </w:r>
    </w:p>
    <w:p w14:paraId="0938BA1E" w14:textId="1E6BF66A" w:rsidR="002C682A" w:rsidRPr="002C682A" w:rsidRDefault="002C682A" w:rsidP="00320679">
      <w:pPr>
        <w:pStyle w:val="ListParagraph"/>
        <w:numPr>
          <w:ilvl w:val="0"/>
          <w:numId w:val="31"/>
        </w:numPr>
        <w:jc w:val="both"/>
      </w:pPr>
      <w:r w:rsidRPr="002C682A">
        <w:t>Test turn-around time</w:t>
      </w:r>
      <w:r w:rsidR="00DE09C5">
        <w:t>.</w:t>
      </w:r>
    </w:p>
    <w:p w14:paraId="2EBD7167" w14:textId="25D13B4D" w:rsidR="001C1857" w:rsidRPr="00C26DAA" w:rsidRDefault="001C1857" w:rsidP="00C26DAA">
      <w:pPr>
        <w:pStyle w:val="Heading4"/>
        <w:jc w:val="both"/>
        <w:rPr>
          <w:rFonts w:ascii="Calibri" w:hAnsi="Calibri" w:cs="Calibri"/>
          <w:color w:val="auto"/>
          <w:u w:val="single"/>
        </w:rPr>
      </w:pPr>
      <w:r w:rsidRPr="00C26DAA">
        <w:rPr>
          <w:rFonts w:ascii="Calibri" w:hAnsi="Calibri" w:cs="Calibri"/>
          <w:color w:val="auto"/>
          <w:u w:val="single"/>
        </w:rPr>
        <w:t>Drug</w:t>
      </w:r>
      <w:r w:rsidR="002C682A" w:rsidRPr="00C26DAA">
        <w:rPr>
          <w:rFonts w:ascii="Calibri" w:hAnsi="Calibri" w:cs="Calibri"/>
          <w:color w:val="auto"/>
          <w:u w:val="single"/>
        </w:rPr>
        <w:t>-related outcomes</w:t>
      </w:r>
      <w:r w:rsidRPr="00C26DAA">
        <w:rPr>
          <w:rFonts w:ascii="Calibri" w:hAnsi="Calibri" w:cs="Calibri"/>
          <w:color w:val="auto"/>
          <w:u w:val="single"/>
        </w:rPr>
        <w:t>:</w:t>
      </w:r>
    </w:p>
    <w:p w14:paraId="66DCCC5E" w14:textId="1CC3B7BF" w:rsidR="002C682A" w:rsidRPr="00C26DAA" w:rsidRDefault="002C682A" w:rsidP="00C26DAA">
      <w:pPr>
        <w:pStyle w:val="Heading5"/>
        <w:rPr>
          <w:rFonts w:asciiTheme="minorHAnsi" w:hAnsiTheme="minorHAnsi" w:cstheme="minorHAnsi"/>
          <w:color w:val="auto"/>
        </w:rPr>
      </w:pPr>
      <w:r w:rsidRPr="00C26DAA">
        <w:rPr>
          <w:rFonts w:asciiTheme="minorHAnsi" w:hAnsiTheme="minorHAnsi" w:cstheme="minorHAnsi"/>
          <w:color w:val="auto"/>
        </w:rPr>
        <w:t>Safety outcomes:</w:t>
      </w:r>
    </w:p>
    <w:p w14:paraId="3C36CF4D" w14:textId="1765A5D0" w:rsidR="002C682A" w:rsidRPr="009862DA" w:rsidRDefault="002C682A" w:rsidP="00C00B6A">
      <w:pPr>
        <w:jc w:val="both"/>
      </w:pPr>
      <w:r w:rsidRPr="009862DA">
        <w:t>Safety and tolerability of treatment with sotorasib</w:t>
      </w:r>
      <w:r w:rsidR="00B642BC">
        <w:t xml:space="preserve"> or docetaxel</w:t>
      </w:r>
      <w:r w:rsidRPr="009862DA">
        <w:t xml:space="preserve"> (adverse events, physical examinations, laboratory findings and vital signs)</w:t>
      </w:r>
      <w:r w:rsidR="00DE09C5">
        <w:t>.</w:t>
      </w:r>
    </w:p>
    <w:p w14:paraId="7ED24CB8" w14:textId="0F3F9DF3" w:rsidR="002C682A" w:rsidRPr="00C26DAA" w:rsidRDefault="002C682A" w:rsidP="00C26DAA">
      <w:pPr>
        <w:pStyle w:val="Heading5"/>
        <w:rPr>
          <w:rFonts w:asciiTheme="minorHAnsi" w:hAnsiTheme="minorHAnsi" w:cstheme="minorHAnsi"/>
          <w:color w:val="auto"/>
        </w:rPr>
      </w:pPr>
      <w:r w:rsidRPr="00C26DAA">
        <w:rPr>
          <w:rFonts w:asciiTheme="minorHAnsi" w:hAnsiTheme="minorHAnsi" w:cstheme="minorHAnsi"/>
          <w:color w:val="auto"/>
        </w:rPr>
        <w:t>Clinical effectiveness outcomes:</w:t>
      </w:r>
    </w:p>
    <w:p w14:paraId="169B23D5" w14:textId="5BC554DF" w:rsidR="002C682A" w:rsidRPr="009862DA" w:rsidRDefault="002C682A" w:rsidP="00C00B6A">
      <w:pPr>
        <w:pStyle w:val="ListParagraph"/>
        <w:numPr>
          <w:ilvl w:val="0"/>
          <w:numId w:val="32"/>
        </w:numPr>
        <w:jc w:val="both"/>
      </w:pPr>
      <w:r w:rsidRPr="009862DA">
        <w:t>Objective response rate</w:t>
      </w:r>
    </w:p>
    <w:p w14:paraId="3C55CBB3" w14:textId="1495F0A7" w:rsidR="002C682A" w:rsidRPr="009862DA" w:rsidRDefault="002C682A" w:rsidP="00C00B6A">
      <w:pPr>
        <w:pStyle w:val="ListParagraph"/>
        <w:numPr>
          <w:ilvl w:val="0"/>
          <w:numId w:val="32"/>
        </w:numPr>
        <w:jc w:val="both"/>
      </w:pPr>
      <w:r w:rsidRPr="009862DA">
        <w:t>Overall survival</w:t>
      </w:r>
    </w:p>
    <w:p w14:paraId="573DE87F" w14:textId="7795AA33" w:rsidR="002C682A" w:rsidRPr="009862DA" w:rsidRDefault="002C682A" w:rsidP="00C00B6A">
      <w:pPr>
        <w:pStyle w:val="ListParagraph"/>
        <w:numPr>
          <w:ilvl w:val="0"/>
          <w:numId w:val="32"/>
        </w:numPr>
        <w:jc w:val="both"/>
      </w:pPr>
      <w:r w:rsidRPr="009862DA">
        <w:t>Progression-free survival</w:t>
      </w:r>
    </w:p>
    <w:p w14:paraId="43AF4ED4" w14:textId="04556135" w:rsidR="002C682A" w:rsidRPr="009862DA" w:rsidRDefault="002C682A" w:rsidP="00C00B6A">
      <w:pPr>
        <w:pStyle w:val="ListParagraph"/>
        <w:numPr>
          <w:ilvl w:val="0"/>
          <w:numId w:val="32"/>
        </w:numPr>
        <w:jc w:val="both"/>
      </w:pPr>
      <w:r w:rsidRPr="009862DA">
        <w:t>Partial response</w:t>
      </w:r>
    </w:p>
    <w:p w14:paraId="5A7EDECE" w14:textId="38FD5B94" w:rsidR="002C682A" w:rsidRPr="009862DA" w:rsidRDefault="002C682A" w:rsidP="00C00B6A">
      <w:pPr>
        <w:pStyle w:val="ListParagraph"/>
        <w:numPr>
          <w:ilvl w:val="0"/>
          <w:numId w:val="32"/>
        </w:numPr>
        <w:jc w:val="both"/>
      </w:pPr>
      <w:r w:rsidRPr="009862DA">
        <w:t>Complete response</w:t>
      </w:r>
    </w:p>
    <w:p w14:paraId="1676ABFE" w14:textId="6B83733F" w:rsidR="001C1857" w:rsidRDefault="002C682A" w:rsidP="00C00B6A">
      <w:pPr>
        <w:pStyle w:val="ListParagraph"/>
        <w:numPr>
          <w:ilvl w:val="0"/>
          <w:numId w:val="32"/>
        </w:numPr>
        <w:jc w:val="both"/>
      </w:pPr>
      <w:r w:rsidRPr="009862DA">
        <w:t>Health-related quality of life</w:t>
      </w:r>
    </w:p>
    <w:p w14:paraId="2CE92210" w14:textId="59A44AC1" w:rsidR="00F6381C" w:rsidRPr="00C26DAA" w:rsidRDefault="00F6381C" w:rsidP="00C26DAA">
      <w:pPr>
        <w:pStyle w:val="Heading5"/>
        <w:rPr>
          <w:rFonts w:asciiTheme="minorHAnsi" w:hAnsiTheme="minorHAnsi" w:cstheme="minorHAnsi"/>
          <w:color w:val="auto"/>
        </w:rPr>
      </w:pPr>
      <w:r w:rsidRPr="00C26DAA">
        <w:rPr>
          <w:rFonts w:asciiTheme="minorHAnsi" w:hAnsiTheme="minorHAnsi" w:cstheme="minorHAnsi"/>
          <w:color w:val="auto"/>
        </w:rPr>
        <w:t>Healthcare system:</w:t>
      </w:r>
    </w:p>
    <w:p w14:paraId="20099F7A" w14:textId="346E9D33" w:rsidR="00F6381C" w:rsidRDefault="00F6381C" w:rsidP="00C00B6A">
      <w:pPr>
        <w:pStyle w:val="ListParagraph"/>
        <w:numPr>
          <w:ilvl w:val="0"/>
          <w:numId w:val="33"/>
        </w:numPr>
        <w:jc w:val="both"/>
      </w:pPr>
      <w:r w:rsidRPr="002C682A">
        <w:t>Cost of testing per patient</w:t>
      </w:r>
      <w:r>
        <w:t xml:space="preserve"> </w:t>
      </w:r>
      <w:r w:rsidR="00DE09C5">
        <w:t xml:space="preserve">with </w:t>
      </w:r>
      <w:r>
        <w:t>associate</w:t>
      </w:r>
      <w:r w:rsidR="00DE09C5">
        <w:t>d</w:t>
      </w:r>
      <w:r>
        <w:t xml:space="preserve"> re-biopsies</w:t>
      </w:r>
    </w:p>
    <w:p w14:paraId="56033361" w14:textId="44DC9D16" w:rsidR="00793915" w:rsidRPr="002C682A" w:rsidRDefault="00F6381C" w:rsidP="00C00B6A">
      <w:pPr>
        <w:pStyle w:val="ListParagraph"/>
        <w:numPr>
          <w:ilvl w:val="0"/>
          <w:numId w:val="33"/>
        </w:numPr>
        <w:jc w:val="both"/>
      </w:pPr>
      <w:r>
        <w:t>Cost-effectiveness of testing and treatment</w:t>
      </w:r>
    </w:p>
    <w:p w14:paraId="7F6A5792" w14:textId="678BFA09" w:rsidR="00BA2FCC" w:rsidRDefault="00F6381C" w:rsidP="00793915">
      <w:pPr>
        <w:pStyle w:val="ListParagraph"/>
        <w:numPr>
          <w:ilvl w:val="0"/>
          <w:numId w:val="33"/>
        </w:numPr>
        <w:jc w:val="both"/>
      </w:pPr>
      <w:r>
        <w:t>Financial implications</w:t>
      </w:r>
    </w:p>
    <w:p w14:paraId="6D4DF1F0" w14:textId="569D9F7C" w:rsidR="00D163C6" w:rsidRPr="00D163C6" w:rsidRDefault="00D163C6" w:rsidP="00D163C6">
      <w:pPr>
        <w:pStyle w:val="Heading2"/>
        <w:spacing w:line="240" w:lineRule="auto"/>
        <w:jc w:val="both"/>
        <w:rPr>
          <w:color w:val="548DD4"/>
          <w:u w:val="none"/>
        </w:rPr>
      </w:pPr>
      <w:r w:rsidRPr="00D163C6">
        <w:rPr>
          <w:color w:val="548DD4"/>
          <w:u w:val="none"/>
        </w:rPr>
        <w:t>Clinical management algorithms</w:t>
      </w:r>
    </w:p>
    <w:p w14:paraId="778E4C4E" w14:textId="38138787" w:rsidR="00896845" w:rsidRPr="00D163C6" w:rsidRDefault="00896845" w:rsidP="00D163C6">
      <w:pPr>
        <w:pStyle w:val="Heading3"/>
        <w:spacing w:before="240"/>
        <w:jc w:val="both"/>
      </w:pPr>
      <w:r w:rsidRPr="00D163C6">
        <w:t>Current clinical management algorithm</w:t>
      </w:r>
      <w:r w:rsidR="002B3338" w:rsidRPr="00D163C6">
        <w:t xml:space="preserve"> for identified population</w:t>
      </w:r>
    </w:p>
    <w:p w14:paraId="3B518C12" w14:textId="488DCA36" w:rsidR="00F57876" w:rsidRDefault="00485465" w:rsidP="00C00B6A">
      <w:pPr>
        <w:jc w:val="both"/>
      </w:pPr>
      <w:r>
        <w:t>In current clinical management, the identified population do</w:t>
      </w:r>
      <w:r w:rsidR="00DE09C5">
        <w:t>es</w:t>
      </w:r>
      <w:r>
        <w:t xml:space="preserve"> not undergo any testing for </w:t>
      </w:r>
      <w:r w:rsidR="00A97034" w:rsidRPr="00A97034">
        <w:rPr>
          <w:i/>
        </w:rPr>
        <w:t>KRAS</w:t>
      </w:r>
      <w:r w:rsidR="00A97034" w:rsidRPr="00A97034">
        <w:t xml:space="preserve"> G12C</w:t>
      </w:r>
      <w:r>
        <w:t xml:space="preserve"> and there is no targeted therapy for those </w:t>
      </w:r>
      <w:r w:rsidR="00DE09C5">
        <w:t xml:space="preserve">patients </w:t>
      </w:r>
      <w:r>
        <w:t>harbouring</w:t>
      </w:r>
      <w:r w:rsidR="00DE09C5">
        <w:t xml:space="preserve"> the</w:t>
      </w:r>
      <w:r>
        <w:t xml:space="preserve"> </w:t>
      </w:r>
      <w:r w:rsidR="00A97034" w:rsidRPr="00A97034">
        <w:rPr>
          <w:i/>
        </w:rPr>
        <w:t>KRAS</w:t>
      </w:r>
      <w:r w:rsidR="00A97034" w:rsidRPr="00A97034">
        <w:t xml:space="preserve"> G12C</w:t>
      </w:r>
      <w:r>
        <w:t xml:space="preserve"> variant. After being diagnosed with non-squamous/NOS histology NSCLC, patients undergo </w:t>
      </w:r>
      <w:r w:rsidRPr="00D728F4">
        <w:rPr>
          <w:i/>
        </w:rPr>
        <w:t>EGFR</w:t>
      </w:r>
      <w:r>
        <w:t xml:space="preserve"> testing and IHC testing for </w:t>
      </w:r>
      <w:r w:rsidR="00F36B45">
        <w:t xml:space="preserve">PD-L1, </w:t>
      </w:r>
      <w:r w:rsidRPr="00793915">
        <w:t>ALK</w:t>
      </w:r>
      <w:r w:rsidRPr="000475A1">
        <w:t xml:space="preserve"> </w:t>
      </w:r>
      <w:r>
        <w:t xml:space="preserve">and </w:t>
      </w:r>
      <w:r w:rsidRPr="00793915">
        <w:t>ROS1</w:t>
      </w:r>
      <w:r w:rsidRPr="000475A1">
        <w:t xml:space="preserve"> </w:t>
      </w:r>
      <w:r>
        <w:t xml:space="preserve">triaging. Those found to be </w:t>
      </w:r>
      <w:r w:rsidRPr="00485465">
        <w:rPr>
          <w:i/>
        </w:rPr>
        <w:t>EGFR</w:t>
      </w:r>
      <w:r>
        <w:t xml:space="preserve"> </w:t>
      </w:r>
      <w:r w:rsidR="00A93592">
        <w:t xml:space="preserve">wildtype </w:t>
      </w:r>
      <w:r>
        <w:t xml:space="preserve">further undergo </w:t>
      </w:r>
      <w:r w:rsidRPr="00485465">
        <w:rPr>
          <w:i/>
        </w:rPr>
        <w:t>ALK</w:t>
      </w:r>
      <w:r>
        <w:t xml:space="preserve"> and/or </w:t>
      </w:r>
      <w:r w:rsidRPr="00485465">
        <w:rPr>
          <w:i/>
        </w:rPr>
        <w:t>ROS1</w:t>
      </w:r>
      <w:r>
        <w:t xml:space="preserve"> FISH testing </w:t>
      </w:r>
      <w:r w:rsidR="00541578">
        <w:t xml:space="preserve">at the point of being locally advanced or metastatic, </w:t>
      </w:r>
      <w:r>
        <w:t xml:space="preserve">depending on </w:t>
      </w:r>
      <w:r w:rsidRPr="00793915">
        <w:t>ALK</w:t>
      </w:r>
      <w:r>
        <w:t xml:space="preserve"> </w:t>
      </w:r>
      <w:r w:rsidR="00E67D83">
        <w:t xml:space="preserve">and </w:t>
      </w:r>
      <w:r w:rsidR="00E67D83" w:rsidRPr="00793915">
        <w:t>ROS1</w:t>
      </w:r>
      <w:r w:rsidR="00E67D83">
        <w:t xml:space="preserve"> </w:t>
      </w:r>
      <w:r>
        <w:t xml:space="preserve">triage status. </w:t>
      </w:r>
      <w:r w:rsidR="00D728F4">
        <w:t xml:space="preserve">Those identified to be positive for any of the </w:t>
      </w:r>
      <w:r w:rsidR="00DE09C5">
        <w:t xml:space="preserve">relevant pathogenic </w:t>
      </w:r>
      <w:r w:rsidR="00D728F4">
        <w:t xml:space="preserve">variants undergo treatment with targeted therapies. Those found </w:t>
      </w:r>
      <w:r w:rsidR="001E6FBB">
        <w:t>to have no actionable biomarkers</w:t>
      </w:r>
      <w:r w:rsidR="00D728F4">
        <w:t xml:space="preserve"> are treated with immunotherapy </w:t>
      </w:r>
      <w:r w:rsidR="00D728F4">
        <w:rPr>
          <w:rFonts w:cs="Calibri"/>
        </w:rPr>
        <w:t>±</w:t>
      </w:r>
      <w:r w:rsidR="00D728F4">
        <w:t xml:space="preserve"> chemotherapy </w:t>
      </w:r>
      <w:r w:rsidR="00DE09C5">
        <w:t>as</w:t>
      </w:r>
      <w:r w:rsidR="00D728F4">
        <w:t xml:space="preserve"> first-line therapy. If progressed they </w:t>
      </w:r>
      <w:r w:rsidR="00DE09C5">
        <w:t>receive</w:t>
      </w:r>
      <w:r w:rsidR="00D728F4">
        <w:t xml:space="preserve"> a second-line </w:t>
      </w:r>
      <w:r w:rsidR="00D728F4">
        <w:lastRenderedPageBreak/>
        <w:t xml:space="preserve">therapy. </w:t>
      </w:r>
      <w:r w:rsidR="001E6FBB">
        <w:t xml:space="preserve">Docetaxel is the </w:t>
      </w:r>
      <w:r w:rsidR="00DE09C5">
        <w:t>nominated</w:t>
      </w:r>
      <w:r w:rsidR="001E6FBB">
        <w:t xml:space="preserve"> second-line therapy for those identified to have no actionable biomarkers for this </w:t>
      </w:r>
      <w:r w:rsidR="00DE09C5">
        <w:t>application</w:t>
      </w:r>
      <w:r w:rsidR="001E6FBB">
        <w:t>.</w:t>
      </w:r>
    </w:p>
    <w:p w14:paraId="74428607" w14:textId="0013073E" w:rsidR="003F063F" w:rsidRDefault="00D728F4" w:rsidP="00C00B6A">
      <w:pPr>
        <w:jc w:val="both"/>
        <w:sectPr w:rsidR="003F063F">
          <w:headerReference w:type="even" r:id="rId12"/>
          <w:footerReference w:type="default" r:id="rId13"/>
          <w:pgSz w:w="11906" w:h="16838"/>
          <w:pgMar w:top="1440" w:right="1440" w:bottom="1440" w:left="1440" w:header="708" w:footer="708" w:gutter="0"/>
          <w:cols w:space="708"/>
          <w:docGrid w:linePitch="360"/>
        </w:sectPr>
      </w:pPr>
      <w:r>
        <w:t xml:space="preserve">The </w:t>
      </w:r>
      <w:r w:rsidR="00DE09C5">
        <w:t xml:space="preserve">current </w:t>
      </w:r>
      <w:r>
        <w:t xml:space="preserve">population of interest for the </w:t>
      </w:r>
      <w:r w:rsidR="00DE09C5">
        <w:t xml:space="preserve">proposed </w:t>
      </w:r>
      <w:r>
        <w:t xml:space="preserve">second-line treatment with sotorasib are those found to </w:t>
      </w:r>
      <w:r w:rsidR="002D577B">
        <w:t>have no actionable biomarkers and</w:t>
      </w:r>
      <w:r>
        <w:t xml:space="preserve"> </w:t>
      </w:r>
      <w:r w:rsidR="00DE09C5">
        <w:t xml:space="preserve">so are </w:t>
      </w:r>
      <w:r>
        <w:t xml:space="preserve">treated with immunotherapy </w:t>
      </w:r>
      <w:r>
        <w:rPr>
          <w:rFonts w:cs="Calibri"/>
        </w:rPr>
        <w:t>±</w:t>
      </w:r>
      <w:r>
        <w:t xml:space="preserve"> chemotherapy </w:t>
      </w:r>
      <w:r w:rsidR="00DE09C5">
        <w:t xml:space="preserve">as </w:t>
      </w:r>
      <w:r>
        <w:t xml:space="preserve">first-line therapy. </w:t>
      </w:r>
      <w:r w:rsidR="00DE09C5">
        <w:t>Such p</w:t>
      </w:r>
      <w:r w:rsidR="007B30F6">
        <w:t>atients</w:t>
      </w:r>
      <w:r w:rsidR="00DE09C5">
        <w:t>,</w:t>
      </w:r>
      <w:r w:rsidR="007B30F6">
        <w:t xml:space="preserve"> who may be harbouring</w:t>
      </w:r>
      <w:r w:rsidR="00DE09C5">
        <w:t xml:space="preserve"> the</w:t>
      </w:r>
      <w:r w:rsidR="007B30F6">
        <w:t xml:space="preserve"> </w:t>
      </w:r>
      <w:r w:rsidR="00A97034" w:rsidRPr="00A97034">
        <w:rPr>
          <w:i/>
        </w:rPr>
        <w:t>KRAS</w:t>
      </w:r>
      <w:r w:rsidR="00A97034" w:rsidRPr="00A97034">
        <w:t xml:space="preserve"> G12C</w:t>
      </w:r>
      <w:r w:rsidR="007B30F6">
        <w:t xml:space="preserve"> variant</w:t>
      </w:r>
      <w:r w:rsidR="00DE09C5">
        <w:t>,</w:t>
      </w:r>
      <w:r w:rsidR="007B30F6">
        <w:t xml:space="preserve"> are identified in green in the clinical algorithm below (</w:t>
      </w:r>
      <w:fldSimple w:instr=" REF _Ref76048170 ">
        <w:r w:rsidR="002D0127" w:rsidRPr="007C376E">
          <w:t xml:space="preserve">Figure </w:t>
        </w:r>
        <w:r w:rsidR="002D0127">
          <w:rPr>
            <w:noProof/>
          </w:rPr>
          <w:t>1</w:t>
        </w:r>
      </w:fldSimple>
      <w:r w:rsidR="007B30F6">
        <w:t>).</w:t>
      </w:r>
      <w:r w:rsidR="006D62A5">
        <w:t xml:space="preserve"> The current clinical algorithm was based on the</w:t>
      </w:r>
      <w:r w:rsidR="0084159B">
        <w:t xml:space="preserve"> current clinical algorithm from the</w:t>
      </w:r>
      <w:r w:rsidR="006D62A5">
        <w:t xml:space="preserve"> ratified PICO 1634 – comprehensive genomic profiling of non-squamous NSCLC using next generation sequencing. </w:t>
      </w:r>
    </w:p>
    <w:p w14:paraId="319ECB85" w14:textId="605BD9FC" w:rsidR="000E278F" w:rsidRDefault="000E278F" w:rsidP="00793915">
      <w:pPr>
        <w:keepNext/>
        <w:jc w:val="both"/>
      </w:pPr>
    </w:p>
    <w:p w14:paraId="4E3839A6" w14:textId="451787E7" w:rsidR="004F77A2" w:rsidRDefault="006C5146" w:rsidP="00793915">
      <w:pPr>
        <w:keepNext/>
        <w:jc w:val="both"/>
      </w:pPr>
      <w:r>
        <w:rPr>
          <w:noProof/>
          <w:lang w:eastAsia="en-AU"/>
        </w:rPr>
        <w:drawing>
          <wp:inline distT="0" distB="0" distL="0" distR="0" wp14:anchorId="736B13BF" wp14:editId="1446F98B">
            <wp:extent cx="8382635" cy="4986655"/>
            <wp:effectExtent l="0" t="0" r="0" b="4445"/>
            <wp:docPr id="190" name="Picture 190" descr="Figure 1 Current clinical algorithm (without KRAS G12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Figure 1 Current clinical algorithm (without KRAS G12C tes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635" cy="4986655"/>
                    </a:xfrm>
                    <a:prstGeom prst="rect">
                      <a:avLst/>
                    </a:prstGeom>
                    <a:noFill/>
                  </pic:spPr>
                </pic:pic>
              </a:graphicData>
            </a:graphic>
          </wp:inline>
        </w:drawing>
      </w:r>
    </w:p>
    <w:p w14:paraId="3C03F36B" w14:textId="054C49CE" w:rsidR="00FA08A6" w:rsidRPr="007C376E" w:rsidRDefault="003F063F" w:rsidP="00793915">
      <w:pPr>
        <w:pStyle w:val="Caption"/>
        <w:jc w:val="both"/>
        <w:rPr>
          <w:u w:val="dotted"/>
        </w:rPr>
      </w:pPr>
      <w:bookmarkStart w:id="7" w:name="_Ref76048170"/>
      <w:r w:rsidRPr="007C376E">
        <w:t xml:space="preserve">Figure </w:t>
      </w:r>
      <w:r w:rsidRPr="007C376E">
        <w:fldChar w:fldCharType="begin"/>
      </w:r>
      <w:r w:rsidRPr="007C376E">
        <w:instrText xml:space="preserve"> SEQ Figure \* ARABIC </w:instrText>
      </w:r>
      <w:r w:rsidRPr="007C376E">
        <w:fldChar w:fldCharType="separate"/>
      </w:r>
      <w:r w:rsidR="002D0127">
        <w:rPr>
          <w:noProof/>
        </w:rPr>
        <w:t>1</w:t>
      </w:r>
      <w:r w:rsidRPr="007C376E">
        <w:fldChar w:fldCharType="end"/>
      </w:r>
      <w:bookmarkEnd w:id="7"/>
      <w:r w:rsidRPr="007C376E">
        <w:tab/>
        <w:t xml:space="preserve">Current clinical algorithm (without </w:t>
      </w:r>
      <w:r w:rsidR="00A97034" w:rsidRPr="00A97034">
        <w:rPr>
          <w:i/>
        </w:rPr>
        <w:t>KRAS</w:t>
      </w:r>
      <w:r w:rsidR="00A97034" w:rsidRPr="00A97034">
        <w:t xml:space="preserve"> G12C</w:t>
      </w:r>
      <w:r w:rsidRPr="007C376E">
        <w:t xml:space="preserve"> testing)</w:t>
      </w:r>
    </w:p>
    <w:p w14:paraId="26C449B4" w14:textId="77777777" w:rsidR="003F063F" w:rsidRPr="007C376E" w:rsidRDefault="003F063F" w:rsidP="00C00B6A">
      <w:pPr>
        <w:jc w:val="both"/>
        <w:rPr>
          <w:u w:val="dotted"/>
        </w:rPr>
        <w:sectPr w:rsidR="003F063F" w:rsidRPr="007C376E" w:rsidSect="00793915">
          <w:pgSz w:w="16838" w:h="11906" w:orient="landscape"/>
          <w:pgMar w:top="1440" w:right="1440" w:bottom="1440" w:left="1440" w:header="708" w:footer="708" w:gutter="0"/>
          <w:cols w:space="708"/>
          <w:docGrid w:linePitch="360"/>
        </w:sectPr>
      </w:pPr>
    </w:p>
    <w:p w14:paraId="4EFF56E1" w14:textId="77777777" w:rsidR="009F69BF" w:rsidRPr="00D163C6" w:rsidRDefault="009F69BF" w:rsidP="00D163C6">
      <w:pPr>
        <w:pStyle w:val="Heading3"/>
        <w:jc w:val="both"/>
      </w:pPr>
      <w:r w:rsidRPr="00D163C6">
        <w:lastRenderedPageBreak/>
        <w:t>Proposed clinical management algorithm for identified population</w:t>
      </w:r>
    </w:p>
    <w:p w14:paraId="34B4CA2F" w14:textId="32C577E5" w:rsidR="009F69BF" w:rsidRDefault="009F69BF" w:rsidP="009F69BF">
      <w:pPr>
        <w:jc w:val="both"/>
      </w:pPr>
      <w:r>
        <w:t>The proposed clinical management</w:t>
      </w:r>
      <w:r w:rsidR="00541578">
        <w:t xml:space="preserve"> algorithm</w:t>
      </w:r>
      <w:r>
        <w:t xml:space="preserve"> (</w:t>
      </w:r>
      <w:fldSimple w:instr=" REF _Ref76048025 ">
        <w:r w:rsidR="002D0127" w:rsidRPr="007C376E">
          <w:t xml:space="preserve">Figure </w:t>
        </w:r>
        <w:r w:rsidR="002D0127">
          <w:rPr>
            <w:noProof/>
          </w:rPr>
          <w:t>2</w:t>
        </w:r>
      </w:fldSimple>
      <w:r>
        <w:t xml:space="preserve">) introduces </w:t>
      </w:r>
      <w:r w:rsidR="00A97034" w:rsidRPr="00A97034">
        <w:rPr>
          <w:i/>
        </w:rPr>
        <w:t>KRAS</w:t>
      </w:r>
      <w:r w:rsidR="00A97034" w:rsidRPr="00A97034">
        <w:t xml:space="preserve"> G12C</w:t>
      </w:r>
      <w:r>
        <w:t xml:space="preserve"> testing at the point of diagnosis along with </w:t>
      </w:r>
      <w:r w:rsidRPr="00541D61">
        <w:rPr>
          <w:i/>
        </w:rPr>
        <w:t>EGFR</w:t>
      </w:r>
      <w:r>
        <w:t xml:space="preserve"> testing</w:t>
      </w:r>
      <w:r w:rsidR="00541578">
        <w:t xml:space="preserve"> and </w:t>
      </w:r>
      <w:r w:rsidR="00F36B45">
        <w:t xml:space="preserve">IHC testing </w:t>
      </w:r>
      <w:r w:rsidR="000F7C0B">
        <w:t>of</w:t>
      </w:r>
      <w:r w:rsidR="00F36B45">
        <w:t xml:space="preserve"> PD-L1, </w:t>
      </w:r>
      <w:r w:rsidR="00203015">
        <w:t xml:space="preserve">and </w:t>
      </w:r>
      <w:r w:rsidR="00F36B45" w:rsidRPr="00793915">
        <w:t>ALK</w:t>
      </w:r>
      <w:r w:rsidR="00F36B45" w:rsidRPr="000475A1">
        <w:t xml:space="preserve"> </w:t>
      </w:r>
      <w:r w:rsidR="00F36B45">
        <w:t xml:space="preserve">and </w:t>
      </w:r>
      <w:r w:rsidR="00F36B45" w:rsidRPr="00793915">
        <w:t>ROS1</w:t>
      </w:r>
      <w:r w:rsidR="00F36B45" w:rsidRPr="000475A1">
        <w:t xml:space="preserve"> </w:t>
      </w:r>
      <w:r w:rsidR="00F36B45">
        <w:t>triaging</w:t>
      </w:r>
      <w:r>
        <w:t xml:space="preserve">. Further testing and treatment management </w:t>
      </w:r>
      <w:r w:rsidR="00C13E13">
        <w:t xml:space="preserve">would </w:t>
      </w:r>
      <w:r>
        <w:t xml:space="preserve">depend on the status of </w:t>
      </w:r>
      <w:r w:rsidRPr="00541D61">
        <w:rPr>
          <w:i/>
        </w:rPr>
        <w:t>EGFR</w:t>
      </w:r>
      <w:r>
        <w:t xml:space="preserve"> and </w:t>
      </w:r>
      <w:r w:rsidR="00A97034" w:rsidRPr="00A97034">
        <w:rPr>
          <w:i/>
        </w:rPr>
        <w:t>KRAS</w:t>
      </w:r>
      <w:r>
        <w:t xml:space="preserve"> variants. The</w:t>
      </w:r>
      <w:r w:rsidR="00541578">
        <w:t>re</w:t>
      </w:r>
      <w:r>
        <w:t xml:space="preserve"> </w:t>
      </w:r>
      <w:r w:rsidR="00C13E13">
        <w:t>would</w:t>
      </w:r>
      <w:r>
        <w:t xml:space="preserve"> be no change in the clinical management of those identified to </w:t>
      </w:r>
      <w:r w:rsidR="007D38F7">
        <w:t>have an activating</w:t>
      </w:r>
      <w:r>
        <w:t xml:space="preserve"> </w:t>
      </w:r>
      <w:r w:rsidRPr="00541D61">
        <w:rPr>
          <w:i/>
        </w:rPr>
        <w:t>EGFR</w:t>
      </w:r>
      <w:r w:rsidR="007D38F7">
        <w:rPr>
          <w:i/>
        </w:rPr>
        <w:t xml:space="preserve"> </w:t>
      </w:r>
      <w:r w:rsidR="007D38F7">
        <w:t>variant</w:t>
      </w:r>
      <w:r w:rsidR="006E3369">
        <w:t>.</w:t>
      </w:r>
      <w:r w:rsidR="00F36B45">
        <w:t xml:space="preserve"> </w:t>
      </w:r>
    </w:p>
    <w:p w14:paraId="0392BEA0" w14:textId="73DE47A2" w:rsidR="000D4C39" w:rsidRDefault="009F69BF" w:rsidP="00C00B6A">
      <w:pPr>
        <w:jc w:val="both"/>
      </w:pPr>
      <w:r>
        <w:t xml:space="preserve">Owing to the mutual exclusivity of the variants being tested, </w:t>
      </w:r>
      <w:r w:rsidR="00E225C1">
        <w:t xml:space="preserve">it is proposed that </w:t>
      </w:r>
      <w:r w:rsidR="00FF0937" w:rsidRPr="00FF0937">
        <w:t xml:space="preserve">the addition of </w:t>
      </w:r>
      <w:r w:rsidR="00A97034" w:rsidRPr="00A97034">
        <w:rPr>
          <w:i/>
        </w:rPr>
        <w:t>KRAS</w:t>
      </w:r>
      <w:r w:rsidR="00FF0937" w:rsidRPr="00FF0937">
        <w:t xml:space="preserve"> testing </w:t>
      </w:r>
      <w:r w:rsidR="000F7C0B">
        <w:t xml:space="preserve">would </w:t>
      </w:r>
      <w:r w:rsidR="00FF0937" w:rsidRPr="00FF0937">
        <w:t xml:space="preserve">replace confirmatory </w:t>
      </w:r>
      <w:r w:rsidR="00FF0937" w:rsidRPr="00FF0937">
        <w:rPr>
          <w:i/>
        </w:rPr>
        <w:t>ALK</w:t>
      </w:r>
      <w:r w:rsidR="00FF0937" w:rsidRPr="00FF0937">
        <w:t xml:space="preserve"> and </w:t>
      </w:r>
      <w:r w:rsidR="00FF0937" w:rsidRPr="00FF0937">
        <w:rPr>
          <w:i/>
        </w:rPr>
        <w:t>ROS1</w:t>
      </w:r>
      <w:r w:rsidR="00FF0937" w:rsidRPr="00FF0937">
        <w:t xml:space="preserve"> FISH testing in those with </w:t>
      </w:r>
      <w:r w:rsidR="00203015">
        <w:t xml:space="preserve">a </w:t>
      </w:r>
      <w:r w:rsidR="00A97034" w:rsidRPr="00A97034">
        <w:rPr>
          <w:i/>
        </w:rPr>
        <w:t>KRAS</w:t>
      </w:r>
      <w:r w:rsidR="00A97034" w:rsidRPr="00A97034">
        <w:t xml:space="preserve"> G12C</w:t>
      </w:r>
      <w:r w:rsidR="00FF0937" w:rsidRPr="00FF0937">
        <w:rPr>
          <w:i/>
        </w:rPr>
        <w:t xml:space="preserve"> </w:t>
      </w:r>
      <w:r w:rsidR="006E531C" w:rsidRPr="006E531C">
        <w:t>variant</w:t>
      </w:r>
      <w:r w:rsidR="006E531C">
        <w:rPr>
          <w:i/>
        </w:rPr>
        <w:t xml:space="preserve"> </w:t>
      </w:r>
      <w:r w:rsidR="00203015">
        <w:t xml:space="preserve">or any </w:t>
      </w:r>
      <w:r w:rsidR="006E531C">
        <w:t xml:space="preserve">other </w:t>
      </w:r>
      <w:r w:rsidR="007D38F7">
        <w:t xml:space="preserve">pathogenic </w:t>
      </w:r>
      <w:r w:rsidR="00A97034" w:rsidRPr="00A97034">
        <w:rPr>
          <w:i/>
        </w:rPr>
        <w:t>KRAS</w:t>
      </w:r>
      <w:r w:rsidR="006E531C">
        <w:t xml:space="preserve"> </w:t>
      </w:r>
      <w:r w:rsidR="00FF0937" w:rsidRPr="00FF0937">
        <w:t>variants</w:t>
      </w:r>
      <w:r>
        <w:t xml:space="preserve">. First-line therapy in this groups </w:t>
      </w:r>
      <w:r w:rsidR="00C13E13">
        <w:t xml:space="preserve">would </w:t>
      </w:r>
      <w:r>
        <w:t>remain</w:t>
      </w:r>
      <w:r w:rsidR="00E225C1">
        <w:t xml:space="preserve"> the</w:t>
      </w:r>
      <w:r>
        <w:t xml:space="preserve"> same</w:t>
      </w:r>
      <w:r w:rsidR="00541578">
        <w:t>,</w:t>
      </w:r>
      <w:r>
        <w:t xml:space="preserve"> which is immunotherapy </w:t>
      </w:r>
      <w:r>
        <w:rPr>
          <w:rFonts w:cs="Calibri"/>
        </w:rPr>
        <w:t>±</w:t>
      </w:r>
      <w:r>
        <w:t xml:space="preserve"> chemotherapy. However, sotorasib </w:t>
      </w:r>
      <w:r w:rsidR="00C13E13">
        <w:t>would</w:t>
      </w:r>
      <w:r>
        <w:t xml:space="preserve"> be considered for second-line therapy </w:t>
      </w:r>
      <w:r w:rsidR="0047565D">
        <w:t xml:space="preserve">in those with </w:t>
      </w:r>
      <w:r w:rsidR="00A97034" w:rsidRPr="00A97034">
        <w:rPr>
          <w:i/>
        </w:rPr>
        <w:t>KRAS</w:t>
      </w:r>
      <w:r w:rsidR="00A97034" w:rsidRPr="00A97034">
        <w:t xml:space="preserve"> G12C</w:t>
      </w:r>
      <w:r w:rsidR="0047565D">
        <w:t xml:space="preserve"> variant</w:t>
      </w:r>
      <w:r w:rsidR="00203015">
        <w:t>s</w:t>
      </w:r>
      <w:r w:rsidR="0047565D">
        <w:t xml:space="preserve"> </w:t>
      </w:r>
      <w:r>
        <w:t>after the disease progression.</w:t>
      </w:r>
    </w:p>
    <w:p w14:paraId="5A0129E7" w14:textId="052A272B" w:rsidR="00332AB4" w:rsidRDefault="00541578" w:rsidP="00C00B6A">
      <w:pPr>
        <w:jc w:val="both"/>
      </w:pPr>
      <w:r>
        <w:t xml:space="preserve">Second-line treatment for those without </w:t>
      </w:r>
      <w:r w:rsidR="00A97034" w:rsidRPr="00A97034">
        <w:rPr>
          <w:i/>
        </w:rPr>
        <w:t>KRAS</w:t>
      </w:r>
      <w:r w:rsidR="00A97034" w:rsidRPr="00A97034">
        <w:t xml:space="preserve"> G12C</w:t>
      </w:r>
      <w:r>
        <w:t xml:space="preserve"> variants </w:t>
      </w:r>
      <w:r w:rsidR="00C13E13">
        <w:t>would</w:t>
      </w:r>
      <w:r w:rsidR="006E3369">
        <w:t xml:space="preserve"> be standard care (docetaxel)</w:t>
      </w:r>
      <w:r w:rsidR="00E225C1">
        <w:t>.</w:t>
      </w:r>
    </w:p>
    <w:p w14:paraId="279AF4A6" w14:textId="640B693E" w:rsidR="00332AB4" w:rsidRPr="00C92E98" w:rsidRDefault="00332AB4" w:rsidP="00C00B6A">
      <w:pPr>
        <w:jc w:val="both"/>
        <w:rPr>
          <w:i/>
          <w:iCs/>
        </w:rPr>
        <w:sectPr w:rsidR="00332AB4" w:rsidRPr="00C92E98">
          <w:pgSz w:w="11906" w:h="16838"/>
          <w:pgMar w:top="1440" w:right="1440" w:bottom="1440" w:left="1440" w:header="708" w:footer="708" w:gutter="0"/>
          <w:cols w:space="708"/>
          <w:docGrid w:linePitch="360"/>
        </w:sectPr>
      </w:pPr>
      <w:r w:rsidRPr="00C92E98">
        <w:rPr>
          <w:i/>
          <w:iCs/>
        </w:rPr>
        <w:t xml:space="preserve">PASC advised that, if this application were successful, the item descriptors for </w:t>
      </w:r>
      <w:r w:rsidRPr="00947B1D">
        <w:rPr>
          <w:i/>
          <w:iCs/>
        </w:rPr>
        <w:t>ALK</w:t>
      </w:r>
      <w:r w:rsidRPr="00C92E98">
        <w:rPr>
          <w:i/>
          <w:iCs/>
        </w:rPr>
        <w:t xml:space="preserve"> and </w:t>
      </w:r>
      <w:r w:rsidRPr="00947B1D">
        <w:rPr>
          <w:i/>
          <w:iCs/>
        </w:rPr>
        <w:t>ROS1</w:t>
      </w:r>
      <w:r w:rsidRPr="00C92E98">
        <w:rPr>
          <w:i/>
          <w:iCs/>
        </w:rPr>
        <w:t xml:space="preserve"> FISH testing (73341 and 73344, respectively) would need to be modified to add “with documented absence of </w:t>
      </w:r>
      <w:r w:rsidRPr="00D734F1">
        <w:t>KRAS</w:t>
      </w:r>
      <w:r w:rsidRPr="00C92E98">
        <w:rPr>
          <w:i/>
          <w:iCs/>
        </w:rPr>
        <w:t xml:space="preserve"> pathogenic variants”.</w:t>
      </w:r>
    </w:p>
    <w:p w14:paraId="744B11F3" w14:textId="6EB7FF0A" w:rsidR="004F77A2" w:rsidRDefault="004F77A2" w:rsidP="007377DA">
      <w:pPr>
        <w:keepNext/>
        <w:jc w:val="both"/>
      </w:pPr>
      <w:r>
        <w:rPr>
          <w:noProof/>
          <w:lang w:eastAsia="en-AU"/>
        </w:rPr>
        <w:lastRenderedPageBreak/>
        <w:drawing>
          <wp:inline distT="0" distB="0" distL="0" distR="0" wp14:anchorId="73DA562C" wp14:editId="36191BD0">
            <wp:extent cx="9115425" cy="4994417"/>
            <wp:effectExtent l="0" t="0" r="0" b="0"/>
            <wp:docPr id="184" name="Picture 184" descr="Figure 2  Proposed clinical algorithm for NSCLC at time of diagnosis (with KRAS G12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Figure 2  Proposed clinical algorithm for NSCLC at time of diagnosis (with KRAS G12C tes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15425" cy="4994417"/>
                    </a:xfrm>
                    <a:prstGeom prst="rect">
                      <a:avLst/>
                    </a:prstGeom>
                    <a:noFill/>
                  </pic:spPr>
                </pic:pic>
              </a:graphicData>
            </a:graphic>
          </wp:inline>
        </w:drawing>
      </w:r>
    </w:p>
    <w:p w14:paraId="1843847C" w14:textId="101E4BC8" w:rsidR="00FA08A6" w:rsidRPr="007C376E" w:rsidRDefault="003F063F" w:rsidP="007377DA">
      <w:pPr>
        <w:pStyle w:val="Caption"/>
        <w:jc w:val="both"/>
        <w:rPr>
          <w:u w:val="dotted"/>
        </w:rPr>
      </w:pPr>
      <w:bookmarkStart w:id="8" w:name="_Ref76048025"/>
      <w:r w:rsidRPr="007C376E">
        <w:t xml:space="preserve">Figure </w:t>
      </w:r>
      <w:r w:rsidRPr="007C376E">
        <w:fldChar w:fldCharType="begin"/>
      </w:r>
      <w:r w:rsidRPr="007C376E">
        <w:instrText xml:space="preserve"> SEQ Figure \* ARABIC </w:instrText>
      </w:r>
      <w:r w:rsidRPr="007C376E">
        <w:fldChar w:fldCharType="separate"/>
      </w:r>
      <w:r w:rsidR="002D0127">
        <w:rPr>
          <w:noProof/>
        </w:rPr>
        <w:t>2</w:t>
      </w:r>
      <w:r w:rsidRPr="007C376E">
        <w:fldChar w:fldCharType="end"/>
      </w:r>
      <w:bookmarkEnd w:id="8"/>
      <w:r w:rsidRPr="007C376E">
        <w:t xml:space="preserve"> </w:t>
      </w:r>
      <w:r w:rsidRPr="007C376E">
        <w:tab/>
        <w:t>Proposed clinical algorithm</w:t>
      </w:r>
      <w:r w:rsidR="00E056DA" w:rsidRPr="007C376E">
        <w:t xml:space="preserve"> for NSCLC at time of diagnosis</w:t>
      </w:r>
      <w:r w:rsidRPr="007C376E">
        <w:t xml:space="preserve"> (with </w:t>
      </w:r>
      <w:r w:rsidR="00A97034" w:rsidRPr="00A97034">
        <w:rPr>
          <w:i/>
        </w:rPr>
        <w:t>KRAS</w:t>
      </w:r>
      <w:r w:rsidR="00A97034" w:rsidRPr="00A97034">
        <w:t xml:space="preserve"> G12C</w:t>
      </w:r>
      <w:r w:rsidRPr="007C376E">
        <w:t xml:space="preserve"> testing)</w:t>
      </w:r>
    </w:p>
    <w:p w14:paraId="5F15D182" w14:textId="29747499" w:rsidR="003F063F" w:rsidRPr="007C376E" w:rsidRDefault="003F063F" w:rsidP="00C00B6A">
      <w:pPr>
        <w:jc w:val="both"/>
        <w:rPr>
          <w:u w:val="dotted"/>
        </w:rPr>
        <w:sectPr w:rsidR="003F063F" w:rsidRPr="007C376E" w:rsidSect="00793915">
          <w:pgSz w:w="16838" w:h="11906" w:orient="landscape"/>
          <w:pgMar w:top="1440" w:right="1440" w:bottom="1440" w:left="1440" w:header="708" w:footer="708" w:gutter="0"/>
          <w:cols w:space="708"/>
          <w:docGrid w:linePitch="360"/>
        </w:sectPr>
      </w:pPr>
    </w:p>
    <w:p w14:paraId="713E4F07" w14:textId="2C764E47" w:rsidR="00E968F6" w:rsidRPr="007D1A64" w:rsidRDefault="003E0382" w:rsidP="007D1A64">
      <w:pPr>
        <w:pStyle w:val="Heading2"/>
        <w:spacing w:line="240" w:lineRule="auto"/>
        <w:jc w:val="both"/>
        <w:rPr>
          <w:color w:val="548DD4"/>
          <w:u w:val="none"/>
        </w:rPr>
      </w:pPr>
      <w:r w:rsidRPr="007D1A64">
        <w:rPr>
          <w:color w:val="548DD4"/>
          <w:u w:val="none"/>
        </w:rPr>
        <w:lastRenderedPageBreak/>
        <w:t xml:space="preserve">Proposed </w:t>
      </w:r>
      <w:r w:rsidR="002B226C" w:rsidRPr="007D1A64">
        <w:rPr>
          <w:color w:val="548DD4"/>
          <w:u w:val="none"/>
        </w:rPr>
        <w:t xml:space="preserve">economic </w:t>
      </w:r>
      <w:r w:rsidR="009E5295" w:rsidRPr="007D1A64">
        <w:rPr>
          <w:color w:val="548DD4"/>
          <w:u w:val="none"/>
        </w:rPr>
        <w:t>evaluation</w:t>
      </w:r>
    </w:p>
    <w:p w14:paraId="2BB5A963" w14:textId="4A963341" w:rsidR="0078271C" w:rsidRDefault="00DB475A" w:rsidP="009A20EA">
      <w:pPr>
        <w:spacing w:before="200"/>
        <w:jc w:val="both"/>
      </w:pPr>
      <w:r w:rsidRPr="007E7B26">
        <w:t>The applicant propose</w:t>
      </w:r>
      <w:r w:rsidR="00994898">
        <w:t>d</w:t>
      </w:r>
      <w:r>
        <w:t xml:space="preserve"> that </w:t>
      </w:r>
      <w:r w:rsidR="003A4189">
        <w:t>the overall clinical claim for the proposed medical service (</w:t>
      </w:r>
      <w:r w:rsidR="00A97034" w:rsidRPr="00A97034">
        <w:rPr>
          <w:i/>
        </w:rPr>
        <w:t>KRAS</w:t>
      </w:r>
      <w:r w:rsidR="00A97034" w:rsidRPr="00A97034">
        <w:t xml:space="preserve"> G12C</w:t>
      </w:r>
      <w:r>
        <w:t xml:space="preserve"> testing and treatment with sotorasib</w:t>
      </w:r>
      <w:r w:rsidR="003A4189">
        <w:t>)</w:t>
      </w:r>
      <w:r>
        <w:t xml:space="preserve"> is </w:t>
      </w:r>
      <w:r>
        <w:rPr>
          <w:u w:val="single"/>
        </w:rPr>
        <w:t>superior</w:t>
      </w:r>
      <w:r w:rsidR="007C376E">
        <w:t xml:space="preserve"> </w:t>
      </w:r>
      <w:r w:rsidR="006845DE">
        <w:t>in regard to</w:t>
      </w:r>
      <w:r w:rsidR="00A93592">
        <w:t xml:space="preserve"> both safety and effectiveness </w:t>
      </w:r>
      <w:r w:rsidR="003A4189">
        <w:t xml:space="preserve">compared to </w:t>
      </w:r>
      <w:r>
        <w:t xml:space="preserve">the main comparator (no </w:t>
      </w:r>
      <w:r w:rsidR="00A97034" w:rsidRPr="00A97034">
        <w:rPr>
          <w:i/>
        </w:rPr>
        <w:t>KRAS</w:t>
      </w:r>
      <w:r w:rsidR="00A97034" w:rsidRPr="00A97034">
        <w:t xml:space="preserve"> G12C</w:t>
      </w:r>
      <w:r w:rsidR="00AE2931">
        <w:rPr>
          <w:i/>
        </w:rPr>
        <w:t xml:space="preserve"> </w:t>
      </w:r>
      <w:r>
        <w:t>testing and doc</w:t>
      </w:r>
      <w:r w:rsidR="00C77FB0">
        <w:t>etaxel) in patients with NSCLC.</w:t>
      </w:r>
      <w:r w:rsidR="00031816">
        <w:t xml:space="preserve"> </w:t>
      </w:r>
      <w:r w:rsidR="00EC5763">
        <w:t>Given the claim of clinical superiority, t</w:t>
      </w:r>
      <w:r w:rsidR="0078271C">
        <w:t xml:space="preserve">he appropriate </w:t>
      </w:r>
      <w:r w:rsidR="00994898">
        <w:t xml:space="preserve">type of </w:t>
      </w:r>
      <w:r w:rsidR="0078271C">
        <w:t>econom</w:t>
      </w:r>
      <w:r w:rsidR="00031816">
        <w:t>ic evaluation is a cost</w:t>
      </w:r>
      <w:r w:rsidR="0078271C">
        <w:t>-effectiveness or cost-utility analysis</w:t>
      </w:r>
      <w:r w:rsidR="00031816">
        <w:t>.</w:t>
      </w:r>
    </w:p>
    <w:p w14:paraId="046AF09D" w14:textId="6D2A967B" w:rsidR="0078271C" w:rsidRDefault="009113AC" w:rsidP="009113AC">
      <w:pPr>
        <w:pStyle w:val="Caption"/>
      </w:pPr>
      <w:bookmarkStart w:id="9" w:name="_Ref64908838"/>
      <w:r>
        <w:t xml:space="preserve">Table </w:t>
      </w:r>
      <w:r>
        <w:fldChar w:fldCharType="begin"/>
      </w:r>
      <w:r>
        <w:instrText xml:space="preserve"> SEQ Table \* ARABIC </w:instrText>
      </w:r>
      <w:r>
        <w:fldChar w:fldCharType="separate"/>
      </w:r>
      <w:r w:rsidR="002D0127">
        <w:rPr>
          <w:noProof/>
        </w:rPr>
        <w:t>4</w:t>
      </w:r>
      <w:r>
        <w:fldChar w:fldCharType="end"/>
      </w:r>
      <w:bookmarkEnd w:id="9"/>
      <w:r w:rsidR="00031816">
        <w:t>:</w:t>
      </w:r>
      <w:r w:rsidR="0078271C">
        <w:t xml:space="preserve"> Classification of the comparative effectiveness and safety of the proposed intervention compared with its main comparator and guide to the suitable type of economic evaluation</w:t>
      </w:r>
    </w:p>
    <w:tbl>
      <w:tblPr>
        <w:tblStyle w:val="ListTable4-Accent5"/>
        <w:tblW w:w="4872" w:type="pct"/>
        <w:tblLayout w:type="fixed"/>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894"/>
        <w:gridCol w:w="1929"/>
        <w:gridCol w:w="1984"/>
        <w:gridCol w:w="1701"/>
        <w:gridCol w:w="1277"/>
      </w:tblGrid>
      <w:tr w:rsidR="00AF5DCB" w:rsidRPr="00D57844" w14:paraId="2C063915" w14:textId="77777777" w:rsidTr="00BB1D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4" w:type="dxa"/>
            <w:tcBorders>
              <w:right w:val="single" w:sz="4" w:space="0" w:color="auto"/>
            </w:tcBorders>
          </w:tcPr>
          <w:p w14:paraId="159D6053" w14:textId="77777777" w:rsidR="00AF5DCB" w:rsidRPr="00D57844" w:rsidRDefault="00AF5DCB" w:rsidP="00C00B6A">
            <w:pPr>
              <w:pStyle w:val="TableHeading"/>
              <w:jc w:val="both"/>
              <w:rPr>
                <w:rFonts w:cstheme="minorHAnsi"/>
                <w:b/>
              </w:rPr>
            </w:pPr>
            <w:r w:rsidRPr="00D57844">
              <w:rPr>
                <w:rFonts w:cstheme="minorHAnsi"/>
                <w:b/>
              </w:rPr>
              <w:t>Comparative safety</w:t>
            </w:r>
          </w:p>
        </w:tc>
        <w:tc>
          <w:tcPr>
            <w:cnfStyle w:val="000100000000" w:firstRow="0" w:lastRow="0" w:firstColumn="0" w:lastColumn="1" w:oddVBand="0" w:evenVBand="0" w:oddHBand="0" w:evenHBand="0" w:firstRowFirstColumn="0" w:firstRowLastColumn="0" w:lastRowFirstColumn="0" w:lastRowLastColumn="0"/>
            <w:tcW w:w="6891" w:type="dxa"/>
            <w:gridSpan w:val="4"/>
            <w:tcBorders>
              <w:left w:val="single" w:sz="4" w:space="0" w:color="auto"/>
            </w:tcBorders>
          </w:tcPr>
          <w:p w14:paraId="70208E76" w14:textId="07CE48BC" w:rsidR="00AF5DCB" w:rsidRPr="00D57844" w:rsidRDefault="00AF5DCB" w:rsidP="006E27FA">
            <w:pPr>
              <w:pStyle w:val="TableHeading"/>
              <w:jc w:val="center"/>
              <w:rPr>
                <w:rFonts w:cstheme="minorHAnsi"/>
                <w:b/>
              </w:rPr>
            </w:pPr>
            <w:r w:rsidRPr="00D57844">
              <w:rPr>
                <w:rFonts w:cstheme="minorHAnsi"/>
                <w:b/>
              </w:rPr>
              <w:t>Comparative effectiveness</w:t>
            </w:r>
          </w:p>
        </w:tc>
      </w:tr>
      <w:tr w:rsidR="0078271C" w:rsidRPr="00D57844" w14:paraId="149CFB17" w14:textId="77777777" w:rsidTr="00320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05C8A9FB" w14:textId="77777777" w:rsidR="0078271C" w:rsidRPr="00D57844" w:rsidRDefault="0078271C" w:rsidP="00C00B6A">
            <w:pPr>
              <w:pStyle w:val="TableHeading"/>
              <w:jc w:val="both"/>
              <w:rPr>
                <w:rFonts w:cstheme="minorHAnsi"/>
              </w:rPr>
            </w:pPr>
            <w:r w:rsidRPr="00D57844">
              <w:rPr>
                <w:rFonts w:cstheme="minorHAnsi"/>
                <w:color w:val="FFFFFF" w:themeColor="background1"/>
              </w:rPr>
              <w:t>-</w:t>
            </w:r>
          </w:p>
        </w:tc>
        <w:tc>
          <w:tcPr>
            <w:cnfStyle w:val="000010000000" w:firstRow="0" w:lastRow="0" w:firstColumn="0" w:lastColumn="0" w:oddVBand="1" w:evenVBand="0" w:oddHBand="0" w:evenHBand="0" w:firstRowFirstColumn="0" w:firstRowLastColumn="0" w:lastRowFirstColumn="0" w:lastRowLastColumn="0"/>
            <w:tcW w:w="1929" w:type="dxa"/>
          </w:tcPr>
          <w:p w14:paraId="7E2DC35E" w14:textId="77777777" w:rsidR="0078271C" w:rsidRPr="00D57844" w:rsidRDefault="0078271C" w:rsidP="00C00B6A">
            <w:pPr>
              <w:pStyle w:val="TableHeading"/>
              <w:jc w:val="both"/>
              <w:rPr>
                <w:rFonts w:cstheme="minorHAnsi"/>
              </w:rPr>
            </w:pPr>
            <w:r w:rsidRPr="00D57844">
              <w:rPr>
                <w:rFonts w:cstheme="minorHAnsi"/>
              </w:rPr>
              <w:t>Inferior</w:t>
            </w:r>
          </w:p>
        </w:tc>
        <w:tc>
          <w:tcPr>
            <w:tcW w:w="1984" w:type="dxa"/>
          </w:tcPr>
          <w:p w14:paraId="3CACEE66" w14:textId="77777777" w:rsidR="0078271C" w:rsidRPr="00D57844" w:rsidRDefault="0078271C" w:rsidP="00C00B6A">
            <w:pPr>
              <w:pStyle w:val="TableHeading"/>
              <w:jc w:val="both"/>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D57844">
              <w:rPr>
                <w:rFonts w:cstheme="minorHAnsi"/>
              </w:rPr>
              <w:t>Uncertain</w:t>
            </w:r>
            <w:r w:rsidRPr="00D57844">
              <w:rPr>
                <w:rFonts w:cstheme="minorHAnsi"/>
                <w:vertAlign w:val="superscript"/>
              </w:rPr>
              <w:t>a</w:t>
            </w:r>
            <w:proofErr w:type="spellEnd"/>
          </w:p>
        </w:tc>
        <w:tc>
          <w:tcPr>
            <w:cnfStyle w:val="000010000000" w:firstRow="0" w:lastRow="0" w:firstColumn="0" w:lastColumn="0" w:oddVBand="1" w:evenVBand="0" w:oddHBand="0" w:evenHBand="0" w:firstRowFirstColumn="0" w:firstRowLastColumn="0" w:lastRowFirstColumn="0" w:lastRowLastColumn="0"/>
            <w:tcW w:w="1701" w:type="dxa"/>
          </w:tcPr>
          <w:p w14:paraId="5142A5A1" w14:textId="77777777" w:rsidR="0078271C" w:rsidRPr="00D57844" w:rsidRDefault="0078271C" w:rsidP="00C00B6A">
            <w:pPr>
              <w:pStyle w:val="TableHeading"/>
              <w:jc w:val="both"/>
              <w:rPr>
                <w:rFonts w:cstheme="minorHAnsi"/>
              </w:rPr>
            </w:pPr>
            <w:r w:rsidRPr="00D57844">
              <w:rPr>
                <w:rFonts w:cstheme="minorHAnsi"/>
              </w:rPr>
              <w:t>Non-</w:t>
            </w:r>
            <w:proofErr w:type="spellStart"/>
            <w:r w:rsidRPr="00D57844">
              <w:rPr>
                <w:rFonts w:cstheme="minorHAnsi"/>
              </w:rPr>
              <w:t>inferior</w:t>
            </w:r>
            <w:r w:rsidRPr="00D57844">
              <w:rPr>
                <w:rFonts w:cstheme="minorHAnsi"/>
                <w:vertAlign w:val="superscript"/>
              </w:rPr>
              <w:t>b</w:t>
            </w:r>
            <w:proofErr w:type="spellEnd"/>
          </w:p>
        </w:tc>
        <w:tc>
          <w:tcPr>
            <w:cnfStyle w:val="000100000000" w:firstRow="0" w:lastRow="0" w:firstColumn="0" w:lastColumn="1" w:oddVBand="0" w:evenVBand="0" w:oddHBand="0" w:evenHBand="0" w:firstRowFirstColumn="0" w:firstRowLastColumn="0" w:lastRowFirstColumn="0" w:lastRowLastColumn="0"/>
            <w:tcW w:w="1277" w:type="dxa"/>
          </w:tcPr>
          <w:p w14:paraId="04D904E2" w14:textId="77777777" w:rsidR="0078271C" w:rsidRPr="00D57844" w:rsidRDefault="0078271C" w:rsidP="00C00B6A">
            <w:pPr>
              <w:pStyle w:val="TableHeading"/>
              <w:jc w:val="both"/>
              <w:rPr>
                <w:rFonts w:cstheme="minorHAnsi"/>
                <w:b/>
              </w:rPr>
            </w:pPr>
            <w:r w:rsidRPr="00D57844">
              <w:rPr>
                <w:rFonts w:cstheme="minorHAnsi"/>
                <w:b/>
              </w:rPr>
              <w:t>Superior</w:t>
            </w:r>
          </w:p>
        </w:tc>
      </w:tr>
      <w:tr w:rsidR="0078271C" w:rsidRPr="00D57844" w14:paraId="4A3BBE13" w14:textId="77777777" w:rsidTr="00320679">
        <w:tc>
          <w:tcPr>
            <w:cnfStyle w:val="001000000000" w:firstRow="0" w:lastRow="0" w:firstColumn="1" w:lastColumn="0" w:oddVBand="0" w:evenVBand="0" w:oddHBand="0" w:evenHBand="0" w:firstRowFirstColumn="0" w:firstRowLastColumn="0" w:lastRowFirstColumn="0" w:lastRowLastColumn="0"/>
            <w:tcW w:w="1894" w:type="dxa"/>
          </w:tcPr>
          <w:p w14:paraId="6559628B" w14:textId="77777777" w:rsidR="0078271C" w:rsidRPr="00D57844" w:rsidRDefault="0078271C" w:rsidP="00C00B6A">
            <w:pPr>
              <w:pStyle w:val="Tabletext"/>
              <w:jc w:val="both"/>
              <w:rPr>
                <w:rFonts w:cstheme="minorHAnsi"/>
              </w:rPr>
            </w:pPr>
            <w:r w:rsidRPr="00D57844">
              <w:rPr>
                <w:rFonts w:cstheme="minorHAnsi"/>
              </w:rPr>
              <w:t>Inferior</w:t>
            </w:r>
          </w:p>
        </w:tc>
        <w:tc>
          <w:tcPr>
            <w:cnfStyle w:val="000010000000" w:firstRow="0" w:lastRow="0" w:firstColumn="0" w:lastColumn="0" w:oddVBand="1" w:evenVBand="0" w:oddHBand="0" w:evenHBand="0" w:firstRowFirstColumn="0" w:firstRowLastColumn="0" w:lastRowFirstColumn="0" w:lastRowLastColumn="0"/>
            <w:tcW w:w="1929" w:type="dxa"/>
          </w:tcPr>
          <w:p w14:paraId="31264963" w14:textId="77777777" w:rsidR="0078271C" w:rsidRPr="00D57844" w:rsidRDefault="0078271C" w:rsidP="00320679">
            <w:pPr>
              <w:pStyle w:val="Tabletext"/>
              <w:rPr>
                <w:rFonts w:cstheme="minorHAnsi"/>
              </w:rPr>
            </w:pPr>
            <w:r w:rsidRPr="00D57844">
              <w:rPr>
                <w:rFonts w:cstheme="minorHAnsi"/>
              </w:rPr>
              <w:t>Health forgone: need other supportive factors</w:t>
            </w:r>
          </w:p>
        </w:tc>
        <w:tc>
          <w:tcPr>
            <w:tcW w:w="1984" w:type="dxa"/>
          </w:tcPr>
          <w:p w14:paraId="24DA1B1B" w14:textId="77777777" w:rsidR="0078271C" w:rsidRPr="00D57844" w:rsidRDefault="0078271C" w:rsidP="0032067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57844">
              <w:rPr>
                <w:rFonts w:cstheme="minorHAnsi"/>
              </w:rPr>
              <w:t>Health forgone possible: need other supportive factors</w:t>
            </w:r>
          </w:p>
        </w:tc>
        <w:tc>
          <w:tcPr>
            <w:cnfStyle w:val="000010000000" w:firstRow="0" w:lastRow="0" w:firstColumn="0" w:lastColumn="0" w:oddVBand="1" w:evenVBand="0" w:oddHBand="0" w:evenHBand="0" w:firstRowFirstColumn="0" w:firstRowLastColumn="0" w:lastRowFirstColumn="0" w:lastRowLastColumn="0"/>
            <w:tcW w:w="1701" w:type="dxa"/>
          </w:tcPr>
          <w:p w14:paraId="5E4EA0DD" w14:textId="77777777" w:rsidR="0078271C" w:rsidRPr="00D57844" w:rsidRDefault="0078271C" w:rsidP="00320679">
            <w:pPr>
              <w:pStyle w:val="Tabletext"/>
              <w:rPr>
                <w:rFonts w:cstheme="minorHAnsi"/>
              </w:rPr>
            </w:pPr>
            <w:r w:rsidRPr="00D57844">
              <w:rPr>
                <w:rFonts w:cstheme="minorHAnsi"/>
              </w:rPr>
              <w:t>Health forgone: need other supportive factors</w:t>
            </w:r>
          </w:p>
        </w:tc>
        <w:tc>
          <w:tcPr>
            <w:cnfStyle w:val="000100000000" w:firstRow="0" w:lastRow="0" w:firstColumn="0" w:lastColumn="1" w:oddVBand="0" w:evenVBand="0" w:oddHBand="0" w:evenHBand="0" w:firstRowFirstColumn="0" w:firstRowLastColumn="0" w:lastRowFirstColumn="0" w:lastRowLastColumn="0"/>
            <w:tcW w:w="1277" w:type="dxa"/>
          </w:tcPr>
          <w:p w14:paraId="097E381F" w14:textId="77777777" w:rsidR="0078271C" w:rsidRPr="00D57844" w:rsidRDefault="0078271C" w:rsidP="00320679">
            <w:pPr>
              <w:pStyle w:val="Tabletext"/>
              <w:rPr>
                <w:rFonts w:cstheme="minorHAnsi"/>
              </w:rPr>
            </w:pPr>
            <w:r w:rsidRPr="00D57844">
              <w:rPr>
                <w:rFonts w:cstheme="minorHAnsi"/>
              </w:rPr>
              <w:t>? Likely CUA</w:t>
            </w:r>
          </w:p>
        </w:tc>
      </w:tr>
      <w:tr w:rsidR="0078271C" w:rsidRPr="00D57844" w14:paraId="5F72304A" w14:textId="77777777" w:rsidTr="00320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70F7BD4F" w14:textId="77777777" w:rsidR="0078271C" w:rsidRPr="00D57844" w:rsidRDefault="0078271C" w:rsidP="00C00B6A">
            <w:pPr>
              <w:pStyle w:val="Tabletext"/>
              <w:jc w:val="both"/>
              <w:rPr>
                <w:rFonts w:cstheme="minorHAnsi"/>
              </w:rPr>
            </w:pPr>
            <w:proofErr w:type="spellStart"/>
            <w:r w:rsidRPr="00D57844">
              <w:rPr>
                <w:rFonts w:cstheme="minorHAnsi"/>
              </w:rPr>
              <w:t>Uncertain</w:t>
            </w:r>
            <w:r w:rsidRPr="00D57844">
              <w:rPr>
                <w:rFonts w:cstheme="minorHAnsi"/>
                <w:vertAlign w:val="superscript"/>
              </w:rPr>
              <w:t>a</w:t>
            </w:r>
            <w:proofErr w:type="spellEnd"/>
          </w:p>
        </w:tc>
        <w:tc>
          <w:tcPr>
            <w:cnfStyle w:val="000010000000" w:firstRow="0" w:lastRow="0" w:firstColumn="0" w:lastColumn="0" w:oddVBand="1" w:evenVBand="0" w:oddHBand="0" w:evenHBand="0" w:firstRowFirstColumn="0" w:firstRowLastColumn="0" w:lastRowFirstColumn="0" w:lastRowLastColumn="0"/>
            <w:tcW w:w="1929" w:type="dxa"/>
          </w:tcPr>
          <w:p w14:paraId="6B267ACE" w14:textId="77777777" w:rsidR="0078271C" w:rsidRPr="00D57844" w:rsidRDefault="0078271C" w:rsidP="00320679">
            <w:pPr>
              <w:pStyle w:val="Tabletext"/>
              <w:rPr>
                <w:rFonts w:cstheme="minorHAnsi"/>
              </w:rPr>
            </w:pPr>
            <w:r w:rsidRPr="00D57844">
              <w:rPr>
                <w:rFonts w:cstheme="minorHAnsi"/>
              </w:rPr>
              <w:t>Health forgone possible: need other supportive factors</w:t>
            </w:r>
          </w:p>
        </w:tc>
        <w:tc>
          <w:tcPr>
            <w:tcW w:w="1984" w:type="dxa"/>
          </w:tcPr>
          <w:p w14:paraId="3E421B76" w14:textId="77777777" w:rsidR="0078271C" w:rsidRPr="00D57844" w:rsidRDefault="0078271C" w:rsidP="0032067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57844">
              <w:rPr>
                <w:rFonts w:cstheme="minorHAnsi"/>
              </w:rPr>
              <w:t>?</w:t>
            </w:r>
          </w:p>
        </w:tc>
        <w:tc>
          <w:tcPr>
            <w:cnfStyle w:val="000010000000" w:firstRow="0" w:lastRow="0" w:firstColumn="0" w:lastColumn="0" w:oddVBand="1" w:evenVBand="0" w:oddHBand="0" w:evenHBand="0" w:firstRowFirstColumn="0" w:firstRowLastColumn="0" w:lastRowFirstColumn="0" w:lastRowLastColumn="0"/>
            <w:tcW w:w="1701" w:type="dxa"/>
          </w:tcPr>
          <w:p w14:paraId="092443A1" w14:textId="77777777" w:rsidR="0078271C" w:rsidRPr="00D57844" w:rsidRDefault="0078271C" w:rsidP="00320679">
            <w:pPr>
              <w:pStyle w:val="Tabletext"/>
              <w:rPr>
                <w:rFonts w:cstheme="minorHAnsi"/>
              </w:rPr>
            </w:pPr>
            <w:r w:rsidRPr="00D57844">
              <w:rPr>
                <w:rFonts w:cstheme="minorHAnsi"/>
              </w:rPr>
              <w:t>?</w:t>
            </w:r>
          </w:p>
        </w:tc>
        <w:tc>
          <w:tcPr>
            <w:cnfStyle w:val="000100000000" w:firstRow="0" w:lastRow="0" w:firstColumn="0" w:lastColumn="1" w:oddVBand="0" w:evenVBand="0" w:oddHBand="0" w:evenHBand="0" w:firstRowFirstColumn="0" w:firstRowLastColumn="0" w:lastRowFirstColumn="0" w:lastRowLastColumn="0"/>
            <w:tcW w:w="1277" w:type="dxa"/>
          </w:tcPr>
          <w:p w14:paraId="4F432F16" w14:textId="77777777" w:rsidR="0078271C" w:rsidRPr="00D57844" w:rsidRDefault="0078271C" w:rsidP="00320679">
            <w:pPr>
              <w:pStyle w:val="Tabletext"/>
              <w:rPr>
                <w:rFonts w:cstheme="minorHAnsi"/>
              </w:rPr>
            </w:pPr>
            <w:r w:rsidRPr="00D57844">
              <w:rPr>
                <w:rFonts w:cstheme="minorHAnsi"/>
              </w:rPr>
              <w:t>? Likely CEA/CUA</w:t>
            </w:r>
          </w:p>
        </w:tc>
      </w:tr>
      <w:tr w:rsidR="0078271C" w:rsidRPr="00D57844" w14:paraId="3F931370" w14:textId="77777777" w:rsidTr="00C92E98">
        <w:tc>
          <w:tcPr>
            <w:cnfStyle w:val="001000000000" w:firstRow="0" w:lastRow="0" w:firstColumn="1" w:lastColumn="0" w:oddVBand="0" w:evenVBand="0" w:oddHBand="0" w:evenHBand="0" w:firstRowFirstColumn="0" w:firstRowLastColumn="0" w:lastRowFirstColumn="0" w:lastRowLastColumn="0"/>
            <w:tcW w:w="0" w:type="dxa"/>
          </w:tcPr>
          <w:p w14:paraId="3AB363CB" w14:textId="77777777" w:rsidR="0078271C" w:rsidRPr="00D57844" w:rsidRDefault="0078271C" w:rsidP="00C00B6A">
            <w:pPr>
              <w:pStyle w:val="Tabletext"/>
              <w:jc w:val="both"/>
              <w:rPr>
                <w:rFonts w:cstheme="minorHAnsi"/>
              </w:rPr>
            </w:pPr>
            <w:r w:rsidRPr="00D57844">
              <w:rPr>
                <w:rFonts w:cstheme="minorHAnsi"/>
              </w:rPr>
              <w:t>Non-</w:t>
            </w:r>
            <w:proofErr w:type="spellStart"/>
            <w:r w:rsidRPr="00D57844">
              <w:rPr>
                <w:rFonts w:cstheme="minorHAnsi"/>
              </w:rPr>
              <w:t>inferior</w:t>
            </w:r>
            <w:r w:rsidRPr="00D57844">
              <w:rPr>
                <w:rFonts w:cstheme="minorHAnsi"/>
                <w:vertAlign w:val="superscript"/>
              </w:rPr>
              <w:t>b</w:t>
            </w:r>
            <w:proofErr w:type="spellEnd"/>
          </w:p>
        </w:tc>
        <w:tc>
          <w:tcPr>
            <w:cnfStyle w:val="000010000000" w:firstRow="0" w:lastRow="0" w:firstColumn="0" w:lastColumn="0" w:oddVBand="1" w:evenVBand="0" w:oddHBand="0" w:evenHBand="0" w:firstRowFirstColumn="0" w:firstRowLastColumn="0" w:lastRowFirstColumn="0" w:lastRowLastColumn="0"/>
            <w:tcW w:w="0" w:type="dxa"/>
          </w:tcPr>
          <w:p w14:paraId="0F084594" w14:textId="77777777" w:rsidR="0078271C" w:rsidRPr="00D57844" w:rsidRDefault="0078271C" w:rsidP="00320679">
            <w:pPr>
              <w:pStyle w:val="Tabletext"/>
              <w:rPr>
                <w:rFonts w:cstheme="minorHAnsi"/>
              </w:rPr>
            </w:pPr>
            <w:r w:rsidRPr="00D57844">
              <w:rPr>
                <w:rFonts w:cstheme="minorHAnsi"/>
              </w:rPr>
              <w:t>Health forgone: need other supportive factors</w:t>
            </w:r>
          </w:p>
        </w:tc>
        <w:tc>
          <w:tcPr>
            <w:tcW w:w="0" w:type="dxa"/>
          </w:tcPr>
          <w:p w14:paraId="4B6208A5" w14:textId="77777777" w:rsidR="0078271C" w:rsidRPr="00D57844" w:rsidRDefault="0078271C" w:rsidP="0032067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57844">
              <w:rPr>
                <w:rFonts w:cstheme="minorHAnsi"/>
              </w:rPr>
              <w:t>?</w:t>
            </w:r>
          </w:p>
        </w:tc>
        <w:tc>
          <w:tcPr>
            <w:cnfStyle w:val="000010000000" w:firstRow="0" w:lastRow="0" w:firstColumn="0" w:lastColumn="0" w:oddVBand="1" w:evenVBand="0" w:oddHBand="0" w:evenHBand="0" w:firstRowFirstColumn="0" w:firstRowLastColumn="0" w:lastRowFirstColumn="0" w:lastRowLastColumn="0"/>
            <w:tcW w:w="0" w:type="dxa"/>
          </w:tcPr>
          <w:p w14:paraId="0AF27F88" w14:textId="77777777" w:rsidR="0078271C" w:rsidRPr="00D57844" w:rsidRDefault="0078271C" w:rsidP="00320679">
            <w:pPr>
              <w:pStyle w:val="Tabletext"/>
              <w:rPr>
                <w:rFonts w:cstheme="minorHAnsi"/>
              </w:rPr>
            </w:pPr>
            <w:r w:rsidRPr="00D57844">
              <w:rPr>
                <w:rFonts w:cstheme="minorHAnsi"/>
              </w:rPr>
              <w:t>CMA</w:t>
            </w:r>
          </w:p>
        </w:tc>
        <w:tc>
          <w:tcPr>
            <w:cnfStyle w:val="000100000000" w:firstRow="0" w:lastRow="0" w:firstColumn="0" w:lastColumn="1" w:oddVBand="0" w:evenVBand="0" w:oddHBand="0" w:evenHBand="0" w:firstRowFirstColumn="0" w:firstRowLastColumn="0" w:lastRowFirstColumn="0" w:lastRowLastColumn="0"/>
            <w:tcW w:w="0" w:type="dxa"/>
            <w:shd w:val="clear" w:color="auto" w:fill="auto"/>
          </w:tcPr>
          <w:p w14:paraId="141332DD" w14:textId="77777777" w:rsidR="0078271C" w:rsidRPr="00D57844" w:rsidRDefault="0078271C" w:rsidP="00320679">
            <w:pPr>
              <w:pStyle w:val="Tabletext"/>
              <w:rPr>
                <w:rFonts w:cstheme="minorHAnsi"/>
              </w:rPr>
            </w:pPr>
            <w:r w:rsidRPr="00D57844">
              <w:rPr>
                <w:rFonts w:cstheme="minorHAnsi"/>
              </w:rPr>
              <w:t>CEA/CUA</w:t>
            </w:r>
          </w:p>
        </w:tc>
      </w:tr>
      <w:tr w:rsidR="0078271C" w:rsidRPr="00D57844" w14:paraId="6BA83F3F" w14:textId="77777777" w:rsidTr="0032067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085D90A6" w14:textId="77777777" w:rsidR="0078271C" w:rsidRPr="00D57844" w:rsidRDefault="0078271C" w:rsidP="00C00B6A">
            <w:pPr>
              <w:pStyle w:val="Tabletext"/>
              <w:jc w:val="both"/>
              <w:rPr>
                <w:rFonts w:cstheme="minorHAnsi"/>
              </w:rPr>
            </w:pPr>
            <w:r w:rsidRPr="00D57844">
              <w:rPr>
                <w:rFonts w:cstheme="minorHAnsi"/>
              </w:rPr>
              <w:t>Superior</w:t>
            </w:r>
          </w:p>
        </w:tc>
        <w:tc>
          <w:tcPr>
            <w:cnfStyle w:val="000010000000" w:firstRow="0" w:lastRow="0" w:firstColumn="0" w:lastColumn="0" w:oddVBand="1" w:evenVBand="0" w:oddHBand="0" w:evenHBand="0" w:firstRowFirstColumn="0" w:firstRowLastColumn="0" w:lastRowFirstColumn="0" w:lastRowLastColumn="0"/>
            <w:tcW w:w="1929" w:type="dxa"/>
          </w:tcPr>
          <w:p w14:paraId="0882E56F" w14:textId="77777777" w:rsidR="0078271C" w:rsidRPr="00D57844" w:rsidRDefault="0078271C" w:rsidP="00C00B6A">
            <w:pPr>
              <w:pStyle w:val="Tabletext"/>
              <w:jc w:val="both"/>
              <w:rPr>
                <w:rFonts w:cstheme="minorHAnsi"/>
              </w:rPr>
            </w:pPr>
            <w:r w:rsidRPr="00D57844">
              <w:rPr>
                <w:rFonts w:cstheme="minorHAnsi"/>
              </w:rPr>
              <w:t>? Likely CUA</w:t>
            </w:r>
          </w:p>
        </w:tc>
        <w:tc>
          <w:tcPr>
            <w:tcW w:w="1984" w:type="dxa"/>
          </w:tcPr>
          <w:p w14:paraId="20A87E7C" w14:textId="77777777" w:rsidR="0078271C" w:rsidRPr="00D57844" w:rsidRDefault="0078271C" w:rsidP="00C00B6A">
            <w:pPr>
              <w:pStyle w:val="Tabletext"/>
              <w:jc w:val="both"/>
              <w:cnfStyle w:val="010000000000" w:firstRow="0" w:lastRow="1" w:firstColumn="0" w:lastColumn="0" w:oddVBand="0" w:evenVBand="0" w:oddHBand="0" w:evenHBand="0" w:firstRowFirstColumn="0" w:firstRowLastColumn="0" w:lastRowFirstColumn="0" w:lastRowLastColumn="0"/>
              <w:rPr>
                <w:rFonts w:cstheme="minorHAnsi"/>
              </w:rPr>
            </w:pPr>
            <w:r w:rsidRPr="00D57844">
              <w:rPr>
                <w:rFonts w:cstheme="minorHAnsi"/>
              </w:rPr>
              <w:t>? Likely CEA/CUA</w:t>
            </w:r>
          </w:p>
        </w:tc>
        <w:tc>
          <w:tcPr>
            <w:cnfStyle w:val="000010000000" w:firstRow="0" w:lastRow="0" w:firstColumn="0" w:lastColumn="0" w:oddVBand="1" w:evenVBand="0" w:oddHBand="0" w:evenHBand="0" w:firstRowFirstColumn="0" w:firstRowLastColumn="0" w:lastRowFirstColumn="0" w:lastRowLastColumn="0"/>
            <w:tcW w:w="1701" w:type="dxa"/>
          </w:tcPr>
          <w:p w14:paraId="7B09267F" w14:textId="77777777" w:rsidR="0078271C" w:rsidRPr="00D57844" w:rsidRDefault="0078271C" w:rsidP="00C00B6A">
            <w:pPr>
              <w:pStyle w:val="Tabletext"/>
              <w:jc w:val="both"/>
              <w:rPr>
                <w:rFonts w:cstheme="minorHAnsi"/>
              </w:rPr>
            </w:pPr>
            <w:r w:rsidRPr="00D57844">
              <w:rPr>
                <w:rFonts w:cstheme="minorHAnsi"/>
              </w:rPr>
              <w:t>CEA/CUA</w:t>
            </w:r>
          </w:p>
        </w:tc>
        <w:tc>
          <w:tcPr>
            <w:cnfStyle w:val="000100000000" w:firstRow="0" w:lastRow="0" w:firstColumn="0" w:lastColumn="1" w:oddVBand="0" w:evenVBand="0" w:oddHBand="0" w:evenHBand="0" w:firstRowFirstColumn="0" w:firstRowLastColumn="0" w:lastRowFirstColumn="0" w:lastRowLastColumn="0"/>
            <w:tcW w:w="1277" w:type="dxa"/>
            <w:shd w:val="clear" w:color="auto" w:fill="FFFF00"/>
          </w:tcPr>
          <w:p w14:paraId="2916D2F8" w14:textId="77777777" w:rsidR="0078271C" w:rsidRPr="00D57844" w:rsidRDefault="0078271C" w:rsidP="00C00B6A">
            <w:pPr>
              <w:pStyle w:val="Tabletext"/>
              <w:jc w:val="both"/>
              <w:rPr>
                <w:rFonts w:cstheme="minorHAnsi"/>
              </w:rPr>
            </w:pPr>
            <w:r w:rsidRPr="00D57844">
              <w:rPr>
                <w:rFonts w:cstheme="minorHAnsi"/>
              </w:rPr>
              <w:t>CEA/CUA</w:t>
            </w:r>
          </w:p>
        </w:tc>
      </w:tr>
    </w:tbl>
    <w:p w14:paraId="308F34D8" w14:textId="77777777" w:rsidR="0078271C" w:rsidRPr="009929BE" w:rsidRDefault="0078271C" w:rsidP="00C00B6A">
      <w:pPr>
        <w:pStyle w:val="Tablenotes"/>
        <w:contextualSpacing/>
        <w:rPr>
          <w:szCs w:val="18"/>
        </w:rPr>
      </w:pPr>
      <w:r w:rsidRPr="009929BE">
        <w:rPr>
          <w:szCs w:val="18"/>
        </w:rPr>
        <w:t>CEA=cost-effectiveness analysis; CMA=cost-minimisation analysis; CUA=cost-utility analysis</w:t>
      </w:r>
    </w:p>
    <w:p w14:paraId="00EB1E1C" w14:textId="77777777" w:rsidR="0078271C" w:rsidRPr="009929BE" w:rsidRDefault="0078271C" w:rsidP="00C00B6A">
      <w:pPr>
        <w:pStyle w:val="Tablenotes"/>
        <w:contextualSpacing/>
        <w:rPr>
          <w:b/>
          <w:szCs w:val="18"/>
        </w:rPr>
      </w:pPr>
      <w:r w:rsidRPr="009929BE">
        <w:rPr>
          <w:szCs w:val="18"/>
        </w:rPr>
        <w:t xml:space="preserve">? = reflect uncertainties and any identified health trade-offs in the economic evaluation, as a minimum in a cost-consequences analysis </w:t>
      </w:r>
    </w:p>
    <w:p w14:paraId="56EED144" w14:textId="77777777" w:rsidR="0078271C" w:rsidRPr="009929BE" w:rsidRDefault="0078271C" w:rsidP="00C00B6A">
      <w:pPr>
        <w:pStyle w:val="Tablenotes"/>
        <w:contextualSpacing/>
        <w:rPr>
          <w:b/>
          <w:szCs w:val="18"/>
        </w:rPr>
      </w:pPr>
      <w:r w:rsidRPr="009929BE">
        <w:rPr>
          <w:szCs w:val="18"/>
          <w:vertAlign w:val="superscript"/>
        </w:rPr>
        <w:t>a</w:t>
      </w:r>
      <w:r w:rsidRPr="009929BE">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2EA446DC" w14:textId="0306A063" w:rsidR="006E3369" w:rsidRDefault="0078271C" w:rsidP="00C00B6A">
      <w:pPr>
        <w:pStyle w:val="Tablenotes"/>
        <w:spacing w:after="240"/>
        <w:rPr>
          <w:szCs w:val="18"/>
        </w:rPr>
      </w:pPr>
      <w:r w:rsidRPr="009929BE">
        <w:rPr>
          <w:szCs w:val="18"/>
          <w:vertAlign w:val="superscript"/>
        </w:rPr>
        <w:t>b</w:t>
      </w:r>
      <w:r w:rsidRPr="009929BE">
        <w:rPr>
          <w:szCs w:val="18"/>
        </w:rPr>
        <w:t> An adequate assessment of ‘non-inferiority’ is the preferred basis for demonstrating equivalence</w:t>
      </w:r>
    </w:p>
    <w:p w14:paraId="4050252E" w14:textId="3CC8D94D" w:rsidR="005444C2" w:rsidRPr="008643FC" w:rsidRDefault="008643FC">
      <w:pPr>
        <w:rPr>
          <w:rFonts w:eastAsia="MS Gothic"/>
          <w:b/>
          <w:bCs/>
          <w:i/>
          <w:color w:val="548DD4"/>
          <w:szCs w:val="26"/>
        </w:rPr>
      </w:pPr>
      <w:r w:rsidRPr="008643FC">
        <w:rPr>
          <w:rFonts w:asciiTheme="minorHAnsi" w:hAnsiTheme="minorHAnsi" w:cstheme="minorHAnsi"/>
          <w:i/>
        </w:rPr>
        <w:t>PASC noted that applicant indicated a claim of superior safety for sotorasib</w:t>
      </w:r>
      <w:r>
        <w:rPr>
          <w:rFonts w:asciiTheme="minorHAnsi" w:hAnsiTheme="minorHAnsi" w:cstheme="minorHAnsi"/>
          <w:i/>
        </w:rPr>
        <w:t>.</w:t>
      </w:r>
      <w:r w:rsidRPr="008643FC">
        <w:rPr>
          <w:i/>
          <w:color w:val="548DD4"/>
        </w:rPr>
        <w:t xml:space="preserve"> </w:t>
      </w:r>
    </w:p>
    <w:p w14:paraId="04C35C40" w14:textId="5AA67E82" w:rsidR="00752491" w:rsidRPr="007D1A64" w:rsidRDefault="00752491" w:rsidP="007D1A64">
      <w:pPr>
        <w:pStyle w:val="Heading2"/>
        <w:spacing w:line="240" w:lineRule="auto"/>
        <w:jc w:val="both"/>
        <w:rPr>
          <w:color w:val="548DD4"/>
          <w:u w:val="none"/>
        </w:rPr>
      </w:pPr>
      <w:r w:rsidRPr="007D1A64">
        <w:rPr>
          <w:color w:val="548DD4"/>
          <w:u w:val="none"/>
        </w:rPr>
        <w:t>Proposed item descriptor</w:t>
      </w:r>
    </w:p>
    <w:p w14:paraId="141747DA" w14:textId="02C47050" w:rsidR="005D309D" w:rsidRDefault="00C810A0" w:rsidP="009A20EA">
      <w:pPr>
        <w:spacing w:before="200"/>
        <w:jc w:val="both"/>
      </w:pPr>
      <w:r>
        <w:t>The applicant propose</w:t>
      </w:r>
      <w:r w:rsidR="00994898">
        <w:t>d</w:t>
      </w:r>
      <w:r>
        <w:t xml:space="preserve"> an amendment to the existing MBS item 73337. The existing MBS item 73337 is for the </w:t>
      </w:r>
      <w:r w:rsidRPr="00B74F57">
        <w:rPr>
          <w:i/>
        </w:rPr>
        <w:t>EGFR</w:t>
      </w:r>
      <w:r>
        <w:t xml:space="preserve"> testing in patients diagnosed with non-squamous/NOS histology to determine the access to PBS-subsidised TKI inhibitors. The addition of </w:t>
      </w:r>
      <w:r w:rsidR="00A97034" w:rsidRPr="00A97034">
        <w:rPr>
          <w:i/>
        </w:rPr>
        <w:t>KRAS</w:t>
      </w:r>
      <w:r w:rsidR="00A97034" w:rsidRPr="00A97034">
        <w:t xml:space="preserve"> G12C</w:t>
      </w:r>
      <w:r>
        <w:t xml:space="preserve"> testing in the same population </w:t>
      </w:r>
      <w:r w:rsidR="00994898">
        <w:t xml:space="preserve">would be to </w:t>
      </w:r>
      <w:r>
        <w:t>determine</w:t>
      </w:r>
      <w:r w:rsidR="00874D54">
        <w:t xml:space="preserve"> access to sotorasib;</w:t>
      </w:r>
      <w:r>
        <w:t xml:space="preserve"> a second-line drug for the treatment of advanced or metastatic </w:t>
      </w:r>
      <w:r w:rsidR="00874D54">
        <w:t xml:space="preserve">non-squamous/NOS histology </w:t>
      </w:r>
      <w:r w:rsidR="006E3369">
        <w:t>NSCLC.</w:t>
      </w:r>
    </w:p>
    <w:p w14:paraId="5A25062D" w14:textId="65284349" w:rsidR="00B16DBA" w:rsidRPr="00B16DBA" w:rsidRDefault="00B16DBA" w:rsidP="00B16DBA">
      <w:pPr>
        <w:spacing w:before="200"/>
        <w:jc w:val="both"/>
        <w:rPr>
          <w:i/>
          <w:iCs/>
        </w:rPr>
      </w:pPr>
      <w:r w:rsidRPr="00B16DBA">
        <w:rPr>
          <w:i/>
          <w:iCs/>
        </w:rPr>
        <w:t xml:space="preserve">PASC noted that the proposal was for </w:t>
      </w:r>
      <w:r w:rsidRPr="00D734F1">
        <w:t>KRAS</w:t>
      </w:r>
      <w:r w:rsidRPr="00B16DBA">
        <w:rPr>
          <w:i/>
          <w:iCs/>
        </w:rPr>
        <w:t xml:space="preserve"> testing to be added to the existing </w:t>
      </w:r>
      <w:r w:rsidRPr="00D734F1">
        <w:t>EGFR</w:t>
      </w:r>
      <w:r w:rsidRPr="00B16DBA">
        <w:rPr>
          <w:i/>
          <w:iCs/>
        </w:rPr>
        <w:t xml:space="preserve"> testing MBS item, allowing testing of </w:t>
      </w:r>
      <w:r w:rsidR="00D734F1" w:rsidRPr="00D734F1">
        <w:t>EGFR</w:t>
      </w:r>
      <w:r w:rsidRPr="00B16DBA">
        <w:rPr>
          <w:i/>
          <w:iCs/>
        </w:rPr>
        <w:t xml:space="preserve"> </w:t>
      </w:r>
      <w:r w:rsidRPr="00DE14C9">
        <w:rPr>
          <w:i/>
          <w:iCs/>
          <w:u w:val="single"/>
        </w:rPr>
        <w:t>or</w:t>
      </w:r>
      <w:r w:rsidRPr="00B16DBA">
        <w:rPr>
          <w:i/>
          <w:iCs/>
        </w:rPr>
        <w:t xml:space="preserve"> </w:t>
      </w:r>
      <w:r w:rsidR="00D734F1" w:rsidRPr="00D734F1">
        <w:t>KRAS</w:t>
      </w:r>
      <w:r w:rsidRPr="00B16DBA">
        <w:rPr>
          <w:i/>
          <w:iCs/>
        </w:rPr>
        <w:t>.</w:t>
      </w:r>
    </w:p>
    <w:p w14:paraId="45154C4F" w14:textId="2720D37F" w:rsidR="00B16DBA" w:rsidRDefault="00B16DBA" w:rsidP="00B16DBA">
      <w:pPr>
        <w:spacing w:before="200"/>
        <w:jc w:val="both"/>
      </w:pPr>
      <w:r w:rsidRPr="00B16DBA">
        <w:rPr>
          <w:i/>
          <w:iCs/>
        </w:rPr>
        <w:t xml:space="preserve">The purpose of allowing the item to be still used to test a single gene was to cover the transition period, where some patients have already tested negative for </w:t>
      </w:r>
      <w:r w:rsidR="00D734F1" w:rsidRPr="00D734F1">
        <w:t>EGFR</w:t>
      </w:r>
      <w:r w:rsidRPr="00B16DBA">
        <w:rPr>
          <w:i/>
          <w:iCs/>
        </w:rPr>
        <w:t xml:space="preserve"> variants, but have not yet been tested for </w:t>
      </w:r>
      <w:r w:rsidR="00D734F1" w:rsidRPr="00D734F1">
        <w:t>KRAS</w:t>
      </w:r>
      <w:r w:rsidRPr="00B16DBA">
        <w:rPr>
          <w:i/>
          <w:iCs/>
        </w:rPr>
        <w:t xml:space="preserve">. However, PASC was concerned that this would also create a longer-term incentive for laboratories to charge twice when both </w:t>
      </w:r>
      <w:r w:rsidR="00D734F1" w:rsidRPr="00D734F1">
        <w:t>EGFR</w:t>
      </w:r>
      <w:r w:rsidRPr="00B16DBA">
        <w:rPr>
          <w:i/>
          <w:iCs/>
        </w:rPr>
        <w:t xml:space="preserve"> and </w:t>
      </w:r>
      <w:r w:rsidR="00D734F1" w:rsidRPr="00D734F1">
        <w:t>KRAS</w:t>
      </w:r>
      <w:r w:rsidRPr="00B16DBA">
        <w:rPr>
          <w:i/>
          <w:iCs/>
        </w:rPr>
        <w:t xml:space="preserve"> were tested. PASC suggested that further advice would need to be provided by the Department of Health in regard to the wording of the item descriptor to avoid any double billing. PASC also considered that laboratories performing PCR-based testing would be at a disadvantage if the wording was modified to require testing of both </w:t>
      </w:r>
      <w:r w:rsidR="00D734F1" w:rsidRPr="00D734F1">
        <w:t>EGFR</w:t>
      </w:r>
      <w:r w:rsidRPr="00B16DBA">
        <w:rPr>
          <w:i/>
          <w:iCs/>
        </w:rPr>
        <w:t xml:space="preserve"> and </w:t>
      </w:r>
      <w:r w:rsidR="00D734F1" w:rsidRPr="00D734F1">
        <w:t>KRAS</w:t>
      </w:r>
      <w:r w:rsidRPr="00B16DBA">
        <w:rPr>
          <w:i/>
          <w:iCs/>
        </w:rPr>
        <w:t xml:space="preserve"> in all cases. However, PASC acknowledged that all laboratories will be shifting to panel testing in </w:t>
      </w:r>
      <w:r w:rsidRPr="00B16DBA">
        <w:rPr>
          <w:i/>
          <w:iCs/>
        </w:rPr>
        <w:lastRenderedPageBreak/>
        <w:t xml:space="preserve">near future, especially as this would optimise the multiple testing of a typically small tissue sample. PASC concluded that the wording should </w:t>
      </w:r>
      <w:r w:rsidR="0077113C">
        <w:rPr>
          <w:i/>
          <w:iCs/>
        </w:rPr>
        <w:t xml:space="preserve">reflect the main intent of </w:t>
      </w:r>
      <w:r w:rsidRPr="00B16DBA">
        <w:rPr>
          <w:i/>
          <w:iCs/>
        </w:rPr>
        <w:t>reduc</w:t>
      </w:r>
      <w:r w:rsidR="0077113C">
        <w:rPr>
          <w:i/>
          <w:iCs/>
        </w:rPr>
        <w:t>ing</w:t>
      </w:r>
      <w:r w:rsidRPr="00B16DBA">
        <w:rPr>
          <w:i/>
          <w:iCs/>
        </w:rPr>
        <w:t xml:space="preserve"> the risk of double billing.</w:t>
      </w:r>
    </w:p>
    <w:p w14:paraId="089CD694" w14:textId="0104F9FE" w:rsidR="002902D7" w:rsidRDefault="002902D7" w:rsidP="009113AC">
      <w:pPr>
        <w:pStyle w:val="Caption"/>
        <w:jc w:val="both"/>
      </w:pPr>
      <w:bookmarkStart w:id="10" w:name="_Ref76035244"/>
      <w:bookmarkStart w:id="11" w:name="_Ref76035253"/>
      <w:r>
        <w:t xml:space="preserve">Table </w:t>
      </w:r>
      <w:r>
        <w:fldChar w:fldCharType="begin"/>
      </w:r>
      <w:r>
        <w:instrText xml:space="preserve"> SEQ Table \* ARABIC </w:instrText>
      </w:r>
      <w:r>
        <w:fldChar w:fldCharType="separate"/>
      </w:r>
      <w:r w:rsidR="002D0127">
        <w:rPr>
          <w:noProof/>
        </w:rPr>
        <w:t>5</w:t>
      </w:r>
      <w:r>
        <w:fldChar w:fldCharType="end"/>
      </w:r>
      <w:bookmarkEnd w:id="10"/>
      <w:r w:rsidR="009113AC">
        <w:t>:</w:t>
      </w:r>
      <w:r>
        <w:tab/>
        <w:t>Proposed amended MBS item 73337</w:t>
      </w:r>
      <w:bookmarkEnd w:id="11"/>
    </w:p>
    <w:p w14:paraId="5E331003" w14:textId="77777777" w:rsidR="00126D69" w:rsidRPr="0035248B" w:rsidRDefault="00126D69" w:rsidP="00C00B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18"/>
          <w:szCs w:val="20"/>
        </w:rPr>
      </w:pPr>
      <w:r w:rsidRPr="0035248B">
        <w:rPr>
          <w:sz w:val="18"/>
          <w:szCs w:val="20"/>
        </w:rPr>
        <w:t xml:space="preserve">Category </w:t>
      </w:r>
      <w:r w:rsidRPr="0035248B">
        <w:rPr>
          <w:sz w:val="18"/>
        </w:rPr>
        <w:t>6</w:t>
      </w:r>
      <w:r w:rsidRPr="0035248B">
        <w:rPr>
          <w:sz w:val="18"/>
          <w:szCs w:val="20"/>
        </w:rPr>
        <w:t xml:space="preserve"> – </w:t>
      </w:r>
      <w:r w:rsidRPr="0035248B">
        <w:rPr>
          <w:sz w:val="18"/>
        </w:rPr>
        <w:t>PATHOLOGY SERVICES</w:t>
      </w:r>
      <w:r w:rsidRPr="0035248B">
        <w:rPr>
          <w:sz w:val="18"/>
          <w:szCs w:val="20"/>
        </w:rPr>
        <w:t xml:space="preserve"> </w:t>
      </w:r>
    </w:p>
    <w:p w14:paraId="67FA2458" w14:textId="77777777" w:rsidR="00126D69" w:rsidRPr="0035248B" w:rsidRDefault="00126D69" w:rsidP="00C00B6A">
      <w:pPr>
        <w:pBdr>
          <w:top w:val="single" w:sz="4" w:space="1" w:color="auto"/>
          <w:left w:val="single" w:sz="4" w:space="4" w:color="auto"/>
          <w:bottom w:val="single" w:sz="4" w:space="1" w:color="auto"/>
          <w:right w:val="single" w:sz="4" w:space="4" w:color="auto"/>
        </w:pBdr>
        <w:jc w:val="both"/>
        <w:rPr>
          <w:sz w:val="18"/>
          <w:szCs w:val="20"/>
        </w:rPr>
      </w:pPr>
      <w:r w:rsidRPr="0035248B">
        <w:rPr>
          <w:sz w:val="18"/>
          <w:szCs w:val="20"/>
        </w:rPr>
        <w:t>MBS Item: 73337</w:t>
      </w:r>
    </w:p>
    <w:p w14:paraId="02513B55" w14:textId="77777777" w:rsidR="00126D69" w:rsidRPr="00B2238F" w:rsidRDefault="00126D69" w:rsidP="00C00B6A">
      <w:pPr>
        <w:pBdr>
          <w:top w:val="single" w:sz="4" w:space="1" w:color="auto"/>
          <w:left w:val="single" w:sz="4" w:space="4" w:color="auto"/>
          <w:bottom w:val="single" w:sz="4" w:space="1" w:color="auto"/>
          <w:right w:val="single" w:sz="4" w:space="4" w:color="auto"/>
        </w:pBdr>
        <w:jc w:val="both"/>
        <w:rPr>
          <w:sz w:val="18"/>
          <w:szCs w:val="20"/>
        </w:rPr>
      </w:pPr>
      <w:r w:rsidRPr="0035248B">
        <w:rPr>
          <w:sz w:val="18"/>
          <w:szCs w:val="20"/>
        </w:rPr>
        <w:t xml:space="preserve">A test of tumour tissue from a patient diagnosed with non-small cell lung cancer, shown to have non-squamous histology or </w:t>
      </w:r>
      <w:r w:rsidRPr="00B2238F">
        <w:rPr>
          <w:sz w:val="18"/>
          <w:szCs w:val="20"/>
        </w:rPr>
        <w:t>histology not otherwise specified, requested by, or on behalf of a specialist or consultant physician, to determine if:</w:t>
      </w:r>
    </w:p>
    <w:p w14:paraId="015DECEC" w14:textId="45FE95C8" w:rsidR="00126D69" w:rsidRPr="00B2238F" w:rsidRDefault="00126D69" w:rsidP="00C00B6A">
      <w:pPr>
        <w:pBdr>
          <w:top w:val="single" w:sz="4" w:space="1" w:color="auto"/>
          <w:left w:val="single" w:sz="4" w:space="4" w:color="auto"/>
          <w:bottom w:val="single" w:sz="4" w:space="1" w:color="auto"/>
          <w:right w:val="single" w:sz="4" w:space="4" w:color="auto"/>
        </w:pBdr>
        <w:jc w:val="both"/>
        <w:rPr>
          <w:sz w:val="18"/>
          <w:szCs w:val="20"/>
        </w:rPr>
      </w:pPr>
      <w:r w:rsidRPr="00B2238F">
        <w:rPr>
          <w:sz w:val="18"/>
          <w:szCs w:val="20"/>
        </w:rPr>
        <w:t xml:space="preserve">1. the requirements relating to epidermal growth factor receptor (EGFR) gene status for access to erlotinib, gefitinib or </w:t>
      </w:r>
      <w:proofErr w:type="spellStart"/>
      <w:r w:rsidRPr="00B2238F">
        <w:rPr>
          <w:sz w:val="18"/>
          <w:szCs w:val="20"/>
        </w:rPr>
        <w:t>afatinib</w:t>
      </w:r>
      <w:proofErr w:type="spellEnd"/>
      <w:r w:rsidRPr="00B2238F">
        <w:rPr>
          <w:sz w:val="18"/>
          <w:szCs w:val="20"/>
        </w:rPr>
        <w:t xml:space="preserve"> under the </w:t>
      </w:r>
      <w:r w:rsidR="00AE2931" w:rsidRPr="00B2238F">
        <w:rPr>
          <w:sz w:val="18"/>
          <w:szCs w:val="20"/>
        </w:rPr>
        <w:t>P</w:t>
      </w:r>
      <w:r w:rsidRPr="00B2238F">
        <w:rPr>
          <w:sz w:val="18"/>
          <w:szCs w:val="20"/>
        </w:rPr>
        <w:t xml:space="preserve">harmaceutical </w:t>
      </w:r>
      <w:r w:rsidR="00AE2931" w:rsidRPr="00B2238F">
        <w:rPr>
          <w:sz w:val="18"/>
          <w:szCs w:val="20"/>
        </w:rPr>
        <w:t>B</w:t>
      </w:r>
      <w:r w:rsidRPr="00B2238F">
        <w:rPr>
          <w:sz w:val="18"/>
          <w:szCs w:val="20"/>
        </w:rPr>
        <w:t xml:space="preserve">enefits </w:t>
      </w:r>
      <w:r w:rsidR="00AE2931" w:rsidRPr="00B2238F">
        <w:rPr>
          <w:sz w:val="18"/>
          <w:szCs w:val="20"/>
        </w:rPr>
        <w:t>S</w:t>
      </w:r>
      <w:r w:rsidRPr="00B2238F">
        <w:rPr>
          <w:sz w:val="18"/>
          <w:szCs w:val="20"/>
        </w:rPr>
        <w:t xml:space="preserve">cheme </w:t>
      </w:r>
      <w:r w:rsidR="00AE2931" w:rsidRPr="00B2238F">
        <w:rPr>
          <w:sz w:val="18"/>
          <w:szCs w:val="20"/>
        </w:rPr>
        <w:t xml:space="preserve">(PBS) </w:t>
      </w:r>
      <w:r w:rsidRPr="00B2238F">
        <w:rPr>
          <w:sz w:val="18"/>
          <w:szCs w:val="20"/>
        </w:rPr>
        <w:t xml:space="preserve">are fulfilled; </w:t>
      </w:r>
      <w:r w:rsidR="00396772" w:rsidRPr="00B2238F">
        <w:rPr>
          <w:sz w:val="18"/>
          <w:szCs w:val="20"/>
        </w:rPr>
        <w:t>or</w:t>
      </w:r>
    </w:p>
    <w:p w14:paraId="0B56C054" w14:textId="27542083" w:rsidR="00126D69" w:rsidRPr="0035248B" w:rsidRDefault="00126D69" w:rsidP="00C00B6A">
      <w:pPr>
        <w:pBdr>
          <w:top w:val="single" w:sz="4" w:space="1" w:color="auto"/>
          <w:left w:val="single" w:sz="4" w:space="4" w:color="auto"/>
          <w:bottom w:val="single" w:sz="4" w:space="1" w:color="auto"/>
          <w:right w:val="single" w:sz="4" w:space="4" w:color="auto"/>
        </w:pBdr>
        <w:jc w:val="both"/>
        <w:rPr>
          <w:sz w:val="18"/>
          <w:szCs w:val="20"/>
        </w:rPr>
      </w:pPr>
      <w:r w:rsidRPr="00B2238F">
        <w:rPr>
          <w:sz w:val="18"/>
          <w:szCs w:val="20"/>
        </w:rPr>
        <w:t>2. the requirements relating to Kirsten rat sarcoma oncogene (</w:t>
      </w:r>
      <w:r w:rsidR="00A97034" w:rsidRPr="00B2238F">
        <w:rPr>
          <w:i/>
          <w:sz w:val="18"/>
          <w:szCs w:val="20"/>
        </w:rPr>
        <w:t>KRAS</w:t>
      </w:r>
      <w:r w:rsidRPr="00B2238F">
        <w:rPr>
          <w:sz w:val="18"/>
          <w:szCs w:val="20"/>
        </w:rPr>
        <w:t xml:space="preserve">) G12C </w:t>
      </w:r>
      <w:r w:rsidR="00D03706" w:rsidRPr="00B2238F">
        <w:rPr>
          <w:sz w:val="18"/>
          <w:szCs w:val="20"/>
        </w:rPr>
        <w:t>variant</w:t>
      </w:r>
      <w:r w:rsidRPr="00B2238F">
        <w:rPr>
          <w:sz w:val="18"/>
          <w:szCs w:val="20"/>
        </w:rPr>
        <w:t xml:space="preserve"> status for access to sotorasib under the Pharmaceutical Benefits Scheme are fulfilled.</w:t>
      </w:r>
    </w:p>
    <w:p w14:paraId="48E47707" w14:textId="740B30EB" w:rsidR="00126D69" w:rsidRPr="0035248B" w:rsidRDefault="00126D69" w:rsidP="00F9789E">
      <w:pPr>
        <w:pBdr>
          <w:top w:val="single" w:sz="4" w:space="1" w:color="auto"/>
          <w:left w:val="single" w:sz="4" w:space="4" w:color="auto"/>
          <w:bottom w:val="single" w:sz="4" w:space="1" w:color="auto"/>
          <w:right w:val="single" w:sz="4" w:space="4" w:color="auto"/>
        </w:pBdr>
        <w:spacing w:after="0"/>
        <w:jc w:val="both"/>
        <w:rPr>
          <w:sz w:val="18"/>
          <w:szCs w:val="20"/>
        </w:rPr>
      </w:pPr>
      <w:r w:rsidRPr="0035248B">
        <w:rPr>
          <w:sz w:val="18"/>
          <w:szCs w:val="20"/>
        </w:rPr>
        <w:t>Fee:  $</w:t>
      </w:r>
      <w:r w:rsidRPr="0035248B">
        <w:rPr>
          <w:sz w:val="18"/>
        </w:rPr>
        <w:t>397.35 (unless an alternative cost can be supported)</w:t>
      </w:r>
    </w:p>
    <w:p w14:paraId="18EA4BC0" w14:textId="5429714C" w:rsidR="0047164A" w:rsidRDefault="00FC0F30" w:rsidP="007377DA">
      <w:pPr>
        <w:pStyle w:val="Tablenotes"/>
      </w:pPr>
      <w:r>
        <w:t>NB: Proposed amendments to MBS 73337 are highlighted</w:t>
      </w:r>
    </w:p>
    <w:p w14:paraId="468C417F" w14:textId="3FC3F092" w:rsidR="00AE2931" w:rsidRPr="007D1A64" w:rsidRDefault="00AE2931" w:rsidP="00F9789E">
      <w:pPr>
        <w:pStyle w:val="Heading2"/>
        <w:spacing w:before="200" w:line="240" w:lineRule="auto"/>
        <w:jc w:val="both"/>
        <w:rPr>
          <w:color w:val="548DD4"/>
          <w:u w:val="none"/>
        </w:rPr>
      </w:pPr>
      <w:r w:rsidRPr="007D1A64">
        <w:rPr>
          <w:color w:val="548DD4"/>
          <w:u w:val="none"/>
        </w:rPr>
        <w:t xml:space="preserve">Proposed </w:t>
      </w:r>
      <w:r>
        <w:rPr>
          <w:color w:val="548DD4"/>
          <w:u w:val="none"/>
        </w:rPr>
        <w:t>fee</w:t>
      </w:r>
    </w:p>
    <w:p w14:paraId="1656060A" w14:textId="281008AD" w:rsidR="00663F70" w:rsidRDefault="00AE2931" w:rsidP="00C00B6A">
      <w:pPr>
        <w:jc w:val="both"/>
      </w:pPr>
      <w:r>
        <w:t>The applicant propose</w:t>
      </w:r>
      <w:r w:rsidR="00994898">
        <w:t>d</w:t>
      </w:r>
      <w:r>
        <w:t xml:space="preserve"> that there </w:t>
      </w:r>
      <w:r w:rsidR="00994898">
        <w:t>would</w:t>
      </w:r>
      <w:r>
        <w:t xml:space="preserve"> not be any change in the cost of MBS item 73337 due to the addition of </w:t>
      </w:r>
      <w:r w:rsidR="00A97034" w:rsidRPr="00A97034">
        <w:rPr>
          <w:i/>
        </w:rPr>
        <w:t>KRAS</w:t>
      </w:r>
      <w:r w:rsidR="00A97034" w:rsidRPr="00A97034">
        <w:t xml:space="preserve"> G12C</w:t>
      </w:r>
      <w:r>
        <w:t xml:space="preserve"> testing as most </w:t>
      </w:r>
      <w:r w:rsidR="00994898">
        <w:t xml:space="preserve">pathology </w:t>
      </w:r>
      <w:r>
        <w:t>laboratories in Australia already includ</w:t>
      </w:r>
      <w:r w:rsidR="00994898">
        <w:t>e</w:t>
      </w:r>
      <w:r>
        <w:t xml:space="preserve"> </w:t>
      </w:r>
      <w:r w:rsidR="00A97034" w:rsidRPr="00A97034">
        <w:rPr>
          <w:i/>
        </w:rPr>
        <w:t>KRAS</w:t>
      </w:r>
      <w:r>
        <w:t xml:space="preserve"> testing in the</w:t>
      </w:r>
      <w:r w:rsidR="00994898">
        <w:t>ir</w:t>
      </w:r>
      <w:r>
        <w:t xml:space="preserve"> testing panels. The proposed fee is therefore $397.35. However, the ADAR may need to consider the impact of the inclusion of </w:t>
      </w:r>
      <w:r w:rsidR="00A97034" w:rsidRPr="00A97034">
        <w:rPr>
          <w:i/>
        </w:rPr>
        <w:t>KRAS</w:t>
      </w:r>
      <w:r w:rsidR="00A97034" w:rsidRPr="00A97034">
        <w:t xml:space="preserve"> G12C</w:t>
      </w:r>
      <w:r>
        <w:t xml:space="preserve"> testing on laboratories which are still using a single-gene PCR-based method.</w:t>
      </w:r>
      <w:r w:rsidR="00921CB6">
        <w:t xml:space="preserve"> At the pre-PASC meeting</w:t>
      </w:r>
      <w:r w:rsidR="002F1482">
        <w:t>,</w:t>
      </w:r>
      <w:r w:rsidR="00921CB6">
        <w:t xml:space="preserve"> the applicant advised it would contact the Royal College of Pathologists (RCPA)</w:t>
      </w:r>
      <w:r w:rsidR="002F1482">
        <w:t xml:space="preserve"> regarding the proposed fee</w:t>
      </w:r>
      <w:r w:rsidR="00994898">
        <w:t>.</w:t>
      </w:r>
    </w:p>
    <w:p w14:paraId="1C558BA0" w14:textId="36A1CF06" w:rsidR="00AE2931" w:rsidRDefault="00AE2931" w:rsidP="0012433E">
      <w:pPr>
        <w:spacing w:after="160" w:line="256" w:lineRule="auto"/>
      </w:pPr>
      <w:r>
        <w:t>The cost of genetic testing varies based on the number of genes tested and the method used (NGS or PCR based). A review of the MBS item 73337 suggests the average fee charged was $489 in 2015-16 and varied a</w:t>
      </w:r>
      <w:r w:rsidR="006E3369">
        <w:t>cross the states.</w:t>
      </w:r>
    </w:p>
    <w:p w14:paraId="7024F660" w14:textId="044CED25" w:rsidR="00FC0F30" w:rsidRDefault="00FC0F30" w:rsidP="00B618A7">
      <w:pPr>
        <w:pStyle w:val="Caption"/>
      </w:pPr>
      <w:r>
        <w:t xml:space="preserve">Table </w:t>
      </w:r>
      <w:r>
        <w:fldChar w:fldCharType="begin"/>
      </w:r>
      <w:r>
        <w:instrText xml:space="preserve"> SEQ Table \* ARABIC </w:instrText>
      </w:r>
      <w:r>
        <w:fldChar w:fldCharType="separate"/>
      </w:r>
      <w:r w:rsidR="002D0127">
        <w:rPr>
          <w:noProof/>
        </w:rPr>
        <w:t>6</w:t>
      </w:r>
      <w:r>
        <w:fldChar w:fldCharType="end"/>
      </w:r>
      <w:r w:rsidR="009113AC">
        <w:t>:</w:t>
      </w:r>
      <w:r>
        <w:tab/>
        <w:t>Fees charged for MBS item 73337 for 2015-16</w:t>
      </w:r>
    </w:p>
    <w:tbl>
      <w:tblPr>
        <w:tblStyle w:val="ListTable4-Accent5"/>
        <w:tblW w:w="9209" w:type="dxa"/>
        <w:tblLook w:val="04A0" w:firstRow="1" w:lastRow="0" w:firstColumn="1" w:lastColumn="0" w:noHBand="0" w:noVBand="1"/>
        <w:tblCaption w:val="Fees charged for MBS item 73337 for 2015-16"/>
      </w:tblPr>
      <w:tblGrid>
        <w:gridCol w:w="2830"/>
        <w:gridCol w:w="993"/>
        <w:gridCol w:w="992"/>
        <w:gridCol w:w="992"/>
        <w:gridCol w:w="992"/>
        <w:gridCol w:w="993"/>
        <w:gridCol w:w="1417"/>
      </w:tblGrid>
      <w:tr w:rsidR="00AE2931" w14:paraId="41312DFE" w14:textId="77777777" w:rsidTr="00994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0455887A" w14:textId="77777777" w:rsidR="00AE2931" w:rsidRDefault="00AE2931" w:rsidP="00D57844">
            <w:pPr>
              <w:pStyle w:val="Tabletext"/>
            </w:pPr>
          </w:p>
        </w:tc>
        <w:tc>
          <w:tcPr>
            <w:tcW w:w="993" w:type="dxa"/>
            <w:hideMark/>
          </w:tcPr>
          <w:p w14:paraId="60615795" w14:textId="77777777" w:rsidR="00AE2931" w:rsidRDefault="00AE2931" w:rsidP="00E066A0">
            <w:pPr>
              <w:pStyle w:val="Tabletext"/>
              <w:jc w:val="center"/>
              <w:cnfStyle w:val="100000000000" w:firstRow="1" w:lastRow="0" w:firstColumn="0" w:lastColumn="0" w:oddVBand="0" w:evenVBand="0" w:oddHBand="0" w:evenHBand="0" w:firstRowFirstColumn="0" w:firstRowLastColumn="0" w:lastRowFirstColumn="0" w:lastRowLastColumn="0"/>
            </w:pPr>
            <w:r>
              <w:t>NSW</w:t>
            </w:r>
          </w:p>
        </w:tc>
        <w:tc>
          <w:tcPr>
            <w:tcW w:w="992" w:type="dxa"/>
            <w:hideMark/>
          </w:tcPr>
          <w:p w14:paraId="1169CFDD" w14:textId="77777777" w:rsidR="00AE2931" w:rsidRDefault="00AE2931" w:rsidP="00E066A0">
            <w:pPr>
              <w:pStyle w:val="Tabletext"/>
              <w:jc w:val="center"/>
              <w:cnfStyle w:val="100000000000" w:firstRow="1" w:lastRow="0" w:firstColumn="0" w:lastColumn="0" w:oddVBand="0" w:evenVBand="0" w:oddHBand="0" w:evenHBand="0" w:firstRowFirstColumn="0" w:firstRowLastColumn="0" w:lastRowFirstColumn="0" w:lastRowLastColumn="0"/>
            </w:pPr>
            <w:r>
              <w:t>VIC</w:t>
            </w:r>
          </w:p>
        </w:tc>
        <w:tc>
          <w:tcPr>
            <w:tcW w:w="992" w:type="dxa"/>
            <w:hideMark/>
          </w:tcPr>
          <w:p w14:paraId="235817DF" w14:textId="77777777" w:rsidR="00AE2931" w:rsidRDefault="00AE2931" w:rsidP="00E066A0">
            <w:pPr>
              <w:pStyle w:val="Tabletext"/>
              <w:jc w:val="center"/>
              <w:cnfStyle w:val="100000000000" w:firstRow="1" w:lastRow="0" w:firstColumn="0" w:lastColumn="0" w:oddVBand="0" w:evenVBand="0" w:oddHBand="0" w:evenHBand="0" w:firstRowFirstColumn="0" w:firstRowLastColumn="0" w:lastRowFirstColumn="0" w:lastRowLastColumn="0"/>
            </w:pPr>
            <w:r>
              <w:t>QLD</w:t>
            </w:r>
          </w:p>
        </w:tc>
        <w:tc>
          <w:tcPr>
            <w:tcW w:w="992" w:type="dxa"/>
            <w:hideMark/>
          </w:tcPr>
          <w:p w14:paraId="05987D8A" w14:textId="77777777" w:rsidR="00AE2931" w:rsidRDefault="00AE2931" w:rsidP="00E066A0">
            <w:pPr>
              <w:pStyle w:val="Tabletext"/>
              <w:jc w:val="center"/>
              <w:cnfStyle w:val="100000000000" w:firstRow="1" w:lastRow="0" w:firstColumn="0" w:lastColumn="0" w:oddVBand="0" w:evenVBand="0" w:oddHBand="0" w:evenHBand="0" w:firstRowFirstColumn="0" w:firstRowLastColumn="0" w:lastRowFirstColumn="0" w:lastRowLastColumn="0"/>
            </w:pPr>
            <w:r>
              <w:t>SA</w:t>
            </w:r>
          </w:p>
        </w:tc>
        <w:tc>
          <w:tcPr>
            <w:tcW w:w="993" w:type="dxa"/>
            <w:hideMark/>
          </w:tcPr>
          <w:p w14:paraId="4614BB19" w14:textId="77777777" w:rsidR="00AE2931" w:rsidRDefault="00AE2931" w:rsidP="00E066A0">
            <w:pPr>
              <w:pStyle w:val="Tabletext"/>
              <w:jc w:val="center"/>
              <w:cnfStyle w:val="100000000000" w:firstRow="1" w:lastRow="0" w:firstColumn="0" w:lastColumn="0" w:oddVBand="0" w:evenVBand="0" w:oddHBand="0" w:evenHBand="0" w:firstRowFirstColumn="0" w:firstRowLastColumn="0" w:lastRowFirstColumn="0" w:lastRowLastColumn="0"/>
            </w:pPr>
            <w:r>
              <w:t>WA</w:t>
            </w:r>
          </w:p>
        </w:tc>
        <w:tc>
          <w:tcPr>
            <w:tcW w:w="1417" w:type="dxa"/>
            <w:hideMark/>
          </w:tcPr>
          <w:p w14:paraId="245A8F1E" w14:textId="77777777" w:rsidR="00AE2931" w:rsidRDefault="00AE2931" w:rsidP="00E066A0">
            <w:pPr>
              <w:pStyle w:val="Tabletext"/>
              <w:jc w:val="center"/>
              <w:cnfStyle w:val="100000000000" w:firstRow="1" w:lastRow="0" w:firstColumn="0" w:lastColumn="0" w:oddVBand="0" w:evenVBand="0" w:oddHBand="0" w:evenHBand="0" w:firstRowFirstColumn="0" w:firstRowLastColumn="0" w:lastRowFirstColumn="0" w:lastRowLastColumn="0"/>
            </w:pPr>
            <w:r>
              <w:t>Australia</w:t>
            </w:r>
          </w:p>
        </w:tc>
      </w:tr>
      <w:tr w:rsidR="00AE2931" w14:paraId="63DDEA70" w14:textId="77777777" w:rsidTr="00994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16BE36AD" w14:textId="77777777" w:rsidR="00AE2931" w:rsidRDefault="00AE2931" w:rsidP="00D57844">
            <w:pPr>
              <w:pStyle w:val="Tabletext"/>
            </w:pPr>
            <w:r>
              <w:t>Average fee charged</w:t>
            </w:r>
          </w:p>
        </w:tc>
        <w:tc>
          <w:tcPr>
            <w:tcW w:w="993" w:type="dxa"/>
            <w:hideMark/>
          </w:tcPr>
          <w:p w14:paraId="1A4456AD"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$483</w:t>
            </w:r>
          </w:p>
        </w:tc>
        <w:tc>
          <w:tcPr>
            <w:tcW w:w="992" w:type="dxa"/>
            <w:hideMark/>
          </w:tcPr>
          <w:p w14:paraId="4ABDFDCB"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$448</w:t>
            </w:r>
          </w:p>
        </w:tc>
        <w:tc>
          <w:tcPr>
            <w:tcW w:w="992" w:type="dxa"/>
            <w:hideMark/>
          </w:tcPr>
          <w:p w14:paraId="75BE3181"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$504</w:t>
            </w:r>
          </w:p>
        </w:tc>
        <w:tc>
          <w:tcPr>
            <w:tcW w:w="992" w:type="dxa"/>
            <w:hideMark/>
          </w:tcPr>
          <w:p w14:paraId="1C7E1D1F"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$457</w:t>
            </w:r>
          </w:p>
        </w:tc>
        <w:tc>
          <w:tcPr>
            <w:tcW w:w="993" w:type="dxa"/>
            <w:hideMark/>
          </w:tcPr>
          <w:p w14:paraId="2D300076"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$546</w:t>
            </w:r>
          </w:p>
        </w:tc>
        <w:tc>
          <w:tcPr>
            <w:tcW w:w="1417" w:type="dxa"/>
            <w:hideMark/>
          </w:tcPr>
          <w:p w14:paraId="258E6C4F"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$489</w:t>
            </w:r>
          </w:p>
        </w:tc>
      </w:tr>
      <w:tr w:rsidR="00AE2931" w14:paraId="208EA8A8" w14:textId="77777777" w:rsidTr="00994898">
        <w:tc>
          <w:tcPr>
            <w:cnfStyle w:val="001000000000" w:firstRow="0" w:lastRow="0" w:firstColumn="1" w:lastColumn="0" w:oddVBand="0" w:evenVBand="0" w:oddHBand="0" w:evenHBand="0" w:firstRowFirstColumn="0" w:firstRowLastColumn="0" w:lastRowFirstColumn="0" w:lastRowLastColumn="0"/>
            <w:tcW w:w="2830" w:type="dxa"/>
            <w:hideMark/>
          </w:tcPr>
          <w:p w14:paraId="5377BF6D" w14:textId="77777777" w:rsidR="00AE2931" w:rsidRDefault="00AE2931" w:rsidP="00D57844">
            <w:pPr>
              <w:pStyle w:val="Tabletext"/>
            </w:pPr>
            <w:r>
              <w:t>Median fee</w:t>
            </w:r>
          </w:p>
        </w:tc>
        <w:tc>
          <w:tcPr>
            <w:tcW w:w="993" w:type="dxa"/>
            <w:hideMark/>
          </w:tcPr>
          <w:p w14:paraId="33F7924A" w14:textId="77777777" w:rsidR="00AE2931" w:rsidRDefault="00AE2931" w:rsidP="00E066A0">
            <w:pPr>
              <w:pStyle w:val="Tabletext"/>
              <w:jc w:val="center"/>
              <w:cnfStyle w:val="000000000000" w:firstRow="0" w:lastRow="0" w:firstColumn="0" w:lastColumn="0" w:oddVBand="0" w:evenVBand="0" w:oddHBand="0" w:evenHBand="0" w:firstRowFirstColumn="0" w:firstRowLastColumn="0" w:lastRowFirstColumn="0" w:lastRowLastColumn="0"/>
            </w:pPr>
            <w:r>
              <w:t>$514</w:t>
            </w:r>
          </w:p>
        </w:tc>
        <w:tc>
          <w:tcPr>
            <w:tcW w:w="992" w:type="dxa"/>
            <w:hideMark/>
          </w:tcPr>
          <w:p w14:paraId="3BB3E49E" w14:textId="77777777" w:rsidR="00AE2931" w:rsidRDefault="00AE2931" w:rsidP="00E066A0">
            <w:pPr>
              <w:pStyle w:val="Tabletext"/>
              <w:jc w:val="center"/>
              <w:cnfStyle w:val="000000000000" w:firstRow="0" w:lastRow="0" w:firstColumn="0" w:lastColumn="0" w:oddVBand="0" w:evenVBand="0" w:oddHBand="0" w:evenHBand="0" w:firstRowFirstColumn="0" w:firstRowLastColumn="0" w:lastRowFirstColumn="0" w:lastRowLastColumn="0"/>
            </w:pPr>
            <w:r>
              <w:t>$397</w:t>
            </w:r>
          </w:p>
        </w:tc>
        <w:tc>
          <w:tcPr>
            <w:tcW w:w="992" w:type="dxa"/>
            <w:hideMark/>
          </w:tcPr>
          <w:p w14:paraId="7F566307" w14:textId="77777777" w:rsidR="00AE2931" w:rsidRDefault="00AE2931" w:rsidP="00E066A0">
            <w:pPr>
              <w:pStyle w:val="Tabletext"/>
              <w:jc w:val="center"/>
              <w:cnfStyle w:val="000000000000" w:firstRow="0" w:lastRow="0" w:firstColumn="0" w:lastColumn="0" w:oddVBand="0" w:evenVBand="0" w:oddHBand="0" w:evenHBand="0" w:firstRowFirstColumn="0" w:firstRowLastColumn="0" w:lastRowFirstColumn="0" w:lastRowLastColumn="0"/>
            </w:pPr>
            <w:r>
              <w:t>$517</w:t>
            </w:r>
          </w:p>
        </w:tc>
        <w:tc>
          <w:tcPr>
            <w:tcW w:w="992" w:type="dxa"/>
            <w:hideMark/>
          </w:tcPr>
          <w:p w14:paraId="3021F762" w14:textId="77777777" w:rsidR="00AE2931" w:rsidRDefault="00AE2931" w:rsidP="00E066A0">
            <w:pPr>
              <w:pStyle w:val="Tabletext"/>
              <w:jc w:val="center"/>
              <w:cnfStyle w:val="000000000000" w:firstRow="0" w:lastRow="0" w:firstColumn="0" w:lastColumn="0" w:oddVBand="0" w:evenVBand="0" w:oddHBand="0" w:evenHBand="0" w:firstRowFirstColumn="0" w:firstRowLastColumn="0" w:lastRowFirstColumn="0" w:lastRowLastColumn="0"/>
            </w:pPr>
            <w:r>
              <w:t>$397</w:t>
            </w:r>
          </w:p>
        </w:tc>
        <w:tc>
          <w:tcPr>
            <w:tcW w:w="993" w:type="dxa"/>
            <w:hideMark/>
          </w:tcPr>
          <w:p w14:paraId="221C3D8D" w14:textId="77777777" w:rsidR="00AE2931" w:rsidRDefault="00AE2931" w:rsidP="00E066A0">
            <w:pPr>
              <w:pStyle w:val="Tabletext"/>
              <w:jc w:val="center"/>
              <w:cnfStyle w:val="000000000000" w:firstRow="0" w:lastRow="0" w:firstColumn="0" w:lastColumn="0" w:oddVBand="0" w:evenVBand="0" w:oddHBand="0" w:evenHBand="0" w:firstRowFirstColumn="0" w:firstRowLastColumn="0" w:lastRowFirstColumn="0" w:lastRowLastColumn="0"/>
            </w:pPr>
            <w:r>
              <w:t>$556</w:t>
            </w:r>
          </w:p>
        </w:tc>
        <w:tc>
          <w:tcPr>
            <w:tcW w:w="1417" w:type="dxa"/>
            <w:hideMark/>
          </w:tcPr>
          <w:p w14:paraId="3072009F" w14:textId="77777777" w:rsidR="00AE2931" w:rsidRDefault="00AE2931" w:rsidP="00E066A0">
            <w:pPr>
              <w:pStyle w:val="Tabletext"/>
              <w:jc w:val="center"/>
              <w:cnfStyle w:val="000000000000" w:firstRow="0" w:lastRow="0" w:firstColumn="0" w:lastColumn="0" w:oddVBand="0" w:evenVBand="0" w:oddHBand="0" w:evenHBand="0" w:firstRowFirstColumn="0" w:firstRowLastColumn="0" w:lastRowFirstColumn="0" w:lastRowLastColumn="0"/>
            </w:pPr>
            <w:r>
              <w:t>$514</w:t>
            </w:r>
          </w:p>
        </w:tc>
      </w:tr>
      <w:tr w:rsidR="00AE2931" w14:paraId="02D6A3C6" w14:textId="77777777" w:rsidTr="00994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1BE90728" w14:textId="77777777" w:rsidR="00AE2931" w:rsidRDefault="00AE2931" w:rsidP="00D57844">
            <w:pPr>
              <w:pStyle w:val="Tabletext"/>
            </w:pPr>
            <w:r>
              <w:t>Bulk billing rate</w:t>
            </w:r>
          </w:p>
        </w:tc>
        <w:tc>
          <w:tcPr>
            <w:tcW w:w="993" w:type="dxa"/>
            <w:hideMark/>
          </w:tcPr>
          <w:p w14:paraId="55C44001"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80%</w:t>
            </w:r>
          </w:p>
        </w:tc>
        <w:tc>
          <w:tcPr>
            <w:tcW w:w="992" w:type="dxa"/>
            <w:hideMark/>
          </w:tcPr>
          <w:p w14:paraId="64D84239"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79%</w:t>
            </w:r>
          </w:p>
        </w:tc>
        <w:tc>
          <w:tcPr>
            <w:tcW w:w="992" w:type="dxa"/>
            <w:hideMark/>
          </w:tcPr>
          <w:p w14:paraId="57717912"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38%</w:t>
            </w:r>
          </w:p>
        </w:tc>
        <w:tc>
          <w:tcPr>
            <w:tcW w:w="992" w:type="dxa"/>
            <w:hideMark/>
          </w:tcPr>
          <w:p w14:paraId="373E84C0"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49%</w:t>
            </w:r>
          </w:p>
        </w:tc>
        <w:tc>
          <w:tcPr>
            <w:tcW w:w="993" w:type="dxa"/>
            <w:hideMark/>
          </w:tcPr>
          <w:p w14:paraId="74779216"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25%</w:t>
            </w:r>
          </w:p>
        </w:tc>
        <w:tc>
          <w:tcPr>
            <w:tcW w:w="1417" w:type="dxa"/>
            <w:hideMark/>
          </w:tcPr>
          <w:p w14:paraId="2A2C5C1E" w14:textId="77777777" w:rsidR="00AE2931" w:rsidRDefault="00AE2931" w:rsidP="00E066A0">
            <w:pPr>
              <w:pStyle w:val="Tabletext"/>
              <w:jc w:val="center"/>
              <w:cnfStyle w:val="000000100000" w:firstRow="0" w:lastRow="0" w:firstColumn="0" w:lastColumn="0" w:oddVBand="0" w:evenVBand="0" w:oddHBand="1" w:evenHBand="0" w:firstRowFirstColumn="0" w:firstRowLastColumn="0" w:lastRowFirstColumn="0" w:lastRowLastColumn="0"/>
            </w:pPr>
            <w:r>
              <w:t>69%</w:t>
            </w:r>
          </w:p>
        </w:tc>
      </w:tr>
    </w:tbl>
    <w:p w14:paraId="647DCC65" w14:textId="35A8CD85" w:rsidR="006E3369" w:rsidRDefault="00AE2931" w:rsidP="00C00B6A">
      <w:pPr>
        <w:jc w:val="both"/>
        <w:rPr>
          <w:rFonts w:asciiTheme="minorHAnsi" w:hAnsiTheme="minorHAnsi" w:cstheme="minorBidi"/>
          <w:sz w:val="20"/>
        </w:rPr>
      </w:pPr>
      <w:r w:rsidRPr="0012433E">
        <w:rPr>
          <w:sz w:val="18"/>
        </w:rPr>
        <w:t>Source:</w:t>
      </w:r>
      <w:hyperlink r:id="rId16" w:history="1">
        <w:r w:rsidRPr="0012433E">
          <w:rPr>
            <w:rStyle w:val="Hyperlink"/>
            <w:sz w:val="18"/>
          </w:rPr>
          <w:t>https://www1.health.gov.au/internet/msac/publishing.nsf/Content/06A73A3B56D88650CA25801000123B8C/$File/1161%20and%201173%20PSD.pdf</w:t>
        </w:r>
      </w:hyperlink>
      <w:r w:rsidRPr="0012433E">
        <w:rPr>
          <w:sz w:val="20"/>
        </w:rPr>
        <w:t xml:space="preserve"> </w:t>
      </w:r>
    </w:p>
    <w:p w14:paraId="1DF621A5" w14:textId="3B9989E6" w:rsidR="00D163C6" w:rsidRPr="00947B1D" w:rsidRDefault="00332AB4">
      <w:pPr>
        <w:rPr>
          <w:rFonts w:eastAsia="MS Gothic"/>
          <w:b/>
          <w:bCs/>
          <w:i/>
          <w:color w:val="548DD4"/>
          <w:szCs w:val="26"/>
        </w:rPr>
      </w:pPr>
      <w:r w:rsidRPr="00C92E98">
        <w:rPr>
          <w:rFonts w:asciiTheme="minorHAnsi" w:hAnsiTheme="minorHAnsi" w:cstheme="minorHAnsi"/>
          <w:bCs/>
          <w:i/>
        </w:rPr>
        <w:t xml:space="preserve">PASC acknowledged that the average and median fees for </w:t>
      </w:r>
      <w:r w:rsidR="00D734F1" w:rsidRPr="00D734F1">
        <w:t>EGFR</w:t>
      </w:r>
      <w:r w:rsidRPr="00C92E98">
        <w:rPr>
          <w:rFonts w:asciiTheme="minorHAnsi" w:hAnsiTheme="minorHAnsi" w:cstheme="minorHAnsi"/>
          <w:bCs/>
          <w:i/>
        </w:rPr>
        <w:t xml:space="preserve"> testing reported in 2015-16 were well over </w:t>
      </w:r>
      <w:r w:rsidR="000F7C0B" w:rsidRPr="00C92E98">
        <w:rPr>
          <w:rFonts w:asciiTheme="minorHAnsi" w:hAnsiTheme="minorHAnsi" w:cstheme="minorHAnsi"/>
          <w:bCs/>
          <w:i/>
        </w:rPr>
        <w:t xml:space="preserve">the </w:t>
      </w:r>
      <w:r w:rsidRPr="00C92E98">
        <w:rPr>
          <w:rFonts w:asciiTheme="minorHAnsi" w:hAnsiTheme="minorHAnsi" w:cstheme="minorHAnsi"/>
          <w:bCs/>
          <w:i/>
        </w:rPr>
        <w:t xml:space="preserve">MBS fee of $397.35, although PASC also noted that this may have reduced subsequently over the last five years. PASC noted that the applicant assumed that the testing would be cost-neutral, and expressed concerned about this assumption. The applicant stated that it was awaiting further input from the Royal College of Pathologists </w:t>
      </w:r>
      <w:r w:rsidR="000F7C0B" w:rsidRPr="00C92E98">
        <w:rPr>
          <w:rFonts w:asciiTheme="minorHAnsi" w:hAnsiTheme="minorHAnsi" w:cstheme="minorHAnsi"/>
          <w:bCs/>
          <w:i/>
        </w:rPr>
        <w:t xml:space="preserve">of Australasia </w:t>
      </w:r>
      <w:r w:rsidRPr="00C92E98">
        <w:rPr>
          <w:rFonts w:asciiTheme="minorHAnsi" w:hAnsiTheme="minorHAnsi" w:cstheme="minorHAnsi"/>
          <w:bCs/>
          <w:i/>
        </w:rPr>
        <w:t xml:space="preserve">regarding whether </w:t>
      </w:r>
      <w:r w:rsidR="00D734F1" w:rsidRPr="00D734F1">
        <w:t>KRAS</w:t>
      </w:r>
      <w:r w:rsidRPr="00C92E98">
        <w:rPr>
          <w:rFonts w:asciiTheme="minorHAnsi" w:hAnsiTheme="minorHAnsi" w:cstheme="minorHAnsi"/>
          <w:bCs/>
          <w:i/>
        </w:rPr>
        <w:t xml:space="preserve"> testing can be absorbed into the costs of </w:t>
      </w:r>
      <w:r w:rsidR="00D734F1" w:rsidRPr="00D734F1">
        <w:t>EGFR</w:t>
      </w:r>
      <w:r w:rsidRPr="00C92E98">
        <w:rPr>
          <w:rFonts w:asciiTheme="minorHAnsi" w:hAnsiTheme="minorHAnsi" w:cstheme="minorHAnsi"/>
          <w:bCs/>
          <w:i/>
        </w:rPr>
        <w:t xml:space="preserve"> testing.</w:t>
      </w:r>
    </w:p>
    <w:p w14:paraId="5476AFDA" w14:textId="68158E04" w:rsidR="00AC47DC" w:rsidRDefault="00AC47DC" w:rsidP="00AC47DC">
      <w:pPr>
        <w:pStyle w:val="Heading2"/>
        <w:spacing w:line="240" w:lineRule="auto"/>
        <w:jc w:val="both"/>
        <w:rPr>
          <w:color w:val="548DD4"/>
          <w:u w:val="none"/>
        </w:rPr>
      </w:pPr>
      <w:r>
        <w:rPr>
          <w:color w:val="548DD4"/>
          <w:u w:val="none"/>
        </w:rPr>
        <w:t>Summary of public consultation input</w:t>
      </w:r>
    </w:p>
    <w:p w14:paraId="0C3393D4" w14:textId="5F50DF1A" w:rsidR="00E12B97" w:rsidRDefault="00E12B97" w:rsidP="009A20EA">
      <w:pPr>
        <w:spacing w:before="200" w:after="0"/>
      </w:pPr>
      <w:r>
        <w:t>The Department received targeted consultation feedback from:</w:t>
      </w:r>
    </w:p>
    <w:p w14:paraId="52B1205F" w14:textId="198C6E48" w:rsidR="008B7CE5" w:rsidRDefault="009B6604" w:rsidP="00E066A0">
      <w:pPr>
        <w:pStyle w:val="ListParagraph"/>
        <w:numPr>
          <w:ilvl w:val="0"/>
          <w:numId w:val="38"/>
        </w:numPr>
        <w:spacing w:after="0"/>
      </w:pPr>
      <w:r>
        <w:t>T</w:t>
      </w:r>
      <w:r w:rsidR="00E12B97">
        <w:t>he Lung Foundation Australia (LFA)</w:t>
      </w:r>
      <w:r w:rsidR="008B7CE5">
        <w:t>; and</w:t>
      </w:r>
    </w:p>
    <w:p w14:paraId="31BAE257" w14:textId="22D5AD8C" w:rsidR="00E12B97" w:rsidRDefault="008B7CE5" w:rsidP="004A3F22">
      <w:pPr>
        <w:pStyle w:val="ListParagraph"/>
        <w:numPr>
          <w:ilvl w:val="0"/>
          <w:numId w:val="37"/>
        </w:numPr>
      </w:pPr>
      <w:r>
        <w:lastRenderedPageBreak/>
        <w:t>The National Pathology Accreditation Advisory Council</w:t>
      </w:r>
      <w:r w:rsidR="00BC7824">
        <w:t xml:space="preserve"> (NPAAC)</w:t>
      </w:r>
      <w:r w:rsidR="00E12B97">
        <w:t>.</w:t>
      </w:r>
    </w:p>
    <w:p w14:paraId="0EC29409" w14:textId="4ADE40EB" w:rsidR="00D163C6" w:rsidRDefault="00E12B97">
      <w:r>
        <w:t xml:space="preserve">The LFA was supportive of the application, stating that early identification of genomic variants would facilitate timely access to targeted therapies, improving quality of life and treatment outcomes to lung cancer patients. </w:t>
      </w:r>
      <w:r w:rsidR="00994898">
        <w:t>The LFA</w:t>
      </w:r>
      <w:r>
        <w:t xml:space="preserve"> also noted that this application would allow for equitable access to testing, thus improving access to treatment and improving health outcomes. However, the LFA did observe that tissue samples may not be adequate and may require re-biopsy, that follow -up testing should be available due to disease progression and, that the application is limited to the use of solid tissue.</w:t>
      </w:r>
    </w:p>
    <w:p w14:paraId="4B6D64FE" w14:textId="068FC353" w:rsidR="00BC7824" w:rsidRDefault="00BC7824">
      <w:r>
        <w:t xml:space="preserve">NPAAC considered </w:t>
      </w:r>
      <w:r w:rsidR="0002636A">
        <w:t xml:space="preserve">that </w:t>
      </w:r>
      <w:r>
        <w:t xml:space="preserve">there were no implementation issues regarding </w:t>
      </w:r>
      <w:r>
        <w:rPr>
          <w:i/>
        </w:rPr>
        <w:t>KRAS</w:t>
      </w:r>
      <w:r>
        <w:t xml:space="preserve"> testing, as it is a highly reproducible test with an existing external quality assurance program</w:t>
      </w:r>
      <w:r w:rsidR="0002636A">
        <w:t xml:space="preserve"> (QAP)</w:t>
      </w:r>
      <w:r>
        <w:t>.</w:t>
      </w:r>
    </w:p>
    <w:p w14:paraId="1FBAAF7D" w14:textId="5DE5235E" w:rsidR="0002636A" w:rsidRPr="00D734F1" w:rsidRDefault="0002636A" w:rsidP="00D734F1">
      <w:pPr>
        <w:rPr>
          <w:rFonts w:asciiTheme="minorHAnsi" w:hAnsiTheme="minorHAnsi" w:cstheme="minorHAnsi"/>
          <w:i/>
          <w:iCs/>
        </w:rPr>
      </w:pPr>
      <w:r w:rsidRPr="00D734F1">
        <w:rPr>
          <w:rFonts w:asciiTheme="minorHAnsi" w:hAnsiTheme="minorHAnsi" w:cstheme="minorHAnsi"/>
          <w:i/>
          <w:iCs/>
        </w:rPr>
        <w:t xml:space="preserve">PASC discussed that the current QAP for </w:t>
      </w:r>
      <w:r w:rsidR="00D734F1" w:rsidRPr="00D734F1">
        <w:t>KRAS</w:t>
      </w:r>
      <w:r w:rsidRPr="00D734F1">
        <w:rPr>
          <w:rFonts w:asciiTheme="minorHAnsi" w:hAnsiTheme="minorHAnsi" w:cstheme="minorHAnsi"/>
          <w:i/>
          <w:iCs/>
        </w:rPr>
        <w:t xml:space="preserve"> testing was for colon cancer, not lung cancer, but that a QAP in lung cancer would be easy to implement.</w:t>
      </w:r>
      <w:r w:rsidR="00FB4CF3" w:rsidRPr="00D734F1">
        <w:rPr>
          <w:rFonts w:asciiTheme="minorHAnsi" w:hAnsiTheme="minorHAnsi" w:cstheme="minorHAnsi"/>
          <w:i/>
          <w:iCs/>
        </w:rPr>
        <w:t xml:space="preserve"> There is currently the option of participation in an </w:t>
      </w:r>
      <w:r w:rsidR="00460923" w:rsidRPr="00D734F1">
        <w:rPr>
          <w:rFonts w:asciiTheme="minorHAnsi" w:hAnsiTheme="minorHAnsi" w:cstheme="minorHAnsi"/>
          <w:i/>
          <w:iCs/>
        </w:rPr>
        <w:t xml:space="preserve">EMQN </w:t>
      </w:r>
      <w:r w:rsidR="00FB4CF3" w:rsidRPr="00D734F1">
        <w:rPr>
          <w:rFonts w:asciiTheme="minorHAnsi" w:hAnsiTheme="minorHAnsi" w:cstheme="minorHAnsi"/>
          <w:i/>
          <w:iCs/>
        </w:rPr>
        <w:t xml:space="preserve">program for </w:t>
      </w:r>
      <w:r w:rsidR="00D734F1" w:rsidRPr="00D734F1">
        <w:t>KRAS</w:t>
      </w:r>
      <w:r w:rsidR="00FB4CF3" w:rsidRPr="00D734F1">
        <w:rPr>
          <w:rFonts w:asciiTheme="minorHAnsi" w:hAnsiTheme="minorHAnsi" w:cstheme="minorHAnsi"/>
          <w:i/>
          <w:iCs/>
        </w:rPr>
        <w:t xml:space="preserve"> testing in lung cancer.</w:t>
      </w:r>
    </w:p>
    <w:p w14:paraId="59B5D2C4" w14:textId="7327DCFD" w:rsidR="00D163C6" w:rsidRDefault="00D163C6" w:rsidP="00D163C6">
      <w:pPr>
        <w:pStyle w:val="Heading2"/>
        <w:spacing w:line="240" w:lineRule="auto"/>
        <w:jc w:val="both"/>
        <w:rPr>
          <w:color w:val="548DD4"/>
          <w:u w:val="none"/>
        </w:rPr>
      </w:pPr>
      <w:r>
        <w:rPr>
          <w:color w:val="548DD4"/>
          <w:u w:val="none"/>
        </w:rPr>
        <w:t xml:space="preserve">Next </w:t>
      </w:r>
      <w:r w:rsidR="00E066A0">
        <w:rPr>
          <w:color w:val="548DD4"/>
          <w:u w:val="none"/>
        </w:rPr>
        <w:t>s</w:t>
      </w:r>
      <w:r>
        <w:rPr>
          <w:color w:val="548DD4"/>
          <w:u w:val="none"/>
        </w:rPr>
        <w:t>teps</w:t>
      </w:r>
    </w:p>
    <w:p w14:paraId="1E0630B1" w14:textId="77777777" w:rsidR="00D734F1" w:rsidRDefault="007D5192" w:rsidP="009A20EA">
      <w:pPr>
        <w:spacing w:before="200"/>
        <w:rPr>
          <w:rFonts w:asciiTheme="minorHAnsi" w:hAnsiTheme="minorHAnsi" w:cstheme="minorHAnsi"/>
          <w:i/>
        </w:rPr>
      </w:pPr>
      <w:r w:rsidRPr="00C92E98">
        <w:rPr>
          <w:rFonts w:asciiTheme="minorHAnsi" w:hAnsiTheme="minorHAnsi" w:cstheme="minorHAnsi"/>
          <w:i/>
        </w:rPr>
        <w:t>The applicant advised that it would be lodging an Applicant Developed Assessment Report.</w:t>
      </w:r>
    </w:p>
    <w:p w14:paraId="4225C6B2" w14:textId="1FB7882B" w:rsidR="00D734F1" w:rsidRPr="00D734F1" w:rsidRDefault="00D734F1" w:rsidP="00D734F1">
      <w:pPr>
        <w:pStyle w:val="Heading2"/>
        <w:spacing w:line="240" w:lineRule="auto"/>
        <w:jc w:val="both"/>
        <w:rPr>
          <w:color w:val="548DD4"/>
          <w:u w:val="none"/>
        </w:rPr>
      </w:pPr>
      <w:r w:rsidRPr="00D734F1">
        <w:rPr>
          <w:color w:val="548DD4"/>
          <w:u w:val="none"/>
        </w:rPr>
        <w:t>Applicant Comments on the PICO Confirmation</w:t>
      </w:r>
    </w:p>
    <w:p w14:paraId="6078EA17" w14:textId="25C993C3" w:rsidR="00D734F1" w:rsidRPr="00D734F1" w:rsidRDefault="00D734F1" w:rsidP="00D734F1">
      <w:pPr>
        <w:spacing w:before="200" w:after="120"/>
        <w:rPr>
          <w:rFonts w:asciiTheme="minorHAnsi" w:hAnsiTheme="minorHAnsi" w:cstheme="minorHAnsi"/>
          <w:i/>
          <w:u w:val="single"/>
        </w:rPr>
      </w:pPr>
      <w:r w:rsidRPr="00D734F1">
        <w:rPr>
          <w:rFonts w:asciiTheme="minorHAnsi" w:hAnsiTheme="minorHAnsi" w:cstheme="minorHAnsi"/>
          <w:u w:val="single"/>
        </w:rPr>
        <w:t>Population</w:t>
      </w:r>
    </w:p>
    <w:p w14:paraId="761ED8A4" w14:textId="35C1AD5F" w:rsidR="00D734F1" w:rsidRPr="00D734F1" w:rsidRDefault="00D734F1" w:rsidP="00D734F1">
      <w:pPr>
        <w:rPr>
          <w:rFonts w:asciiTheme="minorHAnsi" w:hAnsiTheme="minorHAnsi" w:cstheme="minorHAnsi"/>
          <w:i/>
          <w:iCs/>
        </w:rPr>
      </w:pPr>
      <w:r w:rsidRPr="00D734F1">
        <w:rPr>
          <w:rFonts w:asciiTheme="minorHAnsi" w:hAnsiTheme="minorHAnsi" w:cstheme="minorHAnsi"/>
          <w:i/>
          <w:iCs/>
        </w:rPr>
        <w:t>The applicant advised as a point of clarification, that sotorasib use w</w:t>
      </w:r>
      <w:r>
        <w:rPr>
          <w:rFonts w:asciiTheme="minorHAnsi" w:hAnsiTheme="minorHAnsi" w:cstheme="minorHAnsi"/>
          <w:i/>
          <w:iCs/>
        </w:rPr>
        <w:t>ould</w:t>
      </w:r>
      <w:r w:rsidRPr="00D734F1">
        <w:rPr>
          <w:rFonts w:asciiTheme="minorHAnsi" w:hAnsiTheme="minorHAnsi" w:cstheme="minorHAnsi"/>
          <w:i/>
          <w:iCs/>
        </w:rPr>
        <w:t xml:space="preserve"> not be strictly limited to second-line. The proposed PBS listing will include the wording: “The condition must have progressed on or after prior therapy for this condition”. However, it is recognised that use of sotorasib will predominantly be in the second-line setting.</w:t>
      </w:r>
    </w:p>
    <w:p w14:paraId="09B26E22" w14:textId="19B955D7" w:rsidR="00AC29B2" w:rsidRPr="00F52B6A" w:rsidRDefault="00AC29B2" w:rsidP="009A20EA">
      <w:pPr>
        <w:spacing w:before="200"/>
        <w:rPr>
          <w:rFonts w:eastAsia="MS Gothic"/>
          <w:b/>
          <w:bCs/>
          <w:i/>
          <w:color w:val="548DD4"/>
          <w:szCs w:val="26"/>
        </w:rPr>
      </w:pPr>
      <w:r w:rsidRPr="00C92E98">
        <w:rPr>
          <w:i/>
          <w:color w:val="548DD4"/>
        </w:rPr>
        <w:br w:type="page"/>
      </w:r>
    </w:p>
    <w:p w14:paraId="12269BA7" w14:textId="6515A045" w:rsidR="007A6076" w:rsidRPr="00921CB6" w:rsidRDefault="00AC47DC" w:rsidP="00994898">
      <w:pPr>
        <w:pStyle w:val="Heading2"/>
      </w:pPr>
      <w:r>
        <w:rPr>
          <w:color w:val="548DD4"/>
          <w:u w:val="none"/>
        </w:rPr>
        <w:lastRenderedPageBreak/>
        <w:t>References</w:t>
      </w:r>
    </w:p>
    <w:p w14:paraId="3EE918FA" w14:textId="39B1A16A" w:rsidR="00A4263A" w:rsidRPr="00A4263A" w:rsidRDefault="007A6076" w:rsidP="007C376E">
      <w:pPr>
        <w:pStyle w:val="EndNoteBibliography"/>
        <w:jc w:val="left"/>
      </w:pPr>
      <w:r>
        <w:fldChar w:fldCharType="begin"/>
      </w:r>
      <w:r>
        <w:instrText xml:space="preserve"> ADDIN EN.REFLIST </w:instrText>
      </w:r>
      <w:r>
        <w:fldChar w:fldCharType="separate"/>
      </w:r>
      <w:r w:rsidR="00A4263A" w:rsidRPr="00A4263A">
        <w:t xml:space="preserve">AIHW 2021, </w:t>
      </w:r>
      <w:r w:rsidR="00A4263A" w:rsidRPr="00A4263A">
        <w:rPr>
          <w:i/>
        </w:rPr>
        <w:t>Cancer data in Australia</w:t>
      </w:r>
      <w:r w:rsidR="00A4263A" w:rsidRPr="00A4263A">
        <w:t>, AIHW, Canberra, &lt;</w:t>
      </w:r>
      <w:hyperlink r:id="rId17" w:history="1">
        <w:r w:rsidR="00A4263A" w:rsidRPr="00A4263A">
          <w:rPr>
            <w:rStyle w:val="Hyperlink"/>
            <w:rFonts w:cs="Calibri"/>
          </w:rPr>
          <w:t>https://www.aihw.gov.au/reports/cancer/cancer-data-in-australia</w:t>
        </w:r>
      </w:hyperlink>
      <w:r w:rsidR="00A4263A" w:rsidRPr="00A4263A">
        <w:t>&gt;.</w:t>
      </w:r>
    </w:p>
    <w:p w14:paraId="59B839AB" w14:textId="77777777" w:rsidR="00A4263A" w:rsidRPr="00A4263A" w:rsidRDefault="00A4263A" w:rsidP="007C376E">
      <w:pPr>
        <w:pStyle w:val="EndNoteBibliography"/>
        <w:spacing w:after="0"/>
        <w:jc w:val="left"/>
      </w:pPr>
    </w:p>
    <w:p w14:paraId="72259104" w14:textId="6A881F4D" w:rsidR="00A4263A" w:rsidRPr="00A4263A" w:rsidRDefault="00A4263A" w:rsidP="007C376E">
      <w:pPr>
        <w:pStyle w:val="EndNoteBibliography"/>
        <w:jc w:val="left"/>
      </w:pPr>
      <w:r w:rsidRPr="00A4263A">
        <w:t xml:space="preserve">Arbour, KC, Rizvi, H, Plodkowski, AJ, Hellmann, MD, Knezevic, A, Heller, G, Yu, HA, Ladanyi, M, Kris, MG, Arcila, ME, Rudin, CM, Lito, P &amp; Riely, GJ 2021, 'Treatment Outcomes and Clinical Characteristics of Patients with </w:t>
      </w:r>
      <w:r w:rsidR="00A97034" w:rsidRPr="00A97034">
        <w:rPr>
          <w:i/>
        </w:rPr>
        <w:t>KRAS</w:t>
      </w:r>
      <w:r w:rsidRPr="00A4263A">
        <w:t xml:space="preserve">-G12C–Mutant Non–Small Cell Lung Cancer', </w:t>
      </w:r>
      <w:r w:rsidRPr="00A4263A">
        <w:rPr>
          <w:i/>
        </w:rPr>
        <w:t>Clinical Cancer Research</w:t>
      </w:r>
      <w:r w:rsidRPr="00A4263A">
        <w:t>, vol. 27, no. 8, pp. 2209-2215.</w:t>
      </w:r>
    </w:p>
    <w:p w14:paraId="7EC2C7EA" w14:textId="77777777" w:rsidR="00A4263A" w:rsidRPr="00A4263A" w:rsidRDefault="00A4263A" w:rsidP="007C376E">
      <w:pPr>
        <w:pStyle w:val="EndNoteBibliography"/>
        <w:spacing w:after="0"/>
        <w:jc w:val="left"/>
      </w:pPr>
    </w:p>
    <w:p w14:paraId="3EC97640" w14:textId="77777777" w:rsidR="00A4263A" w:rsidRPr="00A4263A" w:rsidRDefault="00A4263A" w:rsidP="007C376E">
      <w:pPr>
        <w:pStyle w:val="EndNoteBibliography"/>
        <w:jc w:val="left"/>
      </w:pPr>
      <w:r w:rsidRPr="00A4263A">
        <w:t xml:space="preserve">Filippi, AR, Di Muzio, J, Badellino, S, Mantovani, C &amp; Ricardi, U 2018, 'Locally-advanced non-small cell lung cancer: shall immunotherapy be a new chance?', </w:t>
      </w:r>
      <w:r w:rsidRPr="00A4263A">
        <w:rPr>
          <w:i/>
        </w:rPr>
        <w:t>Journal of thoracic disease</w:t>
      </w:r>
      <w:r w:rsidRPr="00A4263A">
        <w:t>, vol. 10, no. Suppl 13, pp. S1461-S1467.</w:t>
      </w:r>
    </w:p>
    <w:p w14:paraId="56B99483" w14:textId="77777777" w:rsidR="00A4263A" w:rsidRPr="00A4263A" w:rsidRDefault="00A4263A" w:rsidP="007C376E">
      <w:pPr>
        <w:pStyle w:val="EndNoteBibliography"/>
        <w:spacing w:after="0"/>
        <w:jc w:val="left"/>
      </w:pPr>
    </w:p>
    <w:p w14:paraId="454A7AA1" w14:textId="5C00ABBC" w:rsidR="00A4263A" w:rsidRPr="00A4263A" w:rsidRDefault="00A4263A" w:rsidP="007C376E">
      <w:pPr>
        <w:pStyle w:val="EndNoteBibliography"/>
        <w:jc w:val="left"/>
      </w:pPr>
      <w:r w:rsidRPr="00A4263A">
        <w:t>Hong, DS, Fakih, MG, Strickler, JH, Desai, J, Durm, GA, Shapiro, GI, Falchook, GS, Price, TJ, Sacher, A, Denlinger, CS, Bang, YJ, Dy, GK, Krauss, JC, Kuboki, Y, Kuo, JC, Coveler, AL, Park, K, Kim, TW, Barlesi, F, Munster, PN, Ramalingam, SS, Burns, TF, Meric-Bernstam, F, Henary, H, Ngang, J, Ngarmchamnanrith, G, Kim, J, Houk, BE, Canon, J, Lipford, JR, Friberg, G, Lito, P, Govindan, R &amp; Li, BT 2020, '</w:t>
      </w:r>
      <w:r w:rsidR="00A97034" w:rsidRPr="00A97034">
        <w:rPr>
          <w:i/>
        </w:rPr>
        <w:t>KRAS</w:t>
      </w:r>
      <w:r w:rsidRPr="00A4263A">
        <w:t xml:space="preserve">(G12C) Inhibition with Sotorasib in Advanced Solid Tumors', </w:t>
      </w:r>
      <w:r w:rsidRPr="00A4263A">
        <w:rPr>
          <w:i/>
        </w:rPr>
        <w:t>N Engl J Med</w:t>
      </w:r>
      <w:r w:rsidRPr="00A4263A">
        <w:t>, vol. 383, no. 13, Sep 24, pp. 1207-1217.</w:t>
      </w:r>
    </w:p>
    <w:p w14:paraId="5E808091" w14:textId="77777777" w:rsidR="00A4263A" w:rsidRPr="00A4263A" w:rsidRDefault="00A4263A" w:rsidP="007C376E">
      <w:pPr>
        <w:pStyle w:val="EndNoteBibliography"/>
        <w:spacing w:after="0"/>
        <w:jc w:val="left"/>
      </w:pPr>
    </w:p>
    <w:p w14:paraId="341AB728" w14:textId="77777777" w:rsidR="00A4263A" w:rsidRPr="00A4263A" w:rsidRDefault="00A4263A" w:rsidP="007C376E">
      <w:pPr>
        <w:pStyle w:val="EndNoteBibliography"/>
        <w:jc w:val="left"/>
      </w:pPr>
      <w:r w:rsidRPr="00A4263A">
        <w:t xml:space="preserve">Kris, MG, Johnson, BE, Berry, LD, Kwiatkowski, DJ, Iafrate, AJ, Wistuba, II, Varella-Garcia, M, Franklin, WA, Aronson, SL, Su, P-F, Shyr, Y, Camidge, DR, Sequist, LV, Glisson, BS, Khuri, FR, Garon, EB, Pao, W, Rudin, C, Schiller, J, Haura, EB, Socinski, M, Shirai, K, Chen, H, Giaccone, G, Ladanyi, M, Kugler, K, Minna, JD &amp; Bunn, PA 2014, 'Using Multiplexed Assays of Oncogenic Drivers in Lung Cancers to Select Targeted Drugs', </w:t>
      </w:r>
      <w:r w:rsidRPr="00A4263A">
        <w:rPr>
          <w:i/>
        </w:rPr>
        <w:t>JAMA</w:t>
      </w:r>
      <w:r w:rsidRPr="00A4263A">
        <w:t>, vol. 311, no. 19, pp. 1998-2006.</w:t>
      </w:r>
    </w:p>
    <w:p w14:paraId="642A2272" w14:textId="77777777" w:rsidR="00A4263A" w:rsidRPr="00A4263A" w:rsidRDefault="00A4263A" w:rsidP="007C376E">
      <w:pPr>
        <w:pStyle w:val="EndNoteBibliography"/>
        <w:spacing w:after="0"/>
        <w:jc w:val="left"/>
      </w:pPr>
    </w:p>
    <w:p w14:paraId="7C1DA676" w14:textId="77777777" w:rsidR="00A4263A" w:rsidRPr="00A4263A" w:rsidRDefault="00A4263A" w:rsidP="007C376E">
      <w:pPr>
        <w:pStyle w:val="EndNoteBibliography"/>
        <w:jc w:val="left"/>
      </w:pPr>
      <w:r w:rsidRPr="00A4263A">
        <w:t xml:space="preserve">Lindeman, NI, Cagle, PT, Aisner, DL, Arcila, ME, Beasley, MB, Bernicker, EH, Colasacco, C, Dacic, S, Hirsch, FR, Kerr, K, Kwiatkowski, DJ, Ladanyi, M, Nowak, JA, Sholl, L, Temple-Smolkin, R, Solomon, B, Souter, LH, Thunnissen, E, Tsao, MS, Ventura, CB, Wynes, MW &amp; Yatabe, Y 2018,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A4263A">
        <w:rPr>
          <w:i/>
        </w:rPr>
        <w:t>Arch Pathol Lab Med</w:t>
      </w:r>
      <w:r w:rsidRPr="00A4263A">
        <w:t>, vol. 142, no. 3, Mar, pp. 321-346.</w:t>
      </w:r>
    </w:p>
    <w:p w14:paraId="312D2E15" w14:textId="77777777" w:rsidR="00A4263A" w:rsidRPr="00A4263A" w:rsidRDefault="00A4263A" w:rsidP="007C376E">
      <w:pPr>
        <w:pStyle w:val="EndNoteBibliography"/>
        <w:spacing w:after="0"/>
        <w:jc w:val="left"/>
      </w:pPr>
    </w:p>
    <w:p w14:paraId="05880615" w14:textId="77777777" w:rsidR="00A4263A" w:rsidRPr="00A4263A" w:rsidRDefault="00A4263A" w:rsidP="007C376E">
      <w:pPr>
        <w:pStyle w:val="EndNoteBibliography"/>
        <w:jc w:val="left"/>
      </w:pPr>
      <w:r w:rsidRPr="00A4263A">
        <w:t xml:space="preserve">Lindeman, NI, Cagle, PT, Aisner, DL, Arcila, ME, Beasley, MB, Bernicker, EH, Colasacco, C, Dacic, S, Hirsch, FR, Kerr, K, Kwiatkowski, DJ, Ladanyi, M, Nowak, JA, Sholl, L, Temple-Smolkin, R, Solomon, B, Souter, LH, Thunnissen, E, Tsao, MS, Ventura, CB, Wynes, MW &amp; Yatabe, Y 2018,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A4263A">
        <w:rPr>
          <w:i/>
        </w:rPr>
        <w:t>Journal of Thoracic Oncology</w:t>
      </w:r>
      <w:r w:rsidRPr="00A4263A">
        <w:t>, vol. 13, no. 3, 2018/03/01/, pp. 323-358.</w:t>
      </w:r>
    </w:p>
    <w:p w14:paraId="06DC18A6" w14:textId="77777777" w:rsidR="00A4263A" w:rsidRPr="00A4263A" w:rsidRDefault="00A4263A" w:rsidP="007C376E">
      <w:pPr>
        <w:pStyle w:val="EndNoteBibliography"/>
        <w:spacing w:after="0"/>
        <w:jc w:val="left"/>
      </w:pPr>
    </w:p>
    <w:p w14:paraId="2C4ACF9E" w14:textId="77777777" w:rsidR="00A4263A" w:rsidRPr="00A4263A" w:rsidRDefault="00A4263A" w:rsidP="007C376E">
      <w:pPr>
        <w:pStyle w:val="EndNoteBibliography"/>
        <w:jc w:val="left"/>
      </w:pPr>
      <w:r w:rsidRPr="00A4263A">
        <w:t xml:space="preserve">Mitchell, PL, Thursfield, VJ, Ball, DL, Richardson, GE, Irving, LB, Torn-Broers, Y, Giles, GG &amp; Wright, GM 2013, 'Lung cancer in Victoria: are we making progress?', </w:t>
      </w:r>
      <w:r w:rsidRPr="00A4263A">
        <w:rPr>
          <w:i/>
        </w:rPr>
        <w:t>Med J Aust</w:t>
      </w:r>
      <w:r w:rsidRPr="00A4263A">
        <w:t>, vol. 199, no. 10, Nov 18, pp. 674-679.</w:t>
      </w:r>
    </w:p>
    <w:p w14:paraId="54ACD693" w14:textId="77777777" w:rsidR="00A4263A" w:rsidRPr="00A4263A" w:rsidRDefault="00A4263A" w:rsidP="007C376E">
      <w:pPr>
        <w:pStyle w:val="EndNoteBibliography"/>
        <w:spacing w:after="0"/>
        <w:jc w:val="left"/>
      </w:pPr>
    </w:p>
    <w:p w14:paraId="6532CFAD" w14:textId="77777777" w:rsidR="00A4263A" w:rsidRPr="00A4263A" w:rsidRDefault="00A4263A" w:rsidP="007C376E">
      <w:pPr>
        <w:pStyle w:val="EndNoteBibliography"/>
        <w:jc w:val="left"/>
      </w:pPr>
      <w:r w:rsidRPr="00A4263A">
        <w:t>NCCN 2021, 'NCCN Clinical Practice Guidelines in Oncology (NCCN Guidelines), Non-Small Cell Lung Cancer (Version 5.2021)'.</w:t>
      </w:r>
    </w:p>
    <w:p w14:paraId="22E86025" w14:textId="77777777" w:rsidR="00A4263A" w:rsidRPr="00A4263A" w:rsidRDefault="00A4263A" w:rsidP="007C376E">
      <w:pPr>
        <w:pStyle w:val="EndNoteBibliography"/>
        <w:spacing w:after="0"/>
        <w:jc w:val="left"/>
      </w:pPr>
    </w:p>
    <w:p w14:paraId="5294F228" w14:textId="0D455B7A" w:rsidR="00A4263A" w:rsidRPr="00A4263A" w:rsidRDefault="00A4263A" w:rsidP="00B2238F">
      <w:pPr>
        <w:pStyle w:val="EndNoteBibliography"/>
        <w:jc w:val="left"/>
      </w:pPr>
      <w:r w:rsidRPr="00A4263A">
        <w:t>Pan, W, Yang, Y, Zhu, H, Zhang, Y, Zhou, R &amp; Sun, X 2016, '</w:t>
      </w:r>
      <w:r w:rsidR="00A97034" w:rsidRPr="00A97034">
        <w:rPr>
          <w:i/>
        </w:rPr>
        <w:t>KRAS</w:t>
      </w:r>
      <w:r w:rsidRPr="00A4263A">
        <w:t xml:space="preserve"> mutation is a weak, but valid predictor for poor prognosis and treatment outcomes in NSCLC: A meta-analysis of 41 studies', </w:t>
      </w:r>
      <w:r w:rsidRPr="00A4263A">
        <w:rPr>
          <w:i/>
        </w:rPr>
        <w:t>Oncotarget</w:t>
      </w:r>
      <w:r w:rsidRPr="00A4263A">
        <w:t>, vol. 7, no. 7, pp. 8373-8388.</w:t>
      </w:r>
    </w:p>
    <w:p w14:paraId="1A7B5BA7" w14:textId="077FD83F" w:rsidR="00A4263A" w:rsidRPr="00A4263A" w:rsidRDefault="00A4263A" w:rsidP="00B2238F">
      <w:pPr>
        <w:pStyle w:val="EndNoteBibliography"/>
        <w:jc w:val="left"/>
      </w:pPr>
      <w:r w:rsidRPr="00A4263A">
        <w:t xml:space="preserve">Postmus, PE, Kerr, KM, Oudkerk, M, Senan, S, Waller, DA, Vansteenkiste, J, Escriu, C &amp; Peters, S 2017, 'Early and locally advanced non-small-cell lung cancer (NSCLC): ESMO Clinical Practice Guidelines for diagnosis, treatment and follow-up†', </w:t>
      </w:r>
      <w:r w:rsidRPr="00A4263A">
        <w:rPr>
          <w:i/>
        </w:rPr>
        <w:t>Annals of Oncology</w:t>
      </w:r>
      <w:r w:rsidRPr="00A4263A">
        <w:t>, vol. 28, 2017/07/01/, pp. iv1-iv21.</w:t>
      </w:r>
    </w:p>
    <w:p w14:paraId="7591C544" w14:textId="77777777" w:rsidR="00A4263A" w:rsidRPr="00A4263A" w:rsidRDefault="00A4263A" w:rsidP="007C376E">
      <w:pPr>
        <w:pStyle w:val="EndNoteBibliography"/>
        <w:jc w:val="left"/>
      </w:pPr>
      <w:r w:rsidRPr="00A4263A">
        <w:t xml:space="preserve">Sherwood, J, Dearden, S, Ratcliffe, M &amp; Walker, J 2015, 'Mutation status concordance between primary lesions and metastatic sites of advanced non-small-cell lung cancer and the impact of mutation testing methodologies: a literature review', </w:t>
      </w:r>
      <w:r w:rsidRPr="00A4263A">
        <w:rPr>
          <w:i/>
        </w:rPr>
        <w:t>Journal of Experimental &amp; Clinical Cancer Research</w:t>
      </w:r>
      <w:r w:rsidRPr="00A4263A">
        <w:t>, vol. 34, no. 1, 2015/09/04, p. 92.</w:t>
      </w:r>
    </w:p>
    <w:p w14:paraId="4A7E8B9A" w14:textId="77777777" w:rsidR="00A4263A" w:rsidRPr="00A4263A" w:rsidRDefault="00A4263A" w:rsidP="007C376E">
      <w:pPr>
        <w:pStyle w:val="EndNoteBibliography"/>
        <w:spacing w:after="0"/>
        <w:jc w:val="left"/>
      </w:pPr>
    </w:p>
    <w:p w14:paraId="34C2D717" w14:textId="39AB7310" w:rsidR="00A4263A" w:rsidRPr="00A4263A" w:rsidRDefault="00A4263A" w:rsidP="007C376E">
      <w:pPr>
        <w:pStyle w:val="EndNoteBibliography"/>
        <w:jc w:val="left"/>
      </w:pPr>
      <w:r w:rsidRPr="00A4263A">
        <w:t xml:space="preserve">Sherwood, JL, Brown, H, Rettino, A, Schreieck, A, Clark, G, Claes, B, Agrawal, B, Chaston, R, Kong, BSG, Choppa, P, Nygren, AOH, Deras, IL &amp; Kohlmann, A 2017, 'Key differences between 13 </w:t>
      </w:r>
      <w:r w:rsidR="00A97034" w:rsidRPr="00A97034">
        <w:rPr>
          <w:i/>
        </w:rPr>
        <w:t>KRAS</w:t>
      </w:r>
      <w:r w:rsidRPr="00A4263A">
        <w:t xml:space="preserve"> mutation detection technologies and their relevance for clinical practice', </w:t>
      </w:r>
      <w:r w:rsidRPr="00A4263A">
        <w:rPr>
          <w:i/>
        </w:rPr>
        <w:t>ESMO open</w:t>
      </w:r>
      <w:r w:rsidRPr="00A4263A">
        <w:t>, vol. 2, no. 4, pp. e000235-e000235.</w:t>
      </w:r>
    </w:p>
    <w:p w14:paraId="07BBF4D6" w14:textId="77777777" w:rsidR="00A4263A" w:rsidRPr="00A4263A" w:rsidRDefault="00A4263A" w:rsidP="007C376E">
      <w:pPr>
        <w:pStyle w:val="EndNoteBibliography"/>
        <w:spacing w:after="0"/>
        <w:jc w:val="left"/>
      </w:pPr>
    </w:p>
    <w:p w14:paraId="72869359" w14:textId="77777777" w:rsidR="00A4263A" w:rsidRPr="00A4263A" w:rsidRDefault="00A4263A" w:rsidP="007C376E">
      <w:pPr>
        <w:pStyle w:val="EndNoteBibliography"/>
        <w:jc w:val="left"/>
      </w:pPr>
      <w:r w:rsidRPr="00A4263A">
        <w:t xml:space="preserve">Sung, H, Ferlay, J, Siegel, RL, Laversanne, M, Soerjomataram, I, Jemal, A &amp; Bray, F 2021, 'Global Cancer Statistics 2020: GLOBOCAN Estimates of Incidence and Mortality Worldwide for 36 Cancers in 185 Countries', </w:t>
      </w:r>
      <w:r w:rsidRPr="00A4263A">
        <w:rPr>
          <w:i/>
        </w:rPr>
        <w:t>CA: A Cancer Journal for Clinicians</w:t>
      </w:r>
      <w:r w:rsidRPr="00A4263A">
        <w:t>, vol. 71, no. 3, pp. 209-249.</w:t>
      </w:r>
    </w:p>
    <w:p w14:paraId="4D5C9CE6" w14:textId="77777777" w:rsidR="00A4263A" w:rsidRPr="00A4263A" w:rsidRDefault="00A4263A" w:rsidP="007C376E">
      <w:pPr>
        <w:pStyle w:val="EndNoteBibliography"/>
        <w:spacing w:after="0"/>
        <w:jc w:val="left"/>
      </w:pPr>
    </w:p>
    <w:p w14:paraId="46F0DB8C" w14:textId="5C73FBFE" w:rsidR="00A4263A" w:rsidRPr="00A4263A" w:rsidRDefault="00A4263A" w:rsidP="007C376E">
      <w:pPr>
        <w:pStyle w:val="EndNoteBibliography"/>
        <w:jc w:val="left"/>
      </w:pPr>
      <w:r w:rsidRPr="00A4263A">
        <w:t>SVATON, M, FIALA, O, PESEK, M, BORTLICEK, Z, MINARIK, M, BENESOVA, L &amp; TOPOLCAN, O 2016, 'The Prognostic Role of &lt;em&gt;</w:t>
      </w:r>
      <w:r w:rsidR="00A97034" w:rsidRPr="00A97034">
        <w:rPr>
          <w:i/>
        </w:rPr>
        <w:t>KRAS</w:t>
      </w:r>
      <w:r w:rsidRPr="00A4263A">
        <w:t xml:space="preserve">&lt;/em&gt; Mutation in Patients with Advanced NSCLC Treated with Second- or Third-line Chemotherapy', </w:t>
      </w:r>
      <w:r w:rsidRPr="00A4263A">
        <w:rPr>
          <w:i/>
        </w:rPr>
        <w:t>Anticancer Research</w:t>
      </w:r>
      <w:r w:rsidRPr="00A4263A">
        <w:t>, vol. 36, no. 3, pp. 1077-1082.</w:t>
      </w:r>
    </w:p>
    <w:p w14:paraId="676C7EEA" w14:textId="77777777" w:rsidR="00A4263A" w:rsidRPr="00A4263A" w:rsidRDefault="00A4263A" w:rsidP="007C376E">
      <w:pPr>
        <w:pStyle w:val="EndNoteBibliography"/>
        <w:spacing w:after="0"/>
        <w:jc w:val="left"/>
      </w:pPr>
    </w:p>
    <w:p w14:paraId="6DDA9E8A" w14:textId="77777777" w:rsidR="00A4263A" w:rsidRPr="00A4263A" w:rsidRDefault="00A4263A" w:rsidP="007C376E">
      <w:pPr>
        <w:pStyle w:val="EndNoteBibliography"/>
        <w:jc w:val="left"/>
      </w:pPr>
      <w:r w:rsidRPr="00A4263A">
        <w:t xml:space="preserve">Tamura, T, Kurishima, K, Nakazawa, K, Kagohashi, K, Ishikawa, H, Satoh, H &amp; Hizawa, N 2015, 'Specific organ metastases and survival in metastatic non-small-cell lung cancer', </w:t>
      </w:r>
      <w:r w:rsidRPr="00A4263A">
        <w:rPr>
          <w:i/>
        </w:rPr>
        <w:t>Molecular and clinical oncology</w:t>
      </w:r>
      <w:r w:rsidRPr="00A4263A">
        <w:t>, vol. 3, no. 1, pp. 217-221.</w:t>
      </w:r>
    </w:p>
    <w:p w14:paraId="7367C2FA" w14:textId="7700F8AF" w:rsidR="00663F70" w:rsidRPr="00663F70" w:rsidRDefault="007A6076" w:rsidP="007C376E">
      <w:r>
        <w:fldChar w:fldCharType="end"/>
      </w:r>
    </w:p>
    <w:sectPr w:rsidR="00663F70" w:rsidRPr="00663F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64976" w14:textId="77777777" w:rsidR="00D734F1" w:rsidRDefault="00D734F1" w:rsidP="003D699E">
      <w:pPr>
        <w:spacing w:after="0" w:line="240" w:lineRule="auto"/>
      </w:pPr>
      <w:r>
        <w:separator/>
      </w:r>
    </w:p>
  </w:endnote>
  <w:endnote w:type="continuationSeparator" w:id="0">
    <w:p w14:paraId="1B2176B3" w14:textId="77777777" w:rsidR="00D734F1" w:rsidRDefault="00D734F1" w:rsidP="003D699E">
      <w:pPr>
        <w:spacing w:after="0" w:line="240" w:lineRule="auto"/>
      </w:pPr>
      <w:r>
        <w:continuationSeparator/>
      </w:r>
    </w:p>
  </w:endnote>
  <w:endnote w:type="continuationNotice" w:id="1">
    <w:p w14:paraId="61E0393D" w14:textId="77777777" w:rsidR="00D734F1" w:rsidRDefault="00D73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_‡ ˛">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62CA71C2" w14:textId="1AF1761F" w:rsidR="00D734F1" w:rsidRDefault="00D734F1"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946478">
          <w:rPr>
            <w:b/>
            <w:bCs/>
            <w:noProof/>
            <w:sz w:val="18"/>
            <w:szCs w:val="18"/>
          </w:rPr>
          <w:t>12</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Ratified PICO Confirmation – August 2021 PASC</w:t>
        </w:r>
      </w:p>
      <w:p w14:paraId="0B7B0B3A" w14:textId="2D7F2589" w:rsidR="00D734F1" w:rsidRPr="00CF2DFA" w:rsidRDefault="00D734F1"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1669: </w:t>
        </w:r>
        <w:r w:rsidRPr="00A97034">
          <w:rPr>
            <w:i/>
            <w:iCs/>
            <w:color w:val="808080" w:themeColor="background1" w:themeShade="80"/>
            <w:spacing w:val="60"/>
            <w:sz w:val="18"/>
            <w:szCs w:val="18"/>
          </w:rPr>
          <w:t>KRAS</w:t>
        </w:r>
        <w:r w:rsidRPr="00A97034">
          <w:rPr>
            <w:iCs/>
            <w:color w:val="808080" w:themeColor="background1" w:themeShade="80"/>
            <w:spacing w:val="60"/>
            <w:sz w:val="18"/>
            <w:szCs w:val="18"/>
          </w:rPr>
          <w:t xml:space="preserve"> G12C</w:t>
        </w:r>
        <w:r>
          <w:rPr>
            <w:color w:val="808080" w:themeColor="background1" w:themeShade="80"/>
            <w:spacing w:val="60"/>
            <w:sz w:val="18"/>
            <w:szCs w:val="18"/>
          </w:rPr>
          <w:t xml:space="preserve"> variant testing in NSCLC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05CC4" w14:textId="77777777" w:rsidR="00D734F1" w:rsidRDefault="00D734F1" w:rsidP="003D699E">
      <w:pPr>
        <w:spacing w:after="0" w:line="240" w:lineRule="auto"/>
      </w:pPr>
      <w:r>
        <w:separator/>
      </w:r>
    </w:p>
  </w:footnote>
  <w:footnote w:type="continuationSeparator" w:id="0">
    <w:p w14:paraId="7F0189F1" w14:textId="77777777" w:rsidR="00D734F1" w:rsidRDefault="00D734F1" w:rsidP="003D699E">
      <w:pPr>
        <w:spacing w:after="0" w:line="240" w:lineRule="auto"/>
      </w:pPr>
      <w:r>
        <w:continuationSeparator/>
      </w:r>
    </w:p>
  </w:footnote>
  <w:footnote w:type="continuationNotice" w:id="1">
    <w:p w14:paraId="5704FF4E" w14:textId="77777777" w:rsidR="00D734F1" w:rsidRDefault="00D734F1">
      <w:pPr>
        <w:spacing w:after="0" w:line="240" w:lineRule="auto"/>
      </w:pPr>
    </w:p>
  </w:footnote>
  <w:footnote w:id="2">
    <w:p w14:paraId="10CBF21D" w14:textId="5B939A11" w:rsidR="00D734F1" w:rsidRDefault="00D734F1">
      <w:pPr>
        <w:pStyle w:val="FootnoteText"/>
      </w:pPr>
      <w:r>
        <w:rPr>
          <w:rStyle w:val="FootnoteReference"/>
        </w:rPr>
        <w:footnoteRef/>
      </w:r>
      <w:r>
        <w:t xml:space="preserve"> </w:t>
      </w:r>
      <w:hyperlink r:id="rId1" w:history="1">
        <w:r w:rsidRPr="001B0D44">
          <w:rPr>
            <w:rStyle w:val="Hyperlink"/>
          </w:rPr>
          <w:t>https://www.cancercouncil.com.au/lung-cancer/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3ECB" w14:textId="77777777" w:rsidR="00D734F1" w:rsidRDefault="00D734F1">
    <w:pPr>
      <w:pStyle w:val="Header"/>
    </w:pPr>
    <w:r>
      <w:rPr>
        <w:noProof/>
        <w:lang w:eastAsia="en-AU"/>
      </w:rPr>
      <mc:AlternateContent>
        <mc:Choice Requires="wps">
          <w:drawing>
            <wp:inline distT="0" distB="0" distL="0" distR="0" wp14:anchorId="005D42A6" wp14:editId="06BEAB25">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D2B7A2" w14:textId="77777777" w:rsidR="00D734F1" w:rsidRDefault="00D734F1"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005D42A6"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" filled="f" stroked="f">
              <v:stroke joinstyle="round"/>
              <o:lock v:ext="edit" shapetype="t"/>
              <v:textbox style="mso-fit-shape-to-text:t">
                <w:txbxContent>
                  <w:p w14:paraId="6AD2B7A2" w14:textId="77777777" w:rsidR="00D734F1" w:rsidRDefault="00D734F1"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1F9"/>
    <w:multiLevelType w:val="multilevel"/>
    <w:tmpl w:val="23F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6F105A"/>
    <w:multiLevelType w:val="hybridMultilevel"/>
    <w:tmpl w:val="07000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74B15"/>
    <w:multiLevelType w:val="hybridMultilevel"/>
    <w:tmpl w:val="7318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16491"/>
    <w:multiLevelType w:val="hybridMultilevel"/>
    <w:tmpl w:val="B4B6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16B8D"/>
    <w:multiLevelType w:val="hybridMultilevel"/>
    <w:tmpl w:val="898A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60CF8"/>
    <w:multiLevelType w:val="hybridMultilevel"/>
    <w:tmpl w:val="7118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BF1F52"/>
    <w:multiLevelType w:val="hybridMultilevel"/>
    <w:tmpl w:val="97A40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75EC9"/>
    <w:multiLevelType w:val="hybridMultilevel"/>
    <w:tmpl w:val="40BE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55561"/>
    <w:multiLevelType w:val="hybridMultilevel"/>
    <w:tmpl w:val="C0F40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6F6C34"/>
    <w:multiLevelType w:val="hybridMultilevel"/>
    <w:tmpl w:val="C40A2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B644E"/>
    <w:multiLevelType w:val="hybridMultilevel"/>
    <w:tmpl w:val="91F6F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577422"/>
    <w:multiLevelType w:val="hybridMultilevel"/>
    <w:tmpl w:val="04DA5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B4AAD"/>
    <w:multiLevelType w:val="hybridMultilevel"/>
    <w:tmpl w:val="1BEC6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2403FC"/>
    <w:multiLevelType w:val="hybridMultilevel"/>
    <w:tmpl w:val="142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E32B63"/>
    <w:multiLevelType w:val="hybridMultilevel"/>
    <w:tmpl w:val="73F4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B12D86"/>
    <w:multiLevelType w:val="hybridMultilevel"/>
    <w:tmpl w:val="4FC4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081F8D"/>
    <w:multiLevelType w:val="hybridMultilevel"/>
    <w:tmpl w:val="33FA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C427CE"/>
    <w:multiLevelType w:val="hybridMultilevel"/>
    <w:tmpl w:val="6260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6605A"/>
    <w:multiLevelType w:val="hybridMultilevel"/>
    <w:tmpl w:val="3E886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032B37"/>
    <w:multiLevelType w:val="hybridMultilevel"/>
    <w:tmpl w:val="133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77808"/>
    <w:multiLevelType w:val="hybridMultilevel"/>
    <w:tmpl w:val="47D40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A4176F"/>
    <w:multiLevelType w:val="hybridMultilevel"/>
    <w:tmpl w:val="633ED9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AF8093E"/>
    <w:multiLevelType w:val="hybridMultilevel"/>
    <w:tmpl w:val="927AC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A5798"/>
    <w:multiLevelType w:val="hybridMultilevel"/>
    <w:tmpl w:val="08969B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E3079F7"/>
    <w:multiLevelType w:val="hybridMultilevel"/>
    <w:tmpl w:val="BBB00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9785F"/>
    <w:multiLevelType w:val="hybridMultilevel"/>
    <w:tmpl w:val="41FCB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7B95620"/>
    <w:multiLevelType w:val="hybridMultilevel"/>
    <w:tmpl w:val="BD9C789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A696BAF"/>
    <w:multiLevelType w:val="hybridMultilevel"/>
    <w:tmpl w:val="C20A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B052B4"/>
    <w:multiLevelType w:val="hybridMultilevel"/>
    <w:tmpl w:val="16089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28"/>
  </w:num>
  <w:num w:numId="5">
    <w:abstractNumId w:val="34"/>
  </w:num>
  <w:num w:numId="6">
    <w:abstractNumId w:val="22"/>
  </w:num>
  <w:num w:numId="7">
    <w:abstractNumId w:val="3"/>
  </w:num>
  <w:num w:numId="8">
    <w:abstractNumId w:val="2"/>
  </w:num>
  <w:num w:numId="9">
    <w:abstractNumId w:val="23"/>
  </w:num>
  <w:num w:numId="10">
    <w:abstractNumId w:val="14"/>
  </w:num>
  <w:num w:numId="11">
    <w:abstractNumId w:val="36"/>
  </w:num>
  <w:num w:numId="12">
    <w:abstractNumId w:val="29"/>
  </w:num>
  <w:num w:numId="13">
    <w:abstractNumId w:val="11"/>
  </w:num>
  <w:num w:numId="14">
    <w:abstractNumId w:val="6"/>
  </w:num>
  <w:num w:numId="15">
    <w:abstractNumId w:val="17"/>
  </w:num>
  <w:num w:numId="16">
    <w:abstractNumId w:val="21"/>
  </w:num>
  <w:num w:numId="17">
    <w:abstractNumId w:val="20"/>
  </w:num>
  <w:num w:numId="18">
    <w:abstractNumId w:val="16"/>
  </w:num>
  <w:num w:numId="19">
    <w:abstractNumId w:val="30"/>
  </w:num>
  <w:num w:numId="20">
    <w:abstractNumId w:val="19"/>
  </w:num>
  <w:num w:numId="21">
    <w:abstractNumId w:val="4"/>
  </w:num>
  <w:num w:numId="22">
    <w:abstractNumId w:val="12"/>
  </w:num>
  <w:num w:numId="23">
    <w:abstractNumId w:val="25"/>
  </w:num>
  <w:num w:numId="24">
    <w:abstractNumId w:val="37"/>
  </w:num>
  <w:num w:numId="25">
    <w:abstractNumId w:val="5"/>
  </w:num>
  <w:num w:numId="26">
    <w:abstractNumId w:val="27"/>
  </w:num>
  <w:num w:numId="27">
    <w:abstractNumId w:val="10"/>
  </w:num>
  <w:num w:numId="28">
    <w:abstractNumId w:val="8"/>
  </w:num>
  <w:num w:numId="29">
    <w:abstractNumId w:val="35"/>
  </w:num>
  <w:num w:numId="30">
    <w:abstractNumId w:val="13"/>
  </w:num>
  <w:num w:numId="31">
    <w:abstractNumId w:val="32"/>
  </w:num>
  <w:num w:numId="32">
    <w:abstractNumId w:val="15"/>
  </w:num>
  <w:num w:numId="33">
    <w:abstractNumId w:val="3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0"/>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w59f9u2erpaezf9mv0ptm9rwfzp5999rs&quot;&gt;KRAS for NSCLC&lt;record-ids&gt;&lt;item&gt;8&lt;/item&gt;&lt;item&gt;12&lt;/item&gt;&lt;item&gt;28&lt;/item&gt;&lt;item&gt;30&lt;/item&gt;&lt;item&gt;37&lt;/item&gt;&lt;item&gt;38&lt;/item&gt;&lt;item&gt;39&lt;/item&gt;&lt;item&gt;40&lt;/item&gt;&lt;item&gt;41&lt;/item&gt;&lt;item&gt;42&lt;/item&gt;&lt;item&gt;43&lt;/item&gt;&lt;item&gt;45&lt;/item&gt;&lt;item&gt;46&lt;/item&gt;&lt;item&gt;47&lt;/item&gt;&lt;item&gt;48&lt;/item&gt;&lt;item&gt;49&lt;/item&gt;&lt;/record-ids&gt;&lt;/item&gt;&lt;/Libraries&gt;"/>
  </w:docVars>
  <w:rsids>
    <w:rsidRoot w:val="0044715D"/>
    <w:rsid w:val="00002118"/>
    <w:rsid w:val="00004548"/>
    <w:rsid w:val="00014375"/>
    <w:rsid w:val="00014D02"/>
    <w:rsid w:val="000159C6"/>
    <w:rsid w:val="00025433"/>
    <w:rsid w:val="0002636A"/>
    <w:rsid w:val="0003068E"/>
    <w:rsid w:val="000315C5"/>
    <w:rsid w:val="00031816"/>
    <w:rsid w:val="00032F32"/>
    <w:rsid w:val="000341A7"/>
    <w:rsid w:val="000351E1"/>
    <w:rsid w:val="000475A1"/>
    <w:rsid w:val="00051747"/>
    <w:rsid w:val="00057693"/>
    <w:rsid w:val="00063AC8"/>
    <w:rsid w:val="000647AF"/>
    <w:rsid w:val="00067079"/>
    <w:rsid w:val="00070887"/>
    <w:rsid w:val="0008289A"/>
    <w:rsid w:val="0008404A"/>
    <w:rsid w:val="0009218B"/>
    <w:rsid w:val="000A0FBA"/>
    <w:rsid w:val="000B28B0"/>
    <w:rsid w:val="000B519A"/>
    <w:rsid w:val="000D274A"/>
    <w:rsid w:val="000D331E"/>
    <w:rsid w:val="000D4C39"/>
    <w:rsid w:val="000D4D0F"/>
    <w:rsid w:val="000D67C7"/>
    <w:rsid w:val="000E278F"/>
    <w:rsid w:val="000E636D"/>
    <w:rsid w:val="000E6610"/>
    <w:rsid w:val="000E7E5C"/>
    <w:rsid w:val="000F27B3"/>
    <w:rsid w:val="000F7C0B"/>
    <w:rsid w:val="0010623F"/>
    <w:rsid w:val="0011149F"/>
    <w:rsid w:val="00114DA4"/>
    <w:rsid w:val="0011783D"/>
    <w:rsid w:val="00122CA4"/>
    <w:rsid w:val="001234F4"/>
    <w:rsid w:val="0012433E"/>
    <w:rsid w:val="00124ABA"/>
    <w:rsid w:val="00126D69"/>
    <w:rsid w:val="0013011F"/>
    <w:rsid w:val="00131866"/>
    <w:rsid w:val="00141429"/>
    <w:rsid w:val="00141904"/>
    <w:rsid w:val="00142AE2"/>
    <w:rsid w:val="0014534B"/>
    <w:rsid w:val="001455EC"/>
    <w:rsid w:val="00145DE2"/>
    <w:rsid w:val="0014734A"/>
    <w:rsid w:val="00166D3B"/>
    <w:rsid w:val="0017771B"/>
    <w:rsid w:val="00177A3B"/>
    <w:rsid w:val="00185765"/>
    <w:rsid w:val="00185A78"/>
    <w:rsid w:val="001900A1"/>
    <w:rsid w:val="00191E53"/>
    <w:rsid w:val="0019200C"/>
    <w:rsid w:val="0019723E"/>
    <w:rsid w:val="00197879"/>
    <w:rsid w:val="00197BB4"/>
    <w:rsid w:val="001A5ED9"/>
    <w:rsid w:val="001A67F7"/>
    <w:rsid w:val="001B1408"/>
    <w:rsid w:val="001B2930"/>
    <w:rsid w:val="001C13D2"/>
    <w:rsid w:val="001C1846"/>
    <w:rsid w:val="001C1857"/>
    <w:rsid w:val="001C2C06"/>
    <w:rsid w:val="001C5EBB"/>
    <w:rsid w:val="001E0F9A"/>
    <w:rsid w:val="001E1EAA"/>
    <w:rsid w:val="001E60F7"/>
    <w:rsid w:val="001E622D"/>
    <w:rsid w:val="001E6FBB"/>
    <w:rsid w:val="001E743F"/>
    <w:rsid w:val="001F2773"/>
    <w:rsid w:val="001F2A5C"/>
    <w:rsid w:val="001F5DAA"/>
    <w:rsid w:val="001F6E08"/>
    <w:rsid w:val="00200DBC"/>
    <w:rsid w:val="00203015"/>
    <w:rsid w:val="00204880"/>
    <w:rsid w:val="002078CD"/>
    <w:rsid w:val="002117AF"/>
    <w:rsid w:val="0023438A"/>
    <w:rsid w:val="00234CAC"/>
    <w:rsid w:val="00235DD9"/>
    <w:rsid w:val="00237475"/>
    <w:rsid w:val="00254F5C"/>
    <w:rsid w:val="00256437"/>
    <w:rsid w:val="002610E6"/>
    <w:rsid w:val="00264D26"/>
    <w:rsid w:val="00267075"/>
    <w:rsid w:val="002702D4"/>
    <w:rsid w:val="00276CAC"/>
    <w:rsid w:val="002777DE"/>
    <w:rsid w:val="002827D5"/>
    <w:rsid w:val="00282B7B"/>
    <w:rsid w:val="00283137"/>
    <w:rsid w:val="002902D7"/>
    <w:rsid w:val="00292DE9"/>
    <w:rsid w:val="00296796"/>
    <w:rsid w:val="002A03CE"/>
    <w:rsid w:val="002A1248"/>
    <w:rsid w:val="002A4909"/>
    <w:rsid w:val="002A66BD"/>
    <w:rsid w:val="002B09C3"/>
    <w:rsid w:val="002B0EEA"/>
    <w:rsid w:val="002B226C"/>
    <w:rsid w:val="002B3102"/>
    <w:rsid w:val="002B3338"/>
    <w:rsid w:val="002B7E1C"/>
    <w:rsid w:val="002C1038"/>
    <w:rsid w:val="002C4A67"/>
    <w:rsid w:val="002C682A"/>
    <w:rsid w:val="002D0127"/>
    <w:rsid w:val="002D577B"/>
    <w:rsid w:val="002E2FF3"/>
    <w:rsid w:val="002E6477"/>
    <w:rsid w:val="002E7D15"/>
    <w:rsid w:val="002F1482"/>
    <w:rsid w:val="002F3AE0"/>
    <w:rsid w:val="002F7781"/>
    <w:rsid w:val="00300B9B"/>
    <w:rsid w:val="00303C94"/>
    <w:rsid w:val="0030417A"/>
    <w:rsid w:val="00304A87"/>
    <w:rsid w:val="003057B0"/>
    <w:rsid w:val="003079CF"/>
    <w:rsid w:val="00307E27"/>
    <w:rsid w:val="00311E05"/>
    <w:rsid w:val="00313545"/>
    <w:rsid w:val="00314360"/>
    <w:rsid w:val="00320679"/>
    <w:rsid w:val="00322404"/>
    <w:rsid w:val="003248C2"/>
    <w:rsid w:val="00326E6B"/>
    <w:rsid w:val="00330F82"/>
    <w:rsid w:val="00332AB4"/>
    <w:rsid w:val="00340435"/>
    <w:rsid w:val="0034298B"/>
    <w:rsid w:val="00342C6B"/>
    <w:rsid w:val="003452DD"/>
    <w:rsid w:val="0035248B"/>
    <w:rsid w:val="00354280"/>
    <w:rsid w:val="0035500F"/>
    <w:rsid w:val="00355688"/>
    <w:rsid w:val="00362776"/>
    <w:rsid w:val="00366073"/>
    <w:rsid w:val="00367B8C"/>
    <w:rsid w:val="0037393B"/>
    <w:rsid w:val="003741A1"/>
    <w:rsid w:val="00376297"/>
    <w:rsid w:val="00382875"/>
    <w:rsid w:val="00383DF5"/>
    <w:rsid w:val="0038413C"/>
    <w:rsid w:val="00391587"/>
    <w:rsid w:val="003924FF"/>
    <w:rsid w:val="003949F4"/>
    <w:rsid w:val="00396772"/>
    <w:rsid w:val="003A2D3A"/>
    <w:rsid w:val="003A4189"/>
    <w:rsid w:val="003B0D6E"/>
    <w:rsid w:val="003B72C3"/>
    <w:rsid w:val="003B79E2"/>
    <w:rsid w:val="003C2B9B"/>
    <w:rsid w:val="003C5C9B"/>
    <w:rsid w:val="003C6C2E"/>
    <w:rsid w:val="003D01D4"/>
    <w:rsid w:val="003D2965"/>
    <w:rsid w:val="003D699E"/>
    <w:rsid w:val="003E0382"/>
    <w:rsid w:val="003E082F"/>
    <w:rsid w:val="003E391C"/>
    <w:rsid w:val="003E6062"/>
    <w:rsid w:val="003F063F"/>
    <w:rsid w:val="003F09F6"/>
    <w:rsid w:val="003F2847"/>
    <w:rsid w:val="003F366E"/>
    <w:rsid w:val="003F3B33"/>
    <w:rsid w:val="003F4FCF"/>
    <w:rsid w:val="00411511"/>
    <w:rsid w:val="004150FB"/>
    <w:rsid w:val="00420463"/>
    <w:rsid w:val="004226AB"/>
    <w:rsid w:val="0042483F"/>
    <w:rsid w:val="004250AC"/>
    <w:rsid w:val="0043288E"/>
    <w:rsid w:val="00440228"/>
    <w:rsid w:val="00442151"/>
    <w:rsid w:val="0044715D"/>
    <w:rsid w:val="0044793F"/>
    <w:rsid w:val="00452811"/>
    <w:rsid w:val="00452B22"/>
    <w:rsid w:val="004546B5"/>
    <w:rsid w:val="004567CC"/>
    <w:rsid w:val="00457283"/>
    <w:rsid w:val="00460923"/>
    <w:rsid w:val="00463966"/>
    <w:rsid w:val="0047164A"/>
    <w:rsid w:val="0047565D"/>
    <w:rsid w:val="00477B73"/>
    <w:rsid w:val="0048158D"/>
    <w:rsid w:val="00484C7B"/>
    <w:rsid w:val="00485465"/>
    <w:rsid w:val="00496766"/>
    <w:rsid w:val="004A187C"/>
    <w:rsid w:val="004A3F22"/>
    <w:rsid w:val="004A5AAE"/>
    <w:rsid w:val="004A5BD9"/>
    <w:rsid w:val="004B0182"/>
    <w:rsid w:val="004B0593"/>
    <w:rsid w:val="004B0623"/>
    <w:rsid w:val="004B2B61"/>
    <w:rsid w:val="004B3D19"/>
    <w:rsid w:val="004B40CA"/>
    <w:rsid w:val="004C1FA9"/>
    <w:rsid w:val="004D081E"/>
    <w:rsid w:val="004D1D41"/>
    <w:rsid w:val="004D4527"/>
    <w:rsid w:val="004E03DC"/>
    <w:rsid w:val="004F0B1C"/>
    <w:rsid w:val="004F214B"/>
    <w:rsid w:val="004F6C7E"/>
    <w:rsid w:val="004F77A2"/>
    <w:rsid w:val="0050635B"/>
    <w:rsid w:val="0051274F"/>
    <w:rsid w:val="005227DC"/>
    <w:rsid w:val="00523DDB"/>
    <w:rsid w:val="005258C5"/>
    <w:rsid w:val="00534F51"/>
    <w:rsid w:val="00540DA8"/>
    <w:rsid w:val="00541578"/>
    <w:rsid w:val="00541D61"/>
    <w:rsid w:val="00542267"/>
    <w:rsid w:val="00543A25"/>
    <w:rsid w:val="005444C2"/>
    <w:rsid w:val="00547EAA"/>
    <w:rsid w:val="00547EEC"/>
    <w:rsid w:val="00553730"/>
    <w:rsid w:val="00555821"/>
    <w:rsid w:val="00555EB2"/>
    <w:rsid w:val="005626DC"/>
    <w:rsid w:val="005640CC"/>
    <w:rsid w:val="00566228"/>
    <w:rsid w:val="0056694A"/>
    <w:rsid w:val="0056727C"/>
    <w:rsid w:val="00574DC5"/>
    <w:rsid w:val="0058054D"/>
    <w:rsid w:val="005819F1"/>
    <w:rsid w:val="00581CFE"/>
    <w:rsid w:val="005830CC"/>
    <w:rsid w:val="005873F5"/>
    <w:rsid w:val="005947AC"/>
    <w:rsid w:val="005A447C"/>
    <w:rsid w:val="005A4CDA"/>
    <w:rsid w:val="005B1401"/>
    <w:rsid w:val="005B5B7F"/>
    <w:rsid w:val="005C0913"/>
    <w:rsid w:val="005C0F68"/>
    <w:rsid w:val="005C2174"/>
    <w:rsid w:val="005C27FE"/>
    <w:rsid w:val="005C63AA"/>
    <w:rsid w:val="005C7B58"/>
    <w:rsid w:val="005D0C3D"/>
    <w:rsid w:val="005D309D"/>
    <w:rsid w:val="005D773B"/>
    <w:rsid w:val="005E23A0"/>
    <w:rsid w:val="005E32C3"/>
    <w:rsid w:val="005E5FFE"/>
    <w:rsid w:val="005F0788"/>
    <w:rsid w:val="005F3FD6"/>
    <w:rsid w:val="005F4666"/>
    <w:rsid w:val="005F4D2F"/>
    <w:rsid w:val="00600F21"/>
    <w:rsid w:val="006013B1"/>
    <w:rsid w:val="0061479A"/>
    <w:rsid w:val="00614C70"/>
    <w:rsid w:val="00615243"/>
    <w:rsid w:val="00615B9A"/>
    <w:rsid w:val="006165AA"/>
    <w:rsid w:val="00617501"/>
    <w:rsid w:val="00623E43"/>
    <w:rsid w:val="00627B5C"/>
    <w:rsid w:val="0063464A"/>
    <w:rsid w:val="00642F74"/>
    <w:rsid w:val="0064327E"/>
    <w:rsid w:val="00644920"/>
    <w:rsid w:val="006454EE"/>
    <w:rsid w:val="00646B6C"/>
    <w:rsid w:val="0065490C"/>
    <w:rsid w:val="00655327"/>
    <w:rsid w:val="00663F70"/>
    <w:rsid w:val="00665195"/>
    <w:rsid w:val="0067131B"/>
    <w:rsid w:val="00672FA7"/>
    <w:rsid w:val="00673DCF"/>
    <w:rsid w:val="0068243D"/>
    <w:rsid w:val="006845DE"/>
    <w:rsid w:val="006A5B60"/>
    <w:rsid w:val="006A7FD8"/>
    <w:rsid w:val="006B0B80"/>
    <w:rsid w:val="006B1EF5"/>
    <w:rsid w:val="006B6204"/>
    <w:rsid w:val="006C0BC7"/>
    <w:rsid w:val="006C24BC"/>
    <w:rsid w:val="006C5146"/>
    <w:rsid w:val="006C77A0"/>
    <w:rsid w:val="006C79B5"/>
    <w:rsid w:val="006D03A4"/>
    <w:rsid w:val="006D1643"/>
    <w:rsid w:val="006D250A"/>
    <w:rsid w:val="006D5E2B"/>
    <w:rsid w:val="006D62A5"/>
    <w:rsid w:val="006E27FA"/>
    <w:rsid w:val="006E3369"/>
    <w:rsid w:val="006E531C"/>
    <w:rsid w:val="006F67FB"/>
    <w:rsid w:val="00701490"/>
    <w:rsid w:val="00701B16"/>
    <w:rsid w:val="00705CBF"/>
    <w:rsid w:val="00705F60"/>
    <w:rsid w:val="00724415"/>
    <w:rsid w:val="0072678B"/>
    <w:rsid w:val="00734F81"/>
    <w:rsid w:val="00736525"/>
    <w:rsid w:val="0073757B"/>
    <w:rsid w:val="007377DA"/>
    <w:rsid w:val="00742FB7"/>
    <w:rsid w:val="00743BBE"/>
    <w:rsid w:val="00745B54"/>
    <w:rsid w:val="00751006"/>
    <w:rsid w:val="00751475"/>
    <w:rsid w:val="00752491"/>
    <w:rsid w:val="0075394D"/>
    <w:rsid w:val="00754EEC"/>
    <w:rsid w:val="007565B4"/>
    <w:rsid w:val="00770370"/>
    <w:rsid w:val="0077113C"/>
    <w:rsid w:val="0077592B"/>
    <w:rsid w:val="0078271C"/>
    <w:rsid w:val="007835E6"/>
    <w:rsid w:val="00784E84"/>
    <w:rsid w:val="00793915"/>
    <w:rsid w:val="00796C15"/>
    <w:rsid w:val="0079786F"/>
    <w:rsid w:val="007A6076"/>
    <w:rsid w:val="007A6626"/>
    <w:rsid w:val="007A7551"/>
    <w:rsid w:val="007A77E8"/>
    <w:rsid w:val="007B1CBC"/>
    <w:rsid w:val="007B30F6"/>
    <w:rsid w:val="007B31A3"/>
    <w:rsid w:val="007B4E3D"/>
    <w:rsid w:val="007C376E"/>
    <w:rsid w:val="007D1A64"/>
    <w:rsid w:val="007D38F7"/>
    <w:rsid w:val="007D5192"/>
    <w:rsid w:val="007E2548"/>
    <w:rsid w:val="007E3468"/>
    <w:rsid w:val="007E6650"/>
    <w:rsid w:val="007E7E23"/>
    <w:rsid w:val="007F0C10"/>
    <w:rsid w:val="007F1212"/>
    <w:rsid w:val="007F4E20"/>
    <w:rsid w:val="00801E9F"/>
    <w:rsid w:val="00802471"/>
    <w:rsid w:val="00805E0C"/>
    <w:rsid w:val="008155AC"/>
    <w:rsid w:val="00816DE6"/>
    <w:rsid w:val="008202EA"/>
    <w:rsid w:val="008217AB"/>
    <w:rsid w:val="00825F5C"/>
    <w:rsid w:val="00830F5E"/>
    <w:rsid w:val="00831CA9"/>
    <w:rsid w:val="00832840"/>
    <w:rsid w:val="00833632"/>
    <w:rsid w:val="0084159B"/>
    <w:rsid w:val="008425D2"/>
    <w:rsid w:val="0084712E"/>
    <w:rsid w:val="0086201E"/>
    <w:rsid w:val="008638BE"/>
    <w:rsid w:val="008643FC"/>
    <w:rsid w:val="00865930"/>
    <w:rsid w:val="00867EF8"/>
    <w:rsid w:val="00870120"/>
    <w:rsid w:val="00870245"/>
    <w:rsid w:val="008706D6"/>
    <w:rsid w:val="00872E59"/>
    <w:rsid w:val="00874BA7"/>
    <w:rsid w:val="00874D54"/>
    <w:rsid w:val="008757BF"/>
    <w:rsid w:val="0087697E"/>
    <w:rsid w:val="00881933"/>
    <w:rsid w:val="00884DB5"/>
    <w:rsid w:val="00895BCC"/>
    <w:rsid w:val="00896845"/>
    <w:rsid w:val="008A3BE2"/>
    <w:rsid w:val="008B20A1"/>
    <w:rsid w:val="008B4880"/>
    <w:rsid w:val="008B5D17"/>
    <w:rsid w:val="008B72D1"/>
    <w:rsid w:val="008B7CE5"/>
    <w:rsid w:val="008C3E5E"/>
    <w:rsid w:val="008D0319"/>
    <w:rsid w:val="008E35A7"/>
    <w:rsid w:val="008E67D9"/>
    <w:rsid w:val="008E7BF1"/>
    <w:rsid w:val="008F01B2"/>
    <w:rsid w:val="008F7146"/>
    <w:rsid w:val="0090063F"/>
    <w:rsid w:val="0090096F"/>
    <w:rsid w:val="00902F4B"/>
    <w:rsid w:val="0091130F"/>
    <w:rsid w:val="009113AC"/>
    <w:rsid w:val="0091433B"/>
    <w:rsid w:val="00915AAE"/>
    <w:rsid w:val="00916A02"/>
    <w:rsid w:val="00921CB6"/>
    <w:rsid w:val="0092372D"/>
    <w:rsid w:val="00927638"/>
    <w:rsid w:val="0093080F"/>
    <w:rsid w:val="00933055"/>
    <w:rsid w:val="00934E1C"/>
    <w:rsid w:val="00937177"/>
    <w:rsid w:val="0094078F"/>
    <w:rsid w:val="00944601"/>
    <w:rsid w:val="00946478"/>
    <w:rsid w:val="009469E7"/>
    <w:rsid w:val="00947B1D"/>
    <w:rsid w:val="00947FBE"/>
    <w:rsid w:val="009531CF"/>
    <w:rsid w:val="00953ED7"/>
    <w:rsid w:val="00953FB7"/>
    <w:rsid w:val="00954310"/>
    <w:rsid w:val="0096085E"/>
    <w:rsid w:val="00961178"/>
    <w:rsid w:val="00970C45"/>
    <w:rsid w:val="00971D6F"/>
    <w:rsid w:val="00974C82"/>
    <w:rsid w:val="00975AC9"/>
    <w:rsid w:val="00975E04"/>
    <w:rsid w:val="009802B3"/>
    <w:rsid w:val="009805A2"/>
    <w:rsid w:val="0098199C"/>
    <w:rsid w:val="00985B4B"/>
    <w:rsid w:val="009862DA"/>
    <w:rsid w:val="0098648B"/>
    <w:rsid w:val="00993106"/>
    <w:rsid w:val="00994898"/>
    <w:rsid w:val="009A20EA"/>
    <w:rsid w:val="009A409C"/>
    <w:rsid w:val="009A46B0"/>
    <w:rsid w:val="009A4861"/>
    <w:rsid w:val="009A737A"/>
    <w:rsid w:val="009B46C1"/>
    <w:rsid w:val="009B5771"/>
    <w:rsid w:val="009B6604"/>
    <w:rsid w:val="009B726D"/>
    <w:rsid w:val="009C02EA"/>
    <w:rsid w:val="009C573E"/>
    <w:rsid w:val="009C7BC2"/>
    <w:rsid w:val="009D2A9B"/>
    <w:rsid w:val="009D6524"/>
    <w:rsid w:val="009D6757"/>
    <w:rsid w:val="009E5295"/>
    <w:rsid w:val="009F39B9"/>
    <w:rsid w:val="009F69BF"/>
    <w:rsid w:val="00A0509C"/>
    <w:rsid w:val="00A0659A"/>
    <w:rsid w:val="00A162A0"/>
    <w:rsid w:val="00A30FB3"/>
    <w:rsid w:val="00A41268"/>
    <w:rsid w:val="00A42401"/>
    <w:rsid w:val="00A4263A"/>
    <w:rsid w:val="00A437EB"/>
    <w:rsid w:val="00A45679"/>
    <w:rsid w:val="00A516AC"/>
    <w:rsid w:val="00A601AC"/>
    <w:rsid w:val="00A6110F"/>
    <w:rsid w:val="00A64BD7"/>
    <w:rsid w:val="00A71DA5"/>
    <w:rsid w:val="00A76404"/>
    <w:rsid w:val="00A7709A"/>
    <w:rsid w:val="00A8083D"/>
    <w:rsid w:val="00A83CE9"/>
    <w:rsid w:val="00A84A56"/>
    <w:rsid w:val="00A84CA7"/>
    <w:rsid w:val="00A84F49"/>
    <w:rsid w:val="00A905E5"/>
    <w:rsid w:val="00A911BC"/>
    <w:rsid w:val="00A92797"/>
    <w:rsid w:val="00A92C4A"/>
    <w:rsid w:val="00A92FF2"/>
    <w:rsid w:val="00A93592"/>
    <w:rsid w:val="00A939DE"/>
    <w:rsid w:val="00A96E32"/>
    <w:rsid w:val="00A97034"/>
    <w:rsid w:val="00AA4CEB"/>
    <w:rsid w:val="00AA6446"/>
    <w:rsid w:val="00AB1F47"/>
    <w:rsid w:val="00AC1EBF"/>
    <w:rsid w:val="00AC29B2"/>
    <w:rsid w:val="00AC47DC"/>
    <w:rsid w:val="00AC4DA5"/>
    <w:rsid w:val="00AC69AD"/>
    <w:rsid w:val="00AC6AF5"/>
    <w:rsid w:val="00AD1376"/>
    <w:rsid w:val="00AD1AE6"/>
    <w:rsid w:val="00AD5781"/>
    <w:rsid w:val="00AE2642"/>
    <w:rsid w:val="00AE2931"/>
    <w:rsid w:val="00AF5DCB"/>
    <w:rsid w:val="00B05227"/>
    <w:rsid w:val="00B0563F"/>
    <w:rsid w:val="00B062E9"/>
    <w:rsid w:val="00B11146"/>
    <w:rsid w:val="00B13BEA"/>
    <w:rsid w:val="00B16DBA"/>
    <w:rsid w:val="00B17914"/>
    <w:rsid w:val="00B21942"/>
    <w:rsid w:val="00B2238F"/>
    <w:rsid w:val="00B23873"/>
    <w:rsid w:val="00B25192"/>
    <w:rsid w:val="00B33103"/>
    <w:rsid w:val="00B45971"/>
    <w:rsid w:val="00B46A0A"/>
    <w:rsid w:val="00B50E71"/>
    <w:rsid w:val="00B54F9D"/>
    <w:rsid w:val="00B618A7"/>
    <w:rsid w:val="00B61DDF"/>
    <w:rsid w:val="00B62F9B"/>
    <w:rsid w:val="00B633C7"/>
    <w:rsid w:val="00B642BC"/>
    <w:rsid w:val="00B6628C"/>
    <w:rsid w:val="00B7433A"/>
    <w:rsid w:val="00B74B4D"/>
    <w:rsid w:val="00B74F57"/>
    <w:rsid w:val="00B7583A"/>
    <w:rsid w:val="00B81245"/>
    <w:rsid w:val="00B83C0D"/>
    <w:rsid w:val="00B83D4A"/>
    <w:rsid w:val="00B84A76"/>
    <w:rsid w:val="00B850A2"/>
    <w:rsid w:val="00B85D39"/>
    <w:rsid w:val="00B87476"/>
    <w:rsid w:val="00B90EA0"/>
    <w:rsid w:val="00B9263F"/>
    <w:rsid w:val="00B9268A"/>
    <w:rsid w:val="00B96A1A"/>
    <w:rsid w:val="00BA2FCC"/>
    <w:rsid w:val="00BA63AA"/>
    <w:rsid w:val="00BB1D52"/>
    <w:rsid w:val="00BB6434"/>
    <w:rsid w:val="00BC02F7"/>
    <w:rsid w:val="00BC0455"/>
    <w:rsid w:val="00BC7824"/>
    <w:rsid w:val="00BC7EA3"/>
    <w:rsid w:val="00BD0BDC"/>
    <w:rsid w:val="00BD2CCB"/>
    <w:rsid w:val="00BE098E"/>
    <w:rsid w:val="00BE130B"/>
    <w:rsid w:val="00BE2B23"/>
    <w:rsid w:val="00BF573F"/>
    <w:rsid w:val="00C00B6A"/>
    <w:rsid w:val="00C011E2"/>
    <w:rsid w:val="00C13E13"/>
    <w:rsid w:val="00C25F65"/>
    <w:rsid w:val="00C26DAA"/>
    <w:rsid w:val="00C31514"/>
    <w:rsid w:val="00C316C8"/>
    <w:rsid w:val="00C32C50"/>
    <w:rsid w:val="00C35AB6"/>
    <w:rsid w:val="00C365BD"/>
    <w:rsid w:val="00C3734A"/>
    <w:rsid w:val="00C44E5E"/>
    <w:rsid w:val="00C44EC3"/>
    <w:rsid w:val="00C45C15"/>
    <w:rsid w:val="00C504CD"/>
    <w:rsid w:val="00C52F24"/>
    <w:rsid w:val="00C61965"/>
    <w:rsid w:val="00C61C6C"/>
    <w:rsid w:val="00C63A94"/>
    <w:rsid w:val="00C72EB9"/>
    <w:rsid w:val="00C73560"/>
    <w:rsid w:val="00C75B31"/>
    <w:rsid w:val="00C77645"/>
    <w:rsid w:val="00C77FB0"/>
    <w:rsid w:val="00C810A0"/>
    <w:rsid w:val="00C81D50"/>
    <w:rsid w:val="00C84FE2"/>
    <w:rsid w:val="00C852E8"/>
    <w:rsid w:val="00C8706B"/>
    <w:rsid w:val="00C90EE4"/>
    <w:rsid w:val="00C92E98"/>
    <w:rsid w:val="00C9630A"/>
    <w:rsid w:val="00C97B88"/>
    <w:rsid w:val="00CA501B"/>
    <w:rsid w:val="00CB0CB5"/>
    <w:rsid w:val="00CB1475"/>
    <w:rsid w:val="00CB1FCC"/>
    <w:rsid w:val="00CB2E57"/>
    <w:rsid w:val="00CB3F68"/>
    <w:rsid w:val="00CB4E52"/>
    <w:rsid w:val="00CB604B"/>
    <w:rsid w:val="00CC2C26"/>
    <w:rsid w:val="00CC3D46"/>
    <w:rsid w:val="00CC5384"/>
    <w:rsid w:val="00CC5E99"/>
    <w:rsid w:val="00CC60B0"/>
    <w:rsid w:val="00CC7328"/>
    <w:rsid w:val="00CC7D9B"/>
    <w:rsid w:val="00CD20EC"/>
    <w:rsid w:val="00CD57AF"/>
    <w:rsid w:val="00CE021A"/>
    <w:rsid w:val="00CE070C"/>
    <w:rsid w:val="00CE20C8"/>
    <w:rsid w:val="00CE2861"/>
    <w:rsid w:val="00CE6924"/>
    <w:rsid w:val="00CE7CF5"/>
    <w:rsid w:val="00CE7D0C"/>
    <w:rsid w:val="00CF109F"/>
    <w:rsid w:val="00D0306E"/>
    <w:rsid w:val="00D03706"/>
    <w:rsid w:val="00D12337"/>
    <w:rsid w:val="00D163C6"/>
    <w:rsid w:val="00D214F4"/>
    <w:rsid w:val="00D23301"/>
    <w:rsid w:val="00D26487"/>
    <w:rsid w:val="00D26848"/>
    <w:rsid w:val="00D33C5A"/>
    <w:rsid w:val="00D3532E"/>
    <w:rsid w:val="00D43010"/>
    <w:rsid w:val="00D44FB7"/>
    <w:rsid w:val="00D46C89"/>
    <w:rsid w:val="00D552F3"/>
    <w:rsid w:val="00D57162"/>
    <w:rsid w:val="00D57844"/>
    <w:rsid w:val="00D602FA"/>
    <w:rsid w:val="00D64A29"/>
    <w:rsid w:val="00D65430"/>
    <w:rsid w:val="00D662A7"/>
    <w:rsid w:val="00D709F1"/>
    <w:rsid w:val="00D728F4"/>
    <w:rsid w:val="00D730E8"/>
    <w:rsid w:val="00D734F1"/>
    <w:rsid w:val="00D74DEC"/>
    <w:rsid w:val="00D758C4"/>
    <w:rsid w:val="00D77FC9"/>
    <w:rsid w:val="00D8285B"/>
    <w:rsid w:val="00D84D4E"/>
    <w:rsid w:val="00D84DF2"/>
    <w:rsid w:val="00DA0A30"/>
    <w:rsid w:val="00DA360E"/>
    <w:rsid w:val="00DA43BA"/>
    <w:rsid w:val="00DB010C"/>
    <w:rsid w:val="00DB0AC9"/>
    <w:rsid w:val="00DB3CD9"/>
    <w:rsid w:val="00DB40BA"/>
    <w:rsid w:val="00DB475A"/>
    <w:rsid w:val="00DB5636"/>
    <w:rsid w:val="00DB6304"/>
    <w:rsid w:val="00DB671A"/>
    <w:rsid w:val="00DC1A9B"/>
    <w:rsid w:val="00DC2EB9"/>
    <w:rsid w:val="00DC5087"/>
    <w:rsid w:val="00DC56DF"/>
    <w:rsid w:val="00DD2405"/>
    <w:rsid w:val="00DD456A"/>
    <w:rsid w:val="00DE09C5"/>
    <w:rsid w:val="00DE14C9"/>
    <w:rsid w:val="00DE3D6C"/>
    <w:rsid w:val="00DE47DA"/>
    <w:rsid w:val="00DE733C"/>
    <w:rsid w:val="00DE7422"/>
    <w:rsid w:val="00DE7652"/>
    <w:rsid w:val="00DE7839"/>
    <w:rsid w:val="00DF78A3"/>
    <w:rsid w:val="00DF7EC2"/>
    <w:rsid w:val="00DF7F2C"/>
    <w:rsid w:val="00E056DA"/>
    <w:rsid w:val="00E066A0"/>
    <w:rsid w:val="00E12B97"/>
    <w:rsid w:val="00E132A3"/>
    <w:rsid w:val="00E17C88"/>
    <w:rsid w:val="00E225C1"/>
    <w:rsid w:val="00E24AB9"/>
    <w:rsid w:val="00E25C26"/>
    <w:rsid w:val="00E3485F"/>
    <w:rsid w:val="00E364F7"/>
    <w:rsid w:val="00E37AAE"/>
    <w:rsid w:val="00E43055"/>
    <w:rsid w:val="00E43330"/>
    <w:rsid w:val="00E4602D"/>
    <w:rsid w:val="00E46B27"/>
    <w:rsid w:val="00E46C0B"/>
    <w:rsid w:val="00E528B4"/>
    <w:rsid w:val="00E57ED5"/>
    <w:rsid w:val="00E63A68"/>
    <w:rsid w:val="00E66EE3"/>
    <w:rsid w:val="00E67198"/>
    <w:rsid w:val="00E67D83"/>
    <w:rsid w:val="00E734DB"/>
    <w:rsid w:val="00E75794"/>
    <w:rsid w:val="00E77A92"/>
    <w:rsid w:val="00E77F5A"/>
    <w:rsid w:val="00E83EA4"/>
    <w:rsid w:val="00E840BD"/>
    <w:rsid w:val="00E84B86"/>
    <w:rsid w:val="00E968F6"/>
    <w:rsid w:val="00EA040C"/>
    <w:rsid w:val="00EA5EC5"/>
    <w:rsid w:val="00EC1457"/>
    <w:rsid w:val="00EC5763"/>
    <w:rsid w:val="00EC7462"/>
    <w:rsid w:val="00ED0CD8"/>
    <w:rsid w:val="00ED1423"/>
    <w:rsid w:val="00ED7E30"/>
    <w:rsid w:val="00EE49B6"/>
    <w:rsid w:val="00EE7A1F"/>
    <w:rsid w:val="00EF0FAE"/>
    <w:rsid w:val="00EF18AC"/>
    <w:rsid w:val="00EF595C"/>
    <w:rsid w:val="00EF6479"/>
    <w:rsid w:val="00F01086"/>
    <w:rsid w:val="00F0186F"/>
    <w:rsid w:val="00F036BF"/>
    <w:rsid w:val="00F06445"/>
    <w:rsid w:val="00F121A2"/>
    <w:rsid w:val="00F12476"/>
    <w:rsid w:val="00F12E59"/>
    <w:rsid w:val="00F209CC"/>
    <w:rsid w:val="00F23C55"/>
    <w:rsid w:val="00F31349"/>
    <w:rsid w:val="00F31F35"/>
    <w:rsid w:val="00F3319D"/>
    <w:rsid w:val="00F36199"/>
    <w:rsid w:val="00F36B45"/>
    <w:rsid w:val="00F37F60"/>
    <w:rsid w:val="00F4622B"/>
    <w:rsid w:val="00F51D27"/>
    <w:rsid w:val="00F52B6A"/>
    <w:rsid w:val="00F54BEC"/>
    <w:rsid w:val="00F558C1"/>
    <w:rsid w:val="00F57876"/>
    <w:rsid w:val="00F6200D"/>
    <w:rsid w:val="00F6381C"/>
    <w:rsid w:val="00F64E40"/>
    <w:rsid w:val="00F64F04"/>
    <w:rsid w:val="00F64FC9"/>
    <w:rsid w:val="00F65892"/>
    <w:rsid w:val="00F65B55"/>
    <w:rsid w:val="00F66C65"/>
    <w:rsid w:val="00F706F5"/>
    <w:rsid w:val="00F73D2F"/>
    <w:rsid w:val="00F767D8"/>
    <w:rsid w:val="00F83EE8"/>
    <w:rsid w:val="00F9789E"/>
    <w:rsid w:val="00FA08A6"/>
    <w:rsid w:val="00FA1F6B"/>
    <w:rsid w:val="00FA2421"/>
    <w:rsid w:val="00FA522E"/>
    <w:rsid w:val="00FA5B7C"/>
    <w:rsid w:val="00FB03C2"/>
    <w:rsid w:val="00FB3747"/>
    <w:rsid w:val="00FB3CF6"/>
    <w:rsid w:val="00FB4CF3"/>
    <w:rsid w:val="00FC0F30"/>
    <w:rsid w:val="00FC12A5"/>
    <w:rsid w:val="00FC3F20"/>
    <w:rsid w:val="00FC752E"/>
    <w:rsid w:val="00FC7B48"/>
    <w:rsid w:val="00FD682A"/>
    <w:rsid w:val="00FE1A69"/>
    <w:rsid w:val="00FE3614"/>
    <w:rsid w:val="00FE4177"/>
    <w:rsid w:val="00FE4578"/>
    <w:rsid w:val="00FE6AF7"/>
    <w:rsid w:val="00FF0937"/>
    <w:rsid w:val="00FF1CEB"/>
    <w:rsid w:val="00FF2E38"/>
    <w:rsid w:val="00FF4863"/>
    <w:rsid w:val="00FF5347"/>
    <w:rsid w:val="00FF5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2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F558C1"/>
    <w:pPr>
      <w:outlineLvl w:val="2"/>
    </w:pPr>
    <w:rPr>
      <w:b/>
    </w:rPr>
  </w:style>
  <w:style w:type="paragraph" w:styleId="Heading4">
    <w:name w:val="heading 4"/>
    <w:basedOn w:val="Normal"/>
    <w:next w:val="Normal"/>
    <w:link w:val="Heading4Char"/>
    <w:uiPriority w:val="9"/>
    <w:unhideWhenUsed/>
    <w:qFormat/>
    <w:rsid w:val="005F46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26DA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3924FF"/>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F558C1"/>
    <w:rPr>
      <w:rFonts w:ascii="Calibri" w:eastAsia="Calibri" w:hAnsi="Calibri" w:cs="Times New Roman"/>
      <w:b/>
      <w:sz w:val="22"/>
    </w:rPr>
  </w:style>
  <w:style w:type="character" w:customStyle="1" w:styleId="Heading4Char">
    <w:name w:val="Heading 4 Char"/>
    <w:basedOn w:val="DefaultParagraphFont"/>
    <w:link w:val="Heading4"/>
    <w:uiPriority w:val="9"/>
    <w:rsid w:val="005F4666"/>
    <w:rPr>
      <w:rFonts w:asciiTheme="majorHAnsi" w:eastAsiaTheme="majorEastAsia" w:hAnsiTheme="majorHAnsi" w:cstheme="majorBidi"/>
      <w:i/>
      <w:iCs/>
      <w:color w:val="365F91" w:themeColor="accent1" w:themeShade="BF"/>
      <w:sz w:val="22"/>
    </w:rPr>
  </w:style>
  <w:style w:type="paragraph" w:customStyle="1" w:styleId="TableHeading">
    <w:name w:val="TableHeading"/>
    <w:basedOn w:val="Normal"/>
    <w:link w:val="TableHeadingChar"/>
    <w:qFormat/>
    <w:rsid w:val="0078271C"/>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78271C"/>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78271C"/>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78271C"/>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78271C"/>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78271C"/>
    <w:rPr>
      <w:rFonts w:ascii="Arial Narrow" w:eastAsia="Times New Roman" w:hAnsi="Arial Narrow" w:cs="Arial"/>
      <w:snapToGrid w:val="0"/>
      <w:sz w:val="18"/>
      <w:szCs w:val="20"/>
    </w:rPr>
  </w:style>
  <w:style w:type="paragraph" w:styleId="FootnoteText">
    <w:name w:val="footnote text"/>
    <w:basedOn w:val="Normal"/>
    <w:link w:val="FootnoteTextChar"/>
    <w:uiPriority w:val="99"/>
    <w:semiHidden/>
    <w:unhideWhenUsed/>
    <w:rsid w:val="005063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35B"/>
    <w:rPr>
      <w:rFonts w:ascii="Calibri" w:eastAsia="Calibri" w:hAnsi="Calibri" w:cs="Times New Roman"/>
      <w:sz w:val="20"/>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50635B"/>
    <w:rPr>
      <w:rFonts w:ascii="Calibri" w:eastAsia="Calibri" w:hAnsi="Calibri" w:cs="Times New Roman"/>
      <w:sz w:val="22"/>
    </w:rPr>
  </w:style>
  <w:style w:type="table" w:styleId="ListTable3-Accent5">
    <w:name w:val="List Table 3 Accent 5"/>
    <w:basedOn w:val="TableNormal"/>
    <w:uiPriority w:val="48"/>
    <w:rsid w:val="00ED7E3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EndNoteBibliographyTitle">
    <w:name w:val="EndNote Bibliography Title"/>
    <w:basedOn w:val="Normal"/>
    <w:link w:val="EndNoteBibliographyTitleChar"/>
    <w:rsid w:val="007A6076"/>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7A6076"/>
    <w:rPr>
      <w:rFonts w:ascii="Calibri" w:eastAsia="Calibri" w:hAnsi="Calibri" w:cs="Calibri"/>
      <w:noProof/>
      <w:sz w:val="22"/>
      <w:lang w:val="en-US"/>
    </w:rPr>
  </w:style>
  <w:style w:type="paragraph" w:customStyle="1" w:styleId="EndNoteBibliography">
    <w:name w:val="EndNote Bibliography"/>
    <w:basedOn w:val="Normal"/>
    <w:link w:val="EndNoteBibliographyChar"/>
    <w:rsid w:val="007A6076"/>
    <w:pPr>
      <w:spacing w:line="240" w:lineRule="auto"/>
      <w:jc w:val="both"/>
    </w:pPr>
    <w:rPr>
      <w:rFonts w:cs="Calibri"/>
      <w:noProof/>
      <w:lang w:val="en-US"/>
    </w:rPr>
  </w:style>
  <w:style w:type="character" w:customStyle="1" w:styleId="EndNoteBibliographyChar">
    <w:name w:val="EndNote Bibliography Char"/>
    <w:basedOn w:val="DefaultParagraphFont"/>
    <w:link w:val="EndNoteBibliography"/>
    <w:rsid w:val="007A6076"/>
    <w:rPr>
      <w:rFonts w:ascii="Calibri" w:eastAsia="Calibri" w:hAnsi="Calibri" w:cs="Calibri"/>
      <w:noProof/>
      <w:sz w:val="22"/>
      <w:lang w:val="en-US"/>
    </w:rPr>
  </w:style>
  <w:style w:type="table" w:styleId="ListTable4-Accent5">
    <w:name w:val="List Table 4 Accent 5"/>
    <w:basedOn w:val="TableNormal"/>
    <w:uiPriority w:val="49"/>
    <w:rsid w:val="00B62F9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5Char">
    <w:name w:val="Heading 5 Char"/>
    <w:basedOn w:val="DefaultParagraphFont"/>
    <w:link w:val="Heading5"/>
    <w:uiPriority w:val="9"/>
    <w:rsid w:val="00C26DAA"/>
    <w:rPr>
      <w:rFonts w:asciiTheme="majorHAnsi" w:eastAsiaTheme="majorEastAsia" w:hAnsiTheme="majorHAnsi" w:cstheme="majorBidi"/>
      <w:color w:val="365F91" w:themeColor="accent1" w:themeShade="BF"/>
      <w:sz w:val="22"/>
    </w:rPr>
  </w:style>
  <w:style w:type="character" w:styleId="FootnoteReference">
    <w:name w:val="footnote reference"/>
    <w:basedOn w:val="DefaultParagraphFont"/>
    <w:uiPriority w:val="99"/>
    <w:semiHidden/>
    <w:unhideWhenUsed/>
    <w:rsid w:val="00A0509C"/>
    <w:rPr>
      <w:vertAlign w:val="superscript"/>
    </w:rPr>
  </w:style>
  <w:style w:type="table" w:styleId="GridTable1Light-Accent5">
    <w:name w:val="Grid Table 1 Light Accent 5"/>
    <w:basedOn w:val="TableNormal"/>
    <w:uiPriority w:val="46"/>
    <w:rsid w:val="0012433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830F5E"/>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846066">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81525439">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963314721">
      <w:bodyDiv w:val="1"/>
      <w:marLeft w:val="0"/>
      <w:marRight w:val="0"/>
      <w:marTop w:val="0"/>
      <w:marBottom w:val="0"/>
      <w:divBdr>
        <w:top w:val="none" w:sz="0" w:space="0" w:color="auto"/>
        <w:left w:val="none" w:sz="0" w:space="0" w:color="auto"/>
        <w:bottom w:val="none" w:sz="0" w:space="0" w:color="auto"/>
        <w:right w:val="none" w:sz="0" w:space="0" w:color="auto"/>
      </w:divBdr>
    </w:div>
    <w:div w:id="1194617748">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63036746">
      <w:bodyDiv w:val="1"/>
      <w:marLeft w:val="0"/>
      <w:marRight w:val="0"/>
      <w:marTop w:val="0"/>
      <w:marBottom w:val="0"/>
      <w:divBdr>
        <w:top w:val="none" w:sz="0" w:space="0" w:color="auto"/>
        <w:left w:val="none" w:sz="0" w:space="0" w:color="auto"/>
        <w:bottom w:val="none" w:sz="0" w:space="0" w:color="auto"/>
        <w:right w:val="none" w:sz="0" w:space="0" w:color="auto"/>
      </w:divBdr>
    </w:div>
    <w:div w:id="1527794828">
      <w:bodyDiv w:val="1"/>
      <w:marLeft w:val="0"/>
      <w:marRight w:val="0"/>
      <w:marTop w:val="0"/>
      <w:marBottom w:val="0"/>
      <w:divBdr>
        <w:top w:val="none" w:sz="0" w:space="0" w:color="auto"/>
        <w:left w:val="none" w:sz="0" w:space="0" w:color="auto"/>
        <w:bottom w:val="none" w:sz="0" w:space="0" w:color="auto"/>
        <w:right w:val="none" w:sz="0" w:space="0" w:color="auto"/>
      </w:divBdr>
    </w:div>
    <w:div w:id="1886521262">
      <w:bodyDiv w:val="1"/>
      <w:marLeft w:val="0"/>
      <w:marRight w:val="0"/>
      <w:marTop w:val="0"/>
      <w:marBottom w:val="0"/>
      <w:divBdr>
        <w:top w:val="none" w:sz="0" w:space="0" w:color="auto"/>
        <w:left w:val="none" w:sz="0" w:space="0" w:color="auto"/>
        <w:bottom w:val="none" w:sz="0" w:space="0" w:color="auto"/>
        <w:right w:val="none" w:sz="0" w:space="0" w:color="auto"/>
      </w:divBdr>
    </w:div>
    <w:div w:id="21100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ihw.gov.au/reports/cancer/cancer-data-in-australia" TargetMode="External"/><Relationship Id="rId2" Type="http://schemas.openxmlformats.org/officeDocument/2006/relationships/customXml" Target="../customXml/item2.xml"/><Relationship Id="rId16" Type="http://schemas.openxmlformats.org/officeDocument/2006/relationships/hyperlink" Target="https://www1.health.gov.au/internet/msac/publishing.nsf/Content/06A73A3B56D88650CA25801000123B8C/$File/1161%20and%201173%20PS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inicaltrials.gov/ct2/show/NCT04303780?term=NCT04303780&amp;draw=2&amp;rank=1"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clinicaltrials.gov/ct2/show/NCT03600883?term=NCT03600883&amp;draw=2&amp;rank=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ancercouncil.com.au/lung-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Props1.xml><?xml version="1.0" encoding="utf-8"?>
<ds:datastoreItem xmlns:ds="http://schemas.openxmlformats.org/officeDocument/2006/customXml" ds:itemID="{B9C32F76-54C6-471B-9392-5F6D0AFF82E5}">
  <ds:schemaRefs>
    <ds:schemaRef ds:uri="http://schemas.openxmlformats.org/officeDocument/2006/bibliography"/>
  </ds:schemaRefs>
</ds:datastoreItem>
</file>

<file path=customXml/itemProps2.xml><?xml version="1.0" encoding="utf-8"?>
<ds:datastoreItem xmlns:ds="http://schemas.openxmlformats.org/officeDocument/2006/customXml" ds:itemID="{868CAFD6-DEB1-4EF4-AB64-FDD19B70DB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9186</Words>
  <Characters>52365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2021-10-27T01:29:00Z</dcterms:created>
  <dcterms:modified xsi:type="dcterms:W3CDTF">2021-10-27T01:29:00Z</dcterms:modified>
</cp:coreProperties>
</file>