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D6CF2F" w14:textId="77777777" w:rsidR="00E44B80" w:rsidRPr="00F637B3" w:rsidRDefault="00E44B80" w:rsidP="00E44B80">
      <w:pPr>
        <w:jc w:val="center"/>
        <w:rPr>
          <w:b/>
          <w:szCs w:val="20"/>
        </w:rPr>
      </w:pPr>
      <w:r w:rsidRPr="00F637B3">
        <w:rPr>
          <w:b/>
          <w:noProof/>
          <w:szCs w:val="20"/>
          <w:lang w:eastAsia="en-AU"/>
        </w:rPr>
        <w:drawing>
          <wp:inline distT="0" distB="0" distL="0" distR="0" wp14:anchorId="59705005" wp14:editId="44BAAC5A">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423A08B0" w14:textId="7D194953" w:rsidR="0056015F" w:rsidRDefault="00D931E4" w:rsidP="005729F8">
      <w:pPr>
        <w:pStyle w:val="Title"/>
        <w:spacing w:before="2600"/>
      </w:pPr>
      <w:r>
        <w:t xml:space="preserve">MSAC </w:t>
      </w:r>
      <w:r w:rsidR="008B2610" w:rsidRPr="001906CD">
        <w:t xml:space="preserve">Application </w:t>
      </w:r>
      <w:r>
        <w:t>1669</w:t>
      </w:r>
    </w:p>
    <w:p w14:paraId="476C2D04" w14:textId="7A9FAC6C" w:rsidR="0056015F" w:rsidRPr="005729F8" w:rsidRDefault="002345C3" w:rsidP="0056015F">
      <w:pPr>
        <w:pStyle w:val="TitleBlue"/>
        <w:rPr>
          <w:sz w:val="48"/>
          <w:szCs w:val="48"/>
        </w:rPr>
      </w:pPr>
      <w:r w:rsidRPr="005729F8">
        <w:rPr>
          <w:sz w:val="48"/>
          <w:szCs w:val="48"/>
        </w:rPr>
        <w:t xml:space="preserve">KRAS G12C </w:t>
      </w:r>
      <w:r w:rsidR="007B4964" w:rsidRPr="005729F8">
        <w:rPr>
          <w:sz w:val="48"/>
          <w:szCs w:val="48"/>
        </w:rPr>
        <w:t>variant</w:t>
      </w:r>
      <w:r w:rsidRPr="005729F8">
        <w:rPr>
          <w:sz w:val="48"/>
          <w:szCs w:val="48"/>
        </w:rPr>
        <w:t xml:space="preserve"> testing </w:t>
      </w:r>
      <w:r w:rsidR="00B23E2B" w:rsidRPr="005729F8">
        <w:rPr>
          <w:sz w:val="48"/>
          <w:szCs w:val="48"/>
        </w:rPr>
        <w:t xml:space="preserve">to determine eligibility </w:t>
      </w:r>
      <w:r w:rsidRPr="005729F8">
        <w:rPr>
          <w:sz w:val="48"/>
          <w:szCs w:val="48"/>
        </w:rPr>
        <w:t xml:space="preserve">for </w:t>
      </w:r>
      <w:r w:rsidR="00B23E2B" w:rsidRPr="005729F8">
        <w:rPr>
          <w:sz w:val="48"/>
          <w:szCs w:val="48"/>
        </w:rPr>
        <w:t>PBS</w:t>
      </w:r>
      <w:r w:rsidR="00556FFF" w:rsidRPr="005729F8">
        <w:rPr>
          <w:sz w:val="48"/>
          <w:szCs w:val="48"/>
        </w:rPr>
        <w:t>-subsidised</w:t>
      </w:r>
      <w:r w:rsidR="00B23E2B" w:rsidRPr="005729F8">
        <w:rPr>
          <w:sz w:val="48"/>
          <w:szCs w:val="48"/>
        </w:rPr>
        <w:t xml:space="preserve"> </w:t>
      </w:r>
      <w:proofErr w:type="spellStart"/>
      <w:r w:rsidRPr="005729F8">
        <w:rPr>
          <w:sz w:val="48"/>
          <w:szCs w:val="48"/>
        </w:rPr>
        <w:t>sotorasib</w:t>
      </w:r>
      <w:proofErr w:type="spellEnd"/>
      <w:r w:rsidRPr="005729F8">
        <w:rPr>
          <w:sz w:val="48"/>
          <w:szCs w:val="48"/>
        </w:rPr>
        <w:t xml:space="preserve"> </w:t>
      </w:r>
      <w:r w:rsidR="00556FFF" w:rsidRPr="005729F8">
        <w:rPr>
          <w:sz w:val="48"/>
          <w:szCs w:val="48"/>
        </w:rPr>
        <w:t xml:space="preserve">second-line therapy </w:t>
      </w:r>
      <w:r w:rsidRPr="005729F8">
        <w:rPr>
          <w:sz w:val="48"/>
          <w:szCs w:val="48"/>
        </w:rPr>
        <w:t xml:space="preserve">in </w:t>
      </w:r>
      <w:r w:rsidR="00B23E2B" w:rsidRPr="005729F8">
        <w:rPr>
          <w:sz w:val="48"/>
          <w:szCs w:val="48"/>
        </w:rPr>
        <w:t xml:space="preserve">patients with </w:t>
      </w:r>
      <w:r w:rsidR="00556FFF" w:rsidRPr="005729F8">
        <w:rPr>
          <w:sz w:val="48"/>
          <w:szCs w:val="48"/>
        </w:rPr>
        <w:t>locally advanced or metastatic NSCLC</w:t>
      </w:r>
    </w:p>
    <w:p w14:paraId="4F695AE7" w14:textId="2F68E78F" w:rsidR="003013A9" w:rsidRPr="00D73646" w:rsidRDefault="003013A9" w:rsidP="005729F8">
      <w:pPr>
        <w:pStyle w:val="Title"/>
        <w:spacing w:before="0" w:after="0"/>
        <w:rPr>
          <w:sz w:val="28"/>
          <w:szCs w:val="28"/>
        </w:rPr>
      </w:pPr>
    </w:p>
    <w:p w14:paraId="17D124AA" w14:textId="77777777" w:rsidR="00E44B80" w:rsidRPr="00154B00" w:rsidRDefault="00300EEB" w:rsidP="003F7CB9">
      <w:r>
        <w:t>T</w:t>
      </w:r>
      <w:r w:rsidR="008B2610" w:rsidRPr="00154B00">
        <w:t xml:space="preserve">his application form is to be completed for new and amended </w:t>
      </w:r>
      <w:r w:rsidR="003433D1">
        <w:t xml:space="preserve">requests for public funding (including but not limited to the </w:t>
      </w:r>
      <w:r w:rsidR="008B2610" w:rsidRPr="00154B00">
        <w:t>Medicare Benefits Schedule (MBS)</w:t>
      </w:r>
      <w:r w:rsidR="003433D1">
        <w:t>)</w:t>
      </w:r>
      <w:r w:rsidR="008B2610" w:rsidRPr="00154B00">
        <w:t>.  It describes the detailed information that the</w:t>
      </w:r>
      <w:r w:rsidR="009F5758" w:rsidRPr="00154B00">
        <w:t xml:space="preserve"> Australian Government</w:t>
      </w:r>
      <w:r w:rsidR="008B2610" w:rsidRPr="00154B00">
        <w:t xml:space="preserve"> Department of Health requires to determine whether </w:t>
      </w:r>
      <w:r w:rsidR="003433D1">
        <w:t>a</w:t>
      </w:r>
      <w:r w:rsidR="008B2610" w:rsidRPr="00154B00">
        <w:t xml:space="preserve"> proposed </w:t>
      </w:r>
      <w:r w:rsidR="003433D1">
        <w:t xml:space="preserve">medical </w:t>
      </w:r>
      <w:r w:rsidR="008B2610" w:rsidRPr="00154B00">
        <w:t>service is suitable.</w:t>
      </w:r>
    </w:p>
    <w:p w14:paraId="4D7851F1" w14:textId="77777777" w:rsidR="008B2610" w:rsidRPr="00154B00" w:rsidRDefault="008B2610" w:rsidP="003F7CB9">
      <w:r w:rsidRPr="00154B00">
        <w:t xml:space="preserve">Please use this template, along with the associated Application Form Guidelines to prepare your application.  Please complete all questions that are applicable to the proposed service, providing relevant </w:t>
      </w:r>
      <w:proofErr w:type="gramStart"/>
      <w:r w:rsidRPr="00154B00">
        <w:t>information</w:t>
      </w:r>
      <w:proofErr w:type="gramEnd"/>
      <w:r w:rsidRPr="00154B00">
        <w:t xml:space="preserve"> only.</w:t>
      </w:r>
      <w:r w:rsidR="009F5758" w:rsidRPr="00154B00">
        <w:t xml:space="preserve">  Applications not completed in full will not be accepted.</w:t>
      </w:r>
    </w:p>
    <w:p w14:paraId="1BEC6FA2" w14:textId="77777777" w:rsidR="008B2610" w:rsidRPr="00154B00" w:rsidRDefault="009F5758" w:rsidP="003F7CB9">
      <w:r w:rsidRPr="00154B00">
        <w:t>Should you require any further assistance, d</w:t>
      </w:r>
      <w:r w:rsidR="008B2610" w:rsidRPr="00154B00">
        <w:t xml:space="preserve">epartmental staff are available through the Health Technology Assessment </w:t>
      </w:r>
      <w:r w:rsidR="00A93F58">
        <w:t xml:space="preserve">Team </w:t>
      </w:r>
      <w:r w:rsidR="008B2610" w:rsidRPr="00154B00">
        <w:t>(HTA Team) on the contact numbers and email below to discuss</w:t>
      </w:r>
      <w:r w:rsidRPr="00154B00">
        <w:t xml:space="preserve"> the application form, or any other component of the Medical Services Advisory Committee process.</w:t>
      </w:r>
    </w:p>
    <w:p w14:paraId="406B3EFD" w14:textId="77777777" w:rsidR="009F5758" w:rsidRPr="00154B00" w:rsidRDefault="009F5758" w:rsidP="003F7CB9">
      <w:pPr>
        <w:spacing w:before="0" w:after="0"/>
      </w:pPr>
      <w:r w:rsidRPr="00154B00">
        <w:t xml:space="preserve">Email:  </w:t>
      </w:r>
      <w:hyperlink r:id="rId10" w:tooltip="click here to email the Department of Health HTA Team" w:history="1">
        <w:r w:rsidRPr="00154B00">
          <w:rPr>
            <w:rStyle w:val="Hyperlink"/>
            <w:szCs w:val="20"/>
          </w:rPr>
          <w:t>hta@health.gov.au</w:t>
        </w:r>
      </w:hyperlink>
    </w:p>
    <w:p w14:paraId="6D5C4FF7" w14:textId="77777777" w:rsidR="009F5758" w:rsidRPr="00154B00" w:rsidRDefault="009F5758" w:rsidP="003F7CB9">
      <w:pPr>
        <w:spacing w:before="0" w:after="0"/>
      </w:pPr>
      <w:r w:rsidRPr="00154B00">
        <w:t xml:space="preserve">Website:  </w:t>
      </w:r>
      <w:hyperlink r:id="rId11" w:tooltip="click here to visit the Medical Services Advisory Committee website" w:history="1">
        <w:r w:rsidR="008E6227" w:rsidRPr="00202C1D">
          <w:rPr>
            <w:rStyle w:val="Hyperlink"/>
          </w:rPr>
          <w:t>www.msac.gov.au</w:t>
        </w:r>
      </w:hyperlink>
      <w:r w:rsidR="008E6227">
        <w:t xml:space="preserve"> </w:t>
      </w:r>
      <w:r w:rsidR="001A02E3">
        <w:t xml:space="preserve"> </w:t>
      </w:r>
    </w:p>
    <w:p w14:paraId="0974B1B1" w14:textId="77777777" w:rsidR="00E04FB3" w:rsidRPr="00C776B1" w:rsidRDefault="00D73646" w:rsidP="0056015F">
      <w:pPr>
        <w:pStyle w:val="Heading1"/>
      </w:pPr>
      <w:bookmarkStart w:id="0" w:name="_Toc443555803"/>
      <w:r>
        <w:rPr>
          <w:rStyle w:val="IntenseReference"/>
        </w:rPr>
        <w:br w:type="page"/>
      </w:r>
      <w:bookmarkEnd w:id="0"/>
      <w:r w:rsidR="00494011">
        <w:lastRenderedPageBreak/>
        <w:t>PART 1</w:t>
      </w:r>
      <w:r w:rsidR="00F93784">
        <w:t xml:space="preserve"> – </w:t>
      </w:r>
      <w:r w:rsidR="00E04FB3" w:rsidRPr="00C776B1">
        <w:t>APPLICANT DETAILS</w:t>
      </w:r>
    </w:p>
    <w:p w14:paraId="5CD1899F" w14:textId="77777777" w:rsidR="00392F00" w:rsidRDefault="00D57F88" w:rsidP="004A0BF4">
      <w:pPr>
        <w:pStyle w:val="Heading2"/>
      </w:pPr>
      <w:r w:rsidRPr="00A8732C">
        <w:t>Applicant d</w:t>
      </w:r>
      <w:r w:rsidR="00392F00" w:rsidRPr="00A8732C">
        <w:t>etails</w:t>
      </w:r>
      <w:r w:rsidR="000D066E" w:rsidRPr="00A8732C">
        <w:t xml:space="preserve"> (primary and alternative contacts)</w:t>
      </w:r>
    </w:p>
    <w:p w14:paraId="6D998D0C" w14:textId="79AB45C8" w:rsidR="00C171FB" w:rsidRDefault="00C171FB" w:rsidP="00C171FB">
      <w:pPr>
        <w:pBdr>
          <w:top w:val="single" w:sz="4" w:space="1" w:color="auto"/>
          <w:left w:val="single" w:sz="4" w:space="4" w:color="auto"/>
          <w:bottom w:val="single" w:sz="4" w:space="1" w:color="auto"/>
          <w:right w:val="single" w:sz="4" w:space="4" w:color="auto"/>
        </w:pBdr>
      </w:pPr>
      <w:r>
        <w:t xml:space="preserve">Corporation / partnership details (where relevant): </w:t>
      </w:r>
    </w:p>
    <w:p w14:paraId="36C501F7"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Corporation name: </w:t>
      </w:r>
      <w:r w:rsidR="0040743E">
        <w:t xml:space="preserve">Amgen </w:t>
      </w:r>
      <w:r w:rsidR="002345C3">
        <w:t>Australia</w:t>
      </w:r>
    </w:p>
    <w:p w14:paraId="3EE93D44"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ABN: </w:t>
      </w:r>
      <w:sdt>
        <w:sdtPr>
          <w:rPr>
            <w:rFonts w:cstheme="minorHAnsi"/>
          </w:rPr>
          <w:id w:val="279231438"/>
          <w:placeholder>
            <w:docPart w:val="BEB3217A16AE4856B17DE17C89FF315F"/>
          </w:placeholder>
          <w:text/>
        </w:sdtPr>
        <w:sdtEndPr/>
        <w:sdtContent>
          <w:r w:rsidR="002345C3" w:rsidRPr="0019710C">
            <w:rPr>
              <w:rFonts w:cstheme="minorHAnsi"/>
            </w:rPr>
            <w:t>31 051 057 428</w:t>
          </w:r>
        </w:sdtContent>
      </w:sdt>
    </w:p>
    <w:p w14:paraId="14E0400F"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Business trading name: </w:t>
      </w:r>
      <w:r w:rsidR="0040743E">
        <w:t>Amgen Australia Pty Ltd</w:t>
      </w:r>
    </w:p>
    <w:p w14:paraId="7A063791" w14:textId="77777777" w:rsidR="00C171FB" w:rsidRPr="00C171FB" w:rsidRDefault="00C171FB" w:rsidP="00C171FB"/>
    <w:p w14:paraId="5B8EB7C0" w14:textId="4002F460" w:rsidR="00C171FB" w:rsidRPr="00C171FB" w:rsidRDefault="00C171FB" w:rsidP="00C171FB">
      <w:pPr>
        <w:rPr>
          <w:b/>
        </w:rPr>
      </w:pPr>
      <w:r>
        <w:rPr>
          <w:b/>
        </w:rPr>
        <w:t xml:space="preserve">Primary contact name: </w:t>
      </w:r>
      <w:r w:rsidR="006E0E02" w:rsidRPr="00D931E4">
        <w:rPr>
          <w:b/>
          <w:bCs/>
          <w:szCs w:val="20"/>
          <w:bdr w:val="none" w:sz="0" w:space="0" w:color="auto" w:frame="1"/>
          <w:lang w:val="en-US"/>
        </w:rPr>
        <w:t>REDACTED</w:t>
      </w:r>
    </w:p>
    <w:p w14:paraId="0D2C272E" w14:textId="77777777" w:rsidR="00C171FB" w:rsidRDefault="00C171FB" w:rsidP="00C171FB">
      <w:pPr>
        <w:pBdr>
          <w:top w:val="single" w:sz="4" w:space="1" w:color="auto"/>
          <w:left w:val="single" w:sz="4" w:space="4" w:color="auto"/>
          <w:bottom w:val="single" w:sz="4" w:space="1" w:color="auto"/>
          <w:right w:val="single" w:sz="4" w:space="4" w:color="auto"/>
        </w:pBdr>
      </w:pPr>
      <w:r>
        <w:t>Primary contact numbers</w:t>
      </w:r>
    </w:p>
    <w:p w14:paraId="71E7CECC" w14:textId="75388B06"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6E0E02">
        <w:rPr>
          <w:bCs/>
          <w:szCs w:val="20"/>
          <w:bdr w:val="none" w:sz="0" w:space="0" w:color="auto" w:frame="1"/>
          <w:lang w:val="en-US"/>
        </w:rPr>
        <w:t>REDACTED</w:t>
      </w:r>
    </w:p>
    <w:p w14:paraId="64F56610" w14:textId="3CE0A533" w:rsidR="00C171FB" w:rsidRDefault="00C171FB" w:rsidP="00C171FB">
      <w:pPr>
        <w:pBdr>
          <w:top w:val="single" w:sz="4" w:space="1" w:color="auto"/>
          <w:left w:val="single" w:sz="4" w:space="4" w:color="auto"/>
          <w:bottom w:val="single" w:sz="4" w:space="1" w:color="auto"/>
          <w:right w:val="single" w:sz="4" w:space="4" w:color="auto"/>
        </w:pBdr>
      </w:pPr>
      <w:r>
        <w:t>Mobile:</w:t>
      </w:r>
      <w:r w:rsidR="00943B21">
        <w:t xml:space="preserve"> </w:t>
      </w:r>
      <w:r w:rsidR="006E0E02">
        <w:rPr>
          <w:bCs/>
          <w:szCs w:val="20"/>
          <w:bdr w:val="none" w:sz="0" w:space="0" w:color="auto" w:frame="1"/>
          <w:lang w:val="en-US"/>
        </w:rPr>
        <w:t>REDACTED</w:t>
      </w:r>
    </w:p>
    <w:p w14:paraId="35595AB1" w14:textId="1CEC57A5"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6E0E02">
        <w:rPr>
          <w:bCs/>
          <w:szCs w:val="20"/>
          <w:bdr w:val="none" w:sz="0" w:space="0" w:color="auto" w:frame="1"/>
          <w:lang w:val="en-US"/>
        </w:rPr>
        <w:t>REDACTED</w:t>
      </w:r>
    </w:p>
    <w:p w14:paraId="3FF8FAD6" w14:textId="77777777" w:rsidR="00C171FB" w:rsidRDefault="00C171FB" w:rsidP="00C171FB">
      <w:pPr>
        <w:rPr>
          <w:b/>
        </w:rPr>
      </w:pPr>
    </w:p>
    <w:p w14:paraId="4DBBC8F8" w14:textId="51B4FB59" w:rsidR="00C171FB" w:rsidRPr="00C171FB" w:rsidRDefault="00C171FB" w:rsidP="00C171FB">
      <w:pPr>
        <w:rPr>
          <w:b/>
        </w:rPr>
      </w:pPr>
      <w:r>
        <w:rPr>
          <w:b/>
        </w:rPr>
        <w:t xml:space="preserve">Alternative contact name: </w:t>
      </w:r>
      <w:r w:rsidR="006E0E02" w:rsidRPr="00D931E4">
        <w:rPr>
          <w:b/>
          <w:bCs/>
          <w:szCs w:val="20"/>
          <w:bdr w:val="none" w:sz="0" w:space="0" w:color="auto" w:frame="1"/>
          <w:lang w:val="en-US"/>
        </w:rPr>
        <w:t>REDACTED</w:t>
      </w:r>
    </w:p>
    <w:p w14:paraId="3819BB25" w14:textId="77777777" w:rsidR="00C171FB" w:rsidRDefault="00C171FB" w:rsidP="00C171FB">
      <w:pPr>
        <w:pBdr>
          <w:top w:val="single" w:sz="4" w:space="1" w:color="auto"/>
          <w:left w:val="single" w:sz="4" w:space="4" w:color="auto"/>
          <w:bottom w:val="single" w:sz="4" w:space="1" w:color="auto"/>
          <w:right w:val="single" w:sz="4" w:space="4" w:color="auto"/>
        </w:pBdr>
      </w:pPr>
      <w:r>
        <w:t>Alternative contact numbers</w:t>
      </w:r>
      <w:r>
        <w:tab/>
      </w:r>
    </w:p>
    <w:p w14:paraId="4E2D473E" w14:textId="1EC498BC"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6E0E02">
        <w:rPr>
          <w:bCs/>
          <w:szCs w:val="20"/>
          <w:bdr w:val="none" w:sz="0" w:space="0" w:color="auto" w:frame="1"/>
          <w:lang w:val="en-US"/>
        </w:rPr>
        <w:t>REDACTED</w:t>
      </w:r>
    </w:p>
    <w:p w14:paraId="3A12F655" w14:textId="63719433" w:rsidR="00C171FB" w:rsidRDefault="00C171FB" w:rsidP="00C171FB">
      <w:pPr>
        <w:pBdr>
          <w:top w:val="single" w:sz="4" w:space="1" w:color="auto"/>
          <w:left w:val="single" w:sz="4" w:space="4" w:color="auto"/>
          <w:bottom w:val="single" w:sz="4" w:space="1" w:color="auto"/>
          <w:right w:val="single" w:sz="4" w:space="4" w:color="auto"/>
        </w:pBdr>
      </w:pPr>
      <w:r>
        <w:t xml:space="preserve">Mobile: </w:t>
      </w:r>
      <w:r w:rsidR="006E0E02">
        <w:rPr>
          <w:bCs/>
          <w:szCs w:val="20"/>
          <w:bdr w:val="none" w:sz="0" w:space="0" w:color="auto" w:frame="1"/>
          <w:lang w:val="en-US"/>
        </w:rPr>
        <w:t>REDACTED</w:t>
      </w:r>
    </w:p>
    <w:p w14:paraId="0480E86F" w14:textId="1BDC4BB7"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6E0E02">
        <w:rPr>
          <w:bCs/>
          <w:szCs w:val="20"/>
          <w:bdr w:val="none" w:sz="0" w:space="0" w:color="auto" w:frame="1"/>
          <w:lang w:val="en-US"/>
        </w:rPr>
        <w:t>REDACTED</w:t>
      </w:r>
    </w:p>
    <w:p w14:paraId="60619DB9" w14:textId="77777777" w:rsidR="00C171FB" w:rsidRPr="00C171FB" w:rsidRDefault="00C171FB" w:rsidP="00C171FB"/>
    <w:p w14:paraId="1BECB347" w14:textId="77777777" w:rsidR="00534C5F" w:rsidRPr="00154B00" w:rsidRDefault="00494011" w:rsidP="004A0BF4">
      <w:pPr>
        <w:pStyle w:val="Heading2"/>
      </w:pPr>
      <w:r>
        <w:t xml:space="preserve">(a) </w:t>
      </w:r>
      <w:r w:rsidR="00534C5F">
        <w:t>Are you a lobbyist acting on behalf of an Applicant?</w:t>
      </w:r>
    </w:p>
    <w:p w14:paraId="62A661F0" w14:textId="77777777" w:rsidR="00A6491A" w:rsidRDefault="00A6491A" w:rsidP="00A6491A">
      <w:pPr>
        <w:spacing w:before="0" w:after="0"/>
        <w:ind w:left="426"/>
        <w:rPr>
          <w:szCs w:val="20"/>
        </w:rPr>
      </w:pPr>
      <w:r w:rsidRPr="00753C44">
        <w:rPr>
          <w:szCs w:val="20"/>
        </w:rPr>
        <w:lastRenderedPageBreak/>
        <w:fldChar w:fldCharType="begin">
          <w:ffData>
            <w:name w:val="Check1"/>
            <w:enabled/>
            <w:calcOnExit w:val="0"/>
            <w:checkBox>
              <w:sizeAuto/>
              <w:default w:val="0"/>
            </w:checkBox>
          </w:ffData>
        </w:fldChar>
      </w:r>
      <w:r w:rsidRPr="00753C44">
        <w:rPr>
          <w:szCs w:val="20"/>
        </w:rPr>
        <w:instrText xml:space="preserve"> FORMCHECKBOX </w:instrText>
      </w:r>
      <w:r w:rsidR="00577575">
        <w:rPr>
          <w:szCs w:val="20"/>
        </w:rPr>
      </w:r>
      <w:r w:rsidR="00577575">
        <w:rPr>
          <w:szCs w:val="20"/>
        </w:rPr>
        <w:fldChar w:fldCharType="separate"/>
      </w:r>
      <w:r w:rsidRPr="00753C44">
        <w:rPr>
          <w:szCs w:val="20"/>
        </w:rPr>
        <w:fldChar w:fldCharType="end"/>
      </w:r>
      <w:r>
        <w:rPr>
          <w:szCs w:val="20"/>
        </w:rPr>
        <w:t xml:space="preserve"> Yes</w:t>
      </w:r>
    </w:p>
    <w:p w14:paraId="24082867" w14:textId="77777777" w:rsidR="00A6491A" w:rsidRPr="00753C44" w:rsidRDefault="0040743E" w:rsidP="00A6491A">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577575">
        <w:rPr>
          <w:szCs w:val="20"/>
        </w:rPr>
      </w:r>
      <w:r w:rsidR="00577575">
        <w:rPr>
          <w:szCs w:val="20"/>
        </w:rPr>
        <w:fldChar w:fldCharType="separate"/>
      </w:r>
      <w:r>
        <w:rPr>
          <w:szCs w:val="20"/>
        </w:rPr>
        <w:fldChar w:fldCharType="end"/>
      </w:r>
      <w:r w:rsidR="00A6491A">
        <w:rPr>
          <w:szCs w:val="20"/>
        </w:rPr>
        <w:t xml:space="preserve"> No</w:t>
      </w:r>
      <w:r w:rsidR="00A6491A" w:rsidRPr="00753C44">
        <w:rPr>
          <w:szCs w:val="20"/>
        </w:rPr>
        <w:t xml:space="preserve">  </w:t>
      </w:r>
    </w:p>
    <w:p w14:paraId="6802C6B1" w14:textId="77777777" w:rsidR="00534C5F" w:rsidRPr="00154B00" w:rsidRDefault="00534C5F" w:rsidP="00494011">
      <w:pPr>
        <w:pStyle w:val="Heading2"/>
        <w:numPr>
          <w:ilvl w:val="0"/>
          <w:numId w:val="23"/>
        </w:numPr>
      </w:pPr>
      <w:r w:rsidRPr="00154B00">
        <w:t xml:space="preserve">If yes, </w:t>
      </w:r>
      <w:r>
        <w:t xml:space="preserve">are </w:t>
      </w:r>
      <w:r w:rsidRPr="00FE33A6">
        <w:t>you</w:t>
      </w:r>
      <w:r>
        <w:t xml:space="preserve"> listed on the Register of Lobbyists?</w:t>
      </w:r>
    </w:p>
    <w:p w14:paraId="4D8D54E2"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577575">
        <w:rPr>
          <w:szCs w:val="20"/>
        </w:rPr>
      </w:r>
      <w:r w:rsidR="00577575">
        <w:rPr>
          <w:szCs w:val="20"/>
        </w:rPr>
        <w:fldChar w:fldCharType="separate"/>
      </w:r>
      <w:r w:rsidRPr="00753C44">
        <w:rPr>
          <w:szCs w:val="20"/>
        </w:rPr>
        <w:fldChar w:fldCharType="end"/>
      </w:r>
      <w:r>
        <w:rPr>
          <w:szCs w:val="20"/>
        </w:rPr>
        <w:t xml:space="preserve"> Yes</w:t>
      </w:r>
    </w:p>
    <w:p w14:paraId="41FE411C" w14:textId="77777777" w:rsidR="00A6491A" w:rsidRPr="00753C44" w:rsidRDefault="00A6491A" w:rsidP="00A6491A">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577575">
        <w:rPr>
          <w:szCs w:val="20"/>
        </w:rPr>
      </w:r>
      <w:r w:rsidR="00577575">
        <w:rPr>
          <w:szCs w:val="20"/>
        </w:rPr>
        <w:fldChar w:fldCharType="separate"/>
      </w:r>
      <w:r w:rsidRPr="00753C44">
        <w:rPr>
          <w:szCs w:val="20"/>
        </w:rPr>
        <w:fldChar w:fldCharType="end"/>
      </w:r>
      <w:r>
        <w:rPr>
          <w:szCs w:val="20"/>
        </w:rPr>
        <w:t xml:space="preserve"> No</w:t>
      </w:r>
      <w:r w:rsidRPr="00753C44">
        <w:rPr>
          <w:szCs w:val="20"/>
        </w:rPr>
        <w:t xml:space="preserve">  </w:t>
      </w:r>
    </w:p>
    <w:p w14:paraId="5214B54C" w14:textId="77777777" w:rsidR="00E04FB3" w:rsidRDefault="00E04FB3" w:rsidP="005C333E">
      <w:pPr>
        <w:spacing w:before="0" w:after="0"/>
        <w:ind w:left="426"/>
        <w:rPr>
          <w:b/>
          <w:szCs w:val="20"/>
        </w:rPr>
      </w:pPr>
      <w:r w:rsidRPr="00154B00">
        <w:rPr>
          <w:b/>
          <w:szCs w:val="20"/>
        </w:rPr>
        <w:br w:type="page"/>
      </w:r>
    </w:p>
    <w:p w14:paraId="7F7C148C" w14:textId="77777777" w:rsidR="00D57F88" w:rsidRPr="00C776B1" w:rsidRDefault="00730C04" w:rsidP="0056015F">
      <w:pPr>
        <w:pStyle w:val="Heading1"/>
      </w:pPr>
      <w:r>
        <w:lastRenderedPageBreak/>
        <w:t>PART 2</w:t>
      </w:r>
      <w:r w:rsidR="00F93784">
        <w:t xml:space="preserve"> – </w:t>
      </w:r>
      <w:r w:rsidR="00E04FB3" w:rsidRPr="00C776B1">
        <w:t xml:space="preserve">INFORMATION ABOUT THE PROPOSED MEDICAL </w:t>
      </w:r>
      <w:r w:rsidR="00E04FB3" w:rsidRPr="0056015F">
        <w:t>SERVICE</w:t>
      </w:r>
    </w:p>
    <w:p w14:paraId="562D4D4C" w14:textId="77777777" w:rsidR="000B3CD0" w:rsidRDefault="000B3CD0" w:rsidP="00730C04">
      <w:pPr>
        <w:pStyle w:val="Heading2"/>
      </w:pPr>
      <w:r w:rsidRPr="00154B00">
        <w:t>Application title</w:t>
      </w:r>
      <w:r w:rsidR="00A8732C">
        <w:t xml:space="preserve"> </w:t>
      </w:r>
    </w:p>
    <w:p w14:paraId="3C674028" w14:textId="1467E5C9" w:rsidR="00556FFF" w:rsidRPr="00556FFF" w:rsidRDefault="00556FFF" w:rsidP="00D931E4">
      <w:pPr>
        <w:pStyle w:val="TitleBlue"/>
        <w:spacing w:before="240" w:after="240"/>
        <w:ind w:left="360"/>
        <w:jc w:val="left"/>
        <w:rPr>
          <w:rFonts w:asciiTheme="minorHAnsi" w:hAnsiTheme="minorHAnsi" w:cstheme="minorBidi"/>
          <w:b w:val="0"/>
          <w:color w:val="auto"/>
          <w:sz w:val="20"/>
          <w:szCs w:val="22"/>
        </w:rPr>
      </w:pPr>
      <w:bookmarkStart w:id="1" w:name="_Hlk66157399"/>
      <w:r w:rsidRPr="00556FFF">
        <w:rPr>
          <w:rFonts w:asciiTheme="minorHAnsi" w:hAnsiTheme="minorHAnsi" w:cstheme="minorBidi"/>
          <w:b w:val="0"/>
          <w:color w:val="auto"/>
          <w:sz w:val="20"/>
          <w:szCs w:val="22"/>
        </w:rPr>
        <w:t xml:space="preserve">KRAS G12C variant testing to determine eligibility for PBS-subsidised </w:t>
      </w:r>
      <w:proofErr w:type="spellStart"/>
      <w:r w:rsidRPr="00556FFF">
        <w:rPr>
          <w:rFonts w:asciiTheme="minorHAnsi" w:hAnsiTheme="minorHAnsi" w:cstheme="minorBidi"/>
          <w:b w:val="0"/>
          <w:color w:val="auto"/>
          <w:sz w:val="20"/>
          <w:szCs w:val="22"/>
        </w:rPr>
        <w:t>sotorasib</w:t>
      </w:r>
      <w:proofErr w:type="spellEnd"/>
      <w:r w:rsidRPr="00556FFF">
        <w:rPr>
          <w:rFonts w:asciiTheme="minorHAnsi" w:hAnsiTheme="minorHAnsi" w:cstheme="minorBidi"/>
          <w:b w:val="0"/>
          <w:color w:val="auto"/>
          <w:sz w:val="20"/>
          <w:szCs w:val="22"/>
        </w:rPr>
        <w:t xml:space="preserve"> second-line therapy in patients with locally advanced or metastatic NSCLC</w:t>
      </w:r>
      <w:bookmarkEnd w:id="1"/>
      <w:r w:rsidR="009056E2">
        <w:rPr>
          <w:rFonts w:asciiTheme="minorHAnsi" w:hAnsiTheme="minorHAnsi" w:cstheme="minorBidi"/>
          <w:b w:val="0"/>
          <w:color w:val="auto"/>
          <w:sz w:val="20"/>
          <w:szCs w:val="22"/>
        </w:rPr>
        <w:t>.</w:t>
      </w:r>
    </w:p>
    <w:p w14:paraId="1C1F5789" w14:textId="77777777" w:rsidR="009B4E1E" w:rsidRDefault="009B4E1E" w:rsidP="004A0BF4">
      <w:pPr>
        <w:pStyle w:val="Heading2"/>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at Part F</w:t>
      </w:r>
      <w:r w:rsidR="00C847AE">
        <w:t xml:space="preserve"> of the Application Form</w:t>
      </w:r>
      <w:r w:rsidR="000955E7" w:rsidRPr="00154B00">
        <w:t>)</w:t>
      </w:r>
    </w:p>
    <w:p w14:paraId="1567B0E9" w14:textId="3196AA94" w:rsidR="00CE2AF2" w:rsidRDefault="00CE2AF2" w:rsidP="00D931E4">
      <w:pPr>
        <w:ind w:left="360"/>
        <w:contextualSpacing/>
        <w:rPr>
          <w:rFonts w:cs="Arial"/>
        </w:rPr>
      </w:pPr>
      <w:r w:rsidRPr="000861AC">
        <w:t xml:space="preserve">Lung cancer is the </w:t>
      </w:r>
      <w:r w:rsidR="00556FFF" w:rsidRPr="000861AC">
        <w:rPr>
          <w:color w:val="000000" w:themeColor="text1"/>
        </w:rPr>
        <w:t xml:space="preserve">fifth </w:t>
      </w:r>
      <w:r w:rsidR="00556FFF" w:rsidRPr="000861AC">
        <w:t>most common</w:t>
      </w:r>
      <w:r w:rsidR="00556FFF">
        <w:t xml:space="preserve"> </w:t>
      </w:r>
      <w:r w:rsidR="00556FFF" w:rsidRPr="000861AC">
        <w:t xml:space="preserve">cancer </w:t>
      </w:r>
      <w:r w:rsidR="00556FFF">
        <w:t xml:space="preserve">and </w:t>
      </w:r>
      <w:r w:rsidRPr="000861AC">
        <w:t xml:space="preserve">leading cause of cancer-related death in </w:t>
      </w:r>
      <w:r w:rsidRPr="00A55462">
        <w:t>Australia</w:t>
      </w:r>
      <w:r w:rsidRPr="000861AC">
        <w:t xml:space="preserve"> with a</w:t>
      </w:r>
      <w:r>
        <w:t xml:space="preserve"> </w:t>
      </w:r>
      <w:r w:rsidR="00556FFF">
        <w:t>5</w:t>
      </w:r>
      <w:r w:rsidRPr="000861AC">
        <w:t>-year survival rate of 19</w:t>
      </w:r>
      <w:r w:rsidRPr="000861AC">
        <w:rPr>
          <w:color w:val="000000" w:themeColor="text1"/>
        </w:rPr>
        <w:t>%</w:t>
      </w:r>
      <w:r w:rsidRPr="000861AC">
        <w:t>.</w:t>
      </w:r>
      <w:r w:rsidR="00556FFF">
        <w:t xml:space="preserve"> </w:t>
      </w:r>
      <w:r w:rsidRPr="000861AC">
        <w:t xml:space="preserve"> </w:t>
      </w:r>
      <w:r w:rsidR="00556FFF">
        <w:t>Non-small cell lung cancer (</w:t>
      </w:r>
      <w:r w:rsidRPr="000861AC">
        <w:t>NSCLC</w:t>
      </w:r>
      <w:r w:rsidR="00556FFF">
        <w:t>)</w:t>
      </w:r>
      <w:r w:rsidRPr="000861AC">
        <w:t xml:space="preserve"> accounts for </w:t>
      </w:r>
      <w:r w:rsidR="00556FFF">
        <w:t>~</w:t>
      </w:r>
      <w:r w:rsidRPr="000861AC">
        <w:t>85% of cases and is diagnosed at an advanced stage in 60-70% of patients when it is no longer amenable to surg</w:t>
      </w:r>
      <w:r>
        <w:t>ery</w:t>
      </w:r>
      <w:r w:rsidRPr="000861AC">
        <w:t xml:space="preserve">.  </w:t>
      </w:r>
      <w:r w:rsidRPr="000861AC">
        <w:rPr>
          <w:szCs w:val="20"/>
        </w:rPr>
        <w:t xml:space="preserve">Systemic therapy is recommended for </w:t>
      </w:r>
      <w:proofErr w:type="spellStart"/>
      <w:r w:rsidRPr="000861AC">
        <w:rPr>
          <w:szCs w:val="20"/>
        </w:rPr>
        <w:t>unresectable</w:t>
      </w:r>
      <w:proofErr w:type="spellEnd"/>
      <w:r w:rsidRPr="000861AC">
        <w:rPr>
          <w:szCs w:val="20"/>
        </w:rPr>
        <w:t xml:space="preserve"> NSCLC with selection of appropriate therapy increasingly guided by molecular biomarkers in a patient’s tumour.  </w:t>
      </w:r>
      <w:r w:rsidRPr="000861AC">
        <w:t>Pathogenic variants of the Kirsten rat sarcoma (KRAS) gene</w:t>
      </w:r>
      <w:r w:rsidRPr="000861AC" w:rsidDel="00F87BB3">
        <w:t xml:space="preserve"> </w:t>
      </w:r>
      <w:r w:rsidRPr="000861AC">
        <w:t xml:space="preserve">are the most common in NSCLC occurring in 20-25% of tumours (~13% of </w:t>
      </w:r>
      <w:r w:rsidR="00556FFF">
        <w:t xml:space="preserve">all </w:t>
      </w:r>
      <w:r w:rsidRPr="000861AC">
        <w:t xml:space="preserve">tumours have the </w:t>
      </w:r>
      <w:r w:rsidR="00556FFF">
        <w:t xml:space="preserve">KRAS </w:t>
      </w:r>
      <w:r w:rsidRPr="000861AC">
        <w:t>G12C subtype)</w:t>
      </w:r>
      <w:r>
        <w:t xml:space="preserve">. </w:t>
      </w:r>
      <w:r w:rsidR="00556FFF">
        <w:t xml:space="preserve"> Evidence shows</w:t>
      </w:r>
      <w:r w:rsidRPr="00570550">
        <w:rPr>
          <w:rFonts w:cs="Arial"/>
        </w:rPr>
        <w:t xml:space="preserve"> that patients with </w:t>
      </w:r>
      <w:r w:rsidR="00556FFF">
        <w:rPr>
          <w:rFonts w:cs="Arial"/>
        </w:rPr>
        <w:t xml:space="preserve">the </w:t>
      </w:r>
      <w:r w:rsidRPr="00556FFF">
        <w:rPr>
          <w:rFonts w:cs="Arial"/>
          <w:iCs/>
        </w:rPr>
        <w:t>KRAS G12C</w:t>
      </w:r>
      <w:r>
        <w:rPr>
          <w:rFonts w:cs="Arial"/>
        </w:rPr>
        <w:t xml:space="preserve"> variant</w:t>
      </w:r>
      <w:r w:rsidRPr="00570550">
        <w:rPr>
          <w:rFonts w:cs="Arial"/>
        </w:rPr>
        <w:t xml:space="preserve"> ha</w:t>
      </w:r>
      <w:r>
        <w:rPr>
          <w:rFonts w:cs="Arial"/>
        </w:rPr>
        <w:t>ve</w:t>
      </w:r>
      <w:r w:rsidRPr="00570550">
        <w:rPr>
          <w:rFonts w:cs="Arial"/>
        </w:rPr>
        <w:t xml:space="preserve"> poor treatment outcomes with existing therapies in second</w:t>
      </w:r>
      <w:r w:rsidRPr="00570550">
        <w:rPr>
          <w:rFonts w:cs="Arial"/>
        </w:rPr>
        <w:noBreakHyphen/>
        <w:t xml:space="preserve">line or later, </w:t>
      </w:r>
      <w:r w:rsidR="00556FFF">
        <w:rPr>
          <w:rFonts w:cs="Arial"/>
        </w:rPr>
        <w:t xml:space="preserve">and </w:t>
      </w:r>
      <w:r w:rsidRPr="00570550">
        <w:rPr>
          <w:rFonts w:cs="Arial"/>
        </w:rPr>
        <w:t xml:space="preserve">prognosis </w:t>
      </w:r>
      <w:r w:rsidR="00556FFF">
        <w:rPr>
          <w:rFonts w:cs="Arial"/>
        </w:rPr>
        <w:t xml:space="preserve">is similarly as </w:t>
      </w:r>
      <w:r w:rsidRPr="00570550">
        <w:rPr>
          <w:rFonts w:cs="Arial"/>
        </w:rPr>
        <w:t xml:space="preserve">poor as </w:t>
      </w:r>
      <w:r w:rsidR="00556FFF">
        <w:rPr>
          <w:rFonts w:cs="Arial"/>
        </w:rPr>
        <w:t xml:space="preserve">for </w:t>
      </w:r>
      <w:r w:rsidRPr="00570550">
        <w:rPr>
          <w:rFonts w:cs="Arial"/>
        </w:rPr>
        <w:t>the overall advanced NSCLC population, highlighting the unmet medical need for th</w:t>
      </w:r>
      <w:r>
        <w:rPr>
          <w:rFonts w:cs="Arial"/>
        </w:rPr>
        <w:t xml:space="preserve">ese </w:t>
      </w:r>
      <w:r w:rsidRPr="00570550">
        <w:rPr>
          <w:rFonts w:cs="Arial"/>
        </w:rPr>
        <w:t>patient</w:t>
      </w:r>
      <w:r>
        <w:rPr>
          <w:rFonts w:cs="Arial"/>
        </w:rPr>
        <w:t>s</w:t>
      </w:r>
      <w:r w:rsidRPr="00570550">
        <w:rPr>
          <w:rFonts w:cs="Arial"/>
        </w:rPr>
        <w:t>.</w:t>
      </w:r>
    </w:p>
    <w:p w14:paraId="5A36CC2C" w14:textId="77777777" w:rsidR="00CE2AF2" w:rsidRPr="00CE2AF2" w:rsidRDefault="00CE2AF2" w:rsidP="00556FFF">
      <w:pPr>
        <w:ind w:left="0"/>
        <w:contextualSpacing/>
        <w:rPr>
          <w:rFonts w:cs="Arial"/>
        </w:rPr>
      </w:pPr>
    </w:p>
    <w:p w14:paraId="08506313" w14:textId="77777777" w:rsidR="000955E7" w:rsidRDefault="000955E7" w:rsidP="004A0BF4">
      <w:pPr>
        <w:pStyle w:val="Heading2"/>
      </w:pPr>
      <w:r w:rsidRPr="00154B00">
        <w:lastRenderedPageBreak/>
        <w:t>Prov</w:t>
      </w:r>
      <w:r w:rsidR="00D11EB1" w:rsidRPr="00154B00">
        <w:t>i</w:t>
      </w:r>
      <w:r w:rsidRPr="00154B00">
        <w:t>de a succinct description of the proposed medical service (no more than 150 words</w:t>
      </w:r>
      <w:r w:rsidR="00C847AE">
        <w:t xml:space="preserve"> </w:t>
      </w:r>
      <w:r w:rsidR="00F93784">
        <w:t xml:space="preserve">– </w:t>
      </w:r>
      <w:r w:rsidR="00C847AE">
        <w:t>further</w:t>
      </w:r>
      <w:r w:rsidR="00F93784">
        <w:t xml:space="preserve"> information will be </w:t>
      </w:r>
      <w:r w:rsidR="00C847AE">
        <w:t>requested</w:t>
      </w:r>
      <w:r w:rsidR="00F93784">
        <w:t xml:space="preserve"> </w:t>
      </w:r>
      <w:r w:rsidR="00883641">
        <w:t>at</w:t>
      </w:r>
      <w:r w:rsidR="00C847AE">
        <w:t xml:space="preserve"> </w:t>
      </w:r>
      <w:r w:rsidR="00026412">
        <w:t>Part 6</w:t>
      </w:r>
      <w:r w:rsidR="00C847AE">
        <w:t xml:space="preserve"> of the Application Form</w:t>
      </w:r>
      <w:r w:rsidRPr="00154B00">
        <w:t>)</w:t>
      </w:r>
    </w:p>
    <w:p w14:paraId="5B45339D" w14:textId="5828D041" w:rsidR="002E5809" w:rsidRPr="007F769E" w:rsidRDefault="00841B90" w:rsidP="00D931E4">
      <w:pPr>
        <w:autoSpaceDE w:val="0"/>
        <w:autoSpaceDN w:val="0"/>
        <w:adjustRightInd w:val="0"/>
        <w:spacing w:before="0" w:after="0"/>
        <w:ind w:left="360"/>
        <w:rPr>
          <w:rFonts w:cstheme="minorHAnsi"/>
          <w:szCs w:val="20"/>
        </w:rPr>
      </w:pPr>
      <w:bookmarkStart w:id="2" w:name="_Hlk66158843"/>
      <w:r w:rsidRPr="000861AC">
        <w:t>T</w:t>
      </w:r>
      <w:r w:rsidR="005A18AF" w:rsidRPr="000861AC">
        <w:t>he proposed medical service is</w:t>
      </w:r>
      <w:r w:rsidR="00322BE7" w:rsidRPr="00A55462">
        <w:t xml:space="preserve"> </w:t>
      </w:r>
      <w:r w:rsidRPr="000861AC">
        <w:t>tumour</w:t>
      </w:r>
      <w:r w:rsidR="005A18AF" w:rsidRPr="000861AC">
        <w:t xml:space="preserve"> </w:t>
      </w:r>
      <w:r w:rsidR="00322BE7" w:rsidRPr="000861AC">
        <w:t xml:space="preserve">testing </w:t>
      </w:r>
      <w:r w:rsidR="0098204A" w:rsidRPr="000861AC">
        <w:t xml:space="preserve">in patients with non-squamous or </w:t>
      </w:r>
      <w:r w:rsidR="003541B8" w:rsidRPr="00075F5F">
        <w:t>not otherwise specified (</w:t>
      </w:r>
      <w:r w:rsidR="0098204A" w:rsidRPr="000861AC">
        <w:t>NOS</w:t>
      </w:r>
      <w:r w:rsidR="003541B8" w:rsidRPr="00075F5F">
        <w:t>)</w:t>
      </w:r>
      <w:r w:rsidR="0098204A" w:rsidRPr="000861AC">
        <w:t xml:space="preserve"> histology</w:t>
      </w:r>
      <w:r w:rsidR="005A18AF" w:rsidRPr="000861AC">
        <w:t xml:space="preserve"> NSCLC </w:t>
      </w:r>
      <w:r w:rsidRPr="00A55462">
        <w:t xml:space="preserve">to detect </w:t>
      </w:r>
      <w:r w:rsidR="005A18AF" w:rsidRPr="000861AC">
        <w:t xml:space="preserve">KRAS G12C </w:t>
      </w:r>
      <w:r w:rsidR="00301E26" w:rsidRPr="000861AC">
        <w:t xml:space="preserve">pathogenic </w:t>
      </w:r>
      <w:r w:rsidR="005A18AF" w:rsidRPr="000861AC">
        <w:t>variant</w:t>
      </w:r>
      <w:r w:rsidR="0098204A" w:rsidRPr="000861AC">
        <w:t>s</w:t>
      </w:r>
      <w:r w:rsidR="005A18AF" w:rsidRPr="000861AC">
        <w:t xml:space="preserve"> </w:t>
      </w:r>
      <w:r w:rsidR="00D004DE" w:rsidRPr="00075F5F">
        <w:t>that would</w:t>
      </w:r>
      <w:r w:rsidR="00D004DE" w:rsidRPr="000861AC">
        <w:t xml:space="preserve"> </w:t>
      </w:r>
      <w:r w:rsidRPr="000861AC">
        <w:t xml:space="preserve">determine eligibility for </w:t>
      </w:r>
      <w:r w:rsidR="00470C57" w:rsidRPr="000861AC">
        <w:t xml:space="preserve">PBS-subsidised </w:t>
      </w:r>
      <w:proofErr w:type="spellStart"/>
      <w:r w:rsidR="00A66248" w:rsidRPr="000861AC">
        <w:t>sotorasib</w:t>
      </w:r>
      <w:proofErr w:type="spellEnd"/>
      <w:r w:rsidR="00E06834">
        <w:t xml:space="preserve"> second-line therapy</w:t>
      </w:r>
      <w:r w:rsidRPr="000861AC">
        <w:t>.</w:t>
      </w:r>
      <w:r w:rsidR="00900ED6" w:rsidRPr="00075F5F">
        <w:t xml:space="preserve"> </w:t>
      </w:r>
      <w:r w:rsidR="00344F18" w:rsidRPr="00075F5F">
        <w:t xml:space="preserve"> </w:t>
      </w:r>
      <w:r w:rsidR="003541B8" w:rsidRPr="00075F5F">
        <w:t xml:space="preserve">Tumour testing in this population </w:t>
      </w:r>
      <w:r w:rsidR="00344F18" w:rsidRPr="00075F5F">
        <w:t xml:space="preserve">is established </w:t>
      </w:r>
      <w:r w:rsidR="003541B8" w:rsidRPr="00075F5F">
        <w:t xml:space="preserve">and </w:t>
      </w:r>
      <w:r w:rsidR="00D004DE" w:rsidRPr="00075F5F">
        <w:t xml:space="preserve">MBS </w:t>
      </w:r>
      <w:r w:rsidR="003541B8" w:rsidRPr="00075F5F">
        <w:t>funded for the detection of epidermal growth factor receptor (EGFR) variants to determine eligibility for the PBS</w:t>
      </w:r>
      <w:r w:rsidR="00D004DE" w:rsidRPr="00075F5F">
        <w:t xml:space="preserve">-subsidised </w:t>
      </w:r>
      <w:r w:rsidR="003541B8" w:rsidRPr="00075F5F">
        <w:t xml:space="preserve">EGFR tyrosine kinase inhibitors </w:t>
      </w:r>
      <w:r w:rsidR="00D004DE" w:rsidRPr="00075F5F">
        <w:t>under</w:t>
      </w:r>
      <w:r w:rsidR="003541B8" w:rsidRPr="00075F5F">
        <w:t xml:space="preserve"> MBS item 73337.  </w:t>
      </w:r>
      <w:r w:rsidR="00D004DE" w:rsidRPr="00075F5F">
        <w:t xml:space="preserve">Most testing in Australia is now done using next-generation sequencing (NGS) with gene panels that include KRAS.  </w:t>
      </w:r>
      <w:r w:rsidR="003B26B7" w:rsidRPr="00075F5F">
        <w:rPr>
          <w:rFonts w:cstheme="minorHAnsi"/>
          <w:szCs w:val="20"/>
        </w:rPr>
        <w:t xml:space="preserve">The intention of this application is to have specific mention of KRAS G12C testing within </w:t>
      </w:r>
      <w:r w:rsidR="00A82D25" w:rsidRPr="00075F5F">
        <w:rPr>
          <w:rFonts w:cstheme="minorHAnsi"/>
          <w:szCs w:val="20"/>
        </w:rPr>
        <w:t xml:space="preserve">a modified </w:t>
      </w:r>
      <w:r w:rsidR="003B26B7" w:rsidRPr="00075F5F">
        <w:rPr>
          <w:rFonts w:cstheme="minorHAnsi"/>
          <w:szCs w:val="20"/>
        </w:rPr>
        <w:t xml:space="preserve">code 73337.  </w:t>
      </w:r>
    </w:p>
    <w:bookmarkEnd w:id="2"/>
    <w:p w14:paraId="0760350C" w14:textId="77777777" w:rsidR="00D11EB1" w:rsidRPr="0011036E" w:rsidRDefault="00841B90" w:rsidP="00841B90">
      <w:pPr>
        <w:pStyle w:val="Heading2"/>
        <w:rPr>
          <w:rStyle w:val="Strong"/>
          <w:rFonts w:asciiTheme="minorHAnsi" w:eastAsiaTheme="minorHAnsi" w:hAnsiTheme="minorHAnsi" w:cstheme="minorBidi"/>
          <w:b/>
        </w:rPr>
      </w:pPr>
      <w:r>
        <w:rPr>
          <w:rStyle w:val="Strong"/>
          <w:rFonts w:asciiTheme="minorHAnsi" w:eastAsiaTheme="minorHAnsi" w:hAnsiTheme="minorHAnsi" w:cstheme="minorBidi"/>
          <w:b/>
        </w:rPr>
        <w:t xml:space="preserve"> </w:t>
      </w:r>
      <w:r w:rsidR="00730C04">
        <w:rPr>
          <w:rStyle w:val="Strong"/>
          <w:rFonts w:asciiTheme="minorHAnsi" w:eastAsiaTheme="minorHAnsi" w:hAnsiTheme="minorHAnsi" w:cstheme="minorBidi"/>
          <w:b/>
        </w:rPr>
        <w:t xml:space="preserve">(a) </w:t>
      </w:r>
      <w:r w:rsidR="00D11EB1" w:rsidRPr="0011036E">
        <w:rPr>
          <w:rStyle w:val="Strong"/>
          <w:rFonts w:asciiTheme="minorHAnsi" w:eastAsiaTheme="minorHAnsi" w:hAnsiTheme="minorHAnsi" w:cstheme="minorBidi"/>
          <w:b/>
        </w:rPr>
        <w:t>Is this a request for MBS funding?</w:t>
      </w:r>
    </w:p>
    <w:p w14:paraId="10DFC87B" w14:textId="77777777" w:rsidR="00753C44" w:rsidRDefault="008B33D5" w:rsidP="00A6491A">
      <w:pPr>
        <w:spacing w:before="0" w:after="0"/>
        <w:ind w:left="284"/>
        <w:rPr>
          <w:szCs w:val="20"/>
        </w:rPr>
      </w:pPr>
      <w:r>
        <w:rPr>
          <w:szCs w:val="20"/>
        </w:rPr>
        <w:fldChar w:fldCharType="begin">
          <w:ffData>
            <w:name w:val="Check1"/>
            <w:enabled/>
            <w:calcOnExit w:val="0"/>
            <w:checkBox>
              <w:sizeAuto/>
              <w:default w:val="1"/>
            </w:checkBox>
          </w:ffData>
        </w:fldChar>
      </w:r>
      <w:bookmarkStart w:id="3" w:name="Check1"/>
      <w:r>
        <w:rPr>
          <w:szCs w:val="20"/>
        </w:rPr>
        <w:instrText xml:space="preserve"> FORMCHECKBOX </w:instrText>
      </w:r>
      <w:r w:rsidR="00577575">
        <w:rPr>
          <w:szCs w:val="20"/>
        </w:rPr>
      </w:r>
      <w:r w:rsidR="00577575">
        <w:rPr>
          <w:szCs w:val="20"/>
        </w:rPr>
        <w:fldChar w:fldCharType="separate"/>
      </w:r>
      <w:r>
        <w:rPr>
          <w:szCs w:val="20"/>
        </w:rPr>
        <w:fldChar w:fldCharType="end"/>
      </w:r>
      <w:bookmarkEnd w:id="3"/>
      <w:r w:rsidR="006B6390">
        <w:rPr>
          <w:szCs w:val="20"/>
        </w:rPr>
        <w:t xml:space="preserve"> Yes</w:t>
      </w:r>
    </w:p>
    <w:p w14:paraId="741AD638" w14:textId="77777777" w:rsidR="00753C44" w:rsidRP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577575">
        <w:rPr>
          <w:szCs w:val="20"/>
        </w:rPr>
      </w:r>
      <w:r w:rsidR="00577575">
        <w:rPr>
          <w:szCs w:val="20"/>
        </w:rPr>
        <w:fldChar w:fldCharType="separate"/>
      </w:r>
      <w:r w:rsidRPr="00753C44">
        <w:rPr>
          <w:szCs w:val="20"/>
        </w:rPr>
        <w:fldChar w:fldCharType="end"/>
      </w:r>
      <w:r>
        <w:rPr>
          <w:szCs w:val="20"/>
        </w:rPr>
        <w:t xml:space="preserve"> No</w:t>
      </w:r>
      <w:r w:rsidR="00753C44" w:rsidRPr="00753C44">
        <w:rPr>
          <w:szCs w:val="20"/>
        </w:rPr>
        <w:t xml:space="preserve">  </w:t>
      </w:r>
    </w:p>
    <w:p w14:paraId="449923BF" w14:textId="77777777"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 xml:space="preserve">covered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14:paraId="41FD248A" w14:textId="77777777" w:rsidR="00753C44" w:rsidRDefault="008B33D5" w:rsidP="00A6491A">
      <w:pPr>
        <w:spacing w:before="0" w:after="0"/>
        <w:ind w:left="284"/>
        <w:rPr>
          <w:szCs w:val="20"/>
        </w:rPr>
      </w:pPr>
      <w:r>
        <w:rPr>
          <w:szCs w:val="20"/>
        </w:rPr>
        <w:fldChar w:fldCharType="begin">
          <w:ffData>
            <w:name w:val="Check2"/>
            <w:enabled/>
            <w:calcOnExit w:val="0"/>
            <w:checkBox>
              <w:sizeAuto/>
              <w:default w:val="1"/>
            </w:checkBox>
          </w:ffData>
        </w:fldChar>
      </w:r>
      <w:bookmarkStart w:id="4" w:name="Check2"/>
      <w:r>
        <w:rPr>
          <w:szCs w:val="20"/>
        </w:rPr>
        <w:instrText xml:space="preserve"> FORMCHECKBOX </w:instrText>
      </w:r>
      <w:r w:rsidR="00577575">
        <w:rPr>
          <w:szCs w:val="20"/>
        </w:rPr>
      </w:r>
      <w:r w:rsidR="00577575">
        <w:rPr>
          <w:szCs w:val="20"/>
        </w:rPr>
        <w:fldChar w:fldCharType="separate"/>
      </w:r>
      <w:r>
        <w:rPr>
          <w:szCs w:val="20"/>
        </w:rPr>
        <w:fldChar w:fldCharType="end"/>
      </w:r>
      <w:bookmarkEnd w:id="4"/>
      <w:r w:rsidR="006B6390">
        <w:rPr>
          <w:szCs w:val="20"/>
        </w:rPr>
        <w:t xml:space="preserve"> </w:t>
      </w:r>
      <w:r w:rsidR="00753C44" w:rsidRPr="00154B00">
        <w:rPr>
          <w:szCs w:val="20"/>
        </w:rPr>
        <w:t>Amendment to existing MBS item</w:t>
      </w:r>
      <w:r w:rsidR="00753C44">
        <w:rPr>
          <w:szCs w:val="20"/>
        </w:rPr>
        <w:t>(s)</w:t>
      </w:r>
    </w:p>
    <w:p w14:paraId="276F86EB" w14:textId="77777777" w:rsidR="00753C44" w:rsidRP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577575">
        <w:rPr>
          <w:szCs w:val="20"/>
        </w:rPr>
      </w:r>
      <w:r w:rsidR="00577575">
        <w:rPr>
          <w:szCs w:val="20"/>
        </w:rPr>
        <w:fldChar w:fldCharType="separate"/>
      </w:r>
      <w:r w:rsidRPr="00753C44">
        <w:rPr>
          <w:szCs w:val="20"/>
        </w:rPr>
        <w:fldChar w:fldCharType="end"/>
      </w:r>
      <w:r>
        <w:rPr>
          <w:szCs w:val="20"/>
        </w:rPr>
        <w:t xml:space="preserve"> </w:t>
      </w:r>
      <w:r w:rsidR="00753C44" w:rsidRPr="00154B00">
        <w:rPr>
          <w:szCs w:val="20"/>
        </w:rPr>
        <w:t>New MBS item</w:t>
      </w:r>
      <w:r w:rsidR="00753C44">
        <w:rPr>
          <w:szCs w:val="20"/>
        </w:rPr>
        <w:t>(s)</w:t>
      </w:r>
    </w:p>
    <w:p w14:paraId="7C97B577" w14:textId="77777777"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 xml:space="preserve">If </w:t>
      </w:r>
      <w:r w:rsidR="00126B33" w:rsidRPr="0011036E">
        <w:rPr>
          <w:rStyle w:val="Strong"/>
          <w:rFonts w:asciiTheme="minorHAnsi" w:eastAsiaTheme="minorHAnsi" w:hAnsiTheme="minorHAnsi" w:cstheme="minorBidi"/>
          <w:b/>
        </w:rPr>
        <w:t xml:space="preserve">an amendment </w:t>
      </w:r>
      <w:r w:rsidR="003020B5" w:rsidRPr="0011036E">
        <w:rPr>
          <w:rStyle w:val="Strong"/>
          <w:rFonts w:asciiTheme="minorHAnsi" w:eastAsiaTheme="minorHAnsi" w:hAnsiTheme="minorHAnsi" w:cstheme="minorBidi"/>
          <w:b/>
        </w:rPr>
        <w:t xml:space="preserve">to </w:t>
      </w:r>
      <w:r w:rsidR="00126B33" w:rsidRPr="0011036E">
        <w:rPr>
          <w:rStyle w:val="Strong"/>
          <w:rFonts w:asciiTheme="minorHAnsi" w:eastAsiaTheme="minorHAnsi" w:hAnsiTheme="minorHAnsi" w:cstheme="minorBidi"/>
          <w:b/>
        </w:rPr>
        <w:t xml:space="preserve">an </w:t>
      </w:r>
      <w:r w:rsidR="003020B5" w:rsidRPr="0011036E">
        <w:rPr>
          <w:rStyle w:val="Strong"/>
          <w:rFonts w:asciiTheme="minorHAnsi" w:eastAsiaTheme="minorHAnsi" w:hAnsiTheme="minorHAnsi" w:cstheme="minorBidi"/>
          <w:b/>
        </w:rPr>
        <w:t>existing item</w:t>
      </w:r>
      <w:r w:rsidR="005D0677" w:rsidRPr="0011036E">
        <w:rPr>
          <w:rStyle w:val="Strong"/>
          <w:rFonts w:asciiTheme="minorHAnsi" w:eastAsiaTheme="minorHAnsi" w:hAnsiTheme="minorHAnsi" w:cstheme="minorBidi"/>
          <w:b/>
        </w:rPr>
        <w:t>(s)</w:t>
      </w:r>
      <w:r w:rsidR="00126B33" w:rsidRPr="0011036E">
        <w:rPr>
          <w:rStyle w:val="Strong"/>
          <w:rFonts w:asciiTheme="minorHAnsi" w:eastAsiaTheme="minorHAnsi" w:hAnsiTheme="minorHAnsi" w:cstheme="minorBidi"/>
          <w:b/>
        </w:rPr>
        <w:t xml:space="preserve"> is being sought</w:t>
      </w:r>
      <w:r w:rsidR="003020B5" w:rsidRPr="0011036E">
        <w:rPr>
          <w:rStyle w:val="Strong"/>
          <w:rFonts w:asciiTheme="minorHAnsi" w:eastAsiaTheme="minorHAnsi" w:hAnsiTheme="minorHAnsi" w:cstheme="minorBidi"/>
          <w:b/>
        </w:rPr>
        <w:t>,</w:t>
      </w:r>
      <w:r w:rsidRPr="0011036E">
        <w:rPr>
          <w:rStyle w:val="Strong"/>
          <w:rFonts w:asciiTheme="minorHAnsi" w:eastAsiaTheme="minorHAnsi" w:hAnsiTheme="minorHAnsi" w:cstheme="minorBidi"/>
          <w:b/>
        </w:rPr>
        <w:t xml:space="preserve"> please </w:t>
      </w:r>
      <w:r w:rsidR="00126B33" w:rsidRPr="0011036E">
        <w:rPr>
          <w:rStyle w:val="Strong"/>
          <w:rFonts w:asciiTheme="minorHAnsi" w:eastAsiaTheme="minorHAnsi" w:hAnsiTheme="minorHAnsi" w:cstheme="minorBidi"/>
          <w:b/>
        </w:rPr>
        <w:t xml:space="preserve">list </w:t>
      </w:r>
      <w:r w:rsidRPr="0011036E">
        <w:rPr>
          <w:rStyle w:val="Strong"/>
          <w:rFonts w:asciiTheme="minorHAnsi" w:eastAsiaTheme="minorHAnsi" w:hAnsiTheme="minorHAnsi" w:cstheme="minorBidi"/>
          <w:b/>
        </w:rPr>
        <w:t xml:space="preserve">the relevant MBS item number(s) </w:t>
      </w:r>
      <w:r w:rsidR="009C03FB" w:rsidRPr="0011036E">
        <w:rPr>
          <w:rStyle w:val="Strong"/>
          <w:rFonts w:asciiTheme="minorHAnsi" w:eastAsiaTheme="minorHAnsi" w:hAnsiTheme="minorHAnsi" w:cstheme="minorBidi"/>
          <w:b/>
        </w:rPr>
        <w:t xml:space="preserve">that </w:t>
      </w:r>
      <w:r w:rsidR="00126B33" w:rsidRPr="0011036E">
        <w:rPr>
          <w:rStyle w:val="Strong"/>
          <w:rFonts w:asciiTheme="minorHAnsi" w:eastAsiaTheme="minorHAnsi" w:hAnsiTheme="minorHAnsi" w:cstheme="minorBidi"/>
          <w:b/>
        </w:rPr>
        <w:t xml:space="preserve">are </w:t>
      </w:r>
      <w:r w:rsidR="005A6AB9" w:rsidRPr="0011036E">
        <w:rPr>
          <w:rStyle w:val="Strong"/>
          <w:rFonts w:asciiTheme="minorHAnsi" w:eastAsiaTheme="minorHAnsi" w:hAnsiTheme="minorHAnsi" w:cstheme="minorBidi"/>
          <w:b/>
        </w:rPr>
        <w:t xml:space="preserve">to be </w:t>
      </w:r>
      <w:r w:rsidR="00126B33" w:rsidRPr="0011036E">
        <w:rPr>
          <w:rStyle w:val="Strong"/>
          <w:rFonts w:asciiTheme="minorHAnsi" w:eastAsiaTheme="minorHAnsi" w:hAnsiTheme="minorHAnsi" w:cstheme="minorBidi"/>
          <w:b/>
        </w:rPr>
        <w:t xml:space="preserve">amended </w:t>
      </w:r>
      <w:r w:rsidR="005A6AB9" w:rsidRPr="0011036E">
        <w:rPr>
          <w:rStyle w:val="Strong"/>
          <w:rFonts w:asciiTheme="minorHAnsi" w:eastAsiaTheme="minorHAnsi" w:hAnsiTheme="minorHAnsi" w:cstheme="minorBidi"/>
          <w:b/>
        </w:rPr>
        <w:t xml:space="preserve">to </w:t>
      </w:r>
      <w:r w:rsidR="00A93F58" w:rsidRPr="0011036E">
        <w:rPr>
          <w:rStyle w:val="Strong"/>
          <w:rFonts w:asciiTheme="minorHAnsi" w:eastAsiaTheme="minorHAnsi" w:hAnsiTheme="minorHAnsi" w:cstheme="minorBidi"/>
          <w:b/>
        </w:rPr>
        <w:t xml:space="preserve">include </w:t>
      </w:r>
      <w:r w:rsidR="005A6AB9" w:rsidRPr="0011036E">
        <w:rPr>
          <w:rStyle w:val="Strong"/>
          <w:rFonts w:asciiTheme="minorHAnsi" w:eastAsiaTheme="minorHAnsi" w:hAnsiTheme="minorHAnsi" w:cstheme="minorBidi"/>
          <w:b/>
        </w:rPr>
        <w:t>the proposed medical service</w:t>
      </w:r>
      <w:r w:rsidR="00802553" w:rsidRPr="0011036E">
        <w:rPr>
          <w:rStyle w:val="Strong"/>
          <w:rFonts w:asciiTheme="minorHAnsi" w:eastAsiaTheme="minorHAnsi" w:hAnsiTheme="minorHAnsi" w:cstheme="minorBidi"/>
          <w:b/>
        </w:rPr>
        <w:t>:</w:t>
      </w:r>
      <w:r w:rsidR="00E06102" w:rsidRPr="0011036E">
        <w:rPr>
          <w:rStyle w:val="Strong"/>
          <w:rFonts w:asciiTheme="minorHAnsi" w:eastAsiaTheme="minorHAnsi" w:hAnsiTheme="minorHAnsi" w:cstheme="minorBidi"/>
          <w:b/>
        </w:rPr>
        <w:t xml:space="preserve"> </w:t>
      </w:r>
    </w:p>
    <w:p w14:paraId="63199D19" w14:textId="75235E41" w:rsidR="003D795C" w:rsidRPr="00CB12EC" w:rsidRDefault="00A66248" w:rsidP="00A6491A">
      <w:pPr>
        <w:ind w:left="284"/>
      </w:pPr>
      <w:r>
        <w:t xml:space="preserve">Item </w:t>
      </w:r>
      <w:r w:rsidR="00C13D17">
        <w:t xml:space="preserve">number </w:t>
      </w:r>
      <w:r>
        <w:t>73337</w:t>
      </w:r>
      <w:r w:rsidR="00C13D17">
        <w:t xml:space="preserve">. </w:t>
      </w:r>
    </w:p>
    <w:p w14:paraId="68ACC67C" w14:textId="77777777" w:rsidR="006C0843" w:rsidRPr="0011036E" w:rsidRDefault="006C0843"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lastRenderedPageBreak/>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is being sought,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14:paraId="47476D4C"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577575">
        <w:rPr>
          <w:b/>
          <w:szCs w:val="20"/>
        </w:rPr>
      </w:r>
      <w:r w:rsidR="00577575">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way the service is clinically delivered under the existing item(s)</w:t>
      </w:r>
    </w:p>
    <w:p w14:paraId="1A38C5D1"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577575">
        <w:rPr>
          <w:b/>
          <w:szCs w:val="20"/>
        </w:rPr>
      </w:r>
      <w:r w:rsidR="00577575">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patient population under the existing item(s)</w:t>
      </w:r>
    </w:p>
    <w:p w14:paraId="0F09A82A"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577575">
        <w:rPr>
          <w:b/>
          <w:szCs w:val="20"/>
        </w:rPr>
      </w:r>
      <w:r w:rsidR="00577575">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schedule fee of the existing item(s)</w:t>
      </w:r>
    </w:p>
    <w:p w14:paraId="00850072"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577575">
        <w:rPr>
          <w:b/>
          <w:szCs w:val="20"/>
        </w:rPr>
      </w:r>
      <w:r w:rsidR="00577575">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time and complexity of an existing item(s)</w:t>
      </w:r>
    </w:p>
    <w:p w14:paraId="096EB6D6"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577575">
        <w:rPr>
          <w:b/>
          <w:szCs w:val="20"/>
        </w:rPr>
      </w:r>
      <w:r w:rsidR="00577575">
        <w:rPr>
          <w:b/>
          <w:szCs w:val="20"/>
        </w:rPr>
        <w:fldChar w:fldCharType="separate"/>
      </w:r>
      <w:r w:rsidRPr="004A263B">
        <w:rPr>
          <w:b/>
          <w:szCs w:val="20"/>
        </w:rPr>
        <w:fldChar w:fldCharType="end"/>
      </w:r>
      <w:r w:rsidRPr="004A263B">
        <w:rPr>
          <w:b/>
          <w:szCs w:val="20"/>
        </w:rPr>
        <w:t xml:space="preserve"> </w:t>
      </w:r>
      <w:r w:rsidRPr="004A263B">
        <w:rPr>
          <w:rStyle w:val="Strong"/>
          <w:b w:val="0"/>
        </w:rPr>
        <w:t>Access to an existing item(s) by a different health practitioner group</w:t>
      </w:r>
    </w:p>
    <w:p w14:paraId="7768E3AA" w14:textId="77777777" w:rsidR="002A270B" w:rsidRPr="004A263B" w:rsidRDefault="008B33D5" w:rsidP="004A263B">
      <w:pPr>
        <w:pStyle w:val="ListParagraph"/>
        <w:numPr>
          <w:ilvl w:val="0"/>
          <w:numId w:val="34"/>
        </w:numPr>
        <w:spacing w:before="0" w:after="0"/>
        <w:ind w:left="851" w:hanging="425"/>
        <w:rPr>
          <w:rStyle w:val="Strong"/>
          <w:b w:val="0"/>
        </w:rPr>
      </w:pPr>
      <w:r>
        <w:rPr>
          <w:b/>
          <w:szCs w:val="20"/>
        </w:rPr>
        <w:fldChar w:fldCharType="begin">
          <w:ffData>
            <w:name w:val=""/>
            <w:enabled/>
            <w:calcOnExit w:val="0"/>
            <w:checkBox>
              <w:sizeAuto/>
              <w:default w:val="1"/>
            </w:checkBox>
          </w:ffData>
        </w:fldChar>
      </w:r>
      <w:r>
        <w:rPr>
          <w:b/>
          <w:szCs w:val="20"/>
        </w:rPr>
        <w:instrText xml:space="preserve"> FORMCHECKBOX </w:instrText>
      </w:r>
      <w:r w:rsidR="00577575">
        <w:rPr>
          <w:b/>
          <w:szCs w:val="20"/>
        </w:rPr>
      </w:r>
      <w:r w:rsidR="00577575">
        <w:rPr>
          <w:b/>
          <w:szCs w:val="20"/>
        </w:rPr>
        <w:fldChar w:fldCharType="separate"/>
      </w:r>
      <w:r>
        <w:rPr>
          <w:b/>
          <w:szCs w:val="20"/>
        </w:rPr>
        <w:fldChar w:fldCharType="end"/>
      </w:r>
      <w:r w:rsidR="002A270B" w:rsidRPr="004A263B">
        <w:rPr>
          <w:b/>
          <w:szCs w:val="20"/>
        </w:rPr>
        <w:t xml:space="preserve"> </w:t>
      </w:r>
      <w:r w:rsidR="002A270B" w:rsidRPr="004A263B">
        <w:rPr>
          <w:rStyle w:val="Strong"/>
          <w:b w:val="0"/>
        </w:rPr>
        <w:t>Minor amendments to the item descriptor that does not affect how the service is delivered</w:t>
      </w:r>
    </w:p>
    <w:p w14:paraId="0DF2F7BF"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577575">
        <w:rPr>
          <w:b/>
          <w:szCs w:val="20"/>
        </w:rPr>
      </w:r>
      <w:r w:rsidR="00577575">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specific single consultation item</w:t>
      </w:r>
    </w:p>
    <w:p w14:paraId="3D17035F"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577575">
        <w:rPr>
          <w:b/>
          <w:szCs w:val="20"/>
        </w:rPr>
      </w:r>
      <w:r w:rsidR="00577575">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global consultation item(s)</w:t>
      </w:r>
    </w:p>
    <w:p w14:paraId="36E93B10" w14:textId="77777777" w:rsidR="002A270B" w:rsidRDefault="004A263B" w:rsidP="004A263B">
      <w:pPr>
        <w:pStyle w:val="ListParagraph"/>
        <w:numPr>
          <w:ilvl w:val="0"/>
          <w:numId w:val="34"/>
        </w:numPr>
        <w:ind w:left="851" w:hanging="425"/>
        <w:rPr>
          <w:rStyle w:val="Strong"/>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577575">
        <w:rPr>
          <w:b/>
          <w:szCs w:val="20"/>
        </w:rPr>
      </w:r>
      <w:r w:rsidR="00577575">
        <w:rPr>
          <w:b/>
          <w:szCs w:val="20"/>
        </w:rPr>
        <w:fldChar w:fldCharType="separate"/>
      </w:r>
      <w:r w:rsidRPr="004A263B">
        <w:rPr>
          <w:b/>
          <w:szCs w:val="20"/>
        </w:rPr>
        <w:fldChar w:fldCharType="end"/>
      </w:r>
      <w:r w:rsidRPr="004A263B">
        <w:rPr>
          <w:b/>
          <w:szCs w:val="20"/>
        </w:rPr>
        <w:t xml:space="preserve"> </w:t>
      </w:r>
      <w:r w:rsidR="002A270B" w:rsidRPr="004A263B">
        <w:rPr>
          <w:rStyle w:val="Strong"/>
          <w:b w:val="0"/>
        </w:rPr>
        <w:t>Other (please describe below)</w:t>
      </w:r>
      <w:r w:rsidR="00A6491A" w:rsidRPr="004A263B">
        <w:rPr>
          <w:rStyle w:val="Strong"/>
          <w:b w:val="0"/>
        </w:rPr>
        <w:t>:</w:t>
      </w:r>
    </w:p>
    <w:p w14:paraId="05E04C88" w14:textId="77777777" w:rsidR="00534C5F" w:rsidRPr="007E39E4" w:rsidRDefault="000770BA"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is being requested</w:t>
      </w:r>
      <w:r w:rsidRPr="007E39E4">
        <w:rPr>
          <w:rStyle w:val="Strong"/>
          <w:rFonts w:asciiTheme="minorHAnsi" w:eastAsiaTheme="minorHAnsi" w:hAnsiTheme="minorHAnsi" w:cstheme="minorBidi"/>
          <w:b/>
        </w:rPr>
        <w:t>, what is the nature of the change to the MBS being sought?</w:t>
      </w:r>
    </w:p>
    <w:p w14:paraId="08E4C378"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577575">
        <w:rPr>
          <w:b/>
          <w:szCs w:val="20"/>
        </w:rPr>
      </w:r>
      <w:r w:rsidR="00577575">
        <w:rPr>
          <w:b/>
          <w:szCs w:val="20"/>
        </w:rPr>
        <w:fldChar w:fldCharType="separate"/>
      </w:r>
      <w:r w:rsidRPr="00AA2CFE">
        <w:rPr>
          <w:b/>
          <w:szCs w:val="20"/>
        </w:rPr>
        <w:fldChar w:fldCharType="end"/>
      </w:r>
      <w:r w:rsidRPr="00AA2CFE">
        <w:rPr>
          <w:b/>
          <w:szCs w:val="20"/>
        </w:rPr>
        <w:t xml:space="preserve"> </w:t>
      </w:r>
      <w:r w:rsidRPr="00AA2CFE">
        <w:rPr>
          <w:rStyle w:val="Strong"/>
          <w:b w:val="0"/>
        </w:rPr>
        <w:t>A new item which also seeks to allow access to the MBS for a specific health practitioner group</w:t>
      </w:r>
    </w:p>
    <w:p w14:paraId="4B2B7FB3"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577575">
        <w:rPr>
          <w:b/>
          <w:szCs w:val="20"/>
        </w:rPr>
      </w:r>
      <w:r w:rsidR="00577575">
        <w:rPr>
          <w:b/>
          <w:szCs w:val="20"/>
        </w:rPr>
        <w:fldChar w:fldCharType="separate"/>
      </w:r>
      <w:r w:rsidRPr="00AA2CFE">
        <w:rPr>
          <w:b/>
          <w:szCs w:val="20"/>
        </w:rPr>
        <w:fldChar w:fldCharType="end"/>
      </w:r>
      <w:r w:rsidRPr="00AA2CFE">
        <w:rPr>
          <w:b/>
          <w:szCs w:val="20"/>
        </w:rPr>
        <w:t xml:space="preserve"> </w:t>
      </w:r>
      <w:r w:rsidRPr="00AA2CFE">
        <w:rPr>
          <w:rStyle w:val="Strong"/>
          <w:b w:val="0"/>
        </w:rPr>
        <w:t>A new item that is proposing a way of clinically delivering a service that is new to the MBS (in terms of new technology and / or population)</w:t>
      </w:r>
    </w:p>
    <w:p w14:paraId="5ECEDD34"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577575">
        <w:rPr>
          <w:b/>
          <w:szCs w:val="20"/>
        </w:rPr>
      </w:r>
      <w:r w:rsidR="00577575">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specific single consultation item</w:t>
      </w:r>
    </w:p>
    <w:p w14:paraId="4108F24D"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577575">
        <w:rPr>
          <w:b/>
          <w:szCs w:val="20"/>
        </w:rPr>
      </w:r>
      <w:r w:rsidR="00577575">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global consultation item(s)</w:t>
      </w:r>
    </w:p>
    <w:p w14:paraId="0F4448B8" w14:textId="77777777" w:rsidR="003027BB" w:rsidRPr="007E39E4" w:rsidRDefault="00F30C22"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Is the proposed service seeking public funding other than the MBS?</w:t>
      </w:r>
    </w:p>
    <w:p w14:paraId="49A67F07" w14:textId="77777777" w:rsidR="000A5B32" w:rsidRDefault="00A66248"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577575">
        <w:rPr>
          <w:szCs w:val="20"/>
        </w:rPr>
      </w:r>
      <w:r w:rsidR="00577575">
        <w:rPr>
          <w:szCs w:val="20"/>
        </w:rPr>
        <w:fldChar w:fldCharType="separate"/>
      </w:r>
      <w:r>
        <w:rPr>
          <w:szCs w:val="20"/>
        </w:rPr>
        <w:fldChar w:fldCharType="end"/>
      </w:r>
      <w:r w:rsidR="000A5B32" w:rsidRPr="000A5B32">
        <w:rPr>
          <w:szCs w:val="20"/>
        </w:rPr>
        <w:t xml:space="preserve"> Yes</w:t>
      </w:r>
    </w:p>
    <w:p w14:paraId="136414A0" w14:textId="77777777" w:rsidR="00626365" w:rsidRDefault="00A66248" w:rsidP="00626365">
      <w:pPr>
        <w:spacing w:before="0" w:after="0"/>
        <w:ind w:left="284"/>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577575">
        <w:rPr>
          <w:szCs w:val="20"/>
        </w:rPr>
      </w:r>
      <w:r w:rsidR="00577575">
        <w:rPr>
          <w:szCs w:val="20"/>
        </w:rPr>
        <w:fldChar w:fldCharType="separate"/>
      </w:r>
      <w:r>
        <w:rPr>
          <w:szCs w:val="20"/>
        </w:rPr>
        <w:fldChar w:fldCharType="end"/>
      </w:r>
      <w:r w:rsidR="000A5B32" w:rsidRPr="000A5B32">
        <w:rPr>
          <w:szCs w:val="20"/>
        </w:rPr>
        <w:t xml:space="preserve"> No</w:t>
      </w:r>
    </w:p>
    <w:p w14:paraId="71AD506A" w14:textId="77777777" w:rsidR="00626365" w:rsidRPr="00626365" w:rsidRDefault="00626365" w:rsidP="00626365">
      <w:pPr>
        <w:spacing w:before="0" w:after="0"/>
        <w:ind w:left="284"/>
        <w:rPr>
          <w:rStyle w:val="Strong"/>
          <w:rFonts w:asciiTheme="minorHAnsi" w:eastAsiaTheme="minorHAnsi" w:hAnsiTheme="minorHAnsi" w:cstheme="minorBidi"/>
          <w:b w:val="0"/>
          <w:szCs w:val="20"/>
        </w:rPr>
      </w:pPr>
    </w:p>
    <w:p w14:paraId="20F2F8EF" w14:textId="77777777" w:rsidR="003027BB" w:rsidRPr="007E39E4" w:rsidRDefault="003027BB"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lastRenderedPageBreak/>
        <w:t xml:space="preserve">If yes, please </w:t>
      </w:r>
      <w:proofErr w:type="gramStart"/>
      <w:r w:rsidRPr="007E39E4">
        <w:rPr>
          <w:rStyle w:val="Strong"/>
          <w:rFonts w:asciiTheme="minorHAnsi" w:eastAsiaTheme="minorHAnsi" w:hAnsiTheme="minorHAnsi" w:cstheme="minorBidi"/>
          <w:b/>
        </w:rPr>
        <w:t>advise</w:t>
      </w:r>
      <w:proofErr w:type="gramEnd"/>
      <w:r w:rsidRPr="007E39E4">
        <w:rPr>
          <w:rStyle w:val="Strong"/>
          <w:rFonts w:asciiTheme="minorHAnsi" w:eastAsiaTheme="minorHAnsi" w:hAnsiTheme="minorHAnsi" w:cstheme="minorBidi"/>
          <w:b/>
        </w:rPr>
        <w:t>:</w:t>
      </w:r>
    </w:p>
    <w:p w14:paraId="2444A299" w14:textId="4D17F1AE" w:rsidR="000A5B32" w:rsidRPr="00855944" w:rsidRDefault="00A66248" w:rsidP="00A6491A">
      <w:pPr>
        <w:ind w:left="284"/>
        <w:rPr>
          <w:rStyle w:val="Strong"/>
        </w:rPr>
      </w:pPr>
      <w:r>
        <w:rPr>
          <w:szCs w:val="20"/>
        </w:rPr>
        <w:t xml:space="preserve">The proposed test will </w:t>
      </w:r>
      <w:r w:rsidRPr="007E3E92">
        <w:rPr>
          <w:szCs w:val="20"/>
        </w:rPr>
        <w:t xml:space="preserve">determine eligibility for treatment with </w:t>
      </w:r>
      <w:proofErr w:type="spellStart"/>
      <w:r>
        <w:rPr>
          <w:szCs w:val="20"/>
        </w:rPr>
        <w:t>sotorasib</w:t>
      </w:r>
      <w:proofErr w:type="spellEnd"/>
      <w:r w:rsidRPr="007E3E92">
        <w:rPr>
          <w:szCs w:val="20"/>
        </w:rPr>
        <w:t xml:space="preserve"> through the PBS</w:t>
      </w:r>
      <w:r w:rsidR="00C13D17">
        <w:rPr>
          <w:szCs w:val="20"/>
        </w:rPr>
        <w:t>.</w:t>
      </w:r>
    </w:p>
    <w:p w14:paraId="781E7CC7" w14:textId="77777777" w:rsidR="000B3CD0" w:rsidRDefault="000B3CD0" w:rsidP="00730C04">
      <w:pPr>
        <w:pStyle w:val="Heading2"/>
      </w:pPr>
      <w:r w:rsidRPr="00154B00">
        <w:t xml:space="preserve">What is the type of </w:t>
      </w:r>
      <w:proofErr w:type="gramStart"/>
      <w:r w:rsidRPr="00154B00">
        <w:t>service:</w:t>
      </w:r>
      <w:proofErr w:type="gramEnd"/>
    </w:p>
    <w:p w14:paraId="44A5DD26"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577575">
        <w:rPr>
          <w:b/>
          <w:szCs w:val="20"/>
        </w:rPr>
      </w:r>
      <w:r w:rsidR="00577575">
        <w:rPr>
          <w:b/>
          <w:szCs w:val="20"/>
        </w:rPr>
        <w:fldChar w:fldCharType="separate"/>
      </w:r>
      <w:r w:rsidRPr="0027105F">
        <w:rPr>
          <w:b/>
          <w:szCs w:val="20"/>
        </w:rPr>
        <w:fldChar w:fldCharType="end"/>
      </w:r>
      <w:r w:rsidRPr="0027105F">
        <w:rPr>
          <w:b/>
          <w:szCs w:val="20"/>
        </w:rPr>
        <w:t xml:space="preserve"> </w:t>
      </w:r>
      <w:r>
        <w:t>Therapeutic medical service</w:t>
      </w:r>
    </w:p>
    <w:p w14:paraId="2A21C237"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577575">
        <w:rPr>
          <w:b/>
          <w:szCs w:val="20"/>
        </w:rPr>
      </w:r>
      <w:r w:rsidR="00577575">
        <w:rPr>
          <w:b/>
          <w:szCs w:val="20"/>
        </w:rPr>
        <w:fldChar w:fldCharType="separate"/>
      </w:r>
      <w:r w:rsidRPr="0027105F">
        <w:rPr>
          <w:b/>
          <w:szCs w:val="20"/>
        </w:rPr>
        <w:fldChar w:fldCharType="end"/>
      </w:r>
      <w:r w:rsidRPr="0027105F">
        <w:rPr>
          <w:b/>
          <w:szCs w:val="20"/>
        </w:rPr>
        <w:t xml:space="preserve"> </w:t>
      </w:r>
      <w:r>
        <w:t>Investigative medical service</w:t>
      </w:r>
    </w:p>
    <w:p w14:paraId="6C246F6D"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577575">
        <w:rPr>
          <w:b/>
          <w:szCs w:val="20"/>
        </w:rPr>
      </w:r>
      <w:r w:rsidR="00577575">
        <w:rPr>
          <w:b/>
          <w:szCs w:val="20"/>
        </w:rPr>
        <w:fldChar w:fldCharType="separate"/>
      </w:r>
      <w:r w:rsidRPr="0027105F">
        <w:rPr>
          <w:b/>
          <w:szCs w:val="20"/>
        </w:rPr>
        <w:fldChar w:fldCharType="end"/>
      </w:r>
      <w:r w:rsidRPr="0027105F">
        <w:rPr>
          <w:b/>
          <w:szCs w:val="20"/>
        </w:rPr>
        <w:t xml:space="preserve"> </w:t>
      </w:r>
      <w:r>
        <w:t>Single consultation medical service</w:t>
      </w:r>
    </w:p>
    <w:p w14:paraId="4CD39252"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577575">
        <w:rPr>
          <w:b/>
          <w:szCs w:val="20"/>
        </w:rPr>
      </w:r>
      <w:r w:rsidR="00577575">
        <w:rPr>
          <w:b/>
          <w:szCs w:val="20"/>
        </w:rPr>
        <w:fldChar w:fldCharType="separate"/>
      </w:r>
      <w:r w:rsidRPr="0027105F">
        <w:rPr>
          <w:b/>
          <w:szCs w:val="20"/>
        </w:rPr>
        <w:fldChar w:fldCharType="end"/>
      </w:r>
      <w:r w:rsidRPr="0027105F">
        <w:rPr>
          <w:b/>
          <w:szCs w:val="20"/>
        </w:rPr>
        <w:t xml:space="preserve"> </w:t>
      </w:r>
      <w:r>
        <w:t>Global consultation medical service</w:t>
      </w:r>
    </w:p>
    <w:p w14:paraId="6BA13904"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577575">
        <w:rPr>
          <w:b/>
          <w:szCs w:val="20"/>
        </w:rPr>
      </w:r>
      <w:r w:rsidR="00577575">
        <w:rPr>
          <w:b/>
          <w:szCs w:val="20"/>
        </w:rPr>
        <w:fldChar w:fldCharType="separate"/>
      </w:r>
      <w:r w:rsidRPr="0027105F">
        <w:rPr>
          <w:b/>
          <w:szCs w:val="20"/>
        </w:rPr>
        <w:fldChar w:fldCharType="end"/>
      </w:r>
      <w:r w:rsidRPr="0027105F">
        <w:rPr>
          <w:b/>
          <w:szCs w:val="20"/>
        </w:rPr>
        <w:t xml:space="preserve"> </w:t>
      </w:r>
      <w:r>
        <w:t>Allied health service</w:t>
      </w:r>
    </w:p>
    <w:p w14:paraId="23153781" w14:textId="77777777" w:rsidR="00A6594E" w:rsidRDefault="00A66248"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577575">
        <w:rPr>
          <w:b/>
          <w:szCs w:val="20"/>
        </w:rPr>
      </w:r>
      <w:r w:rsidR="00577575">
        <w:rPr>
          <w:b/>
          <w:szCs w:val="20"/>
        </w:rPr>
        <w:fldChar w:fldCharType="separate"/>
      </w:r>
      <w:r>
        <w:rPr>
          <w:b/>
          <w:szCs w:val="20"/>
        </w:rPr>
        <w:fldChar w:fldCharType="end"/>
      </w:r>
      <w:r w:rsidR="00A6594E" w:rsidRPr="0027105F">
        <w:rPr>
          <w:b/>
          <w:szCs w:val="20"/>
        </w:rPr>
        <w:t xml:space="preserve"> </w:t>
      </w:r>
      <w:r w:rsidR="00A6594E">
        <w:t>Co-dependent technology</w:t>
      </w:r>
    </w:p>
    <w:p w14:paraId="7FFF1CD0" w14:textId="77777777" w:rsidR="00A6594E" w:rsidRP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577575">
        <w:rPr>
          <w:b/>
          <w:szCs w:val="20"/>
        </w:rPr>
      </w:r>
      <w:r w:rsidR="00577575">
        <w:rPr>
          <w:b/>
          <w:szCs w:val="20"/>
        </w:rPr>
        <w:fldChar w:fldCharType="separate"/>
      </w:r>
      <w:r w:rsidRPr="0027105F">
        <w:rPr>
          <w:b/>
          <w:szCs w:val="20"/>
        </w:rPr>
        <w:fldChar w:fldCharType="end"/>
      </w:r>
      <w:r w:rsidRPr="0027105F">
        <w:rPr>
          <w:b/>
          <w:szCs w:val="20"/>
        </w:rPr>
        <w:t xml:space="preserve"> </w:t>
      </w:r>
      <w:r>
        <w:t>Hybrid health technology</w:t>
      </w:r>
    </w:p>
    <w:p w14:paraId="7901464E" w14:textId="77777777" w:rsidR="0054594B" w:rsidRDefault="0054594B" w:rsidP="00730C04">
      <w:pPr>
        <w:pStyle w:val="Heading2"/>
      </w:pPr>
      <w:r w:rsidRPr="00154B00">
        <w:t xml:space="preserve">For investigative services, </w:t>
      </w:r>
      <w:r w:rsidR="00154B00" w:rsidRPr="00154B00">
        <w:t>advise</w:t>
      </w:r>
      <w:r w:rsidRPr="00154B00">
        <w:t xml:space="preserve"> the specific purpose of performing the service </w:t>
      </w:r>
      <w:r w:rsidRPr="00154B00">
        <w:rPr>
          <w:i/>
        </w:rPr>
        <w:t>(which could be one or more of the following</w:t>
      </w:r>
      <w:r w:rsidR="00154B00" w:rsidRPr="00154B00">
        <w:rPr>
          <w:i/>
        </w:rPr>
        <w:t>)</w:t>
      </w:r>
      <w:r w:rsidRPr="00154B00">
        <w:t>:</w:t>
      </w:r>
    </w:p>
    <w:p w14:paraId="40F30A28"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577575">
        <w:rPr>
          <w:b/>
          <w:szCs w:val="20"/>
        </w:rPr>
      </w:r>
      <w:r w:rsidR="00577575">
        <w:rPr>
          <w:b/>
          <w:szCs w:val="20"/>
        </w:rPr>
        <w:fldChar w:fldCharType="separate"/>
      </w:r>
      <w:r w:rsidRPr="00AF4466">
        <w:rPr>
          <w:b/>
          <w:szCs w:val="20"/>
        </w:rPr>
        <w:fldChar w:fldCharType="end"/>
      </w:r>
      <w:r w:rsidRPr="00AF4466">
        <w:rPr>
          <w:b/>
          <w:szCs w:val="20"/>
        </w:rPr>
        <w:t xml:space="preserve"> </w:t>
      </w:r>
      <w:r>
        <w:t xml:space="preserve">To be used as a screening tool in asymptomatic populations </w:t>
      </w:r>
    </w:p>
    <w:p w14:paraId="46D9890E"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577575">
        <w:rPr>
          <w:b/>
          <w:szCs w:val="20"/>
        </w:rPr>
      </w:r>
      <w:r w:rsidR="00577575">
        <w:rPr>
          <w:b/>
          <w:szCs w:val="20"/>
        </w:rPr>
        <w:fldChar w:fldCharType="separate"/>
      </w:r>
      <w:r w:rsidRPr="00AF4466">
        <w:rPr>
          <w:b/>
          <w:szCs w:val="20"/>
        </w:rPr>
        <w:fldChar w:fldCharType="end"/>
      </w:r>
      <w:r w:rsidRPr="00AF4466">
        <w:rPr>
          <w:b/>
          <w:szCs w:val="20"/>
        </w:rPr>
        <w:t xml:space="preserve"> </w:t>
      </w:r>
      <w:r>
        <w:t>Assists in establishing a diagnosis in symptomatic patients</w:t>
      </w:r>
    </w:p>
    <w:p w14:paraId="226BC6D6"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577575">
        <w:rPr>
          <w:b/>
          <w:szCs w:val="20"/>
        </w:rPr>
      </w:r>
      <w:r w:rsidR="00577575">
        <w:rPr>
          <w:b/>
          <w:szCs w:val="20"/>
        </w:rPr>
        <w:fldChar w:fldCharType="separate"/>
      </w:r>
      <w:r w:rsidRPr="00AF4466">
        <w:rPr>
          <w:b/>
          <w:szCs w:val="20"/>
        </w:rPr>
        <w:fldChar w:fldCharType="end"/>
      </w:r>
      <w:r w:rsidRPr="00AF4466">
        <w:rPr>
          <w:b/>
          <w:szCs w:val="20"/>
        </w:rPr>
        <w:t xml:space="preserve"> </w:t>
      </w:r>
      <w:r>
        <w:t>Provides information about prognosis</w:t>
      </w:r>
    </w:p>
    <w:p w14:paraId="1BB7D709" w14:textId="77777777" w:rsidR="00A6594E" w:rsidRDefault="00A66248" w:rsidP="00AF4466">
      <w:pPr>
        <w:pStyle w:val="ListParagraph"/>
        <w:numPr>
          <w:ilvl w:val="0"/>
          <w:numId w:val="36"/>
        </w:numPr>
        <w:spacing w:before="0" w:after="0"/>
        <w:ind w:left="851" w:hanging="425"/>
      </w:pPr>
      <w:r>
        <w:rPr>
          <w:b/>
          <w:szCs w:val="20"/>
        </w:rPr>
        <w:fldChar w:fldCharType="begin">
          <w:ffData>
            <w:name w:val=""/>
            <w:enabled/>
            <w:calcOnExit w:val="0"/>
            <w:checkBox>
              <w:sizeAuto/>
              <w:default w:val="1"/>
            </w:checkBox>
          </w:ffData>
        </w:fldChar>
      </w:r>
      <w:r>
        <w:rPr>
          <w:b/>
          <w:szCs w:val="20"/>
        </w:rPr>
        <w:instrText xml:space="preserve"> FORMCHECKBOX </w:instrText>
      </w:r>
      <w:r w:rsidR="00577575">
        <w:rPr>
          <w:b/>
          <w:szCs w:val="20"/>
        </w:rPr>
      </w:r>
      <w:r w:rsidR="00577575">
        <w:rPr>
          <w:b/>
          <w:szCs w:val="20"/>
        </w:rPr>
        <w:fldChar w:fldCharType="separate"/>
      </w:r>
      <w:r>
        <w:rPr>
          <w:b/>
          <w:szCs w:val="20"/>
        </w:rPr>
        <w:fldChar w:fldCharType="end"/>
      </w:r>
      <w:r w:rsidR="00A6594E" w:rsidRPr="00AF4466">
        <w:rPr>
          <w:b/>
          <w:szCs w:val="20"/>
        </w:rPr>
        <w:t xml:space="preserve"> </w:t>
      </w:r>
      <w:r w:rsidR="00A6594E">
        <w:t>Identifies a patient as suitable for therapy by predicting a variation in the effect of the therapy</w:t>
      </w:r>
    </w:p>
    <w:p w14:paraId="76C13F32" w14:textId="77777777" w:rsidR="00A6594E" w:rsidRP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577575">
        <w:rPr>
          <w:b/>
          <w:szCs w:val="20"/>
        </w:rPr>
      </w:r>
      <w:r w:rsidR="00577575">
        <w:rPr>
          <w:b/>
          <w:szCs w:val="20"/>
        </w:rPr>
        <w:fldChar w:fldCharType="separate"/>
      </w:r>
      <w:r w:rsidRPr="00AF4466">
        <w:rPr>
          <w:b/>
          <w:szCs w:val="20"/>
        </w:rPr>
        <w:fldChar w:fldCharType="end"/>
      </w:r>
      <w:r w:rsidRPr="00AF4466">
        <w:rPr>
          <w:b/>
          <w:szCs w:val="20"/>
        </w:rPr>
        <w:t xml:space="preserve"> </w:t>
      </w:r>
      <w:r>
        <w:t>Monitors a patient over time to assess treatment response and guide subsequent treatment decisions</w:t>
      </w:r>
    </w:p>
    <w:p w14:paraId="6EA25394" w14:textId="77777777" w:rsidR="000B3CD0" w:rsidRDefault="000B3CD0" w:rsidP="00730C04">
      <w:pPr>
        <w:pStyle w:val="Heading2"/>
      </w:pPr>
      <w:r w:rsidRPr="00154B00">
        <w:t xml:space="preserve">Does </w:t>
      </w:r>
      <w:r w:rsidR="00C209C2">
        <w:t>your</w:t>
      </w:r>
      <w:r w:rsidRPr="00154B00">
        <w:t xml:space="preserve"> service rely on another medical </w:t>
      </w:r>
      <w:r w:rsidR="001E1180">
        <w:t>product</w:t>
      </w:r>
      <w:r w:rsidRPr="00154B00">
        <w:t xml:space="preserve"> to achieve or to enhance its intended effect?</w:t>
      </w:r>
    </w:p>
    <w:p w14:paraId="646D3CB0" w14:textId="77777777" w:rsidR="00FE16C1" w:rsidRDefault="00A66248"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577575">
        <w:rPr>
          <w:b/>
          <w:szCs w:val="20"/>
        </w:rPr>
      </w:r>
      <w:r w:rsidR="00577575">
        <w:rPr>
          <w:b/>
          <w:szCs w:val="20"/>
        </w:rPr>
        <w:fldChar w:fldCharType="separate"/>
      </w:r>
      <w:r>
        <w:rPr>
          <w:b/>
          <w:szCs w:val="20"/>
        </w:rPr>
        <w:fldChar w:fldCharType="end"/>
      </w:r>
      <w:r w:rsidR="00FE16C1" w:rsidRPr="0027105F">
        <w:rPr>
          <w:b/>
          <w:szCs w:val="20"/>
        </w:rPr>
        <w:t xml:space="preserve"> </w:t>
      </w:r>
      <w:r w:rsidR="00FE16C1">
        <w:t>Pharmaceutical / Biological</w:t>
      </w:r>
    </w:p>
    <w:p w14:paraId="4DBE29BE" w14:textId="77777777" w:rsid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577575">
        <w:rPr>
          <w:b/>
          <w:szCs w:val="20"/>
        </w:rPr>
      </w:r>
      <w:r w:rsidR="00577575">
        <w:rPr>
          <w:b/>
          <w:szCs w:val="20"/>
        </w:rPr>
        <w:fldChar w:fldCharType="separate"/>
      </w:r>
      <w:r w:rsidRPr="0027105F">
        <w:rPr>
          <w:b/>
          <w:szCs w:val="20"/>
        </w:rPr>
        <w:fldChar w:fldCharType="end"/>
      </w:r>
      <w:r w:rsidRPr="0027105F">
        <w:rPr>
          <w:b/>
          <w:szCs w:val="20"/>
        </w:rPr>
        <w:t xml:space="preserve"> </w:t>
      </w:r>
      <w:r>
        <w:t>Prosthesis or device</w:t>
      </w:r>
    </w:p>
    <w:p w14:paraId="135436E4" w14:textId="77777777" w:rsidR="00FE16C1" w:rsidRP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577575">
        <w:rPr>
          <w:b/>
          <w:szCs w:val="20"/>
        </w:rPr>
      </w:r>
      <w:r w:rsidR="00577575">
        <w:rPr>
          <w:b/>
          <w:szCs w:val="20"/>
        </w:rPr>
        <w:fldChar w:fldCharType="separate"/>
      </w:r>
      <w:r w:rsidRPr="0027105F">
        <w:rPr>
          <w:b/>
          <w:szCs w:val="20"/>
        </w:rPr>
        <w:fldChar w:fldCharType="end"/>
      </w:r>
      <w:r w:rsidRPr="0027105F">
        <w:rPr>
          <w:b/>
          <w:szCs w:val="20"/>
        </w:rPr>
        <w:t xml:space="preserve"> </w:t>
      </w:r>
      <w:r>
        <w:t>No</w:t>
      </w:r>
    </w:p>
    <w:p w14:paraId="20CA8CA4" w14:textId="77777777" w:rsidR="000E5439" w:rsidRPr="001E6958" w:rsidRDefault="00530204" w:rsidP="00730C04">
      <w:pPr>
        <w:pStyle w:val="Heading2"/>
      </w:pPr>
      <w:r>
        <w:lastRenderedPageBreak/>
        <w:t xml:space="preserve">(a)  </w:t>
      </w:r>
      <w:r w:rsidR="000E5439" w:rsidRPr="001E6958">
        <w:t>If the proposed service has a pharmaceutical component to it, is it already covered under an existing Pharmaceutical Benefits Scheme (PBS) listing?</w:t>
      </w:r>
    </w:p>
    <w:p w14:paraId="158231D1" w14:textId="77777777" w:rsidR="00FE16C1" w:rsidRDefault="00FE16C1"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77575">
        <w:rPr>
          <w:szCs w:val="20"/>
        </w:rPr>
      </w:r>
      <w:r w:rsidR="00577575">
        <w:rPr>
          <w:szCs w:val="20"/>
        </w:rPr>
        <w:fldChar w:fldCharType="separate"/>
      </w:r>
      <w:r w:rsidRPr="000A5B32">
        <w:rPr>
          <w:szCs w:val="20"/>
        </w:rPr>
        <w:fldChar w:fldCharType="end"/>
      </w:r>
      <w:r w:rsidRPr="000A5B32">
        <w:rPr>
          <w:szCs w:val="20"/>
        </w:rPr>
        <w:t xml:space="preserve"> Yes</w:t>
      </w:r>
    </w:p>
    <w:p w14:paraId="3EBDE848" w14:textId="77777777" w:rsidR="00FE16C1" w:rsidRPr="00FE16C1" w:rsidRDefault="00A66248"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577575">
        <w:rPr>
          <w:szCs w:val="20"/>
        </w:rPr>
      </w:r>
      <w:r w:rsidR="00577575">
        <w:rPr>
          <w:szCs w:val="20"/>
        </w:rPr>
        <w:fldChar w:fldCharType="separate"/>
      </w:r>
      <w:r>
        <w:rPr>
          <w:szCs w:val="20"/>
        </w:rPr>
        <w:fldChar w:fldCharType="end"/>
      </w:r>
      <w:r w:rsidR="00FE16C1">
        <w:rPr>
          <w:szCs w:val="20"/>
        </w:rPr>
        <w:t xml:space="preserve"> No  </w:t>
      </w:r>
    </w:p>
    <w:p w14:paraId="1684E554" w14:textId="77777777" w:rsidR="00EC127A" w:rsidRPr="001E6958" w:rsidRDefault="000E5439" w:rsidP="00530204">
      <w:pPr>
        <w:pStyle w:val="Heading2"/>
        <w:numPr>
          <w:ilvl w:val="0"/>
          <w:numId w:val="25"/>
        </w:numPr>
      </w:pPr>
      <w:r w:rsidRPr="001E6958">
        <w:t xml:space="preserve">If yes, </w:t>
      </w:r>
      <w:r w:rsidR="00BB003A" w:rsidRPr="001E6958">
        <w:t>please list</w:t>
      </w:r>
      <w:r w:rsidRPr="001E6958">
        <w:t xml:space="preserve"> the</w:t>
      </w:r>
      <w:r w:rsidR="00BB003A" w:rsidRPr="001E6958">
        <w:t xml:space="preserve"> relevant</w:t>
      </w:r>
      <w:r w:rsidRPr="001E6958">
        <w:t xml:space="preserve"> PBS </w:t>
      </w:r>
      <w:r w:rsidR="001E23EA" w:rsidRPr="001E6958">
        <w:t>item code</w:t>
      </w:r>
      <w:r w:rsidRPr="001E6958">
        <w:t>(s)</w:t>
      </w:r>
      <w:r w:rsidR="007E39E4" w:rsidRPr="001E6958">
        <w:t>:</w:t>
      </w:r>
    </w:p>
    <w:p w14:paraId="035E92D3" w14:textId="77777777" w:rsidR="007E39E4" w:rsidRPr="007E39E4" w:rsidRDefault="00A66248" w:rsidP="00A6491A">
      <w:pPr>
        <w:ind w:left="284"/>
        <w:rPr>
          <w:b/>
          <w:szCs w:val="20"/>
        </w:rPr>
      </w:pPr>
      <w:r>
        <w:t>Not applicable.</w:t>
      </w:r>
    </w:p>
    <w:p w14:paraId="5E334AD1" w14:textId="77777777" w:rsidR="00411735" w:rsidRPr="001E6958" w:rsidRDefault="00411735" w:rsidP="00530204">
      <w:pPr>
        <w:pStyle w:val="Heading2"/>
        <w:numPr>
          <w:ilvl w:val="0"/>
          <w:numId w:val="25"/>
        </w:numPr>
      </w:pPr>
      <w:r w:rsidRPr="001E6958">
        <w:t xml:space="preserve">If no, is an application </w:t>
      </w:r>
      <w:r w:rsidR="001E23EA" w:rsidRPr="001E6958">
        <w:t xml:space="preserve">(submission) </w:t>
      </w:r>
      <w:r w:rsidRPr="001E6958">
        <w:t xml:space="preserve">in the process of being considered by the </w:t>
      </w:r>
      <w:r w:rsidR="00802553" w:rsidRPr="001E6958">
        <w:t>Pharmaceutical Benefits Advisory Committee (</w:t>
      </w:r>
      <w:r w:rsidRPr="001E6958">
        <w:t>PBAC</w:t>
      </w:r>
      <w:r w:rsidR="00802553" w:rsidRPr="001E6958">
        <w:t>)</w:t>
      </w:r>
      <w:r w:rsidRPr="001E6958">
        <w:t>?</w:t>
      </w:r>
    </w:p>
    <w:p w14:paraId="70CA2D88" w14:textId="77777777" w:rsidR="007E39E4" w:rsidRDefault="007E39E4"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77575">
        <w:rPr>
          <w:szCs w:val="20"/>
        </w:rPr>
      </w:r>
      <w:r w:rsidR="00577575">
        <w:rPr>
          <w:szCs w:val="20"/>
        </w:rPr>
        <w:fldChar w:fldCharType="separate"/>
      </w:r>
      <w:r w:rsidRPr="000A5B32">
        <w:rPr>
          <w:szCs w:val="20"/>
        </w:rPr>
        <w:fldChar w:fldCharType="end"/>
      </w:r>
      <w:r w:rsidRPr="000A5B32">
        <w:rPr>
          <w:szCs w:val="20"/>
        </w:rPr>
        <w:t xml:space="preserve"> Yes</w:t>
      </w:r>
      <w:r w:rsidR="001E6919">
        <w:rPr>
          <w:szCs w:val="20"/>
        </w:rPr>
        <w:t xml:space="preserve"> (please provide PBAC submission item number below)</w:t>
      </w:r>
    </w:p>
    <w:p w14:paraId="1741B30B" w14:textId="77777777" w:rsidR="001E6919" w:rsidRDefault="00A66248" w:rsidP="001E6919">
      <w:pPr>
        <w:spacing w:before="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577575">
        <w:rPr>
          <w:szCs w:val="20"/>
        </w:rPr>
      </w:r>
      <w:r w:rsidR="00577575">
        <w:rPr>
          <w:szCs w:val="20"/>
        </w:rPr>
        <w:fldChar w:fldCharType="separate"/>
      </w:r>
      <w:r>
        <w:rPr>
          <w:szCs w:val="20"/>
        </w:rPr>
        <w:fldChar w:fldCharType="end"/>
      </w:r>
      <w:r w:rsidR="001E6919">
        <w:rPr>
          <w:szCs w:val="20"/>
        </w:rPr>
        <w:t xml:space="preserve"> No</w:t>
      </w:r>
    </w:p>
    <w:p w14:paraId="4E7E718E" w14:textId="3C6BCE7A" w:rsidR="001E6919" w:rsidRPr="007E39E4" w:rsidRDefault="00A66248" w:rsidP="00A6491A">
      <w:pPr>
        <w:spacing w:before="0" w:after="0"/>
        <w:ind w:left="284"/>
        <w:rPr>
          <w:szCs w:val="20"/>
        </w:rPr>
      </w:pPr>
      <w:r>
        <w:t xml:space="preserve">This application form is </w:t>
      </w:r>
      <w:r w:rsidRPr="00075F5F">
        <w:t xml:space="preserve">lodged in advance of PBAC consideration of </w:t>
      </w:r>
      <w:proofErr w:type="spellStart"/>
      <w:r w:rsidRPr="00075F5F">
        <w:t>sotorasib</w:t>
      </w:r>
      <w:proofErr w:type="spellEnd"/>
      <w:r w:rsidRPr="00075F5F">
        <w:t>.  A co</w:t>
      </w:r>
      <w:r w:rsidR="0076135E" w:rsidRPr="00075F5F">
        <w:t>-</w:t>
      </w:r>
      <w:r w:rsidRPr="00075F5F">
        <w:t>dependent submission is in development with intended lodgement</w:t>
      </w:r>
      <w:r w:rsidR="00A82D25" w:rsidRPr="00075F5F">
        <w:t xml:space="preserve"> </w:t>
      </w:r>
      <w:r w:rsidR="006E0E02">
        <w:rPr>
          <w:bCs/>
          <w:szCs w:val="20"/>
          <w:bdr w:val="none" w:sz="0" w:space="0" w:color="auto" w:frame="1"/>
          <w:lang w:val="en-US"/>
        </w:rPr>
        <w:t>REDACTED</w:t>
      </w:r>
      <w:r w:rsidRPr="00075F5F">
        <w:t xml:space="preserve"> for consideration</w:t>
      </w:r>
      <w:r>
        <w:t xml:space="preserve"> at the </w:t>
      </w:r>
      <w:r w:rsidR="006E0E02">
        <w:rPr>
          <w:bCs/>
          <w:szCs w:val="20"/>
          <w:bdr w:val="none" w:sz="0" w:space="0" w:color="auto" w:frame="1"/>
          <w:lang w:val="en-US"/>
        </w:rPr>
        <w:t>REDACTED</w:t>
      </w:r>
      <w:r>
        <w:t xml:space="preserve"> PBAC meeting.</w:t>
      </w:r>
      <w:r w:rsidR="0065186A">
        <w:t xml:space="preserve">  The registration application </w:t>
      </w:r>
      <w:proofErr w:type="spellStart"/>
      <w:r w:rsidR="0065186A">
        <w:t>Sotorasib</w:t>
      </w:r>
      <w:proofErr w:type="spellEnd"/>
      <w:r w:rsidR="0065186A">
        <w:t xml:space="preserve"> has been accepted for evaluation under the TGA’s provisional pathway process.  Initial provisional registration will be based on a phase 2 trial with conversion to full registration once the phase 3 trial is completed.  </w:t>
      </w:r>
      <w:proofErr w:type="spellStart"/>
      <w:r w:rsidR="0065186A">
        <w:t>Sotorasib</w:t>
      </w:r>
      <w:proofErr w:type="spellEnd"/>
      <w:r w:rsidR="0065186A">
        <w:t xml:space="preserve"> has also received TGA orphan designation.</w:t>
      </w:r>
    </w:p>
    <w:p w14:paraId="63D73624" w14:textId="77777777" w:rsidR="000E5439" w:rsidRDefault="000E5439" w:rsidP="00530204">
      <w:pPr>
        <w:pStyle w:val="Heading2"/>
        <w:numPr>
          <w:ilvl w:val="0"/>
          <w:numId w:val="25"/>
        </w:numPr>
      </w:pPr>
      <w:r w:rsidRPr="007E39E4">
        <w:t>If you are seeking both MBS and PBS listing</w:t>
      </w:r>
      <w:r w:rsidR="00B75965" w:rsidRPr="007E39E4">
        <w:t>, what is the trade name and generic name of the pharmaceutical?</w:t>
      </w:r>
    </w:p>
    <w:p w14:paraId="5244EFF3" w14:textId="0D8BC06F" w:rsidR="001E6958" w:rsidRDefault="001E6958" w:rsidP="00A6491A">
      <w:pPr>
        <w:spacing w:before="0" w:after="0"/>
        <w:ind w:left="284"/>
      </w:pPr>
      <w:r>
        <w:t xml:space="preserve">Trade name: </w:t>
      </w:r>
      <w:r w:rsidR="00137061" w:rsidRPr="00075F5F">
        <w:t>LUMAKRAS</w:t>
      </w:r>
      <w:r w:rsidR="00A82D25" w:rsidRPr="00075F5F">
        <w:rPr>
          <w:rFonts w:cstheme="minorHAnsi"/>
        </w:rPr>
        <w:t>™</w:t>
      </w:r>
    </w:p>
    <w:p w14:paraId="39B61432" w14:textId="77777777" w:rsidR="001E6958" w:rsidRPr="001E6958" w:rsidRDefault="001E6958" w:rsidP="00A6491A">
      <w:pPr>
        <w:spacing w:before="0" w:after="0"/>
        <w:ind w:left="284"/>
      </w:pPr>
      <w:r>
        <w:t xml:space="preserve">Generic name: </w:t>
      </w:r>
      <w:proofErr w:type="spellStart"/>
      <w:r w:rsidR="00A66248">
        <w:t>Sotorasib</w:t>
      </w:r>
      <w:proofErr w:type="spellEnd"/>
    </w:p>
    <w:p w14:paraId="1931909E" w14:textId="1BF31B2B" w:rsidR="00B75965" w:rsidRDefault="00530204" w:rsidP="00530204">
      <w:pPr>
        <w:pStyle w:val="Heading2"/>
      </w:pPr>
      <w:r>
        <w:t xml:space="preserve">(a) </w:t>
      </w:r>
      <w:r w:rsidR="00B75965" w:rsidRPr="00154B00">
        <w:t xml:space="preserve">If the proposed service </w:t>
      </w:r>
      <w:r w:rsidR="00A9062D">
        <w:t xml:space="preserve">is </w:t>
      </w:r>
      <w:r w:rsidR="00C73B62">
        <w:t>dependent on</w:t>
      </w:r>
      <w:r w:rsidR="00A9062D">
        <w:t xml:space="preserve"> </w:t>
      </w:r>
      <w:r w:rsidR="00BB003A">
        <w:t xml:space="preserve">the use of </w:t>
      </w:r>
      <w:r w:rsidR="00C05A45">
        <w:t>a prosthesis</w:t>
      </w:r>
      <w:r w:rsidR="00CD4E44">
        <w:t>,</w:t>
      </w:r>
      <w:r w:rsidR="00C05A45">
        <w:t xml:space="preserve"> </w:t>
      </w:r>
      <w:r w:rsidR="00B75965" w:rsidRPr="00154B00">
        <w:t>is it already included on the Prosthes</w:t>
      </w:r>
      <w:r w:rsidR="00BB003A">
        <w:t>e</w:t>
      </w:r>
      <w:r w:rsidR="00B75965" w:rsidRPr="00154B00">
        <w:t>s List?</w:t>
      </w:r>
    </w:p>
    <w:p w14:paraId="5865F585" w14:textId="730FA480" w:rsidR="00E235BA" w:rsidRPr="00E235BA" w:rsidRDefault="00E235BA" w:rsidP="00075F5F">
      <w:r>
        <w:t>Not applicable</w:t>
      </w:r>
    </w:p>
    <w:p w14:paraId="1D85B7B2" w14:textId="77777777" w:rsidR="001E6958" w:rsidRDefault="001E6958" w:rsidP="00A6491A">
      <w:pPr>
        <w:spacing w:before="0" w:after="0"/>
        <w:ind w:left="284"/>
        <w:rPr>
          <w:szCs w:val="20"/>
        </w:rPr>
      </w:pPr>
      <w:r w:rsidRPr="000A5B32">
        <w:rPr>
          <w:szCs w:val="20"/>
        </w:rPr>
        <w:lastRenderedPageBreak/>
        <w:fldChar w:fldCharType="begin">
          <w:ffData>
            <w:name w:val="Check1"/>
            <w:enabled/>
            <w:calcOnExit w:val="0"/>
            <w:checkBox>
              <w:sizeAuto/>
              <w:default w:val="0"/>
            </w:checkBox>
          </w:ffData>
        </w:fldChar>
      </w:r>
      <w:r w:rsidRPr="000A5B32">
        <w:rPr>
          <w:szCs w:val="20"/>
        </w:rPr>
        <w:instrText xml:space="preserve"> FORMCHECKBOX </w:instrText>
      </w:r>
      <w:r w:rsidR="00577575">
        <w:rPr>
          <w:szCs w:val="20"/>
        </w:rPr>
      </w:r>
      <w:r w:rsidR="00577575">
        <w:rPr>
          <w:szCs w:val="20"/>
        </w:rPr>
        <w:fldChar w:fldCharType="separate"/>
      </w:r>
      <w:r w:rsidRPr="000A5B32">
        <w:rPr>
          <w:szCs w:val="20"/>
        </w:rPr>
        <w:fldChar w:fldCharType="end"/>
      </w:r>
      <w:r w:rsidRPr="000A5B32">
        <w:rPr>
          <w:szCs w:val="20"/>
        </w:rPr>
        <w:t xml:space="preserve"> Yes</w:t>
      </w:r>
    </w:p>
    <w:p w14:paraId="2DE4E748" w14:textId="77777777" w:rsidR="001E6958" w:rsidRDefault="001E6958"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577575">
        <w:rPr>
          <w:szCs w:val="20"/>
        </w:rPr>
      </w:r>
      <w:r w:rsidR="00577575">
        <w:rPr>
          <w:szCs w:val="20"/>
        </w:rPr>
        <w:fldChar w:fldCharType="separate"/>
      </w:r>
      <w:r w:rsidRPr="000A5B32">
        <w:rPr>
          <w:szCs w:val="20"/>
        </w:rPr>
        <w:fldChar w:fldCharType="end"/>
      </w:r>
      <w:r>
        <w:rPr>
          <w:szCs w:val="20"/>
        </w:rPr>
        <w:t xml:space="preserve"> No  </w:t>
      </w:r>
    </w:p>
    <w:p w14:paraId="50B9326D" w14:textId="77777777" w:rsidR="001E6919" w:rsidRPr="001E6958" w:rsidRDefault="001E6919" w:rsidP="00A6491A">
      <w:pPr>
        <w:spacing w:before="0" w:after="0"/>
        <w:ind w:left="284"/>
        <w:rPr>
          <w:szCs w:val="20"/>
        </w:rPr>
      </w:pPr>
    </w:p>
    <w:p w14:paraId="6BD06426" w14:textId="77777777" w:rsidR="00B75965" w:rsidRDefault="00B75965" w:rsidP="00530204">
      <w:pPr>
        <w:pStyle w:val="Heading2"/>
        <w:numPr>
          <w:ilvl w:val="0"/>
          <w:numId w:val="26"/>
        </w:numPr>
      </w:pPr>
      <w:r w:rsidRPr="001E6958">
        <w:t xml:space="preserve">If yes, </w:t>
      </w:r>
      <w:r w:rsidR="00C73B62" w:rsidRPr="001E6958">
        <w:t xml:space="preserve">please provide the following information (where relevant): </w:t>
      </w:r>
    </w:p>
    <w:p w14:paraId="01881ACC" w14:textId="50EB0F40" w:rsidR="001E6958" w:rsidRPr="001E6958" w:rsidRDefault="00D931E4" w:rsidP="00A6491A">
      <w:pPr>
        <w:spacing w:before="0" w:after="0"/>
        <w:ind w:left="284"/>
      </w:pPr>
      <w:r>
        <w:t>Not applicable</w:t>
      </w:r>
    </w:p>
    <w:p w14:paraId="5D78B184" w14:textId="77777777" w:rsidR="009939DC" w:rsidRDefault="009939DC" w:rsidP="009939DC"/>
    <w:p w14:paraId="7A3EF1A3" w14:textId="77777777" w:rsidR="00411735" w:rsidRDefault="00411735" w:rsidP="00530204">
      <w:pPr>
        <w:pStyle w:val="Heading2"/>
        <w:numPr>
          <w:ilvl w:val="0"/>
          <w:numId w:val="26"/>
        </w:numPr>
      </w:pPr>
      <w:r w:rsidRPr="001E6958">
        <w:t xml:space="preserve">If no, is an application in the process of being considered by </w:t>
      </w:r>
      <w:r w:rsidR="003433D1" w:rsidRPr="001E6958">
        <w:t xml:space="preserve">a Clinical Advisory Group or </w:t>
      </w:r>
      <w:r w:rsidRPr="001E6958">
        <w:t>the</w:t>
      </w:r>
      <w:r w:rsidR="00BB003A" w:rsidRPr="001E6958">
        <w:t xml:space="preserve"> Prostheses List Advisory Committee</w:t>
      </w:r>
      <w:r w:rsidRPr="001E6958">
        <w:t xml:space="preserve"> </w:t>
      </w:r>
      <w:r w:rsidR="00BB003A" w:rsidRPr="001E6958">
        <w:t>(</w:t>
      </w:r>
      <w:r w:rsidRPr="001E6958">
        <w:t>PLAC</w:t>
      </w:r>
      <w:r w:rsidR="00BB003A" w:rsidRPr="001E6958">
        <w:t>)</w:t>
      </w:r>
      <w:r w:rsidRPr="001E6958">
        <w:t>?</w:t>
      </w:r>
    </w:p>
    <w:p w14:paraId="5BC8F9F7" w14:textId="77777777" w:rsidR="009939DC" w:rsidRDefault="009939D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77575">
        <w:rPr>
          <w:szCs w:val="20"/>
        </w:rPr>
      </w:r>
      <w:r w:rsidR="00577575">
        <w:rPr>
          <w:szCs w:val="20"/>
        </w:rPr>
        <w:fldChar w:fldCharType="separate"/>
      </w:r>
      <w:r w:rsidRPr="000A5B32">
        <w:rPr>
          <w:szCs w:val="20"/>
        </w:rPr>
        <w:fldChar w:fldCharType="end"/>
      </w:r>
      <w:r w:rsidRPr="000A5B32">
        <w:rPr>
          <w:szCs w:val="20"/>
        </w:rPr>
        <w:t xml:space="preserve"> Yes</w:t>
      </w:r>
    </w:p>
    <w:p w14:paraId="482A6D65" w14:textId="77777777" w:rsidR="001E6958" w:rsidRPr="009939DC" w:rsidRDefault="009939DC"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577575">
        <w:rPr>
          <w:szCs w:val="20"/>
        </w:rPr>
      </w:r>
      <w:r w:rsidR="00577575">
        <w:rPr>
          <w:szCs w:val="20"/>
        </w:rPr>
        <w:fldChar w:fldCharType="separate"/>
      </w:r>
      <w:r w:rsidRPr="000A5B32">
        <w:rPr>
          <w:szCs w:val="20"/>
        </w:rPr>
        <w:fldChar w:fldCharType="end"/>
      </w:r>
      <w:r>
        <w:rPr>
          <w:szCs w:val="20"/>
        </w:rPr>
        <w:t xml:space="preserve"> No  </w:t>
      </w:r>
    </w:p>
    <w:p w14:paraId="1EB38E6A" w14:textId="77777777" w:rsidR="00016B6E" w:rsidRPr="009939DC" w:rsidRDefault="00016B6E" w:rsidP="00530204">
      <w:pPr>
        <w:pStyle w:val="Heading2"/>
        <w:numPr>
          <w:ilvl w:val="0"/>
          <w:numId w:val="26"/>
        </w:numPr>
      </w:pPr>
      <w:r w:rsidRPr="009939DC">
        <w:t>Are there any other sponsor(s) and / or manufacturer(</w:t>
      </w:r>
      <w:r w:rsidR="008B729C" w:rsidRPr="009939DC">
        <w:t>s) that have a similar prosthesi</w:t>
      </w:r>
      <w:r w:rsidRPr="009939DC">
        <w:t>s or device component in the Australian market place which this application is relevant to?</w:t>
      </w:r>
    </w:p>
    <w:p w14:paraId="696B405D" w14:textId="77777777" w:rsidR="009939DC" w:rsidRDefault="009939D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77575">
        <w:rPr>
          <w:szCs w:val="20"/>
        </w:rPr>
      </w:r>
      <w:r w:rsidR="00577575">
        <w:rPr>
          <w:szCs w:val="20"/>
        </w:rPr>
        <w:fldChar w:fldCharType="separate"/>
      </w:r>
      <w:r w:rsidRPr="000A5B32">
        <w:rPr>
          <w:szCs w:val="20"/>
        </w:rPr>
        <w:fldChar w:fldCharType="end"/>
      </w:r>
      <w:r w:rsidRPr="000A5B32">
        <w:rPr>
          <w:szCs w:val="20"/>
        </w:rPr>
        <w:t xml:space="preserve"> Yes</w:t>
      </w:r>
    </w:p>
    <w:p w14:paraId="5291110B" w14:textId="77777777" w:rsidR="009939DC" w:rsidRPr="001E6958" w:rsidRDefault="009939DC"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577575">
        <w:rPr>
          <w:szCs w:val="20"/>
        </w:rPr>
      </w:r>
      <w:r w:rsidR="00577575">
        <w:rPr>
          <w:szCs w:val="20"/>
        </w:rPr>
        <w:fldChar w:fldCharType="separate"/>
      </w:r>
      <w:r w:rsidRPr="000A5B32">
        <w:rPr>
          <w:szCs w:val="20"/>
        </w:rPr>
        <w:fldChar w:fldCharType="end"/>
      </w:r>
      <w:r>
        <w:rPr>
          <w:szCs w:val="20"/>
        </w:rPr>
        <w:t xml:space="preserve"> No  </w:t>
      </w:r>
    </w:p>
    <w:p w14:paraId="2247A3FF" w14:textId="77777777" w:rsidR="009939DC" w:rsidRDefault="00016B6E" w:rsidP="00530204">
      <w:pPr>
        <w:pStyle w:val="Heading2"/>
        <w:numPr>
          <w:ilvl w:val="0"/>
          <w:numId w:val="26"/>
        </w:numPr>
      </w:pPr>
      <w:r w:rsidRPr="009939DC">
        <w:t>If yes, please provide the name(s) of the spon</w:t>
      </w:r>
      <w:r w:rsidR="009939DC">
        <w:t>sor(s) and / or manufacturer(s):</w:t>
      </w:r>
    </w:p>
    <w:p w14:paraId="316B2EAD" w14:textId="3BC84617" w:rsidR="00016B6E" w:rsidRPr="009939DC" w:rsidRDefault="00D931E4" w:rsidP="00A6491A">
      <w:pPr>
        <w:ind w:left="284"/>
      </w:pPr>
      <w:r>
        <w:t>Not applicable</w:t>
      </w:r>
    </w:p>
    <w:p w14:paraId="77EA6FCC" w14:textId="77777777" w:rsidR="0084657B" w:rsidRPr="009939DC" w:rsidRDefault="00A9062D" w:rsidP="00530204">
      <w:pPr>
        <w:pStyle w:val="Heading2"/>
      </w:pPr>
      <w:r w:rsidRPr="009939DC">
        <w:t>P</w:t>
      </w:r>
      <w:r w:rsidR="0084657B" w:rsidRPr="009939DC">
        <w:t xml:space="preserve">lease identify </w:t>
      </w:r>
      <w:r w:rsidR="00E8649B" w:rsidRPr="009939DC">
        <w:t xml:space="preserve">any single </w:t>
      </w:r>
      <w:r w:rsidR="00016B6E" w:rsidRPr="009939DC">
        <w:t>and / or multi-</w:t>
      </w:r>
      <w:r w:rsidR="00E8649B" w:rsidRPr="009939DC">
        <w:t>use consumables</w:t>
      </w:r>
      <w:r w:rsidR="0084657B" w:rsidRPr="009939DC">
        <w:t xml:space="preserve"> </w:t>
      </w:r>
      <w:r w:rsidR="00E8649B" w:rsidRPr="009939DC">
        <w:t>delivered as part of the service?</w:t>
      </w:r>
    </w:p>
    <w:p w14:paraId="5B3DFE1B" w14:textId="3A814026" w:rsidR="00A532E7" w:rsidRDefault="008E5E8B" w:rsidP="00D931E4">
      <w:pPr>
        <w:spacing w:before="0" w:after="0"/>
        <w:ind w:left="360"/>
      </w:pPr>
      <w:r>
        <w:lastRenderedPageBreak/>
        <w:t>Molecular pathology service providers in Australia use either NGS or PCR-based methods for KRAS pathogenic variant testing, which use multi-use and single use consumables.</w:t>
      </w:r>
      <w:r w:rsidR="007F769E">
        <w:t xml:space="preserve"> </w:t>
      </w:r>
      <w:r>
        <w:t xml:space="preserve"> </w:t>
      </w:r>
      <w:r w:rsidR="008B19F2">
        <w:t>Pathology laboratories use standard single</w:t>
      </w:r>
      <w:r w:rsidR="00607381">
        <w:t>-</w:t>
      </w:r>
      <w:r w:rsidR="008B19F2">
        <w:t xml:space="preserve">use consumables </w:t>
      </w:r>
      <w:r w:rsidR="00607381">
        <w:t>for both NGS and PCR-based assays</w:t>
      </w:r>
      <w:r w:rsidR="00CC3EBA">
        <w:t>, including those for DNA extraction and quantification</w:t>
      </w:r>
      <w:r w:rsidR="00607381">
        <w:t xml:space="preserve">. </w:t>
      </w:r>
      <w:r w:rsidR="007F769E">
        <w:t xml:space="preserve"> </w:t>
      </w:r>
      <w:r w:rsidR="00607381">
        <w:t>Multi-use reagents</w:t>
      </w:r>
      <w:r w:rsidR="00832EC4">
        <w:t xml:space="preserve"> </w:t>
      </w:r>
      <w:r w:rsidR="00607381">
        <w:t xml:space="preserve">used in </w:t>
      </w:r>
      <w:r>
        <w:t xml:space="preserve">NGS assays </w:t>
      </w:r>
      <w:r w:rsidR="00607381">
        <w:t xml:space="preserve">include those necessary for DNA </w:t>
      </w:r>
      <w:r w:rsidR="00CC3EBA">
        <w:t>extraction</w:t>
      </w:r>
      <w:r w:rsidR="00607381">
        <w:t>, purification and amplification</w:t>
      </w:r>
      <w:r w:rsidR="00832EC4">
        <w:t xml:space="preserve">, </w:t>
      </w:r>
      <w:r w:rsidR="00607381">
        <w:t>sample enrichment</w:t>
      </w:r>
      <w:r w:rsidR="00832EC4">
        <w:t xml:space="preserve"> and </w:t>
      </w:r>
      <w:r w:rsidR="00607381">
        <w:t>library preparation</w:t>
      </w:r>
      <w:r w:rsidR="00832EC4">
        <w:t xml:space="preserve">. </w:t>
      </w:r>
      <w:r w:rsidR="00607381">
        <w:t>Library sequencing is performed on a commercially available sequencing platform</w:t>
      </w:r>
      <w:r w:rsidR="00CC3EBA">
        <w:t xml:space="preserve"> </w:t>
      </w:r>
      <w:r w:rsidR="00607381">
        <w:t>which in Australia</w:t>
      </w:r>
      <w:r w:rsidR="00CC3EBA">
        <w:t xml:space="preserve"> </w:t>
      </w:r>
      <w:r w:rsidR="00607381">
        <w:t>includ</w:t>
      </w:r>
      <w:r w:rsidR="00CC3EBA">
        <w:t>e</w:t>
      </w:r>
      <w:r w:rsidR="00084269">
        <w:t>s</w:t>
      </w:r>
      <w:r w:rsidR="00607381">
        <w:t xml:space="preserve"> those manufactured by Illumina or </w:t>
      </w:r>
      <w:proofErr w:type="spellStart"/>
      <w:r w:rsidR="00607381">
        <w:t>ThermoFisher</w:t>
      </w:r>
      <w:proofErr w:type="spellEnd"/>
      <w:r w:rsidR="00607381">
        <w:t xml:space="preserve"> Scientific. </w:t>
      </w:r>
      <w:r w:rsidR="007F769E">
        <w:t xml:space="preserve"> </w:t>
      </w:r>
      <w:r w:rsidR="00084269">
        <w:t xml:space="preserve">Single gene testing performed by </w:t>
      </w:r>
      <w:r w:rsidR="00CC3EBA">
        <w:t xml:space="preserve">PCR-based methods </w:t>
      </w:r>
      <w:r w:rsidR="00084269">
        <w:t xml:space="preserve">require </w:t>
      </w:r>
      <w:r w:rsidR="00CC3EBA">
        <w:t>KRAS kits for each specific platform as well as the sequencing platform</w:t>
      </w:r>
      <w:r w:rsidR="00052374">
        <w:t xml:space="preserve"> itself</w:t>
      </w:r>
      <w:r w:rsidR="00CC3EBA">
        <w:t xml:space="preserve"> e.g., </w:t>
      </w:r>
      <w:proofErr w:type="spellStart"/>
      <w:r w:rsidR="00CC3EBA" w:rsidRPr="005651FA">
        <w:rPr>
          <w:i/>
          <w:iCs/>
        </w:rPr>
        <w:t>therascreen</w:t>
      </w:r>
      <w:proofErr w:type="spellEnd"/>
      <w:r w:rsidR="00CC3EBA">
        <w:t xml:space="preserve">® KRAS </w:t>
      </w:r>
      <w:r w:rsidR="00E5780D">
        <w:t>RGQ PCR</w:t>
      </w:r>
      <w:r w:rsidR="00CC3EBA">
        <w:t xml:space="preserve"> Kit (</w:t>
      </w:r>
      <w:proofErr w:type="spellStart"/>
      <w:r w:rsidR="00CC3EBA">
        <w:t>Qiagen</w:t>
      </w:r>
      <w:proofErr w:type="spellEnd"/>
      <w:r w:rsidR="00CC3EBA">
        <w:t xml:space="preserve">), </w:t>
      </w:r>
      <w:proofErr w:type="spellStart"/>
      <w:r w:rsidR="00CC3EBA">
        <w:t>Idylla</w:t>
      </w:r>
      <w:proofErr w:type="spellEnd"/>
      <w:r w:rsidR="00CC3EBA">
        <w:rPr>
          <w:rFonts w:ascii="Calibri" w:hAnsi="Calibri" w:cs="Calibri"/>
        </w:rPr>
        <w:t>™</w:t>
      </w:r>
      <w:r w:rsidR="00CC3EBA">
        <w:t xml:space="preserve"> KRAS Mutation Test (</w:t>
      </w:r>
      <w:proofErr w:type="spellStart"/>
      <w:r w:rsidR="00CC3EBA">
        <w:t>Biocartis</w:t>
      </w:r>
      <w:proofErr w:type="spellEnd"/>
      <w:r w:rsidR="00CC3EBA">
        <w:t xml:space="preserve">) and </w:t>
      </w:r>
      <w:proofErr w:type="spellStart"/>
      <w:r w:rsidR="00CC3EBA" w:rsidRPr="0001015A">
        <w:rPr>
          <w:color w:val="000000" w:themeColor="text1"/>
        </w:rPr>
        <w:t>cobas</w:t>
      </w:r>
      <w:proofErr w:type="spellEnd"/>
      <w:r w:rsidR="00CC3EBA" w:rsidRPr="0001015A">
        <w:rPr>
          <w:color w:val="000000" w:themeColor="text1"/>
        </w:rPr>
        <w:t>® KRAS Mutation Test (Roche Diagnostics)</w:t>
      </w:r>
      <w:r w:rsidR="00CC3EBA">
        <w:rPr>
          <w:color w:val="000000" w:themeColor="text1"/>
        </w:rPr>
        <w:t xml:space="preserve">. </w:t>
      </w:r>
      <w:r w:rsidR="007F769E">
        <w:rPr>
          <w:color w:val="000000" w:themeColor="text1"/>
        </w:rPr>
        <w:t xml:space="preserve"> </w:t>
      </w:r>
      <w:r w:rsidR="00CC3EBA">
        <w:rPr>
          <w:color w:val="000000" w:themeColor="text1"/>
        </w:rPr>
        <w:t xml:space="preserve">Both NGS and PCR-based assays require the use of consumables and infrastructure for the archiving of both </w:t>
      </w:r>
      <w:r w:rsidR="00512EA1">
        <w:rPr>
          <w:color w:val="000000" w:themeColor="text1"/>
        </w:rPr>
        <w:t xml:space="preserve">the </w:t>
      </w:r>
      <w:r w:rsidR="00CC3EBA">
        <w:rPr>
          <w:color w:val="000000" w:themeColor="text1"/>
        </w:rPr>
        <w:t xml:space="preserve">sequencing data and the tumour tissue specimens, which would be as per the operations requirements for Australian pathology laboratories. </w:t>
      </w:r>
    </w:p>
    <w:p w14:paraId="40D83674" w14:textId="77777777" w:rsidR="008518A6" w:rsidRDefault="008518A6" w:rsidP="008518A6">
      <w:pPr>
        <w:spacing w:before="0" w:after="0"/>
        <w:ind w:left="284"/>
      </w:pPr>
    </w:p>
    <w:p w14:paraId="4722B1C0" w14:textId="77777777" w:rsidR="00904383" w:rsidRDefault="00904383" w:rsidP="0040743E">
      <w:pPr>
        <w:spacing w:before="0" w:after="0"/>
        <w:ind w:left="284"/>
      </w:pPr>
    </w:p>
    <w:p w14:paraId="1909EAA5" w14:textId="77777777" w:rsidR="00904383" w:rsidRDefault="00904383" w:rsidP="0040743E">
      <w:pPr>
        <w:spacing w:before="0" w:after="0"/>
        <w:ind w:left="284"/>
      </w:pPr>
    </w:p>
    <w:p w14:paraId="6C5D4EF9" w14:textId="3F8D369A" w:rsidR="00F301F1" w:rsidRPr="00855944" w:rsidRDefault="00F301F1" w:rsidP="00A6491A">
      <w:pPr>
        <w:spacing w:before="0" w:after="0"/>
        <w:ind w:left="284"/>
      </w:pPr>
      <w:r w:rsidRPr="00855944">
        <w:br w:type="page"/>
      </w:r>
    </w:p>
    <w:p w14:paraId="52AB9ECB" w14:textId="77777777" w:rsidR="00226777" w:rsidRPr="00C776B1" w:rsidRDefault="00530204" w:rsidP="0056015F">
      <w:pPr>
        <w:pStyle w:val="Heading1"/>
      </w:pPr>
      <w:r>
        <w:lastRenderedPageBreak/>
        <w:t>PART 3</w:t>
      </w:r>
      <w:r w:rsidR="00F93784">
        <w:t xml:space="preserve"> – </w:t>
      </w:r>
      <w:r w:rsidR="00226777" w:rsidRPr="00C776B1">
        <w:t>INFORMATION ABOUT REGULATORY REQUIREMENTS</w:t>
      </w:r>
    </w:p>
    <w:p w14:paraId="1CF7A0CC" w14:textId="77777777" w:rsidR="001A1ADF" w:rsidRPr="00A6491A" w:rsidRDefault="0011369B" w:rsidP="0011369B">
      <w:pPr>
        <w:pStyle w:val="Heading2"/>
      </w:pPr>
      <w:r>
        <w:t xml:space="preserve">(a) </w:t>
      </w:r>
      <w:r w:rsidR="0054594B" w:rsidRPr="00A6491A">
        <w:t>If</w:t>
      </w:r>
      <w:r w:rsidR="00226777" w:rsidRPr="00A6491A">
        <w:t xml:space="preserve"> the </w:t>
      </w:r>
      <w:r w:rsidR="001A1ADF" w:rsidRPr="00A6491A">
        <w:t>p</w:t>
      </w:r>
      <w:r w:rsidR="00226777" w:rsidRPr="00A6491A">
        <w:t>roposed medical service involve</w:t>
      </w:r>
      <w:r w:rsidR="009C03FB" w:rsidRPr="00A6491A">
        <w:t>s</w:t>
      </w:r>
      <w:r w:rsidR="001A1ADF" w:rsidRPr="00A6491A">
        <w:t xml:space="preserve"> the use of a medical device, in-vitro diagnostic test, </w:t>
      </w:r>
      <w:r w:rsidR="00226777" w:rsidRPr="0043654D">
        <w:t>pharmaceutical</w:t>
      </w:r>
      <w:r w:rsidR="00226777" w:rsidRPr="00A6491A">
        <w:t xml:space="preserve"> product, </w:t>
      </w:r>
      <w:r w:rsidR="001A1ADF" w:rsidRPr="00A6491A">
        <w:t>radioactive tracer or any other type of therape</w:t>
      </w:r>
      <w:r w:rsidR="008127C0" w:rsidRPr="00A6491A">
        <w:t xml:space="preserve">utic good, please </w:t>
      </w:r>
      <w:r w:rsidR="001A1ADF" w:rsidRPr="00A6491A">
        <w:t xml:space="preserve">provide </w:t>
      </w:r>
      <w:r w:rsidR="008127C0" w:rsidRPr="00A6491A">
        <w:t>the following details</w:t>
      </w:r>
      <w:r w:rsidR="001A1ADF" w:rsidRPr="00A6491A">
        <w:t>:</w:t>
      </w:r>
    </w:p>
    <w:p w14:paraId="272D027A" w14:textId="6B7EA5C8" w:rsidR="00BC3610" w:rsidRPr="000F5EB0" w:rsidRDefault="00BC3610" w:rsidP="00D931E4">
      <w:pPr>
        <w:spacing w:before="0" w:after="0"/>
        <w:ind w:left="360"/>
        <w:rPr>
          <w:szCs w:val="20"/>
        </w:rPr>
      </w:pPr>
      <w:r w:rsidRPr="000F5EB0">
        <w:rPr>
          <w:szCs w:val="20"/>
        </w:rPr>
        <w:t xml:space="preserve">Type of therapeutic good: </w:t>
      </w:r>
      <w:r>
        <w:rPr>
          <w:szCs w:val="20"/>
        </w:rPr>
        <w:t>I</w:t>
      </w:r>
      <w:r w:rsidRPr="000F5EB0">
        <w:rPr>
          <w:szCs w:val="20"/>
        </w:rPr>
        <w:t xml:space="preserve">n-vitro diagnostic </w:t>
      </w:r>
      <w:r>
        <w:rPr>
          <w:szCs w:val="20"/>
        </w:rPr>
        <w:t>test</w:t>
      </w:r>
    </w:p>
    <w:p w14:paraId="04C4C1A3" w14:textId="0B2FC774" w:rsidR="00BC3610" w:rsidRPr="000F5EB0" w:rsidRDefault="00BC3610" w:rsidP="00D931E4">
      <w:pPr>
        <w:spacing w:before="0" w:after="0"/>
        <w:ind w:left="360"/>
        <w:rPr>
          <w:szCs w:val="20"/>
        </w:rPr>
      </w:pPr>
      <w:r w:rsidRPr="000F5EB0">
        <w:rPr>
          <w:szCs w:val="20"/>
        </w:rPr>
        <w:t>Manufacturer’s name:</w:t>
      </w:r>
      <w:r>
        <w:rPr>
          <w:szCs w:val="20"/>
        </w:rPr>
        <w:t xml:space="preserve"> Various, this application is not limited to a specific manufacturer.</w:t>
      </w:r>
      <w:r w:rsidR="00137716">
        <w:rPr>
          <w:szCs w:val="20"/>
        </w:rPr>
        <w:t>*</w:t>
      </w:r>
      <w:r>
        <w:rPr>
          <w:szCs w:val="20"/>
        </w:rPr>
        <w:t xml:space="preserve"> </w:t>
      </w:r>
    </w:p>
    <w:p w14:paraId="0B45505A" w14:textId="517B2468" w:rsidR="00BC3610" w:rsidRPr="000F5EB0" w:rsidRDefault="00BC3610" w:rsidP="00D931E4">
      <w:pPr>
        <w:spacing w:before="0" w:after="0"/>
        <w:ind w:left="360"/>
        <w:rPr>
          <w:szCs w:val="20"/>
        </w:rPr>
      </w:pPr>
      <w:r w:rsidRPr="000F5EB0">
        <w:rPr>
          <w:szCs w:val="20"/>
        </w:rPr>
        <w:t>Sponsor’s name:</w:t>
      </w:r>
      <w:r>
        <w:rPr>
          <w:szCs w:val="20"/>
        </w:rPr>
        <w:t xml:space="preserve"> Not applicable to the test.</w:t>
      </w:r>
    </w:p>
    <w:p w14:paraId="0ED154B8" w14:textId="4BF04816" w:rsidR="00052374" w:rsidRPr="006544C2" w:rsidRDefault="00137716" w:rsidP="00052374">
      <w:pPr>
        <w:rPr>
          <w:sz w:val="18"/>
          <w:szCs w:val="18"/>
        </w:rPr>
      </w:pPr>
      <w:r w:rsidRPr="006544C2">
        <w:rPr>
          <w:sz w:val="18"/>
          <w:szCs w:val="20"/>
        </w:rPr>
        <w:t>*</w:t>
      </w:r>
      <w:r w:rsidR="0040743E" w:rsidRPr="006544C2">
        <w:rPr>
          <w:sz w:val="18"/>
          <w:szCs w:val="20"/>
        </w:rPr>
        <w:t xml:space="preserve">The proposed medical service, KRAS </w:t>
      </w:r>
      <w:r w:rsidR="00FC5F6C" w:rsidRPr="006544C2">
        <w:rPr>
          <w:sz w:val="18"/>
          <w:szCs w:val="20"/>
        </w:rPr>
        <w:t xml:space="preserve">G12C </w:t>
      </w:r>
      <w:r w:rsidR="00B1411C" w:rsidRPr="006544C2">
        <w:rPr>
          <w:sz w:val="18"/>
          <w:szCs w:val="20"/>
        </w:rPr>
        <w:t>pathogenic variant</w:t>
      </w:r>
      <w:r w:rsidR="0040743E" w:rsidRPr="006544C2">
        <w:rPr>
          <w:sz w:val="18"/>
          <w:szCs w:val="20"/>
        </w:rPr>
        <w:t xml:space="preserve"> testing, does not specify a</w:t>
      </w:r>
      <w:r w:rsidR="00A07E5C" w:rsidRPr="006544C2">
        <w:rPr>
          <w:sz w:val="18"/>
          <w:szCs w:val="20"/>
        </w:rPr>
        <w:t>ny</w:t>
      </w:r>
      <w:r w:rsidR="0040743E" w:rsidRPr="006544C2">
        <w:rPr>
          <w:sz w:val="18"/>
          <w:szCs w:val="20"/>
        </w:rPr>
        <w:t xml:space="preserve"> particular methodology</w:t>
      </w:r>
      <w:r w:rsidR="00E06834" w:rsidRPr="006544C2">
        <w:rPr>
          <w:sz w:val="18"/>
          <w:szCs w:val="20"/>
        </w:rPr>
        <w:t xml:space="preserve"> or test platform</w:t>
      </w:r>
      <w:r w:rsidR="0040743E" w:rsidRPr="006544C2">
        <w:rPr>
          <w:sz w:val="18"/>
          <w:szCs w:val="20"/>
        </w:rPr>
        <w:t xml:space="preserve">. Any appropriately accredited and validated KRAS </w:t>
      </w:r>
      <w:r w:rsidR="001354C4" w:rsidRPr="006544C2">
        <w:rPr>
          <w:sz w:val="18"/>
          <w:szCs w:val="20"/>
        </w:rPr>
        <w:t>gene</w:t>
      </w:r>
      <w:r w:rsidR="0040743E" w:rsidRPr="006544C2">
        <w:rPr>
          <w:sz w:val="18"/>
          <w:szCs w:val="20"/>
        </w:rPr>
        <w:t xml:space="preserve"> test methodology is within the scope of this application. </w:t>
      </w:r>
      <w:r w:rsidR="00A07E5C" w:rsidRPr="006544C2">
        <w:rPr>
          <w:sz w:val="18"/>
          <w:szCs w:val="20"/>
        </w:rPr>
        <w:t xml:space="preserve">Molecular pathology service providers in Australia currently use a number of </w:t>
      </w:r>
      <w:r w:rsidR="00052374" w:rsidRPr="006544C2">
        <w:rPr>
          <w:sz w:val="18"/>
          <w:szCs w:val="20"/>
        </w:rPr>
        <w:t xml:space="preserve">NGS platforms </w:t>
      </w:r>
      <w:r w:rsidR="001354C4" w:rsidRPr="006544C2">
        <w:rPr>
          <w:sz w:val="18"/>
          <w:szCs w:val="20"/>
        </w:rPr>
        <w:t xml:space="preserve">including </w:t>
      </w:r>
      <w:r w:rsidR="00052374" w:rsidRPr="006544C2">
        <w:rPr>
          <w:sz w:val="18"/>
          <w:szCs w:val="20"/>
        </w:rPr>
        <w:t xml:space="preserve">those manufactured by Illumina and </w:t>
      </w:r>
      <w:proofErr w:type="spellStart"/>
      <w:r w:rsidR="00052374" w:rsidRPr="006544C2">
        <w:rPr>
          <w:sz w:val="18"/>
          <w:szCs w:val="20"/>
        </w:rPr>
        <w:t>ThermoFisher</w:t>
      </w:r>
      <w:proofErr w:type="spellEnd"/>
      <w:r w:rsidR="00052374" w:rsidRPr="006544C2">
        <w:rPr>
          <w:sz w:val="18"/>
          <w:szCs w:val="20"/>
        </w:rPr>
        <w:t xml:space="preserve"> Scientific</w:t>
      </w:r>
      <w:r w:rsidR="001354C4" w:rsidRPr="006544C2">
        <w:rPr>
          <w:sz w:val="18"/>
          <w:szCs w:val="20"/>
        </w:rPr>
        <w:t xml:space="preserve">. </w:t>
      </w:r>
      <w:r w:rsidR="007F769E" w:rsidRPr="006544C2">
        <w:rPr>
          <w:sz w:val="18"/>
          <w:szCs w:val="20"/>
        </w:rPr>
        <w:t xml:space="preserve"> </w:t>
      </w:r>
      <w:r w:rsidR="001354C4" w:rsidRPr="006544C2">
        <w:rPr>
          <w:sz w:val="18"/>
          <w:szCs w:val="20"/>
        </w:rPr>
        <w:t xml:space="preserve">These NGS platforms are most often used with a </w:t>
      </w:r>
      <w:r w:rsidR="00512EA1" w:rsidRPr="006544C2">
        <w:rPr>
          <w:sz w:val="18"/>
          <w:szCs w:val="20"/>
        </w:rPr>
        <w:t>standard</w:t>
      </w:r>
      <w:r w:rsidR="001354C4" w:rsidRPr="006544C2">
        <w:rPr>
          <w:sz w:val="18"/>
          <w:szCs w:val="20"/>
        </w:rPr>
        <w:t xml:space="preserve"> targeted gene panel which includes the KRAS gene, such as the </w:t>
      </w:r>
      <w:proofErr w:type="spellStart"/>
      <w:r w:rsidR="001354C4" w:rsidRPr="006544C2">
        <w:rPr>
          <w:sz w:val="18"/>
          <w:szCs w:val="20"/>
        </w:rPr>
        <w:t>TruSight</w:t>
      </w:r>
      <w:proofErr w:type="spellEnd"/>
      <w:r w:rsidR="001354C4" w:rsidRPr="006544C2">
        <w:rPr>
          <w:sz w:val="18"/>
          <w:szCs w:val="20"/>
        </w:rPr>
        <w:t xml:space="preserve"> Oncology panels from Illumina and the Ion </w:t>
      </w:r>
      <w:proofErr w:type="spellStart"/>
      <w:r w:rsidR="001354C4" w:rsidRPr="006544C2">
        <w:rPr>
          <w:sz w:val="18"/>
          <w:szCs w:val="20"/>
        </w:rPr>
        <w:t>AmpliSeq</w:t>
      </w:r>
      <w:proofErr w:type="spellEnd"/>
      <w:r w:rsidR="001354C4" w:rsidRPr="006544C2">
        <w:rPr>
          <w:sz w:val="18"/>
          <w:szCs w:val="20"/>
        </w:rPr>
        <w:t xml:space="preserve"> Cancer panels from </w:t>
      </w:r>
      <w:proofErr w:type="spellStart"/>
      <w:r w:rsidR="001354C4" w:rsidRPr="006544C2">
        <w:rPr>
          <w:sz w:val="18"/>
          <w:szCs w:val="20"/>
        </w:rPr>
        <w:t>ThermoFisher</w:t>
      </w:r>
      <w:proofErr w:type="spellEnd"/>
      <w:r w:rsidR="001354C4" w:rsidRPr="006544C2">
        <w:rPr>
          <w:sz w:val="18"/>
          <w:szCs w:val="20"/>
        </w:rPr>
        <w:t xml:space="preserve"> Scientific</w:t>
      </w:r>
      <w:r w:rsidR="00512EA1" w:rsidRPr="006544C2">
        <w:rPr>
          <w:sz w:val="18"/>
          <w:szCs w:val="20"/>
        </w:rPr>
        <w:t xml:space="preserve">. </w:t>
      </w:r>
      <w:r w:rsidR="00194D39" w:rsidRPr="006544C2">
        <w:rPr>
          <w:sz w:val="18"/>
          <w:szCs w:val="20"/>
        </w:rPr>
        <w:t xml:space="preserve"> </w:t>
      </w:r>
      <w:r w:rsidR="00C06193" w:rsidRPr="006544C2">
        <w:rPr>
          <w:sz w:val="18"/>
          <w:szCs w:val="20"/>
        </w:rPr>
        <w:t>Additionally</w:t>
      </w:r>
      <w:r w:rsidR="00194D39" w:rsidRPr="006544C2">
        <w:rPr>
          <w:sz w:val="18"/>
          <w:szCs w:val="20"/>
        </w:rPr>
        <w:t>,</w:t>
      </w:r>
      <w:r w:rsidR="00C06193" w:rsidRPr="006544C2">
        <w:rPr>
          <w:sz w:val="18"/>
          <w:szCs w:val="20"/>
        </w:rPr>
        <w:t xml:space="preserve"> panels for both these platforms can be customised </w:t>
      </w:r>
      <w:r w:rsidR="00603625" w:rsidRPr="006544C2">
        <w:rPr>
          <w:sz w:val="18"/>
          <w:szCs w:val="20"/>
        </w:rPr>
        <w:t xml:space="preserve">so </w:t>
      </w:r>
      <w:r w:rsidR="000861AC" w:rsidRPr="006544C2">
        <w:rPr>
          <w:sz w:val="18"/>
          <w:szCs w:val="20"/>
        </w:rPr>
        <w:t xml:space="preserve">they </w:t>
      </w:r>
      <w:r w:rsidR="00603625" w:rsidRPr="006544C2">
        <w:rPr>
          <w:sz w:val="18"/>
          <w:szCs w:val="20"/>
        </w:rPr>
        <w:t xml:space="preserve">may be very simple </w:t>
      </w:r>
      <w:r w:rsidR="000861AC" w:rsidRPr="006544C2">
        <w:rPr>
          <w:sz w:val="18"/>
          <w:szCs w:val="20"/>
        </w:rPr>
        <w:t xml:space="preserve">to </w:t>
      </w:r>
      <w:r w:rsidR="00603625" w:rsidRPr="006544C2">
        <w:rPr>
          <w:sz w:val="18"/>
          <w:szCs w:val="20"/>
        </w:rPr>
        <w:t xml:space="preserve">just include the EGFR, KRAS and BRAF genes. </w:t>
      </w:r>
      <w:r w:rsidR="00194D39" w:rsidRPr="006544C2">
        <w:rPr>
          <w:sz w:val="18"/>
          <w:szCs w:val="20"/>
        </w:rPr>
        <w:t xml:space="preserve"> </w:t>
      </w:r>
      <w:r w:rsidR="00512EA1" w:rsidRPr="006544C2">
        <w:rPr>
          <w:sz w:val="18"/>
          <w:szCs w:val="20"/>
        </w:rPr>
        <w:t xml:space="preserve">For those molecular pathology service providers performing single gene testing via PCR-based methods, there are several </w:t>
      </w:r>
      <w:r w:rsidR="00A07E5C" w:rsidRPr="006544C2">
        <w:rPr>
          <w:sz w:val="18"/>
          <w:szCs w:val="20"/>
        </w:rPr>
        <w:t>different commercial</w:t>
      </w:r>
      <w:r w:rsidR="001354C4" w:rsidRPr="006544C2">
        <w:rPr>
          <w:sz w:val="18"/>
          <w:szCs w:val="20"/>
        </w:rPr>
        <w:t>ly available</w:t>
      </w:r>
      <w:r w:rsidR="00A07E5C" w:rsidRPr="006544C2">
        <w:rPr>
          <w:sz w:val="18"/>
          <w:szCs w:val="20"/>
        </w:rPr>
        <w:t xml:space="preserve"> </w:t>
      </w:r>
      <w:r w:rsidR="00512EA1" w:rsidRPr="006544C2">
        <w:rPr>
          <w:sz w:val="18"/>
          <w:szCs w:val="20"/>
        </w:rPr>
        <w:t xml:space="preserve">KRAS gene </w:t>
      </w:r>
      <w:r w:rsidR="00A07E5C" w:rsidRPr="006544C2">
        <w:rPr>
          <w:sz w:val="18"/>
          <w:szCs w:val="20"/>
        </w:rPr>
        <w:t>test kits</w:t>
      </w:r>
      <w:r w:rsidR="00512EA1" w:rsidRPr="006544C2">
        <w:rPr>
          <w:sz w:val="18"/>
          <w:szCs w:val="20"/>
        </w:rPr>
        <w:t>,</w:t>
      </w:r>
      <w:r w:rsidR="00B55CED" w:rsidRPr="006544C2">
        <w:rPr>
          <w:sz w:val="18"/>
          <w:szCs w:val="20"/>
        </w:rPr>
        <w:t xml:space="preserve"> such as</w:t>
      </w:r>
      <w:r w:rsidR="00512EA1" w:rsidRPr="006544C2">
        <w:rPr>
          <w:sz w:val="18"/>
          <w:szCs w:val="20"/>
        </w:rPr>
        <w:t xml:space="preserve"> the</w:t>
      </w:r>
      <w:r w:rsidR="00A07E5C" w:rsidRPr="006544C2">
        <w:rPr>
          <w:sz w:val="18"/>
          <w:szCs w:val="20"/>
        </w:rPr>
        <w:t xml:space="preserve"> </w:t>
      </w:r>
      <w:proofErr w:type="spellStart"/>
      <w:r w:rsidR="00A07E5C" w:rsidRPr="006544C2">
        <w:rPr>
          <w:sz w:val="18"/>
          <w:szCs w:val="20"/>
        </w:rPr>
        <w:t>Idylla</w:t>
      </w:r>
      <w:proofErr w:type="spellEnd"/>
      <w:r w:rsidR="005C13C1" w:rsidRPr="006544C2">
        <w:rPr>
          <w:sz w:val="18"/>
          <w:szCs w:val="20"/>
        </w:rPr>
        <w:t>™</w:t>
      </w:r>
      <w:r w:rsidR="006B11B8" w:rsidRPr="006544C2">
        <w:rPr>
          <w:sz w:val="18"/>
          <w:szCs w:val="20"/>
        </w:rPr>
        <w:t xml:space="preserve"> KRAS </w:t>
      </w:r>
      <w:r w:rsidR="006D7778" w:rsidRPr="006544C2">
        <w:rPr>
          <w:sz w:val="18"/>
          <w:szCs w:val="20"/>
        </w:rPr>
        <w:t>M</w:t>
      </w:r>
      <w:r w:rsidR="006B11B8" w:rsidRPr="006544C2">
        <w:rPr>
          <w:sz w:val="18"/>
          <w:szCs w:val="20"/>
        </w:rPr>
        <w:t xml:space="preserve">utation </w:t>
      </w:r>
      <w:r w:rsidR="006D7778" w:rsidRPr="006544C2">
        <w:rPr>
          <w:sz w:val="18"/>
          <w:szCs w:val="20"/>
        </w:rPr>
        <w:t>T</w:t>
      </w:r>
      <w:r w:rsidR="006B11B8" w:rsidRPr="006544C2">
        <w:rPr>
          <w:sz w:val="18"/>
          <w:szCs w:val="20"/>
        </w:rPr>
        <w:t>est</w:t>
      </w:r>
      <w:r w:rsidR="008F3471" w:rsidRPr="006544C2">
        <w:rPr>
          <w:sz w:val="18"/>
          <w:szCs w:val="20"/>
        </w:rPr>
        <w:t xml:space="preserve"> </w:t>
      </w:r>
      <w:r w:rsidR="006D7778" w:rsidRPr="006544C2">
        <w:rPr>
          <w:sz w:val="18"/>
          <w:szCs w:val="20"/>
        </w:rPr>
        <w:t>(</w:t>
      </w:r>
      <w:proofErr w:type="spellStart"/>
      <w:r w:rsidR="006D7778" w:rsidRPr="006544C2">
        <w:rPr>
          <w:sz w:val="18"/>
          <w:szCs w:val="20"/>
        </w:rPr>
        <w:t>Biocartis</w:t>
      </w:r>
      <w:proofErr w:type="spellEnd"/>
      <w:r w:rsidR="006D7778" w:rsidRPr="006544C2">
        <w:rPr>
          <w:sz w:val="18"/>
          <w:szCs w:val="20"/>
        </w:rPr>
        <w:t>)</w:t>
      </w:r>
      <w:r w:rsidR="00364B81" w:rsidRPr="006544C2">
        <w:rPr>
          <w:sz w:val="18"/>
          <w:szCs w:val="20"/>
        </w:rPr>
        <w:t xml:space="preserve">, </w:t>
      </w:r>
      <w:r w:rsidR="00512EA1" w:rsidRPr="006544C2">
        <w:rPr>
          <w:sz w:val="18"/>
          <w:szCs w:val="20"/>
        </w:rPr>
        <w:t xml:space="preserve">the </w:t>
      </w:r>
      <w:proofErr w:type="spellStart"/>
      <w:r w:rsidR="006B11B8" w:rsidRPr="006544C2">
        <w:rPr>
          <w:i/>
          <w:iCs/>
          <w:sz w:val="18"/>
          <w:szCs w:val="20"/>
        </w:rPr>
        <w:t>therascree</w:t>
      </w:r>
      <w:r w:rsidR="006D7778" w:rsidRPr="006544C2">
        <w:rPr>
          <w:i/>
          <w:iCs/>
          <w:sz w:val="18"/>
          <w:szCs w:val="20"/>
        </w:rPr>
        <w:t>n</w:t>
      </w:r>
      <w:proofErr w:type="spellEnd"/>
      <w:r w:rsidR="00132C3C" w:rsidRPr="006544C2">
        <w:rPr>
          <w:sz w:val="18"/>
          <w:szCs w:val="20"/>
        </w:rPr>
        <w:t xml:space="preserve">® </w:t>
      </w:r>
      <w:r w:rsidR="006B11B8" w:rsidRPr="006544C2">
        <w:rPr>
          <w:sz w:val="18"/>
          <w:szCs w:val="20"/>
        </w:rPr>
        <w:t xml:space="preserve">KRAS </w:t>
      </w:r>
      <w:r w:rsidR="00E5780D" w:rsidRPr="006544C2">
        <w:rPr>
          <w:sz w:val="18"/>
          <w:szCs w:val="20"/>
        </w:rPr>
        <w:t>RGQ PCR</w:t>
      </w:r>
      <w:r w:rsidR="006B11B8" w:rsidRPr="006544C2">
        <w:rPr>
          <w:sz w:val="18"/>
          <w:szCs w:val="20"/>
        </w:rPr>
        <w:t xml:space="preserve"> </w:t>
      </w:r>
      <w:r w:rsidR="00E5780D" w:rsidRPr="006544C2">
        <w:rPr>
          <w:sz w:val="18"/>
          <w:szCs w:val="20"/>
        </w:rPr>
        <w:t>K</w:t>
      </w:r>
      <w:r w:rsidR="006B11B8" w:rsidRPr="006544C2">
        <w:rPr>
          <w:sz w:val="18"/>
          <w:szCs w:val="20"/>
        </w:rPr>
        <w:t>it (</w:t>
      </w:r>
      <w:proofErr w:type="spellStart"/>
      <w:r w:rsidR="006B11B8" w:rsidRPr="006544C2">
        <w:rPr>
          <w:sz w:val="18"/>
          <w:szCs w:val="20"/>
        </w:rPr>
        <w:t>Qiagen</w:t>
      </w:r>
      <w:proofErr w:type="spellEnd"/>
      <w:r w:rsidR="006B11B8" w:rsidRPr="006544C2">
        <w:rPr>
          <w:sz w:val="18"/>
          <w:szCs w:val="20"/>
        </w:rPr>
        <w:t>)</w:t>
      </w:r>
      <w:r w:rsidR="00364B81" w:rsidRPr="006544C2">
        <w:rPr>
          <w:sz w:val="18"/>
          <w:szCs w:val="20"/>
        </w:rPr>
        <w:t xml:space="preserve"> and </w:t>
      </w:r>
      <w:r w:rsidR="00512EA1" w:rsidRPr="006544C2">
        <w:rPr>
          <w:sz w:val="18"/>
          <w:szCs w:val="20"/>
        </w:rPr>
        <w:t xml:space="preserve">the </w:t>
      </w:r>
      <w:proofErr w:type="spellStart"/>
      <w:r w:rsidR="00364B81" w:rsidRPr="006544C2">
        <w:rPr>
          <w:color w:val="000000" w:themeColor="text1"/>
          <w:sz w:val="18"/>
          <w:szCs w:val="20"/>
        </w:rPr>
        <w:t>cobas</w:t>
      </w:r>
      <w:proofErr w:type="spellEnd"/>
      <w:r w:rsidR="00364B81" w:rsidRPr="006544C2">
        <w:rPr>
          <w:color w:val="000000" w:themeColor="text1"/>
          <w:sz w:val="18"/>
          <w:szCs w:val="20"/>
        </w:rPr>
        <w:t>® KRAS Mutation Test (Roche Diagnostics)</w:t>
      </w:r>
      <w:r w:rsidR="00512EA1" w:rsidRPr="006544C2">
        <w:rPr>
          <w:color w:val="000000" w:themeColor="text1"/>
          <w:sz w:val="18"/>
          <w:szCs w:val="20"/>
        </w:rPr>
        <w:t>.</w:t>
      </w:r>
      <w:r w:rsidR="008F3471" w:rsidRPr="006544C2">
        <w:rPr>
          <w:color w:val="000000" w:themeColor="text1"/>
          <w:sz w:val="18"/>
          <w:szCs w:val="20"/>
        </w:rPr>
        <w:t xml:space="preserve"> </w:t>
      </w:r>
      <w:r w:rsidR="00A82D25" w:rsidRPr="006544C2">
        <w:rPr>
          <w:color w:val="000000" w:themeColor="text1"/>
          <w:sz w:val="18"/>
          <w:szCs w:val="20"/>
        </w:rPr>
        <w:t xml:space="preserve"> </w:t>
      </w:r>
      <w:r w:rsidR="00A82D25" w:rsidRPr="006544C2">
        <w:rPr>
          <w:sz w:val="18"/>
          <w:szCs w:val="20"/>
        </w:rPr>
        <w:t xml:space="preserve">The </w:t>
      </w:r>
      <w:proofErr w:type="spellStart"/>
      <w:r w:rsidR="00A82D25" w:rsidRPr="006544C2">
        <w:rPr>
          <w:i/>
          <w:iCs/>
          <w:sz w:val="18"/>
          <w:szCs w:val="20"/>
        </w:rPr>
        <w:t>therascreen</w:t>
      </w:r>
      <w:proofErr w:type="spellEnd"/>
      <w:r w:rsidR="00A82D25" w:rsidRPr="006544C2">
        <w:rPr>
          <w:sz w:val="18"/>
          <w:szCs w:val="20"/>
        </w:rPr>
        <w:t xml:space="preserve">® KRAS </w:t>
      </w:r>
      <w:r w:rsidR="00E5780D" w:rsidRPr="006544C2">
        <w:rPr>
          <w:sz w:val="18"/>
          <w:szCs w:val="20"/>
        </w:rPr>
        <w:t>RGQ PCR K</w:t>
      </w:r>
      <w:r w:rsidR="00A82D25" w:rsidRPr="006544C2">
        <w:rPr>
          <w:sz w:val="18"/>
          <w:szCs w:val="20"/>
        </w:rPr>
        <w:t>it (</w:t>
      </w:r>
      <w:proofErr w:type="spellStart"/>
      <w:r w:rsidR="00A82D25" w:rsidRPr="006544C2">
        <w:rPr>
          <w:sz w:val="18"/>
          <w:szCs w:val="20"/>
        </w:rPr>
        <w:t>Qiagen</w:t>
      </w:r>
      <w:proofErr w:type="spellEnd"/>
      <w:r w:rsidR="00A82D25" w:rsidRPr="006544C2">
        <w:rPr>
          <w:sz w:val="18"/>
          <w:szCs w:val="20"/>
        </w:rPr>
        <w:t xml:space="preserve">) is the evidentiary standard used in the </w:t>
      </w:r>
      <w:proofErr w:type="spellStart"/>
      <w:r w:rsidR="00A82D25" w:rsidRPr="006544C2">
        <w:rPr>
          <w:sz w:val="18"/>
          <w:szCs w:val="20"/>
        </w:rPr>
        <w:t>sotor</w:t>
      </w:r>
      <w:r w:rsidR="00744823" w:rsidRPr="006544C2">
        <w:rPr>
          <w:sz w:val="18"/>
          <w:szCs w:val="20"/>
        </w:rPr>
        <w:t>a</w:t>
      </w:r>
      <w:r w:rsidR="00A82D25" w:rsidRPr="006544C2">
        <w:rPr>
          <w:sz w:val="18"/>
          <w:szCs w:val="20"/>
        </w:rPr>
        <w:t>sib</w:t>
      </w:r>
      <w:proofErr w:type="spellEnd"/>
      <w:r w:rsidR="00A82D25" w:rsidRPr="006544C2">
        <w:rPr>
          <w:sz w:val="18"/>
          <w:szCs w:val="20"/>
        </w:rPr>
        <w:t xml:space="preserve"> clinical trials</w:t>
      </w:r>
      <w:r w:rsidR="00D01B53" w:rsidRPr="006544C2">
        <w:rPr>
          <w:sz w:val="18"/>
          <w:szCs w:val="20"/>
        </w:rPr>
        <w:t xml:space="preserve">. </w:t>
      </w:r>
    </w:p>
    <w:p w14:paraId="7FD79905" w14:textId="778C393D" w:rsidR="005E2CE3" w:rsidRPr="00084269" w:rsidRDefault="00052374" w:rsidP="00075F5F">
      <w:pPr>
        <w:rPr>
          <w:bCs/>
        </w:rPr>
      </w:pPr>
      <w:r>
        <w:lastRenderedPageBreak/>
        <w:t>(</w:t>
      </w:r>
      <w:r w:rsidRPr="00075F5F">
        <w:rPr>
          <w:b/>
          <w:bCs/>
        </w:rPr>
        <w:t xml:space="preserve">b) </w:t>
      </w:r>
      <w:r w:rsidR="005E2CE3" w:rsidRPr="00075F5F">
        <w:rPr>
          <w:b/>
          <w:bCs/>
        </w:rPr>
        <w:t>Is the medical device classified by the TGA as either a Class III or Active Implantable Medical Device (AIMD) against the TGA regulatory scheme for devices?</w:t>
      </w:r>
    </w:p>
    <w:p w14:paraId="0D16546C" w14:textId="77777777" w:rsidR="00615F42" w:rsidRPr="00615F42" w:rsidRDefault="0040743E"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577575">
        <w:rPr>
          <w:szCs w:val="20"/>
        </w:rPr>
      </w:r>
      <w:r w:rsidR="00577575">
        <w:rPr>
          <w:szCs w:val="20"/>
        </w:rPr>
        <w:fldChar w:fldCharType="separate"/>
      </w:r>
      <w:r>
        <w:rPr>
          <w:szCs w:val="20"/>
        </w:rPr>
        <w:fldChar w:fldCharType="end"/>
      </w:r>
      <w:r w:rsidR="00615F42" w:rsidRPr="000A5B32">
        <w:rPr>
          <w:szCs w:val="20"/>
        </w:rPr>
        <w:t xml:space="preserve"> </w:t>
      </w:r>
      <w:r w:rsidR="00615F42" w:rsidRPr="00615F42">
        <w:rPr>
          <w:szCs w:val="20"/>
        </w:rPr>
        <w:t>Class III</w:t>
      </w:r>
    </w:p>
    <w:p w14:paraId="2CB17399" w14:textId="77777777" w:rsidR="00615F42" w:rsidRP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77575">
        <w:rPr>
          <w:szCs w:val="20"/>
        </w:rPr>
      </w:r>
      <w:r w:rsidR="00577575">
        <w:rPr>
          <w:szCs w:val="20"/>
        </w:rPr>
        <w:fldChar w:fldCharType="separate"/>
      </w:r>
      <w:r w:rsidRPr="000A5B32">
        <w:rPr>
          <w:szCs w:val="20"/>
        </w:rPr>
        <w:fldChar w:fldCharType="end"/>
      </w:r>
      <w:r w:rsidRPr="000A5B32">
        <w:rPr>
          <w:szCs w:val="20"/>
        </w:rPr>
        <w:t xml:space="preserve"> </w:t>
      </w:r>
      <w:r w:rsidRPr="00615F42">
        <w:rPr>
          <w:szCs w:val="20"/>
        </w:rPr>
        <w:t>AIMD</w:t>
      </w:r>
    </w:p>
    <w:p w14:paraId="2EAC8F8C" w14:textId="77777777" w:rsidR="005E2CE3" w:rsidRPr="00154B00"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77575">
        <w:rPr>
          <w:szCs w:val="20"/>
        </w:rPr>
      </w:r>
      <w:r w:rsidR="00577575">
        <w:rPr>
          <w:szCs w:val="20"/>
        </w:rPr>
        <w:fldChar w:fldCharType="separate"/>
      </w:r>
      <w:r w:rsidRPr="000A5B32">
        <w:rPr>
          <w:szCs w:val="20"/>
        </w:rPr>
        <w:fldChar w:fldCharType="end"/>
      </w:r>
      <w:r w:rsidRPr="000A5B32">
        <w:rPr>
          <w:szCs w:val="20"/>
        </w:rPr>
        <w:t xml:space="preserve"> </w:t>
      </w:r>
      <w:r w:rsidRPr="00615F42">
        <w:rPr>
          <w:szCs w:val="20"/>
        </w:rPr>
        <w:t>N/A</w:t>
      </w:r>
    </w:p>
    <w:p w14:paraId="2D0BB4F8" w14:textId="77777777" w:rsidR="003421AE" w:rsidRPr="00A6491A" w:rsidRDefault="0011369B" w:rsidP="00530204">
      <w:pPr>
        <w:pStyle w:val="Heading2"/>
      </w:pPr>
      <w:r>
        <w:t xml:space="preserve">(a) </w:t>
      </w:r>
      <w:r w:rsidR="003421AE" w:rsidRPr="00A6491A">
        <w:t xml:space="preserve">Is the </w:t>
      </w:r>
      <w:r w:rsidR="003421AE" w:rsidRPr="0043654D">
        <w:t>therapeutic</w:t>
      </w:r>
      <w:r w:rsidR="003421AE" w:rsidRPr="00A6491A">
        <w:t xml:space="preserve"> good to be used in the service exempt from the regulatory requirements of the </w:t>
      </w:r>
      <w:r w:rsidR="003421AE" w:rsidRPr="00A6491A">
        <w:rPr>
          <w:i/>
        </w:rPr>
        <w:t>Therapeutic Goods Act 1989</w:t>
      </w:r>
      <w:r w:rsidR="003421AE" w:rsidRPr="00A6491A">
        <w:t>?</w:t>
      </w:r>
    </w:p>
    <w:p w14:paraId="352A5008" w14:textId="77777777" w:rsid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77575">
        <w:rPr>
          <w:szCs w:val="20"/>
        </w:rPr>
      </w:r>
      <w:r w:rsidR="00577575">
        <w:rPr>
          <w:szCs w:val="20"/>
        </w:rPr>
        <w:fldChar w:fldCharType="separate"/>
      </w:r>
      <w:r w:rsidRPr="000A5B32">
        <w:rPr>
          <w:szCs w:val="20"/>
        </w:rPr>
        <w:fldChar w:fldCharType="end"/>
      </w:r>
      <w:r>
        <w:rPr>
          <w:szCs w:val="20"/>
        </w:rPr>
        <w:t xml:space="preserve"> Yes (</w:t>
      </w:r>
      <w:r w:rsidRPr="00154B00">
        <w:rPr>
          <w:szCs w:val="20"/>
        </w:rPr>
        <w:t>If yes, please provide supporting documentation</w:t>
      </w:r>
      <w:r>
        <w:rPr>
          <w:szCs w:val="20"/>
        </w:rPr>
        <w:t xml:space="preserve"> as an attachment to this application form)</w:t>
      </w:r>
    </w:p>
    <w:p w14:paraId="334D16C1" w14:textId="77777777" w:rsidR="003421AE" w:rsidRPr="00615F42" w:rsidRDefault="0040743E" w:rsidP="00A6491A">
      <w:pPr>
        <w:spacing w:before="0" w:after="0"/>
        <w:ind w:left="284"/>
        <w:rPr>
          <w:b/>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577575">
        <w:rPr>
          <w:szCs w:val="20"/>
        </w:rPr>
      </w:r>
      <w:r w:rsidR="00577575">
        <w:rPr>
          <w:szCs w:val="20"/>
        </w:rPr>
        <w:fldChar w:fldCharType="separate"/>
      </w:r>
      <w:r>
        <w:rPr>
          <w:szCs w:val="20"/>
        </w:rPr>
        <w:fldChar w:fldCharType="end"/>
      </w:r>
      <w:r w:rsidR="00615F42">
        <w:rPr>
          <w:szCs w:val="20"/>
        </w:rPr>
        <w:t xml:space="preserve"> No</w:t>
      </w:r>
    </w:p>
    <w:p w14:paraId="2F6EA768" w14:textId="77777777" w:rsidR="00D85676" w:rsidRDefault="00D85676" w:rsidP="0011369B">
      <w:pPr>
        <w:pStyle w:val="Heading2"/>
        <w:numPr>
          <w:ilvl w:val="0"/>
          <w:numId w:val="28"/>
        </w:numPr>
      </w:pPr>
      <w:r w:rsidRPr="00154B00">
        <w:t xml:space="preserve">If no, has it been listed or registered or included in the Australian Register of Therapeutic Goods (ARTG) by the Therapeutic </w:t>
      </w:r>
      <w:r w:rsidRPr="0043654D">
        <w:t>Goods</w:t>
      </w:r>
      <w:r w:rsidRPr="00154B00">
        <w:t xml:space="preserve"> Administration (TGA)</w:t>
      </w:r>
      <w:r w:rsidR="00403333">
        <w:t>?</w:t>
      </w:r>
    </w:p>
    <w:p w14:paraId="43190A96" w14:textId="77777777" w:rsidR="0043654D" w:rsidRDefault="00981539" w:rsidP="0043654D">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577575">
        <w:rPr>
          <w:szCs w:val="20"/>
        </w:rPr>
      </w:r>
      <w:r w:rsidR="00577575">
        <w:rPr>
          <w:szCs w:val="20"/>
        </w:rPr>
        <w:fldChar w:fldCharType="separate"/>
      </w:r>
      <w:r>
        <w:rPr>
          <w:szCs w:val="20"/>
        </w:rPr>
        <w:fldChar w:fldCharType="end"/>
      </w:r>
      <w:r w:rsidR="0043654D">
        <w:rPr>
          <w:szCs w:val="20"/>
        </w:rPr>
        <w:t xml:space="preserve"> Yes (if yes, please provide details below)</w:t>
      </w:r>
    </w:p>
    <w:p w14:paraId="32B7F31C" w14:textId="77777777" w:rsidR="0043654D" w:rsidRDefault="0043654D" w:rsidP="0043654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77575">
        <w:rPr>
          <w:szCs w:val="20"/>
        </w:rPr>
      </w:r>
      <w:r w:rsidR="00577575">
        <w:rPr>
          <w:szCs w:val="20"/>
        </w:rPr>
        <w:fldChar w:fldCharType="separate"/>
      </w:r>
      <w:r w:rsidRPr="000A5B32">
        <w:rPr>
          <w:szCs w:val="20"/>
        </w:rPr>
        <w:fldChar w:fldCharType="end"/>
      </w:r>
      <w:r>
        <w:rPr>
          <w:szCs w:val="20"/>
        </w:rPr>
        <w:t xml:space="preserve"> No</w:t>
      </w:r>
    </w:p>
    <w:p w14:paraId="38BE1E8B" w14:textId="29E4418A" w:rsidR="00010AC9" w:rsidRDefault="00010AC9" w:rsidP="00D931E4">
      <w:pPr>
        <w:spacing w:before="0" w:after="0"/>
        <w:ind w:left="0"/>
        <w:rPr>
          <w:szCs w:val="20"/>
        </w:rPr>
      </w:pPr>
    </w:p>
    <w:p w14:paraId="08277A84" w14:textId="77777777" w:rsidR="00010AC9" w:rsidRDefault="00010AC9" w:rsidP="00010AC9">
      <w:pPr>
        <w:autoSpaceDE w:val="0"/>
        <w:autoSpaceDN w:val="0"/>
        <w:adjustRightInd w:val="0"/>
        <w:spacing w:before="0" w:after="0"/>
        <w:rPr>
          <w:rFonts w:ascii="_‡ ˛" w:hAnsi="_‡ ˛" w:cs="_‡ ˛"/>
          <w:color w:val="000000"/>
          <w:sz w:val="19"/>
          <w:szCs w:val="19"/>
          <w:lang w:val="en-GB"/>
        </w:rPr>
      </w:pPr>
      <w:r>
        <w:rPr>
          <w:rFonts w:ascii="_‡ ˛" w:hAnsi="_‡ ˛" w:cs="_‡ ˛"/>
          <w:color w:val="000000"/>
          <w:sz w:val="19"/>
          <w:szCs w:val="19"/>
          <w:lang w:val="en-GB"/>
        </w:rPr>
        <w:t>ARTG licence numbers for IVDs include but are not limited to:</w:t>
      </w:r>
    </w:p>
    <w:p w14:paraId="3E0921C8" w14:textId="77777777" w:rsidR="00010AC9" w:rsidRDefault="00010AC9" w:rsidP="00010AC9">
      <w:pPr>
        <w:autoSpaceDE w:val="0"/>
        <w:autoSpaceDN w:val="0"/>
        <w:adjustRightInd w:val="0"/>
        <w:spacing w:before="0" w:after="0"/>
        <w:rPr>
          <w:rFonts w:ascii="_‡ ˛" w:hAnsi="_‡ ˛" w:cs="_‡ ˛"/>
          <w:color w:val="000000"/>
          <w:sz w:val="19"/>
          <w:szCs w:val="19"/>
          <w:lang w:val="en-GB"/>
        </w:rPr>
      </w:pPr>
    </w:p>
    <w:p w14:paraId="6D93C6C2" w14:textId="70A67CA8" w:rsidR="00010AC9" w:rsidRDefault="00010AC9" w:rsidP="00010AC9">
      <w:pPr>
        <w:autoSpaceDE w:val="0"/>
        <w:autoSpaceDN w:val="0"/>
        <w:adjustRightInd w:val="0"/>
        <w:spacing w:before="0" w:after="0"/>
        <w:rPr>
          <w:rFonts w:ascii="_‡ ˛" w:hAnsi="_‡ ˛" w:cs="_‡ ˛"/>
          <w:color w:val="000000"/>
          <w:sz w:val="19"/>
          <w:szCs w:val="19"/>
          <w:lang w:val="en-GB"/>
        </w:rPr>
      </w:pPr>
      <w:r>
        <w:rPr>
          <w:rFonts w:ascii="_‡ ˛" w:hAnsi="_‡ ˛" w:cs="_‡ ˛"/>
          <w:color w:val="000000"/>
          <w:sz w:val="19"/>
          <w:szCs w:val="19"/>
          <w:lang w:val="en-GB"/>
        </w:rPr>
        <w:t>Bio-Rad Laboratories Pty Ltd - Acquired genetic alteration IVDs</w:t>
      </w:r>
    </w:p>
    <w:p w14:paraId="593CF224" w14:textId="77777777" w:rsidR="00010AC9" w:rsidRDefault="00010AC9" w:rsidP="00010AC9">
      <w:pPr>
        <w:autoSpaceDE w:val="0"/>
        <w:autoSpaceDN w:val="0"/>
        <w:adjustRightInd w:val="0"/>
        <w:spacing w:before="0" w:after="0"/>
        <w:rPr>
          <w:rFonts w:ascii="_‡ ˛" w:hAnsi="_‡ ˛" w:cs="_‡ ˛"/>
          <w:color w:val="000000"/>
          <w:sz w:val="19"/>
          <w:szCs w:val="19"/>
          <w:lang w:val="en-GB"/>
        </w:rPr>
      </w:pPr>
      <w:r>
        <w:rPr>
          <w:rFonts w:ascii="_‡ ˛" w:hAnsi="_‡ ˛" w:cs="_‡ ˛"/>
          <w:color w:val="000000"/>
          <w:sz w:val="19"/>
          <w:szCs w:val="19"/>
          <w:lang w:val="en-GB"/>
        </w:rPr>
        <w:t>ARTG ID: 316116</w:t>
      </w:r>
    </w:p>
    <w:p w14:paraId="12223E0D" w14:textId="77777777" w:rsidR="00010AC9" w:rsidRDefault="00010AC9" w:rsidP="00010AC9">
      <w:pPr>
        <w:autoSpaceDE w:val="0"/>
        <w:autoSpaceDN w:val="0"/>
        <w:adjustRightInd w:val="0"/>
        <w:spacing w:before="0" w:after="0"/>
        <w:rPr>
          <w:rFonts w:ascii="_‡ ˛" w:hAnsi="_‡ ˛" w:cs="_‡ ˛"/>
          <w:color w:val="000000"/>
          <w:sz w:val="19"/>
          <w:szCs w:val="19"/>
          <w:lang w:val="en-GB"/>
        </w:rPr>
      </w:pPr>
      <w:r>
        <w:rPr>
          <w:rFonts w:ascii="_‡ ˛" w:hAnsi="_‡ ˛" w:cs="_‡ ˛"/>
          <w:color w:val="000000"/>
          <w:sz w:val="19"/>
          <w:szCs w:val="19"/>
          <w:lang w:val="en-GB"/>
        </w:rPr>
        <w:t>Product name: Acquired genetic alteration IVDs</w:t>
      </w:r>
    </w:p>
    <w:p w14:paraId="46B32C93" w14:textId="77777777" w:rsidR="00010AC9" w:rsidRDefault="00010AC9" w:rsidP="00010AC9">
      <w:pPr>
        <w:autoSpaceDE w:val="0"/>
        <w:autoSpaceDN w:val="0"/>
        <w:adjustRightInd w:val="0"/>
        <w:spacing w:before="0" w:after="0"/>
        <w:rPr>
          <w:rFonts w:ascii="_‡ ˛" w:hAnsi="_‡ ˛" w:cs="_‡ ˛"/>
          <w:color w:val="000000"/>
          <w:sz w:val="19"/>
          <w:szCs w:val="19"/>
          <w:lang w:val="en-GB"/>
        </w:rPr>
      </w:pPr>
      <w:r>
        <w:rPr>
          <w:rFonts w:ascii="_‡ ˛" w:hAnsi="_‡ ˛" w:cs="_‡ ˛"/>
          <w:color w:val="000000"/>
          <w:sz w:val="19"/>
          <w:szCs w:val="19"/>
          <w:lang w:val="en-GB"/>
        </w:rPr>
        <w:t>Sponsor: Bio-Rad Laboratories Pty Ltd</w:t>
      </w:r>
    </w:p>
    <w:p w14:paraId="62C1D18D" w14:textId="77777777" w:rsidR="00010AC9" w:rsidRDefault="00010AC9" w:rsidP="00010AC9">
      <w:pPr>
        <w:autoSpaceDE w:val="0"/>
        <w:autoSpaceDN w:val="0"/>
        <w:adjustRightInd w:val="0"/>
        <w:spacing w:before="0" w:after="0"/>
        <w:rPr>
          <w:rFonts w:ascii="_‡ ˛" w:hAnsi="_‡ ˛" w:cs="_‡ ˛"/>
          <w:color w:val="000000"/>
          <w:sz w:val="19"/>
          <w:szCs w:val="19"/>
          <w:lang w:val="en-GB"/>
        </w:rPr>
      </w:pPr>
      <w:r>
        <w:rPr>
          <w:rFonts w:ascii="_‡ ˛" w:hAnsi="_‡ ˛" w:cs="_‡ ˛"/>
          <w:color w:val="000000"/>
          <w:sz w:val="19"/>
          <w:szCs w:val="19"/>
          <w:lang w:val="en-GB"/>
        </w:rPr>
        <w:t xml:space="preserve">Manufacturer: Bio-Rad Laboratories </w:t>
      </w:r>
      <w:proofErr w:type="spellStart"/>
      <w:r>
        <w:rPr>
          <w:rFonts w:ascii="_‡ ˛" w:hAnsi="_‡ ˛" w:cs="_‡ ˛"/>
          <w:color w:val="000000"/>
          <w:sz w:val="19"/>
          <w:szCs w:val="19"/>
          <w:lang w:val="en-GB"/>
        </w:rPr>
        <w:t>Inc</w:t>
      </w:r>
      <w:proofErr w:type="spellEnd"/>
    </w:p>
    <w:p w14:paraId="660610F2" w14:textId="77777777" w:rsidR="00010AC9" w:rsidRDefault="00010AC9" w:rsidP="00010AC9">
      <w:pPr>
        <w:autoSpaceDE w:val="0"/>
        <w:autoSpaceDN w:val="0"/>
        <w:adjustRightInd w:val="0"/>
        <w:spacing w:before="0" w:after="0"/>
        <w:rPr>
          <w:rFonts w:ascii="_‡ ˛" w:hAnsi="_‡ ˛" w:cs="_‡ ˛"/>
          <w:color w:val="000000"/>
          <w:sz w:val="19"/>
          <w:szCs w:val="19"/>
          <w:lang w:val="en-GB"/>
        </w:rPr>
      </w:pPr>
    </w:p>
    <w:p w14:paraId="4090F95F" w14:textId="7F61CD18" w:rsidR="00010AC9" w:rsidRDefault="00010AC9" w:rsidP="00010AC9">
      <w:pPr>
        <w:autoSpaceDE w:val="0"/>
        <w:autoSpaceDN w:val="0"/>
        <w:adjustRightInd w:val="0"/>
        <w:spacing w:before="0" w:after="0"/>
        <w:rPr>
          <w:rFonts w:ascii="_‡ ˛" w:hAnsi="_‡ ˛" w:cs="_‡ ˛"/>
          <w:color w:val="000000"/>
          <w:sz w:val="19"/>
          <w:szCs w:val="19"/>
          <w:lang w:val="en-GB"/>
        </w:rPr>
      </w:pPr>
      <w:proofErr w:type="spellStart"/>
      <w:r>
        <w:rPr>
          <w:rFonts w:ascii="_‡ ˛" w:hAnsi="_‡ ˛" w:cs="_‡ ˛"/>
          <w:color w:val="000000"/>
          <w:sz w:val="19"/>
          <w:szCs w:val="19"/>
          <w:lang w:val="en-GB"/>
        </w:rPr>
        <w:t>Sysmex</w:t>
      </w:r>
      <w:proofErr w:type="spellEnd"/>
      <w:r>
        <w:rPr>
          <w:rFonts w:ascii="_‡ ˛" w:hAnsi="_‡ ˛" w:cs="_‡ ˛"/>
          <w:color w:val="000000"/>
          <w:sz w:val="19"/>
          <w:szCs w:val="19"/>
          <w:lang w:val="en-GB"/>
        </w:rPr>
        <w:t xml:space="preserve"> Australia Pty Ltd - Acquired genetic alteration IVDs</w:t>
      </w:r>
    </w:p>
    <w:p w14:paraId="14BB819D" w14:textId="77777777" w:rsidR="00010AC9" w:rsidRDefault="00010AC9" w:rsidP="00010AC9">
      <w:pPr>
        <w:autoSpaceDE w:val="0"/>
        <w:autoSpaceDN w:val="0"/>
        <w:adjustRightInd w:val="0"/>
        <w:spacing w:before="0" w:after="0"/>
        <w:rPr>
          <w:rFonts w:ascii="_‡ ˛" w:hAnsi="_‡ ˛" w:cs="_‡ ˛"/>
          <w:color w:val="000000"/>
          <w:sz w:val="19"/>
          <w:szCs w:val="19"/>
          <w:lang w:val="en-GB"/>
        </w:rPr>
      </w:pPr>
      <w:r>
        <w:rPr>
          <w:rFonts w:ascii="_‡ ˛" w:hAnsi="_‡ ˛" w:cs="_‡ ˛"/>
          <w:color w:val="000000"/>
          <w:sz w:val="19"/>
          <w:szCs w:val="19"/>
          <w:lang w:val="en-GB"/>
        </w:rPr>
        <w:lastRenderedPageBreak/>
        <w:t>ARTG ID: 315997</w:t>
      </w:r>
    </w:p>
    <w:p w14:paraId="78681E2D" w14:textId="77777777" w:rsidR="00010AC9" w:rsidRDefault="00010AC9" w:rsidP="00010AC9">
      <w:pPr>
        <w:autoSpaceDE w:val="0"/>
        <w:autoSpaceDN w:val="0"/>
        <w:adjustRightInd w:val="0"/>
        <w:spacing w:before="0" w:after="0"/>
        <w:rPr>
          <w:rFonts w:ascii="_‡ ˛" w:hAnsi="_‡ ˛" w:cs="_‡ ˛"/>
          <w:color w:val="000000"/>
          <w:sz w:val="19"/>
          <w:szCs w:val="19"/>
          <w:lang w:val="en-GB"/>
        </w:rPr>
      </w:pPr>
      <w:r>
        <w:rPr>
          <w:rFonts w:ascii="_‡ ˛" w:hAnsi="_‡ ˛" w:cs="_‡ ˛"/>
          <w:color w:val="000000"/>
          <w:sz w:val="19"/>
          <w:szCs w:val="19"/>
          <w:lang w:val="en-GB"/>
        </w:rPr>
        <w:t>Product name: Acquired genetic alteration IVDs</w:t>
      </w:r>
    </w:p>
    <w:p w14:paraId="4D5AA2C0" w14:textId="77777777" w:rsidR="00010AC9" w:rsidRDefault="00010AC9" w:rsidP="00010AC9">
      <w:pPr>
        <w:autoSpaceDE w:val="0"/>
        <w:autoSpaceDN w:val="0"/>
        <w:adjustRightInd w:val="0"/>
        <w:spacing w:before="0" w:after="0"/>
        <w:rPr>
          <w:rFonts w:ascii="_‡ ˛" w:hAnsi="_‡ ˛" w:cs="_‡ ˛"/>
          <w:color w:val="000000"/>
          <w:sz w:val="19"/>
          <w:szCs w:val="19"/>
          <w:lang w:val="en-GB"/>
        </w:rPr>
      </w:pPr>
      <w:r>
        <w:rPr>
          <w:rFonts w:ascii="_‡ ˛" w:hAnsi="_‡ ˛" w:cs="_‡ ˛"/>
          <w:color w:val="000000"/>
          <w:sz w:val="19"/>
          <w:szCs w:val="19"/>
          <w:lang w:val="en-GB"/>
        </w:rPr>
        <w:t xml:space="preserve">Sponsor: </w:t>
      </w:r>
      <w:proofErr w:type="spellStart"/>
      <w:r>
        <w:rPr>
          <w:rFonts w:ascii="_‡ ˛" w:hAnsi="_‡ ˛" w:cs="_‡ ˛"/>
          <w:color w:val="000000"/>
          <w:sz w:val="19"/>
          <w:szCs w:val="19"/>
          <w:lang w:val="en-GB"/>
        </w:rPr>
        <w:t>Sysmex</w:t>
      </w:r>
      <w:proofErr w:type="spellEnd"/>
      <w:r>
        <w:rPr>
          <w:rFonts w:ascii="_‡ ˛" w:hAnsi="_‡ ˛" w:cs="_‡ ˛"/>
          <w:color w:val="000000"/>
          <w:sz w:val="19"/>
          <w:szCs w:val="19"/>
          <w:lang w:val="en-GB"/>
        </w:rPr>
        <w:t xml:space="preserve"> Australia Pty Ltd</w:t>
      </w:r>
    </w:p>
    <w:p w14:paraId="29228A13" w14:textId="77777777" w:rsidR="00010AC9" w:rsidRDefault="00010AC9" w:rsidP="00010AC9">
      <w:pPr>
        <w:autoSpaceDE w:val="0"/>
        <w:autoSpaceDN w:val="0"/>
        <w:adjustRightInd w:val="0"/>
        <w:spacing w:before="0" w:after="0"/>
        <w:rPr>
          <w:rFonts w:ascii="_‡ ˛" w:hAnsi="_‡ ˛" w:cs="_‡ ˛"/>
          <w:color w:val="000000"/>
          <w:sz w:val="19"/>
          <w:szCs w:val="19"/>
          <w:lang w:val="en-GB"/>
        </w:rPr>
      </w:pPr>
      <w:r>
        <w:rPr>
          <w:rFonts w:ascii="_‡ ˛" w:hAnsi="_‡ ˛" w:cs="_‡ ˛"/>
          <w:color w:val="000000"/>
          <w:sz w:val="19"/>
          <w:szCs w:val="19"/>
          <w:lang w:val="en-GB"/>
        </w:rPr>
        <w:t xml:space="preserve">Manufacturer: </w:t>
      </w:r>
      <w:proofErr w:type="spellStart"/>
      <w:r>
        <w:rPr>
          <w:rFonts w:ascii="_‡ ˛" w:hAnsi="_‡ ˛" w:cs="_‡ ˛"/>
          <w:color w:val="000000"/>
          <w:sz w:val="19"/>
          <w:szCs w:val="19"/>
          <w:lang w:val="en-GB"/>
        </w:rPr>
        <w:t>Sysmex</w:t>
      </w:r>
      <w:proofErr w:type="spellEnd"/>
      <w:r>
        <w:rPr>
          <w:rFonts w:ascii="_‡ ˛" w:hAnsi="_‡ ˛" w:cs="_‡ ˛"/>
          <w:color w:val="000000"/>
          <w:sz w:val="19"/>
          <w:szCs w:val="19"/>
          <w:lang w:val="en-GB"/>
        </w:rPr>
        <w:t xml:space="preserve"> INOSTICS GmbH</w:t>
      </w:r>
    </w:p>
    <w:p w14:paraId="4D5A3A55" w14:textId="77777777" w:rsidR="00010AC9" w:rsidRDefault="00010AC9" w:rsidP="00010AC9">
      <w:pPr>
        <w:autoSpaceDE w:val="0"/>
        <w:autoSpaceDN w:val="0"/>
        <w:adjustRightInd w:val="0"/>
        <w:spacing w:before="0" w:after="0"/>
        <w:rPr>
          <w:rFonts w:ascii="_‡ ˛" w:hAnsi="_‡ ˛" w:cs="_‡ ˛"/>
          <w:color w:val="000000"/>
          <w:sz w:val="19"/>
          <w:szCs w:val="19"/>
          <w:lang w:val="en-GB"/>
        </w:rPr>
      </w:pPr>
    </w:p>
    <w:p w14:paraId="629E72B6" w14:textId="1A5FCAE5" w:rsidR="00010AC9" w:rsidRDefault="00010AC9" w:rsidP="00010AC9">
      <w:pPr>
        <w:autoSpaceDE w:val="0"/>
        <w:autoSpaceDN w:val="0"/>
        <w:adjustRightInd w:val="0"/>
        <w:spacing w:before="0" w:after="0"/>
        <w:rPr>
          <w:rFonts w:ascii="_‡ ˛" w:hAnsi="_‡ ˛" w:cs="_‡ ˛"/>
          <w:color w:val="000000"/>
          <w:sz w:val="19"/>
          <w:szCs w:val="19"/>
          <w:lang w:val="en-GB"/>
        </w:rPr>
      </w:pPr>
      <w:r>
        <w:rPr>
          <w:rFonts w:ascii="_‡ ˛" w:hAnsi="_‡ ˛" w:cs="_‡ ˛"/>
          <w:color w:val="000000"/>
          <w:sz w:val="19"/>
          <w:szCs w:val="19"/>
          <w:lang w:val="en-GB"/>
        </w:rPr>
        <w:t>Key Diagnostics Pty Ltd - Acquired genetic alteration IVDs</w:t>
      </w:r>
    </w:p>
    <w:p w14:paraId="73A39139" w14:textId="77777777" w:rsidR="00010AC9" w:rsidRDefault="00010AC9" w:rsidP="00010AC9">
      <w:pPr>
        <w:autoSpaceDE w:val="0"/>
        <w:autoSpaceDN w:val="0"/>
        <w:adjustRightInd w:val="0"/>
        <w:spacing w:before="0" w:after="0"/>
        <w:rPr>
          <w:rFonts w:ascii="_‡ ˛" w:hAnsi="_‡ ˛" w:cs="_‡ ˛"/>
          <w:color w:val="000000"/>
          <w:sz w:val="19"/>
          <w:szCs w:val="19"/>
          <w:lang w:val="en-GB"/>
        </w:rPr>
      </w:pPr>
      <w:r>
        <w:rPr>
          <w:rFonts w:ascii="_‡ ˛" w:hAnsi="_‡ ˛" w:cs="_‡ ˛"/>
          <w:color w:val="000000"/>
          <w:sz w:val="19"/>
          <w:szCs w:val="19"/>
          <w:lang w:val="en-GB"/>
        </w:rPr>
        <w:t>ARTG ID: 270292</w:t>
      </w:r>
    </w:p>
    <w:p w14:paraId="65072121" w14:textId="77777777" w:rsidR="00010AC9" w:rsidRDefault="00010AC9" w:rsidP="00010AC9">
      <w:pPr>
        <w:autoSpaceDE w:val="0"/>
        <w:autoSpaceDN w:val="0"/>
        <w:adjustRightInd w:val="0"/>
        <w:spacing w:before="0" w:after="0"/>
        <w:rPr>
          <w:rFonts w:ascii="_‡ ˛" w:hAnsi="_‡ ˛" w:cs="_‡ ˛"/>
          <w:color w:val="000000"/>
          <w:sz w:val="19"/>
          <w:szCs w:val="19"/>
          <w:lang w:val="en-GB"/>
        </w:rPr>
      </w:pPr>
      <w:r>
        <w:rPr>
          <w:rFonts w:ascii="_‡ ˛" w:hAnsi="_‡ ˛" w:cs="_‡ ˛"/>
          <w:color w:val="000000"/>
          <w:sz w:val="19"/>
          <w:szCs w:val="19"/>
          <w:lang w:val="en-GB"/>
        </w:rPr>
        <w:t>Product name: Acquired genetic alteration IVDs</w:t>
      </w:r>
    </w:p>
    <w:p w14:paraId="5D8EDEB4" w14:textId="77777777" w:rsidR="00010AC9" w:rsidRDefault="00010AC9" w:rsidP="00010AC9">
      <w:pPr>
        <w:autoSpaceDE w:val="0"/>
        <w:autoSpaceDN w:val="0"/>
        <w:adjustRightInd w:val="0"/>
        <w:spacing w:before="0" w:after="0"/>
        <w:rPr>
          <w:rFonts w:ascii="_‡ ˛" w:hAnsi="_‡ ˛" w:cs="_‡ ˛"/>
          <w:color w:val="000000"/>
          <w:sz w:val="19"/>
          <w:szCs w:val="19"/>
          <w:lang w:val="en-GB"/>
        </w:rPr>
      </w:pPr>
      <w:r>
        <w:rPr>
          <w:rFonts w:ascii="_‡ ˛" w:hAnsi="_‡ ˛" w:cs="_‡ ˛"/>
          <w:color w:val="000000"/>
          <w:sz w:val="19"/>
          <w:szCs w:val="19"/>
          <w:lang w:val="en-GB"/>
        </w:rPr>
        <w:t>Sponsor: Key Diagnostics Pty Ltd</w:t>
      </w:r>
    </w:p>
    <w:p w14:paraId="4D0298ED" w14:textId="77777777" w:rsidR="00010AC9" w:rsidRDefault="00010AC9" w:rsidP="00010AC9">
      <w:pPr>
        <w:autoSpaceDE w:val="0"/>
        <w:autoSpaceDN w:val="0"/>
        <w:adjustRightInd w:val="0"/>
        <w:spacing w:before="0" w:after="0"/>
        <w:rPr>
          <w:rFonts w:ascii="_‡ ˛" w:hAnsi="_‡ ˛" w:cs="_‡ ˛"/>
          <w:color w:val="000000"/>
          <w:sz w:val="19"/>
          <w:szCs w:val="19"/>
          <w:lang w:val="en-GB"/>
        </w:rPr>
      </w:pPr>
      <w:r>
        <w:rPr>
          <w:rFonts w:ascii="_‡ ˛" w:hAnsi="_‡ ˛" w:cs="_‡ ˛"/>
          <w:color w:val="000000"/>
          <w:sz w:val="19"/>
          <w:szCs w:val="19"/>
          <w:lang w:val="en-GB"/>
        </w:rPr>
        <w:t xml:space="preserve">Manufacturer: </w:t>
      </w:r>
      <w:proofErr w:type="spellStart"/>
      <w:r>
        <w:rPr>
          <w:rFonts w:ascii="_‡ ˛" w:hAnsi="_‡ ˛" w:cs="_‡ ˛"/>
          <w:color w:val="000000"/>
          <w:sz w:val="19"/>
          <w:szCs w:val="19"/>
          <w:lang w:val="en-GB"/>
        </w:rPr>
        <w:t>ViennaLab</w:t>
      </w:r>
      <w:proofErr w:type="spellEnd"/>
      <w:r>
        <w:rPr>
          <w:rFonts w:ascii="_‡ ˛" w:hAnsi="_‡ ˛" w:cs="_‡ ˛"/>
          <w:color w:val="000000"/>
          <w:sz w:val="19"/>
          <w:szCs w:val="19"/>
          <w:lang w:val="en-GB"/>
        </w:rPr>
        <w:t xml:space="preserve"> Diagnostics GmbH</w:t>
      </w:r>
    </w:p>
    <w:p w14:paraId="31E8945B" w14:textId="77777777" w:rsidR="00010AC9" w:rsidRDefault="00010AC9" w:rsidP="00010AC9">
      <w:pPr>
        <w:autoSpaceDE w:val="0"/>
        <w:autoSpaceDN w:val="0"/>
        <w:adjustRightInd w:val="0"/>
        <w:spacing w:before="0" w:after="0"/>
        <w:rPr>
          <w:rFonts w:ascii="_‡ ˛" w:hAnsi="_‡ ˛" w:cs="_‡ ˛"/>
          <w:color w:val="000000"/>
          <w:sz w:val="19"/>
          <w:szCs w:val="19"/>
          <w:lang w:val="en-GB"/>
        </w:rPr>
      </w:pPr>
    </w:p>
    <w:p w14:paraId="00C7BA3D" w14:textId="42903489" w:rsidR="00010AC9" w:rsidRDefault="00010AC9" w:rsidP="00010AC9">
      <w:pPr>
        <w:autoSpaceDE w:val="0"/>
        <w:autoSpaceDN w:val="0"/>
        <w:adjustRightInd w:val="0"/>
        <w:spacing w:before="0" w:after="0"/>
        <w:rPr>
          <w:rFonts w:ascii="_‡ ˛" w:hAnsi="_‡ ˛" w:cs="_‡ ˛"/>
          <w:color w:val="000000"/>
          <w:sz w:val="19"/>
          <w:szCs w:val="19"/>
          <w:lang w:val="en-GB"/>
        </w:rPr>
      </w:pPr>
      <w:r>
        <w:rPr>
          <w:rFonts w:ascii="_‡ ˛" w:hAnsi="_‡ ˛" w:cs="_‡ ˛"/>
          <w:color w:val="000000"/>
          <w:sz w:val="19"/>
          <w:szCs w:val="19"/>
          <w:lang w:val="en-GB"/>
        </w:rPr>
        <w:t>Agilent Technologies Australia Pty Ltd - Acquired genetic alteration…</w:t>
      </w:r>
    </w:p>
    <w:p w14:paraId="09405F00" w14:textId="77777777" w:rsidR="00010AC9" w:rsidRDefault="00010AC9" w:rsidP="00010AC9">
      <w:pPr>
        <w:autoSpaceDE w:val="0"/>
        <w:autoSpaceDN w:val="0"/>
        <w:adjustRightInd w:val="0"/>
        <w:spacing w:before="0" w:after="0"/>
        <w:rPr>
          <w:rFonts w:ascii="_‡ ˛" w:hAnsi="_‡ ˛" w:cs="_‡ ˛"/>
          <w:color w:val="000000"/>
          <w:sz w:val="19"/>
          <w:szCs w:val="19"/>
          <w:lang w:val="en-GB"/>
        </w:rPr>
      </w:pPr>
      <w:r>
        <w:rPr>
          <w:rFonts w:ascii="_‡ ˛" w:hAnsi="_‡ ˛" w:cs="_‡ ˛"/>
          <w:color w:val="000000"/>
          <w:sz w:val="19"/>
          <w:szCs w:val="19"/>
          <w:lang w:val="en-GB"/>
        </w:rPr>
        <w:t>ARTG ID: 264573</w:t>
      </w:r>
    </w:p>
    <w:p w14:paraId="05893642" w14:textId="77777777" w:rsidR="00010AC9" w:rsidRDefault="00010AC9" w:rsidP="00010AC9">
      <w:pPr>
        <w:autoSpaceDE w:val="0"/>
        <w:autoSpaceDN w:val="0"/>
        <w:adjustRightInd w:val="0"/>
        <w:spacing w:before="0" w:after="0"/>
        <w:rPr>
          <w:rFonts w:ascii="_‡ ˛" w:hAnsi="_‡ ˛" w:cs="_‡ ˛"/>
          <w:color w:val="000000"/>
          <w:sz w:val="19"/>
          <w:szCs w:val="19"/>
          <w:lang w:val="en-GB"/>
        </w:rPr>
      </w:pPr>
      <w:r>
        <w:rPr>
          <w:rFonts w:ascii="_‡ ˛" w:hAnsi="_‡ ˛" w:cs="_‡ ˛"/>
          <w:color w:val="000000"/>
          <w:sz w:val="19"/>
          <w:szCs w:val="19"/>
          <w:lang w:val="en-GB"/>
        </w:rPr>
        <w:t>Product name: Acquired genetic alteration IVDs</w:t>
      </w:r>
    </w:p>
    <w:p w14:paraId="7BF323E1" w14:textId="77777777" w:rsidR="00010AC9" w:rsidRDefault="00010AC9" w:rsidP="00010AC9">
      <w:pPr>
        <w:autoSpaceDE w:val="0"/>
        <w:autoSpaceDN w:val="0"/>
        <w:adjustRightInd w:val="0"/>
        <w:spacing w:before="0" w:after="0"/>
        <w:rPr>
          <w:rFonts w:ascii="_‡ ˛" w:hAnsi="_‡ ˛" w:cs="_‡ ˛"/>
          <w:color w:val="000000"/>
          <w:sz w:val="19"/>
          <w:szCs w:val="19"/>
          <w:lang w:val="en-GB"/>
        </w:rPr>
      </w:pPr>
      <w:r>
        <w:rPr>
          <w:rFonts w:ascii="_‡ ˛" w:hAnsi="_‡ ˛" w:cs="_‡ ˛"/>
          <w:color w:val="000000"/>
          <w:sz w:val="19"/>
          <w:szCs w:val="19"/>
          <w:lang w:val="en-GB"/>
        </w:rPr>
        <w:t>Sponsor: Agilent Technologies Australia Pty Ltd</w:t>
      </w:r>
    </w:p>
    <w:p w14:paraId="39B46324" w14:textId="77777777" w:rsidR="00010AC9" w:rsidRDefault="00010AC9" w:rsidP="00010AC9">
      <w:pPr>
        <w:autoSpaceDE w:val="0"/>
        <w:autoSpaceDN w:val="0"/>
        <w:adjustRightInd w:val="0"/>
        <w:spacing w:before="0" w:after="0"/>
        <w:rPr>
          <w:rFonts w:ascii="_‡ ˛" w:hAnsi="_‡ ˛" w:cs="_‡ ˛"/>
          <w:color w:val="000000"/>
          <w:sz w:val="19"/>
          <w:szCs w:val="19"/>
          <w:lang w:val="en-GB"/>
        </w:rPr>
      </w:pPr>
      <w:r>
        <w:rPr>
          <w:rFonts w:ascii="_‡ ˛" w:hAnsi="_‡ ˛" w:cs="_‡ ˛"/>
          <w:color w:val="000000"/>
          <w:sz w:val="19"/>
          <w:szCs w:val="19"/>
          <w:lang w:val="en-GB"/>
        </w:rPr>
        <w:t xml:space="preserve">Manufacturer: </w:t>
      </w:r>
      <w:proofErr w:type="spellStart"/>
      <w:r>
        <w:rPr>
          <w:rFonts w:ascii="_‡ ˛" w:hAnsi="_‡ ˛" w:cs="_‡ ˛"/>
          <w:color w:val="000000"/>
          <w:sz w:val="19"/>
          <w:szCs w:val="19"/>
          <w:lang w:val="en-GB"/>
        </w:rPr>
        <w:t>Dako</w:t>
      </w:r>
      <w:proofErr w:type="spellEnd"/>
      <w:r>
        <w:rPr>
          <w:rFonts w:ascii="_‡ ˛" w:hAnsi="_‡ ˛" w:cs="_‡ ˛"/>
          <w:color w:val="000000"/>
          <w:sz w:val="19"/>
          <w:szCs w:val="19"/>
          <w:lang w:val="en-GB"/>
        </w:rPr>
        <w:t xml:space="preserve"> Denmark AS</w:t>
      </w:r>
    </w:p>
    <w:p w14:paraId="7B147EA2" w14:textId="77777777" w:rsidR="00010AC9" w:rsidRDefault="00010AC9" w:rsidP="00010AC9">
      <w:pPr>
        <w:autoSpaceDE w:val="0"/>
        <w:autoSpaceDN w:val="0"/>
        <w:adjustRightInd w:val="0"/>
        <w:spacing w:before="0" w:after="0"/>
        <w:rPr>
          <w:rFonts w:ascii="_‡ ˛" w:hAnsi="_‡ ˛" w:cs="_‡ ˛"/>
          <w:color w:val="000000"/>
          <w:sz w:val="19"/>
          <w:szCs w:val="19"/>
          <w:lang w:val="en-GB"/>
        </w:rPr>
      </w:pPr>
    </w:p>
    <w:p w14:paraId="584C29A1" w14:textId="6F390F7F" w:rsidR="00010AC9" w:rsidRDefault="00010AC9" w:rsidP="00010AC9">
      <w:pPr>
        <w:autoSpaceDE w:val="0"/>
        <w:autoSpaceDN w:val="0"/>
        <w:adjustRightInd w:val="0"/>
        <w:spacing w:before="0" w:after="0"/>
        <w:rPr>
          <w:rFonts w:ascii="_‡ ˛" w:hAnsi="_‡ ˛" w:cs="_‡ ˛"/>
          <w:color w:val="000000"/>
          <w:sz w:val="19"/>
          <w:szCs w:val="19"/>
          <w:lang w:val="en-GB"/>
        </w:rPr>
      </w:pPr>
      <w:r>
        <w:rPr>
          <w:rFonts w:ascii="_‡ ˛" w:hAnsi="_‡ ˛" w:cs="_‡ ˛"/>
          <w:color w:val="000000"/>
          <w:sz w:val="19"/>
          <w:szCs w:val="19"/>
          <w:lang w:val="en-GB"/>
        </w:rPr>
        <w:t>Abacus dx Pty Ltd - Acquired genetic alteration IVDs</w:t>
      </w:r>
    </w:p>
    <w:p w14:paraId="7CE5DF40" w14:textId="77777777" w:rsidR="00010AC9" w:rsidRDefault="00010AC9" w:rsidP="00010AC9">
      <w:pPr>
        <w:autoSpaceDE w:val="0"/>
        <w:autoSpaceDN w:val="0"/>
        <w:adjustRightInd w:val="0"/>
        <w:spacing w:before="0" w:after="0"/>
        <w:rPr>
          <w:rFonts w:ascii="_‡ ˛" w:hAnsi="_‡ ˛" w:cs="_‡ ˛"/>
          <w:color w:val="000000"/>
          <w:sz w:val="19"/>
          <w:szCs w:val="19"/>
          <w:lang w:val="en-GB"/>
        </w:rPr>
      </w:pPr>
      <w:r>
        <w:rPr>
          <w:rFonts w:ascii="_‡ ˛" w:hAnsi="_‡ ˛" w:cs="_‡ ˛"/>
          <w:color w:val="000000"/>
          <w:sz w:val="19"/>
          <w:szCs w:val="19"/>
          <w:lang w:val="en-GB"/>
        </w:rPr>
        <w:t>ARTG ID: 262298</w:t>
      </w:r>
    </w:p>
    <w:p w14:paraId="19B28B52" w14:textId="77777777" w:rsidR="00010AC9" w:rsidRDefault="00010AC9" w:rsidP="00010AC9">
      <w:pPr>
        <w:autoSpaceDE w:val="0"/>
        <w:autoSpaceDN w:val="0"/>
        <w:adjustRightInd w:val="0"/>
        <w:spacing w:before="0" w:after="0"/>
        <w:rPr>
          <w:rFonts w:ascii="_‡ ˛" w:hAnsi="_‡ ˛" w:cs="_‡ ˛"/>
          <w:color w:val="000000"/>
          <w:sz w:val="19"/>
          <w:szCs w:val="19"/>
          <w:lang w:val="en-GB"/>
        </w:rPr>
      </w:pPr>
      <w:r>
        <w:rPr>
          <w:rFonts w:ascii="_‡ ˛" w:hAnsi="_‡ ˛" w:cs="_‡ ˛"/>
          <w:color w:val="000000"/>
          <w:sz w:val="19"/>
          <w:szCs w:val="19"/>
          <w:lang w:val="en-GB"/>
        </w:rPr>
        <w:t>Product name: Acquired genetic alteration IVDs - Acquired genetic alteration IVDs</w:t>
      </w:r>
    </w:p>
    <w:p w14:paraId="71978002" w14:textId="77777777" w:rsidR="00010AC9" w:rsidRDefault="00010AC9" w:rsidP="00010AC9">
      <w:pPr>
        <w:autoSpaceDE w:val="0"/>
        <w:autoSpaceDN w:val="0"/>
        <w:adjustRightInd w:val="0"/>
        <w:spacing w:before="0" w:after="0"/>
        <w:rPr>
          <w:rFonts w:ascii="_‡ ˛" w:hAnsi="_‡ ˛" w:cs="_‡ ˛"/>
          <w:color w:val="000000"/>
          <w:sz w:val="19"/>
          <w:szCs w:val="19"/>
          <w:lang w:val="en-GB"/>
        </w:rPr>
      </w:pPr>
      <w:r>
        <w:rPr>
          <w:rFonts w:ascii="_‡ ˛" w:hAnsi="_‡ ˛" w:cs="_‡ ˛"/>
          <w:color w:val="000000"/>
          <w:sz w:val="19"/>
          <w:szCs w:val="19"/>
          <w:lang w:val="en-GB"/>
        </w:rPr>
        <w:t>Sponsor: Abacus dx Pty Ltd</w:t>
      </w:r>
    </w:p>
    <w:p w14:paraId="5C16C7E8" w14:textId="77777777" w:rsidR="00010AC9" w:rsidRDefault="00010AC9" w:rsidP="00010AC9">
      <w:pPr>
        <w:autoSpaceDE w:val="0"/>
        <w:autoSpaceDN w:val="0"/>
        <w:adjustRightInd w:val="0"/>
        <w:spacing w:before="0" w:after="0"/>
        <w:rPr>
          <w:rFonts w:ascii="_‡ ˛" w:hAnsi="_‡ ˛" w:cs="_‡ ˛"/>
          <w:color w:val="000000"/>
          <w:sz w:val="19"/>
          <w:szCs w:val="19"/>
          <w:lang w:val="en-GB"/>
        </w:rPr>
      </w:pPr>
      <w:r>
        <w:rPr>
          <w:rFonts w:ascii="_‡ ˛" w:hAnsi="_‡ ˛" w:cs="_‡ ˛"/>
          <w:color w:val="000000"/>
          <w:sz w:val="19"/>
          <w:szCs w:val="19"/>
          <w:lang w:val="en-GB"/>
        </w:rPr>
        <w:t xml:space="preserve">Manufacturer: </w:t>
      </w:r>
      <w:proofErr w:type="spellStart"/>
      <w:r>
        <w:rPr>
          <w:rFonts w:ascii="_‡ ˛" w:hAnsi="_‡ ˛" w:cs="_‡ ˛"/>
          <w:color w:val="000000"/>
          <w:sz w:val="19"/>
          <w:szCs w:val="19"/>
          <w:lang w:val="en-GB"/>
        </w:rPr>
        <w:t>Biocartis</w:t>
      </w:r>
      <w:proofErr w:type="spellEnd"/>
      <w:r>
        <w:rPr>
          <w:rFonts w:ascii="_‡ ˛" w:hAnsi="_‡ ˛" w:cs="_‡ ˛"/>
          <w:color w:val="000000"/>
          <w:sz w:val="19"/>
          <w:szCs w:val="19"/>
          <w:lang w:val="en-GB"/>
        </w:rPr>
        <w:t xml:space="preserve"> NV</w:t>
      </w:r>
    </w:p>
    <w:p w14:paraId="44FEB251" w14:textId="77777777" w:rsidR="00010AC9" w:rsidRDefault="00010AC9" w:rsidP="00010AC9">
      <w:pPr>
        <w:autoSpaceDE w:val="0"/>
        <w:autoSpaceDN w:val="0"/>
        <w:adjustRightInd w:val="0"/>
        <w:spacing w:before="0" w:after="0"/>
        <w:rPr>
          <w:rFonts w:ascii="_‡ ˛" w:hAnsi="_‡ ˛" w:cs="_‡ ˛"/>
          <w:color w:val="000000"/>
          <w:sz w:val="19"/>
          <w:szCs w:val="19"/>
          <w:lang w:val="en-GB"/>
        </w:rPr>
      </w:pPr>
    </w:p>
    <w:p w14:paraId="205EC18C" w14:textId="107A57FB" w:rsidR="00010AC9" w:rsidRDefault="00010AC9" w:rsidP="00010AC9">
      <w:pPr>
        <w:autoSpaceDE w:val="0"/>
        <w:autoSpaceDN w:val="0"/>
        <w:adjustRightInd w:val="0"/>
        <w:spacing w:before="0" w:after="0"/>
        <w:rPr>
          <w:rFonts w:ascii="_‡ ˛" w:hAnsi="_‡ ˛" w:cs="_‡ ˛"/>
          <w:color w:val="000000"/>
          <w:sz w:val="19"/>
          <w:szCs w:val="19"/>
          <w:lang w:val="en-GB"/>
        </w:rPr>
      </w:pPr>
      <w:proofErr w:type="spellStart"/>
      <w:r>
        <w:rPr>
          <w:rFonts w:ascii="_‡ ˛" w:hAnsi="_‡ ˛" w:cs="_‡ ˛"/>
          <w:color w:val="000000"/>
          <w:sz w:val="19"/>
          <w:szCs w:val="19"/>
          <w:lang w:val="en-GB"/>
        </w:rPr>
        <w:t>Thermo</w:t>
      </w:r>
      <w:proofErr w:type="spellEnd"/>
      <w:r>
        <w:rPr>
          <w:rFonts w:ascii="_‡ ˛" w:hAnsi="_‡ ˛" w:cs="_‡ ˛"/>
          <w:color w:val="000000"/>
          <w:sz w:val="19"/>
          <w:szCs w:val="19"/>
          <w:lang w:val="en-GB"/>
        </w:rPr>
        <w:t xml:space="preserve"> Fisher Scientific Australia Pty Ltd - Acquired genetic</w:t>
      </w:r>
      <w:r w:rsidR="00364B81">
        <w:rPr>
          <w:rFonts w:ascii="_‡ ˛" w:hAnsi="_‡ ˛" w:cs="_‡ ˛"/>
          <w:color w:val="000000"/>
          <w:sz w:val="19"/>
          <w:szCs w:val="19"/>
          <w:lang w:val="en-GB"/>
        </w:rPr>
        <w:t xml:space="preserve"> alteration IVDs</w:t>
      </w:r>
    </w:p>
    <w:p w14:paraId="6E33DBD1" w14:textId="77777777" w:rsidR="00010AC9" w:rsidRDefault="00010AC9" w:rsidP="00010AC9">
      <w:pPr>
        <w:autoSpaceDE w:val="0"/>
        <w:autoSpaceDN w:val="0"/>
        <w:adjustRightInd w:val="0"/>
        <w:spacing w:before="0" w:after="0"/>
        <w:rPr>
          <w:rFonts w:ascii="_‡ ˛" w:hAnsi="_‡ ˛" w:cs="_‡ ˛"/>
          <w:color w:val="000000"/>
          <w:sz w:val="19"/>
          <w:szCs w:val="19"/>
          <w:lang w:val="en-GB"/>
        </w:rPr>
      </w:pPr>
      <w:r>
        <w:rPr>
          <w:rFonts w:ascii="_‡ ˛" w:hAnsi="_‡ ˛" w:cs="_‡ ˛"/>
          <w:color w:val="000000"/>
          <w:sz w:val="19"/>
          <w:szCs w:val="19"/>
          <w:lang w:val="en-GB"/>
        </w:rPr>
        <w:t>ARTG ID: 256113</w:t>
      </w:r>
    </w:p>
    <w:p w14:paraId="5684D776" w14:textId="77777777" w:rsidR="00010AC9" w:rsidRDefault="00010AC9" w:rsidP="00010AC9">
      <w:pPr>
        <w:autoSpaceDE w:val="0"/>
        <w:autoSpaceDN w:val="0"/>
        <w:adjustRightInd w:val="0"/>
        <w:spacing w:before="0" w:after="0"/>
        <w:rPr>
          <w:rFonts w:ascii="_‡ ˛" w:hAnsi="_‡ ˛" w:cs="_‡ ˛"/>
          <w:color w:val="000000"/>
          <w:sz w:val="19"/>
          <w:szCs w:val="19"/>
          <w:lang w:val="en-GB"/>
        </w:rPr>
      </w:pPr>
      <w:r>
        <w:rPr>
          <w:rFonts w:ascii="_‡ ˛" w:hAnsi="_‡ ˛" w:cs="_‡ ˛"/>
          <w:color w:val="000000"/>
          <w:sz w:val="19"/>
          <w:szCs w:val="19"/>
          <w:lang w:val="en-GB"/>
        </w:rPr>
        <w:t>Product name: Acquired genetic alteration IVDs</w:t>
      </w:r>
    </w:p>
    <w:p w14:paraId="414AB17E" w14:textId="77777777" w:rsidR="00010AC9" w:rsidRDefault="00010AC9" w:rsidP="00010AC9">
      <w:pPr>
        <w:autoSpaceDE w:val="0"/>
        <w:autoSpaceDN w:val="0"/>
        <w:adjustRightInd w:val="0"/>
        <w:spacing w:before="0" w:after="0"/>
        <w:rPr>
          <w:rFonts w:ascii="_‡ ˛" w:hAnsi="_‡ ˛" w:cs="_‡ ˛"/>
          <w:color w:val="000000"/>
          <w:sz w:val="19"/>
          <w:szCs w:val="19"/>
          <w:lang w:val="en-GB"/>
        </w:rPr>
      </w:pPr>
      <w:r>
        <w:rPr>
          <w:rFonts w:ascii="_‡ ˛" w:hAnsi="_‡ ˛" w:cs="_‡ ˛"/>
          <w:color w:val="000000"/>
          <w:sz w:val="19"/>
          <w:szCs w:val="19"/>
          <w:lang w:val="en-GB"/>
        </w:rPr>
        <w:t xml:space="preserve">Sponsor: </w:t>
      </w:r>
      <w:proofErr w:type="spellStart"/>
      <w:r>
        <w:rPr>
          <w:rFonts w:ascii="_‡ ˛" w:hAnsi="_‡ ˛" w:cs="_‡ ˛"/>
          <w:color w:val="000000"/>
          <w:sz w:val="19"/>
          <w:szCs w:val="19"/>
          <w:lang w:val="en-GB"/>
        </w:rPr>
        <w:t>Thermo</w:t>
      </w:r>
      <w:proofErr w:type="spellEnd"/>
      <w:r>
        <w:rPr>
          <w:rFonts w:ascii="_‡ ˛" w:hAnsi="_‡ ˛" w:cs="_‡ ˛"/>
          <w:color w:val="000000"/>
          <w:sz w:val="19"/>
          <w:szCs w:val="19"/>
          <w:lang w:val="en-GB"/>
        </w:rPr>
        <w:t xml:space="preserve"> Fisher Scientific Australia Pty Ltd</w:t>
      </w:r>
    </w:p>
    <w:p w14:paraId="698810A1" w14:textId="77777777" w:rsidR="00010AC9" w:rsidRDefault="00010AC9" w:rsidP="00010AC9">
      <w:pPr>
        <w:autoSpaceDE w:val="0"/>
        <w:autoSpaceDN w:val="0"/>
        <w:adjustRightInd w:val="0"/>
        <w:spacing w:before="0" w:after="0"/>
        <w:rPr>
          <w:rFonts w:ascii="_‡ ˛" w:hAnsi="_‡ ˛" w:cs="_‡ ˛"/>
          <w:color w:val="000000"/>
          <w:sz w:val="19"/>
          <w:szCs w:val="19"/>
          <w:lang w:val="en-GB"/>
        </w:rPr>
      </w:pPr>
      <w:r>
        <w:rPr>
          <w:rFonts w:ascii="_‡ ˛" w:hAnsi="_‡ ˛" w:cs="_‡ ˛"/>
          <w:color w:val="000000"/>
          <w:sz w:val="19"/>
          <w:szCs w:val="19"/>
          <w:lang w:val="en-GB"/>
        </w:rPr>
        <w:t xml:space="preserve">Manufacturer: </w:t>
      </w:r>
      <w:proofErr w:type="spellStart"/>
      <w:r>
        <w:rPr>
          <w:rFonts w:ascii="_‡ ˛" w:hAnsi="_‡ ˛" w:cs="_‡ ˛"/>
          <w:color w:val="000000"/>
          <w:sz w:val="19"/>
          <w:szCs w:val="19"/>
          <w:lang w:val="en-GB"/>
        </w:rPr>
        <w:t>Microgenics</w:t>
      </w:r>
      <w:proofErr w:type="spellEnd"/>
      <w:r>
        <w:rPr>
          <w:rFonts w:ascii="_‡ ˛" w:hAnsi="_‡ ˛" w:cs="_‡ ˛"/>
          <w:color w:val="000000"/>
          <w:sz w:val="19"/>
          <w:szCs w:val="19"/>
          <w:lang w:val="en-GB"/>
        </w:rPr>
        <w:t xml:space="preserve"> Corporation</w:t>
      </w:r>
    </w:p>
    <w:p w14:paraId="33D7C4AF" w14:textId="77777777" w:rsidR="00010AC9" w:rsidRDefault="00010AC9" w:rsidP="00010AC9">
      <w:pPr>
        <w:autoSpaceDE w:val="0"/>
        <w:autoSpaceDN w:val="0"/>
        <w:adjustRightInd w:val="0"/>
        <w:spacing w:before="0" w:after="0"/>
        <w:rPr>
          <w:rFonts w:ascii="_‡ ˛" w:hAnsi="_‡ ˛" w:cs="_‡ ˛"/>
          <w:color w:val="000000"/>
          <w:sz w:val="19"/>
          <w:szCs w:val="19"/>
          <w:lang w:val="en-GB"/>
        </w:rPr>
      </w:pPr>
    </w:p>
    <w:p w14:paraId="0D46D0A4" w14:textId="312BC551" w:rsidR="00010AC9" w:rsidRDefault="00010AC9" w:rsidP="00010AC9">
      <w:pPr>
        <w:autoSpaceDE w:val="0"/>
        <w:autoSpaceDN w:val="0"/>
        <w:adjustRightInd w:val="0"/>
        <w:spacing w:before="0" w:after="0"/>
        <w:rPr>
          <w:rFonts w:ascii="_‡ ˛" w:hAnsi="_‡ ˛" w:cs="_‡ ˛"/>
          <w:color w:val="000000"/>
          <w:sz w:val="19"/>
          <w:szCs w:val="19"/>
          <w:lang w:val="en-GB"/>
        </w:rPr>
      </w:pPr>
      <w:r>
        <w:rPr>
          <w:rFonts w:ascii="_‡ ˛" w:hAnsi="_‡ ˛" w:cs="_‡ ˛"/>
          <w:color w:val="000000"/>
          <w:sz w:val="19"/>
          <w:szCs w:val="19"/>
          <w:lang w:val="en-GB"/>
        </w:rPr>
        <w:lastRenderedPageBreak/>
        <w:t>Vela Diagnostics Australia Pty Ltd - Acquired genetic alteration IVDs</w:t>
      </w:r>
    </w:p>
    <w:p w14:paraId="70BEEE6E" w14:textId="77777777" w:rsidR="00010AC9" w:rsidRDefault="00010AC9" w:rsidP="00010AC9">
      <w:pPr>
        <w:autoSpaceDE w:val="0"/>
        <w:autoSpaceDN w:val="0"/>
        <w:adjustRightInd w:val="0"/>
        <w:spacing w:before="0" w:after="0"/>
        <w:rPr>
          <w:rFonts w:ascii="_‡ ˛" w:hAnsi="_‡ ˛" w:cs="_‡ ˛"/>
          <w:color w:val="000000"/>
          <w:sz w:val="19"/>
          <w:szCs w:val="19"/>
          <w:lang w:val="en-GB"/>
        </w:rPr>
      </w:pPr>
      <w:r>
        <w:rPr>
          <w:rFonts w:ascii="_‡ ˛" w:hAnsi="_‡ ˛" w:cs="_‡ ˛"/>
          <w:color w:val="000000"/>
          <w:sz w:val="19"/>
          <w:szCs w:val="19"/>
          <w:lang w:val="en-GB"/>
        </w:rPr>
        <w:t>ARTG ID: 235394</w:t>
      </w:r>
    </w:p>
    <w:p w14:paraId="67CDDD68" w14:textId="77777777" w:rsidR="00010AC9" w:rsidRDefault="00010AC9" w:rsidP="00010AC9">
      <w:pPr>
        <w:autoSpaceDE w:val="0"/>
        <w:autoSpaceDN w:val="0"/>
        <w:adjustRightInd w:val="0"/>
        <w:spacing w:before="0" w:after="0"/>
        <w:rPr>
          <w:rFonts w:ascii="_‡ ˛" w:hAnsi="_‡ ˛" w:cs="_‡ ˛"/>
          <w:color w:val="000000"/>
          <w:sz w:val="19"/>
          <w:szCs w:val="19"/>
          <w:lang w:val="en-GB"/>
        </w:rPr>
      </w:pPr>
      <w:r>
        <w:rPr>
          <w:rFonts w:ascii="_‡ ˛" w:hAnsi="_‡ ˛" w:cs="_‡ ˛"/>
          <w:color w:val="000000"/>
          <w:sz w:val="19"/>
          <w:szCs w:val="19"/>
          <w:lang w:val="en-GB"/>
        </w:rPr>
        <w:t>Product name: Acquired genetic alteration IVDs</w:t>
      </w:r>
    </w:p>
    <w:p w14:paraId="5FB3CAE7" w14:textId="77777777" w:rsidR="00010AC9" w:rsidRDefault="00010AC9" w:rsidP="00010AC9">
      <w:pPr>
        <w:autoSpaceDE w:val="0"/>
        <w:autoSpaceDN w:val="0"/>
        <w:adjustRightInd w:val="0"/>
        <w:spacing w:before="0" w:after="0"/>
        <w:rPr>
          <w:rFonts w:ascii="_‡ ˛" w:hAnsi="_‡ ˛" w:cs="_‡ ˛"/>
          <w:color w:val="000000"/>
          <w:sz w:val="19"/>
          <w:szCs w:val="19"/>
          <w:lang w:val="en-GB"/>
        </w:rPr>
      </w:pPr>
      <w:r>
        <w:rPr>
          <w:rFonts w:ascii="_‡ ˛" w:hAnsi="_‡ ˛" w:cs="_‡ ˛"/>
          <w:color w:val="000000"/>
          <w:sz w:val="19"/>
          <w:szCs w:val="19"/>
          <w:lang w:val="en-GB"/>
        </w:rPr>
        <w:t>Sponsor: Vela Diagnostics Australia Pty Ltd</w:t>
      </w:r>
    </w:p>
    <w:p w14:paraId="0F7BDDE2" w14:textId="77777777" w:rsidR="00010AC9" w:rsidRDefault="00010AC9" w:rsidP="00010AC9">
      <w:pPr>
        <w:autoSpaceDE w:val="0"/>
        <w:autoSpaceDN w:val="0"/>
        <w:adjustRightInd w:val="0"/>
        <w:spacing w:before="0" w:after="0"/>
        <w:rPr>
          <w:rFonts w:ascii="_‡ ˛" w:hAnsi="_‡ ˛" w:cs="_‡ ˛"/>
          <w:color w:val="000000"/>
          <w:sz w:val="19"/>
          <w:szCs w:val="19"/>
          <w:lang w:val="en-GB"/>
        </w:rPr>
      </w:pPr>
      <w:r>
        <w:rPr>
          <w:rFonts w:ascii="_‡ ˛" w:hAnsi="_‡ ˛" w:cs="_‡ ˛"/>
          <w:color w:val="000000"/>
          <w:sz w:val="19"/>
          <w:szCs w:val="19"/>
          <w:lang w:val="en-GB"/>
        </w:rPr>
        <w:t>Manufacturer: Vela Operations Singapore Pte Ltd</w:t>
      </w:r>
    </w:p>
    <w:p w14:paraId="29A07F76" w14:textId="77777777" w:rsidR="00010AC9" w:rsidRDefault="00010AC9" w:rsidP="00010AC9">
      <w:pPr>
        <w:autoSpaceDE w:val="0"/>
        <w:autoSpaceDN w:val="0"/>
        <w:adjustRightInd w:val="0"/>
        <w:spacing w:before="0" w:after="0"/>
        <w:rPr>
          <w:rFonts w:ascii="_‡ ˛" w:hAnsi="_‡ ˛" w:cs="_‡ ˛"/>
          <w:color w:val="000000"/>
          <w:sz w:val="17"/>
          <w:szCs w:val="17"/>
          <w:lang w:val="en-GB"/>
        </w:rPr>
      </w:pPr>
    </w:p>
    <w:p w14:paraId="2E03478B" w14:textId="0A318AA5" w:rsidR="00010AC9" w:rsidRDefault="00010AC9" w:rsidP="00010AC9">
      <w:pPr>
        <w:autoSpaceDE w:val="0"/>
        <w:autoSpaceDN w:val="0"/>
        <w:adjustRightInd w:val="0"/>
        <w:spacing w:before="0" w:after="0"/>
        <w:rPr>
          <w:rFonts w:ascii="_‡ ˛" w:hAnsi="_‡ ˛" w:cs="_‡ ˛"/>
          <w:color w:val="000000"/>
          <w:sz w:val="19"/>
          <w:szCs w:val="19"/>
          <w:lang w:val="en-GB"/>
        </w:rPr>
      </w:pPr>
      <w:r>
        <w:rPr>
          <w:rFonts w:ascii="_‡ ˛" w:hAnsi="_‡ ˛" w:cs="_‡ ˛"/>
          <w:color w:val="000000"/>
          <w:sz w:val="19"/>
          <w:szCs w:val="19"/>
          <w:lang w:val="en-GB"/>
        </w:rPr>
        <w:t>Vela Diagnostics Australia Pty Ltd - Acquired genetic alteration IVDs</w:t>
      </w:r>
    </w:p>
    <w:p w14:paraId="4EDC6960" w14:textId="77777777" w:rsidR="00010AC9" w:rsidRDefault="00010AC9" w:rsidP="00010AC9">
      <w:pPr>
        <w:autoSpaceDE w:val="0"/>
        <w:autoSpaceDN w:val="0"/>
        <w:adjustRightInd w:val="0"/>
        <w:spacing w:before="0" w:after="0"/>
        <w:rPr>
          <w:rFonts w:ascii="_‡ ˛" w:hAnsi="_‡ ˛" w:cs="_‡ ˛"/>
          <w:color w:val="000000"/>
          <w:sz w:val="19"/>
          <w:szCs w:val="19"/>
          <w:lang w:val="en-GB"/>
        </w:rPr>
      </w:pPr>
      <w:r>
        <w:rPr>
          <w:rFonts w:ascii="_‡ ˛" w:hAnsi="_‡ ˛" w:cs="_‡ ˛"/>
          <w:color w:val="000000"/>
          <w:sz w:val="19"/>
          <w:szCs w:val="19"/>
          <w:lang w:val="en-GB"/>
        </w:rPr>
        <w:t>ARTG ID: 228024</w:t>
      </w:r>
    </w:p>
    <w:p w14:paraId="78C36575" w14:textId="77777777" w:rsidR="00010AC9" w:rsidRDefault="00010AC9" w:rsidP="00010AC9">
      <w:pPr>
        <w:autoSpaceDE w:val="0"/>
        <w:autoSpaceDN w:val="0"/>
        <w:adjustRightInd w:val="0"/>
        <w:spacing w:before="0" w:after="0"/>
        <w:rPr>
          <w:rFonts w:ascii="_‡ ˛" w:hAnsi="_‡ ˛" w:cs="_‡ ˛"/>
          <w:color w:val="000000"/>
          <w:sz w:val="19"/>
          <w:szCs w:val="19"/>
          <w:lang w:val="en-GB"/>
        </w:rPr>
      </w:pPr>
      <w:r>
        <w:rPr>
          <w:rFonts w:ascii="_‡ ˛" w:hAnsi="_‡ ˛" w:cs="_‡ ˛"/>
          <w:color w:val="000000"/>
          <w:sz w:val="19"/>
          <w:szCs w:val="19"/>
          <w:lang w:val="en-GB"/>
        </w:rPr>
        <w:t>Product name: Acquired genetic alteration IVDs</w:t>
      </w:r>
    </w:p>
    <w:p w14:paraId="7B1834AF" w14:textId="77777777" w:rsidR="00010AC9" w:rsidRDefault="00010AC9" w:rsidP="00010AC9">
      <w:pPr>
        <w:autoSpaceDE w:val="0"/>
        <w:autoSpaceDN w:val="0"/>
        <w:adjustRightInd w:val="0"/>
        <w:spacing w:before="0" w:after="0"/>
        <w:rPr>
          <w:rFonts w:ascii="_‡ ˛" w:hAnsi="_‡ ˛" w:cs="_‡ ˛"/>
          <w:color w:val="000000"/>
          <w:sz w:val="19"/>
          <w:szCs w:val="19"/>
          <w:lang w:val="en-GB"/>
        </w:rPr>
      </w:pPr>
      <w:r>
        <w:rPr>
          <w:rFonts w:ascii="_‡ ˛" w:hAnsi="_‡ ˛" w:cs="_‡ ˛"/>
          <w:color w:val="000000"/>
          <w:sz w:val="19"/>
          <w:szCs w:val="19"/>
          <w:lang w:val="en-GB"/>
        </w:rPr>
        <w:t>Sponsor: Vela Diagnostics Australia Pty Ltd</w:t>
      </w:r>
    </w:p>
    <w:p w14:paraId="6AAA0F17" w14:textId="77777777" w:rsidR="00010AC9" w:rsidRDefault="00010AC9" w:rsidP="00010AC9">
      <w:pPr>
        <w:autoSpaceDE w:val="0"/>
        <w:autoSpaceDN w:val="0"/>
        <w:adjustRightInd w:val="0"/>
        <w:spacing w:before="0" w:after="0"/>
        <w:rPr>
          <w:rFonts w:ascii="_‡ ˛" w:hAnsi="_‡ ˛" w:cs="_‡ ˛"/>
          <w:color w:val="000000"/>
          <w:sz w:val="19"/>
          <w:szCs w:val="19"/>
          <w:lang w:val="en-GB"/>
        </w:rPr>
      </w:pPr>
      <w:r>
        <w:rPr>
          <w:rFonts w:ascii="_‡ ˛" w:hAnsi="_‡ ˛" w:cs="_‡ ˛"/>
          <w:color w:val="000000"/>
          <w:sz w:val="19"/>
          <w:szCs w:val="19"/>
          <w:lang w:val="en-GB"/>
        </w:rPr>
        <w:t>Manufacturer: Vela Operations Singapore Pte Ltd</w:t>
      </w:r>
    </w:p>
    <w:p w14:paraId="66060C2C" w14:textId="77777777" w:rsidR="00010AC9" w:rsidRDefault="00010AC9" w:rsidP="00010AC9">
      <w:pPr>
        <w:autoSpaceDE w:val="0"/>
        <w:autoSpaceDN w:val="0"/>
        <w:adjustRightInd w:val="0"/>
        <w:spacing w:before="0" w:after="0"/>
        <w:rPr>
          <w:rFonts w:ascii="_‡ ˛" w:hAnsi="_‡ ˛" w:cs="_‡ ˛"/>
          <w:color w:val="000000"/>
          <w:sz w:val="19"/>
          <w:szCs w:val="19"/>
          <w:lang w:val="en-GB"/>
        </w:rPr>
      </w:pPr>
    </w:p>
    <w:p w14:paraId="74588CEE" w14:textId="38F7A3FE" w:rsidR="00010AC9" w:rsidRDefault="00010AC9" w:rsidP="00010AC9">
      <w:pPr>
        <w:autoSpaceDE w:val="0"/>
        <w:autoSpaceDN w:val="0"/>
        <w:adjustRightInd w:val="0"/>
        <w:spacing w:before="0" w:after="0"/>
        <w:rPr>
          <w:rFonts w:ascii="_‡ ˛" w:hAnsi="_‡ ˛" w:cs="_‡ ˛"/>
          <w:color w:val="000000"/>
          <w:sz w:val="19"/>
          <w:szCs w:val="19"/>
          <w:lang w:val="en-GB"/>
        </w:rPr>
      </w:pPr>
      <w:proofErr w:type="spellStart"/>
      <w:r>
        <w:rPr>
          <w:rFonts w:ascii="_‡ ˛" w:hAnsi="_‡ ˛" w:cs="_‡ ˛"/>
          <w:color w:val="000000"/>
          <w:sz w:val="19"/>
          <w:szCs w:val="19"/>
          <w:lang w:val="en-GB"/>
        </w:rPr>
        <w:t>Qiagen</w:t>
      </w:r>
      <w:proofErr w:type="spellEnd"/>
      <w:r>
        <w:rPr>
          <w:rFonts w:ascii="_‡ ˛" w:hAnsi="_‡ ˛" w:cs="_‡ ˛"/>
          <w:color w:val="000000"/>
          <w:sz w:val="19"/>
          <w:szCs w:val="19"/>
          <w:lang w:val="en-GB"/>
        </w:rPr>
        <w:t xml:space="preserve"> Pty Ltd - Acquired genetic alteration IVDs</w:t>
      </w:r>
    </w:p>
    <w:p w14:paraId="04238A0A" w14:textId="77777777" w:rsidR="00010AC9" w:rsidRDefault="00010AC9" w:rsidP="00010AC9">
      <w:pPr>
        <w:autoSpaceDE w:val="0"/>
        <w:autoSpaceDN w:val="0"/>
        <w:adjustRightInd w:val="0"/>
        <w:spacing w:before="0" w:after="0"/>
        <w:rPr>
          <w:rFonts w:ascii="_‡ ˛" w:hAnsi="_‡ ˛" w:cs="_‡ ˛"/>
          <w:color w:val="000000"/>
          <w:sz w:val="19"/>
          <w:szCs w:val="19"/>
          <w:lang w:val="en-GB"/>
        </w:rPr>
      </w:pPr>
      <w:r>
        <w:rPr>
          <w:rFonts w:ascii="_‡ ˛" w:hAnsi="_‡ ˛" w:cs="_‡ ˛"/>
          <w:color w:val="000000"/>
          <w:sz w:val="19"/>
          <w:szCs w:val="19"/>
          <w:lang w:val="en-GB"/>
        </w:rPr>
        <w:t>ARTG ID: 226453</w:t>
      </w:r>
    </w:p>
    <w:p w14:paraId="6273539C" w14:textId="77777777" w:rsidR="00010AC9" w:rsidRDefault="00010AC9" w:rsidP="00010AC9">
      <w:pPr>
        <w:autoSpaceDE w:val="0"/>
        <w:autoSpaceDN w:val="0"/>
        <w:adjustRightInd w:val="0"/>
        <w:spacing w:before="0" w:after="0"/>
        <w:rPr>
          <w:rFonts w:ascii="_‡ ˛" w:hAnsi="_‡ ˛" w:cs="_‡ ˛"/>
          <w:color w:val="000000"/>
          <w:sz w:val="19"/>
          <w:szCs w:val="19"/>
          <w:lang w:val="en-GB"/>
        </w:rPr>
      </w:pPr>
      <w:r>
        <w:rPr>
          <w:rFonts w:ascii="_‡ ˛" w:hAnsi="_‡ ˛" w:cs="_‡ ˛"/>
          <w:color w:val="000000"/>
          <w:sz w:val="19"/>
          <w:szCs w:val="19"/>
          <w:lang w:val="en-GB"/>
        </w:rPr>
        <w:t>Product name: Acquired genetic alteration IVDs - Acquired genetic alteration IVDs</w:t>
      </w:r>
    </w:p>
    <w:p w14:paraId="7D5B676D" w14:textId="77777777" w:rsidR="00010AC9" w:rsidRDefault="00010AC9" w:rsidP="00010AC9">
      <w:pPr>
        <w:autoSpaceDE w:val="0"/>
        <w:autoSpaceDN w:val="0"/>
        <w:adjustRightInd w:val="0"/>
        <w:spacing w:before="0" w:after="0"/>
        <w:rPr>
          <w:rFonts w:ascii="_‡ ˛" w:hAnsi="_‡ ˛" w:cs="_‡ ˛"/>
          <w:color w:val="000000"/>
          <w:sz w:val="19"/>
          <w:szCs w:val="19"/>
          <w:lang w:val="en-GB"/>
        </w:rPr>
      </w:pPr>
      <w:r>
        <w:rPr>
          <w:rFonts w:ascii="_‡ ˛" w:hAnsi="_‡ ˛" w:cs="_‡ ˛"/>
          <w:color w:val="000000"/>
          <w:sz w:val="19"/>
          <w:szCs w:val="19"/>
          <w:lang w:val="en-GB"/>
        </w:rPr>
        <w:t xml:space="preserve">Sponsor: </w:t>
      </w:r>
      <w:proofErr w:type="spellStart"/>
      <w:r>
        <w:rPr>
          <w:rFonts w:ascii="_‡ ˛" w:hAnsi="_‡ ˛" w:cs="_‡ ˛"/>
          <w:color w:val="000000"/>
          <w:sz w:val="19"/>
          <w:szCs w:val="19"/>
          <w:lang w:val="en-GB"/>
        </w:rPr>
        <w:t>Qiagen</w:t>
      </w:r>
      <w:proofErr w:type="spellEnd"/>
      <w:r>
        <w:rPr>
          <w:rFonts w:ascii="_‡ ˛" w:hAnsi="_‡ ˛" w:cs="_‡ ˛"/>
          <w:color w:val="000000"/>
          <w:sz w:val="19"/>
          <w:szCs w:val="19"/>
          <w:lang w:val="en-GB"/>
        </w:rPr>
        <w:t xml:space="preserve"> Pty Ltd</w:t>
      </w:r>
    </w:p>
    <w:p w14:paraId="369BC60C" w14:textId="77777777" w:rsidR="00010AC9" w:rsidRDefault="00010AC9" w:rsidP="00010AC9">
      <w:pPr>
        <w:autoSpaceDE w:val="0"/>
        <w:autoSpaceDN w:val="0"/>
        <w:adjustRightInd w:val="0"/>
        <w:spacing w:before="0" w:after="0"/>
        <w:rPr>
          <w:rFonts w:ascii="_‡ ˛" w:hAnsi="_‡ ˛" w:cs="_‡ ˛"/>
          <w:color w:val="000000"/>
          <w:sz w:val="19"/>
          <w:szCs w:val="19"/>
          <w:lang w:val="en-GB"/>
        </w:rPr>
      </w:pPr>
      <w:r>
        <w:rPr>
          <w:rFonts w:ascii="_‡ ˛" w:hAnsi="_‡ ˛" w:cs="_‡ ˛"/>
          <w:color w:val="000000"/>
          <w:sz w:val="19"/>
          <w:szCs w:val="19"/>
          <w:lang w:val="en-GB"/>
        </w:rPr>
        <w:t xml:space="preserve">Manufacturer: </w:t>
      </w:r>
      <w:proofErr w:type="spellStart"/>
      <w:r>
        <w:rPr>
          <w:rFonts w:ascii="_‡ ˛" w:hAnsi="_‡ ˛" w:cs="_‡ ˛"/>
          <w:color w:val="000000"/>
          <w:sz w:val="19"/>
          <w:szCs w:val="19"/>
          <w:lang w:val="en-GB"/>
        </w:rPr>
        <w:t>Qiagen</w:t>
      </w:r>
      <w:proofErr w:type="spellEnd"/>
      <w:r>
        <w:rPr>
          <w:rFonts w:ascii="_‡ ˛" w:hAnsi="_‡ ˛" w:cs="_‡ ˛"/>
          <w:color w:val="000000"/>
          <w:sz w:val="19"/>
          <w:szCs w:val="19"/>
          <w:lang w:val="en-GB"/>
        </w:rPr>
        <w:t xml:space="preserve"> GmbH</w:t>
      </w:r>
    </w:p>
    <w:p w14:paraId="20EF0BC8" w14:textId="77777777" w:rsidR="00010AC9" w:rsidRDefault="00010AC9" w:rsidP="00010AC9">
      <w:pPr>
        <w:autoSpaceDE w:val="0"/>
        <w:autoSpaceDN w:val="0"/>
        <w:adjustRightInd w:val="0"/>
        <w:spacing w:before="0" w:after="0"/>
        <w:rPr>
          <w:rFonts w:ascii="_‡ ˛" w:hAnsi="_‡ ˛" w:cs="_‡ ˛"/>
          <w:color w:val="000000"/>
          <w:sz w:val="19"/>
          <w:szCs w:val="19"/>
          <w:lang w:val="en-GB"/>
        </w:rPr>
      </w:pPr>
    </w:p>
    <w:p w14:paraId="0448F9CE" w14:textId="0DA3C2AA" w:rsidR="00010AC9" w:rsidRDefault="00010AC9" w:rsidP="00010AC9">
      <w:pPr>
        <w:autoSpaceDE w:val="0"/>
        <w:autoSpaceDN w:val="0"/>
        <w:adjustRightInd w:val="0"/>
        <w:spacing w:before="0" w:after="0"/>
        <w:rPr>
          <w:rFonts w:ascii="_‡ ˛" w:hAnsi="_‡ ˛" w:cs="_‡ ˛"/>
          <w:color w:val="000000"/>
          <w:sz w:val="19"/>
          <w:szCs w:val="19"/>
          <w:lang w:val="en-GB"/>
        </w:rPr>
      </w:pPr>
      <w:proofErr w:type="spellStart"/>
      <w:r>
        <w:rPr>
          <w:rFonts w:ascii="_‡ ˛" w:hAnsi="_‡ ˛" w:cs="_‡ ˛"/>
          <w:color w:val="000000"/>
          <w:sz w:val="19"/>
          <w:szCs w:val="19"/>
          <w:lang w:val="en-GB"/>
        </w:rPr>
        <w:t>Qiagen</w:t>
      </w:r>
      <w:proofErr w:type="spellEnd"/>
      <w:r>
        <w:rPr>
          <w:rFonts w:ascii="_‡ ˛" w:hAnsi="_‡ ˛" w:cs="_‡ ˛"/>
          <w:color w:val="000000"/>
          <w:sz w:val="19"/>
          <w:szCs w:val="19"/>
          <w:lang w:val="en-GB"/>
        </w:rPr>
        <w:t xml:space="preserve"> Pty Ltd - Acquired genetic alteration IVDs</w:t>
      </w:r>
    </w:p>
    <w:p w14:paraId="7EA3FDA4" w14:textId="77777777" w:rsidR="00010AC9" w:rsidRDefault="00010AC9" w:rsidP="00010AC9">
      <w:pPr>
        <w:autoSpaceDE w:val="0"/>
        <w:autoSpaceDN w:val="0"/>
        <w:adjustRightInd w:val="0"/>
        <w:spacing w:before="0" w:after="0"/>
        <w:rPr>
          <w:rFonts w:ascii="_‡ ˛" w:hAnsi="_‡ ˛" w:cs="_‡ ˛"/>
          <w:color w:val="000000"/>
          <w:sz w:val="19"/>
          <w:szCs w:val="19"/>
          <w:lang w:val="en-GB"/>
        </w:rPr>
      </w:pPr>
      <w:r>
        <w:rPr>
          <w:rFonts w:ascii="_‡ ˛" w:hAnsi="_‡ ˛" w:cs="_‡ ˛"/>
          <w:color w:val="000000"/>
          <w:sz w:val="19"/>
          <w:szCs w:val="19"/>
          <w:lang w:val="en-GB"/>
        </w:rPr>
        <w:t>ARTG ID: 214994</w:t>
      </w:r>
    </w:p>
    <w:p w14:paraId="74468A6A" w14:textId="77777777" w:rsidR="00010AC9" w:rsidRDefault="00010AC9" w:rsidP="00010AC9">
      <w:pPr>
        <w:autoSpaceDE w:val="0"/>
        <w:autoSpaceDN w:val="0"/>
        <w:adjustRightInd w:val="0"/>
        <w:spacing w:before="0" w:after="0"/>
        <w:rPr>
          <w:rFonts w:ascii="_‡ ˛" w:hAnsi="_‡ ˛" w:cs="_‡ ˛"/>
          <w:color w:val="000000"/>
          <w:sz w:val="19"/>
          <w:szCs w:val="19"/>
          <w:lang w:val="en-GB"/>
        </w:rPr>
      </w:pPr>
      <w:r>
        <w:rPr>
          <w:rFonts w:ascii="_‡ ˛" w:hAnsi="_‡ ˛" w:cs="_‡ ˛"/>
          <w:color w:val="000000"/>
          <w:sz w:val="19"/>
          <w:szCs w:val="19"/>
          <w:lang w:val="en-GB"/>
        </w:rPr>
        <w:t>Product name: Acquired genetic alteration IVDs</w:t>
      </w:r>
    </w:p>
    <w:p w14:paraId="5138FEDD" w14:textId="77777777" w:rsidR="00010AC9" w:rsidRDefault="00010AC9" w:rsidP="00010AC9">
      <w:pPr>
        <w:autoSpaceDE w:val="0"/>
        <w:autoSpaceDN w:val="0"/>
        <w:adjustRightInd w:val="0"/>
        <w:spacing w:before="0" w:after="0"/>
        <w:rPr>
          <w:rFonts w:ascii="_‡ ˛" w:hAnsi="_‡ ˛" w:cs="_‡ ˛"/>
          <w:color w:val="000000"/>
          <w:sz w:val="19"/>
          <w:szCs w:val="19"/>
          <w:lang w:val="en-GB"/>
        </w:rPr>
      </w:pPr>
      <w:r>
        <w:rPr>
          <w:rFonts w:ascii="_‡ ˛" w:hAnsi="_‡ ˛" w:cs="_‡ ˛"/>
          <w:color w:val="000000"/>
          <w:sz w:val="19"/>
          <w:szCs w:val="19"/>
          <w:lang w:val="en-GB"/>
        </w:rPr>
        <w:t xml:space="preserve">Sponsor: </w:t>
      </w:r>
      <w:proofErr w:type="spellStart"/>
      <w:r>
        <w:rPr>
          <w:rFonts w:ascii="_‡ ˛" w:hAnsi="_‡ ˛" w:cs="_‡ ˛"/>
          <w:color w:val="000000"/>
          <w:sz w:val="19"/>
          <w:szCs w:val="19"/>
          <w:lang w:val="en-GB"/>
        </w:rPr>
        <w:t>Qiagen</w:t>
      </w:r>
      <w:proofErr w:type="spellEnd"/>
      <w:r>
        <w:rPr>
          <w:rFonts w:ascii="_‡ ˛" w:hAnsi="_‡ ˛" w:cs="_‡ ˛"/>
          <w:color w:val="000000"/>
          <w:sz w:val="19"/>
          <w:szCs w:val="19"/>
          <w:lang w:val="en-GB"/>
        </w:rPr>
        <w:t xml:space="preserve"> Pty Ltd</w:t>
      </w:r>
    </w:p>
    <w:p w14:paraId="129655F4" w14:textId="77777777" w:rsidR="00010AC9" w:rsidRDefault="00010AC9" w:rsidP="00010AC9">
      <w:pPr>
        <w:autoSpaceDE w:val="0"/>
        <w:autoSpaceDN w:val="0"/>
        <w:adjustRightInd w:val="0"/>
        <w:spacing w:before="0" w:after="0"/>
        <w:rPr>
          <w:rFonts w:ascii="_‡ ˛" w:hAnsi="_‡ ˛" w:cs="_‡ ˛"/>
          <w:color w:val="000000"/>
          <w:sz w:val="19"/>
          <w:szCs w:val="19"/>
          <w:lang w:val="en-GB"/>
        </w:rPr>
      </w:pPr>
      <w:r>
        <w:rPr>
          <w:rFonts w:ascii="_‡ ˛" w:hAnsi="_‡ ˛" w:cs="_‡ ˛"/>
          <w:color w:val="000000"/>
          <w:sz w:val="19"/>
          <w:szCs w:val="19"/>
          <w:lang w:val="en-GB"/>
        </w:rPr>
        <w:t xml:space="preserve">Manufacturer: </w:t>
      </w:r>
      <w:proofErr w:type="spellStart"/>
      <w:r>
        <w:rPr>
          <w:rFonts w:ascii="_‡ ˛" w:hAnsi="_‡ ˛" w:cs="_‡ ˛"/>
          <w:color w:val="000000"/>
          <w:sz w:val="19"/>
          <w:szCs w:val="19"/>
          <w:lang w:val="en-GB"/>
        </w:rPr>
        <w:t>Qiagen</w:t>
      </w:r>
      <w:proofErr w:type="spellEnd"/>
      <w:r>
        <w:rPr>
          <w:rFonts w:ascii="_‡ ˛" w:hAnsi="_‡ ˛" w:cs="_‡ ˛"/>
          <w:color w:val="000000"/>
          <w:sz w:val="19"/>
          <w:szCs w:val="19"/>
          <w:lang w:val="en-GB"/>
        </w:rPr>
        <w:t xml:space="preserve"> Manchester Ltd</w:t>
      </w:r>
    </w:p>
    <w:p w14:paraId="28B282EF" w14:textId="77777777" w:rsidR="00010AC9" w:rsidRDefault="00010AC9" w:rsidP="00010AC9">
      <w:pPr>
        <w:autoSpaceDE w:val="0"/>
        <w:autoSpaceDN w:val="0"/>
        <w:adjustRightInd w:val="0"/>
        <w:spacing w:before="0" w:after="0"/>
        <w:rPr>
          <w:rFonts w:ascii="_‡ ˛" w:hAnsi="_‡ ˛" w:cs="_‡ ˛"/>
          <w:color w:val="000000"/>
          <w:sz w:val="19"/>
          <w:szCs w:val="19"/>
          <w:lang w:val="en-GB"/>
        </w:rPr>
      </w:pPr>
    </w:p>
    <w:p w14:paraId="1EEFBD26" w14:textId="735C3361" w:rsidR="00010AC9" w:rsidRDefault="00010AC9" w:rsidP="00010AC9">
      <w:pPr>
        <w:autoSpaceDE w:val="0"/>
        <w:autoSpaceDN w:val="0"/>
        <w:adjustRightInd w:val="0"/>
        <w:spacing w:before="0" w:after="0"/>
        <w:rPr>
          <w:rFonts w:ascii="_‡ ˛" w:hAnsi="_‡ ˛" w:cs="_‡ ˛"/>
          <w:color w:val="000000"/>
          <w:sz w:val="19"/>
          <w:szCs w:val="19"/>
          <w:lang w:val="en-GB"/>
        </w:rPr>
      </w:pPr>
      <w:r>
        <w:rPr>
          <w:rFonts w:ascii="_‡ ˛" w:hAnsi="_‡ ˛" w:cs="_‡ ˛"/>
          <w:color w:val="000000"/>
          <w:sz w:val="19"/>
          <w:szCs w:val="19"/>
          <w:lang w:val="en-GB"/>
        </w:rPr>
        <w:t>Roche Diagnostics Australia Pty Limited - Acquired genetic alteration</w:t>
      </w:r>
      <w:r w:rsidR="00364B81">
        <w:rPr>
          <w:rFonts w:ascii="_‡ ˛" w:hAnsi="_‡ ˛" w:cs="_‡ ˛"/>
          <w:color w:val="000000"/>
          <w:sz w:val="19"/>
          <w:szCs w:val="19"/>
          <w:lang w:val="en-GB"/>
        </w:rPr>
        <w:t xml:space="preserve"> IVDs</w:t>
      </w:r>
    </w:p>
    <w:p w14:paraId="6E380C08" w14:textId="77777777" w:rsidR="00010AC9" w:rsidRDefault="00010AC9" w:rsidP="00010AC9">
      <w:pPr>
        <w:autoSpaceDE w:val="0"/>
        <w:autoSpaceDN w:val="0"/>
        <w:adjustRightInd w:val="0"/>
        <w:spacing w:before="0" w:after="0"/>
        <w:rPr>
          <w:rFonts w:ascii="_‡ ˛" w:hAnsi="_‡ ˛" w:cs="_‡ ˛"/>
          <w:color w:val="000000"/>
          <w:sz w:val="19"/>
          <w:szCs w:val="19"/>
          <w:lang w:val="en-GB"/>
        </w:rPr>
      </w:pPr>
      <w:r>
        <w:rPr>
          <w:rFonts w:ascii="_‡ ˛" w:hAnsi="_‡ ˛" w:cs="_‡ ˛"/>
          <w:color w:val="000000"/>
          <w:sz w:val="19"/>
          <w:szCs w:val="19"/>
          <w:lang w:val="en-GB"/>
        </w:rPr>
        <w:t>ARTG ID: 192395</w:t>
      </w:r>
    </w:p>
    <w:p w14:paraId="77328CB5" w14:textId="77777777" w:rsidR="00010AC9" w:rsidRDefault="00010AC9" w:rsidP="00010AC9">
      <w:pPr>
        <w:autoSpaceDE w:val="0"/>
        <w:autoSpaceDN w:val="0"/>
        <w:adjustRightInd w:val="0"/>
        <w:spacing w:before="0" w:after="0"/>
        <w:rPr>
          <w:rFonts w:ascii="_‡ ˛" w:hAnsi="_‡ ˛" w:cs="_‡ ˛"/>
          <w:color w:val="000000"/>
          <w:sz w:val="19"/>
          <w:szCs w:val="19"/>
          <w:lang w:val="en-GB"/>
        </w:rPr>
      </w:pPr>
      <w:r>
        <w:rPr>
          <w:rFonts w:ascii="_‡ ˛" w:hAnsi="_‡ ˛" w:cs="_‡ ˛"/>
          <w:color w:val="000000"/>
          <w:sz w:val="19"/>
          <w:szCs w:val="19"/>
          <w:lang w:val="en-GB"/>
        </w:rPr>
        <w:t>Product name: Acquired genetic alteration IVDs</w:t>
      </w:r>
    </w:p>
    <w:p w14:paraId="694CFB0E" w14:textId="77777777" w:rsidR="00010AC9" w:rsidRDefault="00010AC9" w:rsidP="00010AC9">
      <w:pPr>
        <w:autoSpaceDE w:val="0"/>
        <w:autoSpaceDN w:val="0"/>
        <w:adjustRightInd w:val="0"/>
        <w:spacing w:before="0" w:after="0"/>
        <w:rPr>
          <w:rFonts w:ascii="_‡ ˛" w:hAnsi="_‡ ˛" w:cs="_‡ ˛"/>
          <w:color w:val="000000"/>
          <w:sz w:val="19"/>
          <w:szCs w:val="19"/>
          <w:lang w:val="en-GB"/>
        </w:rPr>
      </w:pPr>
      <w:r>
        <w:rPr>
          <w:rFonts w:ascii="_‡ ˛" w:hAnsi="_‡ ˛" w:cs="_‡ ˛"/>
          <w:color w:val="000000"/>
          <w:sz w:val="19"/>
          <w:szCs w:val="19"/>
          <w:lang w:val="en-GB"/>
        </w:rPr>
        <w:t>Sponsor: Roche Diagnostics Australia Pty Limited</w:t>
      </w:r>
    </w:p>
    <w:p w14:paraId="4948394D" w14:textId="77777777" w:rsidR="00010AC9" w:rsidRDefault="00010AC9" w:rsidP="00010AC9">
      <w:pPr>
        <w:autoSpaceDE w:val="0"/>
        <w:autoSpaceDN w:val="0"/>
        <w:adjustRightInd w:val="0"/>
        <w:spacing w:before="0" w:after="0"/>
        <w:rPr>
          <w:rFonts w:ascii="_‡ ˛" w:hAnsi="_‡ ˛" w:cs="_‡ ˛"/>
          <w:color w:val="000000"/>
          <w:sz w:val="19"/>
          <w:szCs w:val="19"/>
          <w:lang w:val="en-GB"/>
        </w:rPr>
      </w:pPr>
      <w:r>
        <w:rPr>
          <w:rFonts w:ascii="_‡ ˛" w:hAnsi="_‡ ˛" w:cs="_‡ ˛"/>
          <w:color w:val="000000"/>
          <w:sz w:val="19"/>
          <w:szCs w:val="19"/>
          <w:lang w:val="en-GB"/>
        </w:rPr>
        <w:t>Manufacturer: Roche Diagnostics GmbH</w:t>
      </w:r>
    </w:p>
    <w:p w14:paraId="0426EEAA" w14:textId="77777777" w:rsidR="00010AC9" w:rsidRDefault="00010AC9" w:rsidP="00010AC9">
      <w:pPr>
        <w:autoSpaceDE w:val="0"/>
        <w:autoSpaceDN w:val="0"/>
        <w:adjustRightInd w:val="0"/>
        <w:spacing w:before="0" w:after="0"/>
        <w:rPr>
          <w:rFonts w:ascii="_‡ ˛" w:hAnsi="_‡ ˛" w:cs="_‡ ˛"/>
          <w:color w:val="000000"/>
          <w:sz w:val="19"/>
          <w:szCs w:val="19"/>
          <w:lang w:val="en-GB"/>
        </w:rPr>
      </w:pPr>
    </w:p>
    <w:p w14:paraId="72CB2A6B" w14:textId="6A841975" w:rsidR="00010AC9" w:rsidRDefault="00010AC9" w:rsidP="00010AC9">
      <w:pPr>
        <w:autoSpaceDE w:val="0"/>
        <w:autoSpaceDN w:val="0"/>
        <w:adjustRightInd w:val="0"/>
        <w:spacing w:before="0" w:after="0"/>
        <w:rPr>
          <w:rFonts w:ascii="_‡ ˛" w:hAnsi="_‡ ˛" w:cs="_‡ ˛"/>
          <w:color w:val="000000"/>
          <w:sz w:val="19"/>
          <w:szCs w:val="19"/>
          <w:lang w:val="en-GB"/>
        </w:rPr>
      </w:pPr>
      <w:r>
        <w:rPr>
          <w:rFonts w:ascii="_‡ ˛" w:hAnsi="_‡ ˛" w:cs="_‡ ˛"/>
          <w:color w:val="000000"/>
          <w:sz w:val="19"/>
          <w:szCs w:val="19"/>
          <w:lang w:val="en-GB"/>
        </w:rPr>
        <w:t>Roche Diagnostics Australia Pty Limited - Acquired genetic alteration</w:t>
      </w:r>
      <w:r w:rsidR="00364B81">
        <w:rPr>
          <w:rFonts w:ascii="_‡ ˛" w:hAnsi="_‡ ˛" w:cs="_‡ ˛"/>
          <w:color w:val="000000"/>
          <w:sz w:val="19"/>
          <w:szCs w:val="19"/>
          <w:lang w:val="en-GB"/>
        </w:rPr>
        <w:t xml:space="preserve"> IVDs</w:t>
      </w:r>
    </w:p>
    <w:p w14:paraId="772736D7" w14:textId="77777777" w:rsidR="00010AC9" w:rsidRDefault="00010AC9" w:rsidP="00010AC9">
      <w:pPr>
        <w:autoSpaceDE w:val="0"/>
        <w:autoSpaceDN w:val="0"/>
        <w:adjustRightInd w:val="0"/>
        <w:spacing w:before="0" w:after="0"/>
        <w:rPr>
          <w:rFonts w:ascii="_‡ ˛" w:hAnsi="_‡ ˛" w:cs="_‡ ˛"/>
          <w:color w:val="000000"/>
          <w:sz w:val="19"/>
          <w:szCs w:val="19"/>
          <w:lang w:val="en-GB"/>
        </w:rPr>
      </w:pPr>
      <w:r>
        <w:rPr>
          <w:rFonts w:ascii="_‡ ˛" w:hAnsi="_‡ ˛" w:cs="_‡ ˛"/>
          <w:color w:val="000000"/>
          <w:sz w:val="19"/>
          <w:szCs w:val="19"/>
          <w:lang w:val="en-GB"/>
        </w:rPr>
        <w:t>ARTG ID: 192394</w:t>
      </w:r>
    </w:p>
    <w:p w14:paraId="366FCC91" w14:textId="77777777" w:rsidR="00010AC9" w:rsidRDefault="00010AC9" w:rsidP="00010AC9">
      <w:pPr>
        <w:autoSpaceDE w:val="0"/>
        <w:autoSpaceDN w:val="0"/>
        <w:adjustRightInd w:val="0"/>
        <w:spacing w:before="0" w:after="0"/>
        <w:rPr>
          <w:rFonts w:ascii="_‡ ˛" w:hAnsi="_‡ ˛" w:cs="_‡ ˛"/>
          <w:color w:val="000000"/>
          <w:sz w:val="19"/>
          <w:szCs w:val="19"/>
          <w:lang w:val="en-GB"/>
        </w:rPr>
      </w:pPr>
      <w:r>
        <w:rPr>
          <w:rFonts w:ascii="_‡ ˛" w:hAnsi="_‡ ˛" w:cs="_‡ ˛"/>
          <w:color w:val="000000"/>
          <w:sz w:val="19"/>
          <w:szCs w:val="19"/>
          <w:lang w:val="en-GB"/>
        </w:rPr>
        <w:t>Product name: Acquired genetic alteration IVDs - Acquired genetic alteration IVDs</w:t>
      </w:r>
    </w:p>
    <w:p w14:paraId="7A07B741" w14:textId="77777777" w:rsidR="00010AC9" w:rsidRDefault="00010AC9" w:rsidP="00010AC9">
      <w:pPr>
        <w:autoSpaceDE w:val="0"/>
        <w:autoSpaceDN w:val="0"/>
        <w:adjustRightInd w:val="0"/>
        <w:spacing w:before="0" w:after="0"/>
        <w:rPr>
          <w:rFonts w:ascii="_‡ ˛" w:hAnsi="_‡ ˛" w:cs="_‡ ˛"/>
          <w:color w:val="000000"/>
          <w:sz w:val="19"/>
          <w:szCs w:val="19"/>
          <w:lang w:val="en-GB"/>
        </w:rPr>
      </w:pPr>
      <w:r>
        <w:rPr>
          <w:rFonts w:ascii="_‡ ˛" w:hAnsi="_‡ ˛" w:cs="_‡ ˛"/>
          <w:color w:val="000000"/>
          <w:sz w:val="19"/>
          <w:szCs w:val="19"/>
          <w:lang w:val="en-GB"/>
        </w:rPr>
        <w:t>Sponsor: Roche Diagnostics Australia Pty Limited</w:t>
      </w:r>
    </w:p>
    <w:p w14:paraId="150E3DFD" w14:textId="77777777" w:rsidR="00010AC9" w:rsidRDefault="00010AC9" w:rsidP="00010AC9">
      <w:pPr>
        <w:autoSpaceDE w:val="0"/>
        <w:autoSpaceDN w:val="0"/>
        <w:adjustRightInd w:val="0"/>
        <w:spacing w:before="0" w:after="0"/>
        <w:rPr>
          <w:rFonts w:ascii="_‡ ˛" w:hAnsi="_‡ ˛" w:cs="_‡ ˛"/>
          <w:color w:val="000000"/>
          <w:sz w:val="19"/>
          <w:szCs w:val="19"/>
          <w:lang w:val="en-GB"/>
        </w:rPr>
      </w:pPr>
      <w:r>
        <w:rPr>
          <w:rFonts w:ascii="_‡ ˛" w:hAnsi="_‡ ˛" w:cs="_‡ ˛"/>
          <w:color w:val="000000"/>
          <w:sz w:val="19"/>
          <w:szCs w:val="19"/>
          <w:lang w:val="en-GB"/>
        </w:rPr>
        <w:t>Manufacturer: Roche Diagnostics GmbH</w:t>
      </w:r>
    </w:p>
    <w:p w14:paraId="34D20781" w14:textId="77777777" w:rsidR="00010AC9" w:rsidRDefault="00010AC9" w:rsidP="00010AC9">
      <w:pPr>
        <w:autoSpaceDE w:val="0"/>
        <w:autoSpaceDN w:val="0"/>
        <w:adjustRightInd w:val="0"/>
        <w:spacing w:before="0" w:after="0"/>
        <w:rPr>
          <w:rFonts w:ascii="_‡ ˛" w:hAnsi="_‡ ˛" w:cs="_‡ ˛"/>
          <w:color w:val="000000"/>
          <w:sz w:val="19"/>
          <w:szCs w:val="19"/>
          <w:lang w:val="en-GB"/>
        </w:rPr>
      </w:pPr>
    </w:p>
    <w:p w14:paraId="058D2F64" w14:textId="7F2D2729" w:rsidR="00010AC9" w:rsidRDefault="00010AC9" w:rsidP="00010AC9">
      <w:pPr>
        <w:autoSpaceDE w:val="0"/>
        <w:autoSpaceDN w:val="0"/>
        <w:adjustRightInd w:val="0"/>
        <w:spacing w:before="0" w:after="0"/>
        <w:rPr>
          <w:rFonts w:ascii="_‡ ˛" w:hAnsi="_‡ ˛" w:cs="_‡ ˛"/>
          <w:color w:val="000000"/>
          <w:sz w:val="19"/>
          <w:szCs w:val="19"/>
          <w:lang w:val="en-GB"/>
        </w:rPr>
      </w:pPr>
      <w:r>
        <w:rPr>
          <w:rFonts w:ascii="_‡ ˛" w:hAnsi="_‡ ˛" w:cs="_‡ ˛"/>
          <w:color w:val="000000"/>
          <w:sz w:val="19"/>
          <w:szCs w:val="19"/>
          <w:lang w:val="en-GB"/>
        </w:rPr>
        <w:t>Roche Diagnostics Australia Pty Limited - Acquired genetic alteration</w:t>
      </w:r>
      <w:r w:rsidR="00364B81">
        <w:rPr>
          <w:rFonts w:ascii="_‡ ˛" w:hAnsi="_‡ ˛" w:cs="_‡ ˛"/>
          <w:color w:val="000000"/>
          <w:sz w:val="19"/>
          <w:szCs w:val="19"/>
          <w:lang w:val="en-GB"/>
        </w:rPr>
        <w:t xml:space="preserve"> IVDs</w:t>
      </w:r>
    </w:p>
    <w:p w14:paraId="145FD131" w14:textId="77777777" w:rsidR="00010AC9" w:rsidRDefault="00010AC9" w:rsidP="00010AC9">
      <w:pPr>
        <w:autoSpaceDE w:val="0"/>
        <w:autoSpaceDN w:val="0"/>
        <w:adjustRightInd w:val="0"/>
        <w:spacing w:before="0" w:after="0"/>
        <w:rPr>
          <w:rFonts w:ascii="_‡ ˛" w:hAnsi="_‡ ˛" w:cs="_‡ ˛"/>
          <w:color w:val="000000"/>
          <w:sz w:val="19"/>
          <w:szCs w:val="19"/>
          <w:lang w:val="en-GB"/>
        </w:rPr>
      </w:pPr>
      <w:r>
        <w:rPr>
          <w:rFonts w:ascii="_‡ ˛" w:hAnsi="_‡ ˛" w:cs="_‡ ˛"/>
          <w:color w:val="000000"/>
          <w:sz w:val="19"/>
          <w:szCs w:val="19"/>
          <w:lang w:val="en-GB"/>
        </w:rPr>
        <w:t>ARTG ID: 180933</w:t>
      </w:r>
    </w:p>
    <w:p w14:paraId="3AE911AE" w14:textId="77777777" w:rsidR="00010AC9" w:rsidRDefault="00010AC9" w:rsidP="00010AC9">
      <w:pPr>
        <w:autoSpaceDE w:val="0"/>
        <w:autoSpaceDN w:val="0"/>
        <w:adjustRightInd w:val="0"/>
        <w:spacing w:before="0" w:after="0"/>
        <w:rPr>
          <w:rFonts w:ascii="_‡ ˛" w:hAnsi="_‡ ˛" w:cs="_‡ ˛"/>
          <w:color w:val="000000"/>
          <w:sz w:val="19"/>
          <w:szCs w:val="19"/>
          <w:lang w:val="en-GB"/>
        </w:rPr>
      </w:pPr>
      <w:r>
        <w:rPr>
          <w:rFonts w:ascii="_‡ ˛" w:hAnsi="_‡ ˛" w:cs="_‡ ˛"/>
          <w:color w:val="000000"/>
          <w:sz w:val="19"/>
          <w:szCs w:val="19"/>
          <w:lang w:val="en-GB"/>
        </w:rPr>
        <w:t>Product name: Acquired genetic alteration IVDs - Acquired genetic alteration IVDs</w:t>
      </w:r>
    </w:p>
    <w:p w14:paraId="1A5801A0" w14:textId="77777777" w:rsidR="00010AC9" w:rsidRDefault="00010AC9" w:rsidP="00010AC9">
      <w:pPr>
        <w:autoSpaceDE w:val="0"/>
        <w:autoSpaceDN w:val="0"/>
        <w:adjustRightInd w:val="0"/>
        <w:spacing w:before="0" w:after="0"/>
        <w:rPr>
          <w:rFonts w:ascii="_‡ ˛" w:hAnsi="_‡ ˛" w:cs="_‡ ˛"/>
          <w:color w:val="000000"/>
          <w:sz w:val="19"/>
          <w:szCs w:val="19"/>
          <w:lang w:val="en-GB"/>
        </w:rPr>
      </w:pPr>
      <w:r>
        <w:rPr>
          <w:rFonts w:ascii="_‡ ˛" w:hAnsi="_‡ ˛" w:cs="_‡ ˛"/>
          <w:color w:val="000000"/>
          <w:sz w:val="19"/>
          <w:szCs w:val="19"/>
          <w:lang w:val="en-GB"/>
        </w:rPr>
        <w:t>Sponsor: Roche Diagnostics Australia Pty Limited</w:t>
      </w:r>
    </w:p>
    <w:p w14:paraId="63E642EC" w14:textId="5B7CC0C9" w:rsidR="00010AC9" w:rsidRDefault="00010AC9" w:rsidP="005651FA">
      <w:pPr>
        <w:spacing w:before="0" w:after="0"/>
        <w:rPr>
          <w:rFonts w:ascii="_‡ ˛" w:hAnsi="_‡ ˛" w:cs="_‡ ˛"/>
          <w:color w:val="000000"/>
          <w:sz w:val="19"/>
          <w:szCs w:val="19"/>
          <w:lang w:val="en-GB"/>
        </w:rPr>
      </w:pPr>
      <w:r>
        <w:rPr>
          <w:rFonts w:ascii="_‡ ˛" w:hAnsi="_‡ ˛" w:cs="_‡ ˛"/>
          <w:color w:val="000000"/>
          <w:sz w:val="19"/>
          <w:szCs w:val="19"/>
          <w:lang w:val="en-GB"/>
        </w:rPr>
        <w:t>Manufacturer: Roche Diagnostics GmbH</w:t>
      </w:r>
    </w:p>
    <w:p w14:paraId="5BFCB99B" w14:textId="60D7D9EC" w:rsidR="00B1411C" w:rsidRDefault="00B1411C" w:rsidP="005651FA">
      <w:pPr>
        <w:spacing w:before="0" w:after="0"/>
        <w:rPr>
          <w:rFonts w:ascii="_‡ ˛" w:hAnsi="_‡ ˛" w:cs="_‡ ˛"/>
          <w:color w:val="000000"/>
          <w:sz w:val="19"/>
          <w:szCs w:val="19"/>
          <w:lang w:val="en-GB"/>
        </w:rPr>
      </w:pPr>
    </w:p>
    <w:p w14:paraId="53D027FF" w14:textId="613433F6" w:rsidR="00B1411C" w:rsidRDefault="00B1411C" w:rsidP="005651FA">
      <w:pPr>
        <w:spacing w:before="0" w:after="0"/>
        <w:rPr>
          <w:rFonts w:ascii="_‡ ˛" w:hAnsi="_‡ ˛" w:cs="_‡ ˛"/>
          <w:color w:val="000000"/>
          <w:sz w:val="19"/>
          <w:szCs w:val="19"/>
          <w:lang w:val="en-GB"/>
        </w:rPr>
      </w:pPr>
      <w:r>
        <w:rPr>
          <w:rFonts w:ascii="_‡ ˛" w:hAnsi="_‡ ˛" w:cs="_‡ ˛"/>
          <w:color w:val="000000"/>
          <w:sz w:val="19"/>
          <w:szCs w:val="19"/>
          <w:lang w:val="en-GB"/>
        </w:rPr>
        <w:t>Illumina Australia Pty Ltd – Human genetics-related IVDs</w:t>
      </w:r>
    </w:p>
    <w:p w14:paraId="2ABA5955" w14:textId="70A8525E" w:rsidR="00B1411C" w:rsidRDefault="00B1411C" w:rsidP="005651FA">
      <w:pPr>
        <w:spacing w:before="0" w:after="0"/>
        <w:rPr>
          <w:rFonts w:ascii="_‡ ˛" w:hAnsi="_‡ ˛" w:cs="_‡ ˛"/>
          <w:color w:val="000000"/>
          <w:sz w:val="19"/>
          <w:szCs w:val="19"/>
          <w:lang w:val="en-GB"/>
        </w:rPr>
      </w:pPr>
      <w:r>
        <w:rPr>
          <w:rFonts w:ascii="_‡ ˛" w:hAnsi="_‡ ˛" w:cs="_‡ ˛"/>
          <w:color w:val="000000"/>
          <w:sz w:val="19"/>
          <w:szCs w:val="19"/>
          <w:lang w:val="en-GB"/>
        </w:rPr>
        <w:t>ARTG ID: 297844</w:t>
      </w:r>
    </w:p>
    <w:p w14:paraId="046CCB99" w14:textId="105A5113" w:rsidR="00B1411C" w:rsidRDefault="00B1411C" w:rsidP="005651FA">
      <w:pPr>
        <w:spacing w:before="0" w:after="0"/>
        <w:rPr>
          <w:rFonts w:ascii="_‡ ˛" w:hAnsi="_‡ ˛" w:cs="_‡ ˛"/>
          <w:color w:val="000000"/>
          <w:sz w:val="19"/>
          <w:szCs w:val="19"/>
          <w:lang w:val="en-GB"/>
        </w:rPr>
      </w:pPr>
      <w:r>
        <w:rPr>
          <w:rFonts w:ascii="_‡ ˛" w:hAnsi="_‡ ˛" w:cs="_‡ ˛"/>
          <w:color w:val="000000"/>
          <w:sz w:val="19"/>
          <w:szCs w:val="19"/>
          <w:lang w:val="en-GB"/>
        </w:rPr>
        <w:t>Product name: Human genetics</w:t>
      </w:r>
      <w:r w:rsidR="00364B81">
        <w:rPr>
          <w:rFonts w:ascii="_‡ ˛" w:hAnsi="_‡ ˛" w:cs="_‡ ˛"/>
          <w:color w:val="000000"/>
          <w:sz w:val="19"/>
          <w:szCs w:val="19"/>
          <w:lang w:val="en-GB"/>
        </w:rPr>
        <w:t xml:space="preserve"> </w:t>
      </w:r>
      <w:r>
        <w:rPr>
          <w:rFonts w:ascii="_‡ ˛" w:hAnsi="_‡ ˛" w:cs="_‡ ˛"/>
          <w:color w:val="000000"/>
          <w:sz w:val="19"/>
          <w:szCs w:val="19"/>
          <w:lang w:val="en-GB"/>
        </w:rPr>
        <w:t>related IVDs</w:t>
      </w:r>
    </w:p>
    <w:p w14:paraId="30EB1A06" w14:textId="18FFEB98" w:rsidR="00B1411C" w:rsidRDefault="00B1411C" w:rsidP="005651FA">
      <w:pPr>
        <w:spacing w:before="0" w:after="0"/>
        <w:rPr>
          <w:rFonts w:ascii="_‡ ˛" w:hAnsi="_‡ ˛" w:cs="_‡ ˛"/>
          <w:color w:val="000000"/>
          <w:sz w:val="19"/>
          <w:szCs w:val="19"/>
          <w:lang w:val="en-GB"/>
        </w:rPr>
      </w:pPr>
      <w:r>
        <w:rPr>
          <w:rFonts w:ascii="_‡ ˛" w:hAnsi="_‡ ˛" w:cs="_‡ ˛"/>
          <w:color w:val="000000"/>
          <w:sz w:val="19"/>
          <w:szCs w:val="19"/>
          <w:lang w:val="en-GB"/>
        </w:rPr>
        <w:t>Sponsor: Illumina Australia Pty Ltd</w:t>
      </w:r>
    </w:p>
    <w:p w14:paraId="2CFDDBDE" w14:textId="5920B338" w:rsidR="00B1411C" w:rsidRPr="0043654D" w:rsidRDefault="00B1411C" w:rsidP="005651FA">
      <w:pPr>
        <w:spacing w:before="0" w:after="0"/>
        <w:rPr>
          <w:szCs w:val="20"/>
        </w:rPr>
      </w:pPr>
      <w:r>
        <w:rPr>
          <w:rFonts w:ascii="_‡ ˛" w:hAnsi="_‡ ˛" w:cs="_‡ ˛"/>
          <w:color w:val="000000"/>
          <w:sz w:val="19"/>
          <w:szCs w:val="19"/>
          <w:lang w:val="en-GB"/>
        </w:rPr>
        <w:t xml:space="preserve">Manufacturer: Illumina </w:t>
      </w:r>
      <w:proofErr w:type="spellStart"/>
      <w:r>
        <w:rPr>
          <w:rFonts w:ascii="_‡ ˛" w:hAnsi="_‡ ˛" w:cs="_‡ ˛"/>
          <w:color w:val="000000"/>
          <w:sz w:val="19"/>
          <w:szCs w:val="19"/>
          <w:lang w:val="en-GB"/>
        </w:rPr>
        <w:t>Inc</w:t>
      </w:r>
      <w:proofErr w:type="spellEnd"/>
    </w:p>
    <w:p w14:paraId="20F7CB03" w14:textId="77777777" w:rsidR="00C0796F" w:rsidRPr="0043654D" w:rsidRDefault="00C0796F" w:rsidP="00530204">
      <w:pPr>
        <w:pStyle w:val="Heading2"/>
      </w:pPr>
      <w:r w:rsidRPr="0043654D">
        <w:t>If the therapeutic good has not been listed, registered or included in the ARTG, is the therapeutic good in the process of being considered for inclusion by the TGA?</w:t>
      </w:r>
    </w:p>
    <w:p w14:paraId="5D33EA0F" w14:textId="77777777" w:rsidR="0047581D" w:rsidRDefault="0047581D" w:rsidP="0047581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77575">
        <w:rPr>
          <w:szCs w:val="20"/>
        </w:rPr>
      </w:r>
      <w:r w:rsidR="00577575">
        <w:rPr>
          <w:szCs w:val="20"/>
        </w:rPr>
        <w:fldChar w:fldCharType="separate"/>
      </w:r>
      <w:r w:rsidRPr="000A5B32">
        <w:rPr>
          <w:szCs w:val="20"/>
        </w:rPr>
        <w:fldChar w:fldCharType="end"/>
      </w:r>
      <w:r>
        <w:rPr>
          <w:szCs w:val="20"/>
        </w:rPr>
        <w:t xml:space="preserve"> Yes (please provide details below)</w:t>
      </w:r>
    </w:p>
    <w:p w14:paraId="2BA73597" w14:textId="62E1AE72" w:rsidR="0047581D" w:rsidRDefault="00900ED6" w:rsidP="0047581D">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577575">
        <w:rPr>
          <w:szCs w:val="20"/>
        </w:rPr>
      </w:r>
      <w:r w:rsidR="00577575">
        <w:rPr>
          <w:szCs w:val="20"/>
        </w:rPr>
        <w:fldChar w:fldCharType="separate"/>
      </w:r>
      <w:r>
        <w:rPr>
          <w:szCs w:val="20"/>
        </w:rPr>
        <w:fldChar w:fldCharType="end"/>
      </w:r>
      <w:r w:rsidR="0047581D">
        <w:rPr>
          <w:szCs w:val="20"/>
        </w:rPr>
        <w:t xml:space="preserve"> No</w:t>
      </w:r>
    </w:p>
    <w:p w14:paraId="48BFAA29" w14:textId="77777777" w:rsidR="0047581D" w:rsidRDefault="0047581D" w:rsidP="0047581D">
      <w:pPr>
        <w:spacing w:before="0" w:after="0"/>
        <w:rPr>
          <w:b/>
          <w:szCs w:val="20"/>
        </w:rPr>
      </w:pPr>
    </w:p>
    <w:p w14:paraId="0A7CB295" w14:textId="3D7E0F7A" w:rsidR="003433D1" w:rsidRPr="0047581D" w:rsidRDefault="00D931E4" w:rsidP="0047581D">
      <w:pPr>
        <w:spacing w:before="0" w:after="0"/>
        <w:rPr>
          <w:szCs w:val="20"/>
        </w:rPr>
      </w:pPr>
      <w:r>
        <w:rPr>
          <w:szCs w:val="20"/>
        </w:rPr>
        <w:t>Not applicable</w:t>
      </w:r>
    </w:p>
    <w:p w14:paraId="6CDBA8B0" w14:textId="77777777" w:rsidR="00C0796F" w:rsidRPr="000A110D" w:rsidRDefault="000A110D" w:rsidP="00530204">
      <w:pPr>
        <w:pStyle w:val="Heading2"/>
      </w:pPr>
      <w:r>
        <w:t>I</w:t>
      </w:r>
      <w:r w:rsidR="00C0796F" w:rsidRPr="000A110D">
        <w:t xml:space="preserve">f the therapeutic good </w:t>
      </w:r>
      <w:r w:rsidR="00F83A9D" w:rsidRPr="000A110D">
        <w:t>is not in the process of being considered for listing</w:t>
      </w:r>
      <w:r w:rsidR="00C0796F" w:rsidRPr="000A110D">
        <w:t xml:space="preserve">, </w:t>
      </w:r>
      <w:r w:rsidR="00F83A9D" w:rsidRPr="000A110D">
        <w:t xml:space="preserve">registration </w:t>
      </w:r>
      <w:r w:rsidR="00C0796F" w:rsidRPr="000A110D">
        <w:t xml:space="preserve">or </w:t>
      </w:r>
      <w:r w:rsidR="00F83A9D" w:rsidRPr="000A110D">
        <w:t>inclusion by the TGA, is an application to the TGA being prepared?</w:t>
      </w:r>
    </w:p>
    <w:p w14:paraId="41E3485F" w14:textId="06EE4613" w:rsidR="000A110D" w:rsidRDefault="00900ED6" w:rsidP="000A110D">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577575">
        <w:rPr>
          <w:szCs w:val="20"/>
        </w:rPr>
      </w:r>
      <w:r w:rsidR="00577575">
        <w:rPr>
          <w:szCs w:val="20"/>
        </w:rPr>
        <w:fldChar w:fldCharType="separate"/>
      </w:r>
      <w:r>
        <w:rPr>
          <w:szCs w:val="20"/>
        </w:rPr>
        <w:fldChar w:fldCharType="end"/>
      </w:r>
      <w:r w:rsidR="000A110D">
        <w:rPr>
          <w:szCs w:val="20"/>
        </w:rPr>
        <w:t xml:space="preserve"> Yes (please provide details below)</w:t>
      </w:r>
    </w:p>
    <w:p w14:paraId="5EA95EA1" w14:textId="0C02AA9D" w:rsidR="00194D39" w:rsidRPr="00D931E4" w:rsidRDefault="000A110D" w:rsidP="00D931E4">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77575">
        <w:rPr>
          <w:szCs w:val="20"/>
        </w:rPr>
      </w:r>
      <w:r w:rsidR="00577575">
        <w:rPr>
          <w:szCs w:val="20"/>
        </w:rPr>
        <w:fldChar w:fldCharType="separate"/>
      </w:r>
      <w:r w:rsidRPr="000A5B32">
        <w:rPr>
          <w:szCs w:val="20"/>
        </w:rPr>
        <w:fldChar w:fldCharType="end"/>
      </w:r>
      <w:r>
        <w:rPr>
          <w:szCs w:val="20"/>
        </w:rPr>
        <w:t xml:space="preserve"> No</w:t>
      </w:r>
    </w:p>
    <w:p w14:paraId="54B697D6" w14:textId="5537B651" w:rsidR="0030342F" w:rsidRPr="00075F5F" w:rsidRDefault="00A82D25" w:rsidP="00D931E4">
      <w:pPr>
        <w:pStyle w:val="Text"/>
        <w:widowControl w:val="0"/>
        <w:spacing w:beforeLines="40" w:before="96" w:line="240" w:lineRule="auto"/>
        <w:ind w:left="284"/>
        <w:rPr>
          <w:rFonts w:asciiTheme="minorHAnsi" w:eastAsiaTheme="minorHAnsi" w:hAnsiTheme="minorHAnsi" w:cstheme="minorBidi"/>
          <w:sz w:val="20"/>
          <w:lang w:val="en-AU"/>
        </w:rPr>
      </w:pPr>
      <w:r w:rsidRPr="00075F5F">
        <w:rPr>
          <w:rFonts w:asciiTheme="minorHAnsi" w:eastAsiaTheme="minorHAnsi" w:hAnsiTheme="minorHAnsi" w:cstheme="minorBidi"/>
          <w:sz w:val="20"/>
          <w:lang w:val="en-AU"/>
        </w:rPr>
        <w:t>The evidentiary standard</w:t>
      </w:r>
      <w:r w:rsidR="0030342F" w:rsidRPr="00075F5F">
        <w:rPr>
          <w:rFonts w:asciiTheme="minorHAnsi" w:eastAsiaTheme="minorHAnsi" w:hAnsiTheme="minorHAnsi" w:cstheme="minorBidi"/>
          <w:sz w:val="20"/>
          <w:lang w:val="en-AU"/>
        </w:rPr>
        <w:t xml:space="preserve"> – the</w:t>
      </w:r>
      <w:r w:rsidRPr="00075F5F">
        <w:rPr>
          <w:rFonts w:asciiTheme="minorHAnsi" w:eastAsiaTheme="minorHAnsi" w:hAnsiTheme="minorHAnsi" w:cstheme="minorBidi"/>
          <w:sz w:val="20"/>
          <w:lang w:val="en-AU"/>
        </w:rPr>
        <w:t xml:space="preserve"> </w:t>
      </w:r>
      <w:proofErr w:type="spellStart"/>
      <w:r w:rsidR="00194D39" w:rsidRPr="00D01B53">
        <w:rPr>
          <w:rFonts w:asciiTheme="minorHAnsi" w:eastAsiaTheme="minorHAnsi" w:hAnsiTheme="minorHAnsi" w:cstheme="minorBidi"/>
          <w:i/>
          <w:iCs/>
          <w:sz w:val="20"/>
          <w:lang w:val="en-AU"/>
        </w:rPr>
        <w:t>therascreen</w:t>
      </w:r>
      <w:proofErr w:type="spellEnd"/>
      <w:r w:rsidR="00194D39" w:rsidRPr="00075F5F">
        <w:rPr>
          <w:rFonts w:asciiTheme="minorHAnsi" w:eastAsiaTheme="minorHAnsi" w:hAnsiTheme="minorHAnsi" w:cstheme="minorBidi"/>
          <w:sz w:val="20"/>
          <w:lang w:val="en-AU"/>
        </w:rPr>
        <w:t xml:space="preserve">® KRAS RGQ (Rotor-Gene Q) PCR </w:t>
      </w:r>
      <w:r w:rsidR="00E5780D">
        <w:rPr>
          <w:rFonts w:asciiTheme="minorHAnsi" w:eastAsiaTheme="minorHAnsi" w:hAnsiTheme="minorHAnsi" w:cstheme="minorBidi"/>
          <w:sz w:val="20"/>
          <w:lang w:val="en-AU"/>
        </w:rPr>
        <w:t>K</w:t>
      </w:r>
      <w:r w:rsidR="00194D39" w:rsidRPr="00075F5F">
        <w:rPr>
          <w:rFonts w:asciiTheme="minorHAnsi" w:eastAsiaTheme="minorHAnsi" w:hAnsiTheme="minorHAnsi" w:cstheme="minorBidi"/>
          <w:sz w:val="20"/>
          <w:lang w:val="en-AU"/>
        </w:rPr>
        <w:t>it</w:t>
      </w:r>
      <w:r w:rsidRPr="00075F5F">
        <w:rPr>
          <w:rFonts w:asciiTheme="minorHAnsi" w:eastAsiaTheme="minorHAnsi" w:hAnsiTheme="minorHAnsi" w:cstheme="minorBidi"/>
          <w:sz w:val="20"/>
          <w:lang w:val="en-AU"/>
        </w:rPr>
        <w:t xml:space="preserve"> (</w:t>
      </w:r>
      <w:proofErr w:type="spellStart"/>
      <w:r w:rsidRPr="00075F5F">
        <w:rPr>
          <w:rFonts w:asciiTheme="minorHAnsi" w:eastAsiaTheme="minorHAnsi" w:hAnsiTheme="minorHAnsi" w:cstheme="minorBidi"/>
          <w:sz w:val="20"/>
          <w:lang w:val="en-AU"/>
        </w:rPr>
        <w:t>Qiagen</w:t>
      </w:r>
      <w:proofErr w:type="spellEnd"/>
      <w:r w:rsidRPr="00075F5F">
        <w:rPr>
          <w:rFonts w:asciiTheme="minorHAnsi" w:eastAsiaTheme="minorHAnsi" w:hAnsiTheme="minorHAnsi" w:cstheme="minorBidi"/>
          <w:sz w:val="20"/>
          <w:lang w:val="en-AU"/>
        </w:rPr>
        <w:t>)</w:t>
      </w:r>
      <w:r w:rsidR="0030342F" w:rsidRPr="00075F5F">
        <w:rPr>
          <w:rFonts w:asciiTheme="minorHAnsi" w:eastAsiaTheme="minorHAnsi" w:hAnsiTheme="minorHAnsi" w:cstheme="minorBidi"/>
          <w:sz w:val="20"/>
          <w:lang w:val="en-AU"/>
        </w:rPr>
        <w:t xml:space="preserve"> - is not yet registered as a companion diagnostic test for </w:t>
      </w:r>
      <w:proofErr w:type="spellStart"/>
      <w:r w:rsidR="0030342F" w:rsidRPr="00075F5F">
        <w:rPr>
          <w:rFonts w:asciiTheme="minorHAnsi" w:eastAsiaTheme="minorHAnsi" w:hAnsiTheme="minorHAnsi" w:cstheme="minorBidi"/>
          <w:sz w:val="20"/>
          <w:lang w:val="en-AU"/>
        </w:rPr>
        <w:t>sotorasib</w:t>
      </w:r>
      <w:proofErr w:type="spellEnd"/>
      <w:r w:rsidR="0030342F" w:rsidRPr="00075F5F">
        <w:rPr>
          <w:rFonts w:asciiTheme="minorHAnsi" w:eastAsiaTheme="minorHAnsi" w:hAnsiTheme="minorHAnsi" w:cstheme="minorBidi"/>
          <w:sz w:val="20"/>
          <w:lang w:val="en-AU"/>
        </w:rPr>
        <w:t xml:space="preserve"> in NSCLC.  The </w:t>
      </w:r>
      <w:proofErr w:type="spellStart"/>
      <w:r w:rsidR="0030342F" w:rsidRPr="00D01B53">
        <w:rPr>
          <w:rFonts w:asciiTheme="minorHAnsi" w:eastAsiaTheme="minorHAnsi" w:hAnsiTheme="minorHAnsi" w:cstheme="minorBidi"/>
          <w:i/>
          <w:iCs/>
          <w:sz w:val="20"/>
          <w:lang w:val="en-AU"/>
        </w:rPr>
        <w:t>therascreen</w:t>
      </w:r>
      <w:proofErr w:type="spellEnd"/>
      <w:r w:rsidR="0030342F" w:rsidRPr="00075F5F">
        <w:rPr>
          <w:rFonts w:asciiTheme="minorHAnsi" w:eastAsiaTheme="minorHAnsi" w:hAnsiTheme="minorHAnsi" w:cstheme="minorBidi"/>
          <w:sz w:val="20"/>
          <w:lang w:val="en-AU"/>
        </w:rPr>
        <w:t xml:space="preserve"> kit is a real-time qualitative PCR assay used in the RGQ molecular diagnostic (</w:t>
      </w:r>
      <w:proofErr w:type="spellStart"/>
      <w:r w:rsidR="0030342F" w:rsidRPr="00075F5F">
        <w:rPr>
          <w:rFonts w:asciiTheme="minorHAnsi" w:eastAsiaTheme="minorHAnsi" w:hAnsiTheme="minorHAnsi" w:cstheme="minorBidi"/>
          <w:sz w:val="20"/>
          <w:lang w:val="en-AU"/>
        </w:rPr>
        <w:t>MDx</w:t>
      </w:r>
      <w:proofErr w:type="spellEnd"/>
      <w:r w:rsidR="0030342F" w:rsidRPr="00075F5F">
        <w:rPr>
          <w:rFonts w:asciiTheme="minorHAnsi" w:eastAsiaTheme="minorHAnsi" w:hAnsiTheme="minorHAnsi" w:cstheme="minorBidi"/>
          <w:sz w:val="20"/>
          <w:lang w:val="en-AU"/>
        </w:rPr>
        <w:t xml:space="preserve">) instrument for the detection of seven somatic </w:t>
      </w:r>
      <w:r w:rsidR="00E5780D">
        <w:rPr>
          <w:rFonts w:asciiTheme="minorHAnsi" w:eastAsiaTheme="minorHAnsi" w:hAnsiTheme="minorHAnsi" w:cstheme="minorBidi"/>
          <w:sz w:val="20"/>
          <w:lang w:val="en-AU"/>
        </w:rPr>
        <w:t>pathogenic variant</w:t>
      </w:r>
      <w:r w:rsidR="0030342F" w:rsidRPr="00075F5F">
        <w:rPr>
          <w:rFonts w:asciiTheme="minorHAnsi" w:eastAsiaTheme="minorHAnsi" w:hAnsiTheme="minorHAnsi" w:cstheme="minorBidi"/>
          <w:sz w:val="20"/>
          <w:lang w:val="en-AU"/>
        </w:rPr>
        <w:t xml:space="preserve">s in the human KRAS </w:t>
      </w:r>
      <w:bookmarkStart w:id="5" w:name="_Hlk60928888"/>
      <w:r w:rsidR="0030342F" w:rsidRPr="00075F5F">
        <w:rPr>
          <w:rFonts w:asciiTheme="minorHAnsi" w:eastAsiaTheme="minorHAnsi" w:hAnsiTheme="minorHAnsi" w:cstheme="minorBidi"/>
          <w:sz w:val="20"/>
          <w:lang w:val="en-AU"/>
        </w:rPr>
        <w:t>oncogene, using DNA extracted from formalin fixed paraffin</w:t>
      </w:r>
      <w:r w:rsidR="00C06193" w:rsidRPr="00075F5F">
        <w:rPr>
          <w:rFonts w:asciiTheme="minorHAnsi" w:eastAsiaTheme="minorHAnsi" w:hAnsiTheme="minorHAnsi" w:cstheme="minorBidi"/>
          <w:sz w:val="20"/>
          <w:lang w:val="en-AU"/>
        </w:rPr>
        <w:t xml:space="preserve"> </w:t>
      </w:r>
      <w:r w:rsidR="0030342F" w:rsidRPr="00075F5F">
        <w:rPr>
          <w:rFonts w:asciiTheme="minorHAnsi" w:eastAsiaTheme="minorHAnsi" w:hAnsiTheme="minorHAnsi" w:cstheme="minorBidi"/>
          <w:sz w:val="20"/>
          <w:lang w:val="en-AU"/>
        </w:rPr>
        <w:t xml:space="preserve">embedded (FFPE) tumour biopsy samples (ARTG Entry: 226453). </w:t>
      </w:r>
      <w:r w:rsidR="006544C2">
        <w:rPr>
          <w:rFonts w:asciiTheme="minorHAnsi" w:eastAsiaTheme="minorHAnsi" w:hAnsiTheme="minorHAnsi" w:cstheme="minorBidi"/>
          <w:sz w:val="20"/>
          <w:lang w:val="en-AU"/>
        </w:rPr>
        <w:t xml:space="preserve"> </w:t>
      </w:r>
      <w:r w:rsidR="0030342F" w:rsidRPr="00075F5F">
        <w:rPr>
          <w:rFonts w:asciiTheme="minorHAnsi" w:eastAsiaTheme="minorHAnsi" w:hAnsiTheme="minorHAnsi" w:cstheme="minorBidi"/>
          <w:sz w:val="20"/>
          <w:lang w:val="en-AU"/>
        </w:rPr>
        <w:t xml:space="preserve">In </w:t>
      </w:r>
      <w:r w:rsidR="006E0E02" w:rsidRPr="006E0E02">
        <w:rPr>
          <w:rFonts w:asciiTheme="minorHAnsi" w:eastAsiaTheme="minorHAnsi" w:hAnsiTheme="minorHAnsi" w:cstheme="minorBidi"/>
          <w:sz w:val="20"/>
          <w:lang w:val="en-AU"/>
        </w:rPr>
        <w:t>REDACTED</w:t>
      </w:r>
      <w:r w:rsidR="0030342F" w:rsidRPr="00075F5F">
        <w:rPr>
          <w:rFonts w:asciiTheme="minorHAnsi" w:eastAsiaTheme="minorHAnsi" w:hAnsiTheme="minorHAnsi" w:cstheme="minorBidi"/>
          <w:sz w:val="20"/>
          <w:lang w:val="en-AU"/>
        </w:rPr>
        <w:t xml:space="preserve">, </w:t>
      </w:r>
      <w:proofErr w:type="spellStart"/>
      <w:r w:rsidR="0030342F" w:rsidRPr="00075F5F">
        <w:rPr>
          <w:rFonts w:asciiTheme="minorHAnsi" w:eastAsiaTheme="minorHAnsi" w:hAnsiTheme="minorHAnsi" w:cstheme="minorBidi"/>
          <w:sz w:val="20"/>
          <w:lang w:val="en-AU"/>
        </w:rPr>
        <w:t>Qiagen</w:t>
      </w:r>
      <w:proofErr w:type="spellEnd"/>
      <w:r w:rsidR="0030342F" w:rsidRPr="00075F5F">
        <w:rPr>
          <w:rFonts w:asciiTheme="minorHAnsi" w:eastAsiaTheme="minorHAnsi" w:hAnsiTheme="minorHAnsi" w:cstheme="minorBidi"/>
          <w:sz w:val="20"/>
          <w:lang w:val="en-AU"/>
        </w:rPr>
        <w:t xml:space="preserve"> Australia will submit a TGA application for the registration of the </w:t>
      </w:r>
      <w:proofErr w:type="spellStart"/>
      <w:r w:rsidR="0030342F" w:rsidRPr="00D01B53">
        <w:rPr>
          <w:rFonts w:asciiTheme="minorHAnsi" w:eastAsiaTheme="minorHAnsi" w:hAnsiTheme="minorHAnsi" w:cstheme="minorBidi"/>
          <w:i/>
          <w:iCs/>
          <w:sz w:val="20"/>
          <w:lang w:val="en-AU"/>
        </w:rPr>
        <w:t>therascreen</w:t>
      </w:r>
      <w:proofErr w:type="spellEnd"/>
      <w:r w:rsidR="0030342F" w:rsidRPr="00075F5F">
        <w:rPr>
          <w:rFonts w:asciiTheme="minorHAnsi" w:eastAsiaTheme="minorHAnsi" w:hAnsiTheme="minorHAnsi" w:cstheme="minorBidi"/>
          <w:sz w:val="20"/>
          <w:lang w:val="en-AU"/>
        </w:rPr>
        <w:t xml:space="preserve"> KRAS RGQ PCR </w:t>
      </w:r>
      <w:r w:rsidR="00E5780D">
        <w:rPr>
          <w:rFonts w:asciiTheme="minorHAnsi" w:eastAsiaTheme="minorHAnsi" w:hAnsiTheme="minorHAnsi" w:cstheme="minorBidi"/>
          <w:sz w:val="20"/>
          <w:lang w:val="en-AU"/>
        </w:rPr>
        <w:t>K</w:t>
      </w:r>
      <w:r w:rsidR="0030342F" w:rsidRPr="00075F5F">
        <w:rPr>
          <w:rFonts w:asciiTheme="minorHAnsi" w:eastAsiaTheme="minorHAnsi" w:hAnsiTheme="minorHAnsi" w:cstheme="minorBidi"/>
          <w:sz w:val="20"/>
          <w:lang w:val="en-AU"/>
        </w:rPr>
        <w:t xml:space="preserve">it as a companion diagnostic test to aid clinicians in the identification of NSCLC cancer patients who may be eligible for treatment with </w:t>
      </w:r>
      <w:proofErr w:type="spellStart"/>
      <w:r w:rsidR="0030342F" w:rsidRPr="00075F5F">
        <w:rPr>
          <w:rFonts w:asciiTheme="minorHAnsi" w:eastAsiaTheme="minorHAnsi" w:hAnsiTheme="minorHAnsi" w:cstheme="minorBidi"/>
          <w:sz w:val="20"/>
          <w:lang w:val="en-AU"/>
        </w:rPr>
        <w:t>sotorasib</w:t>
      </w:r>
      <w:proofErr w:type="spellEnd"/>
      <w:r w:rsidR="0030342F" w:rsidRPr="00075F5F">
        <w:rPr>
          <w:rFonts w:asciiTheme="minorHAnsi" w:eastAsiaTheme="minorHAnsi" w:hAnsiTheme="minorHAnsi" w:cstheme="minorBidi"/>
          <w:sz w:val="20"/>
          <w:lang w:val="en-AU"/>
        </w:rPr>
        <w:t xml:space="preserve">, based on a positive KRAS G12C </w:t>
      </w:r>
      <w:r w:rsidR="00E5780D">
        <w:rPr>
          <w:rFonts w:asciiTheme="minorHAnsi" w:eastAsiaTheme="minorHAnsi" w:hAnsiTheme="minorHAnsi" w:cstheme="minorBidi"/>
          <w:sz w:val="20"/>
          <w:lang w:val="en-AU"/>
        </w:rPr>
        <w:t>pathogenic variant</w:t>
      </w:r>
      <w:r w:rsidR="0030342F" w:rsidRPr="00075F5F">
        <w:rPr>
          <w:rFonts w:asciiTheme="minorHAnsi" w:eastAsiaTheme="minorHAnsi" w:hAnsiTheme="minorHAnsi" w:cstheme="minorBidi"/>
          <w:sz w:val="20"/>
          <w:lang w:val="en-AU"/>
        </w:rPr>
        <w:t xml:space="preserve"> result. </w:t>
      </w:r>
    </w:p>
    <w:bookmarkEnd w:id="5"/>
    <w:p w14:paraId="1861752E" w14:textId="77777777" w:rsidR="00F83A9D" w:rsidRPr="00154B00" w:rsidRDefault="00F83A9D" w:rsidP="00F83A9D">
      <w:pPr>
        <w:rPr>
          <w:szCs w:val="20"/>
        </w:rPr>
      </w:pPr>
    </w:p>
    <w:p w14:paraId="6DD92D1D" w14:textId="77777777" w:rsidR="00DD308E" w:rsidRDefault="00DD308E">
      <w:pPr>
        <w:rPr>
          <w:b/>
          <w:sz w:val="32"/>
          <w:szCs w:val="32"/>
        </w:rPr>
        <w:sectPr w:rsidR="00DD308E" w:rsidSect="00991EE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NumType w:start="0"/>
          <w:cols w:space="708"/>
          <w:titlePg/>
          <w:docGrid w:linePitch="360"/>
        </w:sectPr>
      </w:pPr>
    </w:p>
    <w:p w14:paraId="3FA4B5B6" w14:textId="77777777" w:rsidR="00DD308E" w:rsidRPr="00C776B1" w:rsidRDefault="00B17CBE" w:rsidP="0056015F">
      <w:pPr>
        <w:pStyle w:val="Heading1"/>
      </w:pPr>
      <w:r>
        <w:lastRenderedPageBreak/>
        <w:t>PART 4</w:t>
      </w:r>
      <w:r w:rsidR="00DD308E">
        <w:t xml:space="preserve"> – SUMMARY</w:t>
      </w:r>
      <w:r w:rsidR="00DD308E" w:rsidRPr="00C776B1">
        <w:t xml:space="preserve"> OF EVIDENCE</w:t>
      </w:r>
    </w:p>
    <w:p w14:paraId="2CDBCA7B" w14:textId="38C41C76" w:rsidR="00DD308E" w:rsidRPr="00832B31" w:rsidRDefault="00DD308E" w:rsidP="005C3AE7">
      <w:pPr>
        <w:pStyle w:val="Heading2"/>
        <w:rPr>
          <w:i/>
        </w:rPr>
      </w:pPr>
      <w:r w:rsidRPr="00F222BE">
        <w:t xml:space="preserve">Provide an overview of all key journal articles or research published in the public domain related to the proposed service that is for your application (limiting these to the English language only).  </w:t>
      </w:r>
      <w:r w:rsidRPr="00832B31">
        <w:rPr>
          <w:i/>
        </w:rPr>
        <w:t>Please do not attach full text articles, this is just intended to be a summary.</w:t>
      </w:r>
      <w:r w:rsidR="002345C3">
        <w:rPr>
          <w:i/>
        </w:rPr>
        <w:t xml:space="preserve"> </w:t>
      </w:r>
    </w:p>
    <w:tbl>
      <w:tblPr>
        <w:tblStyle w:val="TableGrid"/>
        <w:tblW w:w="5000" w:type="pct"/>
        <w:tblLayout w:type="fixed"/>
        <w:tblLook w:val="04A0" w:firstRow="1" w:lastRow="0" w:firstColumn="1" w:lastColumn="0" w:noHBand="0" w:noVBand="1"/>
        <w:tblCaption w:val="Summary of Evidence - Published"/>
      </w:tblPr>
      <w:tblGrid>
        <w:gridCol w:w="704"/>
        <w:gridCol w:w="1135"/>
        <w:gridCol w:w="2550"/>
        <w:gridCol w:w="3827"/>
        <w:gridCol w:w="4198"/>
        <w:gridCol w:w="1534"/>
      </w:tblGrid>
      <w:tr w:rsidR="0024556F" w14:paraId="23869793" w14:textId="77777777" w:rsidTr="0024556F">
        <w:trPr>
          <w:cantSplit/>
          <w:tblHeader/>
        </w:trPr>
        <w:tc>
          <w:tcPr>
            <w:tcW w:w="252" w:type="pct"/>
          </w:tcPr>
          <w:p w14:paraId="06F38F7A" w14:textId="77777777" w:rsidR="00DD308E" w:rsidRDefault="00DD308E" w:rsidP="00855944">
            <w:pPr>
              <w:pStyle w:val="TableHEADER"/>
            </w:pPr>
          </w:p>
        </w:tc>
        <w:tc>
          <w:tcPr>
            <w:tcW w:w="407" w:type="pct"/>
          </w:tcPr>
          <w:p w14:paraId="48D3F70A" w14:textId="311A7807" w:rsidR="00DD308E" w:rsidRDefault="00DD308E" w:rsidP="000D435B">
            <w:pPr>
              <w:pStyle w:val="TableHEADER"/>
              <w:ind w:left="0"/>
            </w:pPr>
            <w:r>
              <w:t>Type of study</w:t>
            </w:r>
            <w:r w:rsidR="000D435B">
              <w:t xml:space="preserve"> </w:t>
            </w:r>
            <w:r>
              <w:t>design*</w:t>
            </w:r>
          </w:p>
        </w:tc>
        <w:tc>
          <w:tcPr>
            <w:tcW w:w="914" w:type="pct"/>
          </w:tcPr>
          <w:p w14:paraId="06B90B8F" w14:textId="7EFA61F0" w:rsidR="00DD308E" w:rsidRDefault="00DD308E" w:rsidP="000D435B">
            <w:pPr>
              <w:pStyle w:val="TableHEADER"/>
              <w:ind w:left="0"/>
            </w:pPr>
            <w:r>
              <w:t>Title of journal article or research project (including any trial identifier or study lead if relevant)</w:t>
            </w:r>
          </w:p>
        </w:tc>
        <w:tc>
          <w:tcPr>
            <w:tcW w:w="1372" w:type="pct"/>
          </w:tcPr>
          <w:p w14:paraId="03FD2706" w14:textId="2D6EFEBB" w:rsidR="00DD308E" w:rsidRDefault="00DD308E" w:rsidP="000D435B">
            <w:pPr>
              <w:pStyle w:val="TableHEADER"/>
              <w:ind w:left="0"/>
            </w:pPr>
            <w:r>
              <w:t>Short description of research (max 50 words)</w:t>
            </w:r>
            <w:r w:rsidR="00616EDD">
              <w:t xml:space="preserve"> </w:t>
            </w:r>
            <w:r>
              <w:t>**</w:t>
            </w:r>
          </w:p>
        </w:tc>
        <w:tc>
          <w:tcPr>
            <w:tcW w:w="1505" w:type="pct"/>
          </w:tcPr>
          <w:p w14:paraId="21CEBBE4" w14:textId="77777777" w:rsidR="00DD308E" w:rsidRDefault="00DD308E" w:rsidP="00855944">
            <w:pPr>
              <w:pStyle w:val="TableHEADER"/>
            </w:pPr>
            <w:r w:rsidRPr="00E82F54">
              <w:t xml:space="preserve">Website link to </w:t>
            </w:r>
            <w:r>
              <w:t>journal article or research (if available)</w:t>
            </w:r>
          </w:p>
        </w:tc>
        <w:tc>
          <w:tcPr>
            <w:tcW w:w="550" w:type="pct"/>
          </w:tcPr>
          <w:p w14:paraId="130AE1D6" w14:textId="77777777" w:rsidR="00DD308E" w:rsidRDefault="00DD308E" w:rsidP="000D435B">
            <w:pPr>
              <w:pStyle w:val="TableHEADER"/>
              <w:ind w:left="0"/>
            </w:pPr>
            <w:r w:rsidRPr="00E82F54">
              <w:t>Date</w:t>
            </w:r>
            <w:r>
              <w:t xml:space="preserve"> of publication</w:t>
            </w:r>
            <w:r w:rsidRPr="00E82F54">
              <w:t>*</w:t>
            </w:r>
            <w:r>
              <w:t>**</w:t>
            </w:r>
          </w:p>
        </w:tc>
      </w:tr>
      <w:tr w:rsidR="0024556F" w14:paraId="7FCE0539" w14:textId="77777777" w:rsidTr="0024556F">
        <w:trPr>
          <w:cantSplit/>
        </w:trPr>
        <w:tc>
          <w:tcPr>
            <w:tcW w:w="252" w:type="pct"/>
          </w:tcPr>
          <w:p w14:paraId="4BA44AFA" w14:textId="43951FDD" w:rsidR="00DD3E15" w:rsidRPr="00DD3E15" w:rsidRDefault="00DD3E15" w:rsidP="005651FA">
            <w:pPr>
              <w:pStyle w:val="ListParagraph"/>
              <w:numPr>
                <w:ilvl w:val="0"/>
                <w:numId w:val="42"/>
              </w:numPr>
              <w:rPr>
                <w:szCs w:val="20"/>
              </w:rPr>
            </w:pPr>
          </w:p>
        </w:tc>
        <w:tc>
          <w:tcPr>
            <w:tcW w:w="407" w:type="pct"/>
          </w:tcPr>
          <w:p w14:paraId="78DD2565" w14:textId="1E3BFE61" w:rsidR="00DD3E15" w:rsidRDefault="00900ED6" w:rsidP="000D435B">
            <w:pPr>
              <w:ind w:left="0"/>
              <w:rPr>
                <w:sz w:val="16"/>
                <w:szCs w:val="16"/>
              </w:rPr>
            </w:pPr>
            <w:r>
              <w:rPr>
                <w:sz w:val="16"/>
                <w:szCs w:val="16"/>
              </w:rPr>
              <w:t>Non-randomised trial</w:t>
            </w:r>
          </w:p>
        </w:tc>
        <w:tc>
          <w:tcPr>
            <w:tcW w:w="914" w:type="pct"/>
          </w:tcPr>
          <w:p w14:paraId="5126B8F2" w14:textId="7E99B35E" w:rsidR="00F65BD1" w:rsidRDefault="00F65BD1" w:rsidP="000D435B">
            <w:pPr>
              <w:ind w:left="0"/>
              <w:rPr>
                <w:sz w:val="16"/>
                <w:szCs w:val="16"/>
              </w:rPr>
            </w:pPr>
            <w:r>
              <w:rPr>
                <w:sz w:val="16"/>
                <w:szCs w:val="16"/>
              </w:rPr>
              <w:t xml:space="preserve">Amgen study number 20170543; </w:t>
            </w:r>
            <w:proofErr w:type="spellStart"/>
            <w:r>
              <w:rPr>
                <w:sz w:val="16"/>
                <w:szCs w:val="16"/>
              </w:rPr>
              <w:t>Code</w:t>
            </w:r>
            <w:r w:rsidR="00CB270D">
              <w:rPr>
                <w:sz w:val="16"/>
                <w:szCs w:val="16"/>
              </w:rPr>
              <w:t>B</w:t>
            </w:r>
            <w:r>
              <w:rPr>
                <w:sz w:val="16"/>
                <w:szCs w:val="16"/>
              </w:rPr>
              <w:t>reak</w:t>
            </w:r>
            <w:proofErr w:type="spellEnd"/>
            <w:r>
              <w:rPr>
                <w:sz w:val="16"/>
                <w:szCs w:val="16"/>
              </w:rPr>
              <w:t xml:space="preserve"> 100.</w:t>
            </w:r>
          </w:p>
          <w:p w14:paraId="3D5B3284" w14:textId="5AC84C5F" w:rsidR="00DD3E15" w:rsidRDefault="000D435B" w:rsidP="000D435B">
            <w:pPr>
              <w:ind w:left="0"/>
              <w:rPr>
                <w:sz w:val="16"/>
                <w:szCs w:val="16"/>
              </w:rPr>
            </w:pPr>
            <w:r>
              <w:rPr>
                <w:sz w:val="16"/>
                <w:szCs w:val="16"/>
              </w:rPr>
              <w:t xml:space="preserve">Hong DS, Fakih MG, </w:t>
            </w:r>
            <w:proofErr w:type="spellStart"/>
            <w:r>
              <w:rPr>
                <w:sz w:val="16"/>
                <w:szCs w:val="16"/>
              </w:rPr>
              <w:t>Strickler</w:t>
            </w:r>
            <w:proofErr w:type="spellEnd"/>
            <w:r>
              <w:rPr>
                <w:sz w:val="16"/>
                <w:szCs w:val="16"/>
              </w:rPr>
              <w:t xml:space="preserve"> JH, et al. </w:t>
            </w:r>
            <w:r w:rsidR="00DD3E15">
              <w:rPr>
                <w:sz w:val="16"/>
                <w:szCs w:val="16"/>
              </w:rPr>
              <w:t>KRAS</w:t>
            </w:r>
            <w:r w:rsidR="00DD3E15" w:rsidRPr="005651FA">
              <w:rPr>
                <w:sz w:val="16"/>
                <w:szCs w:val="16"/>
                <w:vertAlign w:val="superscript"/>
              </w:rPr>
              <w:t>G12C</w:t>
            </w:r>
            <w:r w:rsidR="00DD3E15">
              <w:rPr>
                <w:sz w:val="16"/>
                <w:szCs w:val="16"/>
              </w:rPr>
              <w:t xml:space="preserve"> inhibit</w:t>
            </w:r>
            <w:r w:rsidR="00C57FA8">
              <w:rPr>
                <w:sz w:val="16"/>
                <w:szCs w:val="16"/>
              </w:rPr>
              <w:t xml:space="preserve">ion with </w:t>
            </w:r>
            <w:proofErr w:type="spellStart"/>
            <w:r w:rsidR="00C57FA8">
              <w:rPr>
                <w:sz w:val="16"/>
                <w:szCs w:val="16"/>
              </w:rPr>
              <w:t>sotorasib</w:t>
            </w:r>
            <w:proofErr w:type="spellEnd"/>
            <w:r w:rsidR="00C57FA8">
              <w:rPr>
                <w:sz w:val="16"/>
                <w:szCs w:val="16"/>
              </w:rPr>
              <w:t xml:space="preserve"> </w:t>
            </w:r>
            <w:r w:rsidR="00DD3E15">
              <w:rPr>
                <w:sz w:val="16"/>
                <w:szCs w:val="16"/>
              </w:rPr>
              <w:t xml:space="preserve">in advanced solid </w:t>
            </w:r>
            <w:proofErr w:type="spellStart"/>
            <w:r w:rsidR="00DD3E15">
              <w:rPr>
                <w:sz w:val="16"/>
                <w:szCs w:val="16"/>
              </w:rPr>
              <w:t>tumors</w:t>
            </w:r>
            <w:proofErr w:type="spellEnd"/>
            <w:r w:rsidR="00DD3E15">
              <w:rPr>
                <w:sz w:val="16"/>
                <w:szCs w:val="16"/>
              </w:rPr>
              <w:t xml:space="preserve">. </w:t>
            </w:r>
          </w:p>
          <w:p w14:paraId="0ABCAD6C" w14:textId="0C41FE70" w:rsidR="009269F9" w:rsidRDefault="00C57FA8" w:rsidP="000D435B">
            <w:pPr>
              <w:ind w:left="0"/>
              <w:rPr>
                <w:sz w:val="16"/>
                <w:szCs w:val="16"/>
              </w:rPr>
            </w:pPr>
            <w:r>
              <w:rPr>
                <w:sz w:val="16"/>
                <w:szCs w:val="16"/>
              </w:rPr>
              <w:t xml:space="preserve">New England Journal of Medicine 2020 Sep 20. </w:t>
            </w:r>
          </w:p>
          <w:p w14:paraId="56F085F5" w14:textId="62B6E32A" w:rsidR="00515AD9" w:rsidRPr="00DD3E15" w:rsidDel="004E4228" w:rsidRDefault="00782956" w:rsidP="000D435B">
            <w:pPr>
              <w:ind w:left="0"/>
              <w:rPr>
                <w:sz w:val="16"/>
                <w:szCs w:val="16"/>
              </w:rPr>
            </w:pPr>
            <w:r>
              <w:rPr>
                <w:sz w:val="16"/>
                <w:szCs w:val="16"/>
              </w:rPr>
              <w:t>Associated with NCT03600883.</w:t>
            </w:r>
          </w:p>
        </w:tc>
        <w:tc>
          <w:tcPr>
            <w:tcW w:w="1372" w:type="pct"/>
          </w:tcPr>
          <w:p w14:paraId="1B69CFB0" w14:textId="1C7E6446" w:rsidR="00EF5C7F" w:rsidRDefault="00004DDF" w:rsidP="000D435B">
            <w:pPr>
              <w:ind w:left="0"/>
              <w:rPr>
                <w:sz w:val="16"/>
                <w:szCs w:val="16"/>
              </w:rPr>
            </w:pPr>
            <w:r w:rsidRPr="00B057A1">
              <w:rPr>
                <w:b/>
                <w:bCs/>
                <w:sz w:val="16"/>
                <w:szCs w:val="16"/>
              </w:rPr>
              <w:t>Phase 1</w:t>
            </w:r>
            <w:r>
              <w:rPr>
                <w:sz w:val="16"/>
                <w:szCs w:val="16"/>
              </w:rPr>
              <w:t xml:space="preserve">, dose ranging component of phase 1/2 </w:t>
            </w:r>
            <w:proofErr w:type="spellStart"/>
            <w:r>
              <w:rPr>
                <w:sz w:val="16"/>
                <w:szCs w:val="16"/>
              </w:rPr>
              <w:t>sotorasib</w:t>
            </w:r>
            <w:proofErr w:type="spellEnd"/>
            <w:r>
              <w:rPr>
                <w:sz w:val="16"/>
                <w:szCs w:val="16"/>
              </w:rPr>
              <w:t xml:space="preserve"> trial.  </w:t>
            </w:r>
            <w:r w:rsidR="0077063F">
              <w:rPr>
                <w:sz w:val="16"/>
                <w:szCs w:val="16"/>
              </w:rPr>
              <w:t>Study c</w:t>
            </w:r>
            <w:r>
              <w:rPr>
                <w:sz w:val="16"/>
                <w:szCs w:val="16"/>
              </w:rPr>
              <w:t>ompleted.</w:t>
            </w:r>
          </w:p>
          <w:p w14:paraId="081C4293" w14:textId="5E92162F" w:rsidR="00DD3E15" w:rsidRDefault="00EF5C7F" w:rsidP="000D435B">
            <w:pPr>
              <w:ind w:left="0"/>
              <w:rPr>
                <w:sz w:val="16"/>
                <w:szCs w:val="16"/>
              </w:rPr>
            </w:pPr>
            <w:r>
              <w:rPr>
                <w:sz w:val="16"/>
                <w:szCs w:val="16"/>
              </w:rPr>
              <w:t xml:space="preserve">59 patients with </w:t>
            </w:r>
            <w:r w:rsidR="005E3218">
              <w:rPr>
                <w:sz w:val="16"/>
                <w:szCs w:val="16"/>
              </w:rPr>
              <w:t xml:space="preserve">advanced </w:t>
            </w:r>
            <w:r>
              <w:rPr>
                <w:sz w:val="16"/>
                <w:szCs w:val="16"/>
              </w:rPr>
              <w:t>KRAS G12C</w:t>
            </w:r>
            <w:r w:rsidR="00004DDF">
              <w:rPr>
                <w:sz w:val="16"/>
                <w:szCs w:val="16"/>
              </w:rPr>
              <w:t xml:space="preserve"> variant</w:t>
            </w:r>
            <w:r>
              <w:rPr>
                <w:sz w:val="16"/>
                <w:szCs w:val="16"/>
              </w:rPr>
              <w:t xml:space="preserve"> NSCLC who had </w:t>
            </w:r>
            <w:r w:rsidR="00004DDF">
              <w:rPr>
                <w:sz w:val="16"/>
                <w:szCs w:val="16"/>
              </w:rPr>
              <w:t>failed</w:t>
            </w:r>
            <w:r>
              <w:rPr>
                <w:sz w:val="16"/>
                <w:szCs w:val="16"/>
              </w:rPr>
              <w:t xml:space="preserve"> </w:t>
            </w:r>
            <w:r w:rsidR="00004DDF">
              <w:rPr>
                <w:rFonts w:cstheme="minorHAnsi"/>
                <w:sz w:val="16"/>
                <w:szCs w:val="16"/>
              </w:rPr>
              <w:t>≥</w:t>
            </w:r>
            <w:r w:rsidR="00004DDF">
              <w:rPr>
                <w:sz w:val="16"/>
                <w:szCs w:val="16"/>
              </w:rPr>
              <w:t xml:space="preserve"> 2</w:t>
            </w:r>
            <w:r>
              <w:rPr>
                <w:sz w:val="16"/>
                <w:szCs w:val="16"/>
              </w:rPr>
              <w:t xml:space="preserve"> </w:t>
            </w:r>
            <w:r w:rsidR="00004DDF">
              <w:rPr>
                <w:sz w:val="16"/>
                <w:szCs w:val="16"/>
              </w:rPr>
              <w:t>prior lines</w:t>
            </w:r>
            <w:r w:rsidR="009269F9">
              <w:rPr>
                <w:sz w:val="16"/>
                <w:szCs w:val="16"/>
              </w:rPr>
              <w:t xml:space="preserve">. </w:t>
            </w:r>
            <w:r w:rsidR="00004DDF">
              <w:rPr>
                <w:sz w:val="16"/>
                <w:szCs w:val="16"/>
              </w:rPr>
              <w:t xml:space="preserve"> Objective response rate of 3</w:t>
            </w:r>
            <w:r w:rsidR="005E3218">
              <w:rPr>
                <w:sz w:val="16"/>
                <w:szCs w:val="16"/>
              </w:rPr>
              <w:t>2.2</w:t>
            </w:r>
            <w:r w:rsidR="00004DDF">
              <w:rPr>
                <w:sz w:val="16"/>
                <w:szCs w:val="16"/>
              </w:rPr>
              <w:t xml:space="preserve">% in </w:t>
            </w:r>
            <w:r w:rsidR="0077063F">
              <w:rPr>
                <w:sz w:val="16"/>
                <w:szCs w:val="16"/>
              </w:rPr>
              <w:t>19 patients on 960mg/day</w:t>
            </w:r>
            <w:r w:rsidR="000E638A">
              <w:rPr>
                <w:sz w:val="16"/>
                <w:szCs w:val="16"/>
              </w:rPr>
              <w:t xml:space="preserve">. </w:t>
            </w:r>
            <w:r w:rsidR="00004DDF">
              <w:rPr>
                <w:sz w:val="16"/>
                <w:szCs w:val="16"/>
              </w:rPr>
              <w:t xml:space="preserve"> N</w:t>
            </w:r>
            <w:r w:rsidR="00347D46">
              <w:rPr>
                <w:sz w:val="16"/>
                <w:szCs w:val="16"/>
              </w:rPr>
              <w:t>o dose-limiting toxic</w:t>
            </w:r>
            <w:r w:rsidR="0077063F">
              <w:rPr>
                <w:sz w:val="16"/>
                <w:szCs w:val="16"/>
              </w:rPr>
              <w:t>ities</w:t>
            </w:r>
            <w:r w:rsidR="00347D46">
              <w:rPr>
                <w:sz w:val="16"/>
                <w:szCs w:val="16"/>
              </w:rPr>
              <w:t xml:space="preserve">. </w:t>
            </w:r>
          </w:p>
          <w:p w14:paraId="644FE1FE" w14:textId="184AFC2A" w:rsidR="00782956" w:rsidRPr="005651FA" w:rsidDel="004E4228" w:rsidRDefault="0077063F" w:rsidP="000D435B">
            <w:pPr>
              <w:ind w:left="0"/>
              <w:rPr>
                <w:sz w:val="16"/>
                <w:szCs w:val="16"/>
              </w:rPr>
            </w:pPr>
            <w:r>
              <w:rPr>
                <w:sz w:val="16"/>
                <w:szCs w:val="16"/>
              </w:rPr>
              <w:t>U</w:t>
            </w:r>
            <w:r w:rsidR="00004DDF">
              <w:rPr>
                <w:sz w:val="16"/>
                <w:szCs w:val="16"/>
              </w:rPr>
              <w:t>sed to demonstrate predictive validity of KRAS G12C.</w:t>
            </w:r>
          </w:p>
        </w:tc>
        <w:tc>
          <w:tcPr>
            <w:tcW w:w="1505" w:type="pct"/>
          </w:tcPr>
          <w:p w14:paraId="37E3921F" w14:textId="3036F69A" w:rsidR="00DD3E15" w:rsidRDefault="00577575" w:rsidP="00DD308E">
            <w:pPr>
              <w:rPr>
                <w:sz w:val="16"/>
                <w:szCs w:val="16"/>
              </w:rPr>
            </w:pPr>
            <w:hyperlink r:id="rId18" w:history="1">
              <w:r w:rsidR="000A422E" w:rsidRPr="00AB2774">
                <w:rPr>
                  <w:rStyle w:val="Hyperlink"/>
                  <w:sz w:val="16"/>
                  <w:szCs w:val="16"/>
                </w:rPr>
                <w:t>https://nejm.org/doi/10.1056/NEJMoa1917239</w:t>
              </w:r>
            </w:hyperlink>
          </w:p>
          <w:p w14:paraId="679DACE1" w14:textId="15F37531" w:rsidR="000A422E" w:rsidRPr="00C57FA8" w:rsidRDefault="000A422E" w:rsidP="00DD308E">
            <w:pPr>
              <w:rPr>
                <w:sz w:val="16"/>
                <w:szCs w:val="16"/>
              </w:rPr>
            </w:pPr>
          </w:p>
        </w:tc>
        <w:tc>
          <w:tcPr>
            <w:tcW w:w="550" w:type="pct"/>
          </w:tcPr>
          <w:p w14:paraId="26FE2B40" w14:textId="77179ADD" w:rsidR="00DD3E15" w:rsidRDefault="00782956" w:rsidP="000D435B">
            <w:pPr>
              <w:ind w:left="0"/>
              <w:rPr>
                <w:sz w:val="16"/>
                <w:szCs w:val="16"/>
              </w:rPr>
            </w:pPr>
            <w:r>
              <w:rPr>
                <w:sz w:val="16"/>
                <w:szCs w:val="16"/>
              </w:rPr>
              <w:t xml:space="preserve">Published </w:t>
            </w:r>
            <w:r w:rsidR="00C57FA8">
              <w:rPr>
                <w:sz w:val="16"/>
                <w:szCs w:val="16"/>
              </w:rPr>
              <w:t xml:space="preserve">September 20, 2020. </w:t>
            </w:r>
          </w:p>
        </w:tc>
      </w:tr>
      <w:tr w:rsidR="0024556F" w14:paraId="1DA69CF4" w14:textId="77777777" w:rsidTr="0024556F">
        <w:trPr>
          <w:cantSplit/>
        </w:trPr>
        <w:tc>
          <w:tcPr>
            <w:tcW w:w="252" w:type="pct"/>
          </w:tcPr>
          <w:p w14:paraId="3AE126A8" w14:textId="77777777" w:rsidR="00EB45D6" w:rsidRPr="005651FA" w:rsidRDefault="00EB45D6" w:rsidP="00EB45D6">
            <w:pPr>
              <w:pStyle w:val="ListParagraph"/>
              <w:numPr>
                <w:ilvl w:val="0"/>
                <w:numId w:val="42"/>
              </w:numPr>
              <w:rPr>
                <w:szCs w:val="20"/>
              </w:rPr>
            </w:pPr>
          </w:p>
        </w:tc>
        <w:tc>
          <w:tcPr>
            <w:tcW w:w="407" w:type="pct"/>
          </w:tcPr>
          <w:p w14:paraId="6A94D3AB" w14:textId="03CB888D" w:rsidR="00EB45D6" w:rsidRPr="00026D98" w:rsidRDefault="00EB45D6" w:rsidP="00EB45D6">
            <w:pPr>
              <w:ind w:left="0"/>
              <w:rPr>
                <w:b/>
                <w:bCs/>
                <w:sz w:val="16"/>
                <w:szCs w:val="16"/>
              </w:rPr>
            </w:pPr>
            <w:r>
              <w:rPr>
                <w:sz w:val="16"/>
                <w:szCs w:val="16"/>
              </w:rPr>
              <w:t>Non-randomised trial</w:t>
            </w:r>
            <w:r w:rsidR="00D34278">
              <w:rPr>
                <w:rFonts w:ascii="Calibri" w:hAnsi="Calibri" w:cs="Calibri"/>
                <w:sz w:val="16"/>
                <w:szCs w:val="16"/>
              </w:rPr>
              <w:t>¶</w:t>
            </w:r>
          </w:p>
        </w:tc>
        <w:tc>
          <w:tcPr>
            <w:tcW w:w="914" w:type="pct"/>
          </w:tcPr>
          <w:p w14:paraId="7C7A2E56" w14:textId="2B7647D3" w:rsidR="00BE34EF" w:rsidRDefault="00EB45D6" w:rsidP="00BE34EF">
            <w:pPr>
              <w:ind w:left="0"/>
              <w:rPr>
                <w:sz w:val="16"/>
                <w:szCs w:val="16"/>
              </w:rPr>
            </w:pPr>
            <w:r>
              <w:rPr>
                <w:sz w:val="16"/>
                <w:szCs w:val="16"/>
              </w:rPr>
              <w:t xml:space="preserve">Amgen study number 20170543; </w:t>
            </w:r>
            <w:proofErr w:type="spellStart"/>
            <w:r>
              <w:rPr>
                <w:sz w:val="16"/>
                <w:szCs w:val="16"/>
              </w:rPr>
              <w:t>Code</w:t>
            </w:r>
            <w:r w:rsidR="00CB270D">
              <w:rPr>
                <w:sz w:val="16"/>
                <w:szCs w:val="16"/>
              </w:rPr>
              <w:t>Br</w:t>
            </w:r>
            <w:r>
              <w:rPr>
                <w:sz w:val="16"/>
                <w:szCs w:val="16"/>
              </w:rPr>
              <w:t>eak</w:t>
            </w:r>
            <w:proofErr w:type="spellEnd"/>
            <w:r>
              <w:rPr>
                <w:sz w:val="16"/>
                <w:szCs w:val="16"/>
              </w:rPr>
              <w:t xml:space="preserve"> 100.</w:t>
            </w:r>
          </w:p>
          <w:p w14:paraId="6F5F831B" w14:textId="77777777" w:rsidR="00CB270D" w:rsidRDefault="00206754" w:rsidP="00BE34EF">
            <w:pPr>
              <w:ind w:left="0"/>
              <w:rPr>
                <w:sz w:val="16"/>
                <w:szCs w:val="16"/>
              </w:rPr>
            </w:pPr>
            <w:r>
              <w:rPr>
                <w:sz w:val="16"/>
                <w:szCs w:val="16"/>
              </w:rPr>
              <w:t xml:space="preserve">PS01.07 </w:t>
            </w:r>
            <w:proofErr w:type="spellStart"/>
            <w:r>
              <w:rPr>
                <w:sz w:val="16"/>
                <w:szCs w:val="16"/>
              </w:rPr>
              <w:t>CodeBreak</w:t>
            </w:r>
            <w:proofErr w:type="spellEnd"/>
            <w:r>
              <w:rPr>
                <w:sz w:val="16"/>
                <w:szCs w:val="16"/>
              </w:rPr>
              <w:t xml:space="preserve"> 100: </w:t>
            </w:r>
            <w:proofErr w:type="spellStart"/>
            <w:r>
              <w:rPr>
                <w:sz w:val="16"/>
                <w:szCs w:val="16"/>
              </w:rPr>
              <w:t>Registrational</w:t>
            </w:r>
            <w:proofErr w:type="spellEnd"/>
            <w:r>
              <w:rPr>
                <w:sz w:val="16"/>
                <w:szCs w:val="16"/>
              </w:rPr>
              <w:t xml:space="preserve"> Phase 2 Trial of </w:t>
            </w:r>
            <w:proofErr w:type="spellStart"/>
            <w:r>
              <w:rPr>
                <w:sz w:val="16"/>
                <w:szCs w:val="16"/>
              </w:rPr>
              <w:t>Sotorasib</w:t>
            </w:r>
            <w:proofErr w:type="spellEnd"/>
            <w:r>
              <w:rPr>
                <w:sz w:val="16"/>
                <w:szCs w:val="16"/>
              </w:rPr>
              <w:t xml:space="preserve"> in KRAS p.G12C Mutated Non-small Cell Lung Cancer. </w:t>
            </w:r>
          </w:p>
          <w:p w14:paraId="629E1743" w14:textId="57B0D19F" w:rsidR="00206754" w:rsidRDefault="00206754" w:rsidP="00BE34EF">
            <w:pPr>
              <w:ind w:left="0"/>
              <w:rPr>
                <w:sz w:val="16"/>
                <w:szCs w:val="16"/>
              </w:rPr>
            </w:pPr>
            <w:r>
              <w:rPr>
                <w:sz w:val="16"/>
                <w:szCs w:val="16"/>
              </w:rPr>
              <w:t xml:space="preserve">Proceedings of </w:t>
            </w:r>
            <w:r w:rsidR="00D34278">
              <w:rPr>
                <w:sz w:val="16"/>
                <w:szCs w:val="16"/>
              </w:rPr>
              <w:t xml:space="preserve">the </w:t>
            </w:r>
            <w:r>
              <w:rPr>
                <w:sz w:val="16"/>
                <w:szCs w:val="16"/>
              </w:rPr>
              <w:t>2020 World Conference on Lung Cancer, presented 30</w:t>
            </w:r>
            <w:r w:rsidRPr="00206754">
              <w:rPr>
                <w:sz w:val="16"/>
                <w:szCs w:val="16"/>
                <w:vertAlign w:val="superscript"/>
              </w:rPr>
              <w:t>th</w:t>
            </w:r>
            <w:r>
              <w:rPr>
                <w:sz w:val="16"/>
                <w:szCs w:val="16"/>
              </w:rPr>
              <w:t xml:space="preserve"> January 2021.</w:t>
            </w:r>
            <w:r w:rsidR="00D34278">
              <w:rPr>
                <w:rFonts w:ascii="Calibri" w:hAnsi="Calibri" w:cs="Calibri"/>
                <w:sz w:val="16"/>
                <w:szCs w:val="16"/>
              </w:rPr>
              <w:t xml:space="preserve"> ¶</w:t>
            </w:r>
          </w:p>
          <w:p w14:paraId="6A8942C0" w14:textId="0D7C416A" w:rsidR="00EB45D6" w:rsidRPr="00367AAE" w:rsidRDefault="00BE34EF" w:rsidP="00EB45D6">
            <w:pPr>
              <w:ind w:left="0"/>
              <w:rPr>
                <w:sz w:val="16"/>
                <w:szCs w:val="16"/>
              </w:rPr>
            </w:pPr>
            <w:r>
              <w:rPr>
                <w:sz w:val="16"/>
                <w:szCs w:val="16"/>
              </w:rPr>
              <w:t>Associated with NCT03600883.</w:t>
            </w:r>
          </w:p>
        </w:tc>
        <w:tc>
          <w:tcPr>
            <w:tcW w:w="1372" w:type="pct"/>
          </w:tcPr>
          <w:p w14:paraId="2BD49D69" w14:textId="64130782" w:rsidR="00EB45D6" w:rsidRDefault="00EB45D6" w:rsidP="00EB45D6">
            <w:pPr>
              <w:ind w:left="0"/>
              <w:rPr>
                <w:sz w:val="16"/>
                <w:szCs w:val="16"/>
              </w:rPr>
            </w:pPr>
            <w:r w:rsidRPr="00B057A1">
              <w:rPr>
                <w:b/>
                <w:bCs/>
                <w:sz w:val="16"/>
                <w:szCs w:val="16"/>
              </w:rPr>
              <w:t>Phase 2</w:t>
            </w:r>
            <w:r>
              <w:rPr>
                <w:sz w:val="16"/>
                <w:szCs w:val="16"/>
              </w:rPr>
              <w:t xml:space="preserve">, component of phase 1/2 </w:t>
            </w:r>
            <w:proofErr w:type="spellStart"/>
            <w:r>
              <w:rPr>
                <w:sz w:val="16"/>
                <w:szCs w:val="16"/>
              </w:rPr>
              <w:t>sotorasib</w:t>
            </w:r>
            <w:proofErr w:type="spellEnd"/>
            <w:r>
              <w:rPr>
                <w:sz w:val="16"/>
                <w:szCs w:val="16"/>
              </w:rPr>
              <w:t xml:space="preserve"> trial.  Study completed.</w:t>
            </w:r>
          </w:p>
          <w:p w14:paraId="1176AB3D" w14:textId="5C21F092" w:rsidR="00367AAE" w:rsidRDefault="007F769E" w:rsidP="00EB45D6">
            <w:pPr>
              <w:ind w:left="0"/>
              <w:rPr>
                <w:sz w:val="16"/>
                <w:szCs w:val="16"/>
              </w:rPr>
            </w:pPr>
            <w:r w:rsidRPr="007F769E">
              <w:rPr>
                <w:sz w:val="16"/>
                <w:szCs w:val="16"/>
              </w:rPr>
              <w:t>12</w:t>
            </w:r>
            <w:r>
              <w:rPr>
                <w:sz w:val="16"/>
                <w:szCs w:val="16"/>
              </w:rPr>
              <w:t>6</w:t>
            </w:r>
            <w:r w:rsidR="00EB45D6" w:rsidRPr="007F769E">
              <w:rPr>
                <w:sz w:val="16"/>
                <w:szCs w:val="16"/>
              </w:rPr>
              <w:t xml:space="preserve"> patients with </w:t>
            </w:r>
            <w:r w:rsidR="005E3218">
              <w:rPr>
                <w:sz w:val="16"/>
                <w:szCs w:val="16"/>
              </w:rPr>
              <w:t xml:space="preserve">advanced </w:t>
            </w:r>
            <w:r w:rsidR="00EB45D6" w:rsidRPr="007F769E">
              <w:rPr>
                <w:sz w:val="16"/>
                <w:szCs w:val="16"/>
              </w:rPr>
              <w:t xml:space="preserve">KRAS G12C variant NSCLC who had failed </w:t>
            </w:r>
            <w:r>
              <w:rPr>
                <w:rFonts w:cstheme="minorHAnsi"/>
                <w:sz w:val="16"/>
                <w:szCs w:val="16"/>
              </w:rPr>
              <w:t>prior therapy</w:t>
            </w:r>
            <w:r w:rsidR="00EB45D6" w:rsidRPr="007F769E">
              <w:rPr>
                <w:sz w:val="16"/>
                <w:szCs w:val="16"/>
              </w:rPr>
              <w:t>.  Objective response rate of 3</w:t>
            </w:r>
            <w:r w:rsidRPr="007F769E">
              <w:rPr>
                <w:sz w:val="16"/>
                <w:szCs w:val="16"/>
              </w:rPr>
              <w:t>7.</w:t>
            </w:r>
            <w:r w:rsidR="00D34278">
              <w:rPr>
                <w:sz w:val="16"/>
                <w:szCs w:val="16"/>
              </w:rPr>
              <w:t>1</w:t>
            </w:r>
            <w:r w:rsidR="00EB45D6" w:rsidRPr="007F769E">
              <w:rPr>
                <w:sz w:val="16"/>
                <w:szCs w:val="16"/>
              </w:rPr>
              <w:t>%</w:t>
            </w:r>
            <w:r w:rsidRPr="007F769E">
              <w:rPr>
                <w:sz w:val="16"/>
                <w:szCs w:val="16"/>
              </w:rPr>
              <w:t xml:space="preserve"> </w:t>
            </w:r>
            <w:r w:rsidR="00E0772A" w:rsidRPr="00D34278">
              <w:rPr>
                <w:sz w:val="16"/>
                <w:szCs w:val="16"/>
              </w:rPr>
              <w:t xml:space="preserve">and </w:t>
            </w:r>
            <w:r w:rsidRPr="00D34278">
              <w:rPr>
                <w:sz w:val="16"/>
                <w:szCs w:val="16"/>
              </w:rPr>
              <w:t xml:space="preserve">median duration of </w:t>
            </w:r>
            <w:r w:rsidR="005E3218" w:rsidRPr="00D34278">
              <w:rPr>
                <w:sz w:val="16"/>
                <w:szCs w:val="16"/>
              </w:rPr>
              <w:t xml:space="preserve">response of </w:t>
            </w:r>
            <w:r w:rsidR="00D34278">
              <w:rPr>
                <w:sz w:val="16"/>
                <w:szCs w:val="16"/>
              </w:rPr>
              <w:t>10</w:t>
            </w:r>
            <w:r w:rsidRPr="00D34278">
              <w:rPr>
                <w:sz w:val="16"/>
                <w:szCs w:val="16"/>
              </w:rPr>
              <w:t xml:space="preserve"> months</w:t>
            </w:r>
            <w:proofErr w:type="gramStart"/>
            <w:r w:rsidR="00EB45D6" w:rsidRPr="00D34278">
              <w:rPr>
                <w:sz w:val="16"/>
                <w:szCs w:val="16"/>
              </w:rPr>
              <w:t>.</w:t>
            </w:r>
            <w:r w:rsidR="0024556F" w:rsidRPr="0024556F">
              <w:rPr>
                <w:sz w:val="16"/>
                <w:szCs w:val="16"/>
                <w:vertAlign w:val="superscript"/>
              </w:rPr>
              <w:t>#</w:t>
            </w:r>
            <w:proofErr w:type="gramEnd"/>
            <w:r w:rsidR="00EB45D6" w:rsidRPr="00D34278">
              <w:rPr>
                <w:sz w:val="16"/>
                <w:szCs w:val="16"/>
              </w:rPr>
              <w:t xml:space="preserve">  No dos</w:t>
            </w:r>
            <w:r w:rsidR="00D34278">
              <w:rPr>
                <w:sz w:val="16"/>
                <w:szCs w:val="16"/>
              </w:rPr>
              <w:t xml:space="preserve">e </w:t>
            </w:r>
            <w:r w:rsidR="00EB45D6" w:rsidRPr="00D34278">
              <w:rPr>
                <w:sz w:val="16"/>
                <w:szCs w:val="16"/>
              </w:rPr>
              <w:t>limiting toxicities.</w:t>
            </w:r>
            <w:r w:rsidR="00EB45D6" w:rsidRPr="007F769E">
              <w:rPr>
                <w:sz w:val="16"/>
                <w:szCs w:val="16"/>
              </w:rPr>
              <w:t xml:space="preserve"> </w:t>
            </w:r>
          </w:p>
          <w:p w14:paraId="2ED2B4B7" w14:textId="10940EB1" w:rsidR="00EB45D6" w:rsidRPr="00367AAE" w:rsidRDefault="00EB45D6" w:rsidP="00EB45D6">
            <w:pPr>
              <w:ind w:left="0"/>
              <w:rPr>
                <w:sz w:val="16"/>
                <w:szCs w:val="16"/>
              </w:rPr>
            </w:pPr>
            <w:r w:rsidRPr="007F769E">
              <w:rPr>
                <w:sz w:val="16"/>
                <w:szCs w:val="16"/>
              </w:rPr>
              <w:t>Used to demonstrate predictive validity of KRAS G12C.</w:t>
            </w:r>
          </w:p>
        </w:tc>
        <w:tc>
          <w:tcPr>
            <w:tcW w:w="1505" w:type="pct"/>
          </w:tcPr>
          <w:p w14:paraId="646B98B6" w14:textId="1E60956C" w:rsidR="00EB45D6" w:rsidRPr="00206754" w:rsidRDefault="00206754" w:rsidP="00EB45D6">
            <w:pPr>
              <w:rPr>
                <w:sz w:val="16"/>
                <w:szCs w:val="16"/>
              </w:rPr>
            </w:pPr>
            <w:r>
              <w:rPr>
                <w:sz w:val="16"/>
                <w:szCs w:val="16"/>
              </w:rPr>
              <w:t>https://www.library.iaslc.org/conference-program</w:t>
            </w:r>
          </w:p>
        </w:tc>
        <w:tc>
          <w:tcPr>
            <w:tcW w:w="550" w:type="pct"/>
          </w:tcPr>
          <w:p w14:paraId="3E27B941" w14:textId="64556EAC" w:rsidR="00EB45D6" w:rsidRDefault="00DE5776" w:rsidP="00EB45D6">
            <w:pPr>
              <w:ind w:left="0"/>
              <w:rPr>
                <w:sz w:val="16"/>
                <w:szCs w:val="16"/>
              </w:rPr>
            </w:pPr>
            <w:r>
              <w:rPr>
                <w:sz w:val="16"/>
                <w:szCs w:val="16"/>
              </w:rPr>
              <w:t>Presented January 30, 2021</w:t>
            </w:r>
            <w:r w:rsidR="006544C2">
              <w:rPr>
                <w:sz w:val="16"/>
                <w:szCs w:val="16"/>
              </w:rPr>
              <w:t>.</w:t>
            </w:r>
          </w:p>
          <w:p w14:paraId="0ECE5BDB" w14:textId="071F62ED" w:rsidR="006544C2" w:rsidRDefault="006544C2" w:rsidP="00EB45D6">
            <w:pPr>
              <w:ind w:left="0"/>
              <w:rPr>
                <w:sz w:val="16"/>
                <w:szCs w:val="16"/>
              </w:rPr>
            </w:pPr>
            <w:r>
              <w:rPr>
                <w:sz w:val="16"/>
                <w:szCs w:val="16"/>
              </w:rPr>
              <w:t xml:space="preserve">Peer review publication expected in </w:t>
            </w:r>
            <w:r w:rsidR="00D21CF1">
              <w:rPr>
                <w:sz w:val="16"/>
                <w:szCs w:val="16"/>
              </w:rPr>
              <w:t>Apr/May 2021</w:t>
            </w:r>
          </w:p>
        </w:tc>
      </w:tr>
      <w:tr w:rsidR="0024556F" w14:paraId="77DD55D2" w14:textId="77777777" w:rsidTr="0024556F">
        <w:trPr>
          <w:cantSplit/>
        </w:trPr>
        <w:tc>
          <w:tcPr>
            <w:tcW w:w="252" w:type="pct"/>
          </w:tcPr>
          <w:p w14:paraId="7D71AB27" w14:textId="0BA981E8" w:rsidR="00EB45D6" w:rsidRPr="005651FA" w:rsidRDefault="00EB45D6" w:rsidP="00EB45D6">
            <w:pPr>
              <w:pStyle w:val="ListParagraph"/>
              <w:numPr>
                <w:ilvl w:val="0"/>
                <w:numId w:val="42"/>
              </w:numPr>
              <w:rPr>
                <w:szCs w:val="20"/>
              </w:rPr>
            </w:pPr>
          </w:p>
        </w:tc>
        <w:tc>
          <w:tcPr>
            <w:tcW w:w="407" w:type="pct"/>
          </w:tcPr>
          <w:p w14:paraId="0CC005AF" w14:textId="5DCE54FA" w:rsidR="00EB45D6" w:rsidRPr="00026D98" w:rsidRDefault="00EB45D6" w:rsidP="00EB45D6">
            <w:pPr>
              <w:ind w:left="0"/>
              <w:rPr>
                <w:sz w:val="16"/>
                <w:szCs w:val="16"/>
              </w:rPr>
            </w:pPr>
            <w:r>
              <w:rPr>
                <w:sz w:val="16"/>
                <w:szCs w:val="16"/>
              </w:rPr>
              <w:t>Pre-c</w:t>
            </w:r>
            <w:r w:rsidRPr="00026D98">
              <w:rPr>
                <w:sz w:val="16"/>
                <w:szCs w:val="16"/>
              </w:rPr>
              <w:t xml:space="preserve">linical trial </w:t>
            </w:r>
          </w:p>
        </w:tc>
        <w:tc>
          <w:tcPr>
            <w:tcW w:w="914" w:type="pct"/>
          </w:tcPr>
          <w:p w14:paraId="1FC2D146" w14:textId="4E4059E1" w:rsidR="00EB45D6" w:rsidRDefault="00EB45D6" w:rsidP="00EB45D6">
            <w:pPr>
              <w:ind w:left="0"/>
              <w:rPr>
                <w:bCs/>
                <w:sz w:val="16"/>
                <w:szCs w:val="16"/>
              </w:rPr>
            </w:pPr>
            <w:r>
              <w:rPr>
                <w:bCs/>
                <w:sz w:val="16"/>
                <w:szCs w:val="16"/>
              </w:rPr>
              <w:t xml:space="preserve">Canon J, Rex K, Saiki AY, et al. The clinical KRAS (G12C) inhibitor AMG 510 drives anti-tumour immunity. </w:t>
            </w:r>
          </w:p>
          <w:p w14:paraId="7EF6A10A" w14:textId="1FB19BAC" w:rsidR="00EB45D6" w:rsidRDefault="00EB45D6" w:rsidP="00EB45D6">
            <w:pPr>
              <w:ind w:left="0"/>
              <w:rPr>
                <w:bCs/>
                <w:sz w:val="16"/>
                <w:szCs w:val="16"/>
              </w:rPr>
            </w:pPr>
            <w:r>
              <w:rPr>
                <w:bCs/>
                <w:sz w:val="16"/>
                <w:szCs w:val="16"/>
              </w:rPr>
              <w:t>Nature 2019;575:217-223</w:t>
            </w:r>
          </w:p>
          <w:p w14:paraId="3DA6D0A2" w14:textId="4102E94E" w:rsidR="00EB45D6" w:rsidRPr="0024556F" w:rsidRDefault="00EB45D6" w:rsidP="0024556F">
            <w:pPr>
              <w:ind w:left="0"/>
              <w:rPr>
                <w:bCs/>
                <w:sz w:val="16"/>
                <w:szCs w:val="16"/>
              </w:rPr>
            </w:pPr>
            <w:r>
              <w:rPr>
                <w:bCs/>
                <w:sz w:val="16"/>
                <w:szCs w:val="16"/>
              </w:rPr>
              <w:t xml:space="preserve">Associated with NCT03600883. </w:t>
            </w:r>
          </w:p>
        </w:tc>
        <w:tc>
          <w:tcPr>
            <w:tcW w:w="1372" w:type="pct"/>
          </w:tcPr>
          <w:p w14:paraId="58552F86" w14:textId="58832B16" w:rsidR="00EB45D6" w:rsidRPr="006A5A71" w:rsidRDefault="00EB45D6" w:rsidP="00EB45D6">
            <w:pPr>
              <w:ind w:left="0"/>
              <w:rPr>
                <w:bCs/>
                <w:sz w:val="16"/>
                <w:szCs w:val="16"/>
              </w:rPr>
            </w:pPr>
            <w:r w:rsidRPr="006A5A71">
              <w:rPr>
                <w:bCs/>
                <w:sz w:val="16"/>
                <w:szCs w:val="16"/>
              </w:rPr>
              <w:t xml:space="preserve">Pre-clinical </w:t>
            </w:r>
            <w:proofErr w:type="spellStart"/>
            <w:r w:rsidRPr="006A5A71">
              <w:rPr>
                <w:bCs/>
                <w:sz w:val="16"/>
                <w:szCs w:val="16"/>
              </w:rPr>
              <w:t>sotorasib</w:t>
            </w:r>
            <w:proofErr w:type="spellEnd"/>
            <w:r w:rsidRPr="006A5A71">
              <w:rPr>
                <w:bCs/>
                <w:sz w:val="16"/>
                <w:szCs w:val="16"/>
              </w:rPr>
              <w:t xml:space="preserve"> trial. </w:t>
            </w:r>
          </w:p>
          <w:p w14:paraId="521878F5" w14:textId="7B1B11B4" w:rsidR="00EB45D6" w:rsidRPr="006A5A71" w:rsidRDefault="00EB45D6" w:rsidP="00EB45D6">
            <w:pPr>
              <w:ind w:left="0"/>
              <w:rPr>
                <w:bCs/>
                <w:sz w:val="16"/>
                <w:szCs w:val="16"/>
              </w:rPr>
            </w:pPr>
            <w:proofErr w:type="spellStart"/>
            <w:r w:rsidRPr="006A5A71">
              <w:rPr>
                <w:bCs/>
                <w:sz w:val="16"/>
                <w:szCs w:val="16"/>
              </w:rPr>
              <w:t>Sotorasib</w:t>
            </w:r>
            <w:proofErr w:type="spellEnd"/>
            <w:r w:rsidRPr="006A5A71">
              <w:rPr>
                <w:bCs/>
                <w:sz w:val="16"/>
                <w:szCs w:val="16"/>
              </w:rPr>
              <w:t xml:space="preserve"> led to regression of KRAS G12C variant solid tumours and improved anti-tumour efficacy of chemotherapy and targeted agents. No effect on KRAS G12V tumour growth. </w:t>
            </w:r>
          </w:p>
          <w:p w14:paraId="439EAA52" w14:textId="1D883594" w:rsidR="00EB45D6" w:rsidRPr="005651FA" w:rsidRDefault="00EB45D6" w:rsidP="00EB45D6">
            <w:pPr>
              <w:ind w:left="0"/>
              <w:rPr>
                <w:bCs/>
                <w:sz w:val="16"/>
                <w:szCs w:val="16"/>
              </w:rPr>
            </w:pPr>
            <w:r w:rsidRPr="006A5A71">
              <w:rPr>
                <w:bCs/>
                <w:sz w:val="16"/>
                <w:szCs w:val="16"/>
              </w:rPr>
              <w:t>Used to demonstrate predictive validity of KRAS G12C.</w:t>
            </w:r>
            <w:r>
              <w:rPr>
                <w:bCs/>
                <w:sz w:val="16"/>
                <w:szCs w:val="16"/>
              </w:rPr>
              <w:t xml:space="preserve"> </w:t>
            </w:r>
          </w:p>
        </w:tc>
        <w:tc>
          <w:tcPr>
            <w:tcW w:w="1505" w:type="pct"/>
          </w:tcPr>
          <w:p w14:paraId="5B197BBB" w14:textId="239D49D4" w:rsidR="00EB45D6" w:rsidRDefault="00577575" w:rsidP="00EB45D6">
            <w:pPr>
              <w:rPr>
                <w:sz w:val="16"/>
                <w:szCs w:val="16"/>
              </w:rPr>
            </w:pPr>
            <w:hyperlink r:id="rId19" w:history="1">
              <w:r w:rsidR="00EB45D6" w:rsidRPr="00AB2774">
                <w:rPr>
                  <w:rStyle w:val="Hyperlink"/>
                  <w:sz w:val="16"/>
                  <w:szCs w:val="16"/>
                </w:rPr>
                <w:t>https://www.nature.com/articles/s41586-019-1694-1</w:t>
              </w:r>
            </w:hyperlink>
          </w:p>
          <w:p w14:paraId="38F8F2F7" w14:textId="106057EB" w:rsidR="00EB45D6" w:rsidRPr="00E82F54" w:rsidRDefault="00EB45D6" w:rsidP="00EB45D6">
            <w:pPr>
              <w:rPr>
                <w:b/>
                <w:szCs w:val="20"/>
              </w:rPr>
            </w:pPr>
          </w:p>
        </w:tc>
        <w:tc>
          <w:tcPr>
            <w:tcW w:w="550" w:type="pct"/>
          </w:tcPr>
          <w:p w14:paraId="418DCC24" w14:textId="3DE5C158" w:rsidR="00EB45D6" w:rsidRPr="005651FA" w:rsidRDefault="00EB45D6" w:rsidP="00EB45D6">
            <w:pPr>
              <w:ind w:left="0"/>
              <w:rPr>
                <w:b/>
                <w:sz w:val="16"/>
                <w:szCs w:val="16"/>
              </w:rPr>
            </w:pPr>
            <w:r>
              <w:rPr>
                <w:sz w:val="16"/>
                <w:szCs w:val="16"/>
              </w:rPr>
              <w:t xml:space="preserve">Published </w:t>
            </w:r>
            <w:r w:rsidRPr="005651FA">
              <w:rPr>
                <w:sz w:val="16"/>
                <w:szCs w:val="16"/>
              </w:rPr>
              <w:t>30 October</w:t>
            </w:r>
            <w:r>
              <w:rPr>
                <w:sz w:val="16"/>
                <w:szCs w:val="16"/>
              </w:rPr>
              <w:t>,</w:t>
            </w:r>
            <w:r w:rsidRPr="005651FA">
              <w:rPr>
                <w:sz w:val="16"/>
                <w:szCs w:val="16"/>
              </w:rPr>
              <w:t xml:space="preserve"> 2019</w:t>
            </w:r>
          </w:p>
        </w:tc>
      </w:tr>
      <w:tr w:rsidR="0024556F" w14:paraId="61E95210" w14:textId="77777777" w:rsidTr="0024556F">
        <w:trPr>
          <w:cantSplit/>
        </w:trPr>
        <w:tc>
          <w:tcPr>
            <w:tcW w:w="252" w:type="pct"/>
          </w:tcPr>
          <w:p w14:paraId="7AE96DD0" w14:textId="77777777" w:rsidR="00EB45D6" w:rsidRPr="005651FA" w:rsidRDefault="00EB45D6" w:rsidP="00EB45D6">
            <w:pPr>
              <w:pStyle w:val="ListParagraph"/>
              <w:numPr>
                <w:ilvl w:val="0"/>
                <w:numId w:val="42"/>
              </w:numPr>
              <w:rPr>
                <w:szCs w:val="20"/>
              </w:rPr>
            </w:pPr>
          </w:p>
        </w:tc>
        <w:tc>
          <w:tcPr>
            <w:tcW w:w="407" w:type="pct"/>
          </w:tcPr>
          <w:p w14:paraId="6A97C3B9" w14:textId="08E6901F" w:rsidR="00EB45D6" w:rsidRPr="00373B56" w:rsidRDefault="00EB45D6" w:rsidP="00EB45D6">
            <w:pPr>
              <w:ind w:left="0"/>
              <w:rPr>
                <w:sz w:val="16"/>
                <w:szCs w:val="16"/>
              </w:rPr>
            </w:pPr>
            <w:r>
              <w:rPr>
                <w:sz w:val="16"/>
                <w:szCs w:val="16"/>
              </w:rPr>
              <w:t>Drug annotation study</w:t>
            </w:r>
          </w:p>
          <w:p w14:paraId="6826B10E" w14:textId="6D9C1029" w:rsidR="00EB45D6" w:rsidRPr="00026D98" w:rsidRDefault="00EB45D6" w:rsidP="00EB45D6">
            <w:pPr>
              <w:ind w:left="0"/>
              <w:rPr>
                <w:b/>
                <w:bCs/>
                <w:sz w:val="16"/>
                <w:szCs w:val="16"/>
              </w:rPr>
            </w:pPr>
          </w:p>
        </w:tc>
        <w:tc>
          <w:tcPr>
            <w:tcW w:w="914" w:type="pct"/>
          </w:tcPr>
          <w:p w14:paraId="287F576B" w14:textId="5C2EC055" w:rsidR="00EB45D6" w:rsidRDefault="00EB45D6" w:rsidP="00EB45D6">
            <w:pPr>
              <w:ind w:left="0"/>
              <w:rPr>
                <w:bCs/>
                <w:sz w:val="16"/>
                <w:szCs w:val="16"/>
              </w:rPr>
            </w:pPr>
            <w:proofErr w:type="spellStart"/>
            <w:r>
              <w:rPr>
                <w:bCs/>
                <w:sz w:val="16"/>
                <w:szCs w:val="16"/>
              </w:rPr>
              <w:t>Lanman</w:t>
            </w:r>
            <w:proofErr w:type="spellEnd"/>
            <w:r>
              <w:rPr>
                <w:bCs/>
                <w:sz w:val="16"/>
                <w:szCs w:val="16"/>
              </w:rPr>
              <w:t xml:space="preserve"> B, Allen JR, Allen JG, et al. Discovery of a covalent inhibitor of KRAS G12C (AMG510) for the treatment of solid </w:t>
            </w:r>
            <w:proofErr w:type="spellStart"/>
            <w:r>
              <w:rPr>
                <w:bCs/>
                <w:sz w:val="16"/>
                <w:szCs w:val="16"/>
              </w:rPr>
              <w:t>tumors</w:t>
            </w:r>
            <w:proofErr w:type="spellEnd"/>
            <w:r>
              <w:rPr>
                <w:bCs/>
                <w:sz w:val="16"/>
                <w:szCs w:val="16"/>
              </w:rPr>
              <w:t xml:space="preserve">. </w:t>
            </w:r>
          </w:p>
          <w:p w14:paraId="71091EC0" w14:textId="486CA168" w:rsidR="00EB45D6" w:rsidRDefault="00EB45D6" w:rsidP="00EB45D6">
            <w:pPr>
              <w:ind w:left="0"/>
              <w:rPr>
                <w:bCs/>
                <w:sz w:val="16"/>
                <w:szCs w:val="16"/>
              </w:rPr>
            </w:pPr>
            <w:r>
              <w:rPr>
                <w:bCs/>
                <w:sz w:val="16"/>
                <w:szCs w:val="16"/>
              </w:rPr>
              <w:t xml:space="preserve">J Med </w:t>
            </w:r>
            <w:proofErr w:type="spellStart"/>
            <w:r>
              <w:rPr>
                <w:bCs/>
                <w:sz w:val="16"/>
                <w:szCs w:val="16"/>
              </w:rPr>
              <w:t>Chem</w:t>
            </w:r>
            <w:proofErr w:type="spellEnd"/>
            <w:r>
              <w:rPr>
                <w:bCs/>
                <w:sz w:val="16"/>
                <w:szCs w:val="16"/>
              </w:rPr>
              <w:t xml:space="preserve"> 2020;63:52-65</w:t>
            </w:r>
          </w:p>
          <w:p w14:paraId="2F6366E4" w14:textId="08730E94" w:rsidR="00EB45D6" w:rsidRDefault="00EB45D6" w:rsidP="0024556F">
            <w:pPr>
              <w:ind w:left="0"/>
              <w:rPr>
                <w:bCs/>
                <w:sz w:val="16"/>
                <w:szCs w:val="16"/>
              </w:rPr>
            </w:pPr>
            <w:r>
              <w:rPr>
                <w:bCs/>
                <w:sz w:val="16"/>
                <w:szCs w:val="16"/>
              </w:rPr>
              <w:t xml:space="preserve">Associated with NCT03600883. </w:t>
            </w:r>
          </w:p>
        </w:tc>
        <w:tc>
          <w:tcPr>
            <w:tcW w:w="1372" w:type="pct"/>
          </w:tcPr>
          <w:p w14:paraId="62EBDCDC" w14:textId="0F7F3105" w:rsidR="00EB45D6" w:rsidRDefault="00EB45D6" w:rsidP="00EB45D6">
            <w:pPr>
              <w:ind w:left="0"/>
              <w:rPr>
                <w:bCs/>
                <w:sz w:val="16"/>
                <w:szCs w:val="16"/>
              </w:rPr>
            </w:pPr>
            <w:r>
              <w:rPr>
                <w:bCs/>
                <w:sz w:val="16"/>
                <w:szCs w:val="16"/>
              </w:rPr>
              <w:t>Outline</w:t>
            </w:r>
            <w:r w:rsidR="00367AAE">
              <w:rPr>
                <w:bCs/>
                <w:sz w:val="16"/>
                <w:szCs w:val="16"/>
              </w:rPr>
              <w:t xml:space="preserve"> of</w:t>
            </w:r>
            <w:r>
              <w:rPr>
                <w:bCs/>
                <w:sz w:val="16"/>
                <w:szCs w:val="16"/>
              </w:rPr>
              <w:t xml:space="preserve"> development of </w:t>
            </w:r>
            <w:proofErr w:type="spellStart"/>
            <w:r>
              <w:rPr>
                <w:bCs/>
                <w:sz w:val="16"/>
                <w:szCs w:val="16"/>
              </w:rPr>
              <w:t>sotorasib</w:t>
            </w:r>
            <w:proofErr w:type="spellEnd"/>
            <w:r>
              <w:rPr>
                <w:bCs/>
                <w:sz w:val="16"/>
                <w:szCs w:val="16"/>
              </w:rPr>
              <w:t xml:space="preserve"> so as to specifically and irreversibly inhibit KRAS G12C by its unique engagement with a cryptic previously unexploited pocket within G12C.  KRAS G12C then trapped in its inactive form, resulting in anti-tumour effects. </w:t>
            </w:r>
          </w:p>
          <w:p w14:paraId="136EF586" w14:textId="4F280F5A" w:rsidR="00EB45D6" w:rsidRDefault="00EB45D6" w:rsidP="00EB45D6">
            <w:pPr>
              <w:ind w:left="0"/>
              <w:rPr>
                <w:bCs/>
                <w:sz w:val="16"/>
                <w:szCs w:val="16"/>
              </w:rPr>
            </w:pPr>
            <w:r>
              <w:rPr>
                <w:bCs/>
                <w:sz w:val="16"/>
                <w:szCs w:val="16"/>
              </w:rPr>
              <w:t xml:space="preserve">Used to demonstrate predictive validity of KRAS G12C. </w:t>
            </w:r>
          </w:p>
        </w:tc>
        <w:tc>
          <w:tcPr>
            <w:tcW w:w="1505" w:type="pct"/>
          </w:tcPr>
          <w:p w14:paraId="1A004A29" w14:textId="0BFF971F" w:rsidR="00EB45D6" w:rsidRPr="00BA5A3C" w:rsidRDefault="00577575" w:rsidP="00EB45D6">
            <w:pPr>
              <w:rPr>
                <w:sz w:val="16"/>
                <w:szCs w:val="16"/>
              </w:rPr>
            </w:pPr>
            <w:hyperlink r:id="rId20" w:history="1">
              <w:r w:rsidR="00EB45D6" w:rsidRPr="00BA5A3C">
                <w:rPr>
                  <w:rStyle w:val="Hyperlink"/>
                  <w:sz w:val="16"/>
                  <w:szCs w:val="16"/>
                </w:rPr>
                <w:t>https://pubs.acs.org/doi/10.1021/acs.jmedchem.9b01180</w:t>
              </w:r>
            </w:hyperlink>
          </w:p>
          <w:p w14:paraId="22CDCE1A" w14:textId="7AB55810" w:rsidR="00EB45D6" w:rsidRDefault="00EB45D6" w:rsidP="00EB45D6"/>
        </w:tc>
        <w:tc>
          <w:tcPr>
            <w:tcW w:w="550" w:type="pct"/>
          </w:tcPr>
          <w:p w14:paraId="4C688CAB" w14:textId="0154F19B" w:rsidR="00EB45D6" w:rsidRDefault="00EB45D6" w:rsidP="00EB45D6">
            <w:pPr>
              <w:ind w:left="0"/>
              <w:rPr>
                <w:sz w:val="16"/>
                <w:szCs w:val="16"/>
              </w:rPr>
            </w:pPr>
            <w:r>
              <w:rPr>
                <w:sz w:val="16"/>
                <w:szCs w:val="16"/>
              </w:rPr>
              <w:t>Published December 10, 2019</w:t>
            </w:r>
          </w:p>
        </w:tc>
      </w:tr>
      <w:tr w:rsidR="0024556F" w14:paraId="06520455" w14:textId="77777777" w:rsidTr="0024556F">
        <w:trPr>
          <w:cantSplit/>
        </w:trPr>
        <w:tc>
          <w:tcPr>
            <w:tcW w:w="252" w:type="pct"/>
          </w:tcPr>
          <w:p w14:paraId="69359C24" w14:textId="2F7D1BB3" w:rsidR="00EB45D6" w:rsidRPr="00DD3E15" w:rsidRDefault="00EB45D6" w:rsidP="00EB45D6">
            <w:pPr>
              <w:pStyle w:val="ListParagraph"/>
              <w:numPr>
                <w:ilvl w:val="0"/>
                <w:numId w:val="42"/>
              </w:numPr>
              <w:rPr>
                <w:szCs w:val="20"/>
              </w:rPr>
            </w:pPr>
          </w:p>
        </w:tc>
        <w:tc>
          <w:tcPr>
            <w:tcW w:w="407" w:type="pct"/>
          </w:tcPr>
          <w:p w14:paraId="48B3F183" w14:textId="52F3B072" w:rsidR="00EB45D6" w:rsidRDefault="00E3787D" w:rsidP="00EB45D6">
            <w:pPr>
              <w:ind w:left="0"/>
              <w:rPr>
                <w:b/>
                <w:szCs w:val="20"/>
              </w:rPr>
            </w:pPr>
            <w:r>
              <w:rPr>
                <w:sz w:val="16"/>
                <w:szCs w:val="16"/>
              </w:rPr>
              <w:t xml:space="preserve">Observational study </w:t>
            </w:r>
          </w:p>
        </w:tc>
        <w:tc>
          <w:tcPr>
            <w:tcW w:w="914" w:type="pct"/>
          </w:tcPr>
          <w:p w14:paraId="2B7196CD" w14:textId="77777777" w:rsidR="00E3787D" w:rsidRDefault="00E3787D" w:rsidP="00E3787D">
            <w:pPr>
              <w:ind w:left="0"/>
              <w:rPr>
                <w:bCs/>
                <w:sz w:val="16"/>
                <w:szCs w:val="16"/>
              </w:rPr>
            </w:pPr>
            <w:r>
              <w:rPr>
                <w:bCs/>
                <w:sz w:val="16"/>
                <w:szCs w:val="16"/>
              </w:rPr>
              <w:t xml:space="preserve">Cui W, </w:t>
            </w:r>
            <w:proofErr w:type="spellStart"/>
            <w:r>
              <w:rPr>
                <w:bCs/>
                <w:sz w:val="16"/>
                <w:szCs w:val="16"/>
              </w:rPr>
              <w:t>Franchini</w:t>
            </w:r>
            <w:proofErr w:type="spellEnd"/>
            <w:r>
              <w:rPr>
                <w:bCs/>
                <w:sz w:val="16"/>
                <w:szCs w:val="16"/>
              </w:rPr>
              <w:t xml:space="preserve"> F, Alexander M, et al. Real world outcomes in KRAS G12C mutation positive non-small cell lung cancer. </w:t>
            </w:r>
          </w:p>
          <w:p w14:paraId="3FB3122F" w14:textId="77777777" w:rsidR="00E3787D" w:rsidRDefault="00E3787D" w:rsidP="00E3787D">
            <w:pPr>
              <w:ind w:left="0"/>
              <w:rPr>
                <w:bCs/>
                <w:sz w:val="16"/>
                <w:szCs w:val="16"/>
              </w:rPr>
            </w:pPr>
            <w:r>
              <w:rPr>
                <w:bCs/>
                <w:sz w:val="16"/>
                <w:szCs w:val="16"/>
              </w:rPr>
              <w:t>Lung Cancer 2020;146:310-317</w:t>
            </w:r>
          </w:p>
          <w:p w14:paraId="3A44FFAA" w14:textId="7671987F" w:rsidR="00EB45D6" w:rsidRDefault="00EB45D6" w:rsidP="00B057A1">
            <w:pPr>
              <w:ind w:left="0"/>
              <w:rPr>
                <w:b/>
                <w:szCs w:val="20"/>
              </w:rPr>
            </w:pPr>
          </w:p>
        </w:tc>
        <w:tc>
          <w:tcPr>
            <w:tcW w:w="1372" w:type="pct"/>
          </w:tcPr>
          <w:p w14:paraId="67A22516" w14:textId="79BD4FC4" w:rsidR="00E3787D" w:rsidRDefault="006F4FC9" w:rsidP="00EB45D6">
            <w:pPr>
              <w:ind w:left="0"/>
              <w:rPr>
                <w:sz w:val="16"/>
                <w:szCs w:val="16"/>
              </w:rPr>
            </w:pPr>
            <w:r>
              <w:rPr>
                <w:sz w:val="16"/>
                <w:szCs w:val="16"/>
              </w:rPr>
              <w:t>An Australian study demonstrating that overall survival in KRAS</w:t>
            </w:r>
            <w:r w:rsidR="00A53986">
              <w:rPr>
                <w:sz w:val="16"/>
                <w:szCs w:val="16"/>
              </w:rPr>
              <w:t>-</w:t>
            </w:r>
            <w:r>
              <w:rPr>
                <w:sz w:val="16"/>
                <w:szCs w:val="16"/>
              </w:rPr>
              <w:t>variant NSCLC, including KRAS G12C, was as poor as KRAS</w:t>
            </w:r>
            <w:r w:rsidR="00A53986">
              <w:rPr>
                <w:sz w:val="16"/>
                <w:szCs w:val="16"/>
              </w:rPr>
              <w:t>-wild type</w:t>
            </w:r>
            <w:r>
              <w:rPr>
                <w:sz w:val="16"/>
                <w:szCs w:val="16"/>
              </w:rPr>
              <w:t xml:space="preserve"> NSCLC. Also reports prevalence of 29% of KRAS variants in NSCLC population, including 45% KRAS G12C. </w:t>
            </w:r>
          </w:p>
          <w:p w14:paraId="0410E4C5" w14:textId="1ECFB992" w:rsidR="00EB45D6" w:rsidRPr="007F769E" w:rsidRDefault="00EB45D6" w:rsidP="00EB45D6">
            <w:pPr>
              <w:ind w:left="0"/>
              <w:rPr>
                <w:bCs/>
                <w:sz w:val="16"/>
                <w:szCs w:val="16"/>
              </w:rPr>
            </w:pPr>
            <w:r>
              <w:rPr>
                <w:bCs/>
                <w:sz w:val="16"/>
                <w:szCs w:val="16"/>
              </w:rPr>
              <w:t xml:space="preserve">Used to support understanding of poor </w:t>
            </w:r>
            <w:r w:rsidR="0065186A">
              <w:rPr>
                <w:bCs/>
                <w:sz w:val="16"/>
                <w:szCs w:val="16"/>
              </w:rPr>
              <w:t>prognosis</w:t>
            </w:r>
            <w:r w:rsidR="00C77A90">
              <w:rPr>
                <w:bCs/>
                <w:sz w:val="16"/>
                <w:szCs w:val="16"/>
              </w:rPr>
              <w:t xml:space="preserve"> </w:t>
            </w:r>
            <w:r>
              <w:rPr>
                <w:bCs/>
                <w:sz w:val="16"/>
                <w:szCs w:val="16"/>
              </w:rPr>
              <w:t>of KRAS pathogenic variant</w:t>
            </w:r>
            <w:r w:rsidR="006F4FC9">
              <w:rPr>
                <w:bCs/>
                <w:sz w:val="16"/>
                <w:szCs w:val="16"/>
              </w:rPr>
              <w:t xml:space="preserve"> NSCLC</w:t>
            </w:r>
            <w:r>
              <w:rPr>
                <w:bCs/>
                <w:sz w:val="16"/>
                <w:szCs w:val="16"/>
              </w:rPr>
              <w:t xml:space="preserve">. </w:t>
            </w:r>
          </w:p>
        </w:tc>
        <w:tc>
          <w:tcPr>
            <w:tcW w:w="1505" w:type="pct"/>
          </w:tcPr>
          <w:p w14:paraId="1724FC09" w14:textId="0B26ED43" w:rsidR="00EB45D6" w:rsidRPr="00E82F54" w:rsidRDefault="00C77A90" w:rsidP="00EB45D6">
            <w:pPr>
              <w:rPr>
                <w:b/>
                <w:szCs w:val="20"/>
              </w:rPr>
            </w:pPr>
            <w:r>
              <w:rPr>
                <w:sz w:val="16"/>
                <w:szCs w:val="16"/>
              </w:rPr>
              <w:t>https://doi.org./10.1016/j.lungcan.2020.06.030</w:t>
            </w:r>
          </w:p>
        </w:tc>
        <w:tc>
          <w:tcPr>
            <w:tcW w:w="550" w:type="pct"/>
          </w:tcPr>
          <w:p w14:paraId="00E5AE07" w14:textId="24845BE9" w:rsidR="00EB45D6" w:rsidRPr="005651FA" w:rsidRDefault="00EB45D6" w:rsidP="00EB45D6">
            <w:pPr>
              <w:ind w:left="0"/>
              <w:rPr>
                <w:b/>
                <w:sz w:val="16"/>
                <w:szCs w:val="16"/>
              </w:rPr>
            </w:pPr>
            <w:r w:rsidRPr="005651FA">
              <w:rPr>
                <w:sz w:val="16"/>
                <w:szCs w:val="16"/>
              </w:rPr>
              <w:t xml:space="preserve">Published </w:t>
            </w:r>
            <w:r w:rsidR="00E3787D">
              <w:rPr>
                <w:sz w:val="16"/>
                <w:szCs w:val="16"/>
              </w:rPr>
              <w:t>June 26</w:t>
            </w:r>
            <w:r w:rsidRPr="005651FA">
              <w:rPr>
                <w:sz w:val="16"/>
                <w:szCs w:val="16"/>
              </w:rPr>
              <w:t>, 20</w:t>
            </w:r>
            <w:r w:rsidR="00E3787D">
              <w:rPr>
                <w:sz w:val="16"/>
                <w:szCs w:val="16"/>
              </w:rPr>
              <w:t>20</w:t>
            </w:r>
            <w:r w:rsidRPr="005651FA">
              <w:rPr>
                <w:sz w:val="16"/>
                <w:szCs w:val="16"/>
              </w:rPr>
              <w:t xml:space="preserve">. </w:t>
            </w:r>
          </w:p>
        </w:tc>
      </w:tr>
      <w:tr w:rsidR="0024556F" w14:paraId="4CB2261B" w14:textId="77777777" w:rsidTr="0024556F">
        <w:trPr>
          <w:cantSplit/>
        </w:trPr>
        <w:tc>
          <w:tcPr>
            <w:tcW w:w="252" w:type="pct"/>
          </w:tcPr>
          <w:p w14:paraId="3AB0F86D" w14:textId="77777777" w:rsidR="00A53986" w:rsidRPr="00DD3E15" w:rsidRDefault="00A53986" w:rsidP="00EB45D6">
            <w:pPr>
              <w:pStyle w:val="ListParagraph"/>
              <w:numPr>
                <w:ilvl w:val="0"/>
                <w:numId w:val="42"/>
              </w:numPr>
              <w:rPr>
                <w:szCs w:val="20"/>
              </w:rPr>
            </w:pPr>
          </w:p>
        </w:tc>
        <w:tc>
          <w:tcPr>
            <w:tcW w:w="407" w:type="pct"/>
          </w:tcPr>
          <w:p w14:paraId="32374B1C" w14:textId="6AD7681D" w:rsidR="00A53986" w:rsidRDefault="00A53986" w:rsidP="00EB45D6">
            <w:pPr>
              <w:ind w:left="0"/>
              <w:rPr>
                <w:sz w:val="16"/>
                <w:szCs w:val="16"/>
              </w:rPr>
            </w:pPr>
            <w:r>
              <w:rPr>
                <w:sz w:val="16"/>
                <w:szCs w:val="16"/>
              </w:rPr>
              <w:t>Prospective multicentre study</w:t>
            </w:r>
          </w:p>
        </w:tc>
        <w:tc>
          <w:tcPr>
            <w:tcW w:w="914" w:type="pct"/>
          </w:tcPr>
          <w:p w14:paraId="14BADB06" w14:textId="77777777" w:rsidR="00A53986" w:rsidRDefault="00A53986" w:rsidP="00E3787D">
            <w:pPr>
              <w:ind w:left="0"/>
              <w:rPr>
                <w:bCs/>
                <w:sz w:val="16"/>
                <w:szCs w:val="16"/>
              </w:rPr>
            </w:pPr>
            <w:r>
              <w:rPr>
                <w:bCs/>
                <w:sz w:val="16"/>
                <w:szCs w:val="16"/>
              </w:rPr>
              <w:t xml:space="preserve">El </w:t>
            </w:r>
            <w:proofErr w:type="spellStart"/>
            <w:r>
              <w:rPr>
                <w:bCs/>
                <w:sz w:val="16"/>
                <w:szCs w:val="16"/>
              </w:rPr>
              <w:t>Osta</w:t>
            </w:r>
            <w:proofErr w:type="spellEnd"/>
            <w:r>
              <w:rPr>
                <w:bCs/>
                <w:sz w:val="16"/>
                <w:szCs w:val="16"/>
              </w:rPr>
              <w:t xml:space="preserve"> B, </w:t>
            </w:r>
            <w:proofErr w:type="spellStart"/>
            <w:r>
              <w:rPr>
                <w:bCs/>
                <w:sz w:val="16"/>
                <w:szCs w:val="16"/>
              </w:rPr>
              <w:t>Behera</w:t>
            </w:r>
            <w:proofErr w:type="spellEnd"/>
            <w:r>
              <w:rPr>
                <w:bCs/>
                <w:sz w:val="16"/>
                <w:szCs w:val="16"/>
              </w:rPr>
              <w:t xml:space="preserve"> M, Kim S, et al. Characteristics and outcomes of patients with metastatic KRAS-mutant lung adenocarcinomas: the lung cancer mutation consortium experience. </w:t>
            </w:r>
          </w:p>
          <w:p w14:paraId="0E493F07" w14:textId="1627D92C" w:rsidR="00A53986" w:rsidRDefault="00A53986" w:rsidP="00E3787D">
            <w:pPr>
              <w:ind w:left="0"/>
              <w:rPr>
                <w:bCs/>
                <w:sz w:val="16"/>
                <w:szCs w:val="16"/>
              </w:rPr>
            </w:pPr>
            <w:r>
              <w:rPr>
                <w:bCs/>
                <w:sz w:val="16"/>
                <w:szCs w:val="16"/>
              </w:rPr>
              <w:t xml:space="preserve">J </w:t>
            </w:r>
            <w:proofErr w:type="spellStart"/>
            <w:r>
              <w:rPr>
                <w:bCs/>
                <w:sz w:val="16"/>
                <w:szCs w:val="16"/>
              </w:rPr>
              <w:t>Thorac</w:t>
            </w:r>
            <w:proofErr w:type="spellEnd"/>
            <w:r>
              <w:rPr>
                <w:bCs/>
                <w:sz w:val="16"/>
                <w:szCs w:val="16"/>
              </w:rPr>
              <w:t xml:space="preserve"> </w:t>
            </w:r>
            <w:proofErr w:type="spellStart"/>
            <w:r>
              <w:rPr>
                <w:bCs/>
                <w:sz w:val="16"/>
                <w:szCs w:val="16"/>
              </w:rPr>
              <w:t>Oncol</w:t>
            </w:r>
            <w:proofErr w:type="spellEnd"/>
            <w:r>
              <w:rPr>
                <w:bCs/>
                <w:sz w:val="16"/>
                <w:szCs w:val="16"/>
              </w:rPr>
              <w:t xml:space="preserve"> 2019;14:876-889</w:t>
            </w:r>
          </w:p>
        </w:tc>
        <w:tc>
          <w:tcPr>
            <w:tcW w:w="1372" w:type="pct"/>
          </w:tcPr>
          <w:p w14:paraId="3E78D215" w14:textId="5068159C" w:rsidR="00A53986" w:rsidRDefault="00D46F11" w:rsidP="00EB45D6">
            <w:pPr>
              <w:ind w:left="0"/>
              <w:rPr>
                <w:sz w:val="16"/>
                <w:szCs w:val="16"/>
              </w:rPr>
            </w:pPr>
            <w:r>
              <w:rPr>
                <w:sz w:val="16"/>
                <w:szCs w:val="16"/>
              </w:rPr>
              <w:t xml:space="preserve">A </w:t>
            </w:r>
            <w:r w:rsidR="00A53986">
              <w:rPr>
                <w:sz w:val="16"/>
                <w:szCs w:val="16"/>
              </w:rPr>
              <w:t xml:space="preserve">prospective multicentre study </w:t>
            </w:r>
            <w:r>
              <w:rPr>
                <w:sz w:val="16"/>
                <w:szCs w:val="16"/>
              </w:rPr>
              <w:t xml:space="preserve">in which retrospective analyses </w:t>
            </w:r>
            <w:r w:rsidR="00A53986">
              <w:rPr>
                <w:sz w:val="16"/>
                <w:szCs w:val="16"/>
              </w:rPr>
              <w:t>demonstrat</w:t>
            </w:r>
            <w:r>
              <w:rPr>
                <w:sz w:val="16"/>
                <w:szCs w:val="16"/>
              </w:rPr>
              <w:t>ed</w:t>
            </w:r>
            <w:r w:rsidR="00A53986">
              <w:rPr>
                <w:sz w:val="16"/>
                <w:szCs w:val="16"/>
              </w:rPr>
              <w:t xml:space="preserve"> that overall survival in KRAS-variant NSCLC </w:t>
            </w:r>
            <w:r w:rsidR="00E11AB9">
              <w:rPr>
                <w:sz w:val="16"/>
                <w:szCs w:val="16"/>
              </w:rPr>
              <w:t>w</w:t>
            </w:r>
            <w:r w:rsidR="00A53986">
              <w:rPr>
                <w:sz w:val="16"/>
                <w:szCs w:val="16"/>
              </w:rPr>
              <w:t>as</w:t>
            </w:r>
            <w:r w:rsidR="00E11AB9">
              <w:rPr>
                <w:sz w:val="16"/>
                <w:szCs w:val="16"/>
              </w:rPr>
              <w:t xml:space="preserve"> slightly shorter compared to</w:t>
            </w:r>
            <w:r w:rsidR="00A53986">
              <w:rPr>
                <w:sz w:val="16"/>
                <w:szCs w:val="16"/>
              </w:rPr>
              <w:t xml:space="preserve"> KRAS-wild type NSCLC</w:t>
            </w:r>
            <w:r w:rsidR="00E11AB9">
              <w:rPr>
                <w:sz w:val="16"/>
                <w:szCs w:val="16"/>
              </w:rPr>
              <w:t xml:space="preserve">, with no differences found between the three main KRAS variant subtypes, including KRAS G12C. </w:t>
            </w:r>
          </w:p>
          <w:p w14:paraId="2B039875" w14:textId="73982457" w:rsidR="00A53986" w:rsidRDefault="00A53986" w:rsidP="00EB45D6">
            <w:pPr>
              <w:ind w:left="0"/>
              <w:rPr>
                <w:sz w:val="16"/>
                <w:szCs w:val="16"/>
              </w:rPr>
            </w:pPr>
            <w:r>
              <w:rPr>
                <w:sz w:val="16"/>
                <w:szCs w:val="16"/>
              </w:rPr>
              <w:t xml:space="preserve">Used to support understanding of poor </w:t>
            </w:r>
            <w:r w:rsidR="0065186A">
              <w:rPr>
                <w:sz w:val="16"/>
                <w:szCs w:val="16"/>
              </w:rPr>
              <w:t xml:space="preserve">prognosis of </w:t>
            </w:r>
            <w:r>
              <w:rPr>
                <w:sz w:val="16"/>
                <w:szCs w:val="16"/>
              </w:rPr>
              <w:t xml:space="preserve">KRAS pathogenic variant NSCLC. </w:t>
            </w:r>
          </w:p>
        </w:tc>
        <w:tc>
          <w:tcPr>
            <w:tcW w:w="1505" w:type="pct"/>
          </w:tcPr>
          <w:p w14:paraId="43FC7AB9" w14:textId="79C40BAC" w:rsidR="00A53986" w:rsidRPr="00B057A1" w:rsidRDefault="00A53986" w:rsidP="00E3787D">
            <w:pPr>
              <w:rPr>
                <w:sz w:val="16"/>
                <w:szCs w:val="16"/>
              </w:rPr>
            </w:pPr>
            <w:r w:rsidRPr="00B057A1">
              <w:rPr>
                <w:sz w:val="16"/>
                <w:szCs w:val="16"/>
              </w:rPr>
              <w:t>https://doi.org./10.1016/j.jtho.2019.01.020</w:t>
            </w:r>
          </w:p>
        </w:tc>
        <w:tc>
          <w:tcPr>
            <w:tcW w:w="550" w:type="pct"/>
          </w:tcPr>
          <w:p w14:paraId="47FCEA37" w14:textId="3447522B" w:rsidR="00A53986" w:rsidRPr="005651FA" w:rsidRDefault="002454EE" w:rsidP="00EB45D6">
            <w:pPr>
              <w:ind w:left="0"/>
              <w:rPr>
                <w:sz w:val="16"/>
                <w:szCs w:val="16"/>
              </w:rPr>
            </w:pPr>
            <w:r>
              <w:rPr>
                <w:sz w:val="16"/>
                <w:szCs w:val="16"/>
              </w:rPr>
              <w:t>Published February 5, 2019</w:t>
            </w:r>
          </w:p>
        </w:tc>
      </w:tr>
      <w:tr w:rsidR="0024556F" w14:paraId="2FF01C1E" w14:textId="77777777" w:rsidTr="0024556F">
        <w:trPr>
          <w:cantSplit/>
        </w:trPr>
        <w:tc>
          <w:tcPr>
            <w:tcW w:w="252" w:type="pct"/>
          </w:tcPr>
          <w:p w14:paraId="3B94A0C3" w14:textId="77777777" w:rsidR="00A53986" w:rsidRPr="00DD3E15" w:rsidRDefault="00A53986" w:rsidP="00EB45D6">
            <w:pPr>
              <w:pStyle w:val="ListParagraph"/>
              <w:numPr>
                <w:ilvl w:val="0"/>
                <w:numId w:val="42"/>
              </w:numPr>
              <w:rPr>
                <w:szCs w:val="20"/>
              </w:rPr>
            </w:pPr>
          </w:p>
        </w:tc>
        <w:tc>
          <w:tcPr>
            <w:tcW w:w="407" w:type="pct"/>
          </w:tcPr>
          <w:p w14:paraId="4FE83C45" w14:textId="4B5B73AE" w:rsidR="00A53986" w:rsidRDefault="00815BF6" w:rsidP="00EB45D6">
            <w:pPr>
              <w:ind w:left="0"/>
              <w:rPr>
                <w:sz w:val="16"/>
                <w:szCs w:val="16"/>
              </w:rPr>
            </w:pPr>
            <w:r>
              <w:rPr>
                <w:sz w:val="16"/>
                <w:szCs w:val="16"/>
              </w:rPr>
              <w:t>Prospective cohort study</w:t>
            </w:r>
          </w:p>
        </w:tc>
        <w:tc>
          <w:tcPr>
            <w:tcW w:w="914" w:type="pct"/>
          </w:tcPr>
          <w:p w14:paraId="06309EA1" w14:textId="77777777" w:rsidR="00A53986" w:rsidRDefault="00815BF6" w:rsidP="00E3787D">
            <w:pPr>
              <w:ind w:left="0"/>
              <w:rPr>
                <w:bCs/>
                <w:sz w:val="16"/>
                <w:szCs w:val="16"/>
              </w:rPr>
            </w:pPr>
            <w:proofErr w:type="spellStart"/>
            <w:r>
              <w:rPr>
                <w:bCs/>
                <w:sz w:val="16"/>
                <w:szCs w:val="16"/>
              </w:rPr>
              <w:t>Jeanson</w:t>
            </w:r>
            <w:proofErr w:type="spellEnd"/>
            <w:r>
              <w:rPr>
                <w:bCs/>
                <w:sz w:val="16"/>
                <w:szCs w:val="16"/>
              </w:rPr>
              <w:t xml:space="preserve"> A, </w:t>
            </w:r>
            <w:proofErr w:type="spellStart"/>
            <w:r>
              <w:rPr>
                <w:bCs/>
                <w:sz w:val="16"/>
                <w:szCs w:val="16"/>
              </w:rPr>
              <w:t>Tomasini</w:t>
            </w:r>
            <w:proofErr w:type="spellEnd"/>
            <w:r>
              <w:rPr>
                <w:bCs/>
                <w:sz w:val="16"/>
                <w:szCs w:val="16"/>
              </w:rPr>
              <w:t xml:space="preserve"> P, </w:t>
            </w:r>
            <w:proofErr w:type="spellStart"/>
            <w:r>
              <w:rPr>
                <w:bCs/>
                <w:sz w:val="16"/>
                <w:szCs w:val="16"/>
              </w:rPr>
              <w:t>Souquet-Bressand</w:t>
            </w:r>
            <w:proofErr w:type="spellEnd"/>
            <w:r>
              <w:rPr>
                <w:bCs/>
                <w:sz w:val="16"/>
                <w:szCs w:val="16"/>
              </w:rPr>
              <w:t xml:space="preserve"> M, et al. Efficacy of immune checkpoint inhibitors in KRAS-mutant non-small cell lung cancer (NSCLC). </w:t>
            </w:r>
          </w:p>
          <w:p w14:paraId="1B5CFE55" w14:textId="40206B72" w:rsidR="00815BF6" w:rsidRDefault="00815BF6" w:rsidP="00E3787D">
            <w:pPr>
              <w:ind w:left="0"/>
              <w:rPr>
                <w:bCs/>
                <w:sz w:val="16"/>
                <w:szCs w:val="16"/>
              </w:rPr>
            </w:pPr>
            <w:r>
              <w:rPr>
                <w:bCs/>
                <w:sz w:val="16"/>
                <w:szCs w:val="16"/>
              </w:rPr>
              <w:t xml:space="preserve">J </w:t>
            </w:r>
            <w:proofErr w:type="spellStart"/>
            <w:r>
              <w:rPr>
                <w:bCs/>
                <w:sz w:val="16"/>
                <w:szCs w:val="16"/>
              </w:rPr>
              <w:t>Thorac</w:t>
            </w:r>
            <w:proofErr w:type="spellEnd"/>
            <w:r>
              <w:rPr>
                <w:bCs/>
                <w:sz w:val="16"/>
                <w:szCs w:val="16"/>
              </w:rPr>
              <w:t xml:space="preserve"> </w:t>
            </w:r>
            <w:proofErr w:type="spellStart"/>
            <w:r>
              <w:rPr>
                <w:bCs/>
                <w:sz w:val="16"/>
                <w:szCs w:val="16"/>
              </w:rPr>
              <w:t>Oncol</w:t>
            </w:r>
            <w:proofErr w:type="spellEnd"/>
            <w:r>
              <w:rPr>
                <w:bCs/>
                <w:sz w:val="16"/>
                <w:szCs w:val="16"/>
              </w:rPr>
              <w:t xml:space="preserve"> 2019;14:1095-1101</w:t>
            </w:r>
          </w:p>
        </w:tc>
        <w:tc>
          <w:tcPr>
            <w:tcW w:w="1372" w:type="pct"/>
          </w:tcPr>
          <w:p w14:paraId="12742FDB" w14:textId="1EB128FD" w:rsidR="00A53986" w:rsidRDefault="00D46F11" w:rsidP="00EB45D6">
            <w:pPr>
              <w:ind w:left="0"/>
              <w:rPr>
                <w:sz w:val="16"/>
                <w:szCs w:val="16"/>
              </w:rPr>
            </w:pPr>
            <w:r>
              <w:rPr>
                <w:sz w:val="16"/>
                <w:szCs w:val="16"/>
              </w:rPr>
              <w:t xml:space="preserve">A </w:t>
            </w:r>
            <w:r w:rsidR="00815BF6">
              <w:rPr>
                <w:sz w:val="16"/>
                <w:szCs w:val="16"/>
              </w:rPr>
              <w:t xml:space="preserve">prospective cohort study </w:t>
            </w:r>
            <w:r>
              <w:rPr>
                <w:sz w:val="16"/>
                <w:szCs w:val="16"/>
              </w:rPr>
              <w:t xml:space="preserve">in which retrospective analyses </w:t>
            </w:r>
            <w:r w:rsidR="00815BF6">
              <w:rPr>
                <w:sz w:val="16"/>
                <w:szCs w:val="16"/>
              </w:rPr>
              <w:t>demonstrat</w:t>
            </w:r>
            <w:r>
              <w:rPr>
                <w:sz w:val="16"/>
                <w:szCs w:val="16"/>
              </w:rPr>
              <w:t>ed</w:t>
            </w:r>
            <w:r w:rsidR="00815BF6">
              <w:rPr>
                <w:sz w:val="16"/>
                <w:szCs w:val="16"/>
              </w:rPr>
              <w:t xml:space="preserve"> </w:t>
            </w:r>
            <w:r w:rsidR="00E11AB9">
              <w:rPr>
                <w:sz w:val="16"/>
                <w:szCs w:val="16"/>
              </w:rPr>
              <w:t xml:space="preserve">that overall survival in KRAS-variant NSCLC was as </w:t>
            </w:r>
            <w:r>
              <w:rPr>
                <w:sz w:val="16"/>
                <w:szCs w:val="16"/>
              </w:rPr>
              <w:t xml:space="preserve">poor as KRAS-wild type NSCLC, with no differences found between the different KRAS variants including KRAS G12C. </w:t>
            </w:r>
          </w:p>
          <w:p w14:paraId="5995BF7F" w14:textId="7425332B" w:rsidR="00D46F11" w:rsidRDefault="00D46F11" w:rsidP="00EB45D6">
            <w:pPr>
              <w:ind w:left="0"/>
              <w:rPr>
                <w:sz w:val="16"/>
                <w:szCs w:val="16"/>
              </w:rPr>
            </w:pPr>
            <w:r>
              <w:rPr>
                <w:sz w:val="16"/>
                <w:szCs w:val="16"/>
              </w:rPr>
              <w:t xml:space="preserve">Used to support understanding of poor </w:t>
            </w:r>
            <w:r w:rsidR="0065186A">
              <w:rPr>
                <w:sz w:val="16"/>
                <w:szCs w:val="16"/>
              </w:rPr>
              <w:t>prognosis of KR</w:t>
            </w:r>
            <w:r>
              <w:rPr>
                <w:sz w:val="16"/>
                <w:szCs w:val="16"/>
              </w:rPr>
              <w:t xml:space="preserve">AS pathogenic variant NSCLC. </w:t>
            </w:r>
          </w:p>
        </w:tc>
        <w:tc>
          <w:tcPr>
            <w:tcW w:w="1505" w:type="pct"/>
          </w:tcPr>
          <w:p w14:paraId="60E042F3" w14:textId="035A5454" w:rsidR="00A53986" w:rsidRPr="00B057A1" w:rsidRDefault="005A7A9A" w:rsidP="00E3787D">
            <w:pPr>
              <w:rPr>
                <w:sz w:val="16"/>
                <w:szCs w:val="16"/>
              </w:rPr>
            </w:pPr>
            <w:r>
              <w:rPr>
                <w:sz w:val="16"/>
                <w:szCs w:val="16"/>
              </w:rPr>
              <w:t>https://doi.org./10.1016/j.jtho.2019.01.011</w:t>
            </w:r>
          </w:p>
        </w:tc>
        <w:tc>
          <w:tcPr>
            <w:tcW w:w="550" w:type="pct"/>
          </w:tcPr>
          <w:p w14:paraId="16755FFD" w14:textId="26FAC87C" w:rsidR="00A53986" w:rsidRPr="005651FA" w:rsidRDefault="00815BF6" w:rsidP="00EB45D6">
            <w:pPr>
              <w:ind w:left="0"/>
              <w:rPr>
                <w:sz w:val="16"/>
                <w:szCs w:val="16"/>
              </w:rPr>
            </w:pPr>
            <w:r>
              <w:rPr>
                <w:sz w:val="16"/>
                <w:szCs w:val="16"/>
              </w:rPr>
              <w:t>Published February 6, 2019</w:t>
            </w:r>
          </w:p>
        </w:tc>
      </w:tr>
      <w:tr w:rsidR="0024556F" w14:paraId="1915BE5F" w14:textId="77777777" w:rsidTr="0024556F">
        <w:trPr>
          <w:cantSplit/>
        </w:trPr>
        <w:tc>
          <w:tcPr>
            <w:tcW w:w="252" w:type="pct"/>
          </w:tcPr>
          <w:p w14:paraId="1DF1FEE2" w14:textId="6B9D448F" w:rsidR="00EB45D6" w:rsidRPr="007B4E73" w:rsidRDefault="00EB45D6" w:rsidP="00EB45D6">
            <w:pPr>
              <w:pStyle w:val="ListParagraph"/>
              <w:numPr>
                <w:ilvl w:val="0"/>
                <w:numId w:val="42"/>
              </w:numPr>
              <w:rPr>
                <w:szCs w:val="20"/>
              </w:rPr>
            </w:pPr>
          </w:p>
        </w:tc>
        <w:tc>
          <w:tcPr>
            <w:tcW w:w="407" w:type="pct"/>
          </w:tcPr>
          <w:p w14:paraId="24FB1851" w14:textId="1D16F3CC" w:rsidR="00EB45D6" w:rsidRDefault="00EB45D6" w:rsidP="00EB45D6">
            <w:pPr>
              <w:ind w:left="0"/>
              <w:rPr>
                <w:sz w:val="16"/>
                <w:szCs w:val="16"/>
              </w:rPr>
            </w:pPr>
            <w:r>
              <w:rPr>
                <w:sz w:val="16"/>
                <w:szCs w:val="16"/>
              </w:rPr>
              <w:t>Study of diagnostic accuracy</w:t>
            </w:r>
            <w:r w:rsidR="00A81F44" w:rsidRPr="0024556F">
              <w:rPr>
                <w:sz w:val="16"/>
                <w:szCs w:val="16"/>
                <w:vertAlign w:val="superscript"/>
              </w:rPr>
              <w:t>#</w:t>
            </w:r>
            <w:r w:rsidR="0024556F" w:rsidRPr="0024556F">
              <w:rPr>
                <w:sz w:val="16"/>
                <w:szCs w:val="16"/>
                <w:vertAlign w:val="superscript"/>
              </w:rPr>
              <w:t>#</w:t>
            </w:r>
          </w:p>
          <w:p w14:paraId="67CBE4EA" w14:textId="19571324" w:rsidR="00EB45D6" w:rsidRDefault="00EB45D6" w:rsidP="00EB45D6">
            <w:pPr>
              <w:rPr>
                <w:b/>
                <w:szCs w:val="20"/>
              </w:rPr>
            </w:pPr>
            <w:r>
              <w:rPr>
                <w:b/>
                <w:sz w:val="16"/>
                <w:szCs w:val="16"/>
              </w:rPr>
              <w:t xml:space="preserve"> </w:t>
            </w:r>
          </w:p>
        </w:tc>
        <w:tc>
          <w:tcPr>
            <w:tcW w:w="914" w:type="pct"/>
          </w:tcPr>
          <w:p w14:paraId="3944914C" w14:textId="0D8A9D1F" w:rsidR="00EB45D6" w:rsidRDefault="00EB45D6" w:rsidP="0024556F">
            <w:pPr>
              <w:ind w:left="0"/>
              <w:rPr>
                <w:bCs/>
                <w:sz w:val="16"/>
                <w:szCs w:val="16"/>
              </w:rPr>
            </w:pPr>
            <w:r w:rsidRPr="00B231D2">
              <w:rPr>
                <w:bCs/>
                <w:sz w:val="16"/>
                <w:szCs w:val="16"/>
              </w:rPr>
              <w:t xml:space="preserve">Sherwood JL, </w:t>
            </w:r>
            <w:r>
              <w:rPr>
                <w:bCs/>
                <w:sz w:val="16"/>
                <w:szCs w:val="16"/>
              </w:rPr>
              <w:t xml:space="preserve">Brown H, </w:t>
            </w:r>
            <w:proofErr w:type="spellStart"/>
            <w:r>
              <w:rPr>
                <w:bCs/>
                <w:sz w:val="16"/>
                <w:szCs w:val="16"/>
              </w:rPr>
              <w:t>Rettino</w:t>
            </w:r>
            <w:proofErr w:type="spellEnd"/>
            <w:r>
              <w:rPr>
                <w:bCs/>
                <w:sz w:val="16"/>
                <w:szCs w:val="16"/>
              </w:rPr>
              <w:t xml:space="preserve"> A, et al. Key differences between 13 KRAS mutation detection technologies and their relevance for clinical practice. </w:t>
            </w:r>
            <w:r w:rsidR="00D34278">
              <w:rPr>
                <w:bCs/>
                <w:sz w:val="16"/>
                <w:szCs w:val="16"/>
              </w:rPr>
              <w:t>#</w:t>
            </w:r>
          </w:p>
          <w:p w14:paraId="1419C36C" w14:textId="0BA16BFC" w:rsidR="00EB45D6" w:rsidRPr="00B231D2" w:rsidRDefault="00EB45D6" w:rsidP="00EB45D6">
            <w:pPr>
              <w:ind w:left="0"/>
              <w:rPr>
                <w:bCs/>
                <w:sz w:val="16"/>
                <w:szCs w:val="16"/>
              </w:rPr>
            </w:pPr>
            <w:r>
              <w:rPr>
                <w:bCs/>
                <w:sz w:val="16"/>
                <w:szCs w:val="16"/>
              </w:rPr>
              <w:t>ESMO Open 2017;2:1-12</w:t>
            </w:r>
          </w:p>
        </w:tc>
        <w:tc>
          <w:tcPr>
            <w:tcW w:w="1372" w:type="pct"/>
          </w:tcPr>
          <w:p w14:paraId="32C55043" w14:textId="293100D6" w:rsidR="007725B5" w:rsidRDefault="00EB45D6" w:rsidP="007725B5">
            <w:pPr>
              <w:ind w:left="0"/>
              <w:rPr>
                <w:sz w:val="16"/>
                <w:szCs w:val="16"/>
              </w:rPr>
            </w:pPr>
            <w:r>
              <w:rPr>
                <w:sz w:val="16"/>
                <w:szCs w:val="16"/>
              </w:rPr>
              <w:t xml:space="preserve">A </w:t>
            </w:r>
            <w:r w:rsidR="007725B5">
              <w:rPr>
                <w:sz w:val="16"/>
                <w:szCs w:val="16"/>
              </w:rPr>
              <w:t xml:space="preserve">comparative </w:t>
            </w:r>
            <w:r>
              <w:rPr>
                <w:sz w:val="16"/>
                <w:szCs w:val="16"/>
              </w:rPr>
              <w:t>study</w:t>
            </w:r>
            <w:r w:rsidR="00D21845">
              <w:rPr>
                <w:sz w:val="16"/>
                <w:szCs w:val="16"/>
              </w:rPr>
              <w:t xml:space="preserve"> </w:t>
            </w:r>
            <w:r w:rsidR="007725B5">
              <w:rPr>
                <w:sz w:val="16"/>
                <w:szCs w:val="16"/>
              </w:rPr>
              <w:t xml:space="preserve">using NSCLC cell lines investigating </w:t>
            </w:r>
            <w:r>
              <w:rPr>
                <w:sz w:val="16"/>
                <w:szCs w:val="16"/>
              </w:rPr>
              <w:t xml:space="preserve">diagnostic accuracy of 13 KRAS </w:t>
            </w:r>
            <w:r w:rsidRPr="007F485E">
              <w:rPr>
                <w:sz w:val="16"/>
                <w:szCs w:val="16"/>
              </w:rPr>
              <w:t>variant</w:t>
            </w:r>
            <w:r>
              <w:rPr>
                <w:sz w:val="16"/>
                <w:szCs w:val="16"/>
              </w:rPr>
              <w:t xml:space="preserve"> detection</w:t>
            </w:r>
            <w:r w:rsidR="007725B5">
              <w:rPr>
                <w:sz w:val="16"/>
                <w:szCs w:val="16"/>
              </w:rPr>
              <w:t xml:space="preserve"> platforms. </w:t>
            </w:r>
            <w:r>
              <w:rPr>
                <w:sz w:val="16"/>
                <w:szCs w:val="16"/>
              </w:rPr>
              <w:t xml:space="preserve"> </w:t>
            </w:r>
            <w:proofErr w:type="spellStart"/>
            <w:proofErr w:type="gramStart"/>
            <w:r w:rsidRPr="00895AE2">
              <w:rPr>
                <w:i/>
                <w:iCs/>
                <w:sz w:val="16"/>
                <w:szCs w:val="16"/>
              </w:rPr>
              <w:t>therascreen</w:t>
            </w:r>
            <w:proofErr w:type="spellEnd"/>
            <w:proofErr w:type="gramEnd"/>
            <w:r w:rsidRPr="00895AE2">
              <w:rPr>
                <w:sz w:val="16"/>
                <w:szCs w:val="16"/>
              </w:rPr>
              <w:t xml:space="preserve">® KRAS </w:t>
            </w:r>
            <w:r>
              <w:rPr>
                <w:sz w:val="16"/>
                <w:szCs w:val="16"/>
              </w:rPr>
              <w:t xml:space="preserve">RGQ PCR </w:t>
            </w:r>
            <w:r w:rsidRPr="00895AE2">
              <w:rPr>
                <w:sz w:val="16"/>
                <w:szCs w:val="16"/>
              </w:rPr>
              <w:t>kit</w:t>
            </w:r>
            <w:r>
              <w:t xml:space="preserve"> </w:t>
            </w:r>
            <w:r>
              <w:rPr>
                <w:sz w:val="16"/>
                <w:szCs w:val="16"/>
              </w:rPr>
              <w:t>(</w:t>
            </w:r>
            <w:proofErr w:type="spellStart"/>
            <w:r>
              <w:rPr>
                <w:sz w:val="16"/>
                <w:szCs w:val="16"/>
              </w:rPr>
              <w:t>Qiagen</w:t>
            </w:r>
            <w:proofErr w:type="spellEnd"/>
            <w:r>
              <w:rPr>
                <w:sz w:val="16"/>
                <w:szCs w:val="16"/>
              </w:rPr>
              <w:t>)</w:t>
            </w:r>
            <w:r w:rsidR="007725B5">
              <w:rPr>
                <w:sz w:val="16"/>
                <w:szCs w:val="16"/>
              </w:rPr>
              <w:t xml:space="preserve"> </w:t>
            </w:r>
            <w:r>
              <w:rPr>
                <w:sz w:val="16"/>
                <w:szCs w:val="16"/>
              </w:rPr>
              <w:t>compared favourably to</w:t>
            </w:r>
            <w:r w:rsidR="007725B5">
              <w:rPr>
                <w:sz w:val="16"/>
                <w:szCs w:val="16"/>
              </w:rPr>
              <w:t xml:space="preserve"> </w:t>
            </w:r>
            <w:r>
              <w:rPr>
                <w:sz w:val="16"/>
                <w:szCs w:val="16"/>
              </w:rPr>
              <w:t>NGS in terms of limit of detection, sensitivity and specific</w:t>
            </w:r>
            <w:r w:rsidR="007725B5">
              <w:rPr>
                <w:sz w:val="16"/>
                <w:szCs w:val="16"/>
              </w:rPr>
              <w:t xml:space="preserve">ity. </w:t>
            </w:r>
          </w:p>
          <w:p w14:paraId="3B6AB49E" w14:textId="7ADA8A44" w:rsidR="00EB45D6" w:rsidRPr="007F769E" w:rsidRDefault="00EB45D6" w:rsidP="007725B5">
            <w:pPr>
              <w:ind w:left="0"/>
              <w:rPr>
                <w:bCs/>
                <w:sz w:val="16"/>
                <w:szCs w:val="16"/>
              </w:rPr>
            </w:pPr>
            <w:r>
              <w:rPr>
                <w:bCs/>
                <w:sz w:val="16"/>
                <w:szCs w:val="16"/>
              </w:rPr>
              <w:t xml:space="preserve">Used to demonstrate </w:t>
            </w:r>
            <w:r w:rsidR="0065186A">
              <w:rPr>
                <w:bCs/>
                <w:sz w:val="16"/>
                <w:szCs w:val="16"/>
              </w:rPr>
              <w:t xml:space="preserve">high </w:t>
            </w:r>
            <w:r>
              <w:rPr>
                <w:bCs/>
                <w:sz w:val="16"/>
                <w:szCs w:val="16"/>
              </w:rPr>
              <w:t xml:space="preserve">diagnostic accuracy of NGS and PCR tests for detecting KRAS G12C. </w:t>
            </w:r>
          </w:p>
        </w:tc>
        <w:tc>
          <w:tcPr>
            <w:tcW w:w="1505" w:type="pct"/>
          </w:tcPr>
          <w:p w14:paraId="3FDC39F3" w14:textId="153277A0" w:rsidR="00EB45D6" w:rsidRDefault="00577575" w:rsidP="00EB45D6">
            <w:pPr>
              <w:rPr>
                <w:sz w:val="16"/>
                <w:szCs w:val="16"/>
              </w:rPr>
            </w:pPr>
            <w:hyperlink r:id="rId21" w:history="1">
              <w:r w:rsidR="00EB45D6" w:rsidRPr="00D061E8">
                <w:rPr>
                  <w:rStyle w:val="Hyperlink"/>
                  <w:sz w:val="16"/>
                  <w:szCs w:val="16"/>
                </w:rPr>
                <w:t>https://esmoopen.bmj.com/content/2/4/e000235</w:t>
              </w:r>
            </w:hyperlink>
          </w:p>
          <w:p w14:paraId="1068C168" w14:textId="77777777" w:rsidR="00EB45D6" w:rsidRDefault="00EB45D6" w:rsidP="00EB45D6">
            <w:pPr>
              <w:rPr>
                <w:sz w:val="16"/>
                <w:szCs w:val="16"/>
              </w:rPr>
            </w:pPr>
          </w:p>
          <w:p w14:paraId="079FD596" w14:textId="1A3D61C3" w:rsidR="00EB45D6" w:rsidRPr="00E82F54" w:rsidRDefault="00EB45D6" w:rsidP="00EB45D6">
            <w:pPr>
              <w:rPr>
                <w:b/>
                <w:szCs w:val="20"/>
              </w:rPr>
            </w:pPr>
          </w:p>
        </w:tc>
        <w:tc>
          <w:tcPr>
            <w:tcW w:w="550" w:type="pct"/>
          </w:tcPr>
          <w:p w14:paraId="19D19A36" w14:textId="6E6543C5" w:rsidR="00EB45D6" w:rsidRPr="00E82F54" w:rsidRDefault="00EB45D6" w:rsidP="00EB45D6">
            <w:pPr>
              <w:ind w:left="0"/>
              <w:rPr>
                <w:b/>
                <w:szCs w:val="20"/>
              </w:rPr>
            </w:pPr>
            <w:r>
              <w:rPr>
                <w:sz w:val="16"/>
                <w:szCs w:val="16"/>
              </w:rPr>
              <w:t>Published January 3, 2018</w:t>
            </w:r>
          </w:p>
        </w:tc>
      </w:tr>
      <w:tr w:rsidR="0024556F" w14:paraId="48A21971" w14:textId="77777777" w:rsidTr="0024556F">
        <w:trPr>
          <w:cantSplit/>
        </w:trPr>
        <w:tc>
          <w:tcPr>
            <w:tcW w:w="252" w:type="pct"/>
          </w:tcPr>
          <w:p w14:paraId="4EA3D7EE" w14:textId="77777777" w:rsidR="00A81F44" w:rsidRPr="007B4E73" w:rsidRDefault="00A81F44" w:rsidP="00EB45D6">
            <w:pPr>
              <w:pStyle w:val="ListParagraph"/>
              <w:numPr>
                <w:ilvl w:val="0"/>
                <w:numId w:val="42"/>
              </w:numPr>
              <w:rPr>
                <w:szCs w:val="20"/>
              </w:rPr>
            </w:pPr>
          </w:p>
        </w:tc>
        <w:tc>
          <w:tcPr>
            <w:tcW w:w="407" w:type="pct"/>
          </w:tcPr>
          <w:p w14:paraId="7E9FB028" w14:textId="11EEB461" w:rsidR="00A81F44" w:rsidRDefault="00A81F44" w:rsidP="00EB45D6">
            <w:pPr>
              <w:ind w:left="0"/>
              <w:rPr>
                <w:sz w:val="16"/>
                <w:szCs w:val="16"/>
              </w:rPr>
            </w:pPr>
            <w:r>
              <w:rPr>
                <w:sz w:val="16"/>
                <w:szCs w:val="16"/>
              </w:rPr>
              <w:t>Study of diagnostic accuracy</w:t>
            </w:r>
            <w:r w:rsidR="0024556F" w:rsidRPr="0024556F">
              <w:rPr>
                <w:sz w:val="16"/>
                <w:szCs w:val="16"/>
                <w:vertAlign w:val="superscript"/>
              </w:rPr>
              <w:t>##</w:t>
            </w:r>
          </w:p>
        </w:tc>
        <w:tc>
          <w:tcPr>
            <w:tcW w:w="914" w:type="pct"/>
          </w:tcPr>
          <w:p w14:paraId="1CCBA1CF" w14:textId="754F8566" w:rsidR="00A81F44" w:rsidRDefault="00A81F44" w:rsidP="00EB45D6">
            <w:pPr>
              <w:ind w:left="0"/>
              <w:rPr>
                <w:bCs/>
                <w:sz w:val="16"/>
                <w:szCs w:val="16"/>
              </w:rPr>
            </w:pPr>
            <w:proofErr w:type="spellStart"/>
            <w:r>
              <w:rPr>
                <w:bCs/>
                <w:sz w:val="16"/>
                <w:szCs w:val="16"/>
              </w:rPr>
              <w:t>Tuononen</w:t>
            </w:r>
            <w:proofErr w:type="spellEnd"/>
            <w:r>
              <w:rPr>
                <w:bCs/>
                <w:sz w:val="16"/>
                <w:szCs w:val="16"/>
              </w:rPr>
              <w:t xml:space="preserve"> K, Maki-</w:t>
            </w:r>
            <w:proofErr w:type="spellStart"/>
            <w:r>
              <w:rPr>
                <w:bCs/>
                <w:sz w:val="16"/>
                <w:szCs w:val="16"/>
              </w:rPr>
              <w:t>Nevala</w:t>
            </w:r>
            <w:proofErr w:type="spellEnd"/>
            <w:r>
              <w:rPr>
                <w:bCs/>
                <w:sz w:val="16"/>
                <w:szCs w:val="16"/>
              </w:rPr>
              <w:t xml:space="preserve"> S, </w:t>
            </w:r>
            <w:proofErr w:type="spellStart"/>
            <w:r>
              <w:rPr>
                <w:bCs/>
                <w:sz w:val="16"/>
                <w:szCs w:val="16"/>
              </w:rPr>
              <w:t>Sarhadi</w:t>
            </w:r>
            <w:proofErr w:type="spellEnd"/>
            <w:r>
              <w:rPr>
                <w:bCs/>
                <w:sz w:val="16"/>
                <w:szCs w:val="16"/>
              </w:rPr>
              <w:t xml:space="preserve"> VK, et al. </w:t>
            </w:r>
            <w:r w:rsidR="00D21845">
              <w:rPr>
                <w:bCs/>
                <w:sz w:val="16"/>
                <w:szCs w:val="16"/>
              </w:rPr>
              <w:t xml:space="preserve">Comparison of targeted next-generation sequencing (NGS) and real-time PCR in the detection of EGFR, KRAS and BRAF mutations on formalin-fixed, paraffin-embedded </w:t>
            </w:r>
            <w:proofErr w:type="spellStart"/>
            <w:r w:rsidR="00D21845">
              <w:rPr>
                <w:bCs/>
                <w:sz w:val="16"/>
                <w:szCs w:val="16"/>
              </w:rPr>
              <w:t>tumor</w:t>
            </w:r>
            <w:proofErr w:type="spellEnd"/>
            <w:r w:rsidR="00D21845">
              <w:rPr>
                <w:bCs/>
                <w:sz w:val="16"/>
                <w:szCs w:val="16"/>
              </w:rPr>
              <w:t xml:space="preserve"> material of non-small cell lung carcinoma – superiority of NGS.</w:t>
            </w:r>
            <w:r w:rsidR="00D34278">
              <w:rPr>
                <w:bCs/>
                <w:sz w:val="16"/>
                <w:szCs w:val="16"/>
              </w:rPr>
              <w:t>#</w:t>
            </w:r>
          </w:p>
          <w:p w14:paraId="4F35E18C" w14:textId="639B5824" w:rsidR="00D21845" w:rsidRPr="00B231D2" w:rsidRDefault="00D21845" w:rsidP="00EB45D6">
            <w:pPr>
              <w:ind w:left="0"/>
              <w:rPr>
                <w:bCs/>
                <w:sz w:val="16"/>
                <w:szCs w:val="16"/>
              </w:rPr>
            </w:pPr>
            <w:r>
              <w:rPr>
                <w:bCs/>
                <w:sz w:val="16"/>
                <w:szCs w:val="16"/>
              </w:rPr>
              <w:t>Genes, Chromosomes &amp; Cancer 2013;52:503-511</w:t>
            </w:r>
          </w:p>
        </w:tc>
        <w:tc>
          <w:tcPr>
            <w:tcW w:w="1372" w:type="pct"/>
          </w:tcPr>
          <w:p w14:paraId="70995693" w14:textId="77777777" w:rsidR="00A81F44" w:rsidRDefault="00D21845" w:rsidP="00EB45D6">
            <w:pPr>
              <w:ind w:left="0"/>
              <w:rPr>
                <w:sz w:val="16"/>
                <w:szCs w:val="16"/>
              </w:rPr>
            </w:pPr>
            <w:r>
              <w:rPr>
                <w:sz w:val="16"/>
                <w:szCs w:val="16"/>
              </w:rPr>
              <w:t xml:space="preserve">A comparative study demonstrating concordance of diagnostic accuracy between NGS and </w:t>
            </w:r>
            <w:proofErr w:type="spellStart"/>
            <w:r w:rsidRPr="00895AE2">
              <w:rPr>
                <w:i/>
                <w:iCs/>
                <w:sz w:val="16"/>
                <w:szCs w:val="16"/>
              </w:rPr>
              <w:t>therascreen</w:t>
            </w:r>
            <w:proofErr w:type="spellEnd"/>
            <w:r w:rsidRPr="00895AE2">
              <w:rPr>
                <w:sz w:val="16"/>
                <w:szCs w:val="16"/>
              </w:rPr>
              <w:t>® KRAS</w:t>
            </w:r>
            <w:r>
              <w:rPr>
                <w:sz w:val="16"/>
                <w:szCs w:val="16"/>
              </w:rPr>
              <w:t xml:space="preserve"> qPCR </w:t>
            </w:r>
            <w:r w:rsidRPr="00895AE2">
              <w:rPr>
                <w:sz w:val="16"/>
                <w:szCs w:val="16"/>
              </w:rPr>
              <w:t>kit</w:t>
            </w:r>
            <w:r>
              <w:t xml:space="preserve"> </w:t>
            </w:r>
            <w:r>
              <w:rPr>
                <w:sz w:val="16"/>
                <w:szCs w:val="16"/>
              </w:rPr>
              <w:t>(</w:t>
            </w:r>
            <w:proofErr w:type="spellStart"/>
            <w:r>
              <w:rPr>
                <w:sz w:val="16"/>
                <w:szCs w:val="16"/>
              </w:rPr>
              <w:t>Qiagen</w:t>
            </w:r>
            <w:proofErr w:type="spellEnd"/>
            <w:r>
              <w:rPr>
                <w:sz w:val="16"/>
                <w:szCs w:val="16"/>
              </w:rPr>
              <w:t xml:space="preserve">) for detecting KRAS variants including KRAS G12C. </w:t>
            </w:r>
          </w:p>
          <w:p w14:paraId="6EE6913D" w14:textId="77777777" w:rsidR="00D21845" w:rsidRDefault="00D21845" w:rsidP="00EB45D6">
            <w:pPr>
              <w:ind w:left="0"/>
              <w:rPr>
                <w:sz w:val="16"/>
                <w:szCs w:val="16"/>
              </w:rPr>
            </w:pPr>
          </w:p>
          <w:p w14:paraId="31CCD00E" w14:textId="77777777" w:rsidR="00D21845" w:rsidRDefault="00D21845" w:rsidP="00EB45D6">
            <w:pPr>
              <w:ind w:left="0"/>
              <w:rPr>
                <w:sz w:val="16"/>
                <w:szCs w:val="16"/>
              </w:rPr>
            </w:pPr>
          </w:p>
          <w:p w14:paraId="611A8ACE" w14:textId="7FD9B694" w:rsidR="00D21845" w:rsidRDefault="00D21845" w:rsidP="00EB45D6">
            <w:pPr>
              <w:ind w:left="0"/>
              <w:rPr>
                <w:sz w:val="16"/>
                <w:szCs w:val="16"/>
              </w:rPr>
            </w:pPr>
            <w:r>
              <w:rPr>
                <w:sz w:val="16"/>
                <w:szCs w:val="16"/>
              </w:rPr>
              <w:t xml:space="preserve">Used to demonstrate </w:t>
            </w:r>
            <w:r w:rsidR="0065186A">
              <w:rPr>
                <w:sz w:val="16"/>
                <w:szCs w:val="16"/>
              </w:rPr>
              <w:t xml:space="preserve">high </w:t>
            </w:r>
            <w:r>
              <w:rPr>
                <w:sz w:val="16"/>
                <w:szCs w:val="16"/>
              </w:rPr>
              <w:t xml:space="preserve">diagnostic accuracy of NGS and PCR tests for detecting KRAS G12C in clinical NSCLC samples. </w:t>
            </w:r>
          </w:p>
        </w:tc>
        <w:tc>
          <w:tcPr>
            <w:tcW w:w="1505" w:type="pct"/>
          </w:tcPr>
          <w:p w14:paraId="524BDD99" w14:textId="3C530A82" w:rsidR="00A81F44" w:rsidRPr="007725B5" w:rsidRDefault="00D21845" w:rsidP="00EB45D6">
            <w:pPr>
              <w:rPr>
                <w:sz w:val="16"/>
                <w:szCs w:val="16"/>
              </w:rPr>
            </w:pPr>
            <w:r>
              <w:rPr>
                <w:sz w:val="16"/>
                <w:szCs w:val="16"/>
              </w:rPr>
              <w:t>https://doi.org./10.1002/gcc.22047</w:t>
            </w:r>
          </w:p>
        </w:tc>
        <w:tc>
          <w:tcPr>
            <w:tcW w:w="550" w:type="pct"/>
          </w:tcPr>
          <w:p w14:paraId="43810B7A" w14:textId="7EF90CF8" w:rsidR="00A81F44" w:rsidRDefault="00D21845" w:rsidP="00EB45D6">
            <w:pPr>
              <w:ind w:left="0"/>
              <w:rPr>
                <w:sz w:val="16"/>
                <w:szCs w:val="16"/>
              </w:rPr>
            </w:pPr>
            <w:r>
              <w:rPr>
                <w:sz w:val="16"/>
                <w:szCs w:val="16"/>
              </w:rPr>
              <w:t>Published January 30, 2013</w:t>
            </w:r>
          </w:p>
        </w:tc>
      </w:tr>
      <w:tr w:rsidR="0024556F" w14:paraId="10513ADF" w14:textId="77777777" w:rsidTr="0024556F">
        <w:trPr>
          <w:cantSplit/>
        </w:trPr>
        <w:tc>
          <w:tcPr>
            <w:tcW w:w="252" w:type="pct"/>
          </w:tcPr>
          <w:p w14:paraId="10A94954" w14:textId="77777777" w:rsidR="00EB45D6" w:rsidRPr="007B4E73" w:rsidRDefault="00EB45D6" w:rsidP="00EB45D6">
            <w:pPr>
              <w:pStyle w:val="ListParagraph"/>
              <w:numPr>
                <w:ilvl w:val="0"/>
                <w:numId w:val="42"/>
              </w:numPr>
              <w:rPr>
                <w:szCs w:val="20"/>
              </w:rPr>
            </w:pPr>
          </w:p>
        </w:tc>
        <w:tc>
          <w:tcPr>
            <w:tcW w:w="407" w:type="pct"/>
          </w:tcPr>
          <w:p w14:paraId="496ED9A2" w14:textId="174B48B1" w:rsidR="00EB45D6" w:rsidRPr="00024974" w:rsidRDefault="00EB45D6" w:rsidP="00EB45D6">
            <w:pPr>
              <w:ind w:left="0"/>
              <w:rPr>
                <w:sz w:val="16"/>
                <w:szCs w:val="16"/>
              </w:rPr>
            </w:pPr>
            <w:r w:rsidRPr="00024974">
              <w:rPr>
                <w:sz w:val="16"/>
                <w:szCs w:val="16"/>
              </w:rPr>
              <w:t xml:space="preserve">Literature review </w:t>
            </w:r>
          </w:p>
        </w:tc>
        <w:tc>
          <w:tcPr>
            <w:tcW w:w="914" w:type="pct"/>
          </w:tcPr>
          <w:p w14:paraId="6494E953" w14:textId="77777777" w:rsidR="00EB45D6" w:rsidRDefault="00EB45D6" w:rsidP="00EB45D6">
            <w:pPr>
              <w:ind w:left="0"/>
              <w:rPr>
                <w:bCs/>
                <w:sz w:val="16"/>
                <w:szCs w:val="16"/>
              </w:rPr>
            </w:pPr>
            <w:r>
              <w:rPr>
                <w:bCs/>
                <w:sz w:val="16"/>
                <w:szCs w:val="16"/>
              </w:rPr>
              <w:t xml:space="preserve">Sherwood JL, </w:t>
            </w:r>
            <w:proofErr w:type="spellStart"/>
            <w:r>
              <w:rPr>
                <w:bCs/>
                <w:sz w:val="16"/>
                <w:szCs w:val="16"/>
              </w:rPr>
              <w:t>Dearden</w:t>
            </w:r>
            <w:proofErr w:type="spellEnd"/>
            <w:r>
              <w:rPr>
                <w:bCs/>
                <w:sz w:val="16"/>
                <w:szCs w:val="16"/>
              </w:rPr>
              <w:t xml:space="preserve"> S, </w:t>
            </w:r>
            <w:proofErr w:type="spellStart"/>
            <w:r>
              <w:rPr>
                <w:bCs/>
                <w:sz w:val="16"/>
                <w:szCs w:val="16"/>
              </w:rPr>
              <w:t>Ratcliffe</w:t>
            </w:r>
            <w:proofErr w:type="spellEnd"/>
            <w:r>
              <w:rPr>
                <w:bCs/>
                <w:sz w:val="16"/>
                <w:szCs w:val="16"/>
              </w:rPr>
              <w:t xml:space="preserve"> M, Walker J. Mutation status concordance between primary lesions and metastatic sites of advanced non-small-cell lung cancer and the impact of mutation testing methodologies: a literature review. </w:t>
            </w:r>
          </w:p>
          <w:p w14:paraId="3C9FE595" w14:textId="27F54C0B" w:rsidR="00EB45D6" w:rsidRDefault="00EB45D6" w:rsidP="0024556F">
            <w:pPr>
              <w:ind w:left="0"/>
              <w:rPr>
                <w:bCs/>
                <w:sz w:val="16"/>
                <w:szCs w:val="16"/>
              </w:rPr>
            </w:pPr>
            <w:r>
              <w:rPr>
                <w:bCs/>
                <w:sz w:val="16"/>
                <w:szCs w:val="16"/>
              </w:rPr>
              <w:t xml:space="preserve">J </w:t>
            </w:r>
            <w:proofErr w:type="spellStart"/>
            <w:r>
              <w:rPr>
                <w:bCs/>
                <w:sz w:val="16"/>
                <w:szCs w:val="16"/>
              </w:rPr>
              <w:t>Exp</w:t>
            </w:r>
            <w:proofErr w:type="spellEnd"/>
            <w:r>
              <w:rPr>
                <w:bCs/>
                <w:sz w:val="16"/>
                <w:szCs w:val="16"/>
              </w:rPr>
              <w:t xml:space="preserve"> </w:t>
            </w:r>
            <w:proofErr w:type="spellStart"/>
            <w:r>
              <w:rPr>
                <w:bCs/>
                <w:sz w:val="16"/>
                <w:szCs w:val="16"/>
              </w:rPr>
              <w:t>Clin</w:t>
            </w:r>
            <w:proofErr w:type="spellEnd"/>
            <w:r>
              <w:rPr>
                <w:bCs/>
                <w:sz w:val="16"/>
                <w:szCs w:val="16"/>
              </w:rPr>
              <w:t xml:space="preserve"> Cancer Res 2015;34:92</w:t>
            </w:r>
          </w:p>
        </w:tc>
        <w:tc>
          <w:tcPr>
            <w:tcW w:w="1372" w:type="pct"/>
          </w:tcPr>
          <w:p w14:paraId="5EE2B4A3" w14:textId="77777777" w:rsidR="00EB45D6" w:rsidRDefault="00EB45D6" w:rsidP="00EB45D6">
            <w:pPr>
              <w:ind w:left="0"/>
              <w:rPr>
                <w:sz w:val="16"/>
                <w:szCs w:val="16"/>
              </w:rPr>
            </w:pPr>
            <w:r>
              <w:rPr>
                <w:sz w:val="16"/>
                <w:szCs w:val="16"/>
              </w:rPr>
              <w:t xml:space="preserve">This review finds substantial concordance of KRAS pathogenic variants between primary and metastatic NSCLC tumours, concluding that testing of either the primary or metastasis is sufficient to detect KRAS variants. </w:t>
            </w:r>
          </w:p>
          <w:p w14:paraId="5D3754C7" w14:textId="699C3049" w:rsidR="00EB45D6" w:rsidRDefault="00EB45D6" w:rsidP="00EB45D6">
            <w:pPr>
              <w:ind w:left="0"/>
              <w:rPr>
                <w:sz w:val="16"/>
                <w:szCs w:val="16"/>
              </w:rPr>
            </w:pPr>
            <w:r>
              <w:rPr>
                <w:sz w:val="16"/>
                <w:szCs w:val="16"/>
              </w:rPr>
              <w:t>Used to support testing of either primary or metastatic NSCLC tumours due to consistency of KRAS pathogenic variants.</w:t>
            </w:r>
          </w:p>
        </w:tc>
        <w:tc>
          <w:tcPr>
            <w:tcW w:w="1505" w:type="pct"/>
          </w:tcPr>
          <w:p w14:paraId="2E773A16" w14:textId="32984EC8" w:rsidR="00EB45D6" w:rsidRDefault="00577575" w:rsidP="00EB45D6">
            <w:pPr>
              <w:rPr>
                <w:sz w:val="16"/>
                <w:szCs w:val="16"/>
              </w:rPr>
            </w:pPr>
            <w:hyperlink r:id="rId22" w:history="1">
              <w:r w:rsidR="00EB45D6" w:rsidRPr="00D061E8">
                <w:rPr>
                  <w:rStyle w:val="Hyperlink"/>
                  <w:sz w:val="16"/>
                  <w:szCs w:val="16"/>
                </w:rPr>
                <w:t>https://jeccr.biomedcentral.com/articles/10.1186/s13046-015-0207-9</w:t>
              </w:r>
            </w:hyperlink>
          </w:p>
          <w:p w14:paraId="2EBC335B" w14:textId="1F9EE9AC" w:rsidR="00EB45D6" w:rsidRDefault="00EB45D6" w:rsidP="00EB45D6">
            <w:pPr>
              <w:rPr>
                <w:sz w:val="16"/>
                <w:szCs w:val="16"/>
              </w:rPr>
            </w:pPr>
          </w:p>
        </w:tc>
        <w:tc>
          <w:tcPr>
            <w:tcW w:w="550" w:type="pct"/>
          </w:tcPr>
          <w:p w14:paraId="050AF477" w14:textId="23C8889D" w:rsidR="00EB45D6" w:rsidRDefault="00EB45D6" w:rsidP="00EB45D6">
            <w:pPr>
              <w:ind w:left="0"/>
              <w:rPr>
                <w:sz w:val="16"/>
                <w:szCs w:val="16"/>
              </w:rPr>
            </w:pPr>
            <w:r>
              <w:rPr>
                <w:sz w:val="16"/>
                <w:szCs w:val="16"/>
              </w:rPr>
              <w:t>Published September 4, 2015</w:t>
            </w:r>
          </w:p>
        </w:tc>
      </w:tr>
      <w:tr w:rsidR="0024556F" w14:paraId="4E0D0168" w14:textId="77777777" w:rsidTr="0024556F">
        <w:trPr>
          <w:cantSplit/>
        </w:trPr>
        <w:tc>
          <w:tcPr>
            <w:tcW w:w="252" w:type="pct"/>
          </w:tcPr>
          <w:p w14:paraId="65C5185D" w14:textId="77777777" w:rsidR="00EB45D6" w:rsidRPr="007B4E73" w:rsidRDefault="00EB45D6" w:rsidP="00EB45D6">
            <w:pPr>
              <w:pStyle w:val="ListParagraph"/>
              <w:numPr>
                <w:ilvl w:val="0"/>
                <w:numId w:val="42"/>
              </w:numPr>
              <w:rPr>
                <w:szCs w:val="20"/>
              </w:rPr>
            </w:pPr>
          </w:p>
        </w:tc>
        <w:tc>
          <w:tcPr>
            <w:tcW w:w="407" w:type="pct"/>
          </w:tcPr>
          <w:p w14:paraId="55448BD0" w14:textId="4B597572" w:rsidR="00EB45D6" w:rsidRPr="002B49C8" w:rsidRDefault="00EB45D6" w:rsidP="00EB45D6">
            <w:pPr>
              <w:ind w:left="0"/>
              <w:rPr>
                <w:sz w:val="16"/>
                <w:szCs w:val="16"/>
              </w:rPr>
            </w:pPr>
            <w:r>
              <w:rPr>
                <w:sz w:val="16"/>
                <w:szCs w:val="16"/>
              </w:rPr>
              <w:t>Observational study</w:t>
            </w:r>
          </w:p>
        </w:tc>
        <w:tc>
          <w:tcPr>
            <w:tcW w:w="914" w:type="pct"/>
          </w:tcPr>
          <w:p w14:paraId="36897F83" w14:textId="77777777" w:rsidR="00EB45D6" w:rsidRDefault="00EB45D6" w:rsidP="00EB45D6">
            <w:pPr>
              <w:ind w:left="0"/>
              <w:rPr>
                <w:bCs/>
                <w:sz w:val="16"/>
                <w:szCs w:val="16"/>
              </w:rPr>
            </w:pPr>
            <w:r>
              <w:rPr>
                <w:bCs/>
                <w:sz w:val="16"/>
                <w:szCs w:val="16"/>
              </w:rPr>
              <w:t xml:space="preserve">Kris MG, Johnston BE, Berry LD, et al. Using multiplexed assays of oncogenic drivers in lung cancers to select targeted drugs. </w:t>
            </w:r>
          </w:p>
          <w:p w14:paraId="2C2B6863" w14:textId="77777777" w:rsidR="00EB45D6" w:rsidRDefault="00EB45D6" w:rsidP="00EB45D6">
            <w:pPr>
              <w:ind w:left="0"/>
              <w:rPr>
                <w:bCs/>
                <w:sz w:val="16"/>
                <w:szCs w:val="16"/>
              </w:rPr>
            </w:pPr>
            <w:r>
              <w:rPr>
                <w:bCs/>
                <w:sz w:val="16"/>
                <w:szCs w:val="16"/>
              </w:rPr>
              <w:t>JAMA 2014;311:1998-2006</w:t>
            </w:r>
          </w:p>
          <w:p w14:paraId="41B49735" w14:textId="002BD232" w:rsidR="00EB45D6" w:rsidRDefault="00EB45D6" w:rsidP="00EB45D6">
            <w:pPr>
              <w:ind w:left="0"/>
              <w:rPr>
                <w:bCs/>
                <w:sz w:val="16"/>
                <w:szCs w:val="16"/>
              </w:rPr>
            </w:pPr>
          </w:p>
        </w:tc>
        <w:tc>
          <w:tcPr>
            <w:tcW w:w="1372" w:type="pct"/>
          </w:tcPr>
          <w:p w14:paraId="089F5FD8" w14:textId="77777777" w:rsidR="00EB45D6" w:rsidRDefault="00EB45D6" w:rsidP="00EB45D6">
            <w:pPr>
              <w:ind w:left="0"/>
              <w:rPr>
                <w:sz w:val="16"/>
                <w:szCs w:val="16"/>
              </w:rPr>
            </w:pPr>
            <w:r>
              <w:rPr>
                <w:sz w:val="16"/>
                <w:szCs w:val="16"/>
              </w:rPr>
              <w:t xml:space="preserve">An observational study investigating NSCLC driver variants including those in KRAS gene which suggests that they are early oncogenic events in tumour development and retained in downstream tumour lineages. </w:t>
            </w:r>
          </w:p>
          <w:p w14:paraId="4819B4A1" w14:textId="7A31F54B" w:rsidR="00EB45D6" w:rsidRDefault="00BE34EF" w:rsidP="00EB45D6">
            <w:pPr>
              <w:ind w:left="0"/>
              <w:rPr>
                <w:sz w:val="16"/>
                <w:szCs w:val="16"/>
              </w:rPr>
            </w:pPr>
            <w:r>
              <w:rPr>
                <w:sz w:val="16"/>
                <w:szCs w:val="16"/>
              </w:rPr>
              <w:t>Shows</w:t>
            </w:r>
            <w:r w:rsidR="00EB45D6">
              <w:rPr>
                <w:sz w:val="16"/>
                <w:szCs w:val="16"/>
              </w:rPr>
              <w:t xml:space="preserve"> that KRAS variants are early truncal events in NSCLC, supporting </w:t>
            </w:r>
            <w:r w:rsidR="00134F1C">
              <w:rPr>
                <w:sz w:val="16"/>
                <w:szCs w:val="16"/>
              </w:rPr>
              <w:t xml:space="preserve">upfront KRAS </w:t>
            </w:r>
            <w:r w:rsidR="00EB45D6">
              <w:rPr>
                <w:sz w:val="16"/>
                <w:szCs w:val="16"/>
              </w:rPr>
              <w:t xml:space="preserve">testing. </w:t>
            </w:r>
          </w:p>
        </w:tc>
        <w:tc>
          <w:tcPr>
            <w:tcW w:w="1505" w:type="pct"/>
          </w:tcPr>
          <w:p w14:paraId="24B2D360" w14:textId="010AA6AD" w:rsidR="00EB45D6" w:rsidRDefault="00577575" w:rsidP="00EB45D6">
            <w:pPr>
              <w:rPr>
                <w:sz w:val="16"/>
                <w:szCs w:val="16"/>
              </w:rPr>
            </w:pPr>
            <w:hyperlink r:id="rId23" w:history="1">
              <w:r w:rsidR="00EB45D6" w:rsidRPr="005F61B7">
                <w:rPr>
                  <w:rStyle w:val="Hyperlink"/>
                  <w:sz w:val="16"/>
                  <w:szCs w:val="16"/>
                </w:rPr>
                <w:t>https://jamanetwork.com/journals/jama/fullarticle/1872815</w:t>
              </w:r>
            </w:hyperlink>
          </w:p>
          <w:p w14:paraId="1D335F4E" w14:textId="13D670D2" w:rsidR="00EB45D6" w:rsidRPr="002B49C8" w:rsidRDefault="00EB45D6" w:rsidP="00EB45D6">
            <w:pPr>
              <w:rPr>
                <w:sz w:val="16"/>
                <w:szCs w:val="16"/>
              </w:rPr>
            </w:pPr>
          </w:p>
        </w:tc>
        <w:tc>
          <w:tcPr>
            <w:tcW w:w="550" w:type="pct"/>
          </w:tcPr>
          <w:p w14:paraId="56DBEC81" w14:textId="205FECD1" w:rsidR="00EB45D6" w:rsidRDefault="00EB45D6" w:rsidP="00EB45D6">
            <w:pPr>
              <w:ind w:left="0"/>
              <w:rPr>
                <w:sz w:val="16"/>
                <w:szCs w:val="16"/>
              </w:rPr>
            </w:pPr>
            <w:r>
              <w:rPr>
                <w:sz w:val="16"/>
                <w:szCs w:val="16"/>
              </w:rPr>
              <w:t>Published May, 2014</w:t>
            </w:r>
          </w:p>
        </w:tc>
      </w:tr>
      <w:tr w:rsidR="0024556F" w14:paraId="3E1C8412" w14:textId="77777777" w:rsidTr="0024556F">
        <w:trPr>
          <w:cantSplit/>
        </w:trPr>
        <w:tc>
          <w:tcPr>
            <w:tcW w:w="252" w:type="pct"/>
          </w:tcPr>
          <w:p w14:paraId="741E5291" w14:textId="77777777" w:rsidR="00EB45D6" w:rsidRPr="007B4E73" w:rsidRDefault="00EB45D6" w:rsidP="00EB45D6">
            <w:pPr>
              <w:pStyle w:val="ListParagraph"/>
              <w:numPr>
                <w:ilvl w:val="0"/>
                <w:numId w:val="42"/>
              </w:numPr>
              <w:rPr>
                <w:szCs w:val="20"/>
              </w:rPr>
            </w:pPr>
          </w:p>
        </w:tc>
        <w:tc>
          <w:tcPr>
            <w:tcW w:w="407" w:type="pct"/>
          </w:tcPr>
          <w:p w14:paraId="6D43B446" w14:textId="04D5F3C6" w:rsidR="00EB45D6" w:rsidRPr="008038EF" w:rsidRDefault="00EB45D6" w:rsidP="00EB45D6">
            <w:pPr>
              <w:ind w:left="0"/>
              <w:rPr>
                <w:sz w:val="16"/>
                <w:szCs w:val="16"/>
              </w:rPr>
            </w:pPr>
            <w:r w:rsidRPr="008038EF">
              <w:rPr>
                <w:sz w:val="16"/>
                <w:szCs w:val="16"/>
              </w:rPr>
              <w:t xml:space="preserve">Histologic and molecular investigative study </w:t>
            </w:r>
          </w:p>
          <w:p w14:paraId="4A527EA9" w14:textId="66E7E3E2" w:rsidR="00EB45D6" w:rsidRDefault="00EB45D6" w:rsidP="00EB45D6">
            <w:pPr>
              <w:ind w:left="0"/>
              <w:rPr>
                <w:b/>
                <w:bCs/>
                <w:sz w:val="16"/>
                <w:szCs w:val="16"/>
              </w:rPr>
            </w:pPr>
          </w:p>
        </w:tc>
        <w:tc>
          <w:tcPr>
            <w:tcW w:w="914" w:type="pct"/>
          </w:tcPr>
          <w:p w14:paraId="509B47F8" w14:textId="77777777" w:rsidR="00EB45D6" w:rsidRDefault="00EB45D6" w:rsidP="00EB45D6">
            <w:pPr>
              <w:ind w:left="0"/>
              <w:rPr>
                <w:bCs/>
                <w:sz w:val="16"/>
                <w:szCs w:val="16"/>
              </w:rPr>
            </w:pPr>
            <w:proofErr w:type="spellStart"/>
            <w:r w:rsidRPr="008038EF">
              <w:rPr>
                <w:bCs/>
                <w:sz w:val="16"/>
                <w:szCs w:val="16"/>
              </w:rPr>
              <w:t>Rekhtman</w:t>
            </w:r>
            <w:proofErr w:type="spellEnd"/>
            <w:r w:rsidRPr="008038EF">
              <w:rPr>
                <w:bCs/>
                <w:sz w:val="16"/>
                <w:szCs w:val="16"/>
              </w:rPr>
              <w:t xml:space="preserve"> N, Paik PK, </w:t>
            </w:r>
            <w:proofErr w:type="spellStart"/>
            <w:r w:rsidRPr="008038EF">
              <w:rPr>
                <w:bCs/>
                <w:sz w:val="16"/>
                <w:szCs w:val="16"/>
              </w:rPr>
              <w:t>Arcila</w:t>
            </w:r>
            <w:proofErr w:type="spellEnd"/>
            <w:r w:rsidRPr="008038EF">
              <w:rPr>
                <w:bCs/>
                <w:sz w:val="16"/>
                <w:szCs w:val="16"/>
              </w:rPr>
              <w:t xml:space="preserve"> ME, et al. Clarifying the spectrum of driver oncogene mutations in biomarker-verified squamous cell carcinoma of the lung: lack of EGFR/KRAS and presence of PIK3CA/AKT1 mutations. </w:t>
            </w:r>
          </w:p>
          <w:p w14:paraId="59D1E825" w14:textId="55C76462" w:rsidR="00EB45D6" w:rsidRDefault="00EB45D6" w:rsidP="00BE34EF">
            <w:pPr>
              <w:ind w:left="0"/>
              <w:rPr>
                <w:bCs/>
                <w:sz w:val="16"/>
                <w:szCs w:val="16"/>
              </w:rPr>
            </w:pPr>
            <w:proofErr w:type="spellStart"/>
            <w:r w:rsidRPr="008038EF">
              <w:rPr>
                <w:bCs/>
                <w:sz w:val="16"/>
                <w:szCs w:val="16"/>
              </w:rPr>
              <w:t>Clin</w:t>
            </w:r>
            <w:proofErr w:type="spellEnd"/>
            <w:r w:rsidRPr="008038EF">
              <w:rPr>
                <w:bCs/>
                <w:sz w:val="16"/>
                <w:szCs w:val="16"/>
              </w:rPr>
              <w:t xml:space="preserve"> Cancer Res</w:t>
            </w:r>
            <w:r>
              <w:rPr>
                <w:bCs/>
                <w:sz w:val="16"/>
                <w:szCs w:val="16"/>
              </w:rPr>
              <w:t xml:space="preserve"> </w:t>
            </w:r>
            <w:r w:rsidRPr="008038EF">
              <w:rPr>
                <w:bCs/>
                <w:sz w:val="16"/>
                <w:szCs w:val="16"/>
              </w:rPr>
              <w:t>201</w:t>
            </w:r>
            <w:r>
              <w:rPr>
                <w:bCs/>
                <w:sz w:val="16"/>
                <w:szCs w:val="16"/>
              </w:rPr>
              <w:t>2</w:t>
            </w:r>
            <w:r w:rsidRPr="008038EF">
              <w:rPr>
                <w:bCs/>
                <w:sz w:val="16"/>
                <w:szCs w:val="16"/>
              </w:rPr>
              <w:t>;18(4):1167-1176</w:t>
            </w:r>
          </w:p>
        </w:tc>
        <w:tc>
          <w:tcPr>
            <w:tcW w:w="1372" w:type="pct"/>
          </w:tcPr>
          <w:p w14:paraId="1628F5A5" w14:textId="77777777" w:rsidR="00EB45D6" w:rsidRDefault="00EB45D6" w:rsidP="00EB45D6">
            <w:pPr>
              <w:ind w:left="0"/>
              <w:rPr>
                <w:sz w:val="16"/>
                <w:szCs w:val="16"/>
              </w:rPr>
            </w:pPr>
            <w:r>
              <w:rPr>
                <w:sz w:val="16"/>
                <w:szCs w:val="16"/>
              </w:rPr>
              <w:t xml:space="preserve">An investigative study finding that EGFR and KRAS pathogenic variants do not occur in lung squamous cell carcinomas but are seen almost exclusively in lung non-squamous histology carcinomas (adenocarcinoma and NSCLC not otherwise specified histology). </w:t>
            </w:r>
          </w:p>
          <w:p w14:paraId="64C3A99B" w14:textId="3C6482A6" w:rsidR="00EB45D6" w:rsidRDefault="00EB45D6" w:rsidP="00EB45D6">
            <w:pPr>
              <w:ind w:left="0"/>
              <w:rPr>
                <w:sz w:val="16"/>
                <w:szCs w:val="16"/>
              </w:rPr>
            </w:pPr>
            <w:r>
              <w:rPr>
                <w:sz w:val="16"/>
                <w:szCs w:val="16"/>
              </w:rPr>
              <w:t>Used to support restriction of KRAS G12C testing to non-squamous and NOS histology NSCLC.</w:t>
            </w:r>
          </w:p>
        </w:tc>
        <w:tc>
          <w:tcPr>
            <w:tcW w:w="1505" w:type="pct"/>
          </w:tcPr>
          <w:p w14:paraId="65858574" w14:textId="141B7261" w:rsidR="00EB45D6" w:rsidRDefault="00577575" w:rsidP="00EB45D6">
            <w:pPr>
              <w:rPr>
                <w:sz w:val="16"/>
                <w:szCs w:val="16"/>
              </w:rPr>
            </w:pPr>
            <w:hyperlink r:id="rId24" w:history="1">
              <w:r w:rsidR="00EB45D6" w:rsidRPr="00D061E8">
                <w:rPr>
                  <w:rStyle w:val="Hyperlink"/>
                  <w:sz w:val="16"/>
                  <w:szCs w:val="16"/>
                </w:rPr>
                <w:t>https://clincancerres.aacrjournals.org/content/18/4/1167.long</w:t>
              </w:r>
            </w:hyperlink>
          </w:p>
          <w:p w14:paraId="414E9B2A" w14:textId="3F84D253" w:rsidR="00EB45D6" w:rsidRDefault="00EB45D6" w:rsidP="00EB45D6">
            <w:pPr>
              <w:rPr>
                <w:sz w:val="16"/>
                <w:szCs w:val="16"/>
              </w:rPr>
            </w:pPr>
          </w:p>
        </w:tc>
        <w:tc>
          <w:tcPr>
            <w:tcW w:w="550" w:type="pct"/>
          </w:tcPr>
          <w:p w14:paraId="7FA37DC2" w14:textId="7A7A1B43" w:rsidR="00EB45D6" w:rsidRDefault="00EB45D6" w:rsidP="00EB45D6">
            <w:pPr>
              <w:ind w:left="0"/>
              <w:rPr>
                <w:sz w:val="16"/>
                <w:szCs w:val="16"/>
              </w:rPr>
            </w:pPr>
            <w:r>
              <w:rPr>
                <w:sz w:val="16"/>
                <w:szCs w:val="16"/>
              </w:rPr>
              <w:t>Published February, 2012</w:t>
            </w:r>
          </w:p>
        </w:tc>
      </w:tr>
      <w:tr w:rsidR="0024556F" w14:paraId="0A51E159" w14:textId="77777777" w:rsidTr="0024556F">
        <w:trPr>
          <w:cantSplit/>
        </w:trPr>
        <w:tc>
          <w:tcPr>
            <w:tcW w:w="252" w:type="pct"/>
          </w:tcPr>
          <w:p w14:paraId="43616C39" w14:textId="77777777" w:rsidR="00EB45D6" w:rsidRPr="007B4E73" w:rsidRDefault="00EB45D6" w:rsidP="00EB45D6">
            <w:pPr>
              <w:pStyle w:val="ListParagraph"/>
              <w:numPr>
                <w:ilvl w:val="0"/>
                <w:numId w:val="42"/>
              </w:numPr>
              <w:rPr>
                <w:szCs w:val="20"/>
              </w:rPr>
            </w:pPr>
          </w:p>
        </w:tc>
        <w:tc>
          <w:tcPr>
            <w:tcW w:w="407" w:type="pct"/>
          </w:tcPr>
          <w:p w14:paraId="3D34A473" w14:textId="0CE355FF" w:rsidR="00EB45D6" w:rsidRPr="0034218E" w:rsidRDefault="00EB45D6" w:rsidP="00EB45D6">
            <w:pPr>
              <w:ind w:left="0"/>
              <w:rPr>
                <w:sz w:val="16"/>
                <w:szCs w:val="16"/>
              </w:rPr>
            </w:pPr>
            <w:r w:rsidRPr="0034218E">
              <w:rPr>
                <w:sz w:val="16"/>
                <w:szCs w:val="16"/>
              </w:rPr>
              <w:t>Evidence based guideline</w:t>
            </w:r>
          </w:p>
          <w:p w14:paraId="09209A23" w14:textId="77777777" w:rsidR="00EB45D6" w:rsidRPr="0034218E" w:rsidRDefault="00EB45D6" w:rsidP="00EB45D6">
            <w:pPr>
              <w:rPr>
                <w:sz w:val="16"/>
                <w:szCs w:val="16"/>
              </w:rPr>
            </w:pPr>
          </w:p>
          <w:p w14:paraId="0B819336" w14:textId="006A4D35" w:rsidR="00EB45D6" w:rsidRDefault="00EB45D6" w:rsidP="00EB45D6">
            <w:pPr>
              <w:ind w:left="0"/>
              <w:rPr>
                <w:b/>
                <w:bCs/>
                <w:sz w:val="16"/>
                <w:szCs w:val="16"/>
              </w:rPr>
            </w:pPr>
          </w:p>
        </w:tc>
        <w:tc>
          <w:tcPr>
            <w:tcW w:w="914" w:type="pct"/>
          </w:tcPr>
          <w:p w14:paraId="74AA0F80" w14:textId="77777777" w:rsidR="00EB45D6" w:rsidRDefault="00EB45D6" w:rsidP="00EB45D6">
            <w:pPr>
              <w:ind w:left="0"/>
              <w:rPr>
                <w:bCs/>
                <w:sz w:val="16"/>
                <w:szCs w:val="16"/>
              </w:rPr>
            </w:pPr>
            <w:r>
              <w:rPr>
                <w:bCs/>
                <w:sz w:val="16"/>
                <w:szCs w:val="16"/>
              </w:rPr>
              <w:t xml:space="preserve">Lindeman NI, Cagle PT, </w:t>
            </w:r>
            <w:proofErr w:type="spellStart"/>
            <w:r>
              <w:rPr>
                <w:bCs/>
                <w:sz w:val="16"/>
                <w:szCs w:val="16"/>
              </w:rPr>
              <w:t>Aisner</w:t>
            </w:r>
            <w:proofErr w:type="spellEnd"/>
            <w:r>
              <w:rPr>
                <w:bCs/>
                <w:sz w:val="16"/>
                <w:szCs w:val="16"/>
              </w:rPr>
              <w:t xml:space="preserve"> DL, et al. Updated molecular testing guideline for the selection of lung cancer patients for treatment with targeted tyrosine kinase inhibitors: guideline from the College of American Pathologists, the International Association for the Study of Lung Cancer, and the Association for Molecular Pathology. </w:t>
            </w:r>
          </w:p>
          <w:p w14:paraId="04F9438E" w14:textId="2AF0FD4B" w:rsidR="00EB45D6" w:rsidRDefault="00EB45D6" w:rsidP="00EB45D6">
            <w:pPr>
              <w:ind w:left="0"/>
              <w:rPr>
                <w:bCs/>
                <w:sz w:val="16"/>
                <w:szCs w:val="16"/>
              </w:rPr>
            </w:pPr>
            <w:r>
              <w:rPr>
                <w:bCs/>
                <w:sz w:val="16"/>
                <w:szCs w:val="16"/>
              </w:rPr>
              <w:t xml:space="preserve">J </w:t>
            </w:r>
            <w:proofErr w:type="spellStart"/>
            <w:r>
              <w:rPr>
                <w:bCs/>
                <w:sz w:val="16"/>
                <w:szCs w:val="16"/>
              </w:rPr>
              <w:t>Thorac</w:t>
            </w:r>
            <w:proofErr w:type="spellEnd"/>
            <w:r>
              <w:rPr>
                <w:bCs/>
                <w:sz w:val="16"/>
                <w:szCs w:val="16"/>
              </w:rPr>
              <w:t xml:space="preserve"> </w:t>
            </w:r>
            <w:proofErr w:type="spellStart"/>
            <w:r>
              <w:rPr>
                <w:bCs/>
                <w:sz w:val="16"/>
                <w:szCs w:val="16"/>
              </w:rPr>
              <w:t>Oncol</w:t>
            </w:r>
            <w:proofErr w:type="spellEnd"/>
            <w:r>
              <w:rPr>
                <w:bCs/>
                <w:sz w:val="16"/>
                <w:szCs w:val="16"/>
              </w:rPr>
              <w:t xml:space="preserve"> 2018;13:323-358</w:t>
            </w:r>
          </w:p>
        </w:tc>
        <w:tc>
          <w:tcPr>
            <w:tcW w:w="1372" w:type="pct"/>
          </w:tcPr>
          <w:p w14:paraId="6FCDC1AA" w14:textId="77777777" w:rsidR="00EB45D6" w:rsidRPr="005214BF" w:rsidRDefault="00EB45D6" w:rsidP="00EB45D6">
            <w:pPr>
              <w:ind w:left="0"/>
              <w:rPr>
                <w:sz w:val="16"/>
                <w:szCs w:val="16"/>
              </w:rPr>
            </w:pPr>
            <w:r w:rsidRPr="005214BF">
              <w:rPr>
                <w:sz w:val="16"/>
                <w:szCs w:val="16"/>
              </w:rPr>
              <w:t xml:space="preserve">Internationally developed evidence-based guidelines which present literature to show that KRAS and EGFR pathogenic variants and ALK rearrangements are mutually exclusive of each another. </w:t>
            </w:r>
          </w:p>
          <w:p w14:paraId="69A15641" w14:textId="438B8128" w:rsidR="00EB45D6" w:rsidRDefault="00EB45D6" w:rsidP="00EB45D6">
            <w:pPr>
              <w:ind w:left="0"/>
              <w:rPr>
                <w:sz w:val="16"/>
                <w:szCs w:val="16"/>
              </w:rPr>
            </w:pPr>
            <w:r w:rsidRPr="005214BF">
              <w:rPr>
                <w:sz w:val="16"/>
                <w:szCs w:val="16"/>
              </w:rPr>
              <w:t>Used to support the mutual exclusivity of KRAS and EGFR variants and ALK rearrangements.</w:t>
            </w:r>
          </w:p>
        </w:tc>
        <w:tc>
          <w:tcPr>
            <w:tcW w:w="1505" w:type="pct"/>
          </w:tcPr>
          <w:p w14:paraId="44F62F9A" w14:textId="1003130F" w:rsidR="00EB45D6" w:rsidRDefault="00577575" w:rsidP="00EB45D6">
            <w:pPr>
              <w:rPr>
                <w:sz w:val="16"/>
                <w:szCs w:val="16"/>
              </w:rPr>
            </w:pPr>
            <w:hyperlink r:id="rId25" w:history="1">
              <w:r w:rsidR="00EB45D6" w:rsidRPr="00D061E8">
                <w:rPr>
                  <w:rStyle w:val="Hyperlink"/>
                  <w:sz w:val="16"/>
                  <w:szCs w:val="16"/>
                </w:rPr>
                <w:t>https://jto.org/article/S1556-0864(17)33071-X/fulltext</w:t>
              </w:r>
            </w:hyperlink>
          </w:p>
          <w:p w14:paraId="116F9FFA" w14:textId="77777777" w:rsidR="00EB45D6" w:rsidRDefault="00EB45D6" w:rsidP="00EB45D6">
            <w:pPr>
              <w:rPr>
                <w:sz w:val="16"/>
                <w:szCs w:val="16"/>
              </w:rPr>
            </w:pPr>
          </w:p>
          <w:p w14:paraId="6D76FA3D" w14:textId="4929001D" w:rsidR="00EB45D6" w:rsidRDefault="00EB45D6" w:rsidP="00EB45D6">
            <w:pPr>
              <w:rPr>
                <w:sz w:val="16"/>
                <w:szCs w:val="16"/>
              </w:rPr>
            </w:pPr>
          </w:p>
        </w:tc>
        <w:tc>
          <w:tcPr>
            <w:tcW w:w="550" w:type="pct"/>
          </w:tcPr>
          <w:p w14:paraId="086AF551" w14:textId="76445BCD" w:rsidR="00EB45D6" w:rsidRDefault="00EB45D6" w:rsidP="00EB45D6">
            <w:pPr>
              <w:ind w:left="0"/>
              <w:rPr>
                <w:sz w:val="16"/>
                <w:szCs w:val="16"/>
              </w:rPr>
            </w:pPr>
            <w:r>
              <w:rPr>
                <w:sz w:val="16"/>
                <w:szCs w:val="16"/>
              </w:rPr>
              <w:t>Published January 25, 2018</w:t>
            </w:r>
          </w:p>
        </w:tc>
      </w:tr>
    </w:tbl>
    <w:p w14:paraId="7234F130" w14:textId="77777777" w:rsidR="00DD308E" w:rsidRDefault="00DD308E" w:rsidP="00DD308E">
      <w:pPr>
        <w:spacing w:after="0"/>
        <w:ind w:left="426"/>
        <w:rPr>
          <w:i/>
          <w:szCs w:val="20"/>
        </w:rPr>
      </w:pPr>
      <w:r>
        <w:rPr>
          <w:i/>
          <w:szCs w:val="20"/>
        </w:rPr>
        <w:t xml:space="preserve">* Categorise study design, for example meta-analysis, randomised trials, non-randomised trial or observational study, study of diagnostic accuracy, etc. </w:t>
      </w:r>
    </w:p>
    <w:p w14:paraId="7415C4DB" w14:textId="77777777" w:rsidR="00DD308E" w:rsidRDefault="00DD308E" w:rsidP="00DD308E">
      <w:pPr>
        <w:spacing w:after="0"/>
        <w:ind w:left="426"/>
        <w:rPr>
          <w:i/>
          <w:szCs w:val="20"/>
        </w:rPr>
      </w:pPr>
      <w:r>
        <w:rPr>
          <w:i/>
          <w:szCs w:val="20"/>
        </w:rPr>
        <w:t>**Provide high level information including population numbers and whether patients are being recruited or in post-recruitment, including providing the trial registration number to allow for tracking purposes.</w:t>
      </w:r>
    </w:p>
    <w:p w14:paraId="022E00AB" w14:textId="35669BCD" w:rsidR="00DD308E" w:rsidRDefault="00DD308E" w:rsidP="00DD308E">
      <w:pPr>
        <w:spacing w:after="0"/>
        <w:ind w:left="426"/>
        <w:rPr>
          <w:i/>
          <w:szCs w:val="20"/>
        </w:rPr>
      </w:pPr>
      <w:r w:rsidRPr="00E82F54">
        <w:rPr>
          <w:i/>
          <w:szCs w:val="20"/>
        </w:rPr>
        <w:t>*</w:t>
      </w:r>
      <w:r>
        <w:rPr>
          <w:szCs w:val="20"/>
        </w:rPr>
        <w:t>**</w:t>
      </w:r>
      <w:r>
        <w:rPr>
          <w:i/>
          <w:szCs w:val="20"/>
        </w:rPr>
        <w:t xml:space="preserve"> If the publication is a follow-up to an initial publication, please </w:t>
      </w:r>
      <w:proofErr w:type="gramStart"/>
      <w:r>
        <w:rPr>
          <w:i/>
          <w:szCs w:val="20"/>
        </w:rPr>
        <w:t>advise</w:t>
      </w:r>
      <w:proofErr w:type="gramEnd"/>
      <w:r>
        <w:rPr>
          <w:i/>
          <w:szCs w:val="20"/>
        </w:rPr>
        <w:t>.</w:t>
      </w:r>
    </w:p>
    <w:p w14:paraId="3C73D58C" w14:textId="370C3A19" w:rsidR="00D34278" w:rsidRPr="0024556F" w:rsidRDefault="0024556F" w:rsidP="00DD308E">
      <w:pPr>
        <w:spacing w:after="0"/>
        <w:ind w:left="426"/>
        <w:rPr>
          <w:i/>
          <w:sz w:val="16"/>
          <w:szCs w:val="16"/>
        </w:rPr>
      </w:pPr>
      <w:r w:rsidRPr="0024556F">
        <w:rPr>
          <w:i/>
          <w:sz w:val="16"/>
          <w:szCs w:val="16"/>
        </w:rPr>
        <w:t>#</w:t>
      </w:r>
      <w:r w:rsidR="00D34278" w:rsidRPr="0024556F">
        <w:rPr>
          <w:rFonts w:ascii="Calibri" w:hAnsi="Calibri" w:cs="Calibri"/>
          <w:sz w:val="12"/>
          <w:szCs w:val="12"/>
        </w:rPr>
        <w:t xml:space="preserve"> </w:t>
      </w:r>
      <w:r w:rsidR="00D34278" w:rsidRPr="0024556F">
        <w:rPr>
          <w:rFonts w:ascii="Calibri" w:hAnsi="Calibri" w:cs="Calibri"/>
          <w:sz w:val="16"/>
          <w:szCs w:val="16"/>
        </w:rPr>
        <w:t xml:space="preserve">Data initially presented at the 2020 World Conference on Lung Cancer was of objective response rate of 37.4 % and median duration of response of 8.4 months, which was at a cut-off of date of </w:t>
      </w:r>
      <w:r w:rsidR="00D34278" w:rsidRPr="0024556F">
        <w:rPr>
          <w:rFonts w:ascii="Calibri" w:hAnsi="Calibri" w:cs="Calibri"/>
          <w:sz w:val="16"/>
          <w:szCs w:val="16"/>
        </w:rPr>
        <w:lastRenderedPageBreak/>
        <w:t>follow-up of 1 September 2020.</w:t>
      </w:r>
      <w:r w:rsidR="00910CFD" w:rsidRPr="0024556F">
        <w:rPr>
          <w:rFonts w:ascii="Calibri" w:hAnsi="Calibri" w:cs="Calibri"/>
          <w:sz w:val="16"/>
          <w:szCs w:val="16"/>
        </w:rPr>
        <w:t xml:space="preserve"> An update was provided after </w:t>
      </w:r>
      <w:r w:rsidR="00D34278" w:rsidRPr="0024556F">
        <w:rPr>
          <w:rFonts w:ascii="Calibri" w:hAnsi="Calibri" w:cs="Calibri"/>
          <w:sz w:val="16"/>
          <w:szCs w:val="16"/>
        </w:rPr>
        <w:t xml:space="preserve">90 days more follow up with a cut-off </w:t>
      </w:r>
      <w:r w:rsidR="00910CFD" w:rsidRPr="0024556F">
        <w:rPr>
          <w:rFonts w:ascii="Calibri" w:hAnsi="Calibri" w:cs="Calibri"/>
          <w:sz w:val="16"/>
          <w:szCs w:val="16"/>
        </w:rPr>
        <w:t xml:space="preserve">date of 1 December 2020 which revealed an objective response rate of 37.1% and median duration of response of 10 months. </w:t>
      </w:r>
    </w:p>
    <w:p w14:paraId="5703C949" w14:textId="6B1D9FAE" w:rsidR="00DD308E" w:rsidRPr="0024556F" w:rsidRDefault="00A81F44" w:rsidP="00750EC4">
      <w:pPr>
        <w:rPr>
          <w:b/>
          <w:iCs/>
          <w:sz w:val="24"/>
          <w:szCs w:val="24"/>
        </w:rPr>
        <w:sectPr w:rsidR="00DD308E" w:rsidRPr="0024556F" w:rsidSect="00DD308E">
          <w:pgSz w:w="16838" w:h="11906" w:orient="landscape"/>
          <w:pgMar w:top="1440" w:right="1440" w:bottom="1440" w:left="1440" w:header="708" w:footer="708" w:gutter="0"/>
          <w:cols w:space="708"/>
          <w:docGrid w:linePitch="360"/>
        </w:sectPr>
      </w:pPr>
      <w:r w:rsidRPr="0024556F">
        <w:rPr>
          <w:i/>
          <w:sz w:val="16"/>
          <w:szCs w:val="16"/>
        </w:rPr>
        <w:t>#</w:t>
      </w:r>
      <w:r w:rsidR="0024556F" w:rsidRPr="0024556F">
        <w:rPr>
          <w:i/>
          <w:sz w:val="16"/>
          <w:szCs w:val="16"/>
        </w:rPr>
        <w:t>#</w:t>
      </w:r>
      <w:r w:rsidRPr="0024556F">
        <w:rPr>
          <w:i/>
          <w:sz w:val="16"/>
          <w:szCs w:val="16"/>
        </w:rPr>
        <w:t xml:space="preserve"> </w:t>
      </w:r>
      <w:r w:rsidR="006B4234" w:rsidRPr="0024556F">
        <w:rPr>
          <w:i/>
          <w:sz w:val="16"/>
          <w:szCs w:val="16"/>
        </w:rPr>
        <w:t xml:space="preserve">The two key studies that address diagnostic accuracy are shown in this table.  </w:t>
      </w:r>
      <w:r w:rsidR="006B4234" w:rsidRPr="0024556F">
        <w:rPr>
          <w:iCs/>
          <w:sz w:val="16"/>
          <w:szCs w:val="16"/>
        </w:rPr>
        <w:t>Note that d</w:t>
      </w:r>
      <w:r w:rsidRPr="0024556F">
        <w:rPr>
          <w:iCs/>
          <w:sz w:val="16"/>
          <w:szCs w:val="16"/>
        </w:rPr>
        <w:t xml:space="preserve">ue to the extensive number of tests </w:t>
      </w:r>
      <w:r w:rsidR="007B28F4" w:rsidRPr="0024556F">
        <w:rPr>
          <w:iCs/>
          <w:sz w:val="16"/>
          <w:szCs w:val="16"/>
        </w:rPr>
        <w:t>that</w:t>
      </w:r>
      <w:r w:rsidR="00122C51" w:rsidRPr="0024556F">
        <w:rPr>
          <w:iCs/>
          <w:sz w:val="16"/>
          <w:szCs w:val="16"/>
        </w:rPr>
        <w:t xml:space="preserve"> needed to be </w:t>
      </w:r>
      <w:r w:rsidRPr="0024556F">
        <w:rPr>
          <w:iCs/>
          <w:sz w:val="16"/>
          <w:szCs w:val="16"/>
        </w:rPr>
        <w:t>conducted, th</w:t>
      </w:r>
      <w:r w:rsidR="00D21845" w:rsidRPr="0024556F">
        <w:rPr>
          <w:iCs/>
          <w:sz w:val="16"/>
          <w:szCs w:val="16"/>
        </w:rPr>
        <w:t xml:space="preserve">e </w:t>
      </w:r>
      <w:r w:rsidRPr="0024556F">
        <w:rPr>
          <w:iCs/>
          <w:sz w:val="16"/>
          <w:szCs w:val="16"/>
        </w:rPr>
        <w:t>study by Sherwood and colleagues (</w:t>
      </w:r>
      <w:r w:rsidRPr="0024556F">
        <w:rPr>
          <w:bCs/>
          <w:sz w:val="16"/>
          <w:szCs w:val="16"/>
        </w:rPr>
        <w:t>ESMO Open 2017</w:t>
      </w:r>
      <w:proofErr w:type="gramStart"/>
      <w:r w:rsidRPr="0024556F">
        <w:rPr>
          <w:bCs/>
          <w:sz w:val="16"/>
          <w:szCs w:val="16"/>
        </w:rPr>
        <w:t>;2:1</w:t>
      </w:r>
      <w:proofErr w:type="gramEnd"/>
      <w:r w:rsidRPr="0024556F">
        <w:rPr>
          <w:bCs/>
          <w:sz w:val="16"/>
          <w:szCs w:val="16"/>
        </w:rPr>
        <w:t>-12) used</w:t>
      </w:r>
      <w:r w:rsidR="0046009E" w:rsidRPr="0024556F">
        <w:rPr>
          <w:bCs/>
          <w:sz w:val="16"/>
          <w:szCs w:val="16"/>
        </w:rPr>
        <w:t xml:space="preserve"> NSCLC</w:t>
      </w:r>
      <w:r w:rsidRPr="0024556F">
        <w:rPr>
          <w:bCs/>
          <w:sz w:val="16"/>
          <w:szCs w:val="16"/>
        </w:rPr>
        <w:t xml:space="preserve"> cell lines which were diluted to </w:t>
      </w:r>
      <w:r w:rsidR="00122C51" w:rsidRPr="0024556F">
        <w:rPr>
          <w:bCs/>
          <w:sz w:val="16"/>
          <w:szCs w:val="16"/>
        </w:rPr>
        <w:t>recreate</w:t>
      </w:r>
      <w:r w:rsidR="00122C51" w:rsidRPr="0024556F">
        <w:rPr>
          <w:rStyle w:val="CommentReference"/>
          <w:sz w:val="12"/>
          <w:szCs w:val="12"/>
        </w:rPr>
        <w:t xml:space="preserve"> </w:t>
      </w:r>
      <w:r w:rsidR="00122C51" w:rsidRPr="0024556F">
        <w:rPr>
          <w:rStyle w:val="CommentReference"/>
        </w:rPr>
        <w:t>p</w:t>
      </w:r>
      <w:r w:rsidRPr="0024556F">
        <w:rPr>
          <w:bCs/>
          <w:sz w:val="16"/>
          <w:szCs w:val="16"/>
        </w:rPr>
        <w:t xml:space="preserve">oorly cellular NSCLC clinical samples. </w:t>
      </w:r>
      <w:r w:rsidR="006B4234" w:rsidRPr="0024556F">
        <w:rPr>
          <w:bCs/>
          <w:sz w:val="16"/>
          <w:szCs w:val="16"/>
        </w:rPr>
        <w:t xml:space="preserve">Additional supportive studies are planned to be included in the assessment report including: </w:t>
      </w:r>
      <w:r w:rsidR="00C713B6" w:rsidRPr="0024556F">
        <w:rPr>
          <w:bCs/>
          <w:sz w:val="16"/>
          <w:szCs w:val="16"/>
        </w:rPr>
        <w:t xml:space="preserve">four </w:t>
      </w:r>
      <w:r w:rsidR="0046009E" w:rsidRPr="0024556F">
        <w:rPr>
          <w:bCs/>
          <w:sz w:val="16"/>
          <w:szCs w:val="16"/>
        </w:rPr>
        <w:t xml:space="preserve">additional NSCLC studies showing </w:t>
      </w:r>
      <w:r w:rsidR="00C713B6" w:rsidRPr="0024556F">
        <w:rPr>
          <w:bCs/>
          <w:sz w:val="16"/>
          <w:szCs w:val="16"/>
        </w:rPr>
        <w:t xml:space="preserve">similar high sensitivity, specificity and positive and negative predictive values </w:t>
      </w:r>
      <w:r w:rsidR="0046009E" w:rsidRPr="0024556F">
        <w:rPr>
          <w:bCs/>
          <w:sz w:val="16"/>
          <w:szCs w:val="16"/>
        </w:rPr>
        <w:t xml:space="preserve">for other PCR kits </w:t>
      </w:r>
      <w:r w:rsidR="00C713B6" w:rsidRPr="0024556F">
        <w:rPr>
          <w:bCs/>
          <w:sz w:val="16"/>
          <w:szCs w:val="16"/>
        </w:rPr>
        <w:t xml:space="preserve">to the various </w:t>
      </w:r>
      <w:r w:rsidR="0046009E" w:rsidRPr="0024556F">
        <w:rPr>
          <w:bCs/>
          <w:sz w:val="16"/>
          <w:szCs w:val="16"/>
        </w:rPr>
        <w:t>NGS</w:t>
      </w:r>
      <w:r w:rsidR="00C713B6" w:rsidRPr="0024556F">
        <w:rPr>
          <w:bCs/>
          <w:sz w:val="16"/>
          <w:szCs w:val="16"/>
        </w:rPr>
        <w:t xml:space="preserve"> platforms used, and three</w:t>
      </w:r>
      <w:r w:rsidR="0046009E" w:rsidRPr="0024556F">
        <w:rPr>
          <w:bCs/>
          <w:sz w:val="16"/>
          <w:szCs w:val="16"/>
        </w:rPr>
        <w:t xml:space="preserve"> studies in CRC showing that the </w:t>
      </w:r>
      <w:proofErr w:type="spellStart"/>
      <w:r w:rsidR="000E736C" w:rsidRPr="0024556F">
        <w:rPr>
          <w:i/>
          <w:iCs/>
          <w:sz w:val="16"/>
          <w:szCs w:val="16"/>
        </w:rPr>
        <w:t>therascreen</w:t>
      </w:r>
      <w:proofErr w:type="spellEnd"/>
      <w:r w:rsidR="000E736C" w:rsidRPr="0024556F">
        <w:rPr>
          <w:sz w:val="16"/>
          <w:szCs w:val="16"/>
        </w:rPr>
        <w:t>® KRAS PCR kit (</w:t>
      </w:r>
      <w:proofErr w:type="spellStart"/>
      <w:r w:rsidR="000E736C" w:rsidRPr="0024556F">
        <w:rPr>
          <w:sz w:val="16"/>
          <w:szCs w:val="16"/>
        </w:rPr>
        <w:t>Qiagen</w:t>
      </w:r>
      <w:proofErr w:type="spellEnd"/>
      <w:r w:rsidR="000E736C" w:rsidRPr="0024556F">
        <w:rPr>
          <w:sz w:val="16"/>
          <w:szCs w:val="16"/>
        </w:rPr>
        <w:t>) ha</w:t>
      </w:r>
      <w:r w:rsidR="002B7D19" w:rsidRPr="0024556F">
        <w:rPr>
          <w:sz w:val="16"/>
          <w:szCs w:val="16"/>
        </w:rPr>
        <w:t>s</w:t>
      </w:r>
      <w:r w:rsidR="000E736C" w:rsidRPr="0024556F">
        <w:rPr>
          <w:sz w:val="16"/>
          <w:szCs w:val="16"/>
        </w:rPr>
        <w:t xml:space="preserve"> comparable high sensitivity and specificity and positive and negative predictive values to</w:t>
      </w:r>
      <w:r w:rsidR="002B7D19" w:rsidRPr="0024556F">
        <w:rPr>
          <w:sz w:val="16"/>
          <w:szCs w:val="16"/>
        </w:rPr>
        <w:t xml:space="preserve"> the</w:t>
      </w:r>
      <w:r w:rsidR="000E736C" w:rsidRPr="0024556F">
        <w:rPr>
          <w:sz w:val="16"/>
          <w:szCs w:val="16"/>
        </w:rPr>
        <w:t xml:space="preserve"> various NGS platforms </w:t>
      </w:r>
      <w:r w:rsidR="002B7D19" w:rsidRPr="0024556F">
        <w:rPr>
          <w:sz w:val="16"/>
          <w:szCs w:val="16"/>
        </w:rPr>
        <w:t xml:space="preserve">used </w:t>
      </w:r>
      <w:r w:rsidR="000E736C" w:rsidRPr="0024556F">
        <w:rPr>
          <w:sz w:val="16"/>
          <w:szCs w:val="16"/>
        </w:rPr>
        <w:t>(</w:t>
      </w:r>
      <w:proofErr w:type="spellStart"/>
      <w:r w:rsidR="000E736C" w:rsidRPr="0024556F">
        <w:rPr>
          <w:sz w:val="16"/>
          <w:szCs w:val="16"/>
        </w:rPr>
        <w:t>Altimari</w:t>
      </w:r>
      <w:proofErr w:type="spellEnd"/>
      <w:r w:rsidR="000E736C" w:rsidRPr="0024556F">
        <w:rPr>
          <w:sz w:val="16"/>
          <w:szCs w:val="16"/>
        </w:rPr>
        <w:t xml:space="preserve"> 2013; </w:t>
      </w:r>
      <w:proofErr w:type="spellStart"/>
      <w:r w:rsidR="000E736C" w:rsidRPr="0024556F">
        <w:rPr>
          <w:sz w:val="16"/>
          <w:szCs w:val="16"/>
        </w:rPr>
        <w:t>Darwanto</w:t>
      </w:r>
      <w:proofErr w:type="spellEnd"/>
      <w:r w:rsidR="000E736C" w:rsidRPr="0024556F">
        <w:rPr>
          <w:sz w:val="16"/>
          <w:szCs w:val="16"/>
        </w:rPr>
        <w:t xml:space="preserve"> 2017; Gao 2016). </w:t>
      </w:r>
      <w:r w:rsidR="00750EC4" w:rsidRPr="0024556F">
        <w:rPr>
          <w:sz w:val="16"/>
          <w:szCs w:val="16"/>
        </w:rPr>
        <w:t xml:space="preserve">Additionally, an updated handbook from </w:t>
      </w:r>
      <w:proofErr w:type="spellStart"/>
      <w:r w:rsidR="00750EC4" w:rsidRPr="0024556F">
        <w:rPr>
          <w:sz w:val="16"/>
          <w:szCs w:val="16"/>
        </w:rPr>
        <w:t>Qiagen</w:t>
      </w:r>
      <w:proofErr w:type="spellEnd"/>
      <w:r w:rsidR="00750EC4" w:rsidRPr="0024556F">
        <w:rPr>
          <w:sz w:val="16"/>
          <w:szCs w:val="16"/>
        </w:rPr>
        <w:t xml:space="preserve"> with further information about diagnostic accuracy of the </w:t>
      </w:r>
      <w:proofErr w:type="spellStart"/>
      <w:r w:rsidR="00750EC4" w:rsidRPr="0024556F">
        <w:rPr>
          <w:i/>
          <w:iCs/>
          <w:sz w:val="16"/>
          <w:szCs w:val="16"/>
        </w:rPr>
        <w:t>therascreen</w:t>
      </w:r>
      <w:proofErr w:type="spellEnd"/>
      <w:r w:rsidR="00750EC4" w:rsidRPr="0024556F">
        <w:rPr>
          <w:sz w:val="16"/>
          <w:szCs w:val="16"/>
        </w:rPr>
        <w:t>® KRAS RGQ PCR kit</w:t>
      </w:r>
      <w:r w:rsidR="00750EC4" w:rsidRPr="0024556F">
        <w:rPr>
          <w:sz w:val="16"/>
          <w:szCs w:val="18"/>
        </w:rPr>
        <w:t xml:space="preserve"> </w:t>
      </w:r>
      <w:r w:rsidR="00750EC4" w:rsidRPr="0024556F">
        <w:rPr>
          <w:sz w:val="16"/>
          <w:szCs w:val="16"/>
        </w:rPr>
        <w:t xml:space="preserve">will be included in the assessment report. </w:t>
      </w:r>
    </w:p>
    <w:p w14:paraId="474DE384" w14:textId="5D62F7AA" w:rsidR="004C49EF" w:rsidRDefault="004C49EF" w:rsidP="00530204">
      <w:pPr>
        <w:pStyle w:val="Heading2"/>
      </w:pPr>
      <w:r w:rsidRPr="00E82F54">
        <w:lastRenderedPageBreak/>
        <w:t>Identify yet to be published research that may have results available in the near future that could be relevant in the consideration of your application by MSAC</w:t>
      </w:r>
      <w:r>
        <w:t xml:space="preserve"> (limiting these to the English language only).</w:t>
      </w:r>
      <w:r w:rsidRPr="001130B0">
        <w:rPr>
          <w:i/>
        </w:rPr>
        <w:t xml:space="preserve"> </w:t>
      </w:r>
      <w:r>
        <w:rPr>
          <w:i/>
        </w:rPr>
        <w:t>Please do not attach</w:t>
      </w:r>
      <w:r w:rsidRPr="001130B0">
        <w:rPr>
          <w:i/>
        </w:rPr>
        <w:t xml:space="preserve"> full text articles, this is just intended to be a summary.</w:t>
      </w:r>
      <w:r w:rsidR="002345C3" w:rsidRPr="002345C3">
        <w:rPr>
          <w:i/>
          <w:highlight w:val="green"/>
        </w:rPr>
        <w:t xml:space="preserve"> </w:t>
      </w:r>
    </w:p>
    <w:tbl>
      <w:tblPr>
        <w:tblStyle w:val="TableGrid"/>
        <w:tblW w:w="5000" w:type="pct"/>
        <w:tblLayout w:type="fixed"/>
        <w:tblLook w:val="04A0" w:firstRow="1" w:lastRow="0" w:firstColumn="1" w:lastColumn="0" w:noHBand="0" w:noVBand="1"/>
        <w:tblCaption w:val="Summary of Evidence - Yet to be Published"/>
      </w:tblPr>
      <w:tblGrid>
        <w:gridCol w:w="909"/>
        <w:gridCol w:w="2204"/>
        <w:gridCol w:w="3119"/>
        <w:gridCol w:w="3827"/>
        <w:gridCol w:w="2427"/>
        <w:gridCol w:w="1462"/>
      </w:tblGrid>
      <w:tr w:rsidR="004C49EF" w14:paraId="7FC84844" w14:textId="77777777" w:rsidTr="0024556F">
        <w:trPr>
          <w:cantSplit/>
          <w:tblHeader/>
        </w:trPr>
        <w:tc>
          <w:tcPr>
            <w:tcW w:w="326" w:type="pct"/>
          </w:tcPr>
          <w:p w14:paraId="121E0B4F" w14:textId="77777777" w:rsidR="004C49EF" w:rsidRDefault="004C49EF" w:rsidP="00855944">
            <w:pPr>
              <w:pStyle w:val="TableHEADER"/>
            </w:pPr>
          </w:p>
        </w:tc>
        <w:tc>
          <w:tcPr>
            <w:tcW w:w="790" w:type="pct"/>
          </w:tcPr>
          <w:p w14:paraId="25A48CB3" w14:textId="77777777" w:rsidR="004C49EF" w:rsidRDefault="004C49EF" w:rsidP="00262956">
            <w:pPr>
              <w:pStyle w:val="TableHEADER"/>
              <w:ind w:left="0"/>
            </w:pPr>
            <w:r>
              <w:t>Type of study design*</w:t>
            </w:r>
          </w:p>
        </w:tc>
        <w:tc>
          <w:tcPr>
            <w:tcW w:w="1118" w:type="pct"/>
          </w:tcPr>
          <w:p w14:paraId="34B66EF1" w14:textId="77777777" w:rsidR="004C49EF" w:rsidRDefault="004C49EF" w:rsidP="00262956">
            <w:pPr>
              <w:pStyle w:val="TableHEADER"/>
              <w:ind w:left="0"/>
            </w:pPr>
            <w:r>
              <w:t>Title of research (including any trial identifier if relevant)</w:t>
            </w:r>
          </w:p>
        </w:tc>
        <w:tc>
          <w:tcPr>
            <w:tcW w:w="1372" w:type="pct"/>
          </w:tcPr>
          <w:p w14:paraId="55CAEB11" w14:textId="77777777" w:rsidR="004C49EF" w:rsidRDefault="00367C1B" w:rsidP="00262956">
            <w:pPr>
              <w:pStyle w:val="TableHEADER"/>
              <w:ind w:left="0"/>
            </w:pPr>
            <w:r>
              <w:t xml:space="preserve">Short description of research </w:t>
            </w:r>
            <w:r w:rsidR="004C49EF">
              <w:t>(max 50 words)**</w:t>
            </w:r>
          </w:p>
        </w:tc>
        <w:tc>
          <w:tcPr>
            <w:tcW w:w="870" w:type="pct"/>
          </w:tcPr>
          <w:p w14:paraId="64A8CB02" w14:textId="77777777" w:rsidR="004C49EF" w:rsidRDefault="004C49EF" w:rsidP="0024556F">
            <w:pPr>
              <w:pStyle w:val="TableHEADER"/>
              <w:ind w:left="33"/>
            </w:pPr>
            <w:r w:rsidRPr="00E82F54">
              <w:t xml:space="preserve">Website link to </w:t>
            </w:r>
            <w:r>
              <w:t>research (if available)</w:t>
            </w:r>
          </w:p>
        </w:tc>
        <w:tc>
          <w:tcPr>
            <w:tcW w:w="524" w:type="pct"/>
          </w:tcPr>
          <w:p w14:paraId="3A80F1C8" w14:textId="77777777" w:rsidR="004C49EF" w:rsidRDefault="004C49EF" w:rsidP="00262956">
            <w:pPr>
              <w:pStyle w:val="TableHEADER"/>
              <w:ind w:left="0"/>
            </w:pPr>
            <w:r w:rsidRPr="00E82F54">
              <w:t>Date*</w:t>
            </w:r>
            <w:r>
              <w:t>**</w:t>
            </w:r>
          </w:p>
        </w:tc>
      </w:tr>
      <w:tr w:rsidR="00134F1C" w14:paraId="5203A852" w14:textId="77777777" w:rsidTr="0024556F">
        <w:trPr>
          <w:cantSplit/>
        </w:trPr>
        <w:tc>
          <w:tcPr>
            <w:tcW w:w="326" w:type="pct"/>
          </w:tcPr>
          <w:p w14:paraId="7CF73B57" w14:textId="061A1533" w:rsidR="00134F1C" w:rsidRPr="00965B6B" w:rsidRDefault="00134F1C" w:rsidP="00526478">
            <w:pPr>
              <w:rPr>
                <w:szCs w:val="20"/>
              </w:rPr>
            </w:pPr>
            <w:r>
              <w:rPr>
                <w:szCs w:val="20"/>
              </w:rPr>
              <w:t xml:space="preserve">1. </w:t>
            </w:r>
          </w:p>
        </w:tc>
        <w:tc>
          <w:tcPr>
            <w:tcW w:w="790" w:type="pct"/>
          </w:tcPr>
          <w:p w14:paraId="33AC6241" w14:textId="2A835A5B" w:rsidR="00134F1C" w:rsidRPr="00595384" w:rsidRDefault="00134F1C" w:rsidP="00262956">
            <w:pPr>
              <w:ind w:left="0"/>
              <w:rPr>
                <w:b/>
                <w:bCs/>
                <w:sz w:val="16"/>
                <w:szCs w:val="16"/>
              </w:rPr>
            </w:pPr>
            <w:r w:rsidRPr="00075F5F">
              <w:rPr>
                <w:sz w:val="16"/>
                <w:szCs w:val="16"/>
              </w:rPr>
              <w:t>Observational stud</w:t>
            </w:r>
            <w:r w:rsidR="0046009E">
              <w:rPr>
                <w:sz w:val="16"/>
                <w:szCs w:val="16"/>
              </w:rPr>
              <w:t>y</w:t>
            </w:r>
          </w:p>
        </w:tc>
        <w:tc>
          <w:tcPr>
            <w:tcW w:w="1118" w:type="pct"/>
          </w:tcPr>
          <w:p w14:paraId="0B98A807" w14:textId="20174796" w:rsidR="009F00B1" w:rsidRDefault="009F00B1" w:rsidP="00695A95">
            <w:pPr>
              <w:autoSpaceDE w:val="0"/>
              <w:autoSpaceDN w:val="0"/>
              <w:adjustRightInd w:val="0"/>
              <w:spacing w:before="0"/>
              <w:ind w:left="0"/>
              <w:rPr>
                <w:sz w:val="16"/>
                <w:szCs w:val="16"/>
              </w:rPr>
            </w:pPr>
            <w:r>
              <w:rPr>
                <w:sz w:val="16"/>
                <w:szCs w:val="16"/>
              </w:rPr>
              <w:t>Amgen study number 20200097</w:t>
            </w:r>
          </w:p>
          <w:p w14:paraId="1F7344DF" w14:textId="77777777" w:rsidR="009F00B1" w:rsidRDefault="009F00B1" w:rsidP="00695A95">
            <w:pPr>
              <w:autoSpaceDE w:val="0"/>
              <w:autoSpaceDN w:val="0"/>
              <w:adjustRightInd w:val="0"/>
              <w:spacing w:before="0"/>
              <w:ind w:left="0"/>
              <w:rPr>
                <w:sz w:val="16"/>
                <w:szCs w:val="16"/>
              </w:rPr>
            </w:pPr>
          </w:p>
          <w:p w14:paraId="774235F2" w14:textId="53A62BC1" w:rsidR="00134F1C" w:rsidRDefault="00695A95" w:rsidP="00C713B6">
            <w:pPr>
              <w:autoSpaceDE w:val="0"/>
              <w:autoSpaceDN w:val="0"/>
              <w:adjustRightInd w:val="0"/>
              <w:spacing w:before="0"/>
              <w:ind w:left="0"/>
              <w:rPr>
                <w:sz w:val="16"/>
                <w:szCs w:val="16"/>
              </w:rPr>
            </w:pPr>
            <w:r w:rsidRPr="00C713B6">
              <w:rPr>
                <w:sz w:val="16"/>
                <w:szCs w:val="16"/>
              </w:rPr>
              <w:t xml:space="preserve">A </w:t>
            </w:r>
            <w:r w:rsidR="009F00B1">
              <w:rPr>
                <w:sz w:val="16"/>
                <w:szCs w:val="16"/>
              </w:rPr>
              <w:t>r</w:t>
            </w:r>
            <w:r w:rsidRPr="00C713B6">
              <w:rPr>
                <w:sz w:val="16"/>
                <w:szCs w:val="16"/>
              </w:rPr>
              <w:t xml:space="preserve">etrospective </w:t>
            </w:r>
            <w:r w:rsidR="009F00B1">
              <w:rPr>
                <w:sz w:val="16"/>
                <w:szCs w:val="16"/>
              </w:rPr>
              <w:t>c</w:t>
            </w:r>
            <w:r w:rsidRPr="00C713B6">
              <w:rPr>
                <w:sz w:val="16"/>
                <w:szCs w:val="16"/>
              </w:rPr>
              <w:t xml:space="preserve">ohort </w:t>
            </w:r>
            <w:r w:rsidR="009F00B1">
              <w:rPr>
                <w:sz w:val="16"/>
                <w:szCs w:val="16"/>
              </w:rPr>
              <w:t>s</w:t>
            </w:r>
            <w:r w:rsidRPr="00C713B6">
              <w:rPr>
                <w:sz w:val="16"/>
                <w:szCs w:val="16"/>
              </w:rPr>
              <w:t xml:space="preserve">tudy of </w:t>
            </w:r>
            <w:r w:rsidR="009F00B1">
              <w:rPr>
                <w:sz w:val="16"/>
                <w:szCs w:val="16"/>
              </w:rPr>
              <w:t>p</w:t>
            </w:r>
            <w:r w:rsidRPr="00C713B6">
              <w:rPr>
                <w:sz w:val="16"/>
                <w:szCs w:val="16"/>
              </w:rPr>
              <w:t>atient</w:t>
            </w:r>
            <w:r>
              <w:rPr>
                <w:sz w:val="16"/>
                <w:szCs w:val="16"/>
              </w:rPr>
              <w:t xml:space="preserve"> </w:t>
            </w:r>
            <w:r w:rsidR="009F00B1">
              <w:rPr>
                <w:sz w:val="16"/>
                <w:szCs w:val="16"/>
              </w:rPr>
              <w:t>c</w:t>
            </w:r>
            <w:r w:rsidRPr="00C713B6">
              <w:rPr>
                <w:sz w:val="16"/>
                <w:szCs w:val="16"/>
              </w:rPr>
              <w:t xml:space="preserve">haracteristics and </w:t>
            </w:r>
            <w:r w:rsidR="009F00B1">
              <w:rPr>
                <w:sz w:val="16"/>
                <w:szCs w:val="16"/>
              </w:rPr>
              <w:t>t</w:t>
            </w:r>
            <w:r w:rsidRPr="00C713B6">
              <w:rPr>
                <w:sz w:val="16"/>
                <w:szCs w:val="16"/>
              </w:rPr>
              <w:t xml:space="preserve">reatment </w:t>
            </w:r>
            <w:r w:rsidR="009F00B1">
              <w:rPr>
                <w:sz w:val="16"/>
                <w:szCs w:val="16"/>
              </w:rPr>
              <w:t>o</w:t>
            </w:r>
            <w:r w:rsidRPr="00C713B6">
              <w:rPr>
                <w:sz w:val="16"/>
                <w:szCs w:val="16"/>
              </w:rPr>
              <w:t xml:space="preserve">utcomes </w:t>
            </w:r>
            <w:r w:rsidR="009F00B1">
              <w:rPr>
                <w:sz w:val="16"/>
                <w:szCs w:val="16"/>
              </w:rPr>
              <w:t>a</w:t>
            </w:r>
            <w:r w:rsidRPr="00C713B6">
              <w:rPr>
                <w:sz w:val="16"/>
                <w:szCs w:val="16"/>
              </w:rPr>
              <w:t>mong</w:t>
            </w:r>
            <w:r>
              <w:rPr>
                <w:sz w:val="16"/>
                <w:szCs w:val="16"/>
              </w:rPr>
              <w:t xml:space="preserve"> </w:t>
            </w:r>
            <w:r w:rsidR="009F00B1">
              <w:rPr>
                <w:sz w:val="16"/>
                <w:szCs w:val="16"/>
              </w:rPr>
              <w:t>p</w:t>
            </w:r>
            <w:r w:rsidRPr="00C713B6">
              <w:rPr>
                <w:sz w:val="16"/>
                <w:szCs w:val="16"/>
              </w:rPr>
              <w:t xml:space="preserve">atients </w:t>
            </w:r>
            <w:r w:rsidR="009F00B1">
              <w:rPr>
                <w:sz w:val="16"/>
                <w:szCs w:val="16"/>
              </w:rPr>
              <w:t>w</w:t>
            </w:r>
            <w:r w:rsidRPr="00C713B6">
              <w:rPr>
                <w:sz w:val="16"/>
                <w:szCs w:val="16"/>
              </w:rPr>
              <w:t xml:space="preserve">ith KRAS p.G12C </w:t>
            </w:r>
            <w:r w:rsidR="009F00B1">
              <w:rPr>
                <w:sz w:val="16"/>
                <w:szCs w:val="16"/>
              </w:rPr>
              <w:t>m</w:t>
            </w:r>
            <w:r w:rsidRPr="00C713B6">
              <w:rPr>
                <w:sz w:val="16"/>
                <w:szCs w:val="16"/>
              </w:rPr>
              <w:t>utation-positive</w:t>
            </w:r>
            <w:r>
              <w:rPr>
                <w:sz w:val="16"/>
                <w:szCs w:val="16"/>
              </w:rPr>
              <w:t xml:space="preserve"> </w:t>
            </w:r>
            <w:r w:rsidR="009F00B1">
              <w:rPr>
                <w:sz w:val="16"/>
                <w:szCs w:val="16"/>
              </w:rPr>
              <w:t>a</w:t>
            </w:r>
            <w:r w:rsidRPr="00C713B6">
              <w:rPr>
                <w:sz w:val="16"/>
                <w:szCs w:val="16"/>
              </w:rPr>
              <w:t xml:space="preserve">dvanced </w:t>
            </w:r>
            <w:r w:rsidR="009F00B1">
              <w:rPr>
                <w:sz w:val="16"/>
                <w:szCs w:val="16"/>
              </w:rPr>
              <w:t>n</w:t>
            </w:r>
            <w:r w:rsidRPr="00C713B6">
              <w:rPr>
                <w:sz w:val="16"/>
                <w:szCs w:val="16"/>
              </w:rPr>
              <w:t xml:space="preserve">on-small </w:t>
            </w:r>
            <w:r w:rsidR="009F00B1">
              <w:rPr>
                <w:sz w:val="16"/>
                <w:szCs w:val="16"/>
              </w:rPr>
              <w:t>c</w:t>
            </w:r>
            <w:r w:rsidRPr="00C713B6">
              <w:rPr>
                <w:sz w:val="16"/>
                <w:szCs w:val="16"/>
              </w:rPr>
              <w:t xml:space="preserve">ell </w:t>
            </w:r>
            <w:r w:rsidR="009F00B1">
              <w:rPr>
                <w:sz w:val="16"/>
                <w:szCs w:val="16"/>
              </w:rPr>
              <w:t>l</w:t>
            </w:r>
            <w:r w:rsidRPr="00C713B6">
              <w:rPr>
                <w:sz w:val="16"/>
                <w:szCs w:val="16"/>
              </w:rPr>
              <w:t xml:space="preserve">ung </w:t>
            </w:r>
            <w:r w:rsidR="009F00B1">
              <w:rPr>
                <w:sz w:val="16"/>
                <w:szCs w:val="16"/>
              </w:rPr>
              <w:t>c</w:t>
            </w:r>
            <w:r w:rsidRPr="00C713B6">
              <w:rPr>
                <w:sz w:val="16"/>
                <w:szCs w:val="16"/>
              </w:rPr>
              <w:t>ancer in the</w:t>
            </w:r>
            <w:r>
              <w:rPr>
                <w:sz w:val="16"/>
                <w:szCs w:val="16"/>
              </w:rPr>
              <w:t xml:space="preserve"> </w:t>
            </w:r>
            <w:r w:rsidRPr="00C713B6">
              <w:rPr>
                <w:sz w:val="16"/>
                <w:szCs w:val="16"/>
              </w:rPr>
              <w:t>Flatiron Health-Foundation Medicine</w:t>
            </w:r>
            <w:r>
              <w:rPr>
                <w:sz w:val="16"/>
                <w:szCs w:val="16"/>
              </w:rPr>
              <w:t xml:space="preserve"> </w:t>
            </w:r>
            <w:proofErr w:type="spellStart"/>
            <w:r w:rsidRPr="00C713B6">
              <w:rPr>
                <w:sz w:val="16"/>
                <w:szCs w:val="16"/>
              </w:rPr>
              <w:t>Clinico</w:t>
            </w:r>
            <w:proofErr w:type="spellEnd"/>
            <w:r w:rsidRPr="00C713B6">
              <w:rPr>
                <w:sz w:val="16"/>
                <w:szCs w:val="16"/>
              </w:rPr>
              <w:t xml:space="preserve">-Genomics </w:t>
            </w:r>
            <w:r w:rsidR="009F00B1">
              <w:rPr>
                <w:sz w:val="16"/>
                <w:szCs w:val="16"/>
              </w:rPr>
              <w:t>d</w:t>
            </w:r>
            <w:r w:rsidRPr="00C713B6">
              <w:rPr>
                <w:sz w:val="16"/>
                <w:szCs w:val="16"/>
              </w:rPr>
              <w:t>atabase</w:t>
            </w:r>
            <w:r w:rsidR="009F00B1">
              <w:rPr>
                <w:sz w:val="16"/>
                <w:szCs w:val="16"/>
              </w:rPr>
              <w:t>.</w:t>
            </w:r>
          </w:p>
        </w:tc>
        <w:tc>
          <w:tcPr>
            <w:tcW w:w="1372" w:type="pct"/>
          </w:tcPr>
          <w:p w14:paraId="73815128" w14:textId="5520A5EE" w:rsidR="00134F1C" w:rsidRDefault="00695A95" w:rsidP="00595384">
            <w:pPr>
              <w:ind w:left="0"/>
              <w:rPr>
                <w:sz w:val="16"/>
                <w:szCs w:val="16"/>
              </w:rPr>
            </w:pPr>
            <w:r>
              <w:rPr>
                <w:sz w:val="16"/>
                <w:szCs w:val="16"/>
              </w:rPr>
              <w:t xml:space="preserve">Real-world data in </w:t>
            </w:r>
            <w:r w:rsidR="0024556F">
              <w:rPr>
                <w:sz w:val="16"/>
                <w:szCs w:val="16"/>
              </w:rPr>
              <w:t>patients with</w:t>
            </w:r>
            <w:r>
              <w:rPr>
                <w:sz w:val="16"/>
                <w:szCs w:val="16"/>
              </w:rPr>
              <w:t xml:space="preserve"> </w:t>
            </w:r>
            <w:r w:rsidR="002C0E6B">
              <w:rPr>
                <w:sz w:val="16"/>
                <w:szCs w:val="16"/>
              </w:rPr>
              <w:t xml:space="preserve">KRAS </w:t>
            </w:r>
            <w:r>
              <w:rPr>
                <w:sz w:val="16"/>
                <w:szCs w:val="16"/>
              </w:rPr>
              <w:t xml:space="preserve">G12C </w:t>
            </w:r>
            <w:r w:rsidR="009F00B1">
              <w:rPr>
                <w:sz w:val="16"/>
                <w:szCs w:val="16"/>
              </w:rPr>
              <w:t xml:space="preserve">variant </w:t>
            </w:r>
            <w:r>
              <w:rPr>
                <w:sz w:val="16"/>
                <w:szCs w:val="16"/>
              </w:rPr>
              <w:t xml:space="preserve">NSCLC </w:t>
            </w:r>
            <w:r w:rsidR="0024556F">
              <w:rPr>
                <w:sz w:val="16"/>
                <w:szCs w:val="16"/>
              </w:rPr>
              <w:t>treated with standard of care</w:t>
            </w:r>
            <w:r w:rsidR="009F00B1">
              <w:rPr>
                <w:sz w:val="16"/>
                <w:szCs w:val="16"/>
              </w:rPr>
              <w:t>.</w:t>
            </w:r>
          </w:p>
          <w:p w14:paraId="421C790E" w14:textId="04707187" w:rsidR="0046009E" w:rsidRDefault="00325F36" w:rsidP="00595384">
            <w:pPr>
              <w:ind w:left="0"/>
              <w:rPr>
                <w:sz w:val="16"/>
                <w:szCs w:val="16"/>
              </w:rPr>
            </w:pPr>
            <w:r>
              <w:rPr>
                <w:sz w:val="16"/>
                <w:szCs w:val="16"/>
              </w:rPr>
              <w:t>REDACTED</w:t>
            </w:r>
          </w:p>
        </w:tc>
        <w:tc>
          <w:tcPr>
            <w:tcW w:w="870" w:type="pct"/>
          </w:tcPr>
          <w:p w14:paraId="595CD68A" w14:textId="5C6E6221" w:rsidR="00134F1C" w:rsidRPr="00C713B6" w:rsidRDefault="0046009E" w:rsidP="0024556F">
            <w:pPr>
              <w:ind w:left="33"/>
              <w:rPr>
                <w:sz w:val="16"/>
                <w:szCs w:val="16"/>
              </w:rPr>
            </w:pPr>
            <w:r w:rsidRPr="00C713B6">
              <w:rPr>
                <w:sz w:val="16"/>
                <w:szCs w:val="16"/>
              </w:rPr>
              <w:t>N/A</w:t>
            </w:r>
          </w:p>
        </w:tc>
        <w:tc>
          <w:tcPr>
            <w:tcW w:w="524" w:type="pct"/>
          </w:tcPr>
          <w:p w14:paraId="599F5EC6" w14:textId="6AFFB87F" w:rsidR="00134F1C" w:rsidRDefault="0046009E" w:rsidP="00262956">
            <w:pPr>
              <w:ind w:left="0"/>
              <w:rPr>
                <w:sz w:val="16"/>
                <w:szCs w:val="16"/>
              </w:rPr>
            </w:pPr>
            <w:r>
              <w:rPr>
                <w:sz w:val="16"/>
                <w:szCs w:val="16"/>
              </w:rPr>
              <w:t>Completed.</w:t>
            </w:r>
          </w:p>
        </w:tc>
      </w:tr>
      <w:tr w:rsidR="004C49EF" w14:paraId="5C5CCDA9" w14:textId="77777777" w:rsidTr="0024556F">
        <w:trPr>
          <w:cantSplit/>
        </w:trPr>
        <w:tc>
          <w:tcPr>
            <w:tcW w:w="326" w:type="pct"/>
          </w:tcPr>
          <w:p w14:paraId="418944E6" w14:textId="49AB34C3" w:rsidR="004C49EF" w:rsidRPr="00965B6B" w:rsidRDefault="00134F1C" w:rsidP="00526478">
            <w:pPr>
              <w:rPr>
                <w:szCs w:val="20"/>
              </w:rPr>
            </w:pPr>
            <w:r>
              <w:rPr>
                <w:szCs w:val="20"/>
              </w:rPr>
              <w:t>2</w:t>
            </w:r>
            <w:r w:rsidR="004C49EF">
              <w:rPr>
                <w:szCs w:val="20"/>
              </w:rPr>
              <w:t>.</w:t>
            </w:r>
          </w:p>
        </w:tc>
        <w:tc>
          <w:tcPr>
            <w:tcW w:w="790" w:type="pct"/>
          </w:tcPr>
          <w:p w14:paraId="31F8F6F3" w14:textId="5FCD517A" w:rsidR="00595384" w:rsidRPr="00595384" w:rsidRDefault="00595384" w:rsidP="00262956">
            <w:pPr>
              <w:ind w:left="0"/>
              <w:rPr>
                <w:sz w:val="16"/>
                <w:szCs w:val="16"/>
              </w:rPr>
            </w:pPr>
            <w:r w:rsidRPr="00595384">
              <w:rPr>
                <w:sz w:val="16"/>
                <w:szCs w:val="16"/>
              </w:rPr>
              <w:t xml:space="preserve">Randomised trial. </w:t>
            </w:r>
          </w:p>
          <w:p w14:paraId="4A25107C" w14:textId="322754B4" w:rsidR="004C49EF" w:rsidRDefault="004C49EF" w:rsidP="00526478">
            <w:pPr>
              <w:rPr>
                <w:b/>
                <w:szCs w:val="20"/>
              </w:rPr>
            </w:pPr>
          </w:p>
        </w:tc>
        <w:tc>
          <w:tcPr>
            <w:tcW w:w="1118" w:type="pct"/>
          </w:tcPr>
          <w:p w14:paraId="7200F7B2" w14:textId="77777777" w:rsidR="00595384" w:rsidRDefault="00595384" w:rsidP="00595384">
            <w:pPr>
              <w:ind w:left="0"/>
              <w:contextualSpacing/>
              <w:rPr>
                <w:sz w:val="16"/>
                <w:szCs w:val="16"/>
              </w:rPr>
            </w:pPr>
            <w:r>
              <w:rPr>
                <w:sz w:val="16"/>
                <w:szCs w:val="16"/>
              </w:rPr>
              <w:t xml:space="preserve">Amgen study number 2019009; </w:t>
            </w:r>
          </w:p>
          <w:p w14:paraId="2A2B5596" w14:textId="7DB0E5C0" w:rsidR="00595384" w:rsidRDefault="00595384" w:rsidP="00595384">
            <w:pPr>
              <w:ind w:left="0"/>
              <w:contextualSpacing/>
              <w:rPr>
                <w:sz w:val="16"/>
                <w:szCs w:val="16"/>
              </w:rPr>
            </w:pPr>
            <w:proofErr w:type="spellStart"/>
            <w:r>
              <w:rPr>
                <w:sz w:val="16"/>
                <w:szCs w:val="16"/>
              </w:rPr>
              <w:t>Code</w:t>
            </w:r>
            <w:r w:rsidR="002C0E6B">
              <w:rPr>
                <w:sz w:val="16"/>
                <w:szCs w:val="16"/>
              </w:rPr>
              <w:t>B</w:t>
            </w:r>
            <w:r>
              <w:rPr>
                <w:sz w:val="16"/>
                <w:szCs w:val="16"/>
              </w:rPr>
              <w:t>reak</w:t>
            </w:r>
            <w:proofErr w:type="spellEnd"/>
            <w:r>
              <w:rPr>
                <w:sz w:val="16"/>
                <w:szCs w:val="16"/>
              </w:rPr>
              <w:t xml:space="preserve"> 200. </w:t>
            </w:r>
          </w:p>
          <w:p w14:paraId="5B7F20F3" w14:textId="77777777" w:rsidR="00595384" w:rsidRDefault="00595384" w:rsidP="00595384">
            <w:pPr>
              <w:ind w:left="0"/>
              <w:rPr>
                <w:sz w:val="16"/>
                <w:szCs w:val="16"/>
              </w:rPr>
            </w:pPr>
            <w:r w:rsidRPr="00A2550B">
              <w:rPr>
                <w:sz w:val="16"/>
                <w:szCs w:val="16"/>
              </w:rPr>
              <w:t xml:space="preserve">A study to </w:t>
            </w:r>
            <w:r>
              <w:rPr>
                <w:sz w:val="16"/>
                <w:szCs w:val="16"/>
              </w:rPr>
              <w:t>evaluate</w:t>
            </w:r>
            <w:r w:rsidRPr="00A2550B">
              <w:rPr>
                <w:sz w:val="16"/>
                <w:szCs w:val="16"/>
              </w:rPr>
              <w:t xml:space="preserve"> </w:t>
            </w:r>
            <w:r>
              <w:rPr>
                <w:sz w:val="16"/>
                <w:szCs w:val="16"/>
              </w:rPr>
              <w:t xml:space="preserve">the efficacy, safety, and tolerability of </w:t>
            </w:r>
            <w:proofErr w:type="spellStart"/>
            <w:r>
              <w:rPr>
                <w:sz w:val="16"/>
                <w:szCs w:val="16"/>
              </w:rPr>
              <w:t>sotorasib</w:t>
            </w:r>
            <w:proofErr w:type="spellEnd"/>
            <w:r>
              <w:rPr>
                <w:sz w:val="16"/>
                <w:szCs w:val="16"/>
              </w:rPr>
              <w:t xml:space="preserve"> (</w:t>
            </w:r>
            <w:r w:rsidRPr="00A2550B">
              <w:rPr>
                <w:sz w:val="16"/>
                <w:szCs w:val="16"/>
              </w:rPr>
              <w:t>AMG 510</w:t>
            </w:r>
            <w:r>
              <w:rPr>
                <w:sz w:val="16"/>
                <w:szCs w:val="16"/>
              </w:rPr>
              <w:t>)</w:t>
            </w:r>
            <w:r w:rsidRPr="00A2550B">
              <w:rPr>
                <w:sz w:val="16"/>
                <w:szCs w:val="16"/>
              </w:rPr>
              <w:t xml:space="preserve"> </w:t>
            </w:r>
            <w:r>
              <w:rPr>
                <w:sz w:val="16"/>
                <w:szCs w:val="16"/>
              </w:rPr>
              <w:t xml:space="preserve">compared to </w:t>
            </w:r>
            <w:r w:rsidRPr="00A2550B">
              <w:rPr>
                <w:sz w:val="16"/>
                <w:szCs w:val="16"/>
              </w:rPr>
              <w:t xml:space="preserve">Docetaxel in NSCLC </w:t>
            </w:r>
            <w:r>
              <w:rPr>
                <w:sz w:val="16"/>
                <w:szCs w:val="16"/>
              </w:rPr>
              <w:t xml:space="preserve">patients </w:t>
            </w:r>
            <w:r w:rsidRPr="00A2550B">
              <w:rPr>
                <w:sz w:val="16"/>
                <w:szCs w:val="16"/>
              </w:rPr>
              <w:t>with KRAS p.G12C</w:t>
            </w:r>
            <w:r>
              <w:rPr>
                <w:sz w:val="16"/>
                <w:szCs w:val="16"/>
              </w:rPr>
              <w:t xml:space="preserve"> pathogenic variant</w:t>
            </w:r>
            <w:r w:rsidRPr="00A2550B">
              <w:rPr>
                <w:sz w:val="16"/>
                <w:szCs w:val="16"/>
              </w:rPr>
              <w:t xml:space="preserve">. </w:t>
            </w:r>
          </w:p>
          <w:p w14:paraId="0AF6323A" w14:textId="53F74D71" w:rsidR="004C49EF" w:rsidRPr="0024556F" w:rsidRDefault="00595384" w:rsidP="00595384">
            <w:pPr>
              <w:ind w:left="0"/>
              <w:rPr>
                <w:bCs/>
                <w:sz w:val="16"/>
                <w:szCs w:val="16"/>
              </w:rPr>
            </w:pPr>
            <w:r>
              <w:rPr>
                <w:bCs/>
                <w:sz w:val="16"/>
                <w:szCs w:val="16"/>
              </w:rPr>
              <w:t>Associated with NCT04303780</w:t>
            </w:r>
          </w:p>
        </w:tc>
        <w:tc>
          <w:tcPr>
            <w:tcW w:w="1372" w:type="pct"/>
          </w:tcPr>
          <w:p w14:paraId="6102B0E9" w14:textId="0DED9910" w:rsidR="004C49EF" w:rsidRDefault="00595384" w:rsidP="00262956">
            <w:pPr>
              <w:ind w:left="0"/>
              <w:rPr>
                <w:sz w:val="16"/>
                <w:szCs w:val="16"/>
              </w:rPr>
            </w:pPr>
            <w:r w:rsidRPr="0024556F">
              <w:rPr>
                <w:sz w:val="16"/>
                <w:szCs w:val="16"/>
              </w:rPr>
              <w:t>Phase 3,</w:t>
            </w:r>
            <w:r>
              <w:rPr>
                <w:sz w:val="16"/>
                <w:szCs w:val="16"/>
              </w:rPr>
              <w:t xml:space="preserve"> multicentre, randomised open label, active-controlled, study to compare </w:t>
            </w:r>
            <w:proofErr w:type="spellStart"/>
            <w:r>
              <w:rPr>
                <w:sz w:val="16"/>
                <w:szCs w:val="16"/>
              </w:rPr>
              <w:t>sotorasib</w:t>
            </w:r>
            <w:proofErr w:type="spellEnd"/>
            <w:r>
              <w:rPr>
                <w:sz w:val="16"/>
                <w:szCs w:val="16"/>
              </w:rPr>
              <w:t xml:space="preserve"> with docetaxel in previously treated locally advanced or metastatic NSCLC patients with KRAS G12C pathogenic variant. Active, recruiting. </w:t>
            </w:r>
          </w:p>
          <w:p w14:paraId="21F191FF" w14:textId="7E3871A2" w:rsidR="0024556F" w:rsidRPr="007F769E" w:rsidRDefault="0024556F" w:rsidP="00262956">
            <w:pPr>
              <w:ind w:left="0"/>
              <w:rPr>
                <w:sz w:val="16"/>
                <w:szCs w:val="16"/>
              </w:rPr>
            </w:pPr>
            <w:r>
              <w:rPr>
                <w:sz w:val="16"/>
                <w:szCs w:val="16"/>
              </w:rPr>
              <w:t xml:space="preserve">Used to determine the relative efficacy and safety of </w:t>
            </w:r>
            <w:proofErr w:type="spellStart"/>
            <w:r>
              <w:rPr>
                <w:sz w:val="16"/>
                <w:szCs w:val="16"/>
              </w:rPr>
              <w:t>sotorasib</w:t>
            </w:r>
            <w:proofErr w:type="spellEnd"/>
            <w:r>
              <w:rPr>
                <w:sz w:val="16"/>
                <w:szCs w:val="16"/>
              </w:rPr>
              <w:t xml:space="preserve"> vs docetaxel.</w:t>
            </w:r>
          </w:p>
        </w:tc>
        <w:tc>
          <w:tcPr>
            <w:tcW w:w="870" w:type="pct"/>
          </w:tcPr>
          <w:p w14:paraId="7135281B" w14:textId="1895BBDE" w:rsidR="004C49EF" w:rsidRDefault="00577575" w:rsidP="0024556F">
            <w:pPr>
              <w:ind w:left="33"/>
              <w:rPr>
                <w:sz w:val="16"/>
                <w:szCs w:val="16"/>
              </w:rPr>
            </w:pPr>
            <w:hyperlink r:id="rId26" w:history="1">
              <w:r w:rsidR="00262956" w:rsidRPr="005F61B7">
                <w:rPr>
                  <w:rStyle w:val="Hyperlink"/>
                  <w:sz w:val="16"/>
                  <w:szCs w:val="16"/>
                </w:rPr>
                <w:t>https://www.clinicaltrials.gov</w:t>
              </w:r>
            </w:hyperlink>
          </w:p>
          <w:p w14:paraId="4B7A9C95" w14:textId="5614A61A" w:rsidR="00262956" w:rsidRPr="005651FA" w:rsidRDefault="00262956" w:rsidP="00526478">
            <w:pPr>
              <w:rPr>
                <w:b/>
                <w:sz w:val="16"/>
                <w:szCs w:val="16"/>
              </w:rPr>
            </w:pPr>
          </w:p>
        </w:tc>
        <w:tc>
          <w:tcPr>
            <w:tcW w:w="524" w:type="pct"/>
          </w:tcPr>
          <w:p w14:paraId="5871C604" w14:textId="00D90D0D" w:rsidR="004C49EF" w:rsidRDefault="001C3F4A" w:rsidP="00262956">
            <w:pPr>
              <w:ind w:left="0"/>
              <w:rPr>
                <w:sz w:val="16"/>
                <w:szCs w:val="16"/>
              </w:rPr>
            </w:pPr>
            <w:r>
              <w:rPr>
                <w:sz w:val="16"/>
                <w:szCs w:val="16"/>
              </w:rPr>
              <w:t>REDACTED</w:t>
            </w:r>
          </w:p>
          <w:p w14:paraId="39D5DBC4" w14:textId="6D4210EA" w:rsidR="003D7A23" w:rsidRPr="005651FA" w:rsidRDefault="003D7A23" w:rsidP="00262956">
            <w:pPr>
              <w:ind w:left="0"/>
              <w:rPr>
                <w:bCs/>
                <w:sz w:val="16"/>
                <w:szCs w:val="16"/>
              </w:rPr>
            </w:pPr>
          </w:p>
        </w:tc>
      </w:tr>
      <w:tr w:rsidR="004C49EF" w14:paraId="7221DF97" w14:textId="77777777" w:rsidTr="0024556F">
        <w:trPr>
          <w:cantSplit/>
        </w:trPr>
        <w:tc>
          <w:tcPr>
            <w:tcW w:w="326" w:type="pct"/>
          </w:tcPr>
          <w:p w14:paraId="70ADF1C0" w14:textId="3E89DE4D" w:rsidR="004C49EF" w:rsidRDefault="00134F1C" w:rsidP="00526478">
            <w:pPr>
              <w:rPr>
                <w:szCs w:val="20"/>
              </w:rPr>
            </w:pPr>
            <w:r>
              <w:rPr>
                <w:szCs w:val="20"/>
              </w:rPr>
              <w:t>3</w:t>
            </w:r>
            <w:r w:rsidR="004C49EF">
              <w:rPr>
                <w:szCs w:val="20"/>
              </w:rPr>
              <w:t>.</w:t>
            </w:r>
          </w:p>
        </w:tc>
        <w:tc>
          <w:tcPr>
            <w:tcW w:w="790" w:type="pct"/>
          </w:tcPr>
          <w:p w14:paraId="5C20507A" w14:textId="07A52EDE" w:rsidR="004C49EF" w:rsidRPr="00075F5F" w:rsidRDefault="00A00642" w:rsidP="00075F5F">
            <w:pPr>
              <w:ind w:left="0"/>
              <w:rPr>
                <w:b/>
                <w:sz w:val="16"/>
                <w:szCs w:val="16"/>
              </w:rPr>
            </w:pPr>
            <w:r w:rsidRPr="00075F5F">
              <w:rPr>
                <w:sz w:val="16"/>
                <w:szCs w:val="16"/>
              </w:rPr>
              <w:t xml:space="preserve">Observational </w:t>
            </w:r>
            <w:r w:rsidR="00471258" w:rsidRPr="00075F5F">
              <w:rPr>
                <w:sz w:val="16"/>
                <w:szCs w:val="16"/>
              </w:rPr>
              <w:t>study</w:t>
            </w:r>
          </w:p>
        </w:tc>
        <w:tc>
          <w:tcPr>
            <w:tcW w:w="1118" w:type="pct"/>
          </w:tcPr>
          <w:p w14:paraId="020C269F" w14:textId="77777777" w:rsidR="00595384" w:rsidRDefault="00595384" w:rsidP="00595384">
            <w:pPr>
              <w:ind w:left="0"/>
              <w:rPr>
                <w:sz w:val="16"/>
                <w:szCs w:val="16"/>
              </w:rPr>
            </w:pPr>
            <w:r>
              <w:rPr>
                <w:sz w:val="16"/>
                <w:szCs w:val="16"/>
              </w:rPr>
              <w:t xml:space="preserve">Protocol version identifier: 20200238 Version 1. </w:t>
            </w:r>
          </w:p>
          <w:p w14:paraId="5EBC50BB" w14:textId="10D20AF4" w:rsidR="00A55462" w:rsidRPr="00630088" w:rsidRDefault="00595384" w:rsidP="00075F5F">
            <w:pPr>
              <w:ind w:left="0"/>
              <w:rPr>
                <w:sz w:val="16"/>
                <w:szCs w:val="16"/>
              </w:rPr>
            </w:pPr>
            <w:r w:rsidRPr="00075F5F">
              <w:rPr>
                <w:sz w:val="16"/>
                <w:szCs w:val="16"/>
              </w:rPr>
              <w:t xml:space="preserve">Prevalence and clinical outcomes </w:t>
            </w:r>
            <w:r>
              <w:rPr>
                <w:sz w:val="16"/>
                <w:szCs w:val="16"/>
              </w:rPr>
              <w:t>of KRAS G12C mutated advanced lung cancer patients in Australia: a multi-centre retrospective study.</w:t>
            </w:r>
          </w:p>
        </w:tc>
        <w:tc>
          <w:tcPr>
            <w:tcW w:w="1372" w:type="pct"/>
          </w:tcPr>
          <w:p w14:paraId="1C37FD3E" w14:textId="6335A686" w:rsidR="00595384" w:rsidRDefault="00595384" w:rsidP="00595384">
            <w:pPr>
              <w:ind w:left="0"/>
              <w:rPr>
                <w:sz w:val="16"/>
                <w:szCs w:val="16"/>
              </w:rPr>
            </w:pPr>
            <w:r>
              <w:rPr>
                <w:sz w:val="16"/>
                <w:szCs w:val="16"/>
              </w:rPr>
              <w:t>An</w:t>
            </w:r>
            <w:r w:rsidR="007F769E">
              <w:rPr>
                <w:sz w:val="16"/>
                <w:szCs w:val="16"/>
              </w:rPr>
              <w:t xml:space="preserve"> Australian</w:t>
            </w:r>
            <w:r>
              <w:rPr>
                <w:sz w:val="16"/>
                <w:szCs w:val="16"/>
              </w:rPr>
              <w:t xml:space="preserve"> </w:t>
            </w:r>
            <w:r w:rsidR="007F769E">
              <w:rPr>
                <w:sz w:val="16"/>
                <w:szCs w:val="16"/>
              </w:rPr>
              <w:t xml:space="preserve">retrospective </w:t>
            </w:r>
            <w:r>
              <w:rPr>
                <w:sz w:val="16"/>
                <w:szCs w:val="16"/>
              </w:rPr>
              <w:t xml:space="preserve">observational study to determine KRAS G12C </w:t>
            </w:r>
            <w:r w:rsidR="007F769E">
              <w:rPr>
                <w:sz w:val="16"/>
                <w:szCs w:val="16"/>
              </w:rPr>
              <w:t>variant prevalence, describe</w:t>
            </w:r>
            <w:r>
              <w:rPr>
                <w:sz w:val="16"/>
                <w:szCs w:val="16"/>
              </w:rPr>
              <w:t xml:space="preserve"> </w:t>
            </w:r>
            <w:r w:rsidR="007F769E">
              <w:rPr>
                <w:sz w:val="16"/>
                <w:szCs w:val="16"/>
              </w:rPr>
              <w:t>patient</w:t>
            </w:r>
            <w:r>
              <w:rPr>
                <w:sz w:val="16"/>
                <w:szCs w:val="16"/>
              </w:rPr>
              <w:t xml:space="preserve"> </w:t>
            </w:r>
            <w:proofErr w:type="spellStart"/>
            <w:r>
              <w:rPr>
                <w:sz w:val="16"/>
                <w:szCs w:val="16"/>
              </w:rPr>
              <w:t>clinicopathologic</w:t>
            </w:r>
            <w:proofErr w:type="spellEnd"/>
            <w:r>
              <w:rPr>
                <w:sz w:val="16"/>
                <w:szCs w:val="16"/>
              </w:rPr>
              <w:t xml:space="preserve"> characteristics</w:t>
            </w:r>
            <w:r w:rsidR="007F769E">
              <w:rPr>
                <w:sz w:val="16"/>
                <w:szCs w:val="16"/>
              </w:rPr>
              <w:t xml:space="preserve">, </w:t>
            </w:r>
            <w:r>
              <w:rPr>
                <w:sz w:val="16"/>
                <w:szCs w:val="16"/>
              </w:rPr>
              <w:t xml:space="preserve">treatment </w:t>
            </w:r>
            <w:r w:rsidR="007F769E">
              <w:rPr>
                <w:sz w:val="16"/>
                <w:szCs w:val="16"/>
              </w:rPr>
              <w:t xml:space="preserve">patterns </w:t>
            </w:r>
            <w:r>
              <w:rPr>
                <w:sz w:val="16"/>
                <w:szCs w:val="16"/>
              </w:rPr>
              <w:t xml:space="preserve">and outcomes.  </w:t>
            </w:r>
            <w:r w:rsidR="0062068E">
              <w:rPr>
                <w:sz w:val="16"/>
                <w:szCs w:val="16"/>
              </w:rPr>
              <w:t xml:space="preserve">Will screen an estimated </w:t>
            </w:r>
            <w:r w:rsidR="007F769E">
              <w:rPr>
                <w:sz w:val="16"/>
                <w:szCs w:val="16"/>
              </w:rPr>
              <w:t>2400</w:t>
            </w:r>
            <w:r w:rsidR="00630088">
              <w:rPr>
                <w:sz w:val="16"/>
                <w:szCs w:val="16"/>
              </w:rPr>
              <w:t xml:space="preserve"> </w:t>
            </w:r>
            <w:r>
              <w:rPr>
                <w:sz w:val="16"/>
                <w:szCs w:val="16"/>
              </w:rPr>
              <w:t>patient</w:t>
            </w:r>
            <w:r w:rsidR="007F769E">
              <w:rPr>
                <w:sz w:val="16"/>
                <w:szCs w:val="16"/>
              </w:rPr>
              <w:t>s</w:t>
            </w:r>
            <w:r w:rsidR="0062068E">
              <w:rPr>
                <w:sz w:val="16"/>
                <w:szCs w:val="16"/>
              </w:rPr>
              <w:t xml:space="preserve"> to find those with KRAS G12C variant NSCLC.  </w:t>
            </w:r>
          </w:p>
          <w:p w14:paraId="7971EBCC" w14:textId="4902C36F" w:rsidR="004C49EF" w:rsidRPr="007F769E" w:rsidRDefault="00595384" w:rsidP="00075F5F">
            <w:pPr>
              <w:ind w:left="0"/>
              <w:rPr>
                <w:sz w:val="16"/>
                <w:szCs w:val="16"/>
              </w:rPr>
            </w:pPr>
            <w:r>
              <w:rPr>
                <w:sz w:val="16"/>
                <w:szCs w:val="16"/>
              </w:rPr>
              <w:t xml:space="preserve">Used to determine the prevalence </w:t>
            </w:r>
            <w:r w:rsidR="006658A6">
              <w:rPr>
                <w:sz w:val="16"/>
                <w:szCs w:val="16"/>
              </w:rPr>
              <w:t xml:space="preserve">and clinical outcomes </w:t>
            </w:r>
            <w:r>
              <w:rPr>
                <w:sz w:val="16"/>
                <w:szCs w:val="16"/>
              </w:rPr>
              <w:t xml:space="preserve">of KRAS G12C variant NSCLC. </w:t>
            </w:r>
          </w:p>
        </w:tc>
        <w:tc>
          <w:tcPr>
            <w:tcW w:w="870" w:type="pct"/>
          </w:tcPr>
          <w:p w14:paraId="226FF775" w14:textId="5C904FF1" w:rsidR="004C49EF" w:rsidRPr="00D22902" w:rsidRDefault="00D22902" w:rsidP="0024556F">
            <w:pPr>
              <w:ind w:left="33"/>
              <w:rPr>
                <w:b/>
                <w:sz w:val="16"/>
                <w:szCs w:val="16"/>
              </w:rPr>
            </w:pPr>
            <w:r>
              <w:rPr>
                <w:sz w:val="16"/>
                <w:szCs w:val="16"/>
              </w:rPr>
              <w:t>N/A</w:t>
            </w:r>
          </w:p>
        </w:tc>
        <w:tc>
          <w:tcPr>
            <w:tcW w:w="524" w:type="pct"/>
          </w:tcPr>
          <w:p w14:paraId="3C751135" w14:textId="59F10B44" w:rsidR="004C49EF" w:rsidRPr="00E82F54" w:rsidRDefault="0024556F" w:rsidP="00075F5F">
            <w:pPr>
              <w:ind w:left="0"/>
              <w:rPr>
                <w:b/>
                <w:szCs w:val="20"/>
              </w:rPr>
            </w:pPr>
            <w:r>
              <w:rPr>
                <w:sz w:val="16"/>
                <w:szCs w:val="16"/>
              </w:rPr>
              <w:t>August</w:t>
            </w:r>
            <w:r w:rsidR="00204635">
              <w:rPr>
                <w:sz w:val="16"/>
                <w:szCs w:val="16"/>
              </w:rPr>
              <w:t xml:space="preserve"> 2021</w:t>
            </w:r>
          </w:p>
        </w:tc>
      </w:tr>
      <w:tr w:rsidR="004C49EF" w14:paraId="6BEFBA51" w14:textId="77777777" w:rsidTr="0024556F">
        <w:trPr>
          <w:cantSplit/>
        </w:trPr>
        <w:tc>
          <w:tcPr>
            <w:tcW w:w="326" w:type="pct"/>
          </w:tcPr>
          <w:p w14:paraId="188B8CAF" w14:textId="15809204" w:rsidR="004C49EF" w:rsidRDefault="00134F1C" w:rsidP="00526478">
            <w:pPr>
              <w:rPr>
                <w:szCs w:val="20"/>
              </w:rPr>
            </w:pPr>
            <w:r>
              <w:rPr>
                <w:szCs w:val="20"/>
              </w:rPr>
              <w:t>4</w:t>
            </w:r>
            <w:r w:rsidR="004C49EF">
              <w:rPr>
                <w:szCs w:val="20"/>
              </w:rPr>
              <w:t>.</w:t>
            </w:r>
          </w:p>
        </w:tc>
        <w:tc>
          <w:tcPr>
            <w:tcW w:w="790" w:type="pct"/>
          </w:tcPr>
          <w:p w14:paraId="3CA0CD8C" w14:textId="2D3540B8" w:rsidR="00D22902" w:rsidRDefault="00D22902" w:rsidP="00D22902">
            <w:pPr>
              <w:ind w:left="0"/>
              <w:rPr>
                <w:b/>
                <w:szCs w:val="20"/>
              </w:rPr>
            </w:pPr>
            <w:r w:rsidRPr="00D22902">
              <w:rPr>
                <w:sz w:val="16"/>
                <w:szCs w:val="16"/>
              </w:rPr>
              <w:t>In vitro pre-clinical trial</w:t>
            </w:r>
            <w:r>
              <w:rPr>
                <w:b/>
              </w:rPr>
              <w:t xml:space="preserve"> </w:t>
            </w:r>
          </w:p>
        </w:tc>
        <w:tc>
          <w:tcPr>
            <w:tcW w:w="1118" w:type="pct"/>
          </w:tcPr>
          <w:p w14:paraId="47A93620" w14:textId="77777777" w:rsidR="004C49EF" w:rsidRDefault="00D22902" w:rsidP="00D22902">
            <w:pPr>
              <w:ind w:left="0"/>
              <w:rPr>
                <w:bCs/>
                <w:sz w:val="16"/>
                <w:szCs w:val="16"/>
              </w:rPr>
            </w:pPr>
            <w:r>
              <w:rPr>
                <w:bCs/>
                <w:sz w:val="16"/>
                <w:szCs w:val="16"/>
              </w:rPr>
              <w:t>Amgen regulatory dossier / Pharmacology written summary</w:t>
            </w:r>
          </w:p>
          <w:p w14:paraId="7FFA41A2" w14:textId="7104DE94" w:rsidR="00D22902" w:rsidRPr="00D22902" w:rsidRDefault="00D22902" w:rsidP="00D22902">
            <w:pPr>
              <w:ind w:left="0"/>
              <w:rPr>
                <w:bCs/>
                <w:sz w:val="16"/>
                <w:szCs w:val="16"/>
              </w:rPr>
            </w:pPr>
            <w:r>
              <w:rPr>
                <w:bCs/>
                <w:sz w:val="16"/>
                <w:szCs w:val="16"/>
              </w:rPr>
              <w:t xml:space="preserve">Form-098799: </w:t>
            </w:r>
            <w:proofErr w:type="spellStart"/>
            <w:r>
              <w:rPr>
                <w:bCs/>
                <w:sz w:val="16"/>
                <w:szCs w:val="16"/>
              </w:rPr>
              <w:t>Sotorasib</w:t>
            </w:r>
            <w:proofErr w:type="spellEnd"/>
          </w:p>
        </w:tc>
        <w:tc>
          <w:tcPr>
            <w:tcW w:w="1372" w:type="pct"/>
          </w:tcPr>
          <w:p w14:paraId="0A906B88" w14:textId="77777777" w:rsidR="004C49EF" w:rsidRDefault="00D22902" w:rsidP="00D22902">
            <w:pPr>
              <w:ind w:left="0"/>
              <w:rPr>
                <w:sz w:val="16"/>
                <w:szCs w:val="16"/>
              </w:rPr>
            </w:pPr>
            <w:r>
              <w:rPr>
                <w:sz w:val="16"/>
                <w:szCs w:val="16"/>
              </w:rPr>
              <w:t xml:space="preserve">Pharmacologic investigations and in vitro pre-clinical trials show that </w:t>
            </w:r>
            <w:proofErr w:type="spellStart"/>
            <w:r>
              <w:rPr>
                <w:sz w:val="16"/>
                <w:szCs w:val="16"/>
              </w:rPr>
              <w:t>sotorasib</w:t>
            </w:r>
            <w:proofErr w:type="spellEnd"/>
            <w:r>
              <w:rPr>
                <w:sz w:val="16"/>
                <w:szCs w:val="16"/>
              </w:rPr>
              <w:t xml:space="preserve"> modified and inhibited KRAS G12C, whilst having minimal effects on KRAS wild-type cell lines or those with other KRAS variants. </w:t>
            </w:r>
          </w:p>
          <w:p w14:paraId="3EB4D285" w14:textId="4923E52C" w:rsidR="00D22902" w:rsidRPr="00D22902" w:rsidRDefault="00D22902" w:rsidP="00D22902">
            <w:pPr>
              <w:ind w:left="0"/>
              <w:rPr>
                <w:bCs/>
                <w:sz w:val="16"/>
                <w:szCs w:val="16"/>
              </w:rPr>
            </w:pPr>
            <w:r w:rsidRPr="00D22902">
              <w:rPr>
                <w:bCs/>
                <w:sz w:val="16"/>
                <w:szCs w:val="16"/>
              </w:rPr>
              <w:t xml:space="preserve">Used to demonstrate predictive validity of KRAS G12C. </w:t>
            </w:r>
          </w:p>
        </w:tc>
        <w:tc>
          <w:tcPr>
            <w:tcW w:w="870" w:type="pct"/>
          </w:tcPr>
          <w:p w14:paraId="39FD1D18" w14:textId="1CCC6C0C" w:rsidR="004C49EF" w:rsidRPr="002C0E6B" w:rsidRDefault="002C0E6B" w:rsidP="00D22902">
            <w:pPr>
              <w:ind w:left="0"/>
              <w:rPr>
                <w:bCs/>
                <w:sz w:val="16"/>
                <w:szCs w:val="16"/>
              </w:rPr>
            </w:pPr>
            <w:r w:rsidRPr="002C0E6B">
              <w:rPr>
                <w:bCs/>
                <w:sz w:val="16"/>
                <w:szCs w:val="16"/>
              </w:rPr>
              <w:t>N/A</w:t>
            </w:r>
          </w:p>
        </w:tc>
        <w:tc>
          <w:tcPr>
            <w:tcW w:w="524" w:type="pct"/>
          </w:tcPr>
          <w:p w14:paraId="3E520752" w14:textId="1D25724F" w:rsidR="004C49EF" w:rsidRPr="00E82F54" w:rsidRDefault="0046009E" w:rsidP="00D22902">
            <w:pPr>
              <w:ind w:left="0"/>
              <w:rPr>
                <w:b/>
                <w:szCs w:val="20"/>
              </w:rPr>
            </w:pPr>
            <w:r w:rsidRPr="004C002F">
              <w:rPr>
                <w:sz w:val="16"/>
                <w:szCs w:val="16"/>
              </w:rPr>
              <w:t>Completed</w:t>
            </w:r>
          </w:p>
        </w:tc>
      </w:tr>
    </w:tbl>
    <w:p w14:paraId="66CB93FC" w14:textId="77777777" w:rsidR="004C49EF" w:rsidRDefault="004C49EF" w:rsidP="004C49EF">
      <w:pPr>
        <w:spacing w:after="0"/>
        <w:ind w:left="426"/>
        <w:rPr>
          <w:i/>
          <w:szCs w:val="20"/>
        </w:rPr>
      </w:pPr>
      <w:r>
        <w:rPr>
          <w:i/>
          <w:szCs w:val="20"/>
        </w:rPr>
        <w:t xml:space="preserve">* Categorise study design, for example meta-analysis, randomised trials, non-randomised trial or observational study, study of diagnostic accuracy, etc. </w:t>
      </w:r>
    </w:p>
    <w:p w14:paraId="2AF90D61" w14:textId="77777777" w:rsidR="004C49EF" w:rsidRDefault="004C49EF" w:rsidP="004C49EF">
      <w:pPr>
        <w:spacing w:after="0"/>
        <w:ind w:left="426"/>
        <w:rPr>
          <w:i/>
          <w:szCs w:val="20"/>
        </w:rPr>
      </w:pPr>
      <w:r>
        <w:rPr>
          <w:i/>
          <w:szCs w:val="20"/>
        </w:rPr>
        <w:t>**Provide high level information including population numbers and whether patients are being recruited or in post-recruitment.</w:t>
      </w:r>
    </w:p>
    <w:p w14:paraId="5174B87C" w14:textId="3BB50EC0" w:rsidR="00DD308E" w:rsidRDefault="004C49EF" w:rsidP="0024556F">
      <w:pPr>
        <w:spacing w:after="0"/>
        <w:ind w:left="426"/>
        <w:rPr>
          <w:b/>
          <w:sz w:val="32"/>
          <w:szCs w:val="32"/>
        </w:rPr>
        <w:sectPr w:rsidR="00DD308E" w:rsidSect="00DD308E">
          <w:pgSz w:w="16838" w:h="11906" w:orient="landscape"/>
          <w:pgMar w:top="1440" w:right="1440" w:bottom="1440" w:left="1440" w:header="708" w:footer="708" w:gutter="0"/>
          <w:cols w:space="708"/>
          <w:docGrid w:linePitch="360"/>
        </w:sectPr>
      </w:pPr>
      <w:r w:rsidRPr="00E82F54">
        <w:rPr>
          <w:i/>
          <w:szCs w:val="20"/>
        </w:rPr>
        <w:t>*</w:t>
      </w:r>
      <w:r>
        <w:rPr>
          <w:szCs w:val="20"/>
        </w:rPr>
        <w:t>**</w:t>
      </w:r>
      <w:r w:rsidRPr="00E82F54">
        <w:rPr>
          <w:i/>
          <w:szCs w:val="20"/>
        </w:rPr>
        <w:t xml:space="preserve">Date of when results </w:t>
      </w:r>
      <w:r>
        <w:rPr>
          <w:i/>
          <w:szCs w:val="20"/>
        </w:rPr>
        <w:t>will be</w:t>
      </w:r>
      <w:r w:rsidRPr="00E82F54">
        <w:rPr>
          <w:i/>
          <w:szCs w:val="20"/>
        </w:rPr>
        <w:t xml:space="preserve"> made available</w:t>
      </w:r>
      <w:r>
        <w:rPr>
          <w:i/>
          <w:szCs w:val="20"/>
        </w:rPr>
        <w:t xml:space="preserve"> (to the best of your knowledge)</w:t>
      </w:r>
      <w:r w:rsidRPr="00E82F54">
        <w:rPr>
          <w:i/>
          <w:szCs w:val="20"/>
        </w:rPr>
        <w:t>.</w:t>
      </w:r>
      <w:r w:rsidR="00F301F1">
        <w:rPr>
          <w:b/>
          <w:sz w:val="32"/>
          <w:szCs w:val="32"/>
        </w:rPr>
        <w:br w:type="page"/>
      </w:r>
    </w:p>
    <w:p w14:paraId="05D641DF" w14:textId="77777777" w:rsidR="00E82F54" w:rsidRPr="00C776B1" w:rsidRDefault="005C3AE7" w:rsidP="0056015F">
      <w:pPr>
        <w:pStyle w:val="Heading1"/>
      </w:pPr>
      <w:r>
        <w:lastRenderedPageBreak/>
        <w:t>PART 5</w:t>
      </w:r>
      <w:r w:rsidR="00F93784">
        <w:t xml:space="preserve"> – </w:t>
      </w:r>
      <w:r w:rsidR="00E82F54" w:rsidRPr="00C776B1">
        <w:t>CLINICAL ENDORSEMENT AND CONSUMER INFORMATION</w:t>
      </w:r>
    </w:p>
    <w:p w14:paraId="07A9ACCE" w14:textId="77777777" w:rsidR="00E82F54" w:rsidRDefault="00E82F54" w:rsidP="005C3AE7">
      <w:pPr>
        <w:pStyle w:val="Heading2"/>
      </w:pPr>
      <w:r w:rsidRPr="00CA26DD">
        <w:t xml:space="preserve">List </w:t>
      </w:r>
      <w:r w:rsidR="00EA173C" w:rsidRPr="00CA26DD">
        <w:t>all appropriate professional bodies / organisations</w:t>
      </w:r>
      <w:r w:rsidRPr="00CA26DD">
        <w:t xml:space="preserve"> representing the group(s) of health profess</w:t>
      </w:r>
      <w:r w:rsidR="00EA173C" w:rsidRPr="00CA26DD">
        <w:t xml:space="preserve">ionals who provide the service </w:t>
      </w:r>
      <w:r w:rsidR="00F93784" w:rsidRPr="00CA26DD">
        <w:t xml:space="preserve">(please </w:t>
      </w:r>
      <w:r w:rsidR="00EA173C" w:rsidRPr="00CA26DD">
        <w:t>attach</w:t>
      </w:r>
      <w:r w:rsidR="00F93784" w:rsidRPr="00CA26DD">
        <w:t xml:space="preserve"> a </w:t>
      </w:r>
      <w:r w:rsidR="00254813">
        <w:t>statement of clinical relevance from</w:t>
      </w:r>
      <w:r w:rsidR="00EA173C" w:rsidRPr="00CA26DD">
        <w:t xml:space="preserve"> each </w:t>
      </w:r>
      <w:r w:rsidR="00F93784" w:rsidRPr="00CA26DD">
        <w:t>group</w:t>
      </w:r>
      <w:r w:rsidR="00EA173C" w:rsidRPr="00CA26DD">
        <w:t xml:space="preserve"> nominated</w:t>
      </w:r>
      <w:r w:rsidR="00F93784" w:rsidRPr="00CA26DD">
        <w:t>)</w:t>
      </w:r>
      <w:r w:rsidR="00A727B6">
        <w:t>:</w:t>
      </w:r>
    </w:p>
    <w:p w14:paraId="1357156F" w14:textId="1CCFB382" w:rsidR="00981539" w:rsidRDefault="00B22079" w:rsidP="00981539">
      <w:pPr>
        <w:ind w:left="426"/>
      </w:pPr>
      <w:r>
        <w:t xml:space="preserve">The </w:t>
      </w:r>
      <w:r w:rsidR="00981539">
        <w:t xml:space="preserve">Royal College of Pathologists </w:t>
      </w:r>
      <w:r>
        <w:t xml:space="preserve">of Australasia </w:t>
      </w:r>
      <w:r w:rsidR="007D10CD">
        <w:t>(RCPA)</w:t>
      </w:r>
    </w:p>
    <w:p w14:paraId="7F50C66C" w14:textId="77777777" w:rsidR="00EA173C" w:rsidRDefault="00EA173C" w:rsidP="00530204">
      <w:pPr>
        <w:pStyle w:val="Heading2"/>
      </w:pPr>
      <w:r w:rsidRPr="00154B00">
        <w:t xml:space="preserve">List </w:t>
      </w:r>
      <w:r>
        <w:t xml:space="preserve">any </w:t>
      </w:r>
      <w:r w:rsidRPr="00A727B6">
        <w:t>professional</w:t>
      </w:r>
      <w:r>
        <w:t xml:space="preserve"> bodies / organisations that may be impacted by this medical service</w:t>
      </w:r>
      <w:r w:rsidR="00F93784">
        <w:t xml:space="preserve"> (i.e. those who provide the comparator service)</w:t>
      </w:r>
      <w:r w:rsidR="00197D29">
        <w:t>:</w:t>
      </w:r>
    </w:p>
    <w:p w14:paraId="625EA439" w14:textId="77777777" w:rsidR="00F65BD1" w:rsidRDefault="00F65BD1" w:rsidP="00F65BD1">
      <w:pPr>
        <w:ind w:left="426"/>
      </w:pPr>
      <w:r w:rsidRPr="000F5EB0">
        <w:t>The Medical Oncology Group of Australia (MOGA)</w:t>
      </w:r>
    </w:p>
    <w:p w14:paraId="1581067F" w14:textId="77777777" w:rsidR="00E82F54" w:rsidRPr="00154B00" w:rsidRDefault="00E82F54" w:rsidP="00530204">
      <w:pPr>
        <w:pStyle w:val="Heading2"/>
      </w:pPr>
      <w:r w:rsidRPr="00154B00">
        <w:t>List the consumer organisations relevant to the proposed medical service</w:t>
      </w:r>
      <w:r w:rsidR="00C12C5C">
        <w:t xml:space="preserve"> (please attach a letter of </w:t>
      </w:r>
      <w:r w:rsidR="00C12C5C" w:rsidRPr="00EE6450">
        <w:t>support</w:t>
      </w:r>
      <w:r w:rsidR="00C12C5C">
        <w:t xml:space="preserve"> for each consumer organisation nominated)</w:t>
      </w:r>
      <w:r w:rsidR="00197D29">
        <w:t>:</w:t>
      </w:r>
    </w:p>
    <w:p w14:paraId="11E2EFC2" w14:textId="1A490582" w:rsidR="00981539" w:rsidRDefault="00981539" w:rsidP="00075F5F">
      <w:r>
        <w:t>Lung Foundation</w:t>
      </w:r>
      <w:r w:rsidR="00B51EEE">
        <w:t xml:space="preserve"> Australia</w:t>
      </w:r>
      <w:r w:rsidR="00630088">
        <w:t xml:space="preserve">.  Amgen contacted this group for a letter of support and were informed that it is their preference to instead have their views solicited by MSAC (or the </w:t>
      </w:r>
      <w:r w:rsidR="001B58EE">
        <w:t xml:space="preserve">MSAC </w:t>
      </w:r>
      <w:r w:rsidR="00630088">
        <w:t>Secretariat</w:t>
      </w:r>
      <w:r w:rsidR="00D46F11">
        <w:t xml:space="preserve">) </w:t>
      </w:r>
      <w:r w:rsidR="00630088">
        <w:t>rather than the applicant.</w:t>
      </w:r>
    </w:p>
    <w:p w14:paraId="1727CD2E" w14:textId="77777777" w:rsidR="003433D1" w:rsidRDefault="003433D1" w:rsidP="00530204">
      <w:pPr>
        <w:pStyle w:val="Heading2"/>
      </w:pPr>
      <w:r>
        <w:t xml:space="preserve">List the relevant </w:t>
      </w:r>
      <w:r w:rsidRPr="00EE6450">
        <w:t>sponsor</w:t>
      </w:r>
      <w:r>
        <w:t xml:space="preserve">(s) and / or manufacturer(s) who produce similar products relevant </w:t>
      </w:r>
      <w:r w:rsidR="00197D29">
        <w:t>to the proposed medical service:</w:t>
      </w:r>
    </w:p>
    <w:p w14:paraId="6CF7244A" w14:textId="77777777" w:rsidR="00EE6450" w:rsidRDefault="00981539" w:rsidP="00EE6450">
      <w:pPr>
        <w:ind w:left="426"/>
        <w:rPr>
          <w:szCs w:val="20"/>
        </w:rPr>
      </w:pPr>
      <w:r>
        <w:t>Not applicable</w:t>
      </w:r>
    </w:p>
    <w:p w14:paraId="60382F21" w14:textId="77777777" w:rsidR="00E82F54" w:rsidRDefault="00E82F54" w:rsidP="00530204">
      <w:pPr>
        <w:pStyle w:val="Heading2"/>
      </w:pPr>
      <w:r w:rsidRPr="00154B00">
        <w:t>Nominate two experts who could be approached about the proposed medical service and the current clinical management of the service(s):</w:t>
      </w:r>
    </w:p>
    <w:p w14:paraId="26908702" w14:textId="47634C53" w:rsidR="007625F7" w:rsidRDefault="007625F7" w:rsidP="007625F7">
      <w:pPr>
        <w:ind w:left="426"/>
        <w:rPr>
          <w:rFonts w:ascii="Helvetica" w:hAnsi="Helvetica" w:cs="Helvetica"/>
          <w:color w:val="1A1A1A"/>
          <w:sz w:val="23"/>
          <w:szCs w:val="23"/>
          <w:shd w:val="clear" w:color="auto" w:fill="FFFFFF"/>
        </w:rPr>
      </w:pPr>
      <w:r>
        <w:t xml:space="preserve">Name of expert 1: </w:t>
      </w:r>
      <w:r w:rsidR="006E0E02" w:rsidRPr="00D931E4">
        <w:rPr>
          <w:b/>
          <w:bCs/>
          <w:szCs w:val="20"/>
          <w:bdr w:val="none" w:sz="0" w:space="0" w:color="auto" w:frame="1"/>
          <w:lang w:val="en-US"/>
        </w:rPr>
        <w:t>REDACTED</w:t>
      </w:r>
    </w:p>
    <w:p w14:paraId="119812B3" w14:textId="33B06624" w:rsidR="007625F7" w:rsidRDefault="007625F7" w:rsidP="007625F7">
      <w:pPr>
        <w:ind w:left="426"/>
        <w:rPr>
          <w:rFonts w:ascii="Calibri" w:hAnsi="Calibri" w:cs="Calibri"/>
          <w:sz w:val="22"/>
        </w:rPr>
      </w:pPr>
      <w:r>
        <w:t>Telephone number(s</w:t>
      </w:r>
      <w:r w:rsidR="00C22B6D">
        <w:t>):</w:t>
      </w:r>
      <w:r w:rsidR="006E0E02" w:rsidRPr="006E0E02">
        <w:rPr>
          <w:bCs/>
          <w:szCs w:val="20"/>
          <w:bdr w:val="none" w:sz="0" w:space="0" w:color="auto" w:frame="1"/>
          <w:lang w:val="en-US"/>
        </w:rPr>
        <w:t xml:space="preserve"> </w:t>
      </w:r>
      <w:r w:rsidR="006E0E02">
        <w:rPr>
          <w:bCs/>
          <w:szCs w:val="20"/>
          <w:bdr w:val="none" w:sz="0" w:space="0" w:color="auto" w:frame="1"/>
          <w:lang w:val="en-US"/>
        </w:rPr>
        <w:t>REDACTED</w:t>
      </w:r>
    </w:p>
    <w:p w14:paraId="12120EA2" w14:textId="2427D4E5" w:rsidR="007625F7" w:rsidRDefault="007625F7" w:rsidP="007625F7">
      <w:pPr>
        <w:ind w:left="426"/>
      </w:pPr>
      <w:r>
        <w:t xml:space="preserve">Email address: </w:t>
      </w:r>
      <w:r w:rsidR="006E0E02">
        <w:rPr>
          <w:bCs/>
          <w:szCs w:val="20"/>
          <w:bdr w:val="none" w:sz="0" w:space="0" w:color="auto" w:frame="1"/>
          <w:lang w:val="en-US"/>
        </w:rPr>
        <w:t>REDACTED</w:t>
      </w:r>
    </w:p>
    <w:p w14:paraId="59C819C4" w14:textId="4A0DE37A" w:rsidR="007625F7" w:rsidRDefault="007625F7" w:rsidP="007625F7">
      <w:pPr>
        <w:ind w:left="426"/>
      </w:pPr>
      <w:r>
        <w:lastRenderedPageBreak/>
        <w:t xml:space="preserve">Justification of expertise: </w:t>
      </w:r>
      <w:r w:rsidR="006E0E02">
        <w:rPr>
          <w:bCs/>
          <w:szCs w:val="20"/>
          <w:bdr w:val="none" w:sz="0" w:space="0" w:color="auto" w:frame="1"/>
          <w:lang w:val="en-US"/>
        </w:rPr>
        <w:t>REDACTED</w:t>
      </w:r>
    </w:p>
    <w:p w14:paraId="5D85E8A4" w14:textId="77777777" w:rsidR="00987ABE" w:rsidRPr="00987ABE" w:rsidRDefault="00987ABE" w:rsidP="00987ABE">
      <w:pPr>
        <w:ind w:left="426"/>
        <w:rPr>
          <w:szCs w:val="20"/>
        </w:rPr>
      </w:pPr>
    </w:p>
    <w:p w14:paraId="753ABA36" w14:textId="55A25C1C" w:rsidR="00987ABE" w:rsidRPr="00987ABE" w:rsidRDefault="00987ABE" w:rsidP="00987ABE">
      <w:pPr>
        <w:ind w:left="426"/>
        <w:rPr>
          <w:szCs w:val="20"/>
        </w:rPr>
      </w:pPr>
      <w:r>
        <w:rPr>
          <w:szCs w:val="20"/>
        </w:rPr>
        <w:t xml:space="preserve">Name of expert 2: </w:t>
      </w:r>
      <w:r w:rsidR="006E0E02" w:rsidRPr="00D931E4">
        <w:rPr>
          <w:b/>
          <w:bCs/>
          <w:szCs w:val="20"/>
          <w:bdr w:val="none" w:sz="0" w:space="0" w:color="auto" w:frame="1"/>
          <w:lang w:val="en-US"/>
        </w:rPr>
        <w:t>REDACTED</w:t>
      </w:r>
    </w:p>
    <w:p w14:paraId="48BB0482" w14:textId="77777777" w:rsidR="006E0E02" w:rsidRDefault="00987ABE" w:rsidP="00987ABE">
      <w:pPr>
        <w:ind w:left="426"/>
        <w:rPr>
          <w:szCs w:val="20"/>
        </w:rPr>
      </w:pPr>
      <w:r>
        <w:rPr>
          <w:szCs w:val="20"/>
        </w:rPr>
        <w:t xml:space="preserve">Telephone number(s): </w:t>
      </w:r>
      <w:r w:rsidR="006E0E02">
        <w:rPr>
          <w:bCs/>
          <w:szCs w:val="20"/>
          <w:bdr w:val="none" w:sz="0" w:space="0" w:color="auto" w:frame="1"/>
          <w:lang w:val="en-US"/>
        </w:rPr>
        <w:t>REDACTED</w:t>
      </w:r>
      <w:r w:rsidR="006E0E02">
        <w:rPr>
          <w:szCs w:val="20"/>
        </w:rPr>
        <w:t xml:space="preserve"> </w:t>
      </w:r>
    </w:p>
    <w:p w14:paraId="3C4C760A" w14:textId="68C0DF2B" w:rsidR="00987ABE" w:rsidRPr="00987ABE" w:rsidRDefault="00987ABE" w:rsidP="00987ABE">
      <w:pPr>
        <w:ind w:left="426"/>
        <w:rPr>
          <w:szCs w:val="20"/>
        </w:rPr>
      </w:pPr>
      <w:r>
        <w:rPr>
          <w:szCs w:val="20"/>
        </w:rPr>
        <w:t xml:space="preserve">Email address: </w:t>
      </w:r>
      <w:r w:rsidR="006E0E02">
        <w:rPr>
          <w:bCs/>
          <w:szCs w:val="20"/>
          <w:bdr w:val="none" w:sz="0" w:space="0" w:color="auto" w:frame="1"/>
          <w:lang w:val="en-US"/>
        </w:rPr>
        <w:t>REDACTED</w:t>
      </w:r>
    </w:p>
    <w:p w14:paraId="5C592B68" w14:textId="0C709CF6" w:rsidR="00E82F54" w:rsidRPr="00154B00" w:rsidRDefault="00987ABE" w:rsidP="00987ABE">
      <w:pPr>
        <w:ind w:left="426"/>
        <w:rPr>
          <w:szCs w:val="20"/>
        </w:rPr>
      </w:pPr>
      <w:r>
        <w:rPr>
          <w:szCs w:val="20"/>
        </w:rPr>
        <w:t xml:space="preserve">Justification of expertise: </w:t>
      </w:r>
      <w:r w:rsidR="00C22B6D">
        <w:rPr>
          <w:bCs/>
          <w:szCs w:val="20"/>
          <w:bdr w:val="none" w:sz="0" w:space="0" w:color="auto" w:frame="1"/>
          <w:lang w:val="en-US"/>
        </w:rPr>
        <w:t>REDACTED</w:t>
      </w:r>
    </w:p>
    <w:p w14:paraId="63E32373" w14:textId="77777777" w:rsidR="00987ABE" w:rsidRDefault="00987ABE" w:rsidP="00E82F54">
      <w:pPr>
        <w:ind w:left="426"/>
        <w:rPr>
          <w:i/>
          <w:szCs w:val="20"/>
        </w:rPr>
      </w:pPr>
    </w:p>
    <w:p w14:paraId="1BD3D77C" w14:textId="77777777" w:rsidR="00E82F54" w:rsidRPr="00154B00" w:rsidRDefault="00E82F54" w:rsidP="00E82F54">
      <w:pPr>
        <w:ind w:left="426"/>
        <w:rPr>
          <w:i/>
          <w:szCs w:val="20"/>
        </w:rPr>
      </w:pPr>
      <w:r w:rsidRPr="00154B00">
        <w:rPr>
          <w:i/>
          <w:szCs w:val="20"/>
        </w:rPr>
        <w:t xml:space="preserve">Please note that the Department may also consult with other referrers, </w:t>
      </w:r>
      <w:proofErr w:type="spellStart"/>
      <w:r w:rsidRPr="00154B00">
        <w:rPr>
          <w:i/>
          <w:szCs w:val="20"/>
        </w:rPr>
        <w:t>proceduralists</w:t>
      </w:r>
      <w:proofErr w:type="spellEnd"/>
      <w:r w:rsidRPr="00154B00">
        <w:rPr>
          <w:i/>
          <w:szCs w:val="20"/>
        </w:rPr>
        <w:t xml:space="preserve"> and disease specialists to obtain their insight.</w:t>
      </w:r>
    </w:p>
    <w:p w14:paraId="28FE6852" w14:textId="77777777" w:rsidR="003433D1" w:rsidRDefault="003433D1">
      <w:pPr>
        <w:rPr>
          <w:b/>
          <w:sz w:val="32"/>
          <w:szCs w:val="32"/>
        </w:rPr>
      </w:pPr>
      <w:r>
        <w:rPr>
          <w:b/>
          <w:sz w:val="32"/>
          <w:szCs w:val="32"/>
        </w:rPr>
        <w:br w:type="page"/>
      </w:r>
    </w:p>
    <w:p w14:paraId="42F4D513" w14:textId="77777777" w:rsidR="00E82F54" w:rsidRPr="00EA173C" w:rsidRDefault="00F93784" w:rsidP="0056015F">
      <w:pPr>
        <w:pStyle w:val="Heading1"/>
      </w:pPr>
      <w:r>
        <w:lastRenderedPageBreak/>
        <w:t>PAR</w:t>
      </w:r>
      <w:r w:rsidR="005C3AE7">
        <w:t>T 6</w:t>
      </w:r>
      <w:r>
        <w:t xml:space="preserve"> – POPULATION</w:t>
      </w:r>
      <w:r w:rsidR="000525BC">
        <w:t xml:space="preserve"> (AND PRIOR TESTS)</w:t>
      </w:r>
      <w:r>
        <w:t xml:space="preserve">, </w:t>
      </w:r>
      <w:r w:rsidR="00CC5AB1">
        <w:t>INTERVENTION</w:t>
      </w:r>
      <w:r>
        <w:t>, COMPARATOR, OUTCOME (PICO)</w:t>
      </w:r>
    </w:p>
    <w:p w14:paraId="459F1816" w14:textId="77777777" w:rsidR="0021185D" w:rsidRPr="005C3AE7" w:rsidRDefault="005C3AE7" w:rsidP="00D931E4">
      <w:pPr>
        <w:pStyle w:val="Subtitle"/>
        <w:ind w:left="0"/>
      </w:pPr>
      <w:r w:rsidRPr="005C3AE7">
        <w:t xml:space="preserve">PART 6a – </w:t>
      </w:r>
      <w:r w:rsidR="0021185D" w:rsidRPr="005C3AE7">
        <w:t>INFORMATION ABOUT THE PROPOSED POPULATION</w:t>
      </w:r>
    </w:p>
    <w:p w14:paraId="036BEA33" w14:textId="77777777" w:rsidR="0021185D" w:rsidRPr="00A96329" w:rsidRDefault="0021185D" w:rsidP="005C3AE7">
      <w:pPr>
        <w:pStyle w:val="Heading2"/>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high level</w:t>
      </w:r>
      <w:r w:rsidR="009C03FB" w:rsidRPr="00A96329">
        <w:t xml:space="preserve"> summary of associated </w:t>
      </w:r>
      <w:r w:rsidR="0018630F" w:rsidRPr="00A96329">
        <w:t>burden of disea</w:t>
      </w:r>
      <w:r w:rsidR="009C03FB" w:rsidRPr="00A96329">
        <w:t>se</w:t>
      </w:r>
      <w:r w:rsidR="0054594B" w:rsidRPr="00A96329">
        <w:t xml:space="preserve"> in terms of both morbidity and mortality</w:t>
      </w:r>
      <w:r w:rsidR="00197D29">
        <w:t>:</w:t>
      </w:r>
    </w:p>
    <w:p w14:paraId="1F55AA38" w14:textId="18D8C77E" w:rsidR="007F5ACE" w:rsidRDefault="00B7460E" w:rsidP="005C7CC6">
      <w:pPr>
        <w:contextualSpacing/>
      </w:pPr>
      <w:r w:rsidRPr="005651FA">
        <w:t xml:space="preserve">In </w:t>
      </w:r>
      <w:r w:rsidR="001354C4">
        <w:t xml:space="preserve">Australia in </w:t>
      </w:r>
      <w:r w:rsidRPr="005651FA">
        <w:t>20</w:t>
      </w:r>
      <w:r w:rsidR="000D6761">
        <w:t>20</w:t>
      </w:r>
      <w:r w:rsidR="001354C4">
        <w:t>,</w:t>
      </w:r>
      <w:r w:rsidRPr="005651FA">
        <w:t xml:space="preserve"> there </w:t>
      </w:r>
      <w:r w:rsidR="00E37917" w:rsidRPr="005651FA">
        <w:t xml:space="preserve">were </w:t>
      </w:r>
      <w:r w:rsidR="000D6761">
        <w:t>an estimated 13,258</w:t>
      </w:r>
      <w:r w:rsidR="00E37917" w:rsidRPr="005651FA">
        <w:t xml:space="preserve"> </w:t>
      </w:r>
      <w:r w:rsidR="00C02C42">
        <w:t xml:space="preserve">new </w:t>
      </w:r>
      <w:r w:rsidR="00E37917" w:rsidRPr="005651FA">
        <w:t xml:space="preserve">cases of lung cancer </w:t>
      </w:r>
      <w:r w:rsidR="00C02C42">
        <w:t>diagnosed</w:t>
      </w:r>
      <w:r w:rsidR="00E37917" w:rsidRPr="005651FA">
        <w:t xml:space="preserve">, </w:t>
      </w:r>
      <w:r w:rsidR="001354C4">
        <w:t xml:space="preserve">which represents </w:t>
      </w:r>
      <w:r w:rsidR="00C02C42">
        <w:t>9</w:t>
      </w:r>
      <w:r w:rsidR="000D6761">
        <w:t>.1</w:t>
      </w:r>
      <w:r w:rsidR="00C02C42">
        <w:t>% of all cancer diagnoses</w:t>
      </w:r>
      <w:r w:rsidR="00333ABE">
        <w:t xml:space="preserve">. </w:t>
      </w:r>
      <w:r w:rsidR="00630088">
        <w:t xml:space="preserve"> </w:t>
      </w:r>
      <w:r w:rsidR="001354C4">
        <w:t>L</w:t>
      </w:r>
      <w:r w:rsidR="00333ABE">
        <w:t xml:space="preserve">ung cancer </w:t>
      </w:r>
      <w:r w:rsidR="001354C4">
        <w:t xml:space="preserve">was </w:t>
      </w:r>
      <w:r w:rsidR="00C02C42">
        <w:t>the f</w:t>
      </w:r>
      <w:r w:rsidR="000D6761">
        <w:t>if</w:t>
      </w:r>
      <w:r w:rsidR="00C02C42">
        <w:t>th most common cancer</w:t>
      </w:r>
      <w:r w:rsidR="00333ABE">
        <w:t xml:space="preserve"> </w:t>
      </w:r>
      <w:r w:rsidR="00FF398B">
        <w:t xml:space="preserve">diagnosed </w:t>
      </w:r>
      <w:r w:rsidR="00C02C42">
        <w:t>for males and females</w:t>
      </w:r>
      <w:r w:rsidR="005E02A7">
        <w:t xml:space="preserve"> in 20</w:t>
      </w:r>
      <w:r w:rsidR="000D6761">
        <w:t>20</w:t>
      </w:r>
      <w:r w:rsidR="00D46F11">
        <w:t xml:space="preserve"> </w:t>
      </w:r>
      <w:r w:rsidR="00954A1A">
        <w:t>and</w:t>
      </w:r>
      <w:r w:rsidR="001354C4">
        <w:t xml:space="preserve"> </w:t>
      </w:r>
      <w:r w:rsidR="007F5ACE">
        <w:t xml:space="preserve">was the </w:t>
      </w:r>
      <w:r w:rsidR="004803A1">
        <w:t>number one cause of cancer-related mortality</w:t>
      </w:r>
      <w:r w:rsidR="007F5ACE">
        <w:t xml:space="preserve"> with </w:t>
      </w:r>
      <w:r w:rsidR="000D6761">
        <w:t>8641</w:t>
      </w:r>
      <w:r w:rsidR="004803A1">
        <w:t xml:space="preserve"> deaths</w:t>
      </w:r>
      <w:r w:rsidR="007F5ACE">
        <w:t>, account</w:t>
      </w:r>
      <w:r w:rsidR="001354C4">
        <w:t>ing</w:t>
      </w:r>
      <w:r w:rsidR="007F5ACE">
        <w:t xml:space="preserve"> f</w:t>
      </w:r>
      <w:r w:rsidR="004803A1">
        <w:t xml:space="preserve">or </w:t>
      </w:r>
      <w:r w:rsidR="007F5ACE">
        <w:t>18% of all cancer deaths (</w:t>
      </w:r>
      <w:r w:rsidR="009237F1">
        <w:t>Australian Institute of Health and Welfare 2020</w:t>
      </w:r>
      <w:r w:rsidR="007F5ACE">
        <w:t>)</w:t>
      </w:r>
      <w:r w:rsidR="00C02C42">
        <w:t xml:space="preserve">. </w:t>
      </w:r>
    </w:p>
    <w:p w14:paraId="023FF1AB" w14:textId="77777777" w:rsidR="00194D39" w:rsidRDefault="00194D39" w:rsidP="005C7CC6">
      <w:pPr>
        <w:contextualSpacing/>
      </w:pPr>
    </w:p>
    <w:p w14:paraId="687C7922" w14:textId="31FCF849" w:rsidR="00F41790" w:rsidRDefault="007F5ACE" w:rsidP="005C7CC6">
      <w:pPr>
        <w:contextualSpacing/>
      </w:pPr>
      <w:r>
        <w:t xml:space="preserve">Lung cancer can be divided into two </w:t>
      </w:r>
      <w:r w:rsidR="001354C4">
        <w:t>main sub</w:t>
      </w:r>
      <w:r>
        <w:t xml:space="preserve">types, NSCLC, </w:t>
      </w:r>
      <w:r w:rsidR="001354C4">
        <w:t xml:space="preserve">which </w:t>
      </w:r>
      <w:r>
        <w:t>represen</w:t>
      </w:r>
      <w:r w:rsidR="001354C4">
        <w:t>ts</w:t>
      </w:r>
      <w:r>
        <w:t xml:space="preserve"> 85% of all lung cancer cases, and small cell carcinoma. NSCLC comprises a heterogeneous group of tumours, includ</w:t>
      </w:r>
      <w:r w:rsidR="001354C4">
        <w:t>ing</w:t>
      </w:r>
      <w:r>
        <w:t xml:space="preserve"> adenocarcinoma, the most common </w:t>
      </w:r>
      <w:r w:rsidR="00573C1A">
        <w:t xml:space="preserve">histologic </w:t>
      </w:r>
      <w:r>
        <w:t>subtype, squamous cell carcinoma and large cell carcinoma</w:t>
      </w:r>
      <w:r w:rsidR="001354C4">
        <w:t xml:space="preserve">. </w:t>
      </w:r>
      <w:r>
        <w:t xml:space="preserve"> </w:t>
      </w:r>
      <w:r w:rsidR="00CE34D8">
        <w:t xml:space="preserve">Adenocarcinoma and large cell carcinoma </w:t>
      </w:r>
      <w:r w:rsidR="003B09D3">
        <w:t xml:space="preserve">(or NSCLC, NOS) </w:t>
      </w:r>
      <w:r w:rsidR="00CE34D8">
        <w:t xml:space="preserve">constitute </w:t>
      </w:r>
      <w:r w:rsidR="00137716">
        <w:t xml:space="preserve">the </w:t>
      </w:r>
      <w:r w:rsidR="00CE34D8">
        <w:t xml:space="preserve">non-squamous histologic subtypes. </w:t>
      </w:r>
      <w:r w:rsidR="00BF526F">
        <w:t>A</w:t>
      </w:r>
      <w:r w:rsidR="00573C1A">
        <w:t xml:space="preserve">pproximately 30% of NSCLC </w:t>
      </w:r>
      <w:r w:rsidR="006D0FC4">
        <w:t>patients present with localised disease which is potentially amenable to curative surgical resection, w</w:t>
      </w:r>
      <w:r w:rsidR="006D023D">
        <w:t>hile</w:t>
      </w:r>
      <w:r w:rsidR="006D0FC4">
        <w:t xml:space="preserve"> the majority of patients presen</w:t>
      </w:r>
      <w:r w:rsidR="006D023D">
        <w:t>t</w:t>
      </w:r>
      <w:r w:rsidR="006D0FC4">
        <w:t xml:space="preserve"> with advanced disease. </w:t>
      </w:r>
      <w:r w:rsidR="003B09D3">
        <w:t xml:space="preserve">It is recognised that approximately 50% of patients with resected NSCLC will relapse or recur within 5 years. </w:t>
      </w:r>
      <w:r w:rsidR="006D0FC4">
        <w:t xml:space="preserve">In Australia </w:t>
      </w:r>
      <w:proofErr w:type="gramStart"/>
      <w:r w:rsidR="00DB44CF">
        <w:t>between 2012-2016</w:t>
      </w:r>
      <w:r w:rsidR="006D0FC4">
        <w:t>,</w:t>
      </w:r>
      <w:proofErr w:type="gramEnd"/>
      <w:r w:rsidR="006D0FC4">
        <w:t xml:space="preserve"> </w:t>
      </w:r>
      <w:r w:rsidR="000307CD">
        <w:t>lung cancer</w:t>
      </w:r>
      <w:r w:rsidR="006D0FC4">
        <w:t xml:space="preserve"> </w:t>
      </w:r>
      <w:r w:rsidR="00DB44CF">
        <w:t>was</w:t>
      </w:r>
      <w:r w:rsidR="006D0FC4">
        <w:t xml:space="preserve"> associated </w:t>
      </w:r>
      <w:r w:rsidR="006D0FC4">
        <w:lastRenderedPageBreak/>
        <w:t xml:space="preserve">with </w:t>
      </w:r>
      <w:r w:rsidR="00630088">
        <w:t xml:space="preserve">a </w:t>
      </w:r>
      <w:r w:rsidR="00D66A54">
        <w:t>5-year survival rate of 18.6%</w:t>
      </w:r>
      <w:r w:rsidR="002C1550">
        <w:t xml:space="preserve">, which is poorer than for </w:t>
      </w:r>
      <w:r w:rsidR="00F158E0">
        <w:t>the</w:t>
      </w:r>
      <w:r w:rsidR="002C1550">
        <w:t xml:space="preserve"> other frequently diagnosed cancer</w:t>
      </w:r>
      <w:r w:rsidR="00D16002">
        <w:t xml:space="preserve">s including </w:t>
      </w:r>
      <w:r w:rsidR="002C1550">
        <w:t>prostate, breast and bowel cancer and melanoma</w:t>
      </w:r>
      <w:r w:rsidR="00172B42">
        <w:t xml:space="preserve"> (Australian Institute of Health and Welfare 2020)</w:t>
      </w:r>
      <w:r w:rsidR="00DB44CF">
        <w:t xml:space="preserve">. </w:t>
      </w:r>
      <w:r w:rsidR="00630088">
        <w:t xml:space="preserve"> </w:t>
      </w:r>
      <w:r w:rsidR="00F625E3">
        <w:t>Five-year survival for lung cancer varies by stage</w:t>
      </w:r>
      <w:r w:rsidR="00D16002">
        <w:t xml:space="preserve">, </w:t>
      </w:r>
      <w:r w:rsidR="00F625E3">
        <w:t xml:space="preserve">ranging from 67.7% for stage </w:t>
      </w:r>
      <w:r w:rsidR="00D46F11">
        <w:t>I</w:t>
      </w:r>
      <w:r w:rsidR="00F625E3">
        <w:t>, 32.3% for stage II, 17.1% for stage III and 3.2% for stage IV</w:t>
      </w:r>
      <w:r w:rsidR="00D16002">
        <w:t xml:space="preserve"> </w:t>
      </w:r>
      <w:r w:rsidR="00F625E3">
        <w:t>(</w:t>
      </w:r>
      <w:r w:rsidR="009237F1">
        <w:t>Australian Institute of Health and Welfare 2020</w:t>
      </w:r>
      <w:r w:rsidR="00F625E3">
        <w:t xml:space="preserve">). </w:t>
      </w:r>
    </w:p>
    <w:p w14:paraId="37BE6D16" w14:textId="77777777" w:rsidR="00194D39" w:rsidRDefault="00194D39" w:rsidP="005C7CC6">
      <w:pPr>
        <w:contextualSpacing/>
      </w:pPr>
    </w:p>
    <w:p w14:paraId="76FD8BDA" w14:textId="29EF26E4" w:rsidR="001428A4" w:rsidRDefault="00D16002" w:rsidP="005C7CC6">
      <w:pPr>
        <w:contextualSpacing/>
      </w:pPr>
      <w:r>
        <w:t>NSCLC is also a heterogeneous disease from a genomic standpoint, with a wide variety of genomic subtypes known to drive tumour growth. P</w:t>
      </w:r>
      <w:r w:rsidR="00EF5C7F">
        <w:t xml:space="preserve">athogenic </w:t>
      </w:r>
      <w:r w:rsidR="00CE34D8">
        <w:t>variant</w:t>
      </w:r>
      <w:r w:rsidR="00C75D9D">
        <w:t>s</w:t>
      </w:r>
      <w:r w:rsidR="00F30A22">
        <w:t xml:space="preserve"> i</w:t>
      </w:r>
      <w:r>
        <w:t xml:space="preserve">n </w:t>
      </w:r>
      <w:r w:rsidR="00EF5C7F">
        <w:t xml:space="preserve">the </w:t>
      </w:r>
      <w:r w:rsidR="00430FC2">
        <w:t>KRAS gene</w:t>
      </w:r>
      <w:r>
        <w:t xml:space="preserve"> are the most prevalent oncogenic driver abnormality in NSCLC,</w:t>
      </w:r>
      <w:r w:rsidR="00F30A22">
        <w:t xml:space="preserve"> </w:t>
      </w:r>
      <w:r w:rsidR="00283305">
        <w:t>reported in</w:t>
      </w:r>
      <w:r>
        <w:t xml:space="preserve"> </w:t>
      </w:r>
      <w:r w:rsidR="00CE34D8">
        <w:t>2</w:t>
      </w:r>
      <w:r w:rsidR="00430FC2">
        <w:t>0</w:t>
      </w:r>
      <w:r w:rsidR="00CE34D8">
        <w:t>-</w:t>
      </w:r>
      <w:r w:rsidR="00430FC2">
        <w:t>25</w:t>
      </w:r>
      <w:r w:rsidR="00CE34D8">
        <w:t>%</w:t>
      </w:r>
      <w:r w:rsidR="00283305">
        <w:t xml:space="preserve"> of NSCLC in </w:t>
      </w:r>
      <w:r w:rsidR="00081FED">
        <w:t>recent Australian s</w:t>
      </w:r>
      <w:r w:rsidR="00F158E0">
        <w:t>eri</w:t>
      </w:r>
      <w:r w:rsidR="00081FED">
        <w:t>es</w:t>
      </w:r>
      <w:r w:rsidR="00681F2F">
        <w:t>, with about 13% of tumours having the KRAS G12C subtype</w:t>
      </w:r>
      <w:r>
        <w:t xml:space="preserve"> </w:t>
      </w:r>
      <w:r w:rsidR="00081FED">
        <w:t>(</w:t>
      </w:r>
      <w:r w:rsidR="009237F1">
        <w:t>Clay 2016; Russell 2017; Tan 2018;</w:t>
      </w:r>
      <w:r w:rsidR="007F2EAD">
        <w:t xml:space="preserve"> </w:t>
      </w:r>
      <w:r w:rsidR="009237F1">
        <w:t>Cui 2020</w:t>
      </w:r>
      <w:r w:rsidR="00D93641">
        <w:t>)</w:t>
      </w:r>
      <w:r w:rsidR="00283305">
        <w:t xml:space="preserve">. KRAS </w:t>
      </w:r>
      <w:r w:rsidR="00430FC2">
        <w:t xml:space="preserve">pathogenic </w:t>
      </w:r>
      <w:r w:rsidR="00CE34D8">
        <w:t>variant</w:t>
      </w:r>
      <w:r w:rsidR="00283305">
        <w:t>s are</w:t>
      </w:r>
      <w:r w:rsidR="000B3544">
        <w:t xml:space="preserve"> more common </w:t>
      </w:r>
      <w:r w:rsidR="00283305">
        <w:t xml:space="preserve">in current or ex-smokers </w:t>
      </w:r>
      <w:r w:rsidR="00901F57">
        <w:t xml:space="preserve">and are </w:t>
      </w:r>
      <w:r w:rsidR="00CE34D8">
        <w:t>present pre</w:t>
      </w:r>
      <w:r w:rsidR="00430FC2">
        <w:t>dominantly</w:t>
      </w:r>
      <w:r w:rsidR="00CE34D8">
        <w:t xml:space="preserve"> in non-squamous histology i.e.</w:t>
      </w:r>
      <w:r w:rsidR="00B236A8">
        <w:t>,</w:t>
      </w:r>
      <w:r w:rsidR="00CE34D8">
        <w:t xml:space="preserve"> adenocarcinoma</w:t>
      </w:r>
      <w:r w:rsidR="001428A4">
        <w:t xml:space="preserve">, </w:t>
      </w:r>
      <w:r w:rsidR="00CE34D8">
        <w:t>large cell carcinoma</w:t>
      </w:r>
      <w:r w:rsidR="001428A4">
        <w:t xml:space="preserve"> and </w:t>
      </w:r>
      <w:r w:rsidR="00CE34D8">
        <w:t xml:space="preserve">NSCLC, NOS </w:t>
      </w:r>
      <w:proofErr w:type="spellStart"/>
      <w:r w:rsidR="00430FC2">
        <w:t>histologies</w:t>
      </w:r>
      <w:proofErr w:type="spellEnd"/>
      <w:r w:rsidR="00430FC2">
        <w:t xml:space="preserve"> </w:t>
      </w:r>
      <w:r w:rsidR="00BE5E47">
        <w:t>(</w:t>
      </w:r>
      <w:r w:rsidR="009237F1">
        <w:t xml:space="preserve">Russell 2017; Tan 2018; Fong 1998; </w:t>
      </w:r>
      <w:proofErr w:type="spellStart"/>
      <w:r w:rsidR="009237F1">
        <w:t>Rekhtman</w:t>
      </w:r>
      <w:proofErr w:type="spellEnd"/>
      <w:r w:rsidR="009237F1">
        <w:t xml:space="preserve"> 2012</w:t>
      </w:r>
      <w:r w:rsidR="005278B1">
        <w:t>)</w:t>
      </w:r>
      <w:r w:rsidR="00901F57">
        <w:t xml:space="preserve">. </w:t>
      </w:r>
      <w:r w:rsidR="00F625E3">
        <w:t xml:space="preserve">KRAS pathogenic variants are mutually exclusive of other recognised </w:t>
      </w:r>
      <w:r w:rsidR="003A5748">
        <w:t xml:space="preserve">oncogenic </w:t>
      </w:r>
      <w:r w:rsidR="00F625E3">
        <w:t>driver</w:t>
      </w:r>
      <w:r w:rsidR="003A5748">
        <w:t>s in NSCLC such as EGFR pathogenic variants and ALK and ROS1 rearrangements (</w:t>
      </w:r>
      <w:r w:rsidR="009237F1">
        <w:t>Lindeman 2018</w:t>
      </w:r>
      <w:r w:rsidR="003A5748">
        <w:t xml:space="preserve">). </w:t>
      </w:r>
    </w:p>
    <w:p w14:paraId="713DF6D9" w14:textId="77777777" w:rsidR="00194D39" w:rsidRDefault="00194D39" w:rsidP="005C7CC6">
      <w:pPr>
        <w:contextualSpacing/>
      </w:pPr>
    </w:p>
    <w:p w14:paraId="49A2CE8B" w14:textId="7133D3E5" w:rsidR="001428A4" w:rsidRDefault="001428A4" w:rsidP="005C7CC6">
      <w:pPr>
        <w:contextualSpacing/>
      </w:pPr>
      <w:r>
        <w:t xml:space="preserve">The KRAS protein functions as a molecular switch in growth factor signalling pathways. It regulates proliferation by alternating between a guanosine diphosphate (GDP)-bound inactive form and a guanosine triphosphate (GTP)-bound active form. The GTP-bound active form of the KRAS protein is able to engage downstream effector proteins </w:t>
      </w:r>
      <w:r w:rsidR="00D01127">
        <w:t>which promote</w:t>
      </w:r>
      <w:r w:rsidR="00820F20">
        <w:t>s</w:t>
      </w:r>
      <w:r w:rsidR="00D01127">
        <w:t xml:space="preserve"> a pro-proliferative response</w:t>
      </w:r>
      <w:r w:rsidR="00820F20">
        <w:t xml:space="preserve"> (</w:t>
      </w:r>
      <w:proofErr w:type="spellStart"/>
      <w:r w:rsidR="009237F1">
        <w:t>Mascaux</w:t>
      </w:r>
      <w:proofErr w:type="spellEnd"/>
      <w:r w:rsidR="009237F1">
        <w:t xml:space="preserve"> 2005; Nadal 2014; </w:t>
      </w:r>
      <w:proofErr w:type="spellStart"/>
      <w:r w:rsidR="009237F1">
        <w:t>Lanman</w:t>
      </w:r>
      <w:proofErr w:type="spellEnd"/>
      <w:r w:rsidR="009237F1">
        <w:t xml:space="preserve"> 2020)</w:t>
      </w:r>
      <w:r w:rsidR="00D01127">
        <w:t xml:space="preserve">. </w:t>
      </w:r>
      <w:r w:rsidR="002D6BDB">
        <w:t xml:space="preserve">Pathogenic </w:t>
      </w:r>
      <w:r w:rsidR="00BC2BE7">
        <w:t xml:space="preserve">variants </w:t>
      </w:r>
      <w:r w:rsidR="002D6BDB">
        <w:t xml:space="preserve">in the KRAS gene </w:t>
      </w:r>
      <w:r w:rsidR="00BC2BE7">
        <w:t>impair the regulated cycling between the active and inactive forms of the KRAS protein, disrupting the inactivation of KRAS which leads to the accumulation of the pro-proliferative form (</w:t>
      </w:r>
      <w:proofErr w:type="spellStart"/>
      <w:r w:rsidR="009237F1">
        <w:t>Lanman</w:t>
      </w:r>
      <w:proofErr w:type="spellEnd"/>
      <w:r w:rsidR="009237F1">
        <w:t xml:space="preserve"> 2020</w:t>
      </w:r>
      <w:r w:rsidR="00BC2BE7">
        <w:t xml:space="preserve">). </w:t>
      </w:r>
      <w:r w:rsidR="009B1A56">
        <w:t xml:space="preserve">Despite being one of </w:t>
      </w:r>
      <w:r w:rsidR="009B1A56">
        <w:lastRenderedPageBreak/>
        <w:t xml:space="preserve">the first oncogenes </w:t>
      </w:r>
      <w:r w:rsidR="008B0BD1">
        <w:t>identified</w:t>
      </w:r>
      <w:r w:rsidR="009B1A56">
        <w:t xml:space="preserve">, </w:t>
      </w:r>
      <w:r w:rsidR="008B0BD1">
        <w:t>a clinically useful KRAS inhibitor has not been found. Two features which have influenced th</w:t>
      </w:r>
      <w:r w:rsidR="00084269">
        <w:t>e</w:t>
      </w:r>
      <w:r w:rsidR="008B0BD1">
        <w:t xml:space="preserve"> failure to identify a KRAS inhibitor include the very strong affinity between KRAS and GDP and GTP and the lack of deep surface pockets in the KRAS protein. Both of these features have obstructed efforts to develop nucleotide-competitive inhibitors </w:t>
      </w:r>
      <w:r w:rsidR="009237F1">
        <w:t>(</w:t>
      </w:r>
      <w:proofErr w:type="spellStart"/>
      <w:r w:rsidR="009237F1">
        <w:t>Lanman</w:t>
      </w:r>
      <w:proofErr w:type="spellEnd"/>
      <w:r w:rsidR="009237F1">
        <w:t xml:space="preserve"> 2020</w:t>
      </w:r>
      <w:r w:rsidR="008B0BD1">
        <w:t>).</w:t>
      </w:r>
      <w:r w:rsidR="003A5748">
        <w:t xml:space="preserve"> </w:t>
      </w:r>
    </w:p>
    <w:p w14:paraId="6C54FC23" w14:textId="77777777" w:rsidR="00194D39" w:rsidRDefault="00194D39" w:rsidP="005C7CC6">
      <w:pPr>
        <w:contextualSpacing/>
      </w:pPr>
    </w:p>
    <w:p w14:paraId="485D7312" w14:textId="0CA40C76" w:rsidR="009B1B0E" w:rsidRDefault="000B3544" w:rsidP="00B94380">
      <w:pPr>
        <w:ind w:left="426"/>
        <w:rPr>
          <w:rFonts w:cs="Arial"/>
        </w:rPr>
      </w:pPr>
      <w:r>
        <w:t xml:space="preserve">The prognostic significance of KRAS </w:t>
      </w:r>
      <w:r w:rsidR="002D6BDB">
        <w:t>pathogenic variants</w:t>
      </w:r>
      <w:r>
        <w:t xml:space="preserve"> in NSCLC is </w:t>
      </w:r>
      <w:r w:rsidR="00DC6568">
        <w:t>controversial</w:t>
      </w:r>
      <w:r>
        <w:t xml:space="preserve"> </w:t>
      </w:r>
      <w:r w:rsidR="006575A7">
        <w:t xml:space="preserve">with some studies suggesting </w:t>
      </w:r>
      <w:r w:rsidR="004730D5">
        <w:t>that</w:t>
      </w:r>
      <w:r w:rsidR="002626E0">
        <w:t xml:space="preserve"> </w:t>
      </w:r>
      <w:r w:rsidR="00972FEB">
        <w:t>patients with KRAS</w:t>
      </w:r>
      <w:r w:rsidR="009E4351">
        <w:t>-mutant</w:t>
      </w:r>
      <w:r w:rsidR="00972FEB">
        <w:t xml:space="preserve"> NSCLC have shorter </w:t>
      </w:r>
      <w:r w:rsidR="009E4351">
        <w:t xml:space="preserve">overall </w:t>
      </w:r>
      <w:r w:rsidR="00972FEB">
        <w:t>survival than those with KRAS</w:t>
      </w:r>
      <w:r w:rsidR="006D023D">
        <w:t xml:space="preserve"> wild type </w:t>
      </w:r>
      <w:r w:rsidR="00DC6568">
        <w:t>tumours</w:t>
      </w:r>
      <w:r w:rsidR="005278B1">
        <w:t xml:space="preserve"> (</w:t>
      </w:r>
      <w:r w:rsidR="009237F1">
        <w:t xml:space="preserve">Tan 2018; </w:t>
      </w:r>
      <w:proofErr w:type="spellStart"/>
      <w:r w:rsidR="009237F1">
        <w:t>Mascaux</w:t>
      </w:r>
      <w:proofErr w:type="spellEnd"/>
      <w:r w:rsidR="009237F1">
        <w:t xml:space="preserve"> 2005; Nadal 2014</w:t>
      </w:r>
      <w:r w:rsidR="004D4247">
        <w:t>)</w:t>
      </w:r>
      <w:r w:rsidR="006575A7">
        <w:t xml:space="preserve"> whilst others do not (</w:t>
      </w:r>
      <w:r w:rsidR="009237F1">
        <w:t>Shepherd 2013</w:t>
      </w:r>
      <w:r w:rsidR="006575A7">
        <w:t>)</w:t>
      </w:r>
      <w:r w:rsidR="00972FEB">
        <w:t xml:space="preserve">. </w:t>
      </w:r>
      <w:r w:rsidR="007269D2">
        <w:rPr>
          <w:rFonts w:cs="Arial"/>
        </w:rPr>
        <w:t>However, t</w:t>
      </w:r>
      <w:r w:rsidR="009B1B0E" w:rsidRPr="00570550">
        <w:rPr>
          <w:rFonts w:cs="Arial"/>
        </w:rPr>
        <w:t xml:space="preserve">hree real-world evidence natural history studies conducted by Amgen showed that outcomes in second or later lines of therapy for patients with </w:t>
      </w:r>
      <w:r w:rsidR="009B1B0E" w:rsidRPr="00570550">
        <w:rPr>
          <w:rFonts w:cs="Arial"/>
          <w:i/>
          <w:iCs/>
        </w:rPr>
        <w:t>KRAS p.G12C</w:t>
      </w:r>
      <w:r w:rsidR="009B1B0E" w:rsidRPr="00570550">
        <w:rPr>
          <w:rFonts w:cs="Arial"/>
        </w:rPr>
        <w:t>-mutated advanced NSCLC were as poor as the overall patient population with advanced NSCLC</w:t>
      </w:r>
      <w:r w:rsidR="00BF44A1">
        <w:rPr>
          <w:rFonts w:cs="Arial"/>
        </w:rPr>
        <w:t xml:space="preserve">. Furthermore three recent prospective studies, one from Australia, support these findings, demonstrating that patients with KRAS-variant NSCLC, including those with </w:t>
      </w:r>
      <w:r w:rsidR="00BF44A1" w:rsidRPr="00570550">
        <w:rPr>
          <w:rFonts w:cs="Arial"/>
          <w:i/>
          <w:iCs/>
        </w:rPr>
        <w:t>KRAS p.G12C</w:t>
      </w:r>
      <w:r w:rsidR="00BF44A1" w:rsidRPr="00570550">
        <w:rPr>
          <w:rFonts w:cs="Arial"/>
        </w:rPr>
        <w:t>-mutated advanced NSCLC</w:t>
      </w:r>
      <w:r w:rsidR="00BF44A1">
        <w:rPr>
          <w:rFonts w:cs="Arial"/>
        </w:rPr>
        <w:t xml:space="preserve">, have as poor overall survival as patients with advanced KRAS-wild-type NSCLC (Cui 2020; El </w:t>
      </w:r>
      <w:proofErr w:type="spellStart"/>
      <w:r w:rsidR="00BF44A1">
        <w:rPr>
          <w:rFonts w:cs="Arial"/>
        </w:rPr>
        <w:t>Osta</w:t>
      </w:r>
      <w:proofErr w:type="spellEnd"/>
      <w:r w:rsidR="00BF44A1">
        <w:rPr>
          <w:rFonts w:cs="Arial"/>
        </w:rPr>
        <w:t xml:space="preserve"> 2019; </w:t>
      </w:r>
      <w:proofErr w:type="spellStart"/>
      <w:r w:rsidR="00BF44A1">
        <w:rPr>
          <w:rFonts w:cs="Arial"/>
        </w:rPr>
        <w:t>Jeanson</w:t>
      </w:r>
      <w:proofErr w:type="spellEnd"/>
      <w:r w:rsidR="00BF44A1">
        <w:rPr>
          <w:rFonts w:cs="Arial"/>
        </w:rPr>
        <w:t xml:space="preserve"> 2019).  </w:t>
      </w:r>
    </w:p>
    <w:p w14:paraId="5DCC3F8B" w14:textId="77777777" w:rsidR="00AA5FDA" w:rsidRPr="00B938CD" w:rsidRDefault="00AA5FDA" w:rsidP="00B938CD">
      <w:pPr>
        <w:pStyle w:val="Heading2"/>
      </w:pPr>
      <w:r w:rsidRPr="00154B00">
        <w:t>Specify any characteristics of patients with the medical condition</w:t>
      </w:r>
      <w:r w:rsidR="00707D4D">
        <w:t>, or suspected of,</w:t>
      </w:r>
      <w:r w:rsidRPr="00154B00">
        <w:t xml:space="preserve"> who are proposed to be eligible for the </w:t>
      </w:r>
      <w:r w:rsidRPr="00DA7D0C">
        <w:t>proposed</w:t>
      </w:r>
      <w:r w:rsidRPr="00154B00">
        <w:t xml:space="preserve"> medical service</w:t>
      </w:r>
      <w:r w:rsidR="00102686" w:rsidRPr="00154B00">
        <w:t>, including any details of how a patient w</w:t>
      </w:r>
      <w:r w:rsidR="0054594B" w:rsidRPr="00154B00">
        <w:t>ould be</w:t>
      </w:r>
      <w:r w:rsidR="00102686" w:rsidRPr="00154B00">
        <w:t xml:space="preserve"> </w:t>
      </w:r>
      <w:r w:rsidR="0018630F" w:rsidRPr="00154B00">
        <w:t>investigated</w:t>
      </w:r>
      <w:r w:rsidR="0054594B" w:rsidRPr="00154B00">
        <w:t>,</w:t>
      </w:r>
      <w:r w:rsidR="0018630F" w:rsidRPr="00154B00">
        <w:t xml:space="preserve"> managed </w:t>
      </w:r>
      <w:r w:rsidR="0054594B" w:rsidRPr="00154B00">
        <w:t xml:space="preserve">and referred </w:t>
      </w:r>
      <w:r w:rsidR="007D2358" w:rsidRPr="00154B00">
        <w:t xml:space="preserve">within the Australian health care system </w:t>
      </w:r>
      <w:r w:rsidR="0018630F" w:rsidRPr="00154B00">
        <w:t xml:space="preserve">in the lead up to being considered </w:t>
      </w:r>
      <w:r w:rsidR="00DF6D37" w:rsidRPr="00154B00">
        <w:t xml:space="preserve">eligible </w:t>
      </w:r>
      <w:r w:rsidR="0018630F" w:rsidRPr="00154B00">
        <w:t>for the service</w:t>
      </w:r>
      <w:r w:rsidR="00197D29">
        <w:t>:</w:t>
      </w:r>
    </w:p>
    <w:p w14:paraId="4B7F0283" w14:textId="237D4525" w:rsidR="00EA3BF3" w:rsidRPr="00075F5F" w:rsidRDefault="00C806F4" w:rsidP="001D2BA2">
      <w:pPr>
        <w:ind w:left="360"/>
        <w:contextualSpacing/>
      </w:pPr>
      <w:r>
        <w:t>Staging of NSCLC</w:t>
      </w:r>
      <w:r w:rsidR="00084269">
        <w:t xml:space="preserve"> via</w:t>
      </w:r>
      <w:r w:rsidR="00ED2D51">
        <w:t xml:space="preserve"> </w:t>
      </w:r>
      <w:r w:rsidR="00084269">
        <w:t xml:space="preserve">clinical </w:t>
      </w:r>
      <w:r w:rsidR="00D2335F">
        <w:t xml:space="preserve">means </w:t>
      </w:r>
      <w:r w:rsidR="00084269">
        <w:t xml:space="preserve">and </w:t>
      </w:r>
      <w:r w:rsidR="00D2335F">
        <w:t xml:space="preserve">the usual </w:t>
      </w:r>
      <w:r w:rsidR="00084269">
        <w:t xml:space="preserve">radiologic </w:t>
      </w:r>
      <w:r w:rsidR="00ED2D51">
        <w:t>investigations</w:t>
      </w:r>
      <w:r w:rsidR="00084269">
        <w:t xml:space="preserve"> </w:t>
      </w:r>
      <w:r>
        <w:t>and histologic assessment for de</w:t>
      </w:r>
      <w:r w:rsidR="00E54826">
        <w:t xml:space="preserve">termination </w:t>
      </w:r>
      <w:r>
        <w:t xml:space="preserve">of NSCLC subtype are </w:t>
      </w:r>
      <w:r w:rsidR="00E54826">
        <w:t xml:space="preserve">routine </w:t>
      </w:r>
      <w:r>
        <w:t xml:space="preserve">elements </w:t>
      </w:r>
      <w:r w:rsidR="00E54826">
        <w:t xml:space="preserve">in the </w:t>
      </w:r>
      <w:r w:rsidRPr="00075F5F">
        <w:t xml:space="preserve">management of patients with suspected lung cancer. </w:t>
      </w:r>
      <w:r w:rsidR="009B1B0E">
        <w:t xml:space="preserve"> </w:t>
      </w:r>
      <w:r w:rsidRPr="00075F5F">
        <w:t xml:space="preserve">There </w:t>
      </w:r>
      <w:r w:rsidRPr="00075F5F">
        <w:lastRenderedPageBreak/>
        <w:t xml:space="preserve">would not need to be any changes to </w:t>
      </w:r>
      <w:r w:rsidR="00E54826" w:rsidRPr="00075F5F">
        <w:t xml:space="preserve">the routine investigation </w:t>
      </w:r>
      <w:r w:rsidR="00D2335F" w:rsidRPr="00075F5F">
        <w:t xml:space="preserve">and work-up </w:t>
      </w:r>
      <w:r w:rsidR="00E54826" w:rsidRPr="00075F5F">
        <w:t xml:space="preserve">of these patients. </w:t>
      </w:r>
    </w:p>
    <w:p w14:paraId="6265BBC2" w14:textId="77777777" w:rsidR="00075F5F" w:rsidRPr="00075F5F" w:rsidRDefault="00075F5F" w:rsidP="001D2BA2">
      <w:pPr>
        <w:ind w:left="360"/>
        <w:contextualSpacing/>
      </w:pPr>
    </w:p>
    <w:p w14:paraId="4E98FA5F" w14:textId="4C89ED69" w:rsidR="008661EB" w:rsidRPr="00075F5F" w:rsidRDefault="00F36A8C" w:rsidP="001D2BA2">
      <w:pPr>
        <w:ind w:left="360"/>
        <w:contextualSpacing/>
        <w:rPr>
          <w:bCs/>
          <w:sz w:val="16"/>
          <w:szCs w:val="16"/>
        </w:rPr>
      </w:pPr>
      <w:r w:rsidRPr="00075F5F">
        <w:t xml:space="preserve">As </w:t>
      </w:r>
      <w:r w:rsidR="007F0ADB" w:rsidRPr="00075F5F">
        <w:t>is the case in</w:t>
      </w:r>
      <w:r w:rsidRPr="00075F5F">
        <w:t xml:space="preserve"> EGFR gene testing, KRAS gene testing should be restricted to patients with non-squamous or NOS histology NSCLC. This is because KRAS pathogenic variants</w:t>
      </w:r>
      <w:r w:rsidR="00263629" w:rsidRPr="00075F5F">
        <w:t>, like EGFR pathogenic variants,</w:t>
      </w:r>
      <w:r w:rsidRPr="00075F5F">
        <w:t xml:space="preserve"> are found predominantly in non-squamous or NOS histology </w:t>
      </w:r>
      <w:r w:rsidR="00263629" w:rsidRPr="00075F5F">
        <w:t xml:space="preserve">and </w:t>
      </w:r>
      <w:r w:rsidR="007F0ADB" w:rsidRPr="00075F5F">
        <w:t xml:space="preserve">are </w:t>
      </w:r>
      <w:r w:rsidR="00263629" w:rsidRPr="00075F5F">
        <w:t>very rare</w:t>
      </w:r>
      <w:r w:rsidR="00B27007" w:rsidRPr="00075F5F">
        <w:t xml:space="preserve"> </w:t>
      </w:r>
      <w:r w:rsidR="008661EB" w:rsidRPr="00075F5F">
        <w:t>in squamous NSCLC (</w:t>
      </w:r>
      <w:proofErr w:type="spellStart"/>
      <w:r w:rsidR="00524706" w:rsidRPr="00075F5F">
        <w:t>Rekhtman</w:t>
      </w:r>
      <w:proofErr w:type="spellEnd"/>
      <w:r w:rsidR="00524706" w:rsidRPr="00075F5F">
        <w:t xml:space="preserve"> 2012</w:t>
      </w:r>
      <w:r w:rsidR="008661EB" w:rsidRPr="00075F5F">
        <w:t xml:space="preserve">). </w:t>
      </w:r>
    </w:p>
    <w:p w14:paraId="15C31329" w14:textId="77777777" w:rsidR="00075F5F" w:rsidRPr="00075F5F" w:rsidRDefault="00075F5F" w:rsidP="001D2BA2">
      <w:pPr>
        <w:ind w:left="360"/>
        <w:contextualSpacing/>
      </w:pPr>
    </w:p>
    <w:p w14:paraId="799E0818" w14:textId="66C6C5C4" w:rsidR="009B1B0E" w:rsidRDefault="00ED2D51" w:rsidP="001D2BA2">
      <w:pPr>
        <w:ind w:left="360"/>
        <w:contextualSpacing/>
      </w:pPr>
      <w:r w:rsidRPr="00075F5F">
        <w:t>Importantly</w:t>
      </w:r>
      <w:r w:rsidR="00E54826" w:rsidRPr="00075F5F">
        <w:t xml:space="preserve">, </w:t>
      </w:r>
      <w:r w:rsidR="00C806F4" w:rsidRPr="00075F5F">
        <w:t xml:space="preserve">Amgen proposes that KRAS gene testing for KRAS G12C pathogenic variants </w:t>
      </w:r>
      <w:r w:rsidRPr="00075F5F">
        <w:t xml:space="preserve">be performed </w:t>
      </w:r>
      <w:r w:rsidR="00C806F4" w:rsidRPr="00075F5F">
        <w:t xml:space="preserve">at the same time </w:t>
      </w:r>
      <w:r w:rsidRPr="00075F5F">
        <w:t xml:space="preserve">that </w:t>
      </w:r>
      <w:r w:rsidR="00C806F4" w:rsidRPr="00075F5F">
        <w:t>EGFR gene testing</w:t>
      </w:r>
      <w:r w:rsidRPr="00075F5F">
        <w:t xml:space="preserve"> is currently performed</w:t>
      </w:r>
      <w:r w:rsidR="00C806F4" w:rsidRPr="00075F5F">
        <w:t xml:space="preserve">, </w:t>
      </w:r>
      <w:r w:rsidRPr="00075F5F">
        <w:t xml:space="preserve">which is </w:t>
      </w:r>
      <w:r w:rsidR="009B1B0E">
        <w:t xml:space="preserve">at diagnosis or </w:t>
      </w:r>
      <w:r w:rsidR="00C806F4" w:rsidRPr="00075F5F">
        <w:t>prior to the initiation of treatment</w:t>
      </w:r>
      <w:r w:rsidRPr="00075F5F">
        <w:t xml:space="preserve"> in patients with advanced / metastatic non-squamous or NOS histology NSCLC</w:t>
      </w:r>
      <w:r w:rsidR="009B1B0E">
        <w:t xml:space="preserve"> for several reasons as outline</w:t>
      </w:r>
      <w:r w:rsidR="00B1695D">
        <w:t>d</w:t>
      </w:r>
      <w:r w:rsidR="009B1B0E">
        <w:t xml:space="preserve"> below</w:t>
      </w:r>
      <w:r w:rsidR="00C806F4" w:rsidRPr="00075F5F">
        <w:t xml:space="preserve">. </w:t>
      </w:r>
    </w:p>
    <w:p w14:paraId="04E3D098" w14:textId="77777777" w:rsidR="009B1B0E" w:rsidRDefault="009B1B0E" w:rsidP="001D2BA2">
      <w:pPr>
        <w:ind w:left="360"/>
        <w:contextualSpacing/>
      </w:pPr>
    </w:p>
    <w:p w14:paraId="0AC4D9D0" w14:textId="3EA96DBD" w:rsidR="00D2335F" w:rsidRDefault="00E54826" w:rsidP="001D2BA2">
      <w:pPr>
        <w:ind w:left="360"/>
        <w:contextualSpacing/>
      </w:pPr>
      <w:r w:rsidRPr="00075F5F">
        <w:t>KRAS pathogenic variants</w:t>
      </w:r>
      <w:r>
        <w:t xml:space="preserve"> are the most frequent molecular abnormality detected in non-squamous or NOS histology NSCLC in Australia, representing 20-25% of molecular abnormalities detected</w:t>
      </w:r>
      <w:r w:rsidR="00ED2D51">
        <w:t xml:space="preserve"> in recent Australian series, with about 13% of tumours having the KRAS G12C subtype</w:t>
      </w:r>
      <w:r w:rsidR="00C122C7">
        <w:t xml:space="preserve"> (</w:t>
      </w:r>
      <w:r w:rsidR="00524706">
        <w:t>Cui 2020; Russell 2017</w:t>
      </w:r>
      <w:r w:rsidR="00C122C7">
        <w:t>)</w:t>
      </w:r>
      <w:r w:rsidR="00ED2D51">
        <w:t>. This is roughly equivalent to the prevalence rate of 13-14% of EGFR pathogenic variants in the Australian populatio</w:t>
      </w:r>
      <w:r w:rsidR="00C122C7">
        <w:t>n</w:t>
      </w:r>
      <w:r w:rsidR="00ED2D51">
        <w:t>, with KRAS pathogenic variants also being mutually exclusive of EGFR pathogenic variants and of ALK and ROS1 rearrangements</w:t>
      </w:r>
      <w:r w:rsidR="007F0ADB">
        <w:t xml:space="preserve"> (</w:t>
      </w:r>
      <w:r w:rsidR="00524706">
        <w:t>Lindeman 2018</w:t>
      </w:r>
      <w:r w:rsidR="007F0ADB">
        <w:t>)</w:t>
      </w:r>
      <w:r w:rsidR="00ED2D51">
        <w:t xml:space="preserve">. </w:t>
      </w:r>
    </w:p>
    <w:p w14:paraId="760CB3A7" w14:textId="77777777" w:rsidR="00194D39" w:rsidRPr="001D2BA2" w:rsidRDefault="00194D39" w:rsidP="001D2BA2">
      <w:pPr>
        <w:ind w:left="360"/>
        <w:contextualSpacing/>
      </w:pPr>
    </w:p>
    <w:p w14:paraId="70AF5630" w14:textId="77777777" w:rsidR="009B1B0E" w:rsidRDefault="00ED2D51" w:rsidP="001D2BA2">
      <w:pPr>
        <w:ind w:left="360"/>
        <w:contextualSpacing/>
      </w:pPr>
      <w:r>
        <w:t>Translational studies have shown that KRAS pathogenic variants are an early oncogenic event in NSCLC development</w:t>
      </w:r>
      <w:r w:rsidR="007F0ADB">
        <w:t xml:space="preserve"> (</w:t>
      </w:r>
      <w:r w:rsidR="00524706">
        <w:t>Kris 2014</w:t>
      </w:r>
      <w:r w:rsidR="007F0ADB">
        <w:t>)</w:t>
      </w:r>
      <w:r>
        <w:t>, which do not change over time and are preserved in metastases</w:t>
      </w:r>
      <w:r w:rsidR="007F0ADB">
        <w:t xml:space="preserve"> (</w:t>
      </w:r>
      <w:r w:rsidR="00524706">
        <w:t>Sherwood 2015</w:t>
      </w:r>
      <w:r w:rsidR="007F0ADB">
        <w:t>)</w:t>
      </w:r>
      <w:r>
        <w:t xml:space="preserve">, so there is no clinical </w:t>
      </w:r>
      <w:r>
        <w:lastRenderedPageBreak/>
        <w:t xml:space="preserve">reason to delay testing until consideration of second-line therapy, </w:t>
      </w:r>
      <w:r w:rsidR="00D2335F">
        <w:t xml:space="preserve">which is when </w:t>
      </w:r>
      <w:proofErr w:type="spellStart"/>
      <w:r w:rsidR="00D2335F">
        <w:t>sotorasib</w:t>
      </w:r>
      <w:proofErr w:type="spellEnd"/>
      <w:r w:rsidR="00D2335F">
        <w:t xml:space="preserve"> will be used. </w:t>
      </w:r>
      <w:r w:rsidR="009B1B0E">
        <w:t xml:space="preserve"> </w:t>
      </w:r>
    </w:p>
    <w:p w14:paraId="07BB8ED0" w14:textId="77777777" w:rsidR="009B1B0E" w:rsidRDefault="009B1B0E" w:rsidP="001D2BA2">
      <w:pPr>
        <w:ind w:left="360"/>
        <w:contextualSpacing/>
      </w:pPr>
    </w:p>
    <w:p w14:paraId="4901325F" w14:textId="77777777" w:rsidR="009B1B0E" w:rsidRDefault="009B1B0E" w:rsidP="001D2BA2">
      <w:pPr>
        <w:ind w:left="360"/>
        <w:contextualSpacing/>
      </w:pPr>
      <w:r>
        <w:t>T</w:t>
      </w:r>
      <w:r w:rsidR="00D2335F">
        <w:t xml:space="preserve">he majority of Australian laboratories currently use NGS technology and so are already testing for KRAS pathogenic variants due to its inclusion in targeted NSCLC gene panels, along with EGFR and BRAF pathogenic variants at the very least. Further, for those laboratories using single-gene testing by PCR-based methods, there is a real risk of attrition of tumour tissue if KRAS testing occurs after testing for EGFR pathogenic variants, ALK and ROS1 rearrangements and PD-L1 immunohistochemistry. </w:t>
      </w:r>
    </w:p>
    <w:p w14:paraId="7A8E342F" w14:textId="77777777" w:rsidR="009B1B0E" w:rsidRDefault="009B1B0E" w:rsidP="001D2BA2">
      <w:pPr>
        <w:ind w:left="360"/>
        <w:contextualSpacing/>
      </w:pPr>
    </w:p>
    <w:p w14:paraId="06C842F0" w14:textId="4DF63CFA" w:rsidR="00681F2F" w:rsidRDefault="00D2335F" w:rsidP="001D2BA2">
      <w:pPr>
        <w:ind w:left="360"/>
        <w:contextualSpacing/>
      </w:pPr>
      <w:r>
        <w:t xml:space="preserve">Attrition of tumour tissue plus delay in KRAS G12C testing will lead to an increased rate of re-biopsy in NSCLC patients, with attendant risks of biopsy-related morbidity. It is therefore safer for NSCLC patients and more cost-effective to perform KRAS G12C testing prior to the initiation of therapy at the same time as testing for EGFR pathogenic variants occurs, under MBS item 73337. </w:t>
      </w:r>
    </w:p>
    <w:p w14:paraId="1D5F8241" w14:textId="3C74E875" w:rsidR="00B938CD" w:rsidRPr="009B1B0E" w:rsidRDefault="00DF0AD2" w:rsidP="009B1B0E">
      <w:pPr>
        <w:spacing w:before="0" w:after="200" w:line="276" w:lineRule="auto"/>
      </w:pPr>
      <w:r>
        <w:br w:type="page"/>
      </w:r>
    </w:p>
    <w:p w14:paraId="7414BBF2" w14:textId="77777777" w:rsidR="0018630F" w:rsidRDefault="0018630F" w:rsidP="00530204">
      <w:pPr>
        <w:pStyle w:val="Heading2"/>
      </w:pPr>
      <w:r w:rsidRPr="00154B00">
        <w:lastRenderedPageBreak/>
        <w:t xml:space="preserve">Define and summarise the current clinical management pathway </w:t>
      </w:r>
      <w:r w:rsidRPr="00154B00">
        <w:rPr>
          <w:i/>
        </w:rPr>
        <w:t>before</w:t>
      </w:r>
      <w:r w:rsidRPr="00154B00">
        <w:t xml:space="preserve"> patients would be eligible for the proposed </w:t>
      </w:r>
      <w:r w:rsidRPr="00DA7D0C">
        <w:t>medical</w:t>
      </w:r>
      <w:r w:rsidRPr="00154B00">
        <w:t xml:space="preserve"> service (supplement this summary with </w:t>
      </w:r>
      <w:r w:rsidR="00F33F1A" w:rsidRPr="00154B00">
        <w:t xml:space="preserve">an easy to follow flowchart </w:t>
      </w:r>
      <w:r w:rsidR="00DF0C51">
        <w:t xml:space="preserve">[as an attachment to the Application Form] </w:t>
      </w:r>
      <w:r w:rsidR="00F33F1A" w:rsidRPr="00154B00">
        <w:t>dep</w:t>
      </w:r>
      <w:r w:rsidRPr="00154B00">
        <w:t>icting the current clinical manag</w:t>
      </w:r>
      <w:r w:rsidR="00197D29">
        <w:t>ement pathway up to this point):</w:t>
      </w:r>
    </w:p>
    <w:p w14:paraId="4C0CD202" w14:textId="438B8485" w:rsidR="00543D29" w:rsidRDefault="00543D29" w:rsidP="00A853F7">
      <w:pPr>
        <w:ind w:left="360"/>
      </w:pPr>
      <w:r>
        <w:t>The current clinical management pathway for patients with suspected lung cancer include</w:t>
      </w:r>
      <w:r w:rsidR="00C06193">
        <w:t>s</w:t>
      </w:r>
      <w:r>
        <w:t xml:space="preserve"> the following</w:t>
      </w:r>
      <w:r w:rsidR="009B1B0E">
        <w:t xml:space="preserve"> (no chart provided as a very simple pathway)</w:t>
      </w:r>
      <w:r>
        <w:t>:</w:t>
      </w:r>
    </w:p>
    <w:p w14:paraId="001B38B7" w14:textId="3D8C2060" w:rsidR="00543D29" w:rsidRDefault="00245DF0" w:rsidP="00543D29">
      <w:pPr>
        <w:pStyle w:val="ListParagraph"/>
        <w:numPr>
          <w:ilvl w:val="0"/>
          <w:numId w:val="52"/>
        </w:numPr>
      </w:pPr>
      <w:r>
        <w:t>The p</w:t>
      </w:r>
      <w:r w:rsidR="00543D29">
        <w:t xml:space="preserve">atient is referred </w:t>
      </w:r>
      <w:r>
        <w:t xml:space="preserve">to </w:t>
      </w:r>
      <w:r w:rsidR="00543D29">
        <w:t xml:space="preserve">and presents to a specialist medical practitioner with </w:t>
      </w:r>
      <w:r>
        <w:t xml:space="preserve">suspected lung </w:t>
      </w:r>
      <w:r w:rsidR="00543D29">
        <w:t>cancer, after initial presentation to a general practitioner,</w:t>
      </w:r>
    </w:p>
    <w:p w14:paraId="46649C9D" w14:textId="22897D8D" w:rsidR="00245DF0" w:rsidRDefault="00245DF0" w:rsidP="00245DF0">
      <w:pPr>
        <w:pStyle w:val="ListParagraph"/>
        <w:numPr>
          <w:ilvl w:val="0"/>
          <w:numId w:val="52"/>
        </w:numPr>
      </w:pPr>
      <w:r>
        <w:t xml:space="preserve">The patient is investigated with radiologic tests including a contrast-enhanced computed tomography (CT) scan to confirm clinical suspicions and to determine the stage of the lung cancer, </w:t>
      </w:r>
    </w:p>
    <w:p w14:paraId="1978156F" w14:textId="755142F6" w:rsidR="00543D29" w:rsidRDefault="00245DF0" w:rsidP="00245DF0">
      <w:pPr>
        <w:pStyle w:val="ListParagraph"/>
        <w:numPr>
          <w:ilvl w:val="0"/>
          <w:numId w:val="52"/>
        </w:numPr>
      </w:pPr>
      <w:r>
        <w:t>The p</w:t>
      </w:r>
      <w:r w:rsidR="00543D29">
        <w:t xml:space="preserve">atient is </w:t>
      </w:r>
      <w:r>
        <w:t xml:space="preserve">then </w:t>
      </w:r>
      <w:r w:rsidR="00543D29">
        <w:t>referred for biopsy</w:t>
      </w:r>
      <w:r>
        <w:t xml:space="preserve">, which is </w:t>
      </w:r>
      <w:r w:rsidR="00543D29">
        <w:t xml:space="preserve">followed by pathologic confirmation / diagnosis of lung cancer and determination of NSCLC subtype, </w:t>
      </w:r>
    </w:p>
    <w:p w14:paraId="0DA1BB6A" w14:textId="60772ED0" w:rsidR="00543D29" w:rsidRPr="00C06193" w:rsidRDefault="00245DF0" w:rsidP="00543D29">
      <w:pPr>
        <w:pStyle w:val="ListParagraph"/>
        <w:numPr>
          <w:ilvl w:val="0"/>
          <w:numId w:val="52"/>
        </w:numPr>
        <w:autoSpaceDE w:val="0"/>
        <w:autoSpaceDN w:val="0"/>
        <w:adjustRightInd w:val="0"/>
        <w:spacing w:before="0" w:after="0"/>
        <w:rPr>
          <w:rFonts w:cstheme="minorHAnsi"/>
          <w:szCs w:val="20"/>
        </w:rPr>
      </w:pPr>
      <w:r>
        <w:rPr>
          <w:rFonts w:cstheme="minorHAnsi"/>
          <w:szCs w:val="20"/>
        </w:rPr>
        <w:t>If the patient is confirmed to have locally advanced or metastatic non-squamous or NOS histology NSCLC, t</w:t>
      </w:r>
      <w:r w:rsidR="00543D29" w:rsidRPr="00C06193">
        <w:rPr>
          <w:rFonts w:cstheme="minorHAnsi"/>
          <w:szCs w:val="20"/>
        </w:rPr>
        <w:t>he treating specialist requests further pathologic</w:t>
      </w:r>
      <w:r>
        <w:rPr>
          <w:rFonts w:cstheme="minorHAnsi"/>
          <w:szCs w:val="20"/>
        </w:rPr>
        <w:t xml:space="preserve"> </w:t>
      </w:r>
      <w:r w:rsidR="00543D29" w:rsidRPr="00C06193">
        <w:rPr>
          <w:rFonts w:cstheme="minorHAnsi"/>
          <w:szCs w:val="20"/>
        </w:rPr>
        <w:t xml:space="preserve">investigations on the </w:t>
      </w:r>
      <w:r>
        <w:rPr>
          <w:rFonts w:cstheme="minorHAnsi"/>
          <w:szCs w:val="20"/>
        </w:rPr>
        <w:t xml:space="preserve">tumour </w:t>
      </w:r>
      <w:r w:rsidR="00651851">
        <w:rPr>
          <w:rFonts w:cstheme="minorHAnsi"/>
          <w:szCs w:val="20"/>
        </w:rPr>
        <w:t xml:space="preserve">tissue in the biopsy material, in line with those currently listed on the MBS, </w:t>
      </w:r>
      <w:r w:rsidR="00543D29" w:rsidRPr="00C06193">
        <w:rPr>
          <w:rFonts w:cstheme="minorHAnsi"/>
          <w:szCs w:val="20"/>
        </w:rPr>
        <w:t xml:space="preserve">to identify genomic alterations </w:t>
      </w:r>
      <w:r>
        <w:rPr>
          <w:rFonts w:cstheme="minorHAnsi"/>
          <w:szCs w:val="20"/>
        </w:rPr>
        <w:t xml:space="preserve">so as </w:t>
      </w:r>
      <w:r w:rsidR="00543D29" w:rsidRPr="00C06193">
        <w:rPr>
          <w:rFonts w:cstheme="minorHAnsi"/>
          <w:szCs w:val="20"/>
        </w:rPr>
        <w:t>to determine appropriate PBS subsidised therapy</w:t>
      </w:r>
      <w:r>
        <w:rPr>
          <w:rFonts w:cstheme="minorHAnsi"/>
          <w:szCs w:val="20"/>
        </w:rPr>
        <w:t xml:space="preserve">. </w:t>
      </w:r>
    </w:p>
    <w:p w14:paraId="102ABA50" w14:textId="6054F179" w:rsidR="00805BC7" w:rsidRPr="00BC424B" w:rsidRDefault="00245DF0" w:rsidP="00194D39">
      <w:pPr>
        <w:ind w:left="360"/>
      </w:pPr>
      <w:r>
        <w:t xml:space="preserve">The current clinical management pathway outlined above would be the same for patients who would be eligible for KRAS </w:t>
      </w:r>
      <w:r w:rsidRPr="00075F5F">
        <w:t xml:space="preserve">pathogenic variant testing. This is because Amgen proposes that KRAS pathogenic variant testing occur at the same time as EGFR </w:t>
      </w:r>
      <w:r w:rsidR="00651851" w:rsidRPr="00075F5F">
        <w:t xml:space="preserve">pathogenic variant testing, under MBS item 73337, which currently occurs </w:t>
      </w:r>
      <w:r w:rsidR="00D82944" w:rsidRPr="00075F5F">
        <w:t xml:space="preserve">at diagnosis or </w:t>
      </w:r>
      <w:r w:rsidR="00651851" w:rsidRPr="00075F5F">
        <w:t>prior to initiation</w:t>
      </w:r>
      <w:r w:rsidR="00651851">
        <w:t xml:space="preserve"> of therapy. </w:t>
      </w:r>
    </w:p>
    <w:p w14:paraId="416AEE68" w14:textId="5A370002" w:rsidR="002A50FD" w:rsidRPr="00881F93" w:rsidRDefault="005C3AE7" w:rsidP="00D931E4">
      <w:pPr>
        <w:pStyle w:val="Subtitle"/>
        <w:ind w:left="0"/>
      </w:pPr>
      <w:r>
        <w:lastRenderedPageBreak/>
        <w:t xml:space="preserve">PART 6b – </w:t>
      </w:r>
      <w:r w:rsidR="002A50FD" w:rsidRPr="00881F93">
        <w:t>INFORMATION ABOUT THE INTERVENTION</w:t>
      </w:r>
      <w:r w:rsidR="00DC2943">
        <w:t>:</w:t>
      </w:r>
    </w:p>
    <w:p w14:paraId="3E48E88B" w14:textId="77777777" w:rsidR="002A50FD" w:rsidRPr="00154B00" w:rsidRDefault="002A6753" w:rsidP="00530204">
      <w:pPr>
        <w:pStyle w:val="Heading2"/>
      </w:pPr>
      <w:r w:rsidRPr="00154B00">
        <w:t xml:space="preserve">Describe </w:t>
      </w:r>
      <w:r w:rsidRPr="00DA7D0C">
        <w:t>the</w:t>
      </w:r>
      <w:r w:rsidRPr="00154B00">
        <w:t xml:space="preserve"> </w:t>
      </w:r>
      <w:r w:rsidR="00DF6D37" w:rsidRPr="00154B00">
        <w:t>key components and</w:t>
      </w:r>
      <w:r w:rsidR="00B771AD" w:rsidRPr="00154B00">
        <w:t xml:space="preserve"> clinical</w:t>
      </w:r>
      <w:r w:rsidR="00DF6D37" w:rsidRPr="00154B00">
        <w:t xml:space="preserve"> steps involved in delivering </w:t>
      </w:r>
      <w:r w:rsidR="00C05A45">
        <w:t xml:space="preserve">the </w:t>
      </w:r>
      <w:r w:rsidR="00197D29">
        <w:t>proposed medical service:</w:t>
      </w:r>
    </w:p>
    <w:p w14:paraId="6BF6BE10" w14:textId="59289683" w:rsidR="00EB211A" w:rsidRDefault="00ED68EF" w:rsidP="00EB211A">
      <w:pPr>
        <w:contextualSpacing/>
      </w:pPr>
      <w:r>
        <w:t xml:space="preserve">The key components and the clinical steps involved in delivering </w:t>
      </w:r>
      <w:r w:rsidR="006838CD">
        <w:t xml:space="preserve">KRAS G12C </w:t>
      </w:r>
      <w:r w:rsidR="00312D17">
        <w:t xml:space="preserve">pathogenic variant </w:t>
      </w:r>
      <w:r w:rsidR="006838CD">
        <w:t xml:space="preserve">testing in </w:t>
      </w:r>
      <w:r>
        <w:t xml:space="preserve">patients with non-squamous and </w:t>
      </w:r>
      <w:r w:rsidR="006D7905">
        <w:t>NOS</w:t>
      </w:r>
      <w:r>
        <w:t xml:space="preserve"> NSCLC histology are the same as those that </w:t>
      </w:r>
      <w:r w:rsidR="00EC1853" w:rsidRPr="00075F5F">
        <w:t xml:space="preserve">already </w:t>
      </w:r>
      <w:r w:rsidRPr="00075F5F">
        <w:t xml:space="preserve">exist for </w:t>
      </w:r>
      <w:r w:rsidR="00134EA2" w:rsidRPr="00075F5F">
        <w:t xml:space="preserve">EGFR </w:t>
      </w:r>
      <w:r w:rsidR="00312D17" w:rsidRPr="00075F5F">
        <w:t xml:space="preserve">pathogenic variant </w:t>
      </w:r>
      <w:r w:rsidR="006D7905" w:rsidRPr="00075F5F">
        <w:t xml:space="preserve">testing </w:t>
      </w:r>
      <w:r w:rsidRPr="00075F5F">
        <w:t>in the same group of patients</w:t>
      </w:r>
      <w:r w:rsidR="00134EA2" w:rsidRPr="00075F5F">
        <w:t>, under MBS item 73337</w:t>
      </w:r>
      <w:r w:rsidRPr="00075F5F">
        <w:t xml:space="preserve">. </w:t>
      </w:r>
      <w:r w:rsidR="009B1B0E">
        <w:t xml:space="preserve"> </w:t>
      </w:r>
      <w:r w:rsidR="00E11BCB" w:rsidRPr="00075F5F">
        <w:t>It i</w:t>
      </w:r>
      <w:r w:rsidR="00EB211A" w:rsidRPr="00075F5F">
        <w:t xml:space="preserve">s </w:t>
      </w:r>
      <w:r w:rsidR="00D82944" w:rsidRPr="00075F5F">
        <w:t>understood</w:t>
      </w:r>
      <w:r w:rsidR="00E11BCB" w:rsidRPr="00075F5F">
        <w:t xml:space="preserve"> that most Australian laboratories utilise NGS technologies for molecular testing with the remainder of laboratories using single-gene PCR-based methods. </w:t>
      </w:r>
      <w:r w:rsidR="009B1B0E">
        <w:t xml:space="preserve"> </w:t>
      </w:r>
      <w:r w:rsidR="00E11BCB" w:rsidRPr="00075F5F">
        <w:t xml:space="preserve">The initial steps of </w:t>
      </w:r>
      <w:r w:rsidR="00443392" w:rsidRPr="00075F5F">
        <w:t xml:space="preserve">extraction, </w:t>
      </w:r>
      <w:r w:rsidR="00E11BCB" w:rsidRPr="00075F5F">
        <w:t>isolation and</w:t>
      </w:r>
      <w:r w:rsidR="00E11BCB">
        <w:t xml:space="preserve"> quantification of tumour DNA from </w:t>
      </w:r>
      <w:r w:rsidR="00443392">
        <w:t xml:space="preserve">the </w:t>
      </w:r>
      <w:r w:rsidR="00E11BCB">
        <w:t xml:space="preserve">biopsy specimens is the same for both NGS and PCR methods. The next key steps involved in molecular testing with NGS methods include preparation of sequencing libraries, enrichment of sequencing </w:t>
      </w:r>
      <w:r w:rsidR="00443392">
        <w:t xml:space="preserve">libraries for the genes of interest, sequencing of enriched libraries and analysis and reporting of test results. </w:t>
      </w:r>
      <w:r w:rsidR="00EB211A">
        <w:t>Of note, NGS panels can be either standard or customised</w:t>
      </w:r>
      <w:r w:rsidR="00581BEB">
        <w:t xml:space="preserve">; if customised, an NGS panel can be very simple and include just the KRAS, EGFR and BRAF genes. </w:t>
      </w:r>
      <w:r w:rsidR="00443392">
        <w:t xml:space="preserve">The next key steps involved in molecular testing </w:t>
      </w:r>
      <w:r w:rsidR="003C273D">
        <w:t xml:space="preserve">with PCR methods include amplification, </w:t>
      </w:r>
      <w:r w:rsidR="00EB4C95">
        <w:t xml:space="preserve">post-PCR </w:t>
      </w:r>
      <w:r w:rsidR="003C273D">
        <w:t xml:space="preserve">analysis and reporting of test results. </w:t>
      </w:r>
    </w:p>
    <w:p w14:paraId="35FC4F67" w14:textId="77777777" w:rsidR="00194D39" w:rsidRDefault="00194D39" w:rsidP="00EB211A">
      <w:pPr>
        <w:contextualSpacing/>
      </w:pPr>
    </w:p>
    <w:p w14:paraId="40C4CE40" w14:textId="48628D7C" w:rsidR="002F16E2" w:rsidRDefault="00E94AA2" w:rsidP="00581BEB">
      <w:pPr>
        <w:contextualSpacing/>
      </w:pPr>
      <w:r>
        <w:t>A 2013</w:t>
      </w:r>
      <w:r w:rsidR="003C273D">
        <w:t xml:space="preserve"> stud</w:t>
      </w:r>
      <w:r>
        <w:t>y</w:t>
      </w:r>
      <w:r w:rsidR="003C273D">
        <w:t xml:space="preserve"> </w:t>
      </w:r>
      <w:r>
        <w:t>using</w:t>
      </w:r>
      <w:r w:rsidR="003C273D">
        <w:t xml:space="preserve"> NSCLC </w:t>
      </w:r>
      <w:r>
        <w:t xml:space="preserve">tumour tissue </w:t>
      </w:r>
      <w:r w:rsidR="003C273D">
        <w:t>show</w:t>
      </w:r>
      <w:r>
        <w:t>ed</w:t>
      </w:r>
      <w:r w:rsidR="003C273D">
        <w:t xml:space="preserve"> that PCR-based methods demonstrate</w:t>
      </w:r>
      <w:r>
        <w:t>d</w:t>
      </w:r>
      <w:r w:rsidR="003C273D">
        <w:t xml:space="preserve"> </w:t>
      </w:r>
      <w:r>
        <w:t>significant concordance with NGS methods (</w:t>
      </w:r>
      <w:proofErr w:type="spellStart"/>
      <w:r w:rsidR="0062068E">
        <w:t>Tuononen</w:t>
      </w:r>
      <w:proofErr w:type="spellEnd"/>
      <w:r w:rsidR="0062068E">
        <w:t xml:space="preserve"> 2013)</w:t>
      </w:r>
      <w:r>
        <w:t xml:space="preserve">.  </w:t>
      </w:r>
      <w:r w:rsidR="00BF7CA7">
        <w:t xml:space="preserve">Additionally, however, NGS </w:t>
      </w:r>
      <w:r>
        <w:t xml:space="preserve">methods </w:t>
      </w:r>
      <w:r w:rsidR="00BF7CA7">
        <w:t>detect</w:t>
      </w:r>
      <w:r>
        <w:t>ed</w:t>
      </w:r>
      <w:r w:rsidR="00BF7CA7">
        <w:t xml:space="preserve"> rare pathogenic variants in the EGFR gene which </w:t>
      </w:r>
      <w:r>
        <w:t xml:space="preserve">were </w:t>
      </w:r>
      <w:r w:rsidR="00BF7CA7">
        <w:t xml:space="preserve">not detected by PCR </w:t>
      </w:r>
      <w:r>
        <w:t>method</w:t>
      </w:r>
      <w:r w:rsidR="0062068E">
        <w:t>s</w:t>
      </w:r>
      <w:r w:rsidR="00BF7CA7">
        <w:t xml:space="preserve">. </w:t>
      </w:r>
      <w:r w:rsidR="00DB4D28">
        <w:t xml:space="preserve">A more recent study </w:t>
      </w:r>
      <w:r w:rsidR="00E128D3">
        <w:t xml:space="preserve">comparing </w:t>
      </w:r>
      <w:r w:rsidR="00A67593">
        <w:t xml:space="preserve">different detection platforms for KRAS pathogenic variants in NSCLC using cell lines demonstrated significant concordance between various PCR-based tests including </w:t>
      </w:r>
      <w:r w:rsidR="00581BEB">
        <w:t xml:space="preserve">the </w:t>
      </w:r>
      <w:proofErr w:type="spellStart"/>
      <w:r w:rsidR="00A67593">
        <w:t>Idylla</w:t>
      </w:r>
      <w:proofErr w:type="spellEnd"/>
      <w:r w:rsidR="00A67593">
        <w:t>™ KRAS Mutation Test (</w:t>
      </w:r>
      <w:proofErr w:type="spellStart"/>
      <w:r w:rsidR="00A67593">
        <w:t>Biocartis</w:t>
      </w:r>
      <w:proofErr w:type="spellEnd"/>
      <w:r w:rsidR="00A67593">
        <w:t xml:space="preserve">), </w:t>
      </w:r>
      <w:r w:rsidR="00581BEB">
        <w:t xml:space="preserve">the </w:t>
      </w:r>
      <w:proofErr w:type="spellStart"/>
      <w:r w:rsidR="00A67593" w:rsidRPr="005651FA">
        <w:rPr>
          <w:i/>
          <w:iCs/>
        </w:rPr>
        <w:t>therascreen</w:t>
      </w:r>
      <w:proofErr w:type="spellEnd"/>
      <w:r w:rsidR="00A67593">
        <w:t xml:space="preserve">® KRAS </w:t>
      </w:r>
      <w:r w:rsidR="000D067E">
        <w:t>RGQ PCR K</w:t>
      </w:r>
      <w:r w:rsidR="00A67593">
        <w:t>it (</w:t>
      </w:r>
      <w:proofErr w:type="spellStart"/>
      <w:r w:rsidR="00A67593">
        <w:t>Qiagen</w:t>
      </w:r>
      <w:proofErr w:type="spellEnd"/>
      <w:r w:rsidR="00A67593">
        <w:t xml:space="preserve">) and </w:t>
      </w:r>
      <w:r w:rsidR="003C0478">
        <w:t xml:space="preserve">the </w:t>
      </w:r>
      <w:proofErr w:type="spellStart"/>
      <w:r w:rsidR="00A67593" w:rsidRPr="00075F5F">
        <w:rPr>
          <w:color w:val="000000" w:themeColor="text1"/>
        </w:rPr>
        <w:t>cobas</w:t>
      </w:r>
      <w:proofErr w:type="spellEnd"/>
      <w:r w:rsidR="00A67593" w:rsidRPr="00075F5F">
        <w:rPr>
          <w:color w:val="000000" w:themeColor="text1"/>
        </w:rPr>
        <w:t xml:space="preserve">® KRAS Mutation Test </w:t>
      </w:r>
      <w:r w:rsidR="00A67593" w:rsidRPr="00075F5F">
        <w:rPr>
          <w:color w:val="000000" w:themeColor="text1"/>
        </w:rPr>
        <w:lastRenderedPageBreak/>
        <w:t xml:space="preserve">(Roche Diagnostics) </w:t>
      </w:r>
      <w:r w:rsidR="00A67593">
        <w:t>and several NGS platforms, with similar sensitivity and specificity (</w:t>
      </w:r>
      <w:r w:rsidR="0062068E">
        <w:t>Sherwood 2017)</w:t>
      </w:r>
      <w:r w:rsidR="00A67593">
        <w:t xml:space="preserve">. </w:t>
      </w:r>
      <w:r w:rsidR="00C806F4">
        <w:t>Again,</w:t>
      </w:r>
      <w:r w:rsidR="00A67593">
        <w:t xml:space="preserve"> NGS detected rare and multiple KRAS pathogenic variants whilst the KRAS mutations detected by the PCR-based methods were limited to those included in the pre-designed assays </w:t>
      </w:r>
      <w:r w:rsidR="00A642CB">
        <w:t>(Sherwood 2017)</w:t>
      </w:r>
      <w:r w:rsidR="00A67593">
        <w:t xml:space="preserve">. </w:t>
      </w:r>
      <w:r w:rsidR="0062068E">
        <w:t xml:space="preserve">Similar investigations in </w:t>
      </w:r>
      <w:r w:rsidR="00B73858">
        <w:t xml:space="preserve">metastatic colorectal carcinoma comparing KRAS detection methods including the </w:t>
      </w:r>
      <w:proofErr w:type="spellStart"/>
      <w:r w:rsidR="00B73858" w:rsidRPr="005651FA">
        <w:rPr>
          <w:i/>
          <w:iCs/>
        </w:rPr>
        <w:t>therascreen</w:t>
      </w:r>
      <w:proofErr w:type="spellEnd"/>
      <w:r w:rsidR="00B73858">
        <w:t>® KRAS RGQ PCR Kit (</w:t>
      </w:r>
      <w:proofErr w:type="spellStart"/>
      <w:r w:rsidR="00B73858">
        <w:t>Qiagen</w:t>
      </w:r>
      <w:proofErr w:type="spellEnd"/>
      <w:r w:rsidR="00B73858">
        <w:t>) made similar findings (</w:t>
      </w:r>
      <w:proofErr w:type="spellStart"/>
      <w:r w:rsidR="00B73858">
        <w:rPr>
          <w:szCs w:val="20"/>
        </w:rPr>
        <w:t>Altimari</w:t>
      </w:r>
      <w:proofErr w:type="spellEnd"/>
      <w:r w:rsidR="00B73858">
        <w:rPr>
          <w:szCs w:val="20"/>
        </w:rPr>
        <w:t xml:space="preserve"> 2013; </w:t>
      </w:r>
      <w:proofErr w:type="spellStart"/>
      <w:r w:rsidR="00B73858">
        <w:rPr>
          <w:szCs w:val="20"/>
        </w:rPr>
        <w:t>Darwanto</w:t>
      </w:r>
      <w:proofErr w:type="spellEnd"/>
      <w:r w:rsidR="00B73858">
        <w:rPr>
          <w:szCs w:val="20"/>
        </w:rPr>
        <w:t xml:space="preserve"> 2017; </w:t>
      </w:r>
      <w:proofErr w:type="gramStart"/>
      <w:r w:rsidR="00B73858">
        <w:rPr>
          <w:szCs w:val="20"/>
        </w:rPr>
        <w:t>Gao</w:t>
      </w:r>
      <w:proofErr w:type="gramEnd"/>
      <w:r w:rsidR="00B73858">
        <w:rPr>
          <w:szCs w:val="20"/>
        </w:rPr>
        <w:t xml:space="preserve"> 2016).</w:t>
      </w:r>
    </w:p>
    <w:p w14:paraId="16A7ECCB" w14:textId="77777777" w:rsidR="00581BEB" w:rsidRDefault="00581BEB" w:rsidP="00ED68EF">
      <w:pPr>
        <w:ind w:left="426"/>
      </w:pPr>
    </w:p>
    <w:p w14:paraId="3DB30C7C" w14:textId="77777777" w:rsidR="00ED68EF" w:rsidRDefault="002A6753" w:rsidP="00530204">
      <w:pPr>
        <w:pStyle w:val="Heading2"/>
      </w:pPr>
      <w:r w:rsidRPr="00154B00">
        <w:t>Does the proposed medical service include a registered trademark</w:t>
      </w:r>
      <w:r w:rsidR="00707D4D">
        <w:t xml:space="preserve"> component</w:t>
      </w:r>
      <w:r w:rsidRPr="00154B00">
        <w:t xml:space="preserve"> with characteristics that distinguishes it </w:t>
      </w:r>
      <w:r w:rsidRPr="0073597B">
        <w:t>from</w:t>
      </w:r>
      <w:r w:rsidRPr="00154B00">
        <w:t xml:space="preserve"> other similar health </w:t>
      </w:r>
      <w:r w:rsidR="00707D4D">
        <w:t>components</w:t>
      </w:r>
      <w:r w:rsidRPr="00154B00">
        <w:t>?</w:t>
      </w:r>
      <w:r w:rsidR="00ED68EF">
        <w:t xml:space="preserve"> </w:t>
      </w:r>
    </w:p>
    <w:p w14:paraId="47F25B73" w14:textId="7D338CF2" w:rsidR="002A6753" w:rsidRPr="005651FA" w:rsidRDefault="00ED68EF" w:rsidP="005651FA">
      <w:pPr>
        <w:pStyle w:val="Heading2"/>
        <w:numPr>
          <w:ilvl w:val="0"/>
          <w:numId w:val="0"/>
        </w:numPr>
        <w:ind w:left="360"/>
        <w:rPr>
          <w:b w:val="0"/>
          <w:bCs/>
        </w:rPr>
      </w:pPr>
      <w:r w:rsidRPr="005651FA">
        <w:rPr>
          <w:b w:val="0"/>
          <w:bCs/>
        </w:rPr>
        <w:t xml:space="preserve">No. </w:t>
      </w:r>
    </w:p>
    <w:p w14:paraId="3C1B8DE6" w14:textId="321B63A4" w:rsidR="00C22AD8" w:rsidRDefault="00C22AD8" w:rsidP="00530204">
      <w:pPr>
        <w:pStyle w:val="Heading2"/>
      </w:pPr>
      <w:r w:rsidRPr="00154B00">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14:paraId="5FCA4A44" w14:textId="7366315B" w:rsidR="00ED68EF" w:rsidRPr="00ED68EF" w:rsidRDefault="00ED68EF" w:rsidP="00075F5F">
      <w:r>
        <w:t xml:space="preserve">Not applicable. </w:t>
      </w:r>
    </w:p>
    <w:p w14:paraId="3B46EACC" w14:textId="5DF5C6D0" w:rsidR="006B1B49" w:rsidRDefault="006B1B49" w:rsidP="00530204">
      <w:pPr>
        <w:pStyle w:val="Heading2"/>
      </w:pPr>
      <w:r w:rsidRPr="00154B00">
        <w:t xml:space="preserve">If applicable, are there any limitations on the </w:t>
      </w:r>
      <w:r w:rsidR="00DF0C51">
        <w:t xml:space="preserve">provision </w:t>
      </w:r>
      <w:r w:rsidRPr="00154B00">
        <w:t>of the proposed medical se</w:t>
      </w:r>
      <w:r w:rsidR="00DF0C51">
        <w:t xml:space="preserve">rvice delivered to the patient </w:t>
      </w:r>
      <w:r w:rsidR="00D30BDC">
        <w:t>(</w:t>
      </w:r>
      <w:r w:rsidR="00DF0C51">
        <w:t>i</w:t>
      </w:r>
      <w:r w:rsidR="00812EDD">
        <w:t>.</w:t>
      </w:r>
      <w:r w:rsidR="00DF0C51">
        <w:t>e.</w:t>
      </w:r>
      <w:r w:rsidR="00A35C9E">
        <w:t>,</w:t>
      </w:r>
      <w:r w:rsidR="00DF0C51">
        <w:t xml:space="preserve"> </w:t>
      </w:r>
      <w:r w:rsidR="00707D4D">
        <w:t xml:space="preserve">accessibility, </w:t>
      </w:r>
      <w:r w:rsidR="00DF0C51" w:rsidRPr="0073597B">
        <w:t>dosage</w:t>
      </w:r>
      <w:r w:rsidR="00DF0C51">
        <w:t>, quantity, duration or frequency</w:t>
      </w:r>
      <w:r w:rsidR="00D30BDC">
        <w:t>)</w:t>
      </w:r>
      <w:r w:rsidR="00AE1188">
        <w:t>:</w:t>
      </w:r>
    </w:p>
    <w:p w14:paraId="2AAA6C74" w14:textId="091C9A08" w:rsidR="00CC09D7" w:rsidRPr="009B1B0E" w:rsidRDefault="00692B2D" w:rsidP="009B1B0E">
      <w:pPr>
        <w:ind w:left="360"/>
      </w:pPr>
      <w:r>
        <w:t xml:space="preserve">It is anticipated that most NSCLC patients will require only one </w:t>
      </w:r>
      <w:r w:rsidR="00783644">
        <w:t xml:space="preserve">KRAS G12C test in their </w:t>
      </w:r>
      <w:r>
        <w:t xml:space="preserve">lifetime. </w:t>
      </w:r>
      <w:r w:rsidR="00740607">
        <w:t xml:space="preserve">This is because KRAS pathogenic variants in NSCLC </w:t>
      </w:r>
      <w:r w:rsidR="00DF6910">
        <w:t xml:space="preserve">are known to be </w:t>
      </w:r>
      <w:r w:rsidR="00740607">
        <w:t>stable over tim</w:t>
      </w:r>
      <w:r w:rsidR="00DF6910">
        <w:t xml:space="preserve">e, with substantial concordance </w:t>
      </w:r>
      <w:r w:rsidR="004734F8" w:rsidRPr="00075F5F">
        <w:t xml:space="preserve">reported </w:t>
      </w:r>
      <w:r w:rsidR="00DF6910" w:rsidRPr="00075F5F">
        <w:t>between primary tumours and metastases, indicating that both</w:t>
      </w:r>
      <w:r w:rsidR="004734F8" w:rsidRPr="00075F5F">
        <w:t xml:space="preserve"> primary and metastatic tumour sites</w:t>
      </w:r>
      <w:r w:rsidR="00DF6910" w:rsidRPr="00075F5F">
        <w:t xml:space="preserve"> are suitable for testing (</w:t>
      </w:r>
      <w:r w:rsidR="002A21D3" w:rsidRPr="00075F5F">
        <w:t>Sherwood 2015</w:t>
      </w:r>
      <w:r w:rsidR="00DF6910" w:rsidRPr="00075F5F">
        <w:t>)</w:t>
      </w:r>
      <w:r w:rsidR="00740607" w:rsidRPr="00075F5F">
        <w:t xml:space="preserve">. </w:t>
      </w:r>
      <w:r w:rsidR="004734F8" w:rsidRPr="00075F5F">
        <w:t>Additionally,</w:t>
      </w:r>
      <w:r w:rsidR="00A642CB" w:rsidRPr="00075F5F">
        <w:t xml:space="preserve"> </w:t>
      </w:r>
      <w:r w:rsidR="003C0478" w:rsidRPr="00075F5F">
        <w:t xml:space="preserve">as </w:t>
      </w:r>
      <w:r w:rsidR="004734F8" w:rsidRPr="00075F5F">
        <w:t xml:space="preserve">recommended </w:t>
      </w:r>
      <w:r w:rsidR="00075F5F">
        <w:t xml:space="preserve">in </w:t>
      </w:r>
      <w:r w:rsidR="00B73858">
        <w:t xml:space="preserve">international </w:t>
      </w:r>
      <w:r w:rsidR="00075F5F">
        <w:t xml:space="preserve">guidelines, </w:t>
      </w:r>
      <w:r w:rsidR="004734F8" w:rsidRPr="00075F5F">
        <w:t xml:space="preserve">highly sensitive diagnostic testing methods are used </w:t>
      </w:r>
      <w:r w:rsidR="003C0478" w:rsidRPr="00075F5F">
        <w:t xml:space="preserve">in Australia </w:t>
      </w:r>
      <w:r w:rsidR="004734F8" w:rsidRPr="00075F5F">
        <w:t>to detect KRAS pathogenic variants so as to ensure accuracy of results (</w:t>
      </w:r>
      <w:r w:rsidR="002A21D3" w:rsidRPr="00075F5F">
        <w:t>Lindeman 2018</w:t>
      </w:r>
      <w:r w:rsidR="004734F8" w:rsidRPr="00075F5F">
        <w:t xml:space="preserve">). </w:t>
      </w:r>
      <w:r w:rsidRPr="00075F5F">
        <w:t xml:space="preserve">Re-testing may be required in a small minority of patients if </w:t>
      </w:r>
      <w:r w:rsidRPr="00075F5F">
        <w:lastRenderedPageBreak/>
        <w:t xml:space="preserve">insufficient tumour tissue is left in </w:t>
      </w:r>
      <w:r w:rsidR="00740607" w:rsidRPr="00075F5F">
        <w:t xml:space="preserve">the </w:t>
      </w:r>
      <w:r w:rsidRPr="00075F5F">
        <w:t>FFPE</w:t>
      </w:r>
      <w:r>
        <w:t xml:space="preserve"> tissue blocks, if insufficient DNA is able to be extracted from the tumour tissue in the biopsy or if DNA testing is inconclusive. </w:t>
      </w:r>
    </w:p>
    <w:p w14:paraId="670F5789" w14:textId="6E5E4D50" w:rsidR="00791C8D" w:rsidRDefault="00791C8D" w:rsidP="00530204">
      <w:pPr>
        <w:pStyle w:val="Heading2"/>
      </w:pPr>
      <w:r w:rsidRPr="00154B00">
        <w:t xml:space="preserve">If </w:t>
      </w:r>
      <w:r w:rsidRPr="0073597B">
        <w:t>applicable</w:t>
      </w:r>
      <w:r w:rsidRPr="00154B00">
        <w:t xml:space="preserve">, identify any healthcare resources </w:t>
      </w:r>
      <w:r w:rsidR="007522E3">
        <w:t xml:space="preserve">or other medical services </w:t>
      </w:r>
      <w:r w:rsidRPr="00154B00">
        <w:t xml:space="preserve">that would need to be delivered </w:t>
      </w:r>
      <w:r w:rsidRPr="007C2260">
        <w:rPr>
          <w:u w:val="single"/>
        </w:rPr>
        <w:t>at the same time</w:t>
      </w:r>
      <w:r w:rsidRPr="00154B00">
        <w:t xml:space="preserve"> </w:t>
      </w:r>
      <w:r w:rsidR="00197D29">
        <w:t>as the proposed medical service:</w:t>
      </w:r>
    </w:p>
    <w:p w14:paraId="529E01DA" w14:textId="1AA4D4C4" w:rsidR="00791C8D" w:rsidRPr="009B1B0E" w:rsidRDefault="00692B2D" w:rsidP="009B1B0E">
      <w:pPr>
        <w:ind w:left="360"/>
      </w:pPr>
      <w:r>
        <w:t xml:space="preserve">Not applicable. </w:t>
      </w:r>
    </w:p>
    <w:p w14:paraId="12B9F54B" w14:textId="652BDDEA" w:rsidR="00B17E26" w:rsidRDefault="00B17E26" w:rsidP="00530204">
      <w:pPr>
        <w:pStyle w:val="Heading2"/>
      </w:pPr>
      <w:r w:rsidRPr="00154B00">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14:paraId="61E7EFA7" w14:textId="38173307" w:rsidR="00B21426" w:rsidRPr="000F5EB0" w:rsidRDefault="00B21426" w:rsidP="003C0478">
      <w:pPr>
        <w:ind w:left="357"/>
        <w:contextualSpacing/>
      </w:pPr>
      <w:r w:rsidRPr="000F5EB0">
        <w:t xml:space="preserve">A request for </w:t>
      </w:r>
      <w:r>
        <w:t xml:space="preserve">testing for </w:t>
      </w:r>
      <w:r>
        <w:rPr>
          <w:szCs w:val="20"/>
        </w:rPr>
        <w:t xml:space="preserve">genomic alterations in </w:t>
      </w:r>
      <w:r>
        <w:t>tumour tissue f</w:t>
      </w:r>
      <w:r w:rsidR="00E94AA2">
        <w:t>rom</w:t>
      </w:r>
      <w:r>
        <w:t xml:space="preserve"> </w:t>
      </w:r>
      <w:r w:rsidR="00E94AA2">
        <w:t xml:space="preserve">patients with non-squamous or NOS histology </w:t>
      </w:r>
      <w:r>
        <w:t xml:space="preserve">NSCLC </w:t>
      </w:r>
      <w:r w:rsidRPr="000F5EB0">
        <w:t xml:space="preserve">would </w:t>
      </w:r>
      <w:r w:rsidR="00E94AA2">
        <w:t xml:space="preserve">come from the patient’s treating clinician, prior to initiation of therapy. The </w:t>
      </w:r>
      <w:r w:rsidRPr="000F5EB0">
        <w:t xml:space="preserve">most likely </w:t>
      </w:r>
      <w:r w:rsidR="00E94AA2">
        <w:t xml:space="preserve">clinicians making such requests are </w:t>
      </w:r>
      <w:r w:rsidRPr="000F5EB0">
        <w:t>medical oncologist</w:t>
      </w:r>
      <w:r w:rsidR="00E94AA2">
        <w:t>s</w:t>
      </w:r>
      <w:r w:rsidRPr="000F5EB0">
        <w:t xml:space="preserve"> </w:t>
      </w:r>
      <w:r w:rsidR="00E94AA2">
        <w:t xml:space="preserve">and </w:t>
      </w:r>
      <w:r w:rsidRPr="000F5EB0">
        <w:t xml:space="preserve">thoracic medicine </w:t>
      </w:r>
      <w:r w:rsidR="00E94AA2">
        <w:t>physicians</w:t>
      </w:r>
      <w:r w:rsidRPr="000F5EB0">
        <w:t>.</w:t>
      </w:r>
    </w:p>
    <w:p w14:paraId="030403B5" w14:textId="37282875" w:rsidR="00B17E26" w:rsidRPr="009B1B0E" w:rsidRDefault="00B21426" w:rsidP="009B1B0E">
      <w:pPr>
        <w:ind w:left="360"/>
      </w:pPr>
      <w:r>
        <w:t xml:space="preserve">All steps associated with the conduct of </w:t>
      </w:r>
      <w:r w:rsidR="008E6C5F">
        <w:t xml:space="preserve">KRAS pathogenic variant testing </w:t>
      </w:r>
      <w:r>
        <w:t xml:space="preserve">using </w:t>
      </w:r>
      <w:r w:rsidR="008E6C5F">
        <w:t xml:space="preserve">either an </w:t>
      </w:r>
      <w:r>
        <w:t>NGS assay</w:t>
      </w:r>
      <w:r w:rsidR="008E6C5F">
        <w:t xml:space="preserve"> or PCR-based methods</w:t>
      </w:r>
      <w:r>
        <w:t xml:space="preserve"> will</w:t>
      </w:r>
      <w:r w:rsidRPr="000F5EB0">
        <w:t xml:space="preserve"> be performed by pathologist</w:t>
      </w:r>
      <w:r w:rsidR="00EB4C95">
        <w:t xml:space="preserve">s and </w:t>
      </w:r>
      <w:r>
        <w:t>laboratory technician</w:t>
      </w:r>
      <w:r w:rsidR="00EB4C95">
        <w:t>s</w:t>
      </w:r>
      <w:r>
        <w:t xml:space="preserve"> (Approved Pathology Practitioners in Accredited Pathology Laboratories as defined in the MBS Pathology table)</w:t>
      </w:r>
      <w:r w:rsidRPr="000F5EB0">
        <w:t xml:space="preserve"> on the request of the treating clinician, with results of </w:t>
      </w:r>
      <w:r>
        <w:t xml:space="preserve">testing </w:t>
      </w:r>
      <w:r w:rsidRPr="000F5EB0">
        <w:t>being reported back to the treating clinician to guide treatment selection.</w:t>
      </w:r>
    </w:p>
    <w:p w14:paraId="4C0EF8D7" w14:textId="5090266F" w:rsidR="00B17E26" w:rsidRDefault="00B17E26" w:rsidP="00530204">
      <w:pPr>
        <w:pStyle w:val="Heading2"/>
      </w:pPr>
      <w:r w:rsidRPr="00154B00">
        <w:t xml:space="preserve">If applicable, advise whether the proposed medical service could be delegated or referred to another professional </w:t>
      </w:r>
      <w:r w:rsidRPr="0073597B">
        <w:t>for</w:t>
      </w:r>
      <w:r w:rsidRPr="00154B00">
        <w:t xml:space="preserve"> delive</w:t>
      </w:r>
      <w:r w:rsidR="00AE1188">
        <w:t>ry:</w:t>
      </w:r>
    </w:p>
    <w:p w14:paraId="756D31E3" w14:textId="02C46376" w:rsidR="00B17E26" w:rsidRPr="009B1B0E" w:rsidRDefault="00512E3A" w:rsidP="009B1B0E">
      <w:pPr>
        <w:ind w:left="360"/>
      </w:pPr>
      <w:r>
        <w:t xml:space="preserve">Not applicable. </w:t>
      </w:r>
    </w:p>
    <w:p w14:paraId="791FC3E1" w14:textId="6FCEA8A5" w:rsidR="00EA0E25" w:rsidRDefault="00EA0E25" w:rsidP="00530204">
      <w:pPr>
        <w:pStyle w:val="Heading2"/>
      </w:pPr>
      <w:r w:rsidRPr="00154B00">
        <w:t xml:space="preserve">If applicable, </w:t>
      </w:r>
      <w:r w:rsidRPr="0073597B">
        <w:t>specify</w:t>
      </w:r>
      <w:r w:rsidRPr="00154B00">
        <w:t xml:space="preserve"> any proposed limitations on who might deliver the proposed medical service, or who </w:t>
      </w:r>
      <w:r w:rsidR="00AE1188">
        <w:t>might provide a referral for it:</w:t>
      </w:r>
    </w:p>
    <w:p w14:paraId="4DFD4E68" w14:textId="432854EC" w:rsidR="000B6008" w:rsidRPr="009B1B0E" w:rsidRDefault="007611B6" w:rsidP="009B1B0E">
      <w:pPr>
        <w:autoSpaceDE w:val="0"/>
        <w:autoSpaceDN w:val="0"/>
        <w:adjustRightInd w:val="0"/>
        <w:spacing w:before="0" w:after="0"/>
        <w:ind w:left="360"/>
        <w:rPr>
          <w:rFonts w:ascii="CIDFont+F1" w:hAnsi="CIDFont+F1" w:cs="CIDFont+F1"/>
          <w:sz w:val="19"/>
          <w:szCs w:val="19"/>
        </w:rPr>
      </w:pPr>
      <w:r>
        <w:rPr>
          <w:rFonts w:ascii="CIDFont+F1" w:hAnsi="CIDFont+F1" w:cs="CIDFont+F1"/>
          <w:sz w:val="19"/>
          <w:szCs w:val="19"/>
        </w:rPr>
        <w:t>Testing would continue to be delivered by Approved Pathology Practitioners in Accredited Pathology</w:t>
      </w:r>
      <w:r w:rsidR="000B6008">
        <w:rPr>
          <w:rFonts w:ascii="CIDFont+F1" w:hAnsi="CIDFont+F1" w:cs="CIDFont+F1"/>
          <w:sz w:val="19"/>
          <w:szCs w:val="19"/>
        </w:rPr>
        <w:t xml:space="preserve"> </w:t>
      </w:r>
      <w:r>
        <w:rPr>
          <w:rFonts w:ascii="CIDFont+F1" w:hAnsi="CIDFont+F1" w:cs="CIDFont+F1"/>
          <w:sz w:val="19"/>
          <w:szCs w:val="19"/>
        </w:rPr>
        <w:t xml:space="preserve">Laboratories (as defined in MBS Pathology table) by referral only </w:t>
      </w:r>
      <w:r>
        <w:rPr>
          <w:rFonts w:ascii="CIDFont+F1" w:hAnsi="CIDFont+F1" w:cs="CIDFont+F1"/>
          <w:sz w:val="19"/>
          <w:szCs w:val="19"/>
        </w:rPr>
        <w:lastRenderedPageBreak/>
        <w:t>by registered Medical Practitioners (non</w:t>
      </w:r>
      <w:r w:rsidR="00EB4C95">
        <w:rPr>
          <w:rFonts w:ascii="CIDFont+F1" w:hAnsi="CIDFont+F1" w:cs="CIDFont+F1"/>
          <w:sz w:val="19"/>
          <w:szCs w:val="19"/>
        </w:rPr>
        <w:t>-</w:t>
      </w:r>
      <w:r>
        <w:rPr>
          <w:rFonts w:ascii="CIDFont+F1" w:hAnsi="CIDFont+F1" w:cs="CIDFont+F1"/>
          <w:sz w:val="19"/>
          <w:szCs w:val="19"/>
        </w:rPr>
        <w:t>pathologists)</w:t>
      </w:r>
      <w:r w:rsidR="000B6008">
        <w:rPr>
          <w:rFonts w:ascii="CIDFont+F1" w:hAnsi="CIDFont+F1" w:cs="CIDFont+F1"/>
          <w:sz w:val="19"/>
          <w:szCs w:val="19"/>
        </w:rPr>
        <w:t xml:space="preserve"> </w:t>
      </w:r>
      <w:r>
        <w:rPr>
          <w:rFonts w:ascii="CIDFont+F1" w:hAnsi="CIDFont+F1" w:cs="CIDFont+F1"/>
          <w:sz w:val="19"/>
          <w:szCs w:val="19"/>
        </w:rPr>
        <w:t>in line with other tests in the MBS Pathology Table.</w:t>
      </w:r>
      <w:r w:rsidR="000B6008">
        <w:rPr>
          <w:rFonts w:ascii="CIDFont+F1" w:hAnsi="CIDFont+F1" w:cs="CIDFont+F1"/>
          <w:sz w:val="19"/>
          <w:szCs w:val="19"/>
        </w:rPr>
        <w:t xml:space="preserve"> </w:t>
      </w:r>
    </w:p>
    <w:p w14:paraId="70972F32" w14:textId="678B3C96" w:rsidR="00EA0E25" w:rsidRDefault="00EA0E25" w:rsidP="000B6008">
      <w:pPr>
        <w:pStyle w:val="Heading2"/>
      </w:pPr>
      <w:r w:rsidRPr="00154B00">
        <w:t xml:space="preserve">If applicable, advise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3904AC">
        <w:t>,</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14:paraId="63A03B74" w14:textId="6E594A07" w:rsidR="00EB4C95" w:rsidRPr="00EB4C95" w:rsidRDefault="00EB4C95" w:rsidP="003C0478">
      <w:r>
        <w:t xml:space="preserve">Testing for genomic alterations in tumour tissue from patients with non-squamous and NOS histology NSCLC is already well established and occurring in clinical practice in Australia in both public hospital laboratories and private pathology laboratory networks. Therefore no additional qualifications or formal training would be required for molecular testing either by NGS or PCR-based methods in these laboratories. It must be noted however that all laboratories performing molecular testing whether by NGS or PCR-based methods so as to guide patient management at the initiation of treatment must hold the appropriate accreditations to do so. </w:t>
      </w:r>
      <w:r w:rsidR="00124D49">
        <w:t>NGS testing must be performed in line with the standards set out in the “Requirements for human medical genome testing utilising massively parallel sequencing technologies” document (NPACC 2017). Similarly PCR testing must be performed in line with the standards set out in the “Requirements for medical testing of human nucleic acids” document (NPACC 2013)</w:t>
      </w:r>
      <w:r>
        <w:t xml:space="preserve">. </w:t>
      </w:r>
      <w:r w:rsidR="00124D49">
        <w:t>Additionally, both public and private laboratories must submit to audits of testing standards so as to receive accreditation from the National Association of Testing Authorities (NATA) and must also take part in</w:t>
      </w:r>
      <w:r w:rsidR="00DA349D">
        <w:t xml:space="preserve"> and demonstrate proficiency to</w:t>
      </w:r>
      <w:r w:rsidR="00124D49">
        <w:t xml:space="preserve"> the molecular arm of the Quality Assurance Programme run by the College of </w:t>
      </w:r>
      <w:r w:rsidR="00DA349D">
        <w:t xml:space="preserve">Pathologists of Australasia. </w:t>
      </w:r>
    </w:p>
    <w:p w14:paraId="118236A8" w14:textId="77777777" w:rsidR="005F3F07" w:rsidRDefault="00B938CD" w:rsidP="00530204">
      <w:pPr>
        <w:pStyle w:val="Heading2"/>
      </w:pPr>
      <w:r>
        <w:t xml:space="preserve"> </w:t>
      </w:r>
      <w:r w:rsidR="005C3AE7">
        <w:t>(</w:t>
      </w:r>
      <w:proofErr w:type="gramStart"/>
      <w:r w:rsidR="005C3AE7">
        <w:t>a</w:t>
      </w:r>
      <w:proofErr w:type="gramEnd"/>
      <w:r w:rsidR="005C3AE7">
        <w:t xml:space="preserve">) </w:t>
      </w:r>
      <w:r w:rsidR="005F3F07" w:rsidRPr="00154B00">
        <w:t>Indicate the proposed setting</w:t>
      </w:r>
      <w:r w:rsidR="00D30BDC">
        <w:t>(</w:t>
      </w:r>
      <w:r w:rsidR="005F3F07" w:rsidRPr="00154B00">
        <w:t>s</w:t>
      </w:r>
      <w:r w:rsidR="00D30BDC">
        <w:t>)</w:t>
      </w:r>
      <w:r w:rsidR="005F3F07" w:rsidRPr="00154B00">
        <w:t xml:space="preserve"> in which the proposed medical service will be delivered</w:t>
      </w:r>
      <w:r w:rsidR="00D30BDC">
        <w:t xml:space="preserve"> (select </w:t>
      </w:r>
      <w:r w:rsidR="0079354C" w:rsidRPr="0079354C">
        <w:rPr>
          <w:u w:val="single"/>
        </w:rPr>
        <w:t>ALL</w:t>
      </w:r>
      <w:r w:rsidR="0079354C">
        <w:t xml:space="preserve"> </w:t>
      </w:r>
      <w:r w:rsidR="00D30BDC">
        <w:t>relevant settings)</w:t>
      </w:r>
      <w:r w:rsidR="00AE1188">
        <w:t>:</w:t>
      </w:r>
    </w:p>
    <w:p w14:paraId="4B7774EA"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77575">
        <w:rPr>
          <w:szCs w:val="20"/>
        </w:rPr>
      </w:r>
      <w:r w:rsidR="00577575">
        <w:rPr>
          <w:szCs w:val="20"/>
        </w:rPr>
        <w:fldChar w:fldCharType="separate"/>
      </w:r>
      <w:r w:rsidRPr="000A5B32">
        <w:rPr>
          <w:szCs w:val="20"/>
        </w:rPr>
        <w:fldChar w:fldCharType="end"/>
      </w:r>
      <w:r>
        <w:rPr>
          <w:szCs w:val="20"/>
        </w:rPr>
        <w:t xml:space="preserve"> </w:t>
      </w:r>
      <w:r>
        <w:t>Inpatient private hospital</w:t>
      </w:r>
      <w:r w:rsidR="0079354C">
        <w:t xml:space="preserve"> (admitted patient)</w:t>
      </w:r>
    </w:p>
    <w:p w14:paraId="40CD2374"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77575">
        <w:rPr>
          <w:szCs w:val="20"/>
        </w:rPr>
      </w:r>
      <w:r w:rsidR="00577575">
        <w:rPr>
          <w:szCs w:val="20"/>
        </w:rPr>
        <w:fldChar w:fldCharType="separate"/>
      </w:r>
      <w:r w:rsidRPr="000A5B32">
        <w:rPr>
          <w:szCs w:val="20"/>
        </w:rPr>
        <w:fldChar w:fldCharType="end"/>
      </w:r>
      <w:r>
        <w:rPr>
          <w:szCs w:val="20"/>
        </w:rPr>
        <w:t xml:space="preserve"> </w:t>
      </w:r>
      <w:r>
        <w:t>Inpatient public hospital</w:t>
      </w:r>
      <w:r w:rsidR="0079354C">
        <w:t xml:space="preserve"> (admitted patient)</w:t>
      </w:r>
    </w:p>
    <w:p w14:paraId="18D5E8F1" w14:textId="77777777" w:rsidR="000A478F" w:rsidRDefault="000A478F" w:rsidP="000A478F">
      <w:pPr>
        <w:spacing w:before="0" w:after="0"/>
        <w:ind w:left="426"/>
      </w:pPr>
      <w:r w:rsidRPr="000A5B32">
        <w:rPr>
          <w:szCs w:val="20"/>
        </w:rPr>
        <w:lastRenderedPageBreak/>
        <w:fldChar w:fldCharType="begin">
          <w:ffData>
            <w:name w:val="Check1"/>
            <w:enabled/>
            <w:calcOnExit w:val="0"/>
            <w:checkBox>
              <w:sizeAuto/>
              <w:default w:val="0"/>
            </w:checkBox>
          </w:ffData>
        </w:fldChar>
      </w:r>
      <w:r w:rsidRPr="000A5B32">
        <w:rPr>
          <w:szCs w:val="20"/>
        </w:rPr>
        <w:instrText xml:space="preserve"> FORMCHECKBOX </w:instrText>
      </w:r>
      <w:r w:rsidR="00577575">
        <w:rPr>
          <w:szCs w:val="20"/>
        </w:rPr>
      </w:r>
      <w:r w:rsidR="00577575">
        <w:rPr>
          <w:szCs w:val="20"/>
        </w:rPr>
        <w:fldChar w:fldCharType="separate"/>
      </w:r>
      <w:r w:rsidRPr="000A5B32">
        <w:rPr>
          <w:szCs w:val="20"/>
        </w:rPr>
        <w:fldChar w:fldCharType="end"/>
      </w:r>
      <w:r>
        <w:rPr>
          <w:szCs w:val="20"/>
        </w:rPr>
        <w:t xml:space="preserve"> </w:t>
      </w:r>
      <w:r w:rsidR="003904AC">
        <w:rPr>
          <w:szCs w:val="20"/>
        </w:rPr>
        <w:t>Private o</w:t>
      </w:r>
      <w:r>
        <w:t>utpatient clinic</w:t>
      </w:r>
    </w:p>
    <w:p w14:paraId="61562A2F" w14:textId="77777777" w:rsidR="0079354C" w:rsidRDefault="0079354C" w:rsidP="000A478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77575">
        <w:rPr>
          <w:szCs w:val="20"/>
        </w:rPr>
      </w:r>
      <w:r w:rsidR="00577575">
        <w:rPr>
          <w:szCs w:val="20"/>
        </w:rPr>
        <w:fldChar w:fldCharType="separate"/>
      </w:r>
      <w:r w:rsidRPr="000A5B32">
        <w:rPr>
          <w:szCs w:val="20"/>
        </w:rPr>
        <w:fldChar w:fldCharType="end"/>
      </w:r>
      <w:r>
        <w:rPr>
          <w:szCs w:val="20"/>
        </w:rPr>
        <w:t xml:space="preserve"> Public outpatient clinic</w:t>
      </w:r>
    </w:p>
    <w:p w14:paraId="419D3599"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77575">
        <w:rPr>
          <w:szCs w:val="20"/>
        </w:rPr>
      </w:r>
      <w:r w:rsidR="00577575">
        <w:rPr>
          <w:szCs w:val="20"/>
        </w:rPr>
        <w:fldChar w:fldCharType="separate"/>
      </w:r>
      <w:r w:rsidRPr="000A5B32">
        <w:rPr>
          <w:szCs w:val="20"/>
        </w:rPr>
        <w:fldChar w:fldCharType="end"/>
      </w:r>
      <w:r>
        <w:rPr>
          <w:szCs w:val="20"/>
        </w:rPr>
        <w:t xml:space="preserve"> </w:t>
      </w:r>
      <w:r>
        <w:t>Emergency Department</w:t>
      </w:r>
    </w:p>
    <w:p w14:paraId="471E1755"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77575">
        <w:rPr>
          <w:szCs w:val="20"/>
        </w:rPr>
      </w:r>
      <w:r w:rsidR="00577575">
        <w:rPr>
          <w:szCs w:val="20"/>
        </w:rPr>
        <w:fldChar w:fldCharType="separate"/>
      </w:r>
      <w:r w:rsidRPr="000A5B32">
        <w:rPr>
          <w:szCs w:val="20"/>
        </w:rPr>
        <w:fldChar w:fldCharType="end"/>
      </w:r>
      <w:r>
        <w:rPr>
          <w:szCs w:val="20"/>
        </w:rPr>
        <w:t xml:space="preserve"> </w:t>
      </w:r>
      <w:r w:rsidR="003904AC">
        <w:rPr>
          <w:szCs w:val="20"/>
        </w:rPr>
        <w:t xml:space="preserve">Private </w:t>
      </w:r>
      <w:r w:rsidR="0079354C">
        <w:t>c</w:t>
      </w:r>
      <w:r>
        <w:t>onsulting rooms</w:t>
      </w:r>
      <w:r w:rsidR="0079354C">
        <w:t xml:space="preserve"> - GP</w:t>
      </w:r>
    </w:p>
    <w:p w14:paraId="6871EF2B" w14:textId="77777777" w:rsidR="0079354C" w:rsidRDefault="0079354C" w:rsidP="000A478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77575">
        <w:rPr>
          <w:szCs w:val="20"/>
        </w:rPr>
      </w:r>
      <w:r w:rsidR="00577575">
        <w:rPr>
          <w:szCs w:val="20"/>
        </w:rPr>
        <w:fldChar w:fldCharType="separate"/>
      </w:r>
      <w:r w:rsidRPr="000A5B32">
        <w:rPr>
          <w:szCs w:val="20"/>
        </w:rPr>
        <w:fldChar w:fldCharType="end"/>
      </w:r>
      <w:r>
        <w:rPr>
          <w:szCs w:val="20"/>
        </w:rPr>
        <w:t xml:space="preserve"> Private consulting rooms – specialist</w:t>
      </w:r>
    </w:p>
    <w:p w14:paraId="75F135E9"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77575">
        <w:rPr>
          <w:szCs w:val="20"/>
        </w:rPr>
      </w:r>
      <w:r w:rsidR="00577575">
        <w:rPr>
          <w:szCs w:val="20"/>
        </w:rPr>
        <w:fldChar w:fldCharType="separate"/>
      </w:r>
      <w:r w:rsidRPr="000A5B32">
        <w:rPr>
          <w:szCs w:val="20"/>
        </w:rPr>
        <w:fldChar w:fldCharType="end"/>
      </w:r>
      <w:r>
        <w:rPr>
          <w:szCs w:val="20"/>
        </w:rPr>
        <w:t xml:space="preserve"> Private consulting rooms – other health practitioner (nurse or allied health)</w:t>
      </w:r>
    </w:p>
    <w:p w14:paraId="41AE1E0F"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77575">
        <w:rPr>
          <w:szCs w:val="20"/>
        </w:rPr>
      </w:r>
      <w:r w:rsidR="00577575">
        <w:rPr>
          <w:szCs w:val="20"/>
        </w:rPr>
        <w:fldChar w:fldCharType="separate"/>
      </w:r>
      <w:r w:rsidRPr="000A5B32">
        <w:rPr>
          <w:szCs w:val="20"/>
        </w:rPr>
        <w:fldChar w:fldCharType="end"/>
      </w:r>
      <w:r>
        <w:rPr>
          <w:szCs w:val="20"/>
        </w:rPr>
        <w:t xml:space="preserve"> </w:t>
      </w:r>
      <w:r w:rsidR="0079354C">
        <w:rPr>
          <w:szCs w:val="20"/>
        </w:rPr>
        <w:t xml:space="preserve">Private </w:t>
      </w:r>
      <w:proofErr w:type="gramStart"/>
      <w:r w:rsidR="0079354C">
        <w:rPr>
          <w:szCs w:val="20"/>
        </w:rPr>
        <w:t>d</w:t>
      </w:r>
      <w:r>
        <w:t>ay</w:t>
      </w:r>
      <w:proofErr w:type="gramEnd"/>
      <w:r>
        <w:t xml:space="preserve"> surgery c</w:t>
      </w:r>
      <w:r w:rsidR="0079354C">
        <w:t>linic (admitted patient)</w:t>
      </w:r>
    </w:p>
    <w:p w14:paraId="4FC40D60"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77575">
        <w:rPr>
          <w:szCs w:val="20"/>
        </w:rPr>
      </w:r>
      <w:r w:rsidR="00577575">
        <w:rPr>
          <w:szCs w:val="20"/>
        </w:rPr>
        <w:fldChar w:fldCharType="separate"/>
      </w:r>
      <w:r w:rsidRPr="000A5B32">
        <w:rPr>
          <w:szCs w:val="20"/>
        </w:rPr>
        <w:fldChar w:fldCharType="end"/>
      </w:r>
      <w:r>
        <w:rPr>
          <w:szCs w:val="20"/>
        </w:rPr>
        <w:t xml:space="preserve"> Private </w:t>
      </w:r>
      <w:proofErr w:type="gramStart"/>
      <w:r>
        <w:rPr>
          <w:szCs w:val="20"/>
        </w:rPr>
        <w:t>day</w:t>
      </w:r>
      <w:proofErr w:type="gramEnd"/>
      <w:r>
        <w:rPr>
          <w:szCs w:val="20"/>
        </w:rPr>
        <w:t xml:space="preserve"> surgery clinic (non-admitted patient)</w:t>
      </w:r>
    </w:p>
    <w:p w14:paraId="2F41F33E" w14:textId="77777777" w:rsidR="0079354C" w:rsidRDefault="0079354C" w:rsidP="000A478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77575">
        <w:rPr>
          <w:szCs w:val="20"/>
        </w:rPr>
      </w:r>
      <w:r w:rsidR="00577575">
        <w:rPr>
          <w:szCs w:val="20"/>
        </w:rPr>
        <w:fldChar w:fldCharType="separate"/>
      </w:r>
      <w:r w:rsidRPr="000A5B32">
        <w:rPr>
          <w:szCs w:val="20"/>
        </w:rPr>
        <w:fldChar w:fldCharType="end"/>
      </w:r>
      <w:r>
        <w:rPr>
          <w:szCs w:val="20"/>
        </w:rPr>
        <w:t xml:space="preserve"> Public day surgery clinic (admitted patient)</w:t>
      </w:r>
    </w:p>
    <w:p w14:paraId="101D636C"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77575">
        <w:rPr>
          <w:szCs w:val="20"/>
        </w:rPr>
      </w:r>
      <w:r w:rsidR="00577575">
        <w:rPr>
          <w:szCs w:val="20"/>
        </w:rPr>
        <w:fldChar w:fldCharType="separate"/>
      </w:r>
      <w:r w:rsidRPr="000A5B32">
        <w:rPr>
          <w:szCs w:val="20"/>
        </w:rPr>
        <w:fldChar w:fldCharType="end"/>
      </w:r>
      <w:r>
        <w:rPr>
          <w:szCs w:val="20"/>
        </w:rPr>
        <w:t xml:space="preserve"> Public day surgery clinic (non-admitted patient)</w:t>
      </w:r>
    </w:p>
    <w:p w14:paraId="527BEE2A"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77575">
        <w:rPr>
          <w:szCs w:val="20"/>
        </w:rPr>
      </w:r>
      <w:r w:rsidR="00577575">
        <w:rPr>
          <w:szCs w:val="20"/>
        </w:rPr>
        <w:fldChar w:fldCharType="separate"/>
      </w:r>
      <w:r w:rsidRPr="000A5B32">
        <w:rPr>
          <w:szCs w:val="20"/>
        </w:rPr>
        <w:fldChar w:fldCharType="end"/>
      </w:r>
      <w:r>
        <w:rPr>
          <w:szCs w:val="20"/>
        </w:rPr>
        <w:t xml:space="preserve"> </w:t>
      </w:r>
      <w:r>
        <w:t>Residential aged care facility</w:t>
      </w:r>
    </w:p>
    <w:p w14:paraId="776CA97B"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77575">
        <w:rPr>
          <w:szCs w:val="20"/>
        </w:rPr>
      </w:r>
      <w:r w:rsidR="00577575">
        <w:rPr>
          <w:szCs w:val="20"/>
        </w:rPr>
        <w:fldChar w:fldCharType="separate"/>
      </w:r>
      <w:r w:rsidRPr="000A5B32">
        <w:rPr>
          <w:szCs w:val="20"/>
        </w:rPr>
        <w:fldChar w:fldCharType="end"/>
      </w:r>
      <w:r>
        <w:rPr>
          <w:szCs w:val="20"/>
        </w:rPr>
        <w:t xml:space="preserve"> </w:t>
      </w:r>
      <w:r>
        <w:t>Patient’s home</w:t>
      </w:r>
    </w:p>
    <w:p w14:paraId="1EAEC6ED" w14:textId="77777777" w:rsidR="000A478F" w:rsidRDefault="00B938CD"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577575">
        <w:rPr>
          <w:szCs w:val="20"/>
        </w:rPr>
      </w:r>
      <w:r w:rsidR="00577575">
        <w:rPr>
          <w:szCs w:val="20"/>
        </w:rPr>
        <w:fldChar w:fldCharType="separate"/>
      </w:r>
      <w:r>
        <w:rPr>
          <w:szCs w:val="20"/>
        </w:rPr>
        <w:fldChar w:fldCharType="end"/>
      </w:r>
      <w:r w:rsidR="000A478F">
        <w:rPr>
          <w:szCs w:val="20"/>
        </w:rPr>
        <w:t xml:space="preserve"> </w:t>
      </w:r>
      <w:r w:rsidR="000A478F">
        <w:t>Laboratory</w:t>
      </w:r>
    </w:p>
    <w:p w14:paraId="321233A9" w14:textId="77777777" w:rsidR="000A478F" w:rsidRP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77575">
        <w:rPr>
          <w:szCs w:val="20"/>
        </w:rPr>
      </w:r>
      <w:r w:rsidR="00577575">
        <w:rPr>
          <w:szCs w:val="20"/>
        </w:rPr>
        <w:fldChar w:fldCharType="separate"/>
      </w:r>
      <w:r w:rsidRPr="000A5B32">
        <w:rPr>
          <w:szCs w:val="20"/>
        </w:rPr>
        <w:fldChar w:fldCharType="end"/>
      </w:r>
      <w:r>
        <w:rPr>
          <w:szCs w:val="20"/>
        </w:rPr>
        <w:t xml:space="preserve"> </w:t>
      </w:r>
      <w:r>
        <w:t>Other – please specify below</w:t>
      </w:r>
    </w:p>
    <w:p w14:paraId="7F54B1C2" w14:textId="64D02840" w:rsidR="005F3F07" w:rsidRDefault="005F3F07" w:rsidP="0073597B">
      <w:pPr>
        <w:ind w:left="426"/>
        <w:rPr>
          <w:b/>
          <w:szCs w:val="20"/>
        </w:rPr>
      </w:pPr>
    </w:p>
    <w:p w14:paraId="6F3457BC" w14:textId="77777777" w:rsidR="003433D1" w:rsidRPr="005C3AE7" w:rsidRDefault="00E048ED" w:rsidP="005C3AE7">
      <w:pPr>
        <w:pStyle w:val="ListParagraph"/>
        <w:numPr>
          <w:ilvl w:val="0"/>
          <w:numId w:val="29"/>
        </w:numPr>
        <w:rPr>
          <w:b/>
          <w:szCs w:val="20"/>
        </w:rPr>
      </w:pPr>
      <w:r w:rsidRPr="005C3AE7">
        <w:rPr>
          <w:b/>
          <w:szCs w:val="20"/>
        </w:rPr>
        <w:t>Where the proposed medical service is provided in more than one setting, please describ</w:t>
      </w:r>
      <w:r w:rsidR="00AE1188" w:rsidRPr="005C3AE7">
        <w:rPr>
          <w:b/>
          <w:szCs w:val="20"/>
        </w:rPr>
        <w:t>e the rationale related to each:</w:t>
      </w:r>
    </w:p>
    <w:p w14:paraId="4616B5AB" w14:textId="77777777" w:rsidR="0073597B" w:rsidRDefault="00052897" w:rsidP="0073597B">
      <w:pPr>
        <w:ind w:left="426"/>
        <w:rPr>
          <w:b/>
          <w:szCs w:val="20"/>
        </w:rPr>
      </w:pPr>
      <w:r>
        <w:t>Not applicable</w:t>
      </w:r>
    </w:p>
    <w:p w14:paraId="70442A06" w14:textId="77777777" w:rsidR="003E30FB" w:rsidRDefault="003E30FB" w:rsidP="00530204">
      <w:pPr>
        <w:pStyle w:val="Heading2"/>
      </w:pPr>
      <w:r>
        <w:t xml:space="preserve">Is the </w:t>
      </w:r>
      <w:r w:rsidRPr="001B29A1">
        <w:t>proposed</w:t>
      </w:r>
      <w:r>
        <w:t xml:space="preserve"> medical service intended to be entirely rendered in Australia?</w:t>
      </w:r>
    </w:p>
    <w:p w14:paraId="020D1E45" w14:textId="77777777" w:rsidR="000A478F" w:rsidRDefault="00B938CD" w:rsidP="000A478F">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577575">
        <w:rPr>
          <w:szCs w:val="20"/>
        </w:rPr>
      </w:r>
      <w:r w:rsidR="00577575">
        <w:rPr>
          <w:szCs w:val="20"/>
        </w:rPr>
        <w:fldChar w:fldCharType="separate"/>
      </w:r>
      <w:r>
        <w:rPr>
          <w:szCs w:val="20"/>
        </w:rPr>
        <w:fldChar w:fldCharType="end"/>
      </w:r>
      <w:r w:rsidR="000A478F">
        <w:rPr>
          <w:szCs w:val="20"/>
        </w:rPr>
        <w:t xml:space="preserve"> Yes</w:t>
      </w:r>
    </w:p>
    <w:p w14:paraId="4C4EFABB" w14:textId="77777777" w:rsidR="000A478F" w:rsidRPr="00753C44" w:rsidRDefault="000A478F" w:rsidP="000A478F">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577575">
        <w:rPr>
          <w:szCs w:val="20"/>
        </w:rPr>
      </w:r>
      <w:r w:rsidR="00577575">
        <w:rPr>
          <w:szCs w:val="20"/>
        </w:rPr>
        <w:fldChar w:fldCharType="separate"/>
      </w:r>
      <w:r w:rsidRPr="00753C44">
        <w:rPr>
          <w:szCs w:val="20"/>
        </w:rPr>
        <w:fldChar w:fldCharType="end"/>
      </w:r>
      <w:r>
        <w:rPr>
          <w:szCs w:val="20"/>
        </w:rPr>
        <w:t xml:space="preserve"> No</w:t>
      </w:r>
      <w:r w:rsidR="00C4696B">
        <w:rPr>
          <w:szCs w:val="20"/>
        </w:rPr>
        <w:t xml:space="preserve"> – please specify below</w:t>
      </w:r>
    </w:p>
    <w:p w14:paraId="0CF5C496" w14:textId="20A50B39" w:rsidR="003E30FB" w:rsidRPr="000A478F" w:rsidRDefault="003E30FB" w:rsidP="000A478F">
      <w:pPr>
        <w:ind w:left="426"/>
      </w:pPr>
    </w:p>
    <w:p w14:paraId="0A329A31" w14:textId="77777777" w:rsidR="00E60529" w:rsidRPr="00881F93" w:rsidRDefault="005C3AE7" w:rsidP="00D931E4">
      <w:pPr>
        <w:pStyle w:val="Subtitle"/>
        <w:ind w:left="0"/>
      </w:pPr>
      <w:r>
        <w:t xml:space="preserve">PART 6c – </w:t>
      </w:r>
      <w:r w:rsidR="00E60529" w:rsidRPr="00881F93">
        <w:t>INFORMATION ABOUT THE COMPARATOR</w:t>
      </w:r>
      <w:r w:rsidR="00A83EC6" w:rsidRPr="00881F93">
        <w:t>(S)</w:t>
      </w:r>
    </w:p>
    <w:p w14:paraId="525203CB" w14:textId="17AAB680" w:rsidR="00E60529" w:rsidRDefault="00A83EC6" w:rsidP="00530204">
      <w:pPr>
        <w:pStyle w:val="Heading2"/>
      </w:pPr>
      <w:r w:rsidRPr="00154B00">
        <w:t>Nominate the appropriate comparator(s) for the proposed medical service</w:t>
      </w:r>
      <w:r w:rsidR="00757232">
        <w:t xml:space="preserve">, </w:t>
      </w:r>
      <w:r w:rsidR="00C806F4">
        <w:t>i.</w:t>
      </w:r>
      <w:r w:rsidR="00C806F4" w:rsidRPr="00154B00">
        <w:t>e.,</w:t>
      </w:r>
      <w:r w:rsidR="000159B9" w:rsidRPr="00154B00">
        <w:t xml:space="preserve"> how is the proposed </w:t>
      </w:r>
      <w:r w:rsidR="000159B9" w:rsidRPr="001B29A1">
        <w:t>population</w:t>
      </w:r>
      <w:r w:rsidR="000159B9" w:rsidRPr="00154B00">
        <w:t xml:space="preserve"> currently managed in </w:t>
      </w:r>
      <w:r w:rsidR="00707D4D">
        <w:t>the</w:t>
      </w:r>
      <w:r w:rsidR="000159B9" w:rsidRPr="00154B00">
        <w:t xml:space="preserve"> absence of the </w:t>
      </w:r>
      <w:r w:rsidR="000159B9" w:rsidRPr="00154B00">
        <w:lastRenderedPageBreak/>
        <w:t xml:space="preserve">proposed medical service </w:t>
      </w:r>
      <w:r w:rsidR="00257FF2" w:rsidRPr="00154B00">
        <w:t>being available in the Australian health care system (</w:t>
      </w:r>
      <w:r w:rsidR="00757232">
        <w:t xml:space="preserve">including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14:paraId="77F3C209" w14:textId="5372608D" w:rsidR="00ED16D4" w:rsidRPr="00075F5F" w:rsidRDefault="00ED16D4">
      <w:r w:rsidRPr="00CE4980">
        <w:rPr>
          <w:b/>
          <w:bCs/>
          <w:u w:val="single"/>
        </w:rPr>
        <w:t>Test</w:t>
      </w:r>
      <w:r w:rsidRPr="00CE4980">
        <w:rPr>
          <w:b/>
          <w:bCs/>
        </w:rPr>
        <w:t>:</w:t>
      </w:r>
      <w:r w:rsidRPr="00075F5F">
        <w:t xml:space="preserve"> </w:t>
      </w:r>
      <w:r w:rsidR="00AC784D" w:rsidRPr="00075F5F">
        <w:t xml:space="preserve">No testing, </w:t>
      </w:r>
      <w:r w:rsidR="00C806F4" w:rsidRPr="00075F5F">
        <w:t>i.e.,</w:t>
      </w:r>
      <w:r w:rsidR="00AC784D" w:rsidRPr="00075F5F">
        <w:t xml:space="preserve"> Medicare Benefits Schedule (MBS) item 73337 in its current format, which has no explicit inclusion of KRAS G12C</w:t>
      </w:r>
      <w:r w:rsidR="00AC784D" w:rsidRPr="00075F5F">
        <w:rPr>
          <w:iCs/>
        </w:rPr>
        <w:t xml:space="preserve"> </w:t>
      </w:r>
      <w:r w:rsidR="00DA349D" w:rsidRPr="00075F5F">
        <w:rPr>
          <w:iCs/>
        </w:rPr>
        <w:t xml:space="preserve">pathogenic </w:t>
      </w:r>
      <w:r w:rsidR="00AC784D" w:rsidRPr="00075F5F">
        <w:t xml:space="preserve">variant testing in NSCLC, and no reference to </w:t>
      </w:r>
      <w:proofErr w:type="spellStart"/>
      <w:r w:rsidR="00AC784D" w:rsidRPr="00075F5F">
        <w:t>sotorasib</w:t>
      </w:r>
      <w:proofErr w:type="spellEnd"/>
      <w:r w:rsidR="00AC784D" w:rsidRPr="00075F5F">
        <w:t>.</w:t>
      </w:r>
    </w:p>
    <w:p w14:paraId="2F687337" w14:textId="50E65A6C" w:rsidR="00E60529" w:rsidRPr="009B1B0E" w:rsidRDefault="00ED16D4" w:rsidP="009B1B0E">
      <w:r w:rsidRPr="00075F5F">
        <w:rPr>
          <w:b/>
          <w:u w:val="single"/>
        </w:rPr>
        <w:t>Drug</w:t>
      </w:r>
      <w:r w:rsidRPr="00075F5F">
        <w:rPr>
          <w:b/>
        </w:rPr>
        <w:t>:</w:t>
      </w:r>
      <w:r w:rsidRPr="00075F5F">
        <w:t xml:space="preserve"> Docetaxel which is standard of care second-line therapy in patients without a currently actionable biomarker.</w:t>
      </w:r>
      <w:r>
        <w:t xml:space="preserve"> </w:t>
      </w:r>
    </w:p>
    <w:p w14:paraId="5518D11B" w14:textId="1F2122D6" w:rsidR="00757232" w:rsidRDefault="00AF5D1E" w:rsidP="00530204">
      <w:pPr>
        <w:pStyle w:val="Heading2"/>
      </w:pPr>
      <w:r w:rsidRPr="00154B00">
        <w:t xml:space="preserve">Does the </w:t>
      </w:r>
      <w:r w:rsidRPr="001B29A1">
        <w:t>medical</w:t>
      </w:r>
      <w:r w:rsidRPr="00154B00">
        <w:t xml:space="preserve"> service </w:t>
      </w:r>
      <w:r w:rsidR="003904AC">
        <w:t>(</w:t>
      </w:r>
      <w:r w:rsidRPr="00154B00">
        <w:t>that has been nominated as the comparator</w:t>
      </w:r>
      <w:r w:rsidR="003904AC">
        <w:t>)</w:t>
      </w:r>
      <w:r w:rsidR="000159B9" w:rsidRPr="00154B00">
        <w:t xml:space="preserve"> </w:t>
      </w:r>
      <w:r w:rsidRPr="00154B00">
        <w:t>have an existing MBS item number</w:t>
      </w:r>
      <w:r w:rsidR="00D30BDC">
        <w:t>(s)</w:t>
      </w:r>
      <w:r w:rsidR="00757232">
        <w:t>?</w:t>
      </w:r>
    </w:p>
    <w:p w14:paraId="341AE7A1" w14:textId="7C9EEB85" w:rsidR="006A1038" w:rsidRDefault="00AC784D" w:rsidP="006A1038">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577575">
        <w:rPr>
          <w:szCs w:val="20"/>
        </w:rPr>
      </w:r>
      <w:r w:rsidR="00577575">
        <w:rPr>
          <w:szCs w:val="20"/>
        </w:rPr>
        <w:fldChar w:fldCharType="separate"/>
      </w:r>
      <w:r>
        <w:rPr>
          <w:szCs w:val="20"/>
        </w:rPr>
        <w:fldChar w:fldCharType="end"/>
      </w:r>
      <w:r w:rsidR="006A1038">
        <w:rPr>
          <w:szCs w:val="20"/>
        </w:rPr>
        <w:t xml:space="preserve"> Yes (please </w:t>
      </w:r>
      <w:r w:rsidR="003904AC">
        <w:rPr>
          <w:szCs w:val="20"/>
        </w:rPr>
        <w:t xml:space="preserve">list </w:t>
      </w:r>
      <w:r w:rsidR="006A1038">
        <w:rPr>
          <w:szCs w:val="20"/>
        </w:rPr>
        <w:t>all relevant MBS item numbers below)</w:t>
      </w:r>
    </w:p>
    <w:p w14:paraId="0734D7C5" w14:textId="77777777" w:rsidR="000159B9" w:rsidRDefault="006A1038" w:rsidP="006A1038">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577575">
        <w:rPr>
          <w:szCs w:val="20"/>
        </w:rPr>
      </w:r>
      <w:r w:rsidR="00577575">
        <w:rPr>
          <w:szCs w:val="20"/>
        </w:rPr>
        <w:fldChar w:fldCharType="separate"/>
      </w:r>
      <w:r w:rsidRPr="00753C44">
        <w:rPr>
          <w:szCs w:val="20"/>
        </w:rPr>
        <w:fldChar w:fldCharType="end"/>
      </w:r>
      <w:r>
        <w:rPr>
          <w:szCs w:val="20"/>
        </w:rPr>
        <w:t xml:space="preserve"> No  </w:t>
      </w:r>
    </w:p>
    <w:p w14:paraId="11465099" w14:textId="77BE35FD" w:rsidR="000159B9" w:rsidRPr="00154B00" w:rsidRDefault="00AC784D" w:rsidP="001B29A1">
      <w:pPr>
        <w:ind w:left="426"/>
        <w:rPr>
          <w:szCs w:val="20"/>
        </w:rPr>
      </w:pPr>
      <w:r>
        <w:t>MBS item 73337.</w:t>
      </w:r>
    </w:p>
    <w:p w14:paraId="518EC19E" w14:textId="56E71A8B" w:rsidR="00AF5D1E" w:rsidRDefault="00AF5D1E" w:rsidP="00530204">
      <w:pPr>
        <w:pStyle w:val="Heading2"/>
      </w:pPr>
      <w:r w:rsidRPr="00154B00">
        <w:t xml:space="preserve">Define and </w:t>
      </w:r>
      <w:r w:rsidRPr="001B29A1">
        <w:t>summarise</w:t>
      </w:r>
      <w:r w:rsidRPr="00154B00">
        <w:t xml:space="preserve"> the current cl</w:t>
      </w:r>
      <w:r w:rsidR="00F33F1A" w:rsidRPr="00154B00">
        <w:t>inical management pathway</w:t>
      </w:r>
      <w:r w:rsidR="003904AC">
        <w:t>/</w:t>
      </w:r>
      <w:r w:rsidR="00F33F1A" w:rsidRPr="00154B00">
        <w:t xml:space="preserve">s that patients may follow </w:t>
      </w:r>
      <w:r w:rsidR="00F33F1A" w:rsidRPr="00154B00">
        <w:rPr>
          <w:i/>
        </w:rPr>
        <w:t>after</w:t>
      </w:r>
      <w:r w:rsidR="00757232">
        <w:t xml:space="preserve"> they receive</w:t>
      </w:r>
      <w:r w:rsidRPr="00154B00">
        <w:t xml:space="preserve"> </w:t>
      </w:r>
      <w:r w:rsidR="00F33F1A" w:rsidRPr="00154B00">
        <w:t xml:space="preserve">the medical service that has been nominated as the comparator </w:t>
      </w:r>
      <w:r w:rsidRPr="00154B00">
        <w:t xml:space="preserve">(supplement this summary with </w:t>
      </w:r>
      <w:r w:rsidR="00F33F1A" w:rsidRPr="00154B00">
        <w:t xml:space="preserve">an easy to follow flowchart </w:t>
      </w:r>
      <w:r w:rsidR="00757232">
        <w:t xml:space="preserve">[as an attachment to the Application Form] </w:t>
      </w:r>
      <w:r w:rsidR="00F33F1A" w:rsidRPr="00154B00">
        <w:t>dep</w:t>
      </w:r>
      <w:r w:rsidRPr="00154B00">
        <w:t>icting the current c</w:t>
      </w:r>
      <w:r w:rsidR="0054594B" w:rsidRPr="00154B00">
        <w:t>linical management pathway</w:t>
      </w:r>
      <w:r w:rsidR="00757232">
        <w:t xml:space="preserve"> </w:t>
      </w:r>
      <w:r w:rsidR="0054594B" w:rsidRPr="00154B00">
        <w:t>that patients may follow from the point of receiving the comparator onwards</w:t>
      </w:r>
      <w:r w:rsidR="003904AC">
        <w:t>,</w:t>
      </w:r>
      <w:r w:rsidR="00E4321E" w:rsidRPr="00154B00">
        <w:t xml:space="preserve"> including health care resources</w:t>
      </w:r>
      <w:r w:rsidR="00AE1188">
        <w:t>):</w:t>
      </w:r>
    </w:p>
    <w:p w14:paraId="37C68419" w14:textId="5CC2914A" w:rsidR="00573ADC" w:rsidRPr="00075F5F" w:rsidRDefault="00773A50" w:rsidP="00075F5F">
      <w:pPr>
        <w:ind w:left="0"/>
        <w:rPr>
          <w:bCs/>
          <w:szCs w:val="20"/>
        </w:rPr>
      </w:pPr>
      <w:r w:rsidRPr="0030167D">
        <w:rPr>
          <w:bCs/>
          <w:szCs w:val="20"/>
        </w:rPr>
        <w:t xml:space="preserve">A summary </w:t>
      </w:r>
      <w:r>
        <w:rPr>
          <w:bCs/>
          <w:szCs w:val="20"/>
        </w:rPr>
        <w:t xml:space="preserve">of the current clinical management pathway that patients may follow in which they do not receive KRAS G12C pathogenic variant testing </w:t>
      </w:r>
      <w:r w:rsidRPr="00075F5F">
        <w:rPr>
          <w:bCs/>
          <w:szCs w:val="20"/>
        </w:rPr>
        <w:t>includes</w:t>
      </w:r>
      <w:r w:rsidR="00ED16D4" w:rsidRPr="00075F5F">
        <w:rPr>
          <w:bCs/>
          <w:szCs w:val="20"/>
        </w:rPr>
        <w:t xml:space="preserve"> (refer </w:t>
      </w:r>
      <w:r w:rsidR="0030167D" w:rsidRPr="00075F5F">
        <w:rPr>
          <w:bCs/>
          <w:szCs w:val="20"/>
        </w:rPr>
        <w:t>to the f</w:t>
      </w:r>
      <w:r w:rsidR="00ED16D4" w:rsidRPr="00075F5F">
        <w:rPr>
          <w:bCs/>
          <w:szCs w:val="20"/>
        </w:rPr>
        <w:t>irst flow diagram in attachments section)</w:t>
      </w:r>
      <w:r w:rsidRPr="00075F5F">
        <w:rPr>
          <w:bCs/>
          <w:szCs w:val="20"/>
        </w:rPr>
        <w:t>:</w:t>
      </w:r>
    </w:p>
    <w:p w14:paraId="3B132CAD" w14:textId="05304A7C" w:rsidR="00773A50" w:rsidRPr="00075F5F" w:rsidRDefault="00773A50" w:rsidP="00773A50">
      <w:pPr>
        <w:pStyle w:val="ListParagraph"/>
        <w:numPr>
          <w:ilvl w:val="0"/>
          <w:numId w:val="53"/>
        </w:numPr>
        <w:rPr>
          <w:bCs/>
          <w:szCs w:val="20"/>
        </w:rPr>
      </w:pPr>
      <w:r w:rsidRPr="00075F5F">
        <w:rPr>
          <w:bCs/>
          <w:szCs w:val="20"/>
        </w:rPr>
        <w:t>The patient is diagnosed with locally advanced or metastatic non-squamous or NOS histology NSCLC and is suitable for systemic therapy</w:t>
      </w:r>
      <w:r w:rsidR="007818BA" w:rsidRPr="00075F5F">
        <w:rPr>
          <w:bCs/>
          <w:szCs w:val="20"/>
        </w:rPr>
        <w:t>,</w:t>
      </w:r>
    </w:p>
    <w:p w14:paraId="2138AD84" w14:textId="370F84D6" w:rsidR="00773A50" w:rsidRPr="00075F5F" w:rsidRDefault="00773A50" w:rsidP="00773A50">
      <w:pPr>
        <w:pStyle w:val="ListParagraph"/>
        <w:numPr>
          <w:ilvl w:val="0"/>
          <w:numId w:val="53"/>
        </w:numPr>
        <w:rPr>
          <w:bCs/>
          <w:szCs w:val="20"/>
        </w:rPr>
      </w:pPr>
      <w:r w:rsidRPr="00075F5F">
        <w:rPr>
          <w:bCs/>
          <w:szCs w:val="20"/>
        </w:rPr>
        <w:t>The patient’s treating clinician will request testing of the patient’s tumour tissue for EGFR pathogenic variants, funded under MBS item 73337</w:t>
      </w:r>
      <w:r w:rsidR="007818BA" w:rsidRPr="00075F5F">
        <w:rPr>
          <w:bCs/>
          <w:szCs w:val="20"/>
        </w:rPr>
        <w:t>,</w:t>
      </w:r>
    </w:p>
    <w:p w14:paraId="05A4C274" w14:textId="30A41268" w:rsidR="007818BA" w:rsidRPr="00075F5F" w:rsidRDefault="007818BA" w:rsidP="007818BA">
      <w:pPr>
        <w:pStyle w:val="ListParagraph"/>
        <w:numPr>
          <w:ilvl w:val="0"/>
          <w:numId w:val="53"/>
        </w:numPr>
        <w:rPr>
          <w:bCs/>
          <w:szCs w:val="20"/>
        </w:rPr>
      </w:pPr>
      <w:r w:rsidRPr="00075F5F">
        <w:rPr>
          <w:bCs/>
          <w:szCs w:val="20"/>
        </w:rPr>
        <w:lastRenderedPageBreak/>
        <w:t>If the patient’s tumour contain</w:t>
      </w:r>
      <w:r w:rsidR="00D07A79" w:rsidRPr="00075F5F">
        <w:rPr>
          <w:bCs/>
          <w:szCs w:val="20"/>
        </w:rPr>
        <w:t>s</w:t>
      </w:r>
      <w:r w:rsidRPr="00075F5F">
        <w:rPr>
          <w:bCs/>
          <w:szCs w:val="20"/>
        </w:rPr>
        <w:t xml:space="preserve"> a sensitising EGFR pathogenic variant, the patient will be offered an EGFR tyrosine kinase inhibitor (TKI),</w:t>
      </w:r>
    </w:p>
    <w:p w14:paraId="690ACC66" w14:textId="0E8F81BC" w:rsidR="007818BA" w:rsidRPr="00075F5F" w:rsidRDefault="00773A50" w:rsidP="00773A50">
      <w:pPr>
        <w:pStyle w:val="ListParagraph"/>
        <w:numPr>
          <w:ilvl w:val="0"/>
          <w:numId w:val="53"/>
        </w:numPr>
        <w:rPr>
          <w:bCs/>
          <w:szCs w:val="20"/>
        </w:rPr>
      </w:pPr>
      <w:r w:rsidRPr="00075F5F">
        <w:rPr>
          <w:bCs/>
          <w:szCs w:val="20"/>
        </w:rPr>
        <w:t xml:space="preserve">If the patient’s tumour does not have an EGFR pathogenic variant, screening for an ALK rearrangement by ALK immunohistochemistry (IHC) will </w:t>
      </w:r>
      <w:r w:rsidR="007818BA" w:rsidRPr="00075F5F">
        <w:rPr>
          <w:bCs/>
          <w:szCs w:val="20"/>
        </w:rPr>
        <w:t>take place</w:t>
      </w:r>
      <w:r w:rsidR="00D07A79" w:rsidRPr="00075F5F">
        <w:rPr>
          <w:bCs/>
          <w:szCs w:val="20"/>
        </w:rPr>
        <w:t xml:space="preserve">; if there is any positivity with ALK IHC, </w:t>
      </w:r>
      <w:r w:rsidR="007818BA" w:rsidRPr="00075F5F">
        <w:rPr>
          <w:bCs/>
          <w:szCs w:val="20"/>
        </w:rPr>
        <w:t xml:space="preserve"> </w:t>
      </w:r>
      <w:r w:rsidRPr="00075F5F">
        <w:rPr>
          <w:bCs/>
          <w:szCs w:val="20"/>
        </w:rPr>
        <w:t>ALK FISH</w:t>
      </w:r>
      <w:r w:rsidR="00D07A79" w:rsidRPr="00075F5F">
        <w:rPr>
          <w:bCs/>
          <w:szCs w:val="20"/>
        </w:rPr>
        <w:t xml:space="preserve"> </w:t>
      </w:r>
      <w:r w:rsidR="00412F67" w:rsidRPr="00075F5F">
        <w:rPr>
          <w:bCs/>
          <w:szCs w:val="20"/>
        </w:rPr>
        <w:t>will</w:t>
      </w:r>
      <w:r w:rsidR="00D07A79" w:rsidRPr="00075F5F">
        <w:rPr>
          <w:bCs/>
          <w:szCs w:val="20"/>
        </w:rPr>
        <w:t xml:space="preserve"> be performed</w:t>
      </w:r>
      <w:r w:rsidR="007818BA" w:rsidRPr="00075F5F">
        <w:rPr>
          <w:bCs/>
          <w:szCs w:val="20"/>
        </w:rPr>
        <w:t>, funded under MBS item 73341,</w:t>
      </w:r>
    </w:p>
    <w:p w14:paraId="4935F598" w14:textId="20BF0DD7" w:rsidR="007818BA" w:rsidRPr="00075F5F" w:rsidRDefault="007818BA" w:rsidP="00773A50">
      <w:pPr>
        <w:pStyle w:val="ListParagraph"/>
        <w:numPr>
          <w:ilvl w:val="0"/>
          <w:numId w:val="53"/>
        </w:numPr>
        <w:rPr>
          <w:bCs/>
          <w:szCs w:val="20"/>
        </w:rPr>
      </w:pPr>
      <w:r w:rsidRPr="00075F5F">
        <w:rPr>
          <w:bCs/>
          <w:szCs w:val="20"/>
        </w:rPr>
        <w:t>If the patient’s tumour is ALK-rearranged, the patient will be offered an ALK TKI,</w:t>
      </w:r>
    </w:p>
    <w:p w14:paraId="60534A1A" w14:textId="03ABE7F5" w:rsidR="007818BA" w:rsidRPr="00075F5F" w:rsidRDefault="007818BA" w:rsidP="00773A50">
      <w:pPr>
        <w:pStyle w:val="ListParagraph"/>
        <w:numPr>
          <w:ilvl w:val="0"/>
          <w:numId w:val="53"/>
        </w:numPr>
        <w:rPr>
          <w:bCs/>
          <w:szCs w:val="20"/>
        </w:rPr>
      </w:pPr>
      <w:r w:rsidRPr="00075F5F">
        <w:rPr>
          <w:bCs/>
          <w:szCs w:val="20"/>
        </w:rPr>
        <w:t>I</w:t>
      </w:r>
      <w:r w:rsidR="00773A50" w:rsidRPr="00075F5F">
        <w:rPr>
          <w:bCs/>
          <w:szCs w:val="20"/>
        </w:rPr>
        <w:t xml:space="preserve">f </w:t>
      </w:r>
      <w:r w:rsidRPr="00075F5F">
        <w:rPr>
          <w:bCs/>
          <w:szCs w:val="20"/>
        </w:rPr>
        <w:t xml:space="preserve">an </w:t>
      </w:r>
      <w:r w:rsidR="00773A50" w:rsidRPr="00075F5F">
        <w:rPr>
          <w:bCs/>
          <w:szCs w:val="20"/>
        </w:rPr>
        <w:t>ALK rearrangement is not confirmed, the patient’s tumour will be screened for ROS1 rearrangement by ROS1 IHC</w:t>
      </w:r>
      <w:r w:rsidR="00D07A79" w:rsidRPr="00075F5F">
        <w:rPr>
          <w:bCs/>
          <w:szCs w:val="20"/>
        </w:rPr>
        <w:t xml:space="preserve">; if there is 2+ or 3+ staining with ROS1 IHC,  </w:t>
      </w:r>
      <w:r w:rsidR="00773A50" w:rsidRPr="00075F5F">
        <w:rPr>
          <w:bCs/>
          <w:szCs w:val="20"/>
        </w:rPr>
        <w:t>ROS1 FISH</w:t>
      </w:r>
      <w:r w:rsidR="00D07A79" w:rsidRPr="00075F5F">
        <w:rPr>
          <w:bCs/>
          <w:szCs w:val="20"/>
        </w:rPr>
        <w:t xml:space="preserve"> </w:t>
      </w:r>
      <w:r w:rsidR="00412F67" w:rsidRPr="00075F5F">
        <w:rPr>
          <w:bCs/>
          <w:szCs w:val="20"/>
        </w:rPr>
        <w:t>will</w:t>
      </w:r>
      <w:r w:rsidR="00D07A79" w:rsidRPr="00075F5F">
        <w:rPr>
          <w:bCs/>
          <w:szCs w:val="20"/>
        </w:rPr>
        <w:t xml:space="preserve"> be performed</w:t>
      </w:r>
      <w:r w:rsidRPr="00075F5F">
        <w:rPr>
          <w:bCs/>
          <w:szCs w:val="20"/>
        </w:rPr>
        <w:t xml:space="preserve">, funded under MBS item 73344, </w:t>
      </w:r>
    </w:p>
    <w:p w14:paraId="24664CC0" w14:textId="114AE2E2" w:rsidR="00773A50" w:rsidRPr="00075F5F" w:rsidRDefault="007818BA" w:rsidP="00773A50">
      <w:pPr>
        <w:pStyle w:val="ListParagraph"/>
        <w:numPr>
          <w:ilvl w:val="0"/>
          <w:numId w:val="53"/>
        </w:numPr>
        <w:rPr>
          <w:bCs/>
          <w:szCs w:val="20"/>
        </w:rPr>
      </w:pPr>
      <w:r w:rsidRPr="00075F5F">
        <w:rPr>
          <w:bCs/>
          <w:szCs w:val="20"/>
        </w:rPr>
        <w:t>If the patient’s tumour is ROS1-rearranged, the patient will be offered a ROS1 TKI,</w:t>
      </w:r>
    </w:p>
    <w:p w14:paraId="48A97065" w14:textId="3D884B45" w:rsidR="007818BA" w:rsidRPr="00075F5F" w:rsidRDefault="007818BA" w:rsidP="00ED16D4">
      <w:pPr>
        <w:pStyle w:val="ListParagraph"/>
        <w:numPr>
          <w:ilvl w:val="0"/>
          <w:numId w:val="53"/>
        </w:numPr>
        <w:rPr>
          <w:bCs/>
          <w:szCs w:val="20"/>
        </w:rPr>
      </w:pPr>
      <w:r w:rsidRPr="00075F5F">
        <w:rPr>
          <w:bCs/>
          <w:szCs w:val="20"/>
        </w:rPr>
        <w:t>If the patient’s tumour is negative for EGFR, ALK and ROS1 abnormalities</w:t>
      </w:r>
      <w:r w:rsidR="00ED16D4" w:rsidRPr="00075F5F">
        <w:rPr>
          <w:bCs/>
          <w:szCs w:val="20"/>
        </w:rPr>
        <w:t xml:space="preserve"> (i.e</w:t>
      </w:r>
      <w:r w:rsidR="0030167D" w:rsidRPr="00075F5F">
        <w:rPr>
          <w:bCs/>
          <w:szCs w:val="20"/>
        </w:rPr>
        <w:t xml:space="preserve">., </w:t>
      </w:r>
      <w:r w:rsidR="00ED16D4" w:rsidRPr="00075F5F">
        <w:rPr>
          <w:bCs/>
          <w:szCs w:val="20"/>
        </w:rPr>
        <w:t>the group within which patients with KRAS G12C variant tumours reside)</w:t>
      </w:r>
      <w:r w:rsidRPr="00075F5F">
        <w:rPr>
          <w:bCs/>
          <w:szCs w:val="20"/>
        </w:rPr>
        <w:t xml:space="preserve">, PD-L1 IHC </w:t>
      </w:r>
      <w:r w:rsidR="00412F67" w:rsidRPr="00075F5F">
        <w:rPr>
          <w:bCs/>
          <w:szCs w:val="20"/>
        </w:rPr>
        <w:t>will</w:t>
      </w:r>
      <w:r w:rsidRPr="00075F5F">
        <w:rPr>
          <w:bCs/>
          <w:szCs w:val="20"/>
        </w:rPr>
        <w:t xml:space="preserve"> be performed</w:t>
      </w:r>
      <w:r w:rsidR="00AD602C">
        <w:rPr>
          <w:bCs/>
          <w:szCs w:val="20"/>
        </w:rPr>
        <w:t>,</w:t>
      </w:r>
      <w:r w:rsidRPr="00075F5F">
        <w:rPr>
          <w:bCs/>
          <w:szCs w:val="20"/>
        </w:rPr>
        <w:t xml:space="preserve"> and the patient </w:t>
      </w:r>
      <w:r w:rsidR="00412F67" w:rsidRPr="00075F5F">
        <w:rPr>
          <w:bCs/>
          <w:szCs w:val="20"/>
        </w:rPr>
        <w:t>will</w:t>
      </w:r>
      <w:r w:rsidRPr="00075F5F">
        <w:rPr>
          <w:bCs/>
          <w:szCs w:val="20"/>
        </w:rPr>
        <w:t xml:space="preserve"> be offered immunotherapy </w:t>
      </w:r>
      <w:r w:rsidR="00412F67" w:rsidRPr="00075F5F">
        <w:rPr>
          <w:bCs/>
          <w:szCs w:val="20"/>
        </w:rPr>
        <w:t xml:space="preserve">and/or </w:t>
      </w:r>
      <w:r w:rsidRPr="00075F5F">
        <w:rPr>
          <w:bCs/>
          <w:szCs w:val="20"/>
        </w:rPr>
        <w:t>chemotherapy</w:t>
      </w:r>
      <w:r w:rsidR="0030167D" w:rsidRPr="00075F5F">
        <w:rPr>
          <w:bCs/>
          <w:szCs w:val="20"/>
        </w:rPr>
        <w:t xml:space="preserve">. </w:t>
      </w:r>
      <w:r w:rsidRPr="00075F5F">
        <w:rPr>
          <w:bCs/>
          <w:szCs w:val="20"/>
        </w:rPr>
        <w:t xml:space="preserve">At progression, </w:t>
      </w:r>
      <w:r w:rsidR="00075F5F">
        <w:rPr>
          <w:bCs/>
          <w:szCs w:val="20"/>
        </w:rPr>
        <w:t xml:space="preserve">the </w:t>
      </w:r>
      <w:r w:rsidRPr="00075F5F">
        <w:rPr>
          <w:bCs/>
          <w:szCs w:val="20"/>
        </w:rPr>
        <w:t xml:space="preserve">patient may be offered chemotherapy (mainly docetaxel). </w:t>
      </w:r>
    </w:p>
    <w:p w14:paraId="4F900E7D" w14:textId="5A2A304C" w:rsidR="00A83EC6" w:rsidRDefault="005C3AE7" w:rsidP="00530204">
      <w:pPr>
        <w:pStyle w:val="Heading2"/>
      </w:pPr>
      <w:r>
        <w:t xml:space="preserve">(a) </w:t>
      </w:r>
      <w:r w:rsidR="00CD7A7D" w:rsidRPr="00154B00">
        <w:t xml:space="preserve">Will </w:t>
      </w:r>
      <w:r w:rsidR="00A83EC6" w:rsidRPr="00154B00">
        <w:t xml:space="preserve">the proposed medical service be used in addition to, or instead of, the nominated </w:t>
      </w:r>
      <w:r w:rsidR="00A83EC6" w:rsidRPr="001B29A1">
        <w:t>comparator</w:t>
      </w:r>
      <w:r w:rsidR="00A83EC6" w:rsidRPr="00154B00">
        <w:t>(s)</w:t>
      </w:r>
      <w:r w:rsidR="00D30BDC">
        <w:t>?</w:t>
      </w:r>
    </w:p>
    <w:p w14:paraId="6488A5DA" w14:textId="16111403" w:rsidR="001B29A1" w:rsidRDefault="001B29A1" w:rsidP="001B29A1">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577575">
        <w:rPr>
          <w:szCs w:val="20"/>
        </w:rPr>
      </w:r>
      <w:r w:rsidR="00577575">
        <w:rPr>
          <w:szCs w:val="20"/>
        </w:rPr>
        <w:fldChar w:fldCharType="separate"/>
      </w:r>
      <w:r w:rsidRPr="00753C44">
        <w:rPr>
          <w:szCs w:val="20"/>
        </w:rPr>
        <w:fldChar w:fldCharType="end"/>
      </w:r>
      <w:r>
        <w:rPr>
          <w:szCs w:val="20"/>
        </w:rPr>
        <w:t xml:space="preserve"> </w:t>
      </w:r>
      <w:r w:rsidR="00282BE8">
        <w:rPr>
          <w:szCs w:val="20"/>
        </w:rPr>
        <w:t>In addition to (</w:t>
      </w:r>
      <w:r w:rsidR="00C806F4">
        <w:rPr>
          <w:szCs w:val="20"/>
        </w:rPr>
        <w:t>i.e.,</w:t>
      </w:r>
      <w:r w:rsidR="00282BE8">
        <w:rPr>
          <w:szCs w:val="20"/>
        </w:rPr>
        <w:t xml:space="preserve"> it is an add-on service)</w:t>
      </w:r>
      <w:r>
        <w:rPr>
          <w:szCs w:val="20"/>
        </w:rPr>
        <w:t xml:space="preserve"> </w:t>
      </w:r>
    </w:p>
    <w:p w14:paraId="694F913B" w14:textId="40914DA1" w:rsidR="001B29A1" w:rsidRDefault="00AC784D"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577575">
        <w:rPr>
          <w:szCs w:val="20"/>
        </w:rPr>
      </w:r>
      <w:r w:rsidR="00577575">
        <w:rPr>
          <w:szCs w:val="20"/>
        </w:rPr>
        <w:fldChar w:fldCharType="separate"/>
      </w:r>
      <w:r>
        <w:rPr>
          <w:szCs w:val="20"/>
        </w:rPr>
        <w:fldChar w:fldCharType="end"/>
      </w:r>
      <w:r w:rsidR="001B29A1">
        <w:rPr>
          <w:szCs w:val="20"/>
        </w:rPr>
        <w:t xml:space="preserve"> </w:t>
      </w:r>
      <w:r w:rsidR="00282BE8">
        <w:rPr>
          <w:szCs w:val="20"/>
        </w:rPr>
        <w:t>Instead of (</w:t>
      </w:r>
      <w:r w:rsidR="00C806F4">
        <w:rPr>
          <w:szCs w:val="20"/>
        </w:rPr>
        <w:t>i.e.,</w:t>
      </w:r>
      <w:r w:rsidR="00282BE8">
        <w:rPr>
          <w:szCs w:val="20"/>
        </w:rPr>
        <w:t xml:space="preserve"> it is a replacement or alternative)</w:t>
      </w:r>
    </w:p>
    <w:p w14:paraId="26B108D8" w14:textId="70AD09AE" w:rsidR="00AC784D" w:rsidRDefault="00AC784D" w:rsidP="001B29A1">
      <w:pPr>
        <w:spacing w:before="0" w:after="0"/>
        <w:ind w:left="426"/>
        <w:rPr>
          <w:szCs w:val="20"/>
        </w:rPr>
      </w:pPr>
    </w:p>
    <w:p w14:paraId="4BD85390" w14:textId="31B88F1F" w:rsidR="00A84819" w:rsidRDefault="00D07A79" w:rsidP="001B29A1">
      <w:pPr>
        <w:spacing w:before="0" w:after="0"/>
        <w:ind w:left="426"/>
        <w:rPr>
          <w:szCs w:val="20"/>
        </w:rPr>
      </w:pPr>
      <w:r w:rsidRPr="0030167D">
        <w:rPr>
          <w:szCs w:val="20"/>
        </w:rPr>
        <w:t xml:space="preserve">Because it is </w:t>
      </w:r>
      <w:r w:rsidR="00ED16D4" w:rsidRPr="00075F5F">
        <w:rPr>
          <w:szCs w:val="20"/>
        </w:rPr>
        <w:t>understood</w:t>
      </w:r>
      <w:r w:rsidRPr="00075F5F">
        <w:rPr>
          <w:szCs w:val="20"/>
        </w:rPr>
        <w:t xml:space="preserve"> that most Australian laboratories are using NGS technology, </w:t>
      </w:r>
      <w:r w:rsidR="00ED16D4" w:rsidRPr="00075F5F">
        <w:rPr>
          <w:szCs w:val="20"/>
        </w:rPr>
        <w:t>most</w:t>
      </w:r>
      <w:r w:rsidRPr="00075F5F">
        <w:rPr>
          <w:szCs w:val="20"/>
        </w:rPr>
        <w:t xml:space="preserve"> NSCLC patients</w:t>
      </w:r>
      <w:r>
        <w:rPr>
          <w:szCs w:val="20"/>
        </w:rPr>
        <w:t xml:space="preserve"> are already receiving KRAS pathogenic variant testing when their tumours are tested for EGFR pathogenic variants, funded </w:t>
      </w:r>
      <w:r>
        <w:rPr>
          <w:szCs w:val="20"/>
        </w:rPr>
        <w:lastRenderedPageBreak/>
        <w:t xml:space="preserve">under MBS item 73337. This is due to the parallel testing capability of NGS and due to the fact that many targeted gene panels used for EGFR gene testing in NSCLC include the KRAS gene. So for these laboratories, there will be no change to testing pathways. </w:t>
      </w:r>
    </w:p>
    <w:p w14:paraId="5843EA4E" w14:textId="673D4349" w:rsidR="00D07A79" w:rsidRPr="009B1B0E" w:rsidRDefault="00D07A79" w:rsidP="009B1B0E">
      <w:pPr>
        <w:spacing w:before="0" w:after="0"/>
        <w:ind w:left="426"/>
        <w:rPr>
          <w:szCs w:val="20"/>
        </w:rPr>
      </w:pPr>
      <w:r>
        <w:rPr>
          <w:szCs w:val="20"/>
        </w:rPr>
        <w:t>For those laboratories using singe-gene PCR-based tests, they will need to source and validate a single-gene PCR test for KRAS pathogenic variants which includes the KRAS G12C subtype as part of its pre-designed assay</w:t>
      </w:r>
      <w:r w:rsidR="00DE63E0">
        <w:rPr>
          <w:szCs w:val="20"/>
        </w:rPr>
        <w:t xml:space="preserve">. </w:t>
      </w:r>
      <w:r w:rsidR="00C97E7F">
        <w:rPr>
          <w:szCs w:val="20"/>
        </w:rPr>
        <w:t>The other alternative is that laboratories using PCR-based methods may decide to upgrade to NGS technologies. However, i</w:t>
      </w:r>
      <w:r w:rsidR="00A84819">
        <w:rPr>
          <w:szCs w:val="20"/>
        </w:rPr>
        <w:t xml:space="preserve">n reality, these laboratories will be able to use the KRAS single-gene tests which </w:t>
      </w:r>
      <w:r w:rsidR="00A84819" w:rsidRPr="00075F5F">
        <w:rPr>
          <w:szCs w:val="20"/>
        </w:rPr>
        <w:t xml:space="preserve">they are already using for KRAS pathogenic variant testing in metastatic colorectal cancer, as the same subtypes of KRAS pathogenic variants can occur in both NSCLC and metastatic </w:t>
      </w:r>
      <w:r w:rsidR="00B73858">
        <w:rPr>
          <w:szCs w:val="20"/>
        </w:rPr>
        <w:t xml:space="preserve">colorectal cancer. </w:t>
      </w:r>
      <w:r w:rsidR="00A84819" w:rsidRPr="00075F5F">
        <w:rPr>
          <w:szCs w:val="20"/>
        </w:rPr>
        <w:t xml:space="preserve"> </w:t>
      </w:r>
      <w:r w:rsidR="00ED16D4" w:rsidRPr="00075F5F">
        <w:rPr>
          <w:szCs w:val="20"/>
        </w:rPr>
        <w:t xml:space="preserve">So for </w:t>
      </w:r>
      <w:r w:rsidR="0030167D" w:rsidRPr="00075F5F">
        <w:rPr>
          <w:szCs w:val="20"/>
        </w:rPr>
        <w:t xml:space="preserve">the labs using </w:t>
      </w:r>
      <w:r w:rsidR="00ED16D4" w:rsidRPr="00075F5F">
        <w:rPr>
          <w:szCs w:val="20"/>
        </w:rPr>
        <w:t>P</w:t>
      </w:r>
      <w:r w:rsidR="006548B7" w:rsidRPr="00075F5F">
        <w:rPr>
          <w:szCs w:val="20"/>
        </w:rPr>
        <w:t>CR</w:t>
      </w:r>
      <w:r w:rsidR="00C97E7F" w:rsidRPr="00075F5F">
        <w:rPr>
          <w:szCs w:val="20"/>
        </w:rPr>
        <w:t>-</w:t>
      </w:r>
      <w:r w:rsidR="006548B7" w:rsidRPr="00075F5F">
        <w:rPr>
          <w:szCs w:val="20"/>
        </w:rPr>
        <w:t>based</w:t>
      </w:r>
      <w:r w:rsidR="00C97E7F" w:rsidRPr="00075F5F">
        <w:rPr>
          <w:szCs w:val="20"/>
        </w:rPr>
        <w:t xml:space="preserve"> tests</w:t>
      </w:r>
      <w:r w:rsidR="0030167D" w:rsidRPr="00075F5F">
        <w:rPr>
          <w:szCs w:val="20"/>
        </w:rPr>
        <w:t xml:space="preserve">, </w:t>
      </w:r>
      <w:r w:rsidR="006548B7" w:rsidRPr="00075F5F">
        <w:rPr>
          <w:szCs w:val="20"/>
        </w:rPr>
        <w:t>there may be an addition</w:t>
      </w:r>
      <w:r w:rsidR="0030167D" w:rsidRPr="00075F5F">
        <w:rPr>
          <w:szCs w:val="20"/>
        </w:rPr>
        <w:t xml:space="preserve">al </w:t>
      </w:r>
      <w:r w:rsidR="006548B7" w:rsidRPr="00075F5F">
        <w:rPr>
          <w:szCs w:val="20"/>
        </w:rPr>
        <w:t>test</w:t>
      </w:r>
      <w:r w:rsidR="0030167D" w:rsidRPr="00075F5F">
        <w:rPr>
          <w:szCs w:val="20"/>
        </w:rPr>
        <w:t xml:space="preserve"> performed for NSCLC patients</w:t>
      </w:r>
      <w:r w:rsidR="00C97E7F" w:rsidRPr="00075F5F">
        <w:rPr>
          <w:szCs w:val="20"/>
        </w:rPr>
        <w:t>,</w:t>
      </w:r>
      <w:r w:rsidR="0030167D" w:rsidRPr="00075F5F">
        <w:rPr>
          <w:szCs w:val="20"/>
        </w:rPr>
        <w:t xml:space="preserve"> </w:t>
      </w:r>
      <w:r w:rsidR="006548B7" w:rsidRPr="00075F5F">
        <w:rPr>
          <w:szCs w:val="20"/>
        </w:rPr>
        <w:t>but this will not result in additional claims for the proposed medical service listed on the MBS schedule.</w:t>
      </w:r>
    </w:p>
    <w:p w14:paraId="2C8379FF" w14:textId="33C69263" w:rsidR="00E70D86" w:rsidRDefault="00E70D86" w:rsidP="005C3AE7">
      <w:pPr>
        <w:pStyle w:val="Heading2"/>
        <w:numPr>
          <w:ilvl w:val="0"/>
          <w:numId w:val="30"/>
        </w:numPr>
      </w:pPr>
      <w:r w:rsidRPr="00154B00">
        <w:t xml:space="preserve">If </w:t>
      </w:r>
      <w:r w:rsidR="00723446">
        <w:t>instead of (</w:t>
      </w:r>
      <w:r w:rsidR="00C806F4">
        <w:t>i.e.,</w:t>
      </w:r>
      <w:r w:rsidR="00723446">
        <w:t xml:space="preserve"> alternative service)</w:t>
      </w:r>
      <w:r w:rsidR="00D00122">
        <w:t xml:space="preserve">, </w:t>
      </w:r>
      <w:r w:rsidRPr="00154B00">
        <w:t xml:space="preserve">please </w:t>
      </w:r>
      <w:r w:rsidR="00F33F1A" w:rsidRPr="00154B00">
        <w:t xml:space="preserve">outline </w:t>
      </w:r>
      <w:r w:rsidR="00723446">
        <w:t xml:space="preserve">the extent to </w:t>
      </w:r>
      <w:r w:rsidR="00F33F1A" w:rsidRPr="00154B00">
        <w:t xml:space="preserve">which </w:t>
      </w:r>
      <w:r w:rsidR="00D00122">
        <w:t xml:space="preserve">the </w:t>
      </w:r>
      <w:r w:rsidR="00F33F1A" w:rsidRPr="00154B00">
        <w:t xml:space="preserve">current service/comparator is expected to be </w:t>
      </w:r>
      <w:r w:rsidR="00AE1188">
        <w:t>substituted:</w:t>
      </w:r>
    </w:p>
    <w:p w14:paraId="54E01971" w14:textId="7E99E112" w:rsidR="00A84819" w:rsidRPr="009B1B0E" w:rsidRDefault="00A84819" w:rsidP="009B1B0E">
      <w:r>
        <w:t xml:space="preserve">Substitution of the proposed comparator service is expected to be effectively 100%. </w:t>
      </w:r>
    </w:p>
    <w:p w14:paraId="5B924B61" w14:textId="33A131CA" w:rsidR="0054594B" w:rsidRDefault="009C03FB" w:rsidP="00530204">
      <w:pPr>
        <w:pStyle w:val="Heading2"/>
      </w:pPr>
      <w:r w:rsidRPr="00154B00">
        <w:t xml:space="preserve">Define and </w:t>
      </w:r>
      <w:r w:rsidRPr="004A0BF4">
        <w:t>summarise</w:t>
      </w:r>
      <w:r w:rsidRPr="00154B00">
        <w:t xml:space="preserve"> how</w:t>
      </w:r>
      <w:r w:rsidR="00F33F1A" w:rsidRPr="00154B00">
        <w:t xml:space="preserve"> curr</w:t>
      </w:r>
      <w:r w:rsidRPr="00154B00">
        <w:t>ent clinical management pathways (from the point of service delivery onwards) are</w:t>
      </w:r>
      <w:r w:rsidR="00F33F1A" w:rsidRPr="00154B00">
        <w:t xml:space="preserve"> expected to </w:t>
      </w:r>
      <w:r w:rsidR="00F33F1A" w:rsidRPr="003A2860">
        <w:t>change</w:t>
      </w:r>
      <w:r w:rsidR="00F33F1A" w:rsidRPr="00154B00">
        <w:t xml:space="preserve"> as a consequence of introducing the proposed medical service</w:t>
      </w:r>
      <w:r w:rsidR="003904AC">
        <w:t>,</w:t>
      </w:r>
      <w:r w:rsidR="00F33F1A" w:rsidRPr="00154B00">
        <w:t xml:space="preserve"> </w:t>
      </w:r>
      <w:r w:rsidR="007D2358" w:rsidRPr="00154B00">
        <w:t xml:space="preserve">including variation in health care resources </w:t>
      </w:r>
      <w:r w:rsidRPr="00154B00">
        <w:t>(</w:t>
      </w:r>
      <w:r w:rsidR="002053F2">
        <w:t xml:space="preserve">Refer to </w:t>
      </w:r>
      <w:r w:rsidR="00F33F1A" w:rsidRPr="00154B00">
        <w:t xml:space="preserve">Question </w:t>
      </w:r>
      <w:r w:rsidR="00197D29">
        <w:t>39</w:t>
      </w:r>
      <w:r w:rsidR="00F33F1A" w:rsidRPr="00154B00">
        <w:t xml:space="preserve"> as baseline)</w:t>
      </w:r>
      <w:r w:rsidR="00AE1188">
        <w:t>:</w:t>
      </w:r>
    </w:p>
    <w:p w14:paraId="453BA5A4" w14:textId="7ED44773" w:rsidR="00A84819" w:rsidRDefault="00A84819" w:rsidP="00A84819">
      <w:pPr>
        <w:ind w:left="426"/>
        <w:rPr>
          <w:bCs/>
          <w:szCs w:val="20"/>
        </w:rPr>
      </w:pPr>
      <w:r w:rsidRPr="000D039C">
        <w:rPr>
          <w:bCs/>
          <w:szCs w:val="20"/>
        </w:rPr>
        <w:t xml:space="preserve">A summary </w:t>
      </w:r>
      <w:r>
        <w:rPr>
          <w:bCs/>
          <w:szCs w:val="20"/>
        </w:rPr>
        <w:t>of the clinical management pathway that patients may follow in which they do receive KRAS G12C pathogenic variant testing includes</w:t>
      </w:r>
      <w:r w:rsidR="00DE63E0">
        <w:rPr>
          <w:bCs/>
          <w:szCs w:val="20"/>
        </w:rPr>
        <w:t xml:space="preserve"> (refer to the second flow chart in the attachments below)</w:t>
      </w:r>
      <w:r>
        <w:rPr>
          <w:bCs/>
          <w:szCs w:val="20"/>
        </w:rPr>
        <w:t>:</w:t>
      </w:r>
    </w:p>
    <w:p w14:paraId="1C4E63BD" w14:textId="77777777" w:rsidR="00A84819" w:rsidRDefault="00A84819" w:rsidP="00A84819">
      <w:pPr>
        <w:pStyle w:val="ListParagraph"/>
        <w:numPr>
          <w:ilvl w:val="0"/>
          <w:numId w:val="53"/>
        </w:numPr>
        <w:rPr>
          <w:bCs/>
          <w:szCs w:val="20"/>
        </w:rPr>
      </w:pPr>
      <w:r>
        <w:rPr>
          <w:bCs/>
          <w:szCs w:val="20"/>
        </w:rPr>
        <w:lastRenderedPageBreak/>
        <w:t>The patient is diagnosed with locally advanced or metastatic non-squamous or NOS histology NSCLC and is suitable for systemic therapy,</w:t>
      </w:r>
    </w:p>
    <w:p w14:paraId="0655175D" w14:textId="124F33F4" w:rsidR="00A84819" w:rsidRDefault="00A84819" w:rsidP="00A84819">
      <w:pPr>
        <w:pStyle w:val="ListParagraph"/>
        <w:numPr>
          <w:ilvl w:val="0"/>
          <w:numId w:val="53"/>
        </w:numPr>
        <w:rPr>
          <w:bCs/>
          <w:szCs w:val="20"/>
        </w:rPr>
      </w:pPr>
      <w:r>
        <w:rPr>
          <w:bCs/>
          <w:szCs w:val="20"/>
        </w:rPr>
        <w:t xml:space="preserve">The patient’s treating clinician will request testing of the patient’s tumour tissue for EGFR </w:t>
      </w:r>
      <w:r w:rsidR="00412F67">
        <w:rPr>
          <w:bCs/>
          <w:szCs w:val="20"/>
        </w:rPr>
        <w:t xml:space="preserve">and KRAS </w:t>
      </w:r>
      <w:r>
        <w:rPr>
          <w:bCs/>
          <w:szCs w:val="20"/>
        </w:rPr>
        <w:t xml:space="preserve">pathogenic variants, funded under </w:t>
      </w:r>
      <w:r w:rsidR="00412F67" w:rsidRPr="00C97E7F">
        <w:rPr>
          <w:b/>
          <w:szCs w:val="20"/>
        </w:rPr>
        <w:t>modified</w:t>
      </w:r>
      <w:r w:rsidR="00412F67">
        <w:rPr>
          <w:bCs/>
          <w:szCs w:val="20"/>
        </w:rPr>
        <w:t xml:space="preserve"> </w:t>
      </w:r>
      <w:r>
        <w:rPr>
          <w:bCs/>
          <w:szCs w:val="20"/>
        </w:rPr>
        <w:t>MBS item 73337,</w:t>
      </w:r>
    </w:p>
    <w:p w14:paraId="096E0C20" w14:textId="0388C606" w:rsidR="00A84819" w:rsidRDefault="00A84819" w:rsidP="00A84819">
      <w:pPr>
        <w:pStyle w:val="ListParagraph"/>
        <w:numPr>
          <w:ilvl w:val="0"/>
          <w:numId w:val="53"/>
        </w:numPr>
        <w:rPr>
          <w:bCs/>
          <w:szCs w:val="20"/>
        </w:rPr>
      </w:pPr>
      <w:r>
        <w:rPr>
          <w:bCs/>
          <w:szCs w:val="20"/>
        </w:rPr>
        <w:t>If the patient’s tumour contains a sensitising EGFR pathogenic variant, the patient will be offered an EGFR tyrosine kinase inhibitor (TKI),</w:t>
      </w:r>
    </w:p>
    <w:p w14:paraId="3121985E" w14:textId="4A5509D7" w:rsidR="00412F67" w:rsidRPr="00075F5F" w:rsidRDefault="00412F67" w:rsidP="00A84819">
      <w:pPr>
        <w:pStyle w:val="ListParagraph"/>
        <w:numPr>
          <w:ilvl w:val="0"/>
          <w:numId w:val="53"/>
        </w:numPr>
        <w:rPr>
          <w:b/>
          <w:szCs w:val="20"/>
        </w:rPr>
      </w:pPr>
      <w:r w:rsidRPr="00C97E7F">
        <w:rPr>
          <w:b/>
          <w:szCs w:val="20"/>
        </w:rPr>
        <w:t xml:space="preserve">If the </w:t>
      </w:r>
      <w:r w:rsidRPr="00075F5F">
        <w:rPr>
          <w:b/>
          <w:szCs w:val="20"/>
        </w:rPr>
        <w:t xml:space="preserve">patient’s tumour contains a KRAS G12C pathogenic variant, the patient will be offered immunotherapy and/or chemotherapy; on disease progression, the patient will be offered </w:t>
      </w:r>
      <w:proofErr w:type="spellStart"/>
      <w:r w:rsidRPr="00075F5F">
        <w:rPr>
          <w:b/>
          <w:szCs w:val="20"/>
        </w:rPr>
        <w:t>sotorasib</w:t>
      </w:r>
      <w:proofErr w:type="spellEnd"/>
      <w:r w:rsidR="006548B7" w:rsidRPr="00075F5F">
        <w:rPr>
          <w:b/>
          <w:szCs w:val="20"/>
        </w:rPr>
        <w:t xml:space="preserve"> (instead of docetaxel)</w:t>
      </w:r>
      <w:r w:rsidRPr="00075F5F">
        <w:rPr>
          <w:b/>
          <w:szCs w:val="20"/>
        </w:rPr>
        <w:t xml:space="preserve">, </w:t>
      </w:r>
    </w:p>
    <w:p w14:paraId="5DD3EA16" w14:textId="2555330F" w:rsidR="00A84819" w:rsidRDefault="00A84819" w:rsidP="00A84819">
      <w:pPr>
        <w:pStyle w:val="ListParagraph"/>
        <w:numPr>
          <w:ilvl w:val="0"/>
          <w:numId w:val="53"/>
        </w:numPr>
        <w:rPr>
          <w:bCs/>
          <w:szCs w:val="20"/>
        </w:rPr>
      </w:pPr>
      <w:r w:rsidRPr="00075F5F">
        <w:rPr>
          <w:bCs/>
          <w:szCs w:val="20"/>
        </w:rPr>
        <w:t>If the patient’s tumour does not have</w:t>
      </w:r>
      <w:r>
        <w:rPr>
          <w:bCs/>
          <w:szCs w:val="20"/>
        </w:rPr>
        <w:t xml:space="preserve"> an EGFR </w:t>
      </w:r>
      <w:r w:rsidR="00412F67">
        <w:rPr>
          <w:bCs/>
          <w:szCs w:val="20"/>
        </w:rPr>
        <w:t xml:space="preserve">or KRAS </w:t>
      </w:r>
      <w:r>
        <w:rPr>
          <w:bCs/>
          <w:szCs w:val="20"/>
        </w:rPr>
        <w:t xml:space="preserve">pathogenic variant, screening for an ALK rearrangement by ALK immunohistochemistry (IHC) will take place; if there is any positivity with ALK IHC,  ALK FISH </w:t>
      </w:r>
      <w:r w:rsidR="00412F67">
        <w:rPr>
          <w:bCs/>
          <w:szCs w:val="20"/>
        </w:rPr>
        <w:t>will</w:t>
      </w:r>
      <w:r>
        <w:rPr>
          <w:bCs/>
          <w:szCs w:val="20"/>
        </w:rPr>
        <w:t xml:space="preserve"> be performed, funded under MBS item 73341</w:t>
      </w:r>
      <w:r w:rsidR="00075F5F">
        <w:rPr>
          <w:bCs/>
          <w:szCs w:val="20"/>
        </w:rPr>
        <w:t xml:space="preserve"> (there may be flow on implications for item 73341 with inclusion of KRAS testing within item 73337)</w:t>
      </w:r>
      <w:r>
        <w:rPr>
          <w:bCs/>
          <w:szCs w:val="20"/>
        </w:rPr>
        <w:t>,</w:t>
      </w:r>
    </w:p>
    <w:p w14:paraId="25C82C41" w14:textId="77777777" w:rsidR="00A84819" w:rsidRDefault="00A84819" w:rsidP="00A84819">
      <w:pPr>
        <w:pStyle w:val="ListParagraph"/>
        <w:numPr>
          <w:ilvl w:val="0"/>
          <w:numId w:val="53"/>
        </w:numPr>
        <w:rPr>
          <w:bCs/>
          <w:szCs w:val="20"/>
        </w:rPr>
      </w:pPr>
      <w:r>
        <w:rPr>
          <w:bCs/>
          <w:szCs w:val="20"/>
        </w:rPr>
        <w:t>If the patient’s tumour is ALK-rearranged, the patient will be offered an ALK TKI,</w:t>
      </w:r>
    </w:p>
    <w:p w14:paraId="0B56806D" w14:textId="7650D185" w:rsidR="00A84819" w:rsidRDefault="00A84819" w:rsidP="00A84819">
      <w:pPr>
        <w:pStyle w:val="ListParagraph"/>
        <w:numPr>
          <w:ilvl w:val="0"/>
          <w:numId w:val="53"/>
        </w:numPr>
        <w:rPr>
          <w:bCs/>
          <w:szCs w:val="20"/>
        </w:rPr>
      </w:pPr>
      <w:r>
        <w:rPr>
          <w:bCs/>
          <w:szCs w:val="20"/>
        </w:rPr>
        <w:t xml:space="preserve">If an ALK rearrangement is not confirmed, the patient’s tumour will be screened for ROS1 rearrangement by ROS1 IHC; if there is 2+ or 3+ staining with ROS1 IHC,  ROS1 FISH </w:t>
      </w:r>
      <w:r w:rsidR="00412F67">
        <w:rPr>
          <w:bCs/>
          <w:szCs w:val="20"/>
        </w:rPr>
        <w:t>will</w:t>
      </w:r>
      <w:r>
        <w:rPr>
          <w:bCs/>
          <w:szCs w:val="20"/>
        </w:rPr>
        <w:t xml:space="preserve"> be performed, funded under MBS item 73344</w:t>
      </w:r>
      <w:r w:rsidR="00075F5F">
        <w:rPr>
          <w:bCs/>
          <w:szCs w:val="20"/>
        </w:rPr>
        <w:t xml:space="preserve"> (there may be flow on implications for item 73344 with inclusion of KRAS testing within item 73337)</w:t>
      </w:r>
      <w:r>
        <w:rPr>
          <w:bCs/>
          <w:szCs w:val="20"/>
        </w:rPr>
        <w:t xml:space="preserve">, </w:t>
      </w:r>
    </w:p>
    <w:p w14:paraId="10897BAA" w14:textId="77777777" w:rsidR="00A84819" w:rsidRDefault="00A84819" w:rsidP="00A84819">
      <w:pPr>
        <w:pStyle w:val="ListParagraph"/>
        <w:numPr>
          <w:ilvl w:val="0"/>
          <w:numId w:val="53"/>
        </w:numPr>
        <w:rPr>
          <w:bCs/>
          <w:szCs w:val="20"/>
        </w:rPr>
      </w:pPr>
      <w:r>
        <w:rPr>
          <w:bCs/>
          <w:szCs w:val="20"/>
        </w:rPr>
        <w:t>If the patient’s tumour is ROS1-rearranged, the patient will be offered a ROS1 TKI,</w:t>
      </w:r>
    </w:p>
    <w:p w14:paraId="0559E6BA" w14:textId="389B5250" w:rsidR="00A84819" w:rsidRDefault="00A84819" w:rsidP="00A84819">
      <w:pPr>
        <w:pStyle w:val="ListParagraph"/>
        <w:numPr>
          <w:ilvl w:val="0"/>
          <w:numId w:val="53"/>
        </w:numPr>
        <w:rPr>
          <w:bCs/>
          <w:szCs w:val="20"/>
        </w:rPr>
      </w:pPr>
      <w:r>
        <w:rPr>
          <w:bCs/>
          <w:szCs w:val="20"/>
        </w:rPr>
        <w:t xml:space="preserve">If the patient’s tumour is negative for EGFR, </w:t>
      </w:r>
      <w:r w:rsidR="00412F67">
        <w:rPr>
          <w:bCs/>
          <w:szCs w:val="20"/>
        </w:rPr>
        <w:t xml:space="preserve">KRAS, </w:t>
      </w:r>
      <w:r>
        <w:rPr>
          <w:bCs/>
          <w:szCs w:val="20"/>
        </w:rPr>
        <w:t xml:space="preserve">ALK and ROS1 abnormalities, PD-L1 IHC </w:t>
      </w:r>
      <w:r w:rsidR="00412F67">
        <w:rPr>
          <w:bCs/>
          <w:szCs w:val="20"/>
        </w:rPr>
        <w:t>will</w:t>
      </w:r>
      <w:r>
        <w:rPr>
          <w:bCs/>
          <w:szCs w:val="20"/>
        </w:rPr>
        <w:t xml:space="preserve"> be performed</w:t>
      </w:r>
      <w:r w:rsidR="00AD602C">
        <w:rPr>
          <w:bCs/>
          <w:szCs w:val="20"/>
        </w:rPr>
        <w:t xml:space="preserve">, </w:t>
      </w:r>
      <w:r>
        <w:rPr>
          <w:bCs/>
          <w:szCs w:val="20"/>
        </w:rPr>
        <w:t xml:space="preserve">and the patient </w:t>
      </w:r>
      <w:r w:rsidR="00412F67">
        <w:rPr>
          <w:bCs/>
          <w:szCs w:val="20"/>
        </w:rPr>
        <w:t>will</w:t>
      </w:r>
      <w:r>
        <w:rPr>
          <w:bCs/>
          <w:szCs w:val="20"/>
        </w:rPr>
        <w:t xml:space="preserve"> be offered immunotherapy +/- chemotherapy</w:t>
      </w:r>
      <w:r w:rsidR="00DE63E0">
        <w:rPr>
          <w:bCs/>
          <w:szCs w:val="20"/>
        </w:rPr>
        <w:t xml:space="preserve">. </w:t>
      </w:r>
    </w:p>
    <w:p w14:paraId="09965732" w14:textId="705C7821" w:rsidR="001B29A1" w:rsidRDefault="001B29A1" w:rsidP="00075F5F">
      <w:pPr>
        <w:ind w:left="0"/>
        <w:rPr>
          <w:b/>
          <w:i/>
          <w:szCs w:val="20"/>
          <w:u w:val="single"/>
        </w:rPr>
      </w:pPr>
    </w:p>
    <w:p w14:paraId="679BD63B" w14:textId="77777777" w:rsidR="00DF0D47" w:rsidRPr="00881F93" w:rsidRDefault="005C3AE7" w:rsidP="00D931E4">
      <w:pPr>
        <w:pStyle w:val="Subtitle"/>
        <w:ind w:left="0"/>
      </w:pPr>
      <w:r>
        <w:t xml:space="preserve">PART 6d – </w:t>
      </w:r>
      <w:r w:rsidR="00DF0D47" w:rsidRPr="00881F93">
        <w:t xml:space="preserve">INFORMATION ABOUT THE </w:t>
      </w:r>
      <w:r w:rsidR="00CF5AD8" w:rsidRPr="00881F93">
        <w:t xml:space="preserve">CLINICAL </w:t>
      </w:r>
      <w:r w:rsidR="00DF0D47" w:rsidRPr="00881F93">
        <w:t>OUTCOME</w:t>
      </w:r>
    </w:p>
    <w:p w14:paraId="607670B2" w14:textId="77777777" w:rsidR="004E3CC7" w:rsidRPr="001B29A1" w:rsidRDefault="004E3CC7" w:rsidP="00530204">
      <w:pPr>
        <w:pStyle w:val="Heading2"/>
      </w:pPr>
      <w:r w:rsidRPr="001B29A1">
        <w:t>Summarise the clinical claims for the proposed medical service against the appropriate comparator(s), in terms of consequences for health outcomes</w:t>
      </w:r>
      <w:r w:rsidR="00CF5AD8" w:rsidRPr="001B29A1">
        <w:t xml:space="preserve"> (</w:t>
      </w:r>
      <w:r w:rsidR="009F0C02" w:rsidRPr="001B29A1">
        <w:t>comparative benefits and harms)</w:t>
      </w:r>
      <w:r w:rsidR="00AE1188">
        <w:t>:</w:t>
      </w:r>
    </w:p>
    <w:p w14:paraId="3ACE3FA5" w14:textId="77777777" w:rsidR="004E3CC7" w:rsidRPr="00154B00" w:rsidRDefault="00C83F28" w:rsidP="001B29A1">
      <w:pPr>
        <w:ind w:left="426"/>
        <w:rPr>
          <w:szCs w:val="20"/>
        </w:rPr>
      </w:pPr>
      <w:r>
        <w:t>The clinical claims are entirely due to the change in pharmaceutical management of patients with KRAS G12C mutated NSCLC and will be expanded in the associated PBAC submission.</w:t>
      </w:r>
    </w:p>
    <w:p w14:paraId="156C74C3" w14:textId="77777777" w:rsidR="004E3CC7" w:rsidRPr="00154B00" w:rsidRDefault="004E3CC7" w:rsidP="00530204">
      <w:pPr>
        <w:pStyle w:val="Heading2"/>
      </w:pPr>
      <w:r w:rsidRPr="00154B00">
        <w:t xml:space="preserve">Please advise if the </w:t>
      </w:r>
      <w:r w:rsidR="00CF5AD8" w:rsidRPr="00092580">
        <w:t>overall</w:t>
      </w:r>
      <w:r w:rsidR="00CF5AD8">
        <w:t xml:space="preserve"> </w:t>
      </w:r>
      <w:r w:rsidRPr="00154B00">
        <w:t>clinical claim is for:</w:t>
      </w:r>
    </w:p>
    <w:p w14:paraId="7CC80BD1" w14:textId="77777777" w:rsidR="001B29A1" w:rsidRPr="001B29A1" w:rsidRDefault="00B938CD"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577575">
        <w:rPr>
          <w:szCs w:val="20"/>
        </w:rPr>
      </w:r>
      <w:r w:rsidR="00577575">
        <w:rPr>
          <w:szCs w:val="20"/>
        </w:rPr>
        <w:fldChar w:fldCharType="separate"/>
      </w:r>
      <w:r>
        <w:rPr>
          <w:szCs w:val="20"/>
        </w:rPr>
        <w:fldChar w:fldCharType="end"/>
      </w:r>
      <w:r w:rsidR="001B29A1" w:rsidRPr="001B29A1">
        <w:rPr>
          <w:szCs w:val="20"/>
        </w:rPr>
        <w:t xml:space="preserve"> Superiority</w:t>
      </w:r>
      <w:r w:rsidR="001B29A1" w:rsidRPr="001B29A1">
        <w:rPr>
          <w:szCs w:val="20"/>
        </w:rPr>
        <w:tab/>
      </w:r>
    </w:p>
    <w:p w14:paraId="217A4CDC" w14:textId="77777777" w:rsidR="004E3CC7" w:rsidRPr="001B29A1" w:rsidRDefault="001B29A1" w:rsidP="001B29A1">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577575">
        <w:rPr>
          <w:szCs w:val="20"/>
        </w:rPr>
      </w:r>
      <w:r w:rsidR="00577575">
        <w:rPr>
          <w:szCs w:val="20"/>
        </w:rPr>
        <w:fldChar w:fldCharType="separate"/>
      </w:r>
      <w:r w:rsidRPr="001B29A1">
        <w:rPr>
          <w:szCs w:val="20"/>
        </w:rPr>
        <w:fldChar w:fldCharType="end"/>
      </w:r>
      <w:r w:rsidRPr="001B29A1">
        <w:rPr>
          <w:szCs w:val="20"/>
        </w:rPr>
        <w:t xml:space="preserve"> Non-inferiority</w:t>
      </w:r>
      <w:r w:rsidRPr="001B29A1">
        <w:rPr>
          <w:szCs w:val="20"/>
        </w:rPr>
        <w:tab/>
      </w:r>
    </w:p>
    <w:p w14:paraId="6BE3582E" w14:textId="77777777" w:rsidR="00B25D20" w:rsidRPr="00154B00" w:rsidRDefault="001B29A1" w:rsidP="00530204">
      <w:pPr>
        <w:pStyle w:val="Heading2"/>
      </w:pPr>
      <w:r>
        <w:t>Below, l</w:t>
      </w:r>
      <w:r w:rsidR="00B25D20">
        <w:t xml:space="preserve">ist </w:t>
      </w:r>
      <w:r w:rsidR="00B25D20" w:rsidRPr="00B25CFD">
        <w:t xml:space="preserve">the </w:t>
      </w:r>
      <w:r w:rsidR="00B25D20" w:rsidRPr="00092580">
        <w:t>key</w:t>
      </w:r>
      <w:r w:rsidR="00B25D20" w:rsidRPr="00B25CFD">
        <w:t xml:space="preserve"> health outcomes </w:t>
      </w:r>
      <w:r w:rsidR="00707D4D">
        <w:t xml:space="preserve">(major and minor – prioritising major key health outcomes first) </w:t>
      </w:r>
      <w:r w:rsidR="00B25D20" w:rsidRPr="00B25CFD">
        <w:t>that will ne</w:t>
      </w:r>
      <w:r w:rsidR="00AD37D4">
        <w:t xml:space="preserve">ed to be specifically measured </w:t>
      </w:r>
      <w:r w:rsidR="00B25D20" w:rsidRPr="00B25CFD">
        <w:t>in assessing the clinical claim of the proposed medica</w:t>
      </w:r>
      <w:r>
        <w:t>l service versus the comparator</w:t>
      </w:r>
      <w:r w:rsidR="00AD37D4">
        <w:t>:</w:t>
      </w:r>
    </w:p>
    <w:p w14:paraId="0BBAC8C3" w14:textId="77777777" w:rsidR="00B938CD" w:rsidRDefault="001B29A1" w:rsidP="001B29A1">
      <w:pPr>
        <w:pBdr>
          <w:top w:val="single" w:sz="4" w:space="1" w:color="auto"/>
          <w:left w:val="single" w:sz="4" w:space="4" w:color="auto"/>
          <w:bottom w:val="single" w:sz="4" w:space="1" w:color="auto"/>
          <w:right w:val="single" w:sz="4" w:space="4" w:color="auto"/>
        </w:pBdr>
        <w:rPr>
          <w:b/>
          <w:szCs w:val="20"/>
        </w:rPr>
      </w:pPr>
      <w:r w:rsidRPr="001B29A1">
        <w:rPr>
          <w:b/>
          <w:szCs w:val="20"/>
        </w:rPr>
        <w:t>Safety Outcomes</w:t>
      </w:r>
      <w:r>
        <w:rPr>
          <w:b/>
          <w:szCs w:val="20"/>
        </w:rPr>
        <w:t xml:space="preserve">: </w:t>
      </w:r>
    </w:p>
    <w:p w14:paraId="17B4919F" w14:textId="77777777" w:rsidR="001B29A1" w:rsidRDefault="00B938CD" w:rsidP="001B29A1">
      <w:pPr>
        <w:pBdr>
          <w:top w:val="single" w:sz="4" w:space="1" w:color="auto"/>
          <w:left w:val="single" w:sz="4" w:space="4" w:color="auto"/>
          <w:bottom w:val="single" w:sz="4" w:space="1" w:color="auto"/>
          <w:right w:val="single" w:sz="4" w:space="4" w:color="auto"/>
        </w:pBdr>
      </w:pPr>
      <w:r>
        <w:t>Incidence of adverse events</w:t>
      </w:r>
      <w:r w:rsidR="00C83F28">
        <w:t xml:space="preserve"> from subsequent treatment</w:t>
      </w:r>
    </w:p>
    <w:p w14:paraId="05433DC2" w14:textId="77777777" w:rsidR="00C83F28" w:rsidRDefault="00C83F28" w:rsidP="001B29A1">
      <w:pPr>
        <w:pBdr>
          <w:top w:val="single" w:sz="4" w:space="1" w:color="auto"/>
          <w:left w:val="single" w:sz="4" w:space="4" w:color="auto"/>
          <w:bottom w:val="single" w:sz="4" w:space="1" w:color="auto"/>
          <w:right w:val="single" w:sz="4" w:space="4" w:color="auto"/>
        </w:pBdr>
      </w:pPr>
      <w:r>
        <w:t>Adverse events associated with biopsy</w:t>
      </w:r>
    </w:p>
    <w:p w14:paraId="7FA4E967" w14:textId="77777777" w:rsidR="00C83F28" w:rsidRDefault="00C83F28" w:rsidP="001B29A1">
      <w:pPr>
        <w:pBdr>
          <w:top w:val="single" w:sz="4" w:space="1" w:color="auto"/>
          <w:left w:val="single" w:sz="4" w:space="4" w:color="auto"/>
          <w:bottom w:val="single" w:sz="4" w:space="1" w:color="auto"/>
          <w:right w:val="single" w:sz="4" w:space="4" w:color="auto"/>
        </w:pBdr>
      </w:pPr>
      <w:r>
        <w:t>Re-biopsy rate</w:t>
      </w:r>
    </w:p>
    <w:p w14:paraId="749B21E1" w14:textId="77777777" w:rsidR="00C83F28" w:rsidRDefault="00C83F28" w:rsidP="001B29A1">
      <w:pPr>
        <w:pBdr>
          <w:top w:val="single" w:sz="4" w:space="1" w:color="auto"/>
          <w:left w:val="single" w:sz="4" w:space="4" w:color="auto"/>
          <w:bottom w:val="single" w:sz="4" w:space="1" w:color="auto"/>
          <w:right w:val="single" w:sz="4" w:space="4" w:color="auto"/>
        </w:pBdr>
        <w:rPr>
          <w:b/>
          <w:szCs w:val="20"/>
        </w:rPr>
      </w:pPr>
      <w:r>
        <w:t>Impact on patients of false positive and false negative test results</w:t>
      </w:r>
    </w:p>
    <w:p w14:paraId="7E6FB28A" w14:textId="77777777" w:rsidR="001B29A1" w:rsidRPr="001B29A1" w:rsidRDefault="001B29A1" w:rsidP="001B29A1">
      <w:pPr>
        <w:pBdr>
          <w:top w:val="single" w:sz="4" w:space="1" w:color="auto"/>
          <w:left w:val="single" w:sz="4" w:space="4" w:color="auto"/>
          <w:bottom w:val="single" w:sz="4" w:space="1" w:color="auto"/>
          <w:right w:val="single" w:sz="4" w:space="4" w:color="auto"/>
        </w:pBdr>
        <w:rPr>
          <w:b/>
          <w:szCs w:val="20"/>
        </w:rPr>
      </w:pPr>
    </w:p>
    <w:p w14:paraId="1E215770" w14:textId="77777777" w:rsidR="00B938CD" w:rsidRDefault="001B29A1" w:rsidP="001B29A1">
      <w:pPr>
        <w:pBdr>
          <w:top w:val="single" w:sz="4" w:space="1" w:color="auto"/>
          <w:left w:val="single" w:sz="4" w:space="4" w:color="auto"/>
          <w:bottom w:val="single" w:sz="4" w:space="1" w:color="auto"/>
          <w:right w:val="single" w:sz="4" w:space="4" w:color="auto"/>
        </w:pBdr>
        <w:rPr>
          <w:b/>
          <w:szCs w:val="20"/>
        </w:rPr>
      </w:pPr>
      <w:r w:rsidRPr="001B29A1">
        <w:rPr>
          <w:b/>
          <w:szCs w:val="20"/>
        </w:rPr>
        <w:t>Clinical Effectiveness Outcomes</w:t>
      </w:r>
      <w:r>
        <w:rPr>
          <w:b/>
          <w:szCs w:val="20"/>
        </w:rPr>
        <w:t xml:space="preserve">: </w:t>
      </w:r>
    </w:p>
    <w:p w14:paraId="00242E8C" w14:textId="77777777" w:rsidR="00B938CD" w:rsidRDefault="00B938CD" w:rsidP="001B29A1">
      <w:pPr>
        <w:pBdr>
          <w:top w:val="single" w:sz="4" w:space="1" w:color="auto"/>
          <w:left w:val="single" w:sz="4" w:space="4" w:color="auto"/>
          <w:bottom w:val="single" w:sz="4" w:space="1" w:color="auto"/>
          <w:right w:val="single" w:sz="4" w:space="4" w:color="auto"/>
        </w:pBdr>
      </w:pPr>
      <w:r>
        <w:t>Objective response rate</w:t>
      </w:r>
    </w:p>
    <w:p w14:paraId="071A4F95" w14:textId="77777777" w:rsidR="00B938CD" w:rsidRDefault="00B938CD" w:rsidP="001B29A1">
      <w:pPr>
        <w:pBdr>
          <w:top w:val="single" w:sz="4" w:space="1" w:color="auto"/>
          <w:left w:val="single" w:sz="4" w:space="4" w:color="auto"/>
          <w:bottom w:val="single" w:sz="4" w:space="1" w:color="auto"/>
          <w:right w:val="single" w:sz="4" w:space="4" w:color="auto"/>
        </w:pBdr>
      </w:pPr>
      <w:r>
        <w:t>Duration of response</w:t>
      </w:r>
    </w:p>
    <w:p w14:paraId="176BCCBE" w14:textId="77777777" w:rsidR="00B938CD" w:rsidRDefault="00B938CD" w:rsidP="001B29A1">
      <w:pPr>
        <w:pBdr>
          <w:top w:val="single" w:sz="4" w:space="1" w:color="auto"/>
          <w:left w:val="single" w:sz="4" w:space="4" w:color="auto"/>
          <w:bottom w:val="single" w:sz="4" w:space="1" w:color="auto"/>
          <w:right w:val="single" w:sz="4" w:space="4" w:color="auto"/>
        </w:pBdr>
      </w:pPr>
      <w:r>
        <w:lastRenderedPageBreak/>
        <w:t>Progression free survival</w:t>
      </w:r>
    </w:p>
    <w:p w14:paraId="1D9A4D10" w14:textId="143BE17A" w:rsidR="00B25D20" w:rsidRDefault="00B938CD" w:rsidP="001B29A1">
      <w:pPr>
        <w:pBdr>
          <w:top w:val="single" w:sz="4" w:space="1" w:color="auto"/>
          <w:left w:val="single" w:sz="4" w:space="4" w:color="auto"/>
          <w:bottom w:val="single" w:sz="4" w:space="1" w:color="auto"/>
          <w:right w:val="single" w:sz="4" w:space="4" w:color="auto"/>
        </w:pBdr>
      </w:pPr>
      <w:r>
        <w:t>Overall survival</w:t>
      </w:r>
    </w:p>
    <w:p w14:paraId="5845B8F2" w14:textId="77777777" w:rsidR="002F497B" w:rsidRPr="001B29A1" w:rsidRDefault="002F497B" w:rsidP="001B29A1">
      <w:pPr>
        <w:pBdr>
          <w:top w:val="single" w:sz="4" w:space="1" w:color="auto"/>
          <w:left w:val="single" w:sz="4" w:space="4" w:color="auto"/>
          <w:bottom w:val="single" w:sz="4" w:space="1" w:color="auto"/>
          <w:right w:val="single" w:sz="4" w:space="4" w:color="auto"/>
        </w:pBdr>
        <w:rPr>
          <w:szCs w:val="20"/>
        </w:rPr>
      </w:pPr>
    </w:p>
    <w:p w14:paraId="438B244F" w14:textId="6C1377E6" w:rsidR="001B29A1" w:rsidRDefault="002F497B" w:rsidP="001B29A1">
      <w:pPr>
        <w:pBdr>
          <w:top w:val="single" w:sz="4" w:space="1" w:color="auto"/>
          <w:left w:val="single" w:sz="4" w:space="4" w:color="auto"/>
          <w:bottom w:val="single" w:sz="4" w:space="1" w:color="auto"/>
          <w:right w:val="single" w:sz="4" w:space="4" w:color="auto"/>
        </w:pBdr>
        <w:rPr>
          <w:b/>
          <w:szCs w:val="20"/>
        </w:rPr>
      </w:pPr>
      <w:r>
        <w:rPr>
          <w:b/>
          <w:szCs w:val="20"/>
        </w:rPr>
        <w:t>Test related</w:t>
      </w:r>
    </w:p>
    <w:p w14:paraId="6FC7CE87" w14:textId="77777777" w:rsidR="002F497B" w:rsidRDefault="002F497B" w:rsidP="001B29A1">
      <w:pPr>
        <w:pBdr>
          <w:top w:val="single" w:sz="4" w:space="1" w:color="auto"/>
          <w:left w:val="single" w:sz="4" w:space="4" w:color="auto"/>
          <w:bottom w:val="single" w:sz="4" w:space="1" w:color="auto"/>
          <w:right w:val="single" w:sz="4" w:space="4" w:color="auto"/>
        </w:pBdr>
      </w:pPr>
      <w:r>
        <w:t>Diagnostic accuracy</w:t>
      </w:r>
    </w:p>
    <w:p w14:paraId="1199908A" w14:textId="77777777" w:rsidR="002F497B" w:rsidRDefault="002F497B" w:rsidP="001B29A1">
      <w:pPr>
        <w:pBdr>
          <w:top w:val="single" w:sz="4" w:space="1" w:color="auto"/>
          <w:left w:val="single" w:sz="4" w:space="4" w:color="auto"/>
          <w:bottom w:val="single" w:sz="4" w:space="1" w:color="auto"/>
          <w:right w:val="single" w:sz="4" w:space="4" w:color="auto"/>
        </w:pBdr>
      </w:pPr>
      <w:r>
        <w:t>Prognostic accuracy</w:t>
      </w:r>
    </w:p>
    <w:p w14:paraId="3C6BC9D4" w14:textId="77777777" w:rsidR="002F497B" w:rsidRDefault="002F497B" w:rsidP="001B29A1">
      <w:pPr>
        <w:pBdr>
          <w:top w:val="single" w:sz="4" w:space="1" w:color="auto"/>
          <w:left w:val="single" w:sz="4" w:space="4" w:color="auto"/>
          <w:bottom w:val="single" w:sz="4" w:space="1" w:color="auto"/>
          <w:right w:val="single" w:sz="4" w:space="4" w:color="auto"/>
        </w:pBdr>
      </w:pPr>
      <w:r>
        <w:t>Change in clinical management</w:t>
      </w:r>
    </w:p>
    <w:p w14:paraId="7218067E" w14:textId="0E2A9FA9" w:rsidR="002F497B" w:rsidRDefault="002F497B" w:rsidP="001B29A1">
      <w:pPr>
        <w:pBdr>
          <w:top w:val="single" w:sz="4" w:space="1" w:color="auto"/>
          <w:left w:val="single" w:sz="4" w:space="4" w:color="auto"/>
          <w:bottom w:val="single" w:sz="4" w:space="1" w:color="auto"/>
          <w:right w:val="single" w:sz="4" w:space="4" w:color="auto"/>
        </w:pBdr>
        <w:rPr>
          <w:b/>
          <w:szCs w:val="20"/>
        </w:rPr>
      </w:pPr>
      <w:r>
        <w:t>T</w:t>
      </w:r>
      <w:r w:rsidRPr="00216659">
        <w:t>est turn-around time</w:t>
      </w:r>
    </w:p>
    <w:p w14:paraId="3AE305B8" w14:textId="77777777" w:rsidR="00C776B1" w:rsidRPr="00C776B1" w:rsidRDefault="003433D1" w:rsidP="0056015F">
      <w:pPr>
        <w:pStyle w:val="Heading1"/>
      </w:pPr>
      <w:r>
        <w:rPr>
          <w:b/>
          <w:sz w:val="32"/>
        </w:rPr>
        <w:br w:type="page"/>
      </w:r>
      <w:r w:rsidR="005C3AE7">
        <w:lastRenderedPageBreak/>
        <w:t>PART 7</w:t>
      </w:r>
      <w:r w:rsidR="00F93784">
        <w:t xml:space="preserve"> – </w:t>
      </w:r>
      <w:r w:rsidR="006C74B1" w:rsidRPr="00C776B1">
        <w:t xml:space="preserve">INFORMATION ABOUT </w:t>
      </w:r>
      <w:r w:rsidR="0018630F" w:rsidRPr="00C776B1">
        <w:t xml:space="preserve">ESTIMATED </w:t>
      </w:r>
      <w:r w:rsidR="00974D50" w:rsidRPr="00C776B1">
        <w:t>UTILISATION</w:t>
      </w:r>
    </w:p>
    <w:p w14:paraId="325F2FBF" w14:textId="77777777" w:rsidR="006C74B1" w:rsidRPr="00092580" w:rsidRDefault="00BE0FDE" w:rsidP="001B5169">
      <w:pPr>
        <w:pStyle w:val="Heading2"/>
      </w:pPr>
      <w:r w:rsidRPr="00092580">
        <w:t>Estimate</w:t>
      </w:r>
      <w:r w:rsidR="00974D50" w:rsidRPr="00092580">
        <w:t xml:space="preserve"> the prevalence</w:t>
      </w:r>
      <w:r w:rsidR="00B771AD" w:rsidRPr="00092580">
        <w:t xml:space="preserve"> and/or incidence</w:t>
      </w:r>
      <w:r w:rsidR="00974D50" w:rsidRPr="00092580">
        <w:t xml:space="preserve"> of </w:t>
      </w:r>
      <w:r w:rsidR="00AE1188">
        <w:t>the proposed population:</w:t>
      </w:r>
    </w:p>
    <w:p w14:paraId="69D73273" w14:textId="77777777" w:rsidR="00F5385E" w:rsidRPr="005E1C9E" w:rsidRDefault="00F5385E" w:rsidP="00F5385E">
      <w:pPr>
        <w:ind w:left="426"/>
        <w:rPr>
          <w:rFonts w:cs="Arial"/>
        </w:rPr>
      </w:pPr>
      <w:r w:rsidRPr="005E1C9E">
        <w:t xml:space="preserve">Based on projections of lung cancer incidence from the Australian Institute of Health and Welfare (AIHW, 2020), </w:t>
      </w:r>
      <w:r w:rsidRPr="005E1C9E">
        <w:rPr>
          <w:szCs w:val="20"/>
        </w:rPr>
        <w:t>there will be 13,258 new cases of lung cancer in Australia in 2020.  Of these, 86.6% will have NSCLC (</w:t>
      </w:r>
      <w:r w:rsidRPr="005E1C9E">
        <w:rPr>
          <w:rFonts w:cs="Arial"/>
        </w:rPr>
        <w:t>Mitchell et al 2013) and 74.2% of tumours will have non-squamous NOS histology (</w:t>
      </w:r>
      <w:proofErr w:type="spellStart"/>
      <w:r w:rsidRPr="005E1C9E">
        <w:rPr>
          <w:rFonts w:cs="Arial"/>
        </w:rPr>
        <w:t>Nivolumab</w:t>
      </w:r>
      <w:proofErr w:type="spellEnd"/>
      <w:r w:rsidRPr="005E1C9E">
        <w:rPr>
          <w:rFonts w:cs="Arial"/>
        </w:rPr>
        <w:t xml:space="preserve"> PSD November 2016) giving a total incidence pool of 8,519 patients potentially eligible for EGFR/KRAS testing.  </w:t>
      </w:r>
    </w:p>
    <w:p w14:paraId="39856338" w14:textId="004F7BF0" w:rsidR="00F5385E" w:rsidRPr="005E1C9E" w:rsidRDefault="00F5385E" w:rsidP="009F6FF0">
      <w:pPr>
        <w:ind w:left="426"/>
        <w:rPr>
          <w:rFonts w:cs="Arial"/>
        </w:rPr>
      </w:pPr>
      <w:r w:rsidRPr="005E1C9E">
        <w:t xml:space="preserve">Not all patients with locally advanced or metastatic NSCLC will be considered for systemic therapy and subject to EGFR/KRAS testing.  In the 2019/20 financial year there were 4,643 claims for EGFR testing under MBS item 73337, representing the approximate number of patients tested.  </w:t>
      </w:r>
      <w:r w:rsidR="009F6FF0">
        <w:rPr>
          <w:rFonts w:cs="Arial"/>
        </w:rPr>
        <w:t>T</w:t>
      </w:r>
      <w:r w:rsidRPr="005E1C9E">
        <w:rPr>
          <w:rFonts w:cs="Arial"/>
        </w:rPr>
        <w:t>he KRAS G</w:t>
      </w:r>
      <w:r w:rsidR="006A3DE7">
        <w:rPr>
          <w:rFonts w:cs="Arial"/>
        </w:rPr>
        <w:t>1</w:t>
      </w:r>
      <w:r w:rsidRPr="005E1C9E">
        <w:rPr>
          <w:rFonts w:cs="Arial"/>
        </w:rPr>
        <w:t>2C variant is present in ~13% of non</w:t>
      </w:r>
      <w:r w:rsidR="00304C0F" w:rsidRPr="005E1C9E">
        <w:rPr>
          <w:rFonts w:cs="Arial"/>
        </w:rPr>
        <w:t>-</w:t>
      </w:r>
      <w:r w:rsidRPr="005E1C9E">
        <w:rPr>
          <w:rFonts w:cs="Arial"/>
        </w:rPr>
        <w:t xml:space="preserve">squamous/NOS NSCLC tumours.  The number of patients in the tested cohort potentially eligible for </w:t>
      </w:r>
      <w:proofErr w:type="spellStart"/>
      <w:r w:rsidRPr="005E1C9E">
        <w:rPr>
          <w:rFonts w:cs="Arial"/>
        </w:rPr>
        <w:t>sotorasib</w:t>
      </w:r>
      <w:proofErr w:type="spellEnd"/>
      <w:r w:rsidRPr="005E1C9E">
        <w:rPr>
          <w:rFonts w:cs="Arial"/>
        </w:rPr>
        <w:t xml:space="preserve"> would therefore be 604.  </w:t>
      </w:r>
    </w:p>
    <w:p w14:paraId="3279F76B" w14:textId="41EBAC17" w:rsidR="00382407" w:rsidRPr="005E1C9E" w:rsidRDefault="00382407" w:rsidP="00530204">
      <w:pPr>
        <w:pStyle w:val="Heading2"/>
      </w:pPr>
      <w:r w:rsidRPr="005E1C9E">
        <w:t>Estimate the number of times the proposed medical service</w:t>
      </w:r>
      <w:r w:rsidR="005A58BA" w:rsidRPr="005E1C9E">
        <w:t>(s)</w:t>
      </w:r>
      <w:r w:rsidRPr="005E1C9E">
        <w:t xml:space="preserve"> would be </w:t>
      </w:r>
      <w:r w:rsidR="00AE1188" w:rsidRPr="005E1C9E">
        <w:t>delivered to a patient per year:</w:t>
      </w:r>
    </w:p>
    <w:p w14:paraId="0C15A19C" w14:textId="48E9989F" w:rsidR="00382407" w:rsidRPr="009F6FF0" w:rsidRDefault="00903338" w:rsidP="00903338">
      <w:pPr>
        <w:autoSpaceDE w:val="0"/>
        <w:autoSpaceDN w:val="0"/>
        <w:adjustRightInd w:val="0"/>
        <w:spacing w:before="0" w:after="0"/>
        <w:ind w:left="426"/>
      </w:pPr>
      <w:r w:rsidRPr="009F6FF0">
        <w:t xml:space="preserve">The medical service would be undertaken to determine eligibility for treatment with </w:t>
      </w:r>
      <w:proofErr w:type="spellStart"/>
      <w:r w:rsidR="001B4CDC" w:rsidRPr="009F6FF0">
        <w:t>sotorasib</w:t>
      </w:r>
      <w:proofErr w:type="spellEnd"/>
      <w:r w:rsidRPr="009F6FF0">
        <w:t xml:space="preserve">. It is anticipated that patients would be tested only once per lifetime, </w:t>
      </w:r>
      <w:r w:rsidR="00F5385E" w:rsidRPr="009F6FF0">
        <w:t xml:space="preserve">at diagnosis or </w:t>
      </w:r>
      <w:r w:rsidRPr="009F6FF0">
        <w:t>prior to the initiation of treatment.</w:t>
      </w:r>
    </w:p>
    <w:p w14:paraId="34E59A11" w14:textId="77777777" w:rsidR="00382407" w:rsidRPr="00154B00" w:rsidRDefault="00382407" w:rsidP="00530204">
      <w:pPr>
        <w:pStyle w:val="Heading2"/>
      </w:pPr>
      <w:r w:rsidRPr="00154B00">
        <w:t>How many years would the proposed medical service</w:t>
      </w:r>
      <w:r w:rsidR="005A58BA">
        <w:t>(s)</w:t>
      </w:r>
      <w:r w:rsidRPr="00154B00">
        <w:t xml:space="preserve"> be required for the patient?</w:t>
      </w:r>
    </w:p>
    <w:p w14:paraId="67544116" w14:textId="77777777" w:rsidR="00382407" w:rsidRPr="00154B00" w:rsidRDefault="00903338" w:rsidP="00AE1188">
      <w:pPr>
        <w:ind w:left="426"/>
        <w:rPr>
          <w:b/>
          <w:szCs w:val="20"/>
        </w:rPr>
      </w:pPr>
      <w:r>
        <w:t>Not applicable.</w:t>
      </w:r>
    </w:p>
    <w:p w14:paraId="2651CAB3" w14:textId="77777777" w:rsidR="002A6753" w:rsidRPr="00154B00" w:rsidRDefault="000E47E7" w:rsidP="00530204">
      <w:pPr>
        <w:pStyle w:val="Heading2"/>
        <w:rPr>
          <w:b w:val="0"/>
        </w:rPr>
      </w:pPr>
      <w:r w:rsidRPr="00154B00">
        <w:lastRenderedPageBreak/>
        <w:t xml:space="preserve">Estimate </w:t>
      </w:r>
      <w:r w:rsidR="002A6753" w:rsidRPr="00154B00">
        <w:t xml:space="preserve">the projected number of patients who will utilise the proposed </w:t>
      </w:r>
      <w:r w:rsidRPr="00154B00">
        <w:t xml:space="preserve">medical </w:t>
      </w:r>
      <w:r w:rsidR="002A6753" w:rsidRPr="00154B00">
        <w:t>ser</w:t>
      </w:r>
      <w:r w:rsidR="00AE1188">
        <w:t>vice(s) for the first full year:</w:t>
      </w:r>
    </w:p>
    <w:p w14:paraId="421B2769" w14:textId="77777777" w:rsidR="00A82D25" w:rsidRPr="00154B00" w:rsidRDefault="00A82D25" w:rsidP="00A82D25">
      <w:pPr>
        <w:ind w:left="426"/>
        <w:rPr>
          <w:szCs w:val="20"/>
        </w:rPr>
      </w:pPr>
      <w:r w:rsidRPr="005E1C9E">
        <w:t>It is estimated that approximately 5,373 patients will utilise the</w:t>
      </w:r>
      <w:bookmarkStart w:id="6" w:name="_GoBack"/>
      <w:bookmarkEnd w:id="6"/>
      <w:r w:rsidRPr="005E1C9E">
        <w:t xml:space="preserve"> medical service in Year 1 (2022) based on forecast growth from current utilisation of EGFR testing.</w:t>
      </w:r>
      <w:r>
        <w:t xml:space="preserve"> </w:t>
      </w:r>
    </w:p>
    <w:p w14:paraId="09AA35A3" w14:textId="77777777" w:rsidR="00974D50" w:rsidRPr="005E1C9E" w:rsidRDefault="005A58BA" w:rsidP="00530204">
      <w:pPr>
        <w:pStyle w:val="Heading2"/>
        <w:rPr>
          <w:b w:val="0"/>
        </w:rPr>
      </w:pPr>
      <w:r>
        <w:t>Estimate the anticipated upt</w:t>
      </w:r>
      <w:r w:rsidR="000E47E7" w:rsidRPr="00154B00">
        <w:t>a</w:t>
      </w:r>
      <w:r w:rsidR="001B171D" w:rsidRPr="00154B00">
        <w:t>k</w:t>
      </w:r>
      <w:r w:rsidR="000E47E7" w:rsidRPr="00154B00">
        <w:t>e of the proposed medical service over the next three years</w:t>
      </w:r>
      <w:r w:rsidR="001B171D" w:rsidRPr="00154B00">
        <w:t xml:space="preserve"> factoring in any constraints in the health system in meeting the needs of the proposed population (suc</w:t>
      </w:r>
      <w:r>
        <w:t>h as supply and demand factors)</w:t>
      </w:r>
      <w:r w:rsidR="001B171D" w:rsidRPr="00154B00">
        <w:t xml:space="preserve"> as well as </w:t>
      </w:r>
      <w:r w:rsidR="009C03FB" w:rsidRPr="00154B00">
        <w:t>provide commentary on</w:t>
      </w:r>
      <w:r w:rsidR="001B171D" w:rsidRPr="00154B00">
        <w:t xml:space="preserve"> risk of ‘leakage’ to populations not targeted by </w:t>
      </w:r>
      <w:r w:rsidR="001B171D" w:rsidRPr="005E1C9E">
        <w:t>the service</w:t>
      </w:r>
      <w:r w:rsidR="00AE1188" w:rsidRPr="005E1C9E">
        <w:t>:</w:t>
      </w:r>
    </w:p>
    <w:p w14:paraId="329E15DB" w14:textId="638A4AB0" w:rsidR="00A82D25" w:rsidRDefault="00A82D25" w:rsidP="00A82D25">
      <w:pPr>
        <w:ind w:left="426"/>
      </w:pPr>
      <w:r w:rsidRPr="005E1C9E">
        <w:rPr>
          <w:rFonts w:ascii="CIDFont+F1" w:hAnsi="CIDFont+F1" w:cs="CIDFont+F1"/>
          <w:sz w:val="19"/>
          <w:szCs w:val="19"/>
        </w:rPr>
        <w:t xml:space="preserve">Uptake of the proposed medical service is estimated to be consistent with current utilisation of MBS item 73337.  </w:t>
      </w:r>
      <w:r w:rsidRPr="005E1C9E">
        <w:t xml:space="preserve">A linear regression was used to project the number of services provided under item 73337 from 2020 to 2027 based on the service volumes from 2015 to 2019 (refer table below). </w:t>
      </w:r>
    </w:p>
    <w:tbl>
      <w:tblPr>
        <w:tblStyle w:val="TableGrid"/>
        <w:tblW w:w="0" w:type="auto"/>
        <w:jc w:val="center"/>
        <w:tblLayout w:type="fixed"/>
        <w:tblLook w:val="04A0" w:firstRow="1" w:lastRow="0" w:firstColumn="1" w:lastColumn="0" w:noHBand="0" w:noVBand="1"/>
        <w:tblCaption w:val="Table"/>
        <w:tblDescription w:val="Table"/>
      </w:tblPr>
      <w:tblGrid>
        <w:gridCol w:w="1918"/>
        <w:gridCol w:w="1918"/>
        <w:gridCol w:w="1918"/>
      </w:tblGrid>
      <w:tr w:rsidR="00A82D25" w:rsidRPr="007E2749" w14:paraId="216071AB" w14:textId="77777777" w:rsidTr="001E29C4">
        <w:trPr>
          <w:trHeight w:val="359"/>
          <w:tblHeader/>
          <w:jc w:val="center"/>
        </w:trPr>
        <w:tc>
          <w:tcPr>
            <w:tcW w:w="1918" w:type="dxa"/>
            <w:vAlign w:val="center"/>
          </w:tcPr>
          <w:p w14:paraId="75B9438E" w14:textId="77777777" w:rsidR="00A82D25" w:rsidRPr="00A1182C" w:rsidRDefault="00A82D25" w:rsidP="00954A1A">
            <w:pPr>
              <w:pStyle w:val="TableText"/>
              <w:spacing w:before="0" w:after="0" w:line="240" w:lineRule="auto"/>
              <w:rPr>
                <w:b/>
                <w:bCs/>
              </w:rPr>
            </w:pPr>
            <w:r w:rsidRPr="00A1182C">
              <w:rPr>
                <w:b/>
                <w:bCs/>
              </w:rPr>
              <w:t>Source</w:t>
            </w:r>
          </w:p>
        </w:tc>
        <w:tc>
          <w:tcPr>
            <w:tcW w:w="1918" w:type="dxa"/>
            <w:noWrap/>
            <w:vAlign w:val="center"/>
            <w:hideMark/>
          </w:tcPr>
          <w:p w14:paraId="5F6185FC" w14:textId="77777777" w:rsidR="00A82D25" w:rsidRPr="00A1182C" w:rsidRDefault="00A82D25" w:rsidP="00954A1A">
            <w:pPr>
              <w:pStyle w:val="TableText"/>
              <w:spacing w:before="0" w:after="0" w:line="240" w:lineRule="auto"/>
              <w:jc w:val="center"/>
              <w:rPr>
                <w:b/>
                <w:bCs/>
              </w:rPr>
            </w:pPr>
            <w:r w:rsidRPr="00A1182C">
              <w:rPr>
                <w:b/>
                <w:bCs/>
              </w:rPr>
              <w:t>Calendar Year</w:t>
            </w:r>
          </w:p>
        </w:tc>
        <w:tc>
          <w:tcPr>
            <w:tcW w:w="1918" w:type="dxa"/>
            <w:vAlign w:val="center"/>
            <w:hideMark/>
          </w:tcPr>
          <w:p w14:paraId="3B5E07DD" w14:textId="77777777" w:rsidR="00A82D25" w:rsidRPr="00A1182C" w:rsidRDefault="00A82D25" w:rsidP="00954A1A">
            <w:pPr>
              <w:pStyle w:val="TableText"/>
              <w:spacing w:before="0" w:after="0" w:line="240" w:lineRule="auto"/>
              <w:jc w:val="center"/>
              <w:rPr>
                <w:b/>
                <w:bCs/>
              </w:rPr>
            </w:pPr>
            <w:r w:rsidRPr="00A1182C">
              <w:rPr>
                <w:b/>
                <w:bCs/>
              </w:rPr>
              <w:t>Services</w:t>
            </w:r>
          </w:p>
        </w:tc>
      </w:tr>
      <w:tr w:rsidR="00A82D25" w:rsidRPr="007E2749" w14:paraId="207D36D9" w14:textId="77777777" w:rsidTr="00A82D25">
        <w:trPr>
          <w:trHeight w:val="288"/>
          <w:jc w:val="center"/>
        </w:trPr>
        <w:tc>
          <w:tcPr>
            <w:tcW w:w="1918" w:type="dxa"/>
            <w:vMerge w:val="restart"/>
          </w:tcPr>
          <w:p w14:paraId="0BF5726F" w14:textId="77777777" w:rsidR="00A82D25" w:rsidRPr="007E2749" w:rsidRDefault="00A82D25" w:rsidP="00954A1A">
            <w:pPr>
              <w:pStyle w:val="TableText"/>
              <w:spacing w:before="0" w:after="0" w:line="240" w:lineRule="auto"/>
            </w:pPr>
            <w:r>
              <w:t>MBS item report</w:t>
            </w:r>
          </w:p>
        </w:tc>
        <w:tc>
          <w:tcPr>
            <w:tcW w:w="1918" w:type="dxa"/>
            <w:hideMark/>
          </w:tcPr>
          <w:p w14:paraId="6233C079" w14:textId="77777777" w:rsidR="00A82D25" w:rsidRPr="007E2749" w:rsidRDefault="00A82D25" w:rsidP="00954A1A">
            <w:pPr>
              <w:pStyle w:val="TableText"/>
              <w:spacing w:before="0" w:after="0" w:line="240" w:lineRule="auto"/>
              <w:jc w:val="center"/>
            </w:pPr>
            <w:r w:rsidRPr="00E72009">
              <w:t>2015</w:t>
            </w:r>
          </w:p>
        </w:tc>
        <w:tc>
          <w:tcPr>
            <w:tcW w:w="1918" w:type="dxa"/>
            <w:hideMark/>
          </w:tcPr>
          <w:p w14:paraId="766BCBFA" w14:textId="77777777" w:rsidR="00A82D25" w:rsidRPr="007E2749" w:rsidRDefault="00A82D25" w:rsidP="00954A1A">
            <w:pPr>
              <w:pStyle w:val="TableText"/>
              <w:spacing w:before="0" w:after="0" w:line="240" w:lineRule="auto"/>
              <w:jc w:val="center"/>
            </w:pPr>
            <w:r w:rsidRPr="00E72009">
              <w:t>3,368</w:t>
            </w:r>
          </w:p>
        </w:tc>
      </w:tr>
      <w:tr w:rsidR="00A82D25" w:rsidRPr="007E2749" w14:paraId="2A9174E1" w14:textId="77777777" w:rsidTr="00A82D25">
        <w:trPr>
          <w:trHeight w:val="288"/>
          <w:jc w:val="center"/>
        </w:trPr>
        <w:tc>
          <w:tcPr>
            <w:tcW w:w="1918" w:type="dxa"/>
            <w:vMerge/>
          </w:tcPr>
          <w:p w14:paraId="7EADF493" w14:textId="77777777" w:rsidR="00A82D25" w:rsidRPr="007E2749" w:rsidRDefault="00A82D25" w:rsidP="00954A1A">
            <w:pPr>
              <w:pStyle w:val="TableText"/>
              <w:spacing w:before="0" w:after="0" w:line="240" w:lineRule="auto"/>
            </w:pPr>
          </w:p>
        </w:tc>
        <w:tc>
          <w:tcPr>
            <w:tcW w:w="1918" w:type="dxa"/>
            <w:hideMark/>
          </w:tcPr>
          <w:p w14:paraId="728CB21F" w14:textId="77777777" w:rsidR="00A82D25" w:rsidRPr="007E2749" w:rsidRDefault="00A82D25" w:rsidP="00954A1A">
            <w:pPr>
              <w:pStyle w:val="TableText"/>
              <w:spacing w:before="0" w:after="0" w:line="240" w:lineRule="auto"/>
              <w:jc w:val="center"/>
            </w:pPr>
            <w:r w:rsidRPr="00E72009">
              <w:t>2016</w:t>
            </w:r>
          </w:p>
        </w:tc>
        <w:tc>
          <w:tcPr>
            <w:tcW w:w="1918" w:type="dxa"/>
            <w:hideMark/>
          </w:tcPr>
          <w:p w14:paraId="1A9A3FE2" w14:textId="77777777" w:rsidR="00A82D25" w:rsidRPr="007E2749" w:rsidRDefault="00A82D25" w:rsidP="00954A1A">
            <w:pPr>
              <w:pStyle w:val="TableText"/>
              <w:spacing w:before="0" w:after="0" w:line="240" w:lineRule="auto"/>
              <w:jc w:val="center"/>
            </w:pPr>
            <w:r w:rsidRPr="00E72009">
              <w:t>3,419</w:t>
            </w:r>
          </w:p>
        </w:tc>
      </w:tr>
      <w:tr w:rsidR="00A82D25" w:rsidRPr="007E2749" w14:paraId="3DFF6501" w14:textId="77777777" w:rsidTr="00A82D25">
        <w:trPr>
          <w:trHeight w:val="288"/>
          <w:jc w:val="center"/>
        </w:trPr>
        <w:tc>
          <w:tcPr>
            <w:tcW w:w="1918" w:type="dxa"/>
            <w:vMerge/>
          </w:tcPr>
          <w:p w14:paraId="293DA2EC" w14:textId="77777777" w:rsidR="00A82D25" w:rsidRPr="007E2749" w:rsidRDefault="00A82D25" w:rsidP="00954A1A">
            <w:pPr>
              <w:pStyle w:val="TableText"/>
              <w:spacing w:before="0" w:after="0" w:line="240" w:lineRule="auto"/>
            </w:pPr>
          </w:p>
        </w:tc>
        <w:tc>
          <w:tcPr>
            <w:tcW w:w="1918" w:type="dxa"/>
            <w:hideMark/>
          </w:tcPr>
          <w:p w14:paraId="3CA000A4" w14:textId="77777777" w:rsidR="00A82D25" w:rsidRPr="007E2749" w:rsidRDefault="00A82D25" w:rsidP="00954A1A">
            <w:pPr>
              <w:pStyle w:val="TableText"/>
              <w:spacing w:before="0" w:after="0" w:line="240" w:lineRule="auto"/>
              <w:jc w:val="center"/>
            </w:pPr>
            <w:r w:rsidRPr="00E72009">
              <w:t>2017</w:t>
            </w:r>
          </w:p>
        </w:tc>
        <w:tc>
          <w:tcPr>
            <w:tcW w:w="1918" w:type="dxa"/>
            <w:hideMark/>
          </w:tcPr>
          <w:p w14:paraId="6145634D" w14:textId="77777777" w:rsidR="00A82D25" w:rsidRPr="007E2749" w:rsidRDefault="00A82D25" w:rsidP="00954A1A">
            <w:pPr>
              <w:pStyle w:val="TableText"/>
              <w:spacing w:before="0" w:after="0" w:line="240" w:lineRule="auto"/>
              <w:jc w:val="center"/>
            </w:pPr>
            <w:r w:rsidRPr="00E72009">
              <w:t>3,863</w:t>
            </w:r>
          </w:p>
        </w:tc>
      </w:tr>
      <w:tr w:rsidR="00A82D25" w:rsidRPr="007E2749" w14:paraId="42C98CB2" w14:textId="77777777" w:rsidTr="00A82D25">
        <w:trPr>
          <w:trHeight w:val="288"/>
          <w:jc w:val="center"/>
        </w:trPr>
        <w:tc>
          <w:tcPr>
            <w:tcW w:w="1918" w:type="dxa"/>
            <w:vMerge/>
          </w:tcPr>
          <w:p w14:paraId="09D29DA6" w14:textId="77777777" w:rsidR="00A82D25" w:rsidRPr="007E2749" w:rsidRDefault="00A82D25" w:rsidP="00954A1A">
            <w:pPr>
              <w:pStyle w:val="TableText"/>
              <w:spacing w:before="0" w:after="0" w:line="240" w:lineRule="auto"/>
            </w:pPr>
          </w:p>
        </w:tc>
        <w:tc>
          <w:tcPr>
            <w:tcW w:w="1918" w:type="dxa"/>
            <w:hideMark/>
          </w:tcPr>
          <w:p w14:paraId="6FF6AB50" w14:textId="77777777" w:rsidR="00A82D25" w:rsidRPr="007E2749" w:rsidRDefault="00A82D25" w:rsidP="00954A1A">
            <w:pPr>
              <w:pStyle w:val="TableText"/>
              <w:spacing w:before="0" w:after="0" w:line="240" w:lineRule="auto"/>
              <w:jc w:val="center"/>
            </w:pPr>
            <w:r w:rsidRPr="00E72009">
              <w:t>2018</w:t>
            </w:r>
          </w:p>
        </w:tc>
        <w:tc>
          <w:tcPr>
            <w:tcW w:w="1918" w:type="dxa"/>
            <w:hideMark/>
          </w:tcPr>
          <w:p w14:paraId="65171D3D" w14:textId="77777777" w:rsidR="00A82D25" w:rsidRPr="007E2749" w:rsidRDefault="00A82D25" w:rsidP="00954A1A">
            <w:pPr>
              <w:pStyle w:val="TableText"/>
              <w:spacing w:before="0" w:after="0" w:line="240" w:lineRule="auto"/>
              <w:jc w:val="center"/>
            </w:pPr>
            <w:r w:rsidRPr="00E72009">
              <w:t>4,147</w:t>
            </w:r>
          </w:p>
        </w:tc>
      </w:tr>
      <w:tr w:rsidR="00A82D25" w:rsidRPr="007E2749" w14:paraId="13EC75BF" w14:textId="77777777" w:rsidTr="00A82D25">
        <w:trPr>
          <w:trHeight w:val="288"/>
          <w:jc w:val="center"/>
        </w:trPr>
        <w:tc>
          <w:tcPr>
            <w:tcW w:w="1918" w:type="dxa"/>
            <w:vMerge/>
          </w:tcPr>
          <w:p w14:paraId="492752D8" w14:textId="77777777" w:rsidR="00A82D25" w:rsidRPr="007E2749" w:rsidRDefault="00A82D25" w:rsidP="00954A1A">
            <w:pPr>
              <w:pStyle w:val="TableText"/>
              <w:spacing w:before="0" w:after="0" w:line="240" w:lineRule="auto"/>
            </w:pPr>
          </w:p>
        </w:tc>
        <w:tc>
          <w:tcPr>
            <w:tcW w:w="1918" w:type="dxa"/>
            <w:hideMark/>
          </w:tcPr>
          <w:p w14:paraId="04A1FB91" w14:textId="77777777" w:rsidR="00A82D25" w:rsidRPr="007E2749" w:rsidRDefault="00A82D25" w:rsidP="00954A1A">
            <w:pPr>
              <w:pStyle w:val="TableText"/>
              <w:spacing w:before="0" w:after="0" w:line="240" w:lineRule="auto"/>
              <w:jc w:val="center"/>
            </w:pPr>
            <w:r w:rsidRPr="00E72009">
              <w:t>2019</w:t>
            </w:r>
          </w:p>
        </w:tc>
        <w:tc>
          <w:tcPr>
            <w:tcW w:w="1918" w:type="dxa"/>
            <w:hideMark/>
          </w:tcPr>
          <w:p w14:paraId="553CAE02" w14:textId="77777777" w:rsidR="00A82D25" w:rsidRPr="007E2749" w:rsidRDefault="00A82D25" w:rsidP="00954A1A">
            <w:pPr>
              <w:pStyle w:val="TableText"/>
              <w:spacing w:before="0" w:after="0" w:line="240" w:lineRule="auto"/>
              <w:jc w:val="center"/>
            </w:pPr>
            <w:r w:rsidRPr="00E72009">
              <w:t>4,603</w:t>
            </w:r>
          </w:p>
        </w:tc>
      </w:tr>
      <w:tr w:rsidR="00A82D25" w:rsidRPr="007E2749" w14:paraId="2347C3EF" w14:textId="77777777" w:rsidTr="00A82D25">
        <w:trPr>
          <w:trHeight w:val="288"/>
          <w:jc w:val="center"/>
        </w:trPr>
        <w:tc>
          <w:tcPr>
            <w:tcW w:w="1918" w:type="dxa"/>
            <w:vMerge w:val="restart"/>
          </w:tcPr>
          <w:p w14:paraId="716DCCE4" w14:textId="77777777" w:rsidR="00A82D25" w:rsidRPr="007E2749" w:rsidRDefault="00A82D25" w:rsidP="00954A1A">
            <w:pPr>
              <w:pStyle w:val="TableText"/>
              <w:spacing w:before="0" w:after="0" w:line="240" w:lineRule="auto"/>
            </w:pPr>
            <w:r>
              <w:t>Projections</w:t>
            </w:r>
          </w:p>
        </w:tc>
        <w:tc>
          <w:tcPr>
            <w:tcW w:w="1918" w:type="dxa"/>
          </w:tcPr>
          <w:p w14:paraId="1C5A42FD" w14:textId="77777777" w:rsidR="00A82D25" w:rsidRPr="00E72009" w:rsidRDefault="00A82D25" w:rsidP="00954A1A">
            <w:pPr>
              <w:pStyle w:val="TableText"/>
              <w:spacing w:before="0" w:after="0" w:line="240" w:lineRule="auto"/>
              <w:jc w:val="center"/>
            </w:pPr>
            <w:r>
              <w:t>2020</w:t>
            </w:r>
          </w:p>
        </w:tc>
        <w:tc>
          <w:tcPr>
            <w:tcW w:w="1918" w:type="dxa"/>
          </w:tcPr>
          <w:p w14:paraId="4DC896A3" w14:textId="77777777" w:rsidR="00A82D25" w:rsidRPr="007E2749" w:rsidRDefault="00A82D25" w:rsidP="00954A1A">
            <w:pPr>
              <w:pStyle w:val="TableText"/>
              <w:spacing w:before="0" w:after="0" w:line="240" w:lineRule="auto"/>
              <w:jc w:val="center"/>
            </w:pPr>
            <w:r w:rsidRPr="00E72009">
              <w:t>4839</w:t>
            </w:r>
          </w:p>
        </w:tc>
      </w:tr>
      <w:tr w:rsidR="00A82D25" w:rsidRPr="007E2749" w14:paraId="63883297" w14:textId="77777777" w:rsidTr="00A82D25">
        <w:trPr>
          <w:trHeight w:val="288"/>
          <w:jc w:val="center"/>
        </w:trPr>
        <w:tc>
          <w:tcPr>
            <w:tcW w:w="1918" w:type="dxa"/>
            <w:vMerge/>
          </w:tcPr>
          <w:p w14:paraId="13345DB3" w14:textId="77777777" w:rsidR="00A82D25" w:rsidRPr="007E2749" w:rsidRDefault="00A82D25" w:rsidP="00954A1A">
            <w:pPr>
              <w:pStyle w:val="TableText"/>
              <w:spacing w:before="0" w:after="0" w:line="240" w:lineRule="auto"/>
            </w:pPr>
          </w:p>
        </w:tc>
        <w:tc>
          <w:tcPr>
            <w:tcW w:w="1918" w:type="dxa"/>
          </w:tcPr>
          <w:p w14:paraId="5AFB6681" w14:textId="77777777" w:rsidR="00A82D25" w:rsidRPr="00E72009" w:rsidRDefault="00A82D25" w:rsidP="00954A1A">
            <w:pPr>
              <w:pStyle w:val="TableText"/>
              <w:spacing w:before="0" w:after="0" w:line="240" w:lineRule="auto"/>
              <w:jc w:val="center"/>
            </w:pPr>
            <w:r>
              <w:t>2021</w:t>
            </w:r>
          </w:p>
        </w:tc>
        <w:tc>
          <w:tcPr>
            <w:tcW w:w="1918" w:type="dxa"/>
          </w:tcPr>
          <w:p w14:paraId="799851D4" w14:textId="77777777" w:rsidR="00A82D25" w:rsidRPr="007E2749" w:rsidRDefault="00A82D25" w:rsidP="00954A1A">
            <w:pPr>
              <w:pStyle w:val="TableText"/>
              <w:spacing w:before="0" w:after="0" w:line="240" w:lineRule="auto"/>
              <w:jc w:val="center"/>
            </w:pPr>
            <w:r w:rsidRPr="00E72009">
              <w:t>5159</w:t>
            </w:r>
          </w:p>
        </w:tc>
      </w:tr>
      <w:tr w:rsidR="00A82D25" w:rsidRPr="007E2749" w14:paraId="72E3CB00" w14:textId="77777777" w:rsidTr="00A82D25">
        <w:trPr>
          <w:trHeight w:val="288"/>
          <w:jc w:val="center"/>
        </w:trPr>
        <w:tc>
          <w:tcPr>
            <w:tcW w:w="1918" w:type="dxa"/>
            <w:vMerge/>
          </w:tcPr>
          <w:p w14:paraId="7B09BF5E" w14:textId="77777777" w:rsidR="00A82D25" w:rsidRPr="007E2749" w:rsidRDefault="00A82D25" w:rsidP="00954A1A">
            <w:pPr>
              <w:pStyle w:val="TableText"/>
              <w:spacing w:before="0" w:after="0" w:line="240" w:lineRule="auto"/>
            </w:pPr>
          </w:p>
        </w:tc>
        <w:tc>
          <w:tcPr>
            <w:tcW w:w="1918" w:type="dxa"/>
          </w:tcPr>
          <w:p w14:paraId="3FFF644C" w14:textId="77777777" w:rsidR="00A82D25" w:rsidRPr="00E72009" w:rsidRDefault="00A82D25" w:rsidP="00954A1A">
            <w:pPr>
              <w:pStyle w:val="TableText"/>
              <w:spacing w:before="0" w:after="0" w:line="240" w:lineRule="auto"/>
              <w:jc w:val="center"/>
            </w:pPr>
            <w:r>
              <w:t>2022 (year 1)</w:t>
            </w:r>
          </w:p>
        </w:tc>
        <w:tc>
          <w:tcPr>
            <w:tcW w:w="1918" w:type="dxa"/>
          </w:tcPr>
          <w:p w14:paraId="43B787DC" w14:textId="77777777" w:rsidR="00A82D25" w:rsidRPr="007E2749" w:rsidRDefault="00A82D25" w:rsidP="00954A1A">
            <w:pPr>
              <w:pStyle w:val="TableText"/>
              <w:spacing w:before="0" w:after="0" w:line="240" w:lineRule="auto"/>
              <w:jc w:val="center"/>
            </w:pPr>
            <w:r w:rsidRPr="00E72009">
              <w:t>5479</w:t>
            </w:r>
          </w:p>
        </w:tc>
      </w:tr>
      <w:tr w:rsidR="00A82D25" w:rsidRPr="007E2749" w14:paraId="276D0656" w14:textId="77777777" w:rsidTr="00A82D25">
        <w:trPr>
          <w:trHeight w:val="288"/>
          <w:jc w:val="center"/>
        </w:trPr>
        <w:tc>
          <w:tcPr>
            <w:tcW w:w="1918" w:type="dxa"/>
            <w:vMerge/>
          </w:tcPr>
          <w:p w14:paraId="27EFB52A" w14:textId="77777777" w:rsidR="00A82D25" w:rsidRPr="007E2749" w:rsidRDefault="00A82D25" w:rsidP="00954A1A">
            <w:pPr>
              <w:pStyle w:val="TableText"/>
              <w:spacing w:before="0" w:after="0" w:line="240" w:lineRule="auto"/>
            </w:pPr>
          </w:p>
        </w:tc>
        <w:tc>
          <w:tcPr>
            <w:tcW w:w="1918" w:type="dxa"/>
          </w:tcPr>
          <w:p w14:paraId="3205D0F8" w14:textId="77777777" w:rsidR="00A82D25" w:rsidRPr="00E72009" w:rsidRDefault="00A82D25" w:rsidP="00954A1A">
            <w:pPr>
              <w:pStyle w:val="TableText"/>
              <w:spacing w:before="0" w:after="0" w:line="240" w:lineRule="auto"/>
              <w:jc w:val="center"/>
            </w:pPr>
            <w:r>
              <w:t>2023 (year 2)</w:t>
            </w:r>
          </w:p>
        </w:tc>
        <w:tc>
          <w:tcPr>
            <w:tcW w:w="1918" w:type="dxa"/>
          </w:tcPr>
          <w:p w14:paraId="242E833A" w14:textId="77777777" w:rsidR="00A82D25" w:rsidRPr="007E2749" w:rsidRDefault="00A82D25" w:rsidP="00954A1A">
            <w:pPr>
              <w:pStyle w:val="TableText"/>
              <w:spacing w:before="0" w:after="0" w:line="240" w:lineRule="auto"/>
              <w:jc w:val="center"/>
            </w:pPr>
            <w:r w:rsidRPr="00E72009">
              <w:t>5799</w:t>
            </w:r>
          </w:p>
        </w:tc>
      </w:tr>
      <w:tr w:rsidR="00A82D25" w:rsidRPr="007E2749" w14:paraId="3B7C2521" w14:textId="77777777" w:rsidTr="00A82D25">
        <w:trPr>
          <w:trHeight w:val="288"/>
          <w:jc w:val="center"/>
        </w:trPr>
        <w:tc>
          <w:tcPr>
            <w:tcW w:w="1918" w:type="dxa"/>
            <w:vMerge/>
          </w:tcPr>
          <w:p w14:paraId="1C98E8E9" w14:textId="77777777" w:rsidR="00A82D25" w:rsidRPr="007E2749" w:rsidRDefault="00A82D25" w:rsidP="00954A1A">
            <w:pPr>
              <w:pStyle w:val="TableText"/>
              <w:spacing w:before="0" w:after="0" w:line="240" w:lineRule="auto"/>
            </w:pPr>
          </w:p>
        </w:tc>
        <w:tc>
          <w:tcPr>
            <w:tcW w:w="1918" w:type="dxa"/>
          </w:tcPr>
          <w:p w14:paraId="312BFA0D" w14:textId="77777777" w:rsidR="00A82D25" w:rsidRPr="00E72009" w:rsidRDefault="00A82D25" w:rsidP="00954A1A">
            <w:pPr>
              <w:pStyle w:val="TableText"/>
              <w:spacing w:before="0" w:after="0" w:line="240" w:lineRule="auto"/>
              <w:jc w:val="center"/>
            </w:pPr>
            <w:r>
              <w:t>2024 (year 3)</w:t>
            </w:r>
          </w:p>
        </w:tc>
        <w:tc>
          <w:tcPr>
            <w:tcW w:w="1918" w:type="dxa"/>
          </w:tcPr>
          <w:p w14:paraId="7F24A288" w14:textId="77777777" w:rsidR="00A82D25" w:rsidRPr="007E2749" w:rsidRDefault="00A82D25" w:rsidP="00954A1A">
            <w:pPr>
              <w:pStyle w:val="TableText"/>
              <w:spacing w:before="0" w:after="0" w:line="240" w:lineRule="auto"/>
              <w:jc w:val="center"/>
            </w:pPr>
            <w:r w:rsidRPr="00E72009">
              <w:t>6119</w:t>
            </w:r>
          </w:p>
        </w:tc>
      </w:tr>
      <w:tr w:rsidR="00A82D25" w:rsidRPr="007E2749" w14:paraId="4D0CAA90" w14:textId="77777777" w:rsidTr="00A82D25">
        <w:trPr>
          <w:trHeight w:val="288"/>
          <w:jc w:val="center"/>
        </w:trPr>
        <w:tc>
          <w:tcPr>
            <w:tcW w:w="1918" w:type="dxa"/>
            <w:vMerge/>
          </w:tcPr>
          <w:p w14:paraId="24A94838" w14:textId="77777777" w:rsidR="00A82D25" w:rsidRPr="007E2749" w:rsidRDefault="00A82D25" w:rsidP="00954A1A">
            <w:pPr>
              <w:pStyle w:val="TableText"/>
              <w:spacing w:before="0" w:after="0" w:line="240" w:lineRule="auto"/>
            </w:pPr>
          </w:p>
        </w:tc>
        <w:tc>
          <w:tcPr>
            <w:tcW w:w="1918" w:type="dxa"/>
          </w:tcPr>
          <w:p w14:paraId="0D444F09" w14:textId="77777777" w:rsidR="00A82D25" w:rsidRPr="00E72009" w:rsidRDefault="00A82D25" w:rsidP="00954A1A">
            <w:pPr>
              <w:pStyle w:val="TableText"/>
              <w:spacing w:before="0" w:after="0" w:line="240" w:lineRule="auto"/>
              <w:jc w:val="center"/>
            </w:pPr>
            <w:r>
              <w:t>2025</w:t>
            </w:r>
          </w:p>
        </w:tc>
        <w:tc>
          <w:tcPr>
            <w:tcW w:w="1918" w:type="dxa"/>
          </w:tcPr>
          <w:p w14:paraId="1098B2B6" w14:textId="77777777" w:rsidR="00A82D25" w:rsidRPr="007E2749" w:rsidRDefault="00A82D25" w:rsidP="00954A1A">
            <w:pPr>
              <w:pStyle w:val="TableText"/>
              <w:spacing w:before="0" w:after="0" w:line="240" w:lineRule="auto"/>
              <w:jc w:val="center"/>
            </w:pPr>
            <w:r w:rsidRPr="00E72009">
              <w:t>6438</w:t>
            </w:r>
          </w:p>
        </w:tc>
      </w:tr>
      <w:tr w:rsidR="00A82D25" w:rsidRPr="007E2749" w14:paraId="04EC02DA" w14:textId="77777777" w:rsidTr="00A82D25">
        <w:trPr>
          <w:trHeight w:val="288"/>
          <w:jc w:val="center"/>
        </w:trPr>
        <w:tc>
          <w:tcPr>
            <w:tcW w:w="1918" w:type="dxa"/>
            <w:vMerge/>
          </w:tcPr>
          <w:p w14:paraId="79F823DC" w14:textId="77777777" w:rsidR="00A82D25" w:rsidRPr="007E2749" w:rsidRDefault="00A82D25" w:rsidP="00954A1A">
            <w:pPr>
              <w:pStyle w:val="TableText"/>
              <w:spacing w:before="0" w:after="0" w:line="240" w:lineRule="auto"/>
            </w:pPr>
          </w:p>
        </w:tc>
        <w:tc>
          <w:tcPr>
            <w:tcW w:w="1918" w:type="dxa"/>
          </w:tcPr>
          <w:p w14:paraId="3F84AF0D" w14:textId="77777777" w:rsidR="00A82D25" w:rsidRDefault="00A82D25" w:rsidP="00954A1A">
            <w:pPr>
              <w:pStyle w:val="TableText"/>
              <w:spacing w:before="0" w:after="0" w:line="240" w:lineRule="auto"/>
              <w:jc w:val="center"/>
            </w:pPr>
            <w:r>
              <w:t>2026</w:t>
            </w:r>
          </w:p>
        </w:tc>
        <w:tc>
          <w:tcPr>
            <w:tcW w:w="1918" w:type="dxa"/>
          </w:tcPr>
          <w:p w14:paraId="603C5093" w14:textId="77777777" w:rsidR="00A82D25" w:rsidRPr="007E2749" w:rsidRDefault="00A82D25" w:rsidP="00954A1A">
            <w:pPr>
              <w:pStyle w:val="TableText"/>
              <w:spacing w:before="0" w:after="0" w:line="240" w:lineRule="auto"/>
              <w:jc w:val="center"/>
            </w:pPr>
            <w:r w:rsidRPr="00E72009">
              <w:t>6758</w:t>
            </w:r>
          </w:p>
        </w:tc>
      </w:tr>
      <w:tr w:rsidR="00A82D25" w:rsidRPr="007E2749" w14:paraId="3F69E808" w14:textId="77777777" w:rsidTr="00A82D25">
        <w:trPr>
          <w:trHeight w:val="288"/>
          <w:jc w:val="center"/>
        </w:trPr>
        <w:tc>
          <w:tcPr>
            <w:tcW w:w="1918" w:type="dxa"/>
            <w:vMerge/>
          </w:tcPr>
          <w:p w14:paraId="6D362ACD" w14:textId="77777777" w:rsidR="00A82D25" w:rsidRPr="007E2749" w:rsidRDefault="00A82D25" w:rsidP="00954A1A">
            <w:pPr>
              <w:pStyle w:val="TableText"/>
              <w:spacing w:before="0" w:after="0" w:line="240" w:lineRule="auto"/>
            </w:pPr>
          </w:p>
        </w:tc>
        <w:tc>
          <w:tcPr>
            <w:tcW w:w="1918" w:type="dxa"/>
          </w:tcPr>
          <w:p w14:paraId="5214F0DC" w14:textId="77777777" w:rsidR="00A82D25" w:rsidRDefault="00A82D25" w:rsidP="00954A1A">
            <w:pPr>
              <w:pStyle w:val="TableText"/>
              <w:spacing w:before="0" w:after="0" w:line="240" w:lineRule="auto"/>
              <w:jc w:val="center"/>
            </w:pPr>
            <w:r>
              <w:t>2027</w:t>
            </w:r>
          </w:p>
        </w:tc>
        <w:tc>
          <w:tcPr>
            <w:tcW w:w="1918" w:type="dxa"/>
          </w:tcPr>
          <w:p w14:paraId="08690177" w14:textId="77777777" w:rsidR="00A82D25" w:rsidRPr="007E2749" w:rsidRDefault="00A82D25" w:rsidP="00954A1A">
            <w:pPr>
              <w:pStyle w:val="TableText"/>
              <w:spacing w:before="0" w:after="0" w:line="240" w:lineRule="auto"/>
              <w:jc w:val="center"/>
            </w:pPr>
            <w:r w:rsidRPr="00E72009">
              <w:t>7078</w:t>
            </w:r>
          </w:p>
        </w:tc>
      </w:tr>
    </w:tbl>
    <w:p w14:paraId="15D93160" w14:textId="58784D20" w:rsidR="003433D1" w:rsidRDefault="00A82D25" w:rsidP="00954A1A">
      <w:pPr>
        <w:ind w:left="426"/>
        <w:rPr>
          <w:b/>
          <w:sz w:val="32"/>
          <w:szCs w:val="32"/>
        </w:rPr>
      </w:pPr>
      <w:r w:rsidRPr="005E1C9E">
        <w:t>Leakage to populations not targeted by the service will be constrained by the MBS item descriptor to ensure testing is applied only where clinically indicated.</w:t>
      </w:r>
      <w:r w:rsidR="003433D1">
        <w:rPr>
          <w:b/>
          <w:sz w:val="32"/>
          <w:szCs w:val="32"/>
        </w:rPr>
        <w:br w:type="page"/>
      </w:r>
    </w:p>
    <w:p w14:paraId="4847EF44" w14:textId="77777777" w:rsidR="00951933" w:rsidRPr="00C776B1" w:rsidRDefault="001B5169" w:rsidP="0056015F">
      <w:pPr>
        <w:pStyle w:val="Heading1"/>
      </w:pPr>
      <w:r>
        <w:lastRenderedPageBreak/>
        <w:t>PART 8</w:t>
      </w:r>
      <w:r w:rsidR="00F93784">
        <w:t xml:space="preserve"> – </w:t>
      </w:r>
      <w:r w:rsidR="005A58BA">
        <w:t>COST</w:t>
      </w:r>
      <w:r w:rsidR="00951933" w:rsidRPr="00C776B1">
        <w:t xml:space="preserve"> INFORMATION</w:t>
      </w:r>
    </w:p>
    <w:p w14:paraId="0AB2D0CF" w14:textId="5E3A6D92" w:rsidR="006A649A" w:rsidRDefault="006A649A" w:rsidP="001B5169">
      <w:pPr>
        <w:pStyle w:val="Heading2"/>
      </w:pPr>
      <w:r w:rsidRPr="00AE1188">
        <w:t>Indicate the likely</w:t>
      </w:r>
      <w:r w:rsidR="005A58BA" w:rsidRPr="00AE1188">
        <w:t xml:space="preserve"> </w:t>
      </w:r>
      <w:r w:rsidRPr="00AE1188">
        <w:t xml:space="preserve">cost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p w14:paraId="056B7148" w14:textId="79C7F404" w:rsidR="00A82D25" w:rsidRPr="005E1C9E" w:rsidRDefault="00A82D25" w:rsidP="00A82D25">
      <w:r w:rsidRPr="005E1C9E">
        <w:t xml:space="preserve">The current fee for EGFR testing under MBS item 73337 is $397.35.  Amgen has spoken with </w:t>
      </w:r>
      <w:r w:rsidR="009B1B0E">
        <w:t xml:space="preserve">representatives from </w:t>
      </w:r>
      <w:r w:rsidRPr="005E1C9E">
        <w:t>several laboratories and had mixed feedback as to whether or not this fee is adequate to cover the cost of NGS panel testing across multiple genes.  Amgen also notes two MSAC applications in progress relevant to this matter:</w:t>
      </w:r>
    </w:p>
    <w:p w14:paraId="05E590C8" w14:textId="0EDC48B0" w:rsidR="00A82D25" w:rsidRPr="005E1C9E" w:rsidRDefault="00A82D25" w:rsidP="00A82D25">
      <w:pPr>
        <w:pStyle w:val="ListParagraph"/>
        <w:numPr>
          <w:ilvl w:val="0"/>
          <w:numId w:val="54"/>
        </w:numPr>
      </w:pPr>
      <w:r w:rsidRPr="005E1C9E">
        <w:t xml:space="preserve">Application 1617 is </w:t>
      </w:r>
      <w:r w:rsidRPr="005E1C9E">
        <w:rPr>
          <w:rFonts w:eastAsia="Times New Roman"/>
        </w:rPr>
        <w:t xml:space="preserve">seeking to add BRAF testing to </w:t>
      </w:r>
      <w:proofErr w:type="gramStart"/>
      <w:r w:rsidRPr="005E1C9E">
        <w:rPr>
          <w:rFonts w:eastAsia="Times New Roman"/>
        </w:rPr>
        <w:t>established</w:t>
      </w:r>
      <w:proofErr w:type="gramEnd"/>
      <w:r w:rsidRPr="005E1C9E">
        <w:rPr>
          <w:rFonts w:eastAsia="Times New Roman"/>
        </w:rPr>
        <w:t xml:space="preserve"> RAS testing in metastatic colorectal cancer (i.e. MBS item 73338).  The Sponsor of the application has proposed that the fee need not be increased as most testing claimed under this item is with </w:t>
      </w:r>
      <w:r w:rsidR="009F6FF0">
        <w:rPr>
          <w:rFonts w:eastAsia="Times New Roman"/>
        </w:rPr>
        <w:t>NGS</w:t>
      </w:r>
      <w:r w:rsidRPr="005E1C9E">
        <w:rPr>
          <w:rFonts w:eastAsia="Times New Roman"/>
        </w:rPr>
        <w:t xml:space="preserve"> panels that include BRAF. </w:t>
      </w:r>
      <w:r w:rsidRPr="005E1C9E">
        <w:t xml:space="preserve"> The ratified PICO for the application asks for costing information to be provided:</w:t>
      </w:r>
      <w:r w:rsidRPr="005E1C9E">
        <w:rPr>
          <w:rFonts w:eastAsia="Times New Roman"/>
        </w:rPr>
        <w:t xml:space="preserve"> “Additional information, including an average cost from all </w:t>
      </w:r>
      <w:proofErr w:type="spellStart"/>
      <w:r w:rsidRPr="005E1C9E">
        <w:rPr>
          <w:rFonts w:eastAsia="Times New Roman"/>
        </w:rPr>
        <w:t>mCRC</w:t>
      </w:r>
      <w:proofErr w:type="spellEnd"/>
      <w:r w:rsidRPr="005E1C9E">
        <w:rPr>
          <w:rFonts w:eastAsia="Times New Roman"/>
        </w:rPr>
        <w:t xml:space="preserve"> genetic panel test providers, should be provided if possible. </w:t>
      </w:r>
      <w:r w:rsidRPr="005E1C9E">
        <w:rPr>
          <w:rFonts w:eastAsia="Times New Roman"/>
          <w:i/>
          <w:iCs/>
        </w:rPr>
        <w:t>PASC noted that there was no proposal to increase the fee for this item.</w:t>
      </w:r>
      <w:r w:rsidRPr="005E1C9E">
        <w:rPr>
          <w:rFonts w:eastAsia="Times New Roman"/>
        </w:rPr>
        <w:t>” </w:t>
      </w:r>
    </w:p>
    <w:p w14:paraId="52EFEFEB" w14:textId="2D705954" w:rsidR="00A82D25" w:rsidRPr="005E1C9E" w:rsidRDefault="00A82D25" w:rsidP="00A82D25">
      <w:pPr>
        <w:pStyle w:val="ListParagraph"/>
        <w:numPr>
          <w:ilvl w:val="0"/>
          <w:numId w:val="54"/>
        </w:numPr>
      </w:pPr>
      <w:r w:rsidRPr="005E1C9E">
        <w:t xml:space="preserve">Application 1634 </w:t>
      </w:r>
      <w:r w:rsidRPr="005E1C9E">
        <w:rPr>
          <w:rFonts w:eastAsia="Times New Roman"/>
        </w:rPr>
        <w:t>is seeking MBS funding for comprehensive genetic profiling with NGS, to replace all of the established individual tests</w:t>
      </w:r>
      <w:r w:rsidR="009F6FF0" w:rsidRPr="009F6FF0">
        <w:rPr>
          <w:rFonts w:eastAsia="Times New Roman"/>
        </w:rPr>
        <w:t xml:space="preserve"> </w:t>
      </w:r>
      <w:r w:rsidR="009F6FF0" w:rsidRPr="005E1C9E">
        <w:rPr>
          <w:rFonts w:eastAsia="Times New Roman"/>
        </w:rPr>
        <w:t xml:space="preserve">in </w:t>
      </w:r>
      <w:r w:rsidR="009F6FF0">
        <w:rPr>
          <w:rFonts w:eastAsia="Times New Roman"/>
        </w:rPr>
        <w:t xml:space="preserve">the </w:t>
      </w:r>
      <w:r w:rsidR="009F6FF0" w:rsidRPr="005E1C9E">
        <w:rPr>
          <w:rFonts w:eastAsia="Times New Roman"/>
        </w:rPr>
        <w:t>NSCLC</w:t>
      </w:r>
      <w:r w:rsidR="009F6FF0">
        <w:rPr>
          <w:rFonts w:eastAsia="Times New Roman"/>
        </w:rPr>
        <w:t xml:space="preserve"> setting</w:t>
      </w:r>
      <w:r w:rsidRPr="005E1C9E">
        <w:rPr>
          <w:rFonts w:eastAsia="Times New Roman"/>
        </w:rPr>
        <w:t xml:space="preserve">. </w:t>
      </w:r>
      <w:r w:rsidRPr="005E1C9E">
        <w:t xml:space="preserve"> </w:t>
      </w:r>
      <w:r w:rsidRPr="005E1C9E">
        <w:rPr>
          <w:rFonts w:eastAsia="Times New Roman"/>
        </w:rPr>
        <w:t>The application form is the only document currently available on the MS</w:t>
      </w:r>
      <w:r w:rsidR="009F6FF0">
        <w:rPr>
          <w:rFonts w:eastAsia="Times New Roman"/>
        </w:rPr>
        <w:t>AC</w:t>
      </w:r>
      <w:r w:rsidRPr="005E1C9E">
        <w:rPr>
          <w:rFonts w:eastAsia="Times New Roman"/>
        </w:rPr>
        <w:t xml:space="preserve"> </w:t>
      </w:r>
      <w:r w:rsidR="009F6FF0">
        <w:rPr>
          <w:rFonts w:eastAsia="Times New Roman"/>
        </w:rPr>
        <w:t>application page</w:t>
      </w:r>
      <w:r w:rsidRPr="005E1C9E">
        <w:rPr>
          <w:rFonts w:eastAsia="Times New Roman"/>
        </w:rPr>
        <w:t>.  The Sponsor of this application does not yet propose a fee but acknowledges that costing information needs to be provided.  If this application is approved</w:t>
      </w:r>
      <w:r w:rsidR="009F6FF0">
        <w:rPr>
          <w:rFonts w:eastAsia="Times New Roman"/>
        </w:rPr>
        <w:t>,</w:t>
      </w:r>
      <w:r w:rsidRPr="005E1C9E">
        <w:rPr>
          <w:rFonts w:eastAsia="Times New Roman"/>
        </w:rPr>
        <w:t xml:space="preserve"> and a new MBS item established, it would encompass KRAS testing and eclipse the need for a modified item 73337.</w:t>
      </w:r>
    </w:p>
    <w:p w14:paraId="59D3EB1A" w14:textId="77777777" w:rsidR="00A82D25" w:rsidRPr="005E1C9E" w:rsidRDefault="00A82D25" w:rsidP="00A82D25">
      <w:r w:rsidRPr="005E1C9E">
        <w:lastRenderedPageBreak/>
        <w:t xml:space="preserve">Amgen also notes a stalled MSAC Application 1495 from the Royal College of Pathologists Australasia (RCPA) where the cost of a </w:t>
      </w:r>
      <w:r w:rsidRPr="005E1C9E">
        <w:rPr>
          <w:rFonts w:cstheme="minorHAnsi"/>
        </w:rPr>
        <w:t>≥</w:t>
      </w:r>
      <w:r w:rsidRPr="005E1C9E">
        <w:t xml:space="preserve"> 3 gene panel test was itemised to a total of $600:</w:t>
      </w:r>
    </w:p>
    <w:p w14:paraId="31EF3164" w14:textId="77777777" w:rsidR="00A82D25" w:rsidRPr="005E1C9E" w:rsidRDefault="00A82D25" w:rsidP="00A82D25">
      <w:pPr>
        <w:spacing w:before="0" w:after="0"/>
        <w:ind w:left="426" w:firstLine="708"/>
      </w:pPr>
      <w:r w:rsidRPr="005E1C9E">
        <w:t>Equipment and resources for ≥ 3 genes (ISH, PCR, small NGS panel):</w:t>
      </w:r>
    </w:p>
    <w:p w14:paraId="4046A737" w14:textId="77777777" w:rsidR="00A82D25" w:rsidRPr="005E1C9E" w:rsidRDefault="00A82D25" w:rsidP="00A82D25">
      <w:pPr>
        <w:spacing w:before="0" w:after="0"/>
        <w:ind w:left="1134"/>
      </w:pPr>
      <w:r w:rsidRPr="005E1C9E">
        <w:t>DNA and RNA extraction and quantification</w:t>
      </w:r>
      <w:r w:rsidRPr="005E1C9E">
        <w:tab/>
      </w:r>
      <w:r w:rsidRPr="005E1C9E">
        <w:tab/>
      </w:r>
      <w:r w:rsidRPr="005E1C9E">
        <w:tab/>
      </w:r>
      <w:r w:rsidRPr="005E1C9E">
        <w:tab/>
        <w:t>$30</w:t>
      </w:r>
    </w:p>
    <w:p w14:paraId="7189B34E" w14:textId="77777777" w:rsidR="00A82D25" w:rsidRPr="005E1C9E" w:rsidRDefault="00A82D25" w:rsidP="00A82D25">
      <w:pPr>
        <w:spacing w:before="0" w:after="0"/>
        <w:ind w:left="1134"/>
      </w:pPr>
      <w:r w:rsidRPr="005E1C9E">
        <w:t>Kit</w:t>
      </w:r>
      <w:r w:rsidRPr="005E1C9E">
        <w:tab/>
      </w:r>
      <w:r w:rsidRPr="005E1C9E">
        <w:tab/>
      </w:r>
      <w:r w:rsidRPr="005E1C9E">
        <w:tab/>
      </w:r>
      <w:r w:rsidRPr="005E1C9E">
        <w:tab/>
      </w:r>
      <w:r w:rsidRPr="005E1C9E">
        <w:tab/>
      </w:r>
      <w:r w:rsidRPr="005E1C9E">
        <w:tab/>
      </w:r>
      <w:r w:rsidRPr="005E1C9E">
        <w:tab/>
      </w:r>
      <w:r w:rsidRPr="005E1C9E">
        <w:tab/>
      </w:r>
      <w:r w:rsidRPr="005E1C9E">
        <w:tab/>
        <w:t>$250</w:t>
      </w:r>
    </w:p>
    <w:p w14:paraId="4AB0BEBB" w14:textId="77777777" w:rsidR="00A82D25" w:rsidRPr="005E1C9E" w:rsidRDefault="00A82D25" w:rsidP="00A82D25">
      <w:pPr>
        <w:spacing w:before="0" w:after="0"/>
        <w:ind w:left="1134"/>
      </w:pPr>
      <w:r w:rsidRPr="005E1C9E">
        <w:t>Sequencing</w:t>
      </w:r>
      <w:r w:rsidRPr="005E1C9E">
        <w:tab/>
      </w:r>
      <w:r w:rsidRPr="005E1C9E">
        <w:tab/>
      </w:r>
      <w:r w:rsidRPr="005E1C9E">
        <w:tab/>
      </w:r>
      <w:r w:rsidRPr="005E1C9E">
        <w:tab/>
      </w:r>
      <w:r w:rsidRPr="005E1C9E">
        <w:tab/>
      </w:r>
      <w:r w:rsidRPr="005E1C9E">
        <w:tab/>
      </w:r>
      <w:r w:rsidRPr="005E1C9E">
        <w:tab/>
      </w:r>
      <w:r w:rsidRPr="005E1C9E">
        <w:tab/>
        <w:t>$150</w:t>
      </w:r>
    </w:p>
    <w:p w14:paraId="7991EE76" w14:textId="77777777" w:rsidR="00A82D25" w:rsidRPr="005E1C9E" w:rsidRDefault="00A82D25" w:rsidP="00A82D25">
      <w:pPr>
        <w:spacing w:before="0" w:after="0"/>
        <w:ind w:left="1134"/>
      </w:pPr>
      <w:r w:rsidRPr="005E1C9E">
        <w:rPr>
          <w:u w:val="single"/>
        </w:rPr>
        <w:t>Labour (medical and scientific) and bioinformatics for interpretation</w:t>
      </w:r>
      <w:r w:rsidRPr="005E1C9E">
        <w:rPr>
          <w:u w:val="single"/>
        </w:rPr>
        <w:tab/>
        <w:t>$170</w:t>
      </w:r>
    </w:p>
    <w:p w14:paraId="6E761F99" w14:textId="77777777" w:rsidR="00A82D25" w:rsidRPr="005E1C9E" w:rsidRDefault="00A82D25" w:rsidP="00A82D25">
      <w:pPr>
        <w:spacing w:before="0" w:after="0"/>
        <w:ind w:left="1134"/>
      </w:pPr>
      <w:r w:rsidRPr="005E1C9E">
        <w:t>TOTAL</w:t>
      </w:r>
      <w:r w:rsidRPr="005E1C9E">
        <w:tab/>
      </w:r>
      <w:r w:rsidRPr="005E1C9E">
        <w:tab/>
      </w:r>
      <w:r w:rsidRPr="005E1C9E">
        <w:tab/>
      </w:r>
      <w:r w:rsidRPr="005E1C9E">
        <w:tab/>
      </w:r>
      <w:r w:rsidRPr="005E1C9E">
        <w:tab/>
      </w:r>
      <w:r w:rsidRPr="005E1C9E">
        <w:tab/>
      </w:r>
      <w:r w:rsidRPr="005E1C9E">
        <w:tab/>
      </w:r>
      <w:r w:rsidRPr="005E1C9E">
        <w:tab/>
        <w:t>$600</w:t>
      </w:r>
    </w:p>
    <w:p w14:paraId="44A71ECD" w14:textId="77777777" w:rsidR="00A82D25" w:rsidRPr="005E1C9E" w:rsidRDefault="00A82D25" w:rsidP="00A82D25">
      <w:pPr>
        <w:spacing w:before="0" w:after="0"/>
      </w:pPr>
    </w:p>
    <w:p w14:paraId="5A557FCE" w14:textId="18D476E0" w:rsidR="00A82D25" w:rsidRPr="005E1C9E" w:rsidRDefault="009F6FF0" w:rsidP="009F6FF0">
      <w:r w:rsidRPr="005E1C9E">
        <w:t>Amgen has struck a challenge in obtaining source test costing information laboratories and would appreciate advice from the MSAC Secretariat on how to address the cost of the test in the MSAC submission.</w:t>
      </w:r>
      <w:r>
        <w:t xml:space="preserve">  </w:t>
      </w:r>
      <w:r w:rsidR="00081AD7">
        <w:t>A</w:t>
      </w:r>
      <w:r w:rsidR="00A82D25" w:rsidRPr="005E1C9E">
        <w:t xml:space="preserve"> survey of laboratories</w:t>
      </w:r>
      <w:r w:rsidR="00081AD7">
        <w:t xml:space="preserve"> was undertaken</w:t>
      </w:r>
      <w:r w:rsidR="00A82D25" w:rsidRPr="005E1C9E">
        <w:t xml:space="preserve"> to elicit cost information for this application</w:t>
      </w:r>
      <w:r w:rsidR="00081AD7">
        <w:t xml:space="preserve"> form</w:t>
      </w:r>
      <w:r w:rsidR="00A82D25" w:rsidRPr="005E1C9E">
        <w:t xml:space="preserve">.   Sixteen laboratories were approached and </w:t>
      </w:r>
      <w:r w:rsidR="00871CAF">
        <w:t>seven</w:t>
      </w:r>
      <w:r w:rsidR="00A82D25" w:rsidRPr="005E1C9E">
        <w:t xml:space="preserve"> responded to the survey.  </w:t>
      </w:r>
      <w:r w:rsidR="00871CAF">
        <w:t xml:space="preserve">An additional laboratory </w:t>
      </w:r>
      <w:r>
        <w:t>representative was interviewed during development of the survey questions</w:t>
      </w:r>
      <w:r w:rsidR="00871CAF">
        <w:t xml:space="preserve">.  </w:t>
      </w:r>
      <w:r>
        <w:t>Six</w:t>
      </w:r>
      <w:r w:rsidR="00A82D25" w:rsidRPr="005E1C9E">
        <w:t xml:space="preserve"> of </w:t>
      </w:r>
      <w:r>
        <w:t xml:space="preserve">the 8 laboratories included in the project </w:t>
      </w:r>
      <w:r w:rsidR="00A82D25" w:rsidRPr="005E1C9E">
        <w:t xml:space="preserve">are using NGS and </w:t>
      </w:r>
      <w:r>
        <w:t>2</w:t>
      </w:r>
      <w:r w:rsidR="00A82D25" w:rsidRPr="005E1C9E">
        <w:t xml:space="preserve"> are using mass spectrometry (one of the latter indicated a move to NGS in the near future).  No laboratory was willing to provide detailed cost information to Amgen.  One laboratory provided a total cost estimate of $400 for an NGS panel test.  All other survey respondents were unwilling to provide cost information but indicated that the current fee of $397.35 covered the cost of current NGS testing with small-medium sized panels.</w:t>
      </w:r>
      <w:r w:rsidR="00871CAF">
        <w:t xml:space="preserve">  Note that the survey </w:t>
      </w:r>
      <w:r>
        <w:t xml:space="preserve">does not include the perspectives of </w:t>
      </w:r>
      <w:r w:rsidR="00871CAF">
        <w:t>laborator</w:t>
      </w:r>
      <w:r>
        <w:t>ies</w:t>
      </w:r>
      <w:r w:rsidR="00871CAF">
        <w:t xml:space="preserve"> doing single gene testing.</w:t>
      </w:r>
    </w:p>
    <w:p w14:paraId="61FE3D21" w14:textId="561DDC9C" w:rsidR="00BC17FB" w:rsidRDefault="00A82D25" w:rsidP="00C17B59">
      <w:r w:rsidRPr="005E1C9E">
        <w:lastRenderedPageBreak/>
        <w:t>A</w:t>
      </w:r>
      <w:r w:rsidR="00C523D8">
        <w:t>s A</w:t>
      </w:r>
      <w:r w:rsidRPr="005E1C9E">
        <w:t xml:space="preserve">mgen’s survey indicates the current fee of $397.35 </w:t>
      </w:r>
      <w:r w:rsidR="00A1182C">
        <w:t xml:space="preserve">may be </w:t>
      </w:r>
      <w:r w:rsidRPr="005E1C9E">
        <w:t>adequate</w:t>
      </w:r>
      <w:r w:rsidR="00871CAF">
        <w:t xml:space="preserve"> for testing done using NGS</w:t>
      </w:r>
      <w:r w:rsidRPr="005E1C9E">
        <w:t xml:space="preserve">, </w:t>
      </w:r>
      <w:r w:rsidR="00A1182C">
        <w:t xml:space="preserve">which represents the majority, </w:t>
      </w:r>
      <w:r w:rsidRPr="005E1C9E">
        <w:t xml:space="preserve">this fee has been retained </w:t>
      </w:r>
      <w:r w:rsidR="00871CAF">
        <w:t>for the purpose of</w:t>
      </w:r>
      <w:r w:rsidRPr="005E1C9E">
        <w:t xml:space="preserve"> th</w:t>
      </w:r>
      <w:r w:rsidR="00A1182C">
        <w:t>e</w:t>
      </w:r>
      <w:r w:rsidRPr="005E1C9E">
        <w:t xml:space="preserve"> application form.  </w:t>
      </w:r>
    </w:p>
    <w:p w14:paraId="10C6CC9A" w14:textId="253F2E84" w:rsidR="00951933" w:rsidRDefault="00951933" w:rsidP="00530204">
      <w:pPr>
        <w:pStyle w:val="Heading2"/>
      </w:pPr>
      <w:r w:rsidRPr="00154B00">
        <w:t xml:space="preserve">Specify how </w:t>
      </w:r>
      <w:r w:rsidRPr="00AE1188">
        <w:t>long</w:t>
      </w:r>
      <w:r w:rsidRPr="00154B00">
        <w:t xml:space="preserve"> the proposed medical ser</w:t>
      </w:r>
      <w:r w:rsidR="00AE1188">
        <w:t>vice typically takes to perform:</w:t>
      </w:r>
    </w:p>
    <w:p w14:paraId="205087A0" w14:textId="514EF8F0" w:rsidR="00BC17FB" w:rsidRDefault="00740607" w:rsidP="00BC17FB">
      <w:pPr>
        <w:ind w:left="360"/>
      </w:pPr>
      <w:r>
        <w:t xml:space="preserve">The time taken to perform the proposed medical service of testing for </w:t>
      </w:r>
      <w:r w:rsidR="0052171F">
        <w:t>KRAS G12C pathogenic variants depends on the platform used</w:t>
      </w:r>
      <w:r w:rsidR="00E315B6">
        <w:t xml:space="preserve">, though batching of specimens occurs in most laboratories which can extend the time taken with all platforms. On the whole though PCR-based platforms take several hours to a day </w:t>
      </w:r>
      <w:r w:rsidR="00042A15">
        <w:t xml:space="preserve">to perform </w:t>
      </w:r>
      <w:r w:rsidR="00E315B6">
        <w:t xml:space="preserve">whilst NGS platforms take approximately 3-5 days. </w:t>
      </w:r>
      <w:r w:rsidR="00BC17FB" w:rsidRPr="000F5EB0">
        <w:t xml:space="preserve">The </w:t>
      </w:r>
      <w:r w:rsidR="00BC17FB">
        <w:t xml:space="preserve">optimal </w:t>
      </w:r>
      <w:r w:rsidR="00BC17FB" w:rsidRPr="000F5EB0">
        <w:t>turnaround time between the receipt of a patient</w:t>
      </w:r>
      <w:r w:rsidR="00304C0F">
        <w:t xml:space="preserve">’s </w:t>
      </w:r>
      <w:r w:rsidR="00BC17FB" w:rsidRPr="000F5EB0">
        <w:t>tumour tissue specimen at the</w:t>
      </w:r>
      <w:r w:rsidR="00BC17FB">
        <w:t xml:space="preserve"> pathology laboratory </w:t>
      </w:r>
      <w:r w:rsidR="00BC17FB" w:rsidRPr="000F5EB0">
        <w:t xml:space="preserve">and </w:t>
      </w:r>
      <w:r w:rsidR="00BC17FB">
        <w:t xml:space="preserve">availability of results </w:t>
      </w:r>
      <w:r w:rsidR="00BC17FB" w:rsidRPr="000F5EB0">
        <w:t xml:space="preserve">is </w:t>
      </w:r>
      <w:r w:rsidR="00BC17FB">
        <w:t>5 days, however typical turnaround times are believed to be 10-12 days.</w:t>
      </w:r>
    </w:p>
    <w:p w14:paraId="5DB100DA" w14:textId="77777777" w:rsidR="00C523D8" w:rsidRPr="000F5EB0" w:rsidRDefault="00C523D8" w:rsidP="00BC17FB">
      <w:pPr>
        <w:ind w:left="360"/>
      </w:pPr>
    </w:p>
    <w:p w14:paraId="6B8F1572" w14:textId="77777777" w:rsidR="00707D4D" w:rsidRDefault="0054192F" w:rsidP="00530204">
      <w:pPr>
        <w:pStyle w:val="Heading2"/>
      </w:pPr>
      <w:r>
        <w:t xml:space="preserve">If public funding is sought through the MBS, please draft a proposed MBS item descriptor to define the population and medical </w:t>
      </w:r>
      <w:r w:rsidRPr="00AE1188">
        <w:t>service</w:t>
      </w:r>
      <w:r>
        <w:t xml:space="preserve"> usage characteristics that would define eligibility for MBS funding.</w:t>
      </w:r>
    </w:p>
    <w:p w14:paraId="6B36B497" w14:textId="77777777" w:rsidR="00AE1188" w:rsidRPr="00AE1188" w:rsidRDefault="00AE1188" w:rsidP="00AE1188">
      <w:pPr>
        <w:pBdr>
          <w:top w:val="single" w:sz="4" w:space="1" w:color="auto"/>
          <w:left w:val="single" w:sz="4" w:space="4" w:color="auto"/>
          <w:bottom w:val="single" w:sz="4" w:space="1" w:color="auto"/>
          <w:right w:val="single" w:sz="4" w:space="4" w:color="auto"/>
          <w:between w:val="single" w:sz="4" w:space="1" w:color="auto"/>
          <w:bar w:val="single" w:sz="4" w:color="auto"/>
        </w:pBdr>
        <w:rPr>
          <w:szCs w:val="20"/>
        </w:rPr>
      </w:pPr>
      <w:r>
        <w:rPr>
          <w:szCs w:val="20"/>
        </w:rPr>
        <w:t xml:space="preserve">Category </w:t>
      </w:r>
      <w:r w:rsidR="001F5E4D">
        <w:t>6</w:t>
      </w:r>
      <w:r w:rsidRPr="00AE1188">
        <w:rPr>
          <w:szCs w:val="20"/>
        </w:rPr>
        <w:t xml:space="preserve"> – </w:t>
      </w:r>
      <w:r w:rsidR="001F5E4D">
        <w:t>PATHOLOGY SERVICES</w:t>
      </w:r>
      <w:r w:rsidRPr="00AE1188">
        <w:rPr>
          <w:szCs w:val="20"/>
        </w:rPr>
        <w:t xml:space="preserve"> </w:t>
      </w:r>
    </w:p>
    <w:p w14:paraId="2CBB0090" w14:textId="77777777" w:rsidR="001F5E4D" w:rsidRDefault="001F5E4D" w:rsidP="00AE1188">
      <w:pPr>
        <w:pBdr>
          <w:top w:val="single" w:sz="4" w:space="1" w:color="auto"/>
          <w:left w:val="single" w:sz="4" w:space="4" w:color="auto"/>
          <w:bottom w:val="single" w:sz="4" w:space="1" w:color="auto"/>
          <w:right w:val="single" w:sz="4" w:space="4" w:color="auto"/>
        </w:pBdr>
        <w:rPr>
          <w:szCs w:val="20"/>
        </w:rPr>
      </w:pPr>
      <w:r>
        <w:rPr>
          <w:szCs w:val="20"/>
        </w:rPr>
        <w:t>73337</w:t>
      </w:r>
    </w:p>
    <w:p w14:paraId="1D1169F5" w14:textId="77777777" w:rsidR="001F5E4D" w:rsidRDefault="001F5E4D" w:rsidP="00AE1188">
      <w:pPr>
        <w:pBdr>
          <w:top w:val="single" w:sz="4" w:space="1" w:color="auto"/>
          <w:left w:val="single" w:sz="4" w:space="4" w:color="auto"/>
          <w:bottom w:val="single" w:sz="4" w:space="1" w:color="auto"/>
          <w:right w:val="single" w:sz="4" w:space="4" w:color="auto"/>
        </w:pBdr>
        <w:rPr>
          <w:szCs w:val="20"/>
        </w:rPr>
      </w:pPr>
      <w:r>
        <w:rPr>
          <w:szCs w:val="20"/>
        </w:rPr>
        <w:t>A test of tumour tissue from a patient diagnosed with non-small cell lung cancer, shown to have non-squamous histology or histology not otherwise specified, requested by, or on behalf of a specialist or consultant physician, to determine if:</w:t>
      </w:r>
    </w:p>
    <w:p w14:paraId="401AA715" w14:textId="685A3B1F" w:rsidR="001F5E4D" w:rsidRDefault="001F5E4D" w:rsidP="00AE1188">
      <w:pPr>
        <w:pBdr>
          <w:top w:val="single" w:sz="4" w:space="1" w:color="auto"/>
          <w:left w:val="single" w:sz="4" w:space="4" w:color="auto"/>
          <w:bottom w:val="single" w:sz="4" w:space="1" w:color="auto"/>
          <w:right w:val="single" w:sz="4" w:space="4" w:color="auto"/>
        </w:pBdr>
        <w:rPr>
          <w:szCs w:val="20"/>
        </w:rPr>
      </w:pPr>
      <w:r>
        <w:rPr>
          <w:szCs w:val="20"/>
        </w:rPr>
        <w:t xml:space="preserve">1. the requirements relating to epidermal growth factor receptor (EGFR) gene status for access to </w:t>
      </w:r>
      <w:proofErr w:type="spellStart"/>
      <w:r>
        <w:rPr>
          <w:szCs w:val="20"/>
        </w:rPr>
        <w:t>erlotinib</w:t>
      </w:r>
      <w:proofErr w:type="spellEnd"/>
      <w:r>
        <w:rPr>
          <w:szCs w:val="20"/>
        </w:rPr>
        <w:t xml:space="preserve">, </w:t>
      </w:r>
      <w:proofErr w:type="spellStart"/>
      <w:r>
        <w:rPr>
          <w:szCs w:val="20"/>
        </w:rPr>
        <w:t>gefitin</w:t>
      </w:r>
      <w:r w:rsidR="00A241A8">
        <w:rPr>
          <w:szCs w:val="20"/>
        </w:rPr>
        <w:t>i</w:t>
      </w:r>
      <w:r>
        <w:rPr>
          <w:szCs w:val="20"/>
        </w:rPr>
        <w:t>b</w:t>
      </w:r>
      <w:proofErr w:type="spellEnd"/>
      <w:r>
        <w:rPr>
          <w:szCs w:val="20"/>
        </w:rPr>
        <w:t xml:space="preserve"> or </w:t>
      </w:r>
      <w:proofErr w:type="spellStart"/>
      <w:r>
        <w:rPr>
          <w:szCs w:val="20"/>
        </w:rPr>
        <w:t>afatinib</w:t>
      </w:r>
      <w:proofErr w:type="spellEnd"/>
      <w:r>
        <w:rPr>
          <w:szCs w:val="20"/>
        </w:rPr>
        <w:t xml:space="preserve"> under the pharmaceutical benefits scheme are fulfilled</w:t>
      </w:r>
      <w:r w:rsidR="007237AD">
        <w:rPr>
          <w:szCs w:val="20"/>
        </w:rPr>
        <w:t>; or</w:t>
      </w:r>
    </w:p>
    <w:p w14:paraId="5988AA9E" w14:textId="77777777" w:rsidR="001F5E4D" w:rsidRPr="00AE1188" w:rsidRDefault="001F5E4D" w:rsidP="00AE1188">
      <w:pPr>
        <w:pBdr>
          <w:top w:val="single" w:sz="4" w:space="1" w:color="auto"/>
          <w:left w:val="single" w:sz="4" w:space="4" w:color="auto"/>
          <w:bottom w:val="single" w:sz="4" w:space="1" w:color="auto"/>
          <w:right w:val="single" w:sz="4" w:space="4" w:color="auto"/>
        </w:pBdr>
        <w:rPr>
          <w:szCs w:val="20"/>
        </w:rPr>
      </w:pPr>
      <w:r>
        <w:rPr>
          <w:szCs w:val="20"/>
        </w:rPr>
        <w:lastRenderedPageBreak/>
        <w:t xml:space="preserve">2. </w:t>
      </w:r>
      <w:proofErr w:type="gramStart"/>
      <w:r>
        <w:rPr>
          <w:szCs w:val="20"/>
        </w:rPr>
        <w:t>the</w:t>
      </w:r>
      <w:proofErr w:type="gramEnd"/>
      <w:r>
        <w:rPr>
          <w:szCs w:val="20"/>
        </w:rPr>
        <w:t xml:space="preserve"> requirements relating to Kirsten rat sarcoma oncogene (KRAS) G12C gene status for access to </w:t>
      </w:r>
      <w:proofErr w:type="spellStart"/>
      <w:r>
        <w:rPr>
          <w:szCs w:val="20"/>
        </w:rPr>
        <w:t>sotorasib</w:t>
      </w:r>
      <w:proofErr w:type="spellEnd"/>
      <w:r>
        <w:rPr>
          <w:szCs w:val="20"/>
        </w:rPr>
        <w:t xml:space="preserve"> under the Pharmaceutical Benefits Scheme are fulfilled.</w:t>
      </w:r>
    </w:p>
    <w:p w14:paraId="6B064F01" w14:textId="11AC6374" w:rsidR="00AE1188" w:rsidRPr="00AE1188" w:rsidRDefault="00AE1188" w:rsidP="00AE1188">
      <w:pPr>
        <w:pBdr>
          <w:top w:val="single" w:sz="4" w:space="1" w:color="auto"/>
          <w:left w:val="single" w:sz="4" w:space="4" w:color="auto"/>
          <w:bottom w:val="single" w:sz="4" w:space="1" w:color="auto"/>
          <w:right w:val="single" w:sz="4" w:space="4" w:color="auto"/>
        </w:pBdr>
        <w:rPr>
          <w:szCs w:val="20"/>
        </w:rPr>
      </w:pPr>
      <w:r w:rsidRPr="00AE1188">
        <w:rPr>
          <w:szCs w:val="20"/>
        </w:rPr>
        <w:t>Fee</w:t>
      </w:r>
      <w:r w:rsidRPr="005E1C9E">
        <w:rPr>
          <w:szCs w:val="20"/>
        </w:rPr>
        <w:t xml:space="preserve">:  </w:t>
      </w:r>
      <w:r w:rsidR="00A82D25" w:rsidRPr="005E1C9E">
        <w:rPr>
          <w:szCs w:val="20"/>
        </w:rPr>
        <w:t>$</w:t>
      </w:r>
      <w:r w:rsidR="00A82D25" w:rsidRPr="005E1C9E">
        <w:t xml:space="preserve">397.35 (unless </w:t>
      </w:r>
      <w:r w:rsidR="00C17B59">
        <w:t xml:space="preserve">an </w:t>
      </w:r>
      <w:r w:rsidR="00A82D25" w:rsidRPr="005E1C9E">
        <w:t>alternative cost can be supported)</w:t>
      </w:r>
    </w:p>
    <w:p w14:paraId="6C11D0DF" w14:textId="77777777" w:rsidR="00AE1188" w:rsidRDefault="00AE1188" w:rsidP="004A0BF4">
      <w:pPr>
        <w:pStyle w:val="Heading2"/>
        <w:numPr>
          <w:ilvl w:val="0"/>
          <w:numId w:val="0"/>
        </w:numPr>
        <w:ind w:left="360"/>
      </w:pPr>
      <w:r>
        <w:br w:type="page"/>
      </w:r>
    </w:p>
    <w:p w14:paraId="26E4C5E5" w14:textId="77777777" w:rsidR="007237AD" w:rsidRDefault="007237AD" w:rsidP="007237AD">
      <w:pPr>
        <w:pStyle w:val="Heading1"/>
      </w:pPr>
      <w:r>
        <w:lastRenderedPageBreak/>
        <w:t>Attachments</w:t>
      </w:r>
    </w:p>
    <w:p w14:paraId="62172119" w14:textId="7C1B038B" w:rsidR="00F70DE4" w:rsidRDefault="00F70DE4" w:rsidP="00F70DE4">
      <w:pPr>
        <w:ind w:left="0"/>
      </w:pPr>
      <w:r>
        <w:t xml:space="preserve">A flowchart representing the </w:t>
      </w:r>
      <w:r w:rsidRPr="00947351">
        <w:t xml:space="preserve">current </w:t>
      </w:r>
      <w:r>
        <w:t>tumour biomarker testing in NSCLC and the treatment pathway for patients with KRAC G12C variant tumours is provided below (effective March 2021).</w:t>
      </w:r>
    </w:p>
    <w:p w14:paraId="2E1997E4" w14:textId="3363E9E7" w:rsidR="007237AD" w:rsidRDefault="007237AD" w:rsidP="007237AD">
      <w:pPr>
        <w:ind w:left="0"/>
      </w:pPr>
    </w:p>
    <w:p w14:paraId="1B1106E1" w14:textId="0A40E4D8" w:rsidR="00F70DE4" w:rsidRDefault="00F70DE4" w:rsidP="00075F5F">
      <w:pPr>
        <w:ind w:left="0"/>
        <w:jc w:val="center"/>
      </w:pPr>
      <w:r w:rsidRPr="00F70DE4">
        <w:rPr>
          <w:noProof/>
          <w:lang w:eastAsia="en-AU"/>
        </w:rPr>
        <w:drawing>
          <wp:inline distT="0" distB="0" distL="0" distR="0" wp14:anchorId="22C214BD" wp14:editId="60A888DB">
            <wp:extent cx="5086350" cy="5334000"/>
            <wp:effectExtent l="0" t="0" r="0" b="0"/>
            <wp:docPr id="2" name="Picture 2" descr="Picture" titl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086350" cy="5334000"/>
                    </a:xfrm>
                    <a:prstGeom prst="rect">
                      <a:avLst/>
                    </a:prstGeom>
                    <a:noFill/>
                    <a:ln>
                      <a:noFill/>
                    </a:ln>
                  </pic:spPr>
                </pic:pic>
              </a:graphicData>
            </a:graphic>
          </wp:inline>
        </w:drawing>
      </w:r>
    </w:p>
    <w:p w14:paraId="4192C94C" w14:textId="2C53FA3D" w:rsidR="00F70DE4" w:rsidRDefault="00F70DE4">
      <w:r>
        <w:br w:type="page"/>
      </w:r>
    </w:p>
    <w:p w14:paraId="7F575E11" w14:textId="635EF251" w:rsidR="00F70DE4" w:rsidRDefault="00F70DE4" w:rsidP="00F70DE4">
      <w:pPr>
        <w:ind w:left="0"/>
      </w:pPr>
      <w:r>
        <w:lastRenderedPageBreak/>
        <w:t xml:space="preserve">A flowchart representing the </w:t>
      </w:r>
      <w:r w:rsidR="003721F0">
        <w:t>future</w:t>
      </w:r>
      <w:r w:rsidRPr="00947351">
        <w:t xml:space="preserve"> </w:t>
      </w:r>
      <w:r>
        <w:t>tumour biomarker testing in NSCLC and the treatment pathway for patients with KRAC G12C variant tumours</w:t>
      </w:r>
      <w:r w:rsidR="003721F0">
        <w:t xml:space="preserve"> with availability of </w:t>
      </w:r>
      <w:proofErr w:type="spellStart"/>
      <w:r w:rsidR="003721F0">
        <w:t>sotorasib</w:t>
      </w:r>
      <w:proofErr w:type="spellEnd"/>
      <w:r>
        <w:t xml:space="preserve"> is provided below.</w:t>
      </w:r>
    </w:p>
    <w:p w14:paraId="4C82FAE5" w14:textId="77777777" w:rsidR="003721F0" w:rsidRDefault="003721F0" w:rsidP="00F70DE4">
      <w:pPr>
        <w:ind w:left="0"/>
      </w:pPr>
    </w:p>
    <w:p w14:paraId="2CB3C596" w14:textId="28DF6A98" w:rsidR="00F70DE4" w:rsidRDefault="003721F0" w:rsidP="00075F5F">
      <w:pPr>
        <w:jc w:val="center"/>
      </w:pPr>
      <w:r w:rsidRPr="003721F0">
        <w:rPr>
          <w:noProof/>
          <w:lang w:eastAsia="en-AU"/>
        </w:rPr>
        <w:drawing>
          <wp:inline distT="0" distB="0" distL="0" distR="0" wp14:anchorId="2C981006" wp14:editId="243654DB">
            <wp:extent cx="5731510" cy="4847590"/>
            <wp:effectExtent l="0" t="0" r="2540" b="0"/>
            <wp:docPr id="3" name="Picture 3" descr="Picture" titl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31510" cy="4847590"/>
                    </a:xfrm>
                    <a:prstGeom prst="rect">
                      <a:avLst/>
                    </a:prstGeom>
                    <a:noFill/>
                    <a:ln>
                      <a:noFill/>
                    </a:ln>
                  </pic:spPr>
                </pic:pic>
              </a:graphicData>
            </a:graphic>
          </wp:inline>
        </w:drawing>
      </w:r>
    </w:p>
    <w:p w14:paraId="03D5EDA7" w14:textId="58B2852F" w:rsidR="007237AD" w:rsidRDefault="007237AD">
      <w:r>
        <w:br w:type="page"/>
      </w:r>
    </w:p>
    <w:p w14:paraId="53AC4F9D" w14:textId="77777777" w:rsidR="00573ADC" w:rsidRDefault="00573ADC">
      <w:pPr>
        <w:rPr>
          <w:bCs/>
          <w:color w:val="4F81BD" w:themeColor="accent1"/>
          <w:sz w:val="40"/>
          <w:szCs w:val="32"/>
        </w:rPr>
      </w:pPr>
    </w:p>
    <w:p w14:paraId="1314E09A" w14:textId="45485AF3" w:rsidR="007237AD" w:rsidRDefault="007237AD" w:rsidP="007237AD">
      <w:pPr>
        <w:pStyle w:val="Heading1"/>
      </w:pPr>
      <w:r>
        <w:t>References</w:t>
      </w:r>
    </w:p>
    <w:p w14:paraId="45654762" w14:textId="3C53EB47" w:rsidR="00451840" w:rsidRDefault="00451840" w:rsidP="007237AD">
      <w:pPr>
        <w:ind w:left="0"/>
      </w:pPr>
    </w:p>
    <w:p w14:paraId="49EFABD0" w14:textId="155CE3B8" w:rsidR="000E736C" w:rsidRDefault="000E736C" w:rsidP="005E1C9E">
      <w:pPr>
        <w:spacing w:before="0" w:after="0"/>
        <w:rPr>
          <w:bCs/>
        </w:rPr>
      </w:pPr>
      <w:proofErr w:type="spellStart"/>
      <w:r>
        <w:rPr>
          <w:bCs/>
        </w:rPr>
        <w:t>Altimari</w:t>
      </w:r>
      <w:proofErr w:type="spellEnd"/>
      <w:r>
        <w:rPr>
          <w:bCs/>
        </w:rPr>
        <w:t xml:space="preserve"> A, de </w:t>
      </w:r>
      <w:proofErr w:type="spellStart"/>
      <w:r>
        <w:rPr>
          <w:bCs/>
        </w:rPr>
        <w:t>Biase</w:t>
      </w:r>
      <w:proofErr w:type="spellEnd"/>
      <w:r>
        <w:rPr>
          <w:bCs/>
        </w:rPr>
        <w:t xml:space="preserve"> D, De </w:t>
      </w:r>
      <w:proofErr w:type="spellStart"/>
      <w:r>
        <w:rPr>
          <w:bCs/>
        </w:rPr>
        <w:t>Maglio</w:t>
      </w:r>
      <w:proofErr w:type="spellEnd"/>
      <w:r>
        <w:rPr>
          <w:bCs/>
        </w:rPr>
        <w:t xml:space="preserve"> G, </w:t>
      </w:r>
      <w:proofErr w:type="spellStart"/>
      <w:r>
        <w:rPr>
          <w:bCs/>
        </w:rPr>
        <w:t>Gruppioni</w:t>
      </w:r>
      <w:proofErr w:type="spellEnd"/>
      <w:r>
        <w:rPr>
          <w:bCs/>
        </w:rPr>
        <w:t xml:space="preserve"> E, </w:t>
      </w:r>
      <w:proofErr w:type="spellStart"/>
      <w:r>
        <w:rPr>
          <w:bCs/>
        </w:rPr>
        <w:t>Capizzi</w:t>
      </w:r>
      <w:proofErr w:type="spellEnd"/>
      <w:r>
        <w:rPr>
          <w:bCs/>
        </w:rPr>
        <w:t xml:space="preserve">, E </w:t>
      </w:r>
      <w:proofErr w:type="spellStart"/>
      <w:r>
        <w:rPr>
          <w:bCs/>
        </w:rPr>
        <w:t>Degiovanni</w:t>
      </w:r>
      <w:proofErr w:type="spellEnd"/>
      <w:r>
        <w:rPr>
          <w:bCs/>
        </w:rPr>
        <w:t xml:space="preserve"> A, et al. 454 next generation-sequencing outperforms allele-specific PCR, </w:t>
      </w:r>
      <w:proofErr w:type="gramStart"/>
      <w:r>
        <w:rPr>
          <w:bCs/>
        </w:rPr>
        <w:t>sanger</w:t>
      </w:r>
      <w:proofErr w:type="gramEnd"/>
      <w:r>
        <w:rPr>
          <w:bCs/>
        </w:rPr>
        <w:t xml:space="preserve"> sequencing, and pyrosequencing for routine KRAS mutation analysis of formalin-fixed, paraffin-embedded samples. </w:t>
      </w:r>
      <w:proofErr w:type="spellStart"/>
      <w:r>
        <w:rPr>
          <w:bCs/>
        </w:rPr>
        <w:t>OncoTargets</w:t>
      </w:r>
      <w:proofErr w:type="spellEnd"/>
      <w:r>
        <w:rPr>
          <w:bCs/>
        </w:rPr>
        <w:t xml:space="preserve"> and Therapy. 2013; 6: 1057-1064</w:t>
      </w:r>
    </w:p>
    <w:p w14:paraId="3CFE772B" w14:textId="77777777" w:rsidR="000E736C" w:rsidRDefault="000E736C" w:rsidP="005E1C9E">
      <w:pPr>
        <w:spacing w:before="0" w:after="0"/>
        <w:rPr>
          <w:bCs/>
        </w:rPr>
      </w:pPr>
    </w:p>
    <w:p w14:paraId="5C344CB2" w14:textId="5FA02737" w:rsidR="005E1C9E" w:rsidRPr="005E1C9E" w:rsidRDefault="00DE63E0" w:rsidP="00225FCA">
      <w:pPr>
        <w:spacing w:before="0" w:after="0"/>
      </w:pPr>
      <w:r>
        <w:t>A</w:t>
      </w:r>
      <w:r w:rsidR="00225FCA">
        <w:t>ustralian Institute of Health and Welfare</w:t>
      </w:r>
      <w:r>
        <w:t xml:space="preserve"> 2020. Cancer data in Australia. Web report; updated 13 Nov 2020. Cat. </w:t>
      </w:r>
      <w:proofErr w:type="gramStart"/>
      <w:r>
        <w:t>no</w:t>
      </w:r>
      <w:proofErr w:type="gramEnd"/>
      <w:r>
        <w:t>: CAN 122. Canberra: AIHW</w:t>
      </w:r>
      <w:r w:rsidR="00225FCA">
        <w:t xml:space="preserve"> </w:t>
      </w:r>
      <w:r w:rsidR="005E1C9E" w:rsidRPr="005E1C9E">
        <w:t>(https://www.aihw.gov.au/reports/cancer/cancer-data-in-australia/data).</w:t>
      </w:r>
    </w:p>
    <w:p w14:paraId="3D32AD6F" w14:textId="77777777" w:rsidR="005E1C9E" w:rsidRDefault="005E1C9E" w:rsidP="005E1C9E">
      <w:pPr>
        <w:spacing w:before="0" w:after="0"/>
      </w:pPr>
    </w:p>
    <w:p w14:paraId="4BD90A21" w14:textId="77777777" w:rsidR="00DE63E0" w:rsidRPr="00A642CB" w:rsidRDefault="00DE63E0" w:rsidP="005E1C9E">
      <w:pPr>
        <w:spacing w:before="0" w:after="0"/>
        <w:rPr>
          <w:szCs w:val="20"/>
        </w:rPr>
      </w:pPr>
      <w:r w:rsidRPr="00A642CB">
        <w:rPr>
          <w:szCs w:val="20"/>
        </w:rPr>
        <w:t xml:space="preserve">Clay TD, Russell PA, Do H, et al. Associations between the IASLC/ATS/ERS lung adenocarcinoma classification and EGFR and KRAS mutations. </w:t>
      </w:r>
      <w:proofErr w:type="spellStart"/>
      <w:r w:rsidRPr="00A642CB">
        <w:rPr>
          <w:szCs w:val="20"/>
        </w:rPr>
        <w:t>Pathol</w:t>
      </w:r>
      <w:proofErr w:type="spellEnd"/>
      <w:r w:rsidRPr="00A642CB">
        <w:rPr>
          <w:szCs w:val="20"/>
        </w:rPr>
        <w:t xml:space="preserve"> 2016; 48: 17-24</w:t>
      </w:r>
    </w:p>
    <w:p w14:paraId="3CDF7BD3" w14:textId="77777777" w:rsidR="00ED7DBF" w:rsidRDefault="00ED7DBF" w:rsidP="005E1C9E">
      <w:pPr>
        <w:spacing w:before="0" w:after="0"/>
        <w:rPr>
          <w:szCs w:val="20"/>
        </w:rPr>
      </w:pPr>
    </w:p>
    <w:p w14:paraId="53122CE3" w14:textId="55F0FB4F" w:rsidR="00DE63E0" w:rsidRDefault="00DE63E0" w:rsidP="005E1C9E">
      <w:pPr>
        <w:spacing w:before="0" w:after="0"/>
        <w:rPr>
          <w:szCs w:val="20"/>
        </w:rPr>
      </w:pPr>
      <w:r w:rsidRPr="00ED7DBF">
        <w:rPr>
          <w:szCs w:val="20"/>
        </w:rPr>
        <w:t xml:space="preserve">Cui W, </w:t>
      </w:r>
      <w:proofErr w:type="spellStart"/>
      <w:r w:rsidRPr="00ED7DBF">
        <w:rPr>
          <w:szCs w:val="20"/>
        </w:rPr>
        <w:t>Franchini</w:t>
      </w:r>
      <w:proofErr w:type="spellEnd"/>
      <w:r w:rsidRPr="00ED7DBF">
        <w:rPr>
          <w:szCs w:val="20"/>
        </w:rPr>
        <w:t xml:space="preserve"> F, Alexander M, et al. </w:t>
      </w:r>
      <w:proofErr w:type="gramStart"/>
      <w:r w:rsidRPr="00ED7DBF">
        <w:rPr>
          <w:szCs w:val="20"/>
        </w:rPr>
        <w:t>Assessing</w:t>
      </w:r>
      <w:proofErr w:type="gramEnd"/>
      <w:r w:rsidRPr="00ED7DBF">
        <w:rPr>
          <w:szCs w:val="20"/>
        </w:rPr>
        <w:t xml:space="preserve"> the significance of KRAS G12C mutation: </w:t>
      </w:r>
      <w:proofErr w:type="spellStart"/>
      <w:r w:rsidRPr="00ED7DBF">
        <w:rPr>
          <w:szCs w:val="20"/>
        </w:rPr>
        <w:t>clinicopathologic</w:t>
      </w:r>
      <w:proofErr w:type="spellEnd"/>
      <w:r w:rsidRPr="00ED7DBF">
        <w:rPr>
          <w:szCs w:val="20"/>
        </w:rPr>
        <w:t xml:space="preserve"> features, tre</w:t>
      </w:r>
      <w:r w:rsidRPr="00922F8A">
        <w:rPr>
          <w:szCs w:val="20"/>
        </w:rPr>
        <w:t>atments, and survival outcomes in a real</w:t>
      </w:r>
      <w:r w:rsidRPr="00A74EF8">
        <w:rPr>
          <w:szCs w:val="20"/>
        </w:rPr>
        <w:t>-world KRAS mutant non-small cell cancer cohort. Lung Cancer 2020; 146: 310-317</w:t>
      </w:r>
    </w:p>
    <w:p w14:paraId="18E5F26C" w14:textId="02A47AE7" w:rsidR="00CA35D4" w:rsidRDefault="00CA35D4" w:rsidP="005E1C9E">
      <w:pPr>
        <w:spacing w:before="0" w:after="0"/>
        <w:rPr>
          <w:szCs w:val="20"/>
        </w:rPr>
      </w:pPr>
    </w:p>
    <w:p w14:paraId="7B0BA470" w14:textId="4E0ECC7A" w:rsidR="00CA35D4" w:rsidRDefault="00CA35D4" w:rsidP="005E1C9E">
      <w:pPr>
        <w:spacing w:before="0" w:after="0"/>
        <w:rPr>
          <w:bCs/>
        </w:rPr>
      </w:pPr>
      <w:proofErr w:type="spellStart"/>
      <w:r>
        <w:rPr>
          <w:bCs/>
        </w:rPr>
        <w:lastRenderedPageBreak/>
        <w:t>Darwanto</w:t>
      </w:r>
      <w:proofErr w:type="spellEnd"/>
      <w:r>
        <w:rPr>
          <w:bCs/>
        </w:rPr>
        <w:t xml:space="preserve"> A, Hein AM, Strauss S, Kong Y, Sheridan A, Richards D, et al. Use of the QIAGEN </w:t>
      </w:r>
      <w:proofErr w:type="spellStart"/>
      <w:r>
        <w:rPr>
          <w:bCs/>
        </w:rPr>
        <w:t>genereader</w:t>
      </w:r>
      <w:proofErr w:type="spellEnd"/>
      <w:r>
        <w:rPr>
          <w:bCs/>
        </w:rPr>
        <w:t xml:space="preserve"> NGS system for detection of KRAS mutations, validated by the QIAGEN </w:t>
      </w:r>
      <w:proofErr w:type="spellStart"/>
      <w:r>
        <w:rPr>
          <w:bCs/>
        </w:rPr>
        <w:t>Therascreen</w:t>
      </w:r>
      <w:proofErr w:type="spellEnd"/>
      <w:r>
        <w:rPr>
          <w:bCs/>
        </w:rPr>
        <w:t xml:space="preserve"> PCR kit and alternative NGS platform. BMC Cancer. 2017; 17: 358</w:t>
      </w:r>
    </w:p>
    <w:p w14:paraId="28C752D7" w14:textId="15E47BA2" w:rsidR="00BF44A1" w:rsidRDefault="00BF44A1" w:rsidP="005E1C9E">
      <w:pPr>
        <w:spacing w:before="0" w:after="0"/>
        <w:rPr>
          <w:bCs/>
        </w:rPr>
      </w:pPr>
    </w:p>
    <w:p w14:paraId="61FF9D13" w14:textId="2BDDCB0A" w:rsidR="00F10647" w:rsidRPr="007F2EAD" w:rsidRDefault="00BF44A1" w:rsidP="007F2EAD">
      <w:pPr>
        <w:rPr>
          <w:bCs/>
          <w:szCs w:val="20"/>
        </w:rPr>
      </w:pPr>
      <w:r w:rsidRPr="00750EC4">
        <w:rPr>
          <w:bCs/>
          <w:szCs w:val="20"/>
        </w:rPr>
        <w:t xml:space="preserve">El </w:t>
      </w:r>
      <w:proofErr w:type="spellStart"/>
      <w:r w:rsidRPr="00750EC4">
        <w:rPr>
          <w:bCs/>
          <w:szCs w:val="20"/>
        </w:rPr>
        <w:t>Osta</w:t>
      </w:r>
      <w:proofErr w:type="spellEnd"/>
      <w:r w:rsidRPr="00750EC4">
        <w:rPr>
          <w:bCs/>
          <w:szCs w:val="20"/>
        </w:rPr>
        <w:t xml:space="preserve"> B, </w:t>
      </w:r>
      <w:proofErr w:type="spellStart"/>
      <w:r w:rsidRPr="00750EC4">
        <w:rPr>
          <w:bCs/>
          <w:szCs w:val="20"/>
        </w:rPr>
        <w:t>Behera</w:t>
      </w:r>
      <w:proofErr w:type="spellEnd"/>
      <w:r w:rsidRPr="00750EC4">
        <w:rPr>
          <w:bCs/>
          <w:szCs w:val="20"/>
        </w:rPr>
        <w:t xml:space="preserve"> M, Kim S, et al. Characteristics and outcomes of patients with metastatic KRAS-mutant lung adenocarcinomas: the lung cancer mutation consortium experience. J </w:t>
      </w:r>
      <w:proofErr w:type="spellStart"/>
      <w:r w:rsidRPr="00750EC4">
        <w:rPr>
          <w:bCs/>
          <w:szCs w:val="20"/>
        </w:rPr>
        <w:t>Thorac</w:t>
      </w:r>
      <w:proofErr w:type="spellEnd"/>
      <w:r w:rsidRPr="00750EC4">
        <w:rPr>
          <w:bCs/>
          <w:szCs w:val="20"/>
        </w:rPr>
        <w:t xml:space="preserve"> </w:t>
      </w:r>
      <w:proofErr w:type="spellStart"/>
      <w:r w:rsidRPr="00750EC4">
        <w:rPr>
          <w:bCs/>
          <w:szCs w:val="20"/>
        </w:rPr>
        <w:t>Oncol</w:t>
      </w:r>
      <w:proofErr w:type="spellEnd"/>
      <w:r w:rsidRPr="00750EC4">
        <w:rPr>
          <w:bCs/>
          <w:szCs w:val="20"/>
        </w:rPr>
        <w:t xml:space="preserve"> 2019</w:t>
      </w:r>
      <w:proofErr w:type="gramStart"/>
      <w:r w:rsidRPr="00750EC4">
        <w:rPr>
          <w:bCs/>
          <w:szCs w:val="20"/>
        </w:rPr>
        <w:t>;14:876</w:t>
      </w:r>
      <w:proofErr w:type="gramEnd"/>
      <w:r w:rsidRPr="00750EC4">
        <w:rPr>
          <w:bCs/>
          <w:szCs w:val="20"/>
        </w:rPr>
        <w:t>-889</w:t>
      </w:r>
    </w:p>
    <w:p w14:paraId="1ED16440" w14:textId="77777777" w:rsidR="00F10647" w:rsidRDefault="00F10647" w:rsidP="005E1C9E">
      <w:pPr>
        <w:spacing w:before="0" w:after="0"/>
        <w:rPr>
          <w:szCs w:val="20"/>
        </w:rPr>
      </w:pPr>
    </w:p>
    <w:p w14:paraId="7B50E743" w14:textId="6E5F1293" w:rsidR="00DE63E0" w:rsidRDefault="00DE63E0" w:rsidP="005E1C9E">
      <w:pPr>
        <w:spacing w:before="0" w:after="0"/>
        <w:rPr>
          <w:szCs w:val="20"/>
        </w:rPr>
      </w:pPr>
      <w:r w:rsidRPr="00ED7DBF">
        <w:rPr>
          <w:szCs w:val="20"/>
        </w:rPr>
        <w:t xml:space="preserve">Fong KM, Zimmerman PV, Smith PJ. KRAS codon 12 mutations in Australian non-small cell lung cancer. </w:t>
      </w:r>
      <w:proofErr w:type="spellStart"/>
      <w:r w:rsidRPr="00ED7DBF">
        <w:rPr>
          <w:szCs w:val="20"/>
        </w:rPr>
        <w:t>Aust</w:t>
      </w:r>
      <w:proofErr w:type="spellEnd"/>
      <w:r w:rsidRPr="00ED7DBF">
        <w:rPr>
          <w:szCs w:val="20"/>
        </w:rPr>
        <w:t xml:space="preserve"> N Z J Med. 1998</w:t>
      </w:r>
      <w:proofErr w:type="gramStart"/>
      <w:r w:rsidRPr="00ED7DBF">
        <w:rPr>
          <w:szCs w:val="20"/>
        </w:rPr>
        <w:t>;28:184</w:t>
      </w:r>
      <w:proofErr w:type="gramEnd"/>
      <w:r w:rsidRPr="00ED7DBF">
        <w:rPr>
          <w:szCs w:val="20"/>
        </w:rPr>
        <w:t>-9</w:t>
      </w:r>
    </w:p>
    <w:p w14:paraId="505877D4" w14:textId="4D6F6CC2" w:rsidR="00CA35D4" w:rsidRDefault="00CA35D4" w:rsidP="005E1C9E">
      <w:pPr>
        <w:spacing w:before="0" w:after="0"/>
        <w:rPr>
          <w:szCs w:val="20"/>
        </w:rPr>
      </w:pPr>
    </w:p>
    <w:p w14:paraId="46AC282A" w14:textId="477FE122" w:rsidR="00CA35D4" w:rsidRDefault="00CA35D4" w:rsidP="005E1C9E">
      <w:pPr>
        <w:spacing w:before="0" w:after="0"/>
        <w:rPr>
          <w:bCs/>
        </w:rPr>
      </w:pPr>
      <w:r>
        <w:rPr>
          <w:bCs/>
        </w:rPr>
        <w:t xml:space="preserve">Gao J, Wu H, Wang L, Zhang H, </w:t>
      </w:r>
      <w:proofErr w:type="spellStart"/>
      <w:r>
        <w:rPr>
          <w:bCs/>
        </w:rPr>
        <w:t>Duan</w:t>
      </w:r>
      <w:proofErr w:type="spellEnd"/>
      <w:r>
        <w:rPr>
          <w:bCs/>
        </w:rPr>
        <w:t xml:space="preserve"> H, Lu J, et al. Validation of targeted next-generation sequencing for RAS mutation detection in FFPE colorectal cancer tissues: comparison with sanger sequencing and ARMS-Scorpion real-time PCR. BMJ Open. 2016; 6: e009532</w:t>
      </w:r>
    </w:p>
    <w:p w14:paraId="0FECBE8E" w14:textId="6E48EAD1" w:rsidR="00BF44A1" w:rsidRDefault="00BF44A1" w:rsidP="005E1C9E">
      <w:pPr>
        <w:spacing w:before="0" w:after="0"/>
        <w:rPr>
          <w:bCs/>
        </w:rPr>
      </w:pPr>
    </w:p>
    <w:p w14:paraId="7E6557A5" w14:textId="26F8C701" w:rsidR="00BF44A1" w:rsidRPr="00BF44A1" w:rsidRDefault="00BF44A1" w:rsidP="00750EC4">
      <w:pPr>
        <w:rPr>
          <w:bCs/>
          <w:szCs w:val="20"/>
        </w:rPr>
      </w:pPr>
      <w:proofErr w:type="spellStart"/>
      <w:r w:rsidRPr="00750EC4">
        <w:rPr>
          <w:bCs/>
          <w:szCs w:val="20"/>
        </w:rPr>
        <w:t>Jeanson</w:t>
      </w:r>
      <w:proofErr w:type="spellEnd"/>
      <w:r w:rsidRPr="00750EC4">
        <w:rPr>
          <w:bCs/>
          <w:szCs w:val="20"/>
        </w:rPr>
        <w:t xml:space="preserve"> A, </w:t>
      </w:r>
      <w:proofErr w:type="spellStart"/>
      <w:r w:rsidRPr="00750EC4">
        <w:rPr>
          <w:bCs/>
          <w:szCs w:val="20"/>
        </w:rPr>
        <w:t>Tomasini</w:t>
      </w:r>
      <w:proofErr w:type="spellEnd"/>
      <w:r w:rsidRPr="00750EC4">
        <w:rPr>
          <w:bCs/>
          <w:szCs w:val="20"/>
        </w:rPr>
        <w:t xml:space="preserve"> P, </w:t>
      </w:r>
      <w:proofErr w:type="spellStart"/>
      <w:r w:rsidRPr="00750EC4">
        <w:rPr>
          <w:bCs/>
          <w:szCs w:val="20"/>
        </w:rPr>
        <w:t>Souquet-Bressand</w:t>
      </w:r>
      <w:proofErr w:type="spellEnd"/>
      <w:r w:rsidRPr="00750EC4">
        <w:rPr>
          <w:bCs/>
          <w:szCs w:val="20"/>
        </w:rPr>
        <w:t xml:space="preserve"> M, et al. Efficacy of immune checkpoint inhibitors in KRAS-mutant non-small cell lung cancer (NSCLC). J </w:t>
      </w:r>
      <w:proofErr w:type="spellStart"/>
      <w:r w:rsidRPr="00750EC4">
        <w:rPr>
          <w:bCs/>
          <w:szCs w:val="20"/>
        </w:rPr>
        <w:t>Thorac</w:t>
      </w:r>
      <w:proofErr w:type="spellEnd"/>
      <w:r w:rsidRPr="00750EC4">
        <w:rPr>
          <w:bCs/>
          <w:szCs w:val="20"/>
        </w:rPr>
        <w:t xml:space="preserve"> </w:t>
      </w:r>
      <w:proofErr w:type="spellStart"/>
      <w:r w:rsidRPr="00750EC4">
        <w:rPr>
          <w:bCs/>
          <w:szCs w:val="20"/>
        </w:rPr>
        <w:t>Oncol</w:t>
      </w:r>
      <w:proofErr w:type="spellEnd"/>
      <w:r w:rsidRPr="00750EC4">
        <w:rPr>
          <w:bCs/>
          <w:szCs w:val="20"/>
        </w:rPr>
        <w:t xml:space="preserve"> 2019</w:t>
      </w:r>
      <w:proofErr w:type="gramStart"/>
      <w:r w:rsidRPr="00750EC4">
        <w:rPr>
          <w:bCs/>
          <w:szCs w:val="20"/>
        </w:rPr>
        <w:t>;14:1095</w:t>
      </w:r>
      <w:proofErr w:type="gramEnd"/>
      <w:r w:rsidRPr="00750EC4">
        <w:rPr>
          <w:bCs/>
          <w:szCs w:val="20"/>
        </w:rPr>
        <w:t>-1101</w:t>
      </w:r>
    </w:p>
    <w:p w14:paraId="36EBC0C6" w14:textId="0D4F386F" w:rsidR="00F10647" w:rsidRDefault="00F10647" w:rsidP="005E1C9E">
      <w:pPr>
        <w:spacing w:before="0" w:after="0"/>
        <w:rPr>
          <w:szCs w:val="20"/>
        </w:rPr>
      </w:pPr>
    </w:p>
    <w:p w14:paraId="3334BF42" w14:textId="4C49126A" w:rsidR="00F10647" w:rsidRDefault="00F10647" w:rsidP="005E1C9E">
      <w:pPr>
        <w:spacing w:before="0" w:after="0"/>
      </w:pPr>
      <w:proofErr w:type="spellStart"/>
      <w:r>
        <w:t>Lanman</w:t>
      </w:r>
      <w:proofErr w:type="spellEnd"/>
      <w:r>
        <w:t xml:space="preserve"> BA, Allen JR, Allen JG, et al. Discovery of a covalent inhibitor of KRAS</w:t>
      </w:r>
      <w:r w:rsidRPr="00ED7DBF">
        <w:rPr>
          <w:vertAlign w:val="superscript"/>
        </w:rPr>
        <w:t>G12C</w:t>
      </w:r>
      <w:r>
        <w:t xml:space="preserve"> (AMG 510) for the treatment of solid </w:t>
      </w:r>
      <w:proofErr w:type="spellStart"/>
      <w:r>
        <w:t>tumors</w:t>
      </w:r>
      <w:proofErr w:type="spellEnd"/>
      <w:r>
        <w:t xml:space="preserve">. J Med </w:t>
      </w:r>
      <w:proofErr w:type="spellStart"/>
      <w:r>
        <w:t>Chem</w:t>
      </w:r>
      <w:proofErr w:type="spellEnd"/>
      <w:r>
        <w:t xml:space="preserve"> 2020</w:t>
      </w:r>
      <w:proofErr w:type="gramStart"/>
      <w:r>
        <w:t>;63:52</w:t>
      </w:r>
      <w:proofErr w:type="gramEnd"/>
      <w:r>
        <w:t>-65</w:t>
      </w:r>
    </w:p>
    <w:p w14:paraId="2A5441ED" w14:textId="77777777" w:rsidR="005E1C9E" w:rsidRPr="00F10647" w:rsidRDefault="005E1C9E" w:rsidP="005E1C9E">
      <w:pPr>
        <w:spacing w:before="0" w:after="0"/>
      </w:pPr>
    </w:p>
    <w:p w14:paraId="45431947" w14:textId="7D71FDA1" w:rsidR="00DE63E0" w:rsidRDefault="00DE63E0" w:rsidP="005E1C9E">
      <w:pPr>
        <w:spacing w:before="0" w:after="0"/>
        <w:rPr>
          <w:bCs/>
          <w:szCs w:val="20"/>
        </w:rPr>
      </w:pPr>
      <w:r w:rsidRPr="00A74EF8">
        <w:rPr>
          <w:bCs/>
          <w:szCs w:val="20"/>
        </w:rPr>
        <w:lastRenderedPageBreak/>
        <w:t xml:space="preserve">Lindeman NI, Cagle PT, </w:t>
      </w:r>
      <w:proofErr w:type="spellStart"/>
      <w:r w:rsidRPr="00A74EF8">
        <w:rPr>
          <w:bCs/>
          <w:szCs w:val="20"/>
        </w:rPr>
        <w:t>Aisner</w:t>
      </w:r>
      <w:proofErr w:type="spellEnd"/>
      <w:r w:rsidRPr="00F10647">
        <w:rPr>
          <w:bCs/>
          <w:szCs w:val="20"/>
        </w:rPr>
        <w:t xml:space="preserve"> DL, et al. Updated molecular testing guideline for the selection of lung cancer patients for treatment with targeted tyrosine kinase inhibitors: guideline from the College of American Pathologists, the International Association for the Study of Lung Cancer, and the Association for Molecular Pathology. </w:t>
      </w:r>
      <w:r w:rsidRPr="00D456F3">
        <w:rPr>
          <w:bCs/>
          <w:szCs w:val="20"/>
        </w:rPr>
        <w:t xml:space="preserve">J </w:t>
      </w:r>
      <w:proofErr w:type="spellStart"/>
      <w:r w:rsidRPr="00D456F3">
        <w:rPr>
          <w:bCs/>
          <w:szCs w:val="20"/>
        </w:rPr>
        <w:t>Thorac</w:t>
      </w:r>
      <w:proofErr w:type="spellEnd"/>
      <w:r w:rsidRPr="00D456F3">
        <w:rPr>
          <w:bCs/>
          <w:szCs w:val="20"/>
        </w:rPr>
        <w:t xml:space="preserve"> </w:t>
      </w:r>
      <w:proofErr w:type="spellStart"/>
      <w:r w:rsidRPr="00D456F3">
        <w:rPr>
          <w:bCs/>
          <w:szCs w:val="20"/>
        </w:rPr>
        <w:t>Oncol</w:t>
      </w:r>
      <w:proofErr w:type="spellEnd"/>
      <w:r w:rsidRPr="00D456F3">
        <w:rPr>
          <w:bCs/>
          <w:szCs w:val="20"/>
        </w:rPr>
        <w:t xml:space="preserve"> 2018</w:t>
      </w:r>
      <w:proofErr w:type="gramStart"/>
      <w:r w:rsidRPr="00D456F3">
        <w:rPr>
          <w:bCs/>
          <w:szCs w:val="20"/>
        </w:rPr>
        <w:t>;13:323</w:t>
      </w:r>
      <w:proofErr w:type="gramEnd"/>
      <w:r w:rsidRPr="00D456F3">
        <w:rPr>
          <w:bCs/>
          <w:szCs w:val="20"/>
        </w:rPr>
        <w:t>-358</w:t>
      </w:r>
    </w:p>
    <w:p w14:paraId="191C1635" w14:textId="77777777" w:rsidR="005E1C9E" w:rsidRPr="00075F5F" w:rsidRDefault="005E1C9E" w:rsidP="005E1C9E">
      <w:pPr>
        <w:spacing w:before="0" w:after="0"/>
        <w:rPr>
          <w:bCs/>
          <w:szCs w:val="20"/>
        </w:rPr>
      </w:pPr>
    </w:p>
    <w:p w14:paraId="3A2D8213" w14:textId="658CA786" w:rsidR="00DE63E0" w:rsidRDefault="00DE63E0" w:rsidP="005E1C9E">
      <w:pPr>
        <w:spacing w:before="0" w:after="0"/>
      </w:pPr>
      <w:proofErr w:type="spellStart"/>
      <w:r>
        <w:t>Mascaux</w:t>
      </w:r>
      <w:proofErr w:type="spellEnd"/>
      <w:r>
        <w:t xml:space="preserve"> C, </w:t>
      </w:r>
      <w:proofErr w:type="spellStart"/>
      <w:r>
        <w:t>Iannino</w:t>
      </w:r>
      <w:proofErr w:type="spellEnd"/>
      <w:r>
        <w:t xml:space="preserve"> N, Martin B, et al. The role of RAS oncogene in survival of patients with lung cancer: a systematic </w:t>
      </w:r>
      <w:r w:rsidRPr="005E1C9E">
        <w:t>review of the literature with meta-analysis. Br J Cancer 2005; 92: 131-9</w:t>
      </w:r>
    </w:p>
    <w:p w14:paraId="2D30CA4F" w14:textId="77777777" w:rsidR="005E1C9E" w:rsidRPr="005E1C9E" w:rsidRDefault="005E1C9E" w:rsidP="007F2EAD">
      <w:pPr>
        <w:spacing w:before="0" w:after="0"/>
        <w:ind w:left="0"/>
        <w:rPr>
          <w:szCs w:val="20"/>
        </w:rPr>
      </w:pPr>
    </w:p>
    <w:p w14:paraId="54F29110" w14:textId="6035DBCE" w:rsidR="005E1C9E" w:rsidRPr="003A1364" w:rsidRDefault="005E1C9E" w:rsidP="005E1C9E">
      <w:pPr>
        <w:autoSpaceDE w:val="0"/>
        <w:autoSpaceDN w:val="0"/>
        <w:adjustRightInd w:val="0"/>
        <w:spacing w:before="0" w:after="0"/>
        <w:ind w:left="0" w:firstLine="426"/>
        <w:rPr>
          <w:rFonts w:cstheme="minorHAnsi"/>
          <w:szCs w:val="20"/>
        </w:rPr>
      </w:pPr>
      <w:r w:rsidRPr="005E1C9E">
        <w:rPr>
          <w:rFonts w:eastAsia="Batang" w:cstheme="minorHAnsi"/>
          <w:szCs w:val="20"/>
        </w:rPr>
        <w:t xml:space="preserve">Mitchell </w:t>
      </w:r>
      <w:r w:rsidR="007F2EAD">
        <w:rPr>
          <w:rFonts w:eastAsia="Batang" w:cstheme="minorHAnsi"/>
          <w:szCs w:val="20"/>
        </w:rPr>
        <w:t xml:space="preserve">P, </w:t>
      </w:r>
      <w:r w:rsidRPr="005E1C9E">
        <w:rPr>
          <w:rFonts w:eastAsia="Batang" w:cstheme="minorHAnsi"/>
          <w:szCs w:val="20"/>
        </w:rPr>
        <w:t xml:space="preserve">et al </w:t>
      </w:r>
      <w:r w:rsidRPr="005E1C9E">
        <w:rPr>
          <w:rFonts w:cstheme="minorHAnsi"/>
          <w:szCs w:val="20"/>
        </w:rPr>
        <w:t xml:space="preserve">Lung cancer in Victoria: are we making progress? MJA </w:t>
      </w:r>
      <w:r w:rsidRPr="005E1C9E">
        <w:rPr>
          <w:rFonts w:eastAsia="Batang" w:cstheme="minorHAnsi"/>
          <w:szCs w:val="20"/>
        </w:rPr>
        <w:t>2013; 199: 674-9.</w:t>
      </w:r>
    </w:p>
    <w:p w14:paraId="593803B1" w14:textId="77777777" w:rsidR="005E1C9E" w:rsidRPr="00ED7DBF" w:rsidRDefault="005E1C9E" w:rsidP="005E1C9E">
      <w:pPr>
        <w:spacing w:before="0" w:after="0"/>
        <w:rPr>
          <w:szCs w:val="20"/>
        </w:rPr>
      </w:pPr>
    </w:p>
    <w:p w14:paraId="7EE3DF1A" w14:textId="057F802D" w:rsidR="00DE63E0" w:rsidRDefault="00DE63E0" w:rsidP="005E1C9E">
      <w:pPr>
        <w:spacing w:before="0" w:after="0"/>
      </w:pPr>
      <w:r>
        <w:t xml:space="preserve">Nadal E, Chen G, </w:t>
      </w:r>
      <w:proofErr w:type="spellStart"/>
      <w:r>
        <w:t>Prensner</w:t>
      </w:r>
      <w:proofErr w:type="spellEnd"/>
      <w:r>
        <w:t xml:space="preserve"> JR, et al. KRAS-G12C mutation is associated with poor outcome in surgically resected lung adenocarcinoma. J </w:t>
      </w:r>
      <w:proofErr w:type="spellStart"/>
      <w:r>
        <w:t>Thorac</w:t>
      </w:r>
      <w:proofErr w:type="spellEnd"/>
      <w:r>
        <w:t xml:space="preserve"> </w:t>
      </w:r>
      <w:proofErr w:type="spellStart"/>
      <w:r>
        <w:t>Oncol</w:t>
      </w:r>
      <w:proofErr w:type="spellEnd"/>
      <w:r>
        <w:t xml:space="preserve"> 2014; 9: 1513-22</w:t>
      </w:r>
      <w:r w:rsidR="005E1C9E">
        <w:t>.</w:t>
      </w:r>
    </w:p>
    <w:p w14:paraId="0764E829" w14:textId="77777777" w:rsidR="005E1C9E" w:rsidRDefault="005E1C9E" w:rsidP="005E1C9E">
      <w:pPr>
        <w:spacing w:before="0" w:after="0"/>
      </w:pPr>
    </w:p>
    <w:p w14:paraId="0FFD3617" w14:textId="452B2E02" w:rsidR="00486777" w:rsidRDefault="00486777" w:rsidP="005E1C9E">
      <w:pPr>
        <w:spacing w:before="0" w:after="0"/>
      </w:pPr>
      <w:r>
        <w:t xml:space="preserve">NPACC 2017. Requirements for human medical genome testing utilising massively parallel sequencing technologies. First edition 2017. D. of H. </w:t>
      </w:r>
    </w:p>
    <w:p w14:paraId="2490D6A6" w14:textId="77777777" w:rsidR="005E1C9E" w:rsidRDefault="005E1C9E" w:rsidP="005E1C9E">
      <w:pPr>
        <w:spacing w:before="0" w:after="0"/>
      </w:pPr>
    </w:p>
    <w:p w14:paraId="18BD155C" w14:textId="17758038" w:rsidR="00486777" w:rsidRDefault="00486777" w:rsidP="005E1C9E">
      <w:pPr>
        <w:spacing w:before="0" w:after="0"/>
      </w:pPr>
      <w:r>
        <w:t xml:space="preserve">NPACC 2013. Requirements for medical testing of human nuclei acids. Second edition 2013 D. of H. </w:t>
      </w:r>
    </w:p>
    <w:p w14:paraId="527CE62F" w14:textId="5A79EEDB" w:rsidR="00AF0F36" w:rsidRDefault="00DE63E0" w:rsidP="00AF0F36">
      <w:pPr>
        <w:spacing w:before="0" w:after="0"/>
      </w:pPr>
      <w:r>
        <w:t xml:space="preserve">Pan W, Yang Y, Zhu H, et al. KRAS mutation is a weak, but valid predictor for poor prognosis and treatment outcomes in NSCLC: A meta-analysis of 41 studies. </w:t>
      </w:r>
      <w:proofErr w:type="spellStart"/>
      <w:r>
        <w:t>Oncotarget</w:t>
      </w:r>
      <w:proofErr w:type="spellEnd"/>
      <w:r>
        <w:t xml:space="preserve"> 2016</w:t>
      </w:r>
      <w:proofErr w:type="gramStart"/>
      <w:r>
        <w:t>;7:8373</w:t>
      </w:r>
      <w:proofErr w:type="gramEnd"/>
      <w:r>
        <w:t>-8388</w:t>
      </w:r>
    </w:p>
    <w:p w14:paraId="5BDD1A5C" w14:textId="77777777" w:rsidR="005E1C9E" w:rsidRDefault="005E1C9E" w:rsidP="005E1C9E">
      <w:pPr>
        <w:spacing w:before="0" w:after="0"/>
      </w:pPr>
    </w:p>
    <w:p w14:paraId="349748B8" w14:textId="77777777" w:rsidR="00A74EF8" w:rsidRPr="00A74EF8" w:rsidRDefault="00A74EF8" w:rsidP="005E1C9E">
      <w:pPr>
        <w:spacing w:before="0" w:after="0"/>
        <w:rPr>
          <w:bCs/>
          <w:szCs w:val="20"/>
        </w:rPr>
      </w:pPr>
      <w:proofErr w:type="spellStart"/>
      <w:r w:rsidRPr="00ED7DBF">
        <w:rPr>
          <w:bCs/>
          <w:szCs w:val="20"/>
        </w:rPr>
        <w:t>Rekhtman</w:t>
      </w:r>
      <w:proofErr w:type="spellEnd"/>
      <w:r w:rsidRPr="00ED7DBF">
        <w:rPr>
          <w:bCs/>
          <w:szCs w:val="20"/>
        </w:rPr>
        <w:t xml:space="preserve"> N, Paik PK, </w:t>
      </w:r>
      <w:proofErr w:type="spellStart"/>
      <w:r w:rsidRPr="00ED7DBF">
        <w:rPr>
          <w:bCs/>
          <w:szCs w:val="20"/>
        </w:rPr>
        <w:t>Arcila</w:t>
      </w:r>
      <w:proofErr w:type="spellEnd"/>
      <w:r w:rsidRPr="00ED7DBF">
        <w:rPr>
          <w:bCs/>
          <w:szCs w:val="20"/>
        </w:rPr>
        <w:t xml:space="preserve"> ME, et al. </w:t>
      </w:r>
      <w:proofErr w:type="gramStart"/>
      <w:r w:rsidRPr="00ED7DBF">
        <w:rPr>
          <w:bCs/>
          <w:szCs w:val="20"/>
        </w:rPr>
        <w:t>Clarifying</w:t>
      </w:r>
      <w:proofErr w:type="gramEnd"/>
      <w:r w:rsidRPr="00ED7DBF">
        <w:rPr>
          <w:bCs/>
          <w:szCs w:val="20"/>
        </w:rPr>
        <w:t xml:space="preserve"> the spectrum of driver oncogene mutations in biomarker-verified squamous cell carcinoma of the lung: </w:t>
      </w:r>
      <w:r w:rsidRPr="00ED7DBF">
        <w:rPr>
          <w:bCs/>
          <w:szCs w:val="20"/>
        </w:rPr>
        <w:lastRenderedPageBreak/>
        <w:t xml:space="preserve">lack of EGFR/KRAS and presence of PIK3CA/AKT1 mutations. </w:t>
      </w:r>
      <w:proofErr w:type="spellStart"/>
      <w:r w:rsidRPr="00922F8A">
        <w:rPr>
          <w:bCs/>
          <w:szCs w:val="20"/>
        </w:rPr>
        <w:t>Clin</w:t>
      </w:r>
      <w:proofErr w:type="spellEnd"/>
      <w:r w:rsidRPr="00922F8A">
        <w:rPr>
          <w:bCs/>
          <w:szCs w:val="20"/>
        </w:rPr>
        <w:t xml:space="preserve"> Cancer Res</w:t>
      </w:r>
      <w:r w:rsidRPr="00A74EF8">
        <w:rPr>
          <w:bCs/>
          <w:szCs w:val="20"/>
        </w:rPr>
        <w:t xml:space="preserve"> 2012</w:t>
      </w:r>
      <w:proofErr w:type="gramStart"/>
      <w:r w:rsidRPr="00A74EF8">
        <w:rPr>
          <w:bCs/>
          <w:szCs w:val="20"/>
        </w:rPr>
        <w:t>;18</w:t>
      </w:r>
      <w:proofErr w:type="gramEnd"/>
      <w:r w:rsidRPr="00A74EF8">
        <w:rPr>
          <w:bCs/>
          <w:szCs w:val="20"/>
        </w:rPr>
        <w:t>(4):1167-1176</w:t>
      </w:r>
    </w:p>
    <w:p w14:paraId="10BCC326" w14:textId="77777777" w:rsidR="00A74EF8" w:rsidRDefault="00A74EF8" w:rsidP="005E1C9E">
      <w:pPr>
        <w:spacing w:before="0" w:after="0"/>
        <w:rPr>
          <w:szCs w:val="20"/>
        </w:rPr>
      </w:pPr>
    </w:p>
    <w:p w14:paraId="7D5B1D72" w14:textId="78347D6D" w:rsidR="00A74EF8" w:rsidRPr="00ED7DBF" w:rsidRDefault="00A74EF8" w:rsidP="005E1C9E">
      <w:pPr>
        <w:spacing w:before="0" w:after="0"/>
        <w:rPr>
          <w:szCs w:val="20"/>
        </w:rPr>
      </w:pPr>
      <w:r w:rsidRPr="00ED7DBF">
        <w:rPr>
          <w:szCs w:val="20"/>
        </w:rPr>
        <w:t xml:space="preserve">Russell PA, Rogers T-M, Solomon B, et al. Correlation between molecular analysis, diagnosis according to the 2015 WHO classification of </w:t>
      </w:r>
      <w:proofErr w:type="spellStart"/>
      <w:r w:rsidRPr="00ED7DBF">
        <w:rPr>
          <w:szCs w:val="20"/>
        </w:rPr>
        <w:t>unresected</w:t>
      </w:r>
      <w:proofErr w:type="spellEnd"/>
      <w:r w:rsidRPr="00ED7DBF">
        <w:rPr>
          <w:szCs w:val="20"/>
        </w:rPr>
        <w:t xml:space="preserve"> lung tumours and TTF1 expression in small biopsies and cytology specimens from 344 non-small cell lung carcinoma patients. </w:t>
      </w:r>
      <w:proofErr w:type="spellStart"/>
      <w:r w:rsidRPr="00ED7DBF">
        <w:rPr>
          <w:szCs w:val="20"/>
        </w:rPr>
        <w:t>Pathol</w:t>
      </w:r>
      <w:proofErr w:type="spellEnd"/>
      <w:r w:rsidRPr="00ED7DBF">
        <w:rPr>
          <w:szCs w:val="20"/>
        </w:rPr>
        <w:t xml:space="preserve"> 2017</w:t>
      </w:r>
      <w:proofErr w:type="gramStart"/>
      <w:r w:rsidRPr="00ED7DBF">
        <w:rPr>
          <w:szCs w:val="20"/>
        </w:rPr>
        <w:t>;49</w:t>
      </w:r>
      <w:proofErr w:type="gramEnd"/>
      <w:r w:rsidRPr="00ED7DBF">
        <w:rPr>
          <w:szCs w:val="20"/>
        </w:rPr>
        <w:t>: 604-610</w:t>
      </w:r>
    </w:p>
    <w:p w14:paraId="68438E3A" w14:textId="77777777" w:rsidR="005E1C9E" w:rsidRDefault="005E1C9E" w:rsidP="005E1C9E">
      <w:pPr>
        <w:spacing w:before="0" w:after="0"/>
      </w:pPr>
    </w:p>
    <w:p w14:paraId="75FBE16F" w14:textId="0783D9B4" w:rsidR="00A74EF8" w:rsidRDefault="00A74EF8" w:rsidP="005E1C9E">
      <w:pPr>
        <w:spacing w:before="0" w:after="0"/>
      </w:pPr>
      <w:r>
        <w:t xml:space="preserve">Shepherd FA, </w:t>
      </w:r>
      <w:proofErr w:type="spellStart"/>
      <w:r>
        <w:t>Domerg</w:t>
      </w:r>
      <w:proofErr w:type="spellEnd"/>
      <w:r>
        <w:t xml:space="preserve"> C, Hainaut P, et al. Pooled analysis of the prognostic and predictive effects of KRAS mutation status and KRAS mutation subtype in early-stage resected non-small cell lung cancer in four trials of adjuvant therapy. J </w:t>
      </w:r>
      <w:proofErr w:type="spellStart"/>
      <w:r>
        <w:t>Clin</w:t>
      </w:r>
      <w:proofErr w:type="spellEnd"/>
      <w:r>
        <w:t xml:space="preserve"> </w:t>
      </w:r>
      <w:proofErr w:type="spellStart"/>
      <w:r>
        <w:t>Oncol</w:t>
      </w:r>
      <w:proofErr w:type="spellEnd"/>
      <w:r>
        <w:t xml:space="preserve"> 2013; 31: 2173-81</w:t>
      </w:r>
    </w:p>
    <w:p w14:paraId="2B859DF2" w14:textId="7E8E772F" w:rsidR="00A74EF8" w:rsidRDefault="00A74EF8" w:rsidP="005E1C9E">
      <w:pPr>
        <w:spacing w:before="0" w:after="0"/>
        <w:rPr>
          <w:szCs w:val="20"/>
        </w:rPr>
      </w:pPr>
    </w:p>
    <w:p w14:paraId="3C70894E" w14:textId="77777777" w:rsidR="00A74EF8" w:rsidRPr="00B31B55" w:rsidRDefault="00A74EF8" w:rsidP="005E1C9E">
      <w:pPr>
        <w:spacing w:before="0" w:after="0"/>
        <w:rPr>
          <w:szCs w:val="20"/>
        </w:rPr>
      </w:pPr>
      <w:r w:rsidRPr="00B31B55">
        <w:rPr>
          <w:bCs/>
          <w:szCs w:val="20"/>
        </w:rPr>
        <w:t xml:space="preserve">Sherwood JL, Brown H, </w:t>
      </w:r>
      <w:proofErr w:type="spellStart"/>
      <w:r w:rsidRPr="00B31B55">
        <w:rPr>
          <w:bCs/>
          <w:szCs w:val="20"/>
        </w:rPr>
        <w:t>Rettino</w:t>
      </w:r>
      <w:proofErr w:type="spellEnd"/>
      <w:r w:rsidRPr="00B31B55">
        <w:rPr>
          <w:bCs/>
          <w:szCs w:val="20"/>
        </w:rPr>
        <w:t xml:space="preserve"> A, et al. Key differences between 12 KRAS mutation detection technologies and their relevance for clinical practice. ESMO Open 2017</w:t>
      </w:r>
      <w:proofErr w:type="gramStart"/>
      <w:r w:rsidRPr="00B31B55">
        <w:rPr>
          <w:bCs/>
          <w:szCs w:val="20"/>
        </w:rPr>
        <w:t>;2:e000235</w:t>
      </w:r>
      <w:proofErr w:type="gramEnd"/>
      <w:r w:rsidRPr="00B31B55">
        <w:rPr>
          <w:bCs/>
          <w:szCs w:val="20"/>
        </w:rPr>
        <w:t>.</w:t>
      </w:r>
      <w:r>
        <w:rPr>
          <w:bCs/>
          <w:szCs w:val="20"/>
        </w:rPr>
        <w:t xml:space="preserve"> </w:t>
      </w:r>
      <w:proofErr w:type="gramStart"/>
      <w:r w:rsidRPr="00B31B55">
        <w:rPr>
          <w:bCs/>
          <w:szCs w:val="20"/>
        </w:rPr>
        <w:t>doi:</w:t>
      </w:r>
      <w:proofErr w:type="gramEnd"/>
      <w:r w:rsidRPr="00B31B55">
        <w:rPr>
          <w:bCs/>
          <w:szCs w:val="20"/>
        </w:rPr>
        <w:t>10.1136/esmopen-2017-00235</w:t>
      </w:r>
    </w:p>
    <w:p w14:paraId="44503D6B" w14:textId="77777777" w:rsidR="00A74EF8" w:rsidRDefault="00A74EF8" w:rsidP="005E1C9E">
      <w:pPr>
        <w:spacing w:before="0" w:after="0"/>
        <w:ind w:left="0"/>
      </w:pPr>
    </w:p>
    <w:p w14:paraId="555101AB" w14:textId="77777777" w:rsidR="00A74EF8" w:rsidRPr="002A21D3" w:rsidRDefault="00A74EF8" w:rsidP="00750EC4">
      <w:pPr>
        <w:spacing w:before="0" w:after="0"/>
        <w:rPr>
          <w:bCs/>
          <w:szCs w:val="20"/>
        </w:rPr>
      </w:pPr>
      <w:r w:rsidRPr="002A21D3">
        <w:rPr>
          <w:bCs/>
          <w:szCs w:val="20"/>
        </w:rPr>
        <w:t xml:space="preserve">Sherwood JL, </w:t>
      </w:r>
      <w:proofErr w:type="spellStart"/>
      <w:r w:rsidRPr="002A21D3">
        <w:rPr>
          <w:bCs/>
          <w:szCs w:val="20"/>
        </w:rPr>
        <w:t>Dearden</w:t>
      </w:r>
      <w:proofErr w:type="spellEnd"/>
      <w:r w:rsidRPr="002A21D3">
        <w:rPr>
          <w:bCs/>
          <w:szCs w:val="20"/>
        </w:rPr>
        <w:t xml:space="preserve"> S, </w:t>
      </w:r>
      <w:proofErr w:type="spellStart"/>
      <w:r w:rsidRPr="002A21D3">
        <w:rPr>
          <w:bCs/>
          <w:szCs w:val="20"/>
        </w:rPr>
        <w:t>Ratcliffe</w:t>
      </w:r>
      <w:proofErr w:type="spellEnd"/>
      <w:r w:rsidRPr="002A21D3">
        <w:rPr>
          <w:bCs/>
          <w:szCs w:val="20"/>
        </w:rPr>
        <w:t xml:space="preserve"> M, Walker J. Mutation status concordance between primary lesions and metastatic sites of advanced non-small-cell lung cancer and the impact of mutation testing methodologies: a literature review. J </w:t>
      </w:r>
      <w:proofErr w:type="spellStart"/>
      <w:r w:rsidRPr="002A21D3">
        <w:rPr>
          <w:bCs/>
          <w:szCs w:val="20"/>
        </w:rPr>
        <w:t>Exp</w:t>
      </w:r>
      <w:proofErr w:type="spellEnd"/>
      <w:r w:rsidRPr="002A21D3">
        <w:rPr>
          <w:bCs/>
          <w:szCs w:val="20"/>
        </w:rPr>
        <w:t xml:space="preserve"> </w:t>
      </w:r>
      <w:proofErr w:type="spellStart"/>
      <w:r w:rsidRPr="002A21D3">
        <w:rPr>
          <w:bCs/>
          <w:szCs w:val="20"/>
        </w:rPr>
        <w:t>Clin</w:t>
      </w:r>
      <w:proofErr w:type="spellEnd"/>
      <w:r w:rsidRPr="002A21D3">
        <w:rPr>
          <w:bCs/>
          <w:szCs w:val="20"/>
        </w:rPr>
        <w:t xml:space="preserve"> Cancer Res 2015</w:t>
      </w:r>
      <w:proofErr w:type="gramStart"/>
      <w:r w:rsidRPr="002A21D3">
        <w:rPr>
          <w:bCs/>
          <w:szCs w:val="20"/>
        </w:rPr>
        <w:t>;34:92</w:t>
      </w:r>
      <w:proofErr w:type="gramEnd"/>
    </w:p>
    <w:p w14:paraId="3A7F3066" w14:textId="77777777" w:rsidR="00A74EF8" w:rsidRDefault="00A74EF8" w:rsidP="005E1C9E">
      <w:pPr>
        <w:spacing w:before="0" w:after="0"/>
        <w:rPr>
          <w:szCs w:val="20"/>
        </w:rPr>
      </w:pPr>
    </w:p>
    <w:p w14:paraId="28ED6DC7" w14:textId="12CD3A5A" w:rsidR="00A74EF8" w:rsidRDefault="00A74EF8" w:rsidP="005E1C9E">
      <w:pPr>
        <w:spacing w:before="0" w:after="0"/>
        <w:rPr>
          <w:szCs w:val="20"/>
        </w:rPr>
      </w:pPr>
      <w:r w:rsidRPr="00ED7DBF">
        <w:rPr>
          <w:szCs w:val="20"/>
        </w:rPr>
        <w:t xml:space="preserve">Tan L, Alexander M, Officer A, et al. Survival difference according to mutation status in a prospective cohort study of Australian patients with metastatic non-small-cell lung carcinoma. </w:t>
      </w:r>
      <w:proofErr w:type="spellStart"/>
      <w:r w:rsidRPr="00ED7DBF">
        <w:rPr>
          <w:szCs w:val="20"/>
        </w:rPr>
        <w:t>Int</w:t>
      </w:r>
      <w:proofErr w:type="spellEnd"/>
      <w:r w:rsidRPr="00ED7DBF">
        <w:rPr>
          <w:szCs w:val="20"/>
        </w:rPr>
        <w:t xml:space="preserve"> Med J 2018;</w:t>
      </w:r>
      <w:r w:rsidRPr="00922F8A">
        <w:rPr>
          <w:szCs w:val="20"/>
        </w:rPr>
        <w:t xml:space="preserve"> </w:t>
      </w:r>
      <w:proofErr w:type="gramStart"/>
      <w:r w:rsidRPr="00A74EF8">
        <w:rPr>
          <w:szCs w:val="20"/>
        </w:rPr>
        <w:t>48 :</w:t>
      </w:r>
      <w:proofErr w:type="gramEnd"/>
      <w:r w:rsidRPr="00A74EF8">
        <w:rPr>
          <w:szCs w:val="20"/>
        </w:rPr>
        <w:t>37-44</w:t>
      </w:r>
    </w:p>
    <w:p w14:paraId="0AD6C54E" w14:textId="77777777" w:rsidR="00750EC4" w:rsidRDefault="00750EC4" w:rsidP="00750EC4">
      <w:pPr>
        <w:spacing w:before="0" w:after="0"/>
        <w:ind w:left="0"/>
        <w:rPr>
          <w:szCs w:val="20"/>
        </w:rPr>
      </w:pPr>
    </w:p>
    <w:p w14:paraId="3ADDF958" w14:textId="319056CC" w:rsidR="002A21D3" w:rsidRPr="00A74EF8" w:rsidRDefault="00A642CB" w:rsidP="00750EC4">
      <w:pPr>
        <w:spacing w:before="0" w:after="0"/>
        <w:rPr>
          <w:szCs w:val="20"/>
        </w:rPr>
      </w:pPr>
      <w:proofErr w:type="spellStart"/>
      <w:r>
        <w:t>Tuon</w:t>
      </w:r>
      <w:r w:rsidR="001167D1">
        <w:t>o</w:t>
      </w:r>
      <w:r>
        <w:t>nen</w:t>
      </w:r>
      <w:proofErr w:type="spellEnd"/>
      <w:r>
        <w:t xml:space="preserve"> K, Maki-</w:t>
      </w:r>
      <w:proofErr w:type="spellStart"/>
      <w:r>
        <w:t>Nevala</w:t>
      </w:r>
      <w:proofErr w:type="spellEnd"/>
      <w:r>
        <w:t xml:space="preserve"> S, Kaur </w:t>
      </w:r>
      <w:proofErr w:type="spellStart"/>
      <w:r>
        <w:t>Sarhadi</w:t>
      </w:r>
      <w:proofErr w:type="spellEnd"/>
      <w:r>
        <w:t xml:space="preserve"> V, et al. Comparison of targeted next-generation sequencing (NGS) and real-time PCR in the detection of EGFR, KRAS, </w:t>
      </w:r>
      <w:r>
        <w:lastRenderedPageBreak/>
        <w:t xml:space="preserve">and BRAF mutations on formalin-fixed paraffin-embedded </w:t>
      </w:r>
      <w:proofErr w:type="spellStart"/>
      <w:r>
        <w:t>tumor</w:t>
      </w:r>
      <w:proofErr w:type="spellEnd"/>
      <w:r>
        <w:t xml:space="preserve"> material of non-small cell lung carcinoma – superiority of NGS. Genes, Chromosomes &amp; Cancer 2013</w:t>
      </w:r>
      <w:proofErr w:type="gramStart"/>
      <w:r>
        <w:t>;52:503</w:t>
      </w:r>
      <w:proofErr w:type="gramEnd"/>
      <w:r>
        <w:t>-511</w:t>
      </w:r>
    </w:p>
    <w:sectPr w:rsidR="002A21D3" w:rsidRPr="00A74EF8" w:rsidSect="00DD30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BC286" w14:textId="77777777" w:rsidR="006D49CB" w:rsidRDefault="006D49CB" w:rsidP="00CF2DFA">
      <w:pPr>
        <w:spacing w:after="0"/>
      </w:pPr>
      <w:r>
        <w:separator/>
      </w:r>
    </w:p>
  </w:endnote>
  <w:endnote w:type="continuationSeparator" w:id="0">
    <w:p w14:paraId="1226A4E7" w14:textId="77777777" w:rsidR="006D49CB" w:rsidRDefault="006D49CB" w:rsidP="00CF2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_‡ ˛">
    <w:altName w:val="Calibri"/>
    <w:charset w:val="4D"/>
    <w:family w:val="auto"/>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35BCB" w14:textId="77777777" w:rsidR="00577575" w:rsidRDefault="005775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14:paraId="6F961AE3" w14:textId="412ECC81" w:rsidR="00C22B6D" w:rsidRDefault="00C22B6D">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577575" w:rsidRPr="00577575">
          <w:rPr>
            <w:b/>
            <w:bCs/>
            <w:noProof/>
            <w:sz w:val="18"/>
            <w:szCs w:val="18"/>
          </w:rPr>
          <w:t>25</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14:paraId="6C927371" w14:textId="77777777" w:rsidR="00C22B6D" w:rsidRPr="003F7CB9" w:rsidRDefault="00C22B6D"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719D9" w14:textId="77777777" w:rsidR="00577575" w:rsidRDefault="005775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B1409" w14:textId="77777777" w:rsidR="006D49CB" w:rsidRDefault="006D49CB" w:rsidP="00CF2DFA">
      <w:pPr>
        <w:spacing w:after="0"/>
      </w:pPr>
      <w:r>
        <w:separator/>
      </w:r>
    </w:p>
  </w:footnote>
  <w:footnote w:type="continuationSeparator" w:id="0">
    <w:p w14:paraId="2F16C583" w14:textId="77777777" w:rsidR="006D49CB" w:rsidRDefault="006D49CB" w:rsidP="00CF2D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E4D25" w14:textId="77777777" w:rsidR="00577575" w:rsidRDefault="005775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DA3C7" w14:textId="77777777" w:rsidR="00577575" w:rsidRDefault="005775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5614B" w14:textId="77777777" w:rsidR="00577575" w:rsidRDefault="005775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8850C8"/>
    <w:multiLevelType w:val="hybridMultilevel"/>
    <w:tmpl w:val="25E2967A"/>
    <w:lvl w:ilvl="0" w:tplc="5C1E6D9A">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 w15:restartNumberingAfterBreak="0">
    <w:nsid w:val="0A922931"/>
    <w:multiLevelType w:val="hybridMultilevel"/>
    <w:tmpl w:val="2B803A0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77BCEEC8">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011304"/>
    <w:multiLevelType w:val="hybridMultilevel"/>
    <w:tmpl w:val="881C3320"/>
    <w:lvl w:ilvl="0" w:tplc="1868BC54">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5" w15:restartNumberingAfterBreak="0">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2742371"/>
    <w:multiLevelType w:val="hybridMultilevel"/>
    <w:tmpl w:val="E0A6FE3A"/>
    <w:lvl w:ilvl="0" w:tplc="45D69D02">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49306E5"/>
    <w:multiLevelType w:val="hybridMultilevel"/>
    <w:tmpl w:val="02EC7278"/>
    <w:lvl w:ilvl="0" w:tplc="01C66D6A">
      <w:start w:val="2"/>
      <w:numFmt w:val="bullet"/>
      <w:lvlText w:val="-"/>
      <w:lvlJc w:val="left"/>
      <w:pPr>
        <w:ind w:left="360" w:hanging="360"/>
      </w:pPr>
      <w:rPr>
        <w:rFonts w:ascii="Calibri" w:eastAsia="Calibri" w:hAnsi="Calibri" w:cs="Times New Roman" w:hint="default"/>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82509C3"/>
    <w:multiLevelType w:val="hybridMultilevel"/>
    <w:tmpl w:val="3C4CB224"/>
    <w:lvl w:ilvl="0" w:tplc="BA5AC1B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33434B0"/>
    <w:multiLevelType w:val="hybridMultilevel"/>
    <w:tmpl w:val="712E621A"/>
    <w:lvl w:ilvl="0" w:tplc="1A2A340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3" w15:restartNumberingAfterBreak="0">
    <w:nsid w:val="236A5205"/>
    <w:multiLevelType w:val="hybridMultilevel"/>
    <w:tmpl w:val="CF02226A"/>
    <w:lvl w:ilvl="0" w:tplc="63729CF4">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4" w15:restartNumberingAfterBreak="0">
    <w:nsid w:val="26857B65"/>
    <w:multiLevelType w:val="hybridMultilevel"/>
    <w:tmpl w:val="AE125E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790535"/>
    <w:multiLevelType w:val="hybridMultilevel"/>
    <w:tmpl w:val="AE1C1772"/>
    <w:lvl w:ilvl="0" w:tplc="ADE819A2">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6" w15:restartNumberingAfterBreak="0">
    <w:nsid w:val="2F5B644E"/>
    <w:multiLevelType w:val="hybridMultilevel"/>
    <w:tmpl w:val="91F6FA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71B35F4"/>
    <w:multiLevelType w:val="hybridMultilevel"/>
    <w:tmpl w:val="6C7AFEB8"/>
    <w:lvl w:ilvl="0" w:tplc="76D0A74A">
      <w:start w:val="10"/>
      <w:numFmt w:val="bullet"/>
      <w:lvlText w:val=""/>
      <w:lvlJc w:val="left"/>
      <w:pPr>
        <w:ind w:left="786" w:hanging="360"/>
      </w:pPr>
      <w:rPr>
        <w:rFonts w:ascii="Symbol" w:eastAsiaTheme="minorHAnsi"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8" w15:restartNumberingAfterBreak="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34448F7"/>
    <w:multiLevelType w:val="hybridMultilevel"/>
    <w:tmpl w:val="CF02226A"/>
    <w:lvl w:ilvl="0" w:tplc="63729CF4">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0" w15:restartNumberingAfterBreak="0">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1" w15:restartNumberingAfterBreak="0">
    <w:nsid w:val="4AF313D8"/>
    <w:multiLevelType w:val="hybridMultilevel"/>
    <w:tmpl w:val="982E88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0F6FAE"/>
    <w:multiLevelType w:val="multilevel"/>
    <w:tmpl w:val="D5FA7F4A"/>
    <w:lvl w:ilvl="0">
      <w:start w:val="1"/>
      <w:numFmt w:val="decimal"/>
      <w:pStyle w:val="Heading2"/>
      <w:lvlText w:val="%1."/>
      <w:lvlJc w:val="left"/>
      <w:pPr>
        <w:ind w:left="644"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53937A84"/>
    <w:multiLevelType w:val="hybridMultilevel"/>
    <w:tmpl w:val="DDC092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4476DB6"/>
    <w:multiLevelType w:val="hybridMultilevel"/>
    <w:tmpl w:val="3A567F0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5" w15:restartNumberingAfterBreak="0">
    <w:nsid w:val="549C1CB3"/>
    <w:multiLevelType w:val="hybridMultilevel"/>
    <w:tmpl w:val="4D4E3E7A"/>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6" w15:restartNumberingAfterBreak="0">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E7F71D0"/>
    <w:multiLevelType w:val="hybridMultilevel"/>
    <w:tmpl w:val="FEE40044"/>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30" w15:restartNumberingAfterBreak="0">
    <w:nsid w:val="6203673F"/>
    <w:multiLevelType w:val="hybridMultilevel"/>
    <w:tmpl w:val="90C8C3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9A4176F"/>
    <w:multiLevelType w:val="hybridMultilevel"/>
    <w:tmpl w:val="633ED97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4" w15:restartNumberingAfterBreak="0">
    <w:nsid w:val="6B765640"/>
    <w:multiLevelType w:val="hybridMultilevel"/>
    <w:tmpl w:val="AE1C1772"/>
    <w:lvl w:ilvl="0" w:tplc="ADE819A2">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5" w15:restartNumberingAfterBreak="0">
    <w:nsid w:val="6B8A51DF"/>
    <w:multiLevelType w:val="hybridMultilevel"/>
    <w:tmpl w:val="58E498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22D6DAA"/>
    <w:multiLevelType w:val="hybridMultilevel"/>
    <w:tmpl w:val="25E2967A"/>
    <w:lvl w:ilvl="0" w:tplc="5C1E6D9A">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num w:numId="1">
    <w:abstractNumId w:val="22"/>
  </w:num>
  <w:num w:numId="2">
    <w:abstractNumId w:val="8"/>
    <w:lvlOverride w:ilvl="0"/>
    <w:lvlOverride w:ilvl="1">
      <w:startOverride w:val="1"/>
    </w:lvlOverride>
    <w:lvlOverride w:ilvl="2"/>
    <w:lvlOverride w:ilvl="3"/>
    <w:lvlOverride w:ilvl="4"/>
    <w:lvlOverride w:ilvl="5"/>
    <w:lvlOverride w:ilvl="6"/>
    <w:lvlOverride w:ilvl="7"/>
    <w:lvlOverride w:ilvl="8"/>
  </w:num>
  <w:num w:numId="3">
    <w:abstractNumId w:val="17"/>
  </w:num>
  <w:num w:numId="4">
    <w:abstractNumId w:val="8"/>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3"/>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1"/>
  </w:num>
  <w:num w:numId="25">
    <w:abstractNumId w:val="31"/>
  </w:num>
  <w:num w:numId="26">
    <w:abstractNumId w:val="7"/>
  </w:num>
  <w:num w:numId="27">
    <w:abstractNumId w:val="26"/>
  </w:num>
  <w:num w:numId="28">
    <w:abstractNumId w:val="18"/>
  </w:num>
  <w:num w:numId="29">
    <w:abstractNumId w:val="32"/>
  </w:num>
  <w:num w:numId="30">
    <w:abstractNumId w:val="5"/>
  </w:num>
  <w:num w:numId="31">
    <w:abstractNumId w:val="28"/>
  </w:num>
  <w:num w:numId="32">
    <w:abstractNumId w:val="11"/>
  </w:num>
  <w:num w:numId="33">
    <w:abstractNumId w:val="27"/>
  </w:num>
  <w:num w:numId="34">
    <w:abstractNumId w:val="9"/>
  </w:num>
  <w:num w:numId="35">
    <w:abstractNumId w:val="20"/>
  </w:num>
  <w:num w:numId="36">
    <w:abstractNumId w:val="0"/>
  </w:num>
  <w:num w:numId="37">
    <w:abstractNumId w:val="24"/>
  </w:num>
  <w:num w:numId="38">
    <w:abstractNumId w:val="29"/>
  </w:num>
  <w:num w:numId="39">
    <w:abstractNumId w:val="15"/>
  </w:num>
  <w:num w:numId="40">
    <w:abstractNumId w:val="10"/>
  </w:num>
  <w:num w:numId="41">
    <w:abstractNumId w:val="14"/>
  </w:num>
  <w:num w:numId="42">
    <w:abstractNumId w:val="21"/>
  </w:num>
  <w:num w:numId="43">
    <w:abstractNumId w:val="34"/>
  </w:num>
  <w:num w:numId="44">
    <w:abstractNumId w:val="13"/>
  </w:num>
  <w:num w:numId="45">
    <w:abstractNumId w:val="3"/>
  </w:num>
  <w:num w:numId="46">
    <w:abstractNumId w:val="30"/>
  </w:num>
  <w:num w:numId="47">
    <w:abstractNumId w:val="2"/>
  </w:num>
  <w:num w:numId="48">
    <w:abstractNumId w:val="37"/>
  </w:num>
  <w:num w:numId="49">
    <w:abstractNumId w:val="19"/>
  </w:num>
  <w:num w:numId="50">
    <w:abstractNumId w:val="4"/>
  </w:num>
  <w:num w:numId="51">
    <w:abstractNumId w:val="35"/>
  </w:num>
  <w:num w:numId="52">
    <w:abstractNumId w:val="16"/>
  </w:num>
  <w:num w:numId="53">
    <w:abstractNumId w:val="33"/>
  </w:num>
  <w:num w:numId="54">
    <w:abstractNumId w:val="25"/>
  </w:num>
  <w:num w:numId="55">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AC5"/>
    <w:rsid w:val="00004DDF"/>
    <w:rsid w:val="00010AC9"/>
    <w:rsid w:val="000110DC"/>
    <w:rsid w:val="000158AA"/>
    <w:rsid w:val="000159B9"/>
    <w:rsid w:val="00016642"/>
    <w:rsid w:val="00016B6E"/>
    <w:rsid w:val="00023E21"/>
    <w:rsid w:val="00024974"/>
    <w:rsid w:val="00025ABC"/>
    <w:rsid w:val="00026412"/>
    <w:rsid w:val="00026D98"/>
    <w:rsid w:val="000307CD"/>
    <w:rsid w:val="00031F6F"/>
    <w:rsid w:val="00032815"/>
    <w:rsid w:val="00034D6E"/>
    <w:rsid w:val="0003557C"/>
    <w:rsid w:val="00035746"/>
    <w:rsid w:val="00041B4A"/>
    <w:rsid w:val="00042A15"/>
    <w:rsid w:val="00044B8B"/>
    <w:rsid w:val="0005089D"/>
    <w:rsid w:val="00052374"/>
    <w:rsid w:val="000525BC"/>
    <w:rsid w:val="00052897"/>
    <w:rsid w:val="00067B8D"/>
    <w:rsid w:val="00067EB2"/>
    <w:rsid w:val="0007162D"/>
    <w:rsid w:val="00073222"/>
    <w:rsid w:val="00075F5F"/>
    <w:rsid w:val="000770BA"/>
    <w:rsid w:val="00081AD7"/>
    <w:rsid w:val="00081FED"/>
    <w:rsid w:val="00082359"/>
    <w:rsid w:val="00082B20"/>
    <w:rsid w:val="00084269"/>
    <w:rsid w:val="000861AC"/>
    <w:rsid w:val="00092580"/>
    <w:rsid w:val="000955E7"/>
    <w:rsid w:val="000A110D"/>
    <w:rsid w:val="000A422E"/>
    <w:rsid w:val="000A478F"/>
    <w:rsid w:val="000A5B32"/>
    <w:rsid w:val="000B349C"/>
    <w:rsid w:val="000B3544"/>
    <w:rsid w:val="000B3CD0"/>
    <w:rsid w:val="000B6008"/>
    <w:rsid w:val="000B64A1"/>
    <w:rsid w:val="000D066E"/>
    <w:rsid w:val="000D067E"/>
    <w:rsid w:val="000D0831"/>
    <w:rsid w:val="000D162C"/>
    <w:rsid w:val="000D435B"/>
    <w:rsid w:val="000D6555"/>
    <w:rsid w:val="000D6761"/>
    <w:rsid w:val="000E1E1E"/>
    <w:rsid w:val="000E47E7"/>
    <w:rsid w:val="000E5439"/>
    <w:rsid w:val="000E638A"/>
    <w:rsid w:val="000E6692"/>
    <w:rsid w:val="000E736C"/>
    <w:rsid w:val="000E7B97"/>
    <w:rsid w:val="000F6724"/>
    <w:rsid w:val="00102686"/>
    <w:rsid w:val="00107223"/>
    <w:rsid w:val="00110096"/>
    <w:rsid w:val="0011036E"/>
    <w:rsid w:val="001130B0"/>
    <w:rsid w:val="0011369B"/>
    <w:rsid w:val="001167D1"/>
    <w:rsid w:val="0011742E"/>
    <w:rsid w:val="00122C51"/>
    <w:rsid w:val="00123316"/>
    <w:rsid w:val="00123D10"/>
    <w:rsid w:val="00124D49"/>
    <w:rsid w:val="00125314"/>
    <w:rsid w:val="00125663"/>
    <w:rsid w:val="00126B33"/>
    <w:rsid w:val="001314FF"/>
    <w:rsid w:val="001321FC"/>
    <w:rsid w:val="00132C3C"/>
    <w:rsid w:val="00134EA2"/>
    <w:rsid w:val="00134F1C"/>
    <w:rsid w:val="001354C4"/>
    <w:rsid w:val="00137061"/>
    <w:rsid w:val="00137716"/>
    <w:rsid w:val="001428A4"/>
    <w:rsid w:val="00144D0E"/>
    <w:rsid w:val="00154B00"/>
    <w:rsid w:val="001617FC"/>
    <w:rsid w:val="001644E9"/>
    <w:rsid w:val="0016658A"/>
    <w:rsid w:val="0017046F"/>
    <w:rsid w:val="00172B42"/>
    <w:rsid w:val="00177494"/>
    <w:rsid w:val="001845D9"/>
    <w:rsid w:val="0018630F"/>
    <w:rsid w:val="001906CD"/>
    <w:rsid w:val="00191B99"/>
    <w:rsid w:val="00194D39"/>
    <w:rsid w:val="0019694B"/>
    <w:rsid w:val="00197D29"/>
    <w:rsid w:val="001A02E3"/>
    <w:rsid w:val="001A1ADF"/>
    <w:rsid w:val="001A365C"/>
    <w:rsid w:val="001B171D"/>
    <w:rsid w:val="001B29A1"/>
    <w:rsid w:val="001B4CDC"/>
    <w:rsid w:val="001B5169"/>
    <w:rsid w:val="001B58EE"/>
    <w:rsid w:val="001B6164"/>
    <w:rsid w:val="001C0F94"/>
    <w:rsid w:val="001C3F4A"/>
    <w:rsid w:val="001D2BA2"/>
    <w:rsid w:val="001D77ED"/>
    <w:rsid w:val="001E1180"/>
    <w:rsid w:val="001E23EA"/>
    <w:rsid w:val="001E29C4"/>
    <w:rsid w:val="001E6919"/>
    <w:rsid w:val="001E6958"/>
    <w:rsid w:val="001F3500"/>
    <w:rsid w:val="001F5E4D"/>
    <w:rsid w:val="001F60A5"/>
    <w:rsid w:val="00201924"/>
    <w:rsid w:val="00202473"/>
    <w:rsid w:val="00204635"/>
    <w:rsid w:val="002053F2"/>
    <w:rsid w:val="00206754"/>
    <w:rsid w:val="00206D63"/>
    <w:rsid w:val="002078F2"/>
    <w:rsid w:val="002111A0"/>
    <w:rsid w:val="0021185D"/>
    <w:rsid w:val="0022416C"/>
    <w:rsid w:val="00225FCA"/>
    <w:rsid w:val="00226777"/>
    <w:rsid w:val="00226955"/>
    <w:rsid w:val="002345C3"/>
    <w:rsid w:val="0023579D"/>
    <w:rsid w:val="00235BD1"/>
    <w:rsid w:val="00241097"/>
    <w:rsid w:val="00242B0E"/>
    <w:rsid w:val="002454EE"/>
    <w:rsid w:val="0024556F"/>
    <w:rsid w:val="00245DF0"/>
    <w:rsid w:val="00247DF0"/>
    <w:rsid w:val="00254813"/>
    <w:rsid w:val="00257EF3"/>
    <w:rsid w:val="00257FF2"/>
    <w:rsid w:val="002626E0"/>
    <w:rsid w:val="00262956"/>
    <w:rsid w:val="00263629"/>
    <w:rsid w:val="00265822"/>
    <w:rsid w:val="00266DF0"/>
    <w:rsid w:val="0027105F"/>
    <w:rsid w:val="002711FB"/>
    <w:rsid w:val="00282BE8"/>
    <w:rsid w:val="00283305"/>
    <w:rsid w:val="00283318"/>
    <w:rsid w:val="0028354F"/>
    <w:rsid w:val="0028389E"/>
    <w:rsid w:val="00285525"/>
    <w:rsid w:val="00290E4E"/>
    <w:rsid w:val="00292EFB"/>
    <w:rsid w:val="00294CD8"/>
    <w:rsid w:val="002979A4"/>
    <w:rsid w:val="002A21D3"/>
    <w:rsid w:val="002A270B"/>
    <w:rsid w:val="002A359B"/>
    <w:rsid w:val="002A407F"/>
    <w:rsid w:val="002A50FD"/>
    <w:rsid w:val="002A6753"/>
    <w:rsid w:val="002B28D7"/>
    <w:rsid w:val="002B49C8"/>
    <w:rsid w:val="002B7359"/>
    <w:rsid w:val="002B7D19"/>
    <w:rsid w:val="002B7EB6"/>
    <w:rsid w:val="002C0B61"/>
    <w:rsid w:val="002C0E6B"/>
    <w:rsid w:val="002C1550"/>
    <w:rsid w:val="002C15E6"/>
    <w:rsid w:val="002C247D"/>
    <w:rsid w:val="002C3345"/>
    <w:rsid w:val="002D1D54"/>
    <w:rsid w:val="002D39F9"/>
    <w:rsid w:val="002D409A"/>
    <w:rsid w:val="002D6BDB"/>
    <w:rsid w:val="002E0006"/>
    <w:rsid w:val="002E5809"/>
    <w:rsid w:val="002F16E2"/>
    <w:rsid w:val="002F30E7"/>
    <w:rsid w:val="002F37D8"/>
    <w:rsid w:val="002F40FA"/>
    <w:rsid w:val="002F497B"/>
    <w:rsid w:val="002F6809"/>
    <w:rsid w:val="00300EEB"/>
    <w:rsid w:val="003013A9"/>
    <w:rsid w:val="0030167D"/>
    <w:rsid w:val="00301958"/>
    <w:rsid w:val="00301E26"/>
    <w:rsid w:val="003020B5"/>
    <w:rsid w:val="00302701"/>
    <w:rsid w:val="003027BB"/>
    <w:rsid w:val="0030342F"/>
    <w:rsid w:val="00304C0F"/>
    <w:rsid w:val="00310A10"/>
    <w:rsid w:val="003118B8"/>
    <w:rsid w:val="00312D17"/>
    <w:rsid w:val="0032094D"/>
    <w:rsid w:val="00320E7A"/>
    <w:rsid w:val="00322BE7"/>
    <w:rsid w:val="003232AA"/>
    <w:rsid w:val="00324065"/>
    <w:rsid w:val="003244ED"/>
    <w:rsid w:val="00325F36"/>
    <w:rsid w:val="00327D25"/>
    <w:rsid w:val="003319A7"/>
    <w:rsid w:val="00333ABE"/>
    <w:rsid w:val="00334FE3"/>
    <w:rsid w:val="003352E9"/>
    <w:rsid w:val="0034218E"/>
    <w:rsid w:val="003421AE"/>
    <w:rsid w:val="003433D1"/>
    <w:rsid w:val="003435DD"/>
    <w:rsid w:val="00344B24"/>
    <w:rsid w:val="00344F18"/>
    <w:rsid w:val="003456B9"/>
    <w:rsid w:val="00347D46"/>
    <w:rsid w:val="0035067D"/>
    <w:rsid w:val="003531EA"/>
    <w:rsid w:val="00353A16"/>
    <w:rsid w:val="003541B8"/>
    <w:rsid w:val="0035776D"/>
    <w:rsid w:val="003647C8"/>
    <w:rsid w:val="00364B81"/>
    <w:rsid w:val="00364FD9"/>
    <w:rsid w:val="00366721"/>
    <w:rsid w:val="00367AAE"/>
    <w:rsid w:val="00367C1B"/>
    <w:rsid w:val="003721F0"/>
    <w:rsid w:val="00373B56"/>
    <w:rsid w:val="00376B61"/>
    <w:rsid w:val="00380DAA"/>
    <w:rsid w:val="00382407"/>
    <w:rsid w:val="003863A3"/>
    <w:rsid w:val="00386A64"/>
    <w:rsid w:val="00386FA1"/>
    <w:rsid w:val="00390142"/>
    <w:rsid w:val="003902B5"/>
    <w:rsid w:val="003904AC"/>
    <w:rsid w:val="00392F00"/>
    <w:rsid w:val="00397377"/>
    <w:rsid w:val="0039797F"/>
    <w:rsid w:val="003A22DE"/>
    <w:rsid w:val="003A2860"/>
    <w:rsid w:val="003A3C35"/>
    <w:rsid w:val="003A48CF"/>
    <w:rsid w:val="003A5748"/>
    <w:rsid w:val="003A7D30"/>
    <w:rsid w:val="003B09D3"/>
    <w:rsid w:val="003B26B7"/>
    <w:rsid w:val="003B3C5C"/>
    <w:rsid w:val="003C0478"/>
    <w:rsid w:val="003C22CE"/>
    <w:rsid w:val="003C273D"/>
    <w:rsid w:val="003C47CA"/>
    <w:rsid w:val="003D202B"/>
    <w:rsid w:val="003D31D5"/>
    <w:rsid w:val="003D53F2"/>
    <w:rsid w:val="003D6DE1"/>
    <w:rsid w:val="003D7521"/>
    <w:rsid w:val="003D7578"/>
    <w:rsid w:val="003D795C"/>
    <w:rsid w:val="003D7A23"/>
    <w:rsid w:val="003E0F29"/>
    <w:rsid w:val="003E1778"/>
    <w:rsid w:val="003E30FB"/>
    <w:rsid w:val="003E35AC"/>
    <w:rsid w:val="003F26D0"/>
    <w:rsid w:val="003F2711"/>
    <w:rsid w:val="003F6C70"/>
    <w:rsid w:val="003F7CB9"/>
    <w:rsid w:val="00401480"/>
    <w:rsid w:val="00403333"/>
    <w:rsid w:val="0040743E"/>
    <w:rsid w:val="00407C9B"/>
    <w:rsid w:val="00411735"/>
    <w:rsid w:val="00412187"/>
    <w:rsid w:val="00412F67"/>
    <w:rsid w:val="00415C74"/>
    <w:rsid w:val="004201E9"/>
    <w:rsid w:val="00422141"/>
    <w:rsid w:val="00422D62"/>
    <w:rsid w:val="004270ED"/>
    <w:rsid w:val="00430FC2"/>
    <w:rsid w:val="0043654D"/>
    <w:rsid w:val="00437F60"/>
    <w:rsid w:val="00443392"/>
    <w:rsid w:val="004467BD"/>
    <w:rsid w:val="00451840"/>
    <w:rsid w:val="0046009E"/>
    <w:rsid w:val="00460C9A"/>
    <w:rsid w:val="004628E8"/>
    <w:rsid w:val="0046298F"/>
    <w:rsid w:val="00464924"/>
    <w:rsid w:val="00470C57"/>
    <w:rsid w:val="00471258"/>
    <w:rsid w:val="004730D5"/>
    <w:rsid w:val="004734F8"/>
    <w:rsid w:val="0047581D"/>
    <w:rsid w:val="00477857"/>
    <w:rsid w:val="00480152"/>
    <w:rsid w:val="00480289"/>
    <w:rsid w:val="004803A1"/>
    <w:rsid w:val="00480827"/>
    <w:rsid w:val="00481279"/>
    <w:rsid w:val="00481A33"/>
    <w:rsid w:val="00483076"/>
    <w:rsid w:val="00483368"/>
    <w:rsid w:val="00486777"/>
    <w:rsid w:val="00493ADA"/>
    <w:rsid w:val="00494011"/>
    <w:rsid w:val="004A0BF4"/>
    <w:rsid w:val="004A2118"/>
    <w:rsid w:val="004A263B"/>
    <w:rsid w:val="004A648F"/>
    <w:rsid w:val="004B24AD"/>
    <w:rsid w:val="004B2B7C"/>
    <w:rsid w:val="004B68AE"/>
    <w:rsid w:val="004B6B51"/>
    <w:rsid w:val="004C002F"/>
    <w:rsid w:val="004C09CD"/>
    <w:rsid w:val="004C327D"/>
    <w:rsid w:val="004C35B0"/>
    <w:rsid w:val="004C49EF"/>
    <w:rsid w:val="004C4A19"/>
    <w:rsid w:val="004C5570"/>
    <w:rsid w:val="004C66CA"/>
    <w:rsid w:val="004D00C9"/>
    <w:rsid w:val="004D1D29"/>
    <w:rsid w:val="004D4247"/>
    <w:rsid w:val="004D54E0"/>
    <w:rsid w:val="004D6C3C"/>
    <w:rsid w:val="004E16F5"/>
    <w:rsid w:val="004E2138"/>
    <w:rsid w:val="004E3CC7"/>
    <w:rsid w:val="004E4228"/>
    <w:rsid w:val="004E5B69"/>
    <w:rsid w:val="004F2A87"/>
    <w:rsid w:val="00500B75"/>
    <w:rsid w:val="005071DC"/>
    <w:rsid w:val="00507C56"/>
    <w:rsid w:val="00512E3A"/>
    <w:rsid w:val="00512EA1"/>
    <w:rsid w:val="00515AD9"/>
    <w:rsid w:val="0052171F"/>
    <w:rsid w:val="0052344E"/>
    <w:rsid w:val="00524706"/>
    <w:rsid w:val="00526478"/>
    <w:rsid w:val="005278B1"/>
    <w:rsid w:val="00530204"/>
    <w:rsid w:val="00532268"/>
    <w:rsid w:val="00533520"/>
    <w:rsid w:val="00534C5F"/>
    <w:rsid w:val="00540257"/>
    <w:rsid w:val="005413E9"/>
    <w:rsid w:val="0054192F"/>
    <w:rsid w:val="00543D29"/>
    <w:rsid w:val="00544906"/>
    <w:rsid w:val="00544EB3"/>
    <w:rsid w:val="0054594B"/>
    <w:rsid w:val="0054749B"/>
    <w:rsid w:val="00550F3C"/>
    <w:rsid w:val="00551CC6"/>
    <w:rsid w:val="00554E7A"/>
    <w:rsid w:val="00556FFF"/>
    <w:rsid w:val="0056015F"/>
    <w:rsid w:val="00560541"/>
    <w:rsid w:val="005651FA"/>
    <w:rsid w:val="005672D0"/>
    <w:rsid w:val="005725DB"/>
    <w:rsid w:val="005729F8"/>
    <w:rsid w:val="00572CEB"/>
    <w:rsid w:val="00573ADC"/>
    <w:rsid w:val="00573C1A"/>
    <w:rsid w:val="00575D2C"/>
    <w:rsid w:val="00577575"/>
    <w:rsid w:val="00581BEB"/>
    <w:rsid w:val="005834C9"/>
    <w:rsid w:val="00583710"/>
    <w:rsid w:val="00587D63"/>
    <w:rsid w:val="005945C0"/>
    <w:rsid w:val="00595384"/>
    <w:rsid w:val="005A18AF"/>
    <w:rsid w:val="005A58BA"/>
    <w:rsid w:val="005A5D30"/>
    <w:rsid w:val="005A6AB9"/>
    <w:rsid w:val="005A7A9A"/>
    <w:rsid w:val="005B1273"/>
    <w:rsid w:val="005C08B8"/>
    <w:rsid w:val="005C0BA7"/>
    <w:rsid w:val="005C13C1"/>
    <w:rsid w:val="005C333E"/>
    <w:rsid w:val="005C3AE7"/>
    <w:rsid w:val="005C4C80"/>
    <w:rsid w:val="005C566B"/>
    <w:rsid w:val="005C7CC6"/>
    <w:rsid w:val="005D0677"/>
    <w:rsid w:val="005D2B20"/>
    <w:rsid w:val="005E02A7"/>
    <w:rsid w:val="005E1C9E"/>
    <w:rsid w:val="005E294C"/>
    <w:rsid w:val="005E2CE3"/>
    <w:rsid w:val="005E3218"/>
    <w:rsid w:val="005E66DE"/>
    <w:rsid w:val="005F3F07"/>
    <w:rsid w:val="00602B49"/>
    <w:rsid w:val="00603625"/>
    <w:rsid w:val="00603D04"/>
    <w:rsid w:val="00604535"/>
    <w:rsid w:val="00604D54"/>
    <w:rsid w:val="00604FC5"/>
    <w:rsid w:val="00606857"/>
    <w:rsid w:val="00607381"/>
    <w:rsid w:val="00610A5D"/>
    <w:rsid w:val="00615F42"/>
    <w:rsid w:val="00616EDD"/>
    <w:rsid w:val="0062068E"/>
    <w:rsid w:val="006243A2"/>
    <w:rsid w:val="00624BF0"/>
    <w:rsid w:val="00625554"/>
    <w:rsid w:val="006258C2"/>
    <w:rsid w:val="00626365"/>
    <w:rsid w:val="00626C0A"/>
    <w:rsid w:val="00630088"/>
    <w:rsid w:val="00630E22"/>
    <w:rsid w:val="00632D48"/>
    <w:rsid w:val="0064168C"/>
    <w:rsid w:val="00644BA8"/>
    <w:rsid w:val="00651851"/>
    <w:rsid w:val="0065186A"/>
    <w:rsid w:val="006544C2"/>
    <w:rsid w:val="006548B7"/>
    <w:rsid w:val="006575A7"/>
    <w:rsid w:val="00657B46"/>
    <w:rsid w:val="00661B60"/>
    <w:rsid w:val="0066428B"/>
    <w:rsid w:val="006658A6"/>
    <w:rsid w:val="006673A8"/>
    <w:rsid w:val="006764EC"/>
    <w:rsid w:val="00681F2F"/>
    <w:rsid w:val="006835FE"/>
    <w:rsid w:val="006838CD"/>
    <w:rsid w:val="0068662E"/>
    <w:rsid w:val="00692B2D"/>
    <w:rsid w:val="00693BFD"/>
    <w:rsid w:val="00695065"/>
    <w:rsid w:val="00695A95"/>
    <w:rsid w:val="006A1038"/>
    <w:rsid w:val="006A3DE7"/>
    <w:rsid w:val="006A5577"/>
    <w:rsid w:val="006A5A71"/>
    <w:rsid w:val="006A649A"/>
    <w:rsid w:val="006B11B8"/>
    <w:rsid w:val="006B1B49"/>
    <w:rsid w:val="006B2CA4"/>
    <w:rsid w:val="006B4234"/>
    <w:rsid w:val="006B5BBB"/>
    <w:rsid w:val="006B6390"/>
    <w:rsid w:val="006C0356"/>
    <w:rsid w:val="006C0843"/>
    <w:rsid w:val="006C20C7"/>
    <w:rsid w:val="006C74B1"/>
    <w:rsid w:val="006C78AD"/>
    <w:rsid w:val="006D023D"/>
    <w:rsid w:val="006D0FC4"/>
    <w:rsid w:val="006D49CB"/>
    <w:rsid w:val="006D7778"/>
    <w:rsid w:val="006D7905"/>
    <w:rsid w:val="006E0E02"/>
    <w:rsid w:val="006E57AA"/>
    <w:rsid w:val="006F20CF"/>
    <w:rsid w:val="006F38ED"/>
    <w:rsid w:val="006F4F3A"/>
    <w:rsid w:val="006F4FC9"/>
    <w:rsid w:val="00707D4D"/>
    <w:rsid w:val="00714A40"/>
    <w:rsid w:val="007152FB"/>
    <w:rsid w:val="00723446"/>
    <w:rsid w:val="00723503"/>
    <w:rsid w:val="007237AD"/>
    <w:rsid w:val="0072531D"/>
    <w:rsid w:val="007260BA"/>
    <w:rsid w:val="007269D2"/>
    <w:rsid w:val="00730C04"/>
    <w:rsid w:val="00731C3B"/>
    <w:rsid w:val="0073597B"/>
    <w:rsid w:val="00735BF2"/>
    <w:rsid w:val="00736C80"/>
    <w:rsid w:val="007378F6"/>
    <w:rsid w:val="00740607"/>
    <w:rsid w:val="0074246E"/>
    <w:rsid w:val="00742473"/>
    <w:rsid w:val="00744823"/>
    <w:rsid w:val="007451EE"/>
    <w:rsid w:val="0074545D"/>
    <w:rsid w:val="00750150"/>
    <w:rsid w:val="00750EC4"/>
    <w:rsid w:val="00751BD2"/>
    <w:rsid w:val="007522E3"/>
    <w:rsid w:val="0075335B"/>
    <w:rsid w:val="00753C44"/>
    <w:rsid w:val="00754383"/>
    <w:rsid w:val="007564D1"/>
    <w:rsid w:val="00757232"/>
    <w:rsid w:val="00760679"/>
    <w:rsid w:val="007611B6"/>
    <w:rsid w:val="0076135E"/>
    <w:rsid w:val="00762161"/>
    <w:rsid w:val="007625F7"/>
    <w:rsid w:val="00763628"/>
    <w:rsid w:val="007678C1"/>
    <w:rsid w:val="00767E99"/>
    <w:rsid w:val="0077063F"/>
    <w:rsid w:val="00771125"/>
    <w:rsid w:val="007725B5"/>
    <w:rsid w:val="00772E62"/>
    <w:rsid w:val="00773A50"/>
    <w:rsid w:val="00775A6A"/>
    <w:rsid w:val="0077789B"/>
    <w:rsid w:val="00780D29"/>
    <w:rsid w:val="007818BA"/>
    <w:rsid w:val="00782588"/>
    <w:rsid w:val="00782956"/>
    <w:rsid w:val="00783644"/>
    <w:rsid w:val="00791C8D"/>
    <w:rsid w:val="0079354C"/>
    <w:rsid w:val="00794181"/>
    <w:rsid w:val="007941CC"/>
    <w:rsid w:val="0079498A"/>
    <w:rsid w:val="00796693"/>
    <w:rsid w:val="007A7F6F"/>
    <w:rsid w:val="007B28F4"/>
    <w:rsid w:val="007B4964"/>
    <w:rsid w:val="007B4C76"/>
    <w:rsid w:val="007B4E73"/>
    <w:rsid w:val="007B529D"/>
    <w:rsid w:val="007C2260"/>
    <w:rsid w:val="007C2D17"/>
    <w:rsid w:val="007D10CD"/>
    <w:rsid w:val="007D1E52"/>
    <w:rsid w:val="007D2358"/>
    <w:rsid w:val="007E369D"/>
    <w:rsid w:val="007E370A"/>
    <w:rsid w:val="007E39E4"/>
    <w:rsid w:val="007E6B64"/>
    <w:rsid w:val="007E6FB3"/>
    <w:rsid w:val="007F0ADB"/>
    <w:rsid w:val="007F17FF"/>
    <w:rsid w:val="007F21B4"/>
    <w:rsid w:val="007F2E3C"/>
    <w:rsid w:val="007F2EAD"/>
    <w:rsid w:val="007F485E"/>
    <w:rsid w:val="007F5ACE"/>
    <w:rsid w:val="007F5F1F"/>
    <w:rsid w:val="007F769E"/>
    <w:rsid w:val="00802553"/>
    <w:rsid w:val="008038EF"/>
    <w:rsid w:val="00803EAB"/>
    <w:rsid w:val="008046B5"/>
    <w:rsid w:val="00805BC7"/>
    <w:rsid w:val="00806E40"/>
    <w:rsid w:val="00810224"/>
    <w:rsid w:val="008127C0"/>
    <w:rsid w:val="00812EDD"/>
    <w:rsid w:val="008139C5"/>
    <w:rsid w:val="00815BF6"/>
    <w:rsid w:val="0081650F"/>
    <w:rsid w:val="0081737E"/>
    <w:rsid w:val="00820F20"/>
    <w:rsid w:val="00822022"/>
    <w:rsid w:val="00827B2A"/>
    <w:rsid w:val="00832B31"/>
    <w:rsid w:val="00832EC4"/>
    <w:rsid w:val="008403E0"/>
    <w:rsid w:val="0084060B"/>
    <w:rsid w:val="00841B90"/>
    <w:rsid w:val="0084657B"/>
    <w:rsid w:val="008518A6"/>
    <w:rsid w:val="00855944"/>
    <w:rsid w:val="0085757B"/>
    <w:rsid w:val="00864A18"/>
    <w:rsid w:val="00864ADB"/>
    <w:rsid w:val="008661EB"/>
    <w:rsid w:val="008670D1"/>
    <w:rsid w:val="00870833"/>
    <w:rsid w:val="00871662"/>
    <w:rsid w:val="00871CAF"/>
    <w:rsid w:val="00874571"/>
    <w:rsid w:val="00874781"/>
    <w:rsid w:val="00876F12"/>
    <w:rsid w:val="00881F93"/>
    <w:rsid w:val="00882CB5"/>
    <w:rsid w:val="00883641"/>
    <w:rsid w:val="00884E69"/>
    <w:rsid w:val="00890082"/>
    <w:rsid w:val="00890CA9"/>
    <w:rsid w:val="00893659"/>
    <w:rsid w:val="00893B52"/>
    <w:rsid w:val="00895AE2"/>
    <w:rsid w:val="008A2246"/>
    <w:rsid w:val="008A3C2A"/>
    <w:rsid w:val="008A48D2"/>
    <w:rsid w:val="008A7423"/>
    <w:rsid w:val="008B05C9"/>
    <w:rsid w:val="008B0BD1"/>
    <w:rsid w:val="008B19F2"/>
    <w:rsid w:val="008B2610"/>
    <w:rsid w:val="008B33D5"/>
    <w:rsid w:val="008B471D"/>
    <w:rsid w:val="008B49E4"/>
    <w:rsid w:val="008B622C"/>
    <w:rsid w:val="008B729C"/>
    <w:rsid w:val="008C051C"/>
    <w:rsid w:val="008C4A93"/>
    <w:rsid w:val="008E0E49"/>
    <w:rsid w:val="008E35FD"/>
    <w:rsid w:val="008E5E8B"/>
    <w:rsid w:val="008E6227"/>
    <w:rsid w:val="008E6C5F"/>
    <w:rsid w:val="008E6F17"/>
    <w:rsid w:val="008E78B9"/>
    <w:rsid w:val="008F3471"/>
    <w:rsid w:val="008F5AD2"/>
    <w:rsid w:val="008F6055"/>
    <w:rsid w:val="008F62CB"/>
    <w:rsid w:val="00900381"/>
    <w:rsid w:val="00900ED6"/>
    <w:rsid w:val="00901F1C"/>
    <w:rsid w:val="00901F57"/>
    <w:rsid w:val="00903338"/>
    <w:rsid w:val="00904383"/>
    <w:rsid w:val="0090543D"/>
    <w:rsid w:val="009056C5"/>
    <w:rsid w:val="009056E2"/>
    <w:rsid w:val="009103A4"/>
    <w:rsid w:val="00910CFD"/>
    <w:rsid w:val="009168EE"/>
    <w:rsid w:val="00917DED"/>
    <w:rsid w:val="00922964"/>
    <w:rsid w:val="00922F8A"/>
    <w:rsid w:val="009237F1"/>
    <w:rsid w:val="009262F2"/>
    <w:rsid w:val="009269F9"/>
    <w:rsid w:val="009325B3"/>
    <w:rsid w:val="00937791"/>
    <w:rsid w:val="0094322D"/>
    <w:rsid w:val="00943B21"/>
    <w:rsid w:val="00943FDD"/>
    <w:rsid w:val="00945AE4"/>
    <w:rsid w:val="00950477"/>
    <w:rsid w:val="00951933"/>
    <w:rsid w:val="00954343"/>
    <w:rsid w:val="00954A1A"/>
    <w:rsid w:val="00955271"/>
    <w:rsid w:val="00962F8E"/>
    <w:rsid w:val="00963C9C"/>
    <w:rsid w:val="00965B6B"/>
    <w:rsid w:val="00967F30"/>
    <w:rsid w:val="009711F8"/>
    <w:rsid w:val="00971EDB"/>
    <w:rsid w:val="00972FEB"/>
    <w:rsid w:val="009740CD"/>
    <w:rsid w:val="00974D50"/>
    <w:rsid w:val="00975B7F"/>
    <w:rsid w:val="00981539"/>
    <w:rsid w:val="0098204A"/>
    <w:rsid w:val="00984D1C"/>
    <w:rsid w:val="00987ABE"/>
    <w:rsid w:val="00991EE4"/>
    <w:rsid w:val="009939DC"/>
    <w:rsid w:val="00993B9C"/>
    <w:rsid w:val="009960A0"/>
    <w:rsid w:val="009A5A80"/>
    <w:rsid w:val="009B1A56"/>
    <w:rsid w:val="009B1B0E"/>
    <w:rsid w:val="009B35A3"/>
    <w:rsid w:val="009B4E1E"/>
    <w:rsid w:val="009B65DC"/>
    <w:rsid w:val="009C03FB"/>
    <w:rsid w:val="009C2430"/>
    <w:rsid w:val="009C4B4F"/>
    <w:rsid w:val="009E4351"/>
    <w:rsid w:val="009E6E26"/>
    <w:rsid w:val="009F00B1"/>
    <w:rsid w:val="009F0C02"/>
    <w:rsid w:val="009F27B7"/>
    <w:rsid w:val="009F5758"/>
    <w:rsid w:val="009F6378"/>
    <w:rsid w:val="009F6FF0"/>
    <w:rsid w:val="00A00642"/>
    <w:rsid w:val="00A0283F"/>
    <w:rsid w:val="00A04F4A"/>
    <w:rsid w:val="00A07E5C"/>
    <w:rsid w:val="00A10B45"/>
    <w:rsid w:val="00A1182C"/>
    <w:rsid w:val="00A241A8"/>
    <w:rsid w:val="00A26343"/>
    <w:rsid w:val="00A3017A"/>
    <w:rsid w:val="00A35C9E"/>
    <w:rsid w:val="00A408B5"/>
    <w:rsid w:val="00A416D8"/>
    <w:rsid w:val="00A501C3"/>
    <w:rsid w:val="00A529E2"/>
    <w:rsid w:val="00A532E7"/>
    <w:rsid w:val="00A53986"/>
    <w:rsid w:val="00A539F8"/>
    <w:rsid w:val="00A55462"/>
    <w:rsid w:val="00A642CB"/>
    <w:rsid w:val="00A6491A"/>
    <w:rsid w:val="00A6594E"/>
    <w:rsid w:val="00A66248"/>
    <w:rsid w:val="00A67593"/>
    <w:rsid w:val="00A727B6"/>
    <w:rsid w:val="00A74DDD"/>
    <w:rsid w:val="00A74EF8"/>
    <w:rsid w:val="00A7520E"/>
    <w:rsid w:val="00A81CC6"/>
    <w:rsid w:val="00A81F44"/>
    <w:rsid w:val="00A82D25"/>
    <w:rsid w:val="00A83EC6"/>
    <w:rsid w:val="00A84819"/>
    <w:rsid w:val="00A853F7"/>
    <w:rsid w:val="00A8732C"/>
    <w:rsid w:val="00A9062D"/>
    <w:rsid w:val="00A93F58"/>
    <w:rsid w:val="00A96329"/>
    <w:rsid w:val="00AA134B"/>
    <w:rsid w:val="00AA217E"/>
    <w:rsid w:val="00AA2CFE"/>
    <w:rsid w:val="00AA5FDA"/>
    <w:rsid w:val="00AA5FF4"/>
    <w:rsid w:val="00AA6291"/>
    <w:rsid w:val="00AC0760"/>
    <w:rsid w:val="00AC0C91"/>
    <w:rsid w:val="00AC2B9B"/>
    <w:rsid w:val="00AC784D"/>
    <w:rsid w:val="00AD37D4"/>
    <w:rsid w:val="00AD602C"/>
    <w:rsid w:val="00AD750B"/>
    <w:rsid w:val="00AD7986"/>
    <w:rsid w:val="00AE1188"/>
    <w:rsid w:val="00AE738C"/>
    <w:rsid w:val="00AF0F36"/>
    <w:rsid w:val="00AF1046"/>
    <w:rsid w:val="00AF2669"/>
    <w:rsid w:val="00AF32C8"/>
    <w:rsid w:val="00AF4466"/>
    <w:rsid w:val="00AF5D1E"/>
    <w:rsid w:val="00AF7F8E"/>
    <w:rsid w:val="00B040A9"/>
    <w:rsid w:val="00B057A1"/>
    <w:rsid w:val="00B13626"/>
    <w:rsid w:val="00B1411C"/>
    <w:rsid w:val="00B1695D"/>
    <w:rsid w:val="00B1711E"/>
    <w:rsid w:val="00B17CBE"/>
    <w:rsid w:val="00B17E26"/>
    <w:rsid w:val="00B20E39"/>
    <w:rsid w:val="00B21426"/>
    <w:rsid w:val="00B21B05"/>
    <w:rsid w:val="00B22079"/>
    <w:rsid w:val="00B22E3D"/>
    <w:rsid w:val="00B231A4"/>
    <w:rsid w:val="00B231D2"/>
    <w:rsid w:val="00B236A8"/>
    <w:rsid w:val="00B23E2B"/>
    <w:rsid w:val="00B25D20"/>
    <w:rsid w:val="00B27007"/>
    <w:rsid w:val="00B30AF2"/>
    <w:rsid w:val="00B31C99"/>
    <w:rsid w:val="00B3255A"/>
    <w:rsid w:val="00B40B67"/>
    <w:rsid w:val="00B426C8"/>
    <w:rsid w:val="00B46E55"/>
    <w:rsid w:val="00B50CC4"/>
    <w:rsid w:val="00B51EEE"/>
    <w:rsid w:val="00B53BA6"/>
    <w:rsid w:val="00B55CED"/>
    <w:rsid w:val="00B5731D"/>
    <w:rsid w:val="00B6378B"/>
    <w:rsid w:val="00B63E3A"/>
    <w:rsid w:val="00B64E3A"/>
    <w:rsid w:val="00B73858"/>
    <w:rsid w:val="00B7460E"/>
    <w:rsid w:val="00B75965"/>
    <w:rsid w:val="00B771AD"/>
    <w:rsid w:val="00B814CB"/>
    <w:rsid w:val="00B92B7F"/>
    <w:rsid w:val="00B92CF6"/>
    <w:rsid w:val="00B9365B"/>
    <w:rsid w:val="00B938CD"/>
    <w:rsid w:val="00B94380"/>
    <w:rsid w:val="00B962CB"/>
    <w:rsid w:val="00B96BEF"/>
    <w:rsid w:val="00BA0CF8"/>
    <w:rsid w:val="00BA1ADF"/>
    <w:rsid w:val="00BA4321"/>
    <w:rsid w:val="00BA51FC"/>
    <w:rsid w:val="00BA5A3C"/>
    <w:rsid w:val="00BB003A"/>
    <w:rsid w:val="00BB3185"/>
    <w:rsid w:val="00BB3358"/>
    <w:rsid w:val="00BB3382"/>
    <w:rsid w:val="00BB3643"/>
    <w:rsid w:val="00BB554E"/>
    <w:rsid w:val="00BB6280"/>
    <w:rsid w:val="00BC17FB"/>
    <w:rsid w:val="00BC1B4D"/>
    <w:rsid w:val="00BC1E0A"/>
    <w:rsid w:val="00BC2BE7"/>
    <w:rsid w:val="00BC3610"/>
    <w:rsid w:val="00BC3DA0"/>
    <w:rsid w:val="00BC424B"/>
    <w:rsid w:val="00BD1960"/>
    <w:rsid w:val="00BD5EF8"/>
    <w:rsid w:val="00BE0FDE"/>
    <w:rsid w:val="00BE2E82"/>
    <w:rsid w:val="00BE34EF"/>
    <w:rsid w:val="00BE36C2"/>
    <w:rsid w:val="00BE5E47"/>
    <w:rsid w:val="00BF44A1"/>
    <w:rsid w:val="00BF526F"/>
    <w:rsid w:val="00BF6AC5"/>
    <w:rsid w:val="00BF7CA7"/>
    <w:rsid w:val="00C01121"/>
    <w:rsid w:val="00C02C42"/>
    <w:rsid w:val="00C030A5"/>
    <w:rsid w:val="00C05A45"/>
    <w:rsid w:val="00C06193"/>
    <w:rsid w:val="00C0796F"/>
    <w:rsid w:val="00C11B34"/>
    <w:rsid w:val="00C122C7"/>
    <w:rsid w:val="00C12C5C"/>
    <w:rsid w:val="00C13145"/>
    <w:rsid w:val="00C13D17"/>
    <w:rsid w:val="00C171FB"/>
    <w:rsid w:val="00C17B59"/>
    <w:rsid w:val="00C209C2"/>
    <w:rsid w:val="00C2267F"/>
    <w:rsid w:val="00C22AD8"/>
    <w:rsid w:val="00C22B6D"/>
    <w:rsid w:val="00C349DF"/>
    <w:rsid w:val="00C3557E"/>
    <w:rsid w:val="00C3594B"/>
    <w:rsid w:val="00C43102"/>
    <w:rsid w:val="00C435D1"/>
    <w:rsid w:val="00C4696B"/>
    <w:rsid w:val="00C50513"/>
    <w:rsid w:val="00C523D8"/>
    <w:rsid w:val="00C54503"/>
    <w:rsid w:val="00C55ACE"/>
    <w:rsid w:val="00C57768"/>
    <w:rsid w:val="00C57FA8"/>
    <w:rsid w:val="00C63055"/>
    <w:rsid w:val="00C64CE8"/>
    <w:rsid w:val="00C713B6"/>
    <w:rsid w:val="00C7270C"/>
    <w:rsid w:val="00C73B62"/>
    <w:rsid w:val="00C75D9D"/>
    <w:rsid w:val="00C76A7F"/>
    <w:rsid w:val="00C776B1"/>
    <w:rsid w:val="00C77A90"/>
    <w:rsid w:val="00C806F4"/>
    <w:rsid w:val="00C815FE"/>
    <w:rsid w:val="00C81FA0"/>
    <w:rsid w:val="00C83F28"/>
    <w:rsid w:val="00C847AE"/>
    <w:rsid w:val="00C90927"/>
    <w:rsid w:val="00C97E7F"/>
    <w:rsid w:val="00CA04C6"/>
    <w:rsid w:val="00CA26DD"/>
    <w:rsid w:val="00CA3139"/>
    <w:rsid w:val="00CA35D4"/>
    <w:rsid w:val="00CA74D7"/>
    <w:rsid w:val="00CB12EC"/>
    <w:rsid w:val="00CB270D"/>
    <w:rsid w:val="00CB5872"/>
    <w:rsid w:val="00CC09D7"/>
    <w:rsid w:val="00CC12B8"/>
    <w:rsid w:val="00CC13B6"/>
    <w:rsid w:val="00CC3EBA"/>
    <w:rsid w:val="00CC5AB1"/>
    <w:rsid w:val="00CD22E3"/>
    <w:rsid w:val="00CD4E44"/>
    <w:rsid w:val="00CD5AE4"/>
    <w:rsid w:val="00CD7A7D"/>
    <w:rsid w:val="00CE2AF2"/>
    <w:rsid w:val="00CE2EE5"/>
    <w:rsid w:val="00CE34D8"/>
    <w:rsid w:val="00CE4980"/>
    <w:rsid w:val="00CE5EFC"/>
    <w:rsid w:val="00CF1E46"/>
    <w:rsid w:val="00CF2D8E"/>
    <w:rsid w:val="00CF2DFA"/>
    <w:rsid w:val="00CF5AD8"/>
    <w:rsid w:val="00D00122"/>
    <w:rsid w:val="00D004DE"/>
    <w:rsid w:val="00D01127"/>
    <w:rsid w:val="00D01B53"/>
    <w:rsid w:val="00D01D2A"/>
    <w:rsid w:val="00D07A79"/>
    <w:rsid w:val="00D10B47"/>
    <w:rsid w:val="00D11EB1"/>
    <w:rsid w:val="00D16002"/>
    <w:rsid w:val="00D16106"/>
    <w:rsid w:val="00D176EE"/>
    <w:rsid w:val="00D17F17"/>
    <w:rsid w:val="00D21845"/>
    <w:rsid w:val="00D21CF1"/>
    <w:rsid w:val="00D22902"/>
    <w:rsid w:val="00D2335F"/>
    <w:rsid w:val="00D23597"/>
    <w:rsid w:val="00D30BDC"/>
    <w:rsid w:val="00D30F4A"/>
    <w:rsid w:val="00D31BB9"/>
    <w:rsid w:val="00D34278"/>
    <w:rsid w:val="00D34CE0"/>
    <w:rsid w:val="00D40C1A"/>
    <w:rsid w:val="00D44C06"/>
    <w:rsid w:val="00D456F3"/>
    <w:rsid w:val="00D46F11"/>
    <w:rsid w:val="00D57F88"/>
    <w:rsid w:val="00D66A54"/>
    <w:rsid w:val="00D7105C"/>
    <w:rsid w:val="00D73646"/>
    <w:rsid w:val="00D777B4"/>
    <w:rsid w:val="00D77A90"/>
    <w:rsid w:val="00D82944"/>
    <w:rsid w:val="00D8360B"/>
    <w:rsid w:val="00D85676"/>
    <w:rsid w:val="00D931E4"/>
    <w:rsid w:val="00D93641"/>
    <w:rsid w:val="00D96ADA"/>
    <w:rsid w:val="00D971E4"/>
    <w:rsid w:val="00D97C5F"/>
    <w:rsid w:val="00DA11E0"/>
    <w:rsid w:val="00DA2886"/>
    <w:rsid w:val="00DA349D"/>
    <w:rsid w:val="00DA5E50"/>
    <w:rsid w:val="00DA7D0C"/>
    <w:rsid w:val="00DB311C"/>
    <w:rsid w:val="00DB34AD"/>
    <w:rsid w:val="00DB432D"/>
    <w:rsid w:val="00DB44CF"/>
    <w:rsid w:val="00DB4D28"/>
    <w:rsid w:val="00DB519B"/>
    <w:rsid w:val="00DB567C"/>
    <w:rsid w:val="00DC2943"/>
    <w:rsid w:val="00DC4880"/>
    <w:rsid w:val="00DC6568"/>
    <w:rsid w:val="00DC7012"/>
    <w:rsid w:val="00DC7694"/>
    <w:rsid w:val="00DC7FBE"/>
    <w:rsid w:val="00DD130E"/>
    <w:rsid w:val="00DD308E"/>
    <w:rsid w:val="00DD3E15"/>
    <w:rsid w:val="00DE5776"/>
    <w:rsid w:val="00DE63E0"/>
    <w:rsid w:val="00DF0AD2"/>
    <w:rsid w:val="00DF0C51"/>
    <w:rsid w:val="00DF0D47"/>
    <w:rsid w:val="00DF1652"/>
    <w:rsid w:val="00DF6910"/>
    <w:rsid w:val="00DF6D37"/>
    <w:rsid w:val="00E01033"/>
    <w:rsid w:val="00E048ED"/>
    <w:rsid w:val="00E04FB3"/>
    <w:rsid w:val="00E058F2"/>
    <w:rsid w:val="00E05D9C"/>
    <w:rsid w:val="00E06102"/>
    <w:rsid w:val="00E065FD"/>
    <w:rsid w:val="00E06834"/>
    <w:rsid w:val="00E0772A"/>
    <w:rsid w:val="00E11AB9"/>
    <w:rsid w:val="00E11BCB"/>
    <w:rsid w:val="00E128D3"/>
    <w:rsid w:val="00E15EA7"/>
    <w:rsid w:val="00E16766"/>
    <w:rsid w:val="00E174AB"/>
    <w:rsid w:val="00E21F05"/>
    <w:rsid w:val="00E22491"/>
    <w:rsid w:val="00E235BA"/>
    <w:rsid w:val="00E23E71"/>
    <w:rsid w:val="00E27E3C"/>
    <w:rsid w:val="00E30F19"/>
    <w:rsid w:val="00E315B6"/>
    <w:rsid w:val="00E33C4A"/>
    <w:rsid w:val="00E34542"/>
    <w:rsid w:val="00E357B9"/>
    <w:rsid w:val="00E3787D"/>
    <w:rsid w:val="00E37917"/>
    <w:rsid w:val="00E4252C"/>
    <w:rsid w:val="00E4321E"/>
    <w:rsid w:val="00E432B2"/>
    <w:rsid w:val="00E44B80"/>
    <w:rsid w:val="00E47623"/>
    <w:rsid w:val="00E529D9"/>
    <w:rsid w:val="00E54826"/>
    <w:rsid w:val="00E566B3"/>
    <w:rsid w:val="00E5780D"/>
    <w:rsid w:val="00E60529"/>
    <w:rsid w:val="00E63D68"/>
    <w:rsid w:val="00E641EF"/>
    <w:rsid w:val="00E67F7B"/>
    <w:rsid w:val="00E70D86"/>
    <w:rsid w:val="00E7628E"/>
    <w:rsid w:val="00E82F54"/>
    <w:rsid w:val="00E8649B"/>
    <w:rsid w:val="00E871CD"/>
    <w:rsid w:val="00E90990"/>
    <w:rsid w:val="00E94AA2"/>
    <w:rsid w:val="00E95B96"/>
    <w:rsid w:val="00E95D3D"/>
    <w:rsid w:val="00EA0E25"/>
    <w:rsid w:val="00EA173C"/>
    <w:rsid w:val="00EA3BF3"/>
    <w:rsid w:val="00EB0EA5"/>
    <w:rsid w:val="00EB211A"/>
    <w:rsid w:val="00EB377B"/>
    <w:rsid w:val="00EB3898"/>
    <w:rsid w:val="00EB45D6"/>
    <w:rsid w:val="00EB4C95"/>
    <w:rsid w:val="00EB5D1E"/>
    <w:rsid w:val="00EB742A"/>
    <w:rsid w:val="00EC127A"/>
    <w:rsid w:val="00EC1853"/>
    <w:rsid w:val="00EC1FF9"/>
    <w:rsid w:val="00EC2737"/>
    <w:rsid w:val="00EC3BE2"/>
    <w:rsid w:val="00EC3F22"/>
    <w:rsid w:val="00ED07A0"/>
    <w:rsid w:val="00ED16D4"/>
    <w:rsid w:val="00ED2D51"/>
    <w:rsid w:val="00ED37FF"/>
    <w:rsid w:val="00ED68EF"/>
    <w:rsid w:val="00ED7DBF"/>
    <w:rsid w:val="00EE2716"/>
    <w:rsid w:val="00EE6450"/>
    <w:rsid w:val="00EF29CA"/>
    <w:rsid w:val="00EF5C7F"/>
    <w:rsid w:val="00F01C2C"/>
    <w:rsid w:val="00F10647"/>
    <w:rsid w:val="00F10ED8"/>
    <w:rsid w:val="00F112F6"/>
    <w:rsid w:val="00F1137F"/>
    <w:rsid w:val="00F1553B"/>
    <w:rsid w:val="00F158E0"/>
    <w:rsid w:val="00F222BE"/>
    <w:rsid w:val="00F24179"/>
    <w:rsid w:val="00F301F1"/>
    <w:rsid w:val="00F30A22"/>
    <w:rsid w:val="00F30C22"/>
    <w:rsid w:val="00F3364D"/>
    <w:rsid w:val="00F33F1A"/>
    <w:rsid w:val="00F36A8C"/>
    <w:rsid w:val="00F36ED7"/>
    <w:rsid w:val="00F41790"/>
    <w:rsid w:val="00F51B1A"/>
    <w:rsid w:val="00F5385E"/>
    <w:rsid w:val="00F547F7"/>
    <w:rsid w:val="00F54CCF"/>
    <w:rsid w:val="00F61D7A"/>
    <w:rsid w:val="00F625E3"/>
    <w:rsid w:val="00F637B3"/>
    <w:rsid w:val="00F639DA"/>
    <w:rsid w:val="00F6483B"/>
    <w:rsid w:val="00F65BD1"/>
    <w:rsid w:val="00F66CF7"/>
    <w:rsid w:val="00F6725E"/>
    <w:rsid w:val="00F67BCB"/>
    <w:rsid w:val="00F70DE4"/>
    <w:rsid w:val="00F7189C"/>
    <w:rsid w:val="00F75A93"/>
    <w:rsid w:val="00F77C57"/>
    <w:rsid w:val="00F813C7"/>
    <w:rsid w:val="00F82CA9"/>
    <w:rsid w:val="00F82FB0"/>
    <w:rsid w:val="00F83566"/>
    <w:rsid w:val="00F83A9D"/>
    <w:rsid w:val="00F86C31"/>
    <w:rsid w:val="00F87BB3"/>
    <w:rsid w:val="00F906B5"/>
    <w:rsid w:val="00F93784"/>
    <w:rsid w:val="00F96195"/>
    <w:rsid w:val="00F971CC"/>
    <w:rsid w:val="00FA2CAA"/>
    <w:rsid w:val="00FA3DA1"/>
    <w:rsid w:val="00FA6554"/>
    <w:rsid w:val="00FA7F1A"/>
    <w:rsid w:val="00FC5F6C"/>
    <w:rsid w:val="00FD5995"/>
    <w:rsid w:val="00FE16C1"/>
    <w:rsid w:val="00FE19FF"/>
    <w:rsid w:val="00FE33A6"/>
    <w:rsid w:val="00FE5452"/>
    <w:rsid w:val="00FF398B"/>
    <w:rsid w:val="00FF5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C83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120" w:after="120"/>
        <w:ind w:left="42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CB9"/>
    <w:rPr>
      <w:sz w:val="20"/>
    </w:rPr>
  </w:style>
  <w:style w:type="paragraph" w:styleId="Heading1">
    <w:name w:val="heading 1"/>
    <w:next w:val="Normal"/>
    <w:link w:val="Heading1Char"/>
    <w:uiPriority w:val="9"/>
    <w:qFormat/>
    <w:rsid w:val="0056015F"/>
    <w:pPr>
      <w:ind w:left="1560" w:hanging="1560"/>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ind w:left="360"/>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Summary box,Table Gridbeth"/>
    <w:basedOn w:val="TableNormal"/>
    <w:uiPriority w:val="39"/>
    <w:rsid w:val="00BF6AC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pPr>
    <w:rPr>
      <w:rFonts w:ascii="Calibri" w:eastAsia="Calibri" w:hAnsi="Calibri" w:cs="Times New Roman"/>
    </w:rPr>
  </w:style>
  <w:style w:type="table" w:customStyle="1" w:styleId="TableGrid1">
    <w:name w:val="Table Grid1"/>
    <w:basedOn w:val="TableNormal"/>
    <w:next w:val="TableGrid"/>
    <w:uiPriority w:val="59"/>
    <w:rsid w:val="00BB3382"/>
    <w:pPr>
      <w:spacing w:after="0"/>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56015F"/>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customStyle="1" w:styleId="TitleBlue">
    <w:name w:val="Title Blue"/>
    <w:basedOn w:val="Title"/>
    <w:qFormat/>
    <w:rsid w:val="0056015F"/>
    <w:pPr>
      <w:spacing w:before="360"/>
    </w:pPr>
    <w:rPr>
      <w:color w:val="548DD4" w:themeColor="text2" w:themeTint="99"/>
    </w:rPr>
  </w:style>
  <w:style w:type="character" w:customStyle="1" w:styleId="UnresolvedMention">
    <w:name w:val="Unresolved Mention"/>
    <w:basedOn w:val="DefaultParagraphFont"/>
    <w:uiPriority w:val="99"/>
    <w:semiHidden/>
    <w:unhideWhenUsed/>
    <w:rsid w:val="00806E40"/>
    <w:rPr>
      <w:color w:val="605E5C"/>
      <w:shd w:val="clear" w:color="auto" w:fill="E1DFDD"/>
    </w:rPr>
  </w:style>
  <w:style w:type="character" w:styleId="FollowedHyperlink">
    <w:name w:val="FollowedHyperlink"/>
    <w:basedOn w:val="DefaultParagraphFont"/>
    <w:uiPriority w:val="99"/>
    <w:semiHidden/>
    <w:unhideWhenUsed/>
    <w:rsid w:val="00A3017A"/>
    <w:rPr>
      <w:color w:val="800080" w:themeColor="followedHyperlink"/>
      <w:u w:val="single"/>
    </w:rPr>
  </w:style>
  <w:style w:type="paragraph" w:styleId="Revision">
    <w:name w:val="Revision"/>
    <w:hidden/>
    <w:uiPriority w:val="99"/>
    <w:semiHidden/>
    <w:rsid w:val="005651FA"/>
    <w:pPr>
      <w:spacing w:after="0"/>
    </w:pPr>
    <w:rPr>
      <w:sz w:val="20"/>
    </w:rPr>
  </w:style>
  <w:style w:type="paragraph" w:customStyle="1" w:styleId="TableText">
    <w:name w:val="Table Text"/>
    <w:basedOn w:val="Normal"/>
    <w:link w:val="TableTextChar"/>
    <w:qFormat/>
    <w:rsid w:val="00A82D25"/>
    <w:pPr>
      <w:spacing w:before="40" w:after="40" w:line="276" w:lineRule="auto"/>
      <w:ind w:left="0"/>
    </w:pPr>
    <w:rPr>
      <w:rFonts w:ascii="Arial Narrow" w:hAnsi="Arial Narrow"/>
    </w:rPr>
  </w:style>
  <w:style w:type="character" w:customStyle="1" w:styleId="TableTextChar">
    <w:name w:val="Table Text Char"/>
    <w:link w:val="TableText"/>
    <w:locked/>
    <w:rsid w:val="00A82D25"/>
    <w:rPr>
      <w:rFonts w:ascii="Arial Narrow" w:hAnsi="Arial Narrow"/>
      <w:sz w:val="20"/>
    </w:rPr>
  </w:style>
  <w:style w:type="paragraph" w:customStyle="1" w:styleId="Text">
    <w:name w:val="Text"/>
    <w:basedOn w:val="Normal"/>
    <w:rsid w:val="0030342F"/>
    <w:pPr>
      <w:suppressAutoHyphens/>
      <w:spacing w:line="360" w:lineRule="auto"/>
      <w:ind w:left="0"/>
    </w:pPr>
    <w:rPr>
      <w:rFonts w:ascii="Arial" w:eastAsia="Times New Roman" w:hAnsi="Arial" w:cs="Times New Roman"/>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365955355">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nejm.org/doi/10.1056/NEJMoa1917239" TargetMode="External"/><Relationship Id="rId26" Type="http://schemas.openxmlformats.org/officeDocument/2006/relationships/hyperlink" Target="https://www.clinicaltrials.gov" TargetMode="External"/><Relationship Id="rId3" Type="http://schemas.openxmlformats.org/officeDocument/2006/relationships/numbering" Target="numbering.xml"/><Relationship Id="rId21" Type="http://schemas.openxmlformats.org/officeDocument/2006/relationships/hyperlink" Target="https://esmoopen.bmj.com/content/2/4/e000235"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jto.org/article/S1556-0864(17)33071-X/fulltext"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pubs.acs.org/doi/10.1021/acs.jmedchem.9b0118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ac.gov.au/" TargetMode="External"/><Relationship Id="rId24" Type="http://schemas.openxmlformats.org/officeDocument/2006/relationships/hyperlink" Target="https://clincancerres.aacrjournals.org/content/18/4/1167.long"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jamanetwork.com/journals/jama/fullarticle/1872815" TargetMode="External"/><Relationship Id="rId28" Type="http://schemas.openxmlformats.org/officeDocument/2006/relationships/image" Target="media/image3.emf"/><Relationship Id="rId10" Type="http://schemas.openxmlformats.org/officeDocument/2006/relationships/hyperlink" Target="mailto:hta@health.gov.au" TargetMode="External"/><Relationship Id="rId19" Type="http://schemas.openxmlformats.org/officeDocument/2006/relationships/hyperlink" Target="https://www.nature.com/articles/s41586-019-1694-1"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s://jeccr.biomedcentral.com/articles/10.1186/s13046-015-0207-9" TargetMode="External"/><Relationship Id="rId27" Type="http://schemas.openxmlformats.org/officeDocument/2006/relationships/image" Target="media/image2.emf"/><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EB3217A16AE4856B17DE17C89FF315F"/>
        <w:category>
          <w:name w:val="General"/>
          <w:gallery w:val="placeholder"/>
        </w:category>
        <w:types>
          <w:type w:val="bbPlcHdr"/>
        </w:types>
        <w:behaviors>
          <w:behavior w:val="content"/>
        </w:behaviors>
        <w:guid w:val="{14859DF8-5A65-427E-9B25-CCACA5AE7E61}"/>
      </w:docPartPr>
      <w:docPartBody>
        <w:p w:rsidR="00B23CA9" w:rsidRDefault="00B23CA9" w:rsidP="00B23CA9">
          <w:pPr>
            <w:pStyle w:val="BEB3217A16AE4856B17DE17C89FF315F"/>
          </w:pPr>
          <w:r w:rsidRPr="00B4658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_‡ ˛">
    <w:altName w:val="Calibri"/>
    <w:charset w:val="4D"/>
    <w:family w:val="auto"/>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CA9"/>
    <w:rsid w:val="00010311"/>
    <w:rsid w:val="00090D7F"/>
    <w:rsid w:val="000A7740"/>
    <w:rsid w:val="000D1AE2"/>
    <w:rsid w:val="000D2A33"/>
    <w:rsid w:val="00105D5E"/>
    <w:rsid w:val="00152D45"/>
    <w:rsid w:val="00210800"/>
    <w:rsid w:val="00211DBD"/>
    <w:rsid w:val="00286575"/>
    <w:rsid w:val="002E053D"/>
    <w:rsid w:val="00306DC4"/>
    <w:rsid w:val="00340B10"/>
    <w:rsid w:val="00365887"/>
    <w:rsid w:val="00392153"/>
    <w:rsid w:val="003936AB"/>
    <w:rsid w:val="003D6F3A"/>
    <w:rsid w:val="003E025A"/>
    <w:rsid w:val="00431A46"/>
    <w:rsid w:val="00473613"/>
    <w:rsid w:val="004D7C9B"/>
    <w:rsid w:val="00542A11"/>
    <w:rsid w:val="0056102D"/>
    <w:rsid w:val="005612DB"/>
    <w:rsid w:val="00586087"/>
    <w:rsid w:val="005B11A4"/>
    <w:rsid w:val="00610BC6"/>
    <w:rsid w:val="006967BE"/>
    <w:rsid w:val="00747062"/>
    <w:rsid w:val="007617E0"/>
    <w:rsid w:val="0076232D"/>
    <w:rsid w:val="00777D12"/>
    <w:rsid w:val="00782437"/>
    <w:rsid w:val="00817D63"/>
    <w:rsid w:val="00866C3D"/>
    <w:rsid w:val="00902818"/>
    <w:rsid w:val="0091341D"/>
    <w:rsid w:val="00946E40"/>
    <w:rsid w:val="009609BF"/>
    <w:rsid w:val="00961405"/>
    <w:rsid w:val="00A2778F"/>
    <w:rsid w:val="00AC416E"/>
    <w:rsid w:val="00B23CA9"/>
    <w:rsid w:val="00B453F7"/>
    <w:rsid w:val="00B46C87"/>
    <w:rsid w:val="00B64B97"/>
    <w:rsid w:val="00B757A9"/>
    <w:rsid w:val="00B96491"/>
    <w:rsid w:val="00BE00CF"/>
    <w:rsid w:val="00BF0BE2"/>
    <w:rsid w:val="00C05F50"/>
    <w:rsid w:val="00C34590"/>
    <w:rsid w:val="00C413FB"/>
    <w:rsid w:val="00C421BD"/>
    <w:rsid w:val="00CF158C"/>
    <w:rsid w:val="00D214C2"/>
    <w:rsid w:val="00D50CA4"/>
    <w:rsid w:val="00DD539B"/>
    <w:rsid w:val="00E12AC9"/>
    <w:rsid w:val="00E1570E"/>
    <w:rsid w:val="00E40E60"/>
    <w:rsid w:val="00E45206"/>
    <w:rsid w:val="00F51B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3CA9"/>
    <w:rPr>
      <w:color w:val="808080"/>
    </w:rPr>
  </w:style>
  <w:style w:type="paragraph" w:customStyle="1" w:styleId="BEB3217A16AE4856B17DE17C89FF315F">
    <w:name w:val="BEB3217A16AE4856B17DE17C89FF315F"/>
    <w:rsid w:val="00B23C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2ad3a63-90ad-4a46-a3cb-757f4658e205" origin="userSelected">
  <element uid="768aceb2-b366-4b48-827b-e820edc548bd"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BB90A-5879-44EF-B9BE-9736C087650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5AD32E2-2E7E-4C8D-B689-8B8164974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10732</Words>
  <Characters>61177</Characters>
  <Application>Microsoft Office Word</Application>
  <DocSecurity>0</DocSecurity>
  <Lines>509</Lines>
  <Paragraphs>143</Paragraphs>
  <ScaleCrop>false</ScaleCrop>
  <Company/>
  <LinksUpToDate>false</LinksUpToDate>
  <CharactersWithSpaces>71766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2021-05-10T04:54:00Z</dcterms:created>
  <dcterms:modified xsi:type="dcterms:W3CDTF">2021-05-10T04:54:00Z</dcterms:modified>
</cp:coreProperties>
</file>