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E8DF" w14:textId="30766BB6" w:rsidR="00772829" w:rsidRPr="00CE28E3" w:rsidRDefault="00772829" w:rsidP="00772829">
      <w:pPr>
        <w:spacing w:after="240"/>
        <w:jc w:val="center"/>
        <w:rPr>
          <w:b/>
          <w:i/>
          <w:szCs w:val="24"/>
          <w:highlight w:val="yellow"/>
        </w:rPr>
      </w:pPr>
      <w:r w:rsidRPr="00CE28E3">
        <w:rPr>
          <w:rFonts w:ascii="Arial" w:hAnsi="Arial" w:cs="Arial"/>
          <w:b/>
          <w:noProof/>
          <w:color w:val="000080"/>
          <w:sz w:val="28"/>
          <w:szCs w:val="28"/>
          <w:lang w:eastAsia="en-AU"/>
        </w:rPr>
        <w:drawing>
          <wp:inline distT="0" distB="0" distL="0" distR="0" wp14:anchorId="6632E2AE" wp14:editId="492F13DD">
            <wp:extent cx="2627630" cy="1078865"/>
            <wp:effectExtent l="0" t="0" r="1270" b="6985"/>
            <wp:docPr id="6" name="Picture 6"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17A49A" w14:textId="1698C29E" w:rsidR="00772829" w:rsidRPr="00C72177" w:rsidRDefault="006F1F25" w:rsidP="00EB4B03">
      <w:pPr>
        <w:pStyle w:val="Heading1"/>
        <w:numPr>
          <w:ilvl w:val="0"/>
          <w:numId w:val="0"/>
        </w:numPr>
        <w:pBdr>
          <w:bottom w:val="none" w:sz="0" w:space="0" w:color="auto"/>
        </w:pBdr>
        <w:spacing w:before="480" w:after="240"/>
        <w:jc w:val="center"/>
        <w:rPr>
          <w:rFonts w:ascii="Arial" w:hAnsi="Arial" w:cs="Arial"/>
          <w:b/>
          <w:bCs/>
          <w:color w:val="000080"/>
          <w:sz w:val="36"/>
          <w:szCs w:val="36"/>
        </w:rPr>
      </w:pPr>
      <w:bookmarkStart w:id="0" w:name="_Hlk68005436"/>
      <w:bookmarkStart w:id="1" w:name="_Toc69491414"/>
      <w:r>
        <w:rPr>
          <w:rFonts w:ascii="Arial" w:hAnsi="Arial" w:cs="Arial"/>
          <w:b/>
          <w:bCs/>
          <w:color w:val="000080"/>
          <w:sz w:val="36"/>
          <w:szCs w:val="36"/>
        </w:rPr>
        <w:t xml:space="preserve">Attachments to </w:t>
      </w:r>
      <w:r w:rsidR="00014BBC">
        <w:rPr>
          <w:rFonts w:ascii="Arial" w:hAnsi="Arial" w:cs="Arial"/>
          <w:b/>
          <w:bCs/>
          <w:color w:val="000080"/>
          <w:sz w:val="36"/>
          <w:szCs w:val="36"/>
        </w:rPr>
        <w:t xml:space="preserve">the </w:t>
      </w:r>
      <w:r w:rsidR="00EB4B03">
        <w:rPr>
          <w:rFonts w:ascii="Arial" w:hAnsi="Arial" w:cs="Arial"/>
          <w:b/>
          <w:bCs/>
          <w:color w:val="000080"/>
          <w:sz w:val="36"/>
          <w:szCs w:val="36"/>
        </w:rPr>
        <w:t xml:space="preserve">Public </w:t>
      </w:r>
      <w:r>
        <w:rPr>
          <w:rFonts w:ascii="Arial" w:hAnsi="Arial" w:cs="Arial"/>
          <w:b/>
          <w:bCs/>
          <w:color w:val="000080"/>
          <w:sz w:val="36"/>
          <w:szCs w:val="36"/>
        </w:rPr>
        <w:t xml:space="preserve">Summary </w:t>
      </w:r>
      <w:r w:rsidR="00EB4B03">
        <w:rPr>
          <w:rFonts w:ascii="Arial" w:hAnsi="Arial" w:cs="Arial"/>
          <w:b/>
          <w:bCs/>
          <w:color w:val="000080"/>
          <w:sz w:val="36"/>
          <w:szCs w:val="36"/>
        </w:rPr>
        <w:t>Document</w:t>
      </w:r>
      <w:bookmarkEnd w:id="0"/>
      <w:bookmarkEnd w:id="1"/>
    </w:p>
    <w:p w14:paraId="7A128FDE" w14:textId="64818F7A" w:rsidR="00772829" w:rsidRPr="00CE28E3" w:rsidRDefault="00772829" w:rsidP="00772829">
      <w:pPr>
        <w:pStyle w:val="Subtitle"/>
      </w:pPr>
      <w:r w:rsidRPr="00162FEE">
        <w:t xml:space="preserve">Application No. </w:t>
      </w:r>
      <w:r w:rsidR="00162FEE" w:rsidRPr="00162FEE">
        <w:t>1699</w:t>
      </w:r>
      <w:r w:rsidRPr="00162FEE">
        <w:t xml:space="preserve"> – </w:t>
      </w:r>
      <w:r w:rsidR="00162FEE" w:rsidRPr="00162FEE">
        <w:t xml:space="preserve">National Lung </w:t>
      </w:r>
      <w:r w:rsidR="00D701F5" w:rsidRPr="00162FEE">
        <w:t>C</w:t>
      </w:r>
      <w:r w:rsidR="00162FEE" w:rsidRPr="00162FEE">
        <w:t>ancer Screening Program</w:t>
      </w:r>
    </w:p>
    <w:p w14:paraId="097F539B" w14:textId="77777777" w:rsidR="00EB4B03" w:rsidRPr="00D52603" w:rsidRDefault="00EB4B03" w:rsidP="00EB4B03">
      <w:pPr>
        <w:tabs>
          <w:tab w:val="left" w:pos="3686"/>
        </w:tabs>
        <w:spacing w:before="240"/>
        <w:rPr>
          <w:rFonts w:ascii="Arial" w:hAnsi="Arial" w:cs="Arial"/>
          <w:b/>
        </w:rPr>
      </w:pPr>
      <w:r w:rsidRPr="00D52603">
        <w:rPr>
          <w:rFonts w:ascii="Arial" w:hAnsi="Arial" w:cs="Arial"/>
          <w:b/>
        </w:rPr>
        <w:t xml:space="preserve">Applicant: </w:t>
      </w:r>
      <w:r>
        <w:rPr>
          <w:rFonts w:ascii="Arial" w:hAnsi="Arial" w:cs="Arial"/>
          <w:b/>
        </w:rPr>
        <w:tab/>
      </w:r>
      <w:r w:rsidRPr="00D52603">
        <w:rPr>
          <w:rFonts w:ascii="Arial" w:hAnsi="Arial" w:cs="Arial"/>
          <w:b/>
        </w:rPr>
        <w:t>Cancer Australia</w:t>
      </w:r>
    </w:p>
    <w:p w14:paraId="5530B187" w14:textId="235B312F" w:rsidR="006F1F25"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162FEE">
        <w:rPr>
          <w:rFonts w:ascii="Arial" w:hAnsi="Arial" w:cs="Arial"/>
          <w:b/>
          <w:szCs w:val="24"/>
        </w:rPr>
        <w:t>31 March</w:t>
      </w:r>
      <w:r w:rsidR="00635D38">
        <w:rPr>
          <w:rFonts w:ascii="Arial" w:hAnsi="Arial" w:cs="Arial"/>
          <w:b/>
          <w:szCs w:val="24"/>
        </w:rPr>
        <w:t xml:space="preserve"> – </w:t>
      </w:r>
      <w:r w:rsidR="00162FEE">
        <w:rPr>
          <w:rFonts w:ascii="Arial" w:hAnsi="Arial" w:cs="Arial"/>
          <w:b/>
          <w:szCs w:val="24"/>
        </w:rPr>
        <w:t>1</w:t>
      </w:r>
      <w:r w:rsidR="00635D38">
        <w:rPr>
          <w:rFonts w:ascii="Arial" w:hAnsi="Arial" w:cs="Arial"/>
          <w:b/>
          <w:szCs w:val="24"/>
        </w:rPr>
        <w:t xml:space="preserve"> </w:t>
      </w:r>
      <w:r w:rsidR="00162FEE">
        <w:rPr>
          <w:rFonts w:ascii="Arial" w:hAnsi="Arial" w:cs="Arial"/>
          <w:b/>
          <w:szCs w:val="24"/>
        </w:rPr>
        <w:t>April 2022</w:t>
      </w:r>
    </w:p>
    <w:p w14:paraId="5047948F" w14:textId="4BE89F48" w:rsidR="00A16EAB" w:rsidRPr="00C70E5F" w:rsidRDefault="00A16EAB" w:rsidP="00C70E5F">
      <w:pPr>
        <w:keepNext/>
      </w:pPr>
      <w:r w:rsidRPr="00C70E5F">
        <w:rPr>
          <w:b/>
          <w:bCs/>
        </w:rPr>
        <w:t>Attachment 1</w:t>
      </w:r>
      <w:r w:rsidR="002206AB">
        <w:rPr>
          <w:b/>
          <w:bCs/>
        </w:rPr>
        <w:t>:</w:t>
      </w:r>
      <w:r w:rsidRPr="00C70E5F">
        <w:t xml:space="preserve"> </w:t>
      </w:r>
      <w:r w:rsidR="00571900" w:rsidRPr="00C70E5F">
        <w:t xml:space="preserve">Detailed </w:t>
      </w:r>
      <w:r w:rsidRPr="00C70E5F">
        <w:t xml:space="preserve">description of </w:t>
      </w:r>
      <w:r w:rsidR="00571900" w:rsidRPr="00C70E5F">
        <w:t xml:space="preserve">the proposed National </w:t>
      </w:r>
      <w:r w:rsidRPr="00C70E5F">
        <w:t xml:space="preserve">Lung Cancer Screening </w:t>
      </w:r>
      <w:r w:rsidR="00571900" w:rsidRPr="00C70E5F">
        <w:t>P</w:t>
      </w:r>
      <w:r w:rsidRPr="00C70E5F">
        <w:t>rogram</w:t>
      </w:r>
    </w:p>
    <w:p w14:paraId="465C8DCC" w14:textId="41ABB62D" w:rsidR="006D3D1C" w:rsidRPr="00C70E5F" w:rsidRDefault="00A16EAB" w:rsidP="00C70E5F">
      <w:pPr>
        <w:keepNext/>
      </w:pPr>
      <w:r w:rsidRPr="00C70E5F">
        <w:rPr>
          <w:b/>
          <w:bCs/>
        </w:rPr>
        <w:t>Attachment 2</w:t>
      </w:r>
      <w:r w:rsidR="002206AB">
        <w:rPr>
          <w:b/>
          <w:bCs/>
        </w:rPr>
        <w:t>:</w:t>
      </w:r>
      <w:r w:rsidRPr="00C70E5F">
        <w:t xml:space="preserve"> </w:t>
      </w:r>
      <w:r w:rsidR="00571900" w:rsidRPr="00C70E5F">
        <w:t xml:space="preserve">Tables of </w:t>
      </w:r>
      <w:r w:rsidR="000A3F81" w:rsidRPr="00C70E5F">
        <w:t>RCT</w:t>
      </w:r>
      <w:r w:rsidR="00571900" w:rsidRPr="00C70E5F">
        <w:t>s</w:t>
      </w:r>
      <w:r w:rsidR="000A3F81" w:rsidRPr="00C70E5F">
        <w:t xml:space="preserve"> </w:t>
      </w:r>
      <w:r w:rsidR="00571900" w:rsidRPr="00C70E5F">
        <w:t>of LDCT-based lung cancer screening programs</w:t>
      </w:r>
    </w:p>
    <w:p w14:paraId="30AFB32B" w14:textId="5AAD9A9F" w:rsidR="006D3D1C" w:rsidRPr="00C70E5F" w:rsidRDefault="006D3D1C" w:rsidP="004A69AE">
      <w:pPr>
        <w:pStyle w:val="ListParagraph"/>
        <w:keepNext/>
        <w:numPr>
          <w:ilvl w:val="0"/>
          <w:numId w:val="18"/>
        </w:numPr>
      </w:pPr>
      <w:r w:rsidRPr="00C70E5F">
        <w:t>Table 1: Characteristics of RCTs of LDCT-based lung cancer screening programs</w:t>
      </w:r>
    </w:p>
    <w:p w14:paraId="5F7952D5" w14:textId="5111AFA2" w:rsidR="006D3D1C" w:rsidRPr="00C70E5F" w:rsidRDefault="006D3D1C" w:rsidP="004A69AE">
      <w:pPr>
        <w:pStyle w:val="ListParagraph"/>
        <w:keepNext/>
        <w:numPr>
          <w:ilvl w:val="0"/>
          <w:numId w:val="18"/>
        </w:numPr>
        <w:spacing w:before="0" w:line="256" w:lineRule="auto"/>
      </w:pPr>
      <w:r w:rsidRPr="00C70E5F">
        <w:t>Table 2</w:t>
      </w:r>
      <w:r w:rsidR="00571900" w:rsidRPr="00C70E5F">
        <w:t>:</w:t>
      </w:r>
      <w:r w:rsidRPr="00C70E5F">
        <w:t xml:space="preserve"> Comparative safety outcomes of RCTs of LDCT-based lung cancer screening programs</w:t>
      </w:r>
    </w:p>
    <w:p w14:paraId="4C6BA9E4" w14:textId="69287AB3" w:rsidR="006D3D1C" w:rsidRPr="00C70E5F" w:rsidRDefault="006D3D1C" w:rsidP="004A69AE">
      <w:pPr>
        <w:pStyle w:val="ListParagraph"/>
        <w:keepNext/>
        <w:numPr>
          <w:ilvl w:val="0"/>
          <w:numId w:val="18"/>
        </w:numPr>
        <w:spacing w:before="0" w:line="256" w:lineRule="auto"/>
      </w:pPr>
      <w:r w:rsidRPr="00C70E5F">
        <w:t>Table 3</w:t>
      </w:r>
      <w:r w:rsidR="00571900" w:rsidRPr="00C70E5F">
        <w:t>:</w:t>
      </w:r>
      <w:r w:rsidRPr="00C70E5F">
        <w:t xml:space="preserve"> Comparative effectiveness outcomes of RCTs of LDCT-based lung cancer screening programs</w:t>
      </w:r>
    </w:p>
    <w:p w14:paraId="59617AF9" w14:textId="6F05D465" w:rsidR="006D3D1C" w:rsidRPr="00C70E5F" w:rsidRDefault="006D3D1C" w:rsidP="00C70E5F">
      <w:pPr>
        <w:keepNext/>
      </w:pPr>
      <w:r w:rsidRPr="00C70E5F">
        <w:rPr>
          <w:b/>
          <w:bCs/>
        </w:rPr>
        <w:t>Attachment 3</w:t>
      </w:r>
      <w:r w:rsidR="002206AB">
        <w:rPr>
          <w:b/>
          <w:bCs/>
        </w:rPr>
        <w:t>:</w:t>
      </w:r>
      <w:r w:rsidRPr="00C70E5F">
        <w:t xml:space="preserve"> </w:t>
      </w:r>
      <w:r w:rsidR="00FE633E">
        <w:t>M</w:t>
      </w:r>
      <w:r w:rsidRPr="00C70E5F">
        <w:t>eta-analysed results of RCTs of LDCT-based lung cancer screening programs</w:t>
      </w:r>
    </w:p>
    <w:p w14:paraId="1D724FE2" w14:textId="64B4F35F" w:rsidR="006D3D1C" w:rsidRPr="00C70E5F" w:rsidRDefault="006D3D1C" w:rsidP="00C70E5F">
      <w:pPr>
        <w:keepNext/>
      </w:pPr>
      <w:r w:rsidRPr="00C70E5F">
        <w:rPr>
          <w:b/>
          <w:bCs/>
        </w:rPr>
        <w:t>Attachment 4</w:t>
      </w:r>
      <w:r w:rsidR="002206AB">
        <w:rPr>
          <w:b/>
          <w:bCs/>
        </w:rPr>
        <w:t>:</w:t>
      </w:r>
      <w:r w:rsidRPr="00C70E5F">
        <w:t xml:space="preserve"> </w:t>
      </w:r>
      <w:r w:rsidR="00FE633E">
        <w:t xml:space="preserve">Justification of the selection of the </w:t>
      </w:r>
      <w:r w:rsidRPr="00C70E5F">
        <w:t xml:space="preserve">risk prediction tool </w:t>
      </w:r>
      <w:r w:rsidR="00FE633E">
        <w:t xml:space="preserve">and threshold </w:t>
      </w:r>
      <w:r w:rsidRPr="00C70E5F">
        <w:t>for referral to LDCT</w:t>
      </w:r>
    </w:p>
    <w:p w14:paraId="5861B68A" w14:textId="239C5C0E" w:rsidR="006D3D1C" w:rsidRPr="00C70E5F" w:rsidRDefault="006D3D1C" w:rsidP="00C70E5F">
      <w:pPr>
        <w:keepNext/>
      </w:pPr>
      <w:r w:rsidRPr="00C70E5F">
        <w:rPr>
          <w:b/>
          <w:bCs/>
        </w:rPr>
        <w:t xml:space="preserve">Attachment </w:t>
      </w:r>
      <w:r w:rsidR="00571900" w:rsidRPr="00C70E5F">
        <w:rPr>
          <w:b/>
          <w:bCs/>
        </w:rPr>
        <w:t>5</w:t>
      </w:r>
      <w:r w:rsidR="002206AB">
        <w:rPr>
          <w:b/>
          <w:bCs/>
        </w:rPr>
        <w:t>:</w:t>
      </w:r>
      <w:r w:rsidRPr="00C70E5F">
        <w:t xml:space="preserve"> </w:t>
      </w:r>
      <w:r w:rsidR="00FE633E">
        <w:t xml:space="preserve">Justification of the selection of the </w:t>
      </w:r>
      <w:r w:rsidRPr="00C70E5F">
        <w:t xml:space="preserve">nodule management protocol for </w:t>
      </w:r>
      <w:r w:rsidR="0054518A">
        <w:t xml:space="preserve">the </w:t>
      </w:r>
      <w:r w:rsidRPr="00C70E5F">
        <w:t>assessment of baseline LDCT scan</w:t>
      </w:r>
      <w:r w:rsidR="0054518A">
        <w:t>s</w:t>
      </w:r>
    </w:p>
    <w:p w14:paraId="37A4BBB4" w14:textId="6E609BAC" w:rsidR="006D3D1C" w:rsidRDefault="006D3D1C" w:rsidP="007C495D">
      <w:pPr>
        <w:keepNext/>
      </w:pPr>
      <w:r w:rsidRPr="00C70E5F">
        <w:rPr>
          <w:b/>
          <w:bCs/>
        </w:rPr>
        <w:t xml:space="preserve">Attachment </w:t>
      </w:r>
      <w:r w:rsidR="0054518A">
        <w:rPr>
          <w:b/>
          <w:bCs/>
        </w:rPr>
        <w:t>6</w:t>
      </w:r>
      <w:r w:rsidR="002206AB">
        <w:rPr>
          <w:b/>
          <w:bCs/>
        </w:rPr>
        <w:t>:</w:t>
      </w:r>
      <w:r w:rsidRPr="00C70E5F">
        <w:t xml:space="preserve"> </w:t>
      </w:r>
      <w:r w:rsidR="0054518A">
        <w:t xml:space="preserve">Justification of the selection </w:t>
      </w:r>
      <w:r w:rsidRPr="00C70E5F">
        <w:t xml:space="preserve">of </w:t>
      </w:r>
      <w:r w:rsidR="0054518A">
        <w:t xml:space="preserve">the </w:t>
      </w:r>
      <w:r w:rsidRPr="00C70E5F">
        <w:t xml:space="preserve">nodule management protocol assessment of new nodules identified </w:t>
      </w:r>
      <w:r w:rsidR="00571900" w:rsidRPr="00C70E5F">
        <w:t>by subsequent (</w:t>
      </w:r>
      <w:r w:rsidRPr="00C70E5F">
        <w:t>incident or interval screening</w:t>
      </w:r>
      <w:r w:rsidR="00571900" w:rsidRPr="00C70E5F">
        <w:t>)</w:t>
      </w:r>
      <w:r w:rsidRPr="00C70E5F">
        <w:t xml:space="preserve"> LDCT scans</w:t>
      </w:r>
    </w:p>
    <w:p w14:paraId="4B5C223A" w14:textId="1410CDFA" w:rsidR="00447549" w:rsidRDefault="00447549" w:rsidP="003A6EAF">
      <w:pPr>
        <w:rPr>
          <w:rFonts w:eastAsia="Times New Roman"/>
          <w:b/>
          <w:bCs/>
        </w:rPr>
      </w:pPr>
      <w:r w:rsidRPr="00635D38">
        <w:rPr>
          <w:rFonts w:eastAsia="Times New Roman"/>
          <w:b/>
          <w:bCs/>
          <w:color w:val="000000"/>
          <w:w w:val="56"/>
          <w:shd w:val="solid" w:color="000000" w:fill="000000"/>
          <w:fitText w:val="5820" w:id="-1494004224"/>
          <w14:textFill>
            <w14:solidFill>
              <w14:srgbClr w14:val="000000">
                <w14:alpha w14:val="100000"/>
              </w14:srgbClr>
            </w14:solidFill>
          </w14:textFill>
        </w:rPr>
        <w:t>|||||||||||||||||||||||||||||||||||||||||||||||||||||||||||||||||||||||||||||||||||||||||||||</w:t>
      </w:r>
      <w:r w:rsidRPr="00635D38">
        <w:rPr>
          <w:rFonts w:eastAsia="Times New Roman"/>
          <w:b/>
          <w:bCs/>
          <w:color w:val="000000"/>
          <w:spacing w:val="23"/>
          <w:w w:val="56"/>
          <w:shd w:val="solid" w:color="000000" w:fill="000000"/>
          <w:fitText w:val="5820" w:id="-1494004224"/>
          <w14:textFill>
            <w14:solidFill>
              <w14:srgbClr w14:val="000000">
                <w14:alpha w14:val="100000"/>
              </w14:srgbClr>
            </w14:solidFill>
          </w14:textFill>
        </w:rPr>
        <w:t>|</w:t>
      </w:r>
    </w:p>
    <w:p w14:paraId="33BE8702" w14:textId="635A9514" w:rsidR="00447549" w:rsidRDefault="00447549" w:rsidP="003A6EAF">
      <w:pPr>
        <w:rPr>
          <w:rFonts w:eastAsia="Times New Roman"/>
          <w:b/>
          <w:bCs/>
        </w:rPr>
      </w:pPr>
      <w:r w:rsidRPr="00635D38">
        <w:rPr>
          <w:rFonts w:eastAsia="Times New Roman"/>
          <w:b/>
          <w:bCs/>
          <w:color w:val="000000"/>
          <w:w w:val="55"/>
          <w:shd w:val="solid" w:color="000000" w:fill="000000"/>
          <w:fitText w:val="5865" w:id="-1494004223"/>
          <w14:textFill>
            <w14:solidFill>
              <w14:srgbClr w14:val="000000">
                <w14:alpha w14:val="100000"/>
              </w14:srgbClr>
            </w14:solidFill>
          </w14:textFill>
        </w:rPr>
        <w:t>|||||||||||||||||||||||||||||||||||||||||||||||||||||||||||||||||||||||||||||||||||||||||||||||</w:t>
      </w:r>
      <w:r w:rsidRPr="00635D38">
        <w:rPr>
          <w:rFonts w:eastAsia="Times New Roman"/>
          <w:b/>
          <w:bCs/>
          <w:color w:val="000000"/>
          <w:spacing w:val="59"/>
          <w:w w:val="55"/>
          <w:shd w:val="solid" w:color="000000" w:fill="000000"/>
          <w:fitText w:val="5865" w:id="-1494004223"/>
          <w14:textFill>
            <w14:solidFill>
              <w14:srgbClr w14:val="000000">
                <w14:alpha w14:val="100000"/>
              </w14:srgbClr>
            </w14:solidFill>
          </w14:textFill>
        </w:rPr>
        <w:t>|</w:t>
      </w:r>
    </w:p>
    <w:p w14:paraId="728E86FE" w14:textId="2899EA4E" w:rsidR="00A16EAB" w:rsidRPr="003A6EAF" w:rsidRDefault="00A16EAB" w:rsidP="003A6EAF">
      <w:pPr>
        <w:sectPr w:rsidR="00A16EAB" w:rsidRPr="003A6EAF" w:rsidSect="003A6E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1B2A9FA" w14:textId="6ACA2797" w:rsidR="00772829" w:rsidRPr="002206AB" w:rsidRDefault="00BF170B">
      <w:pPr>
        <w:rPr>
          <w:b/>
        </w:rPr>
      </w:pPr>
      <w:r w:rsidRPr="002206AB">
        <w:rPr>
          <w:b/>
        </w:rPr>
        <w:lastRenderedPageBreak/>
        <w:t xml:space="preserve">Attachment </w:t>
      </w:r>
      <w:r w:rsidR="000817A5" w:rsidRPr="002206AB">
        <w:rPr>
          <w:b/>
        </w:rPr>
        <w:t>1</w:t>
      </w:r>
      <w:r w:rsidR="00AF7271" w:rsidRPr="002206AB">
        <w:rPr>
          <w:b/>
        </w:rPr>
        <w:t xml:space="preserve"> </w:t>
      </w:r>
      <w:r w:rsidR="002804C3" w:rsidRPr="002206AB">
        <w:rPr>
          <w:b/>
        </w:rPr>
        <w:t xml:space="preserve">– </w:t>
      </w:r>
      <w:bookmarkStart w:id="2" w:name="_Hlk85211879"/>
      <w:r w:rsidR="002206AB" w:rsidRPr="002206AB">
        <w:rPr>
          <w:b/>
        </w:rPr>
        <w:t xml:space="preserve">Detailed </w:t>
      </w:r>
      <w:r w:rsidR="002804C3" w:rsidRPr="002206AB">
        <w:rPr>
          <w:b/>
        </w:rPr>
        <w:t xml:space="preserve">description of </w:t>
      </w:r>
      <w:r w:rsidR="002206AB" w:rsidRPr="002206AB">
        <w:rPr>
          <w:b/>
        </w:rPr>
        <w:t xml:space="preserve">the proposed National </w:t>
      </w:r>
      <w:r w:rsidR="002804C3" w:rsidRPr="002206AB">
        <w:rPr>
          <w:b/>
        </w:rPr>
        <w:t>L</w:t>
      </w:r>
      <w:r w:rsidR="00A14CE9" w:rsidRPr="002206AB">
        <w:rPr>
          <w:b/>
        </w:rPr>
        <w:t xml:space="preserve">ung Cancer Screening </w:t>
      </w:r>
      <w:r w:rsidR="002206AB" w:rsidRPr="002206AB">
        <w:rPr>
          <w:b/>
        </w:rPr>
        <w:t>P</w:t>
      </w:r>
      <w:r w:rsidR="00A14CE9" w:rsidRPr="002206AB">
        <w:rPr>
          <w:b/>
        </w:rPr>
        <w:t>rogram</w:t>
      </w:r>
      <w:bookmarkEnd w:id="2"/>
    </w:p>
    <w:tbl>
      <w:tblPr>
        <w:tblStyle w:val="TableGrid"/>
        <w:tblW w:w="0" w:type="auto"/>
        <w:tblLook w:val="04A0" w:firstRow="1" w:lastRow="0" w:firstColumn="1" w:lastColumn="0" w:noHBand="0" w:noVBand="1"/>
      </w:tblPr>
      <w:tblGrid>
        <w:gridCol w:w="2379"/>
        <w:gridCol w:w="1435"/>
        <w:gridCol w:w="4390"/>
        <w:gridCol w:w="1518"/>
        <w:gridCol w:w="8280"/>
        <w:gridCol w:w="1215"/>
        <w:gridCol w:w="1704"/>
      </w:tblGrid>
      <w:tr w:rsidR="000D1C01" w:rsidRPr="00436840" w14:paraId="7B7E91FF" w14:textId="77777777" w:rsidTr="003A350D">
        <w:trPr>
          <w:tblHeader/>
        </w:trPr>
        <w:tc>
          <w:tcPr>
            <w:tcW w:w="2379" w:type="dxa"/>
          </w:tcPr>
          <w:p w14:paraId="73137CC7" w14:textId="1C41F25F" w:rsidR="003F4910" w:rsidRPr="00436840" w:rsidRDefault="003F4910" w:rsidP="006D1A05">
            <w:pPr>
              <w:rPr>
                <w:rFonts w:ascii="Arial Narrow" w:hAnsi="Arial Narrow"/>
                <w:b/>
                <w:sz w:val="20"/>
                <w:szCs w:val="20"/>
              </w:rPr>
            </w:pPr>
            <w:r w:rsidRPr="00436840">
              <w:rPr>
                <w:rFonts w:ascii="Arial Narrow" w:hAnsi="Arial Narrow"/>
                <w:b/>
                <w:sz w:val="20"/>
                <w:szCs w:val="20"/>
              </w:rPr>
              <w:t>Program component</w:t>
            </w:r>
          </w:p>
        </w:tc>
        <w:tc>
          <w:tcPr>
            <w:tcW w:w="1435" w:type="dxa"/>
          </w:tcPr>
          <w:p w14:paraId="4DA6CBD6"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Proposed option</w:t>
            </w:r>
          </w:p>
        </w:tc>
        <w:tc>
          <w:tcPr>
            <w:tcW w:w="4390" w:type="dxa"/>
          </w:tcPr>
          <w:p w14:paraId="12E6C02A"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Key source (published and/or consultation)</w:t>
            </w:r>
          </w:p>
        </w:tc>
        <w:tc>
          <w:tcPr>
            <w:tcW w:w="1518" w:type="dxa"/>
          </w:tcPr>
          <w:p w14:paraId="3966C28E" w14:textId="72969228" w:rsidR="003F4910" w:rsidRPr="00436840" w:rsidRDefault="003F4910" w:rsidP="006D1A05">
            <w:pPr>
              <w:rPr>
                <w:rFonts w:ascii="Arial Narrow" w:hAnsi="Arial Narrow"/>
                <w:b/>
                <w:sz w:val="20"/>
                <w:szCs w:val="20"/>
              </w:rPr>
            </w:pPr>
            <w:r w:rsidRPr="00436840">
              <w:rPr>
                <w:rFonts w:ascii="Arial Narrow" w:hAnsi="Arial Narrow"/>
                <w:b/>
                <w:sz w:val="20"/>
                <w:szCs w:val="20"/>
              </w:rPr>
              <w:t>Alternatives to proposed option considered</w:t>
            </w:r>
          </w:p>
        </w:tc>
        <w:tc>
          <w:tcPr>
            <w:tcW w:w="8280" w:type="dxa"/>
          </w:tcPr>
          <w:p w14:paraId="36429D60" w14:textId="54163AEC" w:rsidR="003F4910" w:rsidRPr="00436840" w:rsidRDefault="003F4910" w:rsidP="006D1A05">
            <w:pPr>
              <w:rPr>
                <w:rFonts w:ascii="Arial Narrow" w:hAnsi="Arial Narrow"/>
                <w:b/>
                <w:sz w:val="20"/>
                <w:szCs w:val="20"/>
              </w:rPr>
            </w:pPr>
            <w:r w:rsidRPr="00436840">
              <w:rPr>
                <w:rFonts w:ascii="Arial Narrow" w:hAnsi="Arial Narrow"/>
                <w:b/>
                <w:sz w:val="20"/>
                <w:szCs w:val="20"/>
              </w:rPr>
              <w:t>Rationale and evidence base for proposed option (may include a cross-reference to a table below)</w:t>
            </w:r>
          </w:p>
        </w:tc>
        <w:tc>
          <w:tcPr>
            <w:tcW w:w="1215" w:type="dxa"/>
          </w:tcPr>
          <w:p w14:paraId="349C32E8"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Proposed option subject to sensitivity analysis in clinical evaluation (Y/N)</w:t>
            </w:r>
          </w:p>
        </w:tc>
        <w:tc>
          <w:tcPr>
            <w:tcW w:w="1704" w:type="dxa"/>
          </w:tcPr>
          <w:p w14:paraId="6759CF9C"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Proposed option subject to sensitivity analysis in economic evaluation (Y/N)</w:t>
            </w:r>
          </w:p>
        </w:tc>
      </w:tr>
      <w:tr w:rsidR="000D1C01" w:rsidRPr="00436840" w14:paraId="5E91168F" w14:textId="77777777" w:rsidTr="003A350D">
        <w:tc>
          <w:tcPr>
            <w:tcW w:w="2379" w:type="dxa"/>
          </w:tcPr>
          <w:p w14:paraId="41B3ED48"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Age threshold for starting screening</w:t>
            </w:r>
          </w:p>
        </w:tc>
        <w:tc>
          <w:tcPr>
            <w:tcW w:w="1435" w:type="dxa"/>
          </w:tcPr>
          <w:p w14:paraId="2EA2B08F" w14:textId="20E0CC65" w:rsidR="003F4910" w:rsidRPr="00436840" w:rsidRDefault="003F4910" w:rsidP="006D1A05">
            <w:pPr>
              <w:rPr>
                <w:rFonts w:ascii="Arial Narrow" w:hAnsi="Arial Narrow"/>
                <w:sz w:val="20"/>
                <w:szCs w:val="20"/>
              </w:rPr>
            </w:pPr>
            <w:r w:rsidRPr="00436840">
              <w:rPr>
                <w:rFonts w:ascii="Arial Narrow" w:hAnsi="Arial Narrow"/>
                <w:sz w:val="20"/>
                <w:szCs w:val="20"/>
              </w:rPr>
              <w:t>55</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tc>
        <w:tc>
          <w:tcPr>
            <w:tcW w:w="4390" w:type="dxa"/>
          </w:tcPr>
          <w:p w14:paraId="0F4D1077" w14:textId="1BF63E1B" w:rsidR="00405584" w:rsidRPr="00436840" w:rsidRDefault="003F4910" w:rsidP="00405584">
            <w:pPr>
              <w:rPr>
                <w:rFonts w:ascii="Arial Narrow" w:hAnsi="Arial Narrow"/>
                <w:sz w:val="20"/>
                <w:szCs w:val="20"/>
              </w:rPr>
            </w:pPr>
            <w:r w:rsidRPr="00436840">
              <w:rPr>
                <w:rFonts w:ascii="Arial Narrow" w:hAnsi="Arial Narrow"/>
                <w:sz w:val="20"/>
                <w:szCs w:val="20"/>
              </w:rPr>
              <w:t>NLST</w:t>
            </w:r>
            <w:r w:rsidR="00097442" w:rsidRPr="00436840">
              <w:rPr>
                <w:rStyle w:val="FootnoteReference"/>
                <w:rFonts w:ascii="Arial Narrow" w:hAnsi="Arial Narrow"/>
                <w:sz w:val="20"/>
                <w:szCs w:val="20"/>
              </w:rPr>
              <w:footnoteReference w:id="1"/>
            </w:r>
          </w:p>
          <w:p w14:paraId="325C29C7" w14:textId="1CBF9747" w:rsidR="003F4910" w:rsidRPr="00436840" w:rsidRDefault="00405584" w:rsidP="009E062A">
            <w:pPr>
              <w:rPr>
                <w:rFonts w:ascii="Arial Narrow" w:hAnsi="Arial Narrow"/>
                <w:sz w:val="20"/>
                <w:szCs w:val="20"/>
              </w:rPr>
            </w:pPr>
            <w:r w:rsidRPr="00436840">
              <w:rPr>
                <w:rFonts w:ascii="Arial Narrow" w:hAnsi="Arial Narrow"/>
                <w:sz w:val="20"/>
                <w:szCs w:val="20"/>
              </w:rPr>
              <w:t>Weber et al (201</w:t>
            </w:r>
            <w:r w:rsidR="006366B6" w:rsidRPr="00436840">
              <w:rPr>
                <w:rFonts w:ascii="Arial Narrow" w:hAnsi="Arial Narrow"/>
                <w:sz w:val="20"/>
                <w:szCs w:val="20"/>
              </w:rPr>
              <w:t>7</w:t>
            </w:r>
            <w:r w:rsidRPr="00436840">
              <w:rPr>
                <w:rFonts w:ascii="Arial Narrow" w:hAnsi="Arial Narrow"/>
                <w:sz w:val="20"/>
                <w:szCs w:val="20"/>
              </w:rPr>
              <w:t>)</w:t>
            </w:r>
            <w:r w:rsidR="006366B6" w:rsidRPr="00436840">
              <w:rPr>
                <w:rStyle w:val="FootnoteReference"/>
                <w:rFonts w:ascii="Arial Narrow" w:hAnsi="Arial Narrow"/>
                <w:sz w:val="20"/>
                <w:szCs w:val="20"/>
              </w:rPr>
              <w:footnoteReference w:id="2"/>
            </w:r>
          </w:p>
        </w:tc>
        <w:tc>
          <w:tcPr>
            <w:tcW w:w="1518" w:type="dxa"/>
          </w:tcPr>
          <w:p w14:paraId="14BB8A3E" w14:textId="2BA709EF" w:rsidR="003F4910" w:rsidRPr="00436840" w:rsidRDefault="003F4910" w:rsidP="006D1A05">
            <w:pPr>
              <w:rPr>
                <w:rFonts w:ascii="Arial Narrow" w:hAnsi="Arial Narrow"/>
                <w:sz w:val="20"/>
                <w:szCs w:val="20"/>
              </w:rPr>
            </w:pPr>
            <w:r w:rsidRPr="00436840">
              <w:rPr>
                <w:rFonts w:ascii="Arial Narrow" w:hAnsi="Arial Narrow"/>
                <w:sz w:val="20"/>
                <w:szCs w:val="20"/>
              </w:rPr>
              <w:t>&lt;50</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p w14:paraId="79B322EB" w14:textId="12877B6C" w:rsidR="003F4910" w:rsidRPr="00436840" w:rsidRDefault="003F4910" w:rsidP="006D1A05">
            <w:pPr>
              <w:rPr>
                <w:rFonts w:ascii="Arial Narrow" w:hAnsi="Arial Narrow"/>
                <w:sz w:val="20"/>
                <w:szCs w:val="20"/>
              </w:rPr>
            </w:pPr>
            <w:r w:rsidRPr="00436840">
              <w:rPr>
                <w:rFonts w:ascii="Arial Narrow" w:hAnsi="Arial Narrow"/>
                <w:sz w:val="20"/>
                <w:szCs w:val="20"/>
              </w:rPr>
              <w:t>50</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tc>
        <w:tc>
          <w:tcPr>
            <w:tcW w:w="8280" w:type="dxa"/>
          </w:tcPr>
          <w:p w14:paraId="684F8CA0" w14:textId="2E0507BB" w:rsidR="003F4910" w:rsidRPr="00436840" w:rsidRDefault="003F4910" w:rsidP="006D1A05">
            <w:pPr>
              <w:rPr>
                <w:rFonts w:ascii="Arial Narrow" w:hAnsi="Arial Narrow"/>
                <w:sz w:val="20"/>
                <w:szCs w:val="20"/>
              </w:rPr>
            </w:pPr>
            <w:r w:rsidRPr="00436840">
              <w:rPr>
                <w:rFonts w:ascii="Arial Narrow" w:hAnsi="Arial Narrow"/>
                <w:sz w:val="20"/>
                <w:szCs w:val="20"/>
              </w:rPr>
              <w:t>Older age is associated with higher lung cancer risk. In terms of optimal screening age, increasing the starting age is expected to inflate the model discrimination, yet leads to fewer life-years gained</w:t>
            </w:r>
            <w:r w:rsidR="00FD1ECE" w:rsidRPr="00436840">
              <w:rPr>
                <w:rStyle w:val="FootnoteReference"/>
                <w:rFonts w:ascii="Arial Narrow" w:hAnsi="Arial Narrow"/>
                <w:sz w:val="20"/>
                <w:szCs w:val="20"/>
              </w:rPr>
              <w:footnoteReference w:id="3"/>
            </w:r>
            <w:r w:rsidR="00FD1ECE" w:rsidRPr="00436840">
              <w:rPr>
                <w:rFonts w:ascii="Arial Narrow" w:hAnsi="Arial Narrow"/>
                <w:sz w:val="20"/>
                <w:szCs w:val="20"/>
                <w:vertAlign w:val="superscript"/>
              </w:rPr>
              <w:t>,</w:t>
            </w:r>
            <w:r w:rsidR="00FD1ECE" w:rsidRPr="00436840">
              <w:rPr>
                <w:rStyle w:val="FootnoteReference"/>
                <w:rFonts w:ascii="Arial Narrow" w:hAnsi="Arial Narrow"/>
                <w:sz w:val="20"/>
                <w:szCs w:val="20"/>
              </w:rPr>
              <w:footnoteReference w:id="4"/>
            </w:r>
            <w:r w:rsidRPr="00436840">
              <w:rPr>
                <w:rFonts w:ascii="Arial Narrow" w:hAnsi="Arial Narrow"/>
                <w:sz w:val="20"/>
                <w:szCs w:val="20"/>
              </w:rPr>
              <w:t xml:space="preserve"> . Conversely, lowering the starting age increases the sensitivity and yields more life-years gained, but at the cost of specificity and the number of required screens</w:t>
            </w:r>
            <w:r w:rsidR="00FD1ECE" w:rsidRPr="00436840">
              <w:rPr>
                <w:rStyle w:val="FootnoteReference"/>
                <w:rFonts w:ascii="Arial Narrow" w:hAnsi="Arial Narrow"/>
                <w:sz w:val="20"/>
                <w:szCs w:val="20"/>
              </w:rPr>
              <w:footnoteReference w:id="5"/>
            </w:r>
            <w:r w:rsidR="00FD1ECE" w:rsidRPr="00436840">
              <w:rPr>
                <w:rFonts w:ascii="Arial Narrow" w:hAnsi="Arial Narrow"/>
                <w:sz w:val="20"/>
                <w:szCs w:val="20"/>
                <w:vertAlign w:val="superscript"/>
              </w:rPr>
              <w:t>,</w:t>
            </w:r>
            <w:r w:rsidR="00A80A1C" w:rsidRPr="00A80A1C">
              <w:rPr>
                <w:rFonts w:ascii="Arial Narrow" w:hAnsi="Arial Narrow"/>
                <w:sz w:val="20"/>
                <w:szCs w:val="20"/>
                <w:vertAlign w:val="superscript"/>
              </w:rPr>
              <w:t>3</w:t>
            </w:r>
            <w:r w:rsidRPr="00436840">
              <w:rPr>
                <w:rFonts w:ascii="Arial Narrow" w:hAnsi="Arial Narrow"/>
                <w:sz w:val="20"/>
                <w:szCs w:val="20"/>
              </w:rPr>
              <w:t>.</w:t>
            </w:r>
          </w:p>
          <w:p w14:paraId="57F5B31B" w14:textId="62967E5C" w:rsidR="003F4910" w:rsidRPr="00436840" w:rsidRDefault="003F4910" w:rsidP="006D1A05">
            <w:pPr>
              <w:rPr>
                <w:rFonts w:ascii="Arial Narrow" w:hAnsi="Arial Narrow"/>
                <w:sz w:val="20"/>
                <w:szCs w:val="20"/>
              </w:rPr>
            </w:pPr>
            <w:r w:rsidRPr="00436840">
              <w:rPr>
                <w:rFonts w:ascii="Arial Narrow" w:hAnsi="Arial Narrow"/>
                <w:sz w:val="20"/>
                <w:szCs w:val="20"/>
              </w:rPr>
              <w:t>Analyses suggest that harms associated with starting screening before age 50 can exceed the benefits of lung cancer mortality reduction</w:t>
            </w:r>
            <w:r w:rsidR="0097370C" w:rsidRPr="0097370C">
              <w:rPr>
                <w:rFonts w:ascii="Arial Narrow" w:hAnsi="Arial Narrow"/>
                <w:sz w:val="20"/>
                <w:szCs w:val="20"/>
                <w:vertAlign w:val="superscript"/>
              </w:rPr>
              <w:t>4</w:t>
            </w:r>
            <w:r w:rsidRPr="00436840">
              <w:rPr>
                <w:rFonts w:ascii="Arial Narrow" w:hAnsi="Arial Narrow"/>
                <w:sz w:val="20"/>
                <w:szCs w:val="20"/>
              </w:rPr>
              <w:t>, and microsimulation cost-effectiveness analyses have suggested that screening before the age of 55 may not be cost-effective</w:t>
            </w:r>
            <w:r w:rsidR="00454FFA" w:rsidRPr="00436840">
              <w:rPr>
                <w:rStyle w:val="FootnoteReference"/>
                <w:rFonts w:ascii="Arial Narrow" w:hAnsi="Arial Narrow"/>
                <w:sz w:val="20"/>
                <w:szCs w:val="20"/>
              </w:rPr>
              <w:footnoteReference w:id="6"/>
            </w:r>
            <w:r w:rsidRPr="00436840">
              <w:rPr>
                <w:rFonts w:ascii="Arial Narrow" w:hAnsi="Arial Narrow"/>
                <w:sz w:val="20"/>
                <w:szCs w:val="20"/>
              </w:rPr>
              <w:t>.</w:t>
            </w:r>
          </w:p>
          <w:p w14:paraId="1C4BD424" w14:textId="7C0C1555" w:rsidR="002823B4" w:rsidRPr="00436840" w:rsidRDefault="00A90D1B" w:rsidP="006D1A05">
            <w:pPr>
              <w:rPr>
                <w:rFonts w:ascii="Arial Narrow" w:hAnsi="Arial Narrow"/>
                <w:sz w:val="20"/>
                <w:szCs w:val="20"/>
              </w:rPr>
            </w:pPr>
            <w:r w:rsidRPr="00436840">
              <w:rPr>
                <w:rFonts w:ascii="Arial Narrow" w:hAnsi="Arial Narrow"/>
                <w:sz w:val="20"/>
                <w:szCs w:val="20"/>
              </w:rPr>
              <w:t xml:space="preserve">Validation of the PLCOm2012 risk </w:t>
            </w:r>
            <w:r w:rsidR="003A379C" w:rsidRPr="003A379C">
              <w:rPr>
                <w:rFonts w:ascii="Arial Narrow" w:hAnsi="Arial Narrow"/>
                <w:sz w:val="20"/>
                <w:szCs w:val="20"/>
              </w:rPr>
              <w:t xml:space="preserve">prediction </w:t>
            </w:r>
            <w:r w:rsidRPr="00436840">
              <w:rPr>
                <w:rFonts w:ascii="Arial Narrow" w:hAnsi="Arial Narrow"/>
                <w:sz w:val="20"/>
                <w:szCs w:val="20"/>
              </w:rPr>
              <w:t>tool in an Australian population (Weber et al 2017)</w:t>
            </w:r>
            <w:r w:rsidR="006F0472" w:rsidRPr="006F0472">
              <w:rPr>
                <w:rFonts w:ascii="Arial Narrow" w:hAnsi="Arial Narrow"/>
                <w:sz w:val="20"/>
                <w:szCs w:val="20"/>
                <w:vertAlign w:val="superscript"/>
              </w:rPr>
              <w:t>2</w:t>
            </w:r>
            <w:r w:rsidRPr="00436840">
              <w:rPr>
                <w:rFonts w:ascii="Arial Narrow" w:hAnsi="Arial Narrow"/>
                <w:sz w:val="20"/>
                <w:szCs w:val="20"/>
              </w:rPr>
              <w:t xml:space="preserve"> indicated that the model was determined </w:t>
            </w:r>
            <w:r w:rsidR="002823B4" w:rsidRPr="00436840">
              <w:rPr>
                <w:rFonts w:ascii="Arial Narrow" w:hAnsi="Arial Narrow"/>
                <w:sz w:val="20"/>
                <w:szCs w:val="20"/>
              </w:rPr>
              <w:t>to perform best among participants aged 55-74 years.</w:t>
            </w:r>
          </w:p>
          <w:p w14:paraId="03E430A0" w14:textId="57566451" w:rsidR="002823B4" w:rsidRPr="00436840" w:rsidRDefault="00405584" w:rsidP="006D1A05">
            <w:pPr>
              <w:rPr>
                <w:rFonts w:ascii="Arial Narrow" w:hAnsi="Arial Narrow"/>
                <w:sz w:val="20"/>
                <w:szCs w:val="20"/>
              </w:rPr>
            </w:pPr>
            <w:r w:rsidRPr="00436840">
              <w:rPr>
                <w:rFonts w:ascii="Arial Narrow" w:hAnsi="Arial Narrow"/>
                <w:sz w:val="20"/>
                <w:szCs w:val="20"/>
              </w:rPr>
              <w:t>The two main RCTs, the NLST and the NELSON tri</w:t>
            </w:r>
            <w:r w:rsidR="00D7206A" w:rsidRPr="00436840">
              <w:rPr>
                <w:rFonts w:ascii="Arial Narrow" w:hAnsi="Arial Narrow"/>
                <w:sz w:val="20"/>
                <w:szCs w:val="20"/>
              </w:rPr>
              <w:t>a</w:t>
            </w:r>
            <w:r w:rsidRPr="00436840">
              <w:rPr>
                <w:rFonts w:ascii="Arial Narrow" w:hAnsi="Arial Narrow"/>
                <w:sz w:val="20"/>
                <w:szCs w:val="20"/>
              </w:rPr>
              <w:t>l used an eligible age range of 55-74 years and 50-75 years respectively.</w:t>
            </w:r>
          </w:p>
          <w:p w14:paraId="3983086B" w14:textId="68F03CB2" w:rsidR="00ED4578" w:rsidRPr="00436840" w:rsidRDefault="00ED4578" w:rsidP="006D1A05">
            <w:pPr>
              <w:rPr>
                <w:rFonts w:ascii="Arial Narrow" w:hAnsi="Arial Narrow"/>
                <w:sz w:val="20"/>
                <w:szCs w:val="20"/>
                <w:lang w:val="en-GB"/>
              </w:rPr>
            </w:pPr>
            <w:r w:rsidRPr="00436840">
              <w:rPr>
                <w:rFonts w:ascii="Arial Narrow" w:hAnsi="Arial Narrow"/>
                <w:sz w:val="20"/>
                <w:szCs w:val="20"/>
                <w:lang w:val="en-GB"/>
              </w:rPr>
              <w:t>The age range eligibility criterion for the NLST was 55-74 years, and this age range has been used in many of the cost-effectiveness studies, including that in Australia by Wade et al (2018)</w:t>
            </w:r>
            <w:r w:rsidR="006366B6" w:rsidRPr="00436840">
              <w:rPr>
                <w:rStyle w:val="FootnoteReference"/>
                <w:rFonts w:ascii="Arial Narrow" w:hAnsi="Arial Narrow"/>
                <w:sz w:val="20"/>
                <w:szCs w:val="20"/>
                <w:lang w:val="en-GB"/>
              </w:rPr>
              <w:footnoteReference w:id="7"/>
            </w:r>
            <w:r w:rsidRPr="00436840">
              <w:rPr>
                <w:rFonts w:ascii="Arial Narrow" w:hAnsi="Arial Narrow"/>
                <w:sz w:val="20"/>
                <w:szCs w:val="20"/>
                <w:lang w:val="en-GB"/>
              </w:rPr>
              <w:t>, in the US by Kumar et al 2018</w:t>
            </w:r>
            <w:r w:rsidR="006366B6" w:rsidRPr="00436840">
              <w:rPr>
                <w:rStyle w:val="FootnoteReference"/>
                <w:rFonts w:ascii="Arial Narrow" w:hAnsi="Arial Narrow"/>
                <w:sz w:val="20"/>
                <w:szCs w:val="20"/>
                <w:lang w:val="en-GB"/>
              </w:rPr>
              <w:footnoteReference w:id="8"/>
            </w:r>
            <w:r w:rsidRPr="00436840">
              <w:rPr>
                <w:rFonts w:ascii="Arial Narrow" w:hAnsi="Arial Narrow"/>
                <w:sz w:val="20"/>
                <w:szCs w:val="20"/>
                <w:lang w:val="en-GB"/>
              </w:rPr>
              <w:t>, and in Taiwan (Yang et al 201</w:t>
            </w:r>
            <w:r w:rsidR="006366B6" w:rsidRPr="00436840">
              <w:rPr>
                <w:rFonts w:ascii="Arial Narrow" w:hAnsi="Arial Narrow"/>
                <w:sz w:val="20"/>
                <w:szCs w:val="20"/>
                <w:lang w:val="en-GB"/>
              </w:rPr>
              <w:t>8</w:t>
            </w:r>
            <w:r w:rsidRPr="00436840">
              <w:rPr>
                <w:rFonts w:ascii="Arial Narrow" w:hAnsi="Arial Narrow"/>
                <w:sz w:val="20"/>
                <w:szCs w:val="20"/>
                <w:lang w:val="en-GB"/>
              </w:rPr>
              <w:t>)</w:t>
            </w:r>
            <w:r w:rsidR="006366B6" w:rsidRPr="00436840">
              <w:rPr>
                <w:rStyle w:val="FootnoteReference"/>
                <w:rFonts w:ascii="Arial Narrow" w:hAnsi="Arial Narrow"/>
                <w:sz w:val="20"/>
                <w:szCs w:val="20"/>
                <w:lang w:val="en-GB"/>
              </w:rPr>
              <w:footnoteReference w:id="9"/>
            </w:r>
            <w:r w:rsidRPr="00436840">
              <w:rPr>
                <w:rFonts w:ascii="Arial Narrow" w:hAnsi="Arial Narrow"/>
                <w:sz w:val="20"/>
                <w:szCs w:val="20"/>
                <w:lang w:val="en-GB"/>
              </w:rPr>
              <w:t>, all of which have shown cost-effectiveness using this screening age range in a variety of models.</w:t>
            </w:r>
          </w:p>
          <w:p w14:paraId="1DC8968E" w14:textId="6BC3B209" w:rsidR="00405584" w:rsidRPr="00436840" w:rsidRDefault="00433A78" w:rsidP="006D1A05">
            <w:pPr>
              <w:rPr>
                <w:rFonts w:ascii="Arial Narrow" w:hAnsi="Arial Narrow"/>
                <w:sz w:val="20"/>
                <w:szCs w:val="20"/>
                <w:lang w:val="en-GB"/>
              </w:rPr>
            </w:pPr>
            <w:r w:rsidRPr="00436840">
              <w:rPr>
                <w:rFonts w:ascii="Arial Narrow" w:hAnsi="Arial Narrow"/>
                <w:sz w:val="20"/>
                <w:szCs w:val="20"/>
                <w:lang w:val="en-GB"/>
              </w:rPr>
              <w:t>The lower age threshold of 55 years is recommended internationally, based on the substantial evidence base.</w:t>
            </w:r>
          </w:p>
          <w:p w14:paraId="4ED2CEAF" w14:textId="71212E00" w:rsidR="00A90D1B" w:rsidRPr="00436840" w:rsidRDefault="00433A78" w:rsidP="006D1A05">
            <w:pPr>
              <w:rPr>
                <w:rFonts w:ascii="Arial Narrow" w:hAnsi="Arial Narrow"/>
                <w:sz w:val="20"/>
                <w:szCs w:val="20"/>
                <w:lang w:val="en-GB"/>
              </w:rPr>
            </w:pPr>
            <w:r w:rsidRPr="00436840">
              <w:rPr>
                <w:rFonts w:ascii="Arial Narrow" w:hAnsi="Arial Narrow"/>
                <w:sz w:val="20"/>
                <w:szCs w:val="20"/>
                <w:lang w:val="en-GB"/>
              </w:rPr>
              <w:t>A lower age of 50 years is recommended in the National Cancer Center Network (NCCN) guidelines</w:t>
            </w:r>
            <w:r w:rsidR="009E062A" w:rsidRPr="00436840">
              <w:rPr>
                <w:rFonts w:ascii="Arial Narrow" w:hAnsi="Arial Narrow"/>
                <w:sz w:val="20"/>
                <w:szCs w:val="20"/>
                <w:lang w:val="en-GB"/>
              </w:rPr>
              <w:t>,</w:t>
            </w:r>
            <w:r w:rsidRPr="00436840">
              <w:rPr>
                <w:rFonts w:ascii="Arial Narrow" w:hAnsi="Arial Narrow"/>
                <w:sz w:val="20"/>
                <w:szCs w:val="20"/>
                <w:lang w:val="en-GB"/>
              </w:rPr>
              <w:t xml:space="preserve"> but the</w:t>
            </w:r>
            <w:r w:rsidR="009E062A" w:rsidRPr="00436840">
              <w:rPr>
                <w:rFonts w:ascii="Arial Narrow" w:hAnsi="Arial Narrow"/>
                <w:sz w:val="20"/>
                <w:szCs w:val="20"/>
                <w:lang w:val="en-GB"/>
              </w:rPr>
              <w:t>se</w:t>
            </w:r>
            <w:r w:rsidRPr="00436840">
              <w:rPr>
                <w:rFonts w:ascii="Arial Narrow" w:hAnsi="Arial Narrow"/>
                <w:sz w:val="20"/>
                <w:szCs w:val="20"/>
                <w:lang w:val="en-GB"/>
              </w:rPr>
              <w:t xml:space="preserve"> eligibility criteria also include the presence of </w:t>
            </w:r>
            <w:r w:rsidR="009E062A" w:rsidRPr="00436840">
              <w:rPr>
                <w:rFonts w:ascii="Arial Narrow" w:hAnsi="Arial Narrow"/>
                <w:sz w:val="20"/>
                <w:szCs w:val="20"/>
                <w:lang w:val="en-GB"/>
              </w:rPr>
              <w:t>‘</w:t>
            </w:r>
            <w:r w:rsidR="00E97EFE" w:rsidRPr="00436840">
              <w:rPr>
                <w:rFonts w:ascii="Arial Narrow" w:hAnsi="Arial Narrow"/>
                <w:sz w:val="20"/>
                <w:szCs w:val="20"/>
                <w:lang w:val="en-GB"/>
              </w:rPr>
              <w:t>a</w:t>
            </w:r>
            <w:r w:rsidRPr="00436840">
              <w:rPr>
                <w:rFonts w:ascii="Arial Narrow" w:hAnsi="Arial Narrow"/>
                <w:sz w:val="20"/>
                <w:szCs w:val="20"/>
                <w:lang w:val="en-GB"/>
              </w:rPr>
              <w:t>n additional risk factor’ in addition to a 20 or more pack-year smoking history.</w:t>
            </w:r>
          </w:p>
        </w:tc>
        <w:tc>
          <w:tcPr>
            <w:tcW w:w="1215" w:type="dxa"/>
          </w:tcPr>
          <w:p w14:paraId="084FF362"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No</w:t>
            </w:r>
          </w:p>
        </w:tc>
        <w:tc>
          <w:tcPr>
            <w:tcW w:w="1704" w:type="dxa"/>
          </w:tcPr>
          <w:p w14:paraId="7E38A7FA" w14:textId="1D2B9D69" w:rsidR="003F4910" w:rsidRPr="00436840" w:rsidRDefault="003F4910" w:rsidP="006D1A05">
            <w:pPr>
              <w:rPr>
                <w:rFonts w:ascii="Arial Narrow" w:hAnsi="Arial Narrow"/>
                <w:sz w:val="20"/>
                <w:szCs w:val="20"/>
              </w:rPr>
            </w:pPr>
            <w:r w:rsidRPr="00436840">
              <w:rPr>
                <w:rFonts w:ascii="Arial Narrow" w:hAnsi="Arial Narrow"/>
                <w:sz w:val="20"/>
                <w:szCs w:val="20"/>
              </w:rPr>
              <w:t>Yes</w:t>
            </w:r>
            <w:r w:rsidR="005D05E5" w:rsidRPr="00436840">
              <w:rPr>
                <w:rFonts w:ascii="Arial Narrow" w:hAnsi="Arial Narrow"/>
                <w:sz w:val="20"/>
                <w:szCs w:val="20"/>
              </w:rPr>
              <w:t xml:space="preserve"> (</w:t>
            </w:r>
            <w:r w:rsidR="009E062A" w:rsidRPr="00436840">
              <w:rPr>
                <w:rFonts w:ascii="Arial Narrow" w:hAnsi="Arial Narrow"/>
                <w:sz w:val="20"/>
                <w:szCs w:val="20"/>
              </w:rPr>
              <w:t>T</w:t>
            </w:r>
            <w:r w:rsidR="005D05E5" w:rsidRPr="00436840">
              <w:rPr>
                <w:rFonts w:ascii="Arial Narrow" w:hAnsi="Arial Narrow"/>
                <w:sz w:val="20"/>
                <w:szCs w:val="20"/>
              </w:rPr>
              <w:t>able 50 in economic evaluation</w:t>
            </w:r>
            <w:r w:rsidR="00A33569">
              <w:rPr>
                <w:rFonts w:ascii="Arial Narrow" w:hAnsi="Arial Narrow"/>
                <w:sz w:val="20"/>
                <w:szCs w:val="20"/>
              </w:rPr>
              <w:t xml:space="preserve"> report</w:t>
            </w:r>
            <w:r w:rsidR="005D05E5" w:rsidRPr="00436840">
              <w:rPr>
                <w:rFonts w:ascii="Arial Narrow" w:hAnsi="Arial Narrow"/>
                <w:sz w:val="20"/>
                <w:szCs w:val="20"/>
              </w:rPr>
              <w:t>)</w:t>
            </w:r>
          </w:p>
        </w:tc>
      </w:tr>
      <w:tr w:rsidR="000D1C01" w:rsidRPr="00436840" w14:paraId="5339F8FF" w14:textId="77777777" w:rsidTr="003A350D">
        <w:tc>
          <w:tcPr>
            <w:tcW w:w="2379" w:type="dxa"/>
          </w:tcPr>
          <w:p w14:paraId="7F1B45C9"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Age threshold for starting screening (Aboriginal and Torres Strait Islander people)</w:t>
            </w:r>
          </w:p>
        </w:tc>
        <w:tc>
          <w:tcPr>
            <w:tcW w:w="1435" w:type="dxa"/>
          </w:tcPr>
          <w:p w14:paraId="5451280E" w14:textId="38749913" w:rsidR="003F4910" w:rsidRPr="00436840" w:rsidRDefault="003F4910" w:rsidP="006D1A05">
            <w:pPr>
              <w:rPr>
                <w:rFonts w:ascii="Arial Narrow" w:hAnsi="Arial Narrow"/>
                <w:sz w:val="20"/>
                <w:szCs w:val="20"/>
              </w:rPr>
            </w:pPr>
            <w:r w:rsidRPr="00436840">
              <w:rPr>
                <w:rFonts w:ascii="Arial Narrow" w:hAnsi="Arial Narrow"/>
                <w:sz w:val="20"/>
                <w:szCs w:val="20"/>
              </w:rPr>
              <w:t>50</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tc>
        <w:tc>
          <w:tcPr>
            <w:tcW w:w="4390" w:type="dxa"/>
          </w:tcPr>
          <w:p w14:paraId="487A7AA0"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 xml:space="preserve">Australian Institute of Health and Welfare 2018. Cancer in Aboriginal &amp; Torres Strait Islander people of Australia. Accessed April 2020; </w:t>
            </w:r>
            <w:hyperlink r:id="rId15" w:history="1">
              <w:r w:rsidRPr="00436840">
                <w:rPr>
                  <w:rStyle w:val="Hyperlink"/>
                  <w:rFonts w:ascii="Arial Narrow" w:hAnsi="Arial Narrow"/>
                  <w:sz w:val="20"/>
                  <w:szCs w:val="20"/>
                </w:rPr>
                <w:t>https://www.aihw.gov.au/reports/cancer/cancer-in-indigenous-australians/contents/table-of-contents</w:t>
              </w:r>
            </w:hyperlink>
            <w:r w:rsidRPr="00436840">
              <w:rPr>
                <w:rFonts w:ascii="Arial Narrow" w:hAnsi="Arial Narrow"/>
                <w:sz w:val="20"/>
                <w:szCs w:val="20"/>
              </w:rPr>
              <w:t xml:space="preserve"> </w:t>
            </w:r>
          </w:p>
        </w:tc>
        <w:tc>
          <w:tcPr>
            <w:tcW w:w="1518" w:type="dxa"/>
          </w:tcPr>
          <w:p w14:paraId="1DBF284A" w14:textId="582B2120" w:rsidR="003F4910" w:rsidRPr="00436840" w:rsidRDefault="003F4910" w:rsidP="006D1A05">
            <w:pPr>
              <w:rPr>
                <w:rFonts w:ascii="Arial Narrow" w:hAnsi="Arial Narrow"/>
                <w:sz w:val="20"/>
                <w:szCs w:val="20"/>
              </w:rPr>
            </w:pPr>
            <w:r w:rsidRPr="00436840">
              <w:rPr>
                <w:rFonts w:ascii="Arial Narrow" w:hAnsi="Arial Narrow"/>
                <w:sz w:val="20"/>
                <w:szCs w:val="20"/>
              </w:rPr>
              <w:t>45</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p w14:paraId="49796265" w14:textId="179E7558" w:rsidR="003F4910" w:rsidRPr="00436840" w:rsidRDefault="003F4910" w:rsidP="006D1A05">
            <w:pPr>
              <w:rPr>
                <w:rFonts w:ascii="Arial Narrow" w:hAnsi="Arial Narrow"/>
                <w:sz w:val="20"/>
                <w:szCs w:val="20"/>
              </w:rPr>
            </w:pPr>
            <w:r w:rsidRPr="00436840">
              <w:rPr>
                <w:rFonts w:ascii="Arial Narrow" w:hAnsi="Arial Narrow"/>
                <w:sz w:val="20"/>
                <w:szCs w:val="20"/>
              </w:rPr>
              <w:t>55</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tc>
        <w:tc>
          <w:tcPr>
            <w:tcW w:w="8280" w:type="dxa"/>
          </w:tcPr>
          <w:p w14:paraId="50C0896B" w14:textId="491DF026" w:rsidR="003F4910" w:rsidRPr="00436840" w:rsidRDefault="003F4910" w:rsidP="006D1A05">
            <w:pPr>
              <w:spacing w:before="0" w:after="120"/>
              <w:jc w:val="both"/>
              <w:rPr>
                <w:rFonts w:ascii="Arial Narrow" w:hAnsi="Arial Narrow"/>
                <w:sz w:val="20"/>
                <w:szCs w:val="20"/>
                <w:lang w:val="en-US"/>
              </w:rPr>
            </w:pPr>
            <w:r w:rsidRPr="00436840">
              <w:rPr>
                <w:rFonts w:ascii="Arial Narrow" w:hAnsi="Arial Narrow"/>
                <w:sz w:val="20"/>
                <w:szCs w:val="20"/>
                <w:lang w:val="en-US"/>
              </w:rPr>
              <w:t>For Aboriginal and Torres Strait Islander people, given their higher prevalence of smoking and their lower age for lung cancer diagnosis and mortality, an age range of 50 to 74 years is proposed.</w:t>
            </w:r>
          </w:p>
          <w:p w14:paraId="0564A7B7" w14:textId="1C92BA4C" w:rsidR="003F4910" w:rsidRPr="00436840" w:rsidRDefault="003F4910" w:rsidP="006D1A05">
            <w:pPr>
              <w:spacing w:before="0" w:after="120"/>
              <w:jc w:val="both"/>
              <w:rPr>
                <w:rFonts w:ascii="Arial Narrow" w:hAnsi="Arial Narrow"/>
                <w:sz w:val="20"/>
                <w:szCs w:val="20"/>
                <w:lang w:val="en-US"/>
              </w:rPr>
            </w:pPr>
            <w:r w:rsidRPr="00436840">
              <w:rPr>
                <w:rFonts w:ascii="Arial Narrow" w:hAnsi="Arial Narrow"/>
                <w:sz w:val="20"/>
                <w:szCs w:val="20"/>
                <w:lang w:val="en-US"/>
              </w:rPr>
              <w:t>Indigenous Australians compared to non-Indigenous Australians have higher rates of lung cancer incidence and mortality rates and diagnosis at an earlier age.</w:t>
            </w:r>
          </w:p>
          <w:p w14:paraId="0182C2CB" w14:textId="77777777" w:rsidR="003F4910" w:rsidRPr="00436840" w:rsidRDefault="003F4910" w:rsidP="006D1A05">
            <w:pPr>
              <w:spacing w:before="0" w:after="120"/>
              <w:jc w:val="both"/>
              <w:rPr>
                <w:rFonts w:ascii="Arial Narrow" w:hAnsi="Arial Narrow"/>
                <w:sz w:val="20"/>
                <w:szCs w:val="20"/>
                <w:lang w:val="en-US"/>
              </w:rPr>
            </w:pPr>
            <w:r w:rsidRPr="00436840">
              <w:rPr>
                <w:rFonts w:ascii="Arial Narrow" w:hAnsi="Arial Narrow"/>
                <w:sz w:val="20"/>
                <w:szCs w:val="20"/>
                <w:lang w:val="en-US"/>
              </w:rPr>
              <w:t>The age-specific lung cancer rates for Indigenous Australians compared to non-Indigenous Australians are higher:</w:t>
            </w:r>
          </w:p>
          <w:p w14:paraId="107798C7" w14:textId="3935E28C" w:rsidR="003F4910" w:rsidRPr="00436840" w:rsidRDefault="003F4910" w:rsidP="004A69AE">
            <w:pPr>
              <w:pStyle w:val="ListParagraph"/>
              <w:numPr>
                <w:ilvl w:val="0"/>
                <w:numId w:val="15"/>
              </w:numPr>
              <w:spacing w:before="0" w:after="120"/>
              <w:jc w:val="both"/>
              <w:rPr>
                <w:rFonts w:ascii="Arial Narrow" w:hAnsi="Arial Narrow"/>
                <w:sz w:val="20"/>
                <w:szCs w:val="20"/>
                <w:lang w:val="en-US"/>
              </w:rPr>
            </w:pPr>
            <w:r w:rsidRPr="00436840">
              <w:rPr>
                <w:rFonts w:ascii="Arial Narrow" w:hAnsi="Arial Narrow"/>
                <w:sz w:val="20"/>
                <w:szCs w:val="20"/>
                <w:lang w:val="en-US"/>
              </w:rPr>
              <w:t xml:space="preserve">for </w:t>
            </w:r>
            <w:r w:rsidR="00881EBB" w:rsidRPr="00436840">
              <w:rPr>
                <w:rFonts w:ascii="Arial Narrow" w:hAnsi="Arial Narrow"/>
                <w:sz w:val="20"/>
                <w:szCs w:val="20"/>
                <w:lang w:val="en-US"/>
              </w:rPr>
              <w:t xml:space="preserve">the </w:t>
            </w:r>
            <w:r w:rsidRPr="00436840">
              <w:rPr>
                <w:rFonts w:ascii="Arial Narrow" w:hAnsi="Arial Narrow"/>
                <w:sz w:val="20"/>
                <w:szCs w:val="20"/>
                <w:lang w:val="en-US"/>
              </w:rPr>
              <w:t>50-54yr age group the lung cancer incidence rate for Indigenous Australians is 77 per 100,000 compared with 33 per 100,000 for non-Indigenous Australians</w:t>
            </w:r>
          </w:p>
          <w:p w14:paraId="572CB228" w14:textId="6340D6A5" w:rsidR="003F4910" w:rsidRPr="00436840" w:rsidRDefault="00881EBB" w:rsidP="004A69AE">
            <w:pPr>
              <w:pStyle w:val="ListParagraph"/>
              <w:numPr>
                <w:ilvl w:val="0"/>
                <w:numId w:val="15"/>
              </w:numPr>
              <w:spacing w:before="0" w:after="120"/>
              <w:jc w:val="both"/>
              <w:rPr>
                <w:rFonts w:ascii="Arial Narrow" w:hAnsi="Arial Narrow"/>
                <w:sz w:val="20"/>
                <w:szCs w:val="20"/>
                <w:lang w:val="en-US"/>
              </w:rPr>
            </w:pPr>
            <w:r w:rsidRPr="00436840">
              <w:rPr>
                <w:rFonts w:ascii="Arial Narrow" w:hAnsi="Arial Narrow"/>
                <w:sz w:val="20"/>
                <w:szCs w:val="20"/>
                <w:lang w:val="en-US"/>
              </w:rPr>
              <w:lastRenderedPageBreak/>
              <w:t>f</w:t>
            </w:r>
            <w:r w:rsidR="003F4910" w:rsidRPr="00436840">
              <w:rPr>
                <w:rFonts w:ascii="Arial Narrow" w:hAnsi="Arial Narrow"/>
                <w:sz w:val="20"/>
                <w:szCs w:val="20"/>
                <w:lang w:val="en-US"/>
              </w:rPr>
              <w:t xml:space="preserve">or </w:t>
            </w:r>
            <w:r w:rsidRPr="00436840">
              <w:rPr>
                <w:rFonts w:ascii="Arial Narrow" w:hAnsi="Arial Narrow"/>
                <w:sz w:val="20"/>
                <w:szCs w:val="20"/>
                <w:lang w:val="en-US"/>
              </w:rPr>
              <w:t xml:space="preserve">the </w:t>
            </w:r>
            <w:r w:rsidR="003F4910" w:rsidRPr="00436840">
              <w:rPr>
                <w:rFonts w:ascii="Arial Narrow" w:hAnsi="Arial Narrow"/>
                <w:sz w:val="20"/>
                <w:szCs w:val="20"/>
                <w:lang w:val="en-US"/>
              </w:rPr>
              <w:t>55-59yr age group the lung cancer incidence rate for Indigenous Australian is 134 per 100,000 compared with 59 per 100,000 for non-Indigenous Australians</w:t>
            </w:r>
          </w:p>
          <w:p w14:paraId="68BB7FC8" w14:textId="7FC62C01" w:rsidR="003F4910" w:rsidRPr="00436840" w:rsidRDefault="00881EBB" w:rsidP="004A69AE">
            <w:pPr>
              <w:pStyle w:val="ListParagraph"/>
              <w:numPr>
                <w:ilvl w:val="0"/>
                <w:numId w:val="15"/>
              </w:numPr>
              <w:spacing w:before="0" w:after="120"/>
              <w:jc w:val="both"/>
              <w:rPr>
                <w:rFonts w:ascii="Arial Narrow" w:hAnsi="Arial Narrow"/>
                <w:sz w:val="20"/>
                <w:szCs w:val="20"/>
                <w:lang w:val="en-US"/>
              </w:rPr>
            </w:pPr>
            <w:r w:rsidRPr="00436840">
              <w:rPr>
                <w:rFonts w:ascii="Arial Narrow" w:hAnsi="Arial Narrow"/>
                <w:sz w:val="20"/>
                <w:szCs w:val="20"/>
                <w:lang w:val="en-US"/>
              </w:rPr>
              <w:t>t</w:t>
            </w:r>
            <w:r w:rsidR="003F4910" w:rsidRPr="00436840">
              <w:rPr>
                <w:rFonts w:ascii="Arial Narrow" w:hAnsi="Arial Narrow"/>
                <w:sz w:val="20"/>
                <w:szCs w:val="20"/>
                <w:lang w:val="en-US"/>
              </w:rPr>
              <w:t>he lung cancer incidence rate for Indigenous Australians aged 50-54yrs (77 per 100,000) is higher than the incidence rate for non-Indigenous Australians aged 55-59yrs (59 per 100,000).</w:t>
            </w:r>
          </w:p>
          <w:p w14:paraId="7C221CAE" w14:textId="711B95F5" w:rsidR="003F4910" w:rsidRPr="00436840" w:rsidRDefault="003F4910" w:rsidP="006D1A05">
            <w:pPr>
              <w:spacing w:before="0" w:after="120"/>
              <w:jc w:val="both"/>
              <w:rPr>
                <w:rFonts w:ascii="Arial Narrow" w:hAnsi="Arial Narrow"/>
                <w:sz w:val="20"/>
                <w:szCs w:val="20"/>
                <w:lang w:val="en-US"/>
              </w:rPr>
            </w:pPr>
            <w:r w:rsidRPr="00436840">
              <w:rPr>
                <w:rFonts w:ascii="Arial Narrow" w:hAnsi="Arial Narrow"/>
                <w:sz w:val="20"/>
                <w:szCs w:val="20"/>
                <w:lang w:val="en-US"/>
              </w:rPr>
              <w:t xml:space="preserve">The lower age rate was supported by consultation including with Indigenous health professionals who advised it is not only acceptable to target a younger Aboriginal and Torres Strait Islander </w:t>
            </w:r>
            <w:r w:rsidR="003A350D" w:rsidRPr="00436840">
              <w:rPr>
                <w:rFonts w:ascii="Arial Narrow" w:hAnsi="Arial Narrow"/>
                <w:sz w:val="20"/>
                <w:szCs w:val="20"/>
                <w:lang w:val="en-US"/>
              </w:rPr>
              <w:t>population but</w:t>
            </w:r>
            <w:r w:rsidR="001213DD" w:rsidRPr="00436840">
              <w:rPr>
                <w:rFonts w:ascii="Arial Narrow" w:hAnsi="Arial Narrow"/>
                <w:sz w:val="20"/>
                <w:szCs w:val="20"/>
                <w:lang w:val="en-US"/>
              </w:rPr>
              <w:t xml:space="preserve"> considered</w:t>
            </w:r>
            <w:r w:rsidRPr="00436840">
              <w:rPr>
                <w:rFonts w:ascii="Arial Narrow" w:hAnsi="Arial Narrow"/>
                <w:sz w:val="20"/>
                <w:szCs w:val="20"/>
                <w:lang w:val="en-US"/>
              </w:rPr>
              <w:t xml:space="preserve"> necessary</w:t>
            </w:r>
            <w:r w:rsidR="00881EBB" w:rsidRPr="00436840">
              <w:rPr>
                <w:rFonts w:ascii="Arial Narrow" w:hAnsi="Arial Narrow"/>
                <w:sz w:val="20"/>
                <w:szCs w:val="20"/>
                <w:lang w:val="en-US"/>
              </w:rPr>
              <w:t>.</w:t>
            </w:r>
          </w:p>
        </w:tc>
        <w:tc>
          <w:tcPr>
            <w:tcW w:w="1215" w:type="dxa"/>
          </w:tcPr>
          <w:p w14:paraId="43B3372C" w14:textId="77777777" w:rsidR="003F4910" w:rsidRPr="00436840" w:rsidRDefault="003F4910" w:rsidP="006D1A05">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4D58657B" w14:textId="6A98B7BE" w:rsidR="003F4910" w:rsidRPr="00436840" w:rsidRDefault="003F4910" w:rsidP="006D1A05">
            <w:pPr>
              <w:rPr>
                <w:rFonts w:ascii="Arial Narrow" w:hAnsi="Arial Narrow"/>
                <w:sz w:val="20"/>
                <w:szCs w:val="20"/>
              </w:rPr>
            </w:pPr>
            <w:r w:rsidRPr="00436840">
              <w:rPr>
                <w:rFonts w:ascii="Arial Narrow" w:hAnsi="Arial Narrow"/>
                <w:sz w:val="20"/>
                <w:szCs w:val="20"/>
              </w:rPr>
              <w:t>Yes</w:t>
            </w:r>
            <w:r w:rsidR="005D05E5" w:rsidRPr="00436840">
              <w:rPr>
                <w:rFonts w:ascii="Arial Narrow" w:hAnsi="Arial Narrow"/>
                <w:sz w:val="20"/>
                <w:szCs w:val="20"/>
              </w:rPr>
              <w:t xml:space="preserve"> (</w:t>
            </w:r>
            <w:r w:rsidR="00881EBB" w:rsidRPr="00436840">
              <w:rPr>
                <w:rFonts w:ascii="Arial Narrow" w:hAnsi="Arial Narrow"/>
                <w:sz w:val="20"/>
                <w:szCs w:val="20"/>
              </w:rPr>
              <w:t>T</w:t>
            </w:r>
            <w:r w:rsidR="005D05E5" w:rsidRPr="00436840">
              <w:rPr>
                <w:rFonts w:ascii="Arial Narrow" w:hAnsi="Arial Narrow"/>
                <w:sz w:val="20"/>
                <w:szCs w:val="20"/>
              </w:rPr>
              <w:t>able 54 in economic evaluation</w:t>
            </w:r>
            <w:r w:rsidR="00A33569">
              <w:rPr>
                <w:rFonts w:ascii="Arial Narrow" w:hAnsi="Arial Narrow"/>
                <w:sz w:val="20"/>
                <w:szCs w:val="20"/>
              </w:rPr>
              <w:t xml:space="preserve"> report</w:t>
            </w:r>
            <w:r w:rsidR="005D05E5" w:rsidRPr="00436840">
              <w:rPr>
                <w:rFonts w:ascii="Arial Narrow" w:hAnsi="Arial Narrow"/>
                <w:sz w:val="20"/>
                <w:szCs w:val="20"/>
              </w:rPr>
              <w:t>)</w:t>
            </w:r>
          </w:p>
        </w:tc>
      </w:tr>
      <w:tr w:rsidR="000D1C01" w:rsidRPr="00436840" w14:paraId="6C0083F4" w14:textId="77777777" w:rsidTr="003A350D">
        <w:tc>
          <w:tcPr>
            <w:tcW w:w="2379" w:type="dxa"/>
          </w:tcPr>
          <w:p w14:paraId="72123C41" w14:textId="77777777" w:rsidR="003F4910" w:rsidRPr="00436840" w:rsidRDefault="003F4910" w:rsidP="006D1A05">
            <w:pPr>
              <w:rPr>
                <w:rFonts w:ascii="Arial Narrow" w:hAnsi="Arial Narrow"/>
                <w:b/>
                <w:sz w:val="20"/>
                <w:szCs w:val="20"/>
              </w:rPr>
            </w:pPr>
            <w:r w:rsidRPr="00436840">
              <w:rPr>
                <w:rFonts w:ascii="Arial Narrow" w:hAnsi="Arial Narrow"/>
                <w:b/>
                <w:sz w:val="20"/>
                <w:szCs w:val="20"/>
              </w:rPr>
              <w:t>Age threshold for stopping screening</w:t>
            </w:r>
          </w:p>
        </w:tc>
        <w:tc>
          <w:tcPr>
            <w:tcW w:w="1435" w:type="dxa"/>
          </w:tcPr>
          <w:p w14:paraId="409E7FDA" w14:textId="08A925F6" w:rsidR="003F4910" w:rsidRPr="00436840" w:rsidRDefault="003F4910" w:rsidP="006D1A05">
            <w:pPr>
              <w:rPr>
                <w:rFonts w:ascii="Arial Narrow" w:hAnsi="Arial Narrow"/>
                <w:sz w:val="20"/>
                <w:szCs w:val="20"/>
              </w:rPr>
            </w:pPr>
            <w:r w:rsidRPr="00436840">
              <w:rPr>
                <w:rFonts w:ascii="Arial Narrow" w:hAnsi="Arial Narrow"/>
                <w:sz w:val="20"/>
                <w:szCs w:val="20"/>
              </w:rPr>
              <w:t>74</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tc>
        <w:tc>
          <w:tcPr>
            <w:tcW w:w="4390" w:type="dxa"/>
          </w:tcPr>
          <w:p w14:paraId="467D7378" w14:textId="294CCEC5" w:rsidR="00405584" w:rsidRPr="00436840" w:rsidRDefault="00405584" w:rsidP="00FD1ECE">
            <w:pPr>
              <w:rPr>
                <w:rFonts w:ascii="Arial Narrow" w:hAnsi="Arial Narrow"/>
                <w:sz w:val="20"/>
                <w:szCs w:val="20"/>
              </w:rPr>
            </w:pPr>
            <w:r w:rsidRPr="00436840">
              <w:rPr>
                <w:rFonts w:ascii="Arial Narrow" w:hAnsi="Arial Narrow"/>
                <w:sz w:val="20"/>
                <w:szCs w:val="20"/>
              </w:rPr>
              <w:t>NLST</w:t>
            </w:r>
            <w:r w:rsidR="00CF490E" w:rsidRPr="00CF490E">
              <w:rPr>
                <w:rFonts w:ascii="Arial Narrow" w:hAnsi="Arial Narrow"/>
                <w:sz w:val="20"/>
                <w:szCs w:val="20"/>
                <w:vertAlign w:val="superscript"/>
              </w:rPr>
              <w:t>1</w:t>
            </w:r>
          </w:p>
          <w:p w14:paraId="530C38FE" w14:textId="25F1269B" w:rsidR="00FD1ECE" w:rsidRPr="00436840" w:rsidRDefault="00FD1ECE" w:rsidP="00FD1ECE">
            <w:pPr>
              <w:rPr>
                <w:rFonts w:ascii="Arial Narrow" w:hAnsi="Arial Narrow"/>
                <w:sz w:val="20"/>
                <w:szCs w:val="20"/>
              </w:rPr>
            </w:pPr>
            <w:r w:rsidRPr="00436840">
              <w:rPr>
                <w:rFonts w:ascii="Arial Narrow" w:hAnsi="Arial Narrow"/>
                <w:sz w:val="20"/>
                <w:szCs w:val="20"/>
              </w:rPr>
              <w:t>NELSON</w:t>
            </w:r>
            <w:r w:rsidRPr="00436840">
              <w:rPr>
                <w:rStyle w:val="FootnoteReference"/>
                <w:rFonts w:ascii="Arial Narrow" w:hAnsi="Arial Narrow"/>
                <w:sz w:val="20"/>
                <w:szCs w:val="20"/>
              </w:rPr>
              <w:footnoteReference w:id="10"/>
            </w:r>
          </w:p>
          <w:p w14:paraId="2F62E24C" w14:textId="4246F3DC" w:rsidR="00352057" w:rsidRPr="00436840" w:rsidRDefault="00352057" w:rsidP="00FD1ECE">
            <w:pPr>
              <w:rPr>
                <w:rFonts w:ascii="Arial Narrow" w:hAnsi="Arial Narrow"/>
                <w:sz w:val="20"/>
                <w:szCs w:val="20"/>
              </w:rPr>
            </w:pPr>
            <w:r w:rsidRPr="00436840">
              <w:rPr>
                <w:rFonts w:ascii="Arial Narrow" w:hAnsi="Arial Narrow"/>
                <w:sz w:val="20"/>
                <w:szCs w:val="20"/>
              </w:rPr>
              <w:t>Weber et al (201</w:t>
            </w:r>
            <w:r w:rsidR="00E97EFE" w:rsidRPr="00436840">
              <w:rPr>
                <w:rFonts w:ascii="Arial Narrow" w:hAnsi="Arial Narrow"/>
                <w:sz w:val="20"/>
                <w:szCs w:val="20"/>
              </w:rPr>
              <w:t>7</w:t>
            </w:r>
            <w:r w:rsidRPr="00436840">
              <w:rPr>
                <w:rFonts w:ascii="Arial Narrow" w:hAnsi="Arial Narrow"/>
                <w:sz w:val="20"/>
                <w:szCs w:val="20"/>
              </w:rPr>
              <w:t>)</w:t>
            </w:r>
            <w:r w:rsidR="006F0472" w:rsidRPr="006F0472">
              <w:rPr>
                <w:rFonts w:ascii="Arial Narrow" w:hAnsi="Arial Narrow"/>
                <w:sz w:val="20"/>
                <w:szCs w:val="20"/>
                <w:vertAlign w:val="superscript"/>
              </w:rPr>
              <w:t>2</w:t>
            </w:r>
          </w:p>
          <w:p w14:paraId="4DF48813" w14:textId="09D61238" w:rsidR="00E97EFE" w:rsidRPr="00436840" w:rsidRDefault="00E97EFE" w:rsidP="00FD1ECE">
            <w:pPr>
              <w:rPr>
                <w:rFonts w:ascii="Arial Narrow" w:hAnsi="Arial Narrow"/>
                <w:sz w:val="20"/>
                <w:szCs w:val="20"/>
              </w:rPr>
            </w:pPr>
            <w:r w:rsidRPr="00436840">
              <w:rPr>
                <w:rFonts w:ascii="Arial Narrow" w:hAnsi="Arial Narrow"/>
                <w:sz w:val="20"/>
                <w:szCs w:val="20"/>
              </w:rPr>
              <w:t>Wade et al (2018)</w:t>
            </w:r>
            <w:r w:rsidR="0097370C" w:rsidRPr="0097370C">
              <w:rPr>
                <w:rFonts w:ascii="Arial Narrow" w:hAnsi="Arial Narrow"/>
                <w:sz w:val="20"/>
                <w:szCs w:val="20"/>
                <w:vertAlign w:val="superscript"/>
              </w:rPr>
              <w:t>7</w:t>
            </w:r>
          </w:p>
          <w:p w14:paraId="1B9B99F3" w14:textId="1683B5EC" w:rsidR="003F4910" w:rsidRPr="00436840" w:rsidRDefault="00352057" w:rsidP="00881EBB">
            <w:pPr>
              <w:rPr>
                <w:rFonts w:ascii="Arial Narrow" w:hAnsi="Arial Narrow"/>
                <w:sz w:val="20"/>
                <w:szCs w:val="20"/>
              </w:rPr>
            </w:pPr>
            <w:r w:rsidRPr="00436840">
              <w:rPr>
                <w:rFonts w:ascii="Arial Narrow" w:hAnsi="Arial Narrow"/>
                <w:sz w:val="20"/>
                <w:szCs w:val="20"/>
              </w:rPr>
              <w:t xml:space="preserve">Ten </w:t>
            </w:r>
            <w:proofErr w:type="spellStart"/>
            <w:r w:rsidRPr="00436840">
              <w:rPr>
                <w:rFonts w:ascii="Arial Narrow" w:hAnsi="Arial Narrow"/>
                <w:sz w:val="20"/>
                <w:szCs w:val="20"/>
              </w:rPr>
              <w:t>Haaf</w:t>
            </w:r>
            <w:proofErr w:type="spellEnd"/>
            <w:r w:rsidRPr="00436840">
              <w:rPr>
                <w:rFonts w:ascii="Arial Narrow" w:hAnsi="Arial Narrow"/>
                <w:sz w:val="20"/>
                <w:szCs w:val="20"/>
              </w:rPr>
              <w:t xml:space="preserve"> et al (2019)</w:t>
            </w:r>
            <w:r w:rsidR="00A80A1C" w:rsidRPr="00A80A1C">
              <w:rPr>
                <w:rFonts w:ascii="Arial Narrow" w:hAnsi="Arial Narrow"/>
                <w:sz w:val="20"/>
                <w:szCs w:val="20"/>
                <w:vertAlign w:val="superscript"/>
              </w:rPr>
              <w:t>3</w:t>
            </w:r>
          </w:p>
        </w:tc>
        <w:tc>
          <w:tcPr>
            <w:tcW w:w="1518" w:type="dxa"/>
          </w:tcPr>
          <w:p w14:paraId="3B6DCB41" w14:textId="499CC2E6" w:rsidR="003F4910" w:rsidRPr="00436840" w:rsidRDefault="003F4910" w:rsidP="006D1A05">
            <w:pPr>
              <w:rPr>
                <w:rFonts w:ascii="Arial Narrow" w:hAnsi="Arial Narrow"/>
                <w:sz w:val="20"/>
                <w:szCs w:val="20"/>
              </w:rPr>
            </w:pPr>
            <w:r w:rsidRPr="00436840">
              <w:rPr>
                <w:rFonts w:ascii="Arial Narrow" w:hAnsi="Arial Narrow"/>
                <w:sz w:val="20"/>
                <w:szCs w:val="20"/>
              </w:rPr>
              <w:t>80</w:t>
            </w:r>
            <w:r w:rsidR="00881EBB" w:rsidRPr="00436840">
              <w:rPr>
                <w:rFonts w:ascii="Arial Narrow" w:hAnsi="Arial Narrow"/>
                <w:sz w:val="20"/>
                <w:szCs w:val="20"/>
              </w:rPr>
              <w:t xml:space="preserve"> </w:t>
            </w:r>
            <w:r w:rsidRPr="00436840">
              <w:rPr>
                <w:rFonts w:ascii="Arial Narrow" w:hAnsi="Arial Narrow"/>
                <w:sz w:val="20"/>
                <w:szCs w:val="20"/>
              </w:rPr>
              <w:t>y</w:t>
            </w:r>
            <w:r w:rsidR="00881EBB" w:rsidRPr="00436840">
              <w:rPr>
                <w:rFonts w:ascii="Arial Narrow" w:hAnsi="Arial Narrow"/>
                <w:sz w:val="20"/>
                <w:szCs w:val="20"/>
              </w:rPr>
              <w:t>ea</w:t>
            </w:r>
            <w:r w:rsidRPr="00436840">
              <w:rPr>
                <w:rFonts w:ascii="Arial Narrow" w:hAnsi="Arial Narrow"/>
                <w:sz w:val="20"/>
                <w:szCs w:val="20"/>
              </w:rPr>
              <w:t>rs</w:t>
            </w:r>
          </w:p>
          <w:p w14:paraId="7E1B5D7E"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No cessation age</w:t>
            </w:r>
          </w:p>
        </w:tc>
        <w:tc>
          <w:tcPr>
            <w:tcW w:w="8280" w:type="dxa"/>
          </w:tcPr>
          <w:p w14:paraId="33804945" w14:textId="15720F84" w:rsidR="00405584" w:rsidRPr="00436840" w:rsidRDefault="00405584" w:rsidP="00405584">
            <w:pPr>
              <w:rPr>
                <w:rFonts w:ascii="Arial Narrow" w:hAnsi="Arial Narrow"/>
                <w:sz w:val="20"/>
                <w:szCs w:val="20"/>
              </w:rPr>
            </w:pPr>
            <w:r w:rsidRPr="00436840">
              <w:rPr>
                <w:rFonts w:ascii="Arial Narrow" w:hAnsi="Arial Narrow"/>
                <w:sz w:val="20"/>
                <w:szCs w:val="20"/>
              </w:rPr>
              <w:t>The two main RCTs, the NLST and the NELSON trial, used an eligible age range of 55-74 years and 50-75 years respectively.</w:t>
            </w:r>
          </w:p>
          <w:p w14:paraId="5E439280" w14:textId="450D5689" w:rsidR="002823B4" w:rsidRPr="00436840" w:rsidRDefault="002823B4" w:rsidP="006D1A05">
            <w:pPr>
              <w:rPr>
                <w:rFonts w:ascii="Arial Narrow" w:hAnsi="Arial Narrow"/>
                <w:sz w:val="20"/>
                <w:szCs w:val="20"/>
                <w:lang w:val="en-GB"/>
              </w:rPr>
            </w:pPr>
            <w:r w:rsidRPr="00436840">
              <w:rPr>
                <w:rFonts w:ascii="Arial Narrow" w:hAnsi="Arial Narrow"/>
                <w:sz w:val="20"/>
                <w:szCs w:val="20"/>
                <w:lang w:val="en-GB"/>
              </w:rPr>
              <w:t>Criss et al (2019)</w:t>
            </w:r>
            <w:r w:rsidR="000C455D" w:rsidRPr="00436840">
              <w:rPr>
                <w:rStyle w:val="FootnoteReference"/>
                <w:rFonts w:ascii="Arial Narrow" w:hAnsi="Arial Narrow"/>
                <w:sz w:val="20"/>
                <w:szCs w:val="20"/>
                <w:lang w:val="en-GB"/>
              </w:rPr>
              <w:footnoteReference w:id="11"/>
            </w:r>
            <w:r w:rsidRPr="00436840">
              <w:rPr>
                <w:rFonts w:ascii="Arial Narrow" w:hAnsi="Arial Narrow"/>
                <w:sz w:val="20"/>
                <w:szCs w:val="20"/>
                <w:lang w:val="en-GB"/>
              </w:rPr>
              <w:t xml:space="preserve"> compared the cost-effectiveness of different stopping ages for different screening strategies and showed that increasing the age at which to stop screening resulted in a greater reduction in mortality but also led to higher costs and higher overdiagnosis rates.</w:t>
            </w:r>
          </w:p>
          <w:p w14:paraId="53A846EF" w14:textId="729874A4" w:rsidR="002823B4" w:rsidRPr="00436840" w:rsidRDefault="002823B4" w:rsidP="006D1A05">
            <w:pPr>
              <w:rPr>
                <w:rFonts w:ascii="Arial Narrow" w:hAnsi="Arial Narrow"/>
                <w:sz w:val="20"/>
                <w:szCs w:val="20"/>
                <w:lang w:val="en-GB"/>
              </w:rPr>
            </w:pPr>
            <w:r w:rsidRPr="00436840">
              <w:rPr>
                <w:rFonts w:ascii="Arial Narrow" w:hAnsi="Arial Narrow"/>
                <w:sz w:val="20"/>
                <w:szCs w:val="20"/>
                <w:lang w:val="en-GB"/>
              </w:rPr>
              <w:t>The age range eligibility criteri</w:t>
            </w:r>
            <w:r w:rsidR="00E01DA0" w:rsidRPr="00436840">
              <w:rPr>
                <w:rFonts w:ascii="Arial Narrow" w:hAnsi="Arial Narrow"/>
                <w:sz w:val="20"/>
                <w:szCs w:val="20"/>
                <w:lang w:val="en-GB"/>
              </w:rPr>
              <w:t>on</w:t>
            </w:r>
            <w:r w:rsidRPr="00436840">
              <w:rPr>
                <w:rFonts w:ascii="Arial Narrow" w:hAnsi="Arial Narrow"/>
                <w:sz w:val="20"/>
                <w:szCs w:val="20"/>
                <w:lang w:val="en-GB"/>
              </w:rPr>
              <w:t xml:space="preserve"> for the NLST was 55-74 years, and this age range has been used in many of the cost-effectiveness studies, including that in Australia by </w:t>
            </w:r>
            <w:r w:rsidR="000C455D" w:rsidRPr="00436840">
              <w:rPr>
                <w:rFonts w:ascii="Arial Narrow" w:hAnsi="Arial Narrow"/>
                <w:sz w:val="20"/>
                <w:szCs w:val="20"/>
                <w:lang w:val="en-GB"/>
              </w:rPr>
              <w:t>Wade et al (2018)</w:t>
            </w:r>
            <w:r w:rsidR="0097370C" w:rsidRPr="0097370C">
              <w:rPr>
                <w:rFonts w:ascii="Arial Narrow" w:hAnsi="Arial Narrow"/>
                <w:sz w:val="20"/>
                <w:szCs w:val="20"/>
                <w:vertAlign w:val="superscript"/>
                <w:lang w:val="en-GB"/>
              </w:rPr>
              <w:t>7</w:t>
            </w:r>
            <w:r w:rsidR="000C455D" w:rsidRPr="00436840">
              <w:rPr>
                <w:rFonts w:ascii="Arial Narrow" w:hAnsi="Arial Narrow"/>
                <w:sz w:val="20"/>
                <w:szCs w:val="20"/>
                <w:lang w:val="en-GB"/>
              </w:rPr>
              <w:t>, in the US by Kumar et al 2018</w:t>
            </w:r>
            <w:r w:rsidR="00416BAC" w:rsidRPr="00416BAC">
              <w:rPr>
                <w:rFonts w:ascii="Arial Narrow" w:hAnsi="Arial Narrow"/>
                <w:sz w:val="20"/>
                <w:szCs w:val="20"/>
                <w:vertAlign w:val="superscript"/>
                <w:lang w:val="en-GB"/>
              </w:rPr>
              <w:t>8</w:t>
            </w:r>
            <w:r w:rsidR="000C455D" w:rsidRPr="00436840">
              <w:rPr>
                <w:rFonts w:ascii="Arial Narrow" w:hAnsi="Arial Narrow"/>
                <w:sz w:val="20"/>
                <w:szCs w:val="20"/>
                <w:lang w:val="en-GB"/>
              </w:rPr>
              <w:t>, and in Taiwan (Yang et al 2018)</w:t>
            </w:r>
            <w:r w:rsidR="00416BAC" w:rsidRPr="00416BAC">
              <w:rPr>
                <w:rFonts w:ascii="Arial Narrow" w:hAnsi="Arial Narrow"/>
                <w:sz w:val="20"/>
                <w:szCs w:val="20"/>
                <w:vertAlign w:val="superscript"/>
                <w:lang w:val="en-GB"/>
              </w:rPr>
              <w:t>9</w:t>
            </w:r>
            <w:r w:rsidR="000C455D" w:rsidRPr="00436840">
              <w:rPr>
                <w:rFonts w:ascii="Arial Narrow" w:hAnsi="Arial Narrow"/>
                <w:sz w:val="20"/>
                <w:szCs w:val="20"/>
                <w:lang w:val="en-GB"/>
              </w:rPr>
              <w:t>, all of which have shown cost-effectiveness using this screening age range in a variety of models</w:t>
            </w:r>
            <w:r w:rsidR="00ED4578" w:rsidRPr="00436840">
              <w:rPr>
                <w:rFonts w:ascii="Arial Narrow" w:hAnsi="Arial Narrow"/>
                <w:sz w:val="20"/>
                <w:szCs w:val="20"/>
                <w:lang w:val="en-GB"/>
              </w:rPr>
              <w:t>.</w:t>
            </w:r>
          </w:p>
          <w:p w14:paraId="40BAF18E" w14:textId="4CC6D507" w:rsidR="00881EBB" w:rsidRPr="00436840" w:rsidRDefault="00881EBB" w:rsidP="006D1A05">
            <w:pPr>
              <w:rPr>
                <w:rFonts w:ascii="Arial Narrow" w:hAnsi="Arial Narrow"/>
                <w:sz w:val="20"/>
                <w:szCs w:val="20"/>
                <w:lang w:val="en-GB"/>
              </w:rPr>
            </w:pPr>
            <w:r w:rsidRPr="00436840">
              <w:rPr>
                <w:rFonts w:ascii="Arial Narrow" w:hAnsi="Arial Narrow"/>
                <w:sz w:val="20"/>
                <w:szCs w:val="20"/>
                <w:lang w:val="en-GB"/>
              </w:rPr>
              <w:t xml:space="preserve">The </w:t>
            </w:r>
            <w:bookmarkStart w:id="3" w:name="_Hlk85994973"/>
            <w:r w:rsidRPr="00436840">
              <w:rPr>
                <w:rFonts w:ascii="Arial Narrow" w:hAnsi="Arial Narrow"/>
                <w:sz w:val="20"/>
                <w:szCs w:val="20"/>
                <w:lang w:val="en-GB"/>
              </w:rPr>
              <w:t>United States Preventive Services Taskforce (</w:t>
            </w:r>
            <w:bookmarkEnd w:id="3"/>
            <w:r w:rsidRPr="00436840">
              <w:rPr>
                <w:rFonts w:ascii="Arial Narrow" w:hAnsi="Arial Narrow"/>
                <w:sz w:val="20"/>
                <w:szCs w:val="20"/>
                <w:lang w:val="en-GB"/>
              </w:rPr>
              <w:t>USPSTF) made a recommendation in 2013 to extend the previously recommended age inclusion criterion from 55-74 years as used in the NLST, to 55-80 years (USPSTF 2013). The Centers for Medicare &amp; Medicaid Services (CMS 2015) later indicated that there was inadequate evidence to cover LDCT screening for individuals outside of the range of 55-77 years of age.</w:t>
            </w:r>
          </w:p>
          <w:p w14:paraId="09CF5526" w14:textId="13B66C4F" w:rsidR="00352057" w:rsidRPr="00436840" w:rsidRDefault="00352057" w:rsidP="006D1A05">
            <w:pPr>
              <w:rPr>
                <w:rFonts w:ascii="Arial Narrow" w:hAnsi="Arial Narrow"/>
                <w:sz w:val="20"/>
                <w:szCs w:val="20"/>
              </w:rPr>
            </w:pPr>
            <w:r w:rsidRPr="00436840">
              <w:rPr>
                <w:rFonts w:ascii="Arial Narrow" w:hAnsi="Arial Narrow"/>
                <w:sz w:val="20"/>
                <w:szCs w:val="20"/>
              </w:rPr>
              <w:t xml:space="preserve">Ten </w:t>
            </w:r>
            <w:proofErr w:type="spellStart"/>
            <w:r w:rsidRPr="00436840">
              <w:rPr>
                <w:rFonts w:ascii="Arial Narrow" w:hAnsi="Arial Narrow"/>
                <w:sz w:val="20"/>
                <w:szCs w:val="20"/>
              </w:rPr>
              <w:t>Haaf</w:t>
            </w:r>
            <w:proofErr w:type="spellEnd"/>
            <w:r w:rsidRPr="00436840">
              <w:rPr>
                <w:rFonts w:ascii="Arial Narrow" w:hAnsi="Arial Narrow"/>
                <w:sz w:val="20"/>
                <w:szCs w:val="20"/>
              </w:rPr>
              <w:t xml:space="preserve"> et al (2019)</w:t>
            </w:r>
            <w:r w:rsidR="00A80A1C" w:rsidRPr="00A80A1C">
              <w:rPr>
                <w:rFonts w:ascii="Arial Narrow" w:hAnsi="Arial Narrow"/>
                <w:sz w:val="20"/>
                <w:szCs w:val="20"/>
                <w:vertAlign w:val="superscript"/>
              </w:rPr>
              <w:t>3</w:t>
            </w:r>
            <w:r w:rsidRPr="00436840">
              <w:rPr>
                <w:rFonts w:ascii="Arial Narrow" w:hAnsi="Arial Narrow"/>
                <w:sz w:val="20"/>
                <w:szCs w:val="20"/>
              </w:rPr>
              <w:t xml:space="preserve"> compared selected risk-based for stopping ages of 77 and 75 years and found similar comparative effectiveness to the USPSTF stopping age of 80 years. It was noted that the risk thresholds corresponding to selected outcomes differed slightly by stopping ages, however no further detail was provided.</w:t>
            </w:r>
          </w:p>
          <w:p w14:paraId="299073D8" w14:textId="0C643011" w:rsidR="00352057" w:rsidRPr="00436840" w:rsidRDefault="00E97EFE" w:rsidP="006D1A05">
            <w:pPr>
              <w:rPr>
                <w:rFonts w:ascii="Arial Narrow" w:eastAsia="Calibri" w:hAnsi="Arial Narrow"/>
                <w:sz w:val="20"/>
                <w:szCs w:val="20"/>
                <w:lang w:val="en-GB"/>
              </w:rPr>
            </w:pPr>
            <w:r w:rsidRPr="00436840">
              <w:rPr>
                <w:rFonts w:ascii="Arial Narrow" w:hAnsi="Arial Narrow"/>
                <w:sz w:val="20"/>
                <w:szCs w:val="20"/>
                <w:lang w:val="en-GB" w:eastAsia="en-AU"/>
              </w:rPr>
              <w:t>Ten Haaf et al also considered risk-based strategies screening between ages 55 and 80 years and accounting for limited life expectancy (i.e., excluding individuals with life expectancies &lt;5years), which showed greater selection efficiency than USPSTF criteria (2019). Based on the</w:t>
            </w:r>
            <w:r w:rsidR="00707AD7">
              <w:rPr>
                <w:rFonts w:ascii="Arial Narrow" w:hAnsi="Arial Narrow"/>
                <w:sz w:val="20"/>
                <w:szCs w:val="20"/>
                <w:lang w:val="en-GB" w:eastAsia="en-AU"/>
              </w:rPr>
              <w:t>se</w:t>
            </w:r>
            <w:r w:rsidRPr="00436840">
              <w:rPr>
                <w:rFonts w:ascii="Arial Narrow" w:hAnsi="Arial Narrow"/>
                <w:sz w:val="20"/>
                <w:szCs w:val="20"/>
                <w:lang w:val="en-GB" w:eastAsia="en-AU"/>
              </w:rPr>
              <w:t xml:space="preserve"> findings, life-expectancy information could augment risk estimates to personalise screening stopping ages and may allow for personalised overdiagnosis risk assessments.</w:t>
            </w:r>
          </w:p>
          <w:p w14:paraId="7ADEA5A7" w14:textId="7C4585EE" w:rsidR="0000424A" w:rsidRPr="00436840" w:rsidRDefault="00E97EFE" w:rsidP="00707AD7">
            <w:pPr>
              <w:rPr>
                <w:rFonts w:ascii="Arial Narrow" w:hAnsi="Arial Narrow"/>
                <w:sz w:val="20"/>
                <w:szCs w:val="20"/>
                <w:lang w:val="en-GB"/>
              </w:rPr>
            </w:pPr>
            <w:r w:rsidRPr="00436840">
              <w:rPr>
                <w:rFonts w:ascii="Arial Narrow" w:hAnsi="Arial Narrow"/>
                <w:sz w:val="20"/>
                <w:szCs w:val="20"/>
              </w:rPr>
              <w:t>In the National Health Service (NHS) protocol in the UK, participants ‘exit the program at 75 or 76 years of age, depending on whether the timing of the final LDCT is 12 or 24 months from baseline</w:t>
            </w:r>
            <w:r w:rsidR="00707AD7">
              <w:rPr>
                <w:rFonts w:ascii="Arial Narrow" w:hAnsi="Arial Narrow"/>
                <w:sz w:val="20"/>
                <w:szCs w:val="20"/>
              </w:rPr>
              <w:t>’</w:t>
            </w:r>
            <w:r w:rsidR="00D7206A" w:rsidRPr="00436840">
              <w:rPr>
                <w:rStyle w:val="FootnoteReference"/>
                <w:rFonts w:ascii="Arial Narrow" w:hAnsi="Arial Narrow"/>
                <w:sz w:val="20"/>
                <w:szCs w:val="20"/>
              </w:rPr>
              <w:footnoteReference w:id="12"/>
            </w:r>
            <w:r w:rsidR="00D7206A" w:rsidRPr="00436840">
              <w:rPr>
                <w:rFonts w:ascii="Arial Narrow" w:hAnsi="Arial Narrow"/>
                <w:sz w:val="20"/>
                <w:szCs w:val="20"/>
              </w:rPr>
              <w:t>.</w:t>
            </w:r>
          </w:p>
        </w:tc>
        <w:tc>
          <w:tcPr>
            <w:tcW w:w="1215" w:type="dxa"/>
          </w:tcPr>
          <w:p w14:paraId="4A85F3AD"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No</w:t>
            </w:r>
          </w:p>
        </w:tc>
        <w:tc>
          <w:tcPr>
            <w:tcW w:w="1704" w:type="dxa"/>
          </w:tcPr>
          <w:p w14:paraId="0FE1FF01" w14:textId="7FCDD7E6" w:rsidR="003F4910" w:rsidRPr="00436840" w:rsidRDefault="003F4910" w:rsidP="006D1A05">
            <w:pPr>
              <w:rPr>
                <w:rFonts w:ascii="Arial Narrow" w:hAnsi="Arial Narrow"/>
                <w:sz w:val="20"/>
                <w:szCs w:val="20"/>
              </w:rPr>
            </w:pPr>
            <w:r w:rsidRPr="00436840">
              <w:rPr>
                <w:rFonts w:ascii="Arial Narrow" w:hAnsi="Arial Narrow"/>
                <w:sz w:val="20"/>
                <w:szCs w:val="20"/>
              </w:rPr>
              <w:t>Yes</w:t>
            </w:r>
            <w:r w:rsidR="005D05E5" w:rsidRPr="00436840">
              <w:rPr>
                <w:rFonts w:ascii="Arial Narrow" w:hAnsi="Arial Narrow"/>
                <w:sz w:val="20"/>
                <w:szCs w:val="20"/>
              </w:rPr>
              <w:t xml:space="preserve"> (</w:t>
            </w:r>
            <w:r w:rsidR="00881EBB" w:rsidRPr="00436840">
              <w:rPr>
                <w:rFonts w:ascii="Arial Narrow" w:hAnsi="Arial Narrow"/>
                <w:sz w:val="20"/>
                <w:szCs w:val="20"/>
              </w:rPr>
              <w:t>T</w:t>
            </w:r>
            <w:r w:rsidR="005D05E5" w:rsidRPr="00436840">
              <w:rPr>
                <w:rFonts w:ascii="Arial Narrow" w:hAnsi="Arial Narrow"/>
                <w:sz w:val="20"/>
                <w:szCs w:val="20"/>
              </w:rPr>
              <w:t>able 54 in economic evaluation</w:t>
            </w:r>
            <w:r w:rsidR="00A33569">
              <w:rPr>
                <w:rFonts w:ascii="Arial Narrow" w:hAnsi="Arial Narrow"/>
                <w:sz w:val="20"/>
                <w:szCs w:val="20"/>
              </w:rPr>
              <w:t xml:space="preserve"> report</w:t>
            </w:r>
            <w:r w:rsidR="005D05E5" w:rsidRPr="00436840">
              <w:rPr>
                <w:rFonts w:ascii="Arial Narrow" w:hAnsi="Arial Narrow"/>
                <w:sz w:val="20"/>
                <w:szCs w:val="20"/>
              </w:rPr>
              <w:t>)</w:t>
            </w:r>
          </w:p>
        </w:tc>
      </w:tr>
      <w:tr w:rsidR="000D1C01" w:rsidRPr="00436840" w14:paraId="6D2E061F" w14:textId="77777777" w:rsidTr="003A350D">
        <w:tc>
          <w:tcPr>
            <w:tcW w:w="2379" w:type="dxa"/>
          </w:tcPr>
          <w:p w14:paraId="6AD3297D" w14:textId="7A94BFE8" w:rsidR="003F4910" w:rsidRPr="00436840" w:rsidRDefault="003F4910" w:rsidP="006D1A05">
            <w:pPr>
              <w:rPr>
                <w:rFonts w:ascii="Arial Narrow" w:hAnsi="Arial Narrow"/>
                <w:b/>
                <w:sz w:val="20"/>
                <w:szCs w:val="20"/>
              </w:rPr>
            </w:pPr>
            <w:r w:rsidRPr="00436840">
              <w:rPr>
                <w:rFonts w:ascii="Arial Narrow" w:hAnsi="Arial Narrow"/>
                <w:b/>
                <w:sz w:val="20"/>
                <w:szCs w:val="20"/>
              </w:rPr>
              <w:t xml:space="preserve">Risk </w:t>
            </w:r>
            <w:r w:rsidR="00942A9C" w:rsidRPr="00436840">
              <w:rPr>
                <w:rFonts w:ascii="Arial Narrow" w:hAnsi="Arial Narrow"/>
                <w:b/>
                <w:sz w:val="20"/>
                <w:szCs w:val="20"/>
              </w:rPr>
              <w:t>prediction</w:t>
            </w:r>
            <w:r w:rsidRPr="00436840">
              <w:rPr>
                <w:rFonts w:ascii="Arial Narrow" w:hAnsi="Arial Narrow"/>
                <w:b/>
                <w:sz w:val="20"/>
                <w:szCs w:val="20"/>
              </w:rPr>
              <w:t xml:space="preserve"> tool for initial referral or not to LDCT</w:t>
            </w:r>
          </w:p>
        </w:tc>
        <w:tc>
          <w:tcPr>
            <w:tcW w:w="1435" w:type="dxa"/>
          </w:tcPr>
          <w:p w14:paraId="41EB985F"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PLCOm2012</w:t>
            </w:r>
          </w:p>
        </w:tc>
        <w:tc>
          <w:tcPr>
            <w:tcW w:w="4390" w:type="dxa"/>
          </w:tcPr>
          <w:p w14:paraId="114DF10B" w14:textId="00CB38B0" w:rsidR="003F4910" w:rsidRPr="00436840" w:rsidRDefault="003F4910" w:rsidP="006D1A05">
            <w:pPr>
              <w:rPr>
                <w:rFonts w:ascii="Arial Narrow" w:hAnsi="Arial Narrow"/>
                <w:sz w:val="20"/>
                <w:szCs w:val="20"/>
              </w:rPr>
            </w:pPr>
            <w:r w:rsidRPr="00436840">
              <w:rPr>
                <w:rFonts w:ascii="Arial Narrow" w:hAnsi="Arial Narrow"/>
                <w:sz w:val="20"/>
                <w:szCs w:val="20"/>
              </w:rPr>
              <w:t xml:space="preserve">Weber M, </w:t>
            </w:r>
            <w:r w:rsidR="00FD1ECE" w:rsidRPr="00436840">
              <w:rPr>
                <w:rFonts w:ascii="Arial Narrow" w:hAnsi="Arial Narrow"/>
                <w:sz w:val="20"/>
                <w:szCs w:val="20"/>
              </w:rPr>
              <w:t>et al 2017</w:t>
            </w:r>
            <w:r w:rsidR="006F0472" w:rsidRPr="006F0472">
              <w:rPr>
                <w:rFonts w:ascii="Arial Narrow" w:hAnsi="Arial Narrow"/>
                <w:sz w:val="20"/>
                <w:szCs w:val="20"/>
                <w:vertAlign w:val="superscript"/>
              </w:rPr>
              <w:t>2</w:t>
            </w:r>
          </w:p>
          <w:p w14:paraId="7624FA40" w14:textId="36AF2B26" w:rsidR="003F4910" w:rsidRPr="00436840" w:rsidRDefault="003F4910" w:rsidP="006D1A05">
            <w:pPr>
              <w:rPr>
                <w:rFonts w:ascii="Arial Narrow" w:hAnsi="Arial Narrow"/>
                <w:sz w:val="20"/>
                <w:szCs w:val="20"/>
              </w:rPr>
            </w:pPr>
            <w:r w:rsidRPr="00436840">
              <w:rPr>
                <w:rFonts w:ascii="Arial Narrow" w:hAnsi="Arial Narrow"/>
                <w:sz w:val="20"/>
                <w:szCs w:val="20"/>
              </w:rPr>
              <w:t>Tammemagi MC,</w:t>
            </w:r>
            <w:r w:rsidR="00FD1ECE" w:rsidRPr="00436840">
              <w:rPr>
                <w:rFonts w:ascii="Arial Narrow" w:hAnsi="Arial Narrow"/>
                <w:sz w:val="20"/>
                <w:szCs w:val="20"/>
              </w:rPr>
              <w:t xml:space="preserve"> et al 2014</w:t>
            </w:r>
            <w:r w:rsidR="00FD1ECE" w:rsidRPr="00436840">
              <w:rPr>
                <w:rStyle w:val="FootnoteReference"/>
                <w:rFonts w:ascii="Arial Narrow" w:hAnsi="Arial Narrow"/>
                <w:sz w:val="20"/>
                <w:szCs w:val="20"/>
              </w:rPr>
              <w:footnoteReference w:id="13"/>
            </w:r>
          </w:p>
        </w:tc>
        <w:tc>
          <w:tcPr>
            <w:tcW w:w="1518" w:type="dxa"/>
          </w:tcPr>
          <w:p w14:paraId="03A15F7E" w14:textId="096146E4" w:rsidR="003F4910" w:rsidRPr="00436840" w:rsidRDefault="003F4910" w:rsidP="006D1A05">
            <w:pPr>
              <w:rPr>
                <w:rFonts w:ascii="Arial Narrow" w:hAnsi="Arial Narrow"/>
                <w:sz w:val="20"/>
                <w:szCs w:val="20"/>
              </w:rPr>
            </w:pPr>
            <w:r w:rsidRPr="00436840">
              <w:rPr>
                <w:rFonts w:ascii="Arial Narrow" w:hAnsi="Arial Narrow"/>
                <w:sz w:val="20"/>
                <w:szCs w:val="20"/>
              </w:rPr>
              <w:t>PLCOm2014</w:t>
            </w:r>
          </w:p>
          <w:p w14:paraId="60D90A29" w14:textId="23D51744" w:rsidR="003F4910" w:rsidRPr="00436840" w:rsidRDefault="003F4910" w:rsidP="006D1A05">
            <w:pPr>
              <w:rPr>
                <w:rFonts w:ascii="Arial Narrow" w:hAnsi="Arial Narrow"/>
                <w:sz w:val="20"/>
                <w:szCs w:val="20"/>
              </w:rPr>
            </w:pPr>
            <w:r w:rsidRPr="00436840">
              <w:rPr>
                <w:rFonts w:ascii="Arial Narrow" w:hAnsi="Arial Narrow"/>
                <w:sz w:val="20"/>
                <w:szCs w:val="20"/>
              </w:rPr>
              <w:t>LCDRAT</w:t>
            </w:r>
            <w:r w:rsidR="007262E1" w:rsidRPr="00436840">
              <w:rPr>
                <w:rFonts w:ascii="Arial Narrow" w:hAnsi="Arial Narrow"/>
                <w:sz w:val="20"/>
                <w:szCs w:val="20"/>
              </w:rPr>
              <w:t>/LCRAT</w:t>
            </w:r>
          </w:p>
          <w:p w14:paraId="0167B93D" w14:textId="5A77031B" w:rsidR="003F4910" w:rsidRPr="00436840" w:rsidRDefault="003F4910" w:rsidP="006D1A05">
            <w:pPr>
              <w:rPr>
                <w:rFonts w:ascii="Arial Narrow" w:hAnsi="Arial Narrow"/>
                <w:sz w:val="20"/>
                <w:szCs w:val="20"/>
              </w:rPr>
            </w:pPr>
            <w:r w:rsidRPr="00436840">
              <w:rPr>
                <w:rFonts w:ascii="Arial Narrow" w:hAnsi="Arial Narrow"/>
                <w:sz w:val="20"/>
                <w:szCs w:val="20"/>
              </w:rPr>
              <w:t>Bach</w:t>
            </w:r>
          </w:p>
          <w:p w14:paraId="033A13AF"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Liverpool Lung Project LLP2008, LLPv2</w:t>
            </w:r>
          </w:p>
          <w:p w14:paraId="6611CEBB"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Spitz models</w:t>
            </w:r>
          </w:p>
          <w:p w14:paraId="06466B08" w14:textId="40E63B72" w:rsidR="003F4910" w:rsidRPr="00436840" w:rsidRDefault="003F4910" w:rsidP="00881EBB">
            <w:pPr>
              <w:rPr>
                <w:rFonts w:ascii="Arial Narrow" w:hAnsi="Arial Narrow"/>
                <w:sz w:val="20"/>
                <w:szCs w:val="20"/>
              </w:rPr>
            </w:pPr>
            <w:r w:rsidRPr="00436840">
              <w:rPr>
                <w:rFonts w:ascii="Arial Narrow" w:hAnsi="Arial Narrow"/>
                <w:sz w:val="20"/>
                <w:szCs w:val="20"/>
              </w:rPr>
              <w:lastRenderedPageBreak/>
              <w:t xml:space="preserve">USPSTF </w:t>
            </w:r>
            <w:r w:rsidR="00881EBB" w:rsidRPr="00436840">
              <w:rPr>
                <w:rFonts w:ascii="Arial Narrow" w:hAnsi="Arial Narrow"/>
                <w:sz w:val="20"/>
                <w:szCs w:val="20"/>
              </w:rPr>
              <w:t>e</w:t>
            </w:r>
            <w:r w:rsidRPr="00436840">
              <w:rPr>
                <w:rFonts w:ascii="Arial Narrow" w:hAnsi="Arial Narrow"/>
                <w:sz w:val="20"/>
                <w:szCs w:val="20"/>
              </w:rPr>
              <w:t>ligibility criteria</w:t>
            </w:r>
          </w:p>
        </w:tc>
        <w:tc>
          <w:tcPr>
            <w:tcW w:w="8280" w:type="dxa"/>
          </w:tcPr>
          <w:p w14:paraId="1B2231D4" w14:textId="2699AC15" w:rsidR="00A16EAB" w:rsidRPr="00436840" w:rsidRDefault="00A16EAB" w:rsidP="00A16EAB">
            <w:pPr>
              <w:spacing w:before="0" w:after="120"/>
              <w:rPr>
                <w:rFonts w:ascii="Arial Narrow" w:hAnsi="Arial Narrow"/>
                <w:i/>
                <w:sz w:val="20"/>
                <w:szCs w:val="20"/>
              </w:rPr>
            </w:pPr>
            <w:r w:rsidRPr="00436840">
              <w:rPr>
                <w:rFonts w:ascii="Arial Narrow" w:hAnsi="Arial Narrow"/>
                <w:i/>
                <w:sz w:val="20"/>
                <w:szCs w:val="20"/>
              </w:rPr>
              <w:lastRenderedPageBreak/>
              <w:t xml:space="preserve">See </w:t>
            </w:r>
            <w:r w:rsidR="00707AD7">
              <w:rPr>
                <w:rFonts w:ascii="Arial Narrow" w:hAnsi="Arial Narrow"/>
                <w:i/>
                <w:sz w:val="20"/>
                <w:szCs w:val="20"/>
              </w:rPr>
              <w:t>A</w:t>
            </w:r>
            <w:r w:rsidRPr="00436840">
              <w:rPr>
                <w:rFonts w:ascii="Arial Narrow" w:hAnsi="Arial Narrow"/>
                <w:i/>
                <w:sz w:val="20"/>
                <w:szCs w:val="20"/>
              </w:rPr>
              <w:t xml:space="preserve">ttachment </w:t>
            </w:r>
            <w:r w:rsidR="004E3B6F">
              <w:rPr>
                <w:rFonts w:ascii="Arial Narrow" w:hAnsi="Arial Narrow"/>
                <w:i/>
                <w:sz w:val="20"/>
                <w:szCs w:val="20"/>
              </w:rPr>
              <w:t>4</w:t>
            </w:r>
            <w:r w:rsidRPr="00436840">
              <w:rPr>
                <w:rFonts w:ascii="Arial Narrow" w:hAnsi="Arial Narrow"/>
                <w:i/>
                <w:sz w:val="20"/>
                <w:szCs w:val="20"/>
              </w:rPr>
              <w:t xml:space="preserve"> below.</w:t>
            </w:r>
          </w:p>
          <w:p w14:paraId="5684BF50" w14:textId="17A9930B" w:rsidR="003F4910" w:rsidRPr="00436840" w:rsidRDefault="003F4910" w:rsidP="006D1A05">
            <w:pPr>
              <w:spacing w:before="0" w:after="120"/>
              <w:rPr>
                <w:rFonts w:ascii="Arial Narrow" w:hAnsi="Arial Narrow"/>
                <w:sz w:val="20"/>
                <w:szCs w:val="20"/>
              </w:rPr>
            </w:pPr>
            <w:r w:rsidRPr="00436840">
              <w:rPr>
                <w:rFonts w:ascii="Arial Narrow" w:hAnsi="Arial Narrow"/>
                <w:sz w:val="20"/>
                <w:szCs w:val="20"/>
              </w:rPr>
              <w:t xml:space="preserve">Risk </w:t>
            </w:r>
            <w:r w:rsidR="00942A9C" w:rsidRPr="00436840">
              <w:rPr>
                <w:rFonts w:ascii="Arial Narrow" w:hAnsi="Arial Narrow"/>
                <w:sz w:val="20"/>
                <w:szCs w:val="20"/>
              </w:rPr>
              <w:t>prediction</w:t>
            </w:r>
            <w:r w:rsidRPr="00436840">
              <w:rPr>
                <w:rFonts w:ascii="Arial Narrow" w:hAnsi="Arial Narrow"/>
                <w:sz w:val="20"/>
                <w:szCs w:val="20"/>
              </w:rPr>
              <w:t xml:space="preserve"> tools, which use algorithms to calculate an individual’s risk of lung cancer based on a combination of a variety of established sociodemographic and health-related factors, perform better in the identification of individuals for targeted lung cancer screening than eligibility criteria of age and smoking alone.</w:t>
            </w:r>
          </w:p>
          <w:p w14:paraId="3AE24941" w14:textId="69F1EB1C" w:rsidR="00A16EAB" w:rsidRPr="00436840" w:rsidRDefault="003F4910" w:rsidP="006D1A05">
            <w:pPr>
              <w:spacing w:before="0" w:after="120"/>
              <w:rPr>
                <w:rFonts w:ascii="Arial Narrow" w:hAnsi="Arial Narrow"/>
                <w:sz w:val="20"/>
                <w:szCs w:val="20"/>
              </w:rPr>
            </w:pPr>
            <w:r w:rsidRPr="00436840">
              <w:rPr>
                <w:rFonts w:ascii="Arial Narrow" w:hAnsi="Arial Narrow"/>
                <w:sz w:val="20"/>
                <w:szCs w:val="20"/>
              </w:rPr>
              <w:t>The PLCOm2012 model has consistently performed well in validation studies and is referenced in international screening guidelines and program protocols, is currently the only risk prediction model to be tested in an Australian population</w:t>
            </w:r>
            <w:r w:rsidR="00707AD7">
              <w:rPr>
                <w:rFonts w:ascii="Arial Narrow" w:hAnsi="Arial Narrow"/>
                <w:sz w:val="20"/>
                <w:szCs w:val="20"/>
              </w:rPr>
              <w:t>,</w:t>
            </w:r>
            <w:r w:rsidRPr="00436840">
              <w:rPr>
                <w:rFonts w:ascii="Arial Narrow" w:hAnsi="Arial Narrow"/>
                <w:sz w:val="20"/>
                <w:szCs w:val="20"/>
              </w:rPr>
              <w:t xml:space="preserve"> and has shown positive interim results in the International Lung Screening Trial (ILST). At present, it is the most feasible model for a national LDCT</w:t>
            </w:r>
            <w:r w:rsidR="00707AD7">
              <w:rPr>
                <w:rFonts w:ascii="Arial Narrow" w:hAnsi="Arial Narrow"/>
                <w:sz w:val="20"/>
                <w:szCs w:val="20"/>
              </w:rPr>
              <w:t>-based</w:t>
            </w:r>
            <w:r w:rsidRPr="00436840">
              <w:rPr>
                <w:rFonts w:ascii="Arial Narrow" w:hAnsi="Arial Narrow"/>
                <w:sz w:val="20"/>
                <w:szCs w:val="20"/>
              </w:rPr>
              <w:t xml:space="preserve"> screening program in Australia.</w:t>
            </w:r>
          </w:p>
          <w:p w14:paraId="7D9A4616" w14:textId="77777777" w:rsidR="003F4910" w:rsidRPr="00436840" w:rsidRDefault="003F4910" w:rsidP="006D1A05">
            <w:pPr>
              <w:spacing w:before="0" w:after="120"/>
              <w:rPr>
                <w:rFonts w:ascii="Arial Narrow" w:hAnsi="Arial Narrow"/>
                <w:sz w:val="20"/>
                <w:szCs w:val="20"/>
              </w:rPr>
            </w:pPr>
            <w:r w:rsidRPr="00436840">
              <w:rPr>
                <w:rFonts w:ascii="Arial Narrow" w:hAnsi="Arial Narrow"/>
                <w:sz w:val="20"/>
                <w:szCs w:val="20"/>
              </w:rPr>
              <w:lastRenderedPageBreak/>
              <w:t>Using a risk prediction model to select individuals at high-risk of lung cancer improves screening effectiveness and efficiency compared to using age and smoking status/history eligibility criteria (e.g. NLST) alone.</w:t>
            </w:r>
          </w:p>
          <w:p w14:paraId="197B7D76" w14:textId="00D57E6C" w:rsidR="003F4910" w:rsidRPr="00436840" w:rsidRDefault="003F4910" w:rsidP="006D1A05">
            <w:pPr>
              <w:rPr>
                <w:rFonts w:ascii="Arial Narrow" w:hAnsi="Arial Narrow"/>
                <w:sz w:val="20"/>
                <w:szCs w:val="20"/>
              </w:rPr>
            </w:pPr>
            <w:r w:rsidRPr="00436840">
              <w:rPr>
                <w:rFonts w:ascii="Arial Narrow" w:hAnsi="Arial Narrow"/>
                <w:sz w:val="20"/>
                <w:szCs w:val="20"/>
              </w:rPr>
              <w:t>Tammemagi (2019)</w:t>
            </w:r>
            <w:r w:rsidR="000C455D" w:rsidRPr="00436840">
              <w:rPr>
                <w:rStyle w:val="FootnoteReference"/>
                <w:rFonts w:ascii="Arial Narrow" w:hAnsi="Arial Narrow"/>
                <w:sz w:val="20"/>
                <w:szCs w:val="20"/>
              </w:rPr>
              <w:footnoteReference w:id="14"/>
            </w:r>
            <w:r w:rsidRPr="00436840">
              <w:rPr>
                <w:rFonts w:ascii="Arial Narrow" w:hAnsi="Arial Narrow"/>
                <w:sz w:val="20"/>
                <w:szCs w:val="20"/>
              </w:rPr>
              <w:t xml:space="preserve"> demonstrated that, compared with NLST-like criteria, accurate lung cancer risk prediction models are more sensitive in selecting individuals who develop lung cancer, have higher positive predictive values, have a lower number needed to screen to avert 1 lung cancer death, and are more cost effective.</w:t>
            </w:r>
          </w:p>
          <w:p w14:paraId="5D151843" w14:textId="77777777" w:rsidR="00D4529B" w:rsidRPr="00436840" w:rsidRDefault="00D4529B" w:rsidP="00D4529B">
            <w:pPr>
              <w:rPr>
                <w:rFonts w:ascii="Arial Narrow" w:hAnsi="Arial Narrow"/>
                <w:sz w:val="20"/>
                <w:szCs w:val="20"/>
              </w:rPr>
            </w:pPr>
            <w:r w:rsidRPr="00436840">
              <w:rPr>
                <w:rFonts w:ascii="Arial Narrow" w:hAnsi="Arial Narrow"/>
                <w:sz w:val="20"/>
                <w:szCs w:val="20"/>
              </w:rPr>
              <w:t>PLCOm2012 is the model showing best concordance between numbers of lung cancer cases predicted and reported in registries</w:t>
            </w:r>
            <w:r w:rsidRPr="00436840">
              <w:rPr>
                <w:rStyle w:val="FootnoteReference"/>
                <w:rFonts w:ascii="Arial Narrow" w:hAnsi="Arial Narrow"/>
                <w:sz w:val="20"/>
                <w:szCs w:val="20"/>
              </w:rPr>
              <w:footnoteReference w:id="15"/>
            </w:r>
            <w:r w:rsidRPr="00436840">
              <w:rPr>
                <w:rFonts w:ascii="Arial Narrow" w:hAnsi="Arial Narrow"/>
                <w:sz w:val="20"/>
                <w:szCs w:val="20"/>
              </w:rPr>
              <w:t>.</w:t>
            </w:r>
          </w:p>
          <w:p w14:paraId="225686BC" w14:textId="3DA89F28" w:rsidR="007262E1" w:rsidRPr="00436840" w:rsidRDefault="007262E1" w:rsidP="007262E1">
            <w:pPr>
              <w:rPr>
                <w:rFonts w:ascii="Arial Narrow" w:hAnsi="Arial Narrow"/>
                <w:sz w:val="20"/>
                <w:szCs w:val="20"/>
              </w:rPr>
            </w:pPr>
            <w:r w:rsidRPr="00436840">
              <w:rPr>
                <w:rFonts w:ascii="Arial Narrow" w:hAnsi="Arial Narrow"/>
                <w:sz w:val="20"/>
                <w:szCs w:val="20"/>
              </w:rPr>
              <w:t xml:space="preserve">The importance of validating risk prediction models in specific countries </w:t>
            </w:r>
            <w:r w:rsidR="00D4529B">
              <w:rPr>
                <w:rFonts w:ascii="Arial Narrow" w:hAnsi="Arial Narrow"/>
                <w:sz w:val="20"/>
                <w:szCs w:val="20"/>
              </w:rPr>
              <w:t>w</w:t>
            </w:r>
            <w:r w:rsidRPr="00436840">
              <w:rPr>
                <w:rFonts w:ascii="Arial Narrow" w:hAnsi="Arial Narrow"/>
                <w:sz w:val="20"/>
                <w:szCs w:val="20"/>
              </w:rPr>
              <w:t>as highlighted in a recent publication by Robbins et al (2021</w:t>
            </w:r>
            <w:r w:rsidR="00E54784" w:rsidRPr="00436840">
              <w:rPr>
                <w:rStyle w:val="FootnoteReference"/>
                <w:rFonts w:ascii="Arial Narrow" w:hAnsi="Arial Narrow"/>
                <w:sz w:val="20"/>
                <w:szCs w:val="20"/>
              </w:rPr>
              <w:footnoteReference w:id="16"/>
            </w:r>
            <w:r w:rsidRPr="00436840">
              <w:rPr>
                <w:rFonts w:ascii="Arial Narrow" w:hAnsi="Arial Narrow"/>
                <w:sz w:val="20"/>
                <w:szCs w:val="20"/>
              </w:rPr>
              <w:t>). In this analysis, LCDRAT/LCRAT was determined to be best for the UK, very good for PLCOm2012, and lowest for LLPv2. A similarly recent publication examining 9 of the risk prediction models currently available indicated that any of four models – Bach, PLCOm2012, LCRAT, LCDRAT – could be used to select smokers in the US population at greatest risk of lung cancer incidence or lung cancer deaths</w:t>
            </w:r>
            <w:r w:rsidR="000D1C01" w:rsidRPr="00436840">
              <w:rPr>
                <w:rStyle w:val="FootnoteReference"/>
                <w:rFonts w:ascii="Arial Narrow" w:hAnsi="Arial Narrow"/>
                <w:sz w:val="20"/>
                <w:szCs w:val="20"/>
              </w:rPr>
              <w:footnoteReference w:id="17"/>
            </w:r>
            <w:r w:rsidR="00B56711">
              <w:rPr>
                <w:rFonts w:ascii="Arial Narrow" w:hAnsi="Arial Narrow"/>
                <w:sz w:val="20"/>
                <w:szCs w:val="20"/>
              </w:rPr>
              <w:t>.</w:t>
            </w:r>
          </w:p>
          <w:p w14:paraId="3188E20C" w14:textId="3404DED2" w:rsidR="003F4910" w:rsidRPr="00436840" w:rsidRDefault="003F4910" w:rsidP="006D1A05">
            <w:pPr>
              <w:rPr>
                <w:rFonts w:ascii="Arial Narrow" w:hAnsi="Arial Narrow"/>
                <w:sz w:val="20"/>
                <w:szCs w:val="20"/>
              </w:rPr>
            </w:pPr>
            <w:r w:rsidRPr="00436840">
              <w:rPr>
                <w:rFonts w:ascii="Arial Narrow" w:hAnsi="Arial Narrow"/>
                <w:sz w:val="20"/>
                <w:szCs w:val="20"/>
              </w:rPr>
              <w:t>PLCOm2012 is the only model to have been validated in the Australian population</w:t>
            </w:r>
            <w:r w:rsidR="006F0472" w:rsidRPr="006F0472">
              <w:rPr>
                <w:rFonts w:ascii="Arial Narrow" w:hAnsi="Arial Narrow"/>
                <w:sz w:val="20"/>
                <w:szCs w:val="20"/>
                <w:vertAlign w:val="superscript"/>
              </w:rPr>
              <w:t>2</w:t>
            </w:r>
            <w:r w:rsidRPr="00436840">
              <w:rPr>
                <w:rFonts w:ascii="Arial Narrow" w:hAnsi="Arial Narrow"/>
                <w:sz w:val="20"/>
                <w:szCs w:val="20"/>
              </w:rPr>
              <w:t xml:space="preserve">. The PLCOm2012 model has been demonstrated to provide superior performance compared to </w:t>
            </w:r>
            <w:r w:rsidR="0054518A">
              <w:rPr>
                <w:rFonts w:ascii="Arial Narrow" w:hAnsi="Arial Narrow"/>
                <w:sz w:val="20"/>
                <w:szCs w:val="20"/>
              </w:rPr>
              <w:t xml:space="preserve">the </w:t>
            </w:r>
            <w:r w:rsidRPr="00436840">
              <w:rPr>
                <w:rFonts w:ascii="Arial Narrow" w:hAnsi="Arial Narrow"/>
                <w:sz w:val="20"/>
                <w:szCs w:val="20"/>
              </w:rPr>
              <w:t xml:space="preserve">NLST </w:t>
            </w:r>
            <w:r w:rsidR="0054518A">
              <w:rPr>
                <w:rFonts w:ascii="Arial Narrow" w:hAnsi="Arial Narrow"/>
                <w:sz w:val="20"/>
                <w:szCs w:val="20"/>
              </w:rPr>
              <w:t xml:space="preserve">eligibility </w:t>
            </w:r>
            <w:r w:rsidRPr="00436840">
              <w:rPr>
                <w:rFonts w:ascii="Arial Narrow" w:hAnsi="Arial Narrow"/>
                <w:sz w:val="20"/>
                <w:szCs w:val="20"/>
              </w:rPr>
              <w:t>criteria (age, smoking), with improved sensitivity and PPV, and no loss of specificity.</w:t>
            </w:r>
          </w:p>
          <w:p w14:paraId="6B54B974" w14:textId="56D64C67" w:rsidR="003F4910" w:rsidRPr="00436840" w:rsidRDefault="003F4910" w:rsidP="006D1A05">
            <w:pPr>
              <w:rPr>
                <w:rFonts w:ascii="Arial Narrow" w:hAnsi="Arial Narrow"/>
                <w:sz w:val="20"/>
                <w:szCs w:val="20"/>
              </w:rPr>
            </w:pPr>
            <w:proofErr w:type="spellStart"/>
            <w:r w:rsidRPr="00436840">
              <w:rPr>
                <w:rFonts w:ascii="Arial Narrow" w:hAnsi="Arial Narrow"/>
                <w:sz w:val="20"/>
                <w:szCs w:val="20"/>
              </w:rPr>
              <w:t>Tamm</w:t>
            </w:r>
            <w:r w:rsidR="001F0E04">
              <w:rPr>
                <w:rFonts w:ascii="Arial Narrow" w:hAnsi="Arial Narrow"/>
                <w:sz w:val="20"/>
                <w:szCs w:val="20"/>
              </w:rPr>
              <w:t>e</w:t>
            </w:r>
            <w:r w:rsidRPr="00436840">
              <w:rPr>
                <w:rFonts w:ascii="Arial Narrow" w:hAnsi="Arial Narrow"/>
                <w:sz w:val="20"/>
                <w:szCs w:val="20"/>
              </w:rPr>
              <w:t>m</w:t>
            </w:r>
            <w:r w:rsidR="001F0E04">
              <w:rPr>
                <w:rFonts w:ascii="Arial Narrow" w:hAnsi="Arial Narrow"/>
                <w:sz w:val="20"/>
                <w:szCs w:val="20"/>
              </w:rPr>
              <w:t>a</w:t>
            </w:r>
            <w:r w:rsidRPr="00436840">
              <w:rPr>
                <w:rFonts w:ascii="Arial Narrow" w:hAnsi="Arial Narrow"/>
                <w:sz w:val="20"/>
                <w:szCs w:val="20"/>
              </w:rPr>
              <w:t>gi</w:t>
            </w:r>
            <w:proofErr w:type="spellEnd"/>
            <w:r w:rsidRPr="00436840">
              <w:rPr>
                <w:rFonts w:ascii="Arial Narrow" w:hAnsi="Arial Narrow"/>
                <w:sz w:val="20"/>
                <w:szCs w:val="20"/>
              </w:rPr>
              <w:t xml:space="preserve"> (2019)</w:t>
            </w:r>
            <w:r w:rsidR="00D4542B" w:rsidRPr="00D4542B">
              <w:rPr>
                <w:rFonts w:ascii="Arial Narrow" w:hAnsi="Arial Narrow"/>
                <w:sz w:val="20"/>
                <w:szCs w:val="20"/>
                <w:vertAlign w:val="superscript"/>
              </w:rPr>
              <w:t>14</w:t>
            </w:r>
            <w:r w:rsidRPr="00436840">
              <w:rPr>
                <w:rFonts w:ascii="Arial Narrow" w:hAnsi="Arial Narrow"/>
                <w:sz w:val="20"/>
                <w:szCs w:val="20"/>
              </w:rPr>
              <w:t xml:space="preserve"> </w:t>
            </w:r>
            <w:r w:rsidR="00D4529B">
              <w:rPr>
                <w:rFonts w:ascii="Arial Narrow" w:hAnsi="Arial Narrow"/>
                <w:sz w:val="20"/>
                <w:szCs w:val="20"/>
              </w:rPr>
              <w:t>noted that t</w:t>
            </w:r>
            <w:r w:rsidRPr="00436840">
              <w:rPr>
                <w:rFonts w:ascii="Arial Narrow" w:hAnsi="Arial Narrow"/>
                <w:sz w:val="20"/>
                <w:szCs w:val="20"/>
              </w:rPr>
              <w:t>he PLCOm2012 has been validated by research teams in several countries.</w:t>
            </w:r>
          </w:p>
          <w:p w14:paraId="1140EB1F" w14:textId="1881BF14" w:rsidR="003F4910" w:rsidRPr="00436840" w:rsidRDefault="003F4910" w:rsidP="006D1A05">
            <w:pPr>
              <w:pStyle w:val="CommentText"/>
              <w:rPr>
                <w:rFonts w:ascii="Arial Narrow" w:eastAsiaTheme="minorHAnsi" w:hAnsi="Arial Narrow" w:cstheme="minorBidi"/>
                <w:color w:val="auto"/>
                <w:sz w:val="20"/>
                <w:szCs w:val="20"/>
                <w:lang w:eastAsia="en-US"/>
              </w:rPr>
            </w:pPr>
            <w:r w:rsidRPr="00436840">
              <w:rPr>
                <w:rFonts w:ascii="Arial Narrow" w:eastAsiaTheme="minorHAnsi" w:hAnsi="Arial Narrow" w:cstheme="minorBidi"/>
                <w:color w:val="auto"/>
                <w:sz w:val="20"/>
                <w:szCs w:val="20"/>
                <w:lang w:eastAsia="en-US"/>
              </w:rPr>
              <w:t>The PLCOm2012 model (Tammemagi 2013)</w:t>
            </w:r>
            <w:r w:rsidR="000D1C01" w:rsidRPr="00436840">
              <w:rPr>
                <w:rStyle w:val="FootnoteReference"/>
                <w:rFonts w:ascii="Arial Narrow" w:eastAsiaTheme="minorHAnsi" w:hAnsi="Arial Narrow" w:cstheme="minorBidi"/>
                <w:color w:val="auto"/>
                <w:sz w:val="20"/>
                <w:szCs w:val="20"/>
                <w:lang w:eastAsia="en-US"/>
              </w:rPr>
              <w:footnoteReference w:id="18"/>
            </w:r>
            <w:r w:rsidRPr="00436840">
              <w:rPr>
                <w:rFonts w:ascii="Arial Narrow" w:eastAsiaTheme="minorHAnsi" w:hAnsi="Arial Narrow" w:cstheme="minorBidi"/>
                <w:color w:val="auto"/>
                <w:sz w:val="20"/>
                <w:szCs w:val="20"/>
                <w:lang w:eastAsia="en-US"/>
              </w:rPr>
              <w:t>, was developed for ever-smokers only and estimates an individual’s risk of developing lung cancer over 6 years; a timeframe set to make comparisons consistent with follow-up in the NLST. To date, the PLCOm2012 is the most frequently cited risk-model in screening guidelines and protocols</w:t>
            </w:r>
            <w:r w:rsidR="00454FFA" w:rsidRPr="00436840">
              <w:rPr>
                <w:rStyle w:val="FootnoteReference"/>
                <w:rFonts w:ascii="Arial Narrow" w:eastAsiaTheme="minorHAnsi" w:hAnsi="Arial Narrow" w:cstheme="minorBidi"/>
                <w:color w:val="auto"/>
                <w:sz w:val="20"/>
                <w:szCs w:val="20"/>
                <w:lang w:eastAsia="en-US"/>
              </w:rPr>
              <w:footnoteReference w:id="19"/>
            </w:r>
            <w:r w:rsidR="00454FFA" w:rsidRPr="00D4529B">
              <w:rPr>
                <w:rFonts w:ascii="Arial Narrow" w:eastAsiaTheme="minorHAnsi" w:hAnsi="Arial Narrow" w:cstheme="minorBidi"/>
                <w:color w:val="auto"/>
                <w:sz w:val="20"/>
                <w:szCs w:val="20"/>
                <w:vertAlign w:val="superscript"/>
                <w:lang w:eastAsia="en-US"/>
              </w:rPr>
              <w:t>,</w:t>
            </w:r>
            <w:r w:rsidR="00D8723E">
              <w:rPr>
                <w:rFonts w:ascii="Arial Narrow" w:eastAsiaTheme="minorHAnsi" w:hAnsi="Arial Narrow" w:cstheme="minorBidi"/>
                <w:color w:val="auto"/>
                <w:sz w:val="20"/>
                <w:szCs w:val="20"/>
                <w:vertAlign w:val="superscript"/>
                <w:lang w:eastAsia="en-US"/>
              </w:rPr>
              <w:t>12</w:t>
            </w:r>
            <w:r w:rsidR="000D1C01" w:rsidRPr="00436840">
              <w:rPr>
                <w:rFonts w:ascii="Arial Narrow" w:eastAsiaTheme="minorHAnsi" w:hAnsi="Arial Narrow" w:cstheme="minorBidi"/>
                <w:color w:val="auto"/>
                <w:sz w:val="20"/>
                <w:szCs w:val="20"/>
                <w:lang w:eastAsia="en-US"/>
              </w:rPr>
              <w:t>.</w:t>
            </w:r>
          </w:p>
          <w:p w14:paraId="2C5B81D7" w14:textId="617BF0A0" w:rsidR="00323FDC" w:rsidRPr="00436840" w:rsidRDefault="00323FDC" w:rsidP="006D1A05">
            <w:pPr>
              <w:pStyle w:val="CommentText"/>
              <w:rPr>
                <w:rFonts w:ascii="Arial Narrow" w:eastAsiaTheme="minorHAnsi" w:hAnsi="Arial Narrow" w:cstheme="minorBidi"/>
                <w:color w:val="auto"/>
                <w:sz w:val="20"/>
                <w:szCs w:val="20"/>
                <w:lang w:eastAsia="en-US"/>
              </w:rPr>
            </w:pPr>
            <w:r w:rsidRPr="00436840">
              <w:rPr>
                <w:rFonts w:ascii="Arial Narrow" w:eastAsiaTheme="minorHAnsi" w:hAnsi="Arial Narrow" w:cstheme="minorBidi"/>
                <w:color w:val="auto"/>
                <w:sz w:val="20"/>
                <w:szCs w:val="20"/>
                <w:lang w:eastAsia="en-US"/>
              </w:rPr>
              <w:t>The PLCOm2014 model is a version of the PLCOm2012 model for never smokers, however no individual in the 65,711 never smokers in the dataset examined by Tammemagi et al (2014) were found to have a lung cancer risk of ≥1.51</w:t>
            </w:r>
            <w:r w:rsidR="00D8723E" w:rsidRPr="00D8723E">
              <w:rPr>
                <w:rFonts w:ascii="Arial Narrow" w:eastAsiaTheme="minorHAnsi" w:hAnsi="Arial Narrow" w:cstheme="minorBidi"/>
                <w:color w:val="auto"/>
                <w:sz w:val="20"/>
                <w:szCs w:val="20"/>
                <w:vertAlign w:val="superscript"/>
                <w:lang w:eastAsia="en-US"/>
              </w:rPr>
              <w:t>13</w:t>
            </w:r>
            <w:r w:rsidR="00D4529B">
              <w:rPr>
                <w:rFonts w:ascii="Arial Narrow" w:eastAsiaTheme="minorHAnsi" w:hAnsi="Arial Narrow" w:cstheme="minorBidi"/>
                <w:color w:val="auto"/>
                <w:sz w:val="20"/>
                <w:szCs w:val="20"/>
                <w:lang w:eastAsia="en-US"/>
              </w:rPr>
              <w:t>.</w:t>
            </w:r>
          </w:p>
        </w:tc>
        <w:tc>
          <w:tcPr>
            <w:tcW w:w="1215" w:type="dxa"/>
          </w:tcPr>
          <w:p w14:paraId="4D90E1C2" w14:textId="71183BAA" w:rsidR="003F4910" w:rsidRPr="00436840" w:rsidRDefault="006D1A05" w:rsidP="006D1A05">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4A31A259" w14:textId="16E097A1" w:rsidR="003F4910" w:rsidRPr="00436840" w:rsidRDefault="005D05E5" w:rsidP="006D1A05">
            <w:pPr>
              <w:rPr>
                <w:rFonts w:ascii="Arial Narrow" w:hAnsi="Arial Narrow"/>
                <w:sz w:val="20"/>
                <w:szCs w:val="20"/>
              </w:rPr>
            </w:pPr>
            <w:r w:rsidRPr="00436840">
              <w:rPr>
                <w:rFonts w:ascii="Arial Narrow" w:hAnsi="Arial Narrow"/>
                <w:sz w:val="20"/>
                <w:szCs w:val="20"/>
              </w:rPr>
              <w:t>No</w:t>
            </w:r>
          </w:p>
        </w:tc>
      </w:tr>
      <w:tr w:rsidR="000D1C01" w:rsidRPr="00436840" w14:paraId="1178748E" w14:textId="77777777" w:rsidTr="003A350D">
        <w:tc>
          <w:tcPr>
            <w:tcW w:w="2379" w:type="dxa"/>
          </w:tcPr>
          <w:p w14:paraId="19ADD2A4" w14:textId="24898459" w:rsidR="003F4910" w:rsidRPr="00436840" w:rsidRDefault="003F4910" w:rsidP="006D1A05">
            <w:pPr>
              <w:rPr>
                <w:rFonts w:ascii="Arial Narrow" w:hAnsi="Arial Narrow"/>
                <w:b/>
                <w:sz w:val="20"/>
                <w:szCs w:val="20"/>
              </w:rPr>
            </w:pPr>
            <w:r w:rsidRPr="00436840">
              <w:rPr>
                <w:rFonts w:ascii="Arial Narrow" w:hAnsi="Arial Narrow"/>
                <w:b/>
                <w:sz w:val="20"/>
                <w:szCs w:val="20"/>
              </w:rPr>
              <w:t xml:space="preserve">Risk </w:t>
            </w:r>
            <w:r w:rsidR="00942A9C" w:rsidRPr="00436840">
              <w:rPr>
                <w:rFonts w:ascii="Arial Narrow" w:hAnsi="Arial Narrow"/>
                <w:b/>
                <w:sz w:val="20"/>
                <w:szCs w:val="20"/>
              </w:rPr>
              <w:t>prediction</w:t>
            </w:r>
            <w:r w:rsidRPr="00436840">
              <w:rPr>
                <w:rFonts w:ascii="Arial Narrow" w:hAnsi="Arial Narrow"/>
                <w:b/>
                <w:sz w:val="20"/>
                <w:szCs w:val="20"/>
              </w:rPr>
              <w:t xml:space="preserve"> threshold for initial referral or not to LDCT</w:t>
            </w:r>
          </w:p>
        </w:tc>
        <w:tc>
          <w:tcPr>
            <w:tcW w:w="1435" w:type="dxa"/>
          </w:tcPr>
          <w:p w14:paraId="3C76AF53"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PLCOm2012 ≥0.0151 (1.51%)</w:t>
            </w:r>
          </w:p>
        </w:tc>
        <w:tc>
          <w:tcPr>
            <w:tcW w:w="4390" w:type="dxa"/>
          </w:tcPr>
          <w:p w14:paraId="6D1B2C1C" w14:textId="51618955" w:rsidR="002D4FA2" w:rsidRPr="00436840" w:rsidRDefault="002D4FA2" w:rsidP="006D1A05">
            <w:pPr>
              <w:rPr>
                <w:rFonts w:ascii="Arial Narrow" w:hAnsi="Arial Narrow"/>
                <w:sz w:val="20"/>
                <w:szCs w:val="20"/>
              </w:rPr>
            </w:pPr>
            <w:proofErr w:type="spellStart"/>
            <w:r w:rsidRPr="00436840">
              <w:rPr>
                <w:rFonts w:ascii="Arial Narrow" w:hAnsi="Arial Narrow"/>
                <w:sz w:val="20"/>
                <w:szCs w:val="20"/>
              </w:rPr>
              <w:t>Tammemagi</w:t>
            </w:r>
            <w:proofErr w:type="spellEnd"/>
            <w:r w:rsidRPr="00436840">
              <w:rPr>
                <w:rFonts w:ascii="Arial Narrow" w:hAnsi="Arial Narrow"/>
                <w:sz w:val="20"/>
                <w:szCs w:val="20"/>
              </w:rPr>
              <w:t xml:space="preserve"> et al (2014)</w:t>
            </w:r>
            <w:r w:rsidR="00D8723E" w:rsidRPr="00D8723E">
              <w:rPr>
                <w:rFonts w:ascii="Arial Narrow" w:hAnsi="Arial Narrow"/>
                <w:sz w:val="20"/>
                <w:szCs w:val="20"/>
                <w:vertAlign w:val="superscript"/>
              </w:rPr>
              <w:t>13</w:t>
            </w:r>
          </w:p>
          <w:p w14:paraId="5E94E2B1" w14:textId="1FCF2E92" w:rsidR="003F4910" w:rsidRPr="00436840" w:rsidRDefault="003F4910" w:rsidP="00D4529B">
            <w:pPr>
              <w:rPr>
                <w:rFonts w:ascii="Arial Narrow" w:hAnsi="Arial Narrow"/>
                <w:sz w:val="20"/>
                <w:szCs w:val="20"/>
              </w:rPr>
            </w:pPr>
            <w:r w:rsidRPr="00436840">
              <w:rPr>
                <w:rFonts w:ascii="Arial Narrow" w:hAnsi="Arial Narrow"/>
                <w:sz w:val="20"/>
                <w:szCs w:val="20"/>
              </w:rPr>
              <w:t>Weber M,</w:t>
            </w:r>
            <w:r w:rsidR="00454FFA" w:rsidRPr="00436840">
              <w:rPr>
                <w:rFonts w:ascii="Arial Narrow" w:hAnsi="Arial Narrow"/>
                <w:sz w:val="20"/>
                <w:szCs w:val="20"/>
              </w:rPr>
              <w:t xml:space="preserve"> et al 2017</w:t>
            </w:r>
            <w:r w:rsidR="006F0472" w:rsidRPr="006F0472">
              <w:rPr>
                <w:rFonts w:ascii="Arial Narrow" w:hAnsi="Arial Narrow"/>
                <w:sz w:val="20"/>
                <w:szCs w:val="20"/>
                <w:vertAlign w:val="superscript"/>
              </w:rPr>
              <w:t>2</w:t>
            </w:r>
          </w:p>
        </w:tc>
        <w:tc>
          <w:tcPr>
            <w:tcW w:w="1518" w:type="dxa"/>
          </w:tcPr>
          <w:p w14:paraId="10C992CB" w14:textId="277A7B4B" w:rsidR="003F4910" w:rsidRPr="00436840" w:rsidRDefault="00B80704" w:rsidP="006D1A05">
            <w:pPr>
              <w:rPr>
                <w:rFonts w:ascii="Arial Narrow" w:hAnsi="Arial Narrow"/>
                <w:sz w:val="20"/>
                <w:szCs w:val="20"/>
              </w:rPr>
            </w:pPr>
            <w:r>
              <w:rPr>
                <w:rFonts w:ascii="Arial Narrow" w:hAnsi="Arial Narrow"/>
                <w:sz w:val="20"/>
                <w:szCs w:val="20"/>
                <w:lang w:val="en-GB"/>
              </w:rPr>
              <w:t>A</w:t>
            </w:r>
            <w:r w:rsidRPr="00436840">
              <w:rPr>
                <w:rFonts w:ascii="Arial Narrow" w:hAnsi="Arial Narrow"/>
                <w:sz w:val="20"/>
                <w:szCs w:val="20"/>
                <w:lang w:val="en-GB"/>
              </w:rPr>
              <w:t>bsolute increments of 0.1% between 0.9% and 3.6%</w:t>
            </w:r>
          </w:p>
        </w:tc>
        <w:tc>
          <w:tcPr>
            <w:tcW w:w="8280" w:type="dxa"/>
          </w:tcPr>
          <w:p w14:paraId="20113E34" w14:textId="0481F8A8" w:rsidR="003F4910" w:rsidRPr="00436840" w:rsidRDefault="003F4910" w:rsidP="006D1A05">
            <w:pPr>
              <w:rPr>
                <w:rFonts w:ascii="Arial Narrow" w:hAnsi="Arial Narrow" w:cstheme="minorHAnsi"/>
                <w:sz w:val="20"/>
                <w:szCs w:val="20"/>
              </w:rPr>
            </w:pPr>
            <w:r w:rsidRPr="00436840">
              <w:rPr>
                <w:rFonts w:ascii="Arial Narrow" w:hAnsi="Arial Narrow" w:cstheme="minorHAnsi"/>
                <w:sz w:val="20"/>
                <w:szCs w:val="20"/>
              </w:rPr>
              <w:t xml:space="preserve">The PLCOm2012 risk threshold of ≥0.0151 </w:t>
            </w:r>
            <w:r w:rsidR="00452883" w:rsidRPr="00436840">
              <w:rPr>
                <w:rFonts w:ascii="Arial Narrow" w:hAnsi="Arial Narrow" w:cstheme="minorHAnsi"/>
                <w:sz w:val="20"/>
                <w:szCs w:val="20"/>
              </w:rPr>
              <w:t xml:space="preserve">over 6 years </w:t>
            </w:r>
            <w:r w:rsidRPr="00436840">
              <w:rPr>
                <w:rFonts w:ascii="Arial Narrow" w:hAnsi="Arial Narrow" w:cstheme="minorHAnsi"/>
                <w:sz w:val="20"/>
                <w:szCs w:val="20"/>
              </w:rPr>
              <w:t>was th</w:t>
            </w:r>
            <w:r w:rsidR="00452883" w:rsidRPr="00436840">
              <w:rPr>
                <w:rFonts w:ascii="Arial Narrow" w:hAnsi="Arial Narrow" w:cstheme="minorHAnsi"/>
                <w:sz w:val="20"/>
                <w:szCs w:val="20"/>
              </w:rPr>
              <w:t xml:space="preserve">e threshold </w:t>
            </w:r>
            <w:r w:rsidRPr="00436840">
              <w:rPr>
                <w:rFonts w:ascii="Arial Narrow" w:hAnsi="Arial Narrow" w:cstheme="minorHAnsi"/>
                <w:sz w:val="20"/>
                <w:szCs w:val="20"/>
              </w:rPr>
              <w:t xml:space="preserve">for which a </w:t>
            </w:r>
            <w:r w:rsidR="00231363" w:rsidRPr="00436840">
              <w:rPr>
                <w:rFonts w:ascii="Arial Narrow" w:hAnsi="Arial Narrow" w:cstheme="minorHAnsi"/>
                <w:sz w:val="20"/>
                <w:szCs w:val="20"/>
              </w:rPr>
              <w:t xml:space="preserve">lung cancer </w:t>
            </w:r>
            <w:r w:rsidRPr="00436840">
              <w:rPr>
                <w:rFonts w:ascii="Arial Narrow" w:hAnsi="Arial Narrow" w:cstheme="minorHAnsi"/>
                <w:sz w:val="20"/>
                <w:szCs w:val="20"/>
              </w:rPr>
              <w:t xml:space="preserve">mortality benefit of </w:t>
            </w:r>
            <w:r w:rsidR="00452883" w:rsidRPr="00436840">
              <w:rPr>
                <w:rFonts w:ascii="Arial Narrow" w:hAnsi="Arial Narrow" w:cstheme="minorHAnsi"/>
                <w:sz w:val="20"/>
                <w:szCs w:val="20"/>
              </w:rPr>
              <w:t>LD</w:t>
            </w:r>
            <w:r w:rsidRPr="00436840">
              <w:rPr>
                <w:rFonts w:ascii="Arial Narrow" w:hAnsi="Arial Narrow" w:cstheme="minorHAnsi"/>
                <w:sz w:val="20"/>
                <w:szCs w:val="20"/>
              </w:rPr>
              <w:t xml:space="preserve">CT screening versus </w:t>
            </w:r>
            <w:r w:rsidR="00D4529B">
              <w:rPr>
                <w:rFonts w:ascii="Arial Narrow" w:hAnsi="Arial Narrow" w:cstheme="minorHAnsi"/>
                <w:sz w:val="20"/>
                <w:szCs w:val="20"/>
              </w:rPr>
              <w:t>CXR</w:t>
            </w:r>
            <w:r w:rsidRPr="00436840">
              <w:rPr>
                <w:rFonts w:ascii="Arial Narrow" w:hAnsi="Arial Narrow" w:cstheme="minorHAnsi"/>
                <w:sz w:val="20"/>
                <w:szCs w:val="20"/>
              </w:rPr>
              <w:t xml:space="preserve"> was observed in the </w:t>
            </w:r>
            <w:r w:rsidR="00452883" w:rsidRPr="00436840">
              <w:rPr>
                <w:rFonts w:ascii="Arial Narrow" w:hAnsi="Arial Narrow" w:cstheme="minorHAnsi"/>
                <w:sz w:val="20"/>
                <w:szCs w:val="20"/>
              </w:rPr>
              <w:t xml:space="preserve">PLCO and </w:t>
            </w:r>
            <w:r w:rsidRPr="00436840">
              <w:rPr>
                <w:rFonts w:ascii="Arial Narrow" w:hAnsi="Arial Narrow" w:cstheme="minorHAnsi"/>
                <w:sz w:val="20"/>
                <w:szCs w:val="20"/>
              </w:rPr>
              <w:t xml:space="preserve">NLST </w:t>
            </w:r>
            <w:r w:rsidR="00452883" w:rsidRPr="00436840">
              <w:rPr>
                <w:rFonts w:ascii="Arial Narrow" w:hAnsi="Arial Narrow" w:cstheme="minorHAnsi"/>
                <w:sz w:val="20"/>
                <w:szCs w:val="20"/>
              </w:rPr>
              <w:t>datasets</w:t>
            </w:r>
            <w:r w:rsidR="00D8723E" w:rsidRPr="00D8723E">
              <w:rPr>
                <w:rFonts w:ascii="Arial Narrow" w:hAnsi="Arial Narrow" w:cstheme="minorHAnsi"/>
                <w:sz w:val="20"/>
                <w:szCs w:val="20"/>
                <w:vertAlign w:val="superscript"/>
              </w:rPr>
              <w:t>13</w:t>
            </w:r>
            <w:r w:rsidR="000D1C01" w:rsidRPr="00436840">
              <w:rPr>
                <w:rFonts w:ascii="Arial Narrow" w:hAnsi="Arial Narrow" w:cstheme="minorHAnsi"/>
                <w:sz w:val="20"/>
                <w:szCs w:val="20"/>
              </w:rPr>
              <w:t>.</w:t>
            </w:r>
            <w:r w:rsidR="00452883" w:rsidRPr="00436840">
              <w:rPr>
                <w:rFonts w:ascii="Arial Narrow" w:hAnsi="Arial Narrow" w:cstheme="minorHAnsi"/>
                <w:sz w:val="20"/>
                <w:szCs w:val="20"/>
              </w:rPr>
              <w:t xml:space="preserve"> In this study, 8.8% fewer individuals were selected for screening and 12.4% more lung cancers were detected compared to the USPSTF criteria.</w:t>
            </w:r>
          </w:p>
          <w:p w14:paraId="2758B50F" w14:textId="3AF7B76C" w:rsidR="00D24258" w:rsidRPr="00436840" w:rsidRDefault="00D24258" w:rsidP="00D24258">
            <w:pPr>
              <w:rPr>
                <w:rFonts w:ascii="Arial Narrow" w:hAnsi="Arial Narrow"/>
                <w:color w:val="000000"/>
                <w:sz w:val="20"/>
                <w:szCs w:val="20"/>
                <w:shd w:val="clear" w:color="auto" w:fill="FFFFFF"/>
              </w:rPr>
            </w:pPr>
            <w:r w:rsidRPr="00436840">
              <w:rPr>
                <w:rFonts w:ascii="Arial Narrow" w:hAnsi="Arial Narrow"/>
                <w:color w:val="000000"/>
                <w:sz w:val="20"/>
                <w:szCs w:val="20"/>
                <w:shd w:val="clear" w:color="auto" w:fill="FFFFFF"/>
              </w:rPr>
              <w:t xml:space="preserve">While </w:t>
            </w:r>
            <w:proofErr w:type="spellStart"/>
            <w:r w:rsidRPr="00436840">
              <w:rPr>
                <w:rFonts w:ascii="Arial Narrow" w:hAnsi="Arial Narrow"/>
                <w:color w:val="000000"/>
                <w:sz w:val="20"/>
                <w:szCs w:val="20"/>
                <w:shd w:val="clear" w:color="auto" w:fill="FFFFFF"/>
              </w:rPr>
              <w:t>Tammemagi</w:t>
            </w:r>
            <w:proofErr w:type="spellEnd"/>
            <w:r w:rsidRPr="00436840">
              <w:rPr>
                <w:rFonts w:ascii="Arial Narrow" w:hAnsi="Arial Narrow"/>
                <w:color w:val="000000"/>
                <w:sz w:val="20"/>
                <w:szCs w:val="20"/>
                <w:shd w:val="clear" w:color="auto" w:fill="FFFFFF"/>
              </w:rPr>
              <w:t xml:space="preserve"> 2014</w:t>
            </w:r>
            <w:r w:rsidR="00D4542B" w:rsidRPr="00D4542B">
              <w:rPr>
                <w:rFonts w:ascii="Arial Narrow" w:hAnsi="Arial Narrow"/>
                <w:color w:val="000000"/>
                <w:sz w:val="20"/>
                <w:szCs w:val="20"/>
                <w:shd w:val="clear" w:color="auto" w:fill="FFFFFF"/>
                <w:vertAlign w:val="superscript"/>
              </w:rPr>
              <w:t>13</w:t>
            </w:r>
            <w:r w:rsidRPr="00436840">
              <w:rPr>
                <w:rFonts w:ascii="Arial Narrow" w:hAnsi="Arial Narrow"/>
                <w:color w:val="000000"/>
                <w:sz w:val="20"/>
                <w:szCs w:val="20"/>
                <w:shd w:val="clear" w:color="auto" w:fill="FFFFFF"/>
              </w:rPr>
              <w:t xml:space="preserve"> has indicated that it is unclear at what threshold of risk screening should be recommended, the PLCOm2012 ≥1.5% has been proposed as an appropriate threshold for screening when using this model. Tammemagi indicated that other thresholds may be suitable for different models and in different settings. In preparation for the HR_LCSP, Cancer Care Ontario </w:t>
            </w:r>
            <w:r w:rsidR="00D4529B">
              <w:rPr>
                <w:rFonts w:ascii="Arial Narrow" w:hAnsi="Arial Narrow"/>
                <w:color w:val="000000"/>
                <w:sz w:val="20"/>
                <w:szCs w:val="20"/>
                <w:shd w:val="clear" w:color="auto" w:fill="FFFFFF"/>
              </w:rPr>
              <w:t xml:space="preserve">(CCO) </w:t>
            </w:r>
            <w:r w:rsidRPr="00436840">
              <w:rPr>
                <w:rFonts w:ascii="Arial Narrow" w:hAnsi="Arial Narrow"/>
                <w:color w:val="000000"/>
                <w:sz w:val="20"/>
                <w:szCs w:val="20"/>
                <w:shd w:val="clear" w:color="auto" w:fill="FFFFFF"/>
              </w:rPr>
              <w:t xml:space="preserve">prepared a </w:t>
            </w:r>
            <w:r w:rsidR="00D4529B">
              <w:rPr>
                <w:rFonts w:ascii="Arial Narrow" w:hAnsi="Arial Narrow"/>
                <w:color w:val="000000"/>
                <w:sz w:val="20"/>
                <w:szCs w:val="20"/>
                <w:shd w:val="clear" w:color="auto" w:fill="FFFFFF"/>
              </w:rPr>
              <w:t>h</w:t>
            </w:r>
            <w:r w:rsidRPr="00436840">
              <w:rPr>
                <w:rFonts w:ascii="Arial Narrow" w:hAnsi="Arial Narrow"/>
                <w:color w:val="000000"/>
                <w:sz w:val="20"/>
                <w:szCs w:val="20"/>
                <w:shd w:val="clear" w:color="auto" w:fill="FFFFFF"/>
              </w:rPr>
              <w:t xml:space="preserve">ealth </w:t>
            </w:r>
            <w:r w:rsidR="00D4529B">
              <w:rPr>
                <w:rFonts w:ascii="Arial Narrow" w:hAnsi="Arial Narrow"/>
                <w:color w:val="000000"/>
                <w:sz w:val="20"/>
                <w:szCs w:val="20"/>
                <w:shd w:val="clear" w:color="auto" w:fill="FFFFFF"/>
              </w:rPr>
              <w:t>t</w:t>
            </w:r>
            <w:r w:rsidRPr="00436840">
              <w:rPr>
                <w:rFonts w:ascii="Arial Narrow" w:hAnsi="Arial Narrow"/>
                <w:color w:val="000000"/>
                <w:sz w:val="20"/>
                <w:szCs w:val="20"/>
                <w:shd w:val="clear" w:color="auto" w:fill="FFFFFF"/>
              </w:rPr>
              <w:t xml:space="preserve">echnology </w:t>
            </w:r>
            <w:r w:rsidR="00D4529B">
              <w:rPr>
                <w:rFonts w:ascii="Arial Narrow" w:hAnsi="Arial Narrow"/>
                <w:color w:val="000000"/>
                <w:sz w:val="20"/>
                <w:szCs w:val="20"/>
                <w:shd w:val="clear" w:color="auto" w:fill="FFFFFF"/>
              </w:rPr>
              <w:t>a</w:t>
            </w:r>
            <w:r w:rsidRPr="00436840">
              <w:rPr>
                <w:rFonts w:ascii="Arial Narrow" w:hAnsi="Arial Narrow"/>
                <w:color w:val="000000"/>
                <w:sz w:val="20"/>
                <w:szCs w:val="20"/>
                <w:shd w:val="clear" w:color="auto" w:fill="FFFFFF"/>
              </w:rPr>
              <w:t>ssessment which included a MISCAN microsimulation model</w:t>
            </w:r>
            <w:r w:rsidR="00707AD7">
              <w:rPr>
                <w:rFonts w:ascii="Arial Narrow" w:hAnsi="Arial Narrow"/>
                <w:color w:val="000000"/>
                <w:sz w:val="20"/>
                <w:szCs w:val="20"/>
                <w:shd w:val="clear" w:color="auto" w:fill="FFFFFF"/>
              </w:rPr>
              <w:t>l</w:t>
            </w:r>
            <w:r w:rsidRPr="00436840">
              <w:rPr>
                <w:rFonts w:ascii="Arial Narrow" w:hAnsi="Arial Narrow"/>
                <w:color w:val="000000"/>
                <w:sz w:val="20"/>
                <w:szCs w:val="20"/>
                <w:shd w:val="clear" w:color="auto" w:fill="FFFFFF"/>
              </w:rPr>
              <w:t>ing-based cost effectiveness analysis (CEA). As part of the CEA, 576 different NLST-like and NELSON-like selection criteria were evaluated</w:t>
            </w:r>
            <w:r w:rsidR="0097370C" w:rsidRPr="0097370C">
              <w:rPr>
                <w:rFonts w:ascii="Arial Narrow" w:hAnsi="Arial Narrow"/>
                <w:color w:val="000000"/>
                <w:sz w:val="20"/>
                <w:szCs w:val="20"/>
                <w:shd w:val="clear" w:color="auto" w:fill="FFFFFF"/>
                <w:vertAlign w:val="superscript"/>
              </w:rPr>
              <w:t>6</w:t>
            </w:r>
            <w:r w:rsidRPr="00436840">
              <w:rPr>
                <w:rFonts w:ascii="Arial Narrow" w:hAnsi="Arial Narrow"/>
                <w:color w:val="000000"/>
                <w:sz w:val="20"/>
                <w:szCs w:val="20"/>
                <w:shd w:val="clear" w:color="auto" w:fill="FFFFFF"/>
              </w:rPr>
              <w:t xml:space="preserve">. Ten models were identified which were on the efficiency frontier, that is, saved the most life-years per a given cost. A preferred </w:t>
            </w:r>
            <w:r w:rsidRPr="00436840">
              <w:rPr>
                <w:rFonts w:ascii="Arial Narrow" w:hAnsi="Arial Narrow"/>
                <w:color w:val="000000"/>
                <w:sz w:val="20"/>
                <w:szCs w:val="20"/>
                <w:shd w:val="clear" w:color="auto" w:fill="FFFFFF"/>
              </w:rPr>
              <w:lastRenderedPageBreak/>
              <w:t>model was chosen which was believed to be acceptable to government budgets. The preferred model had an incremental cost effectiveness ratio of just under $50,000 Canadian. The PLCOm2012 model was compared to the MISCAN preferred model and at a ≥2% risk threshold it would lead to the same number of individuals being screened but had significantly higher sensitivity and PPV when evaluated in PLCO control smokers. Thus, the CCO’s HR_LCSP selects individuals for screening using PLCOm2012 ≥2% risk a</w:t>
            </w:r>
            <w:r w:rsidR="00D4529B">
              <w:rPr>
                <w:rFonts w:ascii="Arial Narrow" w:hAnsi="Arial Narrow"/>
                <w:color w:val="000000"/>
                <w:sz w:val="20"/>
                <w:szCs w:val="20"/>
                <w:shd w:val="clear" w:color="auto" w:fill="FFFFFF"/>
              </w:rPr>
              <w:t>s</w:t>
            </w:r>
            <w:r w:rsidRPr="00436840">
              <w:rPr>
                <w:rFonts w:ascii="Arial Narrow" w:hAnsi="Arial Narrow"/>
                <w:color w:val="000000"/>
                <w:sz w:val="20"/>
                <w:szCs w:val="20"/>
                <w:shd w:val="clear" w:color="auto" w:fill="FFFFFF"/>
              </w:rPr>
              <w:t xml:space="preserve"> this approach was considered to be most efficient while being affordable to the health care system.</w:t>
            </w:r>
          </w:p>
          <w:p w14:paraId="0786DCA4" w14:textId="1EB6E2E4" w:rsidR="003F4910" w:rsidRPr="00436840" w:rsidRDefault="003F4910" w:rsidP="006D1A05">
            <w:pPr>
              <w:rPr>
                <w:rFonts w:ascii="Arial Narrow" w:eastAsia="Calibri" w:hAnsi="Arial Narrow" w:cstheme="minorHAnsi"/>
                <w:sz w:val="20"/>
                <w:szCs w:val="20"/>
                <w:lang w:val="en-GB"/>
              </w:rPr>
            </w:pPr>
            <w:r w:rsidRPr="00436840">
              <w:rPr>
                <w:rFonts w:ascii="Arial Narrow" w:hAnsi="Arial Narrow"/>
                <w:sz w:val="20"/>
                <w:szCs w:val="20"/>
              </w:rPr>
              <w:t>The PLCOm2012 is currently the only lung cancer risk prediction model to have been validated in the Australian population</w:t>
            </w:r>
            <w:r w:rsidR="006F0472" w:rsidRPr="006F0472">
              <w:rPr>
                <w:rFonts w:ascii="Arial Narrow" w:hAnsi="Arial Narrow"/>
                <w:sz w:val="20"/>
                <w:szCs w:val="20"/>
                <w:vertAlign w:val="superscript"/>
              </w:rPr>
              <w:t>2</w:t>
            </w:r>
            <w:r w:rsidRPr="00436840">
              <w:rPr>
                <w:rFonts w:ascii="Arial Narrow" w:hAnsi="Arial Narrow"/>
                <w:sz w:val="20"/>
                <w:szCs w:val="20"/>
              </w:rPr>
              <w:t xml:space="preserve">. </w:t>
            </w:r>
            <w:r w:rsidR="00231363" w:rsidRPr="00436840">
              <w:rPr>
                <w:rFonts w:ascii="Arial Narrow" w:hAnsi="Arial Narrow"/>
                <w:sz w:val="20"/>
                <w:szCs w:val="20"/>
              </w:rPr>
              <w:t xml:space="preserve">In this </w:t>
            </w:r>
            <w:r w:rsidR="002D4FA2" w:rsidRPr="00436840">
              <w:rPr>
                <w:rFonts w:ascii="Arial Narrow" w:hAnsi="Arial Narrow"/>
                <w:sz w:val="20"/>
                <w:szCs w:val="20"/>
              </w:rPr>
              <w:t>retrospective evaluation in a subset of the 45 and Up study,</w:t>
            </w:r>
            <w:r w:rsidR="00231363" w:rsidRPr="00436840">
              <w:rPr>
                <w:rFonts w:ascii="Arial Narrow" w:hAnsi="Arial Narrow"/>
                <w:sz w:val="20"/>
                <w:szCs w:val="20"/>
              </w:rPr>
              <w:t xml:space="preserve"> a</w:t>
            </w:r>
            <w:r w:rsidRPr="00436840">
              <w:rPr>
                <w:rFonts w:ascii="Arial Narrow" w:eastAsia="Calibri" w:hAnsi="Arial Narrow" w:cstheme="minorHAnsi"/>
                <w:color w:val="000000" w:themeColor="text1"/>
                <w:sz w:val="20"/>
                <w:szCs w:val="20"/>
                <w:lang w:val="en-GB"/>
              </w:rPr>
              <w:t xml:space="preserve"> </w:t>
            </w:r>
            <w:r w:rsidRPr="00436840">
              <w:rPr>
                <w:rFonts w:ascii="Arial Narrow" w:eastAsia="Calibri" w:hAnsi="Arial Narrow" w:cstheme="minorHAnsi"/>
                <w:color w:val="231F20"/>
                <w:sz w:val="20"/>
                <w:szCs w:val="20"/>
                <w:lang w:val="en-GB"/>
              </w:rPr>
              <w:t xml:space="preserve">threshold of </w:t>
            </w:r>
            <w:r w:rsidRPr="00436840">
              <w:rPr>
                <w:rFonts w:ascii="Arial Narrow" w:hAnsi="Arial Narrow" w:cstheme="minorHAnsi"/>
                <w:sz w:val="20"/>
                <w:szCs w:val="20"/>
              </w:rPr>
              <w:sym w:font="Symbol" w:char="F0B3"/>
            </w:r>
            <w:r w:rsidRPr="00436840">
              <w:rPr>
                <w:rFonts w:ascii="Arial Narrow" w:hAnsi="Arial Narrow" w:cstheme="minorHAnsi"/>
                <w:sz w:val="20"/>
                <w:szCs w:val="20"/>
              </w:rPr>
              <w:t>1.51%</w:t>
            </w:r>
            <w:r w:rsidRPr="00436840">
              <w:rPr>
                <w:rFonts w:ascii="Arial Narrow" w:eastAsia="Calibri" w:hAnsi="Arial Narrow" w:cstheme="minorHAnsi"/>
                <w:sz w:val="20"/>
                <w:szCs w:val="20"/>
                <w:lang w:val="en-GB"/>
              </w:rPr>
              <w:t xml:space="preserve"> risk was confirmed as appropriate </w:t>
            </w:r>
            <w:r w:rsidRPr="00436840">
              <w:rPr>
                <w:rFonts w:ascii="Arial Narrow" w:eastAsia="Calibri" w:hAnsi="Arial Narrow" w:cstheme="minorHAnsi"/>
                <w:color w:val="000000" w:themeColor="text1"/>
                <w:sz w:val="20"/>
                <w:szCs w:val="20"/>
                <w:lang w:val="en-GB"/>
              </w:rPr>
              <w:t xml:space="preserve">for identifying those at high-risk of lung cancer within 6 years, achieving high PPV and sensitivity, with only minimal loss in specificity at this threshold, in comparison with </w:t>
            </w:r>
            <w:r w:rsidR="00564602">
              <w:rPr>
                <w:rFonts w:ascii="Arial Narrow" w:eastAsia="Calibri" w:hAnsi="Arial Narrow" w:cstheme="minorHAnsi"/>
                <w:color w:val="000000" w:themeColor="text1"/>
                <w:sz w:val="20"/>
                <w:szCs w:val="20"/>
                <w:lang w:val="en-GB"/>
              </w:rPr>
              <w:t xml:space="preserve">the </w:t>
            </w:r>
            <w:r w:rsidRPr="00436840">
              <w:rPr>
                <w:rFonts w:ascii="Arial Narrow" w:eastAsia="Calibri" w:hAnsi="Arial Narrow" w:cstheme="minorHAnsi"/>
                <w:color w:val="000000" w:themeColor="text1"/>
                <w:sz w:val="20"/>
                <w:szCs w:val="20"/>
                <w:lang w:val="en-GB"/>
              </w:rPr>
              <w:t>NLST eligibility criteria</w:t>
            </w:r>
            <w:r w:rsidR="006F0472" w:rsidRPr="006F0472">
              <w:rPr>
                <w:rFonts w:ascii="Arial Narrow" w:eastAsia="Calibri" w:hAnsi="Arial Narrow" w:cstheme="minorHAnsi"/>
                <w:color w:val="000000" w:themeColor="text1"/>
                <w:sz w:val="20"/>
                <w:szCs w:val="20"/>
                <w:vertAlign w:val="superscript"/>
                <w:lang w:val="en-GB"/>
              </w:rPr>
              <w:t>2</w:t>
            </w:r>
            <w:r w:rsidRPr="00436840">
              <w:rPr>
                <w:rFonts w:ascii="Arial Narrow" w:eastAsia="Calibri" w:hAnsi="Arial Narrow" w:cstheme="minorHAnsi"/>
                <w:sz w:val="20"/>
                <w:szCs w:val="20"/>
                <w:lang w:val="en-GB"/>
              </w:rPr>
              <w:t>.</w:t>
            </w:r>
          </w:p>
          <w:p w14:paraId="2E1B441A" w14:textId="6249DC25" w:rsidR="004F3648" w:rsidRPr="00436840" w:rsidRDefault="00503775" w:rsidP="006D1A05">
            <w:pPr>
              <w:rPr>
                <w:rFonts w:ascii="Arial Narrow" w:eastAsia="Calibri" w:hAnsi="Arial Narrow"/>
                <w:sz w:val="20"/>
                <w:szCs w:val="20"/>
                <w:lang w:val="en-GB"/>
              </w:rPr>
            </w:pPr>
            <w:r w:rsidRPr="00436840">
              <w:rPr>
                <w:rFonts w:ascii="Arial Narrow" w:hAnsi="Arial Narrow"/>
                <w:sz w:val="20"/>
                <w:szCs w:val="20"/>
                <w:lang w:val="en-GB"/>
              </w:rPr>
              <w:t xml:space="preserve">The NCCN guidelines (Version 3.2018) suggest a threshold of </w:t>
            </w:r>
            <w:r w:rsidRPr="00436840">
              <w:rPr>
                <w:rFonts w:ascii="Arial Narrow" w:hAnsi="Arial Narrow"/>
                <w:sz w:val="20"/>
                <w:szCs w:val="20"/>
              </w:rPr>
              <w:sym w:font="Symbol" w:char="F0B3"/>
            </w:r>
            <w:r w:rsidRPr="00436840">
              <w:rPr>
                <w:rFonts w:ascii="Arial Narrow" w:hAnsi="Arial Narrow"/>
                <w:sz w:val="20"/>
                <w:szCs w:val="20"/>
              </w:rPr>
              <w:t>1.3% risk over 6 years</w:t>
            </w:r>
            <w:r w:rsidR="003A741B" w:rsidRPr="003A741B">
              <w:rPr>
                <w:rFonts w:ascii="Arial Narrow" w:hAnsi="Arial Narrow"/>
                <w:sz w:val="20"/>
                <w:szCs w:val="20"/>
                <w:vertAlign w:val="superscript"/>
              </w:rPr>
              <w:t>19</w:t>
            </w:r>
            <w:r w:rsidRPr="00436840">
              <w:rPr>
                <w:rFonts w:ascii="Arial Narrow" w:hAnsi="Arial Narrow"/>
                <w:sz w:val="20"/>
                <w:szCs w:val="20"/>
              </w:rPr>
              <w:t xml:space="preserve">, while the recently released NHS screening protocol suggests a threshold of </w:t>
            </w:r>
            <w:r w:rsidRPr="00436840">
              <w:rPr>
                <w:rFonts w:ascii="Arial Narrow" w:hAnsi="Arial Narrow"/>
                <w:sz w:val="20"/>
                <w:szCs w:val="20"/>
              </w:rPr>
              <w:sym w:font="Symbol" w:char="F0B3"/>
            </w:r>
            <w:r w:rsidRPr="00436840">
              <w:rPr>
                <w:rFonts w:ascii="Arial Narrow" w:hAnsi="Arial Narrow"/>
                <w:sz w:val="20"/>
                <w:szCs w:val="20"/>
              </w:rPr>
              <w:t>1.51%</w:t>
            </w:r>
            <w:r w:rsidRPr="00436840">
              <w:rPr>
                <w:rFonts w:ascii="Arial Narrow" w:eastAsia="Calibri" w:hAnsi="Arial Narrow"/>
                <w:sz w:val="20"/>
                <w:szCs w:val="20"/>
                <w:lang w:val="en-GB"/>
              </w:rPr>
              <w:t xml:space="preserve"> risk over the same period</w:t>
            </w:r>
            <w:r w:rsidR="00D8723E" w:rsidRPr="00D8723E">
              <w:rPr>
                <w:rFonts w:ascii="Arial Narrow" w:eastAsia="Calibri" w:hAnsi="Arial Narrow"/>
                <w:sz w:val="20"/>
                <w:szCs w:val="20"/>
                <w:vertAlign w:val="superscript"/>
                <w:lang w:val="en-GB"/>
              </w:rPr>
              <w:t>12</w:t>
            </w:r>
            <w:r w:rsidRPr="00436840">
              <w:rPr>
                <w:rFonts w:ascii="Arial Narrow" w:eastAsia="Calibri" w:hAnsi="Arial Narrow"/>
                <w:sz w:val="20"/>
                <w:szCs w:val="20"/>
                <w:lang w:val="en-GB"/>
              </w:rPr>
              <w:t>.</w:t>
            </w:r>
          </w:p>
          <w:p w14:paraId="25A6B306" w14:textId="2D5D587D" w:rsidR="00503775" w:rsidRPr="00436840" w:rsidRDefault="00D4529B" w:rsidP="006D1A05">
            <w:pPr>
              <w:rPr>
                <w:rFonts w:ascii="Arial Narrow" w:eastAsia="Calibri" w:hAnsi="Arial Narrow"/>
                <w:sz w:val="20"/>
                <w:szCs w:val="20"/>
                <w:lang w:val="en-GB"/>
              </w:rPr>
            </w:pPr>
            <w:r>
              <w:rPr>
                <w:rFonts w:ascii="Arial Narrow" w:eastAsia="Calibri" w:hAnsi="Arial Narrow"/>
                <w:sz w:val="20"/>
                <w:szCs w:val="20"/>
                <w:lang w:val="en-GB"/>
              </w:rPr>
              <w:t>T</w:t>
            </w:r>
            <w:r w:rsidR="00503775" w:rsidRPr="00436840">
              <w:rPr>
                <w:rFonts w:ascii="Arial Narrow" w:eastAsia="Calibri" w:hAnsi="Arial Narrow"/>
                <w:sz w:val="20"/>
                <w:szCs w:val="20"/>
                <w:lang w:val="en-GB"/>
              </w:rPr>
              <w:t xml:space="preserve">he PLCOm2012 model with a risk threshold of </w:t>
            </w:r>
            <w:r w:rsidR="00503775" w:rsidRPr="00436840">
              <w:rPr>
                <w:rFonts w:ascii="Arial Narrow" w:hAnsi="Arial Narrow"/>
                <w:sz w:val="20"/>
                <w:szCs w:val="20"/>
              </w:rPr>
              <w:sym w:font="Symbol" w:char="F0B3"/>
            </w:r>
            <w:r w:rsidR="00503775" w:rsidRPr="00436840">
              <w:rPr>
                <w:rFonts w:ascii="Arial Narrow" w:hAnsi="Arial Narrow"/>
                <w:sz w:val="20"/>
                <w:szCs w:val="20"/>
              </w:rPr>
              <w:t>1.51% over 6 years is being applied</w:t>
            </w:r>
            <w:r w:rsidR="00503775" w:rsidRPr="00436840">
              <w:rPr>
                <w:rFonts w:ascii="Arial Narrow" w:eastAsia="Calibri" w:hAnsi="Arial Narrow"/>
                <w:sz w:val="20"/>
                <w:szCs w:val="20"/>
                <w:lang w:val="en-GB"/>
              </w:rPr>
              <w:t xml:space="preserve"> in current screening trials – the ILST – and in </w:t>
            </w:r>
            <w:r>
              <w:rPr>
                <w:rFonts w:ascii="Arial Narrow" w:eastAsia="Calibri" w:hAnsi="Arial Narrow"/>
                <w:sz w:val="20"/>
                <w:szCs w:val="20"/>
                <w:lang w:val="en-GB"/>
              </w:rPr>
              <w:t xml:space="preserve">program </w:t>
            </w:r>
            <w:r w:rsidR="00503775" w:rsidRPr="00436840">
              <w:rPr>
                <w:rFonts w:ascii="Arial Narrow" w:eastAsia="Calibri" w:hAnsi="Arial Narrow"/>
                <w:sz w:val="20"/>
                <w:szCs w:val="20"/>
                <w:lang w:val="en-GB"/>
              </w:rPr>
              <w:t xml:space="preserve">implementation </w:t>
            </w:r>
            <w:r>
              <w:rPr>
                <w:rFonts w:ascii="Arial Narrow" w:eastAsia="Calibri" w:hAnsi="Arial Narrow"/>
                <w:sz w:val="20"/>
                <w:szCs w:val="20"/>
                <w:lang w:val="en-GB"/>
              </w:rPr>
              <w:t xml:space="preserve">elsewhere </w:t>
            </w:r>
            <w:r w:rsidR="00503775" w:rsidRPr="00436840">
              <w:rPr>
                <w:rFonts w:ascii="Arial Narrow" w:eastAsia="Calibri" w:hAnsi="Arial Narrow"/>
                <w:sz w:val="20"/>
                <w:szCs w:val="20"/>
                <w:lang w:val="en-GB"/>
              </w:rPr>
              <w:t>– e.g., the Manchester Lung Health Check</w:t>
            </w:r>
            <w:r w:rsidR="000D1C01" w:rsidRPr="00436840">
              <w:rPr>
                <w:rStyle w:val="FootnoteReference"/>
                <w:rFonts w:ascii="Arial Narrow" w:eastAsia="Calibri" w:hAnsi="Arial Narrow"/>
                <w:sz w:val="20"/>
                <w:szCs w:val="20"/>
                <w:lang w:val="en-GB"/>
              </w:rPr>
              <w:footnoteReference w:id="20"/>
            </w:r>
            <w:r>
              <w:rPr>
                <w:rFonts w:ascii="Arial Narrow" w:eastAsia="Calibri" w:hAnsi="Arial Narrow"/>
                <w:sz w:val="20"/>
                <w:szCs w:val="20"/>
                <w:lang w:val="en-GB"/>
              </w:rPr>
              <w:t>.</w:t>
            </w:r>
          </w:p>
          <w:p w14:paraId="375FDE9A" w14:textId="5484719A" w:rsidR="00CE2846" w:rsidRPr="00436840" w:rsidRDefault="00CE2846" w:rsidP="00D24258">
            <w:pPr>
              <w:rPr>
                <w:rFonts w:ascii="Arial Narrow" w:hAnsi="Arial Narrow"/>
                <w:sz w:val="20"/>
                <w:szCs w:val="20"/>
                <w:lang w:val="en-GB"/>
              </w:rPr>
            </w:pPr>
            <w:r w:rsidRPr="00436840">
              <w:rPr>
                <w:rFonts w:ascii="Arial Narrow" w:eastAsia="Calibri" w:hAnsi="Arial Narrow"/>
                <w:sz w:val="20"/>
                <w:szCs w:val="20"/>
                <w:lang w:val="en-GB"/>
              </w:rPr>
              <w:t xml:space="preserve">Concerned that retrospective analyses may not translate well when applied in </w:t>
            </w:r>
            <w:r w:rsidR="00D4529B">
              <w:rPr>
                <w:rFonts w:ascii="Arial Narrow" w:eastAsia="Calibri" w:hAnsi="Arial Narrow"/>
                <w:sz w:val="20"/>
                <w:szCs w:val="20"/>
                <w:lang w:val="en-GB"/>
              </w:rPr>
              <w:t>implemented</w:t>
            </w:r>
            <w:r w:rsidRPr="00436840">
              <w:rPr>
                <w:rFonts w:ascii="Arial Narrow" w:eastAsia="Calibri" w:hAnsi="Arial Narrow"/>
                <w:sz w:val="20"/>
                <w:szCs w:val="20"/>
                <w:lang w:val="en-GB"/>
              </w:rPr>
              <w:t xml:space="preserve"> screening programs</w:t>
            </w:r>
            <w:r w:rsidR="000D1C01" w:rsidRPr="00436840">
              <w:rPr>
                <w:rStyle w:val="FootnoteReference"/>
                <w:rFonts w:ascii="Arial Narrow" w:eastAsia="Calibri" w:hAnsi="Arial Narrow"/>
                <w:sz w:val="20"/>
                <w:szCs w:val="20"/>
                <w:lang w:val="en-GB"/>
              </w:rPr>
              <w:footnoteReference w:id="21"/>
            </w:r>
            <w:r w:rsidR="00633377" w:rsidRPr="00436840">
              <w:rPr>
                <w:rFonts w:ascii="Arial Narrow" w:eastAsia="Calibri" w:hAnsi="Arial Narrow"/>
                <w:sz w:val="20"/>
                <w:szCs w:val="20"/>
                <w:lang w:val="en-GB"/>
              </w:rPr>
              <w:t>,</w:t>
            </w:r>
            <w:r w:rsidRPr="00436840">
              <w:rPr>
                <w:rFonts w:ascii="Arial Narrow" w:eastAsia="Calibri" w:hAnsi="Arial Narrow"/>
                <w:sz w:val="20"/>
                <w:szCs w:val="20"/>
                <w:lang w:val="en-GB"/>
              </w:rPr>
              <w:t xml:space="preserve"> Ten Haaf et al evaluated the long-term effects of risk-based strategies with different risk-models and risk thresholds in the general population using natural history modelling</w:t>
            </w:r>
            <w:r w:rsidR="00A80A1C" w:rsidRPr="00A80A1C">
              <w:rPr>
                <w:rFonts w:ascii="Arial Narrow" w:eastAsia="Calibri" w:hAnsi="Arial Narrow"/>
                <w:sz w:val="20"/>
                <w:szCs w:val="20"/>
                <w:vertAlign w:val="superscript"/>
                <w:lang w:val="en-GB"/>
              </w:rPr>
              <w:t>3</w:t>
            </w:r>
            <w:r w:rsidRPr="00436840">
              <w:rPr>
                <w:rFonts w:ascii="Arial Narrow" w:eastAsia="Calibri" w:hAnsi="Arial Narrow"/>
                <w:sz w:val="20"/>
                <w:szCs w:val="20"/>
                <w:lang w:val="en-GB"/>
              </w:rPr>
              <w:t xml:space="preserve">. </w:t>
            </w:r>
            <w:r w:rsidRPr="00436840">
              <w:rPr>
                <w:rFonts w:ascii="Arial Narrow" w:hAnsi="Arial Narrow"/>
                <w:sz w:val="20"/>
                <w:szCs w:val="20"/>
                <w:lang w:val="en-GB"/>
              </w:rPr>
              <w:t xml:space="preserve">Evaluating Bach, PLCOm2012 and LCDRAT models at varying thresholds (absolute increments of 0.1%, between 0.9% and 3.6%), a total of 363 screening strategies were used to </w:t>
            </w:r>
            <w:r w:rsidRPr="00436840">
              <w:rPr>
                <w:rFonts w:ascii="Arial Narrow" w:eastAsia="Calibri" w:hAnsi="Arial Narrow"/>
                <w:sz w:val="20"/>
                <w:szCs w:val="20"/>
                <w:lang w:val="en-GB"/>
              </w:rPr>
              <w:t xml:space="preserve">determine optimal thresholds that result in a net balance of long-term benefits (such as life-years gained and mortality reduction) and harms (such as overdiagnosis). </w:t>
            </w:r>
            <w:r w:rsidRPr="00436840">
              <w:rPr>
                <w:rFonts w:ascii="Arial Narrow" w:hAnsi="Arial Narrow"/>
                <w:sz w:val="20"/>
                <w:szCs w:val="20"/>
                <w:lang w:val="en-GB"/>
              </w:rPr>
              <w:t>Results indicated that strategies requiring similar screens among individuals age</w:t>
            </w:r>
            <w:r w:rsidR="00CA1308">
              <w:rPr>
                <w:rFonts w:ascii="Arial Narrow" w:hAnsi="Arial Narrow"/>
                <w:sz w:val="20"/>
                <w:szCs w:val="20"/>
                <w:lang w:val="en-GB"/>
              </w:rPr>
              <w:t>d</w:t>
            </w:r>
            <w:r w:rsidRPr="00436840">
              <w:rPr>
                <w:rFonts w:ascii="Arial Narrow" w:hAnsi="Arial Narrow"/>
                <w:sz w:val="20"/>
                <w:szCs w:val="20"/>
                <w:lang w:val="en-GB"/>
              </w:rPr>
              <w:t xml:space="preserve"> 55–80 years as the USPSTF criteria </w:t>
            </w:r>
            <w:r w:rsidRPr="00436840">
              <w:rPr>
                <w:rFonts w:ascii="Arial Narrow" w:eastAsia="Calibri" w:hAnsi="Arial Narrow"/>
                <w:sz w:val="20"/>
                <w:szCs w:val="20"/>
                <w:lang w:val="en-GB"/>
              </w:rPr>
              <w:t xml:space="preserve">(corresponding risk thresholds: Bach 2.8%; PLCOm2012 1.7%; LCDRAT 1.7%) </w:t>
            </w:r>
            <w:r w:rsidRPr="00436840">
              <w:rPr>
                <w:rFonts w:ascii="Arial Narrow" w:hAnsi="Arial Narrow"/>
                <w:sz w:val="20"/>
                <w:szCs w:val="20"/>
                <w:lang w:val="en-GB"/>
              </w:rPr>
              <w:t>averted considerably more lung cancer deaths, however life-years gained were only modestly higher, and overdiagnosed cases were greater for risk-based strategies</w:t>
            </w:r>
            <w:r w:rsidR="00633377" w:rsidRPr="00436840">
              <w:rPr>
                <w:rFonts w:ascii="Arial Narrow" w:hAnsi="Arial Narrow"/>
                <w:sz w:val="20"/>
                <w:szCs w:val="20"/>
                <w:lang w:val="en-GB"/>
              </w:rPr>
              <w:t>.</w:t>
            </w:r>
          </w:p>
          <w:p w14:paraId="508C1D2B" w14:textId="4F1D67EA" w:rsidR="009B2068" w:rsidRPr="00436840" w:rsidRDefault="009B2068" w:rsidP="00D24258">
            <w:pPr>
              <w:rPr>
                <w:rFonts w:ascii="Arial Narrow" w:eastAsia="Calibri" w:hAnsi="Arial Narrow" w:cstheme="minorHAnsi"/>
                <w:sz w:val="20"/>
                <w:szCs w:val="20"/>
                <w:lang w:val="en-GB"/>
              </w:rPr>
            </w:pPr>
            <w:r w:rsidRPr="00436840">
              <w:rPr>
                <w:rFonts w:ascii="Arial Narrow" w:eastAsia="Calibri" w:hAnsi="Arial Narrow" w:cstheme="minorHAnsi"/>
                <w:sz w:val="20"/>
                <w:szCs w:val="20"/>
                <w:lang w:val="en-GB"/>
              </w:rPr>
              <w:t>The threshold of ≥1.51 for the PLCOm2012 model is supported by published cost-effectiveness analyses. For example, Hinde et al</w:t>
            </w:r>
            <w:r w:rsidR="00E83E9D" w:rsidRPr="00436840">
              <w:rPr>
                <w:rStyle w:val="FootnoteReference"/>
                <w:rFonts w:ascii="Arial Narrow" w:eastAsia="Calibri" w:hAnsi="Arial Narrow" w:cstheme="minorHAnsi"/>
                <w:sz w:val="20"/>
                <w:szCs w:val="20"/>
                <w:lang w:val="en-GB"/>
              </w:rPr>
              <w:footnoteReference w:id="22"/>
            </w:r>
            <w:r w:rsidRPr="00436840">
              <w:rPr>
                <w:rFonts w:ascii="Arial Narrow" w:eastAsia="Calibri" w:hAnsi="Arial Narrow" w:cstheme="minorHAnsi"/>
                <w:sz w:val="20"/>
                <w:szCs w:val="20"/>
                <w:lang w:val="en-GB"/>
              </w:rPr>
              <w:t xml:space="preserve"> assessed the cost-effectiveness of the Manchester Lung Health Check program which used this threshold for the PLCOm2012 to define the screening population and indicated positive findings in support of LDCT screening.</w:t>
            </w:r>
          </w:p>
        </w:tc>
        <w:tc>
          <w:tcPr>
            <w:tcW w:w="1215" w:type="dxa"/>
          </w:tcPr>
          <w:p w14:paraId="2A47D104" w14:textId="62B6F71D" w:rsidR="003F4910" w:rsidRPr="00436840" w:rsidRDefault="006D1A05" w:rsidP="006D1A05">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202A4A7E" w14:textId="611FE416" w:rsidR="003F4910" w:rsidRPr="00436840" w:rsidRDefault="003F4910" w:rsidP="006D1A05">
            <w:pPr>
              <w:rPr>
                <w:rFonts w:ascii="Arial Narrow" w:hAnsi="Arial Narrow"/>
                <w:sz w:val="20"/>
                <w:szCs w:val="20"/>
              </w:rPr>
            </w:pPr>
            <w:r w:rsidRPr="00436840">
              <w:rPr>
                <w:rFonts w:ascii="Arial Narrow" w:hAnsi="Arial Narrow"/>
                <w:sz w:val="20"/>
                <w:szCs w:val="20"/>
              </w:rPr>
              <w:t>Yes</w:t>
            </w:r>
            <w:r w:rsidR="005D05E5" w:rsidRPr="00436840">
              <w:rPr>
                <w:rFonts w:ascii="Arial Narrow" w:hAnsi="Arial Narrow"/>
                <w:sz w:val="20"/>
                <w:szCs w:val="20"/>
              </w:rPr>
              <w:t xml:space="preserve"> (</w:t>
            </w:r>
            <w:r w:rsidR="00707AD7">
              <w:rPr>
                <w:rFonts w:ascii="Arial Narrow" w:hAnsi="Arial Narrow"/>
                <w:sz w:val="20"/>
                <w:szCs w:val="20"/>
              </w:rPr>
              <w:t>T</w:t>
            </w:r>
            <w:r w:rsidR="005D05E5" w:rsidRPr="00436840">
              <w:rPr>
                <w:rFonts w:ascii="Arial Narrow" w:hAnsi="Arial Narrow"/>
                <w:sz w:val="20"/>
                <w:szCs w:val="20"/>
              </w:rPr>
              <w:t>able 50 in economic evaluation</w:t>
            </w:r>
            <w:r w:rsidR="00A33569">
              <w:rPr>
                <w:rFonts w:ascii="Arial Narrow" w:hAnsi="Arial Narrow"/>
                <w:sz w:val="20"/>
                <w:szCs w:val="20"/>
              </w:rPr>
              <w:t xml:space="preserve"> report</w:t>
            </w:r>
            <w:r w:rsidR="005D05E5" w:rsidRPr="00436840">
              <w:rPr>
                <w:rFonts w:ascii="Arial Narrow" w:hAnsi="Arial Narrow"/>
                <w:sz w:val="20"/>
                <w:szCs w:val="20"/>
              </w:rPr>
              <w:t>)</w:t>
            </w:r>
          </w:p>
        </w:tc>
      </w:tr>
      <w:tr w:rsidR="000D1C01" w:rsidRPr="00436840" w14:paraId="342846BC" w14:textId="77777777" w:rsidTr="003A350D">
        <w:tc>
          <w:tcPr>
            <w:tcW w:w="2379" w:type="dxa"/>
          </w:tcPr>
          <w:p w14:paraId="551C2894" w14:textId="09E263D0" w:rsidR="003F4910" w:rsidRPr="00436840" w:rsidRDefault="003F4910" w:rsidP="006D1A05">
            <w:pPr>
              <w:rPr>
                <w:rFonts w:ascii="Arial Narrow" w:hAnsi="Arial Narrow"/>
                <w:b/>
                <w:sz w:val="20"/>
                <w:szCs w:val="20"/>
              </w:rPr>
            </w:pPr>
            <w:r w:rsidRPr="00436840">
              <w:rPr>
                <w:rFonts w:ascii="Arial Narrow" w:hAnsi="Arial Narrow"/>
                <w:b/>
                <w:sz w:val="20"/>
                <w:szCs w:val="20"/>
              </w:rPr>
              <w:t xml:space="preserve">Confirm the repeat use (or not) of risk </w:t>
            </w:r>
            <w:r w:rsidR="00542563">
              <w:rPr>
                <w:rFonts w:ascii="Arial Narrow" w:hAnsi="Arial Narrow"/>
                <w:b/>
                <w:sz w:val="20"/>
                <w:szCs w:val="20"/>
              </w:rPr>
              <w:t>prediction</w:t>
            </w:r>
            <w:r w:rsidRPr="00436840">
              <w:rPr>
                <w:rFonts w:ascii="Arial Narrow" w:hAnsi="Arial Narrow"/>
                <w:b/>
                <w:sz w:val="20"/>
                <w:szCs w:val="20"/>
              </w:rPr>
              <w:t xml:space="preserve"> tool if previously assessed but not referred to LDCT</w:t>
            </w:r>
          </w:p>
        </w:tc>
        <w:tc>
          <w:tcPr>
            <w:tcW w:w="1435" w:type="dxa"/>
          </w:tcPr>
          <w:p w14:paraId="344D8A10"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Yes</w:t>
            </w:r>
          </w:p>
        </w:tc>
        <w:tc>
          <w:tcPr>
            <w:tcW w:w="4390" w:type="dxa"/>
          </w:tcPr>
          <w:p w14:paraId="1DB6488E"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N/A</w:t>
            </w:r>
          </w:p>
        </w:tc>
        <w:tc>
          <w:tcPr>
            <w:tcW w:w="1518" w:type="dxa"/>
          </w:tcPr>
          <w:p w14:paraId="750A20A9" w14:textId="77777777" w:rsidR="003F4910" w:rsidRPr="00436840" w:rsidRDefault="003F4910" w:rsidP="006D1A05">
            <w:pPr>
              <w:rPr>
                <w:rFonts w:ascii="Arial Narrow" w:hAnsi="Arial Narrow"/>
                <w:sz w:val="20"/>
                <w:szCs w:val="20"/>
              </w:rPr>
            </w:pPr>
          </w:p>
        </w:tc>
        <w:tc>
          <w:tcPr>
            <w:tcW w:w="8280" w:type="dxa"/>
          </w:tcPr>
          <w:p w14:paraId="2093F2A0" w14:textId="619EDCCA" w:rsidR="003F4910" w:rsidRPr="00436840" w:rsidRDefault="003F4910" w:rsidP="006D1A05">
            <w:pPr>
              <w:rPr>
                <w:rFonts w:ascii="Arial Narrow" w:hAnsi="Arial Narrow"/>
                <w:sz w:val="20"/>
                <w:szCs w:val="20"/>
              </w:rPr>
            </w:pPr>
            <w:r w:rsidRPr="00436840">
              <w:rPr>
                <w:rFonts w:ascii="Arial Narrow" w:hAnsi="Arial Narrow"/>
                <w:sz w:val="20"/>
                <w:szCs w:val="20"/>
              </w:rPr>
              <w:t xml:space="preserve">Participants who </w:t>
            </w:r>
            <w:r w:rsidR="003A379C">
              <w:rPr>
                <w:rFonts w:ascii="Arial Narrow" w:hAnsi="Arial Narrow"/>
                <w:sz w:val="20"/>
                <w:szCs w:val="20"/>
              </w:rPr>
              <w:t xml:space="preserve">are assessed by the </w:t>
            </w:r>
            <w:r w:rsidRPr="00436840">
              <w:rPr>
                <w:rFonts w:ascii="Arial Narrow" w:hAnsi="Arial Narrow"/>
                <w:sz w:val="20"/>
                <w:szCs w:val="20"/>
              </w:rPr>
              <w:t xml:space="preserve">risk </w:t>
            </w:r>
            <w:r w:rsidR="003A379C" w:rsidRPr="003A379C">
              <w:rPr>
                <w:rFonts w:ascii="Arial Narrow" w:hAnsi="Arial Narrow"/>
                <w:sz w:val="20"/>
                <w:szCs w:val="20"/>
              </w:rPr>
              <w:t xml:space="preserve">prediction </w:t>
            </w:r>
            <w:r w:rsidR="003A379C">
              <w:rPr>
                <w:rFonts w:ascii="Arial Narrow" w:hAnsi="Arial Narrow"/>
                <w:sz w:val="20"/>
                <w:szCs w:val="20"/>
              </w:rPr>
              <w:t xml:space="preserve">to be </w:t>
            </w:r>
            <w:r w:rsidRPr="00436840">
              <w:rPr>
                <w:rFonts w:ascii="Arial Narrow" w:hAnsi="Arial Narrow"/>
                <w:sz w:val="20"/>
                <w:szCs w:val="20"/>
              </w:rPr>
              <w:t>ineligible</w:t>
            </w:r>
            <w:r w:rsidR="00542563">
              <w:rPr>
                <w:rFonts w:ascii="Arial Narrow" w:hAnsi="Arial Narrow"/>
                <w:sz w:val="20"/>
                <w:szCs w:val="20"/>
              </w:rPr>
              <w:t>,</w:t>
            </w:r>
            <w:r w:rsidRPr="00436840">
              <w:rPr>
                <w:rFonts w:ascii="Arial Narrow" w:hAnsi="Arial Narrow"/>
                <w:sz w:val="20"/>
                <w:szCs w:val="20"/>
              </w:rPr>
              <w:t xml:space="preserve"> i.e.</w:t>
            </w:r>
            <w:r w:rsidR="00542563">
              <w:rPr>
                <w:rFonts w:ascii="Arial Narrow" w:hAnsi="Arial Narrow"/>
                <w:sz w:val="20"/>
                <w:szCs w:val="20"/>
              </w:rPr>
              <w:t>,</w:t>
            </w:r>
            <w:r w:rsidRPr="00436840">
              <w:rPr>
                <w:rFonts w:ascii="Arial Narrow" w:hAnsi="Arial Narrow"/>
                <w:sz w:val="20"/>
                <w:szCs w:val="20"/>
              </w:rPr>
              <w:t xml:space="preserve"> do not meet the risk </w:t>
            </w:r>
            <w:r w:rsidR="003A379C" w:rsidRPr="003A379C">
              <w:rPr>
                <w:rFonts w:ascii="Arial Narrow" w:hAnsi="Arial Narrow"/>
                <w:sz w:val="20"/>
                <w:szCs w:val="20"/>
              </w:rPr>
              <w:t xml:space="preserve">prediction </w:t>
            </w:r>
            <w:r w:rsidRPr="00436840">
              <w:rPr>
                <w:rFonts w:ascii="Arial Narrow" w:hAnsi="Arial Narrow"/>
                <w:sz w:val="20"/>
                <w:szCs w:val="20"/>
              </w:rPr>
              <w:t xml:space="preserve">threshold could </w:t>
            </w:r>
            <w:r w:rsidR="003A379C">
              <w:rPr>
                <w:rFonts w:ascii="Arial Narrow" w:hAnsi="Arial Narrow"/>
                <w:sz w:val="20"/>
                <w:szCs w:val="20"/>
              </w:rPr>
              <w:t xml:space="preserve">have another </w:t>
            </w:r>
            <w:r w:rsidRPr="00436840">
              <w:rPr>
                <w:rFonts w:ascii="Arial Narrow" w:hAnsi="Arial Narrow"/>
                <w:sz w:val="20"/>
                <w:szCs w:val="20"/>
              </w:rPr>
              <w:t>risk assess</w:t>
            </w:r>
            <w:r w:rsidR="003A379C">
              <w:rPr>
                <w:rFonts w:ascii="Arial Narrow" w:hAnsi="Arial Narrow"/>
                <w:sz w:val="20"/>
                <w:szCs w:val="20"/>
              </w:rPr>
              <w:t>ment</w:t>
            </w:r>
            <w:r w:rsidRPr="00436840">
              <w:rPr>
                <w:rFonts w:ascii="Arial Narrow" w:hAnsi="Arial Narrow"/>
                <w:sz w:val="20"/>
                <w:szCs w:val="20"/>
              </w:rPr>
              <w:t xml:space="preserve"> at a future date to determine eligibility.</w:t>
            </w:r>
          </w:p>
        </w:tc>
        <w:tc>
          <w:tcPr>
            <w:tcW w:w="1215" w:type="dxa"/>
          </w:tcPr>
          <w:p w14:paraId="66CFA815" w14:textId="5DC3624B" w:rsidR="003F4910" w:rsidRPr="00436840" w:rsidRDefault="006D1A05" w:rsidP="006D1A05">
            <w:pPr>
              <w:rPr>
                <w:rFonts w:ascii="Arial Narrow" w:hAnsi="Arial Narrow"/>
                <w:sz w:val="20"/>
                <w:szCs w:val="20"/>
              </w:rPr>
            </w:pPr>
            <w:r w:rsidRPr="00436840">
              <w:rPr>
                <w:rFonts w:ascii="Arial Narrow" w:hAnsi="Arial Narrow"/>
                <w:sz w:val="20"/>
                <w:szCs w:val="20"/>
              </w:rPr>
              <w:t>No</w:t>
            </w:r>
          </w:p>
        </w:tc>
        <w:tc>
          <w:tcPr>
            <w:tcW w:w="1704" w:type="dxa"/>
          </w:tcPr>
          <w:p w14:paraId="4770242A" w14:textId="71A4F275" w:rsidR="003F4910" w:rsidRPr="00436840" w:rsidRDefault="00AF7271" w:rsidP="006D1A05">
            <w:pPr>
              <w:rPr>
                <w:rFonts w:ascii="Arial Narrow" w:hAnsi="Arial Narrow"/>
                <w:sz w:val="20"/>
                <w:szCs w:val="20"/>
              </w:rPr>
            </w:pPr>
            <w:r w:rsidRPr="00436840">
              <w:rPr>
                <w:rFonts w:ascii="Arial Narrow" w:hAnsi="Arial Narrow"/>
                <w:sz w:val="20"/>
                <w:szCs w:val="20"/>
              </w:rPr>
              <w:t>No</w:t>
            </w:r>
          </w:p>
        </w:tc>
      </w:tr>
      <w:tr w:rsidR="000D1C01" w:rsidRPr="00436840" w14:paraId="6B81D316" w14:textId="77777777" w:rsidTr="003A350D">
        <w:tc>
          <w:tcPr>
            <w:tcW w:w="2379" w:type="dxa"/>
          </w:tcPr>
          <w:p w14:paraId="082E6E38" w14:textId="07565ACC" w:rsidR="003F4910" w:rsidRPr="00436840" w:rsidRDefault="003F4910" w:rsidP="006D1A05">
            <w:pPr>
              <w:rPr>
                <w:rFonts w:ascii="Arial Narrow" w:hAnsi="Arial Narrow"/>
                <w:b/>
                <w:sz w:val="20"/>
                <w:szCs w:val="20"/>
              </w:rPr>
            </w:pPr>
            <w:r w:rsidRPr="00436840">
              <w:rPr>
                <w:rFonts w:ascii="Arial Narrow" w:hAnsi="Arial Narrow"/>
                <w:b/>
                <w:sz w:val="20"/>
                <w:szCs w:val="20"/>
              </w:rPr>
              <w:t xml:space="preserve">Confirm the time interval to (frequency of) repeat use of risk </w:t>
            </w:r>
            <w:r w:rsidR="003A379C" w:rsidRPr="003A379C">
              <w:rPr>
                <w:rFonts w:ascii="Arial Narrow" w:hAnsi="Arial Narrow"/>
                <w:b/>
                <w:sz w:val="20"/>
                <w:szCs w:val="20"/>
              </w:rPr>
              <w:t xml:space="preserve">prediction </w:t>
            </w:r>
            <w:r w:rsidRPr="00436840">
              <w:rPr>
                <w:rFonts w:ascii="Arial Narrow" w:hAnsi="Arial Narrow"/>
                <w:b/>
                <w:sz w:val="20"/>
                <w:szCs w:val="20"/>
              </w:rPr>
              <w:t>tool if previously assessed, but not referred to LDCT</w:t>
            </w:r>
          </w:p>
        </w:tc>
        <w:tc>
          <w:tcPr>
            <w:tcW w:w="1435" w:type="dxa"/>
          </w:tcPr>
          <w:p w14:paraId="78471E9A" w14:textId="4D1BCC13" w:rsidR="003F4910" w:rsidRPr="00436840" w:rsidRDefault="003F4910" w:rsidP="006D1A05">
            <w:pPr>
              <w:rPr>
                <w:rFonts w:ascii="Arial Narrow" w:hAnsi="Arial Narrow"/>
                <w:sz w:val="20"/>
                <w:szCs w:val="20"/>
              </w:rPr>
            </w:pPr>
            <w:r w:rsidRPr="00436840">
              <w:rPr>
                <w:rFonts w:ascii="Arial Narrow" w:hAnsi="Arial Narrow"/>
                <w:sz w:val="20"/>
                <w:szCs w:val="20"/>
              </w:rPr>
              <w:t>No defined time interval or frequency</w:t>
            </w:r>
          </w:p>
        </w:tc>
        <w:tc>
          <w:tcPr>
            <w:tcW w:w="4390" w:type="dxa"/>
          </w:tcPr>
          <w:p w14:paraId="5B6DE5FE"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N/A</w:t>
            </w:r>
          </w:p>
        </w:tc>
        <w:tc>
          <w:tcPr>
            <w:tcW w:w="1518" w:type="dxa"/>
          </w:tcPr>
          <w:p w14:paraId="221D186B" w14:textId="77777777" w:rsidR="003F4910" w:rsidRPr="00436840" w:rsidRDefault="003F4910" w:rsidP="006D1A05">
            <w:pPr>
              <w:rPr>
                <w:rFonts w:ascii="Arial Narrow" w:hAnsi="Arial Narrow"/>
                <w:sz w:val="20"/>
                <w:szCs w:val="20"/>
              </w:rPr>
            </w:pPr>
          </w:p>
        </w:tc>
        <w:tc>
          <w:tcPr>
            <w:tcW w:w="8280" w:type="dxa"/>
          </w:tcPr>
          <w:p w14:paraId="513E7DDD"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Time interval or frequency for ineligible participants to be re-assessed has not been defined.</w:t>
            </w:r>
          </w:p>
        </w:tc>
        <w:tc>
          <w:tcPr>
            <w:tcW w:w="1215" w:type="dxa"/>
          </w:tcPr>
          <w:p w14:paraId="656F5B94" w14:textId="05AE201F" w:rsidR="003F4910" w:rsidRPr="00436840" w:rsidRDefault="006D1A05" w:rsidP="006D1A05">
            <w:pPr>
              <w:rPr>
                <w:rFonts w:ascii="Arial Narrow" w:hAnsi="Arial Narrow"/>
                <w:sz w:val="20"/>
                <w:szCs w:val="20"/>
              </w:rPr>
            </w:pPr>
            <w:r w:rsidRPr="00436840">
              <w:rPr>
                <w:rFonts w:ascii="Arial Narrow" w:hAnsi="Arial Narrow"/>
                <w:sz w:val="20"/>
                <w:szCs w:val="20"/>
              </w:rPr>
              <w:t>No</w:t>
            </w:r>
          </w:p>
        </w:tc>
        <w:tc>
          <w:tcPr>
            <w:tcW w:w="1704" w:type="dxa"/>
          </w:tcPr>
          <w:p w14:paraId="7C1923DD"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No</w:t>
            </w:r>
          </w:p>
        </w:tc>
      </w:tr>
      <w:tr w:rsidR="000D1C01" w:rsidRPr="00436840" w14:paraId="663E59A4" w14:textId="77777777" w:rsidTr="003A350D">
        <w:tc>
          <w:tcPr>
            <w:tcW w:w="2379" w:type="dxa"/>
          </w:tcPr>
          <w:p w14:paraId="6E8BF24B" w14:textId="6999E4E9" w:rsidR="003F4910" w:rsidRPr="00542563" w:rsidRDefault="003F4910" w:rsidP="006D1A05">
            <w:pPr>
              <w:rPr>
                <w:rFonts w:ascii="Arial Narrow" w:hAnsi="Arial Narrow"/>
                <w:b/>
                <w:sz w:val="20"/>
                <w:szCs w:val="20"/>
              </w:rPr>
            </w:pPr>
            <w:r w:rsidRPr="00542563">
              <w:rPr>
                <w:rFonts w:ascii="Arial Narrow" w:hAnsi="Arial Narrow"/>
                <w:b/>
                <w:sz w:val="20"/>
                <w:szCs w:val="20"/>
              </w:rPr>
              <w:t>LDCT as the screening technology</w:t>
            </w:r>
          </w:p>
        </w:tc>
        <w:tc>
          <w:tcPr>
            <w:tcW w:w="1435" w:type="dxa"/>
          </w:tcPr>
          <w:p w14:paraId="09DB1877" w14:textId="0695F945" w:rsidR="003F4910" w:rsidRPr="00436840" w:rsidRDefault="003F4910" w:rsidP="006D1A05">
            <w:pPr>
              <w:rPr>
                <w:rFonts w:ascii="Arial Narrow" w:hAnsi="Arial Narrow"/>
                <w:sz w:val="20"/>
                <w:szCs w:val="20"/>
              </w:rPr>
            </w:pPr>
            <w:r w:rsidRPr="00436840">
              <w:rPr>
                <w:rFonts w:ascii="Arial Narrow" w:hAnsi="Arial Narrow"/>
                <w:sz w:val="20"/>
                <w:szCs w:val="20"/>
              </w:rPr>
              <w:t>LDCT with volumetric analysis</w:t>
            </w:r>
          </w:p>
        </w:tc>
        <w:tc>
          <w:tcPr>
            <w:tcW w:w="4390" w:type="dxa"/>
          </w:tcPr>
          <w:p w14:paraId="1B8881D2" w14:textId="09868DB5" w:rsidR="007E1935" w:rsidRPr="00436840" w:rsidRDefault="007E1935" w:rsidP="007E1935">
            <w:pPr>
              <w:rPr>
                <w:rFonts w:ascii="Arial Narrow" w:hAnsi="Arial Narrow"/>
                <w:sz w:val="20"/>
                <w:szCs w:val="20"/>
              </w:rPr>
            </w:pPr>
            <w:r w:rsidRPr="00436840">
              <w:rPr>
                <w:rFonts w:ascii="Arial Narrow" w:hAnsi="Arial Narrow"/>
                <w:sz w:val="20"/>
                <w:szCs w:val="20"/>
              </w:rPr>
              <w:t>NELSON</w:t>
            </w:r>
            <w:r w:rsidR="00416BAC" w:rsidRPr="00416BAC">
              <w:rPr>
                <w:rFonts w:ascii="Arial Narrow" w:hAnsi="Arial Narrow"/>
                <w:sz w:val="20"/>
                <w:szCs w:val="20"/>
                <w:vertAlign w:val="superscript"/>
              </w:rPr>
              <w:t>10</w:t>
            </w:r>
          </w:p>
          <w:p w14:paraId="65D392E7" w14:textId="5F873F8D" w:rsidR="003F4910" w:rsidRPr="00436840" w:rsidRDefault="007E1935" w:rsidP="006D1A05">
            <w:pPr>
              <w:rPr>
                <w:rFonts w:ascii="Arial Narrow" w:hAnsi="Arial Narrow"/>
                <w:sz w:val="20"/>
                <w:szCs w:val="20"/>
              </w:rPr>
            </w:pPr>
            <w:r w:rsidRPr="00436840">
              <w:rPr>
                <w:rFonts w:ascii="Arial Narrow" w:hAnsi="Arial Narrow"/>
                <w:sz w:val="20"/>
                <w:szCs w:val="20"/>
              </w:rPr>
              <w:t>NLST</w:t>
            </w:r>
            <w:r w:rsidR="00CF490E" w:rsidRPr="00CF490E">
              <w:rPr>
                <w:rFonts w:ascii="Arial Narrow" w:hAnsi="Arial Narrow"/>
                <w:sz w:val="20"/>
                <w:szCs w:val="20"/>
                <w:vertAlign w:val="superscript"/>
              </w:rPr>
              <w:t>1</w:t>
            </w:r>
          </w:p>
        </w:tc>
        <w:tc>
          <w:tcPr>
            <w:tcW w:w="1518" w:type="dxa"/>
          </w:tcPr>
          <w:p w14:paraId="681E808D" w14:textId="1AF564E7" w:rsidR="003F4910" w:rsidRPr="00436840" w:rsidRDefault="003F4910" w:rsidP="006D1A05">
            <w:pPr>
              <w:rPr>
                <w:rFonts w:ascii="Arial Narrow" w:hAnsi="Arial Narrow"/>
                <w:sz w:val="20"/>
                <w:szCs w:val="20"/>
              </w:rPr>
            </w:pPr>
          </w:p>
        </w:tc>
        <w:tc>
          <w:tcPr>
            <w:tcW w:w="8280" w:type="dxa"/>
          </w:tcPr>
          <w:p w14:paraId="1FE704CC" w14:textId="566CAE9B" w:rsidR="007E1935" w:rsidRPr="00436840" w:rsidRDefault="007E1935" w:rsidP="006D1A05">
            <w:pPr>
              <w:rPr>
                <w:rFonts w:ascii="Arial Narrow" w:hAnsi="Arial Narrow"/>
                <w:sz w:val="20"/>
                <w:szCs w:val="20"/>
              </w:rPr>
            </w:pPr>
            <w:r w:rsidRPr="00436840">
              <w:rPr>
                <w:rFonts w:ascii="Arial Narrow" w:hAnsi="Arial Narrow"/>
                <w:sz w:val="20"/>
                <w:szCs w:val="20"/>
              </w:rPr>
              <w:t xml:space="preserve">LDCT is the recognised screening tool for early diagnosis of lung cancer. It has low radiation dosage compared to conventional CT scans and is more sensitive than </w:t>
            </w:r>
            <w:r w:rsidR="00A33569">
              <w:rPr>
                <w:rFonts w:ascii="Arial Narrow" w:hAnsi="Arial Narrow"/>
                <w:sz w:val="20"/>
                <w:szCs w:val="20"/>
              </w:rPr>
              <w:t>CXR</w:t>
            </w:r>
            <w:r w:rsidRPr="00436840">
              <w:rPr>
                <w:rFonts w:ascii="Arial Narrow" w:hAnsi="Arial Narrow"/>
                <w:sz w:val="20"/>
                <w:szCs w:val="20"/>
              </w:rPr>
              <w:t xml:space="preserve"> in the diagnosis of lung cancer.</w:t>
            </w:r>
          </w:p>
          <w:p w14:paraId="1C7A19FB" w14:textId="1C8EAD62" w:rsidR="007E1935" w:rsidRPr="00436840" w:rsidRDefault="007E1935" w:rsidP="006D1A05">
            <w:pPr>
              <w:rPr>
                <w:rFonts w:ascii="Arial Narrow" w:hAnsi="Arial Narrow"/>
                <w:sz w:val="20"/>
                <w:szCs w:val="20"/>
              </w:rPr>
            </w:pPr>
            <w:r w:rsidRPr="00436840">
              <w:rPr>
                <w:rFonts w:ascii="Arial Narrow" w:hAnsi="Arial Narrow"/>
                <w:sz w:val="20"/>
                <w:szCs w:val="20"/>
              </w:rPr>
              <w:lastRenderedPageBreak/>
              <w:t>LDCT is the screening intervention used across almost all of the lung cancer screening trials with the comparator being no screening or CXR. CXR was the comparator condition in the NLST and in clinical trials from the 2000s that predate the NLST. Of note one of the earliest trials, the PLCO (Prostate, Lung, Colorectal and Ovarian) cancer screening trial (screening completed in 2006), used CXR (versus no screening) as the screening intervention hence is not included in the RCTs assessing effectiveness of LDCT lung cancer screening.</w:t>
            </w:r>
          </w:p>
          <w:p w14:paraId="1881E8BA" w14:textId="0A41D783" w:rsidR="003F4910" w:rsidRPr="00436840" w:rsidRDefault="003F4910" w:rsidP="006D1A05">
            <w:pPr>
              <w:rPr>
                <w:rFonts w:ascii="Arial Narrow" w:hAnsi="Arial Narrow"/>
                <w:sz w:val="20"/>
                <w:szCs w:val="20"/>
              </w:rPr>
            </w:pPr>
            <w:r w:rsidRPr="00436840">
              <w:rPr>
                <w:rFonts w:ascii="Arial Narrow" w:hAnsi="Arial Narrow"/>
                <w:sz w:val="20"/>
                <w:szCs w:val="20"/>
              </w:rPr>
              <w:t>In relation to rationale for volumetric analysis, volumetric assessment of nodules in the NELSON trial appear to have contributed to a very small rate of false positives (1.2%).</w:t>
            </w:r>
          </w:p>
        </w:tc>
        <w:tc>
          <w:tcPr>
            <w:tcW w:w="1215" w:type="dxa"/>
          </w:tcPr>
          <w:p w14:paraId="4AC9E04A" w14:textId="64D4F3BD" w:rsidR="003F4910" w:rsidRPr="00436840" w:rsidRDefault="006D1A05" w:rsidP="006D1A05">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3DAE63FB" w14:textId="40CEDC11" w:rsidR="003F4910" w:rsidRPr="00436840" w:rsidRDefault="00AF7271" w:rsidP="006D1A05">
            <w:pPr>
              <w:rPr>
                <w:rFonts w:ascii="Arial Narrow" w:hAnsi="Arial Narrow"/>
                <w:sz w:val="20"/>
                <w:szCs w:val="20"/>
              </w:rPr>
            </w:pPr>
            <w:r w:rsidRPr="00436840">
              <w:rPr>
                <w:rFonts w:ascii="Arial Narrow" w:hAnsi="Arial Narrow"/>
                <w:sz w:val="20"/>
                <w:szCs w:val="20"/>
              </w:rPr>
              <w:t>Yes</w:t>
            </w:r>
            <w:r w:rsidR="005D05E5" w:rsidRPr="00436840">
              <w:rPr>
                <w:rFonts w:ascii="Arial Narrow" w:hAnsi="Arial Narrow"/>
                <w:sz w:val="20"/>
                <w:szCs w:val="20"/>
              </w:rPr>
              <w:t xml:space="preserve"> (</w:t>
            </w:r>
            <w:r w:rsidR="00542563">
              <w:rPr>
                <w:rFonts w:ascii="Arial Narrow" w:hAnsi="Arial Narrow"/>
                <w:sz w:val="20"/>
                <w:szCs w:val="20"/>
              </w:rPr>
              <w:t>T</w:t>
            </w:r>
            <w:r w:rsidR="005D05E5" w:rsidRPr="00436840">
              <w:rPr>
                <w:rFonts w:ascii="Arial Narrow" w:hAnsi="Arial Narrow"/>
                <w:sz w:val="20"/>
                <w:szCs w:val="20"/>
              </w:rPr>
              <w:t>able 50 in economic evaluation</w:t>
            </w:r>
            <w:r w:rsidR="00A33569">
              <w:rPr>
                <w:rFonts w:ascii="Arial Narrow" w:hAnsi="Arial Narrow"/>
                <w:sz w:val="20"/>
                <w:szCs w:val="20"/>
              </w:rPr>
              <w:t xml:space="preserve"> report</w:t>
            </w:r>
            <w:r w:rsidR="005D05E5" w:rsidRPr="00436840">
              <w:rPr>
                <w:rFonts w:ascii="Arial Narrow" w:hAnsi="Arial Narrow"/>
                <w:sz w:val="20"/>
                <w:szCs w:val="20"/>
              </w:rPr>
              <w:t>)</w:t>
            </w:r>
          </w:p>
        </w:tc>
      </w:tr>
      <w:tr w:rsidR="000D1C01" w:rsidRPr="00436840" w14:paraId="04DD683A" w14:textId="77777777" w:rsidTr="003A350D">
        <w:tc>
          <w:tcPr>
            <w:tcW w:w="2379" w:type="dxa"/>
          </w:tcPr>
          <w:p w14:paraId="0101D108" w14:textId="2D10E102" w:rsidR="003F4910" w:rsidRPr="00436840" w:rsidRDefault="003F4910" w:rsidP="006D1A05">
            <w:pPr>
              <w:rPr>
                <w:rFonts w:ascii="Arial Narrow" w:hAnsi="Arial Narrow"/>
                <w:b/>
                <w:sz w:val="20"/>
                <w:szCs w:val="20"/>
              </w:rPr>
            </w:pPr>
            <w:r w:rsidRPr="00436840">
              <w:rPr>
                <w:rFonts w:ascii="Arial Narrow" w:hAnsi="Arial Narrow"/>
                <w:b/>
                <w:sz w:val="20"/>
                <w:szCs w:val="20"/>
              </w:rPr>
              <w:t>Nodule management protocol for assessment of baseline LDCT scan</w:t>
            </w:r>
          </w:p>
        </w:tc>
        <w:tc>
          <w:tcPr>
            <w:tcW w:w="1435" w:type="dxa"/>
          </w:tcPr>
          <w:p w14:paraId="3DBCDB53" w14:textId="71424DEA" w:rsidR="003F4910" w:rsidRPr="00436840" w:rsidRDefault="003F4910" w:rsidP="006D1A05">
            <w:pPr>
              <w:rPr>
                <w:rFonts w:ascii="Arial Narrow" w:hAnsi="Arial Narrow"/>
                <w:sz w:val="20"/>
                <w:szCs w:val="20"/>
              </w:rPr>
            </w:pPr>
            <w:r w:rsidRPr="00436840">
              <w:rPr>
                <w:rFonts w:ascii="Arial Narrow" w:hAnsi="Arial Narrow"/>
                <w:sz w:val="20"/>
                <w:szCs w:val="20"/>
              </w:rPr>
              <w:t>PanCan (most recent version)</w:t>
            </w:r>
          </w:p>
        </w:tc>
        <w:tc>
          <w:tcPr>
            <w:tcW w:w="4390" w:type="dxa"/>
          </w:tcPr>
          <w:p w14:paraId="1136DA92"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McWilliams A, Tammemagi MC, Mayo JR, Roberts H, Liu G, Soghrati K, et al. Probability of cancer in pulmonary nodules detected on first screening CT. N Engl J Med. 2013;369(10):910-9.</w:t>
            </w:r>
          </w:p>
          <w:p w14:paraId="006BC2B3" w14:textId="77777777" w:rsidR="003F4910" w:rsidRPr="00436840" w:rsidRDefault="003F4910" w:rsidP="006D1A05">
            <w:pPr>
              <w:rPr>
                <w:rFonts w:ascii="Arial Narrow" w:hAnsi="Arial Narrow"/>
                <w:sz w:val="20"/>
                <w:szCs w:val="20"/>
              </w:rPr>
            </w:pPr>
            <w:r w:rsidRPr="00436840">
              <w:rPr>
                <w:rFonts w:ascii="Arial Narrow" w:hAnsi="Arial Narrow"/>
                <w:sz w:val="20"/>
                <w:szCs w:val="20"/>
              </w:rPr>
              <w:t>Van Riel SJ, Ciompi F, Jacobs C, Winkler Wille MM, Scholten ET, Naqibullah M, et al. Malignancy risk estimation of screen-detected nodules at baseline CT: comparison of the PanCan model, Lung-RADS and NCCN guidelines. European Radiology. 2017;27(10):4019-29.</w:t>
            </w:r>
          </w:p>
          <w:p w14:paraId="4118EE39" w14:textId="649353A1" w:rsidR="003F4910" w:rsidRPr="00436840" w:rsidRDefault="003F4910" w:rsidP="006D1A05">
            <w:pPr>
              <w:rPr>
                <w:rFonts w:ascii="Arial Narrow" w:hAnsi="Arial Narrow"/>
                <w:sz w:val="20"/>
                <w:szCs w:val="20"/>
              </w:rPr>
            </w:pPr>
            <w:r w:rsidRPr="00436840">
              <w:rPr>
                <w:rFonts w:ascii="Arial Narrow" w:hAnsi="Arial Narrow"/>
                <w:sz w:val="20"/>
                <w:szCs w:val="20"/>
              </w:rPr>
              <w:t>Marshall HM, Zhao H, Bowman RV, Passmore LH, McCaul EM, Yang IA, et al. The effect of different radiological models on diagnostic accuracy and lung cancer screening performance. Thorax. 2017;72(12):1147-50</w:t>
            </w:r>
            <w:r w:rsidR="00E10C8E">
              <w:rPr>
                <w:rFonts w:ascii="Arial Narrow" w:hAnsi="Arial Narrow"/>
                <w:sz w:val="20"/>
                <w:szCs w:val="20"/>
              </w:rPr>
              <w:t>.</w:t>
            </w:r>
          </w:p>
          <w:p w14:paraId="31F74D4D" w14:textId="02FC2EBE" w:rsidR="003F4910" w:rsidRPr="00436840" w:rsidRDefault="003F4910" w:rsidP="00E10C8E">
            <w:pPr>
              <w:pStyle w:val="EndNoteBibliography"/>
              <w:rPr>
                <w:rFonts w:ascii="Arial Narrow" w:hAnsi="Arial Narrow"/>
                <w:sz w:val="20"/>
                <w:szCs w:val="20"/>
              </w:rPr>
            </w:pPr>
            <w:r w:rsidRPr="00436840">
              <w:rPr>
                <w:rFonts w:ascii="Arial Narrow" w:eastAsiaTheme="minorHAnsi" w:hAnsi="Arial Narrow" w:cstheme="minorBidi"/>
                <w:noProof w:val="0"/>
                <w:sz w:val="20"/>
                <w:szCs w:val="20"/>
                <w:lang w:val="en-AU"/>
              </w:rPr>
              <w:t>Tremblay A, Taghizadeh N, MacGregor JH, Armstrong G, Bristow MS, Guo LLQ, et al. Application of Lung-Screening Reporting and Data System Versus PanCanadian Early Detection of Lung Cancer Nodule Risk Calculation in the Alberta Lung Cancer Screening Study. Journal of the American College of Radiology. 2019;16(10):1425-32.</w:t>
            </w:r>
          </w:p>
        </w:tc>
        <w:tc>
          <w:tcPr>
            <w:tcW w:w="1518" w:type="dxa"/>
          </w:tcPr>
          <w:p w14:paraId="775D6101" w14:textId="479BDBC2" w:rsidR="003F4910" w:rsidRPr="00436840" w:rsidRDefault="003F4910" w:rsidP="006D1A05">
            <w:pPr>
              <w:rPr>
                <w:rFonts w:ascii="Arial Narrow" w:hAnsi="Arial Narrow"/>
                <w:sz w:val="20"/>
                <w:szCs w:val="20"/>
              </w:rPr>
            </w:pPr>
            <w:r w:rsidRPr="00436840">
              <w:rPr>
                <w:rFonts w:ascii="Arial Narrow" w:hAnsi="Arial Narrow"/>
                <w:sz w:val="20"/>
                <w:szCs w:val="20"/>
              </w:rPr>
              <w:t>Lung</w:t>
            </w:r>
            <w:r w:rsidR="009744EE" w:rsidRPr="00436840">
              <w:rPr>
                <w:rFonts w:ascii="Arial Narrow" w:hAnsi="Arial Narrow"/>
                <w:sz w:val="20"/>
                <w:szCs w:val="20"/>
              </w:rPr>
              <w:t>-</w:t>
            </w:r>
            <w:r w:rsidRPr="00436840">
              <w:rPr>
                <w:rFonts w:ascii="Arial Narrow" w:hAnsi="Arial Narrow"/>
                <w:sz w:val="20"/>
                <w:szCs w:val="20"/>
              </w:rPr>
              <w:t>RADS</w:t>
            </w:r>
          </w:p>
        </w:tc>
        <w:tc>
          <w:tcPr>
            <w:tcW w:w="8280" w:type="dxa"/>
          </w:tcPr>
          <w:p w14:paraId="055D4FE8" w14:textId="62534B78" w:rsidR="00764640" w:rsidRPr="00436840" w:rsidRDefault="00764640" w:rsidP="006D1A05">
            <w:pPr>
              <w:rPr>
                <w:rFonts w:ascii="Arial Narrow" w:hAnsi="Arial Narrow"/>
                <w:i/>
                <w:sz w:val="20"/>
                <w:szCs w:val="20"/>
              </w:rPr>
            </w:pPr>
            <w:r w:rsidRPr="00436840">
              <w:rPr>
                <w:rFonts w:ascii="Arial Narrow" w:hAnsi="Arial Narrow"/>
                <w:i/>
                <w:sz w:val="20"/>
                <w:szCs w:val="20"/>
              </w:rPr>
              <w:t xml:space="preserve">See </w:t>
            </w:r>
            <w:r w:rsidR="00A33569">
              <w:rPr>
                <w:rFonts w:ascii="Arial Narrow" w:hAnsi="Arial Narrow"/>
                <w:i/>
                <w:sz w:val="20"/>
                <w:szCs w:val="20"/>
              </w:rPr>
              <w:t>A</w:t>
            </w:r>
            <w:r w:rsidRPr="00436840">
              <w:rPr>
                <w:rFonts w:ascii="Arial Narrow" w:hAnsi="Arial Narrow"/>
                <w:i/>
                <w:sz w:val="20"/>
                <w:szCs w:val="20"/>
              </w:rPr>
              <w:t xml:space="preserve">ttachment </w:t>
            </w:r>
            <w:r w:rsidR="0054518A">
              <w:rPr>
                <w:rFonts w:ascii="Arial Narrow" w:hAnsi="Arial Narrow"/>
                <w:i/>
                <w:sz w:val="20"/>
                <w:szCs w:val="20"/>
              </w:rPr>
              <w:t>5</w:t>
            </w:r>
            <w:r w:rsidRPr="00436840">
              <w:rPr>
                <w:rFonts w:ascii="Arial Narrow" w:hAnsi="Arial Narrow"/>
                <w:i/>
                <w:sz w:val="20"/>
                <w:szCs w:val="20"/>
              </w:rPr>
              <w:t xml:space="preserve"> below</w:t>
            </w:r>
            <w:r w:rsidR="00A33569">
              <w:rPr>
                <w:rFonts w:ascii="Arial Narrow" w:hAnsi="Arial Narrow"/>
                <w:i/>
                <w:sz w:val="20"/>
                <w:szCs w:val="20"/>
              </w:rPr>
              <w:t>.</w:t>
            </w:r>
          </w:p>
          <w:p w14:paraId="545F61FE" w14:textId="10C2344E" w:rsidR="003F4910" w:rsidRPr="00436840" w:rsidRDefault="003F4910" w:rsidP="006D1A05">
            <w:pPr>
              <w:rPr>
                <w:rFonts w:ascii="Arial Narrow" w:hAnsi="Arial Narrow"/>
                <w:sz w:val="20"/>
                <w:szCs w:val="20"/>
              </w:rPr>
            </w:pPr>
            <w:r w:rsidRPr="00436840">
              <w:rPr>
                <w:rFonts w:ascii="Arial Narrow" w:hAnsi="Arial Narrow"/>
                <w:sz w:val="20"/>
                <w:szCs w:val="20"/>
              </w:rPr>
              <w:t>Nodule management protocols enable accurate assessment and classification of lung nodules and improve LDCT screening sensitivity and specificity. There is no international consensus about which protocol performs best across baseline and screening intervals, however the PanCan and L</w:t>
            </w:r>
            <w:r w:rsidR="009744EE" w:rsidRPr="00436840">
              <w:rPr>
                <w:rFonts w:ascii="Arial Narrow" w:hAnsi="Arial Narrow"/>
                <w:sz w:val="20"/>
                <w:szCs w:val="20"/>
              </w:rPr>
              <w:t>ung</w:t>
            </w:r>
            <w:r w:rsidRPr="00436840">
              <w:rPr>
                <w:rFonts w:ascii="Arial Narrow" w:hAnsi="Arial Narrow"/>
                <w:sz w:val="20"/>
                <w:szCs w:val="20"/>
              </w:rPr>
              <w:t>-RADS models have performed well in comparative studies.</w:t>
            </w:r>
          </w:p>
          <w:p w14:paraId="6A3F2636" w14:textId="4B07522E" w:rsidR="003F4910" w:rsidRPr="00436840" w:rsidRDefault="003F4910" w:rsidP="006D1A05">
            <w:pPr>
              <w:rPr>
                <w:rFonts w:ascii="Arial Narrow" w:hAnsi="Arial Narrow"/>
                <w:sz w:val="20"/>
                <w:szCs w:val="20"/>
              </w:rPr>
            </w:pPr>
            <w:r w:rsidRPr="00436840">
              <w:rPr>
                <w:rFonts w:ascii="Arial Narrow" w:hAnsi="Arial Narrow"/>
                <w:sz w:val="20"/>
                <w:szCs w:val="20"/>
              </w:rPr>
              <w:t>PanCan protocol has the highest sensitivity for baseline scans.</w:t>
            </w:r>
          </w:p>
          <w:p w14:paraId="19B7A965" w14:textId="5E60D42B" w:rsidR="008E2850" w:rsidRPr="00436840" w:rsidRDefault="008E2850" w:rsidP="006D1A05">
            <w:pPr>
              <w:rPr>
                <w:rFonts w:ascii="Arial Narrow" w:hAnsi="Arial Narrow"/>
                <w:sz w:val="20"/>
                <w:szCs w:val="20"/>
              </w:rPr>
            </w:pPr>
            <w:r w:rsidRPr="00436840">
              <w:rPr>
                <w:rFonts w:ascii="Arial Narrow" w:hAnsi="Arial Narrow"/>
                <w:sz w:val="20"/>
                <w:szCs w:val="20"/>
              </w:rPr>
              <w:t>The PanCan (or Brock University) nodule malignancy probability calculator</w:t>
            </w:r>
            <w:r w:rsidRPr="00436840">
              <w:rPr>
                <w:rStyle w:val="FootnoteReference"/>
                <w:rFonts w:ascii="Arial Narrow" w:hAnsi="Arial Narrow"/>
                <w:sz w:val="20"/>
                <w:szCs w:val="20"/>
              </w:rPr>
              <w:footnoteReference w:id="23"/>
            </w:r>
            <w:r w:rsidRPr="00436840">
              <w:rPr>
                <w:rFonts w:ascii="Arial Narrow" w:hAnsi="Arial Narrow"/>
                <w:sz w:val="20"/>
                <w:szCs w:val="20"/>
              </w:rPr>
              <w:t xml:space="preserve"> was developed from trial data in which individual nodules were longitudinally evaluated. It pertains to nodules detected on baseline scans that accounted for 75% of the lung cancers found in the first 5 years</w:t>
            </w:r>
            <w:r w:rsidRPr="00436840">
              <w:rPr>
                <w:rStyle w:val="FootnoteReference"/>
                <w:rFonts w:ascii="Arial Narrow" w:hAnsi="Arial Narrow"/>
                <w:sz w:val="20"/>
                <w:szCs w:val="20"/>
              </w:rPr>
              <w:footnoteReference w:id="24"/>
            </w:r>
            <w:r w:rsidR="004E3B6F">
              <w:rPr>
                <w:rFonts w:ascii="Arial Narrow" w:hAnsi="Arial Narrow"/>
                <w:sz w:val="20"/>
                <w:szCs w:val="20"/>
              </w:rPr>
              <w:t>.</w:t>
            </w:r>
          </w:p>
          <w:p w14:paraId="314AE4BC" w14:textId="43B85F0C" w:rsidR="003F4910" w:rsidRPr="004E3B6F" w:rsidRDefault="003F4910" w:rsidP="004E3B6F">
            <w:pPr>
              <w:rPr>
                <w:rFonts w:ascii="Arial Narrow" w:hAnsi="Arial Narrow"/>
                <w:sz w:val="20"/>
                <w:szCs w:val="20"/>
              </w:rPr>
            </w:pPr>
            <w:r w:rsidRPr="00436840">
              <w:rPr>
                <w:rFonts w:ascii="Arial Narrow" w:hAnsi="Arial Narrow"/>
                <w:sz w:val="20"/>
                <w:szCs w:val="20"/>
              </w:rPr>
              <w:t>Cancer Australia’s Lung Cancer Advisory Group indicated support of using the combination of the PanCan risk-prediction model for baseline nodule assessment and Lung</w:t>
            </w:r>
            <w:r w:rsidR="009744EE" w:rsidRPr="00436840">
              <w:rPr>
                <w:rFonts w:ascii="Arial Narrow" w:hAnsi="Arial Narrow"/>
                <w:sz w:val="20"/>
                <w:szCs w:val="20"/>
              </w:rPr>
              <w:t>-</w:t>
            </w:r>
            <w:r w:rsidRPr="00436840">
              <w:rPr>
                <w:rFonts w:ascii="Arial Narrow" w:hAnsi="Arial Narrow"/>
                <w:sz w:val="20"/>
                <w:szCs w:val="20"/>
              </w:rPr>
              <w:t>RADS</w:t>
            </w:r>
            <w:r w:rsidR="009744EE" w:rsidRPr="00436840">
              <w:rPr>
                <w:rFonts w:ascii="Arial Narrow" w:hAnsi="Arial Narrow"/>
                <w:sz w:val="20"/>
                <w:szCs w:val="20"/>
              </w:rPr>
              <w:t xml:space="preserve"> </w:t>
            </w:r>
            <w:r w:rsidRPr="00436840">
              <w:rPr>
                <w:rFonts w:ascii="Arial Narrow" w:hAnsi="Arial Narrow"/>
                <w:sz w:val="20"/>
                <w:szCs w:val="20"/>
              </w:rPr>
              <w:t>1.1 for assessment of all new nodules found after baseline screening, with the adaptation of two-yearly screening for people who had a negative LDCT scan.</w:t>
            </w:r>
          </w:p>
        </w:tc>
        <w:tc>
          <w:tcPr>
            <w:tcW w:w="1215" w:type="dxa"/>
          </w:tcPr>
          <w:p w14:paraId="2135CFF3" w14:textId="47B20A97" w:rsidR="003F4910" w:rsidRPr="00436840" w:rsidRDefault="006D1A05" w:rsidP="006D1A05">
            <w:pPr>
              <w:rPr>
                <w:rFonts w:ascii="Arial Narrow" w:hAnsi="Arial Narrow"/>
                <w:sz w:val="20"/>
                <w:szCs w:val="20"/>
              </w:rPr>
            </w:pPr>
            <w:r w:rsidRPr="00436840">
              <w:rPr>
                <w:rFonts w:ascii="Arial Narrow" w:hAnsi="Arial Narrow"/>
                <w:sz w:val="20"/>
                <w:szCs w:val="20"/>
              </w:rPr>
              <w:t>No</w:t>
            </w:r>
          </w:p>
        </w:tc>
        <w:tc>
          <w:tcPr>
            <w:tcW w:w="1704" w:type="dxa"/>
          </w:tcPr>
          <w:p w14:paraId="287753FA" w14:textId="5ADD4786" w:rsidR="003F4910" w:rsidRPr="00436840" w:rsidRDefault="003F4910" w:rsidP="006D1A05">
            <w:pPr>
              <w:rPr>
                <w:rFonts w:ascii="Arial Narrow" w:hAnsi="Arial Narrow"/>
                <w:sz w:val="20"/>
                <w:szCs w:val="20"/>
              </w:rPr>
            </w:pPr>
            <w:r w:rsidRPr="00436840">
              <w:rPr>
                <w:rFonts w:ascii="Arial Narrow" w:hAnsi="Arial Narrow"/>
                <w:sz w:val="20"/>
                <w:szCs w:val="20"/>
              </w:rPr>
              <w:t>No</w:t>
            </w:r>
          </w:p>
        </w:tc>
      </w:tr>
      <w:tr w:rsidR="000D1C01" w:rsidRPr="00436840" w14:paraId="68B64FD3" w14:textId="77777777" w:rsidTr="003A350D">
        <w:tc>
          <w:tcPr>
            <w:tcW w:w="2379" w:type="dxa"/>
          </w:tcPr>
          <w:p w14:paraId="007D1018" w14:textId="347B641B" w:rsidR="003F4910" w:rsidRPr="00436840" w:rsidRDefault="003F4910" w:rsidP="00E10C8E">
            <w:pPr>
              <w:rPr>
                <w:rFonts w:ascii="Arial Narrow" w:hAnsi="Arial Narrow"/>
                <w:b/>
                <w:sz w:val="20"/>
                <w:szCs w:val="20"/>
              </w:rPr>
            </w:pPr>
            <w:r w:rsidRPr="00436840">
              <w:rPr>
                <w:rFonts w:ascii="Arial Narrow" w:hAnsi="Arial Narrow"/>
                <w:b/>
                <w:sz w:val="20"/>
                <w:szCs w:val="20"/>
              </w:rPr>
              <w:t xml:space="preserve">Nodule management protocol assessment of new nodules identified </w:t>
            </w:r>
            <w:r w:rsidR="00E10C8E">
              <w:rPr>
                <w:rFonts w:ascii="Arial Narrow" w:hAnsi="Arial Narrow"/>
                <w:b/>
                <w:sz w:val="20"/>
                <w:szCs w:val="20"/>
              </w:rPr>
              <w:t>by subsequent (</w:t>
            </w:r>
            <w:r w:rsidRPr="00436840">
              <w:rPr>
                <w:rFonts w:ascii="Arial Narrow" w:hAnsi="Arial Narrow"/>
                <w:b/>
                <w:sz w:val="20"/>
                <w:szCs w:val="20"/>
              </w:rPr>
              <w:t>incident or interval screening</w:t>
            </w:r>
            <w:r w:rsidR="00E10C8E">
              <w:rPr>
                <w:rFonts w:ascii="Arial Narrow" w:hAnsi="Arial Narrow"/>
                <w:b/>
                <w:sz w:val="20"/>
                <w:szCs w:val="20"/>
              </w:rPr>
              <w:t>)</w:t>
            </w:r>
            <w:r w:rsidRPr="00436840">
              <w:rPr>
                <w:rFonts w:ascii="Arial Narrow" w:hAnsi="Arial Narrow"/>
                <w:b/>
                <w:sz w:val="20"/>
                <w:szCs w:val="20"/>
              </w:rPr>
              <w:t xml:space="preserve"> LDCT scans</w:t>
            </w:r>
          </w:p>
        </w:tc>
        <w:tc>
          <w:tcPr>
            <w:tcW w:w="1435" w:type="dxa"/>
          </w:tcPr>
          <w:p w14:paraId="58DF1021" w14:textId="06959B9E" w:rsidR="003F4910" w:rsidRPr="00436840" w:rsidRDefault="003F4910" w:rsidP="006D1A05">
            <w:pPr>
              <w:rPr>
                <w:rFonts w:ascii="Arial Narrow" w:hAnsi="Arial Narrow"/>
                <w:sz w:val="20"/>
                <w:szCs w:val="20"/>
              </w:rPr>
            </w:pPr>
            <w:r w:rsidRPr="00436840">
              <w:rPr>
                <w:rFonts w:ascii="Arial Narrow" w:hAnsi="Arial Narrow"/>
                <w:sz w:val="20"/>
                <w:szCs w:val="20"/>
              </w:rPr>
              <w:t>Lung</w:t>
            </w:r>
            <w:r w:rsidR="009744EE" w:rsidRPr="00436840">
              <w:rPr>
                <w:rFonts w:ascii="Arial Narrow" w:hAnsi="Arial Narrow"/>
                <w:sz w:val="20"/>
                <w:szCs w:val="20"/>
              </w:rPr>
              <w:t>-</w:t>
            </w:r>
            <w:r w:rsidRPr="00436840">
              <w:rPr>
                <w:rFonts w:ascii="Arial Narrow" w:hAnsi="Arial Narrow"/>
                <w:sz w:val="20"/>
                <w:szCs w:val="20"/>
              </w:rPr>
              <w:t>RADS1.1 (or most recent version)</w:t>
            </w:r>
          </w:p>
        </w:tc>
        <w:tc>
          <w:tcPr>
            <w:tcW w:w="4390" w:type="dxa"/>
          </w:tcPr>
          <w:p w14:paraId="7DD80D32" w14:textId="6F4DC641" w:rsidR="003F4910" w:rsidRPr="00436840" w:rsidRDefault="003F4910" w:rsidP="00E10C8E">
            <w:pPr>
              <w:rPr>
                <w:rFonts w:ascii="Arial Narrow" w:hAnsi="Arial Narrow"/>
                <w:sz w:val="20"/>
                <w:szCs w:val="20"/>
              </w:rPr>
            </w:pPr>
            <w:r w:rsidRPr="00436840">
              <w:rPr>
                <w:rFonts w:ascii="Arial Narrow" w:hAnsi="Arial Narrow"/>
                <w:sz w:val="20"/>
                <w:szCs w:val="20"/>
              </w:rPr>
              <w:t>Marshall HM, Zhao H, Bowman RV, Passmore LH, McCaul EM, Yang IA, et al. The effect of different radiological models on diagnostic accuracy and lung cancer screening performance. Thorax. 2017;72(12):1147-50</w:t>
            </w:r>
            <w:r w:rsidR="00E10C8E">
              <w:rPr>
                <w:rFonts w:ascii="Arial Narrow" w:hAnsi="Arial Narrow"/>
                <w:sz w:val="20"/>
                <w:szCs w:val="20"/>
              </w:rPr>
              <w:t>.</w:t>
            </w:r>
          </w:p>
        </w:tc>
        <w:tc>
          <w:tcPr>
            <w:tcW w:w="1518" w:type="dxa"/>
          </w:tcPr>
          <w:p w14:paraId="647F3425" w14:textId="703DB3D8" w:rsidR="003F4910" w:rsidRPr="00436840" w:rsidRDefault="003F4910" w:rsidP="006D1A05">
            <w:pPr>
              <w:rPr>
                <w:rFonts w:ascii="Arial Narrow" w:hAnsi="Arial Narrow"/>
                <w:sz w:val="20"/>
                <w:szCs w:val="20"/>
              </w:rPr>
            </w:pPr>
            <w:r w:rsidRPr="00436840">
              <w:rPr>
                <w:rFonts w:ascii="Arial Narrow" w:hAnsi="Arial Narrow"/>
                <w:sz w:val="20"/>
                <w:szCs w:val="20"/>
              </w:rPr>
              <w:t>PanCan</w:t>
            </w:r>
          </w:p>
        </w:tc>
        <w:tc>
          <w:tcPr>
            <w:tcW w:w="8280" w:type="dxa"/>
          </w:tcPr>
          <w:p w14:paraId="2ABBBC86" w14:textId="0C984E74" w:rsidR="00764640" w:rsidRPr="00436840" w:rsidRDefault="00764640" w:rsidP="00764640">
            <w:pPr>
              <w:rPr>
                <w:rFonts w:ascii="Arial Narrow" w:hAnsi="Arial Narrow"/>
                <w:sz w:val="20"/>
                <w:szCs w:val="20"/>
              </w:rPr>
            </w:pPr>
            <w:r w:rsidRPr="00436840">
              <w:rPr>
                <w:rFonts w:ascii="Arial Narrow" w:hAnsi="Arial Narrow"/>
                <w:i/>
                <w:sz w:val="20"/>
                <w:szCs w:val="20"/>
              </w:rPr>
              <w:t xml:space="preserve">See </w:t>
            </w:r>
            <w:r w:rsidR="004E3B6F">
              <w:rPr>
                <w:rFonts w:ascii="Arial Narrow" w:hAnsi="Arial Narrow"/>
                <w:i/>
                <w:sz w:val="20"/>
                <w:szCs w:val="20"/>
              </w:rPr>
              <w:t>A</w:t>
            </w:r>
            <w:r w:rsidRPr="00436840">
              <w:rPr>
                <w:rFonts w:ascii="Arial Narrow" w:hAnsi="Arial Narrow"/>
                <w:i/>
                <w:sz w:val="20"/>
                <w:szCs w:val="20"/>
              </w:rPr>
              <w:t xml:space="preserve">ttachment </w:t>
            </w:r>
            <w:r w:rsidR="0054518A">
              <w:rPr>
                <w:rFonts w:ascii="Arial Narrow" w:hAnsi="Arial Narrow"/>
                <w:i/>
                <w:sz w:val="20"/>
                <w:szCs w:val="20"/>
              </w:rPr>
              <w:t xml:space="preserve">6 </w:t>
            </w:r>
            <w:r w:rsidRPr="00436840">
              <w:rPr>
                <w:rFonts w:ascii="Arial Narrow" w:hAnsi="Arial Narrow"/>
                <w:i/>
                <w:sz w:val="20"/>
                <w:szCs w:val="20"/>
              </w:rPr>
              <w:t>below.</w:t>
            </w:r>
          </w:p>
          <w:p w14:paraId="7F0053EB" w14:textId="1E859AF0" w:rsidR="003F4910" w:rsidRPr="00436840" w:rsidRDefault="003F4910" w:rsidP="006D1A05">
            <w:pPr>
              <w:rPr>
                <w:rFonts w:ascii="Arial Narrow" w:hAnsi="Arial Narrow"/>
                <w:sz w:val="20"/>
                <w:szCs w:val="20"/>
              </w:rPr>
            </w:pPr>
            <w:r w:rsidRPr="00436840">
              <w:rPr>
                <w:rFonts w:ascii="Arial Narrow" w:hAnsi="Arial Narrow"/>
                <w:sz w:val="20"/>
                <w:szCs w:val="20"/>
              </w:rPr>
              <w:t>Nodule management protocols enable accurate assessment and classification of lung nodules and improve LDCT screening sensitivity and specificity. There is no international consensus about which protocol performs best across baseline and screening intervals, however the PanCan and L</w:t>
            </w:r>
            <w:r w:rsidR="009744EE" w:rsidRPr="00436840">
              <w:rPr>
                <w:rFonts w:ascii="Arial Narrow" w:hAnsi="Arial Narrow"/>
                <w:sz w:val="20"/>
                <w:szCs w:val="20"/>
              </w:rPr>
              <w:t>ung</w:t>
            </w:r>
            <w:r w:rsidRPr="00436840">
              <w:rPr>
                <w:rFonts w:ascii="Arial Narrow" w:hAnsi="Arial Narrow"/>
                <w:sz w:val="20"/>
                <w:szCs w:val="20"/>
              </w:rPr>
              <w:t>-RADS models have performed well in comparative studies.</w:t>
            </w:r>
          </w:p>
          <w:p w14:paraId="4AA04E77" w14:textId="0A294C20" w:rsidR="003F4910" w:rsidRPr="00436840" w:rsidRDefault="003F4910" w:rsidP="006D1A05">
            <w:pPr>
              <w:rPr>
                <w:rFonts w:ascii="Arial Narrow" w:hAnsi="Arial Narrow"/>
                <w:sz w:val="20"/>
                <w:szCs w:val="20"/>
              </w:rPr>
            </w:pPr>
            <w:r w:rsidRPr="00436840">
              <w:rPr>
                <w:rFonts w:ascii="Arial Narrow" w:hAnsi="Arial Narrow"/>
                <w:sz w:val="20"/>
                <w:szCs w:val="20"/>
              </w:rPr>
              <w:t>PanCan is only validated for baseline scans.</w:t>
            </w:r>
          </w:p>
          <w:p w14:paraId="596D024B" w14:textId="77777777" w:rsidR="00D7206A" w:rsidRPr="00436840" w:rsidRDefault="00D7206A" w:rsidP="00D7206A">
            <w:pPr>
              <w:rPr>
                <w:rFonts w:ascii="Arial Narrow" w:hAnsi="Arial Narrow"/>
                <w:sz w:val="20"/>
                <w:szCs w:val="20"/>
              </w:rPr>
            </w:pPr>
            <w:r w:rsidRPr="00436840">
              <w:rPr>
                <w:rFonts w:ascii="Arial Narrow" w:hAnsi="Arial Narrow"/>
                <w:sz w:val="20"/>
                <w:szCs w:val="20"/>
              </w:rPr>
              <w:t>The American College of Radiology developed the Lung-RADS classification system</w:t>
            </w:r>
            <w:r w:rsidRPr="00436840">
              <w:rPr>
                <w:rStyle w:val="FootnoteReference"/>
                <w:rFonts w:ascii="Arial Narrow" w:hAnsi="Arial Narrow"/>
                <w:sz w:val="20"/>
                <w:szCs w:val="20"/>
              </w:rPr>
              <w:footnoteReference w:id="25"/>
            </w:r>
            <w:r w:rsidRPr="00436840">
              <w:rPr>
                <w:rFonts w:ascii="Arial Narrow" w:hAnsi="Arial Narrow"/>
                <w:sz w:val="20"/>
                <w:szCs w:val="20"/>
              </w:rPr>
              <w:t>.</w:t>
            </w:r>
          </w:p>
          <w:p w14:paraId="274390E1" w14:textId="3714161A" w:rsidR="003F4910" w:rsidRPr="00436840" w:rsidRDefault="003F4910" w:rsidP="00764640">
            <w:pPr>
              <w:rPr>
                <w:rFonts w:ascii="Arial Narrow" w:hAnsi="Arial Narrow"/>
                <w:sz w:val="20"/>
                <w:szCs w:val="20"/>
              </w:rPr>
            </w:pPr>
            <w:r w:rsidRPr="00436840">
              <w:rPr>
                <w:rFonts w:ascii="Arial Narrow" w:hAnsi="Arial Narrow"/>
                <w:sz w:val="20"/>
                <w:szCs w:val="20"/>
              </w:rPr>
              <w:t>Cancer Australia’s Lung Cancer Advisory Group indicated support of using the combination of the PanCan risk-prediction model for baseline nodule assessment and Lung</w:t>
            </w:r>
            <w:r w:rsidR="009744EE" w:rsidRPr="00436840">
              <w:rPr>
                <w:rFonts w:ascii="Arial Narrow" w:hAnsi="Arial Narrow"/>
                <w:sz w:val="20"/>
                <w:szCs w:val="20"/>
              </w:rPr>
              <w:t>-</w:t>
            </w:r>
            <w:r w:rsidRPr="00436840">
              <w:rPr>
                <w:rFonts w:ascii="Arial Narrow" w:hAnsi="Arial Narrow"/>
                <w:sz w:val="20"/>
                <w:szCs w:val="20"/>
              </w:rPr>
              <w:t xml:space="preserve">RADS1.1 for assessment of all new nodules found </w:t>
            </w:r>
            <w:r w:rsidRPr="00436840">
              <w:rPr>
                <w:rFonts w:ascii="Arial Narrow" w:hAnsi="Arial Narrow"/>
                <w:sz w:val="20"/>
                <w:szCs w:val="20"/>
              </w:rPr>
              <w:lastRenderedPageBreak/>
              <w:t>after baseline screening, with the adaptation of two-yearly screening for people who had a negative LDCT scan.</w:t>
            </w:r>
          </w:p>
        </w:tc>
        <w:tc>
          <w:tcPr>
            <w:tcW w:w="1215" w:type="dxa"/>
          </w:tcPr>
          <w:p w14:paraId="6619E060" w14:textId="1BABA4D5" w:rsidR="003F4910" w:rsidRPr="00436840" w:rsidRDefault="006D1A05" w:rsidP="006D1A05">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09C1BE83" w14:textId="760DC73A" w:rsidR="003F4910" w:rsidRPr="00436840" w:rsidRDefault="003F4910" w:rsidP="006D1A05">
            <w:pPr>
              <w:rPr>
                <w:rFonts w:ascii="Arial Narrow" w:hAnsi="Arial Narrow"/>
                <w:sz w:val="20"/>
                <w:szCs w:val="20"/>
              </w:rPr>
            </w:pPr>
            <w:r w:rsidRPr="00436840">
              <w:rPr>
                <w:rFonts w:ascii="Arial Narrow" w:hAnsi="Arial Narrow"/>
                <w:sz w:val="20"/>
                <w:szCs w:val="20"/>
              </w:rPr>
              <w:t>No</w:t>
            </w:r>
          </w:p>
        </w:tc>
      </w:tr>
      <w:tr w:rsidR="00A33569" w:rsidRPr="00436840" w14:paraId="5A6E3645" w14:textId="77777777" w:rsidTr="003A350D">
        <w:tc>
          <w:tcPr>
            <w:tcW w:w="2379" w:type="dxa"/>
          </w:tcPr>
          <w:p w14:paraId="3521403F" w14:textId="2A331F76" w:rsidR="00A33569" w:rsidRPr="00A33569" w:rsidRDefault="00A33569" w:rsidP="00A33569">
            <w:pPr>
              <w:rPr>
                <w:rFonts w:ascii="Arial Narrow" w:hAnsi="Arial Narrow"/>
                <w:b/>
                <w:sz w:val="20"/>
                <w:szCs w:val="20"/>
              </w:rPr>
            </w:pPr>
            <w:r w:rsidRPr="00A33569">
              <w:rPr>
                <w:rFonts w:ascii="Arial Narrow" w:hAnsi="Arial Narrow"/>
                <w:b/>
                <w:sz w:val="20"/>
                <w:szCs w:val="20"/>
              </w:rPr>
              <w:t>Time interval to (frequency of) repeat LDCT-based screening if not referred for further investigation</w:t>
            </w:r>
          </w:p>
        </w:tc>
        <w:tc>
          <w:tcPr>
            <w:tcW w:w="1435" w:type="dxa"/>
          </w:tcPr>
          <w:p w14:paraId="57AA8E9F"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24 months</w:t>
            </w:r>
          </w:p>
        </w:tc>
        <w:tc>
          <w:tcPr>
            <w:tcW w:w="4390" w:type="dxa"/>
          </w:tcPr>
          <w:p w14:paraId="452E4C84" w14:textId="77777777" w:rsidR="00A33569" w:rsidRPr="00436840" w:rsidRDefault="00A33569" w:rsidP="00A33569">
            <w:pPr>
              <w:tabs>
                <w:tab w:val="left" w:pos="1528"/>
              </w:tabs>
              <w:rPr>
                <w:rFonts w:ascii="Arial Narrow" w:hAnsi="Arial Narrow"/>
                <w:sz w:val="20"/>
                <w:szCs w:val="20"/>
              </w:rPr>
            </w:pPr>
            <w:r w:rsidRPr="00436840">
              <w:rPr>
                <w:rFonts w:ascii="Arial Narrow" w:hAnsi="Arial Narrow"/>
                <w:sz w:val="20"/>
                <w:szCs w:val="20"/>
              </w:rPr>
              <w:t>NELSON trial (Horeweg, 2013a; Yousaf-Khan, 2017)</w:t>
            </w:r>
          </w:p>
          <w:p w14:paraId="1C3A4D3B"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MILD trial (Pastorino 2012)</w:t>
            </w:r>
          </w:p>
        </w:tc>
        <w:tc>
          <w:tcPr>
            <w:tcW w:w="1518" w:type="dxa"/>
          </w:tcPr>
          <w:p w14:paraId="210D7B46"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1</w:t>
            </w:r>
            <w:r>
              <w:rPr>
                <w:rFonts w:ascii="Arial Narrow" w:hAnsi="Arial Narrow"/>
                <w:sz w:val="20"/>
                <w:szCs w:val="20"/>
              </w:rPr>
              <w:t xml:space="preserve"> </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w:t>
            </w:r>
          </w:p>
          <w:p w14:paraId="7D509255" w14:textId="1270BE51" w:rsidR="00A33569" w:rsidRPr="00436840" w:rsidRDefault="00A33569" w:rsidP="00A33569">
            <w:pPr>
              <w:rPr>
                <w:rFonts w:ascii="Arial Narrow" w:hAnsi="Arial Narrow"/>
                <w:sz w:val="20"/>
                <w:szCs w:val="20"/>
              </w:rPr>
            </w:pPr>
            <w:r w:rsidRPr="00436840">
              <w:rPr>
                <w:rFonts w:ascii="Arial Narrow" w:hAnsi="Arial Narrow"/>
                <w:sz w:val="20"/>
                <w:szCs w:val="20"/>
              </w:rPr>
              <w:t>2.5</w:t>
            </w:r>
            <w:r>
              <w:rPr>
                <w:rFonts w:ascii="Arial Narrow" w:hAnsi="Arial Narrow"/>
                <w:sz w:val="20"/>
                <w:szCs w:val="20"/>
              </w:rPr>
              <w:t xml:space="preserve"> </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w:t>
            </w:r>
            <w:r>
              <w:rPr>
                <w:rFonts w:ascii="Arial Narrow" w:hAnsi="Arial Narrow"/>
                <w:sz w:val="20"/>
                <w:szCs w:val="20"/>
              </w:rPr>
              <w:t>s</w:t>
            </w:r>
          </w:p>
        </w:tc>
        <w:tc>
          <w:tcPr>
            <w:tcW w:w="8280" w:type="dxa"/>
          </w:tcPr>
          <w:p w14:paraId="170ABC72" w14:textId="22ACBF92" w:rsidR="00A33569" w:rsidRPr="00436840" w:rsidRDefault="00A33569" w:rsidP="00A33569">
            <w:pPr>
              <w:rPr>
                <w:rFonts w:ascii="Arial Narrow" w:hAnsi="Arial Narrow"/>
                <w:sz w:val="20"/>
                <w:szCs w:val="20"/>
              </w:rPr>
            </w:pPr>
            <w:r w:rsidRPr="00436840">
              <w:rPr>
                <w:rFonts w:ascii="Arial Narrow" w:hAnsi="Arial Narrow"/>
                <w:sz w:val="20"/>
                <w:szCs w:val="20"/>
              </w:rPr>
              <w:t>There is no consensus about the optimal screening interval, however either a 1- or 2-year interval appear to be more favourable than a 2.5-year interval, with the latter being identified as too long based on evidence from the NELSON trial.</w:t>
            </w:r>
          </w:p>
          <w:p w14:paraId="11EC14BE" w14:textId="60406D44" w:rsidR="00A33569" w:rsidRPr="00436840" w:rsidRDefault="00A33569" w:rsidP="00A33569">
            <w:pPr>
              <w:rPr>
                <w:rFonts w:ascii="Arial Narrow" w:hAnsi="Arial Narrow"/>
                <w:sz w:val="20"/>
                <w:szCs w:val="20"/>
              </w:rPr>
            </w:pPr>
            <w:r w:rsidRPr="00436840">
              <w:rPr>
                <w:rFonts w:ascii="Arial Narrow" w:hAnsi="Arial Narrow"/>
                <w:sz w:val="20"/>
                <w:szCs w:val="20"/>
              </w:rPr>
              <w:t>In the NELSON trial, the intervention (screening) group received LDCT screening at baseline (round 1), after 1 year (round 2), after 3 years (round 3) and 5.5 years (round 4) after baseline. Findings from the first three rounds were published in 2013, and indicated that a ‘two-year interval between the second and the third screening rounds did not lead to a significantly higher proportion of advanced stage lung cancers compared with the one-year screening interval between the first and second rounds’</w:t>
            </w:r>
            <w:r w:rsidR="002B6C52">
              <w:rPr>
                <w:rFonts w:ascii="Arial Narrow" w:hAnsi="Arial Narrow"/>
                <w:sz w:val="20"/>
                <w:szCs w:val="20"/>
              </w:rPr>
              <w:t>.</w:t>
            </w:r>
          </w:p>
          <w:p w14:paraId="28E480C3" w14:textId="1A8A5E6D" w:rsidR="00A33569" w:rsidRPr="00436840" w:rsidRDefault="00A33569" w:rsidP="00A33569">
            <w:pPr>
              <w:rPr>
                <w:rFonts w:ascii="Arial Narrow" w:hAnsi="Arial Narrow"/>
                <w:sz w:val="20"/>
                <w:szCs w:val="20"/>
              </w:rPr>
            </w:pPr>
            <w:r w:rsidRPr="00436840">
              <w:rPr>
                <w:rFonts w:ascii="Arial Narrow" w:hAnsi="Arial Narrow"/>
                <w:sz w:val="20"/>
                <w:szCs w:val="20"/>
              </w:rPr>
              <w:t>The authors reported the lung cancer detection rate was relatively stable across the first three rounds</w:t>
            </w:r>
            <w:r w:rsidRPr="00436840">
              <w:rPr>
                <w:rStyle w:val="FootnoteReference"/>
                <w:rFonts w:ascii="Arial Narrow" w:hAnsi="Arial Narrow"/>
                <w:sz w:val="20"/>
                <w:szCs w:val="20"/>
              </w:rPr>
              <w:footnoteReference w:id="26"/>
            </w:r>
            <w:r w:rsidRPr="00B071A2">
              <w:rPr>
                <w:rFonts w:ascii="Arial Narrow" w:hAnsi="Arial Narrow"/>
                <w:sz w:val="20"/>
                <w:szCs w:val="20"/>
                <w:vertAlign w:val="superscript"/>
              </w:rPr>
              <w:t>,</w:t>
            </w:r>
            <w:r w:rsidRPr="00436840">
              <w:rPr>
                <w:rStyle w:val="FootnoteReference"/>
                <w:rFonts w:ascii="Arial Narrow" w:hAnsi="Arial Narrow"/>
                <w:sz w:val="20"/>
                <w:szCs w:val="20"/>
              </w:rPr>
              <w:footnoteReference w:id="27"/>
            </w:r>
            <w:r w:rsidRPr="00B071A2">
              <w:rPr>
                <w:rFonts w:ascii="Arial Narrow" w:hAnsi="Arial Narrow"/>
                <w:sz w:val="20"/>
                <w:szCs w:val="20"/>
                <w:vertAlign w:val="superscript"/>
              </w:rPr>
              <w:t>,</w:t>
            </w:r>
            <w:r w:rsidRPr="00436840">
              <w:rPr>
                <w:rStyle w:val="FootnoteReference"/>
                <w:rFonts w:ascii="Arial Narrow" w:hAnsi="Arial Narrow"/>
                <w:sz w:val="20"/>
                <w:szCs w:val="20"/>
              </w:rPr>
              <w:footnoteReference w:id="28"/>
            </w:r>
            <w:r w:rsidRPr="00436840">
              <w:rPr>
                <w:rFonts w:ascii="Arial Narrow" w:hAnsi="Arial Narrow"/>
                <w:sz w:val="20"/>
                <w:szCs w:val="20"/>
              </w:rPr>
              <w:t xml:space="preserve">. The analyses also indicated that, despite the 2-year interval between the second and third rounds, specificity and sensitivity of the first three rounds were higher compared with other screening trials, which suggests that lung cancer screening using biennial screening regimens after an initial screening round </w:t>
            </w:r>
            <w:r w:rsidR="00B071A2">
              <w:rPr>
                <w:rFonts w:ascii="Arial Narrow" w:hAnsi="Arial Narrow"/>
                <w:sz w:val="20"/>
                <w:szCs w:val="20"/>
              </w:rPr>
              <w:t>w</w:t>
            </w:r>
            <w:r w:rsidRPr="00436840">
              <w:rPr>
                <w:rFonts w:ascii="Arial Narrow" w:hAnsi="Arial Narrow"/>
                <w:sz w:val="20"/>
                <w:szCs w:val="20"/>
              </w:rPr>
              <w:t>ould be effective.</w:t>
            </w:r>
          </w:p>
          <w:p w14:paraId="612C741B" w14:textId="47FEFF22" w:rsidR="00A33569" w:rsidRPr="00436840" w:rsidRDefault="00A33569" w:rsidP="00A33569">
            <w:pPr>
              <w:rPr>
                <w:rFonts w:ascii="Arial Narrow" w:hAnsi="Arial Narrow"/>
                <w:sz w:val="20"/>
                <w:szCs w:val="20"/>
              </w:rPr>
            </w:pPr>
            <w:r w:rsidRPr="00436840">
              <w:rPr>
                <w:rFonts w:ascii="Arial Narrow" w:hAnsi="Arial Narrow"/>
                <w:sz w:val="20"/>
                <w:szCs w:val="20"/>
              </w:rPr>
              <w:t>In the MILD trial, when comparing results between the annual and biennial screening groups, it was evident that the biennial group reduced the number of required LDCT scans by approximately one-third whilst maintaining similar mortality rates, the proportion of stage II-IV cancers, and interval cancers</w:t>
            </w:r>
            <w:r w:rsidRPr="00436840">
              <w:rPr>
                <w:rStyle w:val="FootnoteReference"/>
                <w:rFonts w:ascii="Arial Narrow" w:hAnsi="Arial Narrow"/>
                <w:sz w:val="20"/>
                <w:szCs w:val="20"/>
              </w:rPr>
              <w:footnoteReference w:id="29"/>
            </w:r>
            <w:r w:rsidRPr="00436840">
              <w:rPr>
                <w:rFonts w:ascii="Arial Narrow" w:hAnsi="Arial Narrow"/>
                <w:sz w:val="20"/>
                <w:szCs w:val="20"/>
              </w:rPr>
              <w:t>. Biennial screening was shown to reduce exposure to potential harms</w:t>
            </w:r>
            <w:r w:rsidRPr="00436840">
              <w:rPr>
                <w:rStyle w:val="FootnoteReference"/>
                <w:rFonts w:ascii="Arial Narrow" w:hAnsi="Arial Narrow"/>
                <w:sz w:val="20"/>
                <w:szCs w:val="20"/>
              </w:rPr>
              <w:footnoteReference w:id="30"/>
            </w:r>
            <w:r w:rsidRPr="00436840">
              <w:rPr>
                <w:rFonts w:ascii="Arial Narrow" w:hAnsi="Arial Narrow"/>
                <w:sz w:val="20"/>
                <w:szCs w:val="20"/>
              </w:rPr>
              <w:t>.</w:t>
            </w:r>
          </w:p>
        </w:tc>
        <w:tc>
          <w:tcPr>
            <w:tcW w:w="1215" w:type="dxa"/>
          </w:tcPr>
          <w:p w14:paraId="016F23A7" w14:textId="67E53F3D"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1FB76A1A" w14:textId="5D90F82C" w:rsidR="00A33569" w:rsidRPr="00436840" w:rsidRDefault="00A33569" w:rsidP="00A33569">
            <w:pPr>
              <w:rPr>
                <w:rFonts w:ascii="Arial Narrow" w:hAnsi="Arial Narrow"/>
                <w:sz w:val="20"/>
                <w:szCs w:val="20"/>
              </w:rPr>
            </w:pPr>
            <w:r w:rsidRPr="00436840">
              <w:rPr>
                <w:rFonts w:ascii="Arial Narrow" w:hAnsi="Arial Narrow"/>
                <w:sz w:val="20"/>
                <w:szCs w:val="20"/>
              </w:rPr>
              <w:t>Yes (</w:t>
            </w:r>
            <w:r>
              <w:rPr>
                <w:rFonts w:ascii="Arial Narrow" w:hAnsi="Arial Narrow"/>
                <w:sz w:val="20"/>
                <w:szCs w:val="20"/>
              </w:rPr>
              <w:t>T</w:t>
            </w:r>
            <w:r w:rsidRPr="00436840">
              <w:rPr>
                <w:rFonts w:ascii="Arial Narrow" w:hAnsi="Arial Narrow"/>
                <w:sz w:val="20"/>
                <w:szCs w:val="20"/>
              </w:rPr>
              <w:t>able 50 in economic evaluation</w:t>
            </w:r>
            <w:r>
              <w:rPr>
                <w:rFonts w:ascii="Arial Narrow" w:hAnsi="Arial Narrow"/>
                <w:sz w:val="20"/>
                <w:szCs w:val="20"/>
              </w:rPr>
              <w:t xml:space="preserve"> report</w:t>
            </w:r>
            <w:r w:rsidRPr="00436840">
              <w:rPr>
                <w:rFonts w:ascii="Arial Narrow" w:hAnsi="Arial Narrow"/>
                <w:sz w:val="20"/>
                <w:szCs w:val="20"/>
              </w:rPr>
              <w:t>)</w:t>
            </w:r>
          </w:p>
        </w:tc>
      </w:tr>
      <w:tr w:rsidR="00A33569" w:rsidRPr="00436840" w14:paraId="5FF106E7" w14:textId="77777777" w:rsidTr="003A350D">
        <w:tc>
          <w:tcPr>
            <w:tcW w:w="2379" w:type="dxa"/>
          </w:tcPr>
          <w:p w14:paraId="5124DDB4" w14:textId="01824DEE" w:rsidR="00A33569" w:rsidRPr="00A33569" w:rsidRDefault="00A33569" w:rsidP="00A33569">
            <w:pPr>
              <w:rPr>
                <w:rFonts w:ascii="Arial Narrow" w:hAnsi="Arial Narrow"/>
                <w:b/>
                <w:sz w:val="20"/>
                <w:szCs w:val="20"/>
              </w:rPr>
            </w:pPr>
            <w:r w:rsidRPr="00A33569">
              <w:rPr>
                <w:rFonts w:ascii="Arial Narrow" w:hAnsi="Arial Narrow"/>
                <w:b/>
                <w:sz w:val="20"/>
                <w:szCs w:val="20"/>
              </w:rPr>
              <w:t xml:space="preserve">Repeat use of risk </w:t>
            </w:r>
            <w:r w:rsidR="00B071A2">
              <w:rPr>
                <w:rFonts w:ascii="Arial Narrow" w:hAnsi="Arial Narrow"/>
                <w:b/>
                <w:sz w:val="20"/>
                <w:szCs w:val="20"/>
              </w:rPr>
              <w:t>prediction</w:t>
            </w:r>
            <w:r w:rsidRPr="00A33569">
              <w:rPr>
                <w:rFonts w:ascii="Arial Narrow" w:hAnsi="Arial Narrow"/>
                <w:b/>
                <w:sz w:val="20"/>
                <w:szCs w:val="20"/>
              </w:rPr>
              <w:t xml:space="preserve"> tool if previously referred to LDCT but not referred for further investigation</w:t>
            </w:r>
          </w:p>
        </w:tc>
        <w:tc>
          <w:tcPr>
            <w:tcW w:w="1435" w:type="dxa"/>
          </w:tcPr>
          <w:p w14:paraId="0E5A2274" w14:textId="2C1ECE5A" w:rsidR="00A33569" w:rsidRPr="00436840" w:rsidRDefault="003E3092" w:rsidP="00A33569">
            <w:pPr>
              <w:rPr>
                <w:rFonts w:ascii="Arial Narrow" w:hAnsi="Arial Narrow"/>
                <w:sz w:val="20"/>
                <w:szCs w:val="20"/>
              </w:rPr>
            </w:pPr>
            <w:r>
              <w:rPr>
                <w:rFonts w:ascii="Arial Narrow" w:hAnsi="Arial Narrow"/>
                <w:sz w:val="20"/>
                <w:szCs w:val="20"/>
              </w:rPr>
              <w:t>No</w:t>
            </w:r>
          </w:p>
        </w:tc>
        <w:tc>
          <w:tcPr>
            <w:tcW w:w="4390" w:type="dxa"/>
          </w:tcPr>
          <w:p w14:paraId="32E86A5F" w14:textId="028FC335" w:rsidR="00A33569" w:rsidRPr="00436840" w:rsidRDefault="00A33569" w:rsidP="00A33569">
            <w:pPr>
              <w:rPr>
                <w:rFonts w:ascii="Arial Narrow" w:hAnsi="Arial Narrow"/>
                <w:sz w:val="20"/>
                <w:szCs w:val="20"/>
              </w:rPr>
            </w:pPr>
            <w:r w:rsidRPr="00436840">
              <w:rPr>
                <w:rFonts w:ascii="Arial Narrow" w:hAnsi="Arial Narrow"/>
                <w:sz w:val="20"/>
                <w:szCs w:val="20"/>
              </w:rPr>
              <w:t>Consultation with Cancer Australia’s Lung Cancer Advisory Group</w:t>
            </w:r>
          </w:p>
        </w:tc>
        <w:tc>
          <w:tcPr>
            <w:tcW w:w="1518" w:type="dxa"/>
          </w:tcPr>
          <w:p w14:paraId="19459B20" w14:textId="2073E1FA" w:rsidR="00A33569" w:rsidRPr="00436840" w:rsidRDefault="00A33569" w:rsidP="00A33569">
            <w:pPr>
              <w:rPr>
                <w:rFonts w:ascii="Arial Narrow" w:hAnsi="Arial Narrow"/>
                <w:sz w:val="20"/>
                <w:szCs w:val="20"/>
              </w:rPr>
            </w:pPr>
          </w:p>
        </w:tc>
        <w:tc>
          <w:tcPr>
            <w:tcW w:w="8280" w:type="dxa"/>
          </w:tcPr>
          <w:p w14:paraId="1E5CE196" w14:textId="7F76291B" w:rsidR="00A33569" w:rsidRPr="00436840" w:rsidRDefault="00A33569" w:rsidP="00A33569">
            <w:pPr>
              <w:rPr>
                <w:rFonts w:ascii="Arial Narrow" w:hAnsi="Arial Narrow"/>
                <w:sz w:val="20"/>
                <w:szCs w:val="20"/>
              </w:rPr>
            </w:pPr>
            <w:r w:rsidRPr="00436840">
              <w:rPr>
                <w:rFonts w:ascii="Arial Narrow" w:hAnsi="Arial Narrow"/>
                <w:sz w:val="20"/>
                <w:szCs w:val="20"/>
              </w:rPr>
              <w:t>Based on clinical advice and input, participants with no significant findings w</w:t>
            </w:r>
            <w:r w:rsidR="005B73B0">
              <w:rPr>
                <w:rFonts w:ascii="Arial Narrow" w:hAnsi="Arial Narrow"/>
                <w:sz w:val="20"/>
                <w:szCs w:val="20"/>
              </w:rPr>
              <w:t>ould</w:t>
            </w:r>
            <w:r w:rsidRPr="00436840">
              <w:rPr>
                <w:rFonts w:ascii="Arial Narrow" w:hAnsi="Arial Narrow"/>
                <w:sz w:val="20"/>
                <w:szCs w:val="20"/>
              </w:rPr>
              <w:t xml:space="preserve"> be invited for LDCT scan in 24</w:t>
            </w:r>
            <w:r w:rsidR="008459F7">
              <w:rPr>
                <w:rFonts w:ascii="Arial Narrow" w:hAnsi="Arial Narrow"/>
                <w:sz w:val="20"/>
                <w:szCs w:val="20"/>
              </w:rPr>
              <w:t xml:space="preserve"> </w:t>
            </w:r>
            <w:r w:rsidRPr="00436840">
              <w:rPr>
                <w:rFonts w:ascii="Arial Narrow" w:hAnsi="Arial Narrow"/>
                <w:sz w:val="20"/>
                <w:szCs w:val="20"/>
              </w:rPr>
              <w:t>m</w:t>
            </w:r>
            <w:r w:rsidR="008459F7">
              <w:rPr>
                <w:rFonts w:ascii="Arial Narrow" w:hAnsi="Arial Narrow"/>
                <w:sz w:val="20"/>
                <w:szCs w:val="20"/>
              </w:rPr>
              <w:t>on</w:t>
            </w:r>
            <w:r w:rsidRPr="00436840">
              <w:rPr>
                <w:rFonts w:ascii="Arial Narrow" w:hAnsi="Arial Narrow"/>
                <w:sz w:val="20"/>
                <w:szCs w:val="20"/>
              </w:rPr>
              <w:t xml:space="preserve">ths and have an assessment of performance status but not a repeat use of the assessment using PLCOm2012 risk </w:t>
            </w:r>
            <w:r w:rsidR="003A379C" w:rsidRPr="003A379C">
              <w:rPr>
                <w:rFonts w:ascii="Arial Narrow" w:hAnsi="Arial Narrow"/>
                <w:sz w:val="20"/>
                <w:szCs w:val="20"/>
              </w:rPr>
              <w:t xml:space="preserve">prediction </w:t>
            </w:r>
            <w:r w:rsidRPr="00436840">
              <w:rPr>
                <w:rFonts w:ascii="Arial Narrow" w:hAnsi="Arial Narrow"/>
                <w:sz w:val="20"/>
                <w:szCs w:val="20"/>
              </w:rPr>
              <w:t>tool.</w:t>
            </w:r>
          </w:p>
        </w:tc>
        <w:tc>
          <w:tcPr>
            <w:tcW w:w="1215" w:type="dxa"/>
          </w:tcPr>
          <w:p w14:paraId="6C46EB7D" w14:textId="0DFF77F8"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77C51CDB"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648AFFB5" w14:textId="77777777" w:rsidTr="003A350D">
        <w:tc>
          <w:tcPr>
            <w:tcW w:w="2379" w:type="dxa"/>
          </w:tcPr>
          <w:p w14:paraId="3CA2A3CF" w14:textId="326770A7" w:rsidR="00A33569" w:rsidRPr="004C7402" w:rsidRDefault="00A33569" w:rsidP="00A33569">
            <w:pPr>
              <w:rPr>
                <w:rFonts w:ascii="Arial Narrow" w:hAnsi="Arial Narrow"/>
                <w:b/>
                <w:sz w:val="20"/>
                <w:szCs w:val="20"/>
              </w:rPr>
            </w:pPr>
            <w:r w:rsidRPr="004C7402">
              <w:rPr>
                <w:rFonts w:ascii="Arial Narrow" w:hAnsi="Arial Narrow"/>
                <w:b/>
                <w:sz w:val="20"/>
                <w:szCs w:val="20"/>
              </w:rPr>
              <w:t>Other time intervals to (frequency of) repeat LDCT-based screening if referred for different types of further investigation</w:t>
            </w:r>
          </w:p>
        </w:tc>
        <w:tc>
          <w:tcPr>
            <w:tcW w:w="1435" w:type="dxa"/>
          </w:tcPr>
          <w:p w14:paraId="46731883"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Low malignancy risk: 12 months</w:t>
            </w:r>
          </w:p>
          <w:p w14:paraId="48802B09" w14:textId="33C35672" w:rsidR="00A33569" w:rsidRPr="00436840" w:rsidRDefault="00A33569" w:rsidP="00A33569">
            <w:pPr>
              <w:rPr>
                <w:rFonts w:ascii="Arial Narrow" w:hAnsi="Arial Narrow"/>
                <w:sz w:val="20"/>
                <w:szCs w:val="20"/>
              </w:rPr>
            </w:pPr>
            <w:r w:rsidRPr="00436840">
              <w:rPr>
                <w:rFonts w:ascii="Arial Narrow" w:hAnsi="Arial Narrow"/>
                <w:sz w:val="20"/>
                <w:szCs w:val="20"/>
              </w:rPr>
              <w:t>Moderate malignancy risk: 3</w:t>
            </w:r>
            <w:r w:rsidR="008459F7">
              <w:rPr>
                <w:rFonts w:ascii="Arial Narrow" w:hAnsi="Arial Narrow"/>
                <w:sz w:val="20"/>
                <w:szCs w:val="20"/>
              </w:rPr>
              <w:t xml:space="preserve"> </w:t>
            </w:r>
            <w:r w:rsidRPr="00436840">
              <w:rPr>
                <w:rFonts w:ascii="Arial Narrow" w:hAnsi="Arial Narrow"/>
                <w:sz w:val="20"/>
                <w:szCs w:val="20"/>
              </w:rPr>
              <w:t>m</w:t>
            </w:r>
            <w:r w:rsidR="008459F7">
              <w:rPr>
                <w:rFonts w:ascii="Arial Narrow" w:hAnsi="Arial Narrow"/>
                <w:sz w:val="20"/>
                <w:szCs w:val="20"/>
              </w:rPr>
              <w:t>on</w:t>
            </w:r>
            <w:r w:rsidRPr="00436840">
              <w:rPr>
                <w:rFonts w:ascii="Arial Narrow" w:hAnsi="Arial Narrow"/>
                <w:sz w:val="20"/>
                <w:szCs w:val="20"/>
              </w:rPr>
              <w:t>ths</w:t>
            </w:r>
          </w:p>
        </w:tc>
        <w:tc>
          <w:tcPr>
            <w:tcW w:w="4390" w:type="dxa"/>
          </w:tcPr>
          <w:p w14:paraId="77FFE31D" w14:textId="1FBF8DC0" w:rsidR="00A33569" w:rsidRPr="00436840" w:rsidRDefault="00A33569" w:rsidP="00A33569">
            <w:pPr>
              <w:rPr>
                <w:rFonts w:ascii="Arial Narrow" w:hAnsi="Arial Narrow"/>
                <w:sz w:val="20"/>
                <w:szCs w:val="20"/>
              </w:rPr>
            </w:pPr>
            <w:r w:rsidRPr="00436840">
              <w:rPr>
                <w:rFonts w:ascii="Arial Narrow" w:hAnsi="Arial Narrow"/>
                <w:sz w:val="20"/>
                <w:szCs w:val="20"/>
              </w:rPr>
              <w:t>Lim KP, Marshall H, Tammemagi M, Brims F, McWilliams A, Stone E, et al. Protocol and Rationale for the International Lung Screening Trial (ILST). Ann Am Thorac Soc. 2019</w:t>
            </w:r>
            <w:r w:rsidR="008459F7">
              <w:rPr>
                <w:rFonts w:ascii="Arial Narrow" w:hAnsi="Arial Narrow"/>
                <w:sz w:val="20"/>
                <w:szCs w:val="20"/>
              </w:rPr>
              <w:t>.</w:t>
            </w:r>
          </w:p>
          <w:p w14:paraId="2EB8D07D"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Lim KP, Marshall H, Tammemägi M et al. Protocol and Rationale for the International Lung Screening Trial (ILST). Ann Am Thorac Soc 2020; Feb 3: doi: 10.1513/AnnalsATS.201902-102OC</w:t>
            </w:r>
          </w:p>
        </w:tc>
        <w:tc>
          <w:tcPr>
            <w:tcW w:w="1518" w:type="dxa"/>
          </w:tcPr>
          <w:p w14:paraId="0323161E" w14:textId="77777777" w:rsidR="00A33569" w:rsidRPr="00436840" w:rsidRDefault="00A33569" w:rsidP="00A33569">
            <w:pPr>
              <w:rPr>
                <w:rFonts w:ascii="Arial Narrow" w:hAnsi="Arial Narrow"/>
                <w:sz w:val="20"/>
                <w:szCs w:val="20"/>
              </w:rPr>
            </w:pPr>
          </w:p>
        </w:tc>
        <w:tc>
          <w:tcPr>
            <w:tcW w:w="8280" w:type="dxa"/>
          </w:tcPr>
          <w:p w14:paraId="7414340B" w14:textId="5E1A939A" w:rsidR="00A33569" w:rsidRPr="00436840" w:rsidRDefault="00A33569" w:rsidP="00A33569">
            <w:pPr>
              <w:rPr>
                <w:rFonts w:ascii="Arial Narrow" w:hAnsi="Arial Narrow"/>
                <w:sz w:val="20"/>
                <w:szCs w:val="20"/>
              </w:rPr>
            </w:pPr>
            <w:r w:rsidRPr="00436840">
              <w:rPr>
                <w:rFonts w:ascii="Arial Narrow" w:hAnsi="Arial Narrow"/>
                <w:sz w:val="20"/>
                <w:szCs w:val="20"/>
              </w:rPr>
              <w:t>Based on the guidance of nodule management protocol.</w:t>
            </w:r>
          </w:p>
        </w:tc>
        <w:tc>
          <w:tcPr>
            <w:tcW w:w="1215" w:type="dxa"/>
          </w:tcPr>
          <w:p w14:paraId="461D7E36" w14:textId="47A5265F"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747FC3E4"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2CB5F7CD" w14:textId="77777777" w:rsidTr="003A350D">
        <w:tc>
          <w:tcPr>
            <w:tcW w:w="2379" w:type="dxa"/>
          </w:tcPr>
          <w:p w14:paraId="4380A296" w14:textId="67D83365" w:rsidR="00A33569" w:rsidRPr="00436840" w:rsidRDefault="00A33569" w:rsidP="00A33569">
            <w:pPr>
              <w:rPr>
                <w:rFonts w:ascii="Arial Narrow" w:hAnsi="Arial Narrow"/>
                <w:b/>
                <w:sz w:val="20"/>
                <w:szCs w:val="20"/>
              </w:rPr>
            </w:pPr>
            <w:r w:rsidRPr="00436840">
              <w:rPr>
                <w:rFonts w:ascii="Arial Narrow" w:hAnsi="Arial Narrow"/>
                <w:b/>
                <w:sz w:val="20"/>
                <w:szCs w:val="20"/>
              </w:rPr>
              <w:t>Management of incidental findings</w:t>
            </w:r>
          </w:p>
        </w:tc>
        <w:tc>
          <w:tcPr>
            <w:tcW w:w="1435" w:type="dxa"/>
          </w:tcPr>
          <w:p w14:paraId="38EA3A8C"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Managed according to relevant clinical guidelines</w:t>
            </w:r>
          </w:p>
        </w:tc>
        <w:tc>
          <w:tcPr>
            <w:tcW w:w="4390" w:type="dxa"/>
          </w:tcPr>
          <w:p w14:paraId="0CD4CF79" w14:textId="78A20127" w:rsidR="00A33569" w:rsidRPr="00436840" w:rsidRDefault="00A33569" w:rsidP="00A33569">
            <w:pPr>
              <w:rPr>
                <w:rFonts w:ascii="Arial Narrow" w:hAnsi="Arial Narrow"/>
                <w:sz w:val="20"/>
                <w:szCs w:val="20"/>
              </w:rPr>
            </w:pPr>
            <w:r w:rsidRPr="00436840">
              <w:rPr>
                <w:rFonts w:ascii="Arial Narrow" w:hAnsi="Arial Narrow"/>
                <w:sz w:val="20"/>
                <w:szCs w:val="20"/>
              </w:rPr>
              <w:t>Consultation with stakeholders including Cancer Australia’s Lung Cancer Advisory Group</w:t>
            </w:r>
            <w:r w:rsidR="000904AB">
              <w:rPr>
                <w:rFonts w:ascii="Arial Narrow" w:hAnsi="Arial Narrow"/>
                <w:sz w:val="20"/>
                <w:szCs w:val="20"/>
              </w:rPr>
              <w:t>.</w:t>
            </w:r>
          </w:p>
        </w:tc>
        <w:tc>
          <w:tcPr>
            <w:tcW w:w="1518" w:type="dxa"/>
          </w:tcPr>
          <w:p w14:paraId="5B281ACA" w14:textId="77777777" w:rsidR="00A33569" w:rsidRPr="00436840" w:rsidRDefault="00A33569" w:rsidP="00A33569">
            <w:pPr>
              <w:rPr>
                <w:rFonts w:ascii="Arial Narrow" w:hAnsi="Arial Narrow"/>
                <w:sz w:val="20"/>
                <w:szCs w:val="20"/>
              </w:rPr>
            </w:pPr>
          </w:p>
        </w:tc>
        <w:tc>
          <w:tcPr>
            <w:tcW w:w="8280" w:type="dxa"/>
          </w:tcPr>
          <w:p w14:paraId="2C989C50" w14:textId="3ACDF82D" w:rsidR="00A33569" w:rsidRPr="00436840" w:rsidRDefault="00A33569" w:rsidP="00A33569">
            <w:pPr>
              <w:rPr>
                <w:rFonts w:ascii="Arial Narrow" w:hAnsi="Arial Narrow"/>
                <w:sz w:val="20"/>
                <w:szCs w:val="20"/>
              </w:rPr>
            </w:pPr>
            <w:r w:rsidRPr="00436840">
              <w:rPr>
                <w:rFonts w:ascii="Arial Narrow" w:hAnsi="Arial Narrow"/>
                <w:sz w:val="20"/>
                <w:szCs w:val="20"/>
              </w:rPr>
              <w:t>Incidental findings range from benign or insignificant findings through to clinically significant pulmonary, cardiovascular, or gastrointestinal co-morbidities. Incidental findings w</w:t>
            </w:r>
            <w:r w:rsidR="00D7786D">
              <w:rPr>
                <w:rFonts w:ascii="Arial Narrow" w:hAnsi="Arial Narrow"/>
                <w:sz w:val="20"/>
                <w:szCs w:val="20"/>
              </w:rPr>
              <w:t>ould</w:t>
            </w:r>
            <w:r w:rsidRPr="00436840">
              <w:rPr>
                <w:rFonts w:ascii="Arial Narrow" w:hAnsi="Arial Narrow"/>
                <w:sz w:val="20"/>
                <w:szCs w:val="20"/>
              </w:rPr>
              <w:t xml:space="preserve"> be managed outside the p</w:t>
            </w:r>
            <w:r w:rsidR="00D7786D">
              <w:rPr>
                <w:rFonts w:ascii="Arial Narrow" w:hAnsi="Arial Narrow"/>
                <w:sz w:val="20"/>
                <w:szCs w:val="20"/>
              </w:rPr>
              <w:t>roposed P</w:t>
            </w:r>
            <w:r w:rsidRPr="00436840">
              <w:rPr>
                <w:rFonts w:ascii="Arial Narrow" w:hAnsi="Arial Narrow"/>
                <w:sz w:val="20"/>
                <w:szCs w:val="20"/>
              </w:rPr>
              <w:t>rogram according to relevant clinical guidelines.</w:t>
            </w:r>
          </w:p>
        </w:tc>
        <w:tc>
          <w:tcPr>
            <w:tcW w:w="1215" w:type="dxa"/>
          </w:tcPr>
          <w:p w14:paraId="75B1763C" w14:textId="0E5B5CE2"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3411DF72" w14:textId="1D8DA5B3" w:rsidR="00A33569" w:rsidRPr="00436840" w:rsidRDefault="00A33569" w:rsidP="00A33569">
            <w:pPr>
              <w:rPr>
                <w:rFonts w:ascii="Arial Narrow" w:hAnsi="Arial Narrow"/>
                <w:sz w:val="20"/>
                <w:szCs w:val="20"/>
              </w:rPr>
            </w:pPr>
            <w:r w:rsidRPr="00436840">
              <w:rPr>
                <w:rFonts w:ascii="Arial Narrow" w:hAnsi="Arial Narrow"/>
                <w:sz w:val="20"/>
                <w:szCs w:val="20"/>
              </w:rPr>
              <w:t>Yes (</w:t>
            </w:r>
            <w:r>
              <w:rPr>
                <w:rFonts w:ascii="Arial Narrow" w:hAnsi="Arial Narrow"/>
                <w:sz w:val="20"/>
                <w:szCs w:val="20"/>
              </w:rPr>
              <w:t>T</w:t>
            </w:r>
            <w:r w:rsidRPr="00436840">
              <w:rPr>
                <w:rFonts w:ascii="Arial Narrow" w:hAnsi="Arial Narrow"/>
                <w:sz w:val="20"/>
                <w:szCs w:val="20"/>
              </w:rPr>
              <w:t>able 51 in economic evaluation</w:t>
            </w:r>
            <w:r>
              <w:rPr>
                <w:rFonts w:ascii="Arial Narrow" w:hAnsi="Arial Narrow"/>
                <w:sz w:val="20"/>
                <w:szCs w:val="20"/>
              </w:rPr>
              <w:t xml:space="preserve"> report</w:t>
            </w:r>
            <w:r w:rsidRPr="00436840">
              <w:rPr>
                <w:rFonts w:ascii="Arial Narrow" w:hAnsi="Arial Narrow"/>
                <w:sz w:val="20"/>
                <w:szCs w:val="20"/>
              </w:rPr>
              <w:t>)</w:t>
            </w:r>
          </w:p>
        </w:tc>
      </w:tr>
      <w:tr w:rsidR="00A33569" w:rsidRPr="00436840" w14:paraId="6926BB7C" w14:textId="77777777" w:rsidTr="003A350D">
        <w:tc>
          <w:tcPr>
            <w:tcW w:w="2379" w:type="dxa"/>
          </w:tcPr>
          <w:p w14:paraId="5BF02FB7" w14:textId="612C385F" w:rsidR="00A33569" w:rsidRPr="00436840" w:rsidRDefault="00A33569" w:rsidP="00A33569">
            <w:pPr>
              <w:rPr>
                <w:rFonts w:ascii="Arial Narrow" w:hAnsi="Arial Narrow"/>
                <w:b/>
                <w:sz w:val="20"/>
                <w:szCs w:val="20"/>
              </w:rPr>
            </w:pPr>
            <w:r w:rsidRPr="00436840">
              <w:rPr>
                <w:rFonts w:ascii="Arial Narrow" w:hAnsi="Arial Narrow"/>
                <w:b/>
                <w:sz w:val="20"/>
                <w:szCs w:val="20"/>
              </w:rPr>
              <w:t xml:space="preserve">Use of mobile LDCT facilities, incorporating referral to LDCT using the </w:t>
            </w:r>
            <w:r w:rsidRPr="00436840">
              <w:rPr>
                <w:rFonts w:ascii="Arial Narrow" w:hAnsi="Arial Narrow"/>
                <w:b/>
                <w:sz w:val="20"/>
                <w:szCs w:val="20"/>
              </w:rPr>
              <w:lastRenderedPageBreak/>
              <w:t xml:space="preserve">risk </w:t>
            </w:r>
            <w:r w:rsidR="003A379C" w:rsidRPr="003A379C">
              <w:rPr>
                <w:rFonts w:ascii="Arial Narrow" w:hAnsi="Arial Narrow"/>
                <w:b/>
                <w:sz w:val="20"/>
                <w:szCs w:val="20"/>
              </w:rPr>
              <w:t xml:space="preserve">prediction </w:t>
            </w:r>
            <w:r w:rsidRPr="00436840">
              <w:rPr>
                <w:rFonts w:ascii="Arial Narrow" w:hAnsi="Arial Narrow"/>
                <w:b/>
                <w:sz w:val="20"/>
                <w:szCs w:val="20"/>
              </w:rPr>
              <w:t>tool and including centralised support via the “virtual diagnostic hub”</w:t>
            </w:r>
          </w:p>
        </w:tc>
        <w:tc>
          <w:tcPr>
            <w:tcW w:w="1435" w:type="dxa"/>
          </w:tcPr>
          <w:p w14:paraId="28635AD2" w14:textId="54F5E6BF" w:rsidR="00A33569" w:rsidRPr="00436840" w:rsidRDefault="00A33569" w:rsidP="00A33569">
            <w:pPr>
              <w:rPr>
                <w:rFonts w:ascii="Arial Narrow" w:hAnsi="Arial Narrow"/>
                <w:sz w:val="20"/>
                <w:szCs w:val="20"/>
              </w:rPr>
            </w:pPr>
            <w:r w:rsidRPr="00436840">
              <w:rPr>
                <w:rFonts w:ascii="Arial Narrow" w:hAnsi="Arial Narrow"/>
                <w:sz w:val="20"/>
                <w:szCs w:val="20"/>
              </w:rPr>
              <w:lastRenderedPageBreak/>
              <w:t>Mobile screening van</w:t>
            </w:r>
          </w:p>
        </w:tc>
        <w:tc>
          <w:tcPr>
            <w:tcW w:w="4390" w:type="dxa"/>
          </w:tcPr>
          <w:p w14:paraId="069FEDE1"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 xml:space="preserve">Cancer Australia 2020. </w:t>
            </w:r>
            <w:hyperlink r:id="rId16" w:history="1">
              <w:r w:rsidRPr="00436840">
                <w:rPr>
                  <w:rStyle w:val="Hyperlink"/>
                  <w:rFonts w:ascii="Arial Narrow" w:hAnsi="Arial Narrow"/>
                  <w:sz w:val="20"/>
                  <w:szCs w:val="20"/>
                </w:rPr>
                <w:t>Report on the Lung Cancer Screening enquiry</w:t>
              </w:r>
            </w:hyperlink>
            <w:r w:rsidRPr="00436840">
              <w:rPr>
                <w:rFonts w:ascii="Arial Narrow" w:hAnsi="Arial Narrow"/>
                <w:sz w:val="20"/>
                <w:szCs w:val="20"/>
              </w:rPr>
              <w:t xml:space="preserve"> Surry Hills, NSW 2020.</w:t>
            </w:r>
          </w:p>
        </w:tc>
        <w:tc>
          <w:tcPr>
            <w:tcW w:w="1518" w:type="dxa"/>
          </w:tcPr>
          <w:p w14:paraId="40757E12" w14:textId="77777777" w:rsidR="00A33569" w:rsidRPr="00436840" w:rsidRDefault="00A33569" w:rsidP="00A33569">
            <w:pPr>
              <w:rPr>
                <w:rFonts w:ascii="Arial Narrow" w:hAnsi="Arial Narrow"/>
                <w:sz w:val="20"/>
                <w:szCs w:val="20"/>
              </w:rPr>
            </w:pPr>
          </w:p>
        </w:tc>
        <w:tc>
          <w:tcPr>
            <w:tcW w:w="8280" w:type="dxa"/>
          </w:tcPr>
          <w:p w14:paraId="76724E41" w14:textId="08694E36" w:rsidR="00A33569" w:rsidRPr="00436840" w:rsidRDefault="00A33569" w:rsidP="00A33569">
            <w:pPr>
              <w:rPr>
                <w:rFonts w:ascii="Arial Narrow" w:hAnsi="Arial Narrow"/>
                <w:sz w:val="20"/>
                <w:szCs w:val="20"/>
              </w:rPr>
            </w:pPr>
            <w:r w:rsidRPr="00436840">
              <w:rPr>
                <w:rFonts w:ascii="Arial Narrow" w:hAnsi="Arial Narrow"/>
                <w:sz w:val="20"/>
                <w:szCs w:val="20"/>
              </w:rPr>
              <w:t>The most appropriate pathway to LDCT w</w:t>
            </w:r>
            <w:r w:rsidR="005B73B0">
              <w:rPr>
                <w:rFonts w:ascii="Arial Narrow" w:hAnsi="Arial Narrow"/>
                <w:sz w:val="20"/>
                <w:szCs w:val="20"/>
              </w:rPr>
              <w:t>ould</w:t>
            </w:r>
            <w:r w:rsidRPr="00436840">
              <w:rPr>
                <w:rFonts w:ascii="Arial Narrow" w:hAnsi="Arial Narrow"/>
                <w:sz w:val="20"/>
                <w:szCs w:val="20"/>
              </w:rPr>
              <w:t xml:space="preserve"> vary across Australia and within implementation sites. In most cases</w:t>
            </w:r>
            <w:r w:rsidR="006035BA">
              <w:rPr>
                <w:rFonts w:ascii="Arial Narrow" w:hAnsi="Arial Narrow"/>
                <w:sz w:val="20"/>
                <w:szCs w:val="20"/>
              </w:rPr>
              <w:t>,</w:t>
            </w:r>
            <w:r w:rsidRPr="00436840">
              <w:rPr>
                <w:rFonts w:ascii="Arial Narrow" w:hAnsi="Arial Narrow"/>
                <w:sz w:val="20"/>
                <w:szCs w:val="20"/>
              </w:rPr>
              <w:t xml:space="preserve"> private sector radiology services w</w:t>
            </w:r>
            <w:r w:rsidR="005B73B0">
              <w:rPr>
                <w:rFonts w:ascii="Arial Narrow" w:hAnsi="Arial Narrow"/>
                <w:sz w:val="20"/>
                <w:szCs w:val="20"/>
              </w:rPr>
              <w:t>ould</w:t>
            </w:r>
            <w:r w:rsidRPr="00436840">
              <w:rPr>
                <w:rFonts w:ascii="Arial Narrow" w:hAnsi="Arial Narrow"/>
                <w:sz w:val="20"/>
                <w:szCs w:val="20"/>
              </w:rPr>
              <w:t xml:space="preserve"> be the provider. State radiology services can also provide </w:t>
            </w:r>
            <w:r w:rsidRPr="00436840">
              <w:rPr>
                <w:rFonts w:ascii="Arial Narrow" w:hAnsi="Arial Narrow"/>
                <w:sz w:val="20"/>
                <w:szCs w:val="20"/>
              </w:rPr>
              <w:lastRenderedPageBreak/>
              <w:t>access to LDCT and in other locations, particularly in remote and very remote locations, access to LDCT w</w:t>
            </w:r>
            <w:r w:rsidR="005B73B0">
              <w:rPr>
                <w:rFonts w:ascii="Arial Narrow" w:hAnsi="Arial Narrow"/>
                <w:sz w:val="20"/>
                <w:szCs w:val="20"/>
              </w:rPr>
              <w:t>ould</w:t>
            </w:r>
            <w:r w:rsidRPr="00436840">
              <w:rPr>
                <w:rFonts w:ascii="Arial Narrow" w:hAnsi="Arial Narrow"/>
                <w:sz w:val="20"/>
                <w:szCs w:val="20"/>
              </w:rPr>
              <w:t xml:space="preserve"> be by means of mobile vans</w:t>
            </w:r>
            <w:r w:rsidR="009235FD">
              <w:rPr>
                <w:rFonts w:ascii="Arial Narrow" w:hAnsi="Arial Narrow"/>
                <w:sz w:val="20"/>
                <w:szCs w:val="20"/>
              </w:rPr>
              <w:t xml:space="preserve"> as part of a broader access strategy</w:t>
            </w:r>
            <w:r w:rsidRPr="00436840">
              <w:rPr>
                <w:rFonts w:ascii="Arial Narrow" w:hAnsi="Arial Narrow"/>
                <w:sz w:val="20"/>
                <w:szCs w:val="20"/>
              </w:rPr>
              <w:t>.</w:t>
            </w:r>
          </w:p>
          <w:p w14:paraId="1A310C07" w14:textId="26D42145" w:rsidR="00A33569" w:rsidRPr="00436840" w:rsidRDefault="00A33569" w:rsidP="00A33569">
            <w:pPr>
              <w:rPr>
                <w:rFonts w:ascii="Arial Narrow" w:hAnsi="Arial Narrow"/>
                <w:sz w:val="20"/>
                <w:szCs w:val="20"/>
              </w:rPr>
            </w:pPr>
            <w:r w:rsidRPr="00436840">
              <w:rPr>
                <w:rFonts w:ascii="Arial Narrow" w:hAnsi="Arial Narrow"/>
                <w:sz w:val="20"/>
                <w:szCs w:val="20"/>
              </w:rPr>
              <w:t xml:space="preserve">With some exceptions, the existing infrastructure of LDCTs in each State/Territory is likely to meet the demand generated by the roll out of the </w:t>
            </w:r>
            <w:r w:rsidR="006035BA">
              <w:rPr>
                <w:rFonts w:ascii="Arial Narrow" w:hAnsi="Arial Narrow"/>
                <w:sz w:val="20"/>
                <w:szCs w:val="20"/>
              </w:rPr>
              <w:t xml:space="preserve">proposed </w:t>
            </w:r>
            <w:r w:rsidRPr="00436840">
              <w:rPr>
                <w:rFonts w:ascii="Arial Narrow" w:hAnsi="Arial Narrow"/>
                <w:sz w:val="20"/>
                <w:szCs w:val="20"/>
              </w:rPr>
              <w:t>Program. Assessment so far indicates shortfalls of infrastructure in Tasmania and in remote locations on the mainland.</w:t>
            </w:r>
          </w:p>
        </w:tc>
        <w:tc>
          <w:tcPr>
            <w:tcW w:w="1215" w:type="dxa"/>
          </w:tcPr>
          <w:p w14:paraId="66A7181F" w14:textId="40AE0EC6" w:rsidR="00A33569" w:rsidRPr="00436840" w:rsidRDefault="00A33569" w:rsidP="00A33569">
            <w:pPr>
              <w:rPr>
                <w:rFonts w:ascii="Arial Narrow" w:hAnsi="Arial Narrow"/>
                <w:sz w:val="20"/>
                <w:szCs w:val="20"/>
              </w:rPr>
            </w:pPr>
            <w:r w:rsidRPr="00436840">
              <w:rPr>
                <w:rFonts w:ascii="Arial Narrow" w:hAnsi="Arial Narrow"/>
                <w:sz w:val="20"/>
                <w:szCs w:val="20"/>
              </w:rPr>
              <w:lastRenderedPageBreak/>
              <w:t>No</w:t>
            </w:r>
          </w:p>
        </w:tc>
        <w:tc>
          <w:tcPr>
            <w:tcW w:w="1704" w:type="dxa"/>
          </w:tcPr>
          <w:p w14:paraId="33554437"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59C2EBDD" w14:textId="77777777" w:rsidTr="003A350D">
        <w:tc>
          <w:tcPr>
            <w:tcW w:w="2379" w:type="dxa"/>
          </w:tcPr>
          <w:p w14:paraId="0DF36528" w14:textId="6A9F497E" w:rsidR="00A33569" w:rsidRPr="00436840" w:rsidRDefault="00A33569" w:rsidP="00A33569">
            <w:pPr>
              <w:rPr>
                <w:rFonts w:ascii="Arial Narrow" w:hAnsi="Arial Narrow"/>
                <w:b/>
                <w:sz w:val="20"/>
                <w:szCs w:val="20"/>
              </w:rPr>
            </w:pPr>
            <w:r w:rsidRPr="00436840">
              <w:rPr>
                <w:rFonts w:ascii="Arial Narrow" w:hAnsi="Arial Narrow"/>
                <w:b/>
                <w:sz w:val="20"/>
                <w:szCs w:val="20"/>
              </w:rPr>
              <w:t>Confirm definition of geographical areas using fixed and mobile facilities (the latter being for remote/rural Australia)</w:t>
            </w:r>
          </w:p>
        </w:tc>
        <w:tc>
          <w:tcPr>
            <w:tcW w:w="1435" w:type="dxa"/>
          </w:tcPr>
          <w:p w14:paraId="4D7C7297"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ASGS remoteness areas: major cities; inner regional Australia; outer regional Australia; remote Australia; very remote Australia; other</w:t>
            </w:r>
          </w:p>
        </w:tc>
        <w:tc>
          <w:tcPr>
            <w:tcW w:w="4390" w:type="dxa"/>
          </w:tcPr>
          <w:p w14:paraId="3A44FA80"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 xml:space="preserve">Cancer Australia 2020. </w:t>
            </w:r>
            <w:hyperlink r:id="rId17" w:history="1">
              <w:r w:rsidRPr="00436840">
                <w:rPr>
                  <w:rStyle w:val="Hyperlink"/>
                  <w:rFonts w:ascii="Arial Narrow" w:hAnsi="Arial Narrow"/>
                  <w:sz w:val="20"/>
                  <w:szCs w:val="20"/>
                </w:rPr>
                <w:t>Report on the Lung Cancer Screening enquiry</w:t>
              </w:r>
            </w:hyperlink>
            <w:r w:rsidRPr="00436840">
              <w:rPr>
                <w:rFonts w:ascii="Arial Narrow" w:hAnsi="Arial Narrow"/>
                <w:sz w:val="20"/>
                <w:szCs w:val="20"/>
              </w:rPr>
              <w:t xml:space="preserve"> Surry Hills, NSW 2012.</w:t>
            </w:r>
          </w:p>
        </w:tc>
        <w:tc>
          <w:tcPr>
            <w:tcW w:w="1518" w:type="dxa"/>
          </w:tcPr>
          <w:p w14:paraId="034ACCB5" w14:textId="77777777" w:rsidR="00A33569" w:rsidRPr="00436840" w:rsidRDefault="00A33569" w:rsidP="00A33569">
            <w:pPr>
              <w:rPr>
                <w:rFonts w:ascii="Arial Narrow" w:hAnsi="Arial Narrow"/>
                <w:sz w:val="20"/>
                <w:szCs w:val="20"/>
              </w:rPr>
            </w:pPr>
          </w:p>
        </w:tc>
        <w:tc>
          <w:tcPr>
            <w:tcW w:w="8280" w:type="dxa"/>
          </w:tcPr>
          <w:p w14:paraId="679BE4D0" w14:textId="0FBFA26C" w:rsidR="00A33569" w:rsidRPr="00436840" w:rsidRDefault="00A33569" w:rsidP="00A33569">
            <w:pPr>
              <w:rPr>
                <w:rFonts w:ascii="Arial Narrow" w:hAnsi="Arial Narrow"/>
                <w:sz w:val="20"/>
                <w:szCs w:val="20"/>
              </w:rPr>
            </w:pPr>
            <w:r w:rsidRPr="00436840">
              <w:rPr>
                <w:rFonts w:ascii="Arial Narrow" w:hAnsi="Arial Narrow"/>
                <w:sz w:val="20"/>
                <w:szCs w:val="20"/>
              </w:rPr>
              <w:t>To ensure equitable access to CT scans across Australia, mobile scanning facilities w</w:t>
            </w:r>
            <w:r w:rsidR="005B73B0">
              <w:rPr>
                <w:rFonts w:ascii="Arial Narrow" w:hAnsi="Arial Narrow"/>
                <w:sz w:val="20"/>
                <w:szCs w:val="20"/>
              </w:rPr>
              <w:t>ould</w:t>
            </w:r>
            <w:r w:rsidRPr="00436840">
              <w:rPr>
                <w:rFonts w:ascii="Arial Narrow" w:hAnsi="Arial Narrow"/>
                <w:sz w:val="20"/>
                <w:szCs w:val="20"/>
              </w:rPr>
              <w:t xml:space="preserve"> be required </w:t>
            </w:r>
            <w:r w:rsidR="006035BA">
              <w:rPr>
                <w:rFonts w:ascii="Arial Narrow" w:hAnsi="Arial Narrow"/>
                <w:sz w:val="20"/>
                <w:szCs w:val="20"/>
              </w:rPr>
              <w:t xml:space="preserve">for the </w:t>
            </w:r>
            <w:r w:rsidRPr="00436840">
              <w:rPr>
                <w:rFonts w:ascii="Arial Narrow" w:hAnsi="Arial Narrow"/>
                <w:sz w:val="20"/>
                <w:szCs w:val="20"/>
              </w:rPr>
              <w:t>remote and very remote areas of Australia.</w:t>
            </w:r>
          </w:p>
        </w:tc>
        <w:tc>
          <w:tcPr>
            <w:tcW w:w="1215" w:type="dxa"/>
          </w:tcPr>
          <w:p w14:paraId="62A5EE15" w14:textId="05CC758F"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12AB8967"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3A2066BB" w14:textId="77777777" w:rsidTr="003A350D">
        <w:tc>
          <w:tcPr>
            <w:tcW w:w="2379" w:type="dxa"/>
          </w:tcPr>
          <w:p w14:paraId="25DF6703" w14:textId="3C321A03" w:rsidR="00A33569" w:rsidRPr="00436840" w:rsidRDefault="00A33569" w:rsidP="00A33569">
            <w:pPr>
              <w:rPr>
                <w:rFonts w:ascii="Arial Narrow" w:hAnsi="Arial Narrow"/>
                <w:b/>
                <w:sz w:val="20"/>
                <w:szCs w:val="20"/>
              </w:rPr>
            </w:pPr>
            <w:r w:rsidRPr="00436840">
              <w:rPr>
                <w:rFonts w:ascii="Arial Narrow" w:hAnsi="Arial Narrow"/>
                <w:b/>
                <w:sz w:val="20"/>
                <w:szCs w:val="20"/>
              </w:rPr>
              <w:t xml:space="preserve">Including prison populations in the </w:t>
            </w:r>
            <w:r w:rsidR="005D5B67" w:rsidRPr="00436840">
              <w:rPr>
                <w:rFonts w:ascii="Arial Narrow" w:hAnsi="Arial Narrow"/>
                <w:b/>
                <w:sz w:val="20"/>
                <w:szCs w:val="20"/>
              </w:rPr>
              <w:t>P</w:t>
            </w:r>
            <w:r w:rsidRPr="00436840">
              <w:rPr>
                <w:rFonts w:ascii="Arial Narrow" w:hAnsi="Arial Narrow"/>
                <w:b/>
                <w:sz w:val="20"/>
                <w:szCs w:val="20"/>
              </w:rPr>
              <w:t>rogram</w:t>
            </w:r>
          </w:p>
        </w:tc>
        <w:tc>
          <w:tcPr>
            <w:tcW w:w="1435" w:type="dxa"/>
          </w:tcPr>
          <w:p w14:paraId="067F9CE2" w14:textId="12E50A14" w:rsidR="00A33569" w:rsidRPr="00436840" w:rsidRDefault="00A33569" w:rsidP="00A33569">
            <w:pPr>
              <w:rPr>
                <w:rFonts w:ascii="Arial Narrow" w:hAnsi="Arial Narrow"/>
                <w:sz w:val="20"/>
                <w:szCs w:val="20"/>
              </w:rPr>
            </w:pPr>
            <w:r w:rsidRPr="00436840">
              <w:rPr>
                <w:rFonts w:ascii="Arial Narrow" w:hAnsi="Arial Narrow"/>
                <w:sz w:val="20"/>
                <w:szCs w:val="20"/>
              </w:rPr>
              <w:t>Mobile vans</w:t>
            </w:r>
          </w:p>
        </w:tc>
        <w:tc>
          <w:tcPr>
            <w:tcW w:w="4390" w:type="dxa"/>
          </w:tcPr>
          <w:p w14:paraId="68B245D1"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 xml:space="preserve">Cancer Australia 2020. </w:t>
            </w:r>
            <w:hyperlink r:id="rId18" w:history="1">
              <w:r w:rsidRPr="00436840">
                <w:rPr>
                  <w:rStyle w:val="Hyperlink"/>
                  <w:rFonts w:ascii="Arial Narrow" w:hAnsi="Arial Narrow"/>
                  <w:sz w:val="20"/>
                  <w:szCs w:val="20"/>
                </w:rPr>
                <w:t>Report on the Lung Cancer Screening enquiry</w:t>
              </w:r>
            </w:hyperlink>
            <w:r w:rsidRPr="00436840">
              <w:rPr>
                <w:rFonts w:ascii="Arial Narrow" w:hAnsi="Arial Narrow"/>
                <w:sz w:val="20"/>
                <w:szCs w:val="20"/>
              </w:rPr>
              <w:t xml:space="preserve"> Surry Hills, NSW 2012.</w:t>
            </w:r>
          </w:p>
        </w:tc>
        <w:tc>
          <w:tcPr>
            <w:tcW w:w="1518" w:type="dxa"/>
          </w:tcPr>
          <w:p w14:paraId="1A2D5A37" w14:textId="77777777" w:rsidR="00A33569" w:rsidRPr="00436840" w:rsidRDefault="00A33569" w:rsidP="00A33569">
            <w:pPr>
              <w:rPr>
                <w:rFonts w:ascii="Arial Narrow" w:hAnsi="Arial Narrow"/>
                <w:sz w:val="20"/>
                <w:szCs w:val="20"/>
              </w:rPr>
            </w:pPr>
          </w:p>
        </w:tc>
        <w:tc>
          <w:tcPr>
            <w:tcW w:w="8280" w:type="dxa"/>
          </w:tcPr>
          <w:p w14:paraId="58EAAA0C" w14:textId="16B9FBDF" w:rsidR="00A33569" w:rsidRPr="00436840" w:rsidRDefault="006035BA" w:rsidP="00A33569">
            <w:pPr>
              <w:rPr>
                <w:rFonts w:ascii="Arial Narrow" w:hAnsi="Arial Narrow"/>
                <w:sz w:val="20"/>
                <w:szCs w:val="20"/>
              </w:rPr>
            </w:pPr>
            <w:r>
              <w:rPr>
                <w:rFonts w:ascii="Arial Narrow" w:hAnsi="Arial Narrow"/>
                <w:sz w:val="20"/>
                <w:szCs w:val="20"/>
              </w:rPr>
              <w:t xml:space="preserve">Access to LDCT for eligible individuals in </w:t>
            </w:r>
            <w:r w:rsidRPr="00436840">
              <w:rPr>
                <w:rFonts w:ascii="Arial Narrow" w:hAnsi="Arial Narrow"/>
                <w:sz w:val="20"/>
                <w:szCs w:val="20"/>
              </w:rPr>
              <w:t xml:space="preserve">correctional facilities </w:t>
            </w:r>
            <w:r w:rsidR="009235FD">
              <w:rPr>
                <w:rFonts w:ascii="Arial Narrow" w:hAnsi="Arial Narrow"/>
                <w:sz w:val="20"/>
                <w:szCs w:val="20"/>
              </w:rPr>
              <w:t>will be discussed with states and territories as part of the broader access strategy</w:t>
            </w:r>
            <w:r w:rsidR="00A33569" w:rsidRPr="00436840">
              <w:rPr>
                <w:rFonts w:ascii="Arial Narrow" w:hAnsi="Arial Narrow"/>
                <w:sz w:val="20"/>
                <w:szCs w:val="20"/>
              </w:rPr>
              <w:t>.</w:t>
            </w:r>
          </w:p>
        </w:tc>
        <w:tc>
          <w:tcPr>
            <w:tcW w:w="1215" w:type="dxa"/>
          </w:tcPr>
          <w:p w14:paraId="3D8A85CC" w14:textId="53157879"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063BAB1F"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4AD2C62E" w14:textId="77777777" w:rsidTr="003A350D">
        <w:tc>
          <w:tcPr>
            <w:tcW w:w="2379" w:type="dxa"/>
          </w:tcPr>
          <w:p w14:paraId="0811DCB1" w14:textId="661DB1A8" w:rsidR="00A33569" w:rsidRPr="00E10C8E" w:rsidRDefault="00A33569" w:rsidP="00A33569">
            <w:pPr>
              <w:rPr>
                <w:rFonts w:ascii="Arial Narrow" w:hAnsi="Arial Narrow"/>
                <w:b/>
                <w:sz w:val="20"/>
                <w:szCs w:val="20"/>
              </w:rPr>
            </w:pPr>
            <w:r w:rsidRPr="00E10C8E">
              <w:rPr>
                <w:rFonts w:ascii="Arial Narrow" w:hAnsi="Arial Narrow"/>
                <w:b/>
                <w:sz w:val="20"/>
                <w:szCs w:val="20"/>
              </w:rPr>
              <w:t xml:space="preserve">Health care professionals to undertake risk </w:t>
            </w:r>
            <w:r w:rsidR="003A379C" w:rsidRPr="003A379C">
              <w:rPr>
                <w:rFonts w:ascii="Arial Narrow" w:hAnsi="Arial Narrow"/>
                <w:b/>
                <w:sz w:val="20"/>
                <w:szCs w:val="20"/>
              </w:rPr>
              <w:t xml:space="preserve">prediction </w:t>
            </w:r>
            <w:r w:rsidRPr="00E10C8E">
              <w:rPr>
                <w:rFonts w:ascii="Arial Narrow" w:hAnsi="Arial Narrow"/>
                <w:b/>
                <w:sz w:val="20"/>
                <w:szCs w:val="20"/>
              </w:rPr>
              <w:t>to refer to LDCT in fixed facilities</w:t>
            </w:r>
          </w:p>
        </w:tc>
        <w:tc>
          <w:tcPr>
            <w:tcW w:w="1435" w:type="dxa"/>
          </w:tcPr>
          <w:p w14:paraId="304C3417" w14:textId="107C6720" w:rsidR="00A33569" w:rsidRPr="00436840" w:rsidRDefault="00A33569" w:rsidP="00A33569">
            <w:pPr>
              <w:rPr>
                <w:rFonts w:ascii="Arial Narrow" w:hAnsi="Arial Narrow"/>
                <w:sz w:val="20"/>
                <w:szCs w:val="20"/>
              </w:rPr>
            </w:pPr>
            <w:r w:rsidRPr="00436840">
              <w:rPr>
                <w:rFonts w:ascii="Arial Narrow" w:hAnsi="Arial Narrow"/>
                <w:sz w:val="20"/>
                <w:szCs w:val="20"/>
              </w:rPr>
              <w:t xml:space="preserve">Risk </w:t>
            </w:r>
            <w:r w:rsidR="003A379C" w:rsidRPr="003A379C">
              <w:rPr>
                <w:rFonts w:ascii="Arial Narrow" w:hAnsi="Arial Narrow"/>
                <w:sz w:val="20"/>
                <w:szCs w:val="20"/>
              </w:rPr>
              <w:t xml:space="preserve">prediction </w:t>
            </w:r>
            <w:r w:rsidRPr="00436840">
              <w:rPr>
                <w:rFonts w:ascii="Arial Narrow" w:hAnsi="Arial Narrow"/>
                <w:sz w:val="20"/>
                <w:szCs w:val="20"/>
              </w:rPr>
              <w:t>is undertaken by an authorised health professional</w:t>
            </w:r>
          </w:p>
        </w:tc>
        <w:tc>
          <w:tcPr>
            <w:tcW w:w="4390" w:type="dxa"/>
          </w:tcPr>
          <w:p w14:paraId="76771C43"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 xml:space="preserve">Cancer Australia 2020. </w:t>
            </w:r>
            <w:hyperlink r:id="rId19" w:history="1">
              <w:r w:rsidRPr="00436840">
                <w:rPr>
                  <w:rStyle w:val="Hyperlink"/>
                  <w:rFonts w:ascii="Arial Narrow" w:hAnsi="Arial Narrow"/>
                  <w:sz w:val="20"/>
                  <w:szCs w:val="20"/>
                </w:rPr>
                <w:t>Report on the Lung Cancer Screening enquiry</w:t>
              </w:r>
            </w:hyperlink>
            <w:r w:rsidRPr="00436840">
              <w:rPr>
                <w:rFonts w:ascii="Arial Narrow" w:hAnsi="Arial Narrow"/>
                <w:sz w:val="20"/>
                <w:szCs w:val="20"/>
              </w:rPr>
              <w:t xml:space="preserve"> Surry Hills, NSW 2012.</w:t>
            </w:r>
          </w:p>
        </w:tc>
        <w:tc>
          <w:tcPr>
            <w:tcW w:w="1518" w:type="dxa"/>
          </w:tcPr>
          <w:p w14:paraId="5284223C" w14:textId="77777777" w:rsidR="00A33569" w:rsidRPr="00436840" w:rsidRDefault="00A33569" w:rsidP="00A33569">
            <w:pPr>
              <w:rPr>
                <w:rFonts w:ascii="Arial Narrow" w:hAnsi="Arial Narrow"/>
                <w:sz w:val="20"/>
                <w:szCs w:val="20"/>
              </w:rPr>
            </w:pPr>
          </w:p>
        </w:tc>
        <w:tc>
          <w:tcPr>
            <w:tcW w:w="8280" w:type="dxa"/>
          </w:tcPr>
          <w:p w14:paraId="32224737" w14:textId="303D3E8E" w:rsidR="00A33569" w:rsidRPr="00436840" w:rsidRDefault="00A33569" w:rsidP="00A33569">
            <w:pPr>
              <w:rPr>
                <w:rFonts w:ascii="Arial Narrow" w:hAnsi="Arial Narrow"/>
                <w:sz w:val="20"/>
                <w:szCs w:val="20"/>
              </w:rPr>
            </w:pPr>
            <w:r w:rsidRPr="00436840">
              <w:rPr>
                <w:rFonts w:ascii="Arial Narrow" w:hAnsi="Arial Narrow"/>
                <w:sz w:val="20"/>
                <w:szCs w:val="20"/>
              </w:rPr>
              <w:t>Risk</w:t>
            </w:r>
            <w:r w:rsidR="003A379C">
              <w:t xml:space="preserve"> </w:t>
            </w:r>
            <w:r w:rsidR="003A379C" w:rsidRPr="003A379C">
              <w:rPr>
                <w:rFonts w:ascii="Arial Narrow" w:hAnsi="Arial Narrow"/>
                <w:sz w:val="20"/>
                <w:szCs w:val="20"/>
              </w:rPr>
              <w:t>prediction</w:t>
            </w:r>
            <w:r w:rsidRPr="00436840">
              <w:rPr>
                <w:rFonts w:ascii="Arial Narrow" w:hAnsi="Arial Narrow"/>
                <w:sz w:val="20"/>
                <w:szCs w:val="20"/>
              </w:rPr>
              <w:t xml:space="preserve"> is undertaken by an authorised health professional who is able to refer eligible participants for LDCT.</w:t>
            </w:r>
          </w:p>
        </w:tc>
        <w:tc>
          <w:tcPr>
            <w:tcW w:w="1215" w:type="dxa"/>
          </w:tcPr>
          <w:p w14:paraId="6812E6A4" w14:textId="300FDD85"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3826FD5E"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r w:rsidR="00A33569" w:rsidRPr="00436840" w14:paraId="694BAB84" w14:textId="77777777" w:rsidTr="003A350D">
        <w:tc>
          <w:tcPr>
            <w:tcW w:w="2379" w:type="dxa"/>
          </w:tcPr>
          <w:p w14:paraId="67CFA415" w14:textId="6756886B" w:rsidR="00A33569" w:rsidRPr="00436840" w:rsidRDefault="00BB52FD" w:rsidP="00E10C8E">
            <w:pPr>
              <w:rPr>
                <w:rFonts w:ascii="Arial Narrow" w:hAnsi="Arial Narrow"/>
                <w:b/>
                <w:sz w:val="20"/>
                <w:szCs w:val="20"/>
              </w:rPr>
            </w:pPr>
            <w:r>
              <w:rPr>
                <w:rFonts w:ascii="Arial Narrow" w:hAnsi="Arial Narrow"/>
                <w:b/>
                <w:sz w:val="20"/>
                <w:szCs w:val="20"/>
              </w:rPr>
              <w:t>R</w:t>
            </w:r>
            <w:r w:rsidR="00A33569" w:rsidRPr="00436840">
              <w:rPr>
                <w:rFonts w:ascii="Arial Narrow" w:hAnsi="Arial Narrow"/>
                <w:b/>
                <w:sz w:val="20"/>
                <w:szCs w:val="20"/>
              </w:rPr>
              <w:t>egister</w:t>
            </w:r>
          </w:p>
        </w:tc>
        <w:tc>
          <w:tcPr>
            <w:tcW w:w="1435" w:type="dxa"/>
          </w:tcPr>
          <w:p w14:paraId="23D6AEF8" w14:textId="7BA234E7" w:rsidR="00A33569" w:rsidRPr="00436840" w:rsidRDefault="00BB52FD" w:rsidP="00A33569">
            <w:pPr>
              <w:rPr>
                <w:rFonts w:ascii="Arial Narrow" w:hAnsi="Arial Narrow"/>
                <w:sz w:val="20"/>
                <w:szCs w:val="20"/>
              </w:rPr>
            </w:pPr>
            <w:r>
              <w:rPr>
                <w:rFonts w:ascii="Arial Narrow" w:hAnsi="Arial Narrow"/>
                <w:sz w:val="20"/>
                <w:szCs w:val="20"/>
              </w:rPr>
              <w:t>R</w:t>
            </w:r>
            <w:r w:rsidR="00A33569" w:rsidRPr="00436840">
              <w:rPr>
                <w:rFonts w:ascii="Arial Narrow" w:hAnsi="Arial Narrow"/>
                <w:sz w:val="20"/>
                <w:szCs w:val="20"/>
              </w:rPr>
              <w:t>egister</w:t>
            </w:r>
          </w:p>
        </w:tc>
        <w:tc>
          <w:tcPr>
            <w:tcW w:w="4390" w:type="dxa"/>
          </w:tcPr>
          <w:p w14:paraId="7E0324CD"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 xml:space="preserve">Cancer Australia 2020. </w:t>
            </w:r>
            <w:hyperlink r:id="rId20" w:history="1">
              <w:r w:rsidRPr="00436840">
                <w:rPr>
                  <w:rStyle w:val="Hyperlink"/>
                  <w:rFonts w:ascii="Arial Narrow" w:hAnsi="Arial Narrow"/>
                  <w:sz w:val="20"/>
                  <w:szCs w:val="20"/>
                </w:rPr>
                <w:t>Report on the Lung Cancer Screening enquiry</w:t>
              </w:r>
            </w:hyperlink>
            <w:r w:rsidRPr="00436840">
              <w:rPr>
                <w:rFonts w:ascii="Arial Narrow" w:hAnsi="Arial Narrow"/>
                <w:sz w:val="20"/>
                <w:szCs w:val="20"/>
              </w:rPr>
              <w:t xml:space="preserve"> Surry Hills, NSW 2012.</w:t>
            </w:r>
          </w:p>
        </w:tc>
        <w:tc>
          <w:tcPr>
            <w:tcW w:w="1518" w:type="dxa"/>
          </w:tcPr>
          <w:p w14:paraId="59A7BBF7" w14:textId="77777777" w:rsidR="00A33569" w:rsidRPr="00436840" w:rsidRDefault="00A33569" w:rsidP="00A33569">
            <w:pPr>
              <w:rPr>
                <w:rFonts w:ascii="Arial Narrow" w:hAnsi="Arial Narrow"/>
                <w:sz w:val="20"/>
                <w:szCs w:val="20"/>
              </w:rPr>
            </w:pPr>
          </w:p>
        </w:tc>
        <w:tc>
          <w:tcPr>
            <w:tcW w:w="8280" w:type="dxa"/>
          </w:tcPr>
          <w:p w14:paraId="236CBC17" w14:textId="40C758D9" w:rsidR="00A33569" w:rsidRPr="00436840" w:rsidRDefault="009B00A3" w:rsidP="00A33569">
            <w:pPr>
              <w:rPr>
                <w:rFonts w:ascii="Arial Narrow" w:hAnsi="Arial Narrow"/>
                <w:sz w:val="20"/>
                <w:szCs w:val="20"/>
              </w:rPr>
            </w:pPr>
            <w:r>
              <w:rPr>
                <w:rFonts w:ascii="Arial Narrow" w:hAnsi="Arial Narrow"/>
                <w:sz w:val="20"/>
                <w:szCs w:val="20"/>
              </w:rPr>
              <w:t xml:space="preserve">A </w:t>
            </w:r>
            <w:r w:rsidR="00BB52FD">
              <w:rPr>
                <w:rFonts w:ascii="Arial Narrow" w:hAnsi="Arial Narrow"/>
                <w:sz w:val="20"/>
                <w:szCs w:val="20"/>
              </w:rPr>
              <w:t>r</w:t>
            </w:r>
            <w:r w:rsidR="00A33569" w:rsidRPr="00436840">
              <w:rPr>
                <w:rFonts w:ascii="Arial Narrow" w:hAnsi="Arial Narrow"/>
                <w:sz w:val="20"/>
                <w:szCs w:val="20"/>
              </w:rPr>
              <w:t xml:space="preserve">egister </w:t>
            </w:r>
            <w:r>
              <w:rPr>
                <w:rFonts w:ascii="Arial Narrow" w:hAnsi="Arial Narrow"/>
                <w:sz w:val="20"/>
                <w:szCs w:val="20"/>
              </w:rPr>
              <w:t xml:space="preserve">would be </w:t>
            </w:r>
            <w:r w:rsidR="00A33569" w:rsidRPr="00436840">
              <w:rPr>
                <w:rFonts w:ascii="Arial Narrow" w:hAnsi="Arial Narrow"/>
                <w:sz w:val="20"/>
                <w:szCs w:val="20"/>
              </w:rPr>
              <w:t xml:space="preserve">a core component of the </w:t>
            </w:r>
            <w:r>
              <w:rPr>
                <w:rFonts w:ascii="Arial Narrow" w:hAnsi="Arial Narrow"/>
                <w:sz w:val="20"/>
                <w:szCs w:val="20"/>
              </w:rPr>
              <w:t xml:space="preserve">proposed </w:t>
            </w:r>
            <w:r w:rsidR="00A33569" w:rsidRPr="00436840">
              <w:rPr>
                <w:rFonts w:ascii="Arial Narrow" w:hAnsi="Arial Narrow"/>
                <w:sz w:val="20"/>
                <w:szCs w:val="20"/>
              </w:rPr>
              <w:t xml:space="preserve">Program and essential to ensuring </w:t>
            </w:r>
            <w:r w:rsidR="007174CB">
              <w:rPr>
                <w:rFonts w:ascii="Arial Narrow" w:hAnsi="Arial Narrow"/>
                <w:sz w:val="20"/>
                <w:szCs w:val="20"/>
              </w:rPr>
              <w:t xml:space="preserve">that </w:t>
            </w:r>
            <w:r w:rsidR="00A33569" w:rsidRPr="00436840">
              <w:rPr>
                <w:rFonts w:ascii="Arial Narrow" w:hAnsi="Arial Narrow"/>
                <w:sz w:val="20"/>
                <w:szCs w:val="20"/>
              </w:rPr>
              <w:t xml:space="preserve">national quality assurance standards </w:t>
            </w:r>
            <w:r w:rsidR="005B73B0">
              <w:rPr>
                <w:rFonts w:ascii="Arial Narrow" w:hAnsi="Arial Narrow"/>
                <w:sz w:val="20"/>
                <w:szCs w:val="20"/>
              </w:rPr>
              <w:t>would be</w:t>
            </w:r>
            <w:r w:rsidR="00A33569" w:rsidRPr="00436840">
              <w:rPr>
                <w:rFonts w:ascii="Arial Narrow" w:hAnsi="Arial Narrow"/>
                <w:sz w:val="20"/>
                <w:szCs w:val="20"/>
              </w:rPr>
              <w:t xml:space="preserve"> maintained. The </w:t>
            </w:r>
            <w:r w:rsidR="00BB52FD">
              <w:rPr>
                <w:rFonts w:ascii="Arial Narrow" w:hAnsi="Arial Narrow"/>
                <w:sz w:val="20"/>
                <w:szCs w:val="20"/>
              </w:rPr>
              <w:t>r</w:t>
            </w:r>
            <w:r w:rsidR="00A33569" w:rsidRPr="00436840">
              <w:rPr>
                <w:rFonts w:ascii="Arial Narrow" w:hAnsi="Arial Narrow"/>
                <w:sz w:val="20"/>
                <w:szCs w:val="20"/>
              </w:rPr>
              <w:t>egister w</w:t>
            </w:r>
            <w:r w:rsidR="00D842C7">
              <w:rPr>
                <w:rFonts w:ascii="Arial Narrow" w:hAnsi="Arial Narrow"/>
                <w:sz w:val="20"/>
                <w:szCs w:val="20"/>
              </w:rPr>
              <w:t>ould</w:t>
            </w:r>
            <w:r w:rsidR="00A33569" w:rsidRPr="00436840">
              <w:rPr>
                <w:rFonts w:ascii="Arial Narrow" w:hAnsi="Arial Narrow"/>
                <w:sz w:val="20"/>
                <w:szCs w:val="20"/>
              </w:rPr>
              <w:t xml:space="preserve"> have a central role in the effective functioning of the Program.</w:t>
            </w:r>
            <w:r w:rsidR="007174CB">
              <w:rPr>
                <w:rFonts w:ascii="Arial Narrow" w:hAnsi="Arial Narrow"/>
                <w:sz w:val="20"/>
                <w:szCs w:val="20"/>
              </w:rPr>
              <w:t xml:space="preserve"> Its </w:t>
            </w:r>
            <w:r w:rsidR="00A33569" w:rsidRPr="00436840">
              <w:rPr>
                <w:rFonts w:ascii="Arial Narrow" w:hAnsi="Arial Narrow"/>
                <w:sz w:val="20"/>
                <w:szCs w:val="20"/>
              </w:rPr>
              <w:t xml:space="preserve">three core capabilities </w:t>
            </w:r>
            <w:r w:rsidR="00D842C7">
              <w:rPr>
                <w:rFonts w:ascii="Arial Narrow" w:hAnsi="Arial Narrow"/>
                <w:sz w:val="20"/>
                <w:szCs w:val="20"/>
              </w:rPr>
              <w:t>would be</w:t>
            </w:r>
            <w:r w:rsidR="00A33569" w:rsidRPr="00436840">
              <w:rPr>
                <w:rFonts w:ascii="Arial Narrow" w:hAnsi="Arial Narrow"/>
                <w:sz w:val="20"/>
                <w:szCs w:val="20"/>
              </w:rPr>
              <w:t>:</w:t>
            </w:r>
          </w:p>
          <w:p w14:paraId="1D7885C4" w14:textId="36C427B2"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Data collection and storage</w:t>
            </w:r>
          </w:p>
          <w:p w14:paraId="33B067A7" w14:textId="239E30B2"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 xml:space="preserve">Data sharing and analytics to support governance, reporting, </w:t>
            </w:r>
            <w:r w:rsidR="00931DBE" w:rsidRPr="00436840">
              <w:rPr>
                <w:rFonts w:ascii="Arial Narrow" w:hAnsi="Arial Narrow"/>
                <w:sz w:val="20"/>
                <w:szCs w:val="20"/>
              </w:rPr>
              <w:t>research,</w:t>
            </w:r>
            <w:r w:rsidRPr="00436840">
              <w:rPr>
                <w:rFonts w:ascii="Arial Narrow" w:hAnsi="Arial Narrow"/>
                <w:sz w:val="20"/>
                <w:szCs w:val="20"/>
              </w:rPr>
              <w:t xml:space="preserve"> and evaluation</w:t>
            </w:r>
          </w:p>
          <w:p w14:paraId="11853508" w14:textId="4BDB82C1"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Correspondence and management of participants</w:t>
            </w:r>
            <w:r w:rsidR="009B00A3">
              <w:rPr>
                <w:rFonts w:ascii="Arial Narrow" w:hAnsi="Arial Narrow"/>
                <w:sz w:val="20"/>
                <w:szCs w:val="20"/>
              </w:rPr>
              <w:t>.</w:t>
            </w:r>
          </w:p>
          <w:p w14:paraId="3E5032B2" w14:textId="196C4EF8" w:rsidR="00A33569" w:rsidRPr="00436840" w:rsidRDefault="00A33569" w:rsidP="00A33569">
            <w:pPr>
              <w:rPr>
                <w:rFonts w:ascii="Arial Narrow" w:hAnsi="Arial Narrow"/>
                <w:sz w:val="20"/>
                <w:szCs w:val="20"/>
              </w:rPr>
            </w:pPr>
            <w:r w:rsidRPr="00436840">
              <w:rPr>
                <w:rFonts w:ascii="Arial Narrow" w:hAnsi="Arial Narrow"/>
                <w:sz w:val="20"/>
                <w:szCs w:val="20"/>
              </w:rPr>
              <w:t xml:space="preserve">Further, a number of </w:t>
            </w:r>
            <w:r w:rsidR="00BB52FD">
              <w:rPr>
                <w:rFonts w:ascii="Arial Narrow" w:hAnsi="Arial Narrow"/>
                <w:sz w:val="20"/>
                <w:szCs w:val="20"/>
              </w:rPr>
              <w:t>r</w:t>
            </w:r>
            <w:r w:rsidRPr="00436840">
              <w:rPr>
                <w:rFonts w:ascii="Arial Narrow" w:hAnsi="Arial Narrow"/>
                <w:sz w:val="20"/>
                <w:szCs w:val="20"/>
              </w:rPr>
              <w:t>egist</w:t>
            </w:r>
            <w:r w:rsidR="00E11AD0">
              <w:rPr>
                <w:rFonts w:ascii="Arial Narrow" w:hAnsi="Arial Narrow"/>
                <w:sz w:val="20"/>
                <w:szCs w:val="20"/>
              </w:rPr>
              <w:t>e</w:t>
            </w:r>
            <w:r w:rsidRPr="00436840">
              <w:rPr>
                <w:rFonts w:ascii="Arial Narrow" w:hAnsi="Arial Narrow"/>
                <w:sz w:val="20"/>
                <w:szCs w:val="20"/>
              </w:rPr>
              <w:t xml:space="preserve">r requirements </w:t>
            </w:r>
            <w:r w:rsidR="00D842C7">
              <w:rPr>
                <w:rFonts w:ascii="Arial Narrow" w:hAnsi="Arial Narrow"/>
                <w:sz w:val="20"/>
                <w:szCs w:val="20"/>
              </w:rPr>
              <w:t>would be</w:t>
            </w:r>
            <w:r w:rsidRPr="00436840">
              <w:rPr>
                <w:rFonts w:ascii="Arial Narrow" w:hAnsi="Arial Narrow"/>
                <w:sz w:val="20"/>
                <w:szCs w:val="20"/>
              </w:rPr>
              <w:t xml:space="preserve"> essential for the initial rollout of the Program.</w:t>
            </w:r>
          </w:p>
          <w:p w14:paraId="25B5B8BF"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These include:</w:t>
            </w:r>
          </w:p>
          <w:p w14:paraId="477D484F" w14:textId="77777777"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issuing participant communication and reminders</w:t>
            </w:r>
          </w:p>
          <w:p w14:paraId="2C4BDF22" w14:textId="77777777"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managing rescreening cadence</w:t>
            </w:r>
          </w:p>
          <w:p w14:paraId="4569D99B" w14:textId="7446C053"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 xml:space="preserve">capturing, consolidating, </w:t>
            </w:r>
            <w:r w:rsidR="00931DBE" w:rsidRPr="00436840">
              <w:rPr>
                <w:rFonts w:ascii="Arial Narrow" w:hAnsi="Arial Narrow"/>
                <w:sz w:val="20"/>
                <w:szCs w:val="20"/>
              </w:rPr>
              <w:t>managing,</w:t>
            </w:r>
            <w:r w:rsidRPr="00436840">
              <w:rPr>
                <w:rFonts w:ascii="Arial Narrow" w:hAnsi="Arial Narrow"/>
                <w:sz w:val="20"/>
                <w:szCs w:val="20"/>
              </w:rPr>
              <w:t xml:space="preserve"> and presenting data</w:t>
            </w:r>
          </w:p>
          <w:p w14:paraId="08CDD838" w14:textId="77777777" w:rsidR="00A33569" w:rsidRPr="00436840" w:rsidRDefault="00A33569" w:rsidP="004A69AE">
            <w:pPr>
              <w:pStyle w:val="ListParagraph"/>
              <w:numPr>
                <w:ilvl w:val="0"/>
                <w:numId w:val="12"/>
              </w:numPr>
              <w:rPr>
                <w:rFonts w:ascii="Arial Narrow" w:hAnsi="Arial Narrow"/>
                <w:sz w:val="20"/>
                <w:szCs w:val="20"/>
              </w:rPr>
            </w:pPr>
            <w:r w:rsidRPr="00436840">
              <w:rPr>
                <w:rFonts w:ascii="Arial Narrow" w:hAnsi="Arial Narrow"/>
                <w:sz w:val="20"/>
                <w:szCs w:val="20"/>
              </w:rPr>
              <w:t>allowing for scalability and future-proofing of the Program.</w:t>
            </w:r>
          </w:p>
        </w:tc>
        <w:tc>
          <w:tcPr>
            <w:tcW w:w="1215" w:type="dxa"/>
          </w:tcPr>
          <w:p w14:paraId="5BEC85B4" w14:textId="0D0AD1DD" w:rsidR="00A33569" w:rsidRPr="00436840" w:rsidRDefault="00A33569" w:rsidP="00A33569">
            <w:pPr>
              <w:rPr>
                <w:rFonts w:ascii="Arial Narrow" w:hAnsi="Arial Narrow"/>
                <w:sz w:val="20"/>
                <w:szCs w:val="20"/>
              </w:rPr>
            </w:pPr>
            <w:r w:rsidRPr="00436840">
              <w:rPr>
                <w:rFonts w:ascii="Arial Narrow" w:hAnsi="Arial Narrow"/>
                <w:sz w:val="20"/>
                <w:szCs w:val="20"/>
              </w:rPr>
              <w:t>No</w:t>
            </w:r>
          </w:p>
        </w:tc>
        <w:tc>
          <w:tcPr>
            <w:tcW w:w="1704" w:type="dxa"/>
          </w:tcPr>
          <w:p w14:paraId="1BD22E6C" w14:textId="77777777" w:rsidR="00A33569" w:rsidRPr="00436840" w:rsidRDefault="00A33569" w:rsidP="00A33569">
            <w:pPr>
              <w:rPr>
                <w:rFonts w:ascii="Arial Narrow" w:hAnsi="Arial Narrow"/>
                <w:sz w:val="20"/>
                <w:szCs w:val="20"/>
              </w:rPr>
            </w:pPr>
            <w:r w:rsidRPr="00436840">
              <w:rPr>
                <w:rFonts w:ascii="Arial Narrow" w:hAnsi="Arial Narrow"/>
                <w:sz w:val="20"/>
                <w:szCs w:val="20"/>
              </w:rPr>
              <w:t>No</w:t>
            </w:r>
          </w:p>
        </w:tc>
      </w:tr>
    </w:tbl>
    <w:p w14:paraId="28688E96" w14:textId="77777777" w:rsidR="008F1BDA" w:rsidRDefault="008F1BDA">
      <w:pPr>
        <w:spacing w:before="0"/>
        <w:rPr>
          <w:b/>
        </w:rPr>
      </w:pPr>
      <w:bookmarkStart w:id="4" w:name="_Hlk85035879"/>
      <w:r>
        <w:rPr>
          <w:b/>
        </w:rPr>
        <w:br w:type="page"/>
      </w:r>
    </w:p>
    <w:p w14:paraId="3E5ECF28" w14:textId="10520644" w:rsidR="005C7E25" w:rsidRPr="002206AB" w:rsidRDefault="000817A5" w:rsidP="000817A5">
      <w:pPr>
        <w:rPr>
          <w:b/>
        </w:rPr>
      </w:pPr>
      <w:r>
        <w:rPr>
          <w:b/>
        </w:rPr>
        <w:lastRenderedPageBreak/>
        <w:t>Attachment 2</w:t>
      </w:r>
      <w:r w:rsidR="002206AB" w:rsidRPr="002206AB">
        <w:rPr>
          <w:b/>
        </w:rPr>
        <w:t>: Tables of randomised controlled trials of LDCT-based lung cancer screening programs</w:t>
      </w:r>
    </w:p>
    <w:p w14:paraId="6F641022" w14:textId="45EDA66F" w:rsidR="00B345E8" w:rsidRPr="00436840" w:rsidRDefault="00B345E8" w:rsidP="000817A5">
      <w:pPr>
        <w:rPr>
          <w:rFonts w:ascii="Arial Narrow" w:hAnsi="Arial Narrow"/>
          <w:b/>
          <w:sz w:val="20"/>
          <w:szCs w:val="20"/>
        </w:rPr>
      </w:pPr>
      <w:r w:rsidRPr="00436840">
        <w:rPr>
          <w:rFonts w:ascii="Arial Narrow" w:hAnsi="Arial Narrow"/>
          <w:b/>
          <w:sz w:val="20"/>
          <w:szCs w:val="20"/>
        </w:rPr>
        <w:t>Table</w:t>
      </w:r>
      <w:r w:rsidR="00D53E8D" w:rsidRPr="00436840">
        <w:rPr>
          <w:rFonts w:ascii="Arial Narrow" w:hAnsi="Arial Narrow"/>
          <w:b/>
          <w:sz w:val="20"/>
          <w:szCs w:val="20"/>
        </w:rPr>
        <w:t xml:space="preserve"> 1:</w:t>
      </w:r>
      <w:r w:rsidR="005B73B0">
        <w:rPr>
          <w:rFonts w:ascii="Arial Narrow" w:hAnsi="Arial Narrow"/>
          <w:b/>
          <w:sz w:val="20"/>
          <w:szCs w:val="20"/>
        </w:rPr>
        <w:tab/>
      </w:r>
      <w:r w:rsidR="00D53E8D" w:rsidRPr="00436840">
        <w:rPr>
          <w:rFonts w:ascii="Arial Narrow" w:hAnsi="Arial Narrow"/>
          <w:b/>
          <w:sz w:val="20"/>
          <w:szCs w:val="20"/>
        </w:rPr>
        <w:t>C</w:t>
      </w:r>
      <w:r w:rsidR="008751C7" w:rsidRPr="00436840">
        <w:rPr>
          <w:rFonts w:ascii="Arial Narrow" w:hAnsi="Arial Narrow"/>
          <w:b/>
          <w:sz w:val="20"/>
          <w:szCs w:val="20"/>
        </w:rPr>
        <w:t xml:space="preserve">haracteristics of </w:t>
      </w:r>
      <w:r w:rsidR="002206AB" w:rsidRPr="00436840">
        <w:rPr>
          <w:rFonts w:ascii="Arial Narrow" w:hAnsi="Arial Narrow"/>
          <w:b/>
          <w:sz w:val="20"/>
          <w:szCs w:val="20"/>
        </w:rPr>
        <w:t xml:space="preserve">randomised controlled trials </w:t>
      </w:r>
      <w:r w:rsidRPr="00436840">
        <w:rPr>
          <w:rFonts w:ascii="Arial Narrow" w:hAnsi="Arial Narrow"/>
          <w:b/>
          <w:sz w:val="20"/>
          <w:szCs w:val="20"/>
        </w:rPr>
        <w:t>of LDCT-based lung cancer screening programs</w:t>
      </w:r>
    </w:p>
    <w:tbl>
      <w:tblPr>
        <w:tblStyle w:val="TableGrid"/>
        <w:tblW w:w="5000" w:type="pct"/>
        <w:tblInd w:w="-5" w:type="dxa"/>
        <w:tblLook w:val="04A0" w:firstRow="1" w:lastRow="0" w:firstColumn="1" w:lastColumn="0" w:noHBand="0" w:noVBand="1"/>
      </w:tblPr>
      <w:tblGrid>
        <w:gridCol w:w="1028"/>
        <w:gridCol w:w="1699"/>
        <w:gridCol w:w="2829"/>
        <w:gridCol w:w="1130"/>
        <w:gridCol w:w="1837"/>
        <w:gridCol w:w="1544"/>
        <w:gridCol w:w="5339"/>
        <w:gridCol w:w="1201"/>
        <w:gridCol w:w="1038"/>
        <w:gridCol w:w="1665"/>
        <w:gridCol w:w="1611"/>
      </w:tblGrid>
      <w:tr w:rsidR="005A4A51" w:rsidRPr="00436840" w14:paraId="49440F80" w14:textId="77777777" w:rsidTr="00C13293">
        <w:trPr>
          <w:tblHeader/>
        </w:trPr>
        <w:tc>
          <w:tcPr>
            <w:tcW w:w="246" w:type="pct"/>
            <w:vMerge w:val="restart"/>
            <w:shd w:val="clear" w:color="auto" w:fill="auto"/>
          </w:tcPr>
          <w:p w14:paraId="7D14E96D" w14:textId="70C027CD"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Trial ID</w:t>
            </w:r>
          </w:p>
        </w:tc>
        <w:tc>
          <w:tcPr>
            <w:tcW w:w="3436" w:type="pct"/>
            <w:gridSpan w:val="6"/>
            <w:tcBorders>
              <w:bottom w:val="single" w:sz="4" w:space="0" w:color="auto"/>
            </w:tcBorders>
            <w:shd w:val="clear" w:color="auto" w:fill="auto"/>
          </w:tcPr>
          <w:p w14:paraId="4857E4E2" w14:textId="2D6E04F0" w:rsidR="00A3124C" w:rsidRPr="00436840" w:rsidRDefault="00A3124C" w:rsidP="00B12FA2">
            <w:pPr>
              <w:spacing w:before="0"/>
              <w:jc w:val="center"/>
              <w:rPr>
                <w:rFonts w:ascii="Arial Narrow" w:hAnsi="Arial Narrow"/>
                <w:sz w:val="20"/>
                <w:szCs w:val="20"/>
              </w:rPr>
            </w:pPr>
            <w:r w:rsidRPr="00436840">
              <w:rPr>
                <w:rFonts w:ascii="Arial Narrow" w:hAnsi="Arial Narrow"/>
                <w:b/>
                <w:sz w:val="20"/>
                <w:szCs w:val="20"/>
              </w:rPr>
              <w:t>Characteristics</w:t>
            </w:r>
          </w:p>
        </w:tc>
        <w:tc>
          <w:tcPr>
            <w:tcW w:w="287" w:type="pct"/>
            <w:vMerge w:val="restart"/>
            <w:tcBorders>
              <w:bottom w:val="single" w:sz="4" w:space="0" w:color="auto"/>
            </w:tcBorders>
            <w:shd w:val="clear" w:color="auto" w:fill="auto"/>
          </w:tcPr>
          <w:p w14:paraId="6EF48545" w14:textId="565EBB55"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Country/</w:t>
            </w:r>
            <w:r w:rsidR="00985D8E">
              <w:rPr>
                <w:rFonts w:ascii="Arial Narrow" w:hAnsi="Arial Narrow"/>
                <w:b/>
                <w:sz w:val="20"/>
                <w:szCs w:val="20"/>
              </w:rPr>
              <w:t xml:space="preserve"> </w:t>
            </w:r>
            <w:r w:rsidR="008B21D2">
              <w:rPr>
                <w:rFonts w:ascii="Arial Narrow" w:hAnsi="Arial Narrow"/>
                <w:b/>
                <w:sz w:val="20"/>
                <w:szCs w:val="20"/>
              </w:rPr>
              <w:t>count</w:t>
            </w:r>
            <w:r w:rsidRPr="00436840">
              <w:rPr>
                <w:rFonts w:ascii="Arial Narrow" w:hAnsi="Arial Narrow"/>
                <w:b/>
                <w:sz w:val="20"/>
                <w:szCs w:val="20"/>
              </w:rPr>
              <w:t>ies participating in the trial</w:t>
            </w:r>
          </w:p>
        </w:tc>
        <w:tc>
          <w:tcPr>
            <w:tcW w:w="248" w:type="pct"/>
            <w:vMerge w:val="restart"/>
            <w:shd w:val="clear" w:color="auto" w:fill="auto"/>
          </w:tcPr>
          <w:p w14:paraId="35A999BC" w14:textId="77777777"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Trial completed or ongoing</w:t>
            </w:r>
          </w:p>
        </w:tc>
        <w:tc>
          <w:tcPr>
            <w:tcW w:w="398" w:type="pct"/>
            <w:vMerge w:val="restart"/>
            <w:shd w:val="clear" w:color="auto" w:fill="auto"/>
          </w:tcPr>
          <w:p w14:paraId="467B89E7" w14:textId="77777777"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Median duration of follow-up for results presented (years)</w:t>
            </w:r>
          </w:p>
        </w:tc>
        <w:tc>
          <w:tcPr>
            <w:tcW w:w="385" w:type="pct"/>
            <w:vMerge w:val="restart"/>
            <w:shd w:val="clear" w:color="auto" w:fill="auto"/>
          </w:tcPr>
          <w:p w14:paraId="0C663D23" w14:textId="41DE1D40"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 xml:space="preserve">Population basis of the </w:t>
            </w:r>
            <w:r w:rsidR="004D04CC">
              <w:rPr>
                <w:rFonts w:ascii="Arial Narrow" w:hAnsi="Arial Narrow"/>
                <w:b/>
                <w:sz w:val="20"/>
                <w:szCs w:val="20"/>
              </w:rPr>
              <w:t>analysis</w:t>
            </w:r>
            <w:r w:rsidRPr="00436840">
              <w:rPr>
                <w:rFonts w:ascii="Arial Narrow" w:hAnsi="Arial Narrow"/>
                <w:b/>
                <w:sz w:val="20"/>
                <w:szCs w:val="20"/>
              </w:rPr>
              <w:t xml:space="preserve"> (ITT or specific other population)</w:t>
            </w:r>
          </w:p>
        </w:tc>
      </w:tr>
      <w:tr w:rsidR="005A4A51" w:rsidRPr="00436840" w14:paraId="779BE87F" w14:textId="77777777" w:rsidTr="00C13293">
        <w:trPr>
          <w:tblHeader/>
        </w:trPr>
        <w:tc>
          <w:tcPr>
            <w:tcW w:w="246" w:type="pct"/>
            <w:vMerge/>
            <w:shd w:val="clear" w:color="auto" w:fill="auto"/>
          </w:tcPr>
          <w:p w14:paraId="53138CA6" w14:textId="77777777" w:rsidR="00A3124C" w:rsidRPr="00436840" w:rsidRDefault="00A3124C" w:rsidP="003A6EAF">
            <w:pPr>
              <w:spacing w:before="0"/>
              <w:rPr>
                <w:rFonts w:ascii="Arial Narrow" w:hAnsi="Arial Narrow"/>
                <w:b/>
                <w:sz w:val="20"/>
                <w:szCs w:val="20"/>
              </w:rPr>
            </w:pPr>
          </w:p>
        </w:tc>
        <w:tc>
          <w:tcPr>
            <w:tcW w:w="406" w:type="pct"/>
            <w:shd w:val="clear" w:color="auto" w:fill="auto"/>
          </w:tcPr>
          <w:p w14:paraId="30078C68" w14:textId="77777777" w:rsidR="00A3124C" w:rsidRPr="00436840" w:rsidRDefault="00A3124C" w:rsidP="00B12FA2">
            <w:pPr>
              <w:spacing w:before="0"/>
              <w:jc w:val="center"/>
              <w:rPr>
                <w:rFonts w:ascii="Arial Narrow" w:hAnsi="Arial Narrow"/>
                <w:b/>
                <w:sz w:val="20"/>
                <w:szCs w:val="20"/>
              </w:rPr>
            </w:pPr>
            <w:r w:rsidRPr="00436840">
              <w:rPr>
                <w:rFonts w:ascii="Arial Narrow" w:hAnsi="Arial Narrow"/>
                <w:b/>
                <w:sz w:val="20"/>
                <w:szCs w:val="20"/>
              </w:rPr>
              <w:t>No of participants</w:t>
            </w:r>
          </w:p>
        </w:tc>
        <w:tc>
          <w:tcPr>
            <w:tcW w:w="676" w:type="pct"/>
            <w:shd w:val="clear" w:color="auto" w:fill="auto"/>
          </w:tcPr>
          <w:p w14:paraId="2CA22BED" w14:textId="77777777"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Screening tests</w:t>
            </w:r>
          </w:p>
        </w:tc>
        <w:tc>
          <w:tcPr>
            <w:tcW w:w="270" w:type="pct"/>
            <w:shd w:val="clear" w:color="auto" w:fill="auto"/>
          </w:tcPr>
          <w:p w14:paraId="647BFB23" w14:textId="09C4C9DF" w:rsidR="00A3124C" w:rsidRPr="00436840" w:rsidRDefault="00A3124C" w:rsidP="00B12FA2">
            <w:pPr>
              <w:spacing w:before="0"/>
              <w:jc w:val="center"/>
              <w:rPr>
                <w:rFonts w:ascii="Arial Narrow" w:hAnsi="Arial Narrow"/>
                <w:b/>
                <w:sz w:val="20"/>
                <w:szCs w:val="20"/>
              </w:rPr>
            </w:pPr>
            <w:r w:rsidRPr="00436840">
              <w:rPr>
                <w:rFonts w:ascii="Arial Narrow" w:hAnsi="Arial Narrow"/>
                <w:b/>
                <w:sz w:val="20"/>
                <w:szCs w:val="20"/>
              </w:rPr>
              <w:t>Eligib</w:t>
            </w:r>
            <w:r w:rsidR="00C13293">
              <w:rPr>
                <w:rFonts w:ascii="Arial Narrow" w:hAnsi="Arial Narrow"/>
                <w:b/>
                <w:sz w:val="20"/>
                <w:szCs w:val="20"/>
              </w:rPr>
              <w:t>le</w:t>
            </w:r>
            <w:r w:rsidRPr="00436840">
              <w:rPr>
                <w:rFonts w:ascii="Arial Narrow" w:hAnsi="Arial Narrow"/>
                <w:b/>
                <w:sz w:val="20"/>
                <w:szCs w:val="20"/>
              </w:rPr>
              <w:t xml:space="preserve"> age range (years)</w:t>
            </w:r>
          </w:p>
        </w:tc>
        <w:tc>
          <w:tcPr>
            <w:tcW w:w="439" w:type="pct"/>
            <w:shd w:val="clear" w:color="auto" w:fill="auto"/>
          </w:tcPr>
          <w:p w14:paraId="035E57F8" w14:textId="7D9DDB89" w:rsidR="00A3124C" w:rsidRPr="00436840" w:rsidRDefault="00A3124C" w:rsidP="003A6EAF">
            <w:pPr>
              <w:spacing w:before="0"/>
              <w:rPr>
                <w:rFonts w:ascii="Arial Narrow" w:hAnsi="Arial Narrow"/>
                <w:b/>
                <w:sz w:val="20"/>
                <w:szCs w:val="20"/>
              </w:rPr>
            </w:pPr>
            <w:r w:rsidRPr="00436840">
              <w:rPr>
                <w:rFonts w:ascii="Arial Narrow" w:hAnsi="Arial Narrow"/>
                <w:b/>
                <w:bCs/>
                <w:sz w:val="20"/>
                <w:szCs w:val="20"/>
              </w:rPr>
              <w:t>Eligib</w:t>
            </w:r>
            <w:r w:rsidR="00C13293">
              <w:rPr>
                <w:rFonts w:ascii="Arial Narrow" w:hAnsi="Arial Narrow"/>
                <w:b/>
                <w:bCs/>
                <w:sz w:val="20"/>
                <w:szCs w:val="20"/>
              </w:rPr>
              <w:t>le</w:t>
            </w:r>
            <w:r w:rsidRPr="00436840">
              <w:rPr>
                <w:rFonts w:ascii="Arial Narrow" w:hAnsi="Arial Narrow"/>
                <w:b/>
                <w:bCs/>
                <w:sz w:val="20"/>
                <w:szCs w:val="20"/>
              </w:rPr>
              <w:t xml:space="preserve"> </w:t>
            </w:r>
            <w:r w:rsidR="00B12FA2">
              <w:rPr>
                <w:rFonts w:ascii="Arial Narrow" w:hAnsi="Arial Narrow"/>
                <w:b/>
                <w:bCs/>
                <w:sz w:val="20"/>
                <w:szCs w:val="20"/>
              </w:rPr>
              <w:t>s</w:t>
            </w:r>
            <w:r w:rsidRPr="00436840">
              <w:rPr>
                <w:rFonts w:ascii="Arial Narrow" w:hAnsi="Arial Narrow"/>
                <w:b/>
                <w:bCs/>
                <w:sz w:val="20"/>
                <w:szCs w:val="20"/>
              </w:rPr>
              <w:t>moking history (pack-years)</w:t>
            </w:r>
          </w:p>
        </w:tc>
        <w:tc>
          <w:tcPr>
            <w:tcW w:w="369" w:type="pct"/>
            <w:shd w:val="clear" w:color="auto" w:fill="auto"/>
          </w:tcPr>
          <w:p w14:paraId="556167EF" w14:textId="715B7765" w:rsidR="00A3124C" w:rsidRPr="00436840" w:rsidRDefault="00A3124C" w:rsidP="00985D8E">
            <w:pPr>
              <w:spacing w:before="0"/>
              <w:jc w:val="center"/>
              <w:rPr>
                <w:rFonts w:ascii="Arial Narrow" w:hAnsi="Arial Narrow"/>
                <w:b/>
                <w:sz w:val="20"/>
                <w:szCs w:val="20"/>
              </w:rPr>
            </w:pPr>
            <w:r w:rsidRPr="00436840">
              <w:rPr>
                <w:rFonts w:ascii="Arial Narrow" w:hAnsi="Arial Narrow" w:cs="Calibri"/>
                <w:b/>
                <w:bCs/>
                <w:sz w:val="20"/>
                <w:szCs w:val="20"/>
              </w:rPr>
              <w:t>Eligib</w:t>
            </w:r>
            <w:r w:rsidR="00C13293">
              <w:rPr>
                <w:rFonts w:ascii="Arial Narrow" w:hAnsi="Arial Narrow" w:cs="Calibri"/>
                <w:b/>
                <w:bCs/>
                <w:sz w:val="20"/>
                <w:szCs w:val="20"/>
              </w:rPr>
              <w:t>le</w:t>
            </w:r>
            <w:r w:rsidRPr="00436840">
              <w:rPr>
                <w:rFonts w:ascii="Arial Narrow" w:hAnsi="Arial Narrow" w:cs="Calibri"/>
                <w:b/>
                <w:bCs/>
                <w:sz w:val="20"/>
                <w:szCs w:val="20"/>
              </w:rPr>
              <w:t xml:space="preserve"> </w:t>
            </w:r>
            <w:r w:rsidR="00B12FA2">
              <w:rPr>
                <w:rFonts w:ascii="Arial Narrow" w:hAnsi="Arial Narrow" w:cs="Calibri"/>
                <w:b/>
                <w:bCs/>
                <w:sz w:val="20"/>
                <w:szCs w:val="20"/>
              </w:rPr>
              <w:t>s</w:t>
            </w:r>
            <w:r w:rsidRPr="00436840">
              <w:rPr>
                <w:rFonts w:ascii="Arial Narrow" w:hAnsi="Arial Narrow" w:cs="Calibri"/>
                <w:b/>
                <w:bCs/>
                <w:sz w:val="20"/>
                <w:szCs w:val="20"/>
              </w:rPr>
              <w:t>moking cessation (years since quit)</w:t>
            </w:r>
          </w:p>
        </w:tc>
        <w:tc>
          <w:tcPr>
            <w:tcW w:w="1276" w:type="pct"/>
            <w:shd w:val="clear" w:color="auto" w:fill="auto"/>
          </w:tcPr>
          <w:p w14:paraId="14DD276D" w14:textId="77777777" w:rsidR="00A3124C" w:rsidRPr="00436840" w:rsidRDefault="00A3124C" w:rsidP="003A6EAF">
            <w:pPr>
              <w:spacing w:before="0"/>
              <w:rPr>
                <w:rFonts w:ascii="Arial Narrow" w:hAnsi="Arial Narrow"/>
                <w:b/>
                <w:sz w:val="20"/>
                <w:szCs w:val="20"/>
              </w:rPr>
            </w:pPr>
            <w:r w:rsidRPr="00436840">
              <w:rPr>
                <w:rFonts w:ascii="Arial Narrow" w:hAnsi="Arial Narrow"/>
                <w:b/>
                <w:sz w:val="20"/>
                <w:szCs w:val="20"/>
              </w:rPr>
              <w:t>Other inclusion/exclusion criteria</w:t>
            </w:r>
          </w:p>
        </w:tc>
        <w:tc>
          <w:tcPr>
            <w:tcW w:w="287" w:type="pct"/>
            <w:vMerge/>
            <w:shd w:val="clear" w:color="auto" w:fill="auto"/>
          </w:tcPr>
          <w:p w14:paraId="033E2DC9" w14:textId="77777777" w:rsidR="00A3124C" w:rsidRPr="00436840" w:rsidRDefault="00A3124C" w:rsidP="003A6EAF">
            <w:pPr>
              <w:spacing w:before="0"/>
              <w:rPr>
                <w:rFonts w:ascii="Arial Narrow" w:hAnsi="Arial Narrow"/>
                <w:b/>
                <w:sz w:val="20"/>
                <w:szCs w:val="20"/>
              </w:rPr>
            </w:pPr>
          </w:p>
        </w:tc>
        <w:tc>
          <w:tcPr>
            <w:tcW w:w="248" w:type="pct"/>
            <w:vMerge/>
            <w:shd w:val="clear" w:color="auto" w:fill="auto"/>
          </w:tcPr>
          <w:p w14:paraId="036F1971" w14:textId="77777777" w:rsidR="00A3124C" w:rsidRPr="00436840" w:rsidRDefault="00A3124C" w:rsidP="003A6EAF">
            <w:pPr>
              <w:spacing w:before="0"/>
              <w:rPr>
                <w:rFonts w:ascii="Arial Narrow" w:hAnsi="Arial Narrow"/>
                <w:b/>
                <w:sz w:val="20"/>
                <w:szCs w:val="20"/>
              </w:rPr>
            </w:pPr>
          </w:p>
        </w:tc>
        <w:tc>
          <w:tcPr>
            <w:tcW w:w="398" w:type="pct"/>
            <w:vMerge/>
            <w:shd w:val="clear" w:color="auto" w:fill="auto"/>
          </w:tcPr>
          <w:p w14:paraId="582FB7FA" w14:textId="77777777" w:rsidR="00A3124C" w:rsidRPr="00436840" w:rsidRDefault="00A3124C" w:rsidP="004D04CC">
            <w:pPr>
              <w:spacing w:before="0"/>
              <w:jc w:val="center"/>
              <w:rPr>
                <w:rFonts w:ascii="Arial Narrow" w:hAnsi="Arial Narrow"/>
                <w:b/>
                <w:sz w:val="20"/>
                <w:szCs w:val="20"/>
              </w:rPr>
            </w:pPr>
          </w:p>
        </w:tc>
        <w:tc>
          <w:tcPr>
            <w:tcW w:w="385" w:type="pct"/>
            <w:vMerge/>
            <w:shd w:val="clear" w:color="auto" w:fill="auto"/>
          </w:tcPr>
          <w:p w14:paraId="39B1DDEF" w14:textId="77777777" w:rsidR="00A3124C" w:rsidRPr="00436840" w:rsidRDefault="00A3124C" w:rsidP="003A6EAF">
            <w:pPr>
              <w:spacing w:before="0"/>
              <w:rPr>
                <w:rFonts w:ascii="Arial Narrow" w:hAnsi="Arial Narrow"/>
                <w:b/>
                <w:sz w:val="20"/>
                <w:szCs w:val="20"/>
              </w:rPr>
            </w:pPr>
          </w:p>
        </w:tc>
      </w:tr>
      <w:tr w:rsidR="00C13293" w:rsidRPr="00436840" w14:paraId="29DA8CCF" w14:textId="77777777" w:rsidTr="00C13293">
        <w:tc>
          <w:tcPr>
            <w:tcW w:w="246" w:type="pct"/>
          </w:tcPr>
          <w:p w14:paraId="333345B3" w14:textId="7C9BDC3F"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AME</w:t>
            </w:r>
            <w:r w:rsidR="00873F9A" w:rsidRPr="00873F9A">
              <w:rPr>
                <w:rFonts w:ascii="Arial Narrow" w:hAnsi="Arial Narrow"/>
                <w:sz w:val="20"/>
                <w:szCs w:val="20"/>
                <w:vertAlign w:val="superscript"/>
              </w:rPr>
              <w:t>9</w:t>
            </w:r>
          </w:p>
          <w:p w14:paraId="644BFF94"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2013</w:t>
            </w:r>
          </w:p>
        </w:tc>
        <w:tc>
          <w:tcPr>
            <w:tcW w:w="406" w:type="pct"/>
          </w:tcPr>
          <w:p w14:paraId="1797ACBB"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6657</w:t>
            </w:r>
          </w:p>
          <w:p w14:paraId="2EC2F51F" w14:textId="6B362D12" w:rsidR="00C13293" w:rsidRDefault="00C13293" w:rsidP="00C13293">
            <w:pPr>
              <w:spacing w:before="0"/>
              <w:jc w:val="center"/>
              <w:rPr>
                <w:rFonts w:ascii="Arial Narrow" w:hAnsi="Arial Narrow"/>
                <w:sz w:val="20"/>
                <w:szCs w:val="20"/>
              </w:rPr>
            </w:pPr>
            <w:r>
              <w:rPr>
                <w:rFonts w:ascii="Arial Narrow" w:hAnsi="Arial Narrow"/>
                <w:sz w:val="20"/>
                <w:szCs w:val="20"/>
              </w:rPr>
              <w:t>(3114 males,</w:t>
            </w:r>
          </w:p>
          <w:p w14:paraId="5298B265" w14:textId="186C0F1E" w:rsidR="00C13293" w:rsidRPr="00436840" w:rsidRDefault="00C13293" w:rsidP="00C13293">
            <w:pPr>
              <w:spacing w:before="0"/>
              <w:jc w:val="center"/>
              <w:rPr>
                <w:rFonts w:ascii="Arial Narrow" w:hAnsi="Arial Narrow"/>
                <w:sz w:val="20"/>
                <w:szCs w:val="20"/>
              </w:rPr>
            </w:pPr>
            <w:r>
              <w:rPr>
                <w:rFonts w:ascii="Arial Narrow" w:hAnsi="Arial Narrow"/>
                <w:sz w:val="20"/>
                <w:szCs w:val="20"/>
              </w:rPr>
              <w:t>3543 females)</w:t>
            </w:r>
          </w:p>
        </w:tc>
        <w:tc>
          <w:tcPr>
            <w:tcW w:w="676" w:type="pct"/>
          </w:tcPr>
          <w:p w14:paraId="407C87BF"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4700C088" w14:textId="047081E8" w:rsidR="00C13293" w:rsidRPr="00436840" w:rsidRDefault="00C13293" w:rsidP="00C13293">
            <w:pPr>
              <w:spacing w:before="0"/>
              <w:rPr>
                <w:rFonts w:ascii="Arial Narrow" w:hAnsi="Arial Narrow"/>
                <w:sz w:val="20"/>
                <w:szCs w:val="20"/>
              </w:rPr>
            </w:pPr>
            <w:r>
              <w:rPr>
                <w:rFonts w:ascii="Arial Narrow" w:hAnsi="Arial Narrow"/>
                <w:sz w:val="20"/>
                <w:szCs w:val="20"/>
              </w:rPr>
              <w:t>(</w:t>
            </w:r>
            <w:r w:rsidRPr="006B1326">
              <w:rPr>
                <w:rFonts w:ascii="Arial Narrow" w:hAnsi="Arial Narrow"/>
                <w:sz w:val="20"/>
                <w:szCs w:val="20"/>
              </w:rPr>
              <w:t>LDCT every two years for three rounds</w:t>
            </w:r>
            <w:r>
              <w:rPr>
                <w:rFonts w:ascii="Arial Narrow" w:hAnsi="Arial Narrow"/>
                <w:sz w:val="20"/>
                <w:szCs w:val="20"/>
              </w:rPr>
              <w:t>)</w:t>
            </w:r>
          </w:p>
        </w:tc>
        <w:tc>
          <w:tcPr>
            <w:tcW w:w="270" w:type="pct"/>
          </w:tcPr>
          <w:p w14:paraId="02E6F435"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45-70</w:t>
            </w:r>
          </w:p>
        </w:tc>
        <w:tc>
          <w:tcPr>
            <w:tcW w:w="439" w:type="pct"/>
          </w:tcPr>
          <w:p w14:paraId="71333DB6" w14:textId="4FD05740"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 xml:space="preserve">Smoking optional risk factor; </w:t>
            </w:r>
            <w:r w:rsidRPr="00436840">
              <w:rPr>
                <w:rFonts w:ascii="Arial Narrow" w:hAnsi="Arial Narrow"/>
                <w:sz w:val="20"/>
                <w:szCs w:val="20"/>
              </w:rPr>
              <w:sym w:font="Symbol" w:char="F0B3"/>
            </w:r>
            <w:r w:rsidRPr="00436840">
              <w:rPr>
                <w:rFonts w:ascii="Arial Narrow" w:hAnsi="Arial Narrow"/>
                <w:bCs/>
                <w:sz w:val="20"/>
                <w:szCs w:val="20"/>
              </w:rPr>
              <w:t>20 pack</w:t>
            </w:r>
            <w:r w:rsidR="00C8275E">
              <w:rPr>
                <w:rFonts w:ascii="Arial Narrow" w:hAnsi="Arial Narrow"/>
                <w:bCs/>
                <w:sz w:val="20"/>
                <w:szCs w:val="20"/>
              </w:rPr>
              <w:t>-</w:t>
            </w:r>
            <w:r w:rsidRPr="00436840">
              <w:rPr>
                <w:rFonts w:ascii="Arial Narrow" w:hAnsi="Arial Narrow"/>
                <w:bCs/>
                <w:sz w:val="20"/>
                <w:szCs w:val="20"/>
              </w:rPr>
              <w:t>y</w:t>
            </w:r>
            <w:r>
              <w:rPr>
                <w:rFonts w:ascii="Arial Narrow" w:hAnsi="Arial Narrow"/>
                <w:bCs/>
                <w:sz w:val="20"/>
                <w:szCs w:val="20"/>
              </w:rPr>
              <w:t>ea</w:t>
            </w:r>
            <w:r w:rsidRPr="00436840">
              <w:rPr>
                <w:rFonts w:ascii="Arial Narrow" w:hAnsi="Arial Narrow"/>
                <w:bCs/>
                <w:sz w:val="20"/>
                <w:szCs w:val="20"/>
              </w:rPr>
              <w:t>rs</w:t>
            </w:r>
          </w:p>
        </w:tc>
        <w:tc>
          <w:tcPr>
            <w:tcW w:w="369" w:type="pct"/>
          </w:tcPr>
          <w:p w14:paraId="55D3729E" w14:textId="77777777"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sz w:val="20"/>
                <w:szCs w:val="20"/>
              </w:rPr>
              <w:sym w:font="Symbol" w:char="F0A3"/>
            </w:r>
            <w:r w:rsidRPr="00436840">
              <w:rPr>
                <w:rFonts w:ascii="Arial Narrow" w:hAnsi="Arial Narrow"/>
                <w:sz w:val="20"/>
                <w:szCs w:val="20"/>
              </w:rPr>
              <w:t>15</w:t>
            </w:r>
          </w:p>
        </w:tc>
        <w:tc>
          <w:tcPr>
            <w:tcW w:w="1276" w:type="pct"/>
          </w:tcPr>
          <w:p w14:paraId="1A6B3D8F" w14:textId="5871C9C6" w:rsidR="00C13293" w:rsidRPr="00436840" w:rsidRDefault="00C13293" w:rsidP="00D64661">
            <w:pPr>
              <w:spacing w:before="0"/>
              <w:rPr>
                <w:rFonts w:ascii="Arial Narrow" w:hAnsi="Arial Narrow"/>
                <w:sz w:val="20"/>
                <w:szCs w:val="20"/>
              </w:rPr>
            </w:pPr>
            <w:r w:rsidRPr="00436840">
              <w:rPr>
                <w:rFonts w:ascii="Arial Narrow" w:hAnsi="Arial Narrow" w:cs="Calibri"/>
                <w:b/>
                <w:bCs/>
                <w:sz w:val="20"/>
                <w:szCs w:val="20"/>
              </w:rPr>
              <w:t>Inclusion:</w:t>
            </w:r>
            <w:r w:rsidRPr="00436840">
              <w:rPr>
                <w:rFonts w:ascii="Arial Narrow" w:hAnsi="Arial Narrow" w:cs="Calibri"/>
                <w:sz w:val="20"/>
                <w:szCs w:val="20"/>
              </w:rPr>
              <w:t xml:space="preserve"> At least one</w:t>
            </w:r>
            <w:r w:rsidR="00D64661">
              <w:rPr>
                <w:rFonts w:ascii="Arial Narrow" w:hAnsi="Arial Narrow" w:cs="Calibri"/>
                <w:sz w:val="20"/>
                <w:szCs w:val="20"/>
              </w:rPr>
              <w:t xml:space="preserve"> of: f</w:t>
            </w:r>
            <w:r w:rsidRPr="00436840">
              <w:rPr>
                <w:rFonts w:ascii="Arial Narrow" w:hAnsi="Arial Narrow" w:cs="Calibri"/>
                <w:sz w:val="20"/>
                <w:szCs w:val="20"/>
              </w:rPr>
              <w:t xml:space="preserve">amily history of any type of cancer; </w:t>
            </w:r>
            <w:r>
              <w:rPr>
                <w:rFonts w:ascii="Arial Narrow" w:hAnsi="Arial Narrow" w:cs="Calibri"/>
                <w:sz w:val="20"/>
                <w:szCs w:val="20"/>
              </w:rPr>
              <w:t>p</w:t>
            </w:r>
            <w:r w:rsidRPr="00436840">
              <w:rPr>
                <w:rFonts w:ascii="Arial Narrow" w:hAnsi="Arial Narrow" w:cs="Calibri"/>
                <w:sz w:val="20"/>
                <w:szCs w:val="20"/>
              </w:rPr>
              <w:t xml:space="preserve">revious history of cancer; </w:t>
            </w:r>
            <w:r>
              <w:rPr>
                <w:rFonts w:ascii="Arial Narrow" w:hAnsi="Arial Narrow" w:cs="Calibri"/>
                <w:sz w:val="20"/>
                <w:szCs w:val="20"/>
              </w:rPr>
              <w:t>o</w:t>
            </w:r>
            <w:r w:rsidRPr="00436840">
              <w:rPr>
                <w:rFonts w:ascii="Arial Narrow" w:hAnsi="Arial Narrow" w:cs="Calibri"/>
                <w:sz w:val="20"/>
                <w:szCs w:val="20"/>
              </w:rPr>
              <w:t xml:space="preserve">ccupational exposure to carcinogenic agents; </w:t>
            </w:r>
            <w:r>
              <w:rPr>
                <w:rFonts w:ascii="Arial Narrow" w:hAnsi="Arial Narrow" w:cs="Calibri"/>
                <w:sz w:val="20"/>
                <w:szCs w:val="20"/>
              </w:rPr>
              <w:t>p</w:t>
            </w:r>
            <w:r w:rsidRPr="00436840">
              <w:rPr>
                <w:rFonts w:ascii="Arial Narrow" w:hAnsi="Arial Narrow" w:cs="Calibri"/>
                <w:sz w:val="20"/>
                <w:szCs w:val="20"/>
              </w:rPr>
              <w:t>assive smoker (&gt;2</w:t>
            </w:r>
            <w:r w:rsidR="00D64661">
              <w:rPr>
                <w:rFonts w:ascii="Arial Narrow" w:hAnsi="Arial Narrow" w:cs="Calibri"/>
                <w:sz w:val="20"/>
                <w:szCs w:val="20"/>
              </w:rPr>
              <w:t xml:space="preserve"> </w:t>
            </w:r>
            <w:r w:rsidRPr="00436840">
              <w:rPr>
                <w:rFonts w:ascii="Arial Narrow" w:hAnsi="Arial Narrow" w:cs="Calibri"/>
                <w:sz w:val="20"/>
                <w:szCs w:val="20"/>
              </w:rPr>
              <w:t>h</w:t>
            </w:r>
            <w:r w:rsidR="00D64661">
              <w:rPr>
                <w:rFonts w:ascii="Arial Narrow" w:hAnsi="Arial Narrow" w:cs="Calibri"/>
                <w:sz w:val="20"/>
                <w:szCs w:val="20"/>
              </w:rPr>
              <w:t>ours</w:t>
            </w:r>
            <w:r w:rsidRPr="00436840">
              <w:rPr>
                <w:rFonts w:ascii="Arial Narrow" w:hAnsi="Arial Narrow" w:cs="Calibri"/>
                <w:sz w:val="20"/>
                <w:szCs w:val="20"/>
              </w:rPr>
              <w:t xml:space="preserve"> per day in homes/indoor workplace for &gt;10</w:t>
            </w:r>
            <w:r>
              <w:rPr>
                <w:rFonts w:ascii="Arial Narrow" w:hAnsi="Arial Narrow" w:cs="Calibri"/>
                <w:sz w:val="20"/>
                <w:szCs w:val="20"/>
              </w:rPr>
              <w:t xml:space="preserve"> </w:t>
            </w:r>
            <w:r w:rsidRPr="00436840">
              <w:rPr>
                <w:rFonts w:ascii="Arial Narrow" w:hAnsi="Arial Narrow" w:cs="Calibri"/>
                <w:sz w:val="20"/>
                <w:szCs w:val="20"/>
              </w:rPr>
              <w:t>y</w:t>
            </w:r>
            <w:r>
              <w:rPr>
                <w:rFonts w:ascii="Arial Narrow" w:hAnsi="Arial Narrow" w:cs="Calibri"/>
                <w:sz w:val="20"/>
                <w:szCs w:val="20"/>
              </w:rPr>
              <w:t>ears</w:t>
            </w:r>
            <w:r w:rsidRPr="00436840">
              <w:rPr>
                <w:rFonts w:ascii="Arial Narrow" w:hAnsi="Arial Narrow" w:cs="Calibri"/>
                <w:sz w:val="20"/>
                <w:szCs w:val="20"/>
              </w:rPr>
              <w:t xml:space="preserve">); </w:t>
            </w:r>
            <w:r>
              <w:rPr>
                <w:rFonts w:ascii="Arial Narrow" w:hAnsi="Arial Narrow" w:cs="Calibri"/>
                <w:sz w:val="20"/>
                <w:szCs w:val="20"/>
              </w:rPr>
              <w:t>e</w:t>
            </w:r>
            <w:r w:rsidRPr="00436840">
              <w:rPr>
                <w:rFonts w:ascii="Arial Narrow" w:hAnsi="Arial Narrow"/>
                <w:sz w:val="20"/>
                <w:szCs w:val="20"/>
              </w:rPr>
              <w:t>xposure to cooking oil fumes (&gt;50 dish-years)</w:t>
            </w:r>
          </w:p>
        </w:tc>
        <w:tc>
          <w:tcPr>
            <w:tcW w:w="287" w:type="pct"/>
          </w:tcPr>
          <w:p w14:paraId="1F256135"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China</w:t>
            </w:r>
          </w:p>
        </w:tc>
        <w:tc>
          <w:tcPr>
            <w:tcW w:w="248" w:type="pct"/>
          </w:tcPr>
          <w:p w14:paraId="780EE1F4"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Completed</w:t>
            </w:r>
          </w:p>
        </w:tc>
        <w:tc>
          <w:tcPr>
            <w:tcW w:w="398" w:type="pct"/>
          </w:tcPr>
          <w:p w14:paraId="6DFF3437"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2</w:t>
            </w:r>
          </w:p>
        </w:tc>
        <w:tc>
          <w:tcPr>
            <w:tcW w:w="385" w:type="pct"/>
          </w:tcPr>
          <w:p w14:paraId="72831571" w14:textId="7E59AADE" w:rsidR="00C13293" w:rsidRPr="00436840" w:rsidRDefault="00C13293" w:rsidP="00C13293">
            <w:pPr>
              <w:spacing w:before="0"/>
              <w:rPr>
                <w:rFonts w:ascii="Arial Narrow" w:hAnsi="Arial Narrow"/>
                <w:sz w:val="20"/>
                <w:szCs w:val="20"/>
              </w:rPr>
            </w:pPr>
            <w:r>
              <w:rPr>
                <w:rFonts w:ascii="Arial Narrow" w:hAnsi="Arial Narrow"/>
                <w:sz w:val="20"/>
                <w:szCs w:val="20"/>
              </w:rPr>
              <w:t>Gender</w:t>
            </w:r>
          </w:p>
        </w:tc>
      </w:tr>
      <w:tr w:rsidR="00C13293" w:rsidRPr="00436840" w14:paraId="5B2D1D87" w14:textId="77777777" w:rsidTr="00C13293">
        <w:tc>
          <w:tcPr>
            <w:tcW w:w="246" w:type="pct"/>
          </w:tcPr>
          <w:p w14:paraId="4058A54F" w14:textId="47F057F4"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DANTE</w:t>
            </w:r>
            <w:r w:rsidRPr="00436840">
              <w:rPr>
                <w:rStyle w:val="FootnoteReference"/>
                <w:rFonts w:ascii="Arial Narrow" w:hAnsi="Arial Narrow"/>
                <w:bCs/>
                <w:sz w:val="20"/>
                <w:szCs w:val="20"/>
              </w:rPr>
              <w:footnoteReference w:id="31"/>
            </w:r>
          </w:p>
          <w:p w14:paraId="3047D56F" w14:textId="77777777" w:rsidR="00C13293" w:rsidRPr="00436840" w:rsidRDefault="00C13293" w:rsidP="00C13293">
            <w:pPr>
              <w:spacing w:before="0"/>
              <w:rPr>
                <w:rFonts w:ascii="Arial Narrow" w:hAnsi="Arial Narrow"/>
                <w:bCs/>
                <w:sz w:val="20"/>
                <w:szCs w:val="20"/>
                <w:vertAlign w:val="superscript"/>
              </w:rPr>
            </w:pPr>
            <w:r w:rsidRPr="00436840">
              <w:rPr>
                <w:rFonts w:ascii="Arial Narrow" w:hAnsi="Arial Narrow"/>
                <w:bCs/>
                <w:sz w:val="20"/>
                <w:szCs w:val="20"/>
              </w:rPr>
              <w:t>2001</w:t>
            </w:r>
          </w:p>
        </w:tc>
        <w:tc>
          <w:tcPr>
            <w:tcW w:w="406" w:type="pct"/>
          </w:tcPr>
          <w:p w14:paraId="79F64BCF"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2450</w:t>
            </w:r>
          </w:p>
          <w:p w14:paraId="4ED3D7FE" w14:textId="5F89322E" w:rsidR="00C13293" w:rsidRPr="00436840" w:rsidRDefault="00C13293" w:rsidP="00C13293">
            <w:pPr>
              <w:spacing w:before="0"/>
              <w:jc w:val="center"/>
              <w:rPr>
                <w:rFonts w:ascii="Arial Narrow" w:hAnsi="Arial Narrow"/>
                <w:sz w:val="20"/>
                <w:szCs w:val="20"/>
              </w:rPr>
            </w:pPr>
            <w:r>
              <w:rPr>
                <w:rFonts w:ascii="Arial Narrow" w:hAnsi="Arial Narrow"/>
                <w:sz w:val="20"/>
                <w:szCs w:val="20"/>
              </w:rPr>
              <w:t>(male participants only)</w:t>
            </w:r>
          </w:p>
        </w:tc>
        <w:tc>
          <w:tcPr>
            <w:tcW w:w="676" w:type="pct"/>
          </w:tcPr>
          <w:p w14:paraId="3218AAF0"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Baseline CXR, sputum cytology &amp; LDCT vs usual care</w:t>
            </w:r>
          </w:p>
          <w:p w14:paraId="30120EDB" w14:textId="776282FD" w:rsidR="00D64661" w:rsidRPr="00436840" w:rsidRDefault="00D64661" w:rsidP="00C13293">
            <w:pPr>
              <w:spacing w:before="0"/>
              <w:rPr>
                <w:rFonts w:ascii="Arial Narrow" w:hAnsi="Arial Narrow"/>
                <w:b/>
                <w:sz w:val="20"/>
                <w:szCs w:val="20"/>
              </w:rPr>
            </w:pPr>
            <w:r>
              <w:rPr>
                <w:rFonts w:ascii="Arial Narrow" w:hAnsi="Arial Narrow"/>
                <w:sz w:val="20"/>
                <w:szCs w:val="20"/>
              </w:rPr>
              <w:t>(</w:t>
            </w:r>
            <w:r w:rsidRPr="005F6CD8">
              <w:rPr>
                <w:rFonts w:ascii="Arial Narrow" w:hAnsi="Arial Narrow"/>
                <w:sz w:val="20"/>
                <w:szCs w:val="20"/>
              </w:rPr>
              <w:t xml:space="preserve">five annual </w:t>
            </w:r>
            <w:r>
              <w:rPr>
                <w:rFonts w:ascii="Arial Narrow" w:hAnsi="Arial Narrow"/>
                <w:sz w:val="20"/>
                <w:szCs w:val="20"/>
              </w:rPr>
              <w:t xml:space="preserve">LDCT </w:t>
            </w:r>
            <w:r w:rsidRPr="005F6CD8">
              <w:rPr>
                <w:rFonts w:ascii="Arial Narrow" w:hAnsi="Arial Narrow"/>
                <w:sz w:val="20"/>
                <w:szCs w:val="20"/>
              </w:rPr>
              <w:t>scans</w:t>
            </w:r>
            <w:r>
              <w:rPr>
                <w:rFonts w:ascii="Arial Narrow" w:hAnsi="Arial Narrow"/>
                <w:sz w:val="20"/>
                <w:szCs w:val="20"/>
              </w:rPr>
              <w:t>:</w:t>
            </w:r>
            <w:r w:rsidRPr="005F6CD8">
              <w:rPr>
                <w:rFonts w:ascii="Arial Narrow" w:hAnsi="Arial Narrow"/>
                <w:sz w:val="20"/>
                <w:szCs w:val="20"/>
              </w:rPr>
              <w:t xml:space="preserve"> one baseline</w:t>
            </w:r>
            <w:r>
              <w:rPr>
                <w:rFonts w:ascii="Arial Narrow" w:hAnsi="Arial Narrow"/>
                <w:sz w:val="20"/>
                <w:szCs w:val="20"/>
              </w:rPr>
              <w:t xml:space="preserve"> </w:t>
            </w:r>
            <w:r w:rsidRPr="005F6CD8">
              <w:rPr>
                <w:rFonts w:ascii="Arial Narrow" w:hAnsi="Arial Narrow"/>
                <w:sz w:val="20"/>
                <w:szCs w:val="20"/>
              </w:rPr>
              <w:t xml:space="preserve">and four incidence </w:t>
            </w:r>
            <w:r>
              <w:rPr>
                <w:rFonts w:ascii="Arial Narrow" w:hAnsi="Arial Narrow"/>
                <w:sz w:val="20"/>
                <w:szCs w:val="20"/>
              </w:rPr>
              <w:t>scans)</w:t>
            </w:r>
          </w:p>
        </w:tc>
        <w:tc>
          <w:tcPr>
            <w:tcW w:w="270" w:type="pct"/>
          </w:tcPr>
          <w:p w14:paraId="3FD0AA65" w14:textId="77777777" w:rsidR="00C13293" w:rsidRPr="00436840" w:rsidRDefault="00C13293" w:rsidP="00C13293">
            <w:pPr>
              <w:spacing w:before="0"/>
              <w:jc w:val="center"/>
              <w:rPr>
                <w:rFonts w:ascii="Arial Narrow" w:hAnsi="Arial Narrow"/>
                <w:b/>
                <w:sz w:val="20"/>
                <w:szCs w:val="20"/>
              </w:rPr>
            </w:pPr>
            <w:r w:rsidRPr="00436840">
              <w:rPr>
                <w:rFonts w:ascii="Arial Narrow" w:hAnsi="Arial Narrow"/>
                <w:sz w:val="20"/>
                <w:szCs w:val="20"/>
              </w:rPr>
              <w:t>60-74</w:t>
            </w:r>
          </w:p>
        </w:tc>
        <w:tc>
          <w:tcPr>
            <w:tcW w:w="439" w:type="pct"/>
          </w:tcPr>
          <w:p w14:paraId="4325BF6E" w14:textId="29C9EBAB" w:rsidR="00C13293" w:rsidRPr="00436840" w:rsidRDefault="00C13293" w:rsidP="00C13293">
            <w:pPr>
              <w:spacing w:before="0"/>
              <w:rPr>
                <w:rFonts w:ascii="Arial Narrow" w:hAnsi="Arial Narrow"/>
                <w:b/>
                <w:bCs/>
                <w:sz w:val="20"/>
                <w:szCs w:val="20"/>
              </w:rPr>
            </w:pPr>
            <w:r w:rsidRPr="00436840">
              <w:rPr>
                <w:rFonts w:ascii="Arial Narrow" w:hAnsi="Arial Narrow"/>
                <w:sz w:val="20"/>
                <w:szCs w:val="20"/>
              </w:rPr>
              <w:sym w:font="Symbol" w:char="F0B3"/>
            </w:r>
            <w:r w:rsidRPr="00436840">
              <w:rPr>
                <w:rFonts w:ascii="Arial Narrow" w:hAnsi="Arial Narrow"/>
                <w:sz w:val="20"/>
                <w:szCs w:val="20"/>
              </w:rPr>
              <w:t>20 pack</w:t>
            </w:r>
            <w:r w:rsidR="00C8275E">
              <w:rPr>
                <w:rFonts w:ascii="Arial Narrow" w:hAnsi="Arial Narrow"/>
                <w:sz w:val="20"/>
                <w:szCs w:val="20"/>
              </w:rPr>
              <w:t>-</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rs</w:t>
            </w:r>
          </w:p>
        </w:tc>
        <w:tc>
          <w:tcPr>
            <w:tcW w:w="369" w:type="pct"/>
          </w:tcPr>
          <w:p w14:paraId="1A2DB787" w14:textId="77777777"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cs="Calibri"/>
                <w:bCs/>
                <w:sz w:val="20"/>
                <w:szCs w:val="20"/>
                <w:lang w:val="en-GB"/>
              </w:rPr>
              <w:t>&lt;10</w:t>
            </w:r>
          </w:p>
        </w:tc>
        <w:tc>
          <w:tcPr>
            <w:tcW w:w="1276" w:type="pct"/>
          </w:tcPr>
          <w:p w14:paraId="346FF6B1" w14:textId="0068C5AA" w:rsidR="00C13293" w:rsidRPr="00436840" w:rsidRDefault="00C13293" w:rsidP="00C13293">
            <w:pPr>
              <w:spacing w:before="0"/>
              <w:rPr>
                <w:rFonts w:ascii="Arial Narrow" w:hAnsi="Arial Narrow"/>
                <w:b/>
                <w:sz w:val="20"/>
                <w:szCs w:val="20"/>
              </w:rPr>
            </w:pPr>
            <w:r w:rsidRPr="00436840">
              <w:rPr>
                <w:rFonts w:ascii="Arial Narrow" w:hAnsi="Arial Narrow"/>
                <w:b/>
                <w:bCs/>
                <w:sz w:val="20"/>
                <w:szCs w:val="20"/>
              </w:rPr>
              <w:t xml:space="preserve">Exclusion: </w:t>
            </w:r>
            <w:r w:rsidRPr="00436840">
              <w:rPr>
                <w:rFonts w:ascii="Arial Narrow" w:hAnsi="Arial Narrow" w:cs="Calibri"/>
                <w:sz w:val="20"/>
                <w:szCs w:val="20"/>
              </w:rPr>
              <w:t xml:space="preserve">Severe comorbidity; </w:t>
            </w:r>
            <w:r>
              <w:rPr>
                <w:rFonts w:ascii="Arial Narrow" w:hAnsi="Arial Narrow" w:cs="Calibri"/>
                <w:sz w:val="20"/>
                <w:szCs w:val="20"/>
              </w:rPr>
              <w:t>l</w:t>
            </w:r>
            <w:r w:rsidRPr="00436840">
              <w:rPr>
                <w:rFonts w:ascii="Arial Narrow" w:hAnsi="Arial Narrow" w:cs="Calibri"/>
                <w:sz w:val="20"/>
                <w:szCs w:val="20"/>
              </w:rPr>
              <w:t>ife expectancy &lt;5</w:t>
            </w:r>
            <w:r>
              <w:rPr>
                <w:rFonts w:ascii="Arial Narrow" w:hAnsi="Arial Narrow" w:cs="Calibri"/>
                <w:sz w:val="20"/>
                <w:szCs w:val="20"/>
              </w:rPr>
              <w:t xml:space="preserve"> </w:t>
            </w:r>
            <w:r w:rsidRPr="00436840">
              <w:rPr>
                <w:rFonts w:ascii="Arial Narrow" w:hAnsi="Arial Narrow" w:cs="Calibri"/>
                <w:sz w:val="20"/>
                <w:szCs w:val="20"/>
              </w:rPr>
              <w:t>y</w:t>
            </w:r>
            <w:r>
              <w:rPr>
                <w:rFonts w:ascii="Arial Narrow" w:hAnsi="Arial Narrow" w:cs="Calibri"/>
                <w:sz w:val="20"/>
                <w:szCs w:val="20"/>
              </w:rPr>
              <w:t>ears</w:t>
            </w:r>
            <w:r w:rsidRPr="00436840">
              <w:rPr>
                <w:rFonts w:ascii="Arial Narrow" w:hAnsi="Arial Narrow" w:cs="Calibri"/>
                <w:sz w:val="20"/>
                <w:szCs w:val="20"/>
              </w:rPr>
              <w:t xml:space="preserve">; </w:t>
            </w:r>
            <w:r>
              <w:rPr>
                <w:rFonts w:ascii="Arial Narrow" w:hAnsi="Arial Narrow" w:cs="Calibri"/>
                <w:sz w:val="20"/>
                <w:szCs w:val="20"/>
              </w:rPr>
              <w:t>p</w:t>
            </w:r>
            <w:r w:rsidRPr="00436840">
              <w:rPr>
                <w:rFonts w:ascii="Arial Narrow" w:hAnsi="Arial Narrow" w:cs="Calibri"/>
                <w:sz w:val="20"/>
                <w:szCs w:val="20"/>
              </w:rPr>
              <w:t xml:space="preserve">revious malignancy (except non-melanoma skin cancer); </w:t>
            </w:r>
            <w:r>
              <w:rPr>
                <w:rFonts w:ascii="Arial Narrow" w:hAnsi="Arial Narrow" w:cs="Calibri"/>
                <w:sz w:val="20"/>
                <w:szCs w:val="20"/>
              </w:rPr>
              <w:t>e</w:t>
            </w:r>
            <w:r w:rsidRPr="00436840">
              <w:rPr>
                <w:rFonts w:ascii="Arial Narrow" w:hAnsi="Arial Narrow" w:cs="Calibri"/>
                <w:sz w:val="20"/>
                <w:szCs w:val="20"/>
              </w:rPr>
              <w:t>arly squamous cancer of the larynx/oral cavity &lt;5</w:t>
            </w:r>
            <w:r>
              <w:rPr>
                <w:rFonts w:ascii="Arial Narrow" w:hAnsi="Arial Narrow" w:cs="Calibri"/>
                <w:sz w:val="20"/>
                <w:szCs w:val="20"/>
              </w:rPr>
              <w:t xml:space="preserve"> </w:t>
            </w:r>
            <w:r w:rsidRPr="00436840">
              <w:rPr>
                <w:rFonts w:ascii="Arial Narrow" w:hAnsi="Arial Narrow" w:cs="Calibri"/>
                <w:sz w:val="20"/>
                <w:szCs w:val="20"/>
              </w:rPr>
              <w:t>y</w:t>
            </w:r>
            <w:r>
              <w:rPr>
                <w:rFonts w:ascii="Arial Narrow" w:hAnsi="Arial Narrow" w:cs="Calibri"/>
                <w:sz w:val="20"/>
                <w:szCs w:val="20"/>
              </w:rPr>
              <w:t>ears</w:t>
            </w:r>
          </w:p>
        </w:tc>
        <w:tc>
          <w:tcPr>
            <w:tcW w:w="287" w:type="pct"/>
          </w:tcPr>
          <w:p w14:paraId="4657AC28"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Italy</w:t>
            </w:r>
          </w:p>
        </w:tc>
        <w:tc>
          <w:tcPr>
            <w:tcW w:w="248" w:type="pct"/>
          </w:tcPr>
          <w:p w14:paraId="2C745BCA"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Completed</w:t>
            </w:r>
          </w:p>
        </w:tc>
        <w:tc>
          <w:tcPr>
            <w:tcW w:w="398" w:type="pct"/>
          </w:tcPr>
          <w:p w14:paraId="06F22562" w14:textId="77777777" w:rsidR="00C13293" w:rsidRPr="00436840" w:rsidRDefault="00C13293" w:rsidP="00C13293">
            <w:pPr>
              <w:spacing w:before="0"/>
              <w:jc w:val="center"/>
              <w:rPr>
                <w:rFonts w:ascii="Arial Narrow" w:hAnsi="Arial Narrow"/>
                <w:bCs/>
                <w:sz w:val="20"/>
                <w:szCs w:val="20"/>
              </w:rPr>
            </w:pPr>
            <w:r w:rsidRPr="00436840">
              <w:rPr>
                <w:rFonts w:ascii="Arial Narrow" w:hAnsi="Arial Narrow"/>
                <w:bCs/>
                <w:sz w:val="20"/>
                <w:szCs w:val="20"/>
              </w:rPr>
              <w:t>8.35</w:t>
            </w:r>
          </w:p>
        </w:tc>
        <w:tc>
          <w:tcPr>
            <w:tcW w:w="385" w:type="pct"/>
          </w:tcPr>
          <w:p w14:paraId="1290E1A4" w14:textId="09EABC7D" w:rsidR="00C13293" w:rsidRPr="00436840" w:rsidRDefault="00C13293" w:rsidP="00C13293">
            <w:pPr>
              <w:spacing w:before="0"/>
              <w:rPr>
                <w:rFonts w:ascii="Arial Narrow" w:hAnsi="Arial Narrow"/>
                <w:bCs/>
                <w:sz w:val="20"/>
                <w:szCs w:val="20"/>
              </w:rPr>
            </w:pPr>
            <w:r>
              <w:rPr>
                <w:rFonts w:ascii="Arial Narrow" w:hAnsi="Arial Narrow"/>
                <w:bCs/>
                <w:sz w:val="20"/>
                <w:szCs w:val="20"/>
              </w:rPr>
              <w:t>No i</w:t>
            </w:r>
            <w:r>
              <w:rPr>
                <w:rFonts w:ascii="Arial Narrow" w:hAnsi="Arial Narrow"/>
                <w:sz w:val="20"/>
                <w:szCs w:val="20"/>
              </w:rPr>
              <w:t>ntention-to-treat</w:t>
            </w:r>
            <w:r>
              <w:rPr>
                <w:rFonts w:ascii="Arial Narrow" w:hAnsi="Arial Narrow"/>
                <w:bCs/>
                <w:sz w:val="20"/>
                <w:szCs w:val="20"/>
              </w:rPr>
              <w:t xml:space="preserve"> or population analysis</w:t>
            </w:r>
          </w:p>
        </w:tc>
      </w:tr>
      <w:tr w:rsidR="00C13293" w:rsidRPr="00436840" w14:paraId="751A0C90" w14:textId="77777777" w:rsidTr="00C13293">
        <w:tc>
          <w:tcPr>
            <w:tcW w:w="246" w:type="pct"/>
          </w:tcPr>
          <w:p w14:paraId="6CD2B2C9" w14:textId="26364B07" w:rsidR="00C13293" w:rsidRPr="00436840" w:rsidRDefault="00C13293" w:rsidP="00C13293">
            <w:pPr>
              <w:spacing w:before="0"/>
              <w:rPr>
                <w:rFonts w:ascii="Arial Narrow" w:hAnsi="Arial Narrow"/>
                <w:bCs/>
                <w:sz w:val="20"/>
                <w:szCs w:val="20"/>
                <w:vertAlign w:val="superscript"/>
              </w:rPr>
            </w:pPr>
            <w:r w:rsidRPr="00436840">
              <w:rPr>
                <w:rFonts w:ascii="Arial Narrow" w:hAnsi="Arial Narrow"/>
                <w:bCs/>
                <w:sz w:val="20"/>
                <w:szCs w:val="20"/>
              </w:rPr>
              <w:t>DLCST</w:t>
            </w:r>
            <w:r w:rsidRPr="00436840">
              <w:rPr>
                <w:rStyle w:val="FootnoteReference"/>
                <w:rFonts w:ascii="Arial Narrow" w:hAnsi="Arial Narrow"/>
                <w:bCs/>
                <w:sz w:val="20"/>
                <w:szCs w:val="20"/>
              </w:rPr>
              <w:footnoteReference w:id="32"/>
            </w:r>
          </w:p>
          <w:p w14:paraId="2A1DC4E4"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2004</w:t>
            </w:r>
          </w:p>
        </w:tc>
        <w:tc>
          <w:tcPr>
            <w:tcW w:w="406" w:type="pct"/>
          </w:tcPr>
          <w:p w14:paraId="6670B600"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4104</w:t>
            </w:r>
          </w:p>
          <w:p w14:paraId="0673AE20" w14:textId="048CA3E1" w:rsidR="00C13293" w:rsidRDefault="00C13293" w:rsidP="00C13293">
            <w:pPr>
              <w:spacing w:before="0"/>
              <w:jc w:val="center"/>
              <w:rPr>
                <w:rFonts w:ascii="Arial Narrow" w:hAnsi="Arial Narrow"/>
                <w:sz w:val="20"/>
                <w:szCs w:val="20"/>
              </w:rPr>
            </w:pPr>
            <w:r>
              <w:rPr>
                <w:rFonts w:ascii="Arial Narrow" w:hAnsi="Arial Narrow"/>
                <w:sz w:val="20"/>
                <w:szCs w:val="20"/>
              </w:rPr>
              <w:t>(2267 males,</w:t>
            </w:r>
          </w:p>
          <w:p w14:paraId="53172975" w14:textId="2277A823" w:rsidR="00C13293" w:rsidRPr="00436840" w:rsidRDefault="00C13293" w:rsidP="00C13293">
            <w:pPr>
              <w:spacing w:before="0"/>
              <w:jc w:val="center"/>
              <w:rPr>
                <w:rFonts w:ascii="Arial Narrow" w:hAnsi="Arial Narrow"/>
                <w:b/>
                <w:sz w:val="20"/>
                <w:szCs w:val="20"/>
              </w:rPr>
            </w:pPr>
            <w:r>
              <w:rPr>
                <w:rFonts w:ascii="Arial Narrow" w:hAnsi="Arial Narrow"/>
                <w:sz w:val="20"/>
                <w:szCs w:val="20"/>
              </w:rPr>
              <w:t>1837 females)</w:t>
            </w:r>
          </w:p>
        </w:tc>
        <w:tc>
          <w:tcPr>
            <w:tcW w:w="676" w:type="pct"/>
          </w:tcPr>
          <w:p w14:paraId="13AD2F64"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3A9E440C" w14:textId="35805749" w:rsidR="00C13293" w:rsidRPr="00436840" w:rsidRDefault="00C13293" w:rsidP="00C13293">
            <w:pPr>
              <w:spacing w:before="0"/>
              <w:rPr>
                <w:rFonts w:ascii="Arial Narrow" w:hAnsi="Arial Narrow"/>
                <w:b/>
                <w:sz w:val="20"/>
                <w:szCs w:val="20"/>
              </w:rPr>
            </w:pPr>
            <w:r>
              <w:rPr>
                <w:rFonts w:ascii="Arial Narrow" w:hAnsi="Arial Narrow"/>
                <w:sz w:val="20"/>
                <w:szCs w:val="20"/>
              </w:rPr>
              <w:t>(</w:t>
            </w:r>
            <w:r w:rsidRPr="005F6CD8">
              <w:rPr>
                <w:rFonts w:ascii="Arial Narrow" w:hAnsi="Arial Narrow"/>
                <w:sz w:val="20"/>
                <w:szCs w:val="20"/>
              </w:rPr>
              <w:t xml:space="preserve">five annual </w:t>
            </w:r>
            <w:r>
              <w:rPr>
                <w:rFonts w:ascii="Arial Narrow" w:hAnsi="Arial Narrow"/>
                <w:sz w:val="20"/>
                <w:szCs w:val="20"/>
              </w:rPr>
              <w:t xml:space="preserve">LDCT </w:t>
            </w:r>
            <w:r w:rsidRPr="005F6CD8">
              <w:rPr>
                <w:rFonts w:ascii="Arial Narrow" w:hAnsi="Arial Narrow"/>
                <w:sz w:val="20"/>
                <w:szCs w:val="20"/>
              </w:rPr>
              <w:t>scans</w:t>
            </w:r>
            <w:r>
              <w:rPr>
                <w:rFonts w:ascii="Arial Narrow" w:hAnsi="Arial Narrow"/>
                <w:sz w:val="20"/>
                <w:szCs w:val="20"/>
              </w:rPr>
              <w:t>:</w:t>
            </w:r>
            <w:r w:rsidRPr="005F6CD8">
              <w:rPr>
                <w:rFonts w:ascii="Arial Narrow" w:hAnsi="Arial Narrow"/>
                <w:sz w:val="20"/>
                <w:szCs w:val="20"/>
              </w:rPr>
              <w:t xml:space="preserve"> one baseline</w:t>
            </w:r>
            <w:r>
              <w:rPr>
                <w:rFonts w:ascii="Arial Narrow" w:hAnsi="Arial Narrow"/>
                <w:sz w:val="20"/>
                <w:szCs w:val="20"/>
              </w:rPr>
              <w:t xml:space="preserve"> </w:t>
            </w:r>
            <w:r w:rsidRPr="005F6CD8">
              <w:rPr>
                <w:rFonts w:ascii="Arial Narrow" w:hAnsi="Arial Narrow"/>
                <w:sz w:val="20"/>
                <w:szCs w:val="20"/>
              </w:rPr>
              <w:t xml:space="preserve">and four incidence </w:t>
            </w:r>
            <w:r>
              <w:rPr>
                <w:rFonts w:ascii="Arial Narrow" w:hAnsi="Arial Narrow"/>
                <w:sz w:val="20"/>
                <w:szCs w:val="20"/>
              </w:rPr>
              <w:t>scans)</w:t>
            </w:r>
          </w:p>
        </w:tc>
        <w:tc>
          <w:tcPr>
            <w:tcW w:w="270" w:type="pct"/>
          </w:tcPr>
          <w:p w14:paraId="64A55254" w14:textId="77777777" w:rsidR="00C13293" w:rsidRPr="00436840" w:rsidRDefault="00C13293" w:rsidP="00C13293">
            <w:pPr>
              <w:spacing w:before="0"/>
              <w:jc w:val="center"/>
              <w:rPr>
                <w:rFonts w:ascii="Arial Narrow" w:hAnsi="Arial Narrow"/>
                <w:b/>
                <w:sz w:val="20"/>
                <w:szCs w:val="20"/>
              </w:rPr>
            </w:pPr>
            <w:r w:rsidRPr="00436840">
              <w:rPr>
                <w:rFonts w:ascii="Arial Narrow" w:hAnsi="Arial Narrow"/>
                <w:sz w:val="20"/>
                <w:szCs w:val="20"/>
              </w:rPr>
              <w:t>50-70</w:t>
            </w:r>
          </w:p>
        </w:tc>
        <w:tc>
          <w:tcPr>
            <w:tcW w:w="439" w:type="pct"/>
          </w:tcPr>
          <w:p w14:paraId="355455C8" w14:textId="63303DCC" w:rsidR="00C13293" w:rsidRPr="00436840" w:rsidRDefault="00C13293" w:rsidP="00C13293">
            <w:pPr>
              <w:spacing w:before="0"/>
              <w:rPr>
                <w:rFonts w:ascii="Arial Narrow" w:hAnsi="Arial Narrow"/>
                <w:b/>
                <w:bCs/>
                <w:sz w:val="20"/>
                <w:szCs w:val="20"/>
              </w:rPr>
            </w:pPr>
            <w:r w:rsidRPr="00436840">
              <w:rPr>
                <w:rFonts w:ascii="Arial Narrow" w:hAnsi="Arial Narrow"/>
                <w:sz w:val="20"/>
                <w:szCs w:val="20"/>
              </w:rPr>
              <w:sym w:font="Symbol" w:char="F0B3"/>
            </w:r>
            <w:r w:rsidRPr="00436840">
              <w:rPr>
                <w:rFonts w:ascii="Arial Narrow" w:hAnsi="Arial Narrow"/>
                <w:sz w:val="20"/>
                <w:szCs w:val="20"/>
              </w:rPr>
              <w:t>20 pack</w:t>
            </w:r>
            <w:r w:rsidR="00C8275E">
              <w:rPr>
                <w:rFonts w:ascii="Arial Narrow" w:hAnsi="Arial Narrow"/>
                <w:sz w:val="20"/>
                <w:szCs w:val="20"/>
              </w:rPr>
              <w:t>-</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rs</w:t>
            </w:r>
          </w:p>
        </w:tc>
        <w:tc>
          <w:tcPr>
            <w:tcW w:w="369" w:type="pct"/>
          </w:tcPr>
          <w:p w14:paraId="7F6B9765" w14:textId="77777777" w:rsidR="00C13293" w:rsidRPr="00436840" w:rsidRDefault="00C13293" w:rsidP="00C13293">
            <w:pPr>
              <w:spacing w:before="0"/>
              <w:jc w:val="center"/>
              <w:rPr>
                <w:rFonts w:ascii="Arial Narrow" w:hAnsi="Arial Narrow" w:cs="Calibri"/>
                <w:b/>
                <w:bCs/>
                <w:sz w:val="20"/>
                <w:szCs w:val="20"/>
              </w:rPr>
            </w:pPr>
            <w:r w:rsidRPr="00436840">
              <w:rPr>
                <w:rFonts w:ascii="Arial Narrow" w:hAnsi="Arial Narrow"/>
                <w:sz w:val="20"/>
                <w:szCs w:val="20"/>
                <w:lang w:val="en-GB"/>
              </w:rPr>
              <w:t>&lt;10</w:t>
            </w:r>
          </w:p>
        </w:tc>
        <w:tc>
          <w:tcPr>
            <w:tcW w:w="1276" w:type="pct"/>
          </w:tcPr>
          <w:p w14:paraId="428521AA" w14:textId="0267659E" w:rsidR="00C13293" w:rsidRPr="00436840" w:rsidRDefault="00C13293" w:rsidP="00C13293">
            <w:pPr>
              <w:spacing w:before="0"/>
              <w:rPr>
                <w:rFonts w:ascii="Arial Narrow" w:hAnsi="Arial Narrow"/>
                <w:bCs/>
                <w:sz w:val="20"/>
                <w:szCs w:val="20"/>
              </w:rPr>
            </w:pPr>
            <w:r w:rsidRPr="00436840">
              <w:rPr>
                <w:rFonts w:ascii="Arial Narrow" w:hAnsi="Arial Narrow"/>
                <w:b/>
                <w:bCs/>
                <w:sz w:val="20"/>
                <w:szCs w:val="20"/>
              </w:rPr>
              <w:t>Exclusion:</w:t>
            </w:r>
            <w:r w:rsidRPr="00436840">
              <w:rPr>
                <w:rFonts w:ascii="Arial Narrow" w:hAnsi="Arial Narrow"/>
                <w:b/>
                <w:sz w:val="20"/>
                <w:szCs w:val="20"/>
              </w:rPr>
              <w:t xml:space="preserve"> </w:t>
            </w:r>
            <w:r w:rsidRPr="00436840">
              <w:rPr>
                <w:rFonts w:ascii="Arial Narrow" w:hAnsi="Arial Narrow"/>
                <w:bCs/>
                <w:sz w:val="20"/>
                <w:szCs w:val="20"/>
              </w:rPr>
              <w:t xml:space="preserve">History of lung cancer, breast cancer, melanoma, or hypernephroma; </w:t>
            </w:r>
            <w:r>
              <w:rPr>
                <w:rFonts w:ascii="Arial Narrow" w:hAnsi="Arial Narrow"/>
                <w:bCs/>
                <w:sz w:val="20"/>
                <w:szCs w:val="20"/>
              </w:rPr>
              <w:t>o</w:t>
            </w:r>
            <w:r w:rsidRPr="00436840">
              <w:rPr>
                <w:rFonts w:ascii="Arial Narrow" w:hAnsi="Arial Narrow"/>
                <w:bCs/>
                <w:sz w:val="20"/>
                <w:szCs w:val="20"/>
              </w:rPr>
              <w:t xml:space="preserve">ther malignant disease &lt;5 years; </w:t>
            </w:r>
            <w:r>
              <w:rPr>
                <w:rFonts w:ascii="Arial Narrow" w:hAnsi="Arial Narrow"/>
                <w:bCs/>
                <w:sz w:val="20"/>
                <w:szCs w:val="20"/>
              </w:rPr>
              <w:t>t</w:t>
            </w:r>
            <w:r w:rsidRPr="00436840">
              <w:rPr>
                <w:rFonts w:ascii="Arial Narrow" w:hAnsi="Arial Narrow"/>
                <w:bCs/>
                <w:sz w:val="20"/>
                <w:szCs w:val="20"/>
              </w:rPr>
              <w:t xml:space="preserve">uberculosis &lt;2 years; life expectancy &lt;10 years; </w:t>
            </w:r>
            <w:r>
              <w:rPr>
                <w:rFonts w:ascii="Arial Narrow" w:hAnsi="Arial Narrow"/>
                <w:bCs/>
                <w:sz w:val="20"/>
                <w:szCs w:val="20"/>
              </w:rPr>
              <w:t>c</w:t>
            </w:r>
            <w:r w:rsidRPr="00436840">
              <w:rPr>
                <w:rFonts w:ascii="Arial Narrow" w:hAnsi="Arial Narrow"/>
                <w:bCs/>
                <w:sz w:val="20"/>
                <w:szCs w:val="20"/>
              </w:rPr>
              <w:t>hest CT screening &lt;12 months</w:t>
            </w:r>
          </w:p>
        </w:tc>
        <w:tc>
          <w:tcPr>
            <w:tcW w:w="287" w:type="pct"/>
          </w:tcPr>
          <w:p w14:paraId="086958EB"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Denmark</w:t>
            </w:r>
          </w:p>
        </w:tc>
        <w:tc>
          <w:tcPr>
            <w:tcW w:w="248" w:type="pct"/>
          </w:tcPr>
          <w:p w14:paraId="4C84E0E6"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Completed</w:t>
            </w:r>
          </w:p>
        </w:tc>
        <w:tc>
          <w:tcPr>
            <w:tcW w:w="398" w:type="pct"/>
          </w:tcPr>
          <w:p w14:paraId="20B4B3DE" w14:textId="77777777" w:rsidR="00C13293" w:rsidRPr="00436840" w:rsidRDefault="00C13293" w:rsidP="00C13293">
            <w:pPr>
              <w:spacing w:before="0"/>
              <w:jc w:val="center"/>
              <w:rPr>
                <w:rFonts w:ascii="Arial Narrow" w:hAnsi="Arial Narrow"/>
                <w:bCs/>
                <w:sz w:val="20"/>
                <w:szCs w:val="20"/>
              </w:rPr>
            </w:pPr>
            <w:r w:rsidRPr="00436840">
              <w:rPr>
                <w:rFonts w:ascii="Arial Narrow" w:hAnsi="Arial Narrow"/>
                <w:bCs/>
                <w:sz w:val="20"/>
                <w:szCs w:val="20"/>
              </w:rPr>
              <w:t>10</w:t>
            </w:r>
          </w:p>
        </w:tc>
        <w:tc>
          <w:tcPr>
            <w:tcW w:w="385" w:type="pct"/>
          </w:tcPr>
          <w:p w14:paraId="4F651D18" w14:textId="36B705B9" w:rsidR="00C13293" w:rsidRPr="00436840" w:rsidRDefault="00C13293" w:rsidP="00C13293">
            <w:pPr>
              <w:spacing w:before="0"/>
              <w:rPr>
                <w:rFonts w:ascii="Arial Narrow" w:hAnsi="Arial Narrow"/>
                <w:bCs/>
                <w:sz w:val="20"/>
                <w:szCs w:val="20"/>
              </w:rPr>
            </w:pPr>
            <w:r>
              <w:rPr>
                <w:rFonts w:ascii="Arial Narrow" w:hAnsi="Arial Narrow"/>
                <w:bCs/>
                <w:sz w:val="20"/>
                <w:szCs w:val="20"/>
              </w:rPr>
              <w:t>Gender</w:t>
            </w:r>
          </w:p>
        </w:tc>
      </w:tr>
      <w:tr w:rsidR="00C13293" w:rsidRPr="00436840" w14:paraId="42955433" w14:textId="77777777" w:rsidTr="00C13293">
        <w:tc>
          <w:tcPr>
            <w:tcW w:w="246" w:type="pct"/>
          </w:tcPr>
          <w:p w14:paraId="69C41A6C"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ITALUNG</w:t>
            </w:r>
          </w:p>
          <w:p w14:paraId="0360F145" w14:textId="100D5009" w:rsidR="00C13293" w:rsidRPr="00436840" w:rsidRDefault="00C13293" w:rsidP="00C13293">
            <w:pPr>
              <w:spacing w:before="0"/>
              <w:rPr>
                <w:rFonts w:ascii="Arial Narrow" w:hAnsi="Arial Narrow"/>
                <w:sz w:val="20"/>
                <w:szCs w:val="20"/>
                <w:vertAlign w:val="superscript"/>
              </w:rPr>
            </w:pPr>
            <w:r w:rsidRPr="00436840">
              <w:rPr>
                <w:rStyle w:val="FootnoteReference"/>
                <w:rFonts w:ascii="Arial Narrow" w:hAnsi="Arial Narrow"/>
                <w:sz w:val="20"/>
                <w:szCs w:val="20"/>
              </w:rPr>
              <w:footnoteReference w:id="33"/>
            </w:r>
          </w:p>
          <w:p w14:paraId="63C1DB4A"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2004</w:t>
            </w:r>
          </w:p>
        </w:tc>
        <w:tc>
          <w:tcPr>
            <w:tcW w:w="406" w:type="pct"/>
          </w:tcPr>
          <w:p w14:paraId="25400040"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3206</w:t>
            </w:r>
          </w:p>
          <w:p w14:paraId="324C5B5A" w14:textId="6379FF6F" w:rsidR="00C13293" w:rsidRDefault="00C13293" w:rsidP="00C13293">
            <w:pPr>
              <w:spacing w:before="0"/>
              <w:jc w:val="center"/>
              <w:rPr>
                <w:rFonts w:ascii="Arial Narrow" w:hAnsi="Arial Narrow"/>
                <w:sz w:val="20"/>
                <w:szCs w:val="20"/>
              </w:rPr>
            </w:pPr>
            <w:r>
              <w:rPr>
                <w:rFonts w:ascii="Arial Narrow" w:hAnsi="Arial Narrow"/>
                <w:sz w:val="20"/>
                <w:szCs w:val="20"/>
              </w:rPr>
              <w:t>(2074 males,</w:t>
            </w:r>
          </w:p>
          <w:p w14:paraId="1F069A19" w14:textId="36594F6E" w:rsidR="00C13293" w:rsidRPr="00436840" w:rsidRDefault="00C13293" w:rsidP="00C13293">
            <w:pPr>
              <w:spacing w:before="0"/>
              <w:jc w:val="center"/>
              <w:rPr>
                <w:rFonts w:ascii="Arial Narrow" w:hAnsi="Arial Narrow"/>
                <w:sz w:val="20"/>
                <w:szCs w:val="20"/>
              </w:rPr>
            </w:pPr>
            <w:r>
              <w:rPr>
                <w:rFonts w:ascii="Arial Narrow" w:hAnsi="Arial Narrow"/>
                <w:sz w:val="20"/>
                <w:szCs w:val="20"/>
              </w:rPr>
              <w:t xml:space="preserve">1132 females) </w:t>
            </w:r>
          </w:p>
        </w:tc>
        <w:tc>
          <w:tcPr>
            <w:tcW w:w="676" w:type="pct"/>
          </w:tcPr>
          <w:p w14:paraId="4D35CE4F"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5B52805B" w14:textId="24387827" w:rsidR="00C13293" w:rsidRPr="00436840" w:rsidRDefault="00C13293" w:rsidP="00C13293">
            <w:pPr>
              <w:spacing w:before="0"/>
              <w:rPr>
                <w:rFonts w:ascii="Arial Narrow" w:hAnsi="Arial Narrow"/>
                <w:sz w:val="20"/>
                <w:szCs w:val="20"/>
              </w:rPr>
            </w:pPr>
            <w:r>
              <w:rPr>
                <w:rFonts w:ascii="Arial Narrow" w:hAnsi="Arial Narrow"/>
                <w:sz w:val="20"/>
                <w:szCs w:val="20"/>
              </w:rPr>
              <w:t>(annual</w:t>
            </w:r>
            <w:r w:rsidRPr="005F6CD8">
              <w:rPr>
                <w:rFonts w:ascii="Arial Narrow" w:hAnsi="Arial Narrow"/>
                <w:sz w:val="20"/>
                <w:szCs w:val="20"/>
              </w:rPr>
              <w:t xml:space="preserve"> invitation to LDCT sc</w:t>
            </w:r>
            <w:r>
              <w:rPr>
                <w:rFonts w:ascii="Arial Narrow" w:hAnsi="Arial Narrow"/>
                <w:sz w:val="20"/>
                <w:szCs w:val="20"/>
              </w:rPr>
              <w:t>ans</w:t>
            </w:r>
            <w:r w:rsidRPr="005F6CD8">
              <w:rPr>
                <w:rFonts w:ascii="Arial Narrow" w:hAnsi="Arial Narrow"/>
                <w:sz w:val="20"/>
                <w:szCs w:val="20"/>
              </w:rPr>
              <w:t xml:space="preserve"> for </w:t>
            </w:r>
            <w:r>
              <w:rPr>
                <w:rFonts w:ascii="Arial Narrow" w:hAnsi="Arial Narrow"/>
                <w:sz w:val="20"/>
                <w:szCs w:val="20"/>
              </w:rPr>
              <w:t xml:space="preserve">four </w:t>
            </w:r>
            <w:r w:rsidRPr="005F6CD8">
              <w:rPr>
                <w:rFonts w:ascii="Arial Narrow" w:hAnsi="Arial Narrow"/>
                <w:sz w:val="20"/>
                <w:szCs w:val="20"/>
              </w:rPr>
              <w:t>years</w:t>
            </w:r>
            <w:r>
              <w:rPr>
                <w:rFonts w:ascii="Arial Narrow" w:hAnsi="Arial Narrow"/>
                <w:sz w:val="20"/>
                <w:szCs w:val="20"/>
              </w:rPr>
              <w:t>)</w:t>
            </w:r>
          </w:p>
        </w:tc>
        <w:tc>
          <w:tcPr>
            <w:tcW w:w="270" w:type="pct"/>
          </w:tcPr>
          <w:p w14:paraId="071303A5"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55-69</w:t>
            </w:r>
          </w:p>
        </w:tc>
        <w:tc>
          <w:tcPr>
            <w:tcW w:w="439" w:type="pct"/>
          </w:tcPr>
          <w:p w14:paraId="7F7F8995" w14:textId="71E684B7" w:rsidR="00C13293" w:rsidRPr="00436840" w:rsidRDefault="00C13293" w:rsidP="00C13293">
            <w:pPr>
              <w:spacing w:before="0"/>
              <w:rPr>
                <w:rFonts w:ascii="Arial Narrow" w:hAnsi="Arial Narrow"/>
                <w:bCs/>
                <w:sz w:val="20"/>
                <w:szCs w:val="20"/>
              </w:rPr>
            </w:pPr>
            <w:r w:rsidRPr="00436840">
              <w:rPr>
                <w:rFonts w:ascii="Arial Narrow" w:hAnsi="Arial Narrow"/>
                <w:sz w:val="20"/>
                <w:szCs w:val="20"/>
              </w:rPr>
              <w:sym w:font="Symbol" w:char="F0B3"/>
            </w:r>
            <w:r w:rsidRPr="00436840">
              <w:rPr>
                <w:rFonts w:ascii="Arial Narrow" w:hAnsi="Arial Narrow"/>
                <w:sz w:val="20"/>
                <w:szCs w:val="20"/>
              </w:rPr>
              <w:t>20 pack</w:t>
            </w:r>
            <w:r w:rsidR="00C8275E">
              <w:rPr>
                <w:rFonts w:ascii="Arial Narrow" w:hAnsi="Arial Narrow"/>
                <w:sz w:val="20"/>
                <w:szCs w:val="20"/>
              </w:rPr>
              <w:t>-</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rs</w:t>
            </w:r>
          </w:p>
        </w:tc>
        <w:tc>
          <w:tcPr>
            <w:tcW w:w="369" w:type="pct"/>
          </w:tcPr>
          <w:p w14:paraId="5ACE259E"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≤8</w:t>
            </w:r>
          </w:p>
        </w:tc>
        <w:tc>
          <w:tcPr>
            <w:tcW w:w="1276" w:type="pct"/>
          </w:tcPr>
          <w:p w14:paraId="7EE3E78C" w14:textId="4F313B73" w:rsidR="00C13293" w:rsidRPr="00436840" w:rsidRDefault="00C13293" w:rsidP="00C13293">
            <w:pPr>
              <w:spacing w:before="0"/>
              <w:rPr>
                <w:rFonts w:ascii="Arial Narrow" w:hAnsi="Arial Narrow" w:cs="Calibri"/>
                <w:b/>
                <w:bCs/>
                <w:sz w:val="20"/>
                <w:szCs w:val="20"/>
              </w:rPr>
            </w:pPr>
            <w:r w:rsidRPr="00436840">
              <w:rPr>
                <w:rFonts w:ascii="Arial Narrow" w:hAnsi="Arial Narrow"/>
                <w:b/>
                <w:bCs/>
                <w:sz w:val="20"/>
                <w:szCs w:val="20"/>
              </w:rPr>
              <w:t xml:space="preserve">Exclusion: </w:t>
            </w:r>
            <w:r w:rsidRPr="00436840">
              <w:rPr>
                <w:rFonts w:ascii="Arial Narrow" w:hAnsi="Arial Narrow"/>
                <w:sz w:val="20"/>
                <w:szCs w:val="20"/>
              </w:rPr>
              <w:t>History of previous cancer other than non-melanoma skin cancer</w:t>
            </w:r>
          </w:p>
        </w:tc>
        <w:tc>
          <w:tcPr>
            <w:tcW w:w="287" w:type="pct"/>
          </w:tcPr>
          <w:p w14:paraId="0836ED69"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Italy</w:t>
            </w:r>
          </w:p>
        </w:tc>
        <w:tc>
          <w:tcPr>
            <w:tcW w:w="248" w:type="pct"/>
          </w:tcPr>
          <w:p w14:paraId="3E3E78E3" w14:textId="732B35A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Completed</w:t>
            </w:r>
          </w:p>
        </w:tc>
        <w:tc>
          <w:tcPr>
            <w:tcW w:w="398" w:type="pct"/>
          </w:tcPr>
          <w:p w14:paraId="7DB06897"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9</w:t>
            </w:r>
          </w:p>
        </w:tc>
        <w:tc>
          <w:tcPr>
            <w:tcW w:w="385" w:type="pct"/>
          </w:tcPr>
          <w:p w14:paraId="73A957AC" w14:textId="6F4F5AFC" w:rsidR="00C13293" w:rsidRPr="00436840" w:rsidRDefault="00C13293" w:rsidP="00C13293">
            <w:pPr>
              <w:spacing w:before="0"/>
              <w:rPr>
                <w:rFonts w:ascii="Arial Narrow" w:hAnsi="Arial Narrow"/>
                <w:sz w:val="20"/>
                <w:szCs w:val="20"/>
              </w:rPr>
            </w:pPr>
            <w:r>
              <w:rPr>
                <w:rFonts w:ascii="Arial Narrow" w:hAnsi="Arial Narrow"/>
                <w:bCs/>
                <w:sz w:val="20"/>
                <w:szCs w:val="20"/>
              </w:rPr>
              <w:t>No i</w:t>
            </w:r>
            <w:r>
              <w:rPr>
                <w:rFonts w:ascii="Arial Narrow" w:hAnsi="Arial Narrow"/>
                <w:sz w:val="20"/>
                <w:szCs w:val="20"/>
              </w:rPr>
              <w:t>ntention-to-treat</w:t>
            </w:r>
            <w:r>
              <w:rPr>
                <w:rFonts w:ascii="Arial Narrow" w:hAnsi="Arial Narrow"/>
                <w:bCs/>
                <w:sz w:val="20"/>
                <w:szCs w:val="20"/>
              </w:rPr>
              <w:t xml:space="preserve"> or population analysis</w:t>
            </w:r>
          </w:p>
        </w:tc>
      </w:tr>
      <w:tr w:rsidR="00C13293" w:rsidRPr="00436840" w14:paraId="0B6015E0" w14:textId="77777777" w:rsidTr="00C13293">
        <w:tc>
          <w:tcPr>
            <w:tcW w:w="246" w:type="pct"/>
          </w:tcPr>
          <w:p w14:paraId="75CC05F6" w14:textId="103B9C54" w:rsidR="00C13293" w:rsidRPr="00436840" w:rsidRDefault="00C13293" w:rsidP="00C13293">
            <w:pPr>
              <w:spacing w:before="0"/>
              <w:rPr>
                <w:rFonts w:ascii="Arial Narrow" w:hAnsi="Arial Narrow"/>
                <w:sz w:val="20"/>
                <w:szCs w:val="20"/>
                <w:vertAlign w:val="superscript"/>
              </w:rPr>
            </w:pPr>
            <w:r w:rsidRPr="00436840">
              <w:rPr>
                <w:rFonts w:ascii="Arial Narrow" w:hAnsi="Arial Narrow"/>
                <w:sz w:val="20"/>
                <w:szCs w:val="20"/>
              </w:rPr>
              <w:t>LUSI</w:t>
            </w:r>
            <w:r w:rsidRPr="00436840">
              <w:rPr>
                <w:rStyle w:val="FootnoteReference"/>
                <w:rFonts w:ascii="Arial Narrow" w:hAnsi="Arial Narrow"/>
                <w:sz w:val="20"/>
                <w:szCs w:val="20"/>
              </w:rPr>
              <w:footnoteReference w:id="34"/>
            </w:r>
          </w:p>
          <w:p w14:paraId="3817A995"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2007</w:t>
            </w:r>
          </w:p>
        </w:tc>
        <w:tc>
          <w:tcPr>
            <w:tcW w:w="406" w:type="pct"/>
          </w:tcPr>
          <w:p w14:paraId="5D6910AF"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4052</w:t>
            </w:r>
          </w:p>
          <w:p w14:paraId="5D0E64B1" w14:textId="5A49326B" w:rsidR="00C13293" w:rsidRDefault="00C13293" w:rsidP="00C13293">
            <w:pPr>
              <w:spacing w:before="0"/>
              <w:jc w:val="center"/>
              <w:rPr>
                <w:rFonts w:ascii="Arial Narrow" w:hAnsi="Arial Narrow"/>
                <w:sz w:val="20"/>
                <w:szCs w:val="20"/>
              </w:rPr>
            </w:pPr>
            <w:r>
              <w:rPr>
                <w:rFonts w:ascii="Arial Narrow" w:hAnsi="Arial Narrow"/>
                <w:sz w:val="20"/>
                <w:szCs w:val="20"/>
              </w:rPr>
              <w:t>(2622 males,</w:t>
            </w:r>
          </w:p>
          <w:p w14:paraId="7ED180E8" w14:textId="45201EB1" w:rsidR="00C13293" w:rsidRPr="00436840" w:rsidRDefault="00C13293" w:rsidP="00C13293">
            <w:pPr>
              <w:spacing w:before="0"/>
              <w:jc w:val="center"/>
              <w:rPr>
                <w:rFonts w:ascii="Arial Narrow" w:hAnsi="Arial Narrow"/>
                <w:sz w:val="20"/>
                <w:szCs w:val="20"/>
              </w:rPr>
            </w:pPr>
            <w:r>
              <w:rPr>
                <w:rFonts w:ascii="Arial Narrow" w:hAnsi="Arial Narrow"/>
                <w:sz w:val="20"/>
                <w:szCs w:val="20"/>
              </w:rPr>
              <w:t>1430 females)</w:t>
            </w:r>
          </w:p>
        </w:tc>
        <w:tc>
          <w:tcPr>
            <w:tcW w:w="676" w:type="pct"/>
          </w:tcPr>
          <w:p w14:paraId="4ABFEF20"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464B44EF" w14:textId="320699BC" w:rsidR="00C13293" w:rsidRPr="00436840" w:rsidRDefault="00C13293" w:rsidP="00C13293">
            <w:pPr>
              <w:spacing w:before="0"/>
              <w:rPr>
                <w:rFonts w:ascii="Arial Narrow" w:hAnsi="Arial Narrow"/>
                <w:sz w:val="20"/>
                <w:szCs w:val="20"/>
              </w:rPr>
            </w:pPr>
            <w:r>
              <w:rPr>
                <w:rFonts w:ascii="Arial Narrow" w:hAnsi="Arial Narrow"/>
                <w:sz w:val="20"/>
                <w:szCs w:val="20"/>
              </w:rPr>
              <w:t>(</w:t>
            </w:r>
            <w:r w:rsidRPr="005F6CD8">
              <w:rPr>
                <w:rFonts w:ascii="Arial Narrow" w:hAnsi="Arial Narrow"/>
                <w:sz w:val="20"/>
                <w:szCs w:val="20"/>
              </w:rPr>
              <w:t xml:space="preserve">five annual </w:t>
            </w:r>
            <w:r>
              <w:rPr>
                <w:rFonts w:ascii="Arial Narrow" w:hAnsi="Arial Narrow"/>
                <w:sz w:val="20"/>
                <w:szCs w:val="20"/>
              </w:rPr>
              <w:t xml:space="preserve">LDCT </w:t>
            </w:r>
            <w:r w:rsidRPr="005F6CD8">
              <w:rPr>
                <w:rFonts w:ascii="Arial Narrow" w:hAnsi="Arial Narrow"/>
                <w:sz w:val="20"/>
                <w:szCs w:val="20"/>
              </w:rPr>
              <w:t>scans</w:t>
            </w:r>
            <w:r>
              <w:rPr>
                <w:rFonts w:ascii="Arial Narrow" w:hAnsi="Arial Narrow"/>
                <w:sz w:val="20"/>
                <w:szCs w:val="20"/>
              </w:rPr>
              <w:t>:</w:t>
            </w:r>
            <w:r w:rsidRPr="005F6CD8">
              <w:rPr>
                <w:rFonts w:ascii="Arial Narrow" w:hAnsi="Arial Narrow"/>
                <w:sz w:val="20"/>
                <w:szCs w:val="20"/>
              </w:rPr>
              <w:t xml:space="preserve"> one baseline</w:t>
            </w:r>
            <w:r>
              <w:rPr>
                <w:rFonts w:ascii="Arial Narrow" w:hAnsi="Arial Narrow"/>
                <w:sz w:val="20"/>
                <w:szCs w:val="20"/>
              </w:rPr>
              <w:t xml:space="preserve"> </w:t>
            </w:r>
            <w:r w:rsidRPr="005F6CD8">
              <w:rPr>
                <w:rFonts w:ascii="Arial Narrow" w:hAnsi="Arial Narrow"/>
                <w:sz w:val="20"/>
                <w:szCs w:val="20"/>
              </w:rPr>
              <w:t xml:space="preserve">and four incidence </w:t>
            </w:r>
            <w:r>
              <w:rPr>
                <w:rFonts w:ascii="Arial Narrow" w:hAnsi="Arial Narrow"/>
                <w:sz w:val="20"/>
                <w:szCs w:val="20"/>
              </w:rPr>
              <w:t>scans)</w:t>
            </w:r>
          </w:p>
        </w:tc>
        <w:tc>
          <w:tcPr>
            <w:tcW w:w="270" w:type="pct"/>
          </w:tcPr>
          <w:p w14:paraId="50A05A04"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50-69</w:t>
            </w:r>
          </w:p>
        </w:tc>
        <w:tc>
          <w:tcPr>
            <w:tcW w:w="439" w:type="pct"/>
          </w:tcPr>
          <w:p w14:paraId="32AA3973" w14:textId="33053A04" w:rsidR="00C13293" w:rsidRPr="00436840" w:rsidRDefault="00C13293" w:rsidP="00C13293">
            <w:pPr>
              <w:spacing w:before="0"/>
              <w:rPr>
                <w:rFonts w:ascii="Arial Narrow" w:hAnsi="Arial Narrow"/>
                <w:bCs/>
                <w:sz w:val="20"/>
                <w:szCs w:val="20"/>
              </w:rPr>
            </w:pPr>
            <w:r w:rsidRPr="00436840">
              <w:rPr>
                <w:rFonts w:ascii="Arial Narrow" w:hAnsi="Arial Narrow"/>
                <w:sz w:val="20"/>
                <w:szCs w:val="20"/>
              </w:rPr>
              <w:t>36 pack-years (</w:t>
            </w:r>
            <w:r w:rsidRPr="00436840">
              <w:rPr>
                <w:rFonts w:ascii="Arial Narrow" w:hAnsi="Arial Narrow"/>
                <w:sz w:val="20"/>
                <w:szCs w:val="20"/>
              </w:rPr>
              <w:sym w:font="Symbol" w:char="F0B3"/>
            </w:r>
            <w:r w:rsidRPr="00436840">
              <w:rPr>
                <w:rFonts w:ascii="Arial Narrow" w:hAnsi="Arial Narrow"/>
                <w:sz w:val="20"/>
                <w:szCs w:val="20"/>
              </w:rPr>
              <w:t xml:space="preserve">15 cigs/day for </w:t>
            </w:r>
            <w:r w:rsidRPr="00436840">
              <w:rPr>
                <w:rFonts w:ascii="Arial Narrow" w:hAnsi="Arial Narrow"/>
                <w:sz w:val="20"/>
                <w:szCs w:val="20"/>
              </w:rPr>
              <w:sym w:font="Symbol" w:char="F0B3"/>
            </w:r>
            <w:r w:rsidRPr="00436840">
              <w:rPr>
                <w:rFonts w:ascii="Arial Narrow" w:hAnsi="Arial Narrow"/>
                <w:sz w:val="20"/>
                <w:szCs w:val="20"/>
              </w:rPr>
              <w:t>25 y</w:t>
            </w:r>
            <w:r w:rsidR="00D64661">
              <w:rPr>
                <w:rFonts w:ascii="Arial Narrow" w:hAnsi="Arial Narrow"/>
                <w:sz w:val="20"/>
                <w:szCs w:val="20"/>
              </w:rPr>
              <w:t>ea</w:t>
            </w:r>
            <w:r w:rsidRPr="00436840">
              <w:rPr>
                <w:rFonts w:ascii="Arial Narrow" w:hAnsi="Arial Narrow"/>
                <w:sz w:val="20"/>
                <w:szCs w:val="20"/>
              </w:rPr>
              <w:t xml:space="preserve">rs or </w:t>
            </w:r>
            <w:r w:rsidRPr="00436840">
              <w:rPr>
                <w:rFonts w:ascii="Arial Narrow" w:hAnsi="Arial Narrow"/>
                <w:sz w:val="20"/>
                <w:szCs w:val="20"/>
              </w:rPr>
              <w:sym w:font="Symbol" w:char="F0B3"/>
            </w:r>
            <w:r w:rsidRPr="00436840">
              <w:rPr>
                <w:rFonts w:ascii="Arial Narrow" w:hAnsi="Arial Narrow"/>
                <w:sz w:val="20"/>
                <w:szCs w:val="20"/>
              </w:rPr>
              <w:t xml:space="preserve">10 cigs/day for </w:t>
            </w:r>
            <w:r w:rsidRPr="00436840">
              <w:rPr>
                <w:rFonts w:ascii="Arial Narrow" w:hAnsi="Arial Narrow"/>
                <w:sz w:val="20"/>
                <w:szCs w:val="20"/>
              </w:rPr>
              <w:sym w:font="Symbol" w:char="F0B3"/>
            </w:r>
            <w:r w:rsidRPr="00436840">
              <w:rPr>
                <w:rFonts w:ascii="Arial Narrow" w:hAnsi="Arial Narrow"/>
                <w:sz w:val="20"/>
                <w:szCs w:val="20"/>
              </w:rPr>
              <w:t>30 years)</w:t>
            </w:r>
          </w:p>
        </w:tc>
        <w:tc>
          <w:tcPr>
            <w:tcW w:w="369" w:type="pct"/>
          </w:tcPr>
          <w:p w14:paraId="476ABD21" w14:textId="77777777"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sz w:val="20"/>
                <w:szCs w:val="20"/>
              </w:rPr>
              <w:t>&lt;10</w:t>
            </w:r>
          </w:p>
        </w:tc>
        <w:tc>
          <w:tcPr>
            <w:tcW w:w="1276" w:type="pct"/>
          </w:tcPr>
          <w:p w14:paraId="64E67859" w14:textId="6A6E8A52" w:rsidR="00C13293" w:rsidRPr="00436840" w:rsidRDefault="00C13293" w:rsidP="00C13293">
            <w:pPr>
              <w:spacing w:before="0"/>
              <w:rPr>
                <w:rFonts w:ascii="Arial Narrow" w:hAnsi="Arial Narrow"/>
                <w:sz w:val="20"/>
                <w:szCs w:val="20"/>
              </w:rPr>
            </w:pPr>
            <w:r w:rsidRPr="00436840">
              <w:rPr>
                <w:rFonts w:ascii="Arial Narrow" w:hAnsi="Arial Narrow" w:cs="Calibri"/>
                <w:b/>
                <w:bCs/>
                <w:sz w:val="20"/>
                <w:szCs w:val="20"/>
              </w:rPr>
              <w:t xml:space="preserve">Exclusion: </w:t>
            </w:r>
            <w:r w:rsidRPr="00436840">
              <w:rPr>
                <w:rFonts w:ascii="Arial Narrow" w:hAnsi="Arial Narrow" w:cs="Calibri"/>
                <w:sz w:val="20"/>
                <w:szCs w:val="20"/>
              </w:rPr>
              <w:t xml:space="preserve">History of lung cancer or other malignancy (except basal cell carcinoma); </w:t>
            </w:r>
            <w:r>
              <w:rPr>
                <w:rFonts w:ascii="Arial Narrow" w:hAnsi="Arial Narrow" w:cs="Calibri"/>
                <w:sz w:val="20"/>
                <w:szCs w:val="20"/>
              </w:rPr>
              <w:t>h</w:t>
            </w:r>
            <w:r w:rsidRPr="00436840">
              <w:rPr>
                <w:rFonts w:ascii="Arial Narrow" w:hAnsi="Arial Narrow" w:cs="Calibri"/>
                <w:sz w:val="20"/>
                <w:szCs w:val="20"/>
              </w:rPr>
              <w:t xml:space="preserve">istory of a disease that would preclude surgical and medical treatment of lung cancer; </w:t>
            </w:r>
            <w:r>
              <w:rPr>
                <w:rFonts w:ascii="Arial Narrow" w:hAnsi="Arial Narrow" w:cs="Calibri"/>
                <w:sz w:val="20"/>
                <w:szCs w:val="20"/>
              </w:rPr>
              <w:t>o</w:t>
            </w:r>
            <w:r w:rsidRPr="00436840">
              <w:rPr>
                <w:rFonts w:ascii="Arial Narrow" w:hAnsi="Arial Narrow" w:cs="Calibri"/>
                <w:sz w:val="20"/>
                <w:szCs w:val="20"/>
              </w:rPr>
              <w:t>ther serious illnesses</w:t>
            </w:r>
          </w:p>
        </w:tc>
        <w:tc>
          <w:tcPr>
            <w:tcW w:w="287" w:type="pct"/>
          </w:tcPr>
          <w:p w14:paraId="78A3D49B"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Germany</w:t>
            </w:r>
          </w:p>
        </w:tc>
        <w:tc>
          <w:tcPr>
            <w:tcW w:w="248" w:type="pct"/>
          </w:tcPr>
          <w:p w14:paraId="40203C30"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Completed</w:t>
            </w:r>
          </w:p>
        </w:tc>
        <w:tc>
          <w:tcPr>
            <w:tcW w:w="398" w:type="pct"/>
          </w:tcPr>
          <w:p w14:paraId="2FB1DD46"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8.89</w:t>
            </w:r>
          </w:p>
        </w:tc>
        <w:tc>
          <w:tcPr>
            <w:tcW w:w="385" w:type="pct"/>
          </w:tcPr>
          <w:p w14:paraId="5582861E" w14:textId="596D7652"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Gender</w:t>
            </w:r>
          </w:p>
        </w:tc>
      </w:tr>
      <w:tr w:rsidR="00C13293" w:rsidRPr="00436840" w14:paraId="1564F843" w14:textId="77777777" w:rsidTr="00C13293">
        <w:tc>
          <w:tcPr>
            <w:tcW w:w="246" w:type="pct"/>
          </w:tcPr>
          <w:p w14:paraId="0033F836" w14:textId="47EACBB2" w:rsidR="00C13293" w:rsidRPr="00436840" w:rsidRDefault="00C13293" w:rsidP="00C13293">
            <w:pPr>
              <w:spacing w:before="0"/>
              <w:rPr>
                <w:rFonts w:ascii="Arial Narrow" w:eastAsia="Calibri" w:hAnsi="Arial Narrow" w:cs="Calibri"/>
                <w:color w:val="000000" w:themeColor="text1"/>
                <w:sz w:val="20"/>
                <w:szCs w:val="20"/>
                <w:vertAlign w:val="superscript"/>
              </w:rPr>
            </w:pPr>
            <w:r w:rsidRPr="00436840">
              <w:rPr>
                <w:rFonts w:ascii="Arial Narrow" w:eastAsia="Calibri" w:hAnsi="Arial Narrow" w:cs="Calibri"/>
                <w:color w:val="000000" w:themeColor="text1"/>
                <w:sz w:val="20"/>
                <w:szCs w:val="20"/>
              </w:rPr>
              <w:t>MILD</w:t>
            </w:r>
            <w:r w:rsidRPr="00436840">
              <w:rPr>
                <w:rStyle w:val="FootnoteReference"/>
                <w:rFonts w:ascii="Arial Narrow" w:eastAsia="Calibri" w:hAnsi="Arial Narrow" w:cs="Calibri"/>
                <w:color w:val="000000" w:themeColor="text1"/>
                <w:sz w:val="20"/>
                <w:szCs w:val="20"/>
              </w:rPr>
              <w:footnoteReference w:id="35"/>
            </w:r>
          </w:p>
          <w:p w14:paraId="184F4E41" w14:textId="77777777" w:rsidR="00C13293" w:rsidRPr="00436840" w:rsidRDefault="00C13293" w:rsidP="00C13293">
            <w:pPr>
              <w:spacing w:before="0"/>
              <w:rPr>
                <w:rFonts w:ascii="Arial Narrow" w:hAnsi="Arial Narrow"/>
                <w:sz w:val="20"/>
                <w:szCs w:val="20"/>
              </w:rPr>
            </w:pPr>
            <w:r w:rsidRPr="00436840">
              <w:rPr>
                <w:rFonts w:ascii="Arial Narrow" w:eastAsia="Calibri" w:hAnsi="Arial Narrow" w:cs="Calibri"/>
                <w:color w:val="000000" w:themeColor="text1"/>
                <w:sz w:val="20"/>
                <w:szCs w:val="20"/>
              </w:rPr>
              <w:t>2005</w:t>
            </w:r>
          </w:p>
        </w:tc>
        <w:tc>
          <w:tcPr>
            <w:tcW w:w="406" w:type="pct"/>
          </w:tcPr>
          <w:p w14:paraId="497214E4"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4099</w:t>
            </w:r>
          </w:p>
          <w:p w14:paraId="32F67770" w14:textId="7C4654BF" w:rsidR="00C13293" w:rsidRDefault="00C13293" w:rsidP="00C13293">
            <w:pPr>
              <w:spacing w:before="0"/>
              <w:jc w:val="center"/>
              <w:rPr>
                <w:rFonts w:ascii="Arial Narrow" w:hAnsi="Arial Narrow"/>
                <w:sz w:val="20"/>
                <w:szCs w:val="20"/>
              </w:rPr>
            </w:pPr>
            <w:r>
              <w:rPr>
                <w:rFonts w:ascii="Arial Narrow" w:hAnsi="Arial Narrow"/>
                <w:sz w:val="20"/>
                <w:szCs w:val="20"/>
              </w:rPr>
              <w:t>(2716 males,</w:t>
            </w:r>
          </w:p>
          <w:p w14:paraId="3579D8EC" w14:textId="312E2B88" w:rsidR="00C13293" w:rsidRPr="00436840" w:rsidRDefault="00C13293" w:rsidP="00C13293">
            <w:pPr>
              <w:spacing w:before="0"/>
              <w:jc w:val="center"/>
              <w:rPr>
                <w:rFonts w:ascii="Arial Narrow" w:hAnsi="Arial Narrow"/>
                <w:sz w:val="20"/>
                <w:szCs w:val="20"/>
              </w:rPr>
            </w:pPr>
            <w:r>
              <w:rPr>
                <w:rFonts w:ascii="Arial Narrow" w:hAnsi="Arial Narrow"/>
                <w:sz w:val="20"/>
                <w:szCs w:val="20"/>
              </w:rPr>
              <w:t>1383 females)</w:t>
            </w:r>
          </w:p>
        </w:tc>
        <w:tc>
          <w:tcPr>
            <w:tcW w:w="676" w:type="pct"/>
          </w:tcPr>
          <w:p w14:paraId="5FB0A637"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1E83B040" w14:textId="27910B33" w:rsidR="00C13293" w:rsidRPr="00436840" w:rsidRDefault="00C13293" w:rsidP="00C13293">
            <w:pPr>
              <w:spacing w:before="0"/>
              <w:rPr>
                <w:rFonts w:ascii="Arial Narrow" w:hAnsi="Arial Narrow"/>
                <w:sz w:val="20"/>
                <w:szCs w:val="20"/>
              </w:rPr>
            </w:pPr>
            <w:r>
              <w:rPr>
                <w:rFonts w:ascii="Arial Narrow" w:hAnsi="Arial Narrow"/>
                <w:sz w:val="20"/>
                <w:szCs w:val="20"/>
              </w:rPr>
              <w:t>(LDCT scans further randomised to annual or biennial for four scans)</w:t>
            </w:r>
          </w:p>
        </w:tc>
        <w:tc>
          <w:tcPr>
            <w:tcW w:w="270" w:type="pct"/>
          </w:tcPr>
          <w:p w14:paraId="3D0D4AE9"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49-75</w:t>
            </w:r>
          </w:p>
        </w:tc>
        <w:tc>
          <w:tcPr>
            <w:tcW w:w="439" w:type="pct"/>
          </w:tcPr>
          <w:p w14:paraId="41FFA74F" w14:textId="2687C461" w:rsidR="00C13293" w:rsidRPr="00436840" w:rsidRDefault="00C13293" w:rsidP="00C13293">
            <w:pPr>
              <w:spacing w:before="0"/>
              <w:rPr>
                <w:rFonts w:ascii="Arial Narrow" w:hAnsi="Arial Narrow"/>
                <w:bCs/>
                <w:sz w:val="20"/>
                <w:szCs w:val="20"/>
              </w:rPr>
            </w:pPr>
            <w:r w:rsidRPr="00436840">
              <w:rPr>
                <w:rFonts w:ascii="Arial Narrow" w:hAnsi="Arial Narrow"/>
                <w:sz w:val="20"/>
                <w:szCs w:val="20"/>
              </w:rPr>
              <w:sym w:font="Symbol" w:char="F0B3"/>
            </w:r>
            <w:r w:rsidRPr="00436840">
              <w:rPr>
                <w:rFonts w:ascii="Arial Narrow" w:hAnsi="Arial Narrow"/>
                <w:sz w:val="20"/>
                <w:szCs w:val="20"/>
              </w:rPr>
              <w:t>20 pack</w:t>
            </w:r>
            <w:r w:rsidR="00E121CF">
              <w:rPr>
                <w:rFonts w:ascii="Arial Narrow" w:hAnsi="Arial Narrow"/>
                <w:sz w:val="20"/>
                <w:szCs w:val="20"/>
              </w:rPr>
              <w:t>-</w:t>
            </w:r>
            <w:r w:rsidRPr="00436840">
              <w:rPr>
                <w:rFonts w:ascii="Arial Narrow" w:hAnsi="Arial Narrow"/>
                <w:sz w:val="20"/>
                <w:szCs w:val="20"/>
              </w:rPr>
              <w:t>y</w:t>
            </w:r>
            <w:r>
              <w:rPr>
                <w:rFonts w:ascii="Arial Narrow" w:hAnsi="Arial Narrow"/>
                <w:sz w:val="20"/>
                <w:szCs w:val="20"/>
              </w:rPr>
              <w:t>ea</w:t>
            </w:r>
            <w:r w:rsidRPr="00436840">
              <w:rPr>
                <w:rFonts w:ascii="Arial Narrow" w:hAnsi="Arial Narrow"/>
                <w:sz w:val="20"/>
                <w:szCs w:val="20"/>
              </w:rPr>
              <w:t>rs</w:t>
            </w:r>
          </w:p>
        </w:tc>
        <w:tc>
          <w:tcPr>
            <w:tcW w:w="369" w:type="pct"/>
          </w:tcPr>
          <w:p w14:paraId="07C2534D" w14:textId="77777777"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sz w:val="20"/>
                <w:szCs w:val="20"/>
              </w:rPr>
              <w:t>&lt;10</w:t>
            </w:r>
          </w:p>
        </w:tc>
        <w:tc>
          <w:tcPr>
            <w:tcW w:w="1276" w:type="pct"/>
          </w:tcPr>
          <w:p w14:paraId="06B7CE42" w14:textId="2EC27CAD" w:rsidR="00C13293" w:rsidRPr="00436840" w:rsidRDefault="00C13293" w:rsidP="00C13293">
            <w:pPr>
              <w:spacing w:before="0"/>
              <w:rPr>
                <w:rFonts w:ascii="Arial Narrow" w:hAnsi="Arial Narrow"/>
                <w:sz w:val="20"/>
                <w:szCs w:val="20"/>
              </w:rPr>
            </w:pPr>
            <w:r w:rsidRPr="00436840">
              <w:rPr>
                <w:rFonts w:ascii="Arial Narrow" w:hAnsi="Arial Narrow" w:cs="Calibri"/>
                <w:b/>
                <w:bCs/>
                <w:sz w:val="20"/>
                <w:szCs w:val="20"/>
              </w:rPr>
              <w:t>Exclusion:</w:t>
            </w:r>
            <w:r w:rsidRPr="00436840">
              <w:rPr>
                <w:rFonts w:ascii="Arial Narrow" w:hAnsi="Arial Narrow" w:cs="Calibri"/>
                <w:sz w:val="20"/>
                <w:szCs w:val="20"/>
              </w:rPr>
              <w:t xml:space="preserve"> History of malignant disease</w:t>
            </w:r>
          </w:p>
        </w:tc>
        <w:tc>
          <w:tcPr>
            <w:tcW w:w="287" w:type="pct"/>
          </w:tcPr>
          <w:p w14:paraId="54705EFD"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Italy</w:t>
            </w:r>
          </w:p>
        </w:tc>
        <w:tc>
          <w:tcPr>
            <w:tcW w:w="248" w:type="pct"/>
          </w:tcPr>
          <w:p w14:paraId="75F905C5" w14:textId="0FDE3DB8"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Completed</w:t>
            </w:r>
          </w:p>
        </w:tc>
        <w:tc>
          <w:tcPr>
            <w:tcW w:w="398" w:type="pct"/>
          </w:tcPr>
          <w:p w14:paraId="6D5F4C0D"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10</w:t>
            </w:r>
          </w:p>
        </w:tc>
        <w:tc>
          <w:tcPr>
            <w:tcW w:w="385" w:type="pct"/>
          </w:tcPr>
          <w:p w14:paraId="7BF587BB" w14:textId="6B562DE0" w:rsidR="00C13293" w:rsidRPr="00436840" w:rsidRDefault="00C13293" w:rsidP="00C13293">
            <w:pPr>
              <w:spacing w:before="0"/>
              <w:rPr>
                <w:rFonts w:ascii="Arial Narrow" w:hAnsi="Arial Narrow"/>
                <w:sz w:val="20"/>
                <w:szCs w:val="20"/>
              </w:rPr>
            </w:pPr>
            <w:r>
              <w:rPr>
                <w:rFonts w:ascii="Arial Narrow" w:hAnsi="Arial Narrow"/>
                <w:bCs/>
                <w:sz w:val="20"/>
                <w:szCs w:val="20"/>
              </w:rPr>
              <w:t>No i</w:t>
            </w:r>
            <w:r>
              <w:rPr>
                <w:rFonts w:ascii="Arial Narrow" w:hAnsi="Arial Narrow"/>
                <w:sz w:val="20"/>
                <w:szCs w:val="20"/>
              </w:rPr>
              <w:t>ntention-to-treat</w:t>
            </w:r>
            <w:r>
              <w:rPr>
                <w:rFonts w:ascii="Arial Narrow" w:hAnsi="Arial Narrow"/>
                <w:bCs/>
                <w:sz w:val="20"/>
                <w:szCs w:val="20"/>
              </w:rPr>
              <w:t xml:space="preserve"> or population analysis</w:t>
            </w:r>
          </w:p>
        </w:tc>
      </w:tr>
      <w:tr w:rsidR="00C13293" w:rsidRPr="00436840" w14:paraId="32650DE8" w14:textId="77777777" w:rsidTr="00C13293">
        <w:tc>
          <w:tcPr>
            <w:tcW w:w="246" w:type="pct"/>
          </w:tcPr>
          <w:p w14:paraId="6790B693" w14:textId="77777777" w:rsidR="00C13293" w:rsidRDefault="00C13293" w:rsidP="00C13293">
            <w:pPr>
              <w:spacing w:before="0"/>
              <w:rPr>
                <w:rFonts w:ascii="Arial Narrow" w:hAnsi="Arial Narrow"/>
                <w:bCs/>
                <w:sz w:val="20"/>
                <w:szCs w:val="20"/>
              </w:rPr>
            </w:pPr>
            <w:r w:rsidRPr="00436840">
              <w:rPr>
                <w:rFonts w:ascii="Arial Narrow" w:hAnsi="Arial Narrow"/>
                <w:bCs/>
                <w:sz w:val="20"/>
                <w:szCs w:val="20"/>
              </w:rPr>
              <w:t>NELSON</w:t>
            </w:r>
          </w:p>
          <w:p w14:paraId="5D94E865" w14:textId="1EEB2E16" w:rsidR="00C13293" w:rsidRPr="00436840" w:rsidRDefault="00416BAC" w:rsidP="00C13293">
            <w:pPr>
              <w:spacing w:before="0"/>
              <w:rPr>
                <w:rFonts w:ascii="Arial Narrow" w:hAnsi="Arial Narrow"/>
                <w:bCs/>
                <w:sz w:val="20"/>
                <w:szCs w:val="20"/>
                <w:vertAlign w:val="superscript"/>
              </w:rPr>
            </w:pPr>
            <w:r>
              <w:rPr>
                <w:rFonts w:ascii="Arial Narrow" w:hAnsi="Arial Narrow"/>
                <w:bCs/>
                <w:sz w:val="20"/>
                <w:szCs w:val="20"/>
                <w:vertAlign w:val="superscript"/>
              </w:rPr>
              <w:t>10</w:t>
            </w:r>
            <w:r w:rsidR="00C13293" w:rsidRPr="00436840">
              <w:rPr>
                <w:rFonts w:ascii="Arial Narrow" w:hAnsi="Arial Narrow"/>
                <w:bCs/>
                <w:sz w:val="20"/>
                <w:szCs w:val="20"/>
                <w:vertAlign w:val="superscript"/>
              </w:rPr>
              <w:t>,</w:t>
            </w:r>
            <w:r w:rsidR="00C13293" w:rsidRPr="00436840">
              <w:rPr>
                <w:rStyle w:val="FootnoteReference"/>
                <w:rFonts w:ascii="Arial Narrow" w:hAnsi="Arial Narrow"/>
                <w:bCs/>
                <w:sz w:val="20"/>
                <w:szCs w:val="20"/>
              </w:rPr>
              <w:footnoteReference w:id="36"/>
            </w:r>
          </w:p>
          <w:p w14:paraId="21B14FDC"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2003</w:t>
            </w:r>
          </w:p>
        </w:tc>
        <w:tc>
          <w:tcPr>
            <w:tcW w:w="406" w:type="pct"/>
          </w:tcPr>
          <w:p w14:paraId="1228C401" w14:textId="77777777" w:rsidR="00C13293" w:rsidRDefault="00C13293" w:rsidP="00C13293">
            <w:pPr>
              <w:spacing w:before="0"/>
              <w:jc w:val="center"/>
              <w:rPr>
                <w:rFonts w:ascii="Arial Narrow" w:hAnsi="Arial Narrow"/>
                <w:bCs/>
                <w:sz w:val="20"/>
                <w:szCs w:val="20"/>
              </w:rPr>
            </w:pPr>
            <w:r w:rsidRPr="00436840">
              <w:rPr>
                <w:rFonts w:ascii="Arial Narrow" w:hAnsi="Arial Narrow"/>
                <w:bCs/>
                <w:sz w:val="20"/>
                <w:szCs w:val="20"/>
              </w:rPr>
              <w:t>15,822</w:t>
            </w:r>
          </w:p>
          <w:p w14:paraId="5A836939" w14:textId="77777777" w:rsidR="00C13293" w:rsidRDefault="00C13293" w:rsidP="00C13293">
            <w:pPr>
              <w:spacing w:before="0"/>
              <w:jc w:val="center"/>
              <w:rPr>
                <w:rFonts w:ascii="Arial Narrow" w:hAnsi="Arial Narrow"/>
                <w:bCs/>
                <w:sz w:val="20"/>
                <w:szCs w:val="20"/>
              </w:rPr>
            </w:pPr>
            <w:r>
              <w:rPr>
                <w:rFonts w:ascii="Arial Narrow" w:hAnsi="Arial Narrow"/>
                <w:bCs/>
                <w:sz w:val="20"/>
                <w:szCs w:val="20"/>
              </w:rPr>
              <w:t>(13,195 males,</w:t>
            </w:r>
          </w:p>
          <w:p w14:paraId="2A5162F8" w14:textId="5348DBE5" w:rsidR="00C13293" w:rsidRPr="00436840" w:rsidRDefault="00C13293" w:rsidP="00C13293">
            <w:pPr>
              <w:spacing w:before="0"/>
              <w:jc w:val="center"/>
              <w:rPr>
                <w:rFonts w:ascii="Arial Narrow" w:hAnsi="Arial Narrow"/>
                <w:bCs/>
                <w:sz w:val="20"/>
                <w:szCs w:val="20"/>
              </w:rPr>
            </w:pPr>
            <w:r>
              <w:rPr>
                <w:rFonts w:ascii="Arial Narrow" w:hAnsi="Arial Narrow"/>
                <w:bCs/>
                <w:sz w:val="20"/>
                <w:szCs w:val="20"/>
              </w:rPr>
              <w:t>2594 females)</w:t>
            </w:r>
          </w:p>
        </w:tc>
        <w:tc>
          <w:tcPr>
            <w:tcW w:w="676" w:type="pct"/>
          </w:tcPr>
          <w:p w14:paraId="23462EDF" w14:textId="77777777" w:rsidR="00C13293" w:rsidRDefault="00C13293" w:rsidP="00C13293">
            <w:pPr>
              <w:spacing w:before="0"/>
              <w:rPr>
                <w:rFonts w:ascii="Arial Narrow" w:hAnsi="Arial Narrow"/>
                <w:bCs/>
                <w:sz w:val="20"/>
                <w:szCs w:val="20"/>
              </w:rPr>
            </w:pPr>
            <w:r w:rsidRPr="00436840">
              <w:rPr>
                <w:rFonts w:ascii="Arial Narrow" w:hAnsi="Arial Narrow"/>
                <w:bCs/>
                <w:sz w:val="20"/>
                <w:szCs w:val="20"/>
              </w:rPr>
              <w:t>LDCT vs no screening</w:t>
            </w:r>
          </w:p>
          <w:p w14:paraId="0F4E98D7" w14:textId="4C65B473" w:rsidR="00C13293" w:rsidRPr="00436840" w:rsidRDefault="00C13293" w:rsidP="00C13293">
            <w:pPr>
              <w:spacing w:before="0"/>
              <w:rPr>
                <w:rFonts w:ascii="Arial Narrow" w:hAnsi="Arial Narrow"/>
                <w:bCs/>
                <w:sz w:val="20"/>
                <w:szCs w:val="20"/>
              </w:rPr>
            </w:pPr>
            <w:r>
              <w:rPr>
                <w:rFonts w:ascii="Arial Narrow" w:hAnsi="Arial Narrow"/>
                <w:bCs/>
                <w:sz w:val="20"/>
                <w:szCs w:val="20"/>
              </w:rPr>
              <w:t>(LDCT scans at baseline, Year 1, Year 3, and Year 5.5)</w:t>
            </w:r>
          </w:p>
        </w:tc>
        <w:tc>
          <w:tcPr>
            <w:tcW w:w="270" w:type="pct"/>
          </w:tcPr>
          <w:p w14:paraId="1AC4DFF7" w14:textId="0EE7534F" w:rsidR="00C13293" w:rsidRPr="00436840" w:rsidRDefault="00C13293" w:rsidP="00C13293">
            <w:pPr>
              <w:pStyle w:val="Default"/>
              <w:spacing w:beforeLines="40" w:before="96" w:afterLines="40" w:after="96"/>
              <w:jc w:val="center"/>
              <w:rPr>
                <w:rFonts w:ascii="Arial Narrow" w:hAnsi="Arial Narrow"/>
                <w:bCs/>
                <w:sz w:val="20"/>
                <w:szCs w:val="20"/>
              </w:rPr>
            </w:pPr>
            <w:r w:rsidRPr="00436840">
              <w:rPr>
                <w:rFonts w:ascii="Arial Narrow" w:hAnsi="Arial Narrow"/>
                <w:bCs/>
                <w:sz w:val="20"/>
                <w:szCs w:val="20"/>
              </w:rPr>
              <w:t>50-75</w:t>
            </w:r>
          </w:p>
        </w:tc>
        <w:tc>
          <w:tcPr>
            <w:tcW w:w="439" w:type="pct"/>
          </w:tcPr>
          <w:p w14:paraId="1BB532BB" w14:textId="45F50DE3"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42 pack-years (</w:t>
            </w:r>
            <w:r w:rsidRPr="00436840">
              <w:rPr>
                <w:rFonts w:ascii="Arial Narrow" w:hAnsi="Arial Narrow"/>
                <w:bCs/>
                <w:sz w:val="20"/>
                <w:szCs w:val="20"/>
              </w:rPr>
              <w:sym w:font="Symbol" w:char="F0B3"/>
            </w:r>
            <w:r w:rsidRPr="00436840">
              <w:rPr>
                <w:rFonts w:ascii="Arial Narrow" w:hAnsi="Arial Narrow"/>
                <w:bCs/>
                <w:sz w:val="20"/>
                <w:szCs w:val="20"/>
              </w:rPr>
              <w:t xml:space="preserve">15 cigs/day for </w:t>
            </w:r>
            <w:r w:rsidRPr="00436840">
              <w:rPr>
                <w:rFonts w:ascii="Arial Narrow" w:hAnsi="Arial Narrow"/>
                <w:bCs/>
                <w:sz w:val="20"/>
                <w:szCs w:val="20"/>
              </w:rPr>
              <w:sym w:font="Symbol" w:char="F0B3"/>
            </w:r>
            <w:r w:rsidRPr="00436840">
              <w:rPr>
                <w:rFonts w:ascii="Arial Narrow" w:hAnsi="Arial Narrow"/>
                <w:bCs/>
                <w:sz w:val="20"/>
                <w:szCs w:val="20"/>
              </w:rPr>
              <w:t>25</w:t>
            </w:r>
            <w:r>
              <w:rPr>
                <w:rFonts w:ascii="Arial Narrow" w:hAnsi="Arial Narrow"/>
                <w:bCs/>
                <w:sz w:val="20"/>
                <w:szCs w:val="20"/>
              </w:rPr>
              <w:t xml:space="preserve"> </w:t>
            </w:r>
            <w:r w:rsidRPr="00436840">
              <w:rPr>
                <w:rFonts w:ascii="Arial Narrow" w:hAnsi="Arial Narrow"/>
                <w:bCs/>
                <w:sz w:val="20"/>
                <w:szCs w:val="20"/>
              </w:rPr>
              <w:t>y</w:t>
            </w:r>
            <w:r>
              <w:rPr>
                <w:rFonts w:ascii="Arial Narrow" w:hAnsi="Arial Narrow"/>
                <w:bCs/>
                <w:sz w:val="20"/>
                <w:szCs w:val="20"/>
              </w:rPr>
              <w:t>ea</w:t>
            </w:r>
            <w:r w:rsidRPr="00436840">
              <w:rPr>
                <w:rFonts w:ascii="Arial Narrow" w:hAnsi="Arial Narrow"/>
                <w:bCs/>
                <w:sz w:val="20"/>
                <w:szCs w:val="20"/>
              </w:rPr>
              <w:t xml:space="preserve">rs or </w:t>
            </w:r>
            <w:r w:rsidRPr="00436840">
              <w:rPr>
                <w:rFonts w:ascii="Arial Narrow" w:hAnsi="Arial Narrow"/>
                <w:bCs/>
                <w:sz w:val="20"/>
                <w:szCs w:val="20"/>
              </w:rPr>
              <w:sym w:font="Symbol" w:char="F0B3"/>
            </w:r>
            <w:r w:rsidRPr="00436840">
              <w:rPr>
                <w:rFonts w:ascii="Arial Narrow" w:hAnsi="Arial Narrow"/>
                <w:bCs/>
                <w:sz w:val="20"/>
                <w:szCs w:val="20"/>
              </w:rPr>
              <w:t xml:space="preserve">10 cigs/day for </w:t>
            </w:r>
            <w:r w:rsidRPr="00436840">
              <w:rPr>
                <w:rFonts w:ascii="Arial Narrow" w:hAnsi="Arial Narrow"/>
                <w:bCs/>
                <w:sz w:val="20"/>
                <w:szCs w:val="20"/>
              </w:rPr>
              <w:sym w:font="Symbol" w:char="F0B3"/>
            </w:r>
            <w:r w:rsidRPr="00436840">
              <w:rPr>
                <w:rFonts w:ascii="Arial Narrow" w:hAnsi="Arial Narrow"/>
                <w:bCs/>
                <w:sz w:val="20"/>
                <w:szCs w:val="20"/>
              </w:rPr>
              <w:t>30 y</w:t>
            </w:r>
            <w:r>
              <w:rPr>
                <w:rFonts w:ascii="Arial Narrow" w:hAnsi="Arial Narrow"/>
                <w:bCs/>
                <w:sz w:val="20"/>
                <w:szCs w:val="20"/>
              </w:rPr>
              <w:t>ea</w:t>
            </w:r>
            <w:r w:rsidRPr="00436840">
              <w:rPr>
                <w:rFonts w:ascii="Arial Narrow" w:hAnsi="Arial Narrow"/>
                <w:bCs/>
                <w:sz w:val="20"/>
                <w:szCs w:val="20"/>
              </w:rPr>
              <w:t>rs)</w:t>
            </w:r>
          </w:p>
        </w:tc>
        <w:tc>
          <w:tcPr>
            <w:tcW w:w="369" w:type="pct"/>
          </w:tcPr>
          <w:p w14:paraId="5A7A9A15" w14:textId="7428717B"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cs="Calibri"/>
                <w:bCs/>
                <w:sz w:val="20"/>
                <w:szCs w:val="20"/>
                <w:lang w:val="en-GB"/>
              </w:rPr>
              <w:sym w:font="Symbol" w:char="F0A3"/>
            </w:r>
            <w:r w:rsidRPr="00436840">
              <w:rPr>
                <w:rFonts w:ascii="Arial Narrow" w:hAnsi="Arial Narrow" w:cs="Calibri"/>
                <w:bCs/>
                <w:sz w:val="20"/>
                <w:szCs w:val="20"/>
                <w:lang w:val="en-GB"/>
              </w:rPr>
              <w:t>10</w:t>
            </w:r>
          </w:p>
        </w:tc>
        <w:tc>
          <w:tcPr>
            <w:tcW w:w="1276" w:type="pct"/>
          </w:tcPr>
          <w:p w14:paraId="4427B57B" w14:textId="5EE404DA" w:rsidR="00C13293" w:rsidRPr="00436840" w:rsidRDefault="00C13293" w:rsidP="00C13293">
            <w:pPr>
              <w:spacing w:before="0"/>
              <w:rPr>
                <w:rFonts w:ascii="Arial Narrow" w:hAnsi="Arial Narrow"/>
                <w:b/>
                <w:sz w:val="20"/>
                <w:szCs w:val="20"/>
              </w:rPr>
            </w:pPr>
            <w:r w:rsidRPr="00436840">
              <w:rPr>
                <w:rFonts w:ascii="Arial Narrow" w:hAnsi="Arial Narrow"/>
                <w:b/>
                <w:bCs/>
                <w:sz w:val="20"/>
                <w:szCs w:val="20"/>
              </w:rPr>
              <w:t>Exclusion:</w:t>
            </w:r>
            <w:r w:rsidRPr="00436840">
              <w:rPr>
                <w:rFonts w:ascii="Arial Narrow" w:hAnsi="Arial Narrow"/>
                <w:sz w:val="20"/>
                <w:szCs w:val="20"/>
              </w:rPr>
              <w:t xml:space="preserve"> </w:t>
            </w:r>
            <w:r w:rsidRPr="00436840">
              <w:rPr>
                <w:rFonts w:ascii="Arial Narrow" w:hAnsi="Arial Narrow"/>
                <w:sz w:val="20"/>
                <w:szCs w:val="20"/>
                <w:lang w:val="en-GB"/>
              </w:rPr>
              <w:t xml:space="preserve">Moderate/bad self-reported health; Inability to climb two flights of stairs; </w:t>
            </w:r>
            <w:r>
              <w:rPr>
                <w:rFonts w:ascii="Arial Narrow" w:hAnsi="Arial Narrow"/>
                <w:sz w:val="20"/>
                <w:szCs w:val="20"/>
                <w:lang w:val="en-GB"/>
              </w:rPr>
              <w:t>w</w:t>
            </w:r>
            <w:r w:rsidRPr="00436840">
              <w:rPr>
                <w:rFonts w:ascii="Arial Narrow" w:hAnsi="Arial Narrow"/>
                <w:sz w:val="20"/>
                <w:szCs w:val="20"/>
                <w:lang w:val="en-GB"/>
              </w:rPr>
              <w:t xml:space="preserve">eight </w:t>
            </w:r>
            <w:r w:rsidRPr="00436840">
              <w:rPr>
                <w:rFonts w:ascii="Arial Narrow" w:hAnsi="Arial Narrow"/>
                <w:sz w:val="20"/>
                <w:szCs w:val="20"/>
                <w:lang w:val="en-GB"/>
              </w:rPr>
              <w:sym w:font="Symbol" w:char="F0B3"/>
            </w:r>
            <w:r w:rsidRPr="00436840">
              <w:rPr>
                <w:rFonts w:ascii="Arial Narrow" w:hAnsi="Arial Narrow"/>
                <w:sz w:val="20"/>
                <w:szCs w:val="20"/>
                <w:lang w:val="en-GB"/>
              </w:rPr>
              <w:t xml:space="preserve">140 kg; </w:t>
            </w:r>
            <w:r>
              <w:rPr>
                <w:rFonts w:ascii="Arial Narrow" w:hAnsi="Arial Narrow"/>
                <w:sz w:val="20"/>
                <w:szCs w:val="20"/>
                <w:lang w:val="en-GB"/>
              </w:rPr>
              <w:t>lung cancer</w:t>
            </w:r>
            <w:r w:rsidRPr="00436840">
              <w:rPr>
                <w:rFonts w:ascii="Arial Narrow" w:hAnsi="Arial Narrow"/>
                <w:sz w:val="20"/>
                <w:szCs w:val="20"/>
                <w:lang w:val="en-GB"/>
              </w:rPr>
              <w:t xml:space="preserve"> &lt;5 years ago or still under treatment; </w:t>
            </w:r>
            <w:r>
              <w:rPr>
                <w:rFonts w:ascii="Arial Narrow" w:hAnsi="Arial Narrow"/>
                <w:sz w:val="20"/>
                <w:szCs w:val="20"/>
                <w:lang w:val="en-GB"/>
              </w:rPr>
              <w:t>c</w:t>
            </w:r>
            <w:r w:rsidRPr="00436840">
              <w:rPr>
                <w:rFonts w:ascii="Arial Narrow" w:hAnsi="Arial Narrow"/>
                <w:sz w:val="20"/>
                <w:szCs w:val="20"/>
                <w:lang w:val="en-GB"/>
              </w:rPr>
              <w:t xml:space="preserve">urrent or past melanoma; </w:t>
            </w:r>
            <w:r>
              <w:rPr>
                <w:rFonts w:ascii="Arial Narrow" w:hAnsi="Arial Narrow"/>
                <w:sz w:val="20"/>
                <w:szCs w:val="20"/>
                <w:lang w:val="en-GB"/>
              </w:rPr>
              <w:t>r</w:t>
            </w:r>
            <w:r w:rsidRPr="00436840">
              <w:rPr>
                <w:rFonts w:ascii="Arial Narrow" w:hAnsi="Arial Narrow"/>
                <w:sz w:val="20"/>
                <w:szCs w:val="20"/>
                <w:lang w:val="en-GB"/>
              </w:rPr>
              <w:t xml:space="preserve">enal or breast cancer; </w:t>
            </w:r>
            <w:r>
              <w:rPr>
                <w:rFonts w:ascii="Arial Narrow" w:hAnsi="Arial Narrow"/>
                <w:sz w:val="20"/>
                <w:szCs w:val="20"/>
                <w:lang w:val="en-GB"/>
              </w:rPr>
              <w:t>c</w:t>
            </w:r>
            <w:r w:rsidRPr="00436840">
              <w:rPr>
                <w:rFonts w:ascii="Arial Narrow" w:hAnsi="Arial Narrow"/>
                <w:sz w:val="20"/>
                <w:szCs w:val="20"/>
                <w:lang w:val="en-GB"/>
              </w:rPr>
              <w:t>hest CT &lt;1 year</w:t>
            </w:r>
          </w:p>
        </w:tc>
        <w:tc>
          <w:tcPr>
            <w:tcW w:w="287" w:type="pct"/>
          </w:tcPr>
          <w:p w14:paraId="426A0A0C" w14:textId="77777777" w:rsidR="00C13293" w:rsidRPr="00436840" w:rsidRDefault="00C13293" w:rsidP="00C13293">
            <w:pPr>
              <w:spacing w:before="0"/>
              <w:rPr>
                <w:rFonts w:ascii="Arial Narrow" w:hAnsi="Arial Narrow"/>
                <w:bCs/>
                <w:sz w:val="20"/>
                <w:szCs w:val="20"/>
              </w:rPr>
            </w:pPr>
            <w:r w:rsidRPr="00436840">
              <w:rPr>
                <w:rFonts w:ascii="Arial Narrow" w:hAnsi="Arial Narrow" w:cstheme="minorHAnsi"/>
                <w:bCs/>
                <w:color w:val="000000" w:themeColor="text1"/>
                <w:sz w:val="20"/>
                <w:szCs w:val="20"/>
              </w:rPr>
              <w:t>Netherlands &amp; Belgium</w:t>
            </w:r>
          </w:p>
        </w:tc>
        <w:tc>
          <w:tcPr>
            <w:tcW w:w="248" w:type="pct"/>
          </w:tcPr>
          <w:p w14:paraId="79104A71"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Completed</w:t>
            </w:r>
          </w:p>
        </w:tc>
        <w:tc>
          <w:tcPr>
            <w:tcW w:w="398" w:type="pct"/>
          </w:tcPr>
          <w:p w14:paraId="0104DA53" w14:textId="77777777" w:rsidR="00C13293" w:rsidRPr="00436840" w:rsidRDefault="00C13293" w:rsidP="00C13293">
            <w:pPr>
              <w:spacing w:before="0"/>
              <w:jc w:val="center"/>
              <w:rPr>
                <w:rFonts w:ascii="Arial Narrow" w:hAnsi="Arial Narrow"/>
                <w:bCs/>
                <w:sz w:val="20"/>
                <w:szCs w:val="20"/>
              </w:rPr>
            </w:pPr>
            <w:r w:rsidRPr="00436840">
              <w:rPr>
                <w:rFonts w:ascii="Arial Narrow" w:hAnsi="Arial Narrow"/>
                <w:bCs/>
                <w:sz w:val="20"/>
                <w:szCs w:val="20"/>
              </w:rPr>
              <w:t>10</w:t>
            </w:r>
          </w:p>
        </w:tc>
        <w:tc>
          <w:tcPr>
            <w:tcW w:w="385" w:type="pct"/>
          </w:tcPr>
          <w:p w14:paraId="34E0E2AE" w14:textId="550FA468"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Gender</w:t>
            </w:r>
          </w:p>
        </w:tc>
      </w:tr>
      <w:tr w:rsidR="00C13293" w:rsidRPr="00436840" w14:paraId="7041A0FA" w14:textId="77777777" w:rsidTr="00C13293">
        <w:tc>
          <w:tcPr>
            <w:tcW w:w="246" w:type="pct"/>
          </w:tcPr>
          <w:p w14:paraId="69D3538F" w14:textId="5D4E7E21" w:rsidR="00C13293" w:rsidRPr="00436840" w:rsidRDefault="00C13293" w:rsidP="00C13293">
            <w:pPr>
              <w:spacing w:before="0"/>
              <w:rPr>
                <w:rFonts w:ascii="Arial Narrow" w:hAnsi="Arial Narrow"/>
                <w:bCs/>
                <w:sz w:val="20"/>
                <w:szCs w:val="20"/>
                <w:vertAlign w:val="superscript"/>
              </w:rPr>
            </w:pPr>
            <w:r w:rsidRPr="00436840">
              <w:rPr>
                <w:rFonts w:ascii="Arial Narrow" w:hAnsi="Arial Narrow"/>
                <w:bCs/>
                <w:sz w:val="20"/>
                <w:szCs w:val="20"/>
              </w:rPr>
              <w:t>NLST</w:t>
            </w:r>
            <w:r w:rsidR="00CF490E" w:rsidRPr="00CF490E">
              <w:rPr>
                <w:rFonts w:ascii="Arial Narrow" w:hAnsi="Arial Narrow"/>
                <w:bCs/>
                <w:sz w:val="20"/>
                <w:szCs w:val="20"/>
                <w:vertAlign w:val="superscript"/>
              </w:rPr>
              <w:t>1</w:t>
            </w:r>
          </w:p>
          <w:p w14:paraId="19263173"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2002</w:t>
            </w:r>
          </w:p>
        </w:tc>
        <w:tc>
          <w:tcPr>
            <w:tcW w:w="406" w:type="pct"/>
          </w:tcPr>
          <w:p w14:paraId="562BD57B" w14:textId="77777777" w:rsidR="00C13293" w:rsidRDefault="00C13293" w:rsidP="00C13293">
            <w:pPr>
              <w:spacing w:before="0"/>
              <w:jc w:val="center"/>
              <w:rPr>
                <w:rFonts w:ascii="Arial Narrow" w:hAnsi="Arial Narrow"/>
                <w:bCs/>
                <w:sz w:val="20"/>
                <w:szCs w:val="20"/>
              </w:rPr>
            </w:pPr>
            <w:r w:rsidRPr="00436840">
              <w:rPr>
                <w:rFonts w:ascii="Arial Narrow" w:hAnsi="Arial Narrow"/>
                <w:bCs/>
                <w:sz w:val="20"/>
                <w:szCs w:val="20"/>
              </w:rPr>
              <w:t>53,454</w:t>
            </w:r>
          </w:p>
          <w:p w14:paraId="1286A6B6" w14:textId="77777777" w:rsidR="00C13293" w:rsidRDefault="00C13293" w:rsidP="00C13293">
            <w:pPr>
              <w:spacing w:before="0"/>
              <w:jc w:val="center"/>
              <w:rPr>
                <w:rFonts w:ascii="Arial Narrow" w:hAnsi="Arial Narrow"/>
                <w:bCs/>
                <w:sz w:val="20"/>
                <w:szCs w:val="20"/>
              </w:rPr>
            </w:pPr>
            <w:r>
              <w:rPr>
                <w:rFonts w:ascii="Arial Narrow" w:hAnsi="Arial Narrow"/>
                <w:bCs/>
                <w:sz w:val="20"/>
                <w:szCs w:val="20"/>
              </w:rPr>
              <w:t>(31,532 males,</w:t>
            </w:r>
          </w:p>
          <w:p w14:paraId="6943B5A8" w14:textId="52B648B7" w:rsidR="00C13293" w:rsidRPr="00436840" w:rsidRDefault="00C13293" w:rsidP="00C13293">
            <w:pPr>
              <w:spacing w:before="0"/>
              <w:jc w:val="center"/>
              <w:rPr>
                <w:rFonts w:ascii="Arial Narrow" w:hAnsi="Arial Narrow"/>
                <w:bCs/>
                <w:sz w:val="20"/>
                <w:szCs w:val="20"/>
              </w:rPr>
            </w:pPr>
            <w:r>
              <w:rPr>
                <w:rFonts w:ascii="Arial Narrow" w:hAnsi="Arial Narrow"/>
                <w:bCs/>
                <w:sz w:val="20"/>
                <w:szCs w:val="20"/>
              </w:rPr>
              <w:t>21,922 females)</w:t>
            </w:r>
          </w:p>
        </w:tc>
        <w:tc>
          <w:tcPr>
            <w:tcW w:w="676" w:type="pct"/>
          </w:tcPr>
          <w:p w14:paraId="78E155A1" w14:textId="77777777" w:rsidR="00C13293" w:rsidRDefault="00C13293" w:rsidP="00C13293">
            <w:pPr>
              <w:spacing w:before="0"/>
              <w:rPr>
                <w:rFonts w:ascii="Arial Narrow" w:hAnsi="Arial Narrow"/>
                <w:bCs/>
                <w:sz w:val="20"/>
                <w:szCs w:val="20"/>
              </w:rPr>
            </w:pPr>
            <w:r w:rsidRPr="00436840">
              <w:rPr>
                <w:rFonts w:ascii="Arial Narrow" w:hAnsi="Arial Narrow"/>
                <w:bCs/>
                <w:sz w:val="20"/>
                <w:szCs w:val="20"/>
              </w:rPr>
              <w:t>LDCT vs CXR</w:t>
            </w:r>
          </w:p>
          <w:p w14:paraId="659CE6AA" w14:textId="6A038401" w:rsidR="00C13293" w:rsidRPr="00436840" w:rsidRDefault="00C13293" w:rsidP="00C13293">
            <w:pPr>
              <w:spacing w:before="0"/>
              <w:rPr>
                <w:rFonts w:ascii="Arial Narrow" w:hAnsi="Arial Narrow"/>
                <w:bCs/>
                <w:sz w:val="20"/>
                <w:szCs w:val="20"/>
              </w:rPr>
            </w:pPr>
            <w:r>
              <w:rPr>
                <w:rFonts w:ascii="Arial Narrow" w:hAnsi="Arial Narrow"/>
                <w:bCs/>
                <w:sz w:val="20"/>
                <w:szCs w:val="20"/>
              </w:rPr>
              <w:t>(three annual scans)</w:t>
            </w:r>
          </w:p>
        </w:tc>
        <w:tc>
          <w:tcPr>
            <w:tcW w:w="270" w:type="pct"/>
          </w:tcPr>
          <w:p w14:paraId="4F49F288" w14:textId="77777777" w:rsidR="00C13293" w:rsidRPr="00436840" w:rsidRDefault="00C13293" w:rsidP="00C13293">
            <w:pPr>
              <w:spacing w:before="0"/>
              <w:jc w:val="center"/>
              <w:rPr>
                <w:rFonts w:ascii="Arial Narrow" w:hAnsi="Arial Narrow"/>
                <w:bCs/>
                <w:sz w:val="20"/>
                <w:szCs w:val="20"/>
              </w:rPr>
            </w:pPr>
            <w:r w:rsidRPr="00436840">
              <w:rPr>
                <w:rFonts w:ascii="Arial Narrow" w:hAnsi="Arial Narrow"/>
                <w:bCs/>
                <w:sz w:val="20"/>
                <w:szCs w:val="20"/>
              </w:rPr>
              <w:t>55-74</w:t>
            </w:r>
          </w:p>
        </w:tc>
        <w:tc>
          <w:tcPr>
            <w:tcW w:w="439" w:type="pct"/>
          </w:tcPr>
          <w:p w14:paraId="62EA1F06" w14:textId="352BCA58" w:rsidR="00C13293" w:rsidRPr="00436840" w:rsidRDefault="00C13293" w:rsidP="00C13293">
            <w:pPr>
              <w:spacing w:before="0"/>
              <w:rPr>
                <w:rFonts w:ascii="Arial Narrow" w:hAnsi="Arial Narrow"/>
                <w:bCs/>
                <w:sz w:val="20"/>
                <w:szCs w:val="20"/>
              </w:rPr>
            </w:pPr>
            <w:r w:rsidRPr="00436840">
              <w:rPr>
                <w:rFonts w:ascii="Arial Narrow" w:hAnsi="Arial Narrow" w:cs="Calibri"/>
                <w:bCs/>
                <w:sz w:val="20"/>
                <w:szCs w:val="20"/>
              </w:rPr>
              <w:sym w:font="Symbol" w:char="F0B3"/>
            </w:r>
            <w:r w:rsidRPr="00436840">
              <w:rPr>
                <w:rFonts w:ascii="Arial Narrow" w:hAnsi="Arial Narrow" w:cs="Calibri"/>
                <w:bCs/>
                <w:sz w:val="20"/>
                <w:szCs w:val="20"/>
              </w:rPr>
              <w:t>30 pack-years</w:t>
            </w:r>
          </w:p>
        </w:tc>
        <w:tc>
          <w:tcPr>
            <w:tcW w:w="369" w:type="pct"/>
          </w:tcPr>
          <w:p w14:paraId="4AB51E4B" w14:textId="77777777" w:rsidR="00C13293" w:rsidRPr="00436840" w:rsidRDefault="00C13293" w:rsidP="00C13293">
            <w:pPr>
              <w:spacing w:before="0"/>
              <w:jc w:val="center"/>
              <w:rPr>
                <w:rFonts w:ascii="Arial Narrow" w:hAnsi="Arial Narrow" w:cs="Calibri"/>
                <w:bCs/>
                <w:sz w:val="20"/>
                <w:szCs w:val="20"/>
              </w:rPr>
            </w:pPr>
            <w:r w:rsidRPr="00436840">
              <w:rPr>
                <w:rFonts w:ascii="Arial Narrow" w:hAnsi="Arial Narrow" w:cs="Calibri"/>
                <w:bCs/>
                <w:sz w:val="20"/>
                <w:szCs w:val="20"/>
              </w:rPr>
              <w:sym w:font="Symbol" w:char="F0A3"/>
            </w:r>
            <w:r w:rsidRPr="00436840">
              <w:rPr>
                <w:rFonts w:ascii="Arial Narrow" w:hAnsi="Arial Narrow" w:cs="Calibri"/>
                <w:bCs/>
                <w:sz w:val="20"/>
                <w:szCs w:val="20"/>
              </w:rPr>
              <w:t>15</w:t>
            </w:r>
          </w:p>
        </w:tc>
        <w:tc>
          <w:tcPr>
            <w:tcW w:w="1276" w:type="pct"/>
          </w:tcPr>
          <w:p w14:paraId="2157F96A" w14:textId="1AA2F410" w:rsidR="00C13293" w:rsidRPr="00436840" w:rsidRDefault="00C13293" w:rsidP="00C13293">
            <w:pPr>
              <w:spacing w:before="0"/>
              <w:rPr>
                <w:rFonts w:ascii="Arial Narrow" w:hAnsi="Arial Narrow"/>
                <w:b/>
                <w:sz w:val="20"/>
                <w:szCs w:val="20"/>
              </w:rPr>
            </w:pPr>
            <w:r w:rsidRPr="00436840">
              <w:rPr>
                <w:rFonts w:ascii="Arial Narrow" w:hAnsi="Arial Narrow"/>
                <w:b/>
                <w:bCs/>
                <w:sz w:val="20"/>
                <w:szCs w:val="20"/>
              </w:rPr>
              <w:t>Inclusion:</w:t>
            </w:r>
            <w:r w:rsidRPr="00436840">
              <w:rPr>
                <w:rFonts w:ascii="Arial Narrow" w:hAnsi="Arial Narrow"/>
                <w:b/>
                <w:sz w:val="20"/>
                <w:szCs w:val="20"/>
              </w:rPr>
              <w:t xml:space="preserve"> </w:t>
            </w:r>
            <w:r w:rsidRPr="00436840">
              <w:rPr>
                <w:rFonts w:ascii="Arial Narrow" w:hAnsi="Arial Narrow"/>
                <w:bCs/>
                <w:sz w:val="20"/>
                <w:szCs w:val="20"/>
              </w:rPr>
              <w:t>Ability to lie on the back with arms raised over the head</w:t>
            </w:r>
          </w:p>
          <w:p w14:paraId="1FB33C82" w14:textId="12BF3ECA" w:rsidR="00C13293" w:rsidRPr="00436840" w:rsidRDefault="00C13293" w:rsidP="00C13293">
            <w:pPr>
              <w:spacing w:before="0"/>
              <w:rPr>
                <w:rFonts w:ascii="Arial Narrow" w:hAnsi="Arial Narrow"/>
                <w:b/>
                <w:sz w:val="20"/>
                <w:szCs w:val="20"/>
              </w:rPr>
            </w:pPr>
            <w:r w:rsidRPr="00436840">
              <w:rPr>
                <w:rFonts w:ascii="Arial Narrow" w:hAnsi="Arial Narrow"/>
                <w:b/>
                <w:bCs/>
                <w:sz w:val="20"/>
                <w:szCs w:val="20"/>
              </w:rPr>
              <w:t>Exclusion:</w:t>
            </w:r>
            <w:r w:rsidRPr="00436840">
              <w:rPr>
                <w:rFonts w:ascii="Arial Narrow" w:hAnsi="Arial Narrow"/>
                <w:b/>
                <w:sz w:val="20"/>
                <w:szCs w:val="20"/>
              </w:rPr>
              <w:t xml:space="preserve"> </w:t>
            </w:r>
            <w:r w:rsidRPr="00436840">
              <w:rPr>
                <w:rFonts w:ascii="Arial Narrow" w:hAnsi="Arial Narrow"/>
                <w:bCs/>
                <w:sz w:val="20"/>
                <w:szCs w:val="20"/>
              </w:rPr>
              <w:t>Previous diagnosis of LC; CXR within 18</w:t>
            </w:r>
            <w:r>
              <w:rPr>
                <w:rFonts w:ascii="Arial Narrow" w:hAnsi="Arial Narrow"/>
                <w:bCs/>
                <w:sz w:val="20"/>
                <w:szCs w:val="20"/>
              </w:rPr>
              <w:t xml:space="preserve"> </w:t>
            </w:r>
            <w:r w:rsidRPr="00436840">
              <w:rPr>
                <w:rFonts w:ascii="Arial Narrow" w:hAnsi="Arial Narrow"/>
                <w:bCs/>
                <w:sz w:val="20"/>
                <w:szCs w:val="20"/>
              </w:rPr>
              <w:t>m</w:t>
            </w:r>
            <w:r>
              <w:rPr>
                <w:rFonts w:ascii="Arial Narrow" w:hAnsi="Arial Narrow"/>
                <w:bCs/>
                <w:sz w:val="20"/>
                <w:szCs w:val="20"/>
              </w:rPr>
              <w:t>on</w:t>
            </w:r>
            <w:r w:rsidRPr="00436840">
              <w:rPr>
                <w:rFonts w:ascii="Arial Narrow" w:hAnsi="Arial Narrow"/>
                <w:bCs/>
                <w:sz w:val="20"/>
                <w:szCs w:val="20"/>
              </w:rPr>
              <w:t xml:space="preserve">ths; </w:t>
            </w:r>
            <w:r>
              <w:rPr>
                <w:rFonts w:ascii="Arial Narrow" w:hAnsi="Arial Narrow"/>
                <w:bCs/>
                <w:sz w:val="20"/>
                <w:szCs w:val="20"/>
              </w:rPr>
              <w:t>h</w:t>
            </w:r>
            <w:r w:rsidRPr="00436840">
              <w:rPr>
                <w:rFonts w:ascii="Arial Narrow" w:hAnsi="Arial Narrow"/>
                <w:bCs/>
                <w:sz w:val="20"/>
                <w:szCs w:val="20"/>
              </w:rPr>
              <w:t>aemoptysis; weight loss &gt; 6.8</w:t>
            </w:r>
            <w:r>
              <w:rPr>
                <w:rFonts w:ascii="Arial Narrow" w:hAnsi="Arial Narrow"/>
                <w:bCs/>
                <w:sz w:val="20"/>
                <w:szCs w:val="20"/>
              </w:rPr>
              <w:t> </w:t>
            </w:r>
            <w:r w:rsidRPr="00436840">
              <w:rPr>
                <w:rFonts w:ascii="Arial Narrow" w:hAnsi="Arial Narrow"/>
                <w:bCs/>
                <w:sz w:val="20"/>
                <w:szCs w:val="20"/>
              </w:rPr>
              <w:t>kg in preceding year</w:t>
            </w:r>
          </w:p>
        </w:tc>
        <w:tc>
          <w:tcPr>
            <w:tcW w:w="287" w:type="pct"/>
          </w:tcPr>
          <w:p w14:paraId="3A250318"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USA</w:t>
            </w:r>
          </w:p>
        </w:tc>
        <w:tc>
          <w:tcPr>
            <w:tcW w:w="248" w:type="pct"/>
          </w:tcPr>
          <w:p w14:paraId="38F48E94" w14:textId="77777777" w:rsidR="00C13293" w:rsidRPr="00436840" w:rsidRDefault="00C13293" w:rsidP="00C13293">
            <w:pPr>
              <w:spacing w:before="0"/>
              <w:rPr>
                <w:rFonts w:ascii="Arial Narrow" w:hAnsi="Arial Narrow"/>
                <w:bCs/>
                <w:sz w:val="20"/>
                <w:szCs w:val="20"/>
              </w:rPr>
            </w:pPr>
            <w:r w:rsidRPr="00436840">
              <w:rPr>
                <w:rFonts w:ascii="Arial Narrow" w:hAnsi="Arial Narrow"/>
                <w:bCs/>
                <w:sz w:val="20"/>
                <w:szCs w:val="20"/>
              </w:rPr>
              <w:t>Completed</w:t>
            </w:r>
          </w:p>
        </w:tc>
        <w:tc>
          <w:tcPr>
            <w:tcW w:w="398" w:type="pct"/>
          </w:tcPr>
          <w:p w14:paraId="190E9BF5" w14:textId="77777777" w:rsidR="00C13293" w:rsidRPr="00436840" w:rsidRDefault="00C13293" w:rsidP="00C13293">
            <w:pPr>
              <w:spacing w:before="0"/>
              <w:jc w:val="center"/>
              <w:rPr>
                <w:rFonts w:ascii="Arial Narrow" w:hAnsi="Arial Narrow"/>
                <w:bCs/>
                <w:sz w:val="20"/>
                <w:szCs w:val="20"/>
              </w:rPr>
            </w:pPr>
            <w:r w:rsidRPr="00436840">
              <w:rPr>
                <w:rFonts w:ascii="Arial Narrow" w:hAnsi="Arial Narrow"/>
                <w:bCs/>
                <w:sz w:val="20"/>
                <w:szCs w:val="20"/>
              </w:rPr>
              <w:t>7.4</w:t>
            </w:r>
          </w:p>
        </w:tc>
        <w:tc>
          <w:tcPr>
            <w:tcW w:w="385" w:type="pct"/>
          </w:tcPr>
          <w:p w14:paraId="6081D7D3" w14:textId="7A8D9DC5" w:rsidR="00C13293" w:rsidRPr="00436840" w:rsidRDefault="00C13293" w:rsidP="00C13293">
            <w:pPr>
              <w:spacing w:before="0"/>
              <w:rPr>
                <w:rFonts w:ascii="Arial Narrow" w:hAnsi="Arial Narrow"/>
                <w:bCs/>
                <w:sz w:val="20"/>
                <w:szCs w:val="20"/>
              </w:rPr>
            </w:pPr>
            <w:r>
              <w:rPr>
                <w:rFonts w:ascii="Arial Narrow" w:hAnsi="Arial Narrow"/>
                <w:sz w:val="20"/>
                <w:szCs w:val="20"/>
              </w:rPr>
              <w:t>Intention-to-screen</w:t>
            </w:r>
          </w:p>
        </w:tc>
      </w:tr>
      <w:tr w:rsidR="00C13293" w:rsidRPr="00436840" w14:paraId="4306A420" w14:textId="25EA86D4" w:rsidTr="00C13293">
        <w:tc>
          <w:tcPr>
            <w:tcW w:w="246" w:type="pct"/>
          </w:tcPr>
          <w:p w14:paraId="20C9832B" w14:textId="19C6BA38" w:rsidR="00C13293" w:rsidRPr="00436840" w:rsidRDefault="00C13293" w:rsidP="00C13293">
            <w:pPr>
              <w:spacing w:before="0"/>
              <w:rPr>
                <w:rFonts w:ascii="Arial Narrow" w:eastAsia="Calibri" w:hAnsi="Arial Narrow" w:cs="Calibri"/>
                <w:color w:val="000000" w:themeColor="text1"/>
                <w:sz w:val="20"/>
                <w:szCs w:val="20"/>
                <w:vertAlign w:val="superscript"/>
              </w:rPr>
            </w:pPr>
            <w:r w:rsidRPr="00436840">
              <w:rPr>
                <w:rFonts w:ascii="Arial Narrow" w:eastAsia="Calibri" w:hAnsi="Arial Narrow" w:cs="Calibri"/>
                <w:color w:val="000000" w:themeColor="text1"/>
                <w:sz w:val="20"/>
                <w:szCs w:val="20"/>
              </w:rPr>
              <w:t>UKLS</w:t>
            </w:r>
            <w:r w:rsidRPr="00436840">
              <w:rPr>
                <w:rStyle w:val="FootnoteReference"/>
                <w:rFonts w:ascii="Arial Narrow" w:eastAsia="Calibri" w:hAnsi="Arial Narrow" w:cs="Calibri"/>
                <w:color w:val="000000" w:themeColor="text1"/>
                <w:sz w:val="20"/>
                <w:szCs w:val="20"/>
              </w:rPr>
              <w:footnoteReference w:id="37"/>
            </w:r>
            <w:r w:rsidRPr="004D04CC">
              <w:rPr>
                <w:rFonts w:ascii="Arial Narrow" w:eastAsia="Calibri" w:hAnsi="Arial Narrow" w:cs="Calibri"/>
                <w:color w:val="000000" w:themeColor="text1"/>
                <w:sz w:val="20"/>
                <w:szCs w:val="20"/>
                <w:vertAlign w:val="superscript"/>
              </w:rPr>
              <w:t>,</w:t>
            </w:r>
            <w:r w:rsidRPr="00436840">
              <w:rPr>
                <w:rStyle w:val="FootnoteReference"/>
                <w:rFonts w:ascii="Arial Narrow" w:eastAsia="Calibri" w:hAnsi="Arial Narrow" w:cs="Calibri"/>
                <w:color w:val="000000" w:themeColor="text1"/>
                <w:sz w:val="20"/>
                <w:szCs w:val="20"/>
              </w:rPr>
              <w:footnoteReference w:id="38"/>
            </w:r>
          </w:p>
          <w:p w14:paraId="0D37B14E" w14:textId="77777777" w:rsidR="00C13293" w:rsidRPr="00436840" w:rsidRDefault="00C13293" w:rsidP="00C13293">
            <w:pPr>
              <w:spacing w:before="0"/>
              <w:rPr>
                <w:rFonts w:ascii="Arial Narrow" w:hAnsi="Arial Narrow"/>
                <w:sz w:val="20"/>
                <w:szCs w:val="20"/>
              </w:rPr>
            </w:pPr>
            <w:r w:rsidRPr="00436840">
              <w:rPr>
                <w:rFonts w:ascii="Arial Narrow" w:eastAsia="Calibri" w:hAnsi="Arial Narrow" w:cs="Calibri"/>
                <w:color w:val="000000" w:themeColor="text1"/>
                <w:sz w:val="20"/>
                <w:szCs w:val="20"/>
              </w:rPr>
              <w:t>2011</w:t>
            </w:r>
          </w:p>
        </w:tc>
        <w:tc>
          <w:tcPr>
            <w:tcW w:w="406" w:type="pct"/>
          </w:tcPr>
          <w:p w14:paraId="77545AD4" w14:textId="77777777" w:rsidR="00C13293" w:rsidRDefault="00C13293" w:rsidP="00C13293">
            <w:pPr>
              <w:spacing w:before="0"/>
              <w:jc w:val="center"/>
              <w:rPr>
                <w:rFonts w:ascii="Arial Narrow" w:hAnsi="Arial Narrow"/>
                <w:sz w:val="20"/>
                <w:szCs w:val="20"/>
              </w:rPr>
            </w:pPr>
            <w:r w:rsidRPr="00436840">
              <w:rPr>
                <w:rFonts w:ascii="Arial Narrow" w:hAnsi="Arial Narrow"/>
                <w:sz w:val="20"/>
                <w:szCs w:val="20"/>
              </w:rPr>
              <w:t>4055</w:t>
            </w:r>
          </w:p>
          <w:p w14:paraId="32562F94" w14:textId="2D28B1B7" w:rsidR="00C13293" w:rsidRDefault="00C13293" w:rsidP="00C13293">
            <w:pPr>
              <w:spacing w:before="0"/>
              <w:jc w:val="center"/>
              <w:rPr>
                <w:rFonts w:ascii="Arial Narrow" w:hAnsi="Arial Narrow"/>
                <w:sz w:val="20"/>
                <w:szCs w:val="20"/>
              </w:rPr>
            </w:pPr>
            <w:r>
              <w:rPr>
                <w:rFonts w:ascii="Arial Narrow" w:hAnsi="Arial Narrow"/>
                <w:sz w:val="20"/>
                <w:szCs w:val="20"/>
              </w:rPr>
              <w:t>(3036 males,</w:t>
            </w:r>
          </w:p>
          <w:p w14:paraId="2C99ACEB" w14:textId="0D3684F0" w:rsidR="00C13293" w:rsidRPr="00436840" w:rsidRDefault="00C13293" w:rsidP="00C13293">
            <w:pPr>
              <w:spacing w:before="0"/>
              <w:jc w:val="center"/>
              <w:rPr>
                <w:rFonts w:ascii="Arial Narrow" w:hAnsi="Arial Narrow"/>
                <w:sz w:val="20"/>
                <w:szCs w:val="20"/>
              </w:rPr>
            </w:pPr>
            <w:r>
              <w:rPr>
                <w:rFonts w:ascii="Arial Narrow" w:hAnsi="Arial Narrow"/>
                <w:sz w:val="20"/>
                <w:szCs w:val="20"/>
              </w:rPr>
              <w:t>1019 females)</w:t>
            </w:r>
          </w:p>
        </w:tc>
        <w:tc>
          <w:tcPr>
            <w:tcW w:w="676" w:type="pct"/>
          </w:tcPr>
          <w:p w14:paraId="5FA95EA9" w14:textId="77777777" w:rsidR="00C13293" w:rsidRDefault="00C13293" w:rsidP="00C13293">
            <w:pPr>
              <w:spacing w:before="0"/>
              <w:rPr>
                <w:rFonts w:ascii="Arial Narrow" w:hAnsi="Arial Narrow"/>
                <w:sz w:val="20"/>
                <w:szCs w:val="20"/>
              </w:rPr>
            </w:pPr>
            <w:r w:rsidRPr="00436840">
              <w:rPr>
                <w:rFonts w:ascii="Arial Narrow" w:hAnsi="Arial Narrow"/>
                <w:sz w:val="20"/>
                <w:szCs w:val="20"/>
              </w:rPr>
              <w:t>LDCT vs no screening</w:t>
            </w:r>
          </w:p>
          <w:p w14:paraId="1E8B73F6" w14:textId="77E30852" w:rsidR="00C13293" w:rsidRPr="00436840" w:rsidRDefault="00C13293" w:rsidP="00C13293">
            <w:pPr>
              <w:spacing w:before="0"/>
              <w:rPr>
                <w:rFonts w:ascii="Arial Narrow" w:hAnsi="Arial Narrow"/>
                <w:sz w:val="20"/>
                <w:szCs w:val="20"/>
              </w:rPr>
            </w:pPr>
            <w:r>
              <w:rPr>
                <w:rFonts w:ascii="Arial Narrow" w:hAnsi="Arial Narrow"/>
                <w:sz w:val="20"/>
                <w:szCs w:val="20"/>
              </w:rPr>
              <w:t xml:space="preserve">(baseline </w:t>
            </w:r>
            <w:r w:rsidR="00D64661">
              <w:rPr>
                <w:rFonts w:ascii="Arial Narrow" w:hAnsi="Arial Narrow"/>
                <w:sz w:val="20"/>
                <w:szCs w:val="20"/>
              </w:rPr>
              <w:t xml:space="preserve">LDCT </w:t>
            </w:r>
            <w:r>
              <w:rPr>
                <w:rFonts w:ascii="Arial Narrow" w:hAnsi="Arial Narrow"/>
                <w:sz w:val="20"/>
                <w:szCs w:val="20"/>
              </w:rPr>
              <w:t>scan only)</w:t>
            </w:r>
          </w:p>
        </w:tc>
        <w:tc>
          <w:tcPr>
            <w:tcW w:w="270" w:type="pct"/>
          </w:tcPr>
          <w:p w14:paraId="66EC6DDF"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50-75</w:t>
            </w:r>
          </w:p>
        </w:tc>
        <w:tc>
          <w:tcPr>
            <w:tcW w:w="808" w:type="pct"/>
            <w:gridSpan w:val="2"/>
          </w:tcPr>
          <w:p w14:paraId="173FE51F" w14:textId="7A613025" w:rsidR="00C13293" w:rsidRPr="00436840" w:rsidRDefault="00C13293" w:rsidP="00C13293">
            <w:pPr>
              <w:spacing w:before="0"/>
              <w:rPr>
                <w:rFonts w:ascii="Arial Narrow" w:hAnsi="Arial Narrow" w:cs="Calibri"/>
                <w:bCs/>
                <w:sz w:val="20"/>
                <w:szCs w:val="20"/>
              </w:rPr>
            </w:pPr>
            <w:r w:rsidRPr="00436840">
              <w:rPr>
                <w:rFonts w:ascii="Arial Narrow" w:hAnsi="Arial Narrow" w:cs="Calibri"/>
                <w:bCs/>
                <w:sz w:val="20"/>
                <w:szCs w:val="20"/>
              </w:rPr>
              <w:t>LLPv2 risk prediction model applied at 5% risk of lung cancer risk over 5 years</w:t>
            </w:r>
            <w:r>
              <w:rPr>
                <w:rFonts w:ascii="Arial Narrow" w:hAnsi="Arial Narrow" w:cs="Calibri"/>
                <w:bCs/>
                <w:sz w:val="20"/>
                <w:szCs w:val="20"/>
              </w:rPr>
              <w:t>.</w:t>
            </w:r>
          </w:p>
        </w:tc>
        <w:tc>
          <w:tcPr>
            <w:tcW w:w="1276" w:type="pct"/>
          </w:tcPr>
          <w:p w14:paraId="4E17CE6F" w14:textId="7D139136" w:rsidR="00C13293" w:rsidRPr="00436840" w:rsidRDefault="00C13293" w:rsidP="00C13293">
            <w:pPr>
              <w:spacing w:before="0"/>
              <w:rPr>
                <w:rFonts w:ascii="Arial Narrow" w:hAnsi="Arial Narrow"/>
                <w:sz w:val="20"/>
                <w:szCs w:val="20"/>
              </w:rPr>
            </w:pPr>
            <w:r w:rsidRPr="00436840">
              <w:rPr>
                <w:rFonts w:ascii="Arial Narrow" w:hAnsi="Arial Narrow"/>
                <w:b/>
                <w:sz w:val="20"/>
                <w:szCs w:val="20"/>
              </w:rPr>
              <w:t>Exclusion:</w:t>
            </w:r>
            <w:r w:rsidRPr="00436840">
              <w:rPr>
                <w:rFonts w:ascii="Arial Narrow" w:hAnsi="Arial Narrow"/>
                <w:sz w:val="20"/>
                <w:szCs w:val="20"/>
              </w:rPr>
              <w:t xml:space="preserve"> Comorbidity which would unequivocally contraindicate either screening or treatment if lung cancer were detected; </w:t>
            </w:r>
            <w:r>
              <w:rPr>
                <w:rFonts w:ascii="Arial Narrow" w:hAnsi="Arial Narrow"/>
                <w:sz w:val="20"/>
                <w:szCs w:val="20"/>
              </w:rPr>
              <w:t>t</w:t>
            </w:r>
            <w:r w:rsidRPr="00436840">
              <w:rPr>
                <w:rFonts w:ascii="Arial Narrow" w:hAnsi="Arial Narrow"/>
                <w:sz w:val="20"/>
                <w:szCs w:val="20"/>
              </w:rPr>
              <w:t>horacic CT performed within 1 year preceding the invitation to be screened</w:t>
            </w:r>
          </w:p>
        </w:tc>
        <w:tc>
          <w:tcPr>
            <w:tcW w:w="287" w:type="pct"/>
          </w:tcPr>
          <w:p w14:paraId="02574488"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UK</w:t>
            </w:r>
          </w:p>
        </w:tc>
        <w:tc>
          <w:tcPr>
            <w:tcW w:w="248" w:type="pct"/>
          </w:tcPr>
          <w:p w14:paraId="68ECBE77" w14:textId="77777777" w:rsidR="00C13293" w:rsidRPr="00436840" w:rsidRDefault="00C13293" w:rsidP="00C13293">
            <w:pPr>
              <w:spacing w:before="0"/>
              <w:rPr>
                <w:rFonts w:ascii="Arial Narrow" w:hAnsi="Arial Narrow"/>
                <w:sz w:val="20"/>
                <w:szCs w:val="20"/>
              </w:rPr>
            </w:pPr>
            <w:r w:rsidRPr="00436840">
              <w:rPr>
                <w:rFonts w:ascii="Arial Narrow" w:hAnsi="Arial Narrow"/>
                <w:sz w:val="20"/>
                <w:szCs w:val="20"/>
              </w:rPr>
              <w:t>Completed</w:t>
            </w:r>
          </w:p>
        </w:tc>
        <w:tc>
          <w:tcPr>
            <w:tcW w:w="398" w:type="pct"/>
          </w:tcPr>
          <w:p w14:paraId="5D53C9C0" w14:textId="77777777" w:rsidR="00C13293" w:rsidRPr="00436840" w:rsidRDefault="00C13293" w:rsidP="00C13293">
            <w:pPr>
              <w:spacing w:before="0"/>
              <w:jc w:val="center"/>
              <w:rPr>
                <w:rFonts w:ascii="Arial Narrow" w:hAnsi="Arial Narrow"/>
                <w:sz w:val="20"/>
                <w:szCs w:val="20"/>
              </w:rPr>
            </w:pPr>
            <w:r w:rsidRPr="00436840">
              <w:rPr>
                <w:rFonts w:ascii="Arial Narrow" w:hAnsi="Arial Narrow"/>
                <w:sz w:val="20"/>
                <w:szCs w:val="20"/>
              </w:rPr>
              <w:t>7.3</w:t>
            </w:r>
          </w:p>
        </w:tc>
        <w:tc>
          <w:tcPr>
            <w:tcW w:w="385" w:type="pct"/>
          </w:tcPr>
          <w:p w14:paraId="726FB884" w14:textId="455A872D" w:rsidR="00C13293" w:rsidRPr="00436840" w:rsidRDefault="00C13293" w:rsidP="00C13293">
            <w:pPr>
              <w:spacing w:before="0"/>
              <w:rPr>
                <w:rFonts w:ascii="Arial Narrow" w:hAnsi="Arial Narrow"/>
                <w:sz w:val="20"/>
                <w:szCs w:val="20"/>
              </w:rPr>
            </w:pPr>
            <w:r>
              <w:rPr>
                <w:rFonts w:ascii="Arial Narrow" w:hAnsi="Arial Narrow"/>
                <w:sz w:val="20"/>
                <w:szCs w:val="20"/>
              </w:rPr>
              <w:t>Intention-to-treat</w:t>
            </w:r>
          </w:p>
        </w:tc>
      </w:tr>
    </w:tbl>
    <w:p w14:paraId="14E203AF" w14:textId="77777777" w:rsidR="002206AB" w:rsidRDefault="002206AB">
      <w:pPr>
        <w:spacing w:before="0"/>
        <w:rPr>
          <w:b/>
        </w:rPr>
      </w:pPr>
      <w:r>
        <w:rPr>
          <w:b/>
        </w:rPr>
        <w:br w:type="page"/>
      </w:r>
    </w:p>
    <w:p w14:paraId="66945DDB" w14:textId="093CCB9B" w:rsidR="008751C7" w:rsidRPr="00436840" w:rsidRDefault="008751C7" w:rsidP="008751C7">
      <w:pPr>
        <w:spacing w:before="0" w:line="256" w:lineRule="auto"/>
        <w:rPr>
          <w:rFonts w:ascii="Arial Narrow" w:hAnsi="Arial Narrow"/>
          <w:b/>
          <w:sz w:val="20"/>
          <w:szCs w:val="20"/>
        </w:rPr>
      </w:pPr>
      <w:r w:rsidRPr="00436840">
        <w:rPr>
          <w:rFonts w:ascii="Arial Narrow" w:hAnsi="Arial Narrow"/>
          <w:b/>
          <w:sz w:val="20"/>
          <w:szCs w:val="20"/>
        </w:rPr>
        <w:lastRenderedPageBreak/>
        <w:t xml:space="preserve">Table </w:t>
      </w:r>
      <w:r w:rsidR="008F06DE" w:rsidRPr="00436840">
        <w:rPr>
          <w:rFonts w:ascii="Arial Narrow" w:hAnsi="Arial Narrow"/>
          <w:b/>
          <w:sz w:val="20"/>
          <w:szCs w:val="20"/>
        </w:rPr>
        <w:t>2</w:t>
      </w:r>
      <w:r w:rsidR="002206AB" w:rsidRPr="00436840">
        <w:rPr>
          <w:rFonts w:ascii="Arial Narrow" w:hAnsi="Arial Narrow"/>
          <w:b/>
          <w:sz w:val="20"/>
          <w:szCs w:val="20"/>
        </w:rPr>
        <w:t>:</w:t>
      </w:r>
      <w:r w:rsidR="005B73B0">
        <w:rPr>
          <w:rFonts w:ascii="Arial Narrow" w:hAnsi="Arial Narrow"/>
          <w:b/>
          <w:sz w:val="20"/>
          <w:szCs w:val="20"/>
        </w:rPr>
        <w:tab/>
      </w:r>
      <w:r w:rsidR="0041025E" w:rsidRPr="00436840">
        <w:rPr>
          <w:rFonts w:ascii="Arial Narrow" w:hAnsi="Arial Narrow"/>
          <w:b/>
          <w:sz w:val="20"/>
          <w:szCs w:val="20"/>
        </w:rPr>
        <w:t>Comparative safety o</w:t>
      </w:r>
      <w:r w:rsidRPr="00436840">
        <w:rPr>
          <w:rFonts w:ascii="Arial Narrow" w:hAnsi="Arial Narrow"/>
          <w:b/>
          <w:sz w:val="20"/>
          <w:szCs w:val="20"/>
        </w:rPr>
        <w:t xml:space="preserve">utcomes of </w:t>
      </w:r>
      <w:r w:rsidR="002206AB" w:rsidRPr="00436840">
        <w:rPr>
          <w:rFonts w:ascii="Arial Narrow" w:hAnsi="Arial Narrow"/>
          <w:b/>
          <w:sz w:val="20"/>
          <w:szCs w:val="20"/>
        </w:rPr>
        <w:t xml:space="preserve">randomised controlled trials </w:t>
      </w:r>
      <w:r w:rsidRPr="00436840">
        <w:rPr>
          <w:rFonts w:ascii="Arial Narrow" w:hAnsi="Arial Narrow"/>
          <w:b/>
          <w:sz w:val="20"/>
          <w:szCs w:val="20"/>
        </w:rPr>
        <w:t>of LDCT-based lung cancer screening programs</w:t>
      </w:r>
    </w:p>
    <w:tbl>
      <w:tblPr>
        <w:tblStyle w:val="TableGrid"/>
        <w:tblW w:w="20838" w:type="dxa"/>
        <w:tblInd w:w="-5" w:type="dxa"/>
        <w:tblLook w:val="04A0" w:firstRow="1" w:lastRow="0" w:firstColumn="1" w:lastColumn="0" w:noHBand="0" w:noVBand="1"/>
      </w:tblPr>
      <w:tblGrid>
        <w:gridCol w:w="1276"/>
        <w:gridCol w:w="2693"/>
        <w:gridCol w:w="1843"/>
        <w:gridCol w:w="1843"/>
        <w:gridCol w:w="5245"/>
        <w:gridCol w:w="7938"/>
      </w:tblGrid>
      <w:tr w:rsidR="008B21D2" w:rsidRPr="005C6820" w14:paraId="695DE32C" w14:textId="77777777" w:rsidTr="00D701F5">
        <w:tc>
          <w:tcPr>
            <w:tcW w:w="1276" w:type="dxa"/>
          </w:tcPr>
          <w:p w14:paraId="6CD71A6D" w14:textId="3627B8E6"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
                <w:sz w:val="20"/>
                <w:szCs w:val="20"/>
              </w:rPr>
              <w:t>Trial ID</w:t>
            </w:r>
          </w:p>
        </w:tc>
        <w:tc>
          <w:tcPr>
            <w:tcW w:w="2693" w:type="dxa"/>
          </w:tcPr>
          <w:p w14:paraId="131DA902" w14:textId="0A3A4245"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b/>
                <w:sz w:val="20"/>
                <w:szCs w:val="20"/>
              </w:rPr>
              <w:t>Overdiagnosis</w:t>
            </w:r>
            <w:r w:rsidR="008B21D2">
              <w:rPr>
                <w:rFonts w:ascii="Arial Narrow" w:eastAsia="Calibri" w:hAnsi="Arial Narrow" w:cs="Times New Roman"/>
                <w:b/>
                <w:sz w:val="20"/>
                <w:szCs w:val="20"/>
              </w:rPr>
              <w:t xml:space="preserve"> (95% CI)</w:t>
            </w:r>
          </w:p>
        </w:tc>
        <w:tc>
          <w:tcPr>
            <w:tcW w:w="1843" w:type="dxa"/>
          </w:tcPr>
          <w:p w14:paraId="73E96A4B" w14:textId="43ABFE2E" w:rsidR="00F914FA" w:rsidRPr="005C6820" w:rsidRDefault="000368BE" w:rsidP="008B21D2">
            <w:pPr>
              <w:spacing w:before="0" w:line="256" w:lineRule="auto"/>
              <w:jc w:val="center"/>
              <w:rPr>
                <w:rFonts w:ascii="Arial Narrow" w:hAnsi="Arial Narrow"/>
                <w:bCs/>
                <w:sz w:val="20"/>
                <w:szCs w:val="20"/>
              </w:rPr>
            </w:pPr>
            <w:r>
              <w:rPr>
                <w:rFonts w:ascii="Arial Narrow" w:eastAsia="Calibri" w:hAnsi="Arial Narrow" w:cs="Times New Roman"/>
                <w:b/>
                <w:sz w:val="20"/>
                <w:szCs w:val="20"/>
              </w:rPr>
              <w:t>False positive rates (95% CI</w:t>
            </w:r>
            <w:r w:rsidR="00F914FA" w:rsidRPr="00436840">
              <w:rPr>
                <w:rFonts w:ascii="Arial Narrow" w:eastAsia="Calibri" w:hAnsi="Arial Narrow" w:cs="Times New Roman"/>
                <w:b/>
                <w:sz w:val="20"/>
                <w:szCs w:val="20"/>
              </w:rPr>
              <w:t>)</w:t>
            </w:r>
          </w:p>
        </w:tc>
        <w:tc>
          <w:tcPr>
            <w:tcW w:w="1843" w:type="dxa"/>
          </w:tcPr>
          <w:p w14:paraId="5C9FC4C4" w14:textId="49A06825"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b/>
                <w:sz w:val="20"/>
                <w:szCs w:val="20"/>
              </w:rPr>
              <w:t>False negative rates</w:t>
            </w:r>
            <w:r w:rsidR="000368BE">
              <w:rPr>
                <w:rFonts w:ascii="Arial Narrow" w:eastAsia="Calibri" w:hAnsi="Arial Narrow" w:cs="Times New Roman"/>
                <w:b/>
                <w:sz w:val="20"/>
                <w:szCs w:val="20"/>
              </w:rPr>
              <w:t xml:space="preserve"> (95% CI)</w:t>
            </w:r>
          </w:p>
        </w:tc>
        <w:tc>
          <w:tcPr>
            <w:tcW w:w="5245" w:type="dxa"/>
          </w:tcPr>
          <w:p w14:paraId="784C876A" w14:textId="0ADDA59E"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
                <w:sz w:val="20"/>
                <w:szCs w:val="20"/>
              </w:rPr>
              <w:t>Psychological consequences of LDCT and subsequent findings</w:t>
            </w:r>
          </w:p>
        </w:tc>
        <w:tc>
          <w:tcPr>
            <w:tcW w:w="7938" w:type="dxa"/>
          </w:tcPr>
          <w:p w14:paraId="2AF3E326" w14:textId="74275BB0"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
                <w:sz w:val="20"/>
                <w:szCs w:val="20"/>
              </w:rPr>
              <w:t>Study conclusions</w:t>
            </w:r>
          </w:p>
        </w:tc>
      </w:tr>
      <w:tr w:rsidR="008B21D2" w:rsidRPr="005C6820" w14:paraId="1B3F9C3D" w14:textId="77777777" w:rsidTr="00D701F5">
        <w:tc>
          <w:tcPr>
            <w:tcW w:w="1276" w:type="dxa"/>
          </w:tcPr>
          <w:p w14:paraId="21B2ED4E" w14:textId="53B1E28D" w:rsidR="00F914FA" w:rsidRPr="00436840" w:rsidRDefault="00F914FA" w:rsidP="00F914FA">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AME</w:t>
            </w:r>
            <w:r w:rsidR="00873F9A" w:rsidRPr="00873F9A">
              <w:rPr>
                <w:rFonts w:ascii="Arial Narrow" w:eastAsia="Calibri" w:hAnsi="Arial Narrow" w:cs="Times New Roman"/>
                <w:sz w:val="20"/>
                <w:szCs w:val="20"/>
                <w:vertAlign w:val="superscript"/>
              </w:rPr>
              <w:t>9</w:t>
            </w:r>
          </w:p>
          <w:p w14:paraId="51E0FBEE" w14:textId="68469769"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sz w:val="20"/>
                <w:szCs w:val="20"/>
              </w:rPr>
              <w:t>2013</w:t>
            </w:r>
          </w:p>
        </w:tc>
        <w:tc>
          <w:tcPr>
            <w:tcW w:w="2693" w:type="dxa"/>
          </w:tcPr>
          <w:p w14:paraId="3F2DB759"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57DF9BA9" w14:textId="5A26F35F"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sz w:val="20"/>
                <w:szCs w:val="20"/>
              </w:rPr>
              <w:t>21.8% (753/3460)</w:t>
            </w:r>
          </w:p>
        </w:tc>
        <w:tc>
          <w:tcPr>
            <w:tcW w:w="1843" w:type="dxa"/>
          </w:tcPr>
          <w:p w14:paraId="3863836D" w14:textId="77777777" w:rsidR="00F914FA" w:rsidRPr="005C6820" w:rsidRDefault="00F914FA" w:rsidP="008B21D2">
            <w:pPr>
              <w:spacing w:before="0" w:line="256" w:lineRule="auto"/>
              <w:jc w:val="center"/>
              <w:rPr>
                <w:rFonts w:ascii="Arial Narrow" w:hAnsi="Arial Narrow"/>
                <w:bCs/>
                <w:sz w:val="20"/>
                <w:szCs w:val="20"/>
              </w:rPr>
            </w:pPr>
          </w:p>
        </w:tc>
        <w:tc>
          <w:tcPr>
            <w:tcW w:w="5245" w:type="dxa"/>
          </w:tcPr>
          <w:p w14:paraId="5CB5CF0D" w14:textId="77777777" w:rsidR="00F914FA" w:rsidRPr="005C6820" w:rsidRDefault="00F914FA" w:rsidP="00F914FA">
            <w:pPr>
              <w:spacing w:before="0" w:line="256" w:lineRule="auto"/>
              <w:rPr>
                <w:rFonts w:ascii="Arial Narrow" w:hAnsi="Arial Narrow"/>
                <w:bCs/>
                <w:sz w:val="20"/>
                <w:szCs w:val="20"/>
              </w:rPr>
            </w:pPr>
          </w:p>
        </w:tc>
        <w:tc>
          <w:tcPr>
            <w:tcW w:w="7938" w:type="dxa"/>
          </w:tcPr>
          <w:p w14:paraId="45D5197D" w14:textId="7F972DCD" w:rsidR="00F914FA" w:rsidRPr="005C6820" w:rsidRDefault="00F914FA" w:rsidP="000368BE">
            <w:pPr>
              <w:spacing w:before="0"/>
              <w:rPr>
                <w:rFonts w:ascii="Arial Narrow" w:hAnsi="Arial Narrow"/>
                <w:bCs/>
                <w:sz w:val="20"/>
                <w:szCs w:val="20"/>
              </w:rPr>
            </w:pPr>
            <w:r w:rsidRPr="00436840">
              <w:rPr>
                <w:rFonts w:ascii="Arial Narrow" w:eastAsia="Calibri" w:hAnsi="Arial Narrow" w:cs="Times New Roman"/>
                <w:sz w:val="20"/>
                <w:szCs w:val="20"/>
              </w:rPr>
              <w:t>In this study, at baseline, non-calcified nodules</w:t>
            </w:r>
            <w:r w:rsidR="000368B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≥4 mm w</w:t>
            </w:r>
            <w:r w:rsidR="002B7FE2">
              <w:rPr>
                <w:rFonts w:ascii="Arial Narrow" w:eastAsia="Calibri" w:hAnsi="Arial Narrow" w:cs="Times New Roman"/>
                <w:sz w:val="20"/>
                <w:szCs w:val="20"/>
              </w:rPr>
              <w:t>ere</w:t>
            </w:r>
            <w:r w:rsidRPr="00436840">
              <w:rPr>
                <w:rFonts w:ascii="Arial Narrow" w:eastAsia="Calibri" w:hAnsi="Arial Narrow" w:cs="Times New Roman"/>
                <w:sz w:val="20"/>
                <w:szCs w:val="20"/>
              </w:rPr>
              <w:t xml:space="preserve"> detected in </w:t>
            </w:r>
            <w:r w:rsidR="002B7FE2">
              <w:rPr>
                <w:rFonts w:ascii="Arial Narrow" w:eastAsia="Calibri" w:hAnsi="Arial Narrow" w:cs="Times New Roman"/>
                <w:sz w:val="20"/>
                <w:szCs w:val="20"/>
              </w:rPr>
              <w:t>804/3512 (</w:t>
            </w:r>
            <w:r w:rsidRPr="00436840">
              <w:rPr>
                <w:rFonts w:ascii="Arial Narrow" w:eastAsia="Calibri" w:hAnsi="Arial Narrow" w:cs="Times New Roman"/>
                <w:sz w:val="20"/>
                <w:szCs w:val="20"/>
              </w:rPr>
              <w:t>22.9%</w:t>
            </w:r>
            <w:r w:rsidR="002B7FE2">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participants on</w:t>
            </w:r>
            <w:r w:rsidR="000368B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baseline low-dose CT</w:t>
            </w:r>
            <w:r w:rsidR="002B7FE2">
              <w:rPr>
                <w:rFonts w:ascii="Arial Narrow" w:eastAsia="Calibri" w:hAnsi="Arial Narrow" w:cs="Times New Roman"/>
                <w:sz w:val="20"/>
                <w:szCs w:val="20"/>
              </w:rPr>
              <w:t>,</w:t>
            </w:r>
            <w:r w:rsidR="002B7FE2">
              <w:t xml:space="preserve"> </w:t>
            </w:r>
            <w:r w:rsidR="002B7FE2" w:rsidRPr="00597F74">
              <w:rPr>
                <w:rFonts w:ascii="Arial Narrow" w:eastAsia="Calibri" w:hAnsi="Arial Narrow" w:cs="Times New Roman"/>
                <w:sz w:val="20"/>
                <w:szCs w:val="20"/>
              </w:rPr>
              <w:t>and 6.3% (51 of 804) of these</w:t>
            </w:r>
            <w:r w:rsidR="002B7FE2">
              <w:rPr>
                <w:rFonts w:ascii="Arial Narrow" w:eastAsia="Calibri" w:hAnsi="Arial Narrow" w:cs="Times New Roman"/>
                <w:sz w:val="20"/>
                <w:szCs w:val="20"/>
              </w:rPr>
              <w:t xml:space="preserve"> </w:t>
            </w:r>
            <w:r w:rsidR="002B7FE2" w:rsidRPr="00597F74">
              <w:rPr>
                <w:rFonts w:ascii="Arial Narrow" w:eastAsia="Calibri" w:hAnsi="Arial Narrow" w:cs="Times New Roman"/>
                <w:sz w:val="20"/>
                <w:szCs w:val="20"/>
              </w:rPr>
              <w:t>w</w:t>
            </w:r>
            <w:r w:rsidR="002B7FE2">
              <w:rPr>
                <w:rFonts w:ascii="Arial Narrow" w:eastAsia="Calibri" w:hAnsi="Arial Narrow" w:cs="Times New Roman"/>
                <w:sz w:val="20"/>
                <w:szCs w:val="20"/>
              </w:rPr>
              <w:t>ere</w:t>
            </w:r>
            <w:r w:rsidR="002B7FE2" w:rsidRPr="00597F74">
              <w:rPr>
                <w:rFonts w:ascii="Arial Narrow" w:eastAsia="Calibri" w:hAnsi="Arial Narrow" w:cs="Times New Roman"/>
                <w:sz w:val="20"/>
                <w:szCs w:val="20"/>
              </w:rPr>
              <w:t xml:space="preserve"> malignan</w:t>
            </w:r>
            <w:r w:rsidR="002B7FE2">
              <w:rPr>
                <w:rFonts w:ascii="Arial Narrow" w:eastAsia="Calibri" w:hAnsi="Arial Narrow" w:cs="Times New Roman"/>
                <w:sz w:val="20"/>
                <w:szCs w:val="20"/>
              </w:rPr>
              <w:t>t.</w:t>
            </w:r>
          </w:p>
        </w:tc>
      </w:tr>
      <w:tr w:rsidR="008B21D2" w:rsidRPr="005C6820" w14:paraId="57CD92FA" w14:textId="77777777" w:rsidTr="00D701F5">
        <w:tc>
          <w:tcPr>
            <w:tcW w:w="1276" w:type="dxa"/>
          </w:tcPr>
          <w:p w14:paraId="12442A1A" w14:textId="7A795B2F" w:rsidR="00F914FA" w:rsidRPr="00436840" w:rsidRDefault="00F914FA" w:rsidP="00F914FA">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DANTE</w:t>
            </w:r>
            <w:r w:rsidR="00873F9A" w:rsidRPr="00873F9A">
              <w:rPr>
                <w:rFonts w:ascii="Arial Narrow" w:eastAsia="Calibri" w:hAnsi="Arial Narrow" w:cs="Times New Roman"/>
                <w:bCs/>
                <w:sz w:val="20"/>
                <w:szCs w:val="20"/>
                <w:vertAlign w:val="superscript"/>
              </w:rPr>
              <w:t>3</w:t>
            </w:r>
            <w:r w:rsidR="002E07B7">
              <w:rPr>
                <w:rFonts w:ascii="Arial Narrow" w:eastAsia="Calibri" w:hAnsi="Arial Narrow" w:cs="Times New Roman"/>
                <w:bCs/>
                <w:sz w:val="20"/>
                <w:szCs w:val="20"/>
                <w:vertAlign w:val="superscript"/>
              </w:rPr>
              <w:t>1</w:t>
            </w:r>
          </w:p>
          <w:p w14:paraId="7259A31A" w14:textId="5C0FD85F"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2001</w:t>
            </w:r>
          </w:p>
        </w:tc>
        <w:tc>
          <w:tcPr>
            <w:tcW w:w="2693" w:type="dxa"/>
          </w:tcPr>
          <w:p w14:paraId="73D31F91"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056EF916"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0D567AC4" w14:textId="715920A4" w:rsidR="00F914FA" w:rsidRPr="005C6820" w:rsidRDefault="00F914FA" w:rsidP="008B21D2">
            <w:pPr>
              <w:spacing w:before="0" w:line="256" w:lineRule="auto"/>
              <w:jc w:val="center"/>
              <w:rPr>
                <w:rFonts w:ascii="Arial Narrow" w:hAnsi="Arial Narrow"/>
                <w:bCs/>
                <w:sz w:val="20"/>
                <w:szCs w:val="20"/>
              </w:rPr>
            </w:pPr>
          </w:p>
        </w:tc>
        <w:tc>
          <w:tcPr>
            <w:tcW w:w="5245" w:type="dxa"/>
          </w:tcPr>
          <w:p w14:paraId="49B06667" w14:textId="77777777" w:rsidR="00F914FA" w:rsidRPr="005C6820" w:rsidRDefault="00F914FA" w:rsidP="00F914FA">
            <w:pPr>
              <w:spacing w:before="0" w:line="256" w:lineRule="auto"/>
              <w:rPr>
                <w:rFonts w:ascii="Arial Narrow" w:hAnsi="Arial Narrow"/>
                <w:bCs/>
                <w:sz w:val="20"/>
                <w:szCs w:val="20"/>
              </w:rPr>
            </w:pPr>
          </w:p>
        </w:tc>
        <w:tc>
          <w:tcPr>
            <w:tcW w:w="7938" w:type="dxa"/>
          </w:tcPr>
          <w:p w14:paraId="0F5555E9" w14:textId="78CE95BB" w:rsidR="00F914FA" w:rsidRPr="005C6820" w:rsidRDefault="002B7FE2" w:rsidP="000368BE">
            <w:pPr>
              <w:spacing w:before="0"/>
              <w:rPr>
                <w:rFonts w:ascii="Arial Narrow" w:hAnsi="Arial Narrow"/>
                <w:bCs/>
                <w:sz w:val="20"/>
                <w:szCs w:val="20"/>
              </w:rPr>
            </w:pPr>
            <w:r>
              <w:rPr>
                <w:rFonts w:ascii="Arial Narrow" w:eastAsia="Calibri" w:hAnsi="Arial Narrow" w:cs="Times New Roman"/>
                <w:bCs/>
                <w:sz w:val="20"/>
                <w:szCs w:val="20"/>
              </w:rPr>
              <w:t xml:space="preserve">No information </w:t>
            </w:r>
            <w:r w:rsidR="00403AC9">
              <w:rPr>
                <w:rFonts w:ascii="Arial Narrow" w:eastAsia="Calibri" w:hAnsi="Arial Narrow" w:cs="Times New Roman"/>
                <w:bCs/>
                <w:sz w:val="20"/>
                <w:szCs w:val="20"/>
              </w:rPr>
              <w:t>wa</w:t>
            </w:r>
            <w:r>
              <w:rPr>
                <w:rFonts w:ascii="Arial Narrow" w:eastAsia="Calibri" w:hAnsi="Arial Narrow" w:cs="Times New Roman"/>
                <w:bCs/>
                <w:sz w:val="20"/>
                <w:szCs w:val="20"/>
              </w:rPr>
              <w:t>s provided on comparative safety outcomes</w:t>
            </w:r>
            <w:r w:rsidR="00F914FA" w:rsidRPr="00436840">
              <w:rPr>
                <w:rFonts w:ascii="Arial Narrow" w:eastAsia="Calibri" w:hAnsi="Arial Narrow" w:cs="Times New Roman"/>
                <w:bCs/>
                <w:sz w:val="20"/>
                <w:szCs w:val="20"/>
              </w:rPr>
              <w:t>.</w:t>
            </w:r>
          </w:p>
        </w:tc>
      </w:tr>
      <w:tr w:rsidR="008B21D2" w:rsidRPr="005C6820" w14:paraId="31C02C93" w14:textId="77777777" w:rsidTr="00D701F5">
        <w:tc>
          <w:tcPr>
            <w:tcW w:w="1276" w:type="dxa"/>
          </w:tcPr>
          <w:p w14:paraId="1020AC77" w14:textId="0E374D0C" w:rsidR="00F914FA" w:rsidRPr="00436840" w:rsidRDefault="00F914FA" w:rsidP="00F914FA">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DLCST</w:t>
            </w:r>
            <w:r w:rsidR="0056531C" w:rsidRPr="0056531C">
              <w:rPr>
                <w:rFonts w:ascii="Arial Narrow" w:eastAsia="Calibri" w:hAnsi="Arial Narrow" w:cs="Times New Roman"/>
                <w:bCs/>
                <w:sz w:val="20"/>
                <w:szCs w:val="20"/>
                <w:vertAlign w:val="superscript"/>
              </w:rPr>
              <w:t>3</w:t>
            </w:r>
            <w:r w:rsidR="002E07B7">
              <w:rPr>
                <w:rFonts w:ascii="Arial Narrow" w:eastAsia="Calibri" w:hAnsi="Arial Narrow" w:cs="Times New Roman"/>
                <w:bCs/>
                <w:sz w:val="20"/>
                <w:szCs w:val="20"/>
                <w:vertAlign w:val="superscript"/>
              </w:rPr>
              <w:t>2</w:t>
            </w:r>
          </w:p>
          <w:p w14:paraId="048C57AB" w14:textId="50850CA6"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2004</w:t>
            </w:r>
          </w:p>
        </w:tc>
        <w:tc>
          <w:tcPr>
            <w:tcW w:w="2693" w:type="dxa"/>
          </w:tcPr>
          <w:p w14:paraId="372776E7" w14:textId="77777777" w:rsidR="008B21D2" w:rsidRDefault="00F914FA" w:rsidP="008B21D2">
            <w:pPr>
              <w:spacing w:before="0" w:line="256" w:lineRule="auto"/>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67.2%</w:t>
            </w:r>
          </w:p>
          <w:p w14:paraId="170BDC3E" w14:textId="00095264"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(in Heleno et al 2018)</w:t>
            </w:r>
          </w:p>
        </w:tc>
        <w:tc>
          <w:tcPr>
            <w:tcW w:w="1843" w:type="dxa"/>
          </w:tcPr>
          <w:p w14:paraId="37F641AA" w14:textId="77777777" w:rsidR="008B21D2" w:rsidRDefault="00F914FA" w:rsidP="008B21D2">
            <w:pPr>
              <w:spacing w:before="0" w:line="256" w:lineRule="auto"/>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3%</w:t>
            </w:r>
          </w:p>
          <w:p w14:paraId="3D0CF4F0" w14:textId="7D41E92D"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w:t>
            </w:r>
            <w:r w:rsidR="008B21D2">
              <w:rPr>
                <w:rFonts w:ascii="Arial Narrow" w:eastAsia="Calibri" w:hAnsi="Arial Narrow" w:cs="Times New Roman"/>
                <w:bCs/>
                <w:sz w:val="20"/>
                <w:szCs w:val="20"/>
              </w:rPr>
              <w:t xml:space="preserve">in </w:t>
            </w:r>
            <w:r w:rsidRPr="00436840">
              <w:rPr>
                <w:rFonts w:ascii="Arial Narrow" w:eastAsia="Calibri" w:hAnsi="Arial Narrow" w:cs="Times New Roman"/>
                <w:bCs/>
                <w:sz w:val="20"/>
                <w:szCs w:val="20"/>
              </w:rPr>
              <w:t>Saghir et al 2012)</w:t>
            </w:r>
          </w:p>
        </w:tc>
        <w:tc>
          <w:tcPr>
            <w:tcW w:w="1843" w:type="dxa"/>
          </w:tcPr>
          <w:p w14:paraId="351D80CB" w14:textId="77777777" w:rsidR="00F914FA" w:rsidRPr="005C6820" w:rsidRDefault="00F914FA" w:rsidP="008B21D2">
            <w:pPr>
              <w:spacing w:before="0" w:line="256" w:lineRule="auto"/>
              <w:jc w:val="center"/>
              <w:rPr>
                <w:rFonts w:ascii="Arial Narrow" w:hAnsi="Arial Narrow"/>
                <w:bCs/>
                <w:sz w:val="20"/>
                <w:szCs w:val="20"/>
              </w:rPr>
            </w:pPr>
          </w:p>
        </w:tc>
        <w:tc>
          <w:tcPr>
            <w:tcW w:w="5245" w:type="dxa"/>
          </w:tcPr>
          <w:p w14:paraId="49281862" w14:textId="5ACB84F1" w:rsidR="002B7FE2" w:rsidRDefault="002B7FE2" w:rsidP="00F914FA">
            <w:pPr>
              <w:spacing w:before="0"/>
              <w:rPr>
                <w:rFonts w:ascii="Arial Narrow" w:eastAsia="Calibri" w:hAnsi="Arial Narrow" w:cs="Times New Roman"/>
                <w:bCs/>
                <w:sz w:val="20"/>
                <w:szCs w:val="20"/>
              </w:rPr>
            </w:pPr>
            <w:r>
              <w:rPr>
                <w:rFonts w:ascii="Arial Narrow" w:eastAsia="Calibri" w:hAnsi="Arial Narrow" w:cs="Times New Roman"/>
                <w:bCs/>
                <w:sz w:val="20"/>
                <w:szCs w:val="20"/>
              </w:rPr>
              <w:t>R</w:t>
            </w:r>
            <w:r w:rsidR="00F914FA" w:rsidRPr="00436840">
              <w:rPr>
                <w:rFonts w:ascii="Arial Narrow" w:eastAsia="Calibri" w:hAnsi="Arial Narrow" w:cs="Times New Roman"/>
                <w:bCs/>
                <w:sz w:val="20"/>
                <w:szCs w:val="20"/>
              </w:rPr>
              <w:t xml:space="preserve">educed psychological consequences </w:t>
            </w:r>
            <w:r>
              <w:rPr>
                <w:rFonts w:ascii="Arial Narrow" w:eastAsia="Calibri" w:hAnsi="Arial Narrow" w:cs="Times New Roman"/>
                <w:bCs/>
                <w:sz w:val="20"/>
                <w:szCs w:val="20"/>
              </w:rPr>
              <w:t xml:space="preserve">(anxiety, behaviour, dejection, and negative impact on sleep, respectively) </w:t>
            </w:r>
            <w:r w:rsidR="00F914FA" w:rsidRPr="00436840">
              <w:rPr>
                <w:rFonts w:ascii="Arial Narrow" w:eastAsia="Calibri" w:hAnsi="Arial Narrow" w:cs="Times New Roman"/>
                <w:bCs/>
                <w:sz w:val="20"/>
                <w:szCs w:val="20"/>
              </w:rPr>
              <w:t>for LDCT</w:t>
            </w:r>
            <w:r>
              <w:rPr>
                <w:rFonts w:ascii="Arial Narrow" w:eastAsia="Calibri" w:hAnsi="Arial Narrow" w:cs="Times New Roman"/>
                <w:bCs/>
                <w:sz w:val="20"/>
                <w:szCs w:val="20"/>
              </w:rPr>
              <w:t>:</w:t>
            </w:r>
          </w:p>
          <w:p w14:paraId="098B26BC" w14:textId="11B7074A" w:rsidR="00F914FA" w:rsidRPr="00436840" w:rsidRDefault="002B7FE2" w:rsidP="00F914FA">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Prevalence round (Y</w:t>
            </w:r>
            <w:r>
              <w:rPr>
                <w:rFonts w:ascii="Arial Narrow" w:eastAsia="Calibri" w:hAnsi="Arial Narrow" w:cs="Times New Roman"/>
                <w:bCs/>
                <w:sz w:val="20"/>
                <w:szCs w:val="20"/>
              </w:rPr>
              <w:t xml:space="preserve">ear </w:t>
            </w:r>
            <w:r w:rsidRPr="00436840">
              <w:rPr>
                <w:rFonts w:ascii="Arial Narrow" w:eastAsia="Calibri" w:hAnsi="Arial Narrow" w:cs="Times New Roman"/>
                <w:bCs/>
                <w:sz w:val="20"/>
                <w:szCs w:val="20"/>
              </w:rPr>
              <w:t>1)</w:t>
            </w:r>
            <w:r w:rsidR="00F914FA" w:rsidRPr="00436840">
              <w:rPr>
                <w:rFonts w:ascii="Arial Narrow" w:eastAsia="Calibri" w:hAnsi="Arial Narrow" w:cs="Times New Roman"/>
                <w:bCs/>
                <w:sz w:val="20"/>
                <w:szCs w:val="20"/>
              </w:rPr>
              <w:t>. p-values: 0.07, 0.05, 0.03</w:t>
            </w:r>
            <w:r>
              <w:rPr>
                <w:rFonts w:ascii="Arial Narrow" w:eastAsia="Calibri" w:hAnsi="Arial Narrow" w:cs="Times New Roman"/>
                <w:bCs/>
                <w:sz w:val="20"/>
                <w:szCs w:val="20"/>
              </w:rPr>
              <w:t>,</w:t>
            </w:r>
            <w:r w:rsidR="00F914FA" w:rsidRPr="00436840">
              <w:rPr>
                <w:rFonts w:ascii="Arial Narrow" w:eastAsia="Calibri" w:hAnsi="Arial Narrow" w:cs="Times New Roman"/>
                <w:bCs/>
                <w:sz w:val="20"/>
                <w:szCs w:val="20"/>
              </w:rPr>
              <w:t xml:space="preserve"> and 0.20</w:t>
            </w:r>
          </w:p>
          <w:p w14:paraId="3A59B065" w14:textId="359F6BB0" w:rsidR="00F914FA" w:rsidRPr="00436840" w:rsidRDefault="00F914FA" w:rsidP="00F914FA">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Incidence round (Y</w:t>
            </w:r>
            <w:r w:rsidR="000368BE">
              <w:rPr>
                <w:rFonts w:ascii="Arial Narrow" w:eastAsia="Calibri" w:hAnsi="Arial Narrow" w:cs="Times New Roman"/>
                <w:bCs/>
                <w:sz w:val="20"/>
                <w:szCs w:val="20"/>
              </w:rPr>
              <w:t xml:space="preserve">ear </w:t>
            </w:r>
            <w:r w:rsidRPr="00436840">
              <w:rPr>
                <w:rFonts w:ascii="Arial Narrow" w:eastAsia="Calibri" w:hAnsi="Arial Narrow" w:cs="Times New Roman"/>
                <w:bCs/>
                <w:sz w:val="20"/>
                <w:szCs w:val="20"/>
              </w:rPr>
              <w:t>2): p-values: 0.03, 0.01, 0.01</w:t>
            </w:r>
            <w:r w:rsidR="002B7FE2">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and 0.10</w:t>
            </w:r>
          </w:p>
          <w:p w14:paraId="47E2AAE9" w14:textId="1DD0F214"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Less worsening of psychological consequences in LDCT vs. control</w:t>
            </w:r>
          </w:p>
        </w:tc>
        <w:tc>
          <w:tcPr>
            <w:tcW w:w="7938" w:type="dxa"/>
          </w:tcPr>
          <w:p w14:paraId="5DC38B34" w14:textId="73E3A581"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Overdiagnosis could be a substantial problem associated with lung cancer screening in a population with these characteristics. There were both relatively few false-positive screens and few interval cancers in the DLCST.</w:t>
            </w:r>
          </w:p>
        </w:tc>
      </w:tr>
      <w:tr w:rsidR="008B21D2" w:rsidRPr="005C6820" w14:paraId="237385AD" w14:textId="77777777" w:rsidTr="00D701F5">
        <w:tc>
          <w:tcPr>
            <w:tcW w:w="1276" w:type="dxa"/>
          </w:tcPr>
          <w:p w14:paraId="5C323EC8" w14:textId="0869C614" w:rsidR="00F914FA" w:rsidRPr="00436840" w:rsidRDefault="00F914FA" w:rsidP="00F914FA">
            <w:pPr>
              <w:spacing w:before="0"/>
              <w:rPr>
                <w:rFonts w:ascii="Arial Narrow" w:eastAsia="Calibri" w:hAnsi="Arial Narrow" w:cs="Times New Roman"/>
                <w:sz w:val="20"/>
                <w:szCs w:val="20"/>
                <w:vertAlign w:val="superscript"/>
              </w:rPr>
            </w:pPr>
            <w:r w:rsidRPr="00436840">
              <w:rPr>
                <w:rFonts w:ascii="Arial Narrow" w:eastAsia="Calibri" w:hAnsi="Arial Narrow" w:cs="Times New Roman"/>
                <w:sz w:val="20"/>
                <w:szCs w:val="20"/>
              </w:rPr>
              <w:t>ITALUNG</w:t>
            </w:r>
            <w:r w:rsidR="0056531C" w:rsidRPr="0056531C">
              <w:rPr>
                <w:rFonts w:ascii="Arial Narrow" w:eastAsia="Calibri" w:hAnsi="Arial Narrow" w:cs="Times New Roman"/>
                <w:sz w:val="20"/>
                <w:szCs w:val="20"/>
                <w:vertAlign w:val="superscript"/>
              </w:rPr>
              <w:t>3</w:t>
            </w:r>
            <w:r w:rsidR="002E07B7">
              <w:rPr>
                <w:rFonts w:ascii="Arial Narrow" w:eastAsia="Calibri" w:hAnsi="Arial Narrow" w:cs="Times New Roman"/>
                <w:sz w:val="20"/>
                <w:szCs w:val="20"/>
                <w:vertAlign w:val="superscript"/>
              </w:rPr>
              <w:t>3</w:t>
            </w:r>
          </w:p>
          <w:p w14:paraId="347ABF59" w14:textId="0E9F7652"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sz w:val="20"/>
                <w:szCs w:val="20"/>
              </w:rPr>
              <w:t>2004</w:t>
            </w:r>
          </w:p>
        </w:tc>
        <w:tc>
          <w:tcPr>
            <w:tcW w:w="2693" w:type="dxa"/>
          </w:tcPr>
          <w:p w14:paraId="640B78CB" w14:textId="523EA0E7" w:rsidR="00F914FA" w:rsidRPr="005C6820" w:rsidRDefault="00F914FA" w:rsidP="008B21D2">
            <w:pPr>
              <w:spacing w:before="0" w:line="256" w:lineRule="auto"/>
              <w:jc w:val="center"/>
              <w:rPr>
                <w:rFonts w:ascii="Arial Narrow" w:hAnsi="Arial Narrow"/>
                <w:bCs/>
                <w:sz w:val="20"/>
                <w:szCs w:val="20"/>
              </w:rPr>
            </w:pPr>
            <w:r w:rsidRPr="00436840">
              <w:rPr>
                <w:rFonts w:ascii="Arial Narrow" w:eastAsia="Calibri" w:hAnsi="Arial Narrow" w:cs="Times New Roman"/>
                <w:sz w:val="20"/>
                <w:szCs w:val="20"/>
              </w:rPr>
              <w:t>N</w:t>
            </w:r>
            <w:r w:rsidR="008B21D2">
              <w:rPr>
                <w:rFonts w:ascii="Arial Narrow" w:eastAsia="Calibri" w:hAnsi="Arial Narrow" w:cs="Times New Roman"/>
                <w:sz w:val="20"/>
                <w:szCs w:val="20"/>
              </w:rPr>
              <w:t>il</w:t>
            </w:r>
          </w:p>
        </w:tc>
        <w:tc>
          <w:tcPr>
            <w:tcW w:w="1843" w:type="dxa"/>
          </w:tcPr>
          <w:p w14:paraId="2725FE2E"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7794FCE7" w14:textId="77777777" w:rsidR="00F914FA" w:rsidRPr="005C6820" w:rsidRDefault="00F914FA" w:rsidP="008B21D2">
            <w:pPr>
              <w:spacing w:before="0" w:line="256" w:lineRule="auto"/>
              <w:jc w:val="center"/>
              <w:rPr>
                <w:rFonts w:ascii="Arial Narrow" w:hAnsi="Arial Narrow"/>
                <w:bCs/>
                <w:sz w:val="20"/>
                <w:szCs w:val="20"/>
              </w:rPr>
            </w:pPr>
          </w:p>
        </w:tc>
        <w:tc>
          <w:tcPr>
            <w:tcW w:w="5245" w:type="dxa"/>
          </w:tcPr>
          <w:p w14:paraId="29B73416" w14:textId="77777777" w:rsidR="00F914FA" w:rsidRPr="005C6820" w:rsidRDefault="00F914FA" w:rsidP="00F914FA">
            <w:pPr>
              <w:spacing w:before="0" w:line="256" w:lineRule="auto"/>
              <w:rPr>
                <w:rFonts w:ascii="Arial Narrow" w:hAnsi="Arial Narrow"/>
                <w:bCs/>
                <w:sz w:val="20"/>
                <w:szCs w:val="20"/>
              </w:rPr>
            </w:pPr>
          </w:p>
        </w:tc>
        <w:tc>
          <w:tcPr>
            <w:tcW w:w="7938" w:type="dxa"/>
          </w:tcPr>
          <w:p w14:paraId="745607BB" w14:textId="21BEDEC9"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sz w:val="20"/>
                <w:szCs w:val="20"/>
              </w:rPr>
              <w:t xml:space="preserve">Together with the high false positive rate, overdiagnosis is the major potentially harmful effect of LDCT screening. Although further studies are necessary to confirm our results, the comparison of the number of </w:t>
            </w:r>
            <w:r>
              <w:rPr>
                <w:rFonts w:ascii="Arial Narrow" w:eastAsia="Calibri" w:hAnsi="Arial Narrow" w:cs="Times New Roman"/>
                <w:sz w:val="20"/>
                <w:szCs w:val="20"/>
              </w:rPr>
              <w:t>lung cancer</w:t>
            </w:r>
            <w:r w:rsidRPr="00436840">
              <w:rPr>
                <w:rFonts w:ascii="Arial Narrow" w:eastAsia="Calibri" w:hAnsi="Arial Narrow" w:cs="Times New Roman"/>
                <w:sz w:val="20"/>
                <w:szCs w:val="20"/>
              </w:rPr>
              <w:t xml:space="preserve"> cases diagnosed in the two groups in the ITALUNG study does not suggest overdiagnosis after an adequate follow-up period.</w:t>
            </w:r>
          </w:p>
        </w:tc>
      </w:tr>
      <w:tr w:rsidR="008B21D2" w:rsidRPr="005C6820" w14:paraId="3280095A" w14:textId="77777777" w:rsidTr="00D701F5">
        <w:tc>
          <w:tcPr>
            <w:tcW w:w="1276" w:type="dxa"/>
          </w:tcPr>
          <w:p w14:paraId="3FDCBD8B" w14:textId="320A591C" w:rsidR="00F914FA" w:rsidRPr="00436840" w:rsidRDefault="00F914FA" w:rsidP="00F914FA">
            <w:pPr>
              <w:spacing w:before="0"/>
              <w:rPr>
                <w:rFonts w:ascii="Arial Narrow" w:eastAsia="Calibri" w:hAnsi="Arial Narrow" w:cs="Times New Roman"/>
                <w:sz w:val="20"/>
                <w:szCs w:val="20"/>
                <w:vertAlign w:val="superscript"/>
              </w:rPr>
            </w:pPr>
            <w:r w:rsidRPr="00436840">
              <w:rPr>
                <w:rFonts w:ascii="Arial Narrow" w:eastAsia="Calibri" w:hAnsi="Arial Narrow" w:cs="Times New Roman"/>
                <w:sz w:val="20"/>
                <w:szCs w:val="20"/>
              </w:rPr>
              <w:t>LUSI</w:t>
            </w:r>
            <w:r w:rsidR="000508CF" w:rsidRPr="000508CF">
              <w:rPr>
                <w:rFonts w:ascii="Arial Narrow" w:eastAsia="Calibri" w:hAnsi="Arial Narrow" w:cs="Times New Roman"/>
                <w:sz w:val="20"/>
                <w:szCs w:val="20"/>
                <w:vertAlign w:val="superscript"/>
              </w:rPr>
              <w:t>3</w:t>
            </w:r>
            <w:r w:rsidR="002E07B7">
              <w:rPr>
                <w:rFonts w:ascii="Arial Narrow" w:eastAsia="Calibri" w:hAnsi="Arial Narrow" w:cs="Times New Roman"/>
                <w:sz w:val="20"/>
                <w:szCs w:val="20"/>
                <w:vertAlign w:val="superscript"/>
              </w:rPr>
              <w:t>4</w:t>
            </w:r>
          </w:p>
          <w:p w14:paraId="21DBF153" w14:textId="12604834"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sz w:val="20"/>
                <w:szCs w:val="20"/>
              </w:rPr>
              <w:t>2007</w:t>
            </w:r>
          </w:p>
        </w:tc>
        <w:tc>
          <w:tcPr>
            <w:tcW w:w="2693" w:type="dxa"/>
          </w:tcPr>
          <w:p w14:paraId="0DC5CED4"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789C4E0A" w14:textId="77777777" w:rsidR="00F914FA" w:rsidRPr="005C6820" w:rsidRDefault="00F914FA" w:rsidP="008B21D2">
            <w:pPr>
              <w:spacing w:before="0" w:line="256" w:lineRule="auto"/>
              <w:jc w:val="center"/>
              <w:rPr>
                <w:rFonts w:ascii="Arial Narrow" w:hAnsi="Arial Narrow"/>
                <w:bCs/>
                <w:sz w:val="20"/>
                <w:szCs w:val="20"/>
              </w:rPr>
            </w:pPr>
          </w:p>
        </w:tc>
        <w:tc>
          <w:tcPr>
            <w:tcW w:w="1843" w:type="dxa"/>
          </w:tcPr>
          <w:p w14:paraId="1F6ACA39" w14:textId="77777777" w:rsidR="00F914FA" w:rsidRPr="005C6820" w:rsidRDefault="00F914FA" w:rsidP="008B21D2">
            <w:pPr>
              <w:spacing w:before="0" w:line="256" w:lineRule="auto"/>
              <w:jc w:val="center"/>
              <w:rPr>
                <w:rFonts w:ascii="Arial Narrow" w:hAnsi="Arial Narrow"/>
                <w:bCs/>
                <w:sz w:val="20"/>
                <w:szCs w:val="20"/>
              </w:rPr>
            </w:pPr>
          </w:p>
        </w:tc>
        <w:tc>
          <w:tcPr>
            <w:tcW w:w="5245" w:type="dxa"/>
          </w:tcPr>
          <w:p w14:paraId="5EDCB875" w14:textId="77777777" w:rsidR="00F914FA" w:rsidRPr="005C6820" w:rsidRDefault="00F914FA" w:rsidP="00F914FA">
            <w:pPr>
              <w:spacing w:before="0" w:line="256" w:lineRule="auto"/>
              <w:rPr>
                <w:rFonts w:ascii="Arial Narrow" w:hAnsi="Arial Narrow"/>
                <w:bCs/>
                <w:sz w:val="20"/>
                <w:szCs w:val="20"/>
              </w:rPr>
            </w:pPr>
          </w:p>
        </w:tc>
        <w:tc>
          <w:tcPr>
            <w:tcW w:w="7938" w:type="dxa"/>
          </w:tcPr>
          <w:p w14:paraId="549D52D8" w14:textId="378E0F7C" w:rsidR="00F914FA" w:rsidRPr="005C6820" w:rsidRDefault="00F914FA" w:rsidP="00F914FA">
            <w:pPr>
              <w:spacing w:before="0" w:line="256" w:lineRule="auto"/>
              <w:rPr>
                <w:rFonts w:ascii="Arial Narrow" w:hAnsi="Arial Narrow"/>
                <w:bCs/>
                <w:sz w:val="20"/>
                <w:szCs w:val="20"/>
              </w:rPr>
            </w:pPr>
            <w:r w:rsidRPr="00436840">
              <w:rPr>
                <w:rFonts w:ascii="Arial Narrow" w:eastAsia="Calibri" w:hAnsi="Arial Narrow" w:cs="Times New Roman"/>
                <w:sz w:val="20"/>
                <w:szCs w:val="20"/>
              </w:rPr>
              <w:t xml:space="preserve">Also, more precise estimates are needed for potential lung cancer overdiagnosis—a major potential adverse effect of LDCT screening. </w:t>
            </w:r>
          </w:p>
        </w:tc>
      </w:tr>
      <w:tr w:rsidR="00403AC9" w:rsidRPr="005C6820" w14:paraId="64091506" w14:textId="77777777" w:rsidTr="00D701F5">
        <w:tc>
          <w:tcPr>
            <w:tcW w:w="1276" w:type="dxa"/>
          </w:tcPr>
          <w:p w14:paraId="390D13CB" w14:textId="49496AE3" w:rsidR="00403AC9" w:rsidRPr="00436840" w:rsidRDefault="00403AC9" w:rsidP="00403AC9">
            <w:pPr>
              <w:spacing w:before="0"/>
              <w:rPr>
                <w:rFonts w:ascii="Arial Narrow" w:eastAsia="Calibri" w:hAnsi="Arial Narrow" w:cs="Calibri"/>
                <w:color w:val="000000"/>
                <w:sz w:val="20"/>
                <w:szCs w:val="20"/>
                <w:vertAlign w:val="superscript"/>
              </w:rPr>
            </w:pPr>
            <w:r w:rsidRPr="00436840">
              <w:rPr>
                <w:rFonts w:ascii="Arial Narrow" w:eastAsia="Calibri" w:hAnsi="Arial Narrow" w:cs="Calibri"/>
                <w:color w:val="000000"/>
                <w:sz w:val="20"/>
                <w:szCs w:val="20"/>
              </w:rPr>
              <w:t>MILD</w:t>
            </w:r>
            <w:r w:rsidR="00766447" w:rsidRPr="00766447">
              <w:rPr>
                <w:rFonts w:ascii="Arial Narrow" w:eastAsia="Calibri" w:hAnsi="Arial Narrow" w:cs="Calibri"/>
                <w:color w:val="000000"/>
                <w:sz w:val="20"/>
                <w:szCs w:val="20"/>
                <w:vertAlign w:val="superscript"/>
              </w:rPr>
              <w:t>3</w:t>
            </w:r>
            <w:r w:rsidR="002E07B7">
              <w:rPr>
                <w:rFonts w:ascii="Arial Narrow" w:eastAsia="Calibri" w:hAnsi="Arial Narrow" w:cs="Calibri"/>
                <w:color w:val="000000"/>
                <w:sz w:val="20"/>
                <w:szCs w:val="20"/>
                <w:vertAlign w:val="superscript"/>
              </w:rPr>
              <w:t>5</w:t>
            </w:r>
          </w:p>
          <w:p w14:paraId="74F39636" w14:textId="45BD14C2"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Calibri"/>
                <w:color w:val="000000"/>
                <w:sz w:val="20"/>
                <w:szCs w:val="20"/>
              </w:rPr>
              <w:t>2005</w:t>
            </w:r>
          </w:p>
        </w:tc>
        <w:tc>
          <w:tcPr>
            <w:tcW w:w="2693" w:type="dxa"/>
          </w:tcPr>
          <w:p w14:paraId="3FD691A0" w14:textId="77777777" w:rsidR="00403AC9" w:rsidRPr="005C6820" w:rsidRDefault="00403AC9" w:rsidP="00403AC9">
            <w:pPr>
              <w:spacing w:before="0" w:line="256" w:lineRule="auto"/>
              <w:jc w:val="center"/>
              <w:rPr>
                <w:rFonts w:ascii="Arial Narrow" w:hAnsi="Arial Narrow"/>
                <w:bCs/>
                <w:sz w:val="20"/>
                <w:szCs w:val="20"/>
              </w:rPr>
            </w:pPr>
          </w:p>
        </w:tc>
        <w:tc>
          <w:tcPr>
            <w:tcW w:w="1843" w:type="dxa"/>
          </w:tcPr>
          <w:p w14:paraId="259D7248" w14:textId="77777777" w:rsidR="00403AC9" w:rsidRPr="005C6820" w:rsidRDefault="00403AC9" w:rsidP="00403AC9">
            <w:pPr>
              <w:spacing w:before="0" w:line="256" w:lineRule="auto"/>
              <w:jc w:val="center"/>
              <w:rPr>
                <w:rFonts w:ascii="Arial Narrow" w:hAnsi="Arial Narrow"/>
                <w:bCs/>
                <w:sz w:val="20"/>
                <w:szCs w:val="20"/>
              </w:rPr>
            </w:pPr>
          </w:p>
        </w:tc>
        <w:tc>
          <w:tcPr>
            <w:tcW w:w="1843" w:type="dxa"/>
          </w:tcPr>
          <w:p w14:paraId="2435EEC1" w14:textId="77777777" w:rsidR="00403AC9" w:rsidRPr="005C6820" w:rsidRDefault="00403AC9" w:rsidP="00403AC9">
            <w:pPr>
              <w:spacing w:before="0" w:line="256" w:lineRule="auto"/>
              <w:jc w:val="center"/>
              <w:rPr>
                <w:rFonts w:ascii="Arial Narrow" w:hAnsi="Arial Narrow"/>
                <w:bCs/>
                <w:sz w:val="20"/>
                <w:szCs w:val="20"/>
              </w:rPr>
            </w:pPr>
          </w:p>
        </w:tc>
        <w:tc>
          <w:tcPr>
            <w:tcW w:w="5245" w:type="dxa"/>
          </w:tcPr>
          <w:p w14:paraId="4415173D" w14:textId="77777777" w:rsidR="00403AC9" w:rsidRPr="005C6820" w:rsidRDefault="00403AC9" w:rsidP="00403AC9">
            <w:pPr>
              <w:spacing w:before="0" w:line="256" w:lineRule="auto"/>
              <w:rPr>
                <w:rFonts w:ascii="Arial Narrow" w:hAnsi="Arial Narrow"/>
                <w:bCs/>
                <w:sz w:val="20"/>
                <w:szCs w:val="20"/>
              </w:rPr>
            </w:pPr>
          </w:p>
        </w:tc>
        <w:tc>
          <w:tcPr>
            <w:tcW w:w="7938" w:type="dxa"/>
          </w:tcPr>
          <w:p w14:paraId="782950AE" w14:textId="00C1FB43" w:rsidR="00403AC9" w:rsidRPr="005C6820" w:rsidRDefault="00403AC9" w:rsidP="00403AC9">
            <w:pPr>
              <w:spacing w:before="0" w:line="256" w:lineRule="auto"/>
              <w:rPr>
                <w:rFonts w:ascii="Arial Narrow" w:hAnsi="Arial Narrow"/>
                <w:bCs/>
                <w:sz w:val="20"/>
                <w:szCs w:val="20"/>
              </w:rPr>
            </w:pPr>
            <w:r>
              <w:rPr>
                <w:rFonts w:ascii="Arial Narrow" w:eastAsia="Calibri" w:hAnsi="Arial Narrow" w:cs="Times New Roman"/>
                <w:bCs/>
                <w:sz w:val="20"/>
                <w:szCs w:val="20"/>
              </w:rPr>
              <w:t>No information was provided on comparative safety outcomes</w:t>
            </w:r>
            <w:r w:rsidRPr="00436840">
              <w:rPr>
                <w:rFonts w:ascii="Arial Narrow" w:eastAsia="Calibri" w:hAnsi="Arial Narrow" w:cs="Times New Roman"/>
                <w:bCs/>
                <w:sz w:val="20"/>
                <w:szCs w:val="20"/>
              </w:rPr>
              <w:t>.</w:t>
            </w:r>
          </w:p>
        </w:tc>
      </w:tr>
      <w:tr w:rsidR="00403AC9" w:rsidRPr="005C6820" w14:paraId="3EF0DA05" w14:textId="77777777" w:rsidTr="00D701F5">
        <w:tc>
          <w:tcPr>
            <w:tcW w:w="1276" w:type="dxa"/>
          </w:tcPr>
          <w:p w14:paraId="7BDC385F" w14:textId="44D3D82E" w:rsidR="00403AC9" w:rsidRPr="00436840" w:rsidRDefault="00403AC9" w:rsidP="00403AC9">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NELSON</w:t>
            </w:r>
            <w:r w:rsidR="00416BAC" w:rsidRPr="00416BAC">
              <w:rPr>
                <w:rFonts w:ascii="Arial Narrow" w:eastAsia="Calibri" w:hAnsi="Arial Narrow" w:cs="Times New Roman"/>
                <w:bCs/>
                <w:sz w:val="20"/>
                <w:szCs w:val="20"/>
                <w:vertAlign w:val="superscript"/>
              </w:rPr>
              <w:t>10</w:t>
            </w:r>
            <w:r w:rsidRPr="00436840">
              <w:rPr>
                <w:rFonts w:ascii="Arial Narrow" w:hAnsi="Arial Narrow"/>
                <w:bCs/>
                <w:sz w:val="20"/>
                <w:szCs w:val="20"/>
                <w:vertAlign w:val="superscript"/>
              </w:rPr>
              <w:t>,</w:t>
            </w:r>
            <w:r w:rsidR="00766447">
              <w:rPr>
                <w:rFonts w:ascii="Arial Narrow" w:hAnsi="Arial Narrow"/>
                <w:bCs/>
                <w:sz w:val="20"/>
                <w:szCs w:val="20"/>
                <w:vertAlign w:val="superscript"/>
              </w:rPr>
              <w:t>3</w:t>
            </w:r>
            <w:r w:rsidR="002E07B7">
              <w:rPr>
                <w:rFonts w:ascii="Arial Narrow" w:hAnsi="Arial Narrow"/>
                <w:bCs/>
                <w:sz w:val="20"/>
                <w:szCs w:val="20"/>
                <w:vertAlign w:val="superscript"/>
              </w:rPr>
              <w:t>6</w:t>
            </w:r>
          </w:p>
          <w:p w14:paraId="4B788416" w14:textId="4A6B97DC"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2003</w:t>
            </w:r>
          </w:p>
        </w:tc>
        <w:tc>
          <w:tcPr>
            <w:tcW w:w="2693" w:type="dxa"/>
          </w:tcPr>
          <w:p w14:paraId="697011F6" w14:textId="20D01F2F"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8.9% (</w:t>
            </w:r>
            <w:r w:rsidRPr="00D742BB">
              <w:rPr>
                <w:rFonts w:ascii="Arial Narrow" w:eastAsia="Calibri" w:hAnsi="Arial Narrow" w:cs="Times New Roman"/>
                <w:bCs/>
                <w:sz w:val="20"/>
                <w:szCs w:val="20"/>
              </w:rPr>
              <w:t>−</w:t>
            </w:r>
            <w:r w:rsidRPr="00436840">
              <w:rPr>
                <w:rFonts w:ascii="Arial Narrow" w:eastAsia="Calibri" w:hAnsi="Arial Narrow" w:cs="Times New Roman"/>
                <w:bCs/>
                <w:sz w:val="20"/>
                <w:szCs w:val="20"/>
              </w:rPr>
              <w:t>18.2</w:t>
            </w:r>
            <w:r>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32.4</w:t>
            </w:r>
            <w:r>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over extended follow-up (11 years, 5.5 years after final screening round)</w:t>
            </w:r>
          </w:p>
        </w:tc>
        <w:tc>
          <w:tcPr>
            <w:tcW w:w="1843" w:type="dxa"/>
          </w:tcPr>
          <w:p w14:paraId="0B6DFFA2" w14:textId="301332DD"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1.2%</w:t>
            </w:r>
          </w:p>
        </w:tc>
        <w:tc>
          <w:tcPr>
            <w:tcW w:w="1843" w:type="dxa"/>
          </w:tcPr>
          <w:p w14:paraId="0AF70DE0" w14:textId="19C705D6" w:rsidR="00403AC9" w:rsidRDefault="00403AC9" w:rsidP="00403AC9">
            <w:pPr>
              <w:spacing w:before="0" w:line="256" w:lineRule="auto"/>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0.1</w:t>
            </w:r>
            <w:r>
              <w:rPr>
                <w:rFonts w:ascii="Arial Narrow" w:eastAsia="Calibri" w:hAnsi="Arial Narrow" w:cs="Times New Roman"/>
                <w:bCs/>
                <w:sz w:val="20"/>
                <w:szCs w:val="20"/>
              </w:rPr>
              <w:t>%</w:t>
            </w:r>
          </w:p>
          <w:p w14:paraId="15F4A798" w14:textId="21169DF6"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(0.1</w:t>
            </w:r>
            <w:r>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to 0.1</w:t>
            </w:r>
            <w:r>
              <w:rPr>
                <w:rFonts w:ascii="Arial Narrow" w:eastAsia="Calibri" w:hAnsi="Arial Narrow" w:cs="Times New Roman"/>
                <w:bCs/>
                <w:sz w:val="20"/>
                <w:szCs w:val="20"/>
              </w:rPr>
              <w:t>%</w:t>
            </w:r>
            <w:r w:rsidRPr="00436840">
              <w:rPr>
                <w:rFonts w:ascii="Arial Narrow" w:eastAsia="Calibri" w:hAnsi="Arial Narrow" w:cs="Times New Roman"/>
                <w:bCs/>
                <w:sz w:val="20"/>
                <w:szCs w:val="20"/>
              </w:rPr>
              <w:t>)</w:t>
            </w:r>
          </w:p>
        </w:tc>
        <w:tc>
          <w:tcPr>
            <w:tcW w:w="5245" w:type="dxa"/>
          </w:tcPr>
          <w:p w14:paraId="65CE3F78" w14:textId="6A0FC740"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No statistically significant differences were found in in any HRQoL scores or psychological consequence over time between the screen and control groups</w:t>
            </w:r>
          </w:p>
        </w:tc>
        <w:tc>
          <w:tcPr>
            <w:tcW w:w="7938" w:type="dxa"/>
          </w:tcPr>
          <w:p w14:paraId="3465C2D9" w14:textId="4AE89637"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 xml:space="preserve">Volume CT screening enabled a significant reduction of harms (e.g., false positive tests and unnecessary workup procedures), without jeopardizing </w:t>
            </w:r>
            <w:r w:rsidR="00931DBE" w:rsidRPr="00436840">
              <w:rPr>
                <w:rFonts w:ascii="Arial Narrow" w:eastAsia="Calibri" w:hAnsi="Arial Narrow" w:cs="Times New Roman"/>
                <w:bCs/>
                <w:sz w:val="20"/>
                <w:szCs w:val="20"/>
              </w:rPr>
              <w:t>favourable</w:t>
            </w:r>
            <w:r w:rsidRPr="00436840">
              <w:rPr>
                <w:rFonts w:ascii="Arial Narrow" w:eastAsia="Calibri" w:hAnsi="Arial Narrow" w:cs="Times New Roman"/>
                <w:bCs/>
                <w:sz w:val="20"/>
                <w:szCs w:val="20"/>
              </w:rPr>
              <w:t xml:space="preserve"> outcomes.</w:t>
            </w:r>
          </w:p>
        </w:tc>
      </w:tr>
      <w:tr w:rsidR="00403AC9" w:rsidRPr="005C6820" w14:paraId="4134A7F2" w14:textId="77777777" w:rsidTr="00D701F5">
        <w:tc>
          <w:tcPr>
            <w:tcW w:w="1276" w:type="dxa"/>
          </w:tcPr>
          <w:p w14:paraId="26EB194E" w14:textId="4F7180E6" w:rsidR="00403AC9" w:rsidRPr="00436840" w:rsidRDefault="00403AC9" w:rsidP="00403AC9">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NLST</w:t>
            </w:r>
            <w:r w:rsidR="00CF490E" w:rsidRPr="00CF490E">
              <w:rPr>
                <w:rFonts w:ascii="Arial Narrow" w:eastAsia="Calibri" w:hAnsi="Arial Narrow" w:cs="Times New Roman"/>
                <w:bCs/>
                <w:sz w:val="20"/>
                <w:szCs w:val="20"/>
                <w:vertAlign w:val="superscript"/>
              </w:rPr>
              <w:t>1</w:t>
            </w:r>
          </w:p>
          <w:p w14:paraId="6A7A2A00" w14:textId="243694FD"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2002</w:t>
            </w:r>
          </w:p>
        </w:tc>
        <w:tc>
          <w:tcPr>
            <w:tcW w:w="2693" w:type="dxa"/>
          </w:tcPr>
          <w:p w14:paraId="65B27998" w14:textId="77777777" w:rsidR="00403AC9" w:rsidRDefault="00403AC9" w:rsidP="00403AC9">
            <w:pPr>
              <w:spacing w:before="0" w:line="256" w:lineRule="auto"/>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18.5%</w:t>
            </w:r>
          </w:p>
          <w:p w14:paraId="6BAA4366" w14:textId="66805E67"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(5.4% to</w:t>
            </w:r>
            <w:r>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30.6%)</w:t>
            </w:r>
          </w:p>
        </w:tc>
        <w:tc>
          <w:tcPr>
            <w:tcW w:w="1843" w:type="dxa"/>
          </w:tcPr>
          <w:p w14:paraId="3B14A764" w14:textId="77777777" w:rsidR="00403AC9" w:rsidRDefault="00403AC9" w:rsidP="00403AC9">
            <w:pPr>
              <w:spacing w:before="0" w:line="256" w:lineRule="auto"/>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23.3%</w:t>
            </w:r>
          </w:p>
          <w:p w14:paraId="7DE8947D" w14:textId="1971BAB6"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bCs/>
                <w:sz w:val="20"/>
                <w:szCs w:val="20"/>
              </w:rPr>
              <w:t>(22.79%</w:t>
            </w:r>
            <w:r>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23.81%)</w:t>
            </w:r>
          </w:p>
        </w:tc>
        <w:tc>
          <w:tcPr>
            <w:tcW w:w="1843" w:type="dxa"/>
          </w:tcPr>
          <w:p w14:paraId="5E958A1A" w14:textId="77777777" w:rsidR="00403AC9" w:rsidRPr="005C6820" w:rsidRDefault="00403AC9" w:rsidP="00403AC9">
            <w:pPr>
              <w:spacing w:before="0" w:line="256" w:lineRule="auto"/>
              <w:jc w:val="center"/>
              <w:rPr>
                <w:rFonts w:ascii="Arial Narrow" w:hAnsi="Arial Narrow"/>
                <w:bCs/>
                <w:sz w:val="20"/>
                <w:szCs w:val="20"/>
              </w:rPr>
            </w:pPr>
          </w:p>
        </w:tc>
        <w:tc>
          <w:tcPr>
            <w:tcW w:w="5245" w:type="dxa"/>
          </w:tcPr>
          <w:p w14:paraId="29DFE9AE" w14:textId="59A4F340"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No statistically significant differences between LDCT and CXR for any of the outcomes</w:t>
            </w:r>
          </w:p>
        </w:tc>
        <w:tc>
          <w:tcPr>
            <w:tcW w:w="7938" w:type="dxa"/>
          </w:tcPr>
          <w:p w14:paraId="0E1470B6" w14:textId="2814D264"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Times New Roman"/>
                <w:bCs/>
                <w:sz w:val="20"/>
                <w:szCs w:val="20"/>
              </w:rPr>
              <w:t>In addition to the high rate of false positive results, two other potentially harmful effects of low-dose CT screening must be mentioned. Overdiagnosis, a major source of controversy surrounding low-dose CT lung-cancer screening, results from the detection of cancers that never would have become symptomatic. Although additional follow-up would be necessary to measure the magnitude of overdiagnosis in the NLST, a comparison of the number of cancers diagnosed in the two trial groups suggests that the magnitude of overdiagnosis with low-dose CT as compared with radiographic screening is not large.</w:t>
            </w:r>
          </w:p>
        </w:tc>
      </w:tr>
      <w:tr w:rsidR="00403AC9" w:rsidRPr="005C6820" w14:paraId="15B0325A" w14:textId="77777777" w:rsidTr="00D701F5">
        <w:tc>
          <w:tcPr>
            <w:tcW w:w="1276" w:type="dxa"/>
          </w:tcPr>
          <w:p w14:paraId="4EDA3370" w14:textId="49EBE5DA" w:rsidR="00403AC9" w:rsidRPr="00436840" w:rsidRDefault="00403AC9" w:rsidP="00403AC9">
            <w:pPr>
              <w:spacing w:before="0"/>
              <w:rPr>
                <w:rFonts w:ascii="Arial Narrow" w:eastAsia="Calibri" w:hAnsi="Arial Narrow" w:cs="Calibri"/>
                <w:color w:val="000000"/>
                <w:sz w:val="20"/>
                <w:szCs w:val="20"/>
                <w:vertAlign w:val="superscript"/>
              </w:rPr>
            </w:pPr>
            <w:r w:rsidRPr="00436840">
              <w:rPr>
                <w:rFonts w:ascii="Arial Narrow" w:eastAsia="Calibri" w:hAnsi="Arial Narrow" w:cs="Calibri"/>
                <w:color w:val="000000"/>
                <w:sz w:val="20"/>
                <w:szCs w:val="20"/>
              </w:rPr>
              <w:t>UKLS</w:t>
            </w:r>
            <w:r w:rsidR="00766447" w:rsidRPr="00766447">
              <w:rPr>
                <w:rFonts w:ascii="Arial Narrow" w:eastAsia="Calibri" w:hAnsi="Arial Narrow" w:cs="Calibri"/>
                <w:color w:val="000000"/>
                <w:sz w:val="20"/>
                <w:szCs w:val="20"/>
                <w:vertAlign w:val="superscript"/>
              </w:rPr>
              <w:t>3</w:t>
            </w:r>
            <w:r w:rsidR="002E07B7">
              <w:rPr>
                <w:rFonts w:ascii="Arial Narrow" w:eastAsia="Calibri" w:hAnsi="Arial Narrow" w:cs="Calibri"/>
                <w:color w:val="000000"/>
                <w:sz w:val="20"/>
                <w:szCs w:val="20"/>
                <w:vertAlign w:val="superscript"/>
              </w:rPr>
              <w:t>7</w:t>
            </w:r>
            <w:r w:rsidRPr="00436840">
              <w:rPr>
                <w:rFonts w:ascii="Arial Narrow" w:eastAsia="Calibri" w:hAnsi="Arial Narrow" w:cs="Calibri"/>
                <w:color w:val="000000" w:themeColor="text1"/>
                <w:sz w:val="20"/>
                <w:szCs w:val="20"/>
              </w:rPr>
              <w:t>,</w:t>
            </w:r>
            <w:r w:rsidR="002E07B7" w:rsidRPr="002E07B7">
              <w:rPr>
                <w:rFonts w:ascii="Arial Narrow" w:eastAsia="Calibri" w:hAnsi="Arial Narrow" w:cs="Calibri"/>
                <w:color w:val="000000" w:themeColor="text1"/>
                <w:sz w:val="20"/>
                <w:szCs w:val="20"/>
                <w:vertAlign w:val="superscript"/>
              </w:rPr>
              <w:t>38</w:t>
            </w:r>
          </w:p>
          <w:p w14:paraId="3F42320D" w14:textId="23F4299A" w:rsidR="00403AC9" w:rsidRPr="005C6820" w:rsidRDefault="00403AC9" w:rsidP="00403AC9">
            <w:pPr>
              <w:spacing w:before="0" w:line="256" w:lineRule="auto"/>
              <w:rPr>
                <w:rFonts w:ascii="Arial Narrow" w:hAnsi="Arial Narrow"/>
                <w:bCs/>
                <w:sz w:val="20"/>
                <w:szCs w:val="20"/>
              </w:rPr>
            </w:pPr>
            <w:r w:rsidRPr="00436840">
              <w:rPr>
                <w:rFonts w:ascii="Arial Narrow" w:eastAsia="Calibri" w:hAnsi="Arial Narrow" w:cs="Calibri"/>
                <w:color w:val="000000"/>
                <w:sz w:val="20"/>
                <w:szCs w:val="20"/>
              </w:rPr>
              <w:t>2011</w:t>
            </w:r>
          </w:p>
        </w:tc>
        <w:tc>
          <w:tcPr>
            <w:tcW w:w="2693" w:type="dxa"/>
          </w:tcPr>
          <w:p w14:paraId="6986EA59" w14:textId="77777777" w:rsidR="00403AC9" w:rsidRPr="005C6820" w:rsidRDefault="00403AC9" w:rsidP="00403AC9">
            <w:pPr>
              <w:spacing w:before="0" w:line="256" w:lineRule="auto"/>
              <w:jc w:val="center"/>
              <w:rPr>
                <w:rFonts w:ascii="Arial Narrow" w:hAnsi="Arial Narrow"/>
                <w:bCs/>
                <w:sz w:val="20"/>
                <w:szCs w:val="20"/>
              </w:rPr>
            </w:pPr>
          </w:p>
        </w:tc>
        <w:tc>
          <w:tcPr>
            <w:tcW w:w="1843" w:type="dxa"/>
          </w:tcPr>
          <w:p w14:paraId="77D93910" w14:textId="226687EA"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sz w:val="20"/>
                <w:szCs w:val="20"/>
              </w:rPr>
              <w:t>3.6%</w:t>
            </w:r>
          </w:p>
        </w:tc>
        <w:tc>
          <w:tcPr>
            <w:tcW w:w="1843" w:type="dxa"/>
          </w:tcPr>
          <w:p w14:paraId="636F07C2" w14:textId="5278D4A7" w:rsidR="00403AC9" w:rsidRPr="005C6820" w:rsidRDefault="00403AC9" w:rsidP="00403AC9">
            <w:pPr>
              <w:spacing w:before="0" w:line="256" w:lineRule="auto"/>
              <w:jc w:val="center"/>
              <w:rPr>
                <w:rFonts w:ascii="Arial Narrow" w:hAnsi="Arial Narrow"/>
                <w:bCs/>
                <w:sz w:val="20"/>
                <w:szCs w:val="20"/>
              </w:rPr>
            </w:pPr>
            <w:r w:rsidRPr="00436840">
              <w:rPr>
                <w:rFonts w:ascii="Arial Narrow" w:eastAsia="Calibri" w:hAnsi="Arial Narrow" w:cs="Times New Roman"/>
                <w:sz w:val="20"/>
                <w:szCs w:val="20"/>
              </w:rPr>
              <w:t>6.7%</w:t>
            </w:r>
          </w:p>
        </w:tc>
        <w:tc>
          <w:tcPr>
            <w:tcW w:w="5245" w:type="dxa"/>
          </w:tcPr>
          <w:p w14:paraId="35897B83" w14:textId="77777777" w:rsidR="00403AC9" w:rsidRPr="005C6820" w:rsidRDefault="00403AC9" w:rsidP="00403AC9">
            <w:pPr>
              <w:spacing w:before="0" w:line="256" w:lineRule="auto"/>
              <w:rPr>
                <w:rFonts w:ascii="Arial Narrow" w:hAnsi="Arial Narrow"/>
                <w:bCs/>
                <w:sz w:val="20"/>
                <w:szCs w:val="20"/>
              </w:rPr>
            </w:pPr>
          </w:p>
        </w:tc>
        <w:tc>
          <w:tcPr>
            <w:tcW w:w="7938" w:type="dxa"/>
          </w:tcPr>
          <w:p w14:paraId="765428DA" w14:textId="21C27117" w:rsidR="00403AC9" w:rsidRPr="005C6820" w:rsidRDefault="00403AC9" w:rsidP="00403AC9">
            <w:pPr>
              <w:spacing w:before="0" w:line="256" w:lineRule="auto"/>
              <w:rPr>
                <w:rFonts w:ascii="Arial Narrow" w:hAnsi="Arial Narrow"/>
                <w:bCs/>
                <w:sz w:val="20"/>
                <w:szCs w:val="20"/>
              </w:rPr>
            </w:pPr>
            <w:r>
              <w:rPr>
                <w:rFonts w:ascii="Arial Narrow" w:eastAsia="Calibri" w:hAnsi="Arial Narrow" w:cs="Times New Roman"/>
                <w:bCs/>
                <w:sz w:val="20"/>
                <w:szCs w:val="20"/>
              </w:rPr>
              <w:t>No other information was provided on comparative safety outcomes</w:t>
            </w:r>
            <w:r w:rsidRPr="00436840">
              <w:rPr>
                <w:rFonts w:ascii="Arial Narrow" w:eastAsia="Calibri" w:hAnsi="Arial Narrow" w:cs="Times New Roman"/>
                <w:bCs/>
                <w:sz w:val="20"/>
                <w:szCs w:val="20"/>
              </w:rPr>
              <w:t>.</w:t>
            </w:r>
          </w:p>
        </w:tc>
      </w:tr>
    </w:tbl>
    <w:p w14:paraId="55E36785" w14:textId="77777777" w:rsidR="002206AB" w:rsidRDefault="002206AB">
      <w:pPr>
        <w:spacing w:before="0"/>
        <w:rPr>
          <w:b/>
        </w:rPr>
      </w:pPr>
      <w:r>
        <w:rPr>
          <w:b/>
        </w:rPr>
        <w:br w:type="page"/>
      </w:r>
    </w:p>
    <w:p w14:paraId="6FD4DEAD" w14:textId="01F68B2F" w:rsidR="009A35AF" w:rsidRPr="00436840" w:rsidRDefault="009A35AF" w:rsidP="008751C7">
      <w:pPr>
        <w:spacing w:before="0" w:line="256" w:lineRule="auto"/>
        <w:rPr>
          <w:rFonts w:ascii="Arial Narrow" w:hAnsi="Arial Narrow"/>
          <w:b/>
          <w:sz w:val="20"/>
          <w:szCs w:val="20"/>
        </w:rPr>
      </w:pPr>
      <w:r w:rsidRPr="00436840">
        <w:rPr>
          <w:rFonts w:ascii="Arial Narrow" w:hAnsi="Arial Narrow"/>
          <w:b/>
          <w:sz w:val="20"/>
          <w:szCs w:val="20"/>
        </w:rPr>
        <w:lastRenderedPageBreak/>
        <w:t xml:space="preserve">Table </w:t>
      </w:r>
      <w:r w:rsidR="008F06DE" w:rsidRPr="00436840">
        <w:rPr>
          <w:rFonts w:ascii="Arial Narrow" w:hAnsi="Arial Narrow"/>
          <w:b/>
          <w:sz w:val="20"/>
          <w:szCs w:val="20"/>
        </w:rPr>
        <w:t>3</w:t>
      </w:r>
      <w:r w:rsidR="002206AB" w:rsidRPr="00436840">
        <w:rPr>
          <w:rFonts w:ascii="Arial Narrow" w:hAnsi="Arial Narrow"/>
          <w:b/>
          <w:sz w:val="20"/>
          <w:szCs w:val="20"/>
        </w:rPr>
        <w:t>:</w:t>
      </w:r>
      <w:r w:rsidR="002C34DE">
        <w:rPr>
          <w:rFonts w:ascii="Arial Narrow" w:hAnsi="Arial Narrow"/>
          <w:b/>
          <w:sz w:val="20"/>
          <w:szCs w:val="20"/>
        </w:rPr>
        <w:tab/>
      </w:r>
      <w:r w:rsidRPr="00436840">
        <w:rPr>
          <w:rFonts w:ascii="Arial Narrow" w:hAnsi="Arial Narrow"/>
          <w:b/>
          <w:sz w:val="20"/>
          <w:szCs w:val="20"/>
        </w:rPr>
        <w:t xml:space="preserve">Comparative effectiveness outcomes of </w:t>
      </w:r>
      <w:r w:rsidR="002206AB" w:rsidRPr="00436840">
        <w:rPr>
          <w:rFonts w:ascii="Arial Narrow" w:hAnsi="Arial Narrow"/>
          <w:b/>
          <w:sz w:val="20"/>
          <w:szCs w:val="20"/>
        </w:rPr>
        <w:t xml:space="preserve">randomised controlled trials </w:t>
      </w:r>
      <w:r w:rsidRPr="00436840">
        <w:rPr>
          <w:rFonts w:ascii="Arial Narrow" w:hAnsi="Arial Narrow"/>
          <w:b/>
          <w:sz w:val="20"/>
          <w:szCs w:val="20"/>
        </w:rPr>
        <w:t>of LDCT-based lung cancer screening programs</w:t>
      </w:r>
    </w:p>
    <w:tbl>
      <w:tblPr>
        <w:tblStyle w:val="TableGrid"/>
        <w:tblW w:w="20838" w:type="dxa"/>
        <w:tblInd w:w="-5" w:type="dxa"/>
        <w:tblLayout w:type="fixed"/>
        <w:tblLook w:val="04A0" w:firstRow="1" w:lastRow="0" w:firstColumn="1" w:lastColumn="0" w:noHBand="0" w:noVBand="1"/>
      </w:tblPr>
      <w:tblGrid>
        <w:gridCol w:w="993"/>
        <w:gridCol w:w="1984"/>
        <w:gridCol w:w="2268"/>
        <w:gridCol w:w="2126"/>
        <w:gridCol w:w="851"/>
        <w:gridCol w:w="1843"/>
        <w:gridCol w:w="1134"/>
        <w:gridCol w:w="1134"/>
        <w:gridCol w:w="1134"/>
        <w:gridCol w:w="1134"/>
        <w:gridCol w:w="6237"/>
      </w:tblGrid>
      <w:tr w:rsidR="008F06DE" w:rsidRPr="00436840" w14:paraId="0B25E5EB" w14:textId="77777777" w:rsidTr="00FF5ADB">
        <w:trPr>
          <w:tblHeader/>
        </w:trPr>
        <w:tc>
          <w:tcPr>
            <w:tcW w:w="993" w:type="dxa"/>
            <w:vMerge w:val="restart"/>
            <w:shd w:val="clear" w:color="auto" w:fill="auto"/>
          </w:tcPr>
          <w:p w14:paraId="2CA350CA" w14:textId="77777777" w:rsidR="008F06DE" w:rsidRPr="00436840" w:rsidRDefault="008F06DE" w:rsidP="008F06DE">
            <w:pPr>
              <w:spacing w:before="0"/>
              <w:rPr>
                <w:rFonts w:ascii="Arial Narrow" w:eastAsia="Calibri" w:hAnsi="Arial Narrow" w:cs="Times New Roman"/>
                <w:b/>
                <w:sz w:val="20"/>
                <w:szCs w:val="20"/>
              </w:rPr>
            </w:pPr>
            <w:r w:rsidRPr="00436840">
              <w:rPr>
                <w:rFonts w:ascii="Arial Narrow" w:eastAsia="Calibri" w:hAnsi="Arial Narrow" w:cs="Times New Roman"/>
                <w:b/>
                <w:sz w:val="20"/>
                <w:szCs w:val="20"/>
              </w:rPr>
              <w:t>Trial ID</w:t>
            </w:r>
          </w:p>
        </w:tc>
        <w:tc>
          <w:tcPr>
            <w:tcW w:w="1984" w:type="dxa"/>
            <w:vMerge w:val="restart"/>
            <w:shd w:val="clear" w:color="auto" w:fill="auto"/>
          </w:tcPr>
          <w:p w14:paraId="105F2A34" w14:textId="0A7A5F29"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Lung cancer deaths</w:t>
            </w:r>
          </w:p>
        </w:tc>
        <w:tc>
          <w:tcPr>
            <w:tcW w:w="2268" w:type="dxa"/>
            <w:vMerge w:val="restart"/>
            <w:shd w:val="clear" w:color="auto" w:fill="auto"/>
          </w:tcPr>
          <w:p w14:paraId="2DE2D80C"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Overall deaths</w:t>
            </w:r>
          </w:p>
        </w:tc>
        <w:tc>
          <w:tcPr>
            <w:tcW w:w="2126" w:type="dxa"/>
            <w:vMerge w:val="restart"/>
            <w:shd w:val="clear" w:color="auto" w:fill="auto"/>
          </w:tcPr>
          <w:p w14:paraId="7286FEF3"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Lung cancers detected</w:t>
            </w:r>
          </w:p>
        </w:tc>
        <w:tc>
          <w:tcPr>
            <w:tcW w:w="7230" w:type="dxa"/>
            <w:gridSpan w:val="6"/>
            <w:tcBorders>
              <w:bottom w:val="single" w:sz="4" w:space="0" w:color="auto"/>
            </w:tcBorders>
            <w:shd w:val="clear" w:color="auto" w:fill="auto"/>
          </w:tcPr>
          <w:p w14:paraId="3FEFB221" w14:textId="2EB311CC"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Stage at diagnosis</w:t>
            </w:r>
          </w:p>
        </w:tc>
        <w:tc>
          <w:tcPr>
            <w:tcW w:w="6237" w:type="dxa"/>
            <w:vMerge w:val="restart"/>
            <w:shd w:val="clear" w:color="auto" w:fill="auto"/>
          </w:tcPr>
          <w:p w14:paraId="69916D95" w14:textId="5CA18DC3" w:rsidR="008F06DE" w:rsidRPr="00436840" w:rsidRDefault="008F06DE" w:rsidP="008F06DE">
            <w:pPr>
              <w:spacing w:before="0"/>
              <w:rPr>
                <w:rFonts w:ascii="Arial Narrow" w:eastAsia="Calibri" w:hAnsi="Arial Narrow" w:cs="Times New Roman"/>
                <w:b/>
                <w:sz w:val="20"/>
                <w:szCs w:val="20"/>
              </w:rPr>
            </w:pPr>
            <w:r w:rsidRPr="00436840">
              <w:rPr>
                <w:rFonts w:ascii="Arial Narrow" w:eastAsia="Calibri" w:hAnsi="Arial Narrow" w:cs="Times New Roman"/>
                <w:b/>
                <w:sz w:val="20"/>
                <w:szCs w:val="20"/>
              </w:rPr>
              <w:t>Study conclusions</w:t>
            </w:r>
          </w:p>
        </w:tc>
      </w:tr>
      <w:tr w:rsidR="003A261B" w:rsidRPr="00436840" w14:paraId="2A6A5350" w14:textId="77777777" w:rsidTr="00FF5ADB">
        <w:trPr>
          <w:tblHeader/>
        </w:trPr>
        <w:tc>
          <w:tcPr>
            <w:tcW w:w="993" w:type="dxa"/>
            <w:vMerge/>
          </w:tcPr>
          <w:p w14:paraId="47F2145B" w14:textId="77777777" w:rsidR="008F06DE" w:rsidRPr="00436840" w:rsidRDefault="008F06DE" w:rsidP="008F06DE">
            <w:pPr>
              <w:spacing w:before="0"/>
              <w:rPr>
                <w:rFonts w:ascii="Arial Narrow" w:eastAsia="Calibri" w:hAnsi="Arial Narrow" w:cs="Times New Roman"/>
                <w:sz w:val="20"/>
                <w:szCs w:val="20"/>
              </w:rPr>
            </w:pPr>
          </w:p>
        </w:tc>
        <w:tc>
          <w:tcPr>
            <w:tcW w:w="1984" w:type="dxa"/>
            <w:vMerge/>
          </w:tcPr>
          <w:p w14:paraId="2D03B270" w14:textId="77777777" w:rsidR="008F06DE" w:rsidRPr="00436840" w:rsidRDefault="008F06DE" w:rsidP="00502FF6">
            <w:pPr>
              <w:spacing w:before="0"/>
              <w:jc w:val="center"/>
              <w:rPr>
                <w:rFonts w:ascii="Arial Narrow" w:eastAsia="Calibri" w:hAnsi="Arial Narrow" w:cs="Times New Roman"/>
                <w:sz w:val="20"/>
                <w:szCs w:val="20"/>
              </w:rPr>
            </w:pPr>
          </w:p>
        </w:tc>
        <w:tc>
          <w:tcPr>
            <w:tcW w:w="2268" w:type="dxa"/>
            <w:vMerge/>
          </w:tcPr>
          <w:p w14:paraId="01E14231" w14:textId="77777777" w:rsidR="008F06DE" w:rsidRPr="00436840" w:rsidRDefault="008F06DE" w:rsidP="00502FF6">
            <w:pPr>
              <w:spacing w:before="0"/>
              <w:jc w:val="center"/>
              <w:rPr>
                <w:rFonts w:ascii="Arial Narrow" w:eastAsia="Calibri" w:hAnsi="Arial Narrow" w:cs="Times New Roman"/>
                <w:sz w:val="20"/>
                <w:szCs w:val="20"/>
              </w:rPr>
            </w:pPr>
          </w:p>
        </w:tc>
        <w:tc>
          <w:tcPr>
            <w:tcW w:w="2126" w:type="dxa"/>
            <w:vMerge/>
          </w:tcPr>
          <w:p w14:paraId="39B4FA90" w14:textId="77777777" w:rsidR="008F06DE" w:rsidRPr="00436840" w:rsidRDefault="008F06DE" w:rsidP="00502FF6">
            <w:pPr>
              <w:spacing w:before="0"/>
              <w:jc w:val="center"/>
              <w:rPr>
                <w:rFonts w:ascii="Arial Narrow" w:eastAsia="Calibri" w:hAnsi="Arial Narrow" w:cs="Times New Roman"/>
                <w:sz w:val="20"/>
                <w:szCs w:val="20"/>
              </w:rPr>
            </w:pPr>
          </w:p>
        </w:tc>
        <w:tc>
          <w:tcPr>
            <w:tcW w:w="851" w:type="dxa"/>
            <w:shd w:val="clear" w:color="auto" w:fill="auto"/>
          </w:tcPr>
          <w:p w14:paraId="6EFD38F5"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Cohort</w:t>
            </w:r>
          </w:p>
        </w:tc>
        <w:tc>
          <w:tcPr>
            <w:tcW w:w="1843" w:type="dxa"/>
            <w:shd w:val="clear" w:color="auto" w:fill="auto"/>
          </w:tcPr>
          <w:p w14:paraId="037F0D43"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I</w:t>
            </w:r>
          </w:p>
        </w:tc>
        <w:tc>
          <w:tcPr>
            <w:tcW w:w="1134" w:type="dxa"/>
            <w:shd w:val="clear" w:color="auto" w:fill="auto"/>
          </w:tcPr>
          <w:p w14:paraId="3C2C795D"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II</w:t>
            </w:r>
          </w:p>
        </w:tc>
        <w:tc>
          <w:tcPr>
            <w:tcW w:w="1134" w:type="dxa"/>
            <w:shd w:val="clear" w:color="auto" w:fill="auto"/>
          </w:tcPr>
          <w:p w14:paraId="1138BD34"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III</w:t>
            </w:r>
          </w:p>
        </w:tc>
        <w:tc>
          <w:tcPr>
            <w:tcW w:w="1134" w:type="dxa"/>
            <w:shd w:val="clear" w:color="auto" w:fill="auto"/>
          </w:tcPr>
          <w:p w14:paraId="48BF3441" w14:textId="77777777"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IV</w:t>
            </w:r>
          </w:p>
        </w:tc>
        <w:tc>
          <w:tcPr>
            <w:tcW w:w="1134" w:type="dxa"/>
            <w:shd w:val="clear" w:color="auto" w:fill="auto"/>
          </w:tcPr>
          <w:p w14:paraId="6A447C93" w14:textId="468D1D8A" w:rsidR="008F06DE" w:rsidRPr="00436840" w:rsidRDefault="008F06DE" w:rsidP="00502FF6">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Unknown</w:t>
            </w:r>
          </w:p>
        </w:tc>
        <w:tc>
          <w:tcPr>
            <w:tcW w:w="6237" w:type="dxa"/>
            <w:vMerge/>
          </w:tcPr>
          <w:p w14:paraId="606C00DF" w14:textId="77777777" w:rsidR="008F06DE" w:rsidRPr="00436840" w:rsidRDefault="008F06DE" w:rsidP="008F06DE">
            <w:pPr>
              <w:spacing w:before="0"/>
              <w:rPr>
                <w:rFonts w:ascii="Arial Narrow" w:eastAsia="Calibri" w:hAnsi="Arial Narrow" w:cs="Times New Roman"/>
                <w:sz w:val="20"/>
                <w:szCs w:val="20"/>
              </w:rPr>
            </w:pPr>
          </w:p>
        </w:tc>
      </w:tr>
      <w:tr w:rsidR="008F06DE" w:rsidRPr="00436840" w14:paraId="3B95E243" w14:textId="77777777" w:rsidTr="00FF5ADB">
        <w:trPr>
          <w:trHeight w:val="245"/>
        </w:trPr>
        <w:tc>
          <w:tcPr>
            <w:tcW w:w="993" w:type="dxa"/>
            <w:vMerge w:val="restart"/>
          </w:tcPr>
          <w:p w14:paraId="4C0AF7E8" w14:textId="2BD47C7A"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AME</w:t>
            </w:r>
            <w:r w:rsidR="00873F9A" w:rsidRPr="00873F9A">
              <w:rPr>
                <w:rFonts w:ascii="Arial Narrow" w:eastAsia="Calibri" w:hAnsi="Arial Narrow" w:cs="Times New Roman"/>
                <w:sz w:val="20"/>
                <w:szCs w:val="20"/>
                <w:vertAlign w:val="superscript"/>
              </w:rPr>
              <w:t>9</w:t>
            </w:r>
          </w:p>
          <w:p w14:paraId="24415AFE" w14:textId="77777777"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2013</w:t>
            </w:r>
          </w:p>
        </w:tc>
        <w:tc>
          <w:tcPr>
            <w:tcW w:w="1984" w:type="dxa"/>
            <w:vMerge w:val="restart"/>
          </w:tcPr>
          <w:p w14:paraId="7A4C98E3" w14:textId="77777777" w:rsidR="008F06DE" w:rsidRPr="00436840" w:rsidRDefault="008F06DE" w:rsidP="00502FF6">
            <w:pPr>
              <w:spacing w:before="0"/>
              <w:jc w:val="center"/>
              <w:rPr>
                <w:rFonts w:ascii="Arial Narrow" w:eastAsia="Calibri" w:hAnsi="Arial Narrow" w:cs="Times New Roman"/>
                <w:sz w:val="20"/>
                <w:szCs w:val="20"/>
              </w:rPr>
            </w:pPr>
          </w:p>
        </w:tc>
        <w:tc>
          <w:tcPr>
            <w:tcW w:w="2268" w:type="dxa"/>
            <w:vMerge w:val="restart"/>
          </w:tcPr>
          <w:p w14:paraId="67923BC4" w14:textId="77777777" w:rsidR="008F06DE" w:rsidRPr="00436840" w:rsidRDefault="008F06DE" w:rsidP="00502FF6">
            <w:pPr>
              <w:spacing w:before="0"/>
              <w:jc w:val="center"/>
              <w:rPr>
                <w:rFonts w:ascii="Arial Narrow" w:eastAsia="Calibri" w:hAnsi="Arial Narrow" w:cs="Times New Roman"/>
                <w:sz w:val="20"/>
                <w:szCs w:val="20"/>
              </w:rPr>
            </w:pPr>
          </w:p>
        </w:tc>
        <w:tc>
          <w:tcPr>
            <w:tcW w:w="2126" w:type="dxa"/>
            <w:vMerge w:val="restart"/>
          </w:tcPr>
          <w:p w14:paraId="700BBF6B" w14:textId="72D22E01" w:rsidR="008F06DE" w:rsidRPr="00436840"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Calibri"/>
                <w:sz w:val="20"/>
                <w:szCs w:val="20"/>
                <w:lang w:val="en-GB"/>
              </w:rPr>
              <w:t>LDCT: 1.5%</w:t>
            </w:r>
            <w:r w:rsidR="00502FF6">
              <w:rPr>
                <w:rFonts w:ascii="Arial Narrow" w:eastAsia="Calibri" w:hAnsi="Arial Narrow" w:cs="Calibri"/>
                <w:sz w:val="20"/>
                <w:szCs w:val="20"/>
                <w:lang w:val="en-GB"/>
              </w:rPr>
              <w:t xml:space="preserve"> </w:t>
            </w:r>
            <w:r w:rsidRPr="00436840">
              <w:rPr>
                <w:rFonts w:ascii="Arial Narrow" w:eastAsia="Calibri" w:hAnsi="Arial Narrow" w:cs="Calibri"/>
                <w:sz w:val="20"/>
                <w:szCs w:val="20"/>
                <w:lang w:val="en-GB"/>
              </w:rPr>
              <w:t>(51</w:t>
            </w:r>
            <w:r w:rsidR="004275C4">
              <w:rPr>
                <w:rFonts w:ascii="Arial Narrow" w:eastAsia="Calibri" w:hAnsi="Arial Narrow" w:cs="Calibri"/>
                <w:sz w:val="20"/>
                <w:szCs w:val="20"/>
                <w:lang w:val="en-GB"/>
              </w:rPr>
              <w:t>/</w:t>
            </w:r>
            <w:r w:rsidRPr="00436840">
              <w:rPr>
                <w:rFonts w:ascii="Arial Narrow" w:eastAsia="Calibri" w:hAnsi="Arial Narrow" w:cs="Calibri"/>
                <w:sz w:val="20"/>
                <w:szCs w:val="20"/>
                <w:lang w:val="en-GB"/>
              </w:rPr>
              <w:t>3512)</w:t>
            </w:r>
          </w:p>
          <w:p w14:paraId="0DBB5752" w14:textId="08DBC8DD" w:rsidR="008F06DE" w:rsidRPr="00436840" w:rsidRDefault="00502FF6"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0.3%</w:t>
            </w:r>
            <w:r>
              <w:rPr>
                <w:rFonts w:ascii="Arial Narrow" w:eastAsia="Calibri" w:hAnsi="Arial Narrow" w:cs="Times New Roman"/>
                <w:sz w:val="20"/>
                <w:szCs w:val="20"/>
              </w:rPr>
              <w:t xml:space="preserve"> </w:t>
            </w:r>
            <w:r w:rsidR="008F06DE" w:rsidRPr="00436840">
              <w:rPr>
                <w:rFonts w:ascii="Arial Narrow" w:eastAsia="Calibri" w:hAnsi="Arial Narrow" w:cs="Times New Roman"/>
                <w:sz w:val="20"/>
                <w:szCs w:val="20"/>
              </w:rPr>
              <w:t>(10/3145)</w:t>
            </w:r>
          </w:p>
        </w:tc>
        <w:tc>
          <w:tcPr>
            <w:tcW w:w="851" w:type="dxa"/>
          </w:tcPr>
          <w:p w14:paraId="6711AA8C"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w:t>
            </w:r>
          </w:p>
        </w:tc>
        <w:tc>
          <w:tcPr>
            <w:tcW w:w="1843" w:type="dxa"/>
          </w:tcPr>
          <w:p w14:paraId="2BC89AD2"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48 (94%)</w:t>
            </w:r>
          </w:p>
        </w:tc>
        <w:tc>
          <w:tcPr>
            <w:tcW w:w="1134" w:type="dxa"/>
          </w:tcPr>
          <w:p w14:paraId="49E83B96"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 (2%)</w:t>
            </w:r>
          </w:p>
        </w:tc>
        <w:tc>
          <w:tcPr>
            <w:tcW w:w="1134" w:type="dxa"/>
          </w:tcPr>
          <w:p w14:paraId="6D42C667"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1(2%)</w:t>
            </w:r>
          </w:p>
        </w:tc>
        <w:tc>
          <w:tcPr>
            <w:tcW w:w="1134" w:type="dxa"/>
          </w:tcPr>
          <w:p w14:paraId="35C24040"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w:t>
            </w:r>
          </w:p>
        </w:tc>
        <w:tc>
          <w:tcPr>
            <w:tcW w:w="1134" w:type="dxa"/>
          </w:tcPr>
          <w:p w14:paraId="7827A133"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1(2%)</w:t>
            </w:r>
          </w:p>
        </w:tc>
        <w:tc>
          <w:tcPr>
            <w:tcW w:w="6237" w:type="dxa"/>
            <w:vMerge w:val="restart"/>
          </w:tcPr>
          <w:p w14:paraId="23602C72" w14:textId="77777777"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The detection at an earlier stage represents a stage shift and subsequently a probable mortality rate reduction in the future. Compared to standard care, LDCT led to a 74.1% increase in detecting early-stage lung cancer.</w:t>
            </w:r>
          </w:p>
        </w:tc>
      </w:tr>
      <w:tr w:rsidR="008F06DE" w:rsidRPr="00436840" w14:paraId="5659827D" w14:textId="77777777" w:rsidTr="00FF5ADB">
        <w:trPr>
          <w:trHeight w:val="194"/>
        </w:trPr>
        <w:tc>
          <w:tcPr>
            <w:tcW w:w="993" w:type="dxa"/>
            <w:vMerge/>
          </w:tcPr>
          <w:p w14:paraId="0015FDCF" w14:textId="77777777" w:rsidR="008F06DE" w:rsidRPr="00436840" w:rsidRDefault="008F06DE" w:rsidP="008F06DE">
            <w:pPr>
              <w:spacing w:before="0"/>
              <w:rPr>
                <w:rFonts w:ascii="Arial Narrow" w:eastAsia="Calibri" w:hAnsi="Arial Narrow" w:cs="Times New Roman"/>
                <w:sz w:val="20"/>
                <w:szCs w:val="20"/>
              </w:rPr>
            </w:pPr>
          </w:p>
        </w:tc>
        <w:tc>
          <w:tcPr>
            <w:tcW w:w="1984" w:type="dxa"/>
            <w:vMerge/>
          </w:tcPr>
          <w:p w14:paraId="66B69D07" w14:textId="77777777" w:rsidR="008F06DE" w:rsidRPr="00436840" w:rsidRDefault="008F06DE" w:rsidP="00502FF6">
            <w:pPr>
              <w:spacing w:before="0"/>
              <w:jc w:val="center"/>
              <w:rPr>
                <w:rFonts w:ascii="Arial Narrow" w:eastAsia="Calibri" w:hAnsi="Arial Narrow" w:cs="Times New Roman"/>
                <w:sz w:val="20"/>
                <w:szCs w:val="20"/>
              </w:rPr>
            </w:pPr>
          </w:p>
        </w:tc>
        <w:tc>
          <w:tcPr>
            <w:tcW w:w="2268" w:type="dxa"/>
            <w:vMerge/>
          </w:tcPr>
          <w:p w14:paraId="06B3038B" w14:textId="77777777" w:rsidR="008F06DE" w:rsidRPr="00436840" w:rsidRDefault="008F06DE" w:rsidP="00502FF6">
            <w:pPr>
              <w:spacing w:before="0"/>
              <w:jc w:val="center"/>
              <w:rPr>
                <w:rFonts w:ascii="Arial Narrow" w:eastAsia="Calibri" w:hAnsi="Arial Narrow" w:cs="Times New Roman"/>
                <w:sz w:val="20"/>
                <w:szCs w:val="20"/>
              </w:rPr>
            </w:pPr>
          </w:p>
        </w:tc>
        <w:tc>
          <w:tcPr>
            <w:tcW w:w="2126" w:type="dxa"/>
            <w:vMerge/>
          </w:tcPr>
          <w:p w14:paraId="1C9B9F20" w14:textId="77777777" w:rsidR="008F06DE" w:rsidRPr="00436840" w:rsidRDefault="008F06DE" w:rsidP="00502FF6">
            <w:pPr>
              <w:spacing w:before="0"/>
              <w:jc w:val="center"/>
              <w:rPr>
                <w:rFonts w:ascii="Arial Narrow" w:eastAsia="Calibri" w:hAnsi="Arial Narrow" w:cs="Calibri"/>
                <w:sz w:val="20"/>
                <w:szCs w:val="20"/>
                <w:lang w:val="en-GB"/>
              </w:rPr>
            </w:pPr>
          </w:p>
        </w:tc>
        <w:tc>
          <w:tcPr>
            <w:tcW w:w="851" w:type="dxa"/>
          </w:tcPr>
          <w:p w14:paraId="193447D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Calibri"/>
                <w:bCs/>
                <w:sz w:val="20"/>
                <w:szCs w:val="20"/>
                <w:lang w:val="en-GB"/>
              </w:rPr>
              <w:t>Control</w:t>
            </w:r>
          </w:p>
        </w:tc>
        <w:tc>
          <w:tcPr>
            <w:tcW w:w="1843" w:type="dxa"/>
          </w:tcPr>
          <w:p w14:paraId="05B6072A"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 (20%)</w:t>
            </w:r>
          </w:p>
        </w:tc>
        <w:tc>
          <w:tcPr>
            <w:tcW w:w="1134" w:type="dxa"/>
          </w:tcPr>
          <w:p w14:paraId="333D7ED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3 (30%)</w:t>
            </w:r>
          </w:p>
        </w:tc>
        <w:tc>
          <w:tcPr>
            <w:tcW w:w="1134" w:type="dxa"/>
          </w:tcPr>
          <w:p w14:paraId="5938F5B8"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 (10%)</w:t>
            </w:r>
          </w:p>
        </w:tc>
        <w:tc>
          <w:tcPr>
            <w:tcW w:w="1134" w:type="dxa"/>
          </w:tcPr>
          <w:p w14:paraId="79378355"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 (40%)</w:t>
            </w:r>
          </w:p>
        </w:tc>
        <w:tc>
          <w:tcPr>
            <w:tcW w:w="1134" w:type="dxa"/>
          </w:tcPr>
          <w:p w14:paraId="61B65ED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w:t>
            </w:r>
          </w:p>
        </w:tc>
        <w:tc>
          <w:tcPr>
            <w:tcW w:w="6237" w:type="dxa"/>
            <w:vMerge/>
          </w:tcPr>
          <w:p w14:paraId="2C6268C1" w14:textId="77777777" w:rsidR="008F06DE" w:rsidRPr="00436840" w:rsidRDefault="008F06DE" w:rsidP="008F06DE">
            <w:pPr>
              <w:spacing w:before="0"/>
              <w:rPr>
                <w:rFonts w:ascii="Arial Narrow" w:eastAsia="Calibri" w:hAnsi="Arial Narrow" w:cs="Times New Roman"/>
                <w:sz w:val="20"/>
                <w:szCs w:val="20"/>
              </w:rPr>
            </w:pPr>
          </w:p>
        </w:tc>
      </w:tr>
      <w:tr w:rsidR="008F06DE" w:rsidRPr="00436840" w14:paraId="4F3C76E9" w14:textId="77777777" w:rsidTr="00FF5ADB">
        <w:trPr>
          <w:trHeight w:val="253"/>
        </w:trPr>
        <w:tc>
          <w:tcPr>
            <w:tcW w:w="993" w:type="dxa"/>
            <w:vMerge w:val="restart"/>
          </w:tcPr>
          <w:p w14:paraId="42EFCF19" w14:textId="48753643" w:rsidR="008F06DE" w:rsidRPr="00436840" w:rsidRDefault="008F06DE"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DANTE</w:t>
            </w:r>
            <w:r w:rsidR="00873F9A" w:rsidRPr="00873F9A">
              <w:rPr>
                <w:rFonts w:ascii="Arial Narrow" w:eastAsia="Calibri" w:hAnsi="Arial Narrow" w:cs="Times New Roman"/>
                <w:bCs/>
                <w:sz w:val="20"/>
                <w:szCs w:val="20"/>
                <w:vertAlign w:val="superscript"/>
              </w:rPr>
              <w:t>3</w:t>
            </w:r>
            <w:r w:rsidR="002E07B7">
              <w:rPr>
                <w:rFonts w:ascii="Arial Narrow" w:eastAsia="Calibri" w:hAnsi="Arial Narrow" w:cs="Times New Roman"/>
                <w:bCs/>
                <w:sz w:val="20"/>
                <w:szCs w:val="20"/>
                <w:vertAlign w:val="superscript"/>
              </w:rPr>
              <w:t>1</w:t>
            </w:r>
          </w:p>
          <w:p w14:paraId="7453B257" w14:textId="77777777" w:rsidR="008F06DE" w:rsidRPr="00436840" w:rsidRDefault="008F06DE"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2001</w:t>
            </w:r>
          </w:p>
        </w:tc>
        <w:tc>
          <w:tcPr>
            <w:tcW w:w="1984" w:type="dxa"/>
            <w:vMerge w:val="restart"/>
          </w:tcPr>
          <w:p w14:paraId="3D3D935C" w14:textId="0913165B"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 4.7%</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w:t>
            </w:r>
            <w:r w:rsidR="00A71658">
              <w:rPr>
                <w:rFonts w:ascii="Arial Narrow" w:eastAsia="Calibri" w:hAnsi="Arial Narrow" w:cs="Times New Roman"/>
                <w:bCs/>
                <w:sz w:val="20"/>
                <w:szCs w:val="20"/>
              </w:rPr>
              <w:t>59</w:t>
            </w:r>
            <w:r w:rsidRPr="00436840">
              <w:rPr>
                <w:rFonts w:ascii="Arial Narrow" w:eastAsia="Calibri" w:hAnsi="Arial Narrow" w:cs="Times New Roman"/>
                <w:bCs/>
                <w:sz w:val="20"/>
                <w:szCs w:val="20"/>
              </w:rPr>
              <w:t>/1</w:t>
            </w:r>
            <w:r w:rsidR="00A71658">
              <w:rPr>
                <w:rFonts w:ascii="Arial Narrow" w:eastAsia="Calibri" w:hAnsi="Arial Narrow" w:cs="Times New Roman"/>
                <w:bCs/>
                <w:sz w:val="20"/>
                <w:szCs w:val="20"/>
              </w:rPr>
              <w:t>264</w:t>
            </w:r>
            <w:r w:rsidRPr="00436840">
              <w:rPr>
                <w:rFonts w:ascii="Arial Narrow" w:eastAsia="Calibri" w:hAnsi="Arial Narrow" w:cs="Times New Roman"/>
                <w:bCs/>
                <w:sz w:val="20"/>
                <w:szCs w:val="20"/>
              </w:rPr>
              <w:t>)</w:t>
            </w:r>
          </w:p>
          <w:p w14:paraId="0784DEB1" w14:textId="09F1D44D"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4.</w:t>
            </w:r>
            <w:r w:rsidR="00A71658">
              <w:rPr>
                <w:rFonts w:ascii="Arial Narrow" w:eastAsia="Calibri" w:hAnsi="Arial Narrow" w:cs="Times New Roman"/>
                <w:bCs/>
                <w:sz w:val="20"/>
                <w:szCs w:val="20"/>
              </w:rPr>
              <w:t>6</w:t>
            </w:r>
            <w:r w:rsidRPr="00436840">
              <w:rPr>
                <w:rFonts w:ascii="Arial Narrow" w:eastAsia="Calibri" w:hAnsi="Arial Narrow" w:cs="Times New Roman"/>
                <w:bCs/>
                <w:sz w:val="20"/>
                <w:szCs w:val="20"/>
              </w:rPr>
              <w:t>%</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(5</w:t>
            </w:r>
            <w:r w:rsidR="00A71658">
              <w:rPr>
                <w:rFonts w:ascii="Arial Narrow" w:eastAsia="Calibri" w:hAnsi="Arial Narrow" w:cs="Times New Roman"/>
                <w:bCs/>
                <w:sz w:val="20"/>
                <w:szCs w:val="20"/>
              </w:rPr>
              <w:t>5</w:t>
            </w:r>
            <w:r w:rsidRPr="00436840">
              <w:rPr>
                <w:rFonts w:ascii="Arial Narrow" w:eastAsia="Calibri" w:hAnsi="Arial Narrow" w:cs="Times New Roman"/>
                <w:bCs/>
                <w:sz w:val="20"/>
                <w:szCs w:val="20"/>
              </w:rPr>
              <w:t>/1</w:t>
            </w:r>
            <w:r w:rsidR="00A71658">
              <w:rPr>
                <w:rFonts w:ascii="Arial Narrow" w:eastAsia="Calibri" w:hAnsi="Arial Narrow" w:cs="Times New Roman"/>
                <w:bCs/>
                <w:sz w:val="20"/>
                <w:szCs w:val="20"/>
              </w:rPr>
              <w:t>186</w:t>
            </w:r>
            <w:r w:rsidRPr="00436840">
              <w:rPr>
                <w:rFonts w:ascii="Arial Narrow" w:eastAsia="Calibri" w:hAnsi="Arial Narrow" w:cs="Times New Roman"/>
                <w:bCs/>
                <w:sz w:val="20"/>
                <w:szCs w:val="20"/>
              </w:rPr>
              <w:t>)</w:t>
            </w:r>
          </w:p>
          <w:p w14:paraId="5B06232C" w14:textId="11902317" w:rsidR="007B437E" w:rsidRDefault="00403AC9" w:rsidP="00502FF6">
            <w:pPr>
              <w:spacing w:before="0"/>
              <w:jc w:val="center"/>
              <w:rPr>
                <w:rFonts w:ascii="Arial Narrow" w:eastAsia="Calibri" w:hAnsi="Arial Narrow" w:cs="Times New Roman"/>
                <w:bCs/>
                <w:sz w:val="20"/>
                <w:szCs w:val="20"/>
              </w:rPr>
            </w:pPr>
            <w:r>
              <w:rPr>
                <w:rFonts w:ascii="Arial Narrow" w:eastAsia="Calibri" w:hAnsi="Arial Narrow" w:cs="Times New Roman"/>
                <w:bCs/>
                <w:sz w:val="20"/>
                <w:szCs w:val="20"/>
              </w:rPr>
              <w:t>H</w:t>
            </w:r>
            <w:r w:rsidR="008F06DE" w:rsidRPr="00436840">
              <w:rPr>
                <w:rFonts w:ascii="Arial Narrow" w:eastAsia="Calibri" w:hAnsi="Arial Narrow" w:cs="Times New Roman"/>
                <w:bCs/>
                <w:sz w:val="20"/>
                <w:szCs w:val="20"/>
              </w:rPr>
              <w:t>R</w:t>
            </w:r>
            <w:r w:rsidR="00E121CF">
              <w:rPr>
                <w:rFonts w:ascii="Arial Narrow" w:eastAsia="Calibri" w:hAnsi="Arial Narrow" w:cs="Times New Roman"/>
                <w:bCs/>
                <w:sz w:val="20"/>
                <w:szCs w:val="20"/>
              </w:rPr>
              <w:t>:</w:t>
            </w:r>
            <w:r w:rsidR="008F06DE" w:rsidRPr="00436840">
              <w:rPr>
                <w:rFonts w:ascii="Arial Narrow" w:eastAsia="Calibri" w:hAnsi="Arial Narrow" w:cs="Times New Roman"/>
                <w:bCs/>
                <w:sz w:val="20"/>
                <w:szCs w:val="20"/>
              </w:rPr>
              <w:t xml:space="preserve"> </w:t>
            </w:r>
            <w:r w:rsidR="00A71658">
              <w:rPr>
                <w:rFonts w:ascii="Arial Narrow" w:eastAsia="Calibri" w:hAnsi="Arial Narrow" w:cs="Times New Roman"/>
                <w:bCs/>
                <w:sz w:val="20"/>
                <w:szCs w:val="20"/>
              </w:rPr>
              <w:t>0.99</w:t>
            </w:r>
          </w:p>
          <w:p w14:paraId="6BC82A95" w14:textId="583B8B5D"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0.</w:t>
            </w:r>
            <w:r w:rsidR="00A71658">
              <w:rPr>
                <w:rFonts w:ascii="Arial Narrow" w:eastAsia="Calibri" w:hAnsi="Arial Narrow" w:cs="Times New Roman"/>
                <w:bCs/>
                <w:sz w:val="20"/>
                <w:szCs w:val="20"/>
              </w:rPr>
              <w:t>69</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1.4</w:t>
            </w:r>
            <w:r w:rsidR="00A71658">
              <w:rPr>
                <w:rFonts w:ascii="Arial Narrow" w:eastAsia="Calibri" w:hAnsi="Arial Narrow" w:cs="Times New Roman"/>
                <w:bCs/>
                <w:sz w:val="20"/>
                <w:szCs w:val="20"/>
              </w:rPr>
              <w:t>3</w:t>
            </w:r>
          </w:p>
        </w:tc>
        <w:tc>
          <w:tcPr>
            <w:tcW w:w="2268" w:type="dxa"/>
            <w:vMerge w:val="restart"/>
          </w:tcPr>
          <w:p w14:paraId="728C4CE2" w14:textId="0894D231"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 14.</w:t>
            </w:r>
            <w:r w:rsidR="00A71658">
              <w:rPr>
                <w:rFonts w:ascii="Arial Narrow" w:eastAsia="Calibri" w:hAnsi="Arial Narrow" w:cs="Times New Roman"/>
                <w:bCs/>
                <w:sz w:val="20"/>
                <w:szCs w:val="20"/>
              </w:rPr>
              <w:t>2</w:t>
            </w:r>
            <w:r w:rsidRPr="00436840">
              <w:rPr>
                <w:rFonts w:ascii="Arial Narrow" w:eastAsia="Calibri" w:hAnsi="Arial Narrow" w:cs="Times New Roman"/>
                <w:bCs/>
                <w:sz w:val="20"/>
                <w:szCs w:val="20"/>
              </w:rPr>
              <w:t>%</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(18</w:t>
            </w:r>
            <w:r w:rsidR="00A71658">
              <w:rPr>
                <w:rFonts w:ascii="Arial Narrow" w:eastAsia="Calibri" w:hAnsi="Arial Narrow" w:cs="Times New Roman"/>
                <w:bCs/>
                <w:sz w:val="20"/>
                <w:szCs w:val="20"/>
              </w:rPr>
              <w:t>0</w:t>
            </w:r>
            <w:r w:rsidRPr="00436840">
              <w:rPr>
                <w:rFonts w:ascii="Arial Narrow" w:eastAsia="Calibri" w:hAnsi="Arial Narrow" w:cs="Times New Roman"/>
                <w:bCs/>
                <w:sz w:val="20"/>
                <w:szCs w:val="20"/>
              </w:rPr>
              <w:t>/1</w:t>
            </w:r>
            <w:r w:rsidR="00A71658">
              <w:rPr>
                <w:rFonts w:ascii="Arial Narrow" w:eastAsia="Calibri" w:hAnsi="Arial Narrow" w:cs="Times New Roman"/>
                <w:bCs/>
                <w:sz w:val="20"/>
                <w:szCs w:val="20"/>
              </w:rPr>
              <w:t>264</w:t>
            </w:r>
            <w:r w:rsidRPr="00436840">
              <w:rPr>
                <w:rFonts w:ascii="Arial Narrow" w:eastAsia="Calibri" w:hAnsi="Arial Narrow" w:cs="Times New Roman"/>
                <w:bCs/>
                <w:sz w:val="20"/>
                <w:szCs w:val="20"/>
              </w:rPr>
              <w:t>)</w:t>
            </w:r>
          </w:p>
          <w:p w14:paraId="37D89959" w14:textId="59FD0E74"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14.</w:t>
            </w:r>
            <w:r w:rsidR="00A71658">
              <w:rPr>
                <w:rFonts w:ascii="Arial Narrow" w:eastAsia="Calibri" w:hAnsi="Arial Narrow" w:cs="Times New Roman"/>
                <w:bCs/>
                <w:sz w:val="20"/>
                <w:szCs w:val="20"/>
              </w:rPr>
              <w:t>8</w:t>
            </w:r>
            <w:r w:rsidRPr="00436840">
              <w:rPr>
                <w:rFonts w:ascii="Arial Narrow" w:eastAsia="Calibri" w:hAnsi="Arial Narrow" w:cs="Times New Roman"/>
                <w:bCs/>
                <w:sz w:val="20"/>
                <w:szCs w:val="20"/>
              </w:rPr>
              <w:t>%</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(1</w:t>
            </w:r>
            <w:r w:rsidR="00A71658">
              <w:rPr>
                <w:rFonts w:ascii="Arial Narrow" w:eastAsia="Calibri" w:hAnsi="Arial Narrow" w:cs="Times New Roman"/>
                <w:bCs/>
                <w:sz w:val="20"/>
                <w:szCs w:val="20"/>
              </w:rPr>
              <w:t>76</w:t>
            </w:r>
            <w:r w:rsidRPr="00436840">
              <w:rPr>
                <w:rFonts w:ascii="Arial Narrow" w:eastAsia="Calibri" w:hAnsi="Arial Narrow" w:cs="Times New Roman"/>
                <w:bCs/>
                <w:sz w:val="20"/>
                <w:szCs w:val="20"/>
              </w:rPr>
              <w:t>/1</w:t>
            </w:r>
            <w:r w:rsidR="00A71658">
              <w:rPr>
                <w:rFonts w:ascii="Arial Narrow" w:eastAsia="Calibri" w:hAnsi="Arial Narrow" w:cs="Times New Roman"/>
                <w:bCs/>
                <w:sz w:val="20"/>
                <w:szCs w:val="20"/>
              </w:rPr>
              <w:t>186</w:t>
            </w:r>
            <w:r w:rsidRPr="00436840">
              <w:rPr>
                <w:rFonts w:ascii="Arial Narrow" w:eastAsia="Calibri" w:hAnsi="Arial Narrow" w:cs="Times New Roman"/>
                <w:bCs/>
                <w:sz w:val="20"/>
                <w:szCs w:val="20"/>
              </w:rPr>
              <w:t>)</w:t>
            </w:r>
          </w:p>
          <w:p w14:paraId="12F909EF" w14:textId="26E29FB0" w:rsidR="007B437E" w:rsidRDefault="00A71658" w:rsidP="00502FF6">
            <w:pPr>
              <w:spacing w:before="0"/>
              <w:jc w:val="center"/>
              <w:rPr>
                <w:rFonts w:ascii="Arial Narrow" w:eastAsia="Calibri" w:hAnsi="Arial Narrow" w:cs="Times New Roman"/>
                <w:bCs/>
                <w:sz w:val="20"/>
                <w:szCs w:val="20"/>
              </w:rPr>
            </w:pPr>
            <w:r>
              <w:rPr>
                <w:rFonts w:ascii="Arial Narrow" w:eastAsia="Calibri" w:hAnsi="Arial Narrow" w:cs="Times New Roman"/>
                <w:bCs/>
                <w:sz w:val="20"/>
                <w:szCs w:val="20"/>
              </w:rPr>
              <w:t>H</w:t>
            </w:r>
            <w:r w:rsidR="008F06DE" w:rsidRPr="00436840">
              <w:rPr>
                <w:rFonts w:ascii="Arial Narrow" w:eastAsia="Calibri" w:hAnsi="Arial Narrow" w:cs="Times New Roman"/>
                <w:bCs/>
                <w:sz w:val="20"/>
                <w:szCs w:val="20"/>
              </w:rPr>
              <w:t>R</w:t>
            </w:r>
            <w:r w:rsidR="00E121CF">
              <w:rPr>
                <w:rFonts w:ascii="Arial Narrow" w:eastAsia="Calibri" w:hAnsi="Arial Narrow" w:cs="Times New Roman"/>
                <w:bCs/>
                <w:sz w:val="20"/>
                <w:szCs w:val="20"/>
              </w:rPr>
              <w:t>:</w:t>
            </w:r>
            <w:r w:rsidR="008F06DE" w:rsidRPr="00436840">
              <w:rPr>
                <w:rFonts w:ascii="Arial Narrow" w:eastAsia="Calibri" w:hAnsi="Arial Narrow" w:cs="Times New Roman"/>
                <w:bCs/>
                <w:sz w:val="20"/>
                <w:szCs w:val="20"/>
              </w:rPr>
              <w:t xml:space="preserve"> 0.9</w:t>
            </w:r>
            <w:r>
              <w:rPr>
                <w:rFonts w:ascii="Arial Narrow" w:eastAsia="Calibri" w:hAnsi="Arial Narrow" w:cs="Times New Roman"/>
                <w:bCs/>
                <w:sz w:val="20"/>
                <w:szCs w:val="20"/>
              </w:rPr>
              <w:t>5</w:t>
            </w:r>
          </w:p>
          <w:p w14:paraId="3CAB3DF6" w14:textId="3F584708"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0.</w:t>
            </w:r>
            <w:r w:rsidR="00A71658">
              <w:rPr>
                <w:rFonts w:ascii="Arial Narrow" w:eastAsia="Calibri" w:hAnsi="Arial Narrow" w:cs="Times New Roman"/>
                <w:bCs/>
                <w:sz w:val="20"/>
                <w:szCs w:val="20"/>
              </w:rPr>
              <w:t>77</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1.1</w:t>
            </w:r>
            <w:r w:rsidR="00A71658">
              <w:rPr>
                <w:rFonts w:ascii="Arial Narrow" w:eastAsia="Calibri" w:hAnsi="Arial Narrow" w:cs="Times New Roman"/>
                <w:bCs/>
                <w:sz w:val="20"/>
                <w:szCs w:val="20"/>
              </w:rPr>
              <w:t>6</w:t>
            </w:r>
          </w:p>
        </w:tc>
        <w:tc>
          <w:tcPr>
            <w:tcW w:w="2126" w:type="dxa"/>
            <w:vMerge w:val="restart"/>
          </w:tcPr>
          <w:p w14:paraId="1BA7A41D" w14:textId="77777777" w:rsidR="00403AC9" w:rsidRPr="00403AC9" w:rsidRDefault="00403AC9" w:rsidP="00403AC9">
            <w:pPr>
              <w:spacing w:before="0"/>
              <w:jc w:val="center"/>
              <w:rPr>
                <w:rFonts w:ascii="Arial Narrow" w:eastAsia="Calibri" w:hAnsi="Arial Narrow" w:cs="Times New Roman"/>
                <w:bCs/>
                <w:sz w:val="20"/>
                <w:szCs w:val="20"/>
              </w:rPr>
            </w:pPr>
            <w:r w:rsidRPr="00403AC9">
              <w:rPr>
                <w:rFonts w:ascii="Arial Narrow" w:eastAsia="Calibri" w:hAnsi="Arial Narrow" w:cs="Times New Roman"/>
                <w:bCs/>
                <w:sz w:val="20"/>
                <w:szCs w:val="20"/>
              </w:rPr>
              <w:t>LDCT: 8.23% (104/1264)</w:t>
            </w:r>
          </w:p>
          <w:p w14:paraId="094F9FCA" w14:textId="77777777" w:rsidR="00403AC9" w:rsidRPr="00403AC9" w:rsidRDefault="00403AC9" w:rsidP="00403AC9">
            <w:pPr>
              <w:spacing w:before="0"/>
              <w:jc w:val="center"/>
              <w:rPr>
                <w:rFonts w:ascii="Arial Narrow" w:eastAsia="Calibri" w:hAnsi="Arial Narrow" w:cs="Times New Roman"/>
                <w:bCs/>
                <w:sz w:val="20"/>
                <w:szCs w:val="20"/>
              </w:rPr>
            </w:pPr>
            <w:r w:rsidRPr="00403AC9">
              <w:rPr>
                <w:rFonts w:ascii="Arial Narrow" w:eastAsia="Calibri" w:hAnsi="Arial Narrow" w:cs="Times New Roman"/>
                <w:bCs/>
                <w:sz w:val="20"/>
                <w:szCs w:val="20"/>
              </w:rPr>
              <w:t>Control: 6.07% (72/1186)</w:t>
            </w:r>
          </w:p>
          <w:p w14:paraId="1074EC46" w14:textId="4EB1C526" w:rsidR="008F06DE" w:rsidRPr="00436840" w:rsidRDefault="00403AC9" w:rsidP="00403AC9">
            <w:pPr>
              <w:spacing w:before="0"/>
              <w:jc w:val="center"/>
              <w:rPr>
                <w:rFonts w:ascii="Arial Narrow" w:eastAsia="Calibri" w:hAnsi="Arial Narrow" w:cs="Times New Roman"/>
                <w:bCs/>
                <w:sz w:val="20"/>
                <w:szCs w:val="20"/>
              </w:rPr>
            </w:pPr>
            <w:r w:rsidRPr="00403AC9">
              <w:rPr>
                <w:rFonts w:ascii="Arial Narrow" w:eastAsia="Calibri" w:hAnsi="Arial Narrow" w:cs="Times New Roman"/>
                <w:bCs/>
                <w:sz w:val="20"/>
                <w:szCs w:val="20"/>
              </w:rPr>
              <w:t>p = 0.0418</w:t>
            </w:r>
          </w:p>
        </w:tc>
        <w:tc>
          <w:tcPr>
            <w:tcW w:w="851" w:type="dxa"/>
          </w:tcPr>
          <w:p w14:paraId="7098EE1A" w14:textId="77777777"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w:t>
            </w:r>
          </w:p>
        </w:tc>
        <w:tc>
          <w:tcPr>
            <w:tcW w:w="1843" w:type="dxa"/>
          </w:tcPr>
          <w:p w14:paraId="5A41DF1E" w14:textId="72718AB1"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47 (45%)</w:t>
            </w:r>
          </w:p>
        </w:tc>
        <w:tc>
          <w:tcPr>
            <w:tcW w:w="1134" w:type="dxa"/>
          </w:tcPr>
          <w:p w14:paraId="2C1959CA"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639676B1"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1E545C1D"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255E8906" w14:textId="77777777" w:rsidR="008F06DE" w:rsidRPr="00436840" w:rsidRDefault="008F06DE" w:rsidP="00502FF6">
            <w:pPr>
              <w:spacing w:before="0"/>
              <w:jc w:val="center"/>
              <w:rPr>
                <w:rFonts w:ascii="Arial Narrow" w:eastAsia="Calibri" w:hAnsi="Arial Narrow" w:cs="Times New Roman"/>
                <w:bCs/>
                <w:sz w:val="20"/>
                <w:szCs w:val="20"/>
              </w:rPr>
            </w:pPr>
          </w:p>
        </w:tc>
        <w:tc>
          <w:tcPr>
            <w:tcW w:w="6237" w:type="dxa"/>
            <w:vMerge w:val="restart"/>
          </w:tcPr>
          <w:p w14:paraId="36BB5F68" w14:textId="76B1B129" w:rsidR="008F06DE" w:rsidRPr="00436840" w:rsidRDefault="008F06DE"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In the DANTE study, patients with both early and advanced disease were increasingly detected in the LDCT arm after a drop after the baseline screen, and in the end no stage shift could be observed. Lung cancer</w:t>
            </w:r>
            <w:r w:rsidR="003A261B">
              <w:rPr>
                <w:rFonts w:ascii="Arial Narrow" w:eastAsia="Calibri" w:hAnsi="Arial Narrow" w:cs="Times New Roman"/>
                <w:bCs/>
                <w:sz w:val="20"/>
                <w:szCs w:val="20"/>
              </w:rPr>
              <w:t>-</w:t>
            </w:r>
            <w:r w:rsidRPr="00436840">
              <w:rPr>
                <w:rFonts w:ascii="Arial Narrow" w:eastAsia="Calibri" w:hAnsi="Arial Narrow" w:cs="Times New Roman"/>
                <w:bCs/>
                <w:sz w:val="20"/>
                <w:szCs w:val="20"/>
              </w:rPr>
              <w:t>specific and all-cause mortality were unfortunately similar in the screening and in the control arm.</w:t>
            </w:r>
          </w:p>
          <w:p w14:paraId="59EC09AF" w14:textId="77777777" w:rsidR="008F06DE" w:rsidRPr="00436840" w:rsidRDefault="008F06DE"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Given the limited statistical power of the DANTE trial, our data do not allow making a definitive statement about whether or not LDCT screening is effective in reducing lung cancer mortality.</w:t>
            </w:r>
          </w:p>
        </w:tc>
      </w:tr>
      <w:tr w:rsidR="008F06DE" w:rsidRPr="00436840" w14:paraId="0E9E94F2" w14:textId="77777777" w:rsidTr="00FF5ADB">
        <w:tc>
          <w:tcPr>
            <w:tcW w:w="993" w:type="dxa"/>
            <w:vMerge/>
          </w:tcPr>
          <w:p w14:paraId="5DAA978B" w14:textId="77777777" w:rsidR="008F06DE" w:rsidRPr="00436840" w:rsidRDefault="008F06DE" w:rsidP="008F06DE">
            <w:pPr>
              <w:spacing w:before="0"/>
              <w:rPr>
                <w:rFonts w:ascii="Arial Narrow" w:eastAsia="Calibri" w:hAnsi="Arial Narrow" w:cs="Times New Roman"/>
                <w:sz w:val="20"/>
                <w:szCs w:val="20"/>
              </w:rPr>
            </w:pPr>
          </w:p>
        </w:tc>
        <w:tc>
          <w:tcPr>
            <w:tcW w:w="1984" w:type="dxa"/>
            <w:vMerge/>
          </w:tcPr>
          <w:p w14:paraId="74849399" w14:textId="77777777" w:rsidR="008F06DE" w:rsidRPr="00436840" w:rsidRDefault="008F06DE" w:rsidP="00502FF6">
            <w:pPr>
              <w:spacing w:before="0"/>
              <w:jc w:val="center"/>
              <w:rPr>
                <w:rFonts w:ascii="Arial Narrow" w:eastAsia="Calibri" w:hAnsi="Arial Narrow" w:cs="Times New Roman"/>
                <w:sz w:val="20"/>
                <w:szCs w:val="20"/>
              </w:rPr>
            </w:pPr>
          </w:p>
        </w:tc>
        <w:tc>
          <w:tcPr>
            <w:tcW w:w="2268" w:type="dxa"/>
            <w:vMerge/>
          </w:tcPr>
          <w:p w14:paraId="1D1F4833" w14:textId="77777777" w:rsidR="008F06DE" w:rsidRPr="00436840" w:rsidRDefault="008F06DE" w:rsidP="00502FF6">
            <w:pPr>
              <w:spacing w:before="0"/>
              <w:jc w:val="center"/>
              <w:rPr>
                <w:rFonts w:ascii="Arial Narrow" w:eastAsia="Calibri" w:hAnsi="Arial Narrow" w:cs="Times New Roman"/>
                <w:sz w:val="20"/>
                <w:szCs w:val="20"/>
              </w:rPr>
            </w:pPr>
          </w:p>
        </w:tc>
        <w:tc>
          <w:tcPr>
            <w:tcW w:w="2126" w:type="dxa"/>
            <w:vMerge/>
          </w:tcPr>
          <w:p w14:paraId="54218A7E" w14:textId="77777777" w:rsidR="008F06DE" w:rsidRPr="00436840" w:rsidRDefault="008F06DE" w:rsidP="00502FF6">
            <w:pPr>
              <w:spacing w:before="0"/>
              <w:jc w:val="center"/>
              <w:rPr>
                <w:rFonts w:ascii="Arial Narrow" w:eastAsia="Calibri" w:hAnsi="Arial Narrow" w:cs="Calibri"/>
                <w:sz w:val="20"/>
                <w:szCs w:val="20"/>
                <w:lang w:val="en-GB"/>
              </w:rPr>
            </w:pPr>
          </w:p>
        </w:tc>
        <w:tc>
          <w:tcPr>
            <w:tcW w:w="851" w:type="dxa"/>
          </w:tcPr>
          <w:p w14:paraId="25CAE5EE" w14:textId="77777777"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w:t>
            </w:r>
          </w:p>
        </w:tc>
        <w:tc>
          <w:tcPr>
            <w:tcW w:w="1843" w:type="dxa"/>
          </w:tcPr>
          <w:p w14:paraId="73E3B359" w14:textId="77777777"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16 (22.2%)</w:t>
            </w:r>
          </w:p>
          <w:p w14:paraId="4F2EF8CC" w14:textId="153176E1" w:rsidR="005F55BF"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RR</w:t>
            </w:r>
            <w:r w:rsidR="00B77874">
              <w:rPr>
                <w:rFonts w:ascii="Arial Narrow" w:eastAsia="Calibri" w:hAnsi="Arial Narrow" w:cs="Times New Roman"/>
                <w:bCs/>
                <w:sz w:val="20"/>
                <w:szCs w:val="20"/>
              </w:rPr>
              <w:t>:</w:t>
            </w:r>
            <w:r w:rsidR="004275C4">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2.03</w:t>
            </w:r>
          </w:p>
          <w:p w14:paraId="02C3FE2D" w14:textId="003D6A98"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1.26</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3.29</w:t>
            </w:r>
          </w:p>
        </w:tc>
        <w:tc>
          <w:tcPr>
            <w:tcW w:w="1134" w:type="dxa"/>
          </w:tcPr>
          <w:p w14:paraId="33FAC8D6"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36F77978"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4EFBB2DE"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2909CEB5" w14:textId="77777777" w:rsidR="008F06DE" w:rsidRPr="00436840" w:rsidRDefault="008F06DE" w:rsidP="00502FF6">
            <w:pPr>
              <w:spacing w:before="0"/>
              <w:jc w:val="center"/>
              <w:rPr>
                <w:rFonts w:ascii="Arial Narrow" w:eastAsia="Calibri" w:hAnsi="Arial Narrow" w:cs="Times New Roman"/>
                <w:sz w:val="20"/>
                <w:szCs w:val="20"/>
              </w:rPr>
            </w:pPr>
          </w:p>
        </w:tc>
        <w:tc>
          <w:tcPr>
            <w:tcW w:w="6237" w:type="dxa"/>
            <w:vMerge/>
          </w:tcPr>
          <w:p w14:paraId="784BCA58" w14:textId="77777777" w:rsidR="008F06DE" w:rsidRPr="00436840" w:rsidRDefault="008F06DE" w:rsidP="008F06DE">
            <w:pPr>
              <w:spacing w:before="0"/>
              <w:rPr>
                <w:rFonts w:ascii="Arial Narrow" w:eastAsia="Calibri" w:hAnsi="Arial Narrow" w:cs="Times New Roman"/>
                <w:sz w:val="20"/>
                <w:szCs w:val="20"/>
              </w:rPr>
            </w:pPr>
          </w:p>
        </w:tc>
      </w:tr>
      <w:tr w:rsidR="008F06DE" w:rsidRPr="00436840" w14:paraId="1D54ECF8" w14:textId="77777777" w:rsidTr="00FF5ADB">
        <w:tc>
          <w:tcPr>
            <w:tcW w:w="993" w:type="dxa"/>
            <w:vMerge w:val="restart"/>
          </w:tcPr>
          <w:p w14:paraId="74C4CEDE" w14:textId="0F726CC4" w:rsidR="008F06DE" w:rsidRPr="00436840" w:rsidRDefault="008F06DE" w:rsidP="008F06DE">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DLCST</w:t>
            </w:r>
            <w:r w:rsidR="0056531C" w:rsidRPr="0056531C">
              <w:rPr>
                <w:rFonts w:ascii="Arial Narrow" w:eastAsia="Calibri" w:hAnsi="Arial Narrow" w:cs="Times New Roman"/>
                <w:bCs/>
                <w:sz w:val="20"/>
                <w:szCs w:val="20"/>
                <w:vertAlign w:val="superscript"/>
              </w:rPr>
              <w:t>3</w:t>
            </w:r>
            <w:r w:rsidR="002E07B7">
              <w:rPr>
                <w:rFonts w:ascii="Arial Narrow" w:eastAsia="Calibri" w:hAnsi="Arial Narrow" w:cs="Times New Roman"/>
                <w:bCs/>
                <w:sz w:val="20"/>
                <w:szCs w:val="20"/>
                <w:vertAlign w:val="superscript"/>
              </w:rPr>
              <w:t>2</w:t>
            </w:r>
          </w:p>
          <w:p w14:paraId="05C40E1E" w14:textId="77777777" w:rsidR="008F06DE" w:rsidRPr="00436840" w:rsidRDefault="008F06DE"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2004</w:t>
            </w:r>
          </w:p>
        </w:tc>
        <w:tc>
          <w:tcPr>
            <w:tcW w:w="1984" w:type="dxa"/>
            <w:vMerge w:val="restart"/>
          </w:tcPr>
          <w:p w14:paraId="4D5E3903" w14:textId="77777777"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 1.9% (39/2052)</w:t>
            </w:r>
          </w:p>
          <w:p w14:paraId="04936BE9" w14:textId="5EB18385"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 1.9%</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(38/2052)</w:t>
            </w:r>
          </w:p>
          <w:p w14:paraId="10982D08" w14:textId="7C9923B4" w:rsidR="00502FF6" w:rsidRDefault="00A71658" w:rsidP="00502FF6">
            <w:pPr>
              <w:spacing w:before="0"/>
              <w:jc w:val="center"/>
              <w:rPr>
                <w:rFonts w:ascii="Arial Narrow" w:eastAsia="Calibri" w:hAnsi="Arial Narrow" w:cs="Times New Roman"/>
                <w:bCs/>
                <w:sz w:val="20"/>
                <w:szCs w:val="20"/>
              </w:rPr>
            </w:pPr>
            <w:r>
              <w:rPr>
                <w:rFonts w:ascii="Arial Narrow" w:eastAsia="Calibri" w:hAnsi="Arial Narrow" w:cs="Times New Roman"/>
                <w:bCs/>
                <w:sz w:val="20"/>
                <w:szCs w:val="20"/>
              </w:rPr>
              <w:t>H</w:t>
            </w:r>
            <w:r w:rsidR="008F06DE" w:rsidRPr="00436840">
              <w:rPr>
                <w:rFonts w:ascii="Arial Narrow" w:eastAsia="Calibri" w:hAnsi="Arial Narrow" w:cs="Times New Roman"/>
                <w:bCs/>
                <w:sz w:val="20"/>
                <w:szCs w:val="20"/>
              </w:rPr>
              <w:t>R</w:t>
            </w:r>
            <w:r w:rsidR="00E121CF">
              <w:rPr>
                <w:rFonts w:ascii="Arial Narrow" w:eastAsia="Calibri" w:hAnsi="Arial Narrow" w:cs="Times New Roman"/>
                <w:bCs/>
                <w:sz w:val="20"/>
                <w:szCs w:val="20"/>
              </w:rPr>
              <w:t>:</w:t>
            </w:r>
            <w:r w:rsidR="008F06DE" w:rsidRPr="00436840">
              <w:rPr>
                <w:rFonts w:ascii="Arial Narrow" w:eastAsia="Calibri" w:hAnsi="Arial Narrow" w:cs="Times New Roman"/>
                <w:bCs/>
                <w:sz w:val="20"/>
                <w:szCs w:val="20"/>
              </w:rPr>
              <w:t xml:space="preserve"> 1.03</w:t>
            </w:r>
          </w:p>
          <w:p w14:paraId="5227E20F" w14:textId="77945545"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0.66</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1.60</w:t>
            </w:r>
          </w:p>
        </w:tc>
        <w:tc>
          <w:tcPr>
            <w:tcW w:w="2268" w:type="dxa"/>
            <w:vMerge w:val="restart"/>
          </w:tcPr>
          <w:p w14:paraId="3F74440C" w14:textId="3AF2130C"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 8.0%</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(165/2052)</w:t>
            </w:r>
          </w:p>
          <w:p w14:paraId="4BE3D3F4" w14:textId="48B853FC"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 7.9%</w:t>
            </w:r>
            <w:r w:rsidR="00502FF6">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(163/2052)</w:t>
            </w:r>
          </w:p>
          <w:p w14:paraId="0B4E43D9" w14:textId="0F70C3F5" w:rsidR="007B437E" w:rsidRDefault="00A71658" w:rsidP="00502FF6">
            <w:pPr>
              <w:spacing w:before="0"/>
              <w:jc w:val="center"/>
              <w:rPr>
                <w:rFonts w:ascii="Arial Narrow" w:eastAsia="Calibri" w:hAnsi="Arial Narrow" w:cs="Times New Roman"/>
                <w:bCs/>
                <w:sz w:val="20"/>
                <w:szCs w:val="20"/>
              </w:rPr>
            </w:pPr>
            <w:r>
              <w:rPr>
                <w:rFonts w:ascii="Arial Narrow" w:eastAsia="Calibri" w:hAnsi="Arial Narrow" w:cs="Times New Roman"/>
                <w:bCs/>
                <w:sz w:val="20"/>
                <w:szCs w:val="20"/>
              </w:rPr>
              <w:t>H</w:t>
            </w:r>
            <w:r w:rsidR="008F06DE" w:rsidRPr="00436840">
              <w:rPr>
                <w:rFonts w:ascii="Arial Narrow" w:eastAsia="Calibri" w:hAnsi="Arial Narrow" w:cs="Times New Roman"/>
                <w:bCs/>
                <w:sz w:val="20"/>
                <w:szCs w:val="20"/>
              </w:rPr>
              <w:t>R</w:t>
            </w:r>
            <w:r w:rsidR="00E121CF">
              <w:rPr>
                <w:rFonts w:ascii="Arial Narrow" w:eastAsia="Calibri" w:hAnsi="Arial Narrow" w:cs="Times New Roman"/>
                <w:bCs/>
                <w:sz w:val="20"/>
                <w:szCs w:val="20"/>
              </w:rPr>
              <w:t>:</w:t>
            </w:r>
            <w:r w:rsidR="008F06DE" w:rsidRPr="00436840">
              <w:rPr>
                <w:rFonts w:ascii="Arial Narrow" w:eastAsia="Calibri" w:hAnsi="Arial Narrow" w:cs="Times New Roman"/>
                <w:bCs/>
                <w:sz w:val="20"/>
                <w:szCs w:val="20"/>
              </w:rPr>
              <w:t xml:space="preserve"> 1.0</w:t>
            </w:r>
            <w:r>
              <w:rPr>
                <w:rFonts w:ascii="Arial Narrow" w:eastAsia="Calibri" w:hAnsi="Arial Narrow" w:cs="Times New Roman"/>
                <w:bCs/>
                <w:sz w:val="20"/>
                <w:szCs w:val="20"/>
              </w:rPr>
              <w:t>2</w:t>
            </w:r>
          </w:p>
          <w:p w14:paraId="0684F839" w14:textId="08999D4A"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0.82</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1.2</w:t>
            </w:r>
            <w:r w:rsidR="00A71658">
              <w:rPr>
                <w:rFonts w:ascii="Arial Narrow" w:eastAsia="Calibri" w:hAnsi="Arial Narrow" w:cs="Times New Roman"/>
                <w:bCs/>
                <w:sz w:val="20"/>
                <w:szCs w:val="20"/>
              </w:rPr>
              <w:t>7</w:t>
            </w:r>
          </w:p>
        </w:tc>
        <w:tc>
          <w:tcPr>
            <w:tcW w:w="2126" w:type="dxa"/>
            <w:vMerge w:val="restart"/>
          </w:tcPr>
          <w:p w14:paraId="363356C8" w14:textId="77777777" w:rsidR="008F06DE" w:rsidRPr="00436840" w:rsidRDefault="008F06DE" w:rsidP="00502FF6">
            <w:pPr>
              <w:spacing w:before="0"/>
              <w:jc w:val="center"/>
              <w:rPr>
                <w:rFonts w:ascii="Arial Narrow" w:eastAsia="Calibri" w:hAnsi="Arial Narrow" w:cs="Times New Roman"/>
                <w:bCs/>
                <w:sz w:val="20"/>
                <w:szCs w:val="20"/>
              </w:rPr>
            </w:pPr>
          </w:p>
        </w:tc>
        <w:tc>
          <w:tcPr>
            <w:tcW w:w="851" w:type="dxa"/>
          </w:tcPr>
          <w:p w14:paraId="6A9519B6" w14:textId="77777777"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LDCT</w:t>
            </w:r>
          </w:p>
        </w:tc>
        <w:tc>
          <w:tcPr>
            <w:tcW w:w="1843" w:type="dxa"/>
          </w:tcPr>
          <w:p w14:paraId="045159C6" w14:textId="0929606E"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50 (50%)</w:t>
            </w:r>
          </w:p>
        </w:tc>
        <w:tc>
          <w:tcPr>
            <w:tcW w:w="1134" w:type="dxa"/>
          </w:tcPr>
          <w:p w14:paraId="3FEDA413"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1ABC3EA4"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42BBEAA7" w14:textId="77777777" w:rsidR="008F06DE" w:rsidRPr="00436840" w:rsidRDefault="008F06DE" w:rsidP="00502FF6">
            <w:pPr>
              <w:spacing w:before="0"/>
              <w:jc w:val="center"/>
              <w:rPr>
                <w:rFonts w:ascii="Arial Narrow" w:eastAsia="Calibri" w:hAnsi="Arial Narrow" w:cs="Times New Roman"/>
                <w:bCs/>
                <w:sz w:val="20"/>
                <w:szCs w:val="20"/>
              </w:rPr>
            </w:pPr>
          </w:p>
        </w:tc>
        <w:tc>
          <w:tcPr>
            <w:tcW w:w="1134" w:type="dxa"/>
          </w:tcPr>
          <w:p w14:paraId="3E25D0AD" w14:textId="77777777" w:rsidR="008F06DE" w:rsidRPr="00436840" w:rsidRDefault="008F06DE" w:rsidP="00502FF6">
            <w:pPr>
              <w:spacing w:before="0"/>
              <w:jc w:val="center"/>
              <w:rPr>
                <w:rFonts w:ascii="Arial Narrow" w:eastAsia="Calibri" w:hAnsi="Arial Narrow" w:cs="Times New Roman"/>
                <w:bCs/>
                <w:sz w:val="20"/>
                <w:szCs w:val="20"/>
              </w:rPr>
            </w:pPr>
          </w:p>
        </w:tc>
        <w:tc>
          <w:tcPr>
            <w:tcW w:w="6237" w:type="dxa"/>
            <w:vMerge w:val="restart"/>
          </w:tcPr>
          <w:p w14:paraId="4BC345AD" w14:textId="0B47F83B" w:rsidR="008F06DE" w:rsidRPr="00436840" w:rsidRDefault="008C551C" w:rsidP="008F06DE">
            <w:pPr>
              <w:spacing w:before="0"/>
              <w:rPr>
                <w:rFonts w:ascii="Arial Narrow" w:eastAsia="Calibri" w:hAnsi="Arial Narrow" w:cs="Times New Roman"/>
                <w:bCs/>
                <w:sz w:val="20"/>
                <w:szCs w:val="20"/>
              </w:rPr>
            </w:pPr>
            <w:r w:rsidRPr="00FD5F69">
              <w:rPr>
                <w:rFonts w:ascii="Arial Narrow" w:eastAsia="Calibri" w:hAnsi="Arial Narrow" w:cs="Times New Roman"/>
                <w:bCs/>
                <w:sz w:val="20"/>
                <w:szCs w:val="20"/>
              </w:rPr>
              <w:t>No statistically significant effects of CT screening on lung cancer mortality were found.</w:t>
            </w:r>
          </w:p>
        </w:tc>
      </w:tr>
      <w:tr w:rsidR="008F06DE" w:rsidRPr="00436840" w14:paraId="55C972B1" w14:textId="77777777" w:rsidTr="00FF5ADB">
        <w:tc>
          <w:tcPr>
            <w:tcW w:w="993" w:type="dxa"/>
            <w:vMerge/>
          </w:tcPr>
          <w:p w14:paraId="5E13A7E1" w14:textId="77777777" w:rsidR="008F06DE" w:rsidRPr="00436840" w:rsidRDefault="008F06DE" w:rsidP="008F06DE">
            <w:pPr>
              <w:spacing w:before="0"/>
              <w:rPr>
                <w:rFonts w:ascii="Arial Narrow" w:eastAsia="Calibri" w:hAnsi="Arial Narrow" w:cs="Times New Roman"/>
                <w:sz w:val="20"/>
                <w:szCs w:val="20"/>
              </w:rPr>
            </w:pPr>
          </w:p>
        </w:tc>
        <w:tc>
          <w:tcPr>
            <w:tcW w:w="1984" w:type="dxa"/>
            <w:vMerge/>
          </w:tcPr>
          <w:p w14:paraId="331C4F03" w14:textId="77777777" w:rsidR="008F06DE" w:rsidRPr="00436840" w:rsidRDefault="008F06DE" w:rsidP="00502FF6">
            <w:pPr>
              <w:spacing w:before="0"/>
              <w:jc w:val="center"/>
              <w:rPr>
                <w:rFonts w:ascii="Arial Narrow" w:eastAsia="Calibri" w:hAnsi="Arial Narrow" w:cs="Times New Roman"/>
                <w:sz w:val="20"/>
                <w:szCs w:val="20"/>
              </w:rPr>
            </w:pPr>
          </w:p>
        </w:tc>
        <w:tc>
          <w:tcPr>
            <w:tcW w:w="2268" w:type="dxa"/>
            <w:vMerge/>
          </w:tcPr>
          <w:p w14:paraId="600FEB9F" w14:textId="77777777" w:rsidR="008F06DE" w:rsidRPr="00436840" w:rsidRDefault="008F06DE" w:rsidP="00502FF6">
            <w:pPr>
              <w:spacing w:before="0"/>
              <w:jc w:val="center"/>
              <w:rPr>
                <w:rFonts w:ascii="Arial Narrow" w:eastAsia="Calibri" w:hAnsi="Arial Narrow" w:cs="Times New Roman"/>
                <w:sz w:val="20"/>
                <w:szCs w:val="20"/>
              </w:rPr>
            </w:pPr>
          </w:p>
        </w:tc>
        <w:tc>
          <w:tcPr>
            <w:tcW w:w="2126" w:type="dxa"/>
            <w:vMerge/>
          </w:tcPr>
          <w:p w14:paraId="5DCF222E" w14:textId="77777777" w:rsidR="008F06DE" w:rsidRPr="00436840" w:rsidRDefault="008F06DE" w:rsidP="00502FF6">
            <w:pPr>
              <w:spacing w:before="0"/>
              <w:jc w:val="center"/>
              <w:rPr>
                <w:rFonts w:ascii="Arial Narrow" w:eastAsia="Calibri" w:hAnsi="Arial Narrow" w:cs="Calibri"/>
                <w:sz w:val="20"/>
                <w:szCs w:val="20"/>
                <w:lang w:val="en-GB"/>
              </w:rPr>
            </w:pPr>
          </w:p>
        </w:tc>
        <w:tc>
          <w:tcPr>
            <w:tcW w:w="851" w:type="dxa"/>
          </w:tcPr>
          <w:p w14:paraId="6E5F1C5E" w14:textId="055C34FC"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Control</w:t>
            </w:r>
          </w:p>
        </w:tc>
        <w:tc>
          <w:tcPr>
            <w:tcW w:w="1843" w:type="dxa"/>
          </w:tcPr>
          <w:p w14:paraId="3DD90514" w14:textId="13650F84"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8 (15.1%)</w:t>
            </w:r>
          </w:p>
          <w:p w14:paraId="28BFE5D7" w14:textId="77777777" w:rsidR="005F55BF"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RR</w:t>
            </w:r>
            <w:r w:rsidR="00371D81">
              <w:rPr>
                <w:rFonts w:ascii="Arial Narrow" w:eastAsia="Calibri" w:hAnsi="Arial Narrow" w:cs="Times New Roman"/>
                <w:bCs/>
                <w:sz w:val="20"/>
                <w:szCs w:val="20"/>
              </w:rPr>
              <w:t>:</w:t>
            </w:r>
            <w:r w:rsidR="004275C4">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3.31</w:t>
            </w:r>
          </w:p>
          <w:p w14:paraId="49A4B891" w14:textId="0CE0D7B5" w:rsidR="008F06DE" w:rsidRPr="00436840" w:rsidRDefault="008F06DE"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95% CI</w:t>
            </w:r>
            <w:r w:rsidR="004275C4">
              <w:rPr>
                <w:rFonts w:ascii="Arial Narrow" w:eastAsia="Calibri" w:hAnsi="Arial Narrow" w:cs="Times New Roman"/>
                <w:bCs/>
                <w:sz w:val="20"/>
                <w:szCs w:val="20"/>
              </w:rPr>
              <w:t>:</w:t>
            </w:r>
            <w:r w:rsidRPr="00436840">
              <w:rPr>
                <w:rFonts w:ascii="Arial Narrow" w:eastAsia="Calibri" w:hAnsi="Arial Narrow" w:cs="Times New Roman"/>
                <w:bCs/>
                <w:sz w:val="20"/>
                <w:szCs w:val="20"/>
              </w:rPr>
              <w:t xml:space="preserve"> 1.70</w:t>
            </w:r>
            <w:r w:rsidR="004275C4">
              <w:rPr>
                <w:rFonts w:ascii="Arial Narrow" w:eastAsia="Calibri" w:hAnsi="Arial Narrow" w:cs="Times New Roman"/>
                <w:bCs/>
                <w:sz w:val="20"/>
                <w:szCs w:val="20"/>
              </w:rPr>
              <w:t xml:space="preserve"> to </w:t>
            </w:r>
            <w:r w:rsidRPr="00436840">
              <w:rPr>
                <w:rFonts w:ascii="Arial Narrow" w:eastAsia="Calibri" w:hAnsi="Arial Narrow" w:cs="Times New Roman"/>
                <w:bCs/>
                <w:sz w:val="20"/>
                <w:szCs w:val="20"/>
              </w:rPr>
              <w:t>6.46</w:t>
            </w:r>
          </w:p>
        </w:tc>
        <w:tc>
          <w:tcPr>
            <w:tcW w:w="1134" w:type="dxa"/>
          </w:tcPr>
          <w:p w14:paraId="4F496685"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4DEEDFF8"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60131D43"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585669F5" w14:textId="77777777" w:rsidR="008F06DE" w:rsidRPr="00436840" w:rsidRDefault="008F06DE" w:rsidP="00502FF6">
            <w:pPr>
              <w:spacing w:before="0"/>
              <w:jc w:val="center"/>
              <w:rPr>
                <w:rFonts w:ascii="Arial Narrow" w:eastAsia="Calibri" w:hAnsi="Arial Narrow" w:cs="Times New Roman"/>
                <w:sz w:val="20"/>
                <w:szCs w:val="20"/>
              </w:rPr>
            </w:pPr>
          </w:p>
        </w:tc>
        <w:tc>
          <w:tcPr>
            <w:tcW w:w="6237" w:type="dxa"/>
            <w:vMerge/>
          </w:tcPr>
          <w:p w14:paraId="062BB4F3" w14:textId="77777777" w:rsidR="008F06DE" w:rsidRPr="00436840" w:rsidRDefault="008F06DE" w:rsidP="008F06DE">
            <w:pPr>
              <w:spacing w:before="0"/>
              <w:rPr>
                <w:rFonts w:ascii="Arial Narrow" w:eastAsia="Calibri" w:hAnsi="Arial Narrow" w:cs="Times New Roman"/>
                <w:sz w:val="20"/>
                <w:szCs w:val="20"/>
              </w:rPr>
            </w:pPr>
          </w:p>
        </w:tc>
      </w:tr>
      <w:tr w:rsidR="008F06DE" w:rsidRPr="00436840" w14:paraId="7EF5E6ED" w14:textId="77777777" w:rsidTr="00FF5ADB">
        <w:tc>
          <w:tcPr>
            <w:tcW w:w="993" w:type="dxa"/>
            <w:vMerge w:val="restart"/>
          </w:tcPr>
          <w:p w14:paraId="2C41D4C8" w14:textId="66917C2D" w:rsidR="008F06DE" w:rsidRPr="00436840" w:rsidRDefault="008F06DE" w:rsidP="008F06DE">
            <w:pPr>
              <w:spacing w:before="0"/>
              <w:rPr>
                <w:rFonts w:ascii="Arial Narrow" w:eastAsia="Calibri" w:hAnsi="Arial Narrow" w:cs="Times New Roman"/>
                <w:sz w:val="20"/>
                <w:szCs w:val="20"/>
                <w:vertAlign w:val="superscript"/>
              </w:rPr>
            </w:pPr>
            <w:r w:rsidRPr="00436840">
              <w:rPr>
                <w:rFonts w:ascii="Arial Narrow" w:eastAsia="Calibri" w:hAnsi="Arial Narrow" w:cs="Times New Roman"/>
                <w:sz w:val="20"/>
                <w:szCs w:val="20"/>
              </w:rPr>
              <w:t>ITALUNG</w:t>
            </w:r>
            <w:r w:rsidR="0056531C">
              <w:rPr>
                <w:rFonts w:ascii="Arial Narrow" w:eastAsia="Calibri" w:hAnsi="Arial Narrow" w:cs="Times New Roman"/>
                <w:sz w:val="20"/>
                <w:szCs w:val="20"/>
              </w:rPr>
              <w:t xml:space="preserve"> </w:t>
            </w:r>
            <w:r w:rsidR="0056531C">
              <w:rPr>
                <w:rFonts w:ascii="Arial Narrow" w:eastAsia="Calibri" w:hAnsi="Arial Narrow" w:cs="Times New Roman"/>
                <w:sz w:val="20"/>
                <w:szCs w:val="20"/>
                <w:vertAlign w:val="superscript"/>
              </w:rPr>
              <w:t>3</w:t>
            </w:r>
            <w:r w:rsidR="002E07B7">
              <w:rPr>
                <w:rFonts w:ascii="Arial Narrow" w:eastAsia="Calibri" w:hAnsi="Arial Narrow" w:cs="Times New Roman"/>
                <w:sz w:val="20"/>
                <w:szCs w:val="20"/>
                <w:vertAlign w:val="superscript"/>
              </w:rPr>
              <w:t>3</w:t>
            </w:r>
          </w:p>
          <w:p w14:paraId="57A3939D" w14:textId="77777777"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2004</w:t>
            </w:r>
          </w:p>
        </w:tc>
        <w:tc>
          <w:tcPr>
            <w:tcW w:w="1984" w:type="dxa"/>
            <w:vMerge w:val="restart"/>
          </w:tcPr>
          <w:p w14:paraId="3962CB2C" w14:textId="77777777" w:rsidR="008F06DE" w:rsidRPr="00436840"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Times New Roman"/>
                <w:sz w:val="20"/>
                <w:szCs w:val="20"/>
              </w:rPr>
              <w:t xml:space="preserve">LDCT: </w:t>
            </w:r>
            <w:r w:rsidRPr="00436840">
              <w:rPr>
                <w:rFonts w:ascii="Arial Narrow" w:eastAsia="Calibri" w:hAnsi="Arial Narrow" w:cs="Calibri"/>
                <w:sz w:val="20"/>
                <w:szCs w:val="20"/>
                <w:lang w:val="en-GB"/>
              </w:rPr>
              <w:t>43 (29.3 per 10,000 person-years)</w:t>
            </w:r>
          </w:p>
          <w:p w14:paraId="462E0EF0" w14:textId="4451DEEC" w:rsidR="008F06DE" w:rsidRPr="00436840" w:rsidRDefault="00371D81" w:rsidP="00502FF6">
            <w:pPr>
              <w:spacing w:before="0"/>
              <w:jc w:val="center"/>
              <w:rPr>
                <w:rFonts w:ascii="Arial Narrow" w:eastAsia="Calibri" w:hAnsi="Arial Narrow" w:cs="Calibri"/>
                <w:sz w:val="20"/>
                <w:szCs w:val="20"/>
                <w:lang w:val="en-GB"/>
              </w:rPr>
            </w:pPr>
            <w:r>
              <w:rPr>
                <w:rFonts w:ascii="Arial Narrow" w:eastAsia="Calibri" w:hAnsi="Arial Narrow" w:cs="Calibri"/>
                <w:sz w:val="20"/>
                <w:szCs w:val="20"/>
                <w:lang w:val="en-GB"/>
              </w:rPr>
              <w:t>Control</w:t>
            </w:r>
            <w:r w:rsidR="008F06DE" w:rsidRPr="00436840">
              <w:rPr>
                <w:rFonts w:ascii="Arial Narrow" w:eastAsia="Calibri" w:hAnsi="Arial Narrow" w:cs="Calibri"/>
                <w:sz w:val="20"/>
                <w:szCs w:val="20"/>
                <w:lang w:val="en-GB"/>
              </w:rPr>
              <w:t>: 60 (42.1 per 10,000 person-years)</w:t>
            </w:r>
          </w:p>
          <w:p w14:paraId="244808A1" w14:textId="364F2AED" w:rsidR="007B437E"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Calibri"/>
                <w:sz w:val="20"/>
                <w:szCs w:val="20"/>
                <w:lang w:val="en-GB"/>
              </w:rPr>
              <w:t>RR: 0.70</w:t>
            </w:r>
          </w:p>
          <w:p w14:paraId="4809A0CF" w14:textId="15123999" w:rsidR="008F06DE" w:rsidRPr="00436840" w:rsidRDefault="008B21D2" w:rsidP="00502FF6">
            <w:pPr>
              <w:spacing w:before="0"/>
              <w:jc w:val="center"/>
              <w:rPr>
                <w:rFonts w:ascii="Arial Narrow" w:eastAsia="Calibri" w:hAnsi="Arial Narrow" w:cs="Times New Roman"/>
                <w:sz w:val="20"/>
                <w:szCs w:val="20"/>
              </w:rPr>
            </w:pPr>
            <w:r>
              <w:rPr>
                <w:rFonts w:ascii="Arial Narrow" w:eastAsia="Calibri" w:hAnsi="Arial Narrow" w:cs="Calibri"/>
                <w:sz w:val="20"/>
                <w:szCs w:val="20"/>
                <w:lang w:val="en-GB"/>
              </w:rPr>
              <w:t>95% CI</w:t>
            </w:r>
            <w:r w:rsidR="004275C4">
              <w:rPr>
                <w:rFonts w:ascii="Arial Narrow" w:eastAsia="Calibri" w:hAnsi="Arial Narrow" w:cs="Calibri"/>
                <w:sz w:val="20"/>
                <w:szCs w:val="20"/>
                <w:lang w:val="en-GB"/>
              </w:rPr>
              <w:t xml:space="preserve">: </w:t>
            </w:r>
            <w:r w:rsidR="008F06DE" w:rsidRPr="00436840">
              <w:rPr>
                <w:rFonts w:ascii="Arial Narrow" w:eastAsia="Calibri" w:hAnsi="Arial Narrow" w:cs="Calibri"/>
                <w:sz w:val="20"/>
                <w:szCs w:val="20"/>
                <w:lang w:val="en-GB"/>
              </w:rPr>
              <w:t>0.47 to 1.03</w:t>
            </w:r>
          </w:p>
        </w:tc>
        <w:tc>
          <w:tcPr>
            <w:tcW w:w="2268" w:type="dxa"/>
            <w:vMerge w:val="restart"/>
          </w:tcPr>
          <w:p w14:paraId="346AFF57" w14:textId="77777777" w:rsidR="008F06DE" w:rsidRPr="00436840"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Times New Roman"/>
                <w:sz w:val="20"/>
                <w:szCs w:val="20"/>
              </w:rPr>
              <w:t xml:space="preserve">LDCT: </w:t>
            </w:r>
            <w:r w:rsidRPr="00436840">
              <w:rPr>
                <w:rFonts w:ascii="Arial Narrow" w:eastAsia="Calibri" w:hAnsi="Arial Narrow" w:cs="Calibri"/>
                <w:sz w:val="20"/>
                <w:szCs w:val="20"/>
                <w:lang w:val="en-GB"/>
              </w:rPr>
              <w:t>154 (105.1 per 10,000 person-years)</w:t>
            </w:r>
          </w:p>
          <w:p w14:paraId="2FB0D54A" w14:textId="42B1E91D" w:rsidR="008F06DE" w:rsidRPr="00436840" w:rsidRDefault="00371D81" w:rsidP="00502FF6">
            <w:pPr>
              <w:spacing w:before="0"/>
              <w:jc w:val="center"/>
              <w:rPr>
                <w:rFonts w:ascii="Arial Narrow" w:eastAsia="Calibri" w:hAnsi="Arial Narrow" w:cs="Calibri"/>
                <w:sz w:val="20"/>
                <w:szCs w:val="20"/>
                <w:lang w:val="en-GB"/>
              </w:rPr>
            </w:pPr>
            <w:r>
              <w:rPr>
                <w:rFonts w:ascii="Arial Narrow" w:eastAsia="Calibri" w:hAnsi="Arial Narrow" w:cs="Calibri"/>
                <w:sz w:val="20"/>
                <w:szCs w:val="20"/>
                <w:lang w:val="en-GB"/>
              </w:rPr>
              <w:t>Control</w:t>
            </w:r>
            <w:r w:rsidR="008F06DE" w:rsidRPr="00436840">
              <w:rPr>
                <w:rFonts w:ascii="Arial Narrow" w:eastAsia="Calibri" w:hAnsi="Arial Narrow" w:cs="Calibri"/>
                <w:sz w:val="20"/>
                <w:szCs w:val="20"/>
                <w:lang w:val="en-GB"/>
              </w:rPr>
              <w:t>: 181 (127.0</w:t>
            </w:r>
            <w:r w:rsidR="008B21D2">
              <w:rPr>
                <w:rFonts w:ascii="Arial Narrow" w:eastAsia="Calibri" w:hAnsi="Arial Narrow" w:cs="Calibri"/>
                <w:sz w:val="20"/>
                <w:szCs w:val="20"/>
                <w:lang w:val="en-GB"/>
              </w:rPr>
              <w:t xml:space="preserve"> </w:t>
            </w:r>
            <w:r w:rsidR="008F06DE" w:rsidRPr="00436840">
              <w:rPr>
                <w:rFonts w:ascii="Arial Narrow" w:eastAsia="Calibri" w:hAnsi="Arial Narrow" w:cs="Calibri"/>
                <w:sz w:val="20"/>
                <w:szCs w:val="20"/>
                <w:lang w:val="en-GB"/>
              </w:rPr>
              <w:t>per 10,000 person-years)</w:t>
            </w:r>
          </w:p>
          <w:p w14:paraId="0A35D292" w14:textId="162E8D6F" w:rsidR="007B437E"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Calibri"/>
                <w:sz w:val="20"/>
                <w:szCs w:val="20"/>
                <w:lang w:val="en-GB"/>
              </w:rPr>
              <w:t>RR: 0.83</w:t>
            </w:r>
          </w:p>
          <w:p w14:paraId="690EE956" w14:textId="7C0941FF" w:rsidR="008F06DE" w:rsidRPr="00436840" w:rsidRDefault="004275C4" w:rsidP="00502FF6">
            <w:pPr>
              <w:spacing w:before="0"/>
              <w:jc w:val="center"/>
              <w:rPr>
                <w:rFonts w:ascii="Arial Narrow" w:eastAsia="Calibri" w:hAnsi="Arial Narrow" w:cs="Times New Roman"/>
                <w:sz w:val="20"/>
                <w:szCs w:val="20"/>
              </w:rPr>
            </w:pPr>
            <w:r>
              <w:rPr>
                <w:rFonts w:ascii="Arial Narrow" w:eastAsia="Calibri" w:hAnsi="Arial Narrow" w:cs="Calibri"/>
                <w:sz w:val="20"/>
                <w:szCs w:val="20"/>
                <w:lang w:val="en-GB"/>
              </w:rPr>
              <w:t xml:space="preserve">95% CI: </w:t>
            </w:r>
            <w:r w:rsidR="008F06DE" w:rsidRPr="00436840">
              <w:rPr>
                <w:rFonts w:ascii="Arial Narrow" w:eastAsia="Calibri" w:hAnsi="Arial Narrow" w:cs="Calibri"/>
                <w:sz w:val="20"/>
                <w:szCs w:val="20"/>
                <w:lang w:val="en-GB"/>
              </w:rPr>
              <w:t>0.67 to 1.03</w:t>
            </w:r>
          </w:p>
        </w:tc>
        <w:tc>
          <w:tcPr>
            <w:tcW w:w="2126" w:type="dxa"/>
            <w:vMerge w:val="restart"/>
          </w:tcPr>
          <w:p w14:paraId="7C1A74E3" w14:textId="6A7DA6CB" w:rsidR="008F06DE" w:rsidRPr="00436840" w:rsidRDefault="008F06DE" w:rsidP="00502FF6">
            <w:pPr>
              <w:spacing w:before="0"/>
              <w:jc w:val="center"/>
              <w:rPr>
                <w:rFonts w:ascii="Arial Narrow" w:eastAsia="Calibri" w:hAnsi="Arial Narrow" w:cs="Times New Roman"/>
                <w:sz w:val="20"/>
                <w:szCs w:val="20"/>
                <w:shd w:val="clear" w:color="auto" w:fill="FFFFFF"/>
              </w:rPr>
            </w:pPr>
            <w:r w:rsidRPr="00436840">
              <w:rPr>
                <w:rFonts w:ascii="Arial Narrow" w:eastAsia="Calibri" w:hAnsi="Arial Narrow" w:cs="Calibri"/>
                <w:sz w:val="20"/>
                <w:szCs w:val="20"/>
                <w:lang w:val="en-GB"/>
              </w:rPr>
              <w:t xml:space="preserve">LDCT: </w:t>
            </w:r>
            <w:r w:rsidRPr="00436840">
              <w:rPr>
                <w:rFonts w:ascii="Arial Narrow" w:eastAsia="Calibri" w:hAnsi="Arial Narrow" w:cs="Times New Roman"/>
                <w:sz w:val="20"/>
                <w:szCs w:val="20"/>
                <w:shd w:val="clear" w:color="auto" w:fill="FFFFFF"/>
              </w:rPr>
              <w:t>7 (49.9 per 10</w:t>
            </w:r>
            <w:r w:rsidRPr="00436840">
              <w:rPr>
                <w:rFonts w:ascii="Arial Narrow" w:eastAsia="Calibri" w:hAnsi="Arial Narrow" w:cs="Arial"/>
                <w:sz w:val="20"/>
                <w:szCs w:val="20"/>
                <w:shd w:val="clear" w:color="auto" w:fill="FFFFFF"/>
              </w:rPr>
              <w:t>,</w:t>
            </w:r>
            <w:r w:rsidRPr="00436840">
              <w:rPr>
                <w:rFonts w:ascii="Arial Narrow" w:eastAsia="Calibri" w:hAnsi="Arial Narrow" w:cs="Times New Roman"/>
                <w:sz w:val="20"/>
                <w:szCs w:val="20"/>
                <w:shd w:val="clear" w:color="auto" w:fill="FFFFFF"/>
              </w:rPr>
              <w:t>000 person-years)</w:t>
            </w:r>
          </w:p>
          <w:p w14:paraId="76A9E2FE" w14:textId="0000CA9D" w:rsidR="008F06DE" w:rsidRPr="00436840" w:rsidRDefault="008F06DE" w:rsidP="00502FF6">
            <w:pPr>
              <w:spacing w:before="0"/>
              <w:jc w:val="center"/>
              <w:rPr>
                <w:rFonts w:ascii="Arial Narrow" w:eastAsia="Calibri" w:hAnsi="Arial Narrow" w:cs="Times New Roman"/>
                <w:sz w:val="20"/>
                <w:szCs w:val="20"/>
                <w:shd w:val="clear" w:color="auto" w:fill="FFFFFF"/>
              </w:rPr>
            </w:pPr>
            <w:r w:rsidRPr="00436840">
              <w:rPr>
                <w:rFonts w:ascii="Arial Narrow" w:eastAsia="Calibri" w:hAnsi="Arial Narrow" w:cs="Times New Roman"/>
                <w:sz w:val="20"/>
                <w:szCs w:val="20"/>
                <w:shd w:val="clear" w:color="auto" w:fill="FFFFFF"/>
              </w:rPr>
              <w:t>No screening: 1 (53.7 per 10</w:t>
            </w:r>
            <w:r w:rsidR="00502FF6">
              <w:rPr>
                <w:rFonts w:ascii="Arial Narrow" w:eastAsia="Calibri" w:hAnsi="Arial Narrow" w:cs="Times New Roman"/>
                <w:sz w:val="20"/>
                <w:szCs w:val="20"/>
                <w:shd w:val="clear" w:color="auto" w:fill="FFFFFF"/>
              </w:rPr>
              <w:t>,</w:t>
            </w:r>
            <w:r w:rsidRPr="00436840">
              <w:rPr>
                <w:rFonts w:ascii="Arial Narrow" w:eastAsia="Calibri" w:hAnsi="Arial Narrow" w:cs="Times New Roman"/>
                <w:sz w:val="20"/>
                <w:szCs w:val="20"/>
                <w:shd w:val="clear" w:color="auto" w:fill="FFFFFF"/>
              </w:rPr>
              <w:t>000</w:t>
            </w:r>
            <w:r w:rsidR="007B437E">
              <w:rPr>
                <w:rFonts w:ascii="Arial Narrow" w:eastAsia="Calibri" w:hAnsi="Arial Narrow" w:cs="Times New Roman"/>
                <w:sz w:val="20"/>
                <w:szCs w:val="20"/>
                <w:shd w:val="clear" w:color="auto" w:fill="FFFFFF"/>
              </w:rPr>
              <w:t xml:space="preserve"> person-years</w:t>
            </w:r>
            <w:r w:rsidRPr="00436840">
              <w:rPr>
                <w:rFonts w:ascii="Arial Narrow" w:eastAsia="Calibri" w:hAnsi="Arial Narrow" w:cs="Times New Roman"/>
                <w:sz w:val="20"/>
                <w:szCs w:val="20"/>
                <w:shd w:val="clear" w:color="auto" w:fill="FFFFFF"/>
              </w:rPr>
              <w:t>)</w:t>
            </w:r>
          </w:p>
          <w:p w14:paraId="79AD0B50" w14:textId="77777777" w:rsidR="007B437E" w:rsidRDefault="008F06DE" w:rsidP="00502FF6">
            <w:pPr>
              <w:spacing w:before="0"/>
              <w:jc w:val="center"/>
              <w:rPr>
                <w:rFonts w:ascii="Arial Narrow" w:eastAsia="Calibri" w:hAnsi="Arial Narrow" w:cs="Times New Roman"/>
                <w:sz w:val="20"/>
                <w:szCs w:val="20"/>
                <w:shd w:val="clear" w:color="auto" w:fill="FFFFFF"/>
              </w:rPr>
            </w:pPr>
            <w:r w:rsidRPr="00436840">
              <w:rPr>
                <w:rFonts w:ascii="Arial Narrow" w:eastAsia="Calibri" w:hAnsi="Arial Narrow" w:cs="Times New Roman"/>
                <w:sz w:val="20"/>
                <w:szCs w:val="20"/>
                <w:shd w:val="clear" w:color="auto" w:fill="FFFFFF"/>
              </w:rPr>
              <w:t>RR</w:t>
            </w:r>
            <w:r w:rsidR="00371D81">
              <w:rPr>
                <w:rFonts w:ascii="Arial Narrow" w:eastAsia="Calibri" w:hAnsi="Arial Narrow" w:cs="Times New Roman"/>
                <w:sz w:val="20"/>
                <w:szCs w:val="20"/>
                <w:shd w:val="clear" w:color="auto" w:fill="FFFFFF"/>
              </w:rPr>
              <w:t xml:space="preserve">: </w:t>
            </w:r>
            <w:r w:rsidRPr="00436840">
              <w:rPr>
                <w:rFonts w:ascii="Arial Narrow" w:eastAsia="Calibri" w:hAnsi="Arial Narrow" w:cs="Times New Roman"/>
                <w:sz w:val="20"/>
                <w:szCs w:val="20"/>
                <w:shd w:val="clear" w:color="auto" w:fill="FFFFFF"/>
              </w:rPr>
              <w:t>0.93</w:t>
            </w:r>
          </w:p>
          <w:p w14:paraId="426E685A" w14:textId="3C9698AC" w:rsidR="008F06DE" w:rsidRPr="00436840"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Times New Roman"/>
                <w:sz w:val="20"/>
                <w:szCs w:val="20"/>
                <w:shd w:val="clear" w:color="auto" w:fill="FFFFFF"/>
              </w:rPr>
              <w:t>95% CI</w:t>
            </w:r>
            <w:r w:rsidR="004275C4">
              <w:rPr>
                <w:rFonts w:ascii="Arial Narrow" w:eastAsia="Calibri" w:hAnsi="Arial Narrow" w:cs="Times New Roman"/>
                <w:sz w:val="20"/>
                <w:szCs w:val="20"/>
                <w:shd w:val="clear" w:color="auto" w:fill="FFFFFF"/>
              </w:rPr>
              <w:t>:</w:t>
            </w:r>
            <w:r w:rsidRPr="00436840">
              <w:rPr>
                <w:rFonts w:ascii="Arial Narrow" w:eastAsia="Calibri" w:hAnsi="Arial Narrow" w:cs="Times New Roman"/>
                <w:sz w:val="20"/>
                <w:szCs w:val="20"/>
                <w:shd w:val="clear" w:color="auto" w:fill="FFFFFF"/>
              </w:rPr>
              <w:t xml:space="preserve"> 0.67 to 1.30</w:t>
            </w:r>
          </w:p>
        </w:tc>
        <w:tc>
          <w:tcPr>
            <w:tcW w:w="851" w:type="dxa"/>
          </w:tcPr>
          <w:p w14:paraId="20A6183E"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w:t>
            </w:r>
          </w:p>
        </w:tc>
        <w:tc>
          <w:tcPr>
            <w:tcW w:w="1843" w:type="dxa"/>
          </w:tcPr>
          <w:p w14:paraId="62E9EC9F" w14:textId="79500AB5"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24 (36%)</w:t>
            </w:r>
          </w:p>
        </w:tc>
        <w:tc>
          <w:tcPr>
            <w:tcW w:w="1134" w:type="dxa"/>
          </w:tcPr>
          <w:p w14:paraId="5F15B08C" w14:textId="0FD61E1D"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5 (7%)</w:t>
            </w:r>
          </w:p>
        </w:tc>
        <w:tc>
          <w:tcPr>
            <w:tcW w:w="1134" w:type="dxa"/>
          </w:tcPr>
          <w:p w14:paraId="5F58381A" w14:textId="60216E0A"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9 (13%)</w:t>
            </w:r>
          </w:p>
        </w:tc>
        <w:tc>
          <w:tcPr>
            <w:tcW w:w="1134" w:type="dxa"/>
          </w:tcPr>
          <w:p w14:paraId="34E07DA3" w14:textId="7D876E90"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24 (36%)</w:t>
            </w:r>
          </w:p>
        </w:tc>
        <w:tc>
          <w:tcPr>
            <w:tcW w:w="1134" w:type="dxa"/>
          </w:tcPr>
          <w:p w14:paraId="2340A784"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shd w:val="clear" w:color="auto" w:fill="FFFFFF"/>
              </w:rPr>
              <w:t>5 (7%)</w:t>
            </w:r>
          </w:p>
        </w:tc>
        <w:tc>
          <w:tcPr>
            <w:tcW w:w="6237" w:type="dxa"/>
            <w:vMerge w:val="restart"/>
          </w:tcPr>
          <w:p w14:paraId="5419DB10" w14:textId="515C1D44"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xml:space="preserve">Despite the lack of statistical significance, the ITALUNG trial outcomes suggest that LDCT screening could reduce </w:t>
            </w:r>
            <w:r w:rsidR="0054263F">
              <w:rPr>
                <w:rFonts w:ascii="Arial Narrow" w:eastAsia="Calibri" w:hAnsi="Arial Narrow" w:cs="Times New Roman"/>
                <w:sz w:val="20"/>
                <w:szCs w:val="20"/>
              </w:rPr>
              <w:t>lung cancer</w:t>
            </w:r>
            <w:r w:rsidRPr="00436840">
              <w:rPr>
                <w:rFonts w:ascii="Arial Narrow" w:eastAsia="Calibri" w:hAnsi="Arial Narrow" w:cs="Times New Roman"/>
                <w:sz w:val="20"/>
                <w:szCs w:val="20"/>
              </w:rPr>
              <w:t xml:space="preserve"> and overall mortality. The ITALUNG study has confirmed that LDCT screening, in conjunction with improvement of treatment strategies in early stage </w:t>
            </w:r>
            <w:r w:rsidR="0054263F">
              <w:rPr>
                <w:rFonts w:ascii="Arial Narrow" w:eastAsia="Calibri" w:hAnsi="Arial Narrow" w:cs="Times New Roman"/>
                <w:sz w:val="20"/>
                <w:szCs w:val="20"/>
              </w:rPr>
              <w:t>lung cancer</w:t>
            </w:r>
            <w:r w:rsidRPr="00436840">
              <w:rPr>
                <w:rFonts w:ascii="Arial Narrow" w:eastAsia="Calibri" w:hAnsi="Arial Narrow" w:cs="Times New Roman"/>
                <w:sz w:val="20"/>
                <w:szCs w:val="20"/>
              </w:rPr>
              <w:t xml:space="preserve"> cases and effective national policies for smoking cessation, is an important tool for the reduction of deaths from </w:t>
            </w:r>
            <w:r w:rsidR="0054263F">
              <w:rPr>
                <w:rFonts w:ascii="Arial Narrow" w:eastAsia="Calibri" w:hAnsi="Arial Narrow" w:cs="Times New Roman"/>
                <w:sz w:val="20"/>
                <w:szCs w:val="20"/>
              </w:rPr>
              <w:t>lung cancer.</w:t>
            </w:r>
          </w:p>
        </w:tc>
      </w:tr>
      <w:tr w:rsidR="008F06DE" w:rsidRPr="00436840" w14:paraId="54D36BCB" w14:textId="77777777" w:rsidTr="00FF5ADB">
        <w:trPr>
          <w:trHeight w:val="776"/>
        </w:trPr>
        <w:tc>
          <w:tcPr>
            <w:tcW w:w="993" w:type="dxa"/>
            <w:vMerge/>
          </w:tcPr>
          <w:p w14:paraId="3AA90470" w14:textId="77777777" w:rsidR="008F06DE" w:rsidRPr="00436840" w:rsidRDefault="008F06DE" w:rsidP="008F06DE">
            <w:pPr>
              <w:spacing w:before="0"/>
              <w:rPr>
                <w:rFonts w:ascii="Arial Narrow" w:eastAsia="Calibri" w:hAnsi="Arial Narrow" w:cs="Times New Roman"/>
                <w:bCs/>
                <w:sz w:val="20"/>
                <w:szCs w:val="20"/>
              </w:rPr>
            </w:pPr>
          </w:p>
        </w:tc>
        <w:tc>
          <w:tcPr>
            <w:tcW w:w="1984" w:type="dxa"/>
            <w:vMerge/>
          </w:tcPr>
          <w:p w14:paraId="011C1DB9"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268" w:type="dxa"/>
            <w:vMerge/>
          </w:tcPr>
          <w:p w14:paraId="2EACFE4D"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126" w:type="dxa"/>
            <w:vMerge/>
          </w:tcPr>
          <w:p w14:paraId="3DA49D60"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851" w:type="dxa"/>
          </w:tcPr>
          <w:p w14:paraId="6F364334"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Calibri"/>
                <w:bCs/>
                <w:sz w:val="20"/>
                <w:szCs w:val="20"/>
                <w:lang w:val="en-GB"/>
              </w:rPr>
              <w:t>Control</w:t>
            </w:r>
          </w:p>
        </w:tc>
        <w:tc>
          <w:tcPr>
            <w:tcW w:w="1843" w:type="dxa"/>
          </w:tcPr>
          <w:p w14:paraId="0FBD0373"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shd w:val="clear" w:color="auto" w:fill="FFFFFF"/>
              </w:rPr>
              <w:t>8 (11%)</w:t>
            </w:r>
          </w:p>
        </w:tc>
        <w:tc>
          <w:tcPr>
            <w:tcW w:w="1134" w:type="dxa"/>
          </w:tcPr>
          <w:p w14:paraId="613A196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shd w:val="clear" w:color="auto" w:fill="FFFFFF"/>
              </w:rPr>
              <w:t>5 (7%)</w:t>
            </w:r>
          </w:p>
        </w:tc>
        <w:tc>
          <w:tcPr>
            <w:tcW w:w="1134" w:type="dxa"/>
          </w:tcPr>
          <w:p w14:paraId="38EA56EB" w14:textId="4FA990F5"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8 (11%)</w:t>
            </w:r>
          </w:p>
        </w:tc>
        <w:tc>
          <w:tcPr>
            <w:tcW w:w="1134" w:type="dxa"/>
          </w:tcPr>
          <w:p w14:paraId="7AAEEF39" w14:textId="372AF094"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rPr>
              <w:t>35 (49%)</w:t>
            </w:r>
          </w:p>
        </w:tc>
        <w:tc>
          <w:tcPr>
            <w:tcW w:w="1134" w:type="dxa"/>
          </w:tcPr>
          <w:p w14:paraId="241C633B"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color w:val="333333"/>
                <w:sz w:val="20"/>
                <w:szCs w:val="20"/>
                <w:shd w:val="clear" w:color="auto" w:fill="FFFFFF"/>
              </w:rPr>
              <w:t>15 (21%)</w:t>
            </w:r>
          </w:p>
        </w:tc>
        <w:tc>
          <w:tcPr>
            <w:tcW w:w="6237" w:type="dxa"/>
            <w:vMerge/>
          </w:tcPr>
          <w:p w14:paraId="70179C48" w14:textId="77777777" w:rsidR="008F06DE" w:rsidRPr="00436840" w:rsidRDefault="008F06DE" w:rsidP="008F06DE">
            <w:pPr>
              <w:spacing w:before="0"/>
              <w:rPr>
                <w:rFonts w:ascii="Arial Narrow" w:eastAsia="Calibri" w:hAnsi="Arial Narrow" w:cs="Times New Roman"/>
                <w:bCs/>
                <w:sz w:val="20"/>
                <w:szCs w:val="20"/>
              </w:rPr>
            </w:pPr>
          </w:p>
        </w:tc>
      </w:tr>
      <w:tr w:rsidR="008F06DE" w:rsidRPr="00436840" w14:paraId="3C9D8621" w14:textId="77777777" w:rsidTr="00FF5ADB">
        <w:trPr>
          <w:trHeight w:val="235"/>
        </w:trPr>
        <w:tc>
          <w:tcPr>
            <w:tcW w:w="993" w:type="dxa"/>
            <w:vMerge w:val="restart"/>
          </w:tcPr>
          <w:p w14:paraId="4DDB2B7A" w14:textId="4EE492F8" w:rsidR="008F06DE" w:rsidRPr="00436840" w:rsidRDefault="008F06DE" w:rsidP="008F06DE">
            <w:pPr>
              <w:spacing w:before="0"/>
              <w:rPr>
                <w:rFonts w:ascii="Arial Narrow" w:eastAsia="Calibri" w:hAnsi="Arial Narrow" w:cs="Times New Roman"/>
                <w:sz w:val="20"/>
                <w:szCs w:val="20"/>
                <w:vertAlign w:val="superscript"/>
              </w:rPr>
            </w:pPr>
            <w:r w:rsidRPr="00436840">
              <w:rPr>
                <w:rFonts w:ascii="Arial Narrow" w:eastAsia="Calibri" w:hAnsi="Arial Narrow" w:cs="Times New Roman"/>
                <w:sz w:val="20"/>
                <w:szCs w:val="20"/>
              </w:rPr>
              <w:t>LUSI</w:t>
            </w:r>
            <w:r w:rsidR="000508CF" w:rsidRPr="000508CF">
              <w:rPr>
                <w:rFonts w:ascii="Arial Narrow" w:eastAsia="Calibri" w:hAnsi="Arial Narrow" w:cs="Times New Roman"/>
                <w:sz w:val="20"/>
                <w:szCs w:val="20"/>
                <w:vertAlign w:val="superscript"/>
              </w:rPr>
              <w:t>3</w:t>
            </w:r>
            <w:r w:rsidR="002E07B7">
              <w:rPr>
                <w:rFonts w:ascii="Arial Narrow" w:eastAsia="Calibri" w:hAnsi="Arial Narrow" w:cs="Times New Roman"/>
                <w:sz w:val="20"/>
                <w:szCs w:val="20"/>
                <w:vertAlign w:val="superscript"/>
              </w:rPr>
              <w:t>4</w:t>
            </w:r>
          </w:p>
          <w:p w14:paraId="1C1F1297" w14:textId="77777777"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2007</w:t>
            </w:r>
          </w:p>
        </w:tc>
        <w:tc>
          <w:tcPr>
            <w:tcW w:w="1984" w:type="dxa"/>
            <w:vMerge w:val="restart"/>
          </w:tcPr>
          <w:p w14:paraId="6F18F542" w14:textId="053F5349"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1.4%</w:t>
            </w:r>
            <w:r w:rsidR="007B437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(29/2029)</w:t>
            </w:r>
          </w:p>
          <w:p w14:paraId="47157128" w14:textId="42CC155C" w:rsidR="008F06DE" w:rsidRPr="00436840" w:rsidRDefault="00371D81"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2.0%</w:t>
            </w:r>
            <w:r w:rsidR="007B437E">
              <w:rPr>
                <w:rFonts w:ascii="Arial Narrow" w:eastAsia="Calibri" w:hAnsi="Arial Narrow" w:cs="Times New Roman"/>
                <w:sz w:val="20"/>
                <w:szCs w:val="20"/>
              </w:rPr>
              <w:t xml:space="preserve"> </w:t>
            </w:r>
            <w:r w:rsidR="008F06DE" w:rsidRPr="00436840">
              <w:rPr>
                <w:rFonts w:ascii="Arial Narrow" w:eastAsia="Calibri" w:hAnsi="Arial Narrow" w:cs="Times New Roman"/>
                <w:sz w:val="20"/>
                <w:szCs w:val="20"/>
              </w:rPr>
              <w:t>(40/2023)</w:t>
            </w:r>
          </w:p>
          <w:p w14:paraId="6B557DEC" w14:textId="77777777" w:rsidR="007B437E"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w:t>
            </w:r>
            <w:r w:rsidR="00371D81">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0.72</w:t>
            </w:r>
          </w:p>
          <w:p w14:paraId="2E777402" w14:textId="2158EBA9" w:rsidR="008F06DE" w:rsidRPr="00436840" w:rsidRDefault="00371D81"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 xml:space="preserve">95% CI: </w:t>
            </w:r>
            <w:r w:rsidR="008F06DE" w:rsidRPr="00436840">
              <w:rPr>
                <w:rFonts w:ascii="Arial Narrow" w:eastAsia="Calibri" w:hAnsi="Arial Narrow" w:cs="Times New Roman"/>
                <w:sz w:val="20"/>
                <w:szCs w:val="20"/>
              </w:rPr>
              <w:t>0.45</w:t>
            </w:r>
            <w:r>
              <w:rPr>
                <w:rFonts w:ascii="Arial Narrow" w:eastAsia="Calibri" w:hAnsi="Arial Narrow" w:cs="Times New Roman"/>
                <w:sz w:val="20"/>
                <w:szCs w:val="20"/>
              </w:rPr>
              <w:t xml:space="preserve"> to</w:t>
            </w:r>
            <w:r w:rsidR="008F06DE" w:rsidRPr="00436840">
              <w:rPr>
                <w:rFonts w:ascii="Arial Narrow" w:eastAsia="Calibri" w:hAnsi="Arial Narrow" w:cs="Times New Roman"/>
                <w:sz w:val="20"/>
                <w:szCs w:val="20"/>
              </w:rPr>
              <w:t xml:space="preserve"> 1.16</w:t>
            </w:r>
          </w:p>
        </w:tc>
        <w:tc>
          <w:tcPr>
            <w:tcW w:w="2268" w:type="dxa"/>
            <w:vMerge w:val="restart"/>
          </w:tcPr>
          <w:p w14:paraId="37AA2F11" w14:textId="4AC2F2F1"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7.3%</w:t>
            </w:r>
            <w:r w:rsidR="007B437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(148/2029)</w:t>
            </w:r>
          </w:p>
          <w:p w14:paraId="7DDDFE03" w14:textId="17844113" w:rsidR="008F06DE" w:rsidRPr="00436840" w:rsidRDefault="007B437E"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7.4% (150/2023)</w:t>
            </w:r>
          </w:p>
          <w:p w14:paraId="58E739B4" w14:textId="77777777" w:rsidR="007B437E"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w:t>
            </w:r>
            <w:r w:rsidR="00371D81">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0.98</w:t>
            </w:r>
          </w:p>
          <w:p w14:paraId="4866C5A8" w14:textId="6A88DC3A" w:rsidR="008F06DE" w:rsidRPr="00436840" w:rsidRDefault="00371D81"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 xml:space="preserve">95% CI: </w:t>
            </w:r>
            <w:r w:rsidR="008F06DE" w:rsidRPr="00436840">
              <w:rPr>
                <w:rFonts w:ascii="Arial Narrow" w:eastAsia="Calibri" w:hAnsi="Arial Narrow" w:cs="Times New Roman"/>
                <w:sz w:val="20"/>
                <w:szCs w:val="20"/>
              </w:rPr>
              <w:t>0.79</w:t>
            </w:r>
            <w:r>
              <w:rPr>
                <w:rFonts w:ascii="Arial Narrow" w:eastAsia="Calibri" w:hAnsi="Arial Narrow" w:cs="Times New Roman"/>
                <w:sz w:val="20"/>
                <w:szCs w:val="20"/>
              </w:rPr>
              <w:t xml:space="preserve"> to </w:t>
            </w:r>
            <w:r w:rsidR="008F06DE" w:rsidRPr="00436840">
              <w:rPr>
                <w:rFonts w:ascii="Arial Narrow" w:eastAsia="Calibri" w:hAnsi="Arial Narrow" w:cs="Times New Roman"/>
                <w:sz w:val="20"/>
                <w:szCs w:val="20"/>
              </w:rPr>
              <w:t>1.22</w:t>
            </w:r>
          </w:p>
        </w:tc>
        <w:tc>
          <w:tcPr>
            <w:tcW w:w="2126" w:type="dxa"/>
            <w:vMerge w:val="restart"/>
          </w:tcPr>
          <w:p w14:paraId="29B98E95"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4.2% (85/2029)</w:t>
            </w:r>
          </w:p>
          <w:p w14:paraId="4AA42551" w14:textId="77777777" w:rsidR="008F06DE" w:rsidRDefault="007B437E"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3.3% (67/2023)</w:t>
            </w:r>
          </w:p>
          <w:p w14:paraId="5DF22385" w14:textId="1CF8333D" w:rsidR="00A71658" w:rsidRPr="00436840" w:rsidRDefault="00A71658"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p = 0.16</w:t>
            </w:r>
          </w:p>
        </w:tc>
        <w:tc>
          <w:tcPr>
            <w:tcW w:w="851" w:type="dxa"/>
          </w:tcPr>
          <w:p w14:paraId="2D4991D0"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w:t>
            </w:r>
          </w:p>
        </w:tc>
        <w:tc>
          <w:tcPr>
            <w:tcW w:w="1843" w:type="dxa"/>
          </w:tcPr>
          <w:p w14:paraId="7A6BB2F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48 (56.5%)</w:t>
            </w:r>
          </w:p>
        </w:tc>
        <w:tc>
          <w:tcPr>
            <w:tcW w:w="1134" w:type="dxa"/>
          </w:tcPr>
          <w:p w14:paraId="10BEEA0F"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0725FA06"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56F570F9" w14:textId="77777777" w:rsidR="008F06DE" w:rsidRPr="00436840" w:rsidRDefault="008F06DE" w:rsidP="00502FF6">
            <w:pPr>
              <w:spacing w:before="0"/>
              <w:jc w:val="center"/>
              <w:rPr>
                <w:rFonts w:ascii="Arial Narrow" w:eastAsia="Calibri" w:hAnsi="Arial Narrow" w:cs="Times New Roman"/>
                <w:sz w:val="20"/>
                <w:szCs w:val="20"/>
              </w:rPr>
            </w:pPr>
          </w:p>
        </w:tc>
        <w:tc>
          <w:tcPr>
            <w:tcW w:w="1134" w:type="dxa"/>
          </w:tcPr>
          <w:p w14:paraId="20FBF486" w14:textId="77777777" w:rsidR="008F06DE" w:rsidRPr="00436840" w:rsidRDefault="008F06DE" w:rsidP="00502FF6">
            <w:pPr>
              <w:spacing w:before="0"/>
              <w:jc w:val="center"/>
              <w:rPr>
                <w:rFonts w:ascii="Arial Narrow" w:eastAsia="Calibri" w:hAnsi="Arial Narrow" w:cs="Times New Roman"/>
                <w:sz w:val="20"/>
                <w:szCs w:val="20"/>
              </w:rPr>
            </w:pPr>
          </w:p>
        </w:tc>
        <w:tc>
          <w:tcPr>
            <w:tcW w:w="6237" w:type="dxa"/>
            <w:vMerge w:val="restart"/>
          </w:tcPr>
          <w:p w14:paraId="4AB5D447" w14:textId="687E6200" w:rsidR="008F06DE" w:rsidRPr="00436840" w:rsidRDefault="008F06DE" w:rsidP="0054263F">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xml:space="preserve">Findings from LUSI are in line with those from other trials, including </w:t>
            </w:r>
            <w:r w:rsidR="00564602">
              <w:rPr>
                <w:rFonts w:ascii="Arial Narrow" w:eastAsia="Calibri" w:hAnsi="Arial Narrow" w:cs="Times New Roman"/>
                <w:sz w:val="20"/>
                <w:szCs w:val="20"/>
              </w:rPr>
              <w:t xml:space="preserve">the </w:t>
            </w:r>
            <w:r w:rsidRPr="00436840">
              <w:rPr>
                <w:rFonts w:ascii="Arial Narrow" w:eastAsia="Calibri" w:hAnsi="Arial Narrow" w:cs="Times New Roman"/>
                <w:sz w:val="20"/>
                <w:szCs w:val="20"/>
              </w:rPr>
              <w:t>NLST, that suggest a stronger reduction of lung cancer mortality after LDCT screening among women as compared to men. This heterogeneity could be the result of different relative counts of lung tumo</w:t>
            </w:r>
            <w:r w:rsidR="0054263F">
              <w:rPr>
                <w:rFonts w:ascii="Arial Narrow" w:eastAsia="Calibri" w:hAnsi="Arial Narrow" w:cs="Times New Roman"/>
                <w:sz w:val="20"/>
                <w:szCs w:val="20"/>
              </w:rPr>
              <w:t>u</w:t>
            </w:r>
            <w:r w:rsidRPr="00436840">
              <w:rPr>
                <w:rFonts w:ascii="Arial Narrow" w:eastAsia="Calibri" w:hAnsi="Arial Narrow" w:cs="Times New Roman"/>
                <w:sz w:val="20"/>
                <w:szCs w:val="20"/>
              </w:rPr>
              <w:t>r subtypes occurring in men and women.</w:t>
            </w:r>
          </w:p>
        </w:tc>
      </w:tr>
      <w:tr w:rsidR="008F06DE" w:rsidRPr="00436840" w14:paraId="602D723E" w14:textId="77777777" w:rsidTr="00FF5ADB">
        <w:trPr>
          <w:trHeight w:val="257"/>
        </w:trPr>
        <w:tc>
          <w:tcPr>
            <w:tcW w:w="993" w:type="dxa"/>
            <w:vMerge/>
          </w:tcPr>
          <w:p w14:paraId="022F6DC5" w14:textId="77777777" w:rsidR="008F06DE" w:rsidRPr="00436840" w:rsidRDefault="008F06DE" w:rsidP="008F06DE">
            <w:pPr>
              <w:spacing w:before="0"/>
              <w:rPr>
                <w:rFonts w:ascii="Arial Narrow" w:eastAsia="Calibri" w:hAnsi="Arial Narrow" w:cs="Times New Roman"/>
                <w:bCs/>
                <w:sz w:val="20"/>
                <w:szCs w:val="20"/>
              </w:rPr>
            </w:pPr>
          </w:p>
        </w:tc>
        <w:tc>
          <w:tcPr>
            <w:tcW w:w="1984" w:type="dxa"/>
            <w:vMerge/>
          </w:tcPr>
          <w:p w14:paraId="7092C082"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268" w:type="dxa"/>
            <w:vMerge/>
          </w:tcPr>
          <w:p w14:paraId="48F01FEF"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126" w:type="dxa"/>
            <w:vMerge/>
          </w:tcPr>
          <w:p w14:paraId="3F05E32C"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851" w:type="dxa"/>
          </w:tcPr>
          <w:p w14:paraId="5FE8F689"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Calibri"/>
                <w:bCs/>
                <w:sz w:val="20"/>
                <w:szCs w:val="20"/>
                <w:lang w:val="en-GB"/>
              </w:rPr>
              <w:t>Control</w:t>
            </w:r>
          </w:p>
        </w:tc>
        <w:tc>
          <w:tcPr>
            <w:tcW w:w="1843" w:type="dxa"/>
          </w:tcPr>
          <w:p w14:paraId="4059D389" w14:textId="384E4022"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6 (9.0%)</w:t>
            </w:r>
          </w:p>
          <w:p w14:paraId="2461508A" w14:textId="77777777" w:rsidR="005F55BF"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w:t>
            </w:r>
            <w:r w:rsidR="004275C4">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6.31</w:t>
            </w:r>
          </w:p>
          <w:p w14:paraId="5114F4D4" w14:textId="4148E40B" w:rsidR="008F06DE" w:rsidRPr="00436840" w:rsidRDefault="004275C4"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 xml:space="preserve">95% CI: </w:t>
            </w:r>
            <w:r w:rsidR="008F06DE" w:rsidRPr="00436840">
              <w:rPr>
                <w:rFonts w:ascii="Arial Narrow" w:eastAsia="Calibri" w:hAnsi="Arial Narrow" w:cs="Times New Roman"/>
                <w:sz w:val="20"/>
                <w:szCs w:val="20"/>
              </w:rPr>
              <w:t>2.87</w:t>
            </w:r>
            <w:r>
              <w:rPr>
                <w:rFonts w:ascii="Arial Narrow" w:eastAsia="Calibri" w:hAnsi="Arial Narrow" w:cs="Times New Roman"/>
                <w:sz w:val="20"/>
                <w:szCs w:val="20"/>
              </w:rPr>
              <w:t xml:space="preserve"> to</w:t>
            </w:r>
            <w:r w:rsidR="008F06DE" w:rsidRPr="00436840">
              <w:rPr>
                <w:rFonts w:ascii="Arial Narrow" w:eastAsia="Calibri" w:hAnsi="Arial Narrow" w:cs="Times New Roman"/>
                <w:sz w:val="20"/>
                <w:szCs w:val="20"/>
              </w:rPr>
              <w:t xml:space="preserve"> 13.84</w:t>
            </w:r>
          </w:p>
        </w:tc>
        <w:tc>
          <w:tcPr>
            <w:tcW w:w="1134" w:type="dxa"/>
          </w:tcPr>
          <w:p w14:paraId="2C013C7D"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1134" w:type="dxa"/>
          </w:tcPr>
          <w:p w14:paraId="5C31911E" w14:textId="77777777" w:rsidR="008F06DE" w:rsidRPr="00436840" w:rsidRDefault="008F06DE" w:rsidP="00502FF6">
            <w:pPr>
              <w:spacing w:before="0"/>
              <w:jc w:val="center"/>
              <w:rPr>
                <w:rFonts w:ascii="Arial Narrow" w:eastAsia="Calibri" w:hAnsi="Arial Narrow" w:cs="Calibri"/>
                <w:sz w:val="20"/>
                <w:szCs w:val="20"/>
                <w:lang w:val="en-GB"/>
              </w:rPr>
            </w:pPr>
          </w:p>
        </w:tc>
        <w:tc>
          <w:tcPr>
            <w:tcW w:w="1134" w:type="dxa"/>
          </w:tcPr>
          <w:p w14:paraId="749900A4"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1134" w:type="dxa"/>
          </w:tcPr>
          <w:p w14:paraId="2CBA7E21"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6237" w:type="dxa"/>
            <w:vMerge/>
          </w:tcPr>
          <w:p w14:paraId="098576DB" w14:textId="77777777" w:rsidR="008F06DE" w:rsidRPr="00436840" w:rsidRDefault="008F06DE" w:rsidP="008F06DE">
            <w:pPr>
              <w:spacing w:before="0"/>
              <w:rPr>
                <w:rFonts w:ascii="Arial Narrow" w:eastAsia="Calibri" w:hAnsi="Arial Narrow" w:cs="Times New Roman"/>
                <w:bCs/>
                <w:sz w:val="20"/>
                <w:szCs w:val="20"/>
              </w:rPr>
            </w:pPr>
          </w:p>
        </w:tc>
      </w:tr>
      <w:tr w:rsidR="008F06DE" w:rsidRPr="00436840" w14:paraId="54346B75" w14:textId="77777777" w:rsidTr="00FF5ADB">
        <w:tc>
          <w:tcPr>
            <w:tcW w:w="993" w:type="dxa"/>
            <w:vMerge w:val="restart"/>
          </w:tcPr>
          <w:p w14:paraId="4A84A7B0" w14:textId="0B3EB6C5" w:rsidR="008F06DE" w:rsidRPr="00436840" w:rsidRDefault="008F06DE" w:rsidP="008F06DE">
            <w:pPr>
              <w:spacing w:before="0"/>
              <w:rPr>
                <w:rFonts w:ascii="Arial Narrow" w:eastAsia="Calibri" w:hAnsi="Arial Narrow" w:cs="Calibri"/>
                <w:color w:val="000000"/>
                <w:sz w:val="20"/>
                <w:szCs w:val="20"/>
                <w:vertAlign w:val="superscript"/>
              </w:rPr>
            </w:pPr>
            <w:r w:rsidRPr="00436840">
              <w:rPr>
                <w:rFonts w:ascii="Arial Narrow" w:eastAsia="Calibri" w:hAnsi="Arial Narrow" w:cs="Calibri"/>
                <w:color w:val="000000"/>
                <w:sz w:val="20"/>
                <w:szCs w:val="20"/>
              </w:rPr>
              <w:t>MILD</w:t>
            </w:r>
            <w:r w:rsidR="00766447" w:rsidRPr="00766447">
              <w:rPr>
                <w:rFonts w:ascii="Arial Narrow" w:eastAsia="Calibri" w:hAnsi="Arial Narrow" w:cs="Calibri"/>
                <w:color w:val="000000"/>
                <w:sz w:val="20"/>
                <w:szCs w:val="20"/>
                <w:vertAlign w:val="superscript"/>
              </w:rPr>
              <w:t>3</w:t>
            </w:r>
            <w:r w:rsidR="002E07B7">
              <w:rPr>
                <w:rFonts w:ascii="Arial Narrow" w:eastAsia="Calibri" w:hAnsi="Arial Narrow" w:cs="Calibri"/>
                <w:color w:val="000000"/>
                <w:sz w:val="20"/>
                <w:szCs w:val="20"/>
                <w:vertAlign w:val="superscript"/>
              </w:rPr>
              <w:t>5</w:t>
            </w:r>
          </w:p>
          <w:p w14:paraId="565DCBF0" w14:textId="77777777"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Calibri"/>
                <w:color w:val="000000"/>
                <w:sz w:val="20"/>
                <w:szCs w:val="20"/>
              </w:rPr>
              <w:t>2005</w:t>
            </w:r>
          </w:p>
        </w:tc>
        <w:tc>
          <w:tcPr>
            <w:tcW w:w="1984" w:type="dxa"/>
            <w:vMerge w:val="restart"/>
          </w:tcPr>
          <w:p w14:paraId="67658FF3" w14:textId="435F6825"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2.3%</w:t>
            </w:r>
            <w:r w:rsidR="007B437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(40/1723)</w:t>
            </w:r>
          </w:p>
          <w:p w14:paraId="305E6885" w14:textId="77777777" w:rsidR="00A71658" w:rsidRDefault="00371D81" w:rsidP="00A71658">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1.7%</w:t>
            </w:r>
            <w:r w:rsidR="007B437E">
              <w:rPr>
                <w:rFonts w:ascii="Arial Narrow" w:eastAsia="Calibri" w:hAnsi="Arial Narrow" w:cs="Times New Roman"/>
                <w:sz w:val="20"/>
                <w:szCs w:val="20"/>
              </w:rPr>
              <w:t xml:space="preserve"> </w:t>
            </w:r>
            <w:r w:rsidR="008F06DE" w:rsidRPr="00436840">
              <w:rPr>
                <w:rFonts w:ascii="Arial Narrow" w:eastAsia="Calibri" w:hAnsi="Arial Narrow" w:cs="Times New Roman"/>
                <w:sz w:val="20"/>
                <w:szCs w:val="20"/>
              </w:rPr>
              <w:t>(40/2376)</w:t>
            </w:r>
          </w:p>
          <w:p w14:paraId="3A273389" w14:textId="152EB541" w:rsidR="008F06DE" w:rsidRPr="00436840" w:rsidRDefault="00A71658" w:rsidP="00A71658">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p = 0.14</w:t>
            </w:r>
          </w:p>
        </w:tc>
        <w:tc>
          <w:tcPr>
            <w:tcW w:w="2268" w:type="dxa"/>
            <w:vMerge w:val="restart"/>
          </w:tcPr>
          <w:p w14:paraId="0CF0DE0C" w14:textId="7DC7E63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6.2%</w:t>
            </w:r>
            <w:r w:rsidR="007B437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(106/1723)</w:t>
            </w:r>
          </w:p>
          <w:p w14:paraId="46D96911" w14:textId="77777777" w:rsidR="00A71658" w:rsidRDefault="00371D81" w:rsidP="00A71658">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008F06DE" w:rsidRPr="00436840">
              <w:rPr>
                <w:rFonts w:ascii="Arial Narrow" w:eastAsia="Calibri" w:hAnsi="Arial Narrow" w:cs="Times New Roman"/>
                <w:sz w:val="20"/>
                <w:szCs w:val="20"/>
              </w:rPr>
              <w:t>: 5.8%</w:t>
            </w:r>
            <w:r w:rsidR="007B437E">
              <w:rPr>
                <w:rFonts w:ascii="Arial Narrow" w:eastAsia="Calibri" w:hAnsi="Arial Narrow" w:cs="Times New Roman"/>
                <w:sz w:val="20"/>
                <w:szCs w:val="20"/>
              </w:rPr>
              <w:t xml:space="preserve"> </w:t>
            </w:r>
            <w:r w:rsidR="008F06DE" w:rsidRPr="00436840">
              <w:rPr>
                <w:rFonts w:ascii="Arial Narrow" w:eastAsia="Calibri" w:hAnsi="Arial Narrow" w:cs="Times New Roman"/>
                <w:sz w:val="20"/>
                <w:szCs w:val="20"/>
              </w:rPr>
              <w:t>(137/2376)</w:t>
            </w:r>
          </w:p>
          <w:p w14:paraId="365208C7" w14:textId="6E7B7756" w:rsidR="008F06DE" w:rsidRPr="00436840" w:rsidRDefault="00A71658" w:rsidP="00A71658">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p = 0.61</w:t>
            </w:r>
          </w:p>
        </w:tc>
        <w:tc>
          <w:tcPr>
            <w:tcW w:w="2126" w:type="dxa"/>
            <w:vMerge w:val="restart"/>
          </w:tcPr>
          <w:p w14:paraId="04277A10" w14:textId="77777777" w:rsidR="008F06DE" w:rsidRPr="00436840" w:rsidRDefault="008F06DE" w:rsidP="00502FF6">
            <w:pPr>
              <w:spacing w:before="0"/>
              <w:jc w:val="center"/>
              <w:rPr>
                <w:rFonts w:ascii="Arial Narrow" w:eastAsia="Calibri" w:hAnsi="Arial Narrow" w:cs="Calibri"/>
                <w:sz w:val="20"/>
                <w:szCs w:val="20"/>
                <w:lang w:val="en-GB"/>
              </w:rPr>
            </w:pPr>
            <w:r w:rsidRPr="00436840">
              <w:rPr>
                <w:rFonts w:ascii="Arial Narrow" w:eastAsia="Calibri" w:hAnsi="Arial Narrow" w:cs="Calibri"/>
                <w:sz w:val="20"/>
                <w:szCs w:val="20"/>
                <w:lang w:val="en-GB"/>
              </w:rPr>
              <w:t>LDCT: 3.5% (60/1723)</w:t>
            </w:r>
          </w:p>
          <w:p w14:paraId="3B270A36" w14:textId="77777777" w:rsidR="00A71658" w:rsidRDefault="00371D81" w:rsidP="00A71658">
            <w:pPr>
              <w:spacing w:before="0"/>
              <w:jc w:val="center"/>
              <w:rPr>
                <w:rFonts w:ascii="Arial Narrow" w:eastAsia="Calibri" w:hAnsi="Arial Narrow" w:cs="Times New Roman"/>
                <w:sz w:val="20"/>
                <w:szCs w:val="20"/>
              </w:rPr>
            </w:pPr>
            <w:r>
              <w:rPr>
                <w:rFonts w:ascii="Arial Narrow" w:eastAsia="Calibri" w:hAnsi="Arial Narrow" w:cs="Calibri"/>
                <w:sz w:val="20"/>
                <w:szCs w:val="20"/>
                <w:lang w:val="en-GB"/>
              </w:rPr>
              <w:t>Control</w:t>
            </w:r>
            <w:r w:rsidR="008F06DE" w:rsidRPr="00436840">
              <w:rPr>
                <w:rFonts w:ascii="Arial Narrow" w:eastAsia="Calibri" w:hAnsi="Arial Narrow" w:cs="Calibri"/>
                <w:sz w:val="20"/>
                <w:szCs w:val="20"/>
                <w:lang w:val="en-GB"/>
              </w:rPr>
              <w:t>: 4.1% (98/2376)</w:t>
            </w:r>
          </w:p>
          <w:p w14:paraId="18EB039F" w14:textId="3FF4D0ED" w:rsidR="008F06DE" w:rsidRPr="00436840" w:rsidRDefault="00A71658" w:rsidP="00A71658">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p = 0.29</w:t>
            </w:r>
          </w:p>
        </w:tc>
        <w:tc>
          <w:tcPr>
            <w:tcW w:w="851" w:type="dxa"/>
          </w:tcPr>
          <w:p w14:paraId="0AF6A9C8"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w:t>
            </w:r>
          </w:p>
        </w:tc>
        <w:tc>
          <w:tcPr>
            <w:tcW w:w="1843" w:type="dxa"/>
          </w:tcPr>
          <w:p w14:paraId="33DC07EB"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49 (50%)</w:t>
            </w:r>
          </w:p>
        </w:tc>
        <w:tc>
          <w:tcPr>
            <w:tcW w:w="1134" w:type="dxa"/>
          </w:tcPr>
          <w:p w14:paraId="1B2886EF"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 (4.1%)</w:t>
            </w:r>
          </w:p>
        </w:tc>
        <w:tc>
          <w:tcPr>
            <w:tcW w:w="1134" w:type="dxa"/>
          </w:tcPr>
          <w:p w14:paraId="7CCD3A04"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16 (16.3%)</w:t>
            </w:r>
          </w:p>
        </w:tc>
        <w:tc>
          <w:tcPr>
            <w:tcW w:w="1134" w:type="dxa"/>
          </w:tcPr>
          <w:p w14:paraId="68379852"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29 (29.6%)</w:t>
            </w:r>
          </w:p>
        </w:tc>
        <w:tc>
          <w:tcPr>
            <w:tcW w:w="1134" w:type="dxa"/>
          </w:tcPr>
          <w:p w14:paraId="37DB7F25" w14:textId="77777777" w:rsidR="008F06DE" w:rsidRPr="00436840" w:rsidRDefault="008F06DE" w:rsidP="00502FF6">
            <w:pPr>
              <w:spacing w:before="0"/>
              <w:jc w:val="center"/>
              <w:rPr>
                <w:rFonts w:ascii="Arial Narrow" w:eastAsia="Calibri" w:hAnsi="Arial Narrow" w:cs="Times New Roman"/>
                <w:sz w:val="20"/>
                <w:szCs w:val="20"/>
              </w:rPr>
            </w:pPr>
          </w:p>
        </w:tc>
        <w:tc>
          <w:tcPr>
            <w:tcW w:w="6237" w:type="dxa"/>
            <w:vMerge w:val="restart"/>
          </w:tcPr>
          <w:p w14:paraId="7AA983DB" w14:textId="0E47E895" w:rsidR="008F06DE" w:rsidRPr="00436840" w:rsidRDefault="008F06DE" w:rsidP="008F06D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xml:space="preserve">The MILD trial provides additional evidence that prolonged screening beyond 5 years can enhance the benefit of early detection and achieve a greater overall and </w:t>
            </w:r>
            <w:r w:rsidR="0054263F">
              <w:rPr>
                <w:rFonts w:ascii="Arial Narrow" w:eastAsia="Calibri" w:hAnsi="Arial Narrow" w:cs="Times New Roman"/>
                <w:sz w:val="20"/>
                <w:szCs w:val="20"/>
              </w:rPr>
              <w:t>lung cancer</w:t>
            </w:r>
            <w:r w:rsidRPr="00436840">
              <w:rPr>
                <w:rFonts w:ascii="Arial Narrow" w:eastAsia="Calibri" w:hAnsi="Arial Narrow" w:cs="Times New Roman"/>
                <w:sz w:val="20"/>
                <w:szCs w:val="20"/>
              </w:rPr>
              <w:t xml:space="preserve"> mortality reduction compared with </w:t>
            </w:r>
            <w:r w:rsidR="00564602">
              <w:rPr>
                <w:rFonts w:ascii="Arial Narrow" w:eastAsia="Calibri" w:hAnsi="Arial Narrow" w:cs="Times New Roman"/>
                <w:sz w:val="20"/>
                <w:szCs w:val="20"/>
              </w:rPr>
              <w:t xml:space="preserve">the </w:t>
            </w:r>
            <w:r w:rsidRPr="00436840">
              <w:rPr>
                <w:rFonts w:ascii="Arial Narrow" w:eastAsia="Calibri" w:hAnsi="Arial Narrow" w:cs="Times New Roman"/>
                <w:sz w:val="20"/>
                <w:szCs w:val="20"/>
              </w:rPr>
              <w:t>NLST.</w:t>
            </w:r>
          </w:p>
        </w:tc>
      </w:tr>
      <w:tr w:rsidR="008F06DE" w:rsidRPr="00436840" w14:paraId="6B74B8C0" w14:textId="77777777" w:rsidTr="00FF5ADB">
        <w:trPr>
          <w:trHeight w:val="394"/>
        </w:trPr>
        <w:tc>
          <w:tcPr>
            <w:tcW w:w="993" w:type="dxa"/>
            <w:vMerge/>
          </w:tcPr>
          <w:p w14:paraId="7A0B4DED" w14:textId="77777777" w:rsidR="008F06DE" w:rsidRPr="00436840" w:rsidRDefault="008F06DE" w:rsidP="008F06DE">
            <w:pPr>
              <w:spacing w:before="0"/>
              <w:rPr>
                <w:rFonts w:ascii="Arial Narrow" w:eastAsia="Calibri" w:hAnsi="Arial Narrow" w:cs="Times New Roman"/>
                <w:bCs/>
                <w:sz w:val="20"/>
                <w:szCs w:val="20"/>
              </w:rPr>
            </w:pPr>
          </w:p>
        </w:tc>
        <w:tc>
          <w:tcPr>
            <w:tcW w:w="1984" w:type="dxa"/>
            <w:vMerge/>
          </w:tcPr>
          <w:p w14:paraId="1EB988EB"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268" w:type="dxa"/>
            <w:vMerge/>
          </w:tcPr>
          <w:p w14:paraId="4EC650C0"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2126" w:type="dxa"/>
            <w:vMerge/>
          </w:tcPr>
          <w:p w14:paraId="2914A420" w14:textId="77777777" w:rsidR="008F06DE" w:rsidRPr="00436840" w:rsidRDefault="008F06DE" w:rsidP="00502FF6">
            <w:pPr>
              <w:spacing w:before="0"/>
              <w:jc w:val="center"/>
              <w:rPr>
                <w:rFonts w:ascii="Arial Narrow" w:eastAsia="Calibri" w:hAnsi="Arial Narrow" w:cs="Calibri"/>
                <w:bCs/>
                <w:sz w:val="20"/>
                <w:szCs w:val="20"/>
                <w:lang w:val="en-GB"/>
              </w:rPr>
            </w:pPr>
          </w:p>
        </w:tc>
        <w:tc>
          <w:tcPr>
            <w:tcW w:w="851" w:type="dxa"/>
          </w:tcPr>
          <w:p w14:paraId="17E93951"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Calibri"/>
                <w:bCs/>
                <w:sz w:val="20"/>
                <w:szCs w:val="20"/>
                <w:lang w:val="en-GB"/>
              </w:rPr>
              <w:t>Control</w:t>
            </w:r>
          </w:p>
        </w:tc>
        <w:tc>
          <w:tcPr>
            <w:tcW w:w="1843" w:type="dxa"/>
          </w:tcPr>
          <w:p w14:paraId="4C7D9733" w14:textId="77777777" w:rsidR="008F06DE"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13 (21.7%)</w:t>
            </w:r>
          </w:p>
          <w:p w14:paraId="69489C29" w14:textId="7F82E523" w:rsidR="00A71658" w:rsidRPr="00436840" w:rsidRDefault="00A71658" w:rsidP="00502FF6">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p &lt; 0.0004</w:t>
            </w:r>
          </w:p>
        </w:tc>
        <w:tc>
          <w:tcPr>
            <w:tcW w:w="1134" w:type="dxa"/>
          </w:tcPr>
          <w:p w14:paraId="219BB287"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5 (8.3%)</w:t>
            </w:r>
          </w:p>
        </w:tc>
        <w:tc>
          <w:tcPr>
            <w:tcW w:w="1134" w:type="dxa"/>
          </w:tcPr>
          <w:p w14:paraId="6D1CB284"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10 (16.7%)</w:t>
            </w:r>
          </w:p>
        </w:tc>
        <w:tc>
          <w:tcPr>
            <w:tcW w:w="1134" w:type="dxa"/>
          </w:tcPr>
          <w:p w14:paraId="00F96B1E" w14:textId="77777777" w:rsidR="008F06DE" w:rsidRPr="00436840" w:rsidRDefault="008F06DE" w:rsidP="00502FF6">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32 (53.3%)</w:t>
            </w:r>
          </w:p>
        </w:tc>
        <w:tc>
          <w:tcPr>
            <w:tcW w:w="1134" w:type="dxa"/>
          </w:tcPr>
          <w:p w14:paraId="7B8F066E" w14:textId="77777777" w:rsidR="008F06DE" w:rsidRPr="00436840" w:rsidRDefault="008F06DE" w:rsidP="00502FF6">
            <w:pPr>
              <w:spacing w:before="0"/>
              <w:jc w:val="center"/>
              <w:rPr>
                <w:rFonts w:ascii="Arial Narrow" w:eastAsia="Calibri" w:hAnsi="Arial Narrow" w:cs="Times New Roman"/>
                <w:sz w:val="20"/>
                <w:szCs w:val="20"/>
              </w:rPr>
            </w:pPr>
          </w:p>
        </w:tc>
        <w:tc>
          <w:tcPr>
            <w:tcW w:w="6237" w:type="dxa"/>
            <w:vMerge/>
          </w:tcPr>
          <w:p w14:paraId="38F6B46E" w14:textId="77777777" w:rsidR="008F06DE" w:rsidRPr="00436840" w:rsidRDefault="008F06DE" w:rsidP="008F06DE">
            <w:pPr>
              <w:spacing w:before="0"/>
              <w:rPr>
                <w:rFonts w:ascii="Arial Narrow" w:eastAsia="Calibri" w:hAnsi="Arial Narrow" w:cs="Times New Roman"/>
                <w:bCs/>
                <w:sz w:val="20"/>
                <w:szCs w:val="20"/>
              </w:rPr>
            </w:pPr>
          </w:p>
        </w:tc>
      </w:tr>
      <w:tr w:rsidR="00B95373" w:rsidRPr="00436840" w14:paraId="696BB0D9" w14:textId="77777777" w:rsidTr="00FF5ADB">
        <w:trPr>
          <w:trHeight w:val="191"/>
        </w:trPr>
        <w:tc>
          <w:tcPr>
            <w:tcW w:w="993" w:type="dxa"/>
            <w:vMerge w:val="restart"/>
          </w:tcPr>
          <w:p w14:paraId="6A845BAF" w14:textId="2B3932DB" w:rsidR="00B95373" w:rsidRPr="00436840" w:rsidRDefault="00B95373" w:rsidP="00371D81">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NELSON</w:t>
            </w:r>
            <w:r w:rsidR="00416BAC">
              <w:rPr>
                <w:rFonts w:ascii="Arial Narrow" w:eastAsia="Calibri" w:hAnsi="Arial Narrow" w:cs="Times New Roman"/>
                <w:bCs/>
                <w:sz w:val="20"/>
                <w:szCs w:val="20"/>
              </w:rPr>
              <w:t>1</w:t>
            </w:r>
            <w:r w:rsidR="00416BAC" w:rsidRPr="00416BAC">
              <w:rPr>
                <w:rFonts w:ascii="Arial Narrow" w:eastAsia="Calibri" w:hAnsi="Arial Narrow" w:cs="Times New Roman"/>
                <w:bCs/>
                <w:sz w:val="20"/>
                <w:szCs w:val="20"/>
                <w:vertAlign w:val="superscript"/>
              </w:rPr>
              <w:t>10</w:t>
            </w:r>
            <w:r w:rsidRPr="00436840">
              <w:rPr>
                <w:rFonts w:ascii="Arial Narrow" w:hAnsi="Arial Narrow"/>
                <w:bCs/>
                <w:sz w:val="20"/>
                <w:szCs w:val="20"/>
                <w:vertAlign w:val="superscript"/>
              </w:rPr>
              <w:t>,</w:t>
            </w:r>
            <w:r w:rsidR="00766447">
              <w:rPr>
                <w:rFonts w:ascii="Arial Narrow" w:hAnsi="Arial Narrow"/>
                <w:bCs/>
                <w:sz w:val="20"/>
                <w:szCs w:val="20"/>
                <w:vertAlign w:val="superscript"/>
              </w:rPr>
              <w:t>3</w:t>
            </w:r>
            <w:r w:rsidR="002E07B7">
              <w:rPr>
                <w:rFonts w:ascii="Arial Narrow" w:hAnsi="Arial Narrow"/>
                <w:bCs/>
                <w:sz w:val="20"/>
                <w:szCs w:val="20"/>
                <w:vertAlign w:val="superscript"/>
              </w:rPr>
              <w:t>6</w:t>
            </w:r>
          </w:p>
          <w:p w14:paraId="3267A1D7" w14:textId="72BE2E40" w:rsidR="00B95373" w:rsidRPr="00436840" w:rsidRDefault="00B95373" w:rsidP="00371D81">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2003</w:t>
            </w:r>
          </w:p>
        </w:tc>
        <w:tc>
          <w:tcPr>
            <w:tcW w:w="1984" w:type="dxa"/>
            <w:vMerge w:val="restart"/>
          </w:tcPr>
          <w:p w14:paraId="1B20F533" w14:textId="7D3E37B4" w:rsidR="00B95373" w:rsidRPr="00436840" w:rsidRDefault="00B95373" w:rsidP="00502FF6">
            <w:pPr>
              <w:spacing w:before="0"/>
              <w:jc w:val="center"/>
              <w:rPr>
                <w:rFonts w:ascii="Arial Narrow" w:eastAsia="Calibri" w:hAnsi="Arial Narrow" w:cs="Calibri"/>
                <w:bCs/>
                <w:sz w:val="20"/>
                <w:szCs w:val="20"/>
                <w:lang w:val="en-GB"/>
              </w:rPr>
            </w:pPr>
            <w:r w:rsidRPr="00436840">
              <w:rPr>
                <w:rFonts w:ascii="Arial Narrow" w:eastAsia="Calibri" w:hAnsi="Arial Narrow" w:cs="Times New Roman"/>
                <w:bCs/>
                <w:sz w:val="20"/>
                <w:szCs w:val="20"/>
                <w:lang w:val="en-GB"/>
              </w:rPr>
              <w:t>LDCT:</w:t>
            </w:r>
            <w:r>
              <w:rPr>
                <w:rFonts w:ascii="Arial Narrow" w:eastAsia="Calibri" w:hAnsi="Arial Narrow" w:cs="Times New Roman"/>
                <w:bCs/>
                <w:sz w:val="20"/>
                <w:szCs w:val="20"/>
                <w:lang w:val="en-GB"/>
              </w:rPr>
              <w:t xml:space="preserve"> </w:t>
            </w:r>
            <w:r w:rsidRPr="00436840">
              <w:rPr>
                <w:rFonts w:ascii="Arial Narrow" w:eastAsia="Calibri" w:hAnsi="Arial Narrow" w:cs="Calibri"/>
                <w:bCs/>
                <w:sz w:val="20"/>
                <w:szCs w:val="20"/>
                <w:lang w:val="en-GB"/>
              </w:rPr>
              <w:t>156 (2.5 per 1000 person-years)</w:t>
            </w:r>
          </w:p>
          <w:p w14:paraId="5A6B60DF" w14:textId="77777777" w:rsidR="00B95373" w:rsidRPr="00436840" w:rsidRDefault="00B95373" w:rsidP="00502FF6">
            <w:pPr>
              <w:spacing w:before="0"/>
              <w:jc w:val="center"/>
              <w:rPr>
                <w:rFonts w:ascii="Arial Narrow" w:eastAsia="Calibri" w:hAnsi="Arial Narrow" w:cs="Times New Roman"/>
                <w:bCs/>
                <w:sz w:val="20"/>
                <w:szCs w:val="20"/>
                <w:lang w:val="en-GB"/>
              </w:rPr>
            </w:pPr>
            <w:r w:rsidRPr="00436840">
              <w:rPr>
                <w:rFonts w:ascii="Arial Narrow" w:eastAsia="Calibri" w:hAnsi="Arial Narrow" w:cs="Calibri"/>
                <w:bCs/>
                <w:sz w:val="20"/>
                <w:szCs w:val="20"/>
                <w:lang w:val="en-GB"/>
              </w:rPr>
              <w:t>Control: 206 (3.3 per 1000 person-years)</w:t>
            </w:r>
          </w:p>
          <w:p w14:paraId="39EEA5E9" w14:textId="06D1AEDC" w:rsidR="00B95373" w:rsidRPr="00436840" w:rsidRDefault="00B95373" w:rsidP="00502FF6">
            <w:pPr>
              <w:spacing w:before="0"/>
              <w:jc w:val="center"/>
              <w:rPr>
                <w:rFonts w:ascii="Arial Narrow" w:eastAsia="Calibri" w:hAnsi="Arial Narrow" w:cs="Times New Roman"/>
                <w:bCs/>
                <w:sz w:val="20"/>
                <w:szCs w:val="20"/>
                <w:lang w:val="en-GB"/>
              </w:rPr>
            </w:pPr>
            <w:r w:rsidRPr="00436840">
              <w:rPr>
                <w:rFonts w:ascii="Arial Narrow" w:eastAsia="Calibri" w:hAnsi="Arial Narrow" w:cs="Times New Roman"/>
                <w:bCs/>
                <w:sz w:val="20"/>
                <w:szCs w:val="20"/>
                <w:lang w:val="en-GB"/>
              </w:rPr>
              <w:t>Absolute risk</w:t>
            </w:r>
            <w:r w:rsidR="00E121CF">
              <w:rPr>
                <w:rFonts w:ascii="Arial Narrow" w:eastAsia="Calibri" w:hAnsi="Arial Narrow" w:cs="Times New Roman"/>
                <w:bCs/>
                <w:sz w:val="20"/>
                <w:szCs w:val="20"/>
                <w:lang w:val="en-GB"/>
              </w:rPr>
              <w:t xml:space="preserve"> difference</w:t>
            </w:r>
            <w:r w:rsidRPr="00436840">
              <w:rPr>
                <w:rFonts w:ascii="Arial Narrow" w:eastAsia="Calibri" w:hAnsi="Arial Narrow" w:cs="Times New Roman"/>
                <w:bCs/>
                <w:sz w:val="20"/>
                <w:szCs w:val="20"/>
                <w:lang w:val="en-GB"/>
              </w:rPr>
              <w:t>: 0.8 deaths per 1000 person-years</w:t>
            </w:r>
          </w:p>
          <w:p w14:paraId="38B63B35" w14:textId="4A3E700F" w:rsidR="00B95373" w:rsidRDefault="00B95373" w:rsidP="00502FF6">
            <w:pPr>
              <w:spacing w:before="0"/>
              <w:jc w:val="center"/>
              <w:rPr>
                <w:rFonts w:ascii="Arial Narrow" w:eastAsia="Calibri" w:hAnsi="Arial Narrow" w:cs="Times New Roman"/>
                <w:bCs/>
                <w:sz w:val="20"/>
                <w:szCs w:val="20"/>
                <w:lang w:val="en-GB"/>
              </w:rPr>
            </w:pPr>
            <w:r w:rsidRPr="00436840">
              <w:rPr>
                <w:rFonts w:ascii="Arial Narrow" w:eastAsia="Calibri" w:hAnsi="Arial Narrow" w:cs="Times New Roman"/>
                <w:bCs/>
                <w:sz w:val="20"/>
                <w:szCs w:val="20"/>
                <w:lang w:val="en-GB"/>
              </w:rPr>
              <w:t>RR</w:t>
            </w:r>
            <w:r>
              <w:rPr>
                <w:rFonts w:ascii="Arial Narrow" w:eastAsia="Calibri" w:hAnsi="Arial Narrow" w:cs="Times New Roman"/>
                <w:bCs/>
                <w:sz w:val="20"/>
                <w:szCs w:val="20"/>
                <w:lang w:val="en-GB"/>
              </w:rPr>
              <w:t>:</w:t>
            </w:r>
            <w:r w:rsidRPr="00436840">
              <w:rPr>
                <w:rFonts w:ascii="Arial Narrow" w:eastAsia="Calibri" w:hAnsi="Arial Narrow" w:cs="Times New Roman"/>
                <w:bCs/>
                <w:sz w:val="20"/>
                <w:szCs w:val="20"/>
                <w:lang w:val="en-GB"/>
              </w:rPr>
              <w:t xml:space="preserve"> 0.76</w:t>
            </w:r>
          </w:p>
          <w:p w14:paraId="0393A8F6" w14:textId="350F3197" w:rsidR="00B95373" w:rsidRDefault="00B95373" w:rsidP="00502FF6">
            <w:pPr>
              <w:spacing w:before="0"/>
              <w:jc w:val="center"/>
              <w:rPr>
                <w:rFonts w:ascii="Arial Narrow" w:eastAsia="Calibri" w:hAnsi="Arial Narrow" w:cs="Times New Roman"/>
                <w:bCs/>
                <w:sz w:val="20"/>
                <w:szCs w:val="20"/>
                <w:lang w:val="en-GB"/>
              </w:rPr>
            </w:pPr>
            <w:r w:rsidRPr="00436840">
              <w:rPr>
                <w:rFonts w:ascii="Arial Narrow" w:eastAsia="Calibri" w:hAnsi="Arial Narrow" w:cs="Times New Roman"/>
                <w:bCs/>
                <w:sz w:val="20"/>
                <w:szCs w:val="20"/>
                <w:lang w:val="en-GB"/>
              </w:rPr>
              <w:t>95% CI</w:t>
            </w:r>
            <w:r w:rsidR="00E121CF">
              <w:rPr>
                <w:rFonts w:ascii="Arial Narrow" w:eastAsia="Calibri" w:hAnsi="Arial Narrow" w:cs="Times New Roman"/>
                <w:bCs/>
                <w:sz w:val="20"/>
                <w:szCs w:val="20"/>
                <w:lang w:val="en-GB"/>
              </w:rPr>
              <w:t>:</w:t>
            </w:r>
            <w:r w:rsidRPr="00436840">
              <w:rPr>
                <w:rFonts w:ascii="Arial Narrow" w:eastAsia="Calibri" w:hAnsi="Arial Narrow" w:cs="Times New Roman"/>
                <w:bCs/>
                <w:sz w:val="20"/>
                <w:szCs w:val="20"/>
                <w:lang w:val="en-GB"/>
              </w:rPr>
              <w:t xml:space="preserve"> 0.61</w:t>
            </w:r>
            <w:r>
              <w:rPr>
                <w:rFonts w:ascii="Arial Narrow" w:eastAsia="Calibri" w:hAnsi="Arial Narrow" w:cs="Times New Roman"/>
                <w:bCs/>
                <w:sz w:val="20"/>
                <w:szCs w:val="20"/>
                <w:lang w:val="en-GB"/>
              </w:rPr>
              <w:t xml:space="preserve"> to </w:t>
            </w:r>
            <w:r w:rsidRPr="00436840">
              <w:rPr>
                <w:rFonts w:ascii="Arial Narrow" w:eastAsia="Calibri" w:hAnsi="Arial Narrow" w:cs="Times New Roman"/>
                <w:bCs/>
                <w:sz w:val="20"/>
                <w:szCs w:val="20"/>
                <w:lang w:val="en-GB"/>
              </w:rPr>
              <w:t>0.94</w:t>
            </w:r>
          </w:p>
          <w:p w14:paraId="7EFBC55D" w14:textId="77777777" w:rsidR="00B95373" w:rsidRDefault="00B95373" w:rsidP="00502FF6">
            <w:pPr>
              <w:spacing w:before="0"/>
              <w:jc w:val="center"/>
              <w:rPr>
                <w:rFonts w:ascii="Arial Narrow" w:eastAsia="Calibri" w:hAnsi="Arial Narrow" w:cs="Times New Roman"/>
                <w:bCs/>
                <w:sz w:val="20"/>
                <w:szCs w:val="20"/>
                <w:lang w:val="en-GB"/>
              </w:rPr>
            </w:pPr>
          </w:p>
          <w:p w14:paraId="041B2A13" w14:textId="77777777" w:rsidR="00B95373" w:rsidRDefault="00B95373" w:rsidP="00502FF6">
            <w:pPr>
              <w:spacing w:before="0"/>
              <w:jc w:val="center"/>
              <w:rPr>
                <w:rFonts w:ascii="Arial Narrow" w:eastAsia="Calibri" w:hAnsi="Arial Narrow" w:cs="Times New Roman"/>
                <w:bCs/>
                <w:sz w:val="20"/>
                <w:szCs w:val="20"/>
                <w:lang w:val="en-GB"/>
              </w:rPr>
            </w:pPr>
          </w:p>
          <w:p w14:paraId="59586E02" w14:textId="77777777" w:rsidR="00B95373" w:rsidRDefault="00B95373" w:rsidP="00502FF6">
            <w:pPr>
              <w:spacing w:before="0"/>
              <w:jc w:val="center"/>
              <w:rPr>
                <w:rFonts w:ascii="Arial Narrow" w:eastAsia="Calibri" w:hAnsi="Arial Narrow" w:cs="Times New Roman"/>
                <w:bCs/>
                <w:sz w:val="20"/>
                <w:szCs w:val="20"/>
                <w:lang w:val="en-GB"/>
              </w:rPr>
            </w:pPr>
          </w:p>
          <w:p w14:paraId="651A8DDF" w14:textId="77777777" w:rsidR="00B95373" w:rsidRDefault="00B95373" w:rsidP="00502FF6">
            <w:pPr>
              <w:spacing w:before="0"/>
              <w:jc w:val="center"/>
              <w:rPr>
                <w:rFonts w:ascii="Arial Narrow" w:eastAsia="Calibri" w:hAnsi="Arial Narrow" w:cs="Times New Roman"/>
                <w:bCs/>
                <w:sz w:val="20"/>
                <w:szCs w:val="20"/>
                <w:lang w:val="en-GB"/>
              </w:rPr>
            </w:pPr>
          </w:p>
          <w:p w14:paraId="09AC72DC" w14:textId="77777777" w:rsidR="00B95373" w:rsidRDefault="00B95373" w:rsidP="00502FF6">
            <w:pPr>
              <w:spacing w:before="0"/>
              <w:jc w:val="center"/>
              <w:rPr>
                <w:rFonts w:ascii="Arial Narrow" w:eastAsia="Calibri" w:hAnsi="Arial Narrow" w:cs="Times New Roman"/>
                <w:bCs/>
                <w:sz w:val="20"/>
                <w:szCs w:val="20"/>
                <w:lang w:val="en-GB"/>
              </w:rPr>
            </w:pPr>
          </w:p>
          <w:p w14:paraId="59B9881B" w14:textId="46C188DD" w:rsidR="00B95373" w:rsidRPr="00436840" w:rsidRDefault="00B95373" w:rsidP="00502FF6">
            <w:pPr>
              <w:spacing w:before="0"/>
              <w:jc w:val="center"/>
              <w:rPr>
                <w:rFonts w:ascii="Arial Narrow" w:eastAsia="Calibri" w:hAnsi="Arial Narrow" w:cs="Times New Roman"/>
                <w:bCs/>
                <w:sz w:val="20"/>
                <w:szCs w:val="20"/>
                <w:lang w:val="en-GB"/>
              </w:rPr>
            </w:pPr>
          </w:p>
        </w:tc>
        <w:tc>
          <w:tcPr>
            <w:tcW w:w="2268" w:type="dxa"/>
            <w:vMerge w:val="restart"/>
          </w:tcPr>
          <w:p w14:paraId="7BCE40F7" w14:textId="77777777" w:rsidR="00B95373" w:rsidRPr="00436840" w:rsidRDefault="00B95373" w:rsidP="00502FF6">
            <w:pPr>
              <w:spacing w:before="0"/>
              <w:jc w:val="center"/>
              <w:rPr>
                <w:rFonts w:ascii="Arial Narrow" w:eastAsia="Calibri" w:hAnsi="Arial Narrow" w:cs="Times New Roman"/>
                <w:bCs/>
                <w:sz w:val="20"/>
                <w:szCs w:val="20"/>
              </w:rPr>
            </w:pPr>
          </w:p>
        </w:tc>
        <w:tc>
          <w:tcPr>
            <w:tcW w:w="2126" w:type="dxa"/>
            <w:vMerge w:val="restart"/>
          </w:tcPr>
          <w:p w14:paraId="329F2DAE" w14:textId="77777777" w:rsidR="00B95373" w:rsidRPr="00436840" w:rsidRDefault="00B95373" w:rsidP="00502FF6">
            <w:pPr>
              <w:spacing w:before="0"/>
              <w:jc w:val="center"/>
              <w:rPr>
                <w:rFonts w:ascii="Arial Narrow" w:eastAsia="Calibri" w:hAnsi="Arial Narrow" w:cs="Times New Roman"/>
                <w:bCs/>
                <w:sz w:val="20"/>
                <w:szCs w:val="20"/>
                <w:lang w:val="en-GB"/>
              </w:rPr>
            </w:pPr>
            <w:r w:rsidRPr="00436840">
              <w:rPr>
                <w:rFonts w:ascii="Arial Narrow" w:eastAsia="Calibri" w:hAnsi="Arial Narrow" w:cs="Times New Roman"/>
                <w:bCs/>
                <w:sz w:val="20"/>
                <w:szCs w:val="20"/>
                <w:lang w:val="en-GB"/>
              </w:rPr>
              <w:t>5.2% (341 of 6583*)</w:t>
            </w:r>
          </w:p>
          <w:p w14:paraId="7B5D0ED3" w14:textId="4ABAD102"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Times New Roman"/>
                <w:bCs/>
                <w:sz w:val="20"/>
                <w:szCs w:val="20"/>
              </w:rPr>
              <w:t>*NELSON male cohort</w:t>
            </w:r>
          </w:p>
        </w:tc>
        <w:tc>
          <w:tcPr>
            <w:tcW w:w="851" w:type="dxa"/>
          </w:tcPr>
          <w:p w14:paraId="3C0EB1A2"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LDCT</w:t>
            </w:r>
          </w:p>
        </w:tc>
        <w:tc>
          <w:tcPr>
            <w:tcW w:w="1843" w:type="dxa"/>
          </w:tcPr>
          <w:p w14:paraId="1AC16CCB"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673 (39.6%)</w:t>
            </w:r>
          </w:p>
        </w:tc>
        <w:tc>
          <w:tcPr>
            <w:tcW w:w="1134" w:type="dxa"/>
          </w:tcPr>
          <w:p w14:paraId="09777287"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145 (8.5%)</w:t>
            </w:r>
          </w:p>
        </w:tc>
        <w:tc>
          <w:tcPr>
            <w:tcW w:w="1134" w:type="dxa"/>
          </w:tcPr>
          <w:p w14:paraId="46716329"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298 (17.5%)</w:t>
            </w:r>
          </w:p>
        </w:tc>
        <w:tc>
          <w:tcPr>
            <w:tcW w:w="1134" w:type="dxa"/>
          </w:tcPr>
          <w:p w14:paraId="06F5E5A1"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468 (27.5%)</w:t>
            </w:r>
          </w:p>
        </w:tc>
        <w:tc>
          <w:tcPr>
            <w:tcW w:w="1134" w:type="dxa"/>
          </w:tcPr>
          <w:p w14:paraId="2276FAC7" w14:textId="77777777" w:rsidR="00B95373" w:rsidRPr="00436840" w:rsidRDefault="00B95373" w:rsidP="00502FF6">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112 (6.6%)</w:t>
            </w:r>
          </w:p>
        </w:tc>
        <w:tc>
          <w:tcPr>
            <w:tcW w:w="6237" w:type="dxa"/>
            <w:vMerge w:val="restart"/>
          </w:tcPr>
          <w:p w14:paraId="497F5AFE" w14:textId="77777777" w:rsidR="00B95373" w:rsidRPr="00436840" w:rsidRDefault="00B95373"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The NELSON trial showed that volume CT lung-cancer screening, with low rates of follow-up procedures for test results suggestive of lung cancer, resulted in substantially lower lung-cancer mortality than no screening among high-risk persons.</w:t>
            </w:r>
          </w:p>
          <w:p w14:paraId="35D28CAE" w14:textId="2F2337D9" w:rsidR="00B95373" w:rsidRPr="00436840" w:rsidRDefault="00B95373" w:rsidP="008F06DE">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 xml:space="preserve">The minimum 10-year </w:t>
            </w:r>
            <w:r>
              <w:rPr>
                <w:rFonts w:ascii="Arial Narrow" w:eastAsia="Calibri" w:hAnsi="Arial Narrow" w:cs="Times New Roman"/>
                <w:bCs/>
                <w:sz w:val="20"/>
                <w:szCs w:val="20"/>
              </w:rPr>
              <w:t>follow-up</w:t>
            </w:r>
            <w:r w:rsidRPr="00436840">
              <w:rPr>
                <w:rFonts w:ascii="Arial Narrow" w:eastAsia="Calibri" w:hAnsi="Arial Narrow" w:cs="Times New Roman"/>
                <w:bCs/>
                <w:sz w:val="20"/>
                <w:szCs w:val="20"/>
              </w:rPr>
              <w:t xml:space="preserve"> for </w:t>
            </w:r>
            <w:r>
              <w:rPr>
                <w:rFonts w:ascii="Arial Narrow" w:eastAsia="Calibri" w:hAnsi="Arial Narrow" w:cs="Times New Roman"/>
                <w:bCs/>
                <w:sz w:val="20"/>
                <w:szCs w:val="20"/>
              </w:rPr>
              <w:t xml:space="preserve">the </w:t>
            </w:r>
            <w:r w:rsidRPr="00436840">
              <w:rPr>
                <w:rFonts w:ascii="Arial Narrow" w:eastAsia="Calibri" w:hAnsi="Arial Narrow" w:cs="Times New Roman"/>
                <w:bCs/>
                <w:sz w:val="20"/>
                <w:szCs w:val="20"/>
              </w:rPr>
              <w:t xml:space="preserve">NELSON </w:t>
            </w:r>
            <w:r>
              <w:rPr>
                <w:rFonts w:ascii="Arial Narrow" w:eastAsia="Calibri" w:hAnsi="Arial Narrow" w:cs="Times New Roman"/>
                <w:bCs/>
                <w:sz w:val="20"/>
                <w:szCs w:val="20"/>
              </w:rPr>
              <w:t xml:space="preserve">trial </w:t>
            </w:r>
            <w:r w:rsidRPr="00436840">
              <w:rPr>
                <w:rFonts w:ascii="Arial Narrow" w:eastAsia="Calibri" w:hAnsi="Arial Narrow" w:cs="Times New Roman"/>
                <w:bCs/>
                <w:sz w:val="20"/>
                <w:szCs w:val="20"/>
              </w:rPr>
              <w:t>has been realized, and full data on incidence, mortality and cause of death are equally available for both arms. A (non- significant) 41.8% lung cancer mortality reduction has been achieved in the small subset of 2,382 Dutch women. Post-hoc analysis shows a 51.4% (p</w:t>
            </w:r>
            <w:r w:rsidR="00B77874">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w:t>
            </w:r>
            <w:r w:rsidR="00B77874">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 xml:space="preserve">0.04) </w:t>
            </w:r>
            <w:r>
              <w:rPr>
                <w:rFonts w:ascii="Arial Narrow" w:eastAsia="Calibri" w:hAnsi="Arial Narrow" w:cs="Times New Roman"/>
                <w:bCs/>
                <w:sz w:val="20"/>
                <w:szCs w:val="20"/>
              </w:rPr>
              <w:t>lung cancer</w:t>
            </w:r>
            <w:r w:rsidRPr="00436840">
              <w:rPr>
                <w:rFonts w:ascii="Arial Narrow" w:eastAsia="Calibri" w:hAnsi="Arial Narrow" w:cs="Times New Roman"/>
                <w:bCs/>
                <w:sz w:val="20"/>
                <w:szCs w:val="20"/>
              </w:rPr>
              <w:t xml:space="preserve"> mortality reduction at 8 years of FU. Data for the full cohort will be presented on behalf of </w:t>
            </w:r>
            <w:r>
              <w:rPr>
                <w:rFonts w:ascii="Arial Narrow" w:eastAsia="Calibri" w:hAnsi="Arial Narrow" w:cs="Times New Roman"/>
                <w:bCs/>
                <w:sz w:val="20"/>
                <w:szCs w:val="20"/>
              </w:rPr>
              <w:t xml:space="preserve">the </w:t>
            </w:r>
            <w:r w:rsidRPr="00436840">
              <w:rPr>
                <w:rFonts w:ascii="Arial Narrow" w:eastAsia="Calibri" w:hAnsi="Arial Narrow" w:cs="Times New Roman"/>
                <w:bCs/>
                <w:sz w:val="20"/>
                <w:szCs w:val="20"/>
              </w:rPr>
              <w:t>NELSON</w:t>
            </w:r>
            <w:r>
              <w:rPr>
                <w:rFonts w:ascii="Arial Narrow" w:eastAsia="Calibri" w:hAnsi="Arial Narrow" w:cs="Times New Roman"/>
                <w:bCs/>
                <w:sz w:val="20"/>
                <w:szCs w:val="20"/>
              </w:rPr>
              <w:t xml:space="preserve"> </w:t>
            </w:r>
            <w:r w:rsidRPr="00436840">
              <w:rPr>
                <w:rFonts w:ascii="Arial Narrow" w:eastAsia="Calibri" w:hAnsi="Arial Narrow" w:cs="Times New Roman"/>
                <w:bCs/>
                <w:sz w:val="20"/>
                <w:szCs w:val="20"/>
              </w:rPr>
              <w:t>investigators.</w:t>
            </w:r>
          </w:p>
        </w:tc>
      </w:tr>
      <w:tr w:rsidR="00B95373" w:rsidRPr="00436840" w14:paraId="77F17C32" w14:textId="77777777" w:rsidTr="00FF5ADB">
        <w:trPr>
          <w:trHeight w:val="1657"/>
        </w:trPr>
        <w:tc>
          <w:tcPr>
            <w:tcW w:w="993" w:type="dxa"/>
            <w:vMerge/>
          </w:tcPr>
          <w:p w14:paraId="2BF96A69" w14:textId="77777777" w:rsidR="00B95373" w:rsidRPr="00436840" w:rsidRDefault="00B95373" w:rsidP="00B95373">
            <w:pPr>
              <w:spacing w:before="0"/>
              <w:rPr>
                <w:rFonts w:ascii="Arial Narrow" w:eastAsia="Calibri" w:hAnsi="Arial Narrow" w:cs="Times New Roman"/>
                <w:bCs/>
                <w:sz w:val="20"/>
                <w:szCs w:val="20"/>
              </w:rPr>
            </w:pPr>
          </w:p>
        </w:tc>
        <w:tc>
          <w:tcPr>
            <w:tcW w:w="1984" w:type="dxa"/>
            <w:vMerge/>
          </w:tcPr>
          <w:p w14:paraId="1A7402DB" w14:textId="77777777" w:rsidR="00B95373" w:rsidRPr="00436840" w:rsidRDefault="00B95373" w:rsidP="00B95373">
            <w:pPr>
              <w:spacing w:before="0"/>
              <w:jc w:val="center"/>
              <w:rPr>
                <w:rFonts w:ascii="Arial Narrow" w:eastAsia="Calibri" w:hAnsi="Arial Narrow" w:cs="Times New Roman"/>
                <w:bCs/>
                <w:sz w:val="20"/>
                <w:szCs w:val="20"/>
                <w:lang w:val="en-GB"/>
              </w:rPr>
            </w:pPr>
          </w:p>
        </w:tc>
        <w:tc>
          <w:tcPr>
            <w:tcW w:w="2268" w:type="dxa"/>
            <w:vMerge/>
          </w:tcPr>
          <w:p w14:paraId="6F9E54B0" w14:textId="77777777" w:rsidR="00B95373" w:rsidRPr="00436840" w:rsidRDefault="00B95373" w:rsidP="00B95373">
            <w:pPr>
              <w:spacing w:before="0"/>
              <w:jc w:val="center"/>
              <w:rPr>
                <w:rFonts w:ascii="Arial Narrow" w:eastAsia="Calibri" w:hAnsi="Arial Narrow" w:cs="Times New Roman"/>
                <w:bCs/>
                <w:sz w:val="20"/>
                <w:szCs w:val="20"/>
              </w:rPr>
            </w:pPr>
          </w:p>
        </w:tc>
        <w:tc>
          <w:tcPr>
            <w:tcW w:w="2126" w:type="dxa"/>
            <w:vMerge/>
          </w:tcPr>
          <w:p w14:paraId="2823C891" w14:textId="77777777" w:rsidR="00B95373" w:rsidRPr="00436840" w:rsidRDefault="00B95373" w:rsidP="00B95373">
            <w:pPr>
              <w:spacing w:before="0"/>
              <w:jc w:val="center"/>
              <w:rPr>
                <w:rFonts w:ascii="Arial Narrow" w:eastAsia="Calibri" w:hAnsi="Arial Narrow" w:cs="Times New Roman"/>
                <w:bCs/>
                <w:sz w:val="20"/>
                <w:szCs w:val="20"/>
                <w:lang w:val="en-GB"/>
              </w:rPr>
            </w:pPr>
          </w:p>
        </w:tc>
        <w:tc>
          <w:tcPr>
            <w:tcW w:w="851" w:type="dxa"/>
          </w:tcPr>
          <w:p w14:paraId="7FD23A6A" w14:textId="0C4B0BA4" w:rsidR="00B95373" w:rsidRPr="00436840" w:rsidRDefault="00B95373" w:rsidP="00B95373">
            <w:pPr>
              <w:spacing w:before="0"/>
              <w:jc w:val="center"/>
              <w:rPr>
                <w:rFonts w:ascii="Arial Narrow" w:eastAsia="Calibri" w:hAnsi="Arial Narrow" w:cs="Calibri"/>
                <w:bCs/>
                <w:sz w:val="20"/>
                <w:szCs w:val="20"/>
                <w:lang w:val="en-GB"/>
              </w:rPr>
            </w:pPr>
            <w:r>
              <w:rPr>
                <w:rFonts w:ascii="Arial Narrow" w:eastAsia="Calibri" w:hAnsi="Arial Narrow" w:cs="Calibri"/>
                <w:bCs/>
                <w:sz w:val="20"/>
                <w:szCs w:val="20"/>
                <w:lang w:val="en-GB"/>
              </w:rPr>
              <w:t>Control</w:t>
            </w:r>
          </w:p>
        </w:tc>
        <w:tc>
          <w:tcPr>
            <w:tcW w:w="1843" w:type="dxa"/>
          </w:tcPr>
          <w:p w14:paraId="3F17E93F" w14:textId="6C1F123A" w:rsidR="00B95373" w:rsidRPr="00436840" w:rsidRDefault="00B95373" w:rsidP="00B95373">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462 (27.5%)</w:t>
            </w:r>
          </w:p>
        </w:tc>
        <w:tc>
          <w:tcPr>
            <w:tcW w:w="1134" w:type="dxa"/>
          </w:tcPr>
          <w:p w14:paraId="135BEFBB" w14:textId="7F0B2FCE" w:rsidR="00B95373" w:rsidRPr="00436840" w:rsidRDefault="00B95373" w:rsidP="00B95373">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153 (9.1%)</w:t>
            </w:r>
          </w:p>
        </w:tc>
        <w:tc>
          <w:tcPr>
            <w:tcW w:w="1134" w:type="dxa"/>
          </w:tcPr>
          <w:p w14:paraId="4908843E" w14:textId="6B35F209" w:rsidR="00B95373" w:rsidRPr="00436840" w:rsidRDefault="00B95373" w:rsidP="00B95373">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321 (19.1%)</w:t>
            </w:r>
          </w:p>
        </w:tc>
        <w:tc>
          <w:tcPr>
            <w:tcW w:w="1134" w:type="dxa"/>
          </w:tcPr>
          <w:p w14:paraId="66C617E9" w14:textId="0F933B62" w:rsidR="00B95373" w:rsidRPr="00436840" w:rsidRDefault="00B95373" w:rsidP="00B95373">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597 (35.5%)</w:t>
            </w:r>
          </w:p>
        </w:tc>
        <w:tc>
          <w:tcPr>
            <w:tcW w:w="1134" w:type="dxa"/>
          </w:tcPr>
          <w:p w14:paraId="58903A3B" w14:textId="1E59D8AC" w:rsidR="00B95373" w:rsidRPr="00436840" w:rsidRDefault="00B95373" w:rsidP="00B95373">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143 (8.5%)</w:t>
            </w:r>
          </w:p>
        </w:tc>
        <w:tc>
          <w:tcPr>
            <w:tcW w:w="6237" w:type="dxa"/>
            <w:vMerge/>
          </w:tcPr>
          <w:p w14:paraId="3016DB8D" w14:textId="77777777" w:rsidR="00B95373" w:rsidRPr="00436840" w:rsidRDefault="00B95373" w:rsidP="00B95373">
            <w:pPr>
              <w:spacing w:before="0"/>
              <w:rPr>
                <w:rFonts w:ascii="Arial Narrow" w:eastAsia="Calibri" w:hAnsi="Arial Narrow" w:cs="Times New Roman"/>
                <w:bCs/>
                <w:sz w:val="20"/>
                <w:szCs w:val="20"/>
              </w:rPr>
            </w:pPr>
          </w:p>
        </w:tc>
      </w:tr>
      <w:tr w:rsidR="00D60D74" w:rsidRPr="00436840" w14:paraId="34913CEE" w14:textId="77777777" w:rsidTr="00FF5ADB">
        <w:trPr>
          <w:trHeight w:val="179"/>
        </w:trPr>
        <w:tc>
          <w:tcPr>
            <w:tcW w:w="993" w:type="dxa"/>
            <w:vMerge w:val="restart"/>
          </w:tcPr>
          <w:p w14:paraId="2D315C54" w14:textId="2D76FB49" w:rsidR="00D60D74" w:rsidRPr="00436840" w:rsidRDefault="00D60D74" w:rsidP="00D60D74">
            <w:pPr>
              <w:spacing w:before="0"/>
              <w:rPr>
                <w:rFonts w:ascii="Arial Narrow" w:eastAsia="Calibri" w:hAnsi="Arial Narrow" w:cs="Times New Roman"/>
                <w:bCs/>
                <w:sz w:val="20"/>
                <w:szCs w:val="20"/>
                <w:vertAlign w:val="superscript"/>
              </w:rPr>
            </w:pPr>
            <w:r w:rsidRPr="00436840">
              <w:rPr>
                <w:rFonts w:ascii="Arial Narrow" w:eastAsia="Calibri" w:hAnsi="Arial Narrow" w:cs="Times New Roman"/>
                <w:bCs/>
                <w:sz w:val="20"/>
                <w:szCs w:val="20"/>
              </w:rPr>
              <w:t>NLST</w:t>
            </w:r>
            <w:r w:rsidR="00CF490E" w:rsidRPr="00CF490E">
              <w:rPr>
                <w:rFonts w:ascii="Arial Narrow" w:eastAsia="Calibri" w:hAnsi="Arial Narrow" w:cs="Times New Roman"/>
                <w:bCs/>
                <w:sz w:val="20"/>
                <w:szCs w:val="20"/>
                <w:vertAlign w:val="superscript"/>
              </w:rPr>
              <w:t>1</w:t>
            </w:r>
          </w:p>
          <w:p w14:paraId="4647330A" w14:textId="77777777" w:rsidR="00D60D74" w:rsidRPr="00436840" w:rsidRDefault="00D60D74" w:rsidP="00D60D74">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2002</w:t>
            </w:r>
          </w:p>
        </w:tc>
        <w:tc>
          <w:tcPr>
            <w:tcW w:w="1984" w:type="dxa"/>
            <w:vMerge w:val="restart"/>
          </w:tcPr>
          <w:p w14:paraId="5A18C1A3" w14:textId="10A8E9B6" w:rsidR="00D60D74"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 xml:space="preserve">LDCT: </w:t>
            </w:r>
            <w:r w:rsidRPr="00F1360A">
              <w:rPr>
                <w:rFonts w:ascii="Arial Narrow" w:eastAsia="Calibri" w:hAnsi="Arial Narrow" w:cs="Times New Roman"/>
                <w:bCs/>
                <w:sz w:val="20"/>
                <w:szCs w:val="20"/>
                <w:lang w:val="en-GB"/>
              </w:rPr>
              <w:t>247 deaths per 100,000 person-years</w:t>
            </w:r>
          </w:p>
          <w:p w14:paraId="02C97118" w14:textId="78670BF0" w:rsidR="00D60D74" w:rsidRPr="00F1360A"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 xml:space="preserve">CXR: </w:t>
            </w:r>
            <w:r w:rsidRPr="00F1360A">
              <w:rPr>
                <w:rFonts w:ascii="Arial Narrow" w:eastAsia="Calibri" w:hAnsi="Arial Narrow" w:cs="Times New Roman"/>
                <w:bCs/>
                <w:sz w:val="20"/>
                <w:szCs w:val="20"/>
                <w:lang w:val="en-GB"/>
              </w:rPr>
              <w:t>309 deaths per 100,000 person-years</w:t>
            </w:r>
          </w:p>
          <w:p w14:paraId="4CD004C4" w14:textId="2DE545DB" w:rsidR="00D60D74"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RRR</w:t>
            </w:r>
            <w:r w:rsidR="00E121CF">
              <w:rPr>
                <w:rFonts w:ascii="Arial Narrow" w:eastAsia="Calibri" w:hAnsi="Arial Narrow" w:cs="Times New Roman"/>
                <w:bCs/>
                <w:sz w:val="20"/>
                <w:szCs w:val="20"/>
                <w:lang w:val="en-GB"/>
              </w:rPr>
              <w:t>:</w:t>
            </w:r>
            <w:r>
              <w:rPr>
                <w:rFonts w:ascii="Arial Narrow" w:eastAsia="Calibri" w:hAnsi="Arial Narrow" w:cs="Times New Roman"/>
                <w:bCs/>
                <w:sz w:val="20"/>
                <w:szCs w:val="20"/>
                <w:lang w:val="en-GB"/>
              </w:rPr>
              <w:t xml:space="preserve"> </w:t>
            </w:r>
            <w:r w:rsidRPr="00F1360A">
              <w:rPr>
                <w:rFonts w:ascii="Arial Narrow" w:eastAsia="Calibri" w:hAnsi="Arial Narrow" w:cs="Times New Roman"/>
                <w:bCs/>
                <w:sz w:val="20"/>
                <w:szCs w:val="20"/>
                <w:lang w:val="en-GB"/>
              </w:rPr>
              <w:t>20.0%</w:t>
            </w:r>
          </w:p>
          <w:p w14:paraId="0FE5D52F" w14:textId="11F23884" w:rsidR="00D60D74" w:rsidRPr="00436840" w:rsidRDefault="00D60D74" w:rsidP="00D60D74">
            <w:pPr>
              <w:spacing w:before="0"/>
              <w:jc w:val="center"/>
              <w:rPr>
                <w:rFonts w:ascii="Arial Narrow" w:eastAsia="Calibri" w:hAnsi="Arial Narrow" w:cs="Times New Roman"/>
                <w:bCs/>
                <w:sz w:val="20"/>
                <w:szCs w:val="20"/>
                <w:lang w:val="en-GB"/>
              </w:rPr>
            </w:pPr>
            <w:r w:rsidRPr="00F1360A">
              <w:rPr>
                <w:rFonts w:ascii="Arial Narrow" w:eastAsia="Calibri" w:hAnsi="Arial Narrow" w:cs="Times New Roman"/>
                <w:bCs/>
                <w:sz w:val="20"/>
                <w:szCs w:val="20"/>
                <w:lang w:val="en-GB"/>
              </w:rPr>
              <w:t>95% CI</w:t>
            </w:r>
            <w:r>
              <w:rPr>
                <w:rFonts w:ascii="Arial Narrow" w:eastAsia="Calibri" w:hAnsi="Arial Narrow" w:cs="Times New Roman"/>
                <w:bCs/>
                <w:sz w:val="20"/>
                <w:szCs w:val="20"/>
                <w:lang w:val="en-GB"/>
              </w:rPr>
              <w:t>:</w:t>
            </w:r>
            <w:r w:rsidRPr="00F1360A">
              <w:rPr>
                <w:rFonts w:ascii="Arial Narrow" w:eastAsia="Calibri" w:hAnsi="Arial Narrow" w:cs="Times New Roman"/>
                <w:bCs/>
                <w:sz w:val="20"/>
                <w:szCs w:val="20"/>
                <w:lang w:val="en-GB"/>
              </w:rPr>
              <w:t xml:space="preserve"> 6.8</w:t>
            </w:r>
            <w:r>
              <w:rPr>
                <w:rFonts w:ascii="Arial Narrow" w:eastAsia="Calibri" w:hAnsi="Arial Narrow" w:cs="Times New Roman"/>
                <w:bCs/>
                <w:sz w:val="20"/>
                <w:szCs w:val="20"/>
                <w:lang w:val="en-GB"/>
              </w:rPr>
              <w:t>%</w:t>
            </w:r>
            <w:r w:rsidRPr="00F1360A">
              <w:rPr>
                <w:rFonts w:ascii="Arial Narrow" w:eastAsia="Calibri" w:hAnsi="Arial Narrow" w:cs="Times New Roman"/>
                <w:bCs/>
                <w:sz w:val="20"/>
                <w:szCs w:val="20"/>
                <w:lang w:val="en-GB"/>
              </w:rPr>
              <w:t xml:space="preserve"> to 26.7</w:t>
            </w:r>
            <w:r>
              <w:rPr>
                <w:rFonts w:ascii="Arial Narrow" w:eastAsia="Calibri" w:hAnsi="Arial Narrow" w:cs="Times New Roman"/>
                <w:bCs/>
                <w:sz w:val="20"/>
                <w:szCs w:val="20"/>
                <w:lang w:val="en-GB"/>
              </w:rPr>
              <w:t>%</w:t>
            </w:r>
          </w:p>
        </w:tc>
        <w:tc>
          <w:tcPr>
            <w:tcW w:w="2268" w:type="dxa"/>
            <w:vMerge w:val="restart"/>
          </w:tcPr>
          <w:p w14:paraId="775931CF" w14:textId="34A88265" w:rsidR="00D60D74" w:rsidRPr="00436840" w:rsidRDefault="00D60D74" w:rsidP="00D60D74">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 xml:space="preserve">LDCT: </w:t>
            </w:r>
            <w:r>
              <w:rPr>
                <w:rFonts w:ascii="Arial Narrow" w:eastAsia="Calibri" w:hAnsi="Arial Narrow" w:cs="Calibri"/>
                <w:bCs/>
                <w:sz w:val="20"/>
                <w:szCs w:val="20"/>
                <w:lang w:val="en-GB"/>
              </w:rPr>
              <w:t>1877</w:t>
            </w:r>
          </w:p>
          <w:p w14:paraId="6B03CD85" w14:textId="2EF16202" w:rsidR="00D60D74" w:rsidRDefault="00D60D74" w:rsidP="00D60D74">
            <w:pPr>
              <w:spacing w:before="0"/>
              <w:jc w:val="center"/>
              <w:rPr>
                <w:rFonts w:ascii="Arial Narrow" w:eastAsia="Calibri" w:hAnsi="Arial Narrow" w:cs="Calibri"/>
                <w:bCs/>
                <w:sz w:val="20"/>
                <w:szCs w:val="20"/>
                <w:lang w:val="en-GB"/>
              </w:rPr>
            </w:pPr>
            <w:r w:rsidRPr="00436840">
              <w:rPr>
                <w:rFonts w:ascii="Arial Narrow" w:eastAsia="Calibri" w:hAnsi="Arial Narrow" w:cs="Calibri"/>
                <w:bCs/>
                <w:sz w:val="20"/>
                <w:szCs w:val="20"/>
                <w:lang w:val="en-GB"/>
              </w:rPr>
              <w:t>C</w:t>
            </w:r>
            <w:r>
              <w:rPr>
                <w:rFonts w:ascii="Arial Narrow" w:eastAsia="Calibri" w:hAnsi="Arial Narrow" w:cs="Calibri"/>
                <w:bCs/>
                <w:sz w:val="20"/>
                <w:szCs w:val="20"/>
                <w:lang w:val="en-GB"/>
              </w:rPr>
              <w:t>XR</w:t>
            </w:r>
            <w:r w:rsidRPr="00436840">
              <w:rPr>
                <w:rFonts w:ascii="Arial Narrow" w:eastAsia="Calibri" w:hAnsi="Arial Narrow" w:cs="Calibri"/>
                <w:bCs/>
                <w:sz w:val="20"/>
                <w:szCs w:val="20"/>
                <w:lang w:val="en-GB"/>
              </w:rPr>
              <w:t xml:space="preserve">: </w:t>
            </w:r>
            <w:r>
              <w:rPr>
                <w:rFonts w:ascii="Arial Narrow" w:eastAsia="Calibri" w:hAnsi="Arial Narrow" w:cs="Calibri"/>
                <w:bCs/>
                <w:sz w:val="20"/>
                <w:szCs w:val="20"/>
                <w:lang w:val="en-GB"/>
              </w:rPr>
              <w:t>2000</w:t>
            </w:r>
          </w:p>
          <w:p w14:paraId="7D49C19C" w14:textId="11958A8A" w:rsidR="00FF5ADB" w:rsidRDefault="00FF5ADB" w:rsidP="00D60D74">
            <w:pPr>
              <w:spacing w:before="0"/>
              <w:jc w:val="center"/>
              <w:rPr>
                <w:rFonts w:ascii="Arial Narrow" w:eastAsia="Calibri" w:hAnsi="Arial Narrow" w:cs="Calibri"/>
                <w:bCs/>
                <w:sz w:val="20"/>
                <w:szCs w:val="20"/>
                <w:lang w:val="en-GB"/>
              </w:rPr>
            </w:pPr>
          </w:p>
          <w:p w14:paraId="30F09631" w14:textId="77777777" w:rsidR="00FF5ADB" w:rsidRPr="00436840" w:rsidRDefault="00FF5ADB" w:rsidP="00D60D74">
            <w:pPr>
              <w:spacing w:before="0"/>
              <w:jc w:val="center"/>
              <w:rPr>
                <w:rFonts w:ascii="Arial Narrow" w:eastAsia="Calibri" w:hAnsi="Arial Narrow" w:cs="Calibri"/>
                <w:bCs/>
                <w:sz w:val="20"/>
                <w:szCs w:val="20"/>
                <w:lang w:val="en-GB"/>
              </w:rPr>
            </w:pPr>
          </w:p>
          <w:p w14:paraId="0D2AF621" w14:textId="6F3EB21A" w:rsidR="00D60D74" w:rsidRDefault="00D60D74" w:rsidP="00D60D74">
            <w:pPr>
              <w:spacing w:before="0"/>
              <w:jc w:val="center"/>
              <w:rPr>
                <w:rFonts w:ascii="Arial Narrow" w:eastAsia="Calibri" w:hAnsi="Arial Narrow" w:cs="Segoe UI"/>
                <w:bCs/>
                <w:sz w:val="20"/>
                <w:szCs w:val="20"/>
                <w:lang w:val="en-GB"/>
              </w:rPr>
            </w:pPr>
            <w:r>
              <w:rPr>
                <w:rFonts w:ascii="Arial Narrow" w:eastAsia="Calibri" w:hAnsi="Arial Narrow" w:cs="Segoe UI"/>
                <w:bCs/>
                <w:sz w:val="20"/>
                <w:szCs w:val="20"/>
                <w:lang w:val="en-GB"/>
              </w:rPr>
              <w:t>RRR</w:t>
            </w:r>
            <w:r w:rsidR="00E121CF">
              <w:rPr>
                <w:rFonts w:ascii="Arial Narrow" w:eastAsia="Calibri" w:hAnsi="Arial Narrow" w:cs="Segoe UI"/>
                <w:bCs/>
                <w:sz w:val="20"/>
                <w:szCs w:val="20"/>
                <w:lang w:val="en-GB"/>
              </w:rPr>
              <w:t>:</w:t>
            </w:r>
            <w:r>
              <w:rPr>
                <w:rFonts w:ascii="Arial Narrow" w:eastAsia="Calibri" w:hAnsi="Arial Narrow" w:cs="Segoe UI"/>
                <w:bCs/>
                <w:sz w:val="20"/>
                <w:szCs w:val="20"/>
                <w:lang w:val="en-GB"/>
              </w:rPr>
              <w:t xml:space="preserve"> </w:t>
            </w:r>
            <w:r w:rsidRPr="00436840">
              <w:rPr>
                <w:rFonts w:ascii="Arial Narrow" w:eastAsia="Calibri" w:hAnsi="Arial Narrow" w:cs="Segoe UI"/>
                <w:bCs/>
                <w:sz w:val="20"/>
                <w:szCs w:val="20"/>
                <w:lang w:val="en-GB"/>
              </w:rPr>
              <w:t>6</w:t>
            </w:r>
            <w:r>
              <w:rPr>
                <w:rFonts w:ascii="Arial Narrow" w:eastAsia="Calibri" w:hAnsi="Arial Narrow" w:cs="Segoe UI"/>
                <w:bCs/>
                <w:sz w:val="20"/>
                <w:szCs w:val="20"/>
                <w:lang w:val="en-GB"/>
              </w:rPr>
              <w:t>.7%</w:t>
            </w:r>
          </w:p>
          <w:p w14:paraId="1EF43FC2" w14:textId="0FB4B952" w:rsidR="00D60D74" w:rsidRPr="00436840" w:rsidRDefault="00D60D74" w:rsidP="00D60D74">
            <w:pPr>
              <w:spacing w:before="0"/>
              <w:jc w:val="center"/>
              <w:rPr>
                <w:rFonts w:ascii="Arial Narrow" w:eastAsia="Calibri" w:hAnsi="Arial Narrow" w:cs="Times New Roman"/>
                <w:bCs/>
                <w:sz w:val="20"/>
                <w:szCs w:val="20"/>
              </w:rPr>
            </w:pPr>
            <w:r>
              <w:rPr>
                <w:rFonts w:ascii="Arial Narrow" w:eastAsia="Calibri" w:hAnsi="Arial Narrow" w:cs="Segoe UI"/>
                <w:bCs/>
                <w:sz w:val="20"/>
                <w:szCs w:val="20"/>
                <w:lang w:val="en-GB"/>
              </w:rPr>
              <w:t>95% CI: 1.2% to 13.6%</w:t>
            </w:r>
          </w:p>
        </w:tc>
        <w:tc>
          <w:tcPr>
            <w:tcW w:w="2126" w:type="dxa"/>
            <w:vMerge w:val="restart"/>
          </w:tcPr>
          <w:p w14:paraId="1802F9FA" w14:textId="042B6AB2" w:rsidR="00D60D74"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LDCT: 6</w:t>
            </w:r>
            <w:r w:rsidRPr="00F1360A">
              <w:rPr>
                <w:rFonts w:ascii="Arial Narrow" w:eastAsia="Calibri" w:hAnsi="Arial Narrow" w:cs="Times New Roman"/>
                <w:bCs/>
                <w:sz w:val="20"/>
                <w:szCs w:val="20"/>
                <w:lang w:val="en-GB"/>
              </w:rPr>
              <w:t>4</w:t>
            </w:r>
            <w:r>
              <w:rPr>
                <w:rFonts w:ascii="Arial Narrow" w:eastAsia="Calibri" w:hAnsi="Arial Narrow" w:cs="Times New Roman"/>
                <w:bCs/>
                <w:sz w:val="20"/>
                <w:szCs w:val="20"/>
                <w:lang w:val="en-GB"/>
              </w:rPr>
              <w:t>5</w:t>
            </w:r>
            <w:r w:rsidRPr="00F1360A">
              <w:rPr>
                <w:rFonts w:ascii="Arial Narrow" w:eastAsia="Calibri" w:hAnsi="Arial Narrow" w:cs="Times New Roman"/>
                <w:bCs/>
                <w:sz w:val="20"/>
                <w:szCs w:val="20"/>
                <w:lang w:val="en-GB"/>
              </w:rPr>
              <w:t xml:space="preserve"> </w:t>
            </w:r>
            <w:r>
              <w:rPr>
                <w:rFonts w:ascii="Arial Narrow" w:eastAsia="Calibri" w:hAnsi="Arial Narrow" w:cs="Times New Roman"/>
                <w:bCs/>
                <w:sz w:val="20"/>
                <w:szCs w:val="20"/>
                <w:lang w:val="en-GB"/>
              </w:rPr>
              <w:t>lung cancers</w:t>
            </w:r>
            <w:r w:rsidRPr="00F1360A">
              <w:rPr>
                <w:rFonts w:ascii="Arial Narrow" w:eastAsia="Calibri" w:hAnsi="Arial Narrow" w:cs="Times New Roman"/>
                <w:bCs/>
                <w:sz w:val="20"/>
                <w:szCs w:val="20"/>
                <w:lang w:val="en-GB"/>
              </w:rPr>
              <w:t xml:space="preserve"> per 100,000 person-years</w:t>
            </w:r>
          </w:p>
          <w:p w14:paraId="453CA5F7" w14:textId="16B16DD7" w:rsidR="00D60D74" w:rsidRPr="00F1360A"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 xml:space="preserve">CXR: </w:t>
            </w:r>
            <w:r w:rsidR="00C1533D">
              <w:rPr>
                <w:rFonts w:ascii="Arial Narrow" w:eastAsia="Calibri" w:hAnsi="Arial Narrow" w:cs="Times New Roman"/>
                <w:bCs/>
                <w:sz w:val="20"/>
                <w:szCs w:val="20"/>
                <w:lang w:val="en-GB"/>
              </w:rPr>
              <w:t>572</w:t>
            </w:r>
            <w:r w:rsidR="00C1533D" w:rsidRPr="00F1360A">
              <w:rPr>
                <w:rFonts w:ascii="Arial Narrow" w:eastAsia="Calibri" w:hAnsi="Arial Narrow" w:cs="Times New Roman"/>
                <w:bCs/>
                <w:sz w:val="20"/>
                <w:szCs w:val="20"/>
                <w:lang w:val="en-GB"/>
              </w:rPr>
              <w:t xml:space="preserve"> </w:t>
            </w:r>
            <w:r w:rsidR="00C1533D">
              <w:rPr>
                <w:rFonts w:ascii="Arial Narrow" w:eastAsia="Calibri" w:hAnsi="Arial Narrow" w:cs="Times New Roman"/>
                <w:bCs/>
                <w:sz w:val="20"/>
                <w:szCs w:val="20"/>
                <w:lang w:val="en-GB"/>
              </w:rPr>
              <w:t>lung cancers</w:t>
            </w:r>
            <w:r w:rsidR="00C1533D" w:rsidRPr="00F1360A">
              <w:rPr>
                <w:rFonts w:ascii="Arial Narrow" w:eastAsia="Calibri" w:hAnsi="Arial Narrow" w:cs="Times New Roman"/>
                <w:bCs/>
                <w:sz w:val="20"/>
                <w:szCs w:val="20"/>
                <w:lang w:val="en-GB"/>
              </w:rPr>
              <w:t xml:space="preserve"> </w:t>
            </w:r>
            <w:r w:rsidRPr="00F1360A">
              <w:rPr>
                <w:rFonts w:ascii="Arial Narrow" w:eastAsia="Calibri" w:hAnsi="Arial Narrow" w:cs="Times New Roman"/>
                <w:bCs/>
                <w:sz w:val="20"/>
                <w:szCs w:val="20"/>
                <w:lang w:val="en-GB"/>
              </w:rPr>
              <w:t>per 100,000 person-years</w:t>
            </w:r>
          </w:p>
          <w:p w14:paraId="42B7CCC5" w14:textId="534E76AB" w:rsidR="00D60D74" w:rsidRDefault="00D60D74" w:rsidP="00D60D74">
            <w:pPr>
              <w:spacing w:before="0"/>
              <w:jc w:val="center"/>
              <w:rPr>
                <w:rFonts w:ascii="Arial Narrow" w:eastAsia="Calibri" w:hAnsi="Arial Narrow" w:cs="Times New Roman"/>
                <w:bCs/>
                <w:sz w:val="20"/>
                <w:szCs w:val="20"/>
                <w:lang w:val="en-GB"/>
              </w:rPr>
            </w:pPr>
            <w:r>
              <w:rPr>
                <w:rFonts w:ascii="Arial Narrow" w:eastAsia="Calibri" w:hAnsi="Arial Narrow" w:cs="Times New Roman"/>
                <w:bCs/>
                <w:sz w:val="20"/>
                <w:szCs w:val="20"/>
                <w:lang w:val="en-GB"/>
              </w:rPr>
              <w:t>RR</w:t>
            </w:r>
            <w:r w:rsidR="00E121CF">
              <w:rPr>
                <w:rFonts w:ascii="Arial Narrow" w:eastAsia="Calibri" w:hAnsi="Arial Narrow" w:cs="Times New Roman"/>
                <w:bCs/>
                <w:sz w:val="20"/>
                <w:szCs w:val="20"/>
                <w:lang w:val="en-GB"/>
              </w:rPr>
              <w:t>:</w:t>
            </w:r>
            <w:r>
              <w:rPr>
                <w:rFonts w:ascii="Arial Narrow" w:eastAsia="Calibri" w:hAnsi="Arial Narrow" w:cs="Times New Roman"/>
                <w:bCs/>
                <w:sz w:val="20"/>
                <w:szCs w:val="20"/>
                <w:lang w:val="en-GB"/>
              </w:rPr>
              <w:t xml:space="preserve"> </w:t>
            </w:r>
            <w:r w:rsidR="00C1533D">
              <w:rPr>
                <w:rFonts w:ascii="Arial Narrow" w:eastAsia="Calibri" w:hAnsi="Arial Narrow" w:cs="Times New Roman"/>
                <w:bCs/>
                <w:sz w:val="20"/>
                <w:szCs w:val="20"/>
                <w:lang w:val="en-GB"/>
              </w:rPr>
              <w:t>1.13</w:t>
            </w:r>
          </w:p>
          <w:p w14:paraId="23250A72" w14:textId="2D936C02" w:rsidR="00D60D74" w:rsidRPr="00436840" w:rsidRDefault="00D60D74" w:rsidP="00D60D74">
            <w:pPr>
              <w:spacing w:before="0"/>
              <w:jc w:val="center"/>
              <w:rPr>
                <w:rFonts w:ascii="Arial Narrow" w:eastAsia="Calibri" w:hAnsi="Arial Narrow" w:cs="Times New Roman"/>
                <w:bCs/>
                <w:sz w:val="20"/>
                <w:szCs w:val="20"/>
              </w:rPr>
            </w:pPr>
            <w:r w:rsidRPr="00F1360A">
              <w:rPr>
                <w:rFonts w:ascii="Arial Narrow" w:eastAsia="Calibri" w:hAnsi="Arial Narrow" w:cs="Times New Roman"/>
                <w:bCs/>
                <w:sz w:val="20"/>
                <w:szCs w:val="20"/>
                <w:lang w:val="en-GB"/>
              </w:rPr>
              <w:t>95% CI</w:t>
            </w:r>
            <w:r>
              <w:rPr>
                <w:rFonts w:ascii="Arial Narrow" w:eastAsia="Calibri" w:hAnsi="Arial Narrow" w:cs="Times New Roman"/>
                <w:bCs/>
                <w:sz w:val="20"/>
                <w:szCs w:val="20"/>
                <w:lang w:val="en-GB"/>
              </w:rPr>
              <w:t>:</w:t>
            </w:r>
            <w:r w:rsidRPr="00F1360A">
              <w:rPr>
                <w:rFonts w:ascii="Arial Narrow" w:eastAsia="Calibri" w:hAnsi="Arial Narrow" w:cs="Times New Roman"/>
                <w:bCs/>
                <w:sz w:val="20"/>
                <w:szCs w:val="20"/>
                <w:lang w:val="en-GB"/>
              </w:rPr>
              <w:t xml:space="preserve"> </w:t>
            </w:r>
            <w:r w:rsidR="00C1533D">
              <w:rPr>
                <w:rFonts w:ascii="Arial Narrow" w:eastAsia="Calibri" w:hAnsi="Arial Narrow" w:cs="Times New Roman"/>
                <w:bCs/>
                <w:sz w:val="20"/>
                <w:szCs w:val="20"/>
                <w:lang w:val="en-GB"/>
              </w:rPr>
              <w:t>1.03</w:t>
            </w:r>
            <w:r w:rsidRPr="00F1360A">
              <w:rPr>
                <w:rFonts w:ascii="Arial Narrow" w:eastAsia="Calibri" w:hAnsi="Arial Narrow" w:cs="Times New Roman"/>
                <w:bCs/>
                <w:sz w:val="20"/>
                <w:szCs w:val="20"/>
                <w:lang w:val="en-GB"/>
              </w:rPr>
              <w:t xml:space="preserve"> to </w:t>
            </w:r>
            <w:r w:rsidR="00C1533D">
              <w:rPr>
                <w:rFonts w:ascii="Arial Narrow" w:eastAsia="Calibri" w:hAnsi="Arial Narrow" w:cs="Times New Roman"/>
                <w:bCs/>
                <w:sz w:val="20"/>
                <w:szCs w:val="20"/>
                <w:lang w:val="en-GB"/>
              </w:rPr>
              <w:t>1.23</w:t>
            </w:r>
          </w:p>
        </w:tc>
        <w:tc>
          <w:tcPr>
            <w:tcW w:w="851" w:type="dxa"/>
          </w:tcPr>
          <w:p w14:paraId="5F0E7D78" w14:textId="6430C4C3"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LDCT</w:t>
            </w:r>
          </w:p>
        </w:tc>
        <w:tc>
          <w:tcPr>
            <w:tcW w:w="1843" w:type="dxa"/>
          </w:tcPr>
          <w:p w14:paraId="49F05E6D" w14:textId="77777777"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119 (58.9%)</w:t>
            </w:r>
          </w:p>
        </w:tc>
        <w:tc>
          <w:tcPr>
            <w:tcW w:w="1134" w:type="dxa"/>
          </w:tcPr>
          <w:p w14:paraId="256362C7" w14:textId="77777777"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19 (9.4%)</w:t>
            </w:r>
          </w:p>
        </w:tc>
        <w:tc>
          <w:tcPr>
            <w:tcW w:w="1134" w:type="dxa"/>
          </w:tcPr>
          <w:p w14:paraId="70D12456" w14:textId="77777777"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33 (16.3%)</w:t>
            </w:r>
          </w:p>
        </w:tc>
        <w:tc>
          <w:tcPr>
            <w:tcW w:w="1134" w:type="dxa"/>
          </w:tcPr>
          <w:p w14:paraId="226BF25A" w14:textId="77777777"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19 (9.4%)</w:t>
            </w:r>
          </w:p>
        </w:tc>
        <w:tc>
          <w:tcPr>
            <w:tcW w:w="1134" w:type="dxa"/>
          </w:tcPr>
          <w:p w14:paraId="223D2AF5" w14:textId="77777777" w:rsidR="00D60D74" w:rsidRPr="00436840" w:rsidRDefault="00D60D74" w:rsidP="00D60D74">
            <w:pPr>
              <w:spacing w:before="0"/>
              <w:jc w:val="center"/>
              <w:rPr>
                <w:rFonts w:ascii="Arial Narrow" w:eastAsia="Calibri" w:hAnsi="Arial Narrow" w:cs="Times New Roman"/>
                <w:bCs/>
                <w:sz w:val="20"/>
                <w:szCs w:val="20"/>
              </w:rPr>
            </w:pPr>
            <w:r w:rsidRPr="00436840">
              <w:rPr>
                <w:rFonts w:ascii="Arial Narrow" w:eastAsia="Calibri" w:hAnsi="Arial Narrow" w:cs="Calibri"/>
                <w:bCs/>
                <w:sz w:val="20"/>
                <w:szCs w:val="20"/>
                <w:lang w:val="en-GB"/>
              </w:rPr>
              <w:t>13 (6.4%)</w:t>
            </w:r>
          </w:p>
        </w:tc>
        <w:tc>
          <w:tcPr>
            <w:tcW w:w="6237" w:type="dxa"/>
            <w:vMerge w:val="restart"/>
          </w:tcPr>
          <w:p w14:paraId="1FA5BEB1" w14:textId="77777777" w:rsidR="00D60D74" w:rsidRPr="00436840" w:rsidRDefault="00D60D74" w:rsidP="00D60D74">
            <w:pPr>
              <w:spacing w:before="0"/>
              <w:rPr>
                <w:rFonts w:ascii="Arial Narrow" w:eastAsia="Calibri" w:hAnsi="Arial Narrow" w:cs="Times New Roman"/>
                <w:bCs/>
                <w:sz w:val="20"/>
                <w:szCs w:val="20"/>
              </w:rPr>
            </w:pPr>
            <w:r w:rsidRPr="00436840">
              <w:rPr>
                <w:rFonts w:ascii="Arial Narrow" w:eastAsia="Calibri" w:hAnsi="Arial Narrow" w:cs="Times New Roman"/>
                <w:bCs/>
                <w:sz w:val="20"/>
                <w:szCs w:val="20"/>
              </w:rPr>
              <w:t>Screening with the use of low-dose CT reduces mortality from lung cancer.</w:t>
            </w:r>
          </w:p>
        </w:tc>
      </w:tr>
      <w:tr w:rsidR="00D60D74" w:rsidRPr="00436840" w14:paraId="0851A35C" w14:textId="77777777" w:rsidTr="00FF5ADB">
        <w:trPr>
          <w:trHeight w:val="1030"/>
        </w:trPr>
        <w:tc>
          <w:tcPr>
            <w:tcW w:w="993" w:type="dxa"/>
            <w:vMerge/>
          </w:tcPr>
          <w:p w14:paraId="42DB4BE1" w14:textId="77777777" w:rsidR="00D60D74" w:rsidRPr="00436840" w:rsidRDefault="00D60D74" w:rsidP="00D60D74">
            <w:pPr>
              <w:spacing w:before="0"/>
              <w:rPr>
                <w:rFonts w:ascii="Arial Narrow" w:eastAsia="Calibri" w:hAnsi="Arial Narrow" w:cs="Times New Roman"/>
                <w:sz w:val="20"/>
                <w:szCs w:val="20"/>
              </w:rPr>
            </w:pPr>
          </w:p>
        </w:tc>
        <w:tc>
          <w:tcPr>
            <w:tcW w:w="1984" w:type="dxa"/>
            <w:vMerge/>
          </w:tcPr>
          <w:p w14:paraId="71FAD346" w14:textId="77777777" w:rsidR="00D60D74" w:rsidRPr="00436840" w:rsidRDefault="00D60D74" w:rsidP="00D60D74">
            <w:pPr>
              <w:spacing w:before="0"/>
              <w:jc w:val="center"/>
              <w:rPr>
                <w:rFonts w:ascii="Arial Narrow" w:eastAsia="Calibri" w:hAnsi="Arial Narrow" w:cs="Times New Roman"/>
                <w:sz w:val="20"/>
                <w:szCs w:val="20"/>
              </w:rPr>
            </w:pPr>
          </w:p>
        </w:tc>
        <w:tc>
          <w:tcPr>
            <w:tcW w:w="2268" w:type="dxa"/>
            <w:vMerge/>
          </w:tcPr>
          <w:p w14:paraId="3E880AC8" w14:textId="77777777" w:rsidR="00D60D74" w:rsidRPr="00436840" w:rsidRDefault="00D60D74" w:rsidP="00D60D74">
            <w:pPr>
              <w:spacing w:before="0"/>
              <w:jc w:val="center"/>
              <w:rPr>
                <w:rFonts w:ascii="Arial Narrow" w:eastAsia="Calibri" w:hAnsi="Arial Narrow" w:cs="Times New Roman"/>
                <w:sz w:val="20"/>
                <w:szCs w:val="20"/>
              </w:rPr>
            </w:pPr>
          </w:p>
        </w:tc>
        <w:tc>
          <w:tcPr>
            <w:tcW w:w="2126" w:type="dxa"/>
            <w:vMerge/>
          </w:tcPr>
          <w:p w14:paraId="0412794B" w14:textId="77777777" w:rsidR="00D60D74" w:rsidRPr="00436840" w:rsidRDefault="00D60D74" w:rsidP="00D60D74">
            <w:pPr>
              <w:spacing w:before="0"/>
              <w:jc w:val="center"/>
              <w:rPr>
                <w:rFonts w:ascii="Arial Narrow" w:eastAsia="Calibri" w:hAnsi="Arial Narrow" w:cs="Calibri"/>
                <w:sz w:val="20"/>
                <w:szCs w:val="20"/>
                <w:lang w:val="en-GB"/>
              </w:rPr>
            </w:pPr>
          </w:p>
        </w:tc>
        <w:tc>
          <w:tcPr>
            <w:tcW w:w="851" w:type="dxa"/>
          </w:tcPr>
          <w:p w14:paraId="53C3F588" w14:textId="60020500"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Control</w:t>
            </w:r>
          </w:p>
        </w:tc>
        <w:tc>
          <w:tcPr>
            <w:tcW w:w="1843" w:type="dxa"/>
          </w:tcPr>
          <w:p w14:paraId="1FAF4098" w14:textId="77777777"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20 (14.1%)</w:t>
            </w:r>
          </w:p>
        </w:tc>
        <w:tc>
          <w:tcPr>
            <w:tcW w:w="1134" w:type="dxa"/>
          </w:tcPr>
          <w:p w14:paraId="214DC70F" w14:textId="77777777"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10 (7%)</w:t>
            </w:r>
          </w:p>
        </w:tc>
        <w:tc>
          <w:tcPr>
            <w:tcW w:w="1134" w:type="dxa"/>
          </w:tcPr>
          <w:p w14:paraId="3FDA5AFF" w14:textId="77777777"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28 (19.9%)</w:t>
            </w:r>
          </w:p>
        </w:tc>
        <w:tc>
          <w:tcPr>
            <w:tcW w:w="1134" w:type="dxa"/>
          </w:tcPr>
          <w:p w14:paraId="36E1CC98" w14:textId="77777777"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73 (51.8%)</w:t>
            </w:r>
          </w:p>
        </w:tc>
        <w:tc>
          <w:tcPr>
            <w:tcW w:w="1134" w:type="dxa"/>
          </w:tcPr>
          <w:p w14:paraId="0F72A289" w14:textId="77777777" w:rsidR="00D60D74" w:rsidRPr="00502FF6" w:rsidRDefault="00D60D74" w:rsidP="00D60D74">
            <w:pPr>
              <w:spacing w:before="0"/>
              <w:jc w:val="center"/>
              <w:rPr>
                <w:rFonts w:ascii="Arial Narrow" w:eastAsia="Calibri" w:hAnsi="Arial Narrow" w:cs="Times New Roman"/>
                <w:bCs/>
                <w:sz w:val="20"/>
                <w:szCs w:val="20"/>
              </w:rPr>
            </w:pPr>
            <w:r w:rsidRPr="00502FF6">
              <w:rPr>
                <w:rFonts w:ascii="Arial Narrow" w:eastAsia="Calibri" w:hAnsi="Arial Narrow" w:cs="Calibri"/>
                <w:bCs/>
                <w:sz w:val="20"/>
                <w:szCs w:val="20"/>
                <w:lang w:val="en-GB"/>
              </w:rPr>
              <w:t>10 (7.1%)</w:t>
            </w:r>
          </w:p>
        </w:tc>
        <w:tc>
          <w:tcPr>
            <w:tcW w:w="6237" w:type="dxa"/>
            <w:vMerge/>
          </w:tcPr>
          <w:p w14:paraId="3BD227E7" w14:textId="77777777" w:rsidR="00D60D74" w:rsidRPr="00436840" w:rsidRDefault="00D60D74" w:rsidP="00D60D74">
            <w:pPr>
              <w:spacing w:before="0"/>
              <w:rPr>
                <w:rFonts w:ascii="Arial Narrow" w:eastAsia="Calibri" w:hAnsi="Arial Narrow" w:cs="Times New Roman"/>
                <w:sz w:val="20"/>
                <w:szCs w:val="20"/>
              </w:rPr>
            </w:pPr>
          </w:p>
        </w:tc>
      </w:tr>
      <w:tr w:rsidR="00D60D74" w:rsidRPr="00436840" w14:paraId="37D56100" w14:textId="77777777" w:rsidTr="00FF5ADB">
        <w:tc>
          <w:tcPr>
            <w:tcW w:w="993" w:type="dxa"/>
            <w:vMerge w:val="restart"/>
          </w:tcPr>
          <w:p w14:paraId="3EF4BD1D" w14:textId="4791F865" w:rsidR="00D60D74" w:rsidRPr="00436840" w:rsidRDefault="00D60D74" w:rsidP="00D60D74">
            <w:pPr>
              <w:spacing w:before="0"/>
              <w:rPr>
                <w:rFonts w:ascii="Arial Narrow" w:eastAsia="Calibri" w:hAnsi="Arial Narrow" w:cs="Calibri"/>
                <w:color w:val="000000"/>
                <w:sz w:val="20"/>
                <w:szCs w:val="20"/>
                <w:vertAlign w:val="superscript"/>
              </w:rPr>
            </w:pPr>
            <w:r w:rsidRPr="00436840">
              <w:rPr>
                <w:rFonts w:ascii="Arial Narrow" w:eastAsia="Calibri" w:hAnsi="Arial Narrow" w:cs="Calibri"/>
                <w:color w:val="000000"/>
                <w:sz w:val="20"/>
                <w:szCs w:val="20"/>
              </w:rPr>
              <w:t>UKLS</w:t>
            </w:r>
            <w:r w:rsidR="00766447" w:rsidRPr="00766447">
              <w:rPr>
                <w:rFonts w:ascii="Arial Narrow" w:eastAsia="Calibri" w:hAnsi="Arial Narrow" w:cs="Calibri"/>
                <w:color w:val="000000"/>
                <w:sz w:val="20"/>
                <w:szCs w:val="20"/>
                <w:vertAlign w:val="superscript"/>
              </w:rPr>
              <w:t>3</w:t>
            </w:r>
            <w:r w:rsidR="002E07B7">
              <w:rPr>
                <w:rFonts w:ascii="Arial Narrow" w:eastAsia="Calibri" w:hAnsi="Arial Narrow" w:cs="Calibri"/>
                <w:color w:val="000000"/>
                <w:sz w:val="20"/>
                <w:szCs w:val="20"/>
                <w:vertAlign w:val="superscript"/>
              </w:rPr>
              <w:t>7</w:t>
            </w:r>
            <w:r w:rsidRPr="00436840">
              <w:rPr>
                <w:rFonts w:ascii="Arial Narrow" w:eastAsia="Calibri" w:hAnsi="Arial Narrow" w:cs="Calibri"/>
                <w:color w:val="000000" w:themeColor="text1"/>
                <w:sz w:val="20"/>
                <w:szCs w:val="20"/>
              </w:rPr>
              <w:t>,</w:t>
            </w:r>
            <w:r w:rsidR="002E07B7">
              <w:rPr>
                <w:rFonts w:ascii="Arial Narrow" w:eastAsia="Calibri" w:hAnsi="Arial Narrow" w:cs="Calibri"/>
                <w:color w:val="000000" w:themeColor="text1"/>
                <w:sz w:val="20"/>
                <w:szCs w:val="20"/>
                <w:vertAlign w:val="superscript"/>
              </w:rPr>
              <w:t>38</w:t>
            </w:r>
          </w:p>
          <w:p w14:paraId="61BCF808" w14:textId="53D76CEB" w:rsidR="00D60D74" w:rsidRPr="00436840" w:rsidRDefault="00D60D74" w:rsidP="00D60D74">
            <w:pPr>
              <w:spacing w:before="0"/>
              <w:rPr>
                <w:rFonts w:ascii="Arial Narrow" w:eastAsia="Calibri" w:hAnsi="Arial Narrow" w:cs="Times New Roman"/>
                <w:sz w:val="20"/>
                <w:szCs w:val="20"/>
              </w:rPr>
            </w:pPr>
            <w:r w:rsidRPr="00436840">
              <w:rPr>
                <w:rFonts w:ascii="Arial Narrow" w:eastAsia="Calibri" w:hAnsi="Arial Narrow" w:cs="Calibri"/>
                <w:color w:val="000000"/>
                <w:sz w:val="20"/>
                <w:szCs w:val="20"/>
              </w:rPr>
              <w:t>2011</w:t>
            </w:r>
          </w:p>
        </w:tc>
        <w:tc>
          <w:tcPr>
            <w:tcW w:w="1984" w:type="dxa"/>
            <w:vMerge w:val="restart"/>
          </w:tcPr>
          <w:p w14:paraId="298431DC" w14:textId="5A5A87C9"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1.5%</w:t>
            </w:r>
            <w:r>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(30/1987)</w:t>
            </w:r>
          </w:p>
          <w:p w14:paraId="0559CCB5" w14:textId="5E01F66F" w:rsidR="00D60D74" w:rsidRPr="00436840" w:rsidRDefault="00D60D74" w:rsidP="00D60D74">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Pr="00436840">
              <w:rPr>
                <w:rFonts w:ascii="Arial Narrow" w:eastAsia="Calibri" w:hAnsi="Arial Narrow" w:cs="Times New Roman"/>
                <w:sz w:val="20"/>
                <w:szCs w:val="20"/>
              </w:rPr>
              <w:t>: 2.3%</w:t>
            </w:r>
            <w:r>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(46/1981)</w:t>
            </w:r>
          </w:p>
          <w:p w14:paraId="602F7406" w14:textId="5B9D6773" w:rsidR="00D60D74"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w:t>
            </w:r>
            <w:r>
              <w:rPr>
                <w:rFonts w:ascii="Arial Narrow" w:eastAsia="Calibri" w:hAnsi="Arial Narrow" w:cs="Times New Roman"/>
                <w:sz w:val="20"/>
                <w:szCs w:val="20"/>
              </w:rPr>
              <w:t>R:</w:t>
            </w:r>
            <w:r w:rsidRPr="00436840">
              <w:rPr>
                <w:rFonts w:ascii="Arial Narrow" w:eastAsia="Calibri" w:hAnsi="Arial Narrow" w:cs="Times New Roman"/>
                <w:sz w:val="20"/>
                <w:szCs w:val="20"/>
              </w:rPr>
              <w:t xml:space="preserve"> 0.65</w:t>
            </w:r>
          </w:p>
          <w:p w14:paraId="17526135" w14:textId="3B0F9763"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95% CI</w:t>
            </w:r>
            <w:r>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0.41</w:t>
            </w:r>
            <w:r>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1.02</w:t>
            </w:r>
          </w:p>
        </w:tc>
        <w:tc>
          <w:tcPr>
            <w:tcW w:w="2268" w:type="dxa"/>
            <w:vMerge w:val="restart"/>
          </w:tcPr>
          <w:p w14:paraId="4E67FA75" w14:textId="593ED3A2"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12.4%</w:t>
            </w:r>
            <w:r>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(246/1987)</w:t>
            </w:r>
          </w:p>
          <w:p w14:paraId="4F55579E" w14:textId="5F4D1721" w:rsidR="00D60D74" w:rsidRPr="00436840" w:rsidRDefault="00D60D74" w:rsidP="00D60D74">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Control</w:t>
            </w:r>
            <w:r w:rsidRPr="00436840">
              <w:rPr>
                <w:rFonts w:ascii="Arial Narrow" w:eastAsia="Calibri" w:hAnsi="Arial Narrow" w:cs="Times New Roman"/>
                <w:sz w:val="20"/>
                <w:szCs w:val="20"/>
              </w:rPr>
              <w:t>: 13.4%</w:t>
            </w:r>
            <w:r>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(266/1981)</w:t>
            </w:r>
          </w:p>
          <w:p w14:paraId="244543DB" w14:textId="40968ACF" w:rsidR="00D60D74"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w:t>
            </w:r>
            <w:r>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0.91</w:t>
            </w:r>
          </w:p>
          <w:p w14:paraId="172B7523" w14:textId="24BA9079"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95% CI</w:t>
            </w:r>
            <w:r>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0.77</w:t>
            </w:r>
            <w:r>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1.09</w:t>
            </w:r>
          </w:p>
        </w:tc>
        <w:tc>
          <w:tcPr>
            <w:tcW w:w="2126" w:type="dxa"/>
            <w:vMerge w:val="restart"/>
          </w:tcPr>
          <w:p w14:paraId="7939823F" w14:textId="7E919ECB" w:rsidR="00D60D74" w:rsidRPr="00436840" w:rsidRDefault="00D60D74" w:rsidP="00D60D74">
            <w:pPr>
              <w:spacing w:before="0"/>
              <w:jc w:val="center"/>
              <w:rPr>
                <w:rFonts w:ascii="Arial Narrow" w:eastAsia="Calibri" w:hAnsi="Arial Narrow" w:cs="Times New Roman"/>
                <w:color w:val="505050"/>
                <w:sz w:val="20"/>
                <w:szCs w:val="20"/>
                <w:shd w:val="clear" w:color="auto" w:fill="FFFFFF"/>
              </w:rPr>
            </w:pPr>
            <w:r w:rsidRPr="00436840">
              <w:rPr>
                <w:rFonts w:ascii="Arial Narrow" w:eastAsia="Calibri" w:hAnsi="Arial Narrow" w:cs="Times New Roman"/>
                <w:sz w:val="20"/>
                <w:szCs w:val="20"/>
              </w:rPr>
              <w:t xml:space="preserve">LDCT: </w:t>
            </w:r>
            <w:r w:rsidRPr="00436840">
              <w:rPr>
                <w:rFonts w:ascii="Arial Narrow" w:eastAsia="Calibri" w:hAnsi="Arial Narrow" w:cs="Times New Roman"/>
                <w:color w:val="505050"/>
                <w:sz w:val="20"/>
                <w:szCs w:val="20"/>
                <w:shd w:val="clear" w:color="auto" w:fill="FFFFFF"/>
              </w:rPr>
              <w:t>4.3%</w:t>
            </w:r>
            <w:r>
              <w:rPr>
                <w:rFonts w:ascii="Arial Narrow" w:eastAsia="Calibri" w:hAnsi="Arial Narrow" w:cs="Times New Roman"/>
                <w:color w:val="505050"/>
                <w:sz w:val="20"/>
                <w:szCs w:val="20"/>
                <w:shd w:val="clear" w:color="auto" w:fill="FFFFFF"/>
              </w:rPr>
              <w:t xml:space="preserve"> </w:t>
            </w:r>
            <w:r w:rsidRPr="00436840">
              <w:rPr>
                <w:rFonts w:ascii="Arial Narrow" w:eastAsia="Calibri" w:hAnsi="Arial Narrow" w:cs="Times New Roman"/>
                <w:color w:val="505050"/>
                <w:sz w:val="20"/>
                <w:szCs w:val="20"/>
                <w:shd w:val="clear" w:color="auto" w:fill="FFFFFF"/>
              </w:rPr>
              <w:t>(86/1987)</w:t>
            </w:r>
          </w:p>
          <w:p w14:paraId="69D34F71" w14:textId="2D08694D" w:rsidR="00D60D74" w:rsidRPr="00436840" w:rsidRDefault="00D60D74" w:rsidP="00D60D74">
            <w:pPr>
              <w:spacing w:before="0"/>
              <w:jc w:val="center"/>
              <w:rPr>
                <w:rFonts w:ascii="Arial Narrow" w:eastAsia="Calibri" w:hAnsi="Arial Narrow" w:cs="Times New Roman"/>
                <w:sz w:val="20"/>
                <w:szCs w:val="20"/>
                <w:shd w:val="clear" w:color="auto" w:fill="FFFFFF"/>
              </w:rPr>
            </w:pPr>
            <w:r>
              <w:rPr>
                <w:rFonts w:ascii="Arial Narrow" w:eastAsia="Calibri" w:hAnsi="Arial Narrow" w:cs="Times New Roman"/>
                <w:color w:val="505050"/>
                <w:sz w:val="20"/>
                <w:szCs w:val="20"/>
                <w:shd w:val="clear" w:color="auto" w:fill="FFFFFF"/>
              </w:rPr>
              <w:t>Control</w:t>
            </w:r>
            <w:r w:rsidRPr="00436840">
              <w:rPr>
                <w:rFonts w:ascii="Arial Narrow" w:eastAsia="Calibri" w:hAnsi="Arial Narrow" w:cs="Times New Roman"/>
                <w:sz w:val="20"/>
                <w:szCs w:val="20"/>
                <w:shd w:val="clear" w:color="auto" w:fill="FFFFFF"/>
              </w:rPr>
              <w:t>: 3.8%</w:t>
            </w:r>
            <w:r>
              <w:rPr>
                <w:rFonts w:ascii="Arial Narrow" w:eastAsia="Calibri" w:hAnsi="Arial Narrow" w:cs="Times New Roman"/>
                <w:sz w:val="20"/>
                <w:szCs w:val="20"/>
                <w:shd w:val="clear" w:color="auto" w:fill="FFFFFF"/>
              </w:rPr>
              <w:t xml:space="preserve"> </w:t>
            </w:r>
            <w:r w:rsidRPr="00436840">
              <w:rPr>
                <w:rFonts w:ascii="Arial Narrow" w:eastAsia="Calibri" w:hAnsi="Arial Narrow" w:cs="Times New Roman"/>
                <w:sz w:val="20"/>
                <w:szCs w:val="20"/>
                <w:shd w:val="clear" w:color="auto" w:fill="FFFFFF"/>
              </w:rPr>
              <w:t>(75/1981)</w:t>
            </w:r>
          </w:p>
          <w:p w14:paraId="31C1E96B" w14:textId="6A57ED7B" w:rsidR="00D60D74"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w:t>
            </w:r>
            <w:r>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1.15</w:t>
            </w:r>
          </w:p>
          <w:p w14:paraId="60086DC3" w14:textId="0C97AC84"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95% CI</w:t>
            </w:r>
            <w:r>
              <w:rPr>
                <w:rFonts w:ascii="Arial Narrow" w:eastAsia="Calibri" w:hAnsi="Arial Narrow" w:cs="Times New Roman"/>
                <w:sz w:val="20"/>
                <w:szCs w:val="20"/>
              </w:rPr>
              <w:t>:</w:t>
            </w:r>
            <w:r w:rsidRPr="00436840">
              <w:rPr>
                <w:rFonts w:ascii="Arial Narrow" w:eastAsia="Calibri" w:hAnsi="Arial Narrow" w:cs="Times New Roman"/>
                <w:sz w:val="20"/>
                <w:szCs w:val="20"/>
              </w:rPr>
              <w:t xml:space="preserve"> 0.84</w:t>
            </w:r>
            <w:r>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1.57</w:t>
            </w:r>
          </w:p>
        </w:tc>
        <w:tc>
          <w:tcPr>
            <w:tcW w:w="851" w:type="dxa"/>
          </w:tcPr>
          <w:p w14:paraId="3E67CE72"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w:t>
            </w:r>
          </w:p>
        </w:tc>
        <w:tc>
          <w:tcPr>
            <w:tcW w:w="1843" w:type="dxa"/>
          </w:tcPr>
          <w:p w14:paraId="2F67C7E0"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45 (64.3%)</w:t>
            </w:r>
          </w:p>
        </w:tc>
        <w:tc>
          <w:tcPr>
            <w:tcW w:w="1134" w:type="dxa"/>
          </w:tcPr>
          <w:p w14:paraId="3B6BBBC2"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 (12.9%)</w:t>
            </w:r>
          </w:p>
        </w:tc>
        <w:tc>
          <w:tcPr>
            <w:tcW w:w="1134" w:type="dxa"/>
          </w:tcPr>
          <w:p w14:paraId="2F0EE415"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 (12.9%)</w:t>
            </w:r>
          </w:p>
        </w:tc>
        <w:tc>
          <w:tcPr>
            <w:tcW w:w="1134" w:type="dxa"/>
          </w:tcPr>
          <w:p w14:paraId="6950D4F7"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7 (10.0%)</w:t>
            </w:r>
          </w:p>
        </w:tc>
        <w:tc>
          <w:tcPr>
            <w:tcW w:w="1134" w:type="dxa"/>
          </w:tcPr>
          <w:p w14:paraId="5D06F1AD"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16</w:t>
            </w:r>
          </w:p>
        </w:tc>
        <w:tc>
          <w:tcPr>
            <w:tcW w:w="6237" w:type="dxa"/>
            <w:vMerge w:val="restart"/>
          </w:tcPr>
          <w:p w14:paraId="6E7273E7" w14:textId="77777777" w:rsidR="00D60D74" w:rsidRPr="00436840" w:rsidRDefault="00D60D74" w:rsidP="00D60D74">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The UKLS trial of single LDCT indicates a reduction of lung cancer death of similar magnitude to the NELSON and NLST trials and was included in a meta-analysis of nine randomised trials which provides unequivocal support for lung cancer screening in identified risk groups.</w:t>
            </w:r>
          </w:p>
        </w:tc>
      </w:tr>
      <w:tr w:rsidR="00D60D74" w:rsidRPr="00436840" w14:paraId="04F09C6F" w14:textId="77777777" w:rsidTr="00FF5ADB">
        <w:tc>
          <w:tcPr>
            <w:tcW w:w="993" w:type="dxa"/>
            <w:vMerge/>
          </w:tcPr>
          <w:p w14:paraId="0FF70F0D" w14:textId="77777777" w:rsidR="00D60D74" w:rsidRPr="00436840" w:rsidRDefault="00D60D74" w:rsidP="00D60D74">
            <w:pPr>
              <w:spacing w:before="0"/>
              <w:rPr>
                <w:rFonts w:ascii="Arial Narrow" w:eastAsia="Calibri" w:hAnsi="Arial Narrow" w:cs="Times New Roman"/>
                <w:sz w:val="20"/>
                <w:szCs w:val="20"/>
              </w:rPr>
            </w:pPr>
          </w:p>
        </w:tc>
        <w:tc>
          <w:tcPr>
            <w:tcW w:w="1984" w:type="dxa"/>
            <w:vMerge/>
          </w:tcPr>
          <w:p w14:paraId="1409153B" w14:textId="77777777" w:rsidR="00D60D74" w:rsidRPr="00436840" w:rsidRDefault="00D60D74" w:rsidP="00D60D74">
            <w:pPr>
              <w:spacing w:before="0"/>
              <w:jc w:val="center"/>
              <w:rPr>
                <w:rFonts w:ascii="Arial Narrow" w:eastAsia="Calibri" w:hAnsi="Arial Narrow" w:cs="Times New Roman"/>
                <w:sz w:val="20"/>
                <w:szCs w:val="20"/>
              </w:rPr>
            </w:pPr>
          </w:p>
        </w:tc>
        <w:tc>
          <w:tcPr>
            <w:tcW w:w="2268" w:type="dxa"/>
            <w:vMerge/>
          </w:tcPr>
          <w:p w14:paraId="3B80320E" w14:textId="77777777" w:rsidR="00D60D74" w:rsidRPr="00436840" w:rsidRDefault="00D60D74" w:rsidP="00D60D74">
            <w:pPr>
              <w:spacing w:before="0"/>
              <w:jc w:val="center"/>
              <w:rPr>
                <w:rFonts w:ascii="Arial Narrow" w:eastAsia="Calibri" w:hAnsi="Arial Narrow" w:cs="Times New Roman"/>
                <w:sz w:val="20"/>
                <w:szCs w:val="20"/>
              </w:rPr>
            </w:pPr>
          </w:p>
        </w:tc>
        <w:tc>
          <w:tcPr>
            <w:tcW w:w="2126" w:type="dxa"/>
            <w:vMerge/>
          </w:tcPr>
          <w:p w14:paraId="400D10B6" w14:textId="77777777" w:rsidR="00D60D74" w:rsidRPr="00436840" w:rsidRDefault="00D60D74" w:rsidP="00D60D74">
            <w:pPr>
              <w:spacing w:before="0"/>
              <w:jc w:val="center"/>
              <w:rPr>
                <w:rFonts w:ascii="Arial Narrow" w:eastAsia="Calibri" w:hAnsi="Arial Narrow" w:cs="Calibri"/>
                <w:sz w:val="20"/>
                <w:szCs w:val="20"/>
                <w:lang w:val="en-GB"/>
              </w:rPr>
            </w:pPr>
          </w:p>
        </w:tc>
        <w:tc>
          <w:tcPr>
            <w:tcW w:w="851" w:type="dxa"/>
          </w:tcPr>
          <w:p w14:paraId="5046F6D9"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Calibri"/>
                <w:bCs/>
                <w:sz w:val="20"/>
                <w:szCs w:val="20"/>
                <w:lang w:val="en-GB"/>
              </w:rPr>
              <w:t>Control</w:t>
            </w:r>
          </w:p>
        </w:tc>
        <w:tc>
          <w:tcPr>
            <w:tcW w:w="1843" w:type="dxa"/>
          </w:tcPr>
          <w:p w14:paraId="4D78CFC7"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12 (21.8%)</w:t>
            </w:r>
          </w:p>
        </w:tc>
        <w:tc>
          <w:tcPr>
            <w:tcW w:w="1134" w:type="dxa"/>
          </w:tcPr>
          <w:p w14:paraId="2EC7E32E"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6 (10.9%)</w:t>
            </w:r>
          </w:p>
        </w:tc>
        <w:tc>
          <w:tcPr>
            <w:tcW w:w="1134" w:type="dxa"/>
          </w:tcPr>
          <w:p w14:paraId="4563260A"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10 (18.2%)</w:t>
            </w:r>
          </w:p>
        </w:tc>
        <w:tc>
          <w:tcPr>
            <w:tcW w:w="1134" w:type="dxa"/>
          </w:tcPr>
          <w:p w14:paraId="07B72EAB" w14:textId="77777777"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27 (49.1%)</w:t>
            </w:r>
          </w:p>
        </w:tc>
        <w:tc>
          <w:tcPr>
            <w:tcW w:w="1134" w:type="dxa"/>
          </w:tcPr>
          <w:p w14:paraId="19861237" w14:textId="34D73B5D" w:rsidR="00D60D74" w:rsidRPr="00436840" w:rsidRDefault="00D60D74" w:rsidP="00D60D74">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20</w:t>
            </w:r>
          </w:p>
        </w:tc>
        <w:tc>
          <w:tcPr>
            <w:tcW w:w="6237" w:type="dxa"/>
            <w:vMerge/>
          </w:tcPr>
          <w:p w14:paraId="47759562" w14:textId="77777777" w:rsidR="00D60D74" w:rsidRPr="00436840" w:rsidRDefault="00D60D74" w:rsidP="00D60D74">
            <w:pPr>
              <w:spacing w:before="0"/>
              <w:rPr>
                <w:rFonts w:ascii="Arial Narrow" w:eastAsia="Calibri" w:hAnsi="Arial Narrow" w:cs="Times New Roman"/>
                <w:sz w:val="20"/>
                <w:szCs w:val="20"/>
              </w:rPr>
            </w:pPr>
          </w:p>
        </w:tc>
      </w:tr>
    </w:tbl>
    <w:p w14:paraId="49CEA795" w14:textId="1E93669B" w:rsidR="00B345E8" w:rsidRDefault="00B345E8">
      <w:pPr>
        <w:spacing w:before="0"/>
        <w:rPr>
          <w:b/>
        </w:rPr>
      </w:pPr>
      <w:r>
        <w:rPr>
          <w:b/>
        </w:rPr>
        <w:br w:type="page"/>
      </w:r>
    </w:p>
    <w:p w14:paraId="5C16BA76" w14:textId="77777777" w:rsidR="0054518A" w:rsidRDefault="00B345E8" w:rsidP="00B345E8">
      <w:pPr>
        <w:rPr>
          <w:b/>
        </w:rPr>
      </w:pPr>
      <w:r w:rsidRPr="00FE633E">
        <w:rPr>
          <w:b/>
        </w:rPr>
        <w:lastRenderedPageBreak/>
        <w:t>Attachmen</w:t>
      </w:r>
      <w:r w:rsidR="0054518A">
        <w:rPr>
          <w:b/>
        </w:rPr>
        <w:t xml:space="preserve">t </w:t>
      </w:r>
      <w:r w:rsidR="0054518A" w:rsidRPr="0054518A">
        <w:rPr>
          <w:b/>
        </w:rPr>
        <w:t>3: Meta-analysed results of randomised controlled trials of LDCT-based lung cancer screening programs</w:t>
      </w:r>
    </w:p>
    <w:tbl>
      <w:tblPr>
        <w:tblStyle w:val="ASDTable1"/>
        <w:tblW w:w="0" w:type="auto"/>
        <w:tblInd w:w="-147" w:type="dxa"/>
        <w:tblLook w:val="04A0" w:firstRow="1" w:lastRow="0" w:firstColumn="1" w:lastColumn="0" w:noHBand="0" w:noVBand="1"/>
      </w:tblPr>
      <w:tblGrid>
        <w:gridCol w:w="1220"/>
        <w:gridCol w:w="1146"/>
        <w:gridCol w:w="1104"/>
        <w:gridCol w:w="1844"/>
        <w:gridCol w:w="973"/>
        <w:gridCol w:w="2451"/>
        <w:gridCol w:w="1083"/>
        <w:gridCol w:w="1272"/>
        <w:gridCol w:w="1158"/>
        <w:gridCol w:w="1243"/>
        <w:gridCol w:w="1416"/>
        <w:gridCol w:w="1129"/>
        <w:gridCol w:w="919"/>
        <w:gridCol w:w="1803"/>
        <w:gridCol w:w="2307"/>
      </w:tblGrid>
      <w:tr w:rsidR="00D17AB5" w:rsidRPr="00436840" w14:paraId="43A6990A" w14:textId="77777777" w:rsidTr="005F55BF">
        <w:tc>
          <w:tcPr>
            <w:tcW w:w="1151" w:type="dxa"/>
            <w:vMerge w:val="restart"/>
            <w:shd w:val="clear" w:color="auto" w:fill="auto"/>
          </w:tcPr>
          <w:p w14:paraId="5CD6110D" w14:textId="594DC2C0" w:rsidR="00396789" w:rsidRPr="00436840" w:rsidRDefault="00396789" w:rsidP="00436840">
            <w:pPr>
              <w:spacing w:before="0"/>
              <w:rPr>
                <w:rFonts w:ascii="Arial Narrow" w:eastAsia="Calibri" w:hAnsi="Arial Narrow" w:cs="Times New Roman"/>
                <w:b/>
                <w:sz w:val="20"/>
                <w:szCs w:val="20"/>
              </w:rPr>
            </w:pPr>
            <w:r w:rsidRPr="00436840">
              <w:rPr>
                <w:rFonts w:ascii="Arial Narrow" w:eastAsia="Calibri" w:hAnsi="Arial Narrow" w:cs="Times New Roman"/>
                <w:b/>
                <w:sz w:val="20"/>
                <w:szCs w:val="20"/>
              </w:rPr>
              <w:t>Meta-analysis (Author, Year, ID)</w:t>
            </w:r>
          </w:p>
        </w:tc>
        <w:tc>
          <w:tcPr>
            <w:tcW w:w="7544" w:type="dxa"/>
            <w:gridSpan w:val="5"/>
            <w:shd w:val="clear" w:color="auto" w:fill="auto"/>
          </w:tcPr>
          <w:p w14:paraId="1B5913B7" w14:textId="69954CB9"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 xml:space="preserve">Study </w:t>
            </w:r>
            <w:r w:rsidR="005F445D">
              <w:rPr>
                <w:rFonts w:ascii="Arial Narrow" w:eastAsia="Calibri" w:hAnsi="Arial Narrow" w:cs="Times New Roman"/>
                <w:b/>
                <w:sz w:val="20"/>
                <w:szCs w:val="20"/>
              </w:rPr>
              <w:t>c</w:t>
            </w:r>
            <w:r w:rsidRPr="00436840">
              <w:rPr>
                <w:rFonts w:ascii="Arial Narrow" w:eastAsia="Calibri" w:hAnsi="Arial Narrow" w:cs="Times New Roman"/>
                <w:b/>
                <w:sz w:val="20"/>
                <w:szCs w:val="20"/>
              </w:rPr>
              <w:t>haracteristics</w:t>
            </w:r>
          </w:p>
        </w:tc>
        <w:tc>
          <w:tcPr>
            <w:tcW w:w="8243" w:type="dxa"/>
            <w:gridSpan w:val="7"/>
            <w:shd w:val="clear" w:color="auto" w:fill="auto"/>
          </w:tcPr>
          <w:p w14:paraId="43560DDA" w14:textId="75E4D782"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Results</w:t>
            </w:r>
          </w:p>
        </w:tc>
        <w:tc>
          <w:tcPr>
            <w:tcW w:w="1810" w:type="dxa"/>
            <w:vMerge w:val="restart"/>
            <w:shd w:val="clear" w:color="auto" w:fill="auto"/>
          </w:tcPr>
          <w:p w14:paraId="575E2AC7" w14:textId="13354FA9" w:rsidR="00396789" w:rsidRPr="00436840" w:rsidRDefault="00396789" w:rsidP="00396789">
            <w:pPr>
              <w:spacing w:before="0"/>
              <w:rPr>
                <w:rFonts w:ascii="Arial Narrow" w:eastAsia="Calibri" w:hAnsi="Arial Narrow" w:cs="Times New Roman"/>
                <w:b/>
                <w:sz w:val="20"/>
                <w:szCs w:val="20"/>
              </w:rPr>
            </w:pPr>
            <w:r w:rsidRPr="00436840">
              <w:rPr>
                <w:rFonts w:ascii="Arial Narrow" w:eastAsia="Calibri" w:hAnsi="Arial Narrow" w:cs="Times New Roman"/>
                <w:b/>
                <w:sz w:val="20"/>
                <w:szCs w:val="20"/>
              </w:rPr>
              <w:t>Limitations (</w:t>
            </w:r>
            <w:r w:rsidR="005F445D">
              <w:rPr>
                <w:rFonts w:ascii="Arial Narrow" w:eastAsia="Calibri" w:hAnsi="Arial Narrow" w:cs="Times New Roman"/>
                <w:b/>
                <w:sz w:val="20"/>
                <w:szCs w:val="20"/>
              </w:rPr>
              <w:t>r</w:t>
            </w:r>
            <w:r w:rsidRPr="00436840">
              <w:rPr>
                <w:rFonts w:ascii="Arial Narrow" w:eastAsia="Calibri" w:hAnsi="Arial Narrow" w:cs="Times New Roman"/>
                <w:b/>
                <w:sz w:val="20"/>
                <w:szCs w:val="20"/>
              </w:rPr>
              <w:t>isk of bias/authors identified)</w:t>
            </w:r>
          </w:p>
        </w:tc>
        <w:tc>
          <w:tcPr>
            <w:tcW w:w="2320" w:type="dxa"/>
            <w:vMerge w:val="restart"/>
            <w:shd w:val="clear" w:color="auto" w:fill="auto"/>
          </w:tcPr>
          <w:p w14:paraId="529BF22D" w14:textId="7F3DCF72" w:rsidR="00396789" w:rsidRPr="00436840" w:rsidRDefault="00396789" w:rsidP="00396789">
            <w:pPr>
              <w:spacing w:before="0"/>
              <w:rPr>
                <w:rFonts w:ascii="Arial Narrow" w:eastAsia="Calibri" w:hAnsi="Arial Narrow" w:cs="Times New Roman"/>
                <w:b/>
                <w:sz w:val="20"/>
                <w:szCs w:val="20"/>
              </w:rPr>
            </w:pPr>
            <w:r w:rsidRPr="00436840">
              <w:rPr>
                <w:rFonts w:ascii="Arial Narrow" w:eastAsia="Calibri" w:hAnsi="Arial Narrow" w:cs="Times New Roman"/>
                <w:b/>
                <w:sz w:val="20"/>
                <w:szCs w:val="20"/>
              </w:rPr>
              <w:t>Author conclusions</w:t>
            </w:r>
          </w:p>
        </w:tc>
      </w:tr>
      <w:tr w:rsidR="00D17AB5" w:rsidRPr="00436840" w14:paraId="26C32E08" w14:textId="77777777" w:rsidTr="005F55BF">
        <w:tc>
          <w:tcPr>
            <w:tcW w:w="1151" w:type="dxa"/>
            <w:vMerge/>
            <w:shd w:val="clear" w:color="auto" w:fill="D9D9D9"/>
          </w:tcPr>
          <w:p w14:paraId="6949F5AA" w14:textId="77777777" w:rsidR="00396789" w:rsidRPr="00436840" w:rsidRDefault="00396789" w:rsidP="00396789">
            <w:pPr>
              <w:spacing w:before="0"/>
              <w:rPr>
                <w:rFonts w:ascii="Arial Narrow" w:eastAsia="Calibri" w:hAnsi="Arial Narrow" w:cs="Times New Roman"/>
                <w:b/>
                <w:sz w:val="20"/>
                <w:szCs w:val="20"/>
              </w:rPr>
            </w:pPr>
          </w:p>
        </w:tc>
        <w:tc>
          <w:tcPr>
            <w:tcW w:w="1146" w:type="dxa"/>
            <w:shd w:val="clear" w:color="auto" w:fill="auto"/>
          </w:tcPr>
          <w:p w14:paraId="55625D36"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No of participants</w:t>
            </w:r>
          </w:p>
        </w:tc>
        <w:tc>
          <w:tcPr>
            <w:tcW w:w="1105" w:type="dxa"/>
            <w:shd w:val="clear" w:color="auto" w:fill="auto"/>
          </w:tcPr>
          <w:p w14:paraId="399ED462" w14:textId="0EABBA7C"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RCTs included*</w:t>
            </w:r>
          </w:p>
        </w:tc>
        <w:tc>
          <w:tcPr>
            <w:tcW w:w="1854" w:type="dxa"/>
            <w:shd w:val="clear" w:color="auto" w:fill="auto"/>
          </w:tcPr>
          <w:p w14:paraId="1D467F6E"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RCTs excluded</w:t>
            </w:r>
          </w:p>
        </w:tc>
        <w:tc>
          <w:tcPr>
            <w:tcW w:w="973" w:type="dxa"/>
            <w:shd w:val="clear" w:color="auto" w:fill="auto"/>
          </w:tcPr>
          <w:p w14:paraId="349371E8" w14:textId="13FA917A"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Search period</w:t>
            </w:r>
          </w:p>
        </w:tc>
        <w:tc>
          <w:tcPr>
            <w:tcW w:w="2466" w:type="dxa"/>
            <w:shd w:val="clear" w:color="auto" w:fill="auto"/>
          </w:tcPr>
          <w:p w14:paraId="1785AE0C" w14:textId="50F1DC17" w:rsidR="00396789" w:rsidRPr="00436840" w:rsidRDefault="005F445D" w:rsidP="00D17AB5">
            <w:pPr>
              <w:spacing w:before="0"/>
              <w:rPr>
                <w:rFonts w:ascii="Arial Narrow" w:eastAsia="Calibri" w:hAnsi="Arial Narrow" w:cs="Times New Roman"/>
                <w:b/>
                <w:sz w:val="20"/>
                <w:szCs w:val="20"/>
              </w:rPr>
            </w:pPr>
            <w:r>
              <w:rPr>
                <w:rFonts w:ascii="Arial Narrow" w:eastAsia="Calibri" w:hAnsi="Arial Narrow" w:cs="Times New Roman"/>
                <w:b/>
                <w:sz w:val="20"/>
                <w:szCs w:val="20"/>
              </w:rPr>
              <w:t>Eligibility</w:t>
            </w:r>
            <w:r w:rsidR="00396789" w:rsidRPr="00436840">
              <w:rPr>
                <w:rFonts w:ascii="Arial Narrow" w:eastAsia="Calibri" w:hAnsi="Arial Narrow" w:cs="Times New Roman"/>
                <w:b/>
                <w:sz w:val="20"/>
                <w:szCs w:val="20"/>
              </w:rPr>
              <w:t xml:space="preserve"> criteria</w:t>
            </w:r>
          </w:p>
        </w:tc>
        <w:tc>
          <w:tcPr>
            <w:tcW w:w="1086" w:type="dxa"/>
            <w:shd w:val="clear" w:color="auto" w:fill="auto"/>
          </w:tcPr>
          <w:p w14:paraId="7E72B0E3"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Lung cancers detected</w:t>
            </w:r>
          </w:p>
        </w:tc>
        <w:tc>
          <w:tcPr>
            <w:tcW w:w="1276" w:type="dxa"/>
            <w:shd w:val="clear" w:color="auto" w:fill="auto"/>
          </w:tcPr>
          <w:p w14:paraId="10F8ECF4" w14:textId="1FAD446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Stage of diagnosis</w:t>
            </w:r>
          </w:p>
        </w:tc>
        <w:tc>
          <w:tcPr>
            <w:tcW w:w="1162" w:type="dxa"/>
            <w:shd w:val="clear" w:color="auto" w:fill="auto"/>
          </w:tcPr>
          <w:p w14:paraId="38A7031D"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Lung cancer mortality</w:t>
            </w:r>
          </w:p>
        </w:tc>
        <w:tc>
          <w:tcPr>
            <w:tcW w:w="1248" w:type="dxa"/>
            <w:shd w:val="clear" w:color="auto" w:fill="auto"/>
          </w:tcPr>
          <w:p w14:paraId="7A2F4B65" w14:textId="06842BFB" w:rsidR="00396789" w:rsidRPr="00436840" w:rsidRDefault="00931DBE"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All-cause</w:t>
            </w:r>
            <w:r w:rsidR="00396789" w:rsidRPr="00436840">
              <w:rPr>
                <w:rFonts w:ascii="Arial Narrow" w:eastAsia="Calibri" w:hAnsi="Arial Narrow" w:cs="Times New Roman"/>
                <w:b/>
                <w:sz w:val="20"/>
                <w:szCs w:val="20"/>
              </w:rPr>
              <w:t xml:space="preserve"> mortality</w:t>
            </w:r>
          </w:p>
        </w:tc>
        <w:tc>
          <w:tcPr>
            <w:tcW w:w="1417" w:type="dxa"/>
            <w:shd w:val="clear" w:color="auto" w:fill="auto"/>
          </w:tcPr>
          <w:p w14:paraId="036C560F" w14:textId="2AE23C23"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Overdiagnosis</w:t>
            </w:r>
          </w:p>
        </w:tc>
        <w:tc>
          <w:tcPr>
            <w:tcW w:w="1134" w:type="dxa"/>
            <w:shd w:val="clear" w:color="auto" w:fill="auto"/>
          </w:tcPr>
          <w:p w14:paraId="6E2E345F"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False positive rate</w:t>
            </w:r>
          </w:p>
        </w:tc>
        <w:tc>
          <w:tcPr>
            <w:tcW w:w="920" w:type="dxa"/>
            <w:shd w:val="clear" w:color="auto" w:fill="auto"/>
          </w:tcPr>
          <w:p w14:paraId="7D9BFFD1"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b/>
                <w:sz w:val="20"/>
                <w:szCs w:val="20"/>
              </w:rPr>
              <w:t>False negative rate</w:t>
            </w:r>
          </w:p>
        </w:tc>
        <w:tc>
          <w:tcPr>
            <w:tcW w:w="1810" w:type="dxa"/>
            <w:vMerge/>
            <w:shd w:val="clear" w:color="auto" w:fill="D9D9D9"/>
          </w:tcPr>
          <w:p w14:paraId="64B1F6ED" w14:textId="77777777" w:rsidR="00396789" w:rsidRPr="00436840" w:rsidRDefault="00396789" w:rsidP="00396789">
            <w:pPr>
              <w:spacing w:before="0"/>
              <w:rPr>
                <w:rFonts w:ascii="Arial Narrow" w:eastAsia="Calibri" w:hAnsi="Arial Narrow" w:cs="Times New Roman"/>
                <w:b/>
                <w:sz w:val="20"/>
                <w:szCs w:val="20"/>
              </w:rPr>
            </w:pPr>
          </w:p>
        </w:tc>
        <w:tc>
          <w:tcPr>
            <w:tcW w:w="2320" w:type="dxa"/>
            <w:vMerge/>
            <w:shd w:val="clear" w:color="auto" w:fill="D9D9D9"/>
          </w:tcPr>
          <w:p w14:paraId="1A5AC1A2" w14:textId="77777777" w:rsidR="00396789" w:rsidRPr="00436840" w:rsidRDefault="00396789" w:rsidP="00396789">
            <w:pPr>
              <w:spacing w:before="0"/>
              <w:rPr>
                <w:rFonts w:ascii="Arial Narrow" w:eastAsia="Calibri" w:hAnsi="Arial Narrow" w:cs="Times New Roman"/>
                <w:b/>
                <w:sz w:val="20"/>
                <w:szCs w:val="20"/>
              </w:rPr>
            </w:pPr>
          </w:p>
        </w:tc>
      </w:tr>
      <w:tr w:rsidR="004D16BA" w:rsidRPr="00436840" w14:paraId="35BAC76C" w14:textId="77777777" w:rsidTr="005F55BF">
        <w:tc>
          <w:tcPr>
            <w:tcW w:w="1151" w:type="dxa"/>
          </w:tcPr>
          <w:p w14:paraId="5E3E36B2" w14:textId="4E31F195" w:rsidR="00396789" w:rsidRPr="00436840" w:rsidRDefault="00033AFC" w:rsidP="00396789">
            <w:pPr>
              <w:spacing w:before="0"/>
              <w:rPr>
                <w:rFonts w:ascii="Arial Narrow" w:eastAsia="Calibri" w:hAnsi="Arial Narrow" w:cs="Times New Roman"/>
                <w:sz w:val="20"/>
                <w:szCs w:val="20"/>
              </w:rPr>
            </w:pPr>
            <w:hyperlink r:id="rId21" w:history="1">
              <w:r w:rsidR="00396789" w:rsidRPr="00436840">
                <w:rPr>
                  <w:rFonts w:ascii="Arial Narrow" w:eastAsia="Calibri" w:hAnsi="Arial Narrow" w:cs="Times New Roman"/>
                  <w:sz w:val="20"/>
                  <w:szCs w:val="20"/>
                </w:rPr>
                <w:t>Field et al.</w:t>
              </w:r>
            </w:hyperlink>
          </w:p>
          <w:p w14:paraId="653B6E6B" w14:textId="1D85352E" w:rsidR="00396789" w:rsidRPr="00436840" w:rsidRDefault="00396789" w:rsidP="005F445D">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2021</w:t>
            </w:r>
            <w:r w:rsidR="00AF788B" w:rsidRPr="00AF788B">
              <w:rPr>
                <w:rFonts w:ascii="Arial Narrow" w:eastAsia="Calibri" w:hAnsi="Arial Narrow" w:cs="Times New Roman"/>
                <w:sz w:val="20"/>
                <w:szCs w:val="20"/>
                <w:vertAlign w:val="superscript"/>
              </w:rPr>
              <w:t>38</w:t>
            </w:r>
          </w:p>
        </w:tc>
        <w:tc>
          <w:tcPr>
            <w:tcW w:w="1146" w:type="dxa"/>
          </w:tcPr>
          <w:p w14:paraId="3407FE40" w14:textId="3DBD854A"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94,384</w:t>
            </w:r>
          </w:p>
        </w:tc>
        <w:tc>
          <w:tcPr>
            <w:tcW w:w="1105" w:type="dxa"/>
          </w:tcPr>
          <w:p w14:paraId="31B1AEFF" w14:textId="2AAF3FC6"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UKLS</w:t>
            </w:r>
          </w:p>
          <w:p w14:paraId="08934D00" w14:textId="202E6B3E"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NELSON</w:t>
            </w:r>
          </w:p>
          <w:p w14:paraId="15FD9CBE" w14:textId="2FD4FAF9"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NLST</w:t>
            </w:r>
          </w:p>
          <w:p w14:paraId="3D72F127" w14:textId="18ACE6F2"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LUSI</w:t>
            </w:r>
          </w:p>
          <w:p w14:paraId="4D583F4C" w14:textId="77777777" w:rsidR="009E445E"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LSS</w:t>
            </w:r>
          </w:p>
          <w:p w14:paraId="6C98DB07" w14:textId="77777777" w:rsidR="009E445E"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ITALUNG</w:t>
            </w:r>
          </w:p>
          <w:p w14:paraId="7D9A2D9F" w14:textId="0388D08F"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DLCST</w:t>
            </w:r>
          </w:p>
          <w:p w14:paraId="1ED51F68" w14:textId="32B5BBD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DANTE</w:t>
            </w:r>
          </w:p>
        </w:tc>
        <w:tc>
          <w:tcPr>
            <w:tcW w:w="1854" w:type="dxa"/>
          </w:tcPr>
          <w:p w14:paraId="54ED1756" w14:textId="4BC0D0F9" w:rsidR="00396789" w:rsidRPr="00436840" w:rsidRDefault="00396789" w:rsidP="00D17AB5">
            <w:pPr>
              <w:spacing w:before="0"/>
              <w:jc w:val="center"/>
              <w:textAlignment w:val="baseline"/>
              <w:rPr>
                <w:rFonts w:ascii="Arial Narrow" w:eastAsia="Calibri" w:hAnsi="Arial Narrow" w:cs="Times New Roman"/>
                <w:sz w:val="20"/>
                <w:szCs w:val="20"/>
              </w:rPr>
            </w:pPr>
            <w:r w:rsidRPr="00436840">
              <w:rPr>
                <w:rFonts w:ascii="Arial Narrow" w:eastAsia="Times New Roman" w:hAnsi="Arial Narrow" w:cs="Segoe UI"/>
                <w:sz w:val="20"/>
                <w:szCs w:val="20"/>
                <w:lang w:eastAsia="en-AU"/>
              </w:rPr>
              <w:t>AME: </w:t>
            </w:r>
            <w:r w:rsidR="005F445D">
              <w:rPr>
                <w:rFonts w:ascii="Arial Narrow" w:eastAsia="Times New Roman" w:hAnsi="Arial Narrow" w:cs="Segoe UI"/>
                <w:sz w:val="20"/>
                <w:szCs w:val="20"/>
                <w:lang w:eastAsia="en-AU"/>
              </w:rPr>
              <w:t>l</w:t>
            </w:r>
            <w:r w:rsidRPr="00436840">
              <w:rPr>
                <w:rFonts w:ascii="Arial Narrow" w:eastAsia="Times New Roman" w:hAnsi="Arial Narrow" w:cs="Segoe UI"/>
                <w:sz w:val="20"/>
                <w:szCs w:val="20"/>
                <w:lang w:eastAsia="en-AU"/>
              </w:rPr>
              <w:t>ess than 3 years median</w:t>
            </w:r>
            <w:r w:rsidR="009E445E">
              <w:rPr>
                <w:rFonts w:ascii="Arial Narrow" w:eastAsia="Times New Roman" w:hAnsi="Arial Narrow" w:cs="Segoe UI"/>
                <w:sz w:val="20"/>
                <w:szCs w:val="20"/>
                <w:lang w:eastAsia="en-AU"/>
              </w:rPr>
              <w:t xml:space="preserve"> follow up</w:t>
            </w:r>
          </w:p>
        </w:tc>
        <w:tc>
          <w:tcPr>
            <w:tcW w:w="973" w:type="dxa"/>
          </w:tcPr>
          <w:p w14:paraId="26A533A8" w14:textId="7B9B683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1946 – 2 November 2020</w:t>
            </w:r>
          </w:p>
        </w:tc>
        <w:tc>
          <w:tcPr>
            <w:tcW w:w="2466" w:type="dxa"/>
          </w:tcPr>
          <w:p w14:paraId="2ABB7FB6" w14:textId="59F7D541" w:rsidR="00396789" w:rsidRPr="00436840" w:rsidRDefault="00396789" w:rsidP="00D17AB5">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b/>
                <w:bCs/>
                <w:sz w:val="20"/>
                <w:szCs w:val="20"/>
                <w:lang w:eastAsia="en-AU"/>
              </w:rPr>
              <w:t>Inclusion </w:t>
            </w:r>
            <w:r w:rsidRPr="00436840">
              <w:rPr>
                <w:rFonts w:ascii="Arial Narrow" w:eastAsia="Times New Roman" w:hAnsi="Arial Narrow" w:cs="Segoe UI"/>
                <w:sz w:val="20"/>
                <w:szCs w:val="20"/>
                <w:lang w:eastAsia="en-AU"/>
              </w:rPr>
              <w:t>Studies with all the following:</w:t>
            </w:r>
          </w:p>
          <w:p w14:paraId="761F2E20" w14:textId="69C10956" w:rsidR="00396789" w:rsidRPr="00436840" w:rsidRDefault="00396789" w:rsidP="00D17AB5">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w:t>
            </w:r>
            <w:r w:rsidR="009E445E">
              <w:rPr>
                <w:rFonts w:ascii="Arial Narrow" w:eastAsia="Times New Roman" w:hAnsi="Arial Narrow" w:cs="Segoe UI"/>
                <w:sz w:val="20"/>
                <w:szCs w:val="20"/>
                <w:lang w:eastAsia="en-AU"/>
              </w:rPr>
              <w:t>CTs</w:t>
            </w:r>
            <w:r w:rsidRPr="00436840">
              <w:rPr>
                <w:rFonts w:ascii="Arial Narrow" w:eastAsia="Times New Roman" w:hAnsi="Arial Narrow" w:cs="Segoe UI"/>
                <w:sz w:val="20"/>
                <w:szCs w:val="20"/>
                <w:lang w:eastAsia="en-AU"/>
              </w:rPr>
              <w:t xml:space="preserve"> of LDCT screening for lung cancer</w:t>
            </w:r>
          </w:p>
          <w:p w14:paraId="253966A1" w14:textId="6B88F294" w:rsidR="00396789" w:rsidRPr="00436840" w:rsidRDefault="00396789" w:rsidP="00D17AB5">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-Non-LDCT control arm</w:t>
            </w:r>
          </w:p>
          <w:p w14:paraId="262302A2" w14:textId="7FCF0322" w:rsidR="00396789" w:rsidRPr="00436840" w:rsidRDefault="00396789" w:rsidP="00D17AB5">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-High-risk population of adults aged &gt;49 years</w:t>
            </w:r>
          </w:p>
          <w:p w14:paraId="2828DA05" w14:textId="122B771F" w:rsidR="00396789" w:rsidRPr="00436840" w:rsidRDefault="00396789" w:rsidP="00D17AB5">
            <w:pPr>
              <w:spacing w:before="0"/>
              <w:rPr>
                <w:rFonts w:ascii="Arial Narrow" w:eastAsia="Calibri" w:hAnsi="Arial Narrow" w:cs="Times New Roman"/>
                <w:b/>
                <w:bCs/>
                <w:sz w:val="20"/>
                <w:szCs w:val="20"/>
              </w:rPr>
            </w:pPr>
            <w:r w:rsidRPr="00436840">
              <w:rPr>
                <w:rFonts w:ascii="Arial Narrow" w:eastAsia="Calibri" w:hAnsi="Arial Narrow" w:cs="Segoe UI"/>
                <w:sz w:val="20"/>
                <w:szCs w:val="20"/>
              </w:rPr>
              <w:t xml:space="preserve">-Measure lung cancer mortality with at least </w:t>
            </w:r>
            <w:r w:rsidR="009E445E">
              <w:rPr>
                <w:rFonts w:ascii="Arial Narrow" w:eastAsia="Calibri" w:hAnsi="Arial Narrow" w:cs="Segoe UI"/>
                <w:sz w:val="20"/>
                <w:szCs w:val="20"/>
              </w:rPr>
              <w:t xml:space="preserve">3 years </w:t>
            </w:r>
            <w:r w:rsidRPr="00436840">
              <w:rPr>
                <w:rFonts w:ascii="Arial Narrow" w:eastAsia="Calibri" w:hAnsi="Arial Narrow" w:cs="Segoe UI"/>
                <w:sz w:val="20"/>
                <w:szCs w:val="20"/>
              </w:rPr>
              <w:t>median follow up</w:t>
            </w:r>
          </w:p>
        </w:tc>
        <w:tc>
          <w:tcPr>
            <w:tcW w:w="1086" w:type="dxa"/>
          </w:tcPr>
          <w:p w14:paraId="4240AB23" w14:textId="5F065D1C"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45F235D5" w14:textId="122EE5F3" w:rsidR="00396789" w:rsidRPr="00436840" w:rsidRDefault="00396789" w:rsidP="00D17AB5">
            <w:pPr>
              <w:spacing w:before="0"/>
              <w:jc w:val="center"/>
              <w:rPr>
                <w:rFonts w:ascii="Arial Narrow" w:eastAsia="Calibri" w:hAnsi="Arial Narrow" w:cs="Times New Roman"/>
                <w:sz w:val="20"/>
                <w:szCs w:val="20"/>
              </w:rPr>
            </w:pPr>
          </w:p>
        </w:tc>
        <w:tc>
          <w:tcPr>
            <w:tcW w:w="1162" w:type="dxa"/>
          </w:tcPr>
          <w:p w14:paraId="64A47DE1" w14:textId="66598A7B"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LDCT vs control</w:t>
            </w:r>
          </w:p>
          <w:p w14:paraId="53C21A48" w14:textId="77777777" w:rsidR="00D17AB5"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RR</w:t>
            </w:r>
            <w:r w:rsidR="009E445E">
              <w:rPr>
                <w:rFonts w:ascii="Arial Narrow" w:eastAsia="Times New Roman" w:hAnsi="Arial Narrow" w:cs="Segoe UI"/>
                <w:sz w:val="20"/>
                <w:szCs w:val="20"/>
                <w:lang w:eastAsia="en-AU"/>
              </w:rPr>
              <w:t>:</w:t>
            </w:r>
            <w:r w:rsidRPr="00436840">
              <w:rPr>
                <w:rFonts w:ascii="Arial Narrow" w:eastAsia="Times New Roman" w:hAnsi="Arial Narrow" w:cs="Segoe UI"/>
                <w:sz w:val="20"/>
                <w:szCs w:val="20"/>
                <w:lang w:eastAsia="en-AU"/>
              </w:rPr>
              <w:t xml:space="preserve"> 0.84</w:t>
            </w:r>
          </w:p>
          <w:p w14:paraId="15BACFDA" w14:textId="77777777" w:rsidR="00D17AB5" w:rsidRDefault="009E445E" w:rsidP="00D17AB5">
            <w:pPr>
              <w:spacing w:before="0"/>
              <w:jc w:val="center"/>
              <w:textAlignment w:val="baseline"/>
              <w:rPr>
                <w:rFonts w:ascii="Arial Narrow" w:eastAsia="Calibri" w:hAnsi="Arial Narrow" w:cs="Times New Roman"/>
                <w:sz w:val="20"/>
                <w:szCs w:val="20"/>
              </w:rPr>
            </w:pPr>
            <w:r>
              <w:rPr>
                <w:rFonts w:ascii="Arial Narrow" w:eastAsia="Calibri" w:hAnsi="Arial Narrow" w:cs="Times New Roman"/>
                <w:sz w:val="20"/>
                <w:szCs w:val="20"/>
              </w:rPr>
              <w:t>95% CI:</w:t>
            </w:r>
          </w:p>
          <w:p w14:paraId="157E0CDD" w14:textId="3AC4A095"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0.76</w:t>
            </w:r>
            <w:r w:rsidR="009E445E">
              <w:rPr>
                <w:rFonts w:ascii="Arial Narrow" w:eastAsia="Times New Roman" w:hAnsi="Arial Narrow" w:cs="Segoe UI"/>
                <w:sz w:val="20"/>
                <w:szCs w:val="20"/>
                <w:lang w:eastAsia="en-AU"/>
              </w:rPr>
              <w:t xml:space="preserve"> to </w:t>
            </w:r>
            <w:r w:rsidRPr="00436840">
              <w:rPr>
                <w:rFonts w:ascii="Arial Narrow" w:eastAsia="Times New Roman" w:hAnsi="Arial Narrow" w:cs="Segoe UI"/>
                <w:sz w:val="20"/>
                <w:szCs w:val="20"/>
                <w:lang w:eastAsia="en-AU"/>
              </w:rPr>
              <w:t>0.92</w:t>
            </w:r>
          </w:p>
          <w:p w14:paraId="78F20BF1" w14:textId="35BA6E8E" w:rsidR="009E445E" w:rsidRDefault="00396789" w:rsidP="00D17AB5">
            <w:pPr>
              <w:spacing w:before="0"/>
              <w:jc w:val="center"/>
              <w:rPr>
                <w:rFonts w:ascii="Arial Narrow" w:eastAsia="Calibri" w:hAnsi="Arial Narrow" w:cs="Segoe UI"/>
                <w:sz w:val="20"/>
                <w:szCs w:val="20"/>
              </w:rPr>
            </w:pPr>
            <w:r w:rsidRPr="00436840">
              <w:rPr>
                <w:rFonts w:ascii="Arial Narrow" w:eastAsia="Calibri" w:hAnsi="Arial Narrow" w:cs="Segoe UI"/>
                <w:sz w:val="20"/>
                <w:szCs w:val="20"/>
              </w:rPr>
              <w:t>I</w:t>
            </w:r>
            <w:r w:rsidRPr="00436840">
              <w:rPr>
                <w:rFonts w:ascii="Arial Narrow" w:eastAsia="Calibri" w:hAnsi="Arial Narrow" w:cs="Segoe UI"/>
                <w:sz w:val="20"/>
                <w:szCs w:val="20"/>
                <w:vertAlign w:val="superscript"/>
              </w:rPr>
              <w:t>2</w:t>
            </w:r>
            <w:r w:rsidR="009E445E">
              <w:rPr>
                <w:rFonts w:ascii="Arial Narrow" w:eastAsia="Calibri" w:hAnsi="Arial Narrow" w:cs="Segoe UI"/>
                <w:sz w:val="20"/>
                <w:szCs w:val="20"/>
              </w:rPr>
              <w:t xml:space="preserve"> = </w:t>
            </w:r>
            <w:r w:rsidRPr="00436840">
              <w:rPr>
                <w:rFonts w:ascii="Arial Narrow" w:eastAsia="Calibri" w:hAnsi="Arial Narrow" w:cs="Segoe UI"/>
                <w:sz w:val="20"/>
                <w:szCs w:val="20"/>
              </w:rPr>
              <w:t>14.2%</w:t>
            </w:r>
          </w:p>
          <w:p w14:paraId="2B467C66" w14:textId="37AA725D"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 xml:space="preserve">p = </w:t>
            </w:r>
            <w:r w:rsidR="00D17AB5">
              <w:rPr>
                <w:rFonts w:ascii="Arial Narrow" w:eastAsia="Calibri" w:hAnsi="Arial Narrow" w:cs="Segoe UI"/>
                <w:sz w:val="20"/>
                <w:szCs w:val="20"/>
              </w:rPr>
              <w:t>0</w:t>
            </w:r>
            <w:r w:rsidRPr="00436840">
              <w:rPr>
                <w:rFonts w:ascii="Arial Narrow" w:eastAsia="Calibri" w:hAnsi="Arial Narrow" w:cs="Segoe UI"/>
                <w:sz w:val="20"/>
                <w:szCs w:val="20"/>
              </w:rPr>
              <w:t>.312</w:t>
            </w:r>
          </w:p>
        </w:tc>
        <w:tc>
          <w:tcPr>
            <w:tcW w:w="1248" w:type="dxa"/>
          </w:tcPr>
          <w:p w14:paraId="29CCB390" w14:textId="06A04F8C"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LDCT vs control</w:t>
            </w:r>
          </w:p>
          <w:p w14:paraId="5DC73929" w14:textId="25AA5820" w:rsidR="00D17AB5"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RR</w:t>
            </w:r>
            <w:r w:rsidR="00B77874">
              <w:rPr>
                <w:rFonts w:ascii="Arial Narrow" w:eastAsia="Times New Roman" w:hAnsi="Arial Narrow" w:cs="Segoe UI"/>
                <w:sz w:val="20"/>
                <w:szCs w:val="20"/>
                <w:lang w:eastAsia="en-AU"/>
              </w:rPr>
              <w:t>:</w:t>
            </w:r>
            <w:r w:rsidRPr="00436840">
              <w:rPr>
                <w:rFonts w:ascii="Arial Narrow" w:eastAsia="Times New Roman" w:hAnsi="Arial Narrow" w:cs="Segoe UI"/>
                <w:sz w:val="20"/>
                <w:szCs w:val="20"/>
                <w:lang w:eastAsia="en-AU"/>
              </w:rPr>
              <w:t xml:space="preserve"> 0.97</w:t>
            </w:r>
          </w:p>
          <w:p w14:paraId="0ADE60C8" w14:textId="77777777" w:rsidR="00D17AB5" w:rsidRDefault="00D17AB5" w:rsidP="00D17AB5">
            <w:pPr>
              <w:spacing w:before="0"/>
              <w:jc w:val="center"/>
              <w:textAlignment w:val="baseline"/>
              <w:rPr>
                <w:rFonts w:ascii="Arial Narrow" w:eastAsia="Calibri" w:hAnsi="Arial Narrow" w:cs="Times New Roman"/>
                <w:sz w:val="20"/>
                <w:szCs w:val="20"/>
              </w:rPr>
            </w:pPr>
            <w:r>
              <w:rPr>
                <w:rFonts w:ascii="Arial Narrow" w:eastAsia="Calibri" w:hAnsi="Arial Narrow" w:cs="Times New Roman"/>
                <w:sz w:val="20"/>
                <w:szCs w:val="20"/>
              </w:rPr>
              <w:t>95% CI:</w:t>
            </w:r>
          </w:p>
          <w:p w14:paraId="0F63E664" w14:textId="1033A037"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0.794</w:t>
            </w:r>
            <w:r w:rsidR="00D17AB5">
              <w:rPr>
                <w:rFonts w:ascii="Arial Narrow" w:eastAsia="Times New Roman" w:hAnsi="Arial Narrow" w:cs="Segoe UI"/>
                <w:sz w:val="20"/>
                <w:szCs w:val="20"/>
                <w:lang w:eastAsia="en-AU"/>
              </w:rPr>
              <w:t xml:space="preserve"> to </w:t>
            </w:r>
            <w:r w:rsidRPr="00436840">
              <w:rPr>
                <w:rFonts w:ascii="Arial Narrow" w:eastAsia="Times New Roman" w:hAnsi="Arial Narrow" w:cs="Segoe UI"/>
                <w:sz w:val="20"/>
                <w:szCs w:val="20"/>
                <w:lang w:eastAsia="en-AU"/>
              </w:rPr>
              <w:t>1.00</w:t>
            </w:r>
          </w:p>
          <w:p w14:paraId="3D7FE2E9" w14:textId="77777777" w:rsidR="00D17AB5" w:rsidRDefault="00396789" w:rsidP="00D17AB5">
            <w:pPr>
              <w:spacing w:before="0"/>
              <w:jc w:val="center"/>
              <w:rPr>
                <w:rFonts w:ascii="Arial Narrow" w:eastAsia="Calibri" w:hAnsi="Arial Narrow" w:cs="Segoe UI"/>
                <w:sz w:val="20"/>
                <w:szCs w:val="20"/>
              </w:rPr>
            </w:pPr>
            <w:r w:rsidRPr="00436840">
              <w:rPr>
                <w:rFonts w:ascii="Arial Narrow" w:eastAsia="Calibri" w:hAnsi="Arial Narrow" w:cs="Segoe UI"/>
                <w:sz w:val="20"/>
                <w:szCs w:val="20"/>
              </w:rPr>
              <w:t>I</w:t>
            </w:r>
            <w:r w:rsidRPr="00436840">
              <w:rPr>
                <w:rFonts w:ascii="Arial Narrow" w:eastAsia="Calibri" w:hAnsi="Arial Narrow" w:cs="Segoe UI"/>
                <w:sz w:val="20"/>
                <w:szCs w:val="20"/>
                <w:vertAlign w:val="superscript"/>
              </w:rPr>
              <w:t>2</w:t>
            </w:r>
            <w:r w:rsidR="00D17AB5">
              <w:rPr>
                <w:rFonts w:ascii="Arial Narrow" w:eastAsia="Calibri" w:hAnsi="Arial Narrow" w:cs="Segoe UI"/>
                <w:sz w:val="20"/>
                <w:szCs w:val="20"/>
              </w:rPr>
              <w:t xml:space="preserve"> = </w:t>
            </w:r>
            <w:r w:rsidRPr="00436840">
              <w:rPr>
                <w:rFonts w:ascii="Arial Narrow" w:eastAsia="Calibri" w:hAnsi="Arial Narrow" w:cs="Segoe UI"/>
                <w:sz w:val="20"/>
                <w:szCs w:val="20"/>
              </w:rPr>
              <w:t>0%</w:t>
            </w:r>
          </w:p>
          <w:p w14:paraId="068A38CA" w14:textId="20F22EAE"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 xml:space="preserve">p = </w:t>
            </w:r>
            <w:r w:rsidR="00D17AB5">
              <w:rPr>
                <w:rFonts w:ascii="Arial Narrow" w:eastAsia="Calibri" w:hAnsi="Arial Narrow" w:cs="Segoe UI"/>
                <w:sz w:val="20"/>
                <w:szCs w:val="20"/>
              </w:rPr>
              <w:t>0</w:t>
            </w:r>
            <w:r w:rsidRPr="00436840">
              <w:rPr>
                <w:rFonts w:ascii="Arial Narrow" w:eastAsia="Calibri" w:hAnsi="Arial Narrow" w:cs="Segoe UI"/>
                <w:sz w:val="20"/>
                <w:szCs w:val="20"/>
              </w:rPr>
              <w:t>.611</w:t>
            </w:r>
          </w:p>
        </w:tc>
        <w:tc>
          <w:tcPr>
            <w:tcW w:w="1417" w:type="dxa"/>
          </w:tcPr>
          <w:p w14:paraId="7FB1422B" w14:textId="2D902227" w:rsidR="00396789" w:rsidRPr="00436840" w:rsidRDefault="00396789" w:rsidP="00D17AB5">
            <w:pPr>
              <w:spacing w:before="0"/>
              <w:jc w:val="center"/>
              <w:rPr>
                <w:rFonts w:ascii="Arial Narrow" w:eastAsia="Calibri" w:hAnsi="Arial Narrow" w:cs="Times New Roman"/>
                <w:sz w:val="20"/>
                <w:szCs w:val="20"/>
              </w:rPr>
            </w:pPr>
          </w:p>
        </w:tc>
        <w:tc>
          <w:tcPr>
            <w:tcW w:w="1134" w:type="dxa"/>
          </w:tcPr>
          <w:p w14:paraId="4E4472F1" w14:textId="0D7AF9F4"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32FA6330" w14:textId="41D3B991"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4ABC07E5" w14:textId="7777777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Segoe UI"/>
                <w:sz w:val="20"/>
                <w:szCs w:val="20"/>
              </w:rPr>
              <w:t> </w:t>
            </w:r>
          </w:p>
        </w:tc>
        <w:tc>
          <w:tcPr>
            <w:tcW w:w="2320" w:type="dxa"/>
          </w:tcPr>
          <w:p w14:paraId="2A87C5C4" w14:textId="299358DD"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Segoe UI"/>
                <w:sz w:val="20"/>
                <w:szCs w:val="20"/>
              </w:rPr>
              <w:t>In conclusion the meta-analysis incorporating the results from nine RCTs provides further support for lung cancer screening by low-dose chest CT</w:t>
            </w:r>
            <w:r w:rsidR="009E445E">
              <w:rPr>
                <w:rFonts w:ascii="Arial Narrow" w:eastAsia="Calibri" w:hAnsi="Arial Narrow" w:cs="Segoe UI"/>
                <w:sz w:val="20"/>
                <w:szCs w:val="20"/>
              </w:rPr>
              <w:t>.</w:t>
            </w:r>
          </w:p>
        </w:tc>
      </w:tr>
      <w:tr w:rsidR="004D16BA" w:rsidRPr="00436840" w14:paraId="5C25F6DA" w14:textId="77777777" w:rsidTr="005F55BF">
        <w:tc>
          <w:tcPr>
            <w:tcW w:w="1151" w:type="dxa"/>
          </w:tcPr>
          <w:p w14:paraId="4E3BD456" w14:textId="0534775A" w:rsidR="00396789" w:rsidRPr="00436840" w:rsidRDefault="00033AFC" w:rsidP="00396789">
            <w:pPr>
              <w:spacing w:before="0"/>
              <w:rPr>
                <w:rFonts w:ascii="Arial Narrow" w:eastAsia="Calibri" w:hAnsi="Arial Narrow" w:cs="Times New Roman"/>
                <w:sz w:val="20"/>
                <w:szCs w:val="20"/>
              </w:rPr>
            </w:pPr>
            <w:hyperlink r:id="rId22" w:history="1">
              <w:r w:rsidR="00396789" w:rsidRPr="00436840">
                <w:rPr>
                  <w:rFonts w:ascii="Arial Narrow" w:eastAsia="Calibri" w:hAnsi="Arial Narrow" w:cs="Times New Roman"/>
                  <w:sz w:val="20"/>
                  <w:szCs w:val="20"/>
                </w:rPr>
                <w:t>Hoffman et al.</w:t>
              </w:r>
            </w:hyperlink>
          </w:p>
          <w:p w14:paraId="0C003CC4" w14:textId="48D3767C"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2020</w:t>
            </w:r>
            <w:r w:rsidR="00C85858" w:rsidRPr="00436840">
              <w:rPr>
                <w:rStyle w:val="FootnoteReference"/>
                <w:rFonts w:ascii="Arial Narrow" w:eastAsia="Calibri" w:hAnsi="Arial Narrow" w:cs="Times New Roman"/>
                <w:sz w:val="20"/>
                <w:szCs w:val="20"/>
              </w:rPr>
              <w:footnoteReference w:id="39"/>
            </w:r>
          </w:p>
          <w:p w14:paraId="6BF78100" w14:textId="774FA3E8" w:rsidR="00396789" w:rsidRPr="00436840" w:rsidRDefault="00396789" w:rsidP="005F445D">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ID not registered/ provided</w:t>
            </w:r>
          </w:p>
        </w:tc>
        <w:tc>
          <w:tcPr>
            <w:tcW w:w="1146" w:type="dxa"/>
          </w:tcPr>
          <w:p w14:paraId="111CC0CA"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96,559</w:t>
            </w:r>
          </w:p>
        </w:tc>
        <w:tc>
          <w:tcPr>
            <w:tcW w:w="1105" w:type="dxa"/>
          </w:tcPr>
          <w:p w14:paraId="171CBEB5"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LSS</w:t>
            </w:r>
          </w:p>
          <w:p w14:paraId="44CCD782"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DANTE</w:t>
            </w:r>
          </w:p>
          <w:p w14:paraId="01746116"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NLST</w:t>
            </w:r>
          </w:p>
          <w:p w14:paraId="68BD27B6"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NELSON</w:t>
            </w:r>
          </w:p>
          <w:p w14:paraId="3BA95D17"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DLCST</w:t>
            </w:r>
          </w:p>
          <w:p w14:paraId="6B6516D7"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ITALUNG</w:t>
            </w:r>
          </w:p>
          <w:p w14:paraId="202A2DF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MILD</w:t>
            </w:r>
          </w:p>
          <w:p w14:paraId="0D3334BB"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LUSI</w:t>
            </w:r>
          </w:p>
          <w:p w14:paraId="007A9A0B"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AME</w:t>
            </w:r>
          </w:p>
        </w:tc>
        <w:tc>
          <w:tcPr>
            <w:tcW w:w="1854" w:type="dxa"/>
          </w:tcPr>
          <w:p w14:paraId="7A743CA2" w14:textId="77777777" w:rsidR="00396789" w:rsidRPr="00436840" w:rsidRDefault="00396789" w:rsidP="00D17AB5">
            <w:pPr>
              <w:spacing w:before="0"/>
              <w:jc w:val="center"/>
              <w:rPr>
                <w:rFonts w:ascii="Arial Narrow" w:eastAsia="Calibri" w:hAnsi="Arial Narrow" w:cs="Times New Roman"/>
                <w:sz w:val="20"/>
                <w:szCs w:val="20"/>
              </w:rPr>
            </w:pPr>
          </w:p>
        </w:tc>
        <w:tc>
          <w:tcPr>
            <w:tcW w:w="973" w:type="dxa"/>
          </w:tcPr>
          <w:p w14:paraId="58470C3C" w14:textId="77777777" w:rsidR="00396789" w:rsidRPr="00436840" w:rsidRDefault="00396789" w:rsidP="00D17AB5">
            <w:pPr>
              <w:spacing w:before="0"/>
              <w:jc w:val="center"/>
              <w:rPr>
                <w:rFonts w:ascii="Arial Narrow" w:eastAsia="Calibri" w:hAnsi="Arial Narrow" w:cs="Times New Roman"/>
                <w:b/>
                <w:sz w:val="20"/>
                <w:szCs w:val="20"/>
              </w:rPr>
            </w:pPr>
            <w:r w:rsidRPr="00436840">
              <w:rPr>
                <w:rFonts w:ascii="Arial Narrow" w:eastAsia="Calibri" w:hAnsi="Arial Narrow" w:cs="Times New Roman"/>
                <w:sz w:val="20"/>
                <w:szCs w:val="20"/>
              </w:rPr>
              <w:t>January 2017 – April 2020</w:t>
            </w:r>
          </w:p>
        </w:tc>
        <w:tc>
          <w:tcPr>
            <w:tcW w:w="2466" w:type="dxa"/>
          </w:tcPr>
          <w:p w14:paraId="38AD4911" w14:textId="1AC24B9F" w:rsidR="00396789" w:rsidRPr="00436840" w:rsidRDefault="00396789" w:rsidP="00D17AB5">
            <w:pPr>
              <w:spacing w:before="0"/>
              <w:rPr>
                <w:rFonts w:ascii="Arial Narrow" w:eastAsia="Calibri" w:hAnsi="Arial Narrow" w:cs="Times New Roman"/>
                <w:sz w:val="20"/>
                <w:szCs w:val="20"/>
              </w:rPr>
            </w:pPr>
            <w:r w:rsidRPr="00436840">
              <w:rPr>
                <w:rFonts w:ascii="Arial Narrow" w:eastAsia="Calibri" w:hAnsi="Arial Narrow" w:cs="Times New Roman"/>
                <w:b/>
                <w:sz w:val="20"/>
                <w:szCs w:val="20"/>
              </w:rPr>
              <w:t>Inclusion:</w:t>
            </w:r>
            <w:r w:rsidRPr="00436840">
              <w:rPr>
                <w:rFonts w:ascii="Arial Narrow" w:eastAsia="Calibri" w:hAnsi="Arial Narrow" w:cs="Times New Roman"/>
                <w:sz w:val="20"/>
                <w:szCs w:val="20"/>
              </w:rPr>
              <w:t xml:space="preserve"> R</w:t>
            </w:r>
            <w:r w:rsidR="009E445E">
              <w:rPr>
                <w:rFonts w:ascii="Arial Narrow" w:eastAsia="Calibri" w:hAnsi="Arial Narrow" w:cs="Times New Roman"/>
                <w:sz w:val="20"/>
                <w:szCs w:val="20"/>
              </w:rPr>
              <w:t>CTs</w:t>
            </w:r>
            <w:r w:rsidRPr="00436840">
              <w:rPr>
                <w:rFonts w:ascii="Arial Narrow" w:eastAsia="Calibri" w:hAnsi="Arial Narrow" w:cs="Times New Roman"/>
                <w:sz w:val="20"/>
                <w:szCs w:val="20"/>
              </w:rPr>
              <w:t xml:space="preserve"> of CT that reported lung cancer and/or overall mortality data</w:t>
            </w:r>
          </w:p>
        </w:tc>
        <w:tc>
          <w:tcPr>
            <w:tcW w:w="1086" w:type="dxa"/>
          </w:tcPr>
          <w:p w14:paraId="6AD8E0E6" w14:textId="77777777"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24812FDA" w14:textId="6849CD93"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53EFA00A" w14:textId="78A329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Stage 1 cancers detected</w:t>
            </w:r>
          </w:p>
          <w:p w14:paraId="3DD388C9"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2.73</w:t>
            </w:r>
          </w:p>
          <w:p w14:paraId="0F82CA14" w14:textId="773366C6" w:rsidR="004D16BA" w:rsidRDefault="00D17A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41B8BE27" w14:textId="278F16C4"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1.90</w:t>
            </w:r>
            <w:r w:rsidR="00D17AB5">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3.91</w:t>
            </w:r>
          </w:p>
          <w:p w14:paraId="23B1AF7C"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79%</w:t>
            </w:r>
          </w:p>
          <w:p w14:paraId="738CB30B" w14:textId="6278979B" w:rsidR="004D16BA" w:rsidRDefault="00D17A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793D8362" w14:textId="77BD9FC8"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58%</w:t>
            </w:r>
            <w:r w:rsidR="00D17AB5">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89%</w:t>
            </w:r>
          </w:p>
        </w:tc>
        <w:tc>
          <w:tcPr>
            <w:tcW w:w="1162" w:type="dxa"/>
          </w:tcPr>
          <w:p w14:paraId="69597172" w14:textId="4C301FBE"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45D78844"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0.84</w:t>
            </w:r>
          </w:p>
          <w:p w14:paraId="621D60D4" w14:textId="37BC0584" w:rsidR="00D17AB5" w:rsidRDefault="009E445E"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r w:rsidR="009C5EDD">
              <w:rPr>
                <w:rFonts w:ascii="Arial Narrow" w:eastAsia="Calibri" w:hAnsi="Arial Narrow" w:cs="Times New Roman"/>
                <w:sz w:val="20"/>
                <w:szCs w:val="20"/>
              </w:rPr>
              <w:t>:</w:t>
            </w:r>
          </w:p>
          <w:p w14:paraId="75E3321A" w14:textId="771177D3"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0.75</w:t>
            </w:r>
            <w:r w:rsidR="009E445E">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0.93</w:t>
            </w:r>
          </w:p>
          <w:p w14:paraId="46E47116"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0%</w:t>
            </w:r>
          </w:p>
          <w:p w14:paraId="7F40498E" w14:textId="77777777" w:rsidR="00D17AB5" w:rsidRDefault="009E445E"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2805F726" w14:textId="6052D6E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w:t>
            </w:r>
            <w:r w:rsidR="009E445E">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64%</w:t>
            </w:r>
          </w:p>
        </w:tc>
        <w:tc>
          <w:tcPr>
            <w:tcW w:w="1248" w:type="dxa"/>
          </w:tcPr>
          <w:p w14:paraId="07E72F45"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44237B69"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0.96</w:t>
            </w:r>
          </w:p>
          <w:p w14:paraId="42E95A91" w14:textId="77777777" w:rsidR="00D17AB5" w:rsidRDefault="00D17A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6CC9138C" w14:textId="0D445534"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0.91</w:t>
            </w:r>
            <w:r w:rsidR="00D17AB5">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1.01</w:t>
            </w:r>
          </w:p>
          <w:p w14:paraId="7BE61074"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0%</w:t>
            </w:r>
          </w:p>
          <w:p w14:paraId="1E436C88" w14:textId="77777777" w:rsidR="00D17AB5" w:rsidRDefault="00D17A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2CAAE348" w14:textId="1BA7511C"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w:t>
            </w:r>
            <w:r w:rsidR="00D17AB5">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66%</w:t>
            </w:r>
          </w:p>
        </w:tc>
        <w:tc>
          <w:tcPr>
            <w:tcW w:w="1417" w:type="dxa"/>
          </w:tcPr>
          <w:p w14:paraId="32DDFCF3"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33%</w:t>
            </w:r>
          </w:p>
        </w:tc>
        <w:tc>
          <w:tcPr>
            <w:tcW w:w="1134" w:type="dxa"/>
          </w:tcPr>
          <w:p w14:paraId="26170641" w14:textId="2F7E94CC" w:rsidR="004D16BA" w:rsidRDefault="00931DBE"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8%</w:t>
            </w:r>
          </w:p>
          <w:p w14:paraId="64CD9FF5" w14:textId="77777777" w:rsidR="004D16BA" w:rsidRDefault="00D17A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093DCE2C" w14:textId="3F7E709E"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 xml:space="preserve">4% </w:t>
            </w:r>
            <w:r w:rsidR="00D17AB5">
              <w:rPr>
                <w:rFonts w:ascii="Arial Narrow" w:eastAsia="Calibri" w:hAnsi="Arial Narrow" w:cs="Times New Roman"/>
                <w:sz w:val="20"/>
                <w:szCs w:val="20"/>
              </w:rPr>
              <w:t>to</w:t>
            </w:r>
            <w:r w:rsidRPr="00436840">
              <w:rPr>
                <w:rFonts w:ascii="Arial Narrow" w:eastAsia="Calibri" w:hAnsi="Arial Narrow" w:cs="Times New Roman"/>
                <w:sz w:val="20"/>
                <w:szCs w:val="20"/>
              </w:rPr>
              <w:t xml:space="preserve"> 15%</w:t>
            </w:r>
          </w:p>
        </w:tc>
        <w:tc>
          <w:tcPr>
            <w:tcW w:w="920" w:type="dxa"/>
          </w:tcPr>
          <w:p w14:paraId="231B23EF" w14:textId="77777777"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40F16999" w14:textId="1D5A358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Risk of bias low</w:t>
            </w:r>
            <w:r w:rsidR="009E445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Population generalisability</w:t>
            </w:r>
            <w:r w:rsidR="009E445E">
              <w:rPr>
                <w:rFonts w:ascii="Arial Narrow" w:eastAsia="Calibri" w:hAnsi="Arial Narrow" w:cs="Times New Roman"/>
                <w:sz w:val="20"/>
                <w:szCs w:val="20"/>
              </w:rPr>
              <w:t>.</w:t>
            </w:r>
          </w:p>
          <w:p w14:paraId="536F3729" w14:textId="28C4331E"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One study included second</w:t>
            </w:r>
            <w:r w:rsidR="00A112F0">
              <w:rPr>
                <w:rFonts w:ascii="Arial Narrow" w:eastAsia="Calibri" w:hAnsi="Arial Narrow" w:cs="Times New Roman"/>
                <w:sz w:val="20"/>
                <w:szCs w:val="20"/>
              </w:rPr>
              <w:t>-</w:t>
            </w:r>
            <w:r w:rsidRPr="00436840">
              <w:rPr>
                <w:rFonts w:ascii="Arial Narrow" w:eastAsia="Calibri" w:hAnsi="Arial Narrow" w:cs="Times New Roman"/>
                <w:sz w:val="20"/>
                <w:szCs w:val="20"/>
              </w:rPr>
              <w:t>hand smoke</w:t>
            </w:r>
            <w:r w:rsidR="009E445E">
              <w:rPr>
                <w:rFonts w:ascii="Arial Narrow" w:eastAsia="Calibri" w:hAnsi="Arial Narrow" w:cs="Times New Roman"/>
                <w:sz w:val="20"/>
                <w:szCs w:val="20"/>
              </w:rPr>
              <w:t>.</w:t>
            </w:r>
          </w:p>
          <w:p w14:paraId="6882A08C" w14:textId="09E9CCC9"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Translatability from trial to practice</w:t>
            </w:r>
            <w:r w:rsidR="009E445E">
              <w:rPr>
                <w:rFonts w:ascii="Arial Narrow" w:eastAsia="Calibri" w:hAnsi="Arial Narrow" w:cs="Times New Roman"/>
                <w:sz w:val="20"/>
                <w:szCs w:val="20"/>
              </w:rPr>
              <w:t>.</w:t>
            </w:r>
          </w:p>
        </w:tc>
        <w:tc>
          <w:tcPr>
            <w:tcW w:w="2320" w:type="dxa"/>
          </w:tcPr>
          <w:p w14:paraId="7655FF09" w14:textId="21666E6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xml:space="preserve">Our meta-analysis, utilizing the most recently published </w:t>
            </w:r>
            <w:r w:rsidR="009E445E">
              <w:rPr>
                <w:rFonts w:ascii="Arial Narrow" w:eastAsia="Calibri" w:hAnsi="Arial Narrow" w:cs="Times New Roman"/>
                <w:sz w:val="20"/>
                <w:szCs w:val="20"/>
              </w:rPr>
              <w:t>RCT</w:t>
            </w:r>
            <w:r w:rsidRPr="00436840">
              <w:rPr>
                <w:rFonts w:ascii="Arial Narrow" w:eastAsia="Calibri" w:hAnsi="Arial Narrow" w:cs="Times New Roman"/>
                <w:sz w:val="20"/>
                <w:szCs w:val="20"/>
              </w:rPr>
              <w:t xml:space="preserve"> data, demonstrated that LDCT screening is associated with a significant reduction of lung cancer mortality though not overall mortality. Women appeared more likely to benefit from screening than men, but data were inconclusive. The estimated risks for false positive results, screening complications, overdiagnosis, and incidental findings were low.</w:t>
            </w:r>
          </w:p>
        </w:tc>
      </w:tr>
      <w:tr w:rsidR="004D16BA" w:rsidRPr="00436840" w14:paraId="5DD868AF" w14:textId="77777777" w:rsidTr="005F55BF">
        <w:tc>
          <w:tcPr>
            <w:tcW w:w="1151" w:type="dxa"/>
          </w:tcPr>
          <w:p w14:paraId="27B31714" w14:textId="4406D37B" w:rsidR="00396789" w:rsidRPr="00436840" w:rsidRDefault="00033AFC" w:rsidP="00396789">
            <w:pPr>
              <w:spacing w:before="0"/>
              <w:textAlignment w:val="baseline"/>
              <w:rPr>
                <w:rFonts w:ascii="Arial Narrow" w:eastAsia="Times New Roman" w:hAnsi="Arial Narrow" w:cs="Segoe UI"/>
                <w:sz w:val="20"/>
                <w:szCs w:val="20"/>
                <w:lang w:eastAsia="en-AU"/>
              </w:rPr>
            </w:pPr>
            <w:hyperlink r:id="rId23" w:history="1">
              <w:r w:rsidR="00396789" w:rsidRPr="00436840">
                <w:rPr>
                  <w:rFonts w:ascii="Arial Narrow" w:eastAsia="Calibri" w:hAnsi="Arial Narrow" w:cs="Times New Roman"/>
                  <w:sz w:val="20"/>
                  <w:szCs w:val="20"/>
                </w:rPr>
                <w:t>Ebell et al.</w:t>
              </w:r>
            </w:hyperlink>
          </w:p>
          <w:p w14:paraId="566D03CF" w14:textId="1926ADF1" w:rsidR="00396789" w:rsidRPr="00436840" w:rsidRDefault="00396789" w:rsidP="00396789">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2020</w:t>
            </w:r>
            <w:r w:rsidR="007612BD" w:rsidRPr="00436840">
              <w:rPr>
                <w:rStyle w:val="FootnoteReference"/>
                <w:rFonts w:ascii="Arial Narrow" w:eastAsia="Times New Roman" w:hAnsi="Arial Narrow" w:cs="Segoe UI"/>
                <w:sz w:val="20"/>
                <w:szCs w:val="20"/>
                <w:lang w:eastAsia="en-AU"/>
              </w:rPr>
              <w:footnoteReference w:id="40"/>
            </w:r>
          </w:p>
          <w:p w14:paraId="2892EAEE" w14:textId="77777777" w:rsidR="005F55BF" w:rsidRDefault="00396789" w:rsidP="005F445D">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CRD</w:t>
            </w:r>
          </w:p>
          <w:p w14:paraId="1073B47B" w14:textId="0D8453E3" w:rsidR="00396789" w:rsidRPr="00436840" w:rsidRDefault="00396789" w:rsidP="005F445D">
            <w:pPr>
              <w:spacing w:before="0"/>
              <w:textAlignment w:val="baseline"/>
              <w:rPr>
                <w:rFonts w:ascii="Arial Narrow" w:eastAsia="Calibri" w:hAnsi="Arial Narrow" w:cs="Times New Roman"/>
                <w:sz w:val="20"/>
                <w:szCs w:val="20"/>
              </w:rPr>
            </w:pPr>
            <w:r w:rsidRPr="00436840">
              <w:rPr>
                <w:rFonts w:ascii="Arial Narrow" w:eastAsia="Times New Roman" w:hAnsi="Arial Narrow" w:cs="Segoe UI"/>
                <w:sz w:val="20"/>
                <w:szCs w:val="20"/>
                <w:lang w:eastAsia="en-AU"/>
              </w:rPr>
              <w:t>42020171213</w:t>
            </w:r>
          </w:p>
        </w:tc>
        <w:tc>
          <w:tcPr>
            <w:tcW w:w="1146" w:type="dxa"/>
          </w:tcPr>
          <w:p w14:paraId="41DF9119" w14:textId="7282C4C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90,475</w:t>
            </w:r>
          </w:p>
        </w:tc>
        <w:tc>
          <w:tcPr>
            <w:tcW w:w="1105" w:type="dxa"/>
          </w:tcPr>
          <w:p w14:paraId="38CE51B0" w14:textId="0C4C4D6B"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LSS</w:t>
            </w:r>
          </w:p>
          <w:p w14:paraId="5E208C1A" w14:textId="5B7AAD04"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MILD</w:t>
            </w:r>
          </w:p>
          <w:p w14:paraId="21ABA002" w14:textId="3246A6D3"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NSLT</w:t>
            </w:r>
          </w:p>
          <w:p w14:paraId="5026290B" w14:textId="7C966FA9"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DANTE</w:t>
            </w:r>
          </w:p>
          <w:p w14:paraId="63016D4D" w14:textId="18CFF27D"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LUSI</w:t>
            </w:r>
          </w:p>
          <w:p w14:paraId="48CB08CD" w14:textId="2AABB874"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ITALUNG</w:t>
            </w:r>
          </w:p>
          <w:p w14:paraId="301D748B" w14:textId="3AD579BA"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DLCST</w:t>
            </w:r>
          </w:p>
          <w:p w14:paraId="06C8CC1C" w14:textId="7A30BD27" w:rsidR="00396789" w:rsidRPr="00436840" w:rsidRDefault="00396789" w:rsidP="00D17AB5">
            <w:pPr>
              <w:spacing w:before="0"/>
              <w:jc w:val="center"/>
              <w:textAlignment w:val="baseline"/>
              <w:rPr>
                <w:rFonts w:ascii="Arial Narrow" w:eastAsia="Calibri" w:hAnsi="Arial Narrow" w:cs="Times New Roman"/>
                <w:sz w:val="20"/>
                <w:szCs w:val="20"/>
              </w:rPr>
            </w:pPr>
            <w:r w:rsidRPr="00436840">
              <w:rPr>
                <w:rFonts w:ascii="Arial Narrow" w:eastAsia="Times New Roman" w:hAnsi="Arial Narrow" w:cs="Segoe UI"/>
                <w:sz w:val="20"/>
                <w:szCs w:val="20"/>
                <w:lang w:eastAsia="en-AU"/>
              </w:rPr>
              <w:t>NELSON</w:t>
            </w:r>
          </w:p>
        </w:tc>
        <w:tc>
          <w:tcPr>
            <w:tcW w:w="1854" w:type="dxa"/>
          </w:tcPr>
          <w:p w14:paraId="4962E2E4" w14:textId="7AB8A0E5"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AME -</w:t>
            </w:r>
            <w:r w:rsidR="005F445D">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large imbalance between the number of patients</w:t>
            </w:r>
            <w:r w:rsidR="005F445D">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in the screening and control groups (3,512 vs 3,145)</w:t>
            </w:r>
            <w:r w:rsidR="005F445D">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and provided no details regarding randomization</w:t>
            </w:r>
            <w:r w:rsidR="005F445D">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procedures or concealment of allocation</w:t>
            </w:r>
          </w:p>
        </w:tc>
        <w:tc>
          <w:tcPr>
            <w:tcW w:w="973" w:type="dxa"/>
          </w:tcPr>
          <w:p w14:paraId="71A7124D" w14:textId="2B25071F"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Up to 26 February 2020</w:t>
            </w:r>
          </w:p>
        </w:tc>
        <w:tc>
          <w:tcPr>
            <w:tcW w:w="2466" w:type="dxa"/>
          </w:tcPr>
          <w:p w14:paraId="18E2A041" w14:textId="383BD736" w:rsidR="00396789" w:rsidRPr="00436840" w:rsidRDefault="00396789" w:rsidP="00D17AB5">
            <w:pPr>
              <w:spacing w:before="0"/>
              <w:textAlignment w:val="baseline"/>
              <w:rPr>
                <w:rFonts w:ascii="Arial Narrow" w:eastAsia="Calibri" w:hAnsi="Arial Narrow" w:cs="Times New Roman"/>
                <w:b/>
                <w:sz w:val="20"/>
                <w:szCs w:val="20"/>
              </w:rPr>
            </w:pPr>
            <w:r w:rsidRPr="00436840">
              <w:rPr>
                <w:rFonts w:ascii="Arial Narrow" w:eastAsia="Times New Roman" w:hAnsi="Arial Narrow" w:cs="Segoe UI"/>
                <w:b/>
                <w:bCs/>
                <w:sz w:val="20"/>
                <w:szCs w:val="20"/>
                <w:lang w:eastAsia="en-AU"/>
              </w:rPr>
              <w:t>Inclusion</w:t>
            </w:r>
            <w:r w:rsidRPr="00436840">
              <w:rPr>
                <w:rFonts w:ascii="Arial Narrow" w:eastAsia="Times New Roman" w:hAnsi="Arial Narrow" w:cs="Segoe UI"/>
                <w:sz w:val="20"/>
                <w:szCs w:val="20"/>
                <w:lang w:eastAsia="en-AU"/>
              </w:rPr>
              <w:t>:</w:t>
            </w:r>
            <w:r w:rsidR="005F445D">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 xml:space="preserve">required </w:t>
            </w:r>
            <w:r w:rsidR="009E445E">
              <w:rPr>
                <w:rFonts w:ascii="Arial Narrow" w:eastAsia="Times New Roman" w:hAnsi="Arial Narrow" w:cs="Segoe UI"/>
                <w:sz w:val="20"/>
                <w:szCs w:val="20"/>
                <w:lang w:eastAsia="en-AU"/>
              </w:rPr>
              <w:t>RCTs</w:t>
            </w:r>
            <w:r w:rsidRPr="00436840">
              <w:rPr>
                <w:rFonts w:ascii="Arial Narrow" w:eastAsia="Calibri" w:hAnsi="Arial Narrow" w:cs="Segoe UI"/>
                <w:sz w:val="20"/>
                <w:szCs w:val="20"/>
              </w:rPr>
              <w:t xml:space="preserve"> and a low risk of bias, and</w:t>
            </w:r>
            <w:r w:rsidR="009C5EDD">
              <w:rPr>
                <w:rFonts w:ascii="Arial Narrow" w:eastAsia="Calibri" w:hAnsi="Arial Narrow" w:cs="Segoe UI"/>
                <w:sz w:val="20"/>
                <w:szCs w:val="20"/>
              </w:rPr>
              <w:t xml:space="preserve"> </w:t>
            </w:r>
            <w:r w:rsidRPr="00436840">
              <w:rPr>
                <w:rFonts w:ascii="Arial Narrow" w:eastAsia="Calibri" w:hAnsi="Arial Narrow" w:cs="Segoe UI"/>
                <w:sz w:val="20"/>
                <w:szCs w:val="20"/>
              </w:rPr>
              <w:t>compared LDCT with chest radiography or usual care in adults at elevated risk for lung cancer</w:t>
            </w:r>
          </w:p>
        </w:tc>
        <w:tc>
          <w:tcPr>
            <w:tcW w:w="1086" w:type="dxa"/>
          </w:tcPr>
          <w:p w14:paraId="0296BF50" w14:textId="4B221EC8"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LDCT vs control</w:t>
            </w:r>
          </w:p>
          <w:p w14:paraId="0EC715D3" w14:textId="0806761A" w:rsidR="004D16BA"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RR:</w:t>
            </w:r>
            <w:r w:rsidR="00E121CF">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1.25</w:t>
            </w:r>
          </w:p>
          <w:p w14:paraId="6C361DF3" w14:textId="4C7E9DCD" w:rsidR="00396789" w:rsidRPr="00436840" w:rsidRDefault="005F445D" w:rsidP="00D17AB5">
            <w:pPr>
              <w:spacing w:before="0"/>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 xml:space="preserve">95% CI: </w:t>
            </w:r>
            <w:r w:rsidR="00396789" w:rsidRPr="00436840">
              <w:rPr>
                <w:rFonts w:ascii="Arial Narrow" w:eastAsia="Times New Roman" w:hAnsi="Arial Narrow" w:cs="Segoe UI"/>
                <w:sz w:val="20"/>
                <w:szCs w:val="20"/>
                <w:lang w:eastAsia="en-AU"/>
              </w:rPr>
              <w:t>1.02</w:t>
            </w:r>
            <w:r>
              <w:rPr>
                <w:rFonts w:ascii="Arial Narrow" w:eastAsia="Times New Roman" w:hAnsi="Arial Narrow" w:cs="Segoe UI"/>
                <w:sz w:val="20"/>
                <w:szCs w:val="20"/>
                <w:lang w:eastAsia="en-AU"/>
              </w:rPr>
              <w:t xml:space="preserve"> to </w:t>
            </w:r>
            <w:r w:rsidR="00396789" w:rsidRPr="00436840">
              <w:rPr>
                <w:rFonts w:ascii="Arial Narrow" w:eastAsia="Times New Roman" w:hAnsi="Arial Narrow" w:cs="Segoe UI"/>
                <w:sz w:val="20"/>
                <w:szCs w:val="20"/>
                <w:lang w:eastAsia="en-AU"/>
              </w:rPr>
              <w:t>1.55</w:t>
            </w:r>
          </w:p>
          <w:p w14:paraId="0D5D6F79" w14:textId="77777777" w:rsidR="004D16BA" w:rsidRDefault="00396789" w:rsidP="00D17AB5">
            <w:pPr>
              <w:spacing w:before="0"/>
              <w:jc w:val="center"/>
              <w:textAlignment w:val="baseline"/>
              <w:rPr>
                <w:rFonts w:ascii="Arial Narrow" w:eastAsia="Calibri" w:hAnsi="Arial Narrow" w:cs="Segoe UI"/>
                <w:sz w:val="20"/>
                <w:szCs w:val="20"/>
              </w:rPr>
            </w:pPr>
            <w:r w:rsidRPr="00436840">
              <w:rPr>
                <w:rFonts w:ascii="Arial Narrow" w:eastAsia="Calibri" w:hAnsi="Arial Narrow" w:cs="Segoe UI"/>
                <w:sz w:val="20"/>
                <w:szCs w:val="20"/>
              </w:rPr>
              <w:t>I</w:t>
            </w:r>
            <w:r w:rsidRPr="00436840">
              <w:rPr>
                <w:rFonts w:ascii="Arial Narrow" w:eastAsia="Calibri" w:hAnsi="Arial Narrow" w:cs="Segoe UI"/>
                <w:sz w:val="20"/>
                <w:szCs w:val="20"/>
                <w:vertAlign w:val="superscript"/>
              </w:rPr>
              <w:t>2</w:t>
            </w:r>
            <w:r w:rsidR="005F445D" w:rsidRPr="005F445D">
              <w:rPr>
                <w:rFonts w:ascii="Arial Narrow" w:eastAsia="Calibri" w:hAnsi="Arial Narrow" w:cs="Segoe UI"/>
                <w:sz w:val="20"/>
                <w:szCs w:val="20"/>
              </w:rPr>
              <w:t xml:space="preserve"> </w:t>
            </w:r>
            <w:r w:rsidRPr="00436840">
              <w:rPr>
                <w:rFonts w:ascii="Arial Narrow" w:eastAsia="Calibri" w:hAnsi="Arial Narrow" w:cs="Segoe UI"/>
                <w:sz w:val="20"/>
                <w:szCs w:val="20"/>
              </w:rPr>
              <w:t>= 66.8%</w:t>
            </w:r>
          </w:p>
          <w:p w14:paraId="5EE85C07" w14:textId="52BF81B0" w:rsidR="00396789" w:rsidRPr="00436840" w:rsidRDefault="00396789" w:rsidP="00D17AB5">
            <w:pPr>
              <w:spacing w:before="0"/>
              <w:jc w:val="center"/>
              <w:textAlignment w:val="baseline"/>
              <w:rPr>
                <w:rFonts w:ascii="Arial Narrow" w:eastAsia="Calibri" w:hAnsi="Arial Narrow" w:cs="Times New Roman"/>
                <w:sz w:val="20"/>
                <w:szCs w:val="20"/>
              </w:rPr>
            </w:pPr>
            <w:r w:rsidRPr="00436840">
              <w:rPr>
                <w:rFonts w:ascii="Arial Narrow" w:eastAsia="Calibri" w:hAnsi="Arial Narrow" w:cs="Segoe UI"/>
                <w:sz w:val="20"/>
                <w:szCs w:val="20"/>
              </w:rPr>
              <w:t xml:space="preserve">p = </w:t>
            </w:r>
            <w:r w:rsidR="005F445D">
              <w:rPr>
                <w:rFonts w:ascii="Arial Narrow" w:eastAsia="Calibri" w:hAnsi="Arial Narrow" w:cs="Segoe UI"/>
                <w:sz w:val="20"/>
                <w:szCs w:val="20"/>
              </w:rPr>
              <w:t>0</w:t>
            </w:r>
            <w:r w:rsidRPr="00436840">
              <w:rPr>
                <w:rFonts w:ascii="Arial Narrow" w:eastAsia="Calibri" w:hAnsi="Arial Narrow" w:cs="Segoe UI"/>
                <w:sz w:val="20"/>
                <w:szCs w:val="20"/>
              </w:rPr>
              <w:t>.017</w:t>
            </w:r>
          </w:p>
        </w:tc>
        <w:tc>
          <w:tcPr>
            <w:tcW w:w="1276" w:type="dxa"/>
          </w:tcPr>
          <w:p w14:paraId="131F71DB" w14:textId="1DC486C6" w:rsidR="00396789" w:rsidRPr="00436840" w:rsidRDefault="00396789" w:rsidP="00D17AB5">
            <w:pPr>
              <w:spacing w:before="0"/>
              <w:jc w:val="center"/>
              <w:rPr>
                <w:rFonts w:ascii="Arial Narrow" w:eastAsia="Calibri" w:hAnsi="Arial Narrow" w:cs="Times New Roman"/>
                <w:sz w:val="20"/>
                <w:szCs w:val="20"/>
              </w:rPr>
            </w:pPr>
          </w:p>
        </w:tc>
        <w:tc>
          <w:tcPr>
            <w:tcW w:w="1162" w:type="dxa"/>
          </w:tcPr>
          <w:p w14:paraId="45E24FE6" w14:textId="7D86A824"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LDCT vs control</w:t>
            </w:r>
          </w:p>
          <w:p w14:paraId="205B25FE" w14:textId="0126625C" w:rsidR="00D17AB5"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RR</w:t>
            </w:r>
            <w:r w:rsidR="005F445D">
              <w:rPr>
                <w:rFonts w:ascii="Arial Narrow" w:eastAsia="Times New Roman" w:hAnsi="Arial Narrow" w:cs="Segoe UI"/>
                <w:sz w:val="20"/>
                <w:szCs w:val="20"/>
                <w:lang w:eastAsia="en-AU"/>
              </w:rPr>
              <w:t>:</w:t>
            </w:r>
            <w:r w:rsidR="00E121CF">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0.81</w:t>
            </w:r>
          </w:p>
          <w:p w14:paraId="5F89CEC7" w14:textId="77777777" w:rsidR="00D17AB5" w:rsidRDefault="005F445D" w:rsidP="00D17AB5">
            <w:pPr>
              <w:spacing w:before="0"/>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95% CI:</w:t>
            </w:r>
          </w:p>
          <w:p w14:paraId="161FFCAE" w14:textId="44CE94B7"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0.74</w:t>
            </w:r>
            <w:r w:rsidR="005F445D">
              <w:rPr>
                <w:rFonts w:ascii="Arial Narrow" w:eastAsia="Times New Roman" w:hAnsi="Arial Narrow" w:cs="Segoe UI"/>
                <w:sz w:val="20"/>
                <w:szCs w:val="20"/>
                <w:lang w:eastAsia="en-AU"/>
              </w:rPr>
              <w:t xml:space="preserve"> to </w:t>
            </w:r>
            <w:r w:rsidRPr="00436840">
              <w:rPr>
                <w:rFonts w:ascii="Arial Narrow" w:eastAsia="Times New Roman" w:hAnsi="Arial Narrow" w:cs="Segoe UI"/>
                <w:sz w:val="20"/>
                <w:szCs w:val="20"/>
                <w:lang w:eastAsia="en-AU"/>
              </w:rPr>
              <w:t>0.89</w:t>
            </w:r>
          </w:p>
          <w:p w14:paraId="45F7117C" w14:textId="7B33158A" w:rsidR="005F445D" w:rsidRDefault="00396789" w:rsidP="00D17AB5">
            <w:pPr>
              <w:spacing w:before="0"/>
              <w:jc w:val="center"/>
              <w:rPr>
                <w:rFonts w:ascii="Arial Narrow" w:eastAsia="Calibri" w:hAnsi="Arial Narrow" w:cs="Segoe UI"/>
                <w:sz w:val="20"/>
                <w:szCs w:val="20"/>
              </w:rPr>
            </w:pPr>
            <w:r w:rsidRPr="00436840">
              <w:rPr>
                <w:rFonts w:ascii="Arial Narrow" w:eastAsia="Calibri" w:hAnsi="Arial Narrow" w:cs="Segoe UI"/>
                <w:sz w:val="20"/>
                <w:szCs w:val="20"/>
              </w:rPr>
              <w:t>I</w:t>
            </w:r>
            <w:r w:rsidRPr="00436840">
              <w:rPr>
                <w:rFonts w:ascii="Arial Narrow" w:eastAsia="Calibri" w:hAnsi="Arial Narrow" w:cs="Segoe UI"/>
                <w:sz w:val="20"/>
                <w:szCs w:val="20"/>
                <w:vertAlign w:val="superscript"/>
              </w:rPr>
              <w:t>2</w:t>
            </w:r>
            <w:r w:rsidR="009C5EDD" w:rsidRPr="009C5EDD">
              <w:rPr>
                <w:rFonts w:ascii="Arial Narrow" w:eastAsia="Calibri" w:hAnsi="Arial Narrow" w:cs="Segoe UI"/>
                <w:sz w:val="20"/>
                <w:szCs w:val="20"/>
              </w:rPr>
              <w:t> </w:t>
            </w:r>
            <w:r w:rsidRPr="00436840">
              <w:rPr>
                <w:rFonts w:ascii="Arial Narrow" w:eastAsia="Calibri" w:hAnsi="Arial Narrow" w:cs="Segoe UI"/>
                <w:sz w:val="20"/>
                <w:szCs w:val="20"/>
              </w:rPr>
              <w:t>= 0%</w:t>
            </w:r>
          </w:p>
          <w:p w14:paraId="3A3CF670" w14:textId="17732A7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 xml:space="preserve">p = </w:t>
            </w:r>
            <w:r w:rsidR="005F445D">
              <w:rPr>
                <w:rFonts w:ascii="Arial Narrow" w:eastAsia="Calibri" w:hAnsi="Arial Narrow" w:cs="Segoe UI"/>
                <w:sz w:val="20"/>
                <w:szCs w:val="20"/>
              </w:rPr>
              <w:t>0</w:t>
            </w:r>
            <w:r w:rsidRPr="00436840">
              <w:rPr>
                <w:rFonts w:ascii="Arial Narrow" w:eastAsia="Calibri" w:hAnsi="Arial Narrow" w:cs="Segoe UI"/>
                <w:sz w:val="20"/>
                <w:szCs w:val="20"/>
              </w:rPr>
              <w:t>.465</w:t>
            </w:r>
          </w:p>
        </w:tc>
        <w:tc>
          <w:tcPr>
            <w:tcW w:w="1248" w:type="dxa"/>
          </w:tcPr>
          <w:p w14:paraId="4FC6F4B0" w14:textId="0E13EDA8"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LDCT vs control</w:t>
            </w:r>
          </w:p>
          <w:p w14:paraId="67A06874" w14:textId="3FF22D5D" w:rsidR="00D17AB5"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RR:</w:t>
            </w:r>
            <w:r w:rsidR="00E121CF">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0.96</w:t>
            </w:r>
          </w:p>
          <w:p w14:paraId="1D7D83E0" w14:textId="77777777" w:rsidR="00D17AB5" w:rsidRDefault="005F445D" w:rsidP="00D17AB5">
            <w:pPr>
              <w:spacing w:before="0"/>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95% CI:</w:t>
            </w:r>
          </w:p>
          <w:p w14:paraId="5CBB4725" w14:textId="7338DD32" w:rsidR="00396789" w:rsidRPr="00436840" w:rsidRDefault="00396789" w:rsidP="00D17AB5">
            <w:pPr>
              <w:spacing w:before="0"/>
              <w:jc w:val="center"/>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0.92</w:t>
            </w:r>
            <w:r w:rsidR="005F445D">
              <w:rPr>
                <w:rFonts w:ascii="Arial Narrow" w:eastAsia="Times New Roman" w:hAnsi="Arial Narrow" w:cs="Segoe UI"/>
                <w:sz w:val="20"/>
                <w:szCs w:val="20"/>
                <w:lang w:eastAsia="en-AU"/>
              </w:rPr>
              <w:t xml:space="preserve"> to </w:t>
            </w:r>
            <w:r w:rsidRPr="00436840">
              <w:rPr>
                <w:rFonts w:ascii="Arial Narrow" w:eastAsia="Times New Roman" w:hAnsi="Arial Narrow" w:cs="Segoe UI"/>
                <w:sz w:val="20"/>
                <w:szCs w:val="20"/>
                <w:lang w:eastAsia="en-AU"/>
              </w:rPr>
              <w:t>1.01</w:t>
            </w:r>
          </w:p>
          <w:p w14:paraId="78ED8F37" w14:textId="487FD629" w:rsidR="005F445D" w:rsidRDefault="00396789" w:rsidP="00D17AB5">
            <w:pPr>
              <w:spacing w:before="0"/>
              <w:jc w:val="center"/>
              <w:rPr>
                <w:rFonts w:ascii="Arial Narrow" w:eastAsia="Calibri" w:hAnsi="Arial Narrow" w:cs="Segoe UI"/>
                <w:sz w:val="20"/>
                <w:szCs w:val="20"/>
              </w:rPr>
            </w:pPr>
            <w:r w:rsidRPr="00436840">
              <w:rPr>
                <w:rFonts w:ascii="Arial Narrow" w:eastAsia="Calibri" w:hAnsi="Arial Narrow" w:cs="Segoe UI"/>
                <w:sz w:val="20"/>
                <w:szCs w:val="20"/>
              </w:rPr>
              <w:t>I</w:t>
            </w:r>
            <w:r w:rsidRPr="00436840">
              <w:rPr>
                <w:rFonts w:ascii="Arial Narrow" w:eastAsia="Calibri" w:hAnsi="Arial Narrow" w:cs="Segoe UI"/>
                <w:sz w:val="20"/>
                <w:szCs w:val="20"/>
                <w:vertAlign w:val="superscript"/>
              </w:rPr>
              <w:t>2</w:t>
            </w:r>
            <w:r w:rsidR="009C5EDD" w:rsidRPr="009C5EDD">
              <w:rPr>
                <w:rFonts w:ascii="Arial Narrow" w:eastAsia="Calibri" w:hAnsi="Arial Narrow" w:cs="Segoe UI"/>
                <w:sz w:val="20"/>
                <w:szCs w:val="20"/>
              </w:rPr>
              <w:t> </w:t>
            </w:r>
            <w:r w:rsidRPr="00436840">
              <w:rPr>
                <w:rFonts w:ascii="Arial Narrow" w:eastAsia="Calibri" w:hAnsi="Arial Narrow" w:cs="Segoe UI"/>
                <w:sz w:val="20"/>
                <w:szCs w:val="20"/>
              </w:rPr>
              <w:t>= 0%</w:t>
            </w:r>
          </w:p>
          <w:p w14:paraId="381D219D" w14:textId="38316E4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 xml:space="preserve">p = </w:t>
            </w:r>
            <w:r w:rsidR="005F445D">
              <w:rPr>
                <w:rFonts w:ascii="Arial Narrow" w:eastAsia="Calibri" w:hAnsi="Arial Narrow" w:cs="Segoe UI"/>
                <w:sz w:val="20"/>
                <w:szCs w:val="20"/>
              </w:rPr>
              <w:t>0</w:t>
            </w:r>
            <w:r w:rsidRPr="00436840">
              <w:rPr>
                <w:rFonts w:ascii="Arial Narrow" w:eastAsia="Calibri" w:hAnsi="Arial Narrow" w:cs="Segoe UI"/>
                <w:sz w:val="20"/>
                <w:szCs w:val="20"/>
              </w:rPr>
              <w:t>.465</w:t>
            </w:r>
          </w:p>
        </w:tc>
        <w:tc>
          <w:tcPr>
            <w:tcW w:w="1417" w:type="dxa"/>
          </w:tcPr>
          <w:p w14:paraId="509F4AC4" w14:textId="5B60591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Segoe UI"/>
                <w:sz w:val="20"/>
                <w:szCs w:val="20"/>
              </w:rPr>
              <w:t>20%</w:t>
            </w:r>
          </w:p>
        </w:tc>
        <w:tc>
          <w:tcPr>
            <w:tcW w:w="1134" w:type="dxa"/>
          </w:tcPr>
          <w:p w14:paraId="0A042D07" w14:textId="1A474D4F"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5D4027A1" w14:textId="3C6D83C6"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22FE8B7B" w14:textId="6961E80D" w:rsidR="00396789" w:rsidRPr="00436840" w:rsidRDefault="00396789" w:rsidP="00396789">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Risk of bias low</w:t>
            </w:r>
            <w:r w:rsidR="009E445E">
              <w:rPr>
                <w:rFonts w:ascii="Arial Narrow" w:eastAsia="Times New Roman" w:hAnsi="Arial Narrow" w:cs="Segoe UI"/>
                <w:sz w:val="20"/>
                <w:szCs w:val="20"/>
                <w:lang w:eastAsia="en-AU"/>
              </w:rPr>
              <w:t>.</w:t>
            </w:r>
          </w:p>
          <w:p w14:paraId="335DD73D" w14:textId="6C101AEE" w:rsidR="00396789" w:rsidRPr="00436840" w:rsidRDefault="00396789" w:rsidP="00396789">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Visual inspection of the forest plots revealed</w:t>
            </w:r>
            <w:r w:rsidR="00A112F0">
              <w:rPr>
                <w:rFonts w:ascii="Arial Narrow" w:eastAsia="Times New Roman" w:hAnsi="Arial Narrow" w:cs="Segoe UI"/>
                <w:sz w:val="20"/>
                <w:szCs w:val="20"/>
                <w:lang w:eastAsia="en-AU"/>
              </w:rPr>
              <w:t xml:space="preserve"> </w:t>
            </w:r>
            <w:r w:rsidRPr="00436840">
              <w:rPr>
                <w:rFonts w:ascii="Arial Narrow" w:eastAsia="Times New Roman" w:hAnsi="Arial Narrow" w:cs="Segoe UI"/>
                <w:sz w:val="20"/>
                <w:szCs w:val="20"/>
                <w:lang w:eastAsia="en-AU"/>
              </w:rPr>
              <w:t>some heterogeneity</w:t>
            </w:r>
            <w:r w:rsidR="009E445E">
              <w:rPr>
                <w:rFonts w:ascii="Arial Narrow" w:eastAsia="Times New Roman" w:hAnsi="Arial Narrow" w:cs="Segoe UI"/>
                <w:sz w:val="20"/>
                <w:szCs w:val="20"/>
                <w:lang w:eastAsia="en-AU"/>
              </w:rPr>
              <w:t>.</w:t>
            </w:r>
          </w:p>
          <w:p w14:paraId="37096612" w14:textId="40E5FEFE" w:rsidR="00396789" w:rsidRPr="00436840" w:rsidRDefault="00396789" w:rsidP="00396789">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All</w:t>
            </w:r>
            <w:r w:rsidR="009E445E">
              <w:rPr>
                <w:rFonts w:ascii="Arial Narrow" w:eastAsia="Times New Roman" w:hAnsi="Arial Narrow" w:cs="Segoe UI"/>
                <w:sz w:val="20"/>
                <w:szCs w:val="20"/>
                <w:lang w:eastAsia="en-AU"/>
              </w:rPr>
              <w:t>-</w:t>
            </w:r>
            <w:r w:rsidRPr="00436840">
              <w:rPr>
                <w:rFonts w:ascii="Arial Narrow" w:eastAsia="Times New Roman" w:hAnsi="Arial Narrow" w:cs="Segoe UI"/>
                <w:sz w:val="20"/>
                <w:szCs w:val="20"/>
                <w:lang w:eastAsia="en-AU"/>
              </w:rPr>
              <w:t>cause mor</w:t>
            </w:r>
            <w:r w:rsidR="00A112F0">
              <w:rPr>
                <w:rFonts w:ascii="Arial Narrow" w:eastAsia="Times New Roman" w:hAnsi="Arial Narrow" w:cs="Segoe UI"/>
                <w:sz w:val="20"/>
                <w:szCs w:val="20"/>
                <w:lang w:eastAsia="en-AU"/>
              </w:rPr>
              <w:t>t</w:t>
            </w:r>
            <w:r w:rsidRPr="00436840">
              <w:rPr>
                <w:rFonts w:ascii="Arial Narrow" w:eastAsia="Times New Roman" w:hAnsi="Arial Narrow" w:cs="Segoe UI"/>
                <w:sz w:val="20"/>
                <w:szCs w:val="20"/>
                <w:lang w:eastAsia="en-AU"/>
              </w:rPr>
              <w:t>ality power</w:t>
            </w:r>
            <w:r w:rsidR="00A112F0">
              <w:rPr>
                <w:rFonts w:ascii="Arial Narrow" w:eastAsia="Times New Roman" w:hAnsi="Arial Narrow" w:cs="Segoe UI"/>
                <w:sz w:val="20"/>
                <w:szCs w:val="20"/>
                <w:lang w:eastAsia="en-AU"/>
              </w:rPr>
              <w:t xml:space="preserve"> low</w:t>
            </w:r>
            <w:r w:rsidR="009E445E">
              <w:rPr>
                <w:rFonts w:ascii="Arial Narrow" w:eastAsia="Times New Roman" w:hAnsi="Arial Narrow" w:cs="Segoe UI"/>
                <w:sz w:val="20"/>
                <w:szCs w:val="20"/>
                <w:lang w:eastAsia="en-AU"/>
              </w:rPr>
              <w:t>.</w:t>
            </w:r>
          </w:p>
          <w:p w14:paraId="72FBD2E5" w14:textId="52742AB8" w:rsidR="00396789" w:rsidRPr="00A112F0" w:rsidRDefault="00396789" w:rsidP="00A112F0">
            <w:pPr>
              <w:spacing w:before="0"/>
              <w:textAlignment w:val="baseline"/>
              <w:rPr>
                <w:rFonts w:ascii="Arial Narrow" w:eastAsia="Times New Roman" w:hAnsi="Arial Narrow" w:cs="Segoe UI"/>
                <w:sz w:val="20"/>
                <w:szCs w:val="20"/>
                <w:lang w:eastAsia="en-AU"/>
              </w:rPr>
            </w:pPr>
            <w:r w:rsidRPr="00436840">
              <w:rPr>
                <w:rFonts w:ascii="Arial Narrow" w:eastAsia="Times New Roman" w:hAnsi="Arial Narrow" w:cs="Segoe UI"/>
                <w:sz w:val="20"/>
                <w:szCs w:val="20"/>
                <w:lang w:eastAsia="en-AU"/>
              </w:rPr>
              <w:t>Lack of blinding</w:t>
            </w:r>
            <w:r w:rsidR="009E445E">
              <w:rPr>
                <w:rFonts w:ascii="Arial Narrow" w:eastAsia="Times New Roman" w:hAnsi="Arial Narrow" w:cs="Segoe UI"/>
                <w:sz w:val="20"/>
                <w:szCs w:val="20"/>
                <w:lang w:eastAsia="en-AU"/>
              </w:rPr>
              <w:t>.</w:t>
            </w:r>
          </w:p>
        </w:tc>
        <w:tc>
          <w:tcPr>
            <w:tcW w:w="2320" w:type="dxa"/>
          </w:tcPr>
          <w:p w14:paraId="41D685D1" w14:textId="33060ED4"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Segoe UI"/>
                <w:sz w:val="20"/>
                <w:szCs w:val="20"/>
              </w:rPr>
              <w:t>This meta-analysis showing a significant reduction in lung cancer</w:t>
            </w:r>
            <w:r w:rsidR="009E445E">
              <w:rPr>
                <w:rFonts w:ascii="Arial Narrow" w:eastAsia="Calibri" w:hAnsi="Arial Narrow" w:cs="Segoe UI"/>
                <w:sz w:val="20"/>
                <w:szCs w:val="20"/>
              </w:rPr>
              <w:t>-</w:t>
            </w:r>
            <w:r w:rsidRPr="00436840">
              <w:rPr>
                <w:rFonts w:ascii="Arial Narrow" w:eastAsia="Calibri" w:hAnsi="Arial Narrow" w:cs="Segoe UI"/>
                <w:sz w:val="20"/>
                <w:szCs w:val="20"/>
              </w:rPr>
              <w:t>specific mortality, albeit with a</w:t>
            </w:r>
            <w:r w:rsidR="009E445E">
              <w:rPr>
                <w:rFonts w:ascii="Arial Narrow" w:eastAsia="Calibri" w:hAnsi="Arial Narrow" w:cs="Segoe UI"/>
                <w:sz w:val="20"/>
                <w:szCs w:val="20"/>
              </w:rPr>
              <w:t xml:space="preserve"> </w:t>
            </w:r>
            <w:r w:rsidRPr="00436840">
              <w:rPr>
                <w:rFonts w:ascii="Arial Narrow" w:eastAsia="Calibri" w:hAnsi="Arial Narrow" w:cs="Segoe UI"/>
                <w:sz w:val="20"/>
                <w:szCs w:val="20"/>
              </w:rPr>
              <w:t>trade-off</w:t>
            </w:r>
            <w:r w:rsidR="009E445E">
              <w:rPr>
                <w:rFonts w:ascii="Arial Narrow" w:eastAsia="Calibri" w:hAnsi="Arial Narrow" w:cs="Segoe UI"/>
                <w:sz w:val="20"/>
                <w:szCs w:val="20"/>
              </w:rPr>
              <w:t xml:space="preserve"> </w:t>
            </w:r>
            <w:r w:rsidRPr="00436840">
              <w:rPr>
                <w:rFonts w:ascii="Arial Narrow" w:eastAsia="Calibri" w:hAnsi="Arial Narrow" w:cs="Segoe UI"/>
                <w:sz w:val="20"/>
                <w:szCs w:val="20"/>
              </w:rPr>
              <w:t>of likely overdiagnosis, supports recommendations to screen individuals at elevated risk for lung cancer with LDCT</w:t>
            </w:r>
            <w:r w:rsidR="009E445E">
              <w:rPr>
                <w:rFonts w:ascii="Arial Narrow" w:eastAsia="Calibri" w:hAnsi="Arial Narrow" w:cs="Segoe UI"/>
                <w:sz w:val="20"/>
                <w:szCs w:val="20"/>
              </w:rPr>
              <w:t>.</w:t>
            </w:r>
          </w:p>
        </w:tc>
      </w:tr>
      <w:tr w:rsidR="004D16BA" w:rsidRPr="00436840" w14:paraId="1FAEE62E" w14:textId="77777777" w:rsidTr="005F55BF">
        <w:tc>
          <w:tcPr>
            <w:tcW w:w="1151" w:type="dxa"/>
          </w:tcPr>
          <w:p w14:paraId="5234DF89" w14:textId="0CE9A296" w:rsidR="00396789" w:rsidRPr="00436840" w:rsidRDefault="00033AFC" w:rsidP="00396789">
            <w:pPr>
              <w:spacing w:before="0"/>
              <w:rPr>
                <w:rFonts w:ascii="Arial Narrow" w:eastAsia="Calibri" w:hAnsi="Arial Narrow" w:cs="Times New Roman"/>
                <w:sz w:val="20"/>
                <w:szCs w:val="20"/>
              </w:rPr>
            </w:pPr>
            <w:hyperlink r:id="rId24" w:history="1">
              <w:r w:rsidR="00396789" w:rsidRPr="00436840">
                <w:rPr>
                  <w:rFonts w:ascii="Arial Narrow" w:eastAsia="Calibri" w:hAnsi="Arial Narrow" w:cs="Times New Roman"/>
                  <w:sz w:val="20"/>
                  <w:szCs w:val="20"/>
                </w:rPr>
                <w:t>Passiglia et al.</w:t>
              </w:r>
            </w:hyperlink>
          </w:p>
          <w:p w14:paraId="5E88D516" w14:textId="4EF89CFB"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2021</w:t>
            </w:r>
            <w:r w:rsidR="00065F04" w:rsidRPr="00436840">
              <w:rPr>
                <w:rStyle w:val="FootnoteReference"/>
                <w:rFonts w:ascii="Arial Narrow" w:eastAsia="Calibri" w:hAnsi="Arial Narrow" w:cs="Times New Roman"/>
                <w:sz w:val="20"/>
                <w:szCs w:val="20"/>
              </w:rPr>
              <w:footnoteReference w:id="41"/>
            </w:r>
          </w:p>
          <w:p w14:paraId="168EB39B" w14:textId="77777777" w:rsidR="005F55BF"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CRD</w:t>
            </w:r>
          </w:p>
          <w:p w14:paraId="00915B89" w14:textId="274B8088"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42018105409</w:t>
            </w:r>
          </w:p>
        </w:tc>
        <w:tc>
          <w:tcPr>
            <w:tcW w:w="1146" w:type="dxa"/>
          </w:tcPr>
          <w:p w14:paraId="63714DFD"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88,497</w:t>
            </w:r>
          </w:p>
        </w:tc>
        <w:tc>
          <w:tcPr>
            <w:tcW w:w="1105" w:type="dxa"/>
          </w:tcPr>
          <w:p w14:paraId="0CC9DE19"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LSS</w:t>
            </w:r>
          </w:p>
          <w:p w14:paraId="375A1556"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DANTE</w:t>
            </w:r>
          </w:p>
          <w:p w14:paraId="15F15D2F"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NLST</w:t>
            </w:r>
          </w:p>
          <w:p w14:paraId="67909EDA"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NELSON</w:t>
            </w:r>
          </w:p>
          <w:p w14:paraId="322AF5AD"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DLCST</w:t>
            </w:r>
          </w:p>
          <w:p w14:paraId="351FB794"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ITALUNG</w:t>
            </w:r>
          </w:p>
          <w:p w14:paraId="1CD2786B"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MILD</w:t>
            </w:r>
          </w:p>
          <w:p w14:paraId="51625791"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LUSI</w:t>
            </w:r>
          </w:p>
          <w:p w14:paraId="0589450E" w14:textId="1A90D096"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DEPISCAN</w:t>
            </w:r>
          </w:p>
        </w:tc>
        <w:tc>
          <w:tcPr>
            <w:tcW w:w="1854" w:type="dxa"/>
          </w:tcPr>
          <w:p w14:paraId="7E2AE20E" w14:textId="77777777" w:rsidR="00396789" w:rsidRPr="00436840" w:rsidRDefault="00396789" w:rsidP="00D17AB5">
            <w:pPr>
              <w:spacing w:before="0"/>
              <w:jc w:val="center"/>
              <w:rPr>
                <w:rFonts w:ascii="Arial Narrow" w:eastAsia="Calibri" w:hAnsi="Arial Narrow" w:cs="Times New Roman"/>
                <w:sz w:val="20"/>
                <w:szCs w:val="20"/>
              </w:rPr>
            </w:pPr>
          </w:p>
        </w:tc>
        <w:tc>
          <w:tcPr>
            <w:tcW w:w="973" w:type="dxa"/>
          </w:tcPr>
          <w:p w14:paraId="4E2F2739"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Inception – February 2020</w:t>
            </w:r>
          </w:p>
        </w:tc>
        <w:tc>
          <w:tcPr>
            <w:tcW w:w="2466" w:type="dxa"/>
          </w:tcPr>
          <w:p w14:paraId="0200A488" w14:textId="77777777" w:rsidR="00396789" w:rsidRPr="00436840" w:rsidRDefault="00396789" w:rsidP="00D17AB5">
            <w:pPr>
              <w:spacing w:before="0"/>
              <w:rPr>
                <w:rFonts w:ascii="Arial Narrow" w:eastAsia="Calibri" w:hAnsi="Arial Narrow" w:cs="Times New Roman"/>
                <w:b/>
                <w:bCs/>
                <w:sz w:val="20"/>
                <w:szCs w:val="20"/>
              </w:rPr>
            </w:pPr>
            <w:r w:rsidRPr="00436840">
              <w:rPr>
                <w:rFonts w:ascii="Arial Narrow" w:eastAsia="Calibri" w:hAnsi="Arial Narrow" w:cs="Times New Roman"/>
                <w:b/>
                <w:bCs/>
                <w:sz w:val="20"/>
                <w:szCs w:val="20"/>
              </w:rPr>
              <w:t>Inclusion:</w:t>
            </w:r>
          </w:p>
          <w:p w14:paraId="1768DB9D" w14:textId="53E66364" w:rsidR="00396789" w:rsidRPr="00436840" w:rsidRDefault="0025100D" w:rsidP="00D17AB5">
            <w:pPr>
              <w:spacing w:before="0"/>
              <w:rPr>
                <w:rFonts w:ascii="Arial Narrow" w:eastAsia="Calibri" w:hAnsi="Arial Narrow" w:cs="Times New Roman"/>
                <w:b/>
                <w:sz w:val="20"/>
                <w:szCs w:val="20"/>
              </w:rPr>
            </w:pPr>
            <w:r>
              <w:rPr>
                <w:rFonts w:ascii="Arial Narrow" w:eastAsia="Calibri" w:hAnsi="Arial Narrow" w:cs="Times New Roman"/>
                <w:sz w:val="20"/>
                <w:szCs w:val="20"/>
              </w:rPr>
              <w:t>R</w:t>
            </w:r>
            <w:r w:rsidR="009E445E">
              <w:rPr>
                <w:rFonts w:ascii="Arial Narrow" w:eastAsia="Calibri" w:hAnsi="Arial Narrow" w:cs="Times New Roman"/>
                <w:sz w:val="20"/>
                <w:szCs w:val="20"/>
              </w:rPr>
              <w:t>CTs</w:t>
            </w:r>
            <w:r w:rsidR="00396789" w:rsidRPr="00436840">
              <w:rPr>
                <w:rFonts w:ascii="Arial Narrow" w:eastAsia="Calibri" w:hAnsi="Arial Narrow" w:cs="Times New Roman"/>
                <w:sz w:val="20"/>
                <w:szCs w:val="20"/>
              </w:rPr>
              <w:t xml:space="preserve"> comparing L</w:t>
            </w:r>
            <w:r w:rsidR="009C5EDD">
              <w:rPr>
                <w:rFonts w:ascii="Arial Narrow" w:eastAsia="Calibri" w:hAnsi="Arial Narrow" w:cs="Times New Roman"/>
                <w:sz w:val="20"/>
                <w:szCs w:val="20"/>
              </w:rPr>
              <w:t>DCT</w:t>
            </w:r>
            <w:r>
              <w:rPr>
                <w:rFonts w:ascii="Arial Narrow" w:eastAsia="Calibri" w:hAnsi="Arial Narrow" w:cs="Times New Roman"/>
                <w:sz w:val="20"/>
                <w:szCs w:val="20"/>
              </w:rPr>
              <w:t xml:space="preserve"> </w:t>
            </w:r>
            <w:r w:rsidR="00396789" w:rsidRPr="00436840">
              <w:rPr>
                <w:rFonts w:ascii="Arial Narrow" w:eastAsia="Calibri" w:hAnsi="Arial Narrow" w:cs="Times New Roman"/>
                <w:sz w:val="20"/>
                <w:szCs w:val="20"/>
              </w:rPr>
              <w:t xml:space="preserve">with either </w:t>
            </w:r>
            <w:r w:rsidR="009C5EDD">
              <w:rPr>
                <w:rFonts w:ascii="Arial Narrow" w:eastAsia="Calibri" w:hAnsi="Arial Narrow" w:cs="Times New Roman"/>
                <w:sz w:val="20"/>
                <w:szCs w:val="20"/>
              </w:rPr>
              <w:t>no screening</w:t>
            </w:r>
            <w:r w:rsidR="00396789" w:rsidRPr="00436840">
              <w:rPr>
                <w:rFonts w:ascii="Arial Narrow" w:eastAsia="Calibri" w:hAnsi="Arial Narrow" w:cs="Times New Roman"/>
                <w:sz w:val="20"/>
                <w:szCs w:val="20"/>
              </w:rPr>
              <w:t xml:space="preserve"> or CXR in a high-risk population with a</w:t>
            </w:r>
            <w:r>
              <w:rPr>
                <w:rFonts w:ascii="Arial Narrow" w:eastAsia="Calibri" w:hAnsi="Arial Narrow" w:cs="Times New Roman"/>
                <w:sz w:val="20"/>
                <w:szCs w:val="20"/>
              </w:rPr>
              <w:t xml:space="preserve"> </w:t>
            </w:r>
            <w:r w:rsidR="00396789" w:rsidRPr="00436840">
              <w:rPr>
                <w:rFonts w:ascii="Arial Narrow" w:eastAsia="Calibri" w:hAnsi="Arial Narrow" w:cs="Times New Roman"/>
                <w:sz w:val="20"/>
                <w:szCs w:val="20"/>
              </w:rPr>
              <w:t xml:space="preserve">cigarette smoking history of </w:t>
            </w:r>
            <w:r w:rsidR="009C5EDD" w:rsidRPr="00436840">
              <w:rPr>
                <w:rFonts w:ascii="Arial Narrow" w:hAnsi="Arial Narrow" w:cs="Calibri"/>
                <w:bCs/>
                <w:sz w:val="20"/>
                <w:szCs w:val="20"/>
              </w:rPr>
              <w:sym w:font="Symbol" w:char="F0B3"/>
            </w:r>
            <w:r w:rsidR="00396789" w:rsidRPr="00436840">
              <w:rPr>
                <w:rFonts w:ascii="Arial Narrow" w:eastAsia="Calibri" w:hAnsi="Arial Narrow" w:cs="Times New Roman"/>
                <w:sz w:val="20"/>
                <w:szCs w:val="20"/>
              </w:rPr>
              <w:t>15 pack-years, including former smokers who had quit within the previous</w:t>
            </w:r>
            <w:r>
              <w:rPr>
                <w:rFonts w:ascii="Arial Narrow" w:eastAsia="Calibri" w:hAnsi="Arial Narrow" w:cs="Times New Roman"/>
                <w:sz w:val="20"/>
                <w:szCs w:val="20"/>
              </w:rPr>
              <w:t xml:space="preserve"> </w:t>
            </w:r>
            <w:r w:rsidR="00396789" w:rsidRPr="00436840">
              <w:rPr>
                <w:rFonts w:ascii="Arial Narrow" w:eastAsia="Calibri" w:hAnsi="Arial Narrow" w:cs="Times New Roman"/>
                <w:sz w:val="20"/>
                <w:szCs w:val="20"/>
              </w:rPr>
              <w:t>15 years</w:t>
            </w:r>
          </w:p>
        </w:tc>
        <w:tc>
          <w:tcPr>
            <w:tcW w:w="1086" w:type="dxa"/>
          </w:tcPr>
          <w:p w14:paraId="2CBDD3DA" w14:textId="77777777"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6E4F90A3" w14:textId="5F054E38"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Lung cancer screening associated with increase of early-stage diagnosis</w:t>
            </w:r>
          </w:p>
          <w:p w14:paraId="7F71268F" w14:textId="29947A95"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2.84</w:t>
            </w:r>
          </w:p>
          <w:p w14:paraId="6D3CB1BA" w14:textId="77777777" w:rsidR="004D16BA"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7D6CBF23" w14:textId="4C7B19AA"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1.76</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4.58</w:t>
            </w:r>
          </w:p>
          <w:p w14:paraId="5AF09B1A"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lastRenderedPageBreak/>
              <w:t>No screening RR: 3.33</w:t>
            </w:r>
          </w:p>
          <w:p w14:paraId="75BDE7C2" w14:textId="0A398003" w:rsidR="004D16BA" w:rsidRDefault="004037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6A3B882F" w14:textId="1170FF41"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2.27</w:t>
            </w:r>
            <w:r w:rsidR="004037B5">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4.89</w:t>
            </w:r>
          </w:p>
          <w:p w14:paraId="0828E63D"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Chest X-ray RR: 1.52</w:t>
            </w:r>
          </w:p>
          <w:p w14:paraId="296DE032" w14:textId="3C75A432" w:rsidR="004D16BA" w:rsidRDefault="004037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08E46F02" w14:textId="773EB441"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1.04</w:t>
            </w:r>
            <w:r w:rsidR="004037B5">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2.23</w:t>
            </w:r>
          </w:p>
          <w:p w14:paraId="5199E6DA"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Decrease in late-stage diagnosis</w:t>
            </w:r>
          </w:p>
          <w:p w14:paraId="3A12F17B"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0.75</w:t>
            </w:r>
          </w:p>
          <w:p w14:paraId="7D4DCE67" w14:textId="77777777" w:rsidR="004D16BA" w:rsidRDefault="004037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07C808A2" w14:textId="2CF45309"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0.68</w:t>
            </w:r>
            <w:r w:rsidR="004037B5">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0.83</w:t>
            </w:r>
          </w:p>
          <w:p w14:paraId="6E4FEA9E"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No screening RR: 0.67</w:t>
            </w:r>
          </w:p>
          <w:p w14:paraId="20E863E3" w14:textId="3BE8D569" w:rsidR="004D16BA" w:rsidRDefault="004037B5"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38103160" w14:textId="0AE8A890"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0.56</w:t>
            </w:r>
            <w:r w:rsidR="004037B5">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0.80</w:t>
            </w:r>
          </w:p>
        </w:tc>
        <w:tc>
          <w:tcPr>
            <w:tcW w:w="1162" w:type="dxa"/>
          </w:tcPr>
          <w:p w14:paraId="4B2597C6" w14:textId="77777777" w:rsidR="0025100D"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lastRenderedPageBreak/>
              <w:t>LDCT vs control</w:t>
            </w:r>
          </w:p>
          <w:p w14:paraId="52628F12"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0.87</w:t>
            </w:r>
          </w:p>
          <w:p w14:paraId="36B92351"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66793F3E" w14:textId="778CA4E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0.78</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0.98</w:t>
            </w:r>
          </w:p>
          <w:p w14:paraId="39E1F687"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24%</w:t>
            </w:r>
          </w:p>
        </w:tc>
        <w:tc>
          <w:tcPr>
            <w:tcW w:w="1248" w:type="dxa"/>
          </w:tcPr>
          <w:p w14:paraId="2CBB7A4D"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18BD7EC2"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0.99</w:t>
            </w:r>
          </w:p>
          <w:p w14:paraId="46F4C828"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36600E17" w14:textId="48C31B0E"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0.94</w:t>
            </w:r>
            <w:r w:rsidR="0025100D">
              <w:rPr>
                <w:rFonts w:ascii="Arial Narrow" w:eastAsia="Calibri" w:hAnsi="Arial Narrow" w:cs="Times New Roman"/>
                <w:sz w:val="20"/>
                <w:szCs w:val="20"/>
              </w:rPr>
              <w:t xml:space="preserve"> to</w:t>
            </w:r>
            <w:r w:rsidR="00E121CF">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1.05</w:t>
            </w:r>
          </w:p>
          <w:p w14:paraId="1E0950BD"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27%</w:t>
            </w:r>
          </w:p>
        </w:tc>
        <w:tc>
          <w:tcPr>
            <w:tcW w:w="1417" w:type="dxa"/>
          </w:tcPr>
          <w:p w14:paraId="666B27F8"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30%</w:t>
            </w:r>
          </w:p>
        </w:tc>
        <w:tc>
          <w:tcPr>
            <w:tcW w:w="1134" w:type="dxa"/>
          </w:tcPr>
          <w:p w14:paraId="37E92F9C" w14:textId="77777777"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07D43756" w14:textId="77777777"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109D5B38" w14:textId="4D97A385"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Lack of</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blinding for the majority of included studies, which may</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have increased the risk of potential detection bias</w:t>
            </w:r>
            <w:r w:rsidR="009E445E">
              <w:rPr>
                <w:rFonts w:ascii="Arial Narrow" w:eastAsia="Calibri" w:hAnsi="Arial Narrow" w:cs="Times New Roman"/>
                <w:sz w:val="20"/>
                <w:szCs w:val="20"/>
              </w:rPr>
              <w:t>.</w:t>
            </w:r>
          </w:p>
          <w:p w14:paraId="2FE6F8DE" w14:textId="4D68F484" w:rsidR="00396789" w:rsidRPr="00436840" w:rsidRDefault="00A112F0" w:rsidP="00396789">
            <w:pPr>
              <w:spacing w:before="0"/>
              <w:rPr>
                <w:rFonts w:ascii="Arial Narrow" w:eastAsia="Calibri" w:hAnsi="Arial Narrow" w:cs="Times New Roman"/>
                <w:sz w:val="20"/>
                <w:szCs w:val="20"/>
              </w:rPr>
            </w:pPr>
            <w:r>
              <w:rPr>
                <w:rFonts w:ascii="Arial Narrow" w:eastAsia="Calibri" w:hAnsi="Arial Narrow" w:cs="Times New Roman"/>
                <w:sz w:val="20"/>
                <w:szCs w:val="20"/>
              </w:rPr>
              <w:t>H</w:t>
            </w:r>
            <w:r w:rsidR="00396789" w:rsidRPr="00436840">
              <w:rPr>
                <w:rFonts w:ascii="Arial Narrow" w:eastAsia="Calibri" w:hAnsi="Arial Narrow" w:cs="Times New Roman"/>
                <w:sz w:val="20"/>
                <w:szCs w:val="20"/>
              </w:rPr>
              <w:t>eterogeneity of included trials and population</w:t>
            </w:r>
            <w:r w:rsidR="009E445E">
              <w:rPr>
                <w:rFonts w:ascii="Arial Narrow" w:eastAsia="Calibri" w:hAnsi="Arial Narrow" w:cs="Times New Roman"/>
                <w:sz w:val="20"/>
                <w:szCs w:val="20"/>
              </w:rPr>
              <w:t>.</w:t>
            </w:r>
          </w:p>
          <w:p w14:paraId="38EB995A" w14:textId="4E794591"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lastRenderedPageBreak/>
              <w:t>Lack of extended</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follow-up data regarding yearly screening and overdiagnosis rate among the majority of included studies</w:t>
            </w:r>
            <w:r w:rsidR="009E445E">
              <w:rPr>
                <w:rFonts w:ascii="Arial Narrow" w:eastAsia="Calibri" w:hAnsi="Arial Narrow" w:cs="Times New Roman"/>
                <w:sz w:val="20"/>
                <w:szCs w:val="20"/>
              </w:rPr>
              <w:t>.</w:t>
            </w:r>
          </w:p>
        </w:tc>
        <w:tc>
          <w:tcPr>
            <w:tcW w:w="2320" w:type="dxa"/>
          </w:tcPr>
          <w:p w14:paraId="001E2645" w14:textId="66B146A2" w:rsidR="00396789" w:rsidRPr="00436840" w:rsidRDefault="00396789" w:rsidP="00A112F0">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lastRenderedPageBreak/>
              <w:t>Despite there still being uncertainty about overdiagnosis estimate, this meta-analysis suggested</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 xml:space="preserve">that the </w:t>
            </w:r>
            <w:r w:rsidR="009C5EDD">
              <w:rPr>
                <w:rFonts w:ascii="Arial Narrow" w:eastAsia="Calibri" w:hAnsi="Arial Narrow" w:cs="Times New Roman"/>
                <w:sz w:val="20"/>
                <w:szCs w:val="20"/>
              </w:rPr>
              <w:t>LD</w:t>
            </w:r>
            <w:r w:rsidRPr="00436840">
              <w:rPr>
                <w:rFonts w:ascii="Arial Narrow" w:eastAsia="Calibri" w:hAnsi="Arial Narrow" w:cs="Times New Roman"/>
                <w:sz w:val="20"/>
                <w:szCs w:val="20"/>
              </w:rPr>
              <w:t>CT benefits outweigh harms, in subjects with cigarette smoking history, ultimately supporting the</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 xml:space="preserve">systematic </w:t>
            </w:r>
            <w:r w:rsidRPr="00436840">
              <w:rPr>
                <w:rFonts w:ascii="Arial Narrow" w:eastAsia="Calibri" w:hAnsi="Arial Narrow" w:cs="Times New Roman"/>
                <w:sz w:val="20"/>
                <w:szCs w:val="20"/>
              </w:rPr>
              <w:lastRenderedPageBreak/>
              <w:t>implementation of lung cancer screening worldwide.</w:t>
            </w:r>
          </w:p>
        </w:tc>
      </w:tr>
      <w:tr w:rsidR="004D16BA" w:rsidRPr="00436840" w14:paraId="132F596A" w14:textId="77777777" w:rsidTr="005F55BF">
        <w:tc>
          <w:tcPr>
            <w:tcW w:w="1151" w:type="dxa"/>
          </w:tcPr>
          <w:p w14:paraId="78BF877F" w14:textId="7A0EFFCC" w:rsidR="00396789" w:rsidRPr="00436840" w:rsidRDefault="00033AFC" w:rsidP="00396789">
            <w:pPr>
              <w:spacing w:before="0"/>
              <w:rPr>
                <w:rFonts w:ascii="Arial Narrow" w:eastAsia="Calibri" w:hAnsi="Arial Narrow" w:cs="Times New Roman"/>
                <w:sz w:val="20"/>
                <w:szCs w:val="20"/>
              </w:rPr>
            </w:pPr>
            <w:hyperlink r:id="rId25" w:history="1">
              <w:r w:rsidR="00396789" w:rsidRPr="00436840">
                <w:rPr>
                  <w:rFonts w:ascii="Arial Narrow" w:eastAsia="Calibri" w:hAnsi="Arial Narrow" w:cs="Times New Roman"/>
                  <w:sz w:val="20"/>
                  <w:szCs w:val="20"/>
                </w:rPr>
                <w:t>Huang et al.</w:t>
              </w:r>
            </w:hyperlink>
          </w:p>
          <w:p w14:paraId="66BDFA63" w14:textId="6778025E"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2019</w:t>
            </w:r>
            <w:r w:rsidR="00065F04" w:rsidRPr="00436840">
              <w:rPr>
                <w:rStyle w:val="FootnoteReference"/>
                <w:rFonts w:ascii="Arial Narrow" w:eastAsia="Calibri" w:hAnsi="Arial Narrow" w:cs="Times New Roman"/>
                <w:sz w:val="20"/>
                <w:szCs w:val="20"/>
              </w:rPr>
              <w:footnoteReference w:id="42"/>
            </w:r>
          </w:p>
          <w:p w14:paraId="6B15E37D" w14:textId="77777777" w:rsidR="005F55BF"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CRD</w:t>
            </w:r>
          </w:p>
          <w:p w14:paraId="2DE66771" w14:textId="7B8CFEBF"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42018111630</w:t>
            </w:r>
          </w:p>
        </w:tc>
        <w:tc>
          <w:tcPr>
            <w:tcW w:w="1146" w:type="dxa"/>
          </w:tcPr>
          <w:p w14:paraId="7B1B2E1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97,244</w:t>
            </w:r>
          </w:p>
        </w:tc>
        <w:tc>
          <w:tcPr>
            <w:tcW w:w="1105" w:type="dxa"/>
          </w:tcPr>
          <w:p w14:paraId="5CC52D75"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DANTE</w:t>
            </w:r>
          </w:p>
          <w:p w14:paraId="136DC563"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DLCST</w:t>
            </w:r>
          </w:p>
          <w:p w14:paraId="753A1F4F"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ITALUNG</w:t>
            </w:r>
          </w:p>
          <w:p w14:paraId="51D00A51"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LSS</w:t>
            </w:r>
          </w:p>
          <w:p w14:paraId="35289F91"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LUSI</w:t>
            </w:r>
          </w:p>
          <w:p w14:paraId="727E44DB"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MILD</w:t>
            </w:r>
          </w:p>
          <w:p w14:paraId="712474D3"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NELSON</w:t>
            </w:r>
          </w:p>
          <w:p w14:paraId="5CBFA9CD" w14:textId="77777777" w:rsidR="0025100D"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NLST</w:t>
            </w:r>
          </w:p>
          <w:p w14:paraId="1EA2B8D1" w14:textId="3FE1F570"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Yang 2018</w:t>
            </w:r>
          </w:p>
        </w:tc>
        <w:tc>
          <w:tcPr>
            <w:tcW w:w="1854" w:type="dxa"/>
          </w:tcPr>
          <w:p w14:paraId="6398EEA2" w14:textId="77777777" w:rsidR="00396789" w:rsidRPr="00436840" w:rsidRDefault="00396789" w:rsidP="00D17AB5">
            <w:pPr>
              <w:spacing w:before="0"/>
              <w:jc w:val="center"/>
              <w:rPr>
                <w:rFonts w:ascii="Arial Narrow" w:eastAsia="Calibri" w:hAnsi="Arial Narrow" w:cs="Times New Roman"/>
                <w:sz w:val="20"/>
                <w:szCs w:val="20"/>
              </w:rPr>
            </w:pPr>
          </w:p>
        </w:tc>
        <w:tc>
          <w:tcPr>
            <w:tcW w:w="973" w:type="dxa"/>
          </w:tcPr>
          <w:p w14:paraId="7D07AC57"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Inception – June 2019</w:t>
            </w:r>
          </w:p>
        </w:tc>
        <w:tc>
          <w:tcPr>
            <w:tcW w:w="2466" w:type="dxa"/>
          </w:tcPr>
          <w:p w14:paraId="2A6B9099" w14:textId="77777777" w:rsidR="00396789" w:rsidRPr="00436840" w:rsidRDefault="00396789" w:rsidP="00D17AB5">
            <w:pPr>
              <w:spacing w:before="0"/>
              <w:rPr>
                <w:rFonts w:ascii="Arial Narrow" w:eastAsia="Calibri" w:hAnsi="Arial Narrow" w:cs="Times New Roman"/>
                <w:b/>
                <w:bCs/>
                <w:sz w:val="20"/>
                <w:szCs w:val="20"/>
              </w:rPr>
            </w:pPr>
            <w:r w:rsidRPr="00436840">
              <w:rPr>
                <w:rFonts w:ascii="Arial Narrow" w:eastAsia="Calibri" w:hAnsi="Arial Narrow" w:cs="Times New Roman"/>
                <w:b/>
                <w:bCs/>
                <w:sz w:val="20"/>
                <w:szCs w:val="20"/>
              </w:rPr>
              <w:t>Inclusion:</w:t>
            </w:r>
          </w:p>
          <w:p w14:paraId="7B971552" w14:textId="6349BB17" w:rsidR="00396789" w:rsidRPr="00436840" w:rsidRDefault="0025100D" w:rsidP="00D17AB5">
            <w:pPr>
              <w:spacing w:before="0"/>
              <w:rPr>
                <w:rFonts w:ascii="Arial Narrow" w:eastAsia="Calibri" w:hAnsi="Arial Narrow" w:cs="Times New Roman"/>
                <w:sz w:val="20"/>
                <w:szCs w:val="20"/>
              </w:rPr>
            </w:pPr>
            <w:r>
              <w:rPr>
                <w:rFonts w:ascii="Arial Narrow" w:eastAsia="Calibri" w:hAnsi="Arial Narrow" w:cs="Times New Roman"/>
                <w:sz w:val="20"/>
                <w:szCs w:val="20"/>
              </w:rPr>
              <w:t>S</w:t>
            </w:r>
            <w:r w:rsidR="00396789" w:rsidRPr="00436840">
              <w:rPr>
                <w:rFonts w:ascii="Arial Narrow" w:eastAsia="Calibri" w:hAnsi="Arial Narrow" w:cs="Times New Roman"/>
                <w:sz w:val="20"/>
                <w:szCs w:val="20"/>
              </w:rPr>
              <w:t>tudies that met all of the following criteria:</w:t>
            </w:r>
          </w:p>
          <w:p w14:paraId="6E19DF86" w14:textId="77777777" w:rsidR="00396789" w:rsidRPr="00436840" w:rsidRDefault="00396789" w:rsidP="004A69AE">
            <w:pPr>
              <w:numPr>
                <w:ilvl w:val="0"/>
                <w:numId w:val="13"/>
              </w:numPr>
              <w:spacing w:before="0"/>
              <w:ind w:left="170" w:hanging="113"/>
              <w:contextualSpacing/>
              <w:rPr>
                <w:rFonts w:ascii="Arial Narrow" w:eastAsia="Calibri" w:hAnsi="Arial Narrow" w:cs="Times New Roman"/>
                <w:sz w:val="20"/>
                <w:szCs w:val="20"/>
              </w:rPr>
            </w:pPr>
            <w:r w:rsidRPr="00436840">
              <w:rPr>
                <w:rFonts w:ascii="Arial Narrow" w:eastAsia="Calibri" w:hAnsi="Arial Narrow" w:cs="Times New Roman"/>
                <w:sz w:val="20"/>
                <w:szCs w:val="20"/>
              </w:rPr>
              <w:t>Only RCTs</w:t>
            </w:r>
          </w:p>
          <w:p w14:paraId="71A117E1" w14:textId="77777777" w:rsidR="00396789" w:rsidRPr="00436840" w:rsidRDefault="00396789" w:rsidP="004A69AE">
            <w:pPr>
              <w:numPr>
                <w:ilvl w:val="0"/>
                <w:numId w:val="13"/>
              </w:numPr>
              <w:spacing w:before="0"/>
              <w:ind w:left="170" w:hanging="113"/>
              <w:contextualSpacing/>
              <w:rPr>
                <w:rFonts w:ascii="Arial Narrow" w:eastAsia="Calibri" w:hAnsi="Arial Narrow" w:cs="Times New Roman"/>
                <w:sz w:val="20"/>
                <w:szCs w:val="20"/>
              </w:rPr>
            </w:pPr>
            <w:r w:rsidRPr="00436840">
              <w:rPr>
                <w:rFonts w:ascii="Arial Narrow" w:eastAsia="Calibri" w:hAnsi="Arial Narrow" w:cs="Times New Roman"/>
                <w:sz w:val="20"/>
                <w:szCs w:val="20"/>
              </w:rPr>
              <w:t>LDCT vs. any other type of lung cancer screening</w:t>
            </w:r>
          </w:p>
          <w:p w14:paraId="4C1E0AD9" w14:textId="77777777" w:rsidR="00396789" w:rsidRPr="00436840" w:rsidRDefault="00396789" w:rsidP="004A69AE">
            <w:pPr>
              <w:numPr>
                <w:ilvl w:val="0"/>
                <w:numId w:val="13"/>
              </w:numPr>
              <w:spacing w:before="0"/>
              <w:ind w:left="170" w:hanging="113"/>
              <w:contextualSpacing/>
              <w:rPr>
                <w:rFonts w:ascii="Arial Narrow" w:eastAsia="Calibri" w:hAnsi="Arial Narrow" w:cs="Times New Roman"/>
                <w:sz w:val="20"/>
                <w:szCs w:val="20"/>
              </w:rPr>
            </w:pPr>
            <w:r w:rsidRPr="00436840">
              <w:rPr>
                <w:rFonts w:ascii="Arial Narrow" w:eastAsia="Calibri" w:hAnsi="Arial Narrow" w:cs="Times New Roman"/>
                <w:sz w:val="20"/>
                <w:szCs w:val="20"/>
              </w:rPr>
              <w:t>Adult 18</w:t>
            </w:r>
            <w:r w:rsidRPr="00436840">
              <w:rPr>
                <w:rFonts w:ascii="Arial" w:eastAsia="Calibri" w:hAnsi="Arial" w:cs="Arial"/>
                <w:sz w:val="20"/>
                <w:szCs w:val="20"/>
              </w:rPr>
              <w:t> </w:t>
            </w:r>
            <w:r w:rsidRPr="00436840">
              <w:rPr>
                <w:rFonts w:ascii="Arial Narrow" w:eastAsia="Calibri" w:hAnsi="Arial Narrow" w:cs="Times New Roman"/>
                <w:sz w:val="20"/>
                <w:szCs w:val="20"/>
              </w:rPr>
              <w:t>years or older asymptomatic with risk factor for lung cancer</w:t>
            </w:r>
          </w:p>
          <w:p w14:paraId="37930744" w14:textId="1E9B5ECA" w:rsidR="00396789" w:rsidRPr="00436840" w:rsidRDefault="00396789" w:rsidP="004A69AE">
            <w:pPr>
              <w:numPr>
                <w:ilvl w:val="0"/>
                <w:numId w:val="13"/>
              </w:numPr>
              <w:spacing w:before="0"/>
              <w:ind w:left="170" w:hanging="113"/>
              <w:contextualSpacing/>
              <w:rPr>
                <w:rFonts w:ascii="Arial Narrow" w:eastAsia="Calibri" w:hAnsi="Arial Narrow" w:cs="Times New Roman"/>
                <w:sz w:val="20"/>
                <w:szCs w:val="20"/>
              </w:rPr>
            </w:pPr>
            <w:r w:rsidRPr="00436840">
              <w:rPr>
                <w:rFonts w:ascii="Arial Narrow" w:eastAsia="Calibri" w:hAnsi="Arial Narrow" w:cs="Times New Roman"/>
                <w:sz w:val="20"/>
                <w:szCs w:val="20"/>
              </w:rPr>
              <w:t>Benefits of interest included: lung cancer mortality, all-cause mortality, early detection</w:t>
            </w:r>
          </w:p>
          <w:p w14:paraId="1E8A8CC7" w14:textId="77777777" w:rsidR="00396789" w:rsidRPr="00436840" w:rsidRDefault="00396789" w:rsidP="004A69AE">
            <w:pPr>
              <w:numPr>
                <w:ilvl w:val="0"/>
                <w:numId w:val="13"/>
              </w:numPr>
              <w:spacing w:before="0"/>
              <w:ind w:left="170" w:hanging="113"/>
              <w:contextualSpacing/>
              <w:rPr>
                <w:rFonts w:ascii="Arial Narrow" w:eastAsia="Calibri" w:hAnsi="Arial Narrow" w:cs="Times New Roman"/>
                <w:sz w:val="20"/>
                <w:szCs w:val="20"/>
              </w:rPr>
            </w:pPr>
            <w:r w:rsidRPr="00436840">
              <w:rPr>
                <w:rFonts w:ascii="Arial Narrow" w:eastAsia="Calibri" w:hAnsi="Arial Narrow" w:cs="Times New Roman"/>
                <w:sz w:val="20"/>
                <w:szCs w:val="20"/>
              </w:rPr>
              <w:t>Harms of interest included: death and major complications after invasive procedures.</w:t>
            </w:r>
          </w:p>
        </w:tc>
        <w:tc>
          <w:tcPr>
            <w:tcW w:w="1086" w:type="dxa"/>
          </w:tcPr>
          <w:p w14:paraId="4447764D" w14:textId="77777777"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4900E401" w14:textId="0D905CC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Early-stage cancer (Stage 1)</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LDCT vs control</w:t>
            </w:r>
          </w:p>
          <w:p w14:paraId="38391CF0"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2.08</w:t>
            </w:r>
          </w:p>
          <w:p w14:paraId="550319AD" w14:textId="77777777" w:rsidR="004D16BA"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47D6B2FA" w14:textId="72FCD4B7" w:rsidR="00396789" w:rsidRPr="00436840" w:rsidRDefault="00396789" w:rsidP="00D17AB5">
            <w:pPr>
              <w:spacing w:before="0"/>
              <w:jc w:val="center"/>
              <w:rPr>
                <w:rFonts w:ascii="Arial Narrow" w:eastAsia="Calibri" w:hAnsi="Arial Narrow" w:cs="Times New Roman"/>
                <w:b/>
                <w:bCs/>
                <w:sz w:val="20"/>
                <w:szCs w:val="20"/>
              </w:rPr>
            </w:pPr>
            <w:r w:rsidRPr="00436840">
              <w:rPr>
                <w:rFonts w:ascii="Arial Narrow" w:eastAsia="Calibri" w:hAnsi="Arial Narrow" w:cs="Times New Roman"/>
                <w:sz w:val="20"/>
                <w:szCs w:val="20"/>
              </w:rPr>
              <w:t>1.43</w:t>
            </w:r>
            <w:r w:rsidR="0025100D">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3.03</w:t>
            </w:r>
          </w:p>
        </w:tc>
        <w:tc>
          <w:tcPr>
            <w:tcW w:w="1162" w:type="dxa"/>
          </w:tcPr>
          <w:p w14:paraId="2B90D3D6" w14:textId="7F9679E5"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620D977E"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0.83</w:t>
            </w:r>
          </w:p>
          <w:p w14:paraId="4FEABFB1"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2ED0FDF9" w14:textId="7BC8B68C"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0.76</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0.90</w:t>
            </w:r>
          </w:p>
          <w:p w14:paraId="22ABF9F9" w14:textId="70A58C0B"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1%</w:t>
            </w:r>
          </w:p>
        </w:tc>
        <w:tc>
          <w:tcPr>
            <w:tcW w:w="1248" w:type="dxa"/>
          </w:tcPr>
          <w:p w14:paraId="3AA187F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2C2DDAA9"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0.95</w:t>
            </w:r>
          </w:p>
          <w:p w14:paraId="3A55CB6C"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19B74907" w14:textId="0869BFFC"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0.90</w:t>
            </w:r>
            <w:r w:rsidR="0025100D">
              <w:rPr>
                <w:rFonts w:ascii="Arial Narrow" w:eastAsia="Calibri" w:hAnsi="Arial Narrow" w:cs="Times New Roman"/>
                <w:sz w:val="20"/>
                <w:szCs w:val="20"/>
              </w:rPr>
              <w:t xml:space="preserve"> to</w:t>
            </w:r>
            <w:r w:rsidRPr="00436840">
              <w:rPr>
                <w:rFonts w:ascii="Arial Narrow" w:eastAsia="Calibri" w:hAnsi="Arial Narrow" w:cs="Times New Roman"/>
                <w:sz w:val="20"/>
                <w:szCs w:val="20"/>
              </w:rPr>
              <w:t xml:space="preserve"> 1.00</w:t>
            </w:r>
          </w:p>
          <w:p w14:paraId="27794BFD"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0%</w:t>
            </w:r>
          </w:p>
        </w:tc>
        <w:tc>
          <w:tcPr>
            <w:tcW w:w="1417" w:type="dxa"/>
          </w:tcPr>
          <w:p w14:paraId="7364F675" w14:textId="77777777" w:rsidR="00396789" w:rsidRPr="00436840" w:rsidRDefault="00396789" w:rsidP="00D17AB5">
            <w:pPr>
              <w:spacing w:before="0"/>
              <w:jc w:val="center"/>
              <w:rPr>
                <w:rFonts w:ascii="Arial Narrow" w:eastAsia="Calibri" w:hAnsi="Arial Narrow" w:cs="Times New Roman"/>
                <w:sz w:val="20"/>
                <w:szCs w:val="20"/>
              </w:rPr>
            </w:pPr>
          </w:p>
        </w:tc>
        <w:tc>
          <w:tcPr>
            <w:tcW w:w="1134" w:type="dxa"/>
          </w:tcPr>
          <w:p w14:paraId="034FE6A3" w14:textId="77777777"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2B4F9FB5" w14:textId="77777777"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28AEA7D8" w14:textId="7777777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DANTE, MILD judged to be of low quality due to high risk of bias for mortality outcomes.</w:t>
            </w:r>
          </w:p>
          <w:p w14:paraId="26ECBCCD" w14:textId="7777777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Variation in trial quality and sample size may be a potential source of heterogeneity.</w:t>
            </w:r>
          </w:p>
          <w:p w14:paraId="0C5893D5" w14:textId="7777777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Several biases arise in the evaluation of screening studies, including lead-time, length-time and overdiagnosis, which should be taken into account when interpreting these data.</w:t>
            </w:r>
          </w:p>
        </w:tc>
        <w:tc>
          <w:tcPr>
            <w:tcW w:w="2320" w:type="dxa"/>
          </w:tcPr>
          <w:p w14:paraId="2264E198" w14:textId="7398889B" w:rsidR="00396789" w:rsidRPr="00436840" w:rsidRDefault="00396789" w:rsidP="009E445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xml:space="preserve">In </w:t>
            </w:r>
            <w:r w:rsidR="00A112F0">
              <w:rPr>
                <w:rFonts w:ascii="Arial Narrow" w:eastAsia="Calibri" w:hAnsi="Arial Narrow" w:cs="Times New Roman"/>
                <w:sz w:val="20"/>
                <w:szCs w:val="20"/>
              </w:rPr>
              <w:t xml:space="preserve">a </w:t>
            </w:r>
            <w:r w:rsidRPr="00436840">
              <w:rPr>
                <w:rFonts w:ascii="Arial Narrow" w:eastAsia="Calibri" w:hAnsi="Arial Narrow" w:cs="Times New Roman"/>
                <w:sz w:val="20"/>
                <w:szCs w:val="20"/>
              </w:rPr>
              <w:t>meta-analysis based on sufficient evidence demonstrated by TSA suggests that LDCT screening is superior over usual care in lung cancer survival. The benefit of LDCT is expected to be heavily influenced by the risk of lung cancer in the different target group (smoking status, Asian) being screened.</w:t>
            </w:r>
            <w:r w:rsidR="009E445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 xml:space="preserve">Due to </w:t>
            </w:r>
            <w:r w:rsidR="00A112F0">
              <w:rPr>
                <w:rFonts w:ascii="Arial Narrow" w:eastAsia="Calibri" w:hAnsi="Arial Narrow" w:cs="Times New Roman"/>
                <w:sz w:val="20"/>
                <w:szCs w:val="20"/>
              </w:rPr>
              <w:t xml:space="preserve">the </w:t>
            </w:r>
            <w:r w:rsidRPr="00436840">
              <w:rPr>
                <w:rFonts w:ascii="Arial Narrow" w:eastAsia="Calibri" w:hAnsi="Arial Narrow" w:cs="Times New Roman"/>
                <w:sz w:val="20"/>
                <w:szCs w:val="20"/>
              </w:rPr>
              <w:t>tenuous balance of benefits and harms, medical decision making is recommended for individuals who are considering LDCT screening.</w:t>
            </w:r>
          </w:p>
        </w:tc>
      </w:tr>
      <w:tr w:rsidR="004D16BA" w:rsidRPr="00436840" w14:paraId="706A1D13" w14:textId="77777777" w:rsidTr="005F55BF">
        <w:tc>
          <w:tcPr>
            <w:tcW w:w="1151" w:type="dxa"/>
          </w:tcPr>
          <w:p w14:paraId="2199D46F" w14:textId="5B0122FF" w:rsidR="00396789" w:rsidRPr="00436840" w:rsidRDefault="00033AFC" w:rsidP="00396789">
            <w:pPr>
              <w:spacing w:before="0"/>
              <w:rPr>
                <w:rFonts w:ascii="Arial Narrow" w:eastAsia="Calibri" w:hAnsi="Arial Narrow" w:cs="Times New Roman"/>
                <w:sz w:val="20"/>
                <w:szCs w:val="20"/>
              </w:rPr>
            </w:pPr>
            <w:hyperlink r:id="rId26" w:history="1">
              <w:r w:rsidR="00396789" w:rsidRPr="00436840">
                <w:rPr>
                  <w:rFonts w:ascii="Arial Narrow" w:eastAsia="Calibri" w:hAnsi="Arial Narrow" w:cs="Times New Roman"/>
                  <w:sz w:val="20"/>
                  <w:szCs w:val="20"/>
                </w:rPr>
                <w:t>Sadate et al.</w:t>
              </w:r>
            </w:hyperlink>
          </w:p>
          <w:p w14:paraId="25775D53" w14:textId="36B9827F"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2020</w:t>
            </w:r>
            <w:r w:rsidR="00065F04" w:rsidRPr="00436840">
              <w:rPr>
                <w:rStyle w:val="FootnoteReference"/>
                <w:rFonts w:ascii="Arial Narrow" w:eastAsia="Calibri" w:hAnsi="Arial Narrow" w:cs="Times New Roman"/>
                <w:sz w:val="20"/>
                <w:szCs w:val="20"/>
              </w:rPr>
              <w:footnoteReference w:id="43"/>
            </w:r>
          </w:p>
          <w:p w14:paraId="437E9671" w14:textId="77777777" w:rsidR="005F55BF"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CRD</w:t>
            </w:r>
          </w:p>
          <w:p w14:paraId="1DB6D8B2" w14:textId="41C52739"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42018091720</w:t>
            </w:r>
          </w:p>
        </w:tc>
        <w:tc>
          <w:tcPr>
            <w:tcW w:w="1146" w:type="dxa"/>
          </w:tcPr>
          <w:p w14:paraId="0AA3DE23"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84,558</w:t>
            </w:r>
          </w:p>
        </w:tc>
        <w:tc>
          <w:tcPr>
            <w:tcW w:w="1105" w:type="dxa"/>
          </w:tcPr>
          <w:p w14:paraId="2EF8A28E" w14:textId="77777777" w:rsidR="0025100D"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DANTE</w:t>
            </w:r>
          </w:p>
          <w:p w14:paraId="4B8DA467" w14:textId="1380F030"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NLST</w:t>
            </w:r>
          </w:p>
          <w:p w14:paraId="13E8EC65"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NELSON</w:t>
            </w:r>
          </w:p>
          <w:p w14:paraId="69C1A486"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DLCST</w:t>
            </w:r>
          </w:p>
          <w:p w14:paraId="44D18D9C"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ITALUNG</w:t>
            </w:r>
          </w:p>
          <w:p w14:paraId="363266D9"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MILD</w:t>
            </w:r>
          </w:p>
          <w:p w14:paraId="13FA0E36" w14:textId="55A86A8D"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LUSI</w:t>
            </w:r>
          </w:p>
        </w:tc>
        <w:tc>
          <w:tcPr>
            <w:tcW w:w="1854" w:type="dxa"/>
          </w:tcPr>
          <w:p w14:paraId="7AFFE2E3" w14:textId="77777777" w:rsidR="00396789" w:rsidRPr="00436840" w:rsidRDefault="00396789" w:rsidP="00D17AB5">
            <w:pPr>
              <w:spacing w:before="0"/>
              <w:jc w:val="center"/>
              <w:rPr>
                <w:rFonts w:ascii="Arial Narrow" w:eastAsia="Calibri" w:hAnsi="Arial Narrow" w:cs="Times New Roman"/>
                <w:sz w:val="20"/>
                <w:szCs w:val="20"/>
              </w:rPr>
            </w:pPr>
          </w:p>
        </w:tc>
        <w:tc>
          <w:tcPr>
            <w:tcW w:w="973" w:type="dxa"/>
          </w:tcPr>
          <w:p w14:paraId="45B02449"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Inception – February 2018</w:t>
            </w:r>
          </w:p>
        </w:tc>
        <w:tc>
          <w:tcPr>
            <w:tcW w:w="2466" w:type="dxa"/>
          </w:tcPr>
          <w:p w14:paraId="116CEE3F" w14:textId="77777777" w:rsidR="00396789" w:rsidRPr="00436840" w:rsidRDefault="00396789" w:rsidP="00D17AB5">
            <w:pPr>
              <w:spacing w:before="0"/>
              <w:rPr>
                <w:rFonts w:ascii="Arial Narrow" w:eastAsia="Calibri" w:hAnsi="Arial Narrow" w:cs="Times New Roman"/>
                <w:b/>
                <w:bCs/>
                <w:sz w:val="20"/>
                <w:szCs w:val="20"/>
              </w:rPr>
            </w:pPr>
            <w:r w:rsidRPr="00436840">
              <w:rPr>
                <w:rFonts w:ascii="Arial Narrow" w:eastAsia="Calibri" w:hAnsi="Arial Narrow" w:cs="Times New Roman"/>
                <w:b/>
                <w:bCs/>
                <w:sz w:val="20"/>
                <w:szCs w:val="20"/>
              </w:rPr>
              <w:t>Inclusion:</w:t>
            </w:r>
          </w:p>
          <w:p w14:paraId="65A8C857" w14:textId="4591B8D2" w:rsidR="00396789" w:rsidRPr="00436840" w:rsidRDefault="00396789" w:rsidP="00D17AB5">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topics about lung cancer screening, RCT study design, LDCT compared with any other intervention, population who reported an average smoking</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history over 15 pack-years (corresponding to the lowest</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criteria of the European RCTs on lung cancer screening)</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and the report of data on all-cause mortality or lung</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cancer-specific mortality.</w:t>
            </w:r>
          </w:p>
        </w:tc>
        <w:tc>
          <w:tcPr>
            <w:tcW w:w="1086" w:type="dxa"/>
          </w:tcPr>
          <w:p w14:paraId="171A9FFA" w14:textId="77777777"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737802A6" w14:textId="77777777" w:rsidR="00396789" w:rsidRPr="00436840" w:rsidRDefault="00396789" w:rsidP="00D17AB5">
            <w:pPr>
              <w:spacing w:before="0"/>
              <w:jc w:val="center"/>
              <w:rPr>
                <w:rFonts w:ascii="Arial Narrow" w:eastAsia="Calibri" w:hAnsi="Arial Narrow" w:cs="Times New Roman"/>
                <w:sz w:val="20"/>
                <w:szCs w:val="20"/>
              </w:rPr>
            </w:pPr>
          </w:p>
        </w:tc>
        <w:tc>
          <w:tcPr>
            <w:tcW w:w="1162" w:type="dxa"/>
          </w:tcPr>
          <w:p w14:paraId="5546DC75" w14:textId="026C27E2"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59E70A9C"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0.83</w:t>
            </w:r>
          </w:p>
          <w:p w14:paraId="3027B33B"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3D9219BD" w14:textId="7E13A935" w:rsidR="0025100D"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0.76</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0.91</w:t>
            </w:r>
          </w:p>
          <w:p w14:paraId="087340E8" w14:textId="7A08C59D"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0%</w:t>
            </w:r>
          </w:p>
        </w:tc>
        <w:tc>
          <w:tcPr>
            <w:tcW w:w="1248" w:type="dxa"/>
          </w:tcPr>
          <w:p w14:paraId="488DB80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control</w:t>
            </w:r>
          </w:p>
          <w:p w14:paraId="2910FE9A" w14:textId="77777777" w:rsidR="00D17AB5"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0.96</w:t>
            </w:r>
          </w:p>
          <w:p w14:paraId="19D4F16C" w14:textId="77777777" w:rsidR="00D17AB5" w:rsidRDefault="0025100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1298A347" w14:textId="193E8046"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0.92</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1.00</w:t>
            </w:r>
          </w:p>
          <w:p w14:paraId="04BC9F6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0%</w:t>
            </w:r>
          </w:p>
        </w:tc>
        <w:tc>
          <w:tcPr>
            <w:tcW w:w="1417" w:type="dxa"/>
          </w:tcPr>
          <w:p w14:paraId="533D011F" w14:textId="77777777" w:rsidR="00396789" w:rsidRPr="00436840" w:rsidRDefault="00396789" w:rsidP="00D17AB5">
            <w:pPr>
              <w:spacing w:before="0"/>
              <w:jc w:val="center"/>
              <w:rPr>
                <w:rFonts w:ascii="Arial Narrow" w:eastAsia="Calibri" w:hAnsi="Arial Narrow" w:cs="Times New Roman"/>
                <w:sz w:val="20"/>
                <w:szCs w:val="20"/>
              </w:rPr>
            </w:pPr>
          </w:p>
        </w:tc>
        <w:tc>
          <w:tcPr>
            <w:tcW w:w="1134" w:type="dxa"/>
          </w:tcPr>
          <w:p w14:paraId="6660EB02" w14:textId="77777777"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2F24A962" w14:textId="77777777"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33C63076" w14:textId="68F85695"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Partial heterogeneity of the protocols studied, in particular the interventions in the control arm</w:t>
            </w:r>
            <w:r w:rsidR="00A112F0">
              <w:rPr>
                <w:rFonts w:ascii="Arial Narrow" w:eastAsia="Calibri" w:hAnsi="Arial Narrow" w:cs="Times New Roman"/>
                <w:sz w:val="20"/>
                <w:szCs w:val="20"/>
              </w:rPr>
              <w:t>.</w:t>
            </w:r>
          </w:p>
          <w:p w14:paraId="1CC10586" w14:textId="77B256DF" w:rsidR="00396789" w:rsidRPr="00436840" w:rsidRDefault="00396789" w:rsidP="00A112F0">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Heterogeneity among studies concerned the</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smoking history of patients included, much higher in the</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NLST than in other RCTs included</w:t>
            </w:r>
            <w:r w:rsidR="00A112F0">
              <w:rPr>
                <w:rFonts w:ascii="Arial Narrow" w:eastAsia="Calibri" w:hAnsi="Arial Narrow" w:cs="Times New Roman"/>
                <w:sz w:val="20"/>
                <w:szCs w:val="20"/>
              </w:rPr>
              <w:t>.</w:t>
            </w:r>
          </w:p>
        </w:tc>
        <w:tc>
          <w:tcPr>
            <w:tcW w:w="2320" w:type="dxa"/>
          </w:tcPr>
          <w:p w14:paraId="1788A68D" w14:textId="428F835C" w:rsidR="00396789" w:rsidRPr="00436840" w:rsidRDefault="00396789" w:rsidP="009E445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Our meta-analysis is the first systematic review to</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include all recent RCTs including the recent NELSON</w:t>
            </w:r>
            <w:r w:rsidR="00564602">
              <w:rPr>
                <w:rFonts w:ascii="Arial Narrow" w:eastAsia="Calibri" w:hAnsi="Arial Narrow" w:cs="Times New Roman"/>
                <w:sz w:val="20"/>
                <w:szCs w:val="20"/>
              </w:rPr>
              <w:t xml:space="preserve"> study</w:t>
            </w:r>
            <w:r w:rsidRPr="00436840">
              <w:rPr>
                <w:rFonts w:ascii="Arial Narrow" w:eastAsia="Calibri" w:hAnsi="Arial Narrow" w:cs="Times New Roman"/>
                <w:sz w:val="20"/>
                <w:szCs w:val="20"/>
              </w:rPr>
              <w:t>. Our results confirm that of the NELSON study,</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showing an impact of lung cancer screening on lung</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cancer</w:t>
            </w:r>
            <w:r w:rsidR="006A0838" w:rsidRPr="00436840">
              <w:rPr>
                <w:rFonts w:ascii="Arial Narrow" w:eastAsia="Calibri" w:hAnsi="Arial Narrow" w:cs="Times New Roman"/>
                <w:sz w:val="20"/>
                <w:szCs w:val="20"/>
              </w:rPr>
              <w:t>-</w:t>
            </w:r>
            <w:r w:rsidRPr="00436840">
              <w:rPr>
                <w:rFonts w:ascii="Arial Narrow" w:eastAsia="Calibri" w:hAnsi="Arial Narrow" w:cs="Times New Roman"/>
                <w:sz w:val="20"/>
                <w:szCs w:val="20"/>
              </w:rPr>
              <w:t>specific mortality reduced in the LDCT group.</w:t>
            </w:r>
            <w:r w:rsidR="009E445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No impact of such screening on all-cause mortality was</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reported.</w:t>
            </w:r>
          </w:p>
        </w:tc>
      </w:tr>
      <w:tr w:rsidR="004D16BA" w:rsidRPr="00436840" w14:paraId="4EF588CC" w14:textId="77777777" w:rsidTr="005F55BF">
        <w:trPr>
          <w:trHeight w:val="2597"/>
        </w:trPr>
        <w:tc>
          <w:tcPr>
            <w:tcW w:w="1151" w:type="dxa"/>
          </w:tcPr>
          <w:p w14:paraId="31EA6866" w14:textId="07D51F18"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lastRenderedPageBreak/>
              <w:t>Brodersen et al.</w:t>
            </w:r>
          </w:p>
          <w:p w14:paraId="798C21C2" w14:textId="60B1678C"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2020</w:t>
            </w:r>
            <w:r w:rsidR="00FE0FE4" w:rsidRPr="00436840">
              <w:rPr>
                <w:rStyle w:val="FootnoteReference"/>
                <w:rFonts w:ascii="Arial Narrow" w:eastAsia="Calibri" w:hAnsi="Arial Narrow" w:cs="Times New Roman"/>
                <w:sz w:val="20"/>
                <w:szCs w:val="20"/>
              </w:rPr>
              <w:footnoteReference w:id="44"/>
            </w:r>
          </w:p>
          <w:p w14:paraId="04F04763" w14:textId="16168887" w:rsidR="00396789" w:rsidRPr="00436840" w:rsidRDefault="00396789" w:rsidP="005F445D">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ID not registered/ provided</w:t>
            </w:r>
          </w:p>
        </w:tc>
        <w:tc>
          <w:tcPr>
            <w:tcW w:w="1146" w:type="dxa"/>
          </w:tcPr>
          <w:p w14:paraId="10EF46A8"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28,656</w:t>
            </w:r>
          </w:p>
        </w:tc>
        <w:tc>
          <w:tcPr>
            <w:tcW w:w="1105" w:type="dxa"/>
          </w:tcPr>
          <w:p w14:paraId="46765C85"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DLCST</w:t>
            </w:r>
          </w:p>
          <w:p w14:paraId="45C82AB7"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LUSI</w:t>
            </w:r>
          </w:p>
          <w:p w14:paraId="2B1B8480"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MILD</w:t>
            </w:r>
          </w:p>
          <w:p w14:paraId="59B6EA0E"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ITLUNG</w:t>
            </w:r>
          </w:p>
          <w:p w14:paraId="3B98FADC" w14:textId="79806E58"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NELSON</w:t>
            </w:r>
          </w:p>
        </w:tc>
        <w:tc>
          <w:tcPr>
            <w:tcW w:w="1854" w:type="dxa"/>
          </w:tcPr>
          <w:p w14:paraId="76DCAFD2" w14:textId="77777777" w:rsidR="00396789" w:rsidRPr="00436840" w:rsidRDefault="00396789" w:rsidP="00D17AB5">
            <w:pPr>
              <w:spacing w:before="0"/>
              <w:jc w:val="center"/>
              <w:rPr>
                <w:rFonts w:ascii="Arial Narrow" w:eastAsia="Calibri" w:hAnsi="Arial Narrow" w:cs="Times New Roman"/>
                <w:sz w:val="20"/>
                <w:szCs w:val="20"/>
              </w:rPr>
            </w:pPr>
          </w:p>
        </w:tc>
        <w:tc>
          <w:tcPr>
            <w:tcW w:w="973" w:type="dxa"/>
          </w:tcPr>
          <w:p w14:paraId="0B520CB2" w14:textId="77777777" w:rsidR="00396789" w:rsidRPr="00436840" w:rsidRDefault="00396789" w:rsidP="00D17AB5">
            <w:pPr>
              <w:spacing w:before="0"/>
              <w:jc w:val="center"/>
              <w:rPr>
                <w:rFonts w:ascii="Arial Narrow" w:eastAsia="Calibri" w:hAnsi="Arial Narrow" w:cs="Times New Roman"/>
                <w:sz w:val="20"/>
                <w:szCs w:val="20"/>
              </w:rPr>
            </w:pPr>
          </w:p>
        </w:tc>
        <w:tc>
          <w:tcPr>
            <w:tcW w:w="2466" w:type="dxa"/>
          </w:tcPr>
          <w:p w14:paraId="65BDB073" w14:textId="77777777" w:rsidR="00396789" w:rsidRPr="00436840" w:rsidRDefault="00396789" w:rsidP="00D17AB5">
            <w:pPr>
              <w:spacing w:before="0"/>
              <w:rPr>
                <w:rFonts w:ascii="Arial Narrow" w:eastAsia="Calibri" w:hAnsi="Arial Narrow" w:cs="Times New Roman"/>
                <w:b/>
                <w:bCs/>
                <w:sz w:val="20"/>
                <w:szCs w:val="20"/>
              </w:rPr>
            </w:pPr>
            <w:r w:rsidRPr="00436840">
              <w:rPr>
                <w:rFonts w:ascii="Arial Narrow" w:eastAsia="Calibri" w:hAnsi="Arial Narrow" w:cs="Times New Roman"/>
                <w:b/>
                <w:bCs/>
                <w:sz w:val="20"/>
                <w:szCs w:val="20"/>
              </w:rPr>
              <w:t>Inclusion:</w:t>
            </w:r>
          </w:p>
          <w:p w14:paraId="392716ED" w14:textId="77777777" w:rsidR="00396789" w:rsidRPr="00436840" w:rsidRDefault="00396789" w:rsidP="00D17AB5">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RCTs if:</w:t>
            </w:r>
          </w:p>
          <w:p w14:paraId="4D0928AC" w14:textId="3BD5FB9F" w:rsidR="00396789" w:rsidRPr="00436840" w:rsidRDefault="00396789" w:rsidP="00D17AB5">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 they did not provide long-term cumulative lung</w:t>
            </w:r>
            <w:r w:rsidR="005F445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cancer incidence during follow-up, i.e. after the</w:t>
            </w:r>
          </w:p>
          <w:p w14:paraId="736A2686" w14:textId="77777777" w:rsidR="00396789" w:rsidRPr="00436840" w:rsidRDefault="00396789" w:rsidP="00D17AB5">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active phase of trials; or</w:t>
            </w:r>
          </w:p>
          <w:p w14:paraId="32468FD1" w14:textId="1D2B3588" w:rsidR="00396789" w:rsidRPr="00436840" w:rsidRDefault="00396789" w:rsidP="00D17AB5">
            <w:pPr>
              <w:spacing w:before="0"/>
              <w:rPr>
                <w:rFonts w:ascii="Arial Narrow" w:eastAsia="Calibri" w:hAnsi="Arial Narrow" w:cs="Times New Roman"/>
                <w:b/>
                <w:sz w:val="20"/>
                <w:szCs w:val="20"/>
              </w:rPr>
            </w:pPr>
            <w:r w:rsidRPr="00436840">
              <w:rPr>
                <w:rFonts w:ascii="Arial Narrow" w:eastAsia="Calibri" w:hAnsi="Arial Narrow" w:cs="Times New Roman"/>
                <w:sz w:val="20"/>
                <w:szCs w:val="20"/>
              </w:rPr>
              <w:t>● the control group was offered any type of lung</w:t>
            </w:r>
            <w:r w:rsidR="005F445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cancer screening after or during the RCT</w:t>
            </w:r>
          </w:p>
        </w:tc>
        <w:tc>
          <w:tcPr>
            <w:tcW w:w="1086" w:type="dxa"/>
          </w:tcPr>
          <w:p w14:paraId="58081818" w14:textId="77777777" w:rsidR="00396789" w:rsidRPr="00436840" w:rsidRDefault="00396789" w:rsidP="00D17AB5">
            <w:pPr>
              <w:spacing w:before="0"/>
              <w:jc w:val="center"/>
              <w:rPr>
                <w:rFonts w:ascii="Arial Narrow" w:eastAsia="Calibri" w:hAnsi="Arial Narrow" w:cs="Times New Roman"/>
                <w:sz w:val="20"/>
                <w:szCs w:val="20"/>
              </w:rPr>
            </w:pPr>
          </w:p>
        </w:tc>
        <w:tc>
          <w:tcPr>
            <w:tcW w:w="1276" w:type="dxa"/>
          </w:tcPr>
          <w:p w14:paraId="49914262"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LDCT vs usual care</w:t>
            </w:r>
          </w:p>
          <w:p w14:paraId="1549824F" w14:textId="77777777" w:rsidR="004D16BA"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RR: 1.22</w:t>
            </w:r>
          </w:p>
          <w:p w14:paraId="0B8A8571" w14:textId="77777777" w:rsidR="004D16BA" w:rsidRDefault="005F445D" w:rsidP="00D17AB5">
            <w:pPr>
              <w:spacing w:before="0"/>
              <w:jc w:val="center"/>
              <w:rPr>
                <w:rFonts w:ascii="Arial Narrow" w:eastAsia="Calibri" w:hAnsi="Arial Narrow" w:cs="Times New Roman"/>
                <w:sz w:val="20"/>
                <w:szCs w:val="20"/>
              </w:rPr>
            </w:pPr>
            <w:r>
              <w:rPr>
                <w:rFonts w:ascii="Arial Narrow" w:eastAsia="Calibri" w:hAnsi="Arial Narrow" w:cs="Times New Roman"/>
                <w:sz w:val="20"/>
                <w:szCs w:val="20"/>
              </w:rPr>
              <w:t>95% CI:</w:t>
            </w:r>
          </w:p>
          <w:p w14:paraId="4C631362" w14:textId="5C2DF3E6"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1.02</w:t>
            </w:r>
            <w:r w:rsidR="0025100D">
              <w:rPr>
                <w:rFonts w:ascii="Arial Narrow" w:eastAsia="Calibri" w:hAnsi="Arial Narrow" w:cs="Times New Roman"/>
                <w:sz w:val="20"/>
                <w:szCs w:val="20"/>
              </w:rPr>
              <w:t xml:space="preserve"> to </w:t>
            </w:r>
            <w:r w:rsidRPr="00436840">
              <w:rPr>
                <w:rFonts w:ascii="Arial Narrow" w:eastAsia="Calibri" w:hAnsi="Arial Narrow" w:cs="Times New Roman"/>
                <w:sz w:val="20"/>
                <w:szCs w:val="20"/>
              </w:rPr>
              <w:t>1.47</w:t>
            </w:r>
          </w:p>
          <w:p w14:paraId="55231DC9" w14:textId="77777777"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I</w:t>
            </w:r>
            <w:r w:rsidRPr="00436840">
              <w:rPr>
                <w:rFonts w:ascii="Arial Narrow" w:eastAsia="Calibri" w:hAnsi="Arial Narrow" w:cs="Times New Roman"/>
                <w:sz w:val="20"/>
                <w:szCs w:val="20"/>
                <w:vertAlign w:val="superscript"/>
              </w:rPr>
              <w:t>2</w:t>
            </w:r>
            <w:r w:rsidRPr="00436840">
              <w:rPr>
                <w:rFonts w:ascii="Arial Narrow" w:eastAsia="Calibri" w:hAnsi="Arial Narrow" w:cs="Times New Roman"/>
                <w:sz w:val="20"/>
                <w:szCs w:val="20"/>
              </w:rPr>
              <w:t xml:space="preserve"> = 55%</w:t>
            </w:r>
          </w:p>
        </w:tc>
        <w:tc>
          <w:tcPr>
            <w:tcW w:w="1162" w:type="dxa"/>
          </w:tcPr>
          <w:p w14:paraId="3F3A7BA4" w14:textId="77777777" w:rsidR="00396789" w:rsidRPr="00436840" w:rsidRDefault="00396789" w:rsidP="00D17AB5">
            <w:pPr>
              <w:spacing w:before="0"/>
              <w:jc w:val="center"/>
              <w:rPr>
                <w:rFonts w:ascii="Arial Narrow" w:eastAsia="Calibri" w:hAnsi="Arial Narrow" w:cs="Times New Roman"/>
                <w:sz w:val="20"/>
                <w:szCs w:val="20"/>
              </w:rPr>
            </w:pPr>
          </w:p>
        </w:tc>
        <w:tc>
          <w:tcPr>
            <w:tcW w:w="1248" w:type="dxa"/>
          </w:tcPr>
          <w:p w14:paraId="41A61154" w14:textId="77777777" w:rsidR="00396789" w:rsidRPr="00436840" w:rsidRDefault="00396789" w:rsidP="00D17AB5">
            <w:pPr>
              <w:spacing w:before="0"/>
              <w:jc w:val="center"/>
              <w:rPr>
                <w:rFonts w:ascii="Arial Narrow" w:eastAsia="Calibri" w:hAnsi="Arial Narrow" w:cs="Times New Roman"/>
                <w:sz w:val="20"/>
                <w:szCs w:val="20"/>
              </w:rPr>
            </w:pPr>
          </w:p>
        </w:tc>
        <w:tc>
          <w:tcPr>
            <w:tcW w:w="1417" w:type="dxa"/>
          </w:tcPr>
          <w:p w14:paraId="0E5BA412" w14:textId="4CD32361" w:rsidR="00396789" w:rsidRPr="00436840" w:rsidRDefault="00396789" w:rsidP="00D17AB5">
            <w:pPr>
              <w:spacing w:before="0"/>
              <w:jc w:val="center"/>
              <w:rPr>
                <w:rFonts w:ascii="Arial Narrow" w:eastAsia="Calibri" w:hAnsi="Arial Narrow" w:cs="Times New Roman"/>
                <w:sz w:val="20"/>
                <w:szCs w:val="20"/>
              </w:rPr>
            </w:pPr>
            <w:r w:rsidRPr="00436840">
              <w:rPr>
                <w:rFonts w:ascii="Arial Narrow" w:eastAsia="Calibri" w:hAnsi="Arial Narrow" w:cs="Times New Roman"/>
                <w:sz w:val="20"/>
                <w:szCs w:val="20"/>
              </w:rPr>
              <w:t>49% screen-detected</w:t>
            </w:r>
            <w:r w:rsidR="0025100D">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cancers</w:t>
            </w:r>
          </w:p>
        </w:tc>
        <w:tc>
          <w:tcPr>
            <w:tcW w:w="1134" w:type="dxa"/>
          </w:tcPr>
          <w:p w14:paraId="6CB203AE" w14:textId="77777777" w:rsidR="00396789" w:rsidRPr="00436840" w:rsidRDefault="00396789" w:rsidP="00D17AB5">
            <w:pPr>
              <w:spacing w:before="0"/>
              <w:jc w:val="center"/>
              <w:rPr>
                <w:rFonts w:ascii="Arial Narrow" w:eastAsia="Calibri" w:hAnsi="Arial Narrow" w:cs="Times New Roman"/>
                <w:sz w:val="20"/>
                <w:szCs w:val="20"/>
              </w:rPr>
            </w:pPr>
          </w:p>
        </w:tc>
        <w:tc>
          <w:tcPr>
            <w:tcW w:w="920" w:type="dxa"/>
          </w:tcPr>
          <w:p w14:paraId="04440C72" w14:textId="77777777" w:rsidR="00396789" w:rsidRPr="00436840" w:rsidRDefault="00396789" w:rsidP="00D17AB5">
            <w:pPr>
              <w:spacing w:before="0"/>
              <w:jc w:val="center"/>
              <w:rPr>
                <w:rFonts w:ascii="Arial Narrow" w:eastAsia="Calibri" w:hAnsi="Arial Narrow" w:cs="Times New Roman"/>
                <w:sz w:val="20"/>
                <w:szCs w:val="20"/>
              </w:rPr>
            </w:pPr>
          </w:p>
        </w:tc>
        <w:tc>
          <w:tcPr>
            <w:tcW w:w="1810" w:type="dxa"/>
          </w:tcPr>
          <w:p w14:paraId="6BBD87B4" w14:textId="0C88B667" w:rsidR="00396789" w:rsidRPr="00436840" w:rsidRDefault="00396789" w:rsidP="00396789">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This meta-analysis is based on a rapid review.</w:t>
            </w:r>
          </w:p>
          <w:p w14:paraId="6043BB9C" w14:textId="5BF958EB" w:rsidR="00396789" w:rsidRPr="00436840" w:rsidRDefault="00396789" w:rsidP="005F445D">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High heterogeneity and low precision.</w:t>
            </w:r>
          </w:p>
        </w:tc>
        <w:tc>
          <w:tcPr>
            <w:tcW w:w="2320" w:type="dxa"/>
          </w:tcPr>
          <w:p w14:paraId="4A8AEEBC" w14:textId="3A34FA97" w:rsidR="00396789" w:rsidRPr="00436840" w:rsidRDefault="00396789" w:rsidP="009E445E">
            <w:pPr>
              <w:spacing w:before="0"/>
              <w:rPr>
                <w:rFonts w:ascii="Arial Narrow" w:eastAsia="Calibri" w:hAnsi="Arial Narrow" w:cs="Times New Roman"/>
                <w:sz w:val="20"/>
                <w:szCs w:val="20"/>
              </w:rPr>
            </w:pPr>
            <w:r w:rsidRPr="00436840">
              <w:rPr>
                <w:rFonts w:ascii="Arial Narrow" w:eastAsia="Calibri" w:hAnsi="Arial Narrow" w:cs="Times New Roman"/>
                <w:sz w:val="20"/>
                <w:szCs w:val="20"/>
              </w:rPr>
              <w:t>In low-dose computed tomography (LDCT) screening for lung cancer, all three main conditions for</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overdiagnosis in cancer screening are present: 1) a reservoir of slowly or nongrowing lung cancer</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exists; 2) LDCT is a high-resolution imaging technology with the potential to identify this reservoir;</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and 3) eligible screening participants have a high risk of dying from causes other than lung cancer.</w:t>
            </w:r>
            <w:r w:rsidR="009E445E">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The degree of overdiagnosis in cancer screening is most validly estimated in high-quality RCTs, with enough follow-up time after the end of screening to avoid lead-time</w:t>
            </w:r>
            <w:r w:rsidR="00A112F0">
              <w:rPr>
                <w:rFonts w:ascii="Arial Narrow" w:eastAsia="Calibri" w:hAnsi="Arial Narrow" w:cs="Times New Roman"/>
                <w:sz w:val="20"/>
                <w:szCs w:val="20"/>
              </w:rPr>
              <w:t xml:space="preserve"> </w:t>
            </w:r>
            <w:r w:rsidRPr="00436840">
              <w:rPr>
                <w:rFonts w:ascii="Arial Narrow" w:eastAsia="Calibri" w:hAnsi="Arial Narrow" w:cs="Times New Roman"/>
                <w:sz w:val="20"/>
                <w:szCs w:val="20"/>
              </w:rPr>
              <w:t>bias and without contamination of the control group.</w:t>
            </w:r>
          </w:p>
        </w:tc>
      </w:tr>
    </w:tbl>
    <w:p w14:paraId="4BA351AE" w14:textId="77777777" w:rsidR="0014141B" w:rsidRDefault="0014141B">
      <w:pPr>
        <w:spacing w:before="0"/>
        <w:rPr>
          <w:b/>
        </w:rPr>
      </w:pPr>
      <w:r>
        <w:rPr>
          <w:b/>
        </w:rPr>
        <w:br w:type="page"/>
      </w:r>
      <w:bookmarkEnd w:id="4"/>
    </w:p>
    <w:p w14:paraId="12CC60D5" w14:textId="75F246D9" w:rsidR="002804C3" w:rsidRPr="00DD306B" w:rsidRDefault="0014141B">
      <w:pPr>
        <w:rPr>
          <w:b/>
        </w:rPr>
      </w:pPr>
      <w:r>
        <w:rPr>
          <w:b/>
        </w:rPr>
        <w:lastRenderedPageBreak/>
        <w:t>Attachment 4</w:t>
      </w:r>
      <w:r w:rsidR="00DD306B">
        <w:rPr>
          <w:b/>
        </w:rPr>
        <w:t>:</w:t>
      </w:r>
      <w:r w:rsidR="00B951A9">
        <w:rPr>
          <w:b/>
        </w:rPr>
        <w:t xml:space="preserve"> </w:t>
      </w:r>
      <w:r w:rsidR="002C34DE">
        <w:rPr>
          <w:b/>
        </w:rPr>
        <w:t xml:space="preserve">Justification of </w:t>
      </w:r>
      <w:r w:rsidR="00FE633E">
        <w:rPr>
          <w:b/>
        </w:rPr>
        <w:t xml:space="preserve">the </w:t>
      </w:r>
      <w:r w:rsidR="002C34DE">
        <w:rPr>
          <w:b/>
        </w:rPr>
        <w:t xml:space="preserve">selection of </w:t>
      </w:r>
      <w:r w:rsidR="00FE633E">
        <w:rPr>
          <w:b/>
        </w:rPr>
        <w:t xml:space="preserve">the </w:t>
      </w:r>
      <w:r w:rsidR="00B951A9">
        <w:rPr>
          <w:b/>
        </w:rPr>
        <w:t xml:space="preserve">risk prediction tool </w:t>
      </w:r>
      <w:r w:rsidR="002C34DE">
        <w:rPr>
          <w:b/>
        </w:rPr>
        <w:t xml:space="preserve">and threshold </w:t>
      </w:r>
      <w:r w:rsidR="00B951A9">
        <w:rPr>
          <w:b/>
        </w:rPr>
        <w:t>for referral to LDCT</w:t>
      </w:r>
    </w:p>
    <w:tbl>
      <w:tblPr>
        <w:tblStyle w:val="TableGrid"/>
        <w:tblW w:w="5013" w:type="pct"/>
        <w:tblLook w:val="04A0" w:firstRow="1" w:lastRow="0" w:firstColumn="1" w:lastColumn="0" w:noHBand="0" w:noVBand="1"/>
      </w:tblPr>
      <w:tblGrid>
        <w:gridCol w:w="1980"/>
        <w:gridCol w:w="1984"/>
        <w:gridCol w:w="2840"/>
        <w:gridCol w:w="5810"/>
        <w:gridCol w:w="3264"/>
        <w:gridCol w:w="5097"/>
      </w:tblGrid>
      <w:tr w:rsidR="002C34DE" w:rsidRPr="00436840" w14:paraId="7426DCC8" w14:textId="77777777" w:rsidTr="00DD0AA9">
        <w:tc>
          <w:tcPr>
            <w:tcW w:w="472" w:type="pct"/>
          </w:tcPr>
          <w:p w14:paraId="17457E2B" w14:textId="0EEC811A" w:rsidR="002C34DE" w:rsidRPr="00436840" w:rsidRDefault="002C34DE" w:rsidP="002C34DE">
            <w:pPr>
              <w:rPr>
                <w:rFonts w:ascii="Arial Narrow" w:hAnsi="Arial Narrow"/>
                <w:b/>
                <w:sz w:val="20"/>
              </w:rPr>
            </w:pPr>
            <w:r w:rsidRPr="00436840">
              <w:rPr>
                <w:rFonts w:ascii="Arial Narrow" w:hAnsi="Arial Narrow"/>
                <w:b/>
                <w:sz w:val="20"/>
              </w:rPr>
              <w:t xml:space="preserve">Risk prediction tool proposed for </w:t>
            </w:r>
            <w:r w:rsidR="005D5B67" w:rsidRPr="00436840">
              <w:rPr>
                <w:rFonts w:ascii="Arial Narrow" w:hAnsi="Arial Narrow"/>
                <w:b/>
                <w:sz w:val="20"/>
              </w:rPr>
              <w:t>P</w:t>
            </w:r>
            <w:r w:rsidRPr="00436840">
              <w:rPr>
                <w:rFonts w:ascii="Arial Narrow" w:hAnsi="Arial Narrow"/>
                <w:b/>
                <w:sz w:val="20"/>
              </w:rPr>
              <w:t>rogram</w:t>
            </w:r>
          </w:p>
        </w:tc>
        <w:tc>
          <w:tcPr>
            <w:tcW w:w="473" w:type="pct"/>
          </w:tcPr>
          <w:p w14:paraId="6006035F" w14:textId="657A4EAA" w:rsidR="002C34DE" w:rsidRPr="00436840" w:rsidRDefault="002C34DE" w:rsidP="002C34DE">
            <w:pPr>
              <w:rPr>
                <w:rFonts w:ascii="Arial Narrow" w:hAnsi="Arial Narrow"/>
                <w:b/>
                <w:sz w:val="20"/>
              </w:rPr>
            </w:pPr>
            <w:r w:rsidRPr="00436840">
              <w:rPr>
                <w:rFonts w:ascii="Arial Narrow" w:hAnsi="Arial Narrow"/>
                <w:b/>
                <w:sz w:val="20"/>
              </w:rPr>
              <w:t>Key published source describing option</w:t>
            </w:r>
          </w:p>
        </w:tc>
        <w:tc>
          <w:tcPr>
            <w:tcW w:w="677" w:type="pct"/>
          </w:tcPr>
          <w:p w14:paraId="5098C281" w14:textId="47DBC223" w:rsidR="002C34DE" w:rsidRPr="00436840" w:rsidRDefault="002C34DE" w:rsidP="002C34DE">
            <w:pPr>
              <w:rPr>
                <w:rFonts w:ascii="Arial Narrow" w:hAnsi="Arial Narrow"/>
                <w:b/>
                <w:sz w:val="20"/>
              </w:rPr>
            </w:pPr>
            <w:r w:rsidRPr="00436840">
              <w:rPr>
                <w:rFonts w:ascii="Arial Narrow" w:hAnsi="Arial Narrow"/>
                <w:b/>
                <w:sz w:val="20"/>
              </w:rPr>
              <w:t>Rationale for selection</w:t>
            </w:r>
          </w:p>
        </w:tc>
        <w:tc>
          <w:tcPr>
            <w:tcW w:w="1385" w:type="pct"/>
          </w:tcPr>
          <w:p w14:paraId="20B026EC" w14:textId="6B24F0F0" w:rsidR="002C34DE" w:rsidRPr="00436840" w:rsidRDefault="002C34DE" w:rsidP="002C34DE">
            <w:pPr>
              <w:rPr>
                <w:rFonts w:ascii="Arial Narrow" w:hAnsi="Arial Narrow"/>
                <w:b/>
                <w:sz w:val="20"/>
              </w:rPr>
            </w:pPr>
            <w:r w:rsidRPr="00436840">
              <w:rPr>
                <w:rFonts w:ascii="Arial Narrow" w:hAnsi="Arial Narrow"/>
                <w:b/>
                <w:sz w:val="20"/>
              </w:rPr>
              <w:t>RCTs of LDCT-based lung cancer screening programs using tools</w:t>
            </w:r>
          </w:p>
        </w:tc>
        <w:tc>
          <w:tcPr>
            <w:tcW w:w="778" w:type="pct"/>
          </w:tcPr>
          <w:p w14:paraId="61BC45DA" w14:textId="6159F28F" w:rsidR="002C34DE" w:rsidRPr="00436840" w:rsidRDefault="002C34DE" w:rsidP="002C34DE">
            <w:pPr>
              <w:rPr>
                <w:rFonts w:ascii="Arial Narrow" w:hAnsi="Arial Narrow"/>
                <w:b/>
                <w:sz w:val="20"/>
              </w:rPr>
            </w:pPr>
            <w:r w:rsidRPr="00436840">
              <w:rPr>
                <w:rFonts w:ascii="Arial Narrow" w:hAnsi="Arial Narrow"/>
                <w:b/>
                <w:sz w:val="20"/>
              </w:rPr>
              <w:t>Nominated threshold for referral or not to LDCTT</w:t>
            </w:r>
          </w:p>
        </w:tc>
        <w:tc>
          <w:tcPr>
            <w:tcW w:w="1216" w:type="pct"/>
          </w:tcPr>
          <w:p w14:paraId="0ED09D15" w14:textId="2E6BB512" w:rsidR="002C34DE" w:rsidRPr="00436840" w:rsidRDefault="002C34DE" w:rsidP="002C34DE">
            <w:pPr>
              <w:rPr>
                <w:rFonts w:ascii="Arial Narrow" w:hAnsi="Arial Narrow"/>
                <w:b/>
                <w:sz w:val="20"/>
              </w:rPr>
            </w:pPr>
            <w:r w:rsidRPr="00436840">
              <w:rPr>
                <w:rFonts w:ascii="Arial Narrow" w:hAnsi="Arial Narrow"/>
                <w:b/>
                <w:sz w:val="20"/>
              </w:rPr>
              <w:t>Rationale for the nominated threshold</w:t>
            </w:r>
          </w:p>
        </w:tc>
      </w:tr>
      <w:tr w:rsidR="002C34DE" w:rsidRPr="00436840" w14:paraId="6BB0DDD8" w14:textId="77777777" w:rsidTr="00DD0AA9">
        <w:tc>
          <w:tcPr>
            <w:tcW w:w="472" w:type="pct"/>
          </w:tcPr>
          <w:p w14:paraId="11F0E0AA" w14:textId="7643304F" w:rsidR="002C34DE" w:rsidRPr="00436840" w:rsidRDefault="002C34DE" w:rsidP="002C34DE">
            <w:pPr>
              <w:rPr>
                <w:rFonts w:ascii="Arial Narrow" w:hAnsi="Arial Narrow"/>
                <w:bCs/>
                <w:sz w:val="20"/>
              </w:rPr>
            </w:pPr>
            <w:r w:rsidRPr="00436840">
              <w:rPr>
                <w:rFonts w:ascii="Arial Narrow" w:hAnsi="Arial Narrow"/>
                <w:bCs/>
                <w:sz w:val="20"/>
              </w:rPr>
              <w:t>PLCOm2012</w:t>
            </w:r>
          </w:p>
        </w:tc>
        <w:tc>
          <w:tcPr>
            <w:tcW w:w="473" w:type="pct"/>
          </w:tcPr>
          <w:p w14:paraId="60E7A4E9" w14:textId="0BED8335" w:rsidR="002C34DE" w:rsidRPr="00436840" w:rsidRDefault="002C34DE" w:rsidP="002C34DE">
            <w:pPr>
              <w:rPr>
                <w:rFonts w:ascii="Arial Narrow" w:hAnsi="Arial Narrow"/>
                <w:bCs/>
                <w:sz w:val="20"/>
              </w:rPr>
            </w:pPr>
            <w:r w:rsidRPr="00436840">
              <w:rPr>
                <w:rFonts w:ascii="Arial Narrow" w:hAnsi="Arial Narrow"/>
                <w:bCs/>
                <w:sz w:val="20"/>
              </w:rPr>
              <w:t>Weber et al (2017)</w:t>
            </w:r>
          </w:p>
        </w:tc>
        <w:tc>
          <w:tcPr>
            <w:tcW w:w="677" w:type="pct"/>
          </w:tcPr>
          <w:p w14:paraId="0CFBAEDB" w14:textId="3510C5A2" w:rsidR="002C34DE" w:rsidRPr="00436840" w:rsidRDefault="002C34DE" w:rsidP="002C34DE">
            <w:pPr>
              <w:rPr>
                <w:rFonts w:ascii="Arial Narrow" w:hAnsi="Arial Narrow"/>
                <w:bCs/>
                <w:sz w:val="20"/>
              </w:rPr>
            </w:pPr>
            <w:r w:rsidRPr="00436840">
              <w:rPr>
                <w:rFonts w:ascii="Arial Narrow" w:hAnsi="Arial Narrow"/>
                <w:sz w:val="20"/>
                <w:szCs w:val="20"/>
              </w:rPr>
              <w:t>PLCOm2012 is the only model to have been validated in the Australian population</w:t>
            </w:r>
            <w:r w:rsidR="006F0472" w:rsidRPr="006F0472">
              <w:rPr>
                <w:rFonts w:ascii="Arial Narrow" w:hAnsi="Arial Narrow"/>
                <w:sz w:val="20"/>
                <w:szCs w:val="20"/>
                <w:vertAlign w:val="superscript"/>
              </w:rPr>
              <w:t>2</w:t>
            </w:r>
            <w:r w:rsidRPr="00436840">
              <w:rPr>
                <w:rFonts w:ascii="Arial Narrow" w:hAnsi="Arial Narrow"/>
                <w:sz w:val="20"/>
                <w:szCs w:val="20"/>
              </w:rPr>
              <w:t xml:space="preserve">. ‘The PLCOm2012 model has been demonstrated to provide superior performance compared to </w:t>
            </w:r>
            <w:r w:rsidR="00564602">
              <w:rPr>
                <w:rFonts w:ascii="Arial Narrow" w:hAnsi="Arial Narrow"/>
                <w:sz w:val="20"/>
                <w:szCs w:val="20"/>
              </w:rPr>
              <w:t xml:space="preserve">the </w:t>
            </w:r>
            <w:r w:rsidRPr="00436840">
              <w:rPr>
                <w:rFonts w:ascii="Arial Narrow" w:hAnsi="Arial Narrow"/>
                <w:sz w:val="20"/>
                <w:szCs w:val="20"/>
              </w:rPr>
              <w:t xml:space="preserve">NLST </w:t>
            </w:r>
            <w:r w:rsidR="00564602">
              <w:rPr>
                <w:rFonts w:ascii="Arial Narrow" w:hAnsi="Arial Narrow"/>
                <w:sz w:val="20"/>
                <w:szCs w:val="20"/>
              </w:rPr>
              <w:t xml:space="preserve">eligibility </w:t>
            </w:r>
            <w:r w:rsidRPr="00436840">
              <w:rPr>
                <w:rFonts w:ascii="Arial Narrow" w:hAnsi="Arial Narrow"/>
                <w:sz w:val="20"/>
                <w:szCs w:val="20"/>
              </w:rPr>
              <w:t>criteria (age, smoking), with improved sensitivity and PPV, and no loss of specificity.</w:t>
            </w:r>
          </w:p>
        </w:tc>
        <w:tc>
          <w:tcPr>
            <w:tcW w:w="1385" w:type="pct"/>
          </w:tcPr>
          <w:p w14:paraId="033C0C0C" w14:textId="77777777" w:rsidR="002C34DE" w:rsidRPr="00436840" w:rsidRDefault="002C34DE" w:rsidP="002C34DE">
            <w:pPr>
              <w:rPr>
                <w:rFonts w:ascii="Arial Narrow" w:hAnsi="Arial Narrow"/>
                <w:bCs/>
                <w:sz w:val="20"/>
              </w:rPr>
            </w:pPr>
            <w:r w:rsidRPr="00436840">
              <w:rPr>
                <w:rFonts w:ascii="Arial Narrow" w:hAnsi="Arial Narrow"/>
                <w:bCs/>
                <w:sz w:val="20"/>
              </w:rPr>
              <w:t>None of the RCTs included in the evidence review, nor in the meta-analyses, used risk prediction models. All RCTs were based on eligibility criteria of age and smoking history.</w:t>
            </w:r>
          </w:p>
          <w:p w14:paraId="327A9D9B" w14:textId="708FB361" w:rsidR="002C34DE" w:rsidRPr="00436840" w:rsidRDefault="002C34DE" w:rsidP="002C34DE">
            <w:pPr>
              <w:rPr>
                <w:rFonts w:ascii="Arial Narrow" w:hAnsi="Arial Narrow"/>
                <w:bCs/>
                <w:sz w:val="20"/>
              </w:rPr>
            </w:pPr>
            <w:r w:rsidRPr="00436840">
              <w:rPr>
                <w:rFonts w:ascii="Arial Narrow" w:hAnsi="Arial Narrow"/>
                <w:bCs/>
                <w:sz w:val="20"/>
              </w:rPr>
              <w:t>The exception is the UKLS pilot study (RCT) of a single LDCT screening in a high-risk population, as described in the very recent publication by Field et al (Sept 2021)</w:t>
            </w:r>
            <w:r w:rsidR="00766447" w:rsidRPr="00766447">
              <w:rPr>
                <w:rFonts w:ascii="Arial Narrow" w:hAnsi="Arial Narrow"/>
                <w:bCs/>
                <w:sz w:val="20"/>
                <w:vertAlign w:val="superscript"/>
              </w:rPr>
              <w:t>40</w:t>
            </w:r>
            <w:r w:rsidRPr="00436840">
              <w:rPr>
                <w:rFonts w:ascii="Arial Narrow" w:hAnsi="Arial Narrow"/>
                <w:bCs/>
                <w:sz w:val="20"/>
              </w:rPr>
              <w:t>. This pilot RCT involving only 4055 participants, applied the Liverpool Ling Project risk model (LLPv2) to identify the screening population. This trial has reported a significant reduction in lung cancer screening mortality (RR</w:t>
            </w:r>
            <w:r w:rsidR="00B77874">
              <w:rPr>
                <w:rFonts w:ascii="Arial Narrow" w:hAnsi="Arial Narrow"/>
                <w:bCs/>
                <w:sz w:val="20"/>
              </w:rPr>
              <w:t>:</w:t>
            </w:r>
            <w:r w:rsidRPr="00436840">
              <w:rPr>
                <w:rFonts w:ascii="Arial Narrow" w:hAnsi="Arial Narrow"/>
                <w:bCs/>
                <w:sz w:val="20"/>
              </w:rPr>
              <w:t xml:space="preserve"> 0.84; 95% CI</w:t>
            </w:r>
            <w:r>
              <w:rPr>
                <w:rFonts w:ascii="Arial Narrow" w:hAnsi="Arial Narrow"/>
                <w:bCs/>
                <w:sz w:val="20"/>
              </w:rPr>
              <w:t>:</w:t>
            </w:r>
            <w:r w:rsidRPr="00436840">
              <w:rPr>
                <w:rFonts w:ascii="Arial Narrow" w:hAnsi="Arial Narrow"/>
                <w:bCs/>
                <w:sz w:val="20"/>
              </w:rPr>
              <w:t xml:space="preserve"> 0.76</w:t>
            </w:r>
            <w:r w:rsidR="00B56711">
              <w:rPr>
                <w:rFonts w:ascii="Arial Narrow" w:hAnsi="Arial Narrow"/>
                <w:bCs/>
                <w:sz w:val="20"/>
              </w:rPr>
              <w:t xml:space="preserve"> to </w:t>
            </w:r>
            <w:r w:rsidRPr="00436840">
              <w:rPr>
                <w:rFonts w:ascii="Arial Narrow" w:hAnsi="Arial Narrow"/>
                <w:bCs/>
                <w:sz w:val="20"/>
              </w:rPr>
              <w:t>0.92).</w:t>
            </w:r>
          </w:p>
        </w:tc>
        <w:tc>
          <w:tcPr>
            <w:tcW w:w="778" w:type="pct"/>
          </w:tcPr>
          <w:p w14:paraId="31AE5F9A" w14:textId="774BAC2F" w:rsidR="002C34DE" w:rsidRPr="00436840" w:rsidRDefault="002C34DE" w:rsidP="002C34DE">
            <w:pPr>
              <w:rPr>
                <w:rFonts w:ascii="Arial Narrow" w:hAnsi="Arial Narrow"/>
                <w:bCs/>
                <w:sz w:val="20"/>
              </w:rPr>
            </w:pPr>
            <w:r w:rsidRPr="00436840">
              <w:rPr>
                <w:rFonts w:ascii="Arial Narrow" w:hAnsi="Arial Narrow"/>
                <w:bCs/>
                <w:sz w:val="20"/>
              </w:rPr>
              <w:t>≥1.51</w:t>
            </w:r>
          </w:p>
        </w:tc>
        <w:tc>
          <w:tcPr>
            <w:tcW w:w="1216" w:type="pct"/>
          </w:tcPr>
          <w:p w14:paraId="46B12923" w14:textId="1503E1C2" w:rsidR="002C34DE" w:rsidRPr="00436840" w:rsidRDefault="002C34DE" w:rsidP="002C34DE">
            <w:pPr>
              <w:rPr>
                <w:rFonts w:ascii="Arial Narrow" w:hAnsi="Arial Narrow"/>
                <w:bCs/>
                <w:sz w:val="20"/>
              </w:rPr>
            </w:pPr>
            <w:r w:rsidRPr="00436840">
              <w:rPr>
                <w:rFonts w:ascii="Arial Narrow" w:hAnsi="Arial Narrow"/>
                <w:bCs/>
                <w:sz w:val="20"/>
              </w:rPr>
              <w:t>Weber et al (2017):</w:t>
            </w:r>
          </w:p>
          <w:p w14:paraId="551E209F" w14:textId="6548F652" w:rsidR="002C34DE" w:rsidRPr="00436840" w:rsidRDefault="002C34DE" w:rsidP="002C34DE">
            <w:pPr>
              <w:rPr>
                <w:rFonts w:ascii="Arial Narrow" w:hAnsi="Arial Narrow"/>
                <w:bCs/>
                <w:sz w:val="20"/>
              </w:rPr>
            </w:pPr>
            <w:r w:rsidRPr="00436840">
              <w:rPr>
                <w:rFonts w:ascii="Arial Narrow" w:hAnsi="Arial Narrow"/>
                <w:sz w:val="20"/>
                <w:szCs w:val="20"/>
              </w:rPr>
              <w:t>The PLCOm2012 is currently the only lung cancer risk prediction model to have been validated in the Australian population</w:t>
            </w:r>
            <w:r w:rsidR="006F0472" w:rsidRPr="006F0472">
              <w:rPr>
                <w:rFonts w:ascii="Arial Narrow" w:hAnsi="Arial Narrow"/>
                <w:sz w:val="20"/>
                <w:szCs w:val="20"/>
                <w:vertAlign w:val="superscript"/>
              </w:rPr>
              <w:t>2</w:t>
            </w:r>
            <w:r w:rsidRPr="00436840">
              <w:rPr>
                <w:rFonts w:ascii="Arial Narrow" w:hAnsi="Arial Narrow"/>
                <w:sz w:val="20"/>
                <w:szCs w:val="20"/>
              </w:rPr>
              <w:t>. In this retrospective evaluation in a subset of the 45 and Up study, a</w:t>
            </w:r>
            <w:r w:rsidRPr="00436840">
              <w:rPr>
                <w:rFonts w:ascii="Arial Narrow" w:eastAsia="Calibri" w:hAnsi="Arial Narrow" w:cstheme="minorHAnsi"/>
                <w:color w:val="000000" w:themeColor="text1"/>
                <w:sz w:val="20"/>
                <w:szCs w:val="20"/>
                <w:lang w:val="en-GB"/>
              </w:rPr>
              <w:t xml:space="preserve"> </w:t>
            </w:r>
            <w:r w:rsidRPr="00436840">
              <w:rPr>
                <w:rFonts w:ascii="Arial Narrow" w:eastAsia="Calibri" w:hAnsi="Arial Narrow" w:cstheme="minorHAnsi"/>
                <w:color w:val="231F20"/>
                <w:sz w:val="20"/>
                <w:szCs w:val="20"/>
                <w:lang w:val="en-GB"/>
              </w:rPr>
              <w:t xml:space="preserve">threshold of </w:t>
            </w:r>
            <w:r w:rsidRPr="00436840">
              <w:rPr>
                <w:rFonts w:ascii="Arial Narrow" w:hAnsi="Arial Narrow" w:cstheme="minorHAnsi"/>
                <w:sz w:val="20"/>
                <w:szCs w:val="20"/>
              </w:rPr>
              <w:sym w:font="Symbol" w:char="F0B3"/>
            </w:r>
            <w:r w:rsidRPr="00436840">
              <w:rPr>
                <w:rFonts w:ascii="Arial Narrow" w:hAnsi="Arial Narrow" w:cstheme="minorHAnsi"/>
                <w:sz w:val="20"/>
                <w:szCs w:val="20"/>
              </w:rPr>
              <w:t>1.51%</w:t>
            </w:r>
            <w:r w:rsidRPr="00436840">
              <w:rPr>
                <w:rFonts w:ascii="Arial Narrow" w:eastAsia="Calibri" w:hAnsi="Arial Narrow" w:cstheme="minorHAnsi"/>
                <w:sz w:val="20"/>
                <w:szCs w:val="20"/>
                <w:lang w:val="en-GB"/>
              </w:rPr>
              <w:t xml:space="preserve"> risk was confirmed as appropriate </w:t>
            </w:r>
            <w:r w:rsidRPr="00436840">
              <w:rPr>
                <w:rFonts w:ascii="Arial Narrow" w:eastAsia="Calibri" w:hAnsi="Arial Narrow" w:cstheme="minorHAnsi"/>
                <w:color w:val="000000" w:themeColor="text1"/>
                <w:sz w:val="20"/>
                <w:szCs w:val="20"/>
                <w:lang w:val="en-GB"/>
              </w:rPr>
              <w:t xml:space="preserve">for identifying those at high-risk of lung cancer within 6 years, achieving high PPV and sensitivity, with only minimal loss in specificity at this threshold, in comparison with </w:t>
            </w:r>
            <w:r w:rsidR="00564602">
              <w:rPr>
                <w:rFonts w:ascii="Arial Narrow" w:eastAsia="Calibri" w:hAnsi="Arial Narrow" w:cstheme="minorHAnsi"/>
                <w:color w:val="000000" w:themeColor="text1"/>
                <w:sz w:val="20"/>
                <w:szCs w:val="20"/>
                <w:lang w:val="en-GB"/>
              </w:rPr>
              <w:t xml:space="preserve">the </w:t>
            </w:r>
            <w:r w:rsidRPr="00436840">
              <w:rPr>
                <w:rFonts w:ascii="Arial Narrow" w:eastAsia="Calibri" w:hAnsi="Arial Narrow" w:cstheme="minorHAnsi"/>
                <w:color w:val="000000" w:themeColor="text1"/>
                <w:sz w:val="20"/>
                <w:szCs w:val="20"/>
                <w:lang w:val="en-GB"/>
              </w:rPr>
              <w:t>NLST eligibility criteria</w:t>
            </w:r>
            <w:r w:rsidR="006F0472" w:rsidRPr="006F0472">
              <w:rPr>
                <w:rFonts w:ascii="Arial Narrow" w:eastAsia="Calibri" w:hAnsi="Arial Narrow" w:cstheme="minorHAnsi"/>
                <w:color w:val="000000" w:themeColor="text1"/>
                <w:sz w:val="20"/>
                <w:szCs w:val="20"/>
                <w:vertAlign w:val="superscript"/>
                <w:lang w:val="en-GB"/>
              </w:rPr>
              <w:t>2</w:t>
            </w:r>
            <w:r w:rsidR="00B56711">
              <w:rPr>
                <w:rFonts w:ascii="Arial Narrow" w:eastAsia="Calibri" w:hAnsi="Arial Narrow" w:cstheme="minorHAnsi"/>
                <w:color w:val="000000" w:themeColor="text1"/>
                <w:sz w:val="20"/>
                <w:szCs w:val="20"/>
                <w:lang w:val="en-GB"/>
              </w:rPr>
              <w:t>.</w:t>
            </w:r>
          </w:p>
          <w:p w14:paraId="09967270" w14:textId="15669A82" w:rsidR="002C34DE" w:rsidRPr="00436840" w:rsidRDefault="002C34DE" w:rsidP="002C34DE">
            <w:pPr>
              <w:rPr>
                <w:rFonts w:ascii="Arial Narrow" w:hAnsi="Arial Narrow"/>
                <w:bCs/>
                <w:sz w:val="20"/>
              </w:rPr>
            </w:pPr>
            <w:r w:rsidRPr="00436840">
              <w:rPr>
                <w:rFonts w:ascii="Arial Narrow" w:hAnsi="Arial Narrow"/>
                <w:bCs/>
                <w:sz w:val="20"/>
              </w:rPr>
              <w:t>Lebrett et al (2021)</w:t>
            </w:r>
          </w:p>
        </w:tc>
      </w:tr>
    </w:tbl>
    <w:p w14:paraId="40F6A891" w14:textId="77777777" w:rsidR="00063C88" w:rsidRDefault="00063C88">
      <w:pPr>
        <w:spacing w:before="0"/>
        <w:rPr>
          <w:b/>
        </w:rPr>
      </w:pPr>
      <w:r>
        <w:rPr>
          <w:b/>
        </w:rPr>
        <w:br w:type="page"/>
      </w:r>
    </w:p>
    <w:p w14:paraId="123510F6" w14:textId="60D0C639" w:rsidR="005C7E25" w:rsidRPr="009E062A" w:rsidRDefault="00063C88">
      <w:pPr>
        <w:rPr>
          <w:b/>
        </w:rPr>
      </w:pPr>
      <w:r>
        <w:rPr>
          <w:b/>
        </w:rPr>
        <w:lastRenderedPageBreak/>
        <w:t xml:space="preserve">Attachment </w:t>
      </w:r>
      <w:r w:rsidR="002C34DE">
        <w:rPr>
          <w:b/>
        </w:rPr>
        <w:t>5</w:t>
      </w:r>
      <w:r w:rsidR="00DD306B">
        <w:rPr>
          <w:b/>
        </w:rPr>
        <w:t>:</w:t>
      </w:r>
      <w:r>
        <w:rPr>
          <w:b/>
        </w:rPr>
        <w:t xml:space="preserve"> </w:t>
      </w:r>
      <w:r w:rsidR="002C34DE">
        <w:rPr>
          <w:b/>
        </w:rPr>
        <w:t xml:space="preserve">Justification of </w:t>
      </w:r>
      <w:r w:rsidR="0054518A">
        <w:rPr>
          <w:b/>
        </w:rPr>
        <w:t xml:space="preserve">the </w:t>
      </w:r>
      <w:r w:rsidR="002C34DE">
        <w:rPr>
          <w:b/>
        </w:rPr>
        <w:t xml:space="preserve">selection of </w:t>
      </w:r>
      <w:r w:rsidR="0054518A">
        <w:rPr>
          <w:b/>
        </w:rPr>
        <w:t xml:space="preserve">the </w:t>
      </w:r>
      <w:r w:rsidR="00BF7468">
        <w:rPr>
          <w:b/>
        </w:rPr>
        <w:t>n</w:t>
      </w:r>
      <w:r w:rsidR="005C7E25" w:rsidRPr="005C7E25">
        <w:rPr>
          <w:b/>
        </w:rPr>
        <w:t xml:space="preserve">odule management protocol for </w:t>
      </w:r>
      <w:r w:rsidR="0054518A">
        <w:rPr>
          <w:b/>
        </w:rPr>
        <w:t xml:space="preserve">the </w:t>
      </w:r>
      <w:r w:rsidR="005C7E25" w:rsidRPr="005C7E25">
        <w:rPr>
          <w:b/>
        </w:rPr>
        <w:t>assessment of baseline LDCT scan</w:t>
      </w:r>
      <w:r w:rsidR="0054518A">
        <w:rPr>
          <w:b/>
        </w:rPr>
        <w:t>s</w:t>
      </w:r>
    </w:p>
    <w:tbl>
      <w:tblPr>
        <w:tblStyle w:val="TableGrid"/>
        <w:tblW w:w="5000" w:type="pct"/>
        <w:tblLook w:val="04A0" w:firstRow="1" w:lastRow="0" w:firstColumn="1" w:lastColumn="0" w:noHBand="0" w:noVBand="1"/>
      </w:tblPr>
      <w:tblGrid>
        <w:gridCol w:w="2263"/>
        <w:gridCol w:w="2126"/>
        <w:gridCol w:w="9214"/>
        <w:gridCol w:w="7318"/>
      </w:tblGrid>
      <w:tr w:rsidR="002C34DE" w:rsidRPr="00707AD7" w14:paraId="76F66513" w14:textId="77777777" w:rsidTr="002C34DE">
        <w:tc>
          <w:tcPr>
            <w:tcW w:w="541" w:type="pct"/>
          </w:tcPr>
          <w:p w14:paraId="3357C0F3" w14:textId="5657BB39" w:rsidR="002C34DE" w:rsidRPr="00707AD7" w:rsidRDefault="002C34DE" w:rsidP="002C34DE">
            <w:pPr>
              <w:rPr>
                <w:rFonts w:ascii="Arial Narrow" w:hAnsi="Arial Narrow"/>
                <w:b/>
                <w:sz w:val="20"/>
              </w:rPr>
            </w:pPr>
            <w:r>
              <w:rPr>
                <w:rFonts w:ascii="Arial Narrow" w:hAnsi="Arial Narrow"/>
                <w:b/>
                <w:sz w:val="20"/>
              </w:rPr>
              <w:t>Proposed b</w:t>
            </w:r>
            <w:r w:rsidRPr="00707AD7">
              <w:rPr>
                <w:rFonts w:ascii="Arial Narrow" w:hAnsi="Arial Narrow"/>
                <w:b/>
                <w:sz w:val="20"/>
              </w:rPr>
              <w:t>aseline nodule management protocol</w:t>
            </w:r>
          </w:p>
        </w:tc>
        <w:tc>
          <w:tcPr>
            <w:tcW w:w="508" w:type="pct"/>
          </w:tcPr>
          <w:p w14:paraId="1A89BD5B" w14:textId="66A7BC28" w:rsidR="002C34DE" w:rsidRPr="00707AD7" w:rsidRDefault="002C34DE" w:rsidP="002C34DE">
            <w:pPr>
              <w:rPr>
                <w:rFonts w:ascii="Arial Narrow" w:hAnsi="Arial Narrow"/>
                <w:b/>
                <w:sz w:val="20"/>
              </w:rPr>
            </w:pPr>
            <w:r w:rsidRPr="00436840">
              <w:rPr>
                <w:rFonts w:ascii="Arial Narrow" w:hAnsi="Arial Narrow"/>
                <w:b/>
                <w:sz w:val="20"/>
              </w:rPr>
              <w:t>Key published source describing option</w:t>
            </w:r>
          </w:p>
        </w:tc>
        <w:tc>
          <w:tcPr>
            <w:tcW w:w="2202" w:type="pct"/>
          </w:tcPr>
          <w:p w14:paraId="4891E70B" w14:textId="0C33754F" w:rsidR="002C34DE" w:rsidRPr="00707AD7" w:rsidRDefault="002C34DE" w:rsidP="002C34DE">
            <w:pPr>
              <w:rPr>
                <w:rFonts w:ascii="Arial Narrow" w:hAnsi="Arial Narrow"/>
                <w:b/>
                <w:sz w:val="20"/>
              </w:rPr>
            </w:pPr>
            <w:r w:rsidRPr="00707AD7">
              <w:rPr>
                <w:rFonts w:ascii="Arial Narrow" w:hAnsi="Arial Narrow"/>
                <w:b/>
                <w:sz w:val="20"/>
              </w:rPr>
              <w:t>Rationale for selection</w:t>
            </w:r>
          </w:p>
        </w:tc>
        <w:tc>
          <w:tcPr>
            <w:tcW w:w="1749" w:type="pct"/>
          </w:tcPr>
          <w:p w14:paraId="205976C0" w14:textId="25790E56" w:rsidR="002C34DE" w:rsidRPr="00707AD7" w:rsidRDefault="002C34DE" w:rsidP="002C34DE">
            <w:pPr>
              <w:rPr>
                <w:rFonts w:ascii="Arial Narrow" w:hAnsi="Arial Narrow"/>
                <w:b/>
                <w:sz w:val="20"/>
              </w:rPr>
            </w:pPr>
            <w:r w:rsidRPr="00707AD7">
              <w:rPr>
                <w:rFonts w:ascii="Arial Narrow" w:hAnsi="Arial Narrow"/>
                <w:b/>
                <w:sz w:val="20"/>
              </w:rPr>
              <w:t>RCTs of LDCT-based lung cancer screening programs using tool (list)</w:t>
            </w:r>
          </w:p>
        </w:tc>
      </w:tr>
      <w:tr w:rsidR="002C34DE" w:rsidRPr="00707AD7" w14:paraId="38396B59" w14:textId="77777777" w:rsidTr="002C34DE">
        <w:tc>
          <w:tcPr>
            <w:tcW w:w="541" w:type="pct"/>
          </w:tcPr>
          <w:p w14:paraId="65909365" w14:textId="351496C0" w:rsidR="002C34DE" w:rsidRPr="00707AD7" w:rsidRDefault="002C34DE" w:rsidP="002C34DE">
            <w:pPr>
              <w:rPr>
                <w:rFonts w:ascii="Arial Narrow" w:hAnsi="Arial Narrow"/>
                <w:sz w:val="20"/>
              </w:rPr>
            </w:pPr>
            <w:r w:rsidRPr="00707AD7">
              <w:rPr>
                <w:rFonts w:ascii="Arial Narrow" w:hAnsi="Arial Narrow"/>
                <w:sz w:val="20"/>
              </w:rPr>
              <w:t>PanCan</w:t>
            </w:r>
          </w:p>
        </w:tc>
        <w:tc>
          <w:tcPr>
            <w:tcW w:w="508" w:type="pct"/>
          </w:tcPr>
          <w:p w14:paraId="67C009F2" w14:textId="4BEA3F32" w:rsidR="002C34DE" w:rsidRPr="00707AD7" w:rsidRDefault="002C34DE" w:rsidP="002C34DE">
            <w:pPr>
              <w:rPr>
                <w:rFonts w:ascii="Arial Narrow" w:hAnsi="Arial Narrow"/>
                <w:sz w:val="20"/>
              </w:rPr>
            </w:pPr>
            <w:r w:rsidRPr="00436840">
              <w:rPr>
                <w:rFonts w:ascii="Arial Narrow" w:hAnsi="Arial Narrow"/>
                <w:sz w:val="20"/>
              </w:rPr>
              <w:t>McWilliams, 2013</w:t>
            </w:r>
            <w:r>
              <w:rPr>
                <w:rFonts w:ascii="Arial Narrow" w:hAnsi="Arial Narrow"/>
                <w:sz w:val="20"/>
              </w:rPr>
              <w:t>,</w:t>
            </w:r>
            <w:r w:rsidRPr="00707AD7">
              <w:rPr>
                <w:rFonts w:ascii="Arial Narrow" w:hAnsi="Arial Narrow"/>
                <w:sz w:val="20"/>
              </w:rPr>
              <w:t xml:space="preserve"> Tammemagi MC, Mayo JR, Roberts H, Liu G, Soghrati K, et al. Probability of cancer in pulmonary nodules detected on first screening CT. N Engl J Med. 2013;369(10):910-9.</w:t>
            </w:r>
          </w:p>
        </w:tc>
        <w:tc>
          <w:tcPr>
            <w:tcW w:w="2202" w:type="pct"/>
          </w:tcPr>
          <w:p w14:paraId="3C183D41" w14:textId="737E17D0" w:rsidR="002C34DE" w:rsidRPr="00707AD7" w:rsidRDefault="002C34DE" w:rsidP="002C34DE">
            <w:pPr>
              <w:rPr>
                <w:rFonts w:ascii="Arial Narrow" w:hAnsi="Arial Narrow"/>
                <w:sz w:val="20"/>
              </w:rPr>
            </w:pPr>
            <w:r w:rsidRPr="00707AD7">
              <w:rPr>
                <w:rFonts w:ascii="Arial Narrow" w:hAnsi="Arial Narrow"/>
                <w:sz w:val="20"/>
              </w:rPr>
              <w:t>Nodule management protocols enable accurate assessment and classification of lung nodules and improve LDCT screening sensitivity and specificity. There is no international consensus about which protocol performs best across baseline and screening intervals, however the PanCan and Lung-RADS models have performed well in comparative studies. This rapidly changing aspect of targeted LDCT screening requires further study results to be published before selecting an optimal protocol for implementation.</w:t>
            </w:r>
          </w:p>
          <w:p w14:paraId="40C78C38" w14:textId="5861D8C4" w:rsidR="002C34DE" w:rsidRPr="00707AD7" w:rsidRDefault="002C34DE" w:rsidP="002C34DE">
            <w:pPr>
              <w:rPr>
                <w:rFonts w:ascii="Arial Narrow" w:hAnsi="Arial Narrow"/>
                <w:sz w:val="20"/>
              </w:rPr>
            </w:pPr>
            <w:r w:rsidRPr="00707AD7">
              <w:rPr>
                <w:rFonts w:ascii="Arial Narrow" w:hAnsi="Arial Narrow"/>
                <w:sz w:val="20"/>
              </w:rPr>
              <w:t>PanCan is a predictive tool based on patient and nodule characteristics used to estimate the probability that lung nodules detected on baseline screening LDCT scans are malignant</w:t>
            </w:r>
            <w:r w:rsidR="009E1552" w:rsidRPr="009E1552">
              <w:rPr>
                <w:rFonts w:ascii="Arial Narrow" w:hAnsi="Arial Narrow"/>
                <w:sz w:val="20"/>
                <w:vertAlign w:val="superscript"/>
              </w:rPr>
              <w:t>23</w:t>
            </w:r>
            <w:r w:rsidRPr="00707AD7">
              <w:rPr>
                <w:rFonts w:ascii="Arial Narrow" w:hAnsi="Arial Narrow"/>
                <w:sz w:val="20"/>
              </w:rPr>
              <w:t>.</w:t>
            </w:r>
          </w:p>
          <w:p w14:paraId="00ED6DBF" w14:textId="219FC823" w:rsidR="002C34DE" w:rsidRPr="00707AD7" w:rsidRDefault="002C34DE" w:rsidP="002C34DE">
            <w:pPr>
              <w:rPr>
                <w:rFonts w:ascii="Arial Narrow" w:hAnsi="Arial Narrow"/>
                <w:sz w:val="20"/>
              </w:rPr>
            </w:pPr>
            <w:r w:rsidRPr="00707AD7">
              <w:rPr>
                <w:rFonts w:ascii="Arial Narrow" w:hAnsi="Arial Narrow"/>
                <w:sz w:val="20"/>
              </w:rPr>
              <w:t>The PanCan protocol is the only protocol that recommends a biennial screen instead of an annual screen for individuals with very low risk of lung cancer for the next 24 months based on the findings of the baseline LDCT.</w:t>
            </w:r>
          </w:p>
          <w:p w14:paraId="08135572" w14:textId="5396E7AA" w:rsidR="002C34DE" w:rsidRPr="00707AD7" w:rsidRDefault="002C34DE" w:rsidP="002C34DE">
            <w:pPr>
              <w:rPr>
                <w:rFonts w:ascii="Arial Narrow" w:hAnsi="Arial Narrow"/>
                <w:sz w:val="20"/>
              </w:rPr>
            </w:pPr>
            <w:r w:rsidRPr="00707AD7">
              <w:rPr>
                <w:rFonts w:ascii="Arial Narrow" w:hAnsi="Arial Narrow"/>
                <w:sz w:val="20"/>
              </w:rPr>
              <w:t>PanCan has only been validated at baseline, so a different nodule management guidance is required to be used at T2 and beyond.</w:t>
            </w:r>
          </w:p>
          <w:p w14:paraId="76736F84" w14:textId="4C8EE97A" w:rsidR="002C34DE" w:rsidRPr="00707AD7" w:rsidRDefault="002C34DE" w:rsidP="002C34DE">
            <w:pPr>
              <w:rPr>
                <w:rFonts w:ascii="Arial Narrow" w:hAnsi="Arial Narrow"/>
                <w:sz w:val="20"/>
              </w:rPr>
            </w:pPr>
            <w:r w:rsidRPr="00707AD7">
              <w:rPr>
                <w:rFonts w:ascii="Arial Narrow" w:hAnsi="Arial Narrow"/>
                <w:sz w:val="20"/>
              </w:rPr>
              <w:t>PanCan was selected as the baseline nodule management protocol based on clinical evidence and clinical consultation.</w:t>
            </w:r>
          </w:p>
        </w:tc>
        <w:tc>
          <w:tcPr>
            <w:tcW w:w="1749" w:type="pct"/>
          </w:tcPr>
          <w:p w14:paraId="3B1CDAF7" w14:textId="0D0C947E" w:rsidR="002C34DE" w:rsidRPr="00707AD7" w:rsidRDefault="002C34DE" w:rsidP="002C34DE">
            <w:pPr>
              <w:rPr>
                <w:rFonts w:ascii="Arial Narrow" w:hAnsi="Arial Narrow"/>
                <w:sz w:val="20"/>
              </w:rPr>
            </w:pPr>
            <w:r w:rsidRPr="00707AD7">
              <w:rPr>
                <w:rFonts w:ascii="Arial Narrow" w:hAnsi="Arial Narrow"/>
                <w:sz w:val="20"/>
              </w:rPr>
              <w:t>McWilliams A, Tammemagi MC, Mayo JR, Roberts H, Liu G, Soghrati K, et al. Probability of cancer in pulmonary nodules detected on first screening CT. N Engl J Med. 2013;369(10):910-9.</w:t>
            </w:r>
          </w:p>
          <w:p w14:paraId="0ACC45B8" w14:textId="4D142979" w:rsidR="002C34DE" w:rsidRPr="00707AD7" w:rsidRDefault="002C34DE" w:rsidP="002C34DE">
            <w:pPr>
              <w:rPr>
                <w:rFonts w:ascii="Arial Narrow" w:hAnsi="Arial Narrow"/>
                <w:sz w:val="20"/>
              </w:rPr>
            </w:pPr>
            <w:r w:rsidRPr="00707AD7">
              <w:rPr>
                <w:rFonts w:ascii="Arial Narrow" w:hAnsi="Arial Narrow"/>
                <w:sz w:val="20"/>
              </w:rPr>
              <w:t>Van Riel SJ, Ciompi F, Jacobs C, Winkler Wille MM, Scholten ET, Naqibullah M, et al. Malignancy risk estimation of screen-detected nodules at baseline CT: comparison of the PanCan model, Lung-RADS and NCCN guidelines. European Radiology. 2017;27(10):4019-29.</w:t>
            </w:r>
          </w:p>
          <w:p w14:paraId="6DEEA0D1" w14:textId="01C33E7B" w:rsidR="002C34DE" w:rsidRPr="00707AD7" w:rsidRDefault="002C34DE" w:rsidP="002C34DE">
            <w:pPr>
              <w:rPr>
                <w:rFonts w:ascii="Arial Narrow" w:hAnsi="Arial Narrow"/>
                <w:sz w:val="20"/>
              </w:rPr>
            </w:pPr>
            <w:r w:rsidRPr="00707AD7">
              <w:rPr>
                <w:rFonts w:ascii="Arial Narrow" w:hAnsi="Arial Narrow"/>
                <w:sz w:val="20"/>
              </w:rPr>
              <w:t>Marshall HM, Zhao H, Bowman RV, Passmore LH, McCaul EM, Yang IA, et al. The effect of different radiological models on diagnostic accuracy and lung cancer screening performance. Thorax. 2017;72(12):1147-50</w:t>
            </w:r>
            <w:r>
              <w:rPr>
                <w:rFonts w:ascii="Arial Narrow" w:hAnsi="Arial Narrow"/>
                <w:sz w:val="20"/>
              </w:rPr>
              <w:t>.</w:t>
            </w:r>
          </w:p>
          <w:p w14:paraId="458A1563" w14:textId="6E81B9D6" w:rsidR="002C34DE" w:rsidRPr="00707AD7" w:rsidRDefault="002C34DE" w:rsidP="002C34DE">
            <w:pPr>
              <w:pStyle w:val="EndNoteBibliography"/>
              <w:rPr>
                <w:rFonts w:ascii="Arial Narrow" w:hAnsi="Arial Narrow"/>
                <w:sz w:val="20"/>
              </w:rPr>
            </w:pPr>
            <w:r w:rsidRPr="00707AD7">
              <w:rPr>
                <w:rFonts w:ascii="Arial Narrow" w:eastAsiaTheme="minorHAnsi" w:hAnsi="Arial Narrow" w:cstheme="minorBidi"/>
                <w:noProof w:val="0"/>
                <w:sz w:val="20"/>
                <w:lang w:val="en-AU"/>
              </w:rPr>
              <w:t>Tremblay A, Taghizadeh N, MacGregor JH, Armstrong G, Bristow MS, Guo LLQ, et al. Application of Lung-Screening Reporting and Data System Versus Pan-Canadian Early Detection of Lung Cancer Nodule Risk Calculation in the Alberta Lung Cancer Screening Study. Journal of the American College of Radiology. 2019;16(10):1425-32.</w:t>
            </w:r>
          </w:p>
        </w:tc>
      </w:tr>
    </w:tbl>
    <w:p w14:paraId="7873DBFB" w14:textId="0FCB2EC9" w:rsidR="00DB53A7" w:rsidRDefault="00DB53A7">
      <w:pPr>
        <w:spacing w:before="0"/>
        <w:rPr>
          <w:b/>
        </w:rPr>
      </w:pPr>
      <w:r>
        <w:rPr>
          <w:b/>
        </w:rPr>
        <w:br w:type="page"/>
      </w:r>
    </w:p>
    <w:p w14:paraId="00CE9F94" w14:textId="75E7E658" w:rsidR="00DB53A7" w:rsidRDefault="00DB53A7">
      <w:pPr>
        <w:rPr>
          <w:b/>
        </w:rPr>
      </w:pPr>
      <w:r>
        <w:rPr>
          <w:b/>
        </w:rPr>
        <w:lastRenderedPageBreak/>
        <w:t xml:space="preserve">Attachment </w:t>
      </w:r>
      <w:r w:rsidR="00FE633E">
        <w:rPr>
          <w:b/>
        </w:rPr>
        <w:t>6</w:t>
      </w:r>
      <w:r w:rsidR="00DD306B">
        <w:rPr>
          <w:b/>
        </w:rPr>
        <w:t>:</w:t>
      </w:r>
      <w:r>
        <w:rPr>
          <w:b/>
        </w:rPr>
        <w:t xml:space="preserve"> </w:t>
      </w:r>
      <w:r w:rsidR="00FE633E">
        <w:rPr>
          <w:b/>
        </w:rPr>
        <w:t xml:space="preserve">Justification of </w:t>
      </w:r>
      <w:r w:rsidR="0054518A">
        <w:rPr>
          <w:b/>
        </w:rPr>
        <w:t xml:space="preserve">the </w:t>
      </w:r>
      <w:r w:rsidR="00FE633E">
        <w:rPr>
          <w:b/>
        </w:rPr>
        <w:t xml:space="preserve">selection of </w:t>
      </w:r>
      <w:r w:rsidR="0054518A">
        <w:rPr>
          <w:b/>
        </w:rPr>
        <w:t xml:space="preserve">the </w:t>
      </w:r>
      <w:r w:rsidR="00BF7468">
        <w:rPr>
          <w:b/>
        </w:rPr>
        <w:t>n</w:t>
      </w:r>
      <w:r w:rsidR="005C7E25" w:rsidRPr="005C7E25">
        <w:rPr>
          <w:b/>
        </w:rPr>
        <w:t xml:space="preserve">odule management protocol assessment of new nodules identified </w:t>
      </w:r>
      <w:r w:rsidR="00DD306B">
        <w:rPr>
          <w:b/>
        </w:rPr>
        <w:t>by subsequent (</w:t>
      </w:r>
      <w:r w:rsidR="005C7E25" w:rsidRPr="005C7E25">
        <w:rPr>
          <w:b/>
        </w:rPr>
        <w:t>incident or interval screening</w:t>
      </w:r>
      <w:r w:rsidR="00DD306B">
        <w:rPr>
          <w:b/>
        </w:rPr>
        <w:t>)</w:t>
      </w:r>
      <w:r w:rsidR="005C7E25" w:rsidRPr="005C7E25">
        <w:rPr>
          <w:b/>
        </w:rPr>
        <w:t xml:space="preserve"> LDCT scans</w:t>
      </w:r>
    </w:p>
    <w:tbl>
      <w:tblPr>
        <w:tblStyle w:val="TableGrid"/>
        <w:tblW w:w="5000" w:type="pct"/>
        <w:tblLook w:val="04A0" w:firstRow="1" w:lastRow="0" w:firstColumn="1" w:lastColumn="0" w:noHBand="0" w:noVBand="1"/>
      </w:tblPr>
      <w:tblGrid>
        <w:gridCol w:w="2829"/>
        <w:gridCol w:w="2552"/>
        <w:gridCol w:w="12900"/>
        <w:gridCol w:w="2640"/>
      </w:tblGrid>
      <w:tr w:rsidR="00FE633E" w:rsidRPr="00707AD7" w14:paraId="2CE1C693" w14:textId="77777777" w:rsidTr="00FE633E">
        <w:tc>
          <w:tcPr>
            <w:tcW w:w="676" w:type="pct"/>
          </w:tcPr>
          <w:p w14:paraId="353A963B" w14:textId="797367DE" w:rsidR="00FE633E" w:rsidRPr="00707AD7" w:rsidRDefault="00FE633E" w:rsidP="00FE633E">
            <w:pPr>
              <w:rPr>
                <w:rFonts w:ascii="Arial Narrow" w:hAnsi="Arial Narrow"/>
                <w:b/>
                <w:sz w:val="20"/>
                <w:szCs w:val="20"/>
              </w:rPr>
            </w:pPr>
            <w:r w:rsidRPr="00707AD7">
              <w:rPr>
                <w:rFonts w:ascii="Arial Narrow" w:hAnsi="Arial Narrow"/>
                <w:b/>
                <w:sz w:val="20"/>
                <w:szCs w:val="20"/>
              </w:rPr>
              <w:t xml:space="preserve">Subsequent nodule management protocol proposed for </w:t>
            </w:r>
            <w:r w:rsidR="005D5B67" w:rsidRPr="00707AD7">
              <w:rPr>
                <w:rFonts w:ascii="Arial Narrow" w:hAnsi="Arial Narrow"/>
                <w:b/>
                <w:sz w:val="20"/>
                <w:szCs w:val="20"/>
              </w:rPr>
              <w:t>P</w:t>
            </w:r>
            <w:r w:rsidRPr="00707AD7">
              <w:rPr>
                <w:rFonts w:ascii="Arial Narrow" w:hAnsi="Arial Narrow"/>
                <w:b/>
                <w:sz w:val="20"/>
                <w:szCs w:val="20"/>
              </w:rPr>
              <w:t>rogram</w:t>
            </w:r>
          </w:p>
        </w:tc>
        <w:tc>
          <w:tcPr>
            <w:tcW w:w="610" w:type="pct"/>
          </w:tcPr>
          <w:p w14:paraId="11B041F5" w14:textId="5002DA2E" w:rsidR="00FE633E" w:rsidRPr="00707AD7" w:rsidRDefault="00FE633E" w:rsidP="00FE633E">
            <w:pPr>
              <w:rPr>
                <w:rFonts w:ascii="Arial Narrow" w:hAnsi="Arial Narrow"/>
                <w:b/>
                <w:sz w:val="20"/>
                <w:szCs w:val="20"/>
              </w:rPr>
            </w:pPr>
            <w:r w:rsidRPr="00707AD7">
              <w:rPr>
                <w:rFonts w:ascii="Arial Narrow" w:hAnsi="Arial Narrow"/>
                <w:b/>
                <w:sz w:val="20"/>
                <w:szCs w:val="20"/>
              </w:rPr>
              <w:t>Key published source describing option</w:t>
            </w:r>
          </w:p>
        </w:tc>
        <w:tc>
          <w:tcPr>
            <w:tcW w:w="3083" w:type="pct"/>
          </w:tcPr>
          <w:p w14:paraId="23A21C9E" w14:textId="28291ED7" w:rsidR="00FE633E" w:rsidRPr="00707AD7" w:rsidRDefault="00FE633E" w:rsidP="00FE633E">
            <w:pPr>
              <w:rPr>
                <w:rFonts w:ascii="Arial Narrow" w:hAnsi="Arial Narrow"/>
                <w:b/>
                <w:sz w:val="20"/>
                <w:szCs w:val="20"/>
              </w:rPr>
            </w:pPr>
            <w:r w:rsidRPr="00707AD7">
              <w:rPr>
                <w:rFonts w:ascii="Arial Narrow" w:hAnsi="Arial Narrow"/>
                <w:b/>
                <w:sz w:val="20"/>
                <w:szCs w:val="20"/>
              </w:rPr>
              <w:t>Rationale for selection</w:t>
            </w:r>
          </w:p>
        </w:tc>
        <w:tc>
          <w:tcPr>
            <w:tcW w:w="631" w:type="pct"/>
          </w:tcPr>
          <w:p w14:paraId="1D30A24E" w14:textId="561B7118" w:rsidR="00FE633E" w:rsidRPr="00707AD7" w:rsidRDefault="00FE633E" w:rsidP="00FE633E">
            <w:pPr>
              <w:rPr>
                <w:rFonts w:ascii="Arial Narrow" w:hAnsi="Arial Narrow"/>
                <w:b/>
                <w:sz w:val="20"/>
                <w:szCs w:val="20"/>
              </w:rPr>
            </w:pPr>
            <w:r w:rsidRPr="00707AD7">
              <w:rPr>
                <w:rFonts w:ascii="Arial Narrow" w:hAnsi="Arial Narrow"/>
                <w:b/>
                <w:sz w:val="20"/>
                <w:szCs w:val="20"/>
              </w:rPr>
              <w:t>RCTs of LDCT-based lung cancer screening programs using tool</w:t>
            </w:r>
          </w:p>
        </w:tc>
      </w:tr>
      <w:tr w:rsidR="00FE633E" w:rsidRPr="00707AD7" w14:paraId="0DF10C48" w14:textId="77777777" w:rsidTr="00FE633E">
        <w:tc>
          <w:tcPr>
            <w:tcW w:w="676" w:type="pct"/>
          </w:tcPr>
          <w:p w14:paraId="6C8BC31A" w14:textId="00E8F2B0" w:rsidR="00FE633E" w:rsidRPr="00707AD7" w:rsidRDefault="00FE633E" w:rsidP="00FE633E">
            <w:pPr>
              <w:rPr>
                <w:rFonts w:ascii="Arial Narrow" w:hAnsi="Arial Narrow"/>
                <w:sz w:val="20"/>
                <w:szCs w:val="20"/>
              </w:rPr>
            </w:pPr>
            <w:r w:rsidRPr="00707AD7">
              <w:rPr>
                <w:rFonts w:ascii="Arial Narrow" w:hAnsi="Arial Narrow"/>
                <w:sz w:val="20"/>
                <w:szCs w:val="20"/>
              </w:rPr>
              <w:t>Lung-RADS 1.1</w:t>
            </w:r>
          </w:p>
        </w:tc>
        <w:tc>
          <w:tcPr>
            <w:tcW w:w="610" w:type="pct"/>
          </w:tcPr>
          <w:p w14:paraId="57032AC4" w14:textId="1878F81F" w:rsidR="00FE633E" w:rsidRPr="00707AD7" w:rsidRDefault="00FE633E" w:rsidP="00FE633E">
            <w:pPr>
              <w:rPr>
                <w:rFonts w:ascii="Arial Narrow" w:hAnsi="Arial Narrow"/>
                <w:sz w:val="20"/>
                <w:szCs w:val="20"/>
              </w:rPr>
            </w:pPr>
            <w:r w:rsidRPr="00707AD7">
              <w:rPr>
                <w:rFonts w:ascii="Arial Narrow" w:hAnsi="Arial Narrow"/>
                <w:sz w:val="20"/>
                <w:szCs w:val="20"/>
              </w:rPr>
              <w:t>Marshall HM, Zhao H, Bowman RV, Passmore LH, McCaul EM, Yang IA, et al. The effect of different radiological models on diagnostic accuracy and lung cancer screening performance. Thorax. 2017;72(12):1147-50</w:t>
            </w:r>
          </w:p>
        </w:tc>
        <w:tc>
          <w:tcPr>
            <w:tcW w:w="3083" w:type="pct"/>
          </w:tcPr>
          <w:p w14:paraId="02E17810" w14:textId="6C35023F" w:rsidR="00FE633E" w:rsidRPr="00707AD7" w:rsidRDefault="00FE633E" w:rsidP="00FE633E">
            <w:pPr>
              <w:rPr>
                <w:rFonts w:ascii="Arial Narrow" w:hAnsi="Arial Narrow"/>
                <w:sz w:val="20"/>
                <w:szCs w:val="20"/>
              </w:rPr>
            </w:pPr>
            <w:r w:rsidRPr="00707AD7">
              <w:rPr>
                <w:rFonts w:ascii="Arial Narrow" w:hAnsi="Arial Narrow"/>
                <w:sz w:val="20"/>
                <w:szCs w:val="20"/>
              </w:rPr>
              <w:t>Nodule management protocols enable accurate assessment and classification of lung nodules and improve LDCT screening sensitivity and specificity. There is no international consensus about which protocol performs best across baseline and screening intervals, however the PanCan and Lung-RADS models have performed well in comparative studies. This rapidly changing aspect of targeted LDCT screening requires further study results to be published before selecting an optimal protocol for implementation.</w:t>
            </w:r>
          </w:p>
          <w:p w14:paraId="158310F4" w14:textId="6BA0B8E2" w:rsidR="00FE633E" w:rsidRPr="00707AD7" w:rsidRDefault="00FE633E" w:rsidP="00FE633E">
            <w:pPr>
              <w:rPr>
                <w:rFonts w:ascii="Arial Narrow" w:hAnsi="Arial Narrow"/>
                <w:sz w:val="20"/>
                <w:szCs w:val="20"/>
              </w:rPr>
            </w:pPr>
            <w:r w:rsidRPr="00707AD7">
              <w:rPr>
                <w:rFonts w:ascii="Arial Narrow" w:hAnsi="Arial Narrow"/>
                <w:sz w:val="20"/>
                <w:szCs w:val="20"/>
              </w:rPr>
              <w:t>Lung CT Screening Reporting and Data System (Lung-RADS 1.1 developed by the American College of Radiology (ACR),) is a quality assurance tool designed to standardise lung cancer screening CT reporting and management recommendations, reduce confusion in lung cancer screening CT interpretations, and facilitate outcome monitoring.</w:t>
            </w:r>
          </w:p>
          <w:p w14:paraId="48C8A425" w14:textId="7B8B2CD4" w:rsidR="00FE633E" w:rsidRPr="00707AD7" w:rsidRDefault="00FE633E" w:rsidP="00FE633E">
            <w:pPr>
              <w:rPr>
                <w:rFonts w:ascii="Arial Narrow" w:hAnsi="Arial Narrow"/>
                <w:sz w:val="20"/>
                <w:szCs w:val="20"/>
              </w:rPr>
            </w:pPr>
            <w:r w:rsidRPr="00707AD7">
              <w:rPr>
                <w:rFonts w:ascii="Arial Narrow" w:hAnsi="Arial Narrow"/>
                <w:sz w:val="20"/>
                <w:szCs w:val="20"/>
              </w:rPr>
              <w:t>Lung-RADS 1.1 was selected as the nodule management protocol for subsequent scans based on clinical evidence and clinical consultation.</w:t>
            </w:r>
          </w:p>
        </w:tc>
        <w:tc>
          <w:tcPr>
            <w:tcW w:w="631" w:type="pct"/>
          </w:tcPr>
          <w:p w14:paraId="544E0844" w14:textId="11F1444F" w:rsidR="00FE633E" w:rsidRPr="00707AD7" w:rsidRDefault="00FE633E" w:rsidP="00FE633E">
            <w:pPr>
              <w:rPr>
                <w:rFonts w:ascii="Arial Narrow" w:hAnsi="Arial Narrow"/>
                <w:sz w:val="20"/>
                <w:szCs w:val="20"/>
              </w:rPr>
            </w:pPr>
            <w:r w:rsidRPr="00707AD7">
              <w:rPr>
                <w:rFonts w:ascii="Arial Narrow" w:hAnsi="Arial Narrow"/>
                <w:sz w:val="20"/>
                <w:szCs w:val="20"/>
              </w:rPr>
              <w:t>Marshall HM, Zhao H, Bowman RV, Passmore LH, McCaul EM, Yang IA, et al. The effect of different radiological models on diagnostic accuracy and lung cancer screening performance. Thorax. 2017;72(12):1147-50</w:t>
            </w:r>
            <w:r>
              <w:rPr>
                <w:rFonts w:ascii="Arial Narrow" w:hAnsi="Arial Narrow"/>
                <w:sz w:val="20"/>
                <w:szCs w:val="20"/>
              </w:rPr>
              <w:t>.</w:t>
            </w:r>
          </w:p>
        </w:tc>
      </w:tr>
    </w:tbl>
    <w:p w14:paraId="7B11AD07" w14:textId="15EB1924" w:rsidR="00EC6BB5" w:rsidRPr="00633480" w:rsidRDefault="00EC6BB5" w:rsidP="00633480">
      <w:pPr>
        <w:spacing w:before="0"/>
        <w:rPr>
          <w:b/>
        </w:rPr>
      </w:pPr>
      <w:r>
        <w:rPr>
          <w:b/>
        </w:rPr>
        <w:br w:type="page"/>
      </w:r>
      <w:r w:rsidR="00447549" w:rsidRPr="00AD5F9B">
        <w:rPr>
          <w:rFonts w:eastAsia="Times New Roman"/>
          <w:b/>
          <w:bCs/>
          <w:color w:val="000000"/>
          <w:spacing w:val="1"/>
          <w:w w:val="55"/>
          <w:shd w:val="solid" w:color="000000" w:fill="000000"/>
          <w:fitText w:val="5895" w:id="-1494003711"/>
          <w14:textFill>
            <w14:solidFill>
              <w14:srgbClr w14:val="000000">
                <w14:alpha w14:val="100000"/>
              </w14:srgbClr>
            </w14:solidFill>
          </w14:textFill>
        </w:rPr>
        <w:lastRenderedPageBreak/>
        <w:t>|||||||||||||||||||||||||||||||||||||||||||||||||||||||||||||||||||||||||||||||||||||||||||||||</w:t>
      </w:r>
      <w:r w:rsidR="00447549" w:rsidRPr="00AD5F9B">
        <w:rPr>
          <w:rFonts w:eastAsia="Times New Roman"/>
          <w:b/>
          <w:bCs/>
          <w:color w:val="000000"/>
          <w:spacing w:val="-6"/>
          <w:w w:val="55"/>
          <w:shd w:val="solid" w:color="000000" w:fill="000000"/>
          <w:fitText w:val="5895" w:id="-1494003711"/>
          <w14:textFill>
            <w14:solidFill>
              <w14:srgbClr w14:val="000000">
                <w14:alpha w14:val="100000"/>
              </w14:srgbClr>
            </w14:solidFill>
          </w14:textFill>
        </w:rPr>
        <w:t>|</w:t>
      </w:r>
      <w:r w:rsidRPr="006809E6">
        <w:br w:type="page"/>
      </w:r>
    </w:p>
    <w:p w14:paraId="42DE12E3" w14:textId="0C1ED557" w:rsidR="00DB53A7" w:rsidRPr="00447549" w:rsidRDefault="00447549" w:rsidP="00447549">
      <w:pPr>
        <w:pStyle w:val="Caption"/>
        <w:keepNext w:val="0"/>
        <w:rPr>
          <w:rFonts w:ascii="Franklin Gothic Book" w:hAnsi="Franklin Gothic Book"/>
          <w:sz w:val="22"/>
          <w:szCs w:val="22"/>
        </w:rPr>
      </w:pPr>
      <w:r w:rsidRPr="00447549">
        <w:rPr>
          <w:rFonts w:ascii="Franklin Gothic Book" w:hAnsi="Franklin Gothic Book"/>
          <w:color w:val="000000"/>
          <w:w w:val="55"/>
          <w:sz w:val="22"/>
          <w:szCs w:val="22"/>
          <w:shd w:val="solid" w:color="000000" w:fill="000000"/>
          <w:fitText w:val="5940" w:id="-1494003712"/>
          <w14:textFill>
            <w14:solidFill>
              <w14:srgbClr w14:val="000000">
                <w14:alpha w14:val="100000"/>
              </w14:srgbClr>
            </w14:solidFill>
          </w14:textFill>
        </w:rPr>
        <w:lastRenderedPageBreak/>
        <w:t>|||||||||||||||||||||||||||||||||||||||||||||||||||||||||||||||||||||||||||||||||||||||||||||||||</w:t>
      </w:r>
      <w:r w:rsidRPr="00447549">
        <w:rPr>
          <w:rFonts w:ascii="Franklin Gothic Book" w:hAnsi="Franklin Gothic Book"/>
          <w:color w:val="000000"/>
          <w:spacing w:val="13"/>
          <w:w w:val="55"/>
          <w:sz w:val="22"/>
          <w:szCs w:val="22"/>
          <w:shd w:val="solid" w:color="000000" w:fill="000000"/>
          <w:fitText w:val="5940" w:id="-1494003712"/>
          <w14:textFill>
            <w14:solidFill>
              <w14:srgbClr w14:val="000000">
                <w14:alpha w14:val="100000"/>
              </w14:srgbClr>
            </w14:solidFill>
          </w14:textFill>
        </w:rPr>
        <w:t>|</w:t>
      </w:r>
    </w:p>
    <w:sectPr w:rsidR="00DB53A7" w:rsidRPr="00447549" w:rsidSect="00DD0AA9">
      <w:footerReference w:type="default" r:id="rId2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49BA" w14:textId="77777777" w:rsidR="005D5B67" w:rsidRDefault="005D5B67" w:rsidP="00B62DF2">
      <w:pPr>
        <w:spacing w:after="0" w:line="240" w:lineRule="auto"/>
      </w:pPr>
      <w:r>
        <w:separator/>
      </w:r>
    </w:p>
  </w:endnote>
  <w:endnote w:type="continuationSeparator" w:id="0">
    <w:p w14:paraId="346D81B6" w14:textId="77777777" w:rsidR="005D5B67" w:rsidRDefault="005D5B67"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77" w:type="pct"/>
      <w:tblInd w:w="-711" w:type="dxa"/>
      <w:tblLayout w:type="fixed"/>
      <w:tblCellMar>
        <w:left w:w="115" w:type="dxa"/>
        <w:right w:w="115" w:type="dxa"/>
      </w:tblCellMar>
      <w:tblLook w:val="0000" w:firstRow="0" w:lastRow="0" w:firstColumn="0" w:lastColumn="0" w:noHBand="0" w:noVBand="0"/>
    </w:tblPr>
    <w:tblGrid>
      <w:gridCol w:w="8766"/>
      <w:gridCol w:w="941"/>
    </w:tblGrid>
    <w:tr w:rsidR="005D5B67" w:rsidRPr="005B4A99" w14:paraId="1794D19E" w14:textId="77777777" w:rsidTr="00147560">
      <w:trPr>
        <w:cantSplit/>
        <w:trHeight w:val="330"/>
      </w:trPr>
      <w:tc>
        <w:tcPr>
          <w:tcW w:w="8768" w:type="dxa"/>
        </w:tcPr>
        <w:p w14:paraId="6F0C9AD8" w14:textId="77777777" w:rsidR="005D5B67" w:rsidRPr="009A19C5" w:rsidRDefault="005D5B67" w:rsidP="00D50FD9">
          <w:pPr>
            <w:pStyle w:val="Footer"/>
            <w:jc w:val="center"/>
          </w:pPr>
          <w:r>
            <w:t>1699 National Lung Cancer Screening Program: Overarching Report</w:t>
          </w:r>
        </w:p>
      </w:tc>
      <w:tc>
        <w:tcPr>
          <w:tcW w:w="941" w:type="dxa"/>
        </w:tcPr>
        <w:p w14:paraId="519D38B1" w14:textId="77777777" w:rsidR="005D5B67" w:rsidRPr="005B4A99" w:rsidRDefault="005D5B67" w:rsidP="00D50FD9">
          <w:pPr>
            <w:pStyle w:val="Footer"/>
          </w:pPr>
          <w:r w:rsidRPr="005B4A99">
            <w:rPr>
              <w:rStyle w:val="PageNumber"/>
              <w:color w:val="990000"/>
            </w:rPr>
            <w:tab/>
          </w:r>
          <w:r w:rsidRPr="00C047DD">
            <w:rPr>
              <w:rStyle w:val="PageNumber"/>
              <w:color w:val="44546A" w:themeColor="text2"/>
            </w:rPr>
            <w:fldChar w:fldCharType="begin"/>
          </w:r>
          <w:r w:rsidRPr="00C047DD">
            <w:rPr>
              <w:rStyle w:val="PageNumber"/>
              <w:color w:val="44546A" w:themeColor="text2"/>
            </w:rPr>
            <w:instrText xml:space="preserve"> PAGE  \* Arabic  \* MERGEFORMAT </w:instrText>
          </w:r>
          <w:r w:rsidRPr="00C047DD">
            <w:rPr>
              <w:rStyle w:val="PageNumber"/>
              <w:color w:val="44546A" w:themeColor="text2"/>
            </w:rPr>
            <w:fldChar w:fldCharType="separate"/>
          </w:r>
          <w:r w:rsidRPr="00C047DD">
            <w:rPr>
              <w:rStyle w:val="PageNumber"/>
              <w:noProof/>
              <w:color w:val="44546A" w:themeColor="text2"/>
            </w:rPr>
            <w:t>7</w:t>
          </w:r>
          <w:r w:rsidRPr="00C047DD">
            <w:rPr>
              <w:rStyle w:val="PageNumber"/>
              <w:color w:val="44546A" w:themeColor="text2"/>
            </w:rPr>
            <w:fldChar w:fldCharType="end"/>
          </w:r>
        </w:p>
      </w:tc>
    </w:tr>
  </w:tbl>
  <w:p w14:paraId="13CEF398" w14:textId="77777777" w:rsidR="005D5B67" w:rsidRDefault="005D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843" w:type="pct"/>
      <w:tblInd w:w="-711" w:type="dxa"/>
      <w:tblLayout w:type="fixed"/>
      <w:tblCellMar>
        <w:left w:w="115" w:type="dxa"/>
        <w:right w:w="115" w:type="dxa"/>
      </w:tblCellMar>
      <w:tblLook w:val="0000" w:firstRow="0" w:lastRow="0" w:firstColumn="0" w:lastColumn="0" w:noHBand="0" w:noVBand="0"/>
    </w:tblPr>
    <w:tblGrid>
      <w:gridCol w:w="8367"/>
      <w:gridCol w:w="2181"/>
    </w:tblGrid>
    <w:tr w:rsidR="005D5B67" w:rsidRPr="005B4A99" w14:paraId="278ABF13" w14:textId="77777777" w:rsidTr="00014BBC">
      <w:trPr>
        <w:cantSplit/>
        <w:trHeight w:val="330"/>
      </w:trPr>
      <w:tc>
        <w:tcPr>
          <w:tcW w:w="8366" w:type="dxa"/>
        </w:tcPr>
        <w:p w14:paraId="68EF89D9" w14:textId="634D76B1" w:rsidR="005D5B67" w:rsidRPr="00C047DD" w:rsidRDefault="005D5B67" w:rsidP="00DD0AA9">
          <w:pPr>
            <w:pStyle w:val="Footer"/>
            <w:ind w:left="600" w:right="-1344"/>
            <w:rPr>
              <w:rStyle w:val="PageNumber"/>
              <w:color w:val="44546A" w:themeColor="text2"/>
            </w:rPr>
          </w:pPr>
          <w:r>
            <w:t xml:space="preserve">1699 National Lung Cancer Screening Program: Attachments to </w:t>
          </w:r>
          <w:r w:rsidR="00EB4B03">
            <w:t>PSD</w:t>
          </w:r>
        </w:p>
      </w:tc>
      <w:tc>
        <w:tcPr>
          <w:tcW w:w="2181" w:type="dxa"/>
        </w:tcPr>
        <w:p w14:paraId="73A54D13" w14:textId="14E9D07A" w:rsidR="005D5B67" w:rsidRPr="005B4A99" w:rsidRDefault="005D5B67" w:rsidP="00DD0AA9">
          <w:pPr>
            <w:pStyle w:val="Footer"/>
            <w:ind w:left="1582" w:right="-2272"/>
          </w:pPr>
          <w:r w:rsidRPr="00C047DD">
            <w:rPr>
              <w:rStyle w:val="PageNumber"/>
              <w:color w:val="44546A" w:themeColor="text2"/>
            </w:rPr>
            <w:fldChar w:fldCharType="begin"/>
          </w:r>
          <w:r w:rsidRPr="00C047DD">
            <w:rPr>
              <w:rStyle w:val="PageNumber"/>
              <w:color w:val="44546A" w:themeColor="text2"/>
            </w:rPr>
            <w:instrText xml:space="preserve"> PAGE  \* Arabic  \* MERGEFORMAT </w:instrText>
          </w:r>
          <w:r w:rsidRPr="00C047DD">
            <w:rPr>
              <w:rStyle w:val="PageNumber"/>
              <w:color w:val="44546A" w:themeColor="text2"/>
            </w:rPr>
            <w:fldChar w:fldCharType="separate"/>
          </w:r>
          <w:r w:rsidRPr="00C047DD">
            <w:rPr>
              <w:rStyle w:val="PageNumber"/>
              <w:noProof/>
              <w:color w:val="44546A" w:themeColor="text2"/>
            </w:rPr>
            <w:t>7</w:t>
          </w:r>
          <w:r w:rsidRPr="00C047DD">
            <w:rPr>
              <w:rStyle w:val="PageNumber"/>
              <w:color w:val="44546A" w:themeColor="text2"/>
            </w:rPr>
            <w:fldChar w:fldCharType="end"/>
          </w:r>
        </w:p>
      </w:tc>
    </w:tr>
  </w:tbl>
  <w:p w14:paraId="10D10868" w14:textId="77777777" w:rsidR="005D5B67" w:rsidRDefault="005D5B67" w:rsidP="00D50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0CAE" w14:textId="77777777" w:rsidR="00447549" w:rsidRDefault="004475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48" w:type="pct"/>
      <w:tblInd w:w="-711" w:type="dxa"/>
      <w:tblLayout w:type="fixed"/>
      <w:tblCellMar>
        <w:left w:w="115" w:type="dxa"/>
        <w:right w:w="115" w:type="dxa"/>
      </w:tblCellMar>
      <w:tblLook w:val="0000" w:firstRow="0" w:lastRow="0" w:firstColumn="0" w:lastColumn="0" w:noHBand="0" w:noVBand="0"/>
    </w:tblPr>
    <w:tblGrid>
      <w:gridCol w:w="15730"/>
      <w:gridCol w:w="5821"/>
    </w:tblGrid>
    <w:tr w:rsidR="00014BBC" w:rsidRPr="005B4A99" w14:paraId="3828A511" w14:textId="77777777" w:rsidTr="007E0F23">
      <w:trPr>
        <w:cantSplit/>
        <w:trHeight w:val="330"/>
      </w:trPr>
      <w:tc>
        <w:tcPr>
          <w:tcW w:w="15729" w:type="dxa"/>
        </w:tcPr>
        <w:p w14:paraId="06F7FEAB" w14:textId="21911A7E" w:rsidR="00014BBC" w:rsidRPr="009A19C5" w:rsidRDefault="00014BBC" w:rsidP="00033AFC">
          <w:pPr>
            <w:pStyle w:val="Footer"/>
            <w:jc w:val="center"/>
          </w:pPr>
          <w:r>
            <w:t xml:space="preserve">1699 National Lung Cancer Screening Program: Attachments to </w:t>
          </w:r>
          <w:r w:rsidR="00EB4B03">
            <w:t>PSD</w:t>
          </w:r>
        </w:p>
      </w:tc>
      <w:tc>
        <w:tcPr>
          <w:tcW w:w="5820" w:type="dxa"/>
        </w:tcPr>
        <w:p w14:paraId="72F18FDA" w14:textId="77777777" w:rsidR="00014BBC" w:rsidRPr="005B4A99" w:rsidRDefault="00014BBC" w:rsidP="007E0F23">
          <w:pPr>
            <w:pStyle w:val="Footer"/>
            <w:tabs>
              <w:tab w:val="clear" w:pos="4513"/>
              <w:tab w:val="center" w:pos="5419"/>
            </w:tabs>
            <w:ind w:left="4143" w:right="-7625"/>
          </w:pPr>
          <w:r w:rsidRPr="005B4A99">
            <w:rPr>
              <w:rStyle w:val="PageNumber"/>
              <w:color w:val="990000"/>
            </w:rPr>
            <w:tab/>
          </w:r>
          <w:r w:rsidRPr="00C047DD">
            <w:rPr>
              <w:rStyle w:val="PageNumber"/>
              <w:color w:val="44546A" w:themeColor="text2"/>
            </w:rPr>
            <w:fldChar w:fldCharType="begin"/>
          </w:r>
          <w:r w:rsidRPr="00C047DD">
            <w:rPr>
              <w:rStyle w:val="PageNumber"/>
              <w:color w:val="44546A" w:themeColor="text2"/>
            </w:rPr>
            <w:instrText xml:space="preserve"> PAGE  \* Arabic  \* MERGEFORMAT </w:instrText>
          </w:r>
          <w:r w:rsidRPr="00C047DD">
            <w:rPr>
              <w:rStyle w:val="PageNumber"/>
              <w:color w:val="44546A" w:themeColor="text2"/>
            </w:rPr>
            <w:fldChar w:fldCharType="separate"/>
          </w:r>
          <w:r w:rsidRPr="00C047DD">
            <w:rPr>
              <w:rStyle w:val="PageNumber"/>
              <w:noProof/>
              <w:color w:val="44546A" w:themeColor="text2"/>
            </w:rPr>
            <w:t>7</w:t>
          </w:r>
          <w:r w:rsidRPr="00C047DD">
            <w:rPr>
              <w:rStyle w:val="PageNumber"/>
              <w:color w:val="44546A" w:themeColor="text2"/>
            </w:rPr>
            <w:fldChar w:fldCharType="end"/>
          </w:r>
        </w:p>
      </w:tc>
    </w:tr>
  </w:tbl>
  <w:p w14:paraId="0A515538" w14:textId="77777777" w:rsidR="00014BBC" w:rsidRDefault="00014BBC" w:rsidP="00D5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DB0F" w14:textId="77777777" w:rsidR="005D5B67" w:rsidRDefault="005D5B67" w:rsidP="00B62DF2">
      <w:pPr>
        <w:spacing w:after="0" w:line="240" w:lineRule="auto"/>
      </w:pPr>
      <w:r>
        <w:separator/>
      </w:r>
    </w:p>
  </w:footnote>
  <w:footnote w:type="continuationSeparator" w:id="0">
    <w:p w14:paraId="2109235E" w14:textId="77777777" w:rsidR="005D5B67" w:rsidRDefault="005D5B67" w:rsidP="00B62DF2">
      <w:pPr>
        <w:spacing w:after="0" w:line="240" w:lineRule="auto"/>
      </w:pPr>
      <w:r>
        <w:continuationSeparator/>
      </w:r>
    </w:p>
  </w:footnote>
  <w:footnote w:id="1">
    <w:p w14:paraId="579AECE6" w14:textId="20EE98E8" w:rsidR="005D5B67" w:rsidRPr="003E3A2E" w:rsidRDefault="005D5B67">
      <w:pPr>
        <w:pStyle w:val="FootnoteText"/>
        <w:rPr>
          <w:lang w:val="en-US"/>
        </w:rPr>
      </w:pPr>
      <w:r>
        <w:rPr>
          <w:rStyle w:val="FootnoteReference"/>
        </w:rPr>
        <w:footnoteRef/>
      </w:r>
      <w:r>
        <w:t xml:space="preserve"> </w:t>
      </w:r>
      <w:r w:rsidRPr="00FF5958">
        <w:t>Aberle DR, Adams AM, Berg CD, Black WC, Clapp JD, Fagerstrom RM, et al. Reduced lung-cancer mortality with low-dose computed tomographic screening. New England Journal of Medicine. 2011;365(5):395-409</w:t>
      </w:r>
      <w:r>
        <w:t>.</w:t>
      </w:r>
    </w:p>
  </w:footnote>
  <w:footnote w:id="2">
    <w:p w14:paraId="75E27579" w14:textId="03453A58" w:rsidR="005D5B67" w:rsidRDefault="005D5B67">
      <w:pPr>
        <w:pStyle w:val="FootnoteText"/>
      </w:pPr>
      <w:r>
        <w:rPr>
          <w:rStyle w:val="FootnoteReference"/>
        </w:rPr>
        <w:footnoteRef/>
      </w:r>
      <w:r>
        <w:t xml:space="preserve"> </w:t>
      </w:r>
      <w:r w:rsidRPr="00FF5958">
        <w:t>Weber M, Yap S, Goldsbury D, Manners D, Tammemagi M, Marshall H, et al. Identifying high risk individuals for targeted lung cancer screening: Independent validation of the PLCOm2012 risk prediction tool. Int J Cancer. 2017;141(2):242-53.</w:t>
      </w:r>
    </w:p>
  </w:footnote>
  <w:footnote w:id="3">
    <w:p w14:paraId="464A8CB1" w14:textId="37370A04" w:rsidR="005D5B67" w:rsidRPr="003E3A2E" w:rsidRDefault="005D5B67">
      <w:pPr>
        <w:pStyle w:val="FootnoteText"/>
        <w:rPr>
          <w:lang w:val="en-US"/>
        </w:rPr>
      </w:pPr>
      <w:r>
        <w:rPr>
          <w:rStyle w:val="FootnoteReference"/>
        </w:rPr>
        <w:footnoteRef/>
      </w:r>
      <w:r>
        <w:t xml:space="preserve"> </w:t>
      </w:r>
      <w:r w:rsidRPr="00FF5958">
        <w:t>Ten Haaf K, Bastani M, Cao P, Jeon J, Toumazis I, Han SS, et al. A comparative modeling analysis of risk-based lung cancer screening strategies. J Natl Cancer Inst. 2019.</w:t>
      </w:r>
    </w:p>
  </w:footnote>
  <w:footnote w:id="4">
    <w:p w14:paraId="10444BD1" w14:textId="44A3A8A4" w:rsidR="005D5B67" w:rsidRPr="003E3A2E" w:rsidRDefault="005D5B67">
      <w:pPr>
        <w:pStyle w:val="FootnoteText"/>
        <w:rPr>
          <w:lang w:val="en-US"/>
        </w:rPr>
      </w:pPr>
      <w:r>
        <w:rPr>
          <w:rStyle w:val="FootnoteReference"/>
        </w:rPr>
        <w:footnoteRef/>
      </w:r>
      <w:r>
        <w:t xml:space="preserve"> </w:t>
      </w:r>
      <w:r w:rsidRPr="00FF5958">
        <w:t>Tammemagi MC. Selecting lung cancer screenees using risk prediction models- where do we go from here. Translational Lung Cancer Research. 2018;7(3):243-53.</w:t>
      </w:r>
    </w:p>
  </w:footnote>
  <w:footnote w:id="5">
    <w:p w14:paraId="7795113B" w14:textId="539583B7" w:rsidR="005D5B67" w:rsidRPr="003E3A2E" w:rsidRDefault="005D5B67">
      <w:pPr>
        <w:pStyle w:val="FootnoteText"/>
        <w:rPr>
          <w:lang w:val="en-US"/>
        </w:rPr>
      </w:pPr>
      <w:r>
        <w:rPr>
          <w:rStyle w:val="FootnoteReference"/>
        </w:rPr>
        <w:footnoteRef/>
      </w:r>
      <w:r>
        <w:t xml:space="preserve"> </w:t>
      </w:r>
      <w:r w:rsidRPr="00FF5958">
        <w:t>Li K, Husing A, Sookthai D, Bergmann M, Boeing H, Becker N, et al. Selecting High-Risk Individuals for Lung Cancer Screening: A Prospective Evaluation of Existing Risk Models and Eligibility Criteria in the German EPIC Cohort. Cancer Prev Res (Phila). 2015;8(9):777-85.</w:t>
      </w:r>
    </w:p>
  </w:footnote>
  <w:footnote w:id="6">
    <w:p w14:paraId="757E98AB" w14:textId="2F49918B" w:rsidR="005D5B67" w:rsidRPr="003E3A2E" w:rsidRDefault="005D5B67">
      <w:pPr>
        <w:pStyle w:val="FootnoteText"/>
        <w:rPr>
          <w:lang w:val="en-US"/>
        </w:rPr>
      </w:pPr>
      <w:r>
        <w:rPr>
          <w:rStyle w:val="FootnoteReference"/>
        </w:rPr>
        <w:footnoteRef/>
      </w:r>
      <w:r>
        <w:t xml:space="preserve"> </w:t>
      </w:r>
      <w:r w:rsidRPr="00FF5958">
        <w:t xml:space="preserve">Ten </w:t>
      </w:r>
      <w:proofErr w:type="spellStart"/>
      <w:r w:rsidRPr="00FF5958">
        <w:t>Haaf</w:t>
      </w:r>
      <w:proofErr w:type="spellEnd"/>
      <w:r w:rsidRPr="00FF5958">
        <w:t xml:space="preserve"> K, </w:t>
      </w:r>
      <w:proofErr w:type="spellStart"/>
      <w:r w:rsidRPr="00FF5958">
        <w:t>Tammemagi</w:t>
      </w:r>
      <w:proofErr w:type="spellEnd"/>
      <w:r w:rsidRPr="00FF5958">
        <w:t xml:space="preserve"> MC, </w:t>
      </w:r>
      <w:proofErr w:type="spellStart"/>
      <w:r w:rsidRPr="00FF5958">
        <w:t>Bondy</w:t>
      </w:r>
      <w:proofErr w:type="spellEnd"/>
      <w:r w:rsidRPr="00FF5958">
        <w:t xml:space="preserve"> SJ, van der Aalst CM, Gu S, McGregor SE, et al. Performance and Cost-Effectiveness of Computed Tomography Lung Cancer Screening Scenarios in a Population-Based Setting: A Microsimulation Modeling Analysis in Ontario, Canada. PLoS Medicine / Public Library of Science. 2017;14(2):e1002225.</w:t>
      </w:r>
    </w:p>
  </w:footnote>
  <w:footnote w:id="7">
    <w:p w14:paraId="7C162F47" w14:textId="0A08102A" w:rsidR="005D5B67" w:rsidRDefault="005D5B67">
      <w:pPr>
        <w:pStyle w:val="FootnoteText"/>
      </w:pPr>
      <w:r>
        <w:rPr>
          <w:rStyle w:val="FootnoteReference"/>
        </w:rPr>
        <w:footnoteRef/>
      </w:r>
      <w:r>
        <w:t xml:space="preserve"> </w:t>
      </w:r>
      <w:r w:rsidR="0097370C" w:rsidRPr="006366B6">
        <w:t xml:space="preserve">Wade S, Weber M, Caruana M, Kang YJ, Marshall H, </w:t>
      </w:r>
      <w:proofErr w:type="spellStart"/>
      <w:r w:rsidR="0097370C" w:rsidRPr="006366B6">
        <w:t>Manser</w:t>
      </w:r>
      <w:proofErr w:type="spellEnd"/>
      <w:r w:rsidR="0097370C" w:rsidRPr="006366B6">
        <w:t xml:space="preserve"> R</w:t>
      </w:r>
      <w:r w:rsidRPr="006366B6">
        <w:t>, et al. Estimating the Cost-Effectiveness of Lung Cancer Screening with Low-Dose Computed Tomography for High-Risk Smokers in Australia. Journal of Thoracic Oncology. 2018;13(8):1094-105.</w:t>
      </w:r>
    </w:p>
  </w:footnote>
  <w:footnote w:id="8">
    <w:p w14:paraId="7B41ECBB" w14:textId="7D7E155E" w:rsidR="005D5B67" w:rsidRDefault="005D5B67">
      <w:pPr>
        <w:pStyle w:val="FootnoteText"/>
      </w:pPr>
      <w:r>
        <w:rPr>
          <w:rStyle w:val="FootnoteReference"/>
        </w:rPr>
        <w:footnoteRef/>
      </w:r>
      <w:r>
        <w:t xml:space="preserve"> </w:t>
      </w:r>
      <w:r w:rsidRPr="00FF5958">
        <w:t>Kumar V, Cohen JT, van Klaveren D, Soeteman DI, Wong JB, Neumann PJ, et al. Risk-Targeted Lung Cancer Screening: A Cost-Effectiveness Analysis. Ann Intern Med. 2018;168(3):161-9.</w:t>
      </w:r>
    </w:p>
  </w:footnote>
  <w:footnote w:id="9">
    <w:p w14:paraId="63557904" w14:textId="1AD8A858" w:rsidR="005D5B67" w:rsidRDefault="005D5B67">
      <w:pPr>
        <w:pStyle w:val="FootnoteText"/>
      </w:pPr>
      <w:r>
        <w:rPr>
          <w:rStyle w:val="FootnoteReference"/>
        </w:rPr>
        <w:footnoteRef/>
      </w:r>
      <w:r>
        <w:t xml:space="preserve"> </w:t>
      </w:r>
      <w:r w:rsidRPr="00FF5958">
        <w:t>Yang W, Qian F, Teng J, Wang H, Manegold C, Pilz LR, et al. Community-based lung cancer screening with low-dose CT in China: Results of the baseline screening. Lung Cancer. 2018;117:20-6.</w:t>
      </w:r>
    </w:p>
  </w:footnote>
  <w:footnote w:id="10">
    <w:p w14:paraId="16F34556" w14:textId="77777777" w:rsidR="005D5B67" w:rsidRPr="00A7348C" w:rsidRDefault="005D5B67" w:rsidP="00FD1ECE">
      <w:pPr>
        <w:pStyle w:val="FootnoteText"/>
        <w:rPr>
          <w:lang w:val="en-US"/>
        </w:rPr>
      </w:pPr>
      <w:r>
        <w:rPr>
          <w:rStyle w:val="FootnoteReference"/>
        </w:rPr>
        <w:footnoteRef/>
      </w:r>
      <w:r>
        <w:t xml:space="preserve"> </w:t>
      </w:r>
      <w:r w:rsidRPr="00FF5958">
        <w:t xml:space="preserve">De Koning H, Van Der Aalst C, Ten </w:t>
      </w:r>
      <w:proofErr w:type="spellStart"/>
      <w:r w:rsidRPr="00FF5958">
        <w:t>Haaf</w:t>
      </w:r>
      <w:proofErr w:type="spellEnd"/>
      <w:r w:rsidRPr="00FF5958">
        <w:t xml:space="preserve"> K, </w:t>
      </w:r>
      <w:proofErr w:type="spellStart"/>
      <w:r w:rsidRPr="00FF5958">
        <w:t>Oudkerk</w:t>
      </w:r>
      <w:proofErr w:type="spellEnd"/>
      <w:r w:rsidRPr="00FF5958">
        <w:t xml:space="preserve"> M. PL02.05 Effects of Volume CT Lung Cancer Screening: Mortality Results of the NELSON Randomised-Controlled Population Based Trial. Journal of Thoracic Oncology. 2018;13(10):S185.</w:t>
      </w:r>
    </w:p>
  </w:footnote>
  <w:footnote w:id="11">
    <w:p w14:paraId="2BBD9A37" w14:textId="2DC5F452" w:rsidR="005D5B67" w:rsidRDefault="005D5B67">
      <w:pPr>
        <w:pStyle w:val="FootnoteText"/>
      </w:pPr>
      <w:r>
        <w:rPr>
          <w:rStyle w:val="FootnoteReference"/>
        </w:rPr>
        <w:footnoteRef/>
      </w:r>
      <w:r>
        <w:t xml:space="preserve"> </w:t>
      </w:r>
      <w:r w:rsidRPr="00FF5958">
        <w:t xml:space="preserve">Criss SD, Cao P, </w:t>
      </w:r>
      <w:proofErr w:type="spellStart"/>
      <w:r w:rsidRPr="00FF5958">
        <w:t>Bastani</w:t>
      </w:r>
      <w:proofErr w:type="spellEnd"/>
      <w:r w:rsidRPr="00FF5958">
        <w:t xml:space="preserve"> M, ten </w:t>
      </w:r>
      <w:proofErr w:type="spellStart"/>
      <w:r w:rsidRPr="00FF5958">
        <w:t>Haaf</w:t>
      </w:r>
      <w:proofErr w:type="spellEnd"/>
      <w:r w:rsidRPr="00FF5958">
        <w:t xml:space="preserve"> K, Chen Y, Sheehan DF, et al. Cost-effectiveness analysis of lung cancer screening in the United States. Annals of Internal Medicine. 2019;171(11):796-804.</w:t>
      </w:r>
    </w:p>
  </w:footnote>
  <w:footnote w:id="12">
    <w:p w14:paraId="786EA445" w14:textId="65D04323" w:rsidR="005D5B67" w:rsidRDefault="005D5B67">
      <w:pPr>
        <w:pStyle w:val="FootnoteText"/>
      </w:pPr>
      <w:r>
        <w:rPr>
          <w:rStyle w:val="FootnoteReference"/>
        </w:rPr>
        <w:footnoteRef/>
      </w:r>
      <w:r>
        <w:t xml:space="preserve"> </w:t>
      </w:r>
      <w:r w:rsidRPr="00FF5958">
        <w:t xml:space="preserve">NHS England. Targeted Screening for Lung Cancer with Low Radiation Dose Computed Tomography 2019 [Available from: </w:t>
      </w:r>
      <w:hyperlink r:id="rId1" w:history="1">
        <w:r w:rsidRPr="00FF5958">
          <w:rPr>
            <w:rStyle w:val="Hyperlink"/>
          </w:rPr>
          <w:t>https://www.england.nhs.uk/publication/targeted-screening-for-lung-cancer/</w:t>
        </w:r>
      </w:hyperlink>
      <w:r w:rsidRPr="00FF5958">
        <w:t>.</w:t>
      </w:r>
    </w:p>
  </w:footnote>
  <w:footnote w:id="13">
    <w:p w14:paraId="4EC49799" w14:textId="3901E5CF" w:rsidR="005D5B67" w:rsidRPr="00E05A79" w:rsidRDefault="005D5B67">
      <w:pPr>
        <w:pStyle w:val="FootnoteText"/>
        <w:rPr>
          <w:szCs w:val="18"/>
          <w:lang w:val="en-US"/>
        </w:rPr>
      </w:pPr>
      <w:r w:rsidRPr="00E05A79">
        <w:rPr>
          <w:rStyle w:val="FootnoteReference"/>
          <w:szCs w:val="18"/>
        </w:rPr>
        <w:footnoteRef/>
      </w:r>
      <w:r w:rsidRPr="00E05A79">
        <w:rPr>
          <w:szCs w:val="18"/>
        </w:rPr>
        <w:t xml:space="preserve"> </w:t>
      </w:r>
      <w:proofErr w:type="spellStart"/>
      <w:r w:rsidRPr="00E05A79">
        <w:rPr>
          <w:szCs w:val="18"/>
        </w:rPr>
        <w:t>Tammemagi</w:t>
      </w:r>
      <w:proofErr w:type="spellEnd"/>
      <w:r w:rsidRPr="00E05A79">
        <w:rPr>
          <w:szCs w:val="18"/>
        </w:rPr>
        <w:t xml:space="preserve"> MC, Church TR, Hocking WG, Silvestri GA, </w:t>
      </w:r>
      <w:proofErr w:type="spellStart"/>
      <w:r w:rsidRPr="00E05A79">
        <w:rPr>
          <w:szCs w:val="18"/>
        </w:rPr>
        <w:t>Kvale</w:t>
      </w:r>
      <w:proofErr w:type="spellEnd"/>
      <w:r w:rsidRPr="00E05A79">
        <w:rPr>
          <w:szCs w:val="18"/>
        </w:rPr>
        <w:t xml:space="preserve"> PA, Riley TL, et al. Evaluation of the lung cancer risks at which to screen ever- and never-smokers: screening rules applied to the PLCO and NLST cohorts. PLoS Medicine / Public Library of Science. 2014;11(12):e1001764.</w:t>
      </w:r>
    </w:p>
  </w:footnote>
  <w:footnote w:id="14">
    <w:p w14:paraId="4B95E2C9" w14:textId="2ED0AE65" w:rsidR="005D5B67" w:rsidRPr="00E05A79" w:rsidRDefault="005D5B67">
      <w:pPr>
        <w:pStyle w:val="FootnoteText"/>
        <w:rPr>
          <w:szCs w:val="18"/>
        </w:rPr>
      </w:pPr>
      <w:r>
        <w:rPr>
          <w:rStyle w:val="FootnoteReference"/>
        </w:rPr>
        <w:footnoteRef/>
      </w:r>
      <w:r>
        <w:t xml:space="preserve"> Tammemagi MC, ten Haff K, et al. Development and Validation of </w:t>
      </w:r>
      <w:r w:rsidRPr="00E05A79">
        <w:rPr>
          <w:szCs w:val="18"/>
        </w:rPr>
        <w:t>a Multivariable Lung Cancer Risk Prediction Model That Includes Low-Dose Computed Tomography Screening Results A Secondary Analysis of Data From the National Lung Screening Trial JAMA Network Open. 2019;2(3):e190204.</w:t>
      </w:r>
    </w:p>
  </w:footnote>
  <w:footnote w:id="15">
    <w:p w14:paraId="0D50B369" w14:textId="16BF1649" w:rsidR="005D5B67" w:rsidRPr="00E05A79" w:rsidRDefault="005D5B67" w:rsidP="00D4529B">
      <w:pPr>
        <w:pStyle w:val="FootnoteText"/>
        <w:rPr>
          <w:szCs w:val="18"/>
        </w:rPr>
      </w:pPr>
      <w:r w:rsidRPr="00E05A79">
        <w:rPr>
          <w:rStyle w:val="FootnoteReference"/>
          <w:szCs w:val="18"/>
        </w:rPr>
        <w:footnoteRef/>
      </w:r>
      <w:r w:rsidRPr="00E05A79">
        <w:rPr>
          <w:szCs w:val="18"/>
        </w:rPr>
        <w:t xml:space="preserve"> Hűsing A, Kaaks R. Risk prediction models versus simplified selection criteria to determine eligibility for lung cancer screening: an analysis of German federal-wide survey and incidence data.</w:t>
      </w:r>
    </w:p>
  </w:footnote>
  <w:footnote w:id="16">
    <w:p w14:paraId="4D33AADA" w14:textId="49EE2C24" w:rsidR="005D5B67" w:rsidRPr="00E05A79" w:rsidRDefault="005D5B67">
      <w:pPr>
        <w:pStyle w:val="FootnoteText"/>
        <w:rPr>
          <w:szCs w:val="18"/>
        </w:rPr>
      </w:pPr>
      <w:r w:rsidRPr="00E05A79">
        <w:rPr>
          <w:rStyle w:val="FootnoteReference"/>
          <w:szCs w:val="18"/>
        </w:rPr>
        <w:footnoteRef/>
      </w:r>
      <w:r w:rsidRPr="00E05A79">
        <w:rPr>
          <w:szCs w:val="18"/>
        </w:rPr>
        <w:t xml:space="preserve"> Robbins, H.A., Alcala, K., Swerdlow, A.J. et al. Comparative performance of lung cancer risk models to define lung screening eligibility in the United Kingdom. Br J Cancer 124, 2026–2034 (2021). https://doi.org/10.1038/s41416-021-01278-0</w:t>
      </w:r>
    </w:p>
  </w:footnote>
  <w:footnote w:id="17">
    <w:p w14:paraId="4D701B29" w14:textId="3BC6ADD6" w:rsidR="005D5B67" w:rsidRPr="00E05A79" w:rsidRDefault="005D5B67">
      <w:pPr>
        <w:pStyle w:val="FootnoteText"/>
        <w:rPr>
          <w:szCs w:val="18"/>
        </w:rPr>
      </w:pPr>
      <w:r w:rsidRPr="00E05A79">
        <w:rPr>
          <w:rStyle w:val="FootnoteReference"/>
          <w:szCs w:val="18"/>
        </w:rPr>
        <w:footnoteRef/>
      </w:r>
      <w:r w:rsidRPr="00E05A79">
        <w:rPr>
          <w:szCs w:val="18"/>
        </w:rPr>
        <w:t xml:space="preserve"> </w:t>
      </w:r>
      <w:r w:rsidRPr="00E05A79">
        <w:rPr>
          <w:rStyle w:val="FootnoteReference"/>
          <w:szCs w:val="18"/>
          <w:vertAlign w:val="baseline"/>
        </w:rPr>
        <w:t>Katki HA, Kovalchik SA, Petito LC, et al. Implications of Nine Risk Prediction Models for Selecting Ever-Smokers for Computed Tomography Lung Cancer Screening. Ann Intern Med. 2018;169(1):10-9. doi:10.7326/M17-2701</w:t>
      </w:r>
    </w:p>
  </w:footnote>
  <w:footnote w:id="18">
    <w:p w14:paraId="155854F0" w14:textId="14E51656" w:rsidR="005D5B67" w:rsidRDefault="005D5B67">
      <w:pPr>
        <w:pStyle w:val="FootnoteText"/>
      </w:pPr>
      <w:r>
        <w:rPr>
          <w:rStyle w:val="FootnoteReference"/>
        </w:rPr>
        <w:footnoteRef/>
      </w:r>
      <w:r>
        <w:t xml:space="preserve"> </w:t>
      </w:r>
      <w:proofErr w:type="spellStart"/>
      <w:r w:rsidRPr="00FF5958">
        <w:t>Tammemagi</w:t>
      </w:r>
      <w:proofErr w:type="spellEnd"/>
      <w:r w:rsidRPr="00FF5958">
        <w:t xml:space="preserve"> MC, </w:t>
      </w:r>
      <w:proofErr w:type="spellStart"/>
      <w:r w:rsidRPr="00FF5958">
        <w:t>Katki</w:t>
      </w:r>
      <w:proofErr w:type="spellEnd"/>
      <w:r w:rsidRPr="00FF5958">
        <w:t xml:space="preserve"> HA, Hocking WG, Church TR, </w:t>
      </w:r>
      <w:proofErr w:type="spellStart"/>
      <w:r w:rsidRPr="00FF5958">
        <w:t>Caporaso</w:t>
      </w:r>
      <w:proofErr w:type="spellEnd"/>
      <w:r w:rsidRPr="00FF5958">
        <w:t xml:space="preserve"> N, </w:t>
      </w:r>
      <w:proofErr w:type="spellStart"/>
      <w:r w:rsidRPr="00FF5958">
        <w:t>Kvale</w:t>
      </w:r>
      <w:proofErr w:type="spellEnd"/>
      <w:r w:rsidRPr="00FF5958">
        <w:t xml:space="preserve"> PA, et al. Selection criteria for lung-cancer screening. New England Journal of Medicine. 2013;368(8):728-36.</w:t>
      </w:r>
    </w:p>
  </w:footnote>
  <w:footnote w:id="19">
    <w:p w14:paraId="7D6DA2BB" w14:textId="24869966" w:rsidR="005D5B67" w:rsidRPr="003E3A2E" w:rsidRDefault="005D5B67">
      <w:pPr>
        <w:pStyle w:val="FootnoteText"/>
        <w:rPr>
          <w:lang w:val="en-US"/>
        </w:rPr>
      </w:pPr>
      <w:r>
        <w:rPr>
          <w:rStyle w:val="FootnoteReference"/>
        </w:rPr>
        <w:footnoteRef/>
      </w:r>
      <w:r>
        <w:t xml:space="preserve"> </w:t>
      </w:r>
      <w:r w:rsidRPr="00FF5958">
        <w:t>Wood DE, Kazerooni EA, Baum SL, Eapen GA, Ettinger DS, Hou L, et al. Lung Cancer Screening, Version 3.2018, NCCN Clinical Practice Guidelines in Oncology. J Natl Compr Canc Netw. 2018;16(4):412-41.</w:t>
      </w:r>
    </w:p>
  </w:footnote>
  <w:footnote w:id="20">
    <w:p w14:paraId="331E9A13" w14:textId="497262CF" w:rsidR="005D5B67" w:rsidRPr="00633377" w:rsidRDefault="005D5B67">
      <w:pPr>
        <w:pStyle w:val="FootnoteText"/>
        <w:rPr>
          <w:rFonts w:cstheme="minorHAnsi"/>
          <w:szCs w:val="18"/>
        </w:rPr>
      </w:pPr>
      <w:r w:rsidRPr="00633377">
        <w:rPr>
          <w:rStyle w:val="FootnoteReference"/>
          <w:rFonts w:cstheme="minorHAnsi"/>
          <w:szCs w:val="18"/>
        </w:rPr>
        <w:footnoteRef/>
      </w:r>
      <w:r w:rsidRPr="00633377">
        <w:rPr>
          <w:rFonts w:cstheme="minorHAnsi"/>
          <w:szCs w:val="18"/>
        </w:rPr>
        <w:t xml:space="preserve"> Crosbie PA, Balata H, </w:t>
      </w:r>
      <w:proofErr w:type="spellStart"/>
      <w:r w:rsidRPr="00633377">
        <w:rPr>
          <w:rFonts w:cstheme="minorHAnsi"/>
          <w:szCs w:val="18"/>
        </w:rPr>
        <w:t>Evison</w:t>
      </w:r>
      <w:proofErr w:type="spellEnd"/>
      <w:r w:rsidRPr="00633377">
        <w:rPr>
          <w:rFonts w:cstheme="minorHAnsi"/>
          <w:szCs w:val="18"/>
        </w:rPr>
        <w:t xml:space="preserve"> M, </w:t>
      </w:r>
      <w:proofErr w:type="spellStart"/>
      <w:r w:rsidRPr="00633377">
        <w:rPr>
          <w:rFonts w:cstheme="minorHAnsi"/>
          <w:szCs w:val="18"/>
        </w:rPr>
        <w:t>Atack</w:t>
      </w:r>
      <w:proofErr w:type="spellEnd"/>
      <w:r w:rsidRPr="00633377">
        <w:rPr>
          <w:rFonts w:cstheme="minorHAnsi"/>
          <w:szCs w:val="18"/>
        </w:rPr>
        <w:t xml:space="preserve"> M, Bayliss-</w:t>
      </w:r>
      <w:proofErr w:type="spellStart"/>
      <w:r w:rsidRPr="00633377">
        <w:rPr>
          <w:rFonts w:cstheme="minorHAnsi"/>
          <w:szCs w:val="18"/>
        </w:rPr>
        <w:t>Brideaux</w:t>
      </w:r>
      <w:proofErr w:type="spellEnd"/>
      <w:r w:rsidRPr="00633377">
        <w:rPr>
          <w:rFonts w:cstheme="minorHAnsi"/>
          <w:szCs w:val="18"/>
        </w:rPr>
        <w:t xml:space="preserve"> V, Colligan D, et al. Second round results from the Manchester a Lung Health Check' community-based targeted lung cancer screening pilot. Thorax. 2019;74(7):700-4.</w:t>
      </w:r>
    </w:p>
  </w:footnote>
  <w:footnote w:id="21">
    <w:p w14:paraId="73B4BD9F" w14:textId="2345452A" w:rsidR="005D5B67" w:rsidRPr="00633377" w:rsidRDefault="005D5B67">
      <w:pPr>
        <w:pStyle w:val="FootnoteText"/>
        <w:rPr>
          <w:rFonts w:cstheme="minorHAnsi"/>
          <w:szCs w:val="18"/>
        </w:rPr>
      </w:pPr>
      <w:r w:rsidRPr="00633377">
        <w:rPr>
          <w:rStyle w:val="FootnoteReference"/>
          <w:rFonts w:cstheme="minorHAnsi"/>
          <w:szCs w:val="18"/>
        </w:rPr>
        <w:footnoteRef/>
      </w:r>
      <w:r w:rsidRPr="00633377">
        <w:rPr>
          <w:rFonts w:cstheme="minorHAnsi"/>
          <w:szCs w:val="18"/>
        </w:rPr>
        <w:t xml:space="preserve"> Ten Haaf K, Jeon J, Tammemagi MC, Han SS, Kong CY, Plevritis SK, et al. Risk prediction models for selection of lung cancer screening candidates: A retrospective validation study. PLoS Med. 2017;14(4):e1002277.</w:t>
      </w:r>
    </w:p>
  </w:footnote>
  <w:footnote w:id="22">
    <w:p w14:paraId="7D09B427" w14:textId="3EEBA9A0" w:rsidR="005D5B67" w:rsidRDefault="005D5B67">
      <w:pPr>
        <w:pStyle w:val="FootnoteText"/>
      </w:pPr>
      <w:r w:rsidRPr="00633377">
        <w:rPr>
          <w:rStyle w:val="FootnoteReference"/>
          <w:rFonts w:cstheme="minorHAnsi"/>
          <w:szCs w:val="18"/>
        </w:rPr>
        <w:footnoteRef/>
      </w:r>
      <w:r w:rsidRPr="00633377">
        <w:rPr>
          <w:rFonts w:cstheme="minorHAnsi"/>
          <w:szCs w:val="18"/>
        </w:rPr>
        <w:t xml:space="preserve"> Hinde S, Crilly T, Balata H, Bartlett R, Crilly J, Barber P, et al. The cost-effectiveness of the Manchester ‘lung health checks’, a community-based lung cancer low-dose CT screening pilot. Lung Cancer. 2018;126:119-24.</w:t>
      </w:r>
    </w:p>
  </w:footnote>
  <w:footnote w:id="23">
    <w:p w14:paraId="212642D1" w14:textId="767516A7" w:rsidR="005D5B67" w:rsidRPr="008E2850" w:rsidRDefault="005D5B67">
      <w:pPr>
        <w:pStyle w:val="FootnoteText"/>
        <w:rPr>
          <w:lang w:val="en-US"/>
        </w:rPr>
      </w:pPr>
      <w:r>
        <w:rPr>
          <w:rStyle w:val="FootnoteReference"/>
        </w:rPr>
        <w:footnoteRef/>
      </w:r>
      <w:r>
        <w:t xml:space="preserve"> </w:t>
      </w:r>
      <w:r>
        <w:rPr>
          <w:color w:val="000000"/>
          <w:shd w:val="clear" w:color="auto" w:fill="FFFFFF"/>
        </w:rPr>
        <w:t xml:space="preserve">McWilliams A, </w:t>
      </w:r>
      <w:proofErr w:type="spellStart"/>
      <w:r>
        <w:rPr>
          <w:color w:val="000000"/>
          <w:shd w:val="clear" w:color="auto" w:fill="FFFFFF"/>
        </w:rPr>
        <w:t>Tammemägi</w:t>
      </w:r>
      <w:proofErr w:type="spellEnd"/>
      <w:r>
        <w:rPr>
          <w:color w:val="000000"/>
          <w:shd w:val="clear" w:color="auto" w:fill="FFFFFF"/>
        </w:rPr>
        <w:t xml:space="preserve"> MC, Mayo JR, Roberts H, Liu G, </w:t>
      </w:r>
      <w:proofErr w:type="spellStart"/>
      <w:r>
        <w:rPr>
          <w:color w:val="000000"/>
          <w:shd w:val="clear" w:color="auto" w:fill="FFFFFF"/>
        </w:rPr>
        <w:t>Soghrati</w:t>
      </w:r>
      <w:proofErr w:type="spellEnd"/>
      <w:r>
        <w:rPr>
          <w:color w:val="000000"/>
          <w:shd w:val="clear" w:color="auto" w:fill="FFFFFF"/>
        </w:rPr>
        <w:t xml:space="preserve"> K, et al. Probability of cancer in pulmonary nodules detected on first screening CT. </w:t>
      </w:r>
      <w:r>
        <w:rPr>
          <w:rStyle w:val="Emphasis"/>
          <w:color w:val="000000"/>
          <w:shd w:val="clear" w:color="auto" w:fill="FFFFFF"/>
        </w:rPr>
        <w:t>N Engl J Med</w:t>
      </w:r>
      <w:r>
        <w:rPr>
          <w:rStyle w:val="ref-journal"/>
          <w:i/>
          <w:iCs/>
          <w:color w:val="000000"/>
          <w:shd w:val="clear" w:color="auto" w:fill="FFFFFF"/>
        </w:rPr>
        <w:t>. </w:t>
      </w:r>
      <w:r>
        <w:rPr>
          <w:color w:val="000000"/>
          <w:shd w:val="clear" w:color="auto" w:fill="FFFFFF"/>
        </w:rPr>
        <w:t>2013;</w:t>
      </w:r>
      <w:r>
        <w:rPr>
          <w:rStyle w:val="ref-vol"/>
          <w:shd w:val="clear" w:color="auto" w:fill="FFFFFF"/>
        </w:rPr>
        <w:t>369</w:t>
      </w:r>
      <w:r>
        <w:rPr>
          <w:color w:val="000000"/>
          <w:shd w:val="clear" w:color="auto" w:fill="FFFFFF"/>
        </w:rPr>
        <w:t>:910–919.</w:t>
      </w:r>
    </w:p>
  </w:footnote>
  <w:footnote w:id="24">
    <w:p w14:paraId="5EE81557" w14:textId="50985E8D" w:rsidR="005D5B67" w:rsidRPr="008E2850" w:rsidRDefault="005D5B67">
      <w:pPr>
        <w:pStyle w:val="FootnoteText"/>
        <w:rPr>
          <w:lang w:val="en-US"/>
        </w:rPr>
      </w:pPr>
      <w:r>
        <w:rPr>
          <w:rStyle w:val="FootnoteReference"/>
        </w:rPr>
        <w:footnoteRef/>
      </w:r>
      <w:r>
        <w:t xml:space="preserve"> </w:t>
      </w:r>
      <w:r>
        <w:rPr>
          <w:color w:val="000000"/>
          <w:shd w:val="clear" w:color="auto" w:fill="FFFFFF"/>
        </w:rPr>
        <w:t>Tammemägi MC, Schmidt H, Martel S, McWilliams A, Goffin JR, Johnston MR, et al. PanCan Study Team. Participant selection for lung cancer screening by risk modelling (the Pan-Canadian Early Detection of Lung Cancer [PanCan] study): a single-arm, prospective study. </w:t>
      </w:r>
      <w:r>
        <w:rPr>
          <w:rStyle w:val="Emphasis"/>
          <w:color w:val="000000"/>
          <w:shd w:val="clear" w:color="auto" w:fill="FFFFFF"/>
        </w:rPr>
        <w:t>Lancet Oncol</w:t>
      </w:r>
      <w:r>
        <w:rPr>
          <w:rStyle w:val="ref-journal"/>
          <w:i/>
          <w:iCs/>
          <w:color w:val="000000"/>
          <w:shd w:val="clear" w:color="auto" w:fill="FFFFFF"/>
        </w:rPr>
        <w:t>. </w:t>
      </w:r>
      <w:r>
        <w:rPr>
          <w:color w:val="000000"/>
          <w:shd w:val="clear" w:color="auto" w:fill="FFFFFF"/>
        </w:rPr>
        <w:t>2017;</w:t>
      </w:r>
      <w:r>
        <w:rPr>
          <w:rStyle w:val="ref-vol"/>
          <w:shd w:val="clear" w:color="auto" w:fill="FFFFFF"/>
        </w:rPr>
        <w:t>18</w:t>
      </w:r>
      <w:r>
        <w:rPr>
          <w:color w:val="000000"/>
          <w:shd w:val="clear" w:color="auto" w:fill="FFFFFF"/>
        </w:rPr>
        <w:t>:1523–1531.</w:t>
      </w:r>
    </w:p>
  </w:footnote>
  <w:footnote w:id="25">
    <w:p w14:paraId="45FDDD00" w14:textId="77777777" w:rsidR="005D5B67" w:rsidRPr="008E2850" w:rsidRDefault="005D5B67" w:rsidP="00D7206A">
      <w:pPr>
        <w:pStyle w:val="FootnoteText"/>
        <w:rPr>
          <w:lang w:val="en-US"/>
        </w:rPr>
      </w:pPr>
      <w:r>
        <w:rPr>
          <w:rStyle w:val="FootnoteReference"/>
        </w:rPr>
        <w:footnoteRef/>
      </w:r>
      <w:r>
        <w:t xml:space="preserve"> </w:t>
      </w:r>
      <w:r>
        <w:rPr>
          <w:color w:val="000000"/>
          <w:shd w:val="clear" w:color="auto" w:fill="FFFFFF"/>
        </w:rPr>
        <w:t>American College of Radiology. Lung CT screening reporting &amp; data system (Lung-RADS V1.1). Reston, VA: ACR; 2019 [accessed 2019 July 31] Available from </w:t>
      </w:r>
      <w:hyperlink r:id="rId2" w:tgtFrame="_blank" w:history="1">
        <w:r>
          <w:rPr>
            <w:rStyle w:val="Hyperlink"/>
            <w:color w:val="2F4A8B"/>
            <w:shd w:val="clear" w:color="auto" w:fill="FFFFFF"/>
          </w:rPr>
          <w:t>https://www.acr.org/Clinical-Resources/Reporting-and-Data-Systems/Lung-Rads</w:t>
        </w:r>
      </w:hyperlink>
      <w:r>
        <w:rPr>
          <w:color w:val="000000"/>
          <w:shd w:val="clear" w:color="auto" w:fill="FFFFFF"/>
        </w:rPr>
        <w:t>.</w:t>
      </w:r>
    </w:p>
  </w:footnote>
  <w:footnote w:id="26">
    <w:p w14:paraId="13533065" w14:textId="2111ABBD" w:rsidR="005D5B67" w:rsidRDefault="005D5B67">
      <w:pPr>
        <w:pStyle w:val="FootnoteText"/>
      </w:pPr>
      <w:r>
        <w:rPr>
          <w:rStyle w:val="FootnoteReference"/>
        </w:rPr>
        <w:footnoteRef/>
      </w:r>
      <w:r>
        <w:t xml:space="preserve"> </w:t>
      </w:r>
      <w:r w:rsidRPr="00FF5958">
        <w:t>Horeweg N, van der Aalst CM, Thunnissen E, Nackaerts K, Weenink C, Groen HJ, et al. Characteristics of lung cancers detected by computer tomography screening in the randomized NELSON trial. Am J Respir Crit Care Med. 2013;187(8):848-54.</w:t>
      </w:r>
    </w:p>
  </w:footnote>
  <w:footnote w:id="27">
    <w:p w14:paraId="46C8926C" w14:textId="440549BF" w:rsidR="005D5B67" w:rsidRPr="006B7D1D" w:rsidRDefault="005D5B67" w:rsidP="006B7D1D">
      <w:pPr>
        <w:pStyle w:val="EndNoteBibliography"/>
        <w:rPr>
          <w:rFonts w:asciiTheme="minorHAnsi" w:hAnsiTheme="minorHAnsi" w:cstheme="minorHAnsi"/>
          <w:sz w:val="18"/>
        </w:rPr>
      </w:pPr>
      <w:r w:rsidRPr="00FE4A56">
        <w:rPr>
          <w:rStyle w:val="FootnoteReference"/>
          <w:rFonts w:asciiTheme="minorHAnsi" w:hAnsiTheme="minorHAnsi" w:cstheme="minorHAnsi"/>
          <w:sz w:val="18"/>
        </w:rPr>
        <w:footnoteRef/>
      </w:r>
      <w:r w:rsidRPr="00FE4A56">
        <w:rPr>
          <w:rFonts w:asciiTheme="minorHAnsi" w:hAnsiTheme="minorHAnsi" w:cstheme="minorHAnsi"/>
          <w:sz w:val="18"/>
        </w:rPr>
        <w:t xml:space="preserve"> Horeweg N, Nackaerts K, Oudkerk M, de Koning HJ. Low-dose computed tomography screening for lung cancer: results of the first screening round. J Comp Eff Res. 2013;2(5):433-6.</w:t>
      </w:r>
    </w:p>
  </w:footnote>
  <w:footnote w:id="28">
    <w:p w14:paraId="3F63B6D9" w14:textId="551FA9B9" w:rsidR="005D5B67" w:rsidRDefault="005D5B67">
      <w:pPr>
        <w:pStyle w:val="FootnoteText"/>
      </w:pPr>
      <w:r>
        <w:rPr>
          <w:rStyle w:val="FootnoteReference"/>
        </w:rPr>
        <w:footnoteRef/>
      </w:r>
      <w:r>
        <w:t xml:space="preserve"> </w:t>
      </w:r>
      <w:r w:rsidRPr="00FF5958">
        <w:t>Horeweg N, van der Aalst CM, Vliegenthart R, Zhao Y, Xie X, Scholten ET, et al. Volumetric computed tomography screening for lung cancer: three rounds of the NELSON trial. Eur Respir J. 2013;42(6):1659-67.</w:t>
      </w:r>
    </w:p>
  </w:footnote>
  <w:footnote w:id="29">
    <w:p w14:paraId="0AA8ACD2" w14:textId="240807B5" w:rsidR="005D5B67" w:rsidRDefault="005D5B67">
      <w:pPr>
        <w:pStyle w:val="FootnoteText"/>
      </w:pPr>
      <w:r>
        <w:rPr>
          <w:rStyle w:val="FootnoteReference"/>
        </w:rPr>
        <w:footnoteRef/>
      </w:r>
      <w:r>
        <w:t xml:space="preserve"> </w:t>
      </w:r>
      <w:r w:rsidRPr="00FF5958">
        <w:t>Sverzellati N, Silva M, Calareso G, Galeone C, Marchianò A, Sestini S, et al. Low-dose computed tomography for lung cancer screening: comparison of performance between annual and biennial screen. Eur Radiol. 2016;26(11):3821-9.</w:t>
      </w:r>
    </w:p>
  </w:footnote>
  <w:footnote w:id="30">
    <w:p w14:paraId="393F53B9" w14:textId="507A288A" w:rsidR="005D5B67" w:rsidRDefault="005D5B67">
      <w:pPr>
        <w:pStyle w:val="FootnoteText"/>
      </w:pPr>
      <w:r>
        <w:rPr>
          <w:rStyle w:val="FootnoteReference"/>
        </w:rPr>
        <w:footnoteRef/>
      </w:r>
      <w:r>
        <w:t xml:space="preserve"> </w:t>
      </w:r>
      <w:r w:rsidRPr="00FF5958">
        <w:t>Pastorino U, Sverzellati N, Sestini S, Silva M, Sabia F, Boeri M, et al. Ten-year results of the Multicentric Italian Lung Detection trial demonstrate the safety and efficacy of biennial lung cancer screening. European Journal of Cancer. 2019;118:142-8.</w:t>
      </w:r>
    </w:p>
  </w:footnote>
  <w:footnote w:id="31">
    <w:p w14:paraId="6A6B0D32" w14:textId="00DF22A4" w:rsidR="005D5B67" w:rsidRPr="00764640" w:rsidRDefault="005D5B67">
      <w:pPr>
        <w:pStyle w:val="FootnoteText"/>
        <w:rPr>
          <w:rFonts w:cstheme="minorHAnsi"/>
          <w:lang w:val="en-US"/>
        </w:rPr>
      </w:pPr>
      <w:r w:rsidRPr="00764640">
        <w:rPr>
          <w:rStyle w:val="FootnoteReference"/>
          <w:rFonts w:cstheme="minorHAnsi"/>
        </w:rPr>
        <w:footnoteRef/>
      </w:r>
      <w:r w:rsidRPr="00764640">
        <w:rPr>
          <w:rFonts w:cstheme="minorHAnsi"/>
        </w:rPr>
        <w:t xml:space="preserve"> </w:t>
      </w:r>
      <w:r w:rsidRPr="00764640">
        <w:rPr>
          <w:rFonts w:cstheme="minorHAnsi"/>
          <w:szCs w:val="18"/>
        </w:rPr>
        <w:t xml:space="preserve">Infante M, Cavuto S, Lutman F, </w:t>
      </w:r>
      <w:proofErr w:type="spellStart"/>
      <w:r w:rsidRPr="00764640">
        <w:rPr>
          <w:rFonts w:cstheme="minorHAnsi"/>
          <w:szCs w:val="18"/>
        </w:rPr>
        <w:t>Passera</w:t>
      </w:r>
      <w:proofErr w:type="spellEnd"/>
      <w:r w:rsidRPr="00764640">
        <w:rPr>
          <w:rFonts w:cstheme="minorHAnsi"/>
          <w:szCs w:val="18"/>
        </w:rPr>
        <w:t xml:space="preserve"> E, </w:t>
      </w:r>
      <w:proofErr w:type="spellStart"/>
      <w:r w:rsidRPr="00764640">
        <w:rPr>
          <w:rFonts w:cstheme="minorHAnsi"/>
          <w:szCs w:val="18"/>
        </w:rPr>
        <w:t>Chiarenza</w:t>
      </w:r>
      <w:proofErr w:type="spellEnd"/>
      <w:r w:rsidRPr="00764640">
        <w:rPr>
          <w:rFonts w:cstheme="minorHAnsi"/>
          <w:szCs w:val="18"/>
        </w:rPr>
        <w:t xml:space="preserve"> M, Chiesa G et al. Long-Term Follow-up Results of the DANTE Trial, a Randomized Study of Lung Cancer Screening with Spiral Computed Tomography. American Journal of Respiratory and Critical Care Medicine. 2015;191(10):1166-75.</w:t>
      </w:r>
    </w:p>
  </w:footnote>
  <w:footnote w:id="32">
    <w:p w14:paraId="0BE90564" w14:textId="0B409F8F" w:rsidR="005D5B67" w:rsidRPr="00764640" w:rsidRDefault="005D5B67" w:rsidP="007B4EB5">
      <w:pPr>
        <w:pStyle w:val="FootnoteText"/>
        <w:rPr>
          <w:rFonts w:cstheme="minorHAnsi"/>
          <w:lang w:val="en-US"/>
        </w:rPr>
      </w:pPr>
      <w:r w:rsidRPr="00764640">
        <w:rPr>
          <w:rStyle w:val="FootnoteReference"/>
          <w:rFonts w:cstheme="minorHAnsi"/>
        </w:rPr>
        <w:footnoteRef/>
      </w:r>
      <w:r w:rsidRPr="00764640">
        <w:rPr>
          <w:rFonts w:cstheme="minorHAnsi"/>
        </w:rPr>
        <w:t xml:space="preserve"> Wille, MMW, Dirksen, A, Ashraf, H, Saghir, Z, Bach, KS, Brodersen, J, et al. Results of the randomized Danish lung cancer screening trial with focus on high-risk profiling. Am J Respir Crit Care Med 2016; 193: 542–51.</w:t>
      </w:r>
    </w:p>
  </w:footnote>
  <w:footnote w:id="33">
    <w:p w14:paraId="346B8348" w14:textId="346C1C8E" w:rsidR="005D5B67" w:rsidRPr="00764640" w:rsidRDefault="005D5B67">
      <w:pPr>
        <w:pStyle w:val="FootnoteText"/>
        <w:rPr>
          <w:rFonts w:cstheme="minorHAnsi"/>
          <w:lang w:val="en-US"/>
        </w:rPr>
      </w:pPr>
      <w:r w:rsidRPr="00764640">
        <w:rPr>
          <w:rStyle w:val="FootnoteReference"/>
          <w:rFonts w:cstheme="minorHAnsi"/>
        </w:rPr>
        <w:footnoteRef/>
      </w:r>
      <w:r w:rsidRPr="00764640">
        <w:rPr>
          <w:rFonts w:cstheme="minorHAnsi"/>
        </w:rPr>
        <w:t xml:space="preserve"> </w:t>
      </w:r>
      <w:r w:rsidRPr="00764640">
        <w:rPr>
          <w:rFonts w:cstheme="minorHAnsi"/>
          <w:szCs w:val="18"/>
        </w:rPr>
        <w:t>Paci E, Puliti D, Lopes Pegna A, Carrozzi L, Picozzi G, Falaschi F et al. Mortality, survival and incidence rates in the ITALUNG randomised lung cancer screening trial. Thorax. 2017;72(9):825-31</w:t>
      </w:r>
      <w:r>
        <w:rPr>
          <w:rFonts w:cstheme="minorHAnsi"/>
          <w:szCs w:val="18"/>
        </w:rPr>
        <w:t>.</w:t>
      </w:r>
    </w:p>
  </w:footnote>
  <w:footnote w:id="34">
    <w:p w14:paraId="59E8EA60" w14:textId="644D87E6" w:rsidR="005D5B67" w:rsidRPr="00764640" w:rsidRDefault="005D5B67">
      <w:pPr>
        <w:pStyle w:val="FootnoteText"/>
        <w:rPr>
          <w:rFonts w:cstheme="minorHAnsi"/>
        </w:rPr>
      </w:pPr>
      <w:r w:rsidRPr="00764640">
        <w:rPr>
          <w:rStyle w:val="FootnoteReference"/>
          <w:rFonts w:cstheme="minorHAnsi"/>
        </w:rPr>
        <w:footnoteRef/>
      </w:r>
      <w:r w:rsidRPr="00764640">
        <w:rPr>
          <w:rFonts w:cstheme="minorHAnsi"/>
        </w:rPr>
        <w:t xml:space="preserve"> </w:t>
      </w:r>
      <w:r w:rsidRPr="00764640">
        <w:rPr>
          <w:rFonts w:cstheme="minorHAnsi"/>
          <w:szCs w:val="18"/>
        </w:rPr>
        <w:t>Becker N, Motsch E, Trotter A, Heussel C, Dienemann H, Schnabel P et al. Lung cancer mortality reduction by LDCT screening—Results from the randomized German LUSI trial. International Journal of Cancer. 2019;146(6):1503-13.</w:t>
      </w:r>
    </w:p>
  </w:footnote>
  <w:footnote w:id="35">
    <w:p w14:paraId="1595340C" w14:textId="0C58BCEB" w:rsidR="005D5B67" w:rsidRPr="00764640" w:rsidRDefault="005D5B67">
      <w:pPr>
        <w:pStyle w:val="FootnoteText"/>
        <w:rPr>
          <w:rFonts w:cstheme="minorHAnsi"/>
        </w:rPr>
      </w:pPr>
      <w:r w:rsidRPr="00764640">
        <w:rPr>
          <w:rStyle w:val="FootnoteReference"/>
          <w:rFonts w:cstheme="minorHAnsi"/>
        </w:rPr>
        <w:footnoteRef/>
      </w:r>
      <w:r w:rsidRPr="00764640">
        <w:rPr>
          <w:rFonts w:cstheme="minorHAnsi"/>
        </w:rPr>
        <w:t xml:space="preserve"> Pastorino U, Silva M, Sestini S, Sabia F, Boeri M, Cantarutti A et al. Prolonged lung cancer screening reduced 10-year mortality in the MILD trial: new confirmation of lung cancer screening efficacy. Annals of Oncology. 2019;30(7):1162-9.</w:t>
      </w:r>
    </w:p>
  </w:footnote>
  <w:footnote w:id="36">
    <w:p w14:paraId="49CC3518" w14:textId="4354436F" w:rsidR="005D5B67" w:rsidRDefault="005D5B67">
      <w:pPr>
        <w:pStyle w:val="FootnoteText"/>
      </w:pPr>
      <w:r w:rsidRPr="00764640">
        <w:rPr>
          <w:rStyle w:val="FootnoteReference"/>
          <w:rFonts w:cstheme="minorHAnsi"/>
        </w:rPr>
        <w:footnoteRef/>
      </w:r>
      <w:r w:rsidRPr="00764640">
        <w:rPr>
          <w:rFonts w:cstheme="minorHAnsi"/>
        </w:rPr>
        <w:t xml:space="preserve"> </w:t>
      </w:r>
      <w:proofErr w:type="gramStart"/>
      <w:r w:rsidRPr="00764640">
        <w:rPr>
          <w:rFonts w:cstheme="minorHAnsi"/>
          <w:szCs w:val="18"/>
        </w:rPr>
        <w:t>De Koning H,</w:t>
      </w:r>
      <w:proofErr w:type="gramEnd"/>
      <w:r w:rsidRPr="00764640">
        <w:rPr>
          <w:rFonts w:cstheme="minorHAnsi"/>
          <w:szCs w:val="18"/>
        </w:rPr>
        <w:t xml:space="preserve"> van der Aalst C, de Jong P, Scholten E, </w:t>
      </w:r>
      <w:proofErr w:type="spellStart"/>
      <w:r w:rsidRPr="00764640">
        <w:rPr>
          <w:rFonts w:cstheme="minorHAnsi"/>
          <w:szCs w:val="18"/>
        </w:rPr>
        <w:t>Nackaerts</w:t>
      </w:r>
      <w:proofErr w:type="spellEnd"/>
      <w:r w:rsidRPr="00764640">
        <w:rPr>
          <w:rFonts w:cstheme="minorHAnsi"/>
          <w:szCs w:val="18"/>
        </w:rPr>
        <w:t xml:space="preserve"> K, </w:t>
      </w:r>
      <w:proofErr w:type="spellStart"/>
      <w:r w:rsidRPr="00764640">
        <w:rPr>
          <w:rFonts w:cstheme="minorHAnsi"/>
          <w:szCs w:val="18"/>
        </w:rPr>
        <w:t>Heuvelmans</w:t>
      </w:r>
      <w:proofErr w:type="spellEnd"/>
      <w:r w:rsidRPr="00764640">
        <w:rPr>
          <w:rFonts w:cstheme="minorHAnsi"/>
          <w:szCs w:val="18"/>
        </w:rPr>
        <w:t xml:space="preserve"> M et al. Reduced Lung-Cancer Mortality with Volume CT Screening in a Randomized Trial. New England Journal of Medicine. 2020;382(6):503-13.</w:t>
      </w:r>
    </w:p>
  </w:footnote>
  <w:footnote w:id="37">
    <w:p w14:paraId="5B5299C8" w14:textId="0CFD70D4" w:rsidR="005D5B67" w:rsidRPr="00764640" w:rsidRDefault="005D5B67">
      <w:pPr>
        <w:pStyle w:val="FootnoteText"/>
        <w:rPr>
          <w:rFonts w:cstheme="minorHAnsi"/>
        </w:rPr>
      </w:pPr>
      <w:r w:rsidRPr="00764640">
        <w:rPr>
          <w:rStyle w:val="FootnoteReference"/>
          <w:rFonts w:cstheme="minorHAnsi"/>
        </w:rPr>
        <w:footnoteRef/>
      </w:r>
      <w:r w:rsidRPr="00764640">
        <w:rPr>
          <w:rFonts w:cstheme="minorHAnsi"/>
        </w:rPr>
        <w:t xml:space="preserve"> </w:t>
      </w:r>
      <w:r w:rsidRPr="00764640">
        <w:rPr>
          <w:rFonts w:cstheme="minorHAnsi"/>
          <w:szCs w:val="18"/>
        </w:rPr>
        <w:t xml:space="preserve">Field JK, Duffy SW, Baldwin DR, </w:t>
      </w:r>
      <w:proofErr w:type="spellStart"/>
      <w:r w:rsidRPr="00764640">
        <w:rPr>
          <w:rFonts w:cstheme="minorHAnsi"/>
          <w:szCs w:val="18"/>
        </w:rPr>
        <w:t>Whynes</w:t>
      </w:r>
      <w:proofErr w:type="spellEnd"/>
      <w:r w:rsidRPr="00764640">
        <w:rPr>
          <w:rFonts w:cstheme="minorHAnsi"/>
          <w:szCs w:val="18"/>
        </w:rPr>
        <w:t xml:space="preserve"> DK, Devaraj A, Brain KE, et al. UK Lung Cancer RCT Pilot Screening Trial: baseline findings from the screening arm provide evidence for the potential implementation of lung cancer screening. Thorax. 2016;71(2):161-70.</w:t>
      </w:r>
    </w:p>
  </w:footnote>
  <w:footnote w:id="38">
    <w:p w14:paraId="381C797D" w14:textId="6E03C3D9" w:rsidR="005D5B67" w:rsidRPr="00764640" w:rsidRDefault="005D5B67">
      <w:pPr>
        <w:pStyle w:val="FootnoteText"/>
        <w:rPr>
          <w:rFonts w:cstheme="minorHAnsi"/>
        </w:rPr>
      </w:pPr>
      <w:r w:rsidRPr="00764640">
        <w:rPr>
          <w:rStyle w:val="FootnoteReference"/>
          <w:rFonts w:cstheme="minorHAnsi"/>
        </w:rPr>
        <w:footnoteRef/>
      </w:r>
      <w:r w:rsidRPr="00764640">
        <w:rPr>
          <w:rFonts w:cstheme="minorHAnsi"/>
        </w:rPr>
        <w:t xml:space="preserve"> </w:t>
      </w:r>
      <w:r w:rsidRPr="00764640">
        <w:rPr>
          <w:rFonts w:cstheme="minorHAnsi"/>
          <w:szCs w:val="18"/>
        </w:rPr>
        <w:t>Field J, Vulkan D, Davies M, Baldwin D, Brain K, Devaraj A et al. Lung cancer mortality reduction by LDCT screening: UKLS randomised trial results and international meta-analysis. The Lancet Regional Health - Europe. 2021;100179.</w:t>
      </w:r>
    </w:p>
  </w:footnote>
  <w:footnote w:id="39">
    <w:p w14:paraId="565F36BF" w14:textId="7A530C70" w:rsidR="005D5B67" w:rsidRPr="00764640" w:rsidRDefault="005D5B67">
      <w:pPr>
        <w:pStyle w:val="FootnoteText"/>
        <w:rPr>
          <w:rFonts w:cstheme="minorHAnsi"/>
        </w:rPr>
      </w:pPr>
      <w:r w:rsidRPr="00764640">
        <w:rPr>
          <w:rStyle w:val="FootnoteReference"/>
          <w:rFonts w:cstheme="minorHAnsi"/>
        </w:rPr>
        <w:footnoteRef/>
      </w:r>
      <w:r w:rsidRPr="00764640">
        <w:rPr>
          <w:rFonts w:cstheme="minorHAnsi"/>
        </w:rPr>
        <w:t xml:space="preserve"> </w:t>
      </w:r>
      <w:r w:rsidRPr="00764640">
        <w:rPr>
          <w:rFonts w:cstheme="minorHAnsi"/>
          <w:color w:val="333333"/>
          <w:shd w:val="clear" w:color="auto" w:fill="FCFCFC"/>
        </w:rPr>
        <w:t xml:space="preserve">Hoffman, R.M., </w:t>
      </w:r>
      <w:proofErr w:type="spellStart"/>
      <w:r w:rsidRPr="00764640">
        <w:rPr>
          <w:rFonts w:cstheme="minorHAnsi"/>
          <w:color w:val="333333"/>
          <w:shd w:val="clear" w:color="auto" w:fill="FCFCFC"/>
        </w:rPr>
        <w:t>Atallah</w:t>
      </w:r>
      <w:proofErr w:type="spellEnd"/>
      <w:r w:rsidRPr="00764640">
        <w:rPr>
          <w:rFonts w:cstheme="minorHAnsi"/>
          <w:color w:val="333333"/>
          <w:shd w:val="clear" w:color="auto" w:fill="FCFCFC"/>
        </w:rPr>
        <w:t>, R.P., Struble, R.D. </w:t>
      </w:r>
      <w:r w:rsidRPr="0025100D">
        <w:rPr>
          <w:rFonts w:cstheme="minorHAnsi"/>
          <w:color w:val="333333"/>
          <w:shd w:val="clear" w:color="auto" w:fill="FCFCFC"/>
        </w:rPr>
        <w:t>et al</w:t>
      </w:r>
      <w:r w:rsidRPr="00764640">
        <w:rPr>
          <w:rFonts w:cstheme="minorHAnsi"/>
          <w:i/>
          <w:iCs/>
          <w:color w:val="333333"/>
          <w:shd w:val="clear" w:color="auto" w:fill="FCFCFC"/>
        </w:rPr>
        <w:t>.</w:t>
      </w:r>
      <w:r w:rsidRPr="00764640">
        <w:rPr>
          <w:rFonts w:cstheme="minorHAnsi"/>
          <w:color w:val="333333"/>
          <w:shd w:val="clear" w:color="auto" w:fill="FCFCFC"/>
        </w:rPr>
        <w:t> Lung Cancer Screening with Low-Dose CT: a Meta-Analysis. </w:t>
      </w:r>
      <w:r w:rsidRPr="00764640">
        <w:rPr>
          <w:rFonts w:cstheme="minorHAnsi"/>
          <w:i/>
          <w:iCs/>
          <w:color w:val="333333"/>
          <w:shd w:val="clear" w:color="auto" w:fill="FCFCFC"/>
        </w:rPr>
        <w:t>J GEN INTERN MED </w:t>
      </w:r>
      <w:r w:rsidRPr="00764640">
        <w:rPr>
          <w:rFonts w:cstheme="minorHAnsi"/>
          <w:b/>
          <w:bCs/>
          <w:color w:val="333333"/>
          <w:shd w:val="clear" w:color="auto" w:fill="FCFCFC"/>
        </w:rPr>
        <w:t>35, </w:t>
      </w:r>
      <w:r w:rsidRPr="00764640">
        <w:rPr>
          <w:rFonts w:cstheme="minorHAnsi"/>
          <w:color w:val="333333"/>
          <w:shd w:val="clear" w:color="auto" w:fill="FCFCFC"/>
        </w:rPr>
        <w:t>3015–3025 (2020). https://doi.org/10.1007/s11606-020-05951-7</w:t>
      </w:r>
    </w:p>
  </w:footnote>
  <w:footnote w:id="40">
    <w:p w14:paraId="71D80784" w14:textId="70E4B006" w:rsidR="005D5B67" w:rsidRDefault="005D5B67" w:rsidP="007612BD">
      <w:pPr>
        <w:pStyle w:val="FootnoteText"/>
      </w:pPr>
      <w:r w:rsidRPr="00764640">
        <w:rPr>
          <w:rStyle w:val="FootnoteReference"/>
          <w:rFonts w:cstheme="minorHAnsi"/>
        </w:rPr>
        <w:footnoteRef/>
      </w:r>
      <w:r w:rsidRPr="00764640">
        <w:rPr>
          <w:rFonts w:cstheme="minorHAnsi"/>
        </w:rPr>
        <w:t xml:space="preserve"> Ebell MH., Bentivegna M., HulmeC. Cancer-Specific Mortality, All-Cause Mortality, and Overdiagnosis in Lung Cancer Screening Trials: A Meta-Analysis. The Annals of Family Medicine November 2020, 18 (6) 545-52</w:t>
      </w:r>
      <w:r>
        <w:rPr>
          <w:rFonts w:cstheme="minorHAnsi"/>
        </w:rPr>
        <w:t>.</w:t>
      </w:r>
    </w:p>
  </w:footnote>
  <w:footnote w:id="41">
    <w:p w14:paraId="32AB208D" w14:textId="2A3A88F8" w:rsidR="005D5B67" w:rsidRDefault="005D5B67">
      <w:pPr>
        <w:pStyle w:val="FootnoteText"/>
      </w:pPr>
      <w:r>
        <w:rPr>
          <w:rStyle w:val="FootnoteReference"/>
        </w:rPr>
        <w:footnoteRef/>
      </w:r>
      <w:r>
        <w:t xml:space="preserve"> Passiglia 2021. </w:t>
      </w:r>
      <w:r w:rsidRPr="00065F04">
        <w:t>Benefits and Harms of Lung Cancer Screening by Chest Computed Tomography: A Systematic Review and Meta-Analysis</w:t>
      </w:r>
      <w:r>
        <w:t xml:space="preserve">. </w:t>
      </w:r>
      <w:r w:rsidRPr="00065F04">
        <w:t>Journal of Clinical Oncology 39, no. 23 (August 10, 2021) 2574-2585.</w:t>
      </w:r>
    </w:p>
  </w:footnote>
  <w:footnote w:id="42">
    <w:p w14:paraId="01FFB5D5" w14:textId="1D99CC96" w:rsidR="005D5B67" w:rsidRDefault="005D5B67">
      <w:pPr>
        <w:pStyle w:val="FootnoteText"/>
      </w:pPr>
      <w:r>
        <w:rPr>
          <w:rStyle w:val="FootnoteReference"/>
        </w:rPr>
        <w:footnoteRef/>
      </w:r>
      <w:r>
        <w:t xml:space="preserve"> </w:t>
      </w:r>
      <w:r w:rsidRPr="00FF5958">
        <w:t>Huang KL, Wang SY, Lu WC, Chang YH, Su J, Lu YT. Effects of low-dose computed tomography on lung cancer screening: A systematic review, meta-analysis, and trial sequential analysis. BMC Pulmonary Medicine. 2019;19(1).</w:t>
      </w:r>
    </w:p>
  </w:footnote>
  <w:footnote w:id="43">
    <w:p w14:paraId="05D00C3F" w14:textId="3C60F046" w:rsidR="005D5B67" w:rsidRDefault="005D5B67">
      <w:pPr>
        <w:pStyle w:val="FootnoteText"/>
      </w:pPr>
      <w:r>
        <w:rPr>
          <w:rStyle w:val="FootnoteReference"/>
        </w:rPr>
        <w:footnoteRef/>
      </w:r>
      <w:r>
        <w:t xml:space="preserve"> </w:t>
      </w:r>
      <w:r w:rsidRPr="00065F04">
        <w:t>Sadate A, Occean BV, Beregi JP, Hamard A, Addala T, de Forges H, Fabbro-Peray P, Frandon J. Systematic review and meta-analysis on the impact of lung cancer screening by low-dose computed tomography. Eur J Cancer. 2020 Jul;134:107-14.</w:t>
      </w:r>
    </w:p>
  </w:footnote>
  <w:footnote w:id="44">
    <w:p w14:paraId="10DE520F" w14:textId="671D409F" w:rsidR="005D5B67" w:rsidRDefault="005D5B67" w:rsidP="00FE0FE4">
      <w:pPr>
        <w:pStyle w:val="FootnoteText"/>
      </w:pPr>
      <w:r>
        <w:rPr>
          <w:rStyle w:val="FootnoteReference"/>
        </w:rPr>
        <w:footnoteRef/>
      </w:r>
      <w:r>
        <w:t xml:space="preserve"> Brodersen J., Voss T., Martiny F., et al. Overdiagnosis of lung cancer with low-dose computed tomography screening: meta-analysis of the randomised clinical trials. Breathe 2020 16: 200013.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BB22" w14:textId="77777777" w:rsidR="00447549" w:rsidRDefault="00447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067E" w14:textId="77777777" w:rsidR="00447549" w:rsidRDefault="00447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D530" w14:textId="77777777" w:rsidR="00447549" w:rsidRDefault="00447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E92"/>
    <w:multiLevelType w:val="hybridMultilevel"/>
    <w:tmpl w:val="04520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47CED"/>
    <w:multiLevelType w:val="hybridMultilevel"/>
    <w:tmpl w:val="D31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F226C"/>
    <w:multiLevelType w:val="hybridMultilevel"/>
    <w:tmpl w:val="7AD25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51DB2"/>
    <w:multiLevelType w:val="hybridMultilevel"/>
    <w:tmpl w:val="C9A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5A441A3"/>
    <w:multiLevelType w:val="hybridMultilevel"/>
    <w:tmpl w:val="8D4A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3120B"/>
    <w:multiLevelType w:val="hybridMultilevel"/>
    <w:tmpl w:val="D5DAB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52D76"/>
    <w:multiLevelType w:val="hybridMultilevel"/>
    <w:tmpl w:val="AA6C8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0E3E4B"/>
    <w:multiLevelType w:val="hybridMultilevel"/>
    <w:tmpl w:val="F0EC2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51FB3"/>
    <w:multiLevelType w:val="hybridMultilevel"/>
    <w:tmpl w:val="78386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D624FE"/>
    <w:multiLevelType w:val="hybridMultilevel"/>
    <w:tmpl w:val="B3DA2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F51E00"/>
    <w:multiLevelType w:val="hybridMultilevel"/>
    <w:tmpl w:val="E7FA1C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7F758D"/>
    <w:multiLevelType w:val="hybridMultilevel"/>
    <w:tmpl w:val="E2C0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F3901"/>
    <w:multiLevelType w:val="hybridMultilevel"/>
    <w:tmpl w:val="F76479C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1872BC"/>
    <w:multiLevelType w:val="hybridMultilevel"/>
    <w:tmpl w:val="E3A866E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1D6874"/>
    <w:multiLevelType w:val="hybridMultilevel"/>
    <w:tmpl w:val="F47A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91345D"/>
    <w:multiLevelType w:val="hybridMultilevel"/>
    <w:tmpl w:val="33D85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F6F8D"/>
    <w:multiLevelType w:val="hybridMultilevel"/>
    <w:tmpl w:val="A71C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6"/>
  </w:num>
  <w:num w:numId="2">
    <w:abstractNumId w:val="26"/>
  </w:num>
  <w:num w:numId="3">
    <w:abstractNumId w:val="1"/>
  </w:num>
  <w:num w:numId="4">
    <w:abstractNumId w:val="5"/>
  </w:num>
  <w:num w:numId="5">
    <w:abstractNumId w:val="25"/>
  </w:num>
  <w:num w:numId="6">
    <w:abstractNumId w:val="7"/>
  </w:num>
  <w:num w:numId="7">
    <w:abstractNumId w:val="12"/>
  </w:num>
  <w:num w:numId="8">
    <w:abstractNumId w:val="13"/>
  </w:num>
  <w:num w:numId="9">
    <w:abstractNumId w:val="14"/>
  </w:num>
  <w:num w:numId="10">
    <w:abstractNumId w:val="20"/>
  </w:num>
  <w:num w:numId="11">
    <w:abstractNumId w:val="22"/>
  </w:num>
  <w:num w:numId="12">
    <w:abstractNumId w:val="10"/>
  </w:num>
  <w:num w:numId="13">
    <w:abstractNumId w:val="15"/>
  </w:num>
  <w:num w:numId="14">
    <w:abstractNumId w:val="8"/>
  </w:num>
  <w:num w:numId="15">
    <w:abstractNumId w:val="2"/>
  </w:num>
  <w:num w:numId="16">
    <w:abstractNumId w:val="21"/>
  </w:num>
  <w:num w:numId="17">
    <w:abstractNumId w:val="24"/>
  </w:num>
  <w:num w:numId="18">
    <w:abstractNumId w:val="6"/>
  </w:num>
  <w:num w:numId="19">
    <w:abstractNumId w:val="18"/>
  </w:num>
  <w:num w:numId="20">
    <w:abstractNumId w:val="17"/>
  </w:num>
  <w:num w:numId="21">
    <w:abstractNumId w:val="4"/>
  </w:num>
  <w:num w:numId="22">
    <w:abstractNumId w:val="9"/>
  </w:num>
  <w:num w:numId="23">
    <w:abstractNumId w:val="19"/>
  </w:num>
  <w:num w:numId="24">
    <w:abstractNumId w:val="11"/>
  </w:num>
  <w:num w:numId="25">
    <w:abstractNumId w:val="23"/>
  </w:num>
  <w:num w:numId="26">
    <w:abstractNumId w:val="0"/>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8D7"/>
    <w:rsid w:val="0000109A"/>
    <w:rsid w:val="00001AE6"/>
    <w:rsid w:val="00001D55"/>
    <w:rsid w:val="00002DE4"/>
    <w:rsid w:val="0000424A"/>
    <w:rsid w:val="00004D69"/>
    <w:rsid w:val="00004F7F"/>
    <w:rsid w:val="000054C9"/>
    <w:rsid w:val="00010DC3"/>
    <w:rsid w:val="00011568"/>
    <w:rsid w:val="00012C19"/>
    <w:rsid w:val="00014974"/>
    <w:rsid w:val="00014ADB"/>
    <w:rsid w:val="00014BBC"/>
    <w:rsid w:val="000228B8"/>
    <w:rsid w:val="0002381B"/>
    <w:rsid w:val="00024304"/>
    <w:rsid w:val="00024EA5"/>
    <w:rsid w:val="0002755F"/>
    <w:rsid w:val="000310CB"/>
    <w:rsid w:val="000315F0"/>
    <w:rsid w:val="000320CB"/>
    <w:rsid w:val="00033AFC"/>
    <w:rsid w:val="00033B83"/>
    <w:rsid w:val="0003423A"/>
    <w:rsid w:val="0003477F"/>
    <w:rsid w:val="0003502C"/>
    <w:rsid w:val="000368BE"/>
    <w:rsid w:val="00036AD8"/>
    <w:rsid w:val="00037037"/>
    <w:rsid w:val="00037302"/>
    <w:rsid w:val="0003761E"/>
    <w:rsid w:val="0004005D"/>
    <w:rsid w:val="00040ADF"/>
    <w:rsid w:val="00040FB4"/>
    <w:rsid w:val="0004178C"/>
    <w:rsid w:val="00041F5D"/>
    <w:rsid w:val="000443A6"/>
    <w:rsid w:val="000449D1"/>
    <w:rsid w:val="00045B8D"/>
    <w:rsid w:val="00045CC5"/>
    <w:rsid w:val="00046B6A"/>
    <w:rsid w:val="000472D4"/>
    <w:rsid w:val="000508CF"/>
    <w:rsid w:val="000527C6"/>
    <w:rsid w:val="00052DD3"/>
    <w:rsid w:val="0005326D"/>
    <w:rsid w:val="00053F6C"/>
    <w:rsid w:val="00057111"/>
    <w:rsid w:val="00061600"/>
    <w:rsid w:val="0006339C"/>
    <w:rsid w:val="0006385C"/>
    <w:rsid w:val="00063C88"/>
    <w:rsid w:val="00064783"/>
    <w:rsid w:val="000647C2"/>
    <w:rsid w:val="00065F04"/>
    <w:rsid w:val="00066739"/>
    <w:rsid w:val="0006680C"/>
    <w:rsid w:val="0007021F"/>
    <w:rsid w:val="000709A0"/>
    <w:rsid w:val="00074199"/>
    <w:rsid w:val="000768D7"/>
    <w:rsid w:val="00077D06"/>
    <w:rsid w:val="00080241"/>
    <w:rsid w:val="00081778"/>
    <w:rsid w:val="000817A5"/>
    <w:rsid w:val="000851EA"/>
    <w:rsid w:val="000870B6"/>
    <w:rsid w:val="000904AB"/>
    <w:rsid w:val="00090613"/>
    <w:rsid w:val="00090BD1"/>
    <w:rsid w:val="00091857"/>
    <w:rsid w:val="00091C59"/>
    <w:rsid w:val="000925C9"/>
    <w:rsid w:val="00092A21"/>
    <w:rsid w:val="00093D9A"/>
    <w:rsid w:val="00094656"/>
    <w:rsid w:val="0009659F"/>
    <w:rsid w:val="00096B52"/>
    <w:rsid w:val="00097442"/>
    <w:rsid w:val="00097935"/>
    <w:rsid w:val="000A10BF"/>
    <w:rsid w:val="000A2ACD"/>
    <w:rsid w:val="000A2B65"/>
    <w:rsid w:val="000A2DA8"/>
    <w:rsid w:val="000A3F81"/>
    <w:rsid w:val="000A5C47"/>
    <w:rsid w:val="000A629E"/>
    <w:rsid w:val="000A6B30"/>
    <w:rsid w:val="000B2534"/>
    <w:rsid w:val="000B2BFB"/>
    <w:rsid w:val="000B3330"/>
    <w:rsid w:val="000B5A75"/>
    <w:rsid w:val="000B6CF0"/>
    <w:rsid w:val="000B720C"/>
    <w:rsid w:val="000B7665"/>
    <w:rsid w:val="000C2C2B"/>
    <w:rsid w:val="000C455D"/>
    <w:rsid w:val="000C7C46"/>
    <w:rsid w:val="000D046A"/>
    <w:rsid w:val="000D10D8"/>
    <w:rsid w:val="000D1B52"/>
    <w:rsid w:val="000D1C01"/>
    <w:rsid w:val="000D4C1B"/>
    <w:rsid w:val="000D5523"/>
    <w:rsid w:val="000E0289"/>
    <w:rsid w:val="000E03DC"/>
    <w:rsid w:val="000E1124"/>
    <w:rsid w:val="000E2B41"/>
    <w:rsid w:val="000E3E1D"/>
    <w:rsid w:val="000E5531"/>
    <w:rsid w:val="000E5896"/>
    <w:rsid w:val="000E6410"/>
    <w:rsid w:val="000E678B"/>
    <w:rsid w:val="000F00FC"/>
    <w:rsid w:val="000F28F8"/>
    <w:rsid w:val="000F2E01"/>
    <w:rsid w:val="000F5A54"/>
    <w:rsid w:val="000F7987"/>
    <w:rsid w:val="000F7FB7"/>
    <w:rsid w:val="0010051C"/>
    <w:rsid w:val="00103C5E"/>
    <w:rsid w:val="0010448B"/>
    <w:rsid w:val="0010521F"/>
    <w:rsid w:val="0010625A"/>
    <w:rsid w:val="00107524"/>
    <w:rsid w:val="00107DCD"/>
    <w:rsid w:val="00107EF0"/>
    <w:rsid w:val="00110823"/>
    <w:rsid w:val="00111417"/>
    <w:rsid w:val="00111657"/>
    <w:rsid w:val="00112C9C"/>
    <w:rsid w:val="001138E1"/>
    <w:rsid w:val="00113C60"/>
    <w:rsid w:val="00113EC1"/>
    <w:rsid w:val="00114C3B"/>
    <w:rsid w:val="00115691"/>
    <w:rsid w:val="00117039"/>
    <w:rsid w:val="00117F04"/>
    <w:rsid w:val="001202BE"/>
    <w:rsid w:val="00120BD3"/>
    <w:rsid w:val="001213DD"/>
    <w:rsid w:val="00122AE3"/>
    <w:rsid w:val="00122EE1"/>
    <w:rsid w:val="00123658"/>
    <w:rsid w:val="001237AF"/>
    <w:rsid w:val="001247EB"/>
    <w:rsid w:val="00124F3C"/>
    <w:rsid w:val="00125B61"/>
    <w:rsid w:val="00126122"/>
    <w:rsid w:val="00126905"/>
    <w:rsid w:val="00131D45"/>
    <w:rsid w:val="00131E27"/>
    <w:rsid w:val="001320F0"/>
    <w:rsid w:val="001336E0"/>
    <w:rsid w:val="00133F34"/>
    <w:rsid w:val="00135273"/>
    <w:rsid w:val="00135FC9"/>
    <w:rsid w:val="0014141B"/>
    <w:rsid w:val="00141EBB"/>
    <w:rsid w:val="00143478"/>
    <w:rsid w:val="00143F2F"/>
    <w:rsid w:val="00144E36"/>
    <w:rsid w:val="00146624"/>
    <w:rsid w:val="00147560"/>
    <w:rsid w:val="00150376"/>
    <w:rsid w:val="00151DBD"/>
    <w:rsid w:val="001531D6"/>
    <w:rsid w:val="00153E80"/>
    <w:rsid w:val="00155434"/>
    <w:rsid w:val="00155BDA"/>
    <w:rsid w:val="00156FA7"/>
    <w:rsid w:val="0016023A"/>
    <w:rsid w:val="001617A8"/>
    <w:rsid w:val="00162B3F"/>
    <w:rsid w:val="00162DBF"/>
    <w:rsid w:val="00162FEE"/>
    <w:rsid w:val="001637E9"/>
    <w:rsid w:val="00164CF8"/>
    <w:rsid w:val="001653AE"/>
    <w:rsid w:val="00170D5B"/>
    <w:rsid w:val="00172B8F"/>
    <w:rsid w:val="001736B4"/>
    <w:rsid w:val="001736F8"/>
    <w:rsid w:val="00173AE2"/>
    <w:rsid w:val="00173D85"/>
    <w:rsid w:val="00174FD4"/>
    <w:rsid w:val="001813B1"/>
    <w:rsid w:val="00182822"/>
    <w:rsid w:val="00183511"/>
    <w:rsid w:val="00184BAE"/>
    <w:rsid w:val="00185E74"/>
    <w:rsid w:val="0019362A"/>
    <w:rsid w:val="00193ECB"/>
    <w:rsid w:val="0019474E"/>
    <w:rsid w:val="00195728"/>
    <w:rsid w:val="001970C0"/>
    <w:rsid w:val="001A1987"/>
    <w:rsid w:val="001A1CB7"/>
    <w:rsid w:val="001A420B"/>
    <w:rsid w:val="001A4B97"/>
    <w:rsid w:val="001A4F7D"/>
    <w:rsid w:val="001A7B42"/>
    <w:rsid w:val="001A7D8F"/>
    <w:rsid w:val="001B0B2A"/>
    <w:rsid w:val="001B2A97"/>
    <w:rsid w:val="001B2CD4"/>
    <w:rsid w:val="001B37E9"/>
    <w:rsid w:val="001B7329"/>
    <w:rsid w:val="001C174A"/>
    <w:rsid w:val="001C1D05"/>
    <w:rsid w:val="001C2A48"/>
    <w:rsid w:val="001C2F28"/>
    <w:rsid w:val="001C69E3"/>
    <w:rsid w:val="001C6DFD"/>
    <w:rsid w:val="001D32C0"/>
    <w:rsid w:val="001D3A64"/>
    <w:rsid w:val="001D4FA8"/>
    <w:rsid w:val="001D5793"/>
    <w:rsid w:val="001D74A7"/>
    <w:rsid w:val="001E047E"/>
    <w:rsid w:val="001E15F2"/>
    <w:rsid w:val="001E22F7"/>
    <w:rsid w:val="001E3140"/>
    <w:rsid w:val="001E3AF9"/>
    <w:rsid w:val="001E465F"/>
    <w:rsid w:val="001F0E04"/>
    <w:rsid w:val="001F2902"/>
    <w:rsid w:val="001F3891"/>
    <w:rsid w:val="001F3F36"/>
    <w:rsid w:val="001F658C"/>
    <w:rsid w:val="001F675C"/>
    <w:rsid w:val="001F6F44"/>
    <w:rsid w:val="001F7563"/>
    <w:rsid w:val="0020058D"/>
    <w:rsid w:val="0020111C"/>
    <w:rsid w:val="00204491"/>
    <w:rsid w:val="00207F59"/>
    <w:rsid w:val="00211DC3"/>
    <w:rsid w:val="00212252"/>
    <w:rsid w:val="002155B6"/>
    <w:rsid w:val="002157E4"/>
    <w:rsid w:val="00215AFB"/>
    <w:rsid w:val="00215DEA"/>
    <w:rsid w:val="002200D8"/>
    <w:rsid w:val="00220292"/>
    <w:rsid w:val="002206AB"/>
    <w:rsid w:val="00223664"/>
    <w:rsid w:val="00223A56"/>
    <w:rsid w:val="00225833"/>
    <w:rsid w:val="00226095"/>
    <w:rsid w:val="00227B89"/>
    <w:rsid w:val="00227F43"/>
    <w:rsid w:val="00231363"/>
    <w:rsid w:val="00234640"/>
    <w:rsid w:val="0023649B"/>
    <w:rsid w:val="00240106"/>
    <w:rsid w:val="002411C7"/>
    <w:rsid w:val="002419C1"/>
    <w:rsid w:val="00241AD7"/>
    <w:rsid w:val="00242549"/>
    <w:rsid w:val="00242F4E"/>
    <w:rsid w:val="002452A0"/>
    <w:rsid w:val="002463A6"/>
    <w:rsid w:val="00246ADB"/>
    <w:rsid w:val="0025100D"/>
    <w:rsid w:val="002517A5"/>
    <w:rsid w:val="00251F6C"/>
    <w:rsid w:val="0025249C"/>
    <w:rsid w:val="002539ED"/>
    <w:rsid w:val="00253A14"/>
    <w:rsid w:val="0025440D"/>
    <w:rsid w:val="0025450E"/>
    <w:rsid w:val="00255152"/>
    <w:rsid w:val="0025554E"/>
    <w:rsid w:val="00262FCE"/>
    <w:rsid w:val="002638F4"/>
    <w:rsid w:val="0027160C"/>
    <w:rsid w:val="00271A7C"/>
    <w:rsid w:val="002751D1"/>
    <w:rsid w:val="00275209"/>
    <w:rsid w:val="002804C3"/>
    <w:rsid w:val="002823B4"/>
    <w:rsid w:val="00284340"/>
    <w:rsid w:val="00287E78"/>
    <w:rsid w:val="00290676"/>
    <w:rsid w:val="00291462"/>
    <w:rsid w:val="00291572"/>
    <w:rsid w:val="002953C7"/>
    <w:rsid w:val="00295D7A"/>
    <w:rsid w:val="002A04B4"/>
    <w:rsid w:val="002A051E"/>
    <w:rsid w:val="002A0DAE"/>
    <w:rsid w:val="002A0E52"/>
    <w:rsid w:val="002A145B"/>
    <w:rsid w:val="002A18BE"/>
    <w:rsid w:val="002A36F6"/>
    <w:rsid w:val="002A4084"/>
    <w:rsid w:val="002A4AD6"/>
    <w:rsid w:val="002A7196"/>
    <w:rsid w:val="002A76AE"/>
    <w:rsid w:val="002B057B"/>
    <w:rsid w:val="002B1384"/>
    <w:rsid w:val="002B3681"/>
    <w:rsid w:val="002B4929"/>
    <w:rsid w:val="002B667C"/>
    <w:rsid w:val="002B6C52"/>
    <w:rsid w:val="002B7FE2"/>
    <w:rsid w:val="002C11CA"/>
    <w:rsid w:val="002C278F"/>
    <w:rsid w:val="002C34DE"/>
    <w:rsid w:val="002C45E8"/>
    <w:rsid w:val="002C4AD2"/>
    <w:rsid w:val="002C70CE"/>
    <w:rsid w:val="002D05BC"/>
    <w:rsid w:val="002D13FC"/>
    <w:rsid w:val="002D4FA2"/>
    <w:rsid w:val="002D5097"/>
    <w:rsid w:val="002D55E4"/>
    <w:rsid w:val="002D690D"/>
    <w:rsid w:val="002E048A"/>
    <w:rsid w:val="002E07B7"/>
    <w:rsid w:val="002E26CE"/>
    <w:rsid w:val="002E63BE"/>
    <w:rsid w:val="002E7775"/>
    <w:rsid w:val="002E7AD2"/>
    <w:rsid w:val="002F1399"/>
    <w:rsid w:val="002F32FB"/>
    <w:rsid w:val="002F5049"/>
    <w:rsid w:val="002F5611"/>
    <w:rsid w:val="002F5F5E"/>
    <w:rsid w:val="002F5F85"/>
    <w:rsid w:val="002F693F"/>
    <w:rsid w:val="002F6A50"/>
    <w:rsid w:val="003008CC"/>
    <w:rsid w:val="00301763"/>
    <w:rsid w:val="00302252"/>
    <w:rsid w:val="00303C60"/>
    <w:rsid w:val="003045CA"/>
    <w:rsid w:val="00304FB8"/>
    <w:rsid w:val="00307299"/>
    <w:rsid w:val="00310B9B"/>
    <w:rsid w:val="00310C3F"/>
    <w:rsid w:val="00311173"/>
    <w:rsid w:val="00312500"/>
    <w:rsid w:val="003140D2"/>
    <w:rsid w:val="00315B45"/>
    <w:rsid w:val="00317714"/>
    <w:rsid w:val="00320A17"/>
    <w:rsid w:val="00322DA9"/>
    <w:rsid w:val="00323AF6"/>
    <w:rsid w:val="00323FDC"/>
    <w:rsid w:val="003251C2"/>
    <w:rsid w:val="00325FA0"/>
    <w:rsid w:val="00326F1C"/>
    <w:rsid w:val="00327162"/>
    <w:rsid w:val="00330A0A"/>
    <w:rsid w:val="003328A9"/>
    <w:rsid w:val="003371B5"/>
    <w:rsid w:val="00337BAF"/>
    <w:rsid w:val="00340341"/>
    <w:rsid w:val="003417B8"/>
    <w:rsid w:val="003417CB"/>
    <w:rsid w:val="0034245D"/>
    <w:rsid w:val="003429AF"/>
    <w:rsid w:val="003435A9"/>
    <w:rsid w:val="00344649"/>
    <w:rsid w:val="00345496"/>
    <w:rsid w:val="00345BCF"/>
    <w:rsid w:val="003466F9"/>
    <w:rsid w:val="00350092"/>
    <w:rsid w:val="003519AD"/>
    <w:rsid w:val="00351E0E"/>
    <w:rsid w:val="00352057"/>
    <w:rsid w:val="0035256B"/>
    <w:rsid w:val="0035367F"/>
    <w:rsid w:val="003539E5"/>
    <w:rsid w:val="00354EB4"/>
    <w:rsid w:val="003567D0"/>
    <w:rsid w:val="00356D29"/>
    <w:rsid w:val="003571C2"/>
    <w:rsid w:val="0036381B"/>
    <w:rsid w:val="003640A7"/>
    <w:rsid w:val="00364119"/>
    <w:rsid w:val="00365447"/>
    <w:rsid w:val="00365F66"/>
    <w:rsid w:val="0036794E"/>
    <w:rsid w:val="00371D81"/>
    <w:rsid w:val="0037540A"/>
    <w:rsid w:val="00377013"/>
    <w:rsid w:val="0038093D"/>
    <w:rsid w:val="0038146C"/>
    <w:rsid w:val="00382609"/>
    <w:rsid w:val="00382C3E"/>
    <w:rsid w:val="00383C7D"/>
    <w:rsid w:val="00383E98"/>
    <w:rsid w:val="00386124"/>
    <w:rsid w:val="003864D5"/>
    <w:rsid w:val="00390567"/>
    <w:rsid w:val="003966F6"/>
    <w:rsid w:val="0039677D"/>
    <w:rsid w:val="00396789"/>
    <w:rsid w:val="003A0660"/>
    <w:rsid w:val="003A0D52"/>
    <w:rsid w:val="003A261B"/>
    <w:rsid w:val="003A2ED1"/>
    <w:rsid w:val="003A350D"/>
    <w:rsid w:val="003A379C"/>
    <w:rsid w:val="003A4C47"/>
    <w:rsid w:val="003A6724"/>
    <w:rsid w:val="003A6E1A"/>
    <w:rsid w:val="003A6EAF"/>
    <w:rsid w:val="003A741B"/>
    <w:rsid w:val="003B0BA1"/>
    <w:rsid w:val="003B26F7"/>
    <w:rsid w:val="003B4599"/>
    <w:rsid w:val="003B61B7"/>
    <w:rsid w:val="003B72A4"/>
    <w:rsid w:val="003C135E"/>
    <w:rsid w:val="003C1AE2"/>
    <w:rsid w:val="003C2971"/>
    <w:rsid w:val="003C4F8F"/>
    <w:rsid w:val="003C6B59"/>
    <w:rsid w:val="003D299E"/>
    <w:rsid w:val="003D55E1"/>
    <w:rsid w:val="003D641A"/>
    <w:rsid w:val="003D71EB"/>
    <w:rsid w:val="003E22CB"/>
    <w:rsid w:val="003E2343"/>
    <w:rsid w:val="003E3092"/>
    <w:rsid w:val="003E3A2E"/>
    <w:rsid w:val="003E406B"/>
    <w:rsid w:val="003E4F96"/>
    <w:rsid w:val="003E5CCA"/>
    <w:rsid w:val="003E7773"/>
    <w:rsid w:val="003F115E"/>
    <w:rsid w:val="003F14C2"/>
    <w:rsid w:val="003F2210"/>
    <w:rsid w:val="003F4776"/>
    <w:rsid w:val="003F4910"/>
    <w:rsid w:val="003F535C"/>
    <w:rsid w:val="003F7196"/>
    <w:rsid w:val="003F7FAD"/>
    <w:rsid w:val="004008AF"/>
    <w:rsid w:val="00400B5F"/>
    <w:rsid w:val="00401DBF"/>
    <w:rsid w:val="004033D9"/>
    <w:rsid w:val="004037B5"/>
    <w:rsid w:val="00403AC9"/>
    <w:rsid w:val="004041FA"/>
    <w:rsid w:val="00404A94"/>
    <w:rsid w:val="0040551F"/>
    <w:rsid w:val="00405584"/>
    <w:rsid w:val="0040771F"/>
    <w:rsid w:val="0041025E"/>
    <w:rsid w:val="0041031B"/>
    <w:rsid w:val="004111F7"/>
    <w:rsid w:val="0041217D"/>
    <w:rsid w:val="004125C6"/>
    <w:rsid w:val="0041275F"/>
    <w:rsid w:val="00416BAC"/>
    <w:rsid w:val="004209F9"/>
    <w:rsid w:val="00421A89"/>
    <w:rsid w:val="00421EBC"/>
    <w:rsid w:val="004222A9"/>
    <w:rsid w:val="0042304B"/>
    <w:rsid w:val="00424084"/>
    <w:rsid w:val="00424712"/>
    <w:rsid w:val="00424DE6"/>
    <w:rsid w:val="00425A4A"/>
    <w:rsid w:val="00425E28"/>
    <w:rsid w:val="004273AD"/>
    <w:rsid w:val="004275C4"/>
    <w:rsid w:val="0043016F"/>
    <w:rsid w:val="004305AE"/>
    <w:rsid w:val="00431800"/>
    <w:rsid w:val="0043324D"/>
    <w:rsid w:val="00433541"/>
    <w:rsid w:val="00433A78"/>
    <w:rsid w:val="00436514"/>
    <w:rsid w:val="00436840"/>
    <w:rsid w:val="004423F7"/>
    <w:rsid w:val="00442A49"/>
    <w:rsid w:val="0044690B"/>
    <w:rsid w:val="00446BBE"/>
    <w:rsid w:val="00447250"/>
    <w:rsid w:val="00447549"/>
    <w:rsid w:val="0044782C"/>
    <w:rsid w:val="0045093D"/>
    <w:rsid w:val="00451645"/>
    <w:rsid w:val="00452883"/>
    <w:rsid w:val="00453D23"/>
    <w:rsid w:val="00454F8E"/>
    <w:rsid w:val="00454FFA"/>
    <w:rsid w:val="00455B96"/>
    <w:rsid w:val="00462778"/>
    <w:rsid w:val="00464F6C"/>
    <w:rsid w:val="0046597A"/>
    <w:rsid w:val="004661A4"/>
    <w:rsid w:val="00466507"/>
    <w:rsid w:val="00470E5B"/>
    <w:rsid w:val="00471D0D"/>
    <w:rsid w:val="00474E01"/>
    <w:rsid w:val="00480766"/>
    <w:rsid w:val="00482804"/>
    <w:rsid w:val="00482B47"/>
    <w:rsid w:val="0048323E"/>
    <w:rsid w:val="00484DC5"/>
    <w:rsid w:val="00485675"/>
    <w:rsid w:val="00486F7A"/>
    <w:rsid w:val="00487C85"/>
    <w:rsid w:val="00490DC4"/>
    <w:rsid w:val="00494F64"/>
    <w:rsid w:val="00496599"/>
    <w:rsid w:val="00497B1D"/>
    <w:rsid w:val="00497B9F"/>
    <w:rsid w:val="004A2084"/>
    <w:rsid w:val="004A4430"/>
    <w:rsid w:val="004A4FDF"/>
    <w:rsid w:val="004A5489"/>
    <w:rsid w:val="004A5E73"/>
    <w:rsid w:val="004A69AE"/>
    <w:rsid w:val="004A7A52"/>
    <w:rsid w:val="004B19FE"/>
    <w:rsid w:val="004B2A4D"/>
    <w:rsid w:val="004B2BEA"/>
    <w:rsid w:val="004B2F45"/>
    <w:rsid w:val="004B33C2"/>
    <w:rsid w:val="004B4214"/>
    <w:rsid w:val="004B6031"/>
    <w:rsid w:val="004B689D"/>
    <w:rsid w:val="004C0C82"/>
    <w:rsid w:val="004C0E97"/>
    <w:rsid w:val="004C48C8"/>
    <w:rsid w:val="004C598D"/>
    <w:rsid w:val="004C7402"/>
    <w:rsid w:val="004D04CC"/>
    <w:rsid w:val="004D1355"/>
    <w:rsid w:val="004D16BA"/>
    <w:rsid w:val="004D1E20"/>
    <w:rsid w:val="004D30B6"/>
    <w:rsid w:val="004D3897"/>
    <w:rsid w:val="004D4425"/>
    <w:rsid w:val="004E0812"/>
    <w:rsid w:val="004E2BD6"/>
    <w:rsid w:val="004E37B8"/>
    <w:rsid w:val="004E3B6F"/>
    <w:rsid w:val="004E3EE1"/>
    <w:rsid w:val="004E5385"/>
    <w:rsid w:val="004E7D0B"/>
    <w:rsid w:val="004F0025"/>
    <w:rsid w:val="004F239B"/>
    <w:rsid w:val="004F3648"/>
    <w:rsid w:val="004F6AD3"/>
    <w:rsid w:val="00501386"/>
    <w:rsid w:val="00501619"/>
    <w:rsid w:val="00501BD9"/>
    <w:rsid w:val="00501C25"/>
    <w:rsid w:val="00502453"/>
    <w:rsid w:val="005027A6"/>
    <w:rsid w:val="00502DAE"/>
    <w:rsid w:val="00502FF6"/>
    <w:rsid w:val="00502FFB"/>
    <w:rsid w:val="00503775"/>
    <w:rsid w:val="005038A0"/>
    <w:rsid w:val="00503AFB"/>
    <w:rsid w:val="005049B2"/>
    <w:rsid w:val="00504A82"/>
    <w:rsid w:val="00505E19"/>
    <w:rsid w:val="00510335"/>
    <w:rsid w:val="005103C5"/>
    <w:rsid w:val="00512290"/>
    <w:rsid w:val="005131D3"/>
    <w:rsid w:val="0051352C"/>
    <w:rsid w:val="00514FC2"/>
    <w:rsid w:val="00515BFA"/>
    <w:rsid w:val="00517A86"/>
    <w:rsid w:val="0052349D"/>
    <w:rsid w:val="00524BE8"/>
    <w:rsid w:val="00524D04"/>
    <w:rsid w:val="0052547A"/>
    <w:rsid w:val="0052575D"/>
    <w:rsid w:val="00526775"/>
    <w:rsid w:val="00526C92"/>
    <w:rsid w:val="005275FC"/>
    <w:rsid w:val="0052768C"/>
    <w:rsid w:val="00530896"/>
    <w:rsid w:val="005310AF"/>
    <w:rsid w:val="005342C3"/>
    <w:rsid w:val="00535350"/>
    <w:rsid w:val="005362F5"/>
    <w:rsid w:val="0053681B"/>
    <w:rsid w:val="0053725B"/>
    <w:rsid w:val="00540C57"/>
    <w:rsid w:val="00542563"/>
    <w:rsid w:val="0054263F"/>
    <w:rsid w:val="0054518A"/>
    <w:rsid w:val="005476A0"/>
    <w:rsid w:val="0055015F"/>
    <w:rsid w:val="005531BD"/>
    <w:rsid w:val="00555D45"/>
    <w:rsid w:val="0055617B"/>
    <w:rsid w:val="00556741"/>
    <w:rsid w:val="005567B2"/>
    <w:rsid w:val="005569E2"/>
    <w:rsid w:val="00557870"/>
    <w:rsid w:val="00560277"/>
    <w:rsid w:val="00560938"/>
    <w:rsid w:val="00560AF1"/>
    <w:rsid w:val="00561562"/>
    <w:rsid w:val="00563DE6"/>
    <w:rsid w:val="00564602"/>
    <w:rsid w:val="0056528D"/>
    <w:rsid w:val="0056531C"/>
    <w:rsid w:val="00566100"/>
    <w:rsid w:val="0056628B"/>
    <w:rsid w:val="00566298"/>
    <w:rsid w:val="0056693E"/>
    <w:rsid w:val="0057091E"/>
    <w:rsid w:val="00571900"/>
    <w:rsid w:val="00572316"/>
    <w:rsid w:val="005723D6"/>
    <w:rsid w:val="005746D8"/>
    <w:rsid w:val="00574A6E"/>
    <w:rsid w:val="00576608"/>
    <w:rsid w:val="00577145"/>
    <w:rsid w:val="005773BE"/>
    <w:rsid w:val="00582365"/>
    <w:rsid w:val="00585C1B"/>
    <w:rsid w:val="00587639"/>
    <w:rsid w:val="005908F4"/>
    <w:rsid w:val="00592638"/>
    <w:rsid w:val="00593138"/>
    <w:rsid w:val="00593A33"/>
    <w:rsid w:val="00593A96"/>
    <w:rsid w:val="005947B5"/>
    <w:rsid w:val="005960BB"/>
    <w:rsid w:val="00597407"/>
    <w:rsid w:val="005A0496"/>
    <w:rsid w:val="005A4047"/>
    <w:rsid w:val="005A4384"/>
    <w:rsid w:val="005A4A51"/>
    <w:rsid w:val="005A7012"/>
    <w:rsid w:val="005A7A5E"/>
    <w:rsid w:val="005B12B1"/>
    <w:rsid w:val="005B1C07"/>
    <w:rsid w:val="005B3432"/>
    <w:rsid w:val="005B3BD6"/>
    <w:rsid w:val="005B3DFD"/>
    <w:rsid w:val="005B73B0"/>
    <w:rsid w:val="005B7D6C"/>
    <w:rsid w:val="005C2B75"/>
    <w:rsid w:val="005C6820"/>
    <w:rsid w:val="005C6B23"/>
    <w:rsid w:val="005C7215"/>
    <w:rsid w:val="005C73C4"/>
    <w:rsid w:val="005C7E25"/>
    <w:rsid w:val="005D00EA"/>
    <w:rsid w:val="005D023B"/>
    <w:rsid w:val="005D02C4"/>
    <w:rsid w:val="005D05E5"/>
    <w:rsid w:val="005D2304"/>
    <w:rsid w:val="005D2EE4"/>
    <w:rsid w:val="005D3A04"/>
    <w:rsid w:val="005D48FE"/>
    <w:rsid w:val="005D5B67"/>
    <w:rsid w:val="005D7471"/>
    <w:rsid w:val="005D749D"/>
    <w:rsid w:val="005D7B86"/>
    <w:rsid w:val="005E0211"/>
    <w:rsid w:val="005E2702"/>
    <w:rsid w:val="005E5874"/>
    <w:rsid w:val="005E5E5B"/>
    <w:rsid w:val="005E72BF"/>
    <w:rsid w:val="005E75D5"/>
    <w:rsid w:val="005F0886"/>
    <w:rsid w:val="005F1555"/>
    <w:rsid w:val="005F1DB6"/>
    <w:rsid w:val="005F2978"/>
    <w:rsid w:val="005F3629"/>
    <w:rsid w:val="005F445D"/>
    <w:rsid w:val="005F4721"/>
    <w:rsid w:val="005F4FDC"/>
    <w:rsid w:val="005F55BF"/>
    <w:rsid w:val="005F720A"/>
    <w:rsid w:val="00602F43"/>
    <w:rsid w:val="006035BA"/>
    <w:rsid w:val="00603B08"/>
    <w:rsid w:val="00604F63"/>
    <w:rsid w:val="006050FE"/>
    <w:rsid w:val="00605776"/>
    <w:rsid w:val="00610162"/>
    <w:rsid w:val="00610ABA"/>
    <w:rsid w:val="00613037"/>
    <w:rsid w:val="006135AB"/>
    <w:rsid w:val="006138E4"/>
    <w:rsid w:val="006144F6"/>
    <w:rsid w:val="00616407"/>
    <w:rsid w:val="00620E5A"/>
    <w:rsid w:val="00623E68"/>
    <w:rsid w:val="00624A2F"/>
    <w:rsid w:val="006250E9"/>
    <w:rsid w:val="00633377"/>
    <w:rsid w:val="00633480"/>
    <w:rsid w:val="0063384D"/>
    <w:rsid w:val="00633B2F"/>
    <w:rsid w:val="00633C3E"/>
    <w:rsid w:val="00635D38"/>
    <w:rsid w:val="006366B6"/>
    <w:rsid w:val="00640C31"/>
    <w:rsid w:val="00641B7C"/>
    <w:rsid w:val="00643226"/>
    <w:rsid w:val="006459EF"/>
    <w:rsid w:val="006465F3"/>
    <w:rsid w:val="00650B79"/>
    <w:rsid w:val="00650EEE"/>
    <w:rsid w:val="006534BF"/>
    <w:rsid w:val="006537D7"/>
    <w:rsid w:val="0065444A"/>
    <w:rsid w:val="00654F68"/>
    <w:rsid w:val="00655CF9"/>
    <w:rsid w:val="00655D45"/>
    <w:rsid w:val="006565CD"/>
    <w:rsid w:val="0065714C"/>
    <w:rsid w:val="00660A74"/>
    <w:rsid w:val="00661958"/>
    <w:rsid w:val="00661CB2"/>
    <w:rsid w:val="00662E5F"/>
    <w:rsid w:val="00664434"/>
    <w:rsid w:val="00664FE5"/>
    <w:rsid w:val="00665210"/>
    <w:rsid w:val="0066561F"/>
    <w:rsid w:val="00665D55"/>
    <w:rsid w:val="00665FD9"/>
    <w:rsid w:val="00666A58"/>
    <w:rsid w:val="00670650"/>
    <w:rsid w:val="006712C0"/>
    <w:rsid w:val="00671F7D"/>
    <w:rsid w:val="00674365"/>
    <w:rsid w:val="006744AC"/>
    <w:rsid w:val="00674C7D"/>
    <w:rsid w:val="00675EAF"/>
    <w:rsid w:val="00680B40"/>
    <w:rsid w:val="00681EC9"/>
    <w:rsid w:val="006822FA"/>
    <w:rsid w:val="0068288C"/>
    <w:rsid w:val="00682B02"/>
    <w:rsid w:val="006834D1"/>
    <w:rsid w:val="00683511"/>
    <w:rsid w:val="00683F36"/>
    <w:rsid w:val="00685589"/>
    <w:rsid w:val="0068682C"/>
    <w:rsid w:val="00686CA0"/>
    <w:rsid w:val="00687E0B"/>
    <w:rsid w:val="00687F8E"/>
    <w:rsid w:val="006911A9"/>
    <w:rsid w:val="006919D2"/>
    <w:rsid w:val="006938AA"/>
    <w:rsid w:val="0069474B"/>
    <w:rsid w:val="0069475D"/>
    <w:rsid w:val="006964AB"/>
    <w:rsid w:val="00697966"/>
    <w:rsid w:val="006A0838"/>
    <w:rsid w:val="006A3A2B"/>
    <w:rsid w:val="006A6BF1"/>
    <w:rsid w:val="006B3032"/>
    <w:rsid w:val="006B4B4A"/>
    <w:rsid w:val="006B75C6"/>
    <w:rsid w:val="006B7D1D"/>
    <w:rsid w:val="006C354C"/>
    <w:rsid w:val="006C3B76"/>
    <w:rsid w:val="006C4572"/>
    <w:rsid w:val="006C7B03"/>
    <w:rsid w:val="006D0EC2"/>
    <w:rsid w:val="006D1A05"/>
    <w:rsid w:val="006D398B"/>
    <w:rsid w:val="006D3D1C"/>
    <w:rsid w:val="006D4C72"/>
    <w:rsid w:val="006D4E4C"/>
    <w:rsid w:val="006D5585"/>
    <w:rsid w:val="006D5F76"/>
    <w:rsid w:val="006D6D96"/>
    <w:rsid w:val="006D7211"/>
    <w:rsid w:val="006D75C8"/>
    <w:rsid w:val="006F0472"/>
    <w:rsid w:val="006F0D46"/>
    <w:rsid w:val="006F1F25"/>
    <w:rsid w:val="006F23DD"/>
    <w:rsid w:val="006F4123"/>
    <w:rsid w:val="006F5158"/>
    <w:rsid w:val="00700226"/>
    <w:rsid w:val="007005B2"/>
    <w:rsid w:val="00700950"/>
    <w:rsid w:val="00701136"/>
    <w:rsid w:val="0070271B"/>
    <w:rsid w:val="00703035"/>
    <w:rsid w:val="0070319A"/>
    <w:rsid w:val="00703CB4"/>
    <w:rsid w:val="00706E93"/>
    <w:rsid w:val="00707AD7"/>
    <w:rsid w:val="00707C18"/>
    <w:rsid w:val="007103A9"/>
    <w:rsid w:val="007106E7"/>
    <w:rsid w:val="007115CE"/>
    <w:rsid w:val="007129FA"/>
    <w:rsid w:val="00712E13"/>
    <w:rsid w:val="0071440F"/>
    <w:rsid w:val="00716AD2"/>
    <w:rsid w:val="0071707E"/>
    <w:rsid w:val="007174CB"/>
    <w:rsid w:val="007203CA"/>
    <w:rsid w:val="00721837"/>
    <w:rsid w:val="007226F5"/>
    <w:rsid w:val="00723B2C"/>
    <w:rsid w:val="00724ED0"/>
    <w:rsid w:val="00724F92"/>
    <w:rsid w:val="007253D6"/>
    <w:rsid w:val="0072578A"/>
    <w:rsid w:val="0072597A"/>
    <w:rsid w:val="007262E1"/>
    <w:rsid w:val="00726776"/>
    <w:rsid w:val="00731649"/>
    <w:rsid w:val="007327CE"/>
    <w:rsid w:val="0073792C"/>
    <w:rsid w:val="0074257A"/>
    <w:rsid w:val="0074623A"/>
    <w:rsid w:val="00747434"/>
    <w:rsid w:val="0074788B"/>
    <w:rsid w:val="007510BB"/>
    <w:rsid w:val="0075137C"/>
    <w:rsid w:val="0075273F"/>
    <w:rsid w:val="0075418A"/>
    <w:rsid w:val="0075648E"/>
    <w:rsid w:val="007612BD"/>
    <w:rsid w:val="0076260D"/>
    <w:rsid w:val="00762812"/>
    <w:rsid w:val="00763B77"/>
    <w:rsid w:val="007642B8"/>
    <w:rsid w:val="00764640"/>
    <w:rsid w:val="00764661"/>
    <w:rsid w:val="00766447"/>
    <w:rsid w:val="0076702C"/>
    <w:rsid w:val="0076715D"/>
    <w:rsid w:val="00767BBD"/>
    <w:rsid w:val="00767F6C"/>
    <w:rsid w:val="00772829"/>
    <w:rsid w:val="00777435"/>
    <w:rsid w:val="00777848"/>
    <w:rsid w:val="00777893"/>
    <w:rsid w:val="00777DD7"/>
    <w:rsid w:val="00784341"/>
    <w:rsid w:val="007852E9"/>
    <w:rsid w:val="00786672"/>
    <w:rsid w:val="007879A0"/>
    <w:rsid w:val="00790B15"/>
    <w:rsid w:val="00790F49"/>
    <w:rsid w:val="00790FB9"/>
    <w:rsid w:val="00791593"/>
    <w:rsid w:val="00791DEE"/>
    <w:rsid w:val="007931CB"/>
    <w:rsid w:val="007951D4"/>
    <w:rsid w:val="0079529E"/>
    <w:rsid w:val="00797C46"/>
    <w:rsid w:val="007A19F6"/>
    <w:rsid w:val="007A2B65"/>
    <w:rsid w:val="007A5617"/>
    <w:rsid w:val="007B0245"/>
    <w:rsid w:val="007B083F"/>
    <w:rsid w:val="007B0880"/>
    <w:rsid w:val="007B0D01"/>
    <w:rsid w:val="007B2085"/>
    <w:rsid w:val="007B2E53"/>
    <w:rsid w:val="007B2FDC"/>
    <w:rsid w:val="007B38A0"/>
    <w:rsid w:val="007B38B7"/>
    <w:rsid w:val="007B437E"/>
    <w:rsid w:val="007B4EB5"/>
    <w:rsid w:val="007B4F7B"/>
    <w:rsid w:val="007B583D"/>
    <w:rsid w:val="007B6684"/>
    <w:rsid w:val="007B6B21"/>
    <w:rsid w:val="007B7024"/>
    <w:rsid w:val="007C0390"/>
    <w:rsid w:val="007C14A2"/>
    <w:rsid w:val="007C2AC4"/>
    <w:rsid w:val="007C300E"/>
    <w:rsid w:val="007C328D"/>
    <w:rsid w:val="007C336F"/>
    <w:rsid w:val="007C41B1"/>
    <w:rsid w:val="007C438E"/>
    <w:rsid w:val="007C495D"/>
    <w:rsid w:val="007D30B7"/>
    <w:rsid w:val="007D5622"/>
    <w:rsid w:val="007D7C1D"/>
    <w:rsid w:val="007E0F23"/>
    <w:rsid w:val="007E15AD"/>
    <w:rsid w:val="007E1935"/>
    <w:rsid w:val="007E25ED"/>
    <w:rsid w:val="007E2BC0"/>
    <w:rsid w:val="007E4E21"/>
    <w:rsid w:val="007E4F86"/>
    <w:rsid w:val="007F67E9"/>
    <w:rsid w:val="007F7C7B"/>
    <w:rsid w:val="008040A2"/>
    <w:rsid w:val="00804632"/>
    <w:rsid w:val="008054D9"/>
    <w:rsid w:val="00806688"/>
    <w:rsid w:val="00807A3E"/>
    <w:rsid w:val="00807AFF"/>
    <w:rsid w:val="00810338"/>
    <w:rsid w:val="00812282"/>
    <w:rsid w:val="008137D9"/>
    <w:rsid w:val="008148E4"/>
    <w:rsid w:val="008157F1"/>
    <w:rsid w:val="00816EC2"/>
    <w:rsid w:val="0081723A"/>
    <w:rsid w:val="00821768"/>
    <w:rsid w:val="008233BB"/>
    <w:rsid w:val="008236E1"/>
    <w:rsid w:val="00824458"/>
    <w:rsid w:val="008249F7"/>
    <w:rsid w:val="00824B74"/>
    <w:rsid w:val="00827027"/>
    <w:rsid w:val="00834095"/>
    <w:rsid w:val="00835EC9"/>
    <w:rsid w:val="00837678"/>
    <w:rsid w:val="00841388"/>
    <w:rsid w:val="00841BB5"/>
    <w:rsid w:val="00841EFB"/>
    <w:rsid w:val="00841F44"/>
    <w:rsid w:val="00842C82"/>
    <w:rsid w:val="008436D7"/>
    <w:rsid w:val="008440FE"/>
    <w:rsid w:val="008459F7"/>
    <w:rsid w:val="00846119"/>
    <w:rsid w:val="008474E3"/>
    <w:rsid w:val="00851BB5"/>
    <w:rsid w:val="008527ED"/>
    <w:rsid w:val="00852BD0"/>
    <w:rsid w:val="008537F7"/>
    <w:rsid w:val="008546BE"/>
    <w:rsid w:val="00856074"/>
    <w:rsid w:val="00857949"/>
    <w:rsid w:val="00857B91"/>
    <w:rsid w:val="008658AC"/>
    <w:rsid w:val="00867D6E"/>
    <w:rsid w:val="008719C2"/>
    <w:rsid w:val="008720FE"/>
    <w:rsid w:val="0087277A"/>
    <w:rsid w:val="00872A47"/>
    <w:rsid w:val="008736E2"/>
    <w:rsid w:val="00873F9A"/>
    <w:rsid w:val="00874565"/>
    <w:rsid w:val="008751C7"/>
    <w:rsid w:val="00877247"/>
    <w:rsid w:val="008801AE"/>
    <w:rsid w:val="00880AA3"/>
    <w:rsid w:val="00881EBB"/>
    <w:rsid w:val="0088421C"/>
    <w:rsid w:val="0088445B"/>
    <w:rsid w:val="008919C3"/>
    <w:rsid w:val="00891AF6"/>
    <w:rsid w:val="00891BC3"/>
    <w:rsid w:val="00892A8D"/>
    <w:rsid w:val="00893101"/>
    <w:rsid w:val="00893104"/>
    <w:rsid w:val="008937C8"/>
    <w:rsid w:val="00894EB2"/>
    <w:rsid w:val="00895406"/>
    <w:rsid w:val="0089627B"/>
    <w:rsid w:val="008967C4"/>
    <w:rsid w:val="00897076"/>
    <w:rsid w:val="008A0D2A"/>
    <w:rsid w:val="008A0E22"/>
    <w:rsid w:val="008A1693"/>
    <w:rsid w:val="008A254F"/>
    <w:rsid w:val="008A2630"/>
    <w:rsid w:val="008A5833"/>
    <w:rsid w:val="008A6475"/>
    <w:rsid w:val="008A7E81"/>
    <w:rsid w:val="008B1579"/>
    <w:rsid w:val="008B21D2"/>
    <w:rsid w:val="008B3A88"/>
    <w:rsid w:val="008B4BFC"/>
    <w:rsid w:val="008B51B4"/>
    <w:rsid w:val="008B5B67"/>
    <w:rsid w:val="008B5D7A"/>
    <w:rsid w:val="008B66E3"/>
    <w:rsid w:val="008B7848"/>
    <w:rsid w:val="008C1E05"/>
    <w:rsid w:val="008C34BB"/>
    <w:rsid w:val="008C45E2"/>
    <w:rsid w:val="008C4B35"/>
    <w:rsid w:val="008C551C"/>
    <w:rsid w:val="008C5AD8"/>
    <w:rsid w:val="008D02FD"/>
    <w:rsid w:val="008D2150"/>
    <w:rsid w:val="008D3726"/>
    <w:rsid w:val="008D4CB0"/>
    <w:rsid w:val="008D5817"/>
    <w:rsid w:val="008D5D53"/>
    <w:rsid w:val="008D5F88"/>
    <w:rsid w:val="008D6397"/>
    <w:rsid w:val="008D73C9"/>
    <w:rsid w:val="008E16BF"/>
    <w:rsid w:val="008E2850"/>
    <w:rsid w:val="008E3049"/>
    <w:rsid w:val="008E35A3"/>
    <w:rsid w:val="008E626E"/>
    <w:rsid w:val="008E64A1"/>
    <w:rsid w:val="008E7274"/>
    <w:rsid w:val="008E72B9"/>
    <w:rsid w:val="008F0562"/>
    <w:rsid w:val="008F06DE"/>
    <w:rsid w:val="008F0D87"/>
    <w:rsid w:val="008F1BDA"/>
    <w:rsid w:val="008F260B"/>
    <w:rsid w:val="008F3A5D"/>
    <w:rsid w:val="008F4C51"/>
    <w:rsid w:val="00902F49"/>
    <w:rsid w:val="00906821"/>
    <w:rsid w:val="00906E65"/>
    <w:rsid w:val="00913738"/>
    <w:rsid w:val="009144D5"/>
    <w:rsid w:val="00915F98"/>
    <w:rsid w:val="00915FA3"/>
    <w:rsid w:val="009217F8"/>
    <w:rsid w:val="00922A0D"/>
    <w:rsid w:val="009235FD"/>
    <w:rsid w:val="0092470E"/>
    <w:rsid w:val="00925187"/>
    <w:rsid w:val="0092709C"/>
    <w:rsid w:val="0092717F"/>
    <w:rsid w:val="00927744"/>
    <w:rsid w:val="00927ACF"/>
    <w:rsid w:val="00927B05"/>
    <w:rsid w:val="00930F4E"/>
    <w:rsid w:val="00931DBE"/>
    <w:rsid w:val="00932416"/>
    <w:rsid w:val="00936062"/>
    <w:rsid w:val="00937806"/>
    <w:rsid w:val="00937CBE"/>
    <w:rsid w:val="00942A9C"/>
    <w:rsid w:val="00944087"/>
    <w:rsid w:val="00944E74"/>
    <w:rsid w:val="0095012E"/>
    <w:rsid w:val="00951934"/>
    <w:rsid w:val="0095207B"/>
    <w:rsid w:val="00954C8C"/>
    <w:rsid w:val="00956ACE"/>
    <w:rsid w:val="009572A0"/>
    <w:rsid w:val="00957D24"/>
    <w:rsid w:val="00960DCF"/>
    <w:rsid w:val="00961B53"/>
    <w:rsid w:val="00963264"/>
    <w:rsid w:val="0096389D"/>
    <w:rsid w:val="009676C0"/>
    <w:rsid w:val="00971EF9"/>
    <w:rsid w:val="00972951"/>
    <w:rsid w:val="0097370C"/>
    <w:rsid w:val="009744EE"/>
    <w:rsid w:val="009803A9"/>
    <w:rsid w:val="009803CB"/>
    <w:rsid w:val="009803D4"/>
    <w:rsid w:val="009807A2"/>
    <w:rsid w:val="0098199C"/>
    <w:rsid w:val="00983B6C"/>
    <w:rsid w:val="00985D8E"/>
    <w:rsid w:val="009873F3"/>
    <w:rsid w:val="00992FC1"/>
    <w:rsid w:val="00995E98"/>
    <w:rsid w:val="009964DD"/>
    <w:rsid w:val="00996F15"/>
    <w:rsid w:val="00997BA8"/>
    <w:rsid w:val="00997D22"/>
    <w:rsid w:val="009A06F4"/>
    <w:rsid w:val="009A35AF"/>
    <w:rsid w:val="009A3778"/>
    <w:rsid w:val="009A3E2E"/>
    <w:rsid w:val="009A5E8C"/>
    <w:rsid w:val="009A7678"/>
    <w:rsid w:val="009A7F34"/>
    <w:rsid w:val="009B00A3"/>
    <w:rsid w:val="009B2068"/>
    <w:rsid w:val="009B2245"/>
    <w:rsid w:val="009B258E"/>
    <w:rsid w:val="009B2936"/>
    <w:rsid w:val="009B5997"/>
    <w:rsid w:val="009B599E"/>
    <w:rsid w:val="009B6B23"/>
    <w:rsid w:val="009B7A08"/>
    <w:rsid w:val="009B7ABD"/>
    <w:rsid w:val="009C1D27"/>
    <w:rsid w:val="009C2FA5"/>
    <w:rsid w:val="009C3BD9"/>
    <w:rsid w:val="009C5B82"/>
    <w:rsid w:val="009C5EDD"/>
    <w:rsid w:val="009C756E"/>
    <w:rsid w:val="009D13C6"/>
    <w:rsid w:val="009D21BE"/>
    <w:rsid w:val="009D3C3D"/>
    <w:rsid w:val="009D4941"/>
    <w:rsid w:val="009D5288"/>
    <w:rsid w:val="009E062A"/>
    <w:rsid w:val="009E1552"/>
    <w:rsid w:val="009E2AD3"/>
    <w:rsid w:val="009E4092"/>
    <w:rsid w:val="009E445E"/>
    <w:rsid w:val="009E47E5"/>
    <w:rsid w:val="009E6CF0"/>
    <w:rsid w:val="009F146F"/>
    <w:rsid w:val="009F15A8"/>
    <w:rsid w:val="009F2D8F"/>
    <w:rsid w:val="009F2E12"/>
    <w:rsid w:val="009F3C75"/>
    <w:rsid w:val="00A0037E"/>
    <w:rsid w:val="00A01303"/>
    <w:rsid w:val="00A02C4F"/>
    <w:rsid w:val="00A03DD7"/>
    <w:rsid w:val="00A04A09"/>
    <w:rsid w:val="00A05821"/>
    <w:rsid w:val="00A05BF6"/>
    <w:rsid w:val="00A05D1D"/>
    <w:rsid w:val="00A05EA2"/>
    <w:rsid w:val="00A060F1"/>
    <w:rsid w:val="00A076CC"/>
    <w:rsid w:val="00A112F0"/>
    <w:rsid w:val="00A1165C"/>
    <w:rsid w:val="00A11C09"/>
    <w:rsid w:val="00A125D6"/>
    <w:rsid w:val="00A14CE9"/>
    <w:rsid w:val="00A14E53"/>
    <w:rsid w:val="00A152D6"/>
    <w:rsid w:val="00A15580"/>
    <w:rsid w:val="00A16449"/>
    <w:rsid w:val="00A16EAB"/>
    <w:rsid w:val="00A2292E"/>
    <w:rsid w:val="00A22EFC"/>
    <w:rsid w:val="00A26389"/>
    <w:rsid w:val="00A27C94"/>
    <w:rsid w:val="00A303B8"/>
    <w:rsid w:val="00A3124C"/>
    <w:rsid w:val="00A328EC"/>
    <w:rsid w:val="00A32DC4"/>
    <w:rsid w:val="00A3323F"/>
    <w:rsid w:val="00A33569"/>
    <w:rsid w:val="00A344BC"/>
    <w:rsid w:val="00A34735"/>
    <w:rsid w:val="00A35A87"/>
    <w:rsid w:val="00A35F42"/>
    <w:rsid w:val="00A361C3"/>
    <w:rsid w:val="00A411FA"/>
    <w:rsid w:val="00A442B1"/>
    <w:rsid w:val="00A44EC1"/>
    <w:rsid w:val="00A454B3"/>
    <w:rsid w:val="00A45E52"/>
    <w:rsid w:val="00A46652"/>
    <w:rsid w:val="00A468A1"/>
    <w:rsid w:val="00A46D15"/>
    <w:rsid w:val="00A46E76"/>
    <w:rsid w:val="00A4713D"/>
    <w:rsid w:val="00A47D0A"/>
    <w:rsid w:val="00A5323B"/>
    <w:rsid w:val="00A54FB4"/>
    <w:rsid w:val="00A552E8"/>
    <w:rsid w:val="00A56DE0"/>
    <w:rsid w:val="00A6121C"/>
    <w:rsid w:val="00A63C18"/>
    <w:rsid w:val="00A662DC"/>
    <w:rsid w:val="00A66613"/>
    <w:rsid w:val="00A6741B"/>
    <w:rsid w:val="00A71658"/>
    <w:rsid w:val="00A74226"/>
    <w:rsid w:val="00A757B0"/>
    <w:rsid w:val="00A776A4"/>
    <w:rsid w:val="00A8049D"/>
    <w:rsid w:val="00A80A1C"/>
    <w:rsid w:val="00A822C2"/>
    <w:rsid w:val="00A82990"/>
    <w:rsid w:val="00A839A5"/>
    <w:rsid w:val="00A83A86"/>
    <w:rsid w:val="00A90401"/>
    <w:rsid w:val="00A90D1B"/>
    <w:rsid w:val="00A90EC8"/>
    <w:rsid w:val="00A921E3"/>
    <w:rsid w:val="00A92254"/>
    <w:rsid w:val="00A937F4"/>
    <w:rsid w:val="00A94D20"/>
    <w:rsid w:val="00A9752B"/>
    <w:rsid w:val="00AA17F2"/>
    <w:rsid w:val="00AA2461"/>
    <w:rsid w:val="00AA2865"/>
    <w:rsid w:val="00AA3A9B"/>
    <w:rsid w:val="00AA3BF1"/>
    <w:rsid w:val="00AA5410"/>
    <w:rsid w:val="00AB1DD3"/>
    <w:rsid w:val="00AB21C6"/>
    <w:rsid w:val="00AB2841"/>
    <w:rsid w:val="00AB547A"/>
    <w:rsid w:val="00AB5C15"/>
    <w:rsid w:val="00AC6F7D"/>
    <w:rsid w:val="00AC720A"/>
    <w:rsid w:val="00AD5F9B"/>
    <w:rsid w:val="00AD60EA"/>
    <w:rsid w:val="00AD67D4"/>
    <w:rsid w:val="00AE0A3E"/>
    <w:rsid w:val="00AE36D6"/>
    <w:rsid w:val="00AE4331"/>
    <w:rsid w:val="00AE614D"/>
    <w:rsid w:val="00AE7849"/>
    <w:rsid w:val="00AE7977"/>
    <w:rsid w:val="00AF0BFE"/>
    <w:rsid w:val="00AF1F10"/>
    <w:rsid w:val="00AF3D39"/>
    <w:rsid w:val="00AF497B"/>
    <w:rsid w:val="00AF6245"/>
    <w:rsid w:val="00AF6A4C"/>
    <w:rsid w:val="00AF7271"/>
    <w:rsid w:val="00AF788B"/>
    <w:rsid w:val="00B02183"/>
    <w:rsid w:val="00B047C2"/>
    <w:rsid w:val="00B04CB1"/>
    <w:rsid w:val="00B05635"/>
    <w:rsid w:val="00B071A2"/>
    <w:rsid w:val="00B07620"/>
    <w:rsid w:val="00B1024C"/>
    <w:rsid w:val="00B122F0"/>
    <w:rsid w:val="00B123B6"/>
    <w:rsid w:val="00B12FA2"/>
    <w:rsid w:val="00B1314F"/>
    <w:rsid w:val="00B134E7"/>
    <w:rsid w:val="00B151B9"/>
    <w:rsid w:val="00B151CF"/>
    <w:rsid w:val="00B20445"/>
    <w:rsid w:val="00B20BFC"/>
    <w:rsid w:val="00B218FA"/>
    <w:rsid w:val="00B247AD"/>
    <w:rsid w:val="00B25D05"/>
    <w:rsid w:val="00B26622"/>
    <w:rsid w:val="00B26669"/>
    <w:rsid w:val="00B276B4"/>
    <w:rsid w:val="00B303F6"/>
    <w:rsid w:val="00B307B7"/>
    <w:rsid w:val="00B345E8"/>
    <w:rsid w:val="00B36028"/>
    <w:rsid w:val="00B40064"/>
    <w:rsid w:val="00B45A59"/>
    <w:rsid w:val="00B50A44"/>
    <w:rsid w:val="00B54095"/>
    <w:rsid w:val="00B55524"/>
    <w:rsid w:val="00B55D36"/>
    <w:rsid w:val="00B56711"/>
    <w:rsid w:val="00B57266"/>
    <w:rsid w:val="00B575BF"/>
    <w:rsid w:val="00B612EA"/>
    <w:rsid w:val="00B61C66"/>
    <w:rsid w:val="00B62604"/>
    <w:rsid w:val="00B62DF2"/>
    <w:rsid w:val="00B633AD"/>
    <w:rsid w:val="00B660F5"/>
    <w:rsid w:val="00B66A87"/>
    <w:rsid w:val="00B66F48"/>
    <w:rsid w:val="00B712D0"/>
    <w:rsid w:val="00B71F38"/>
    <w:rsid w:val="00B757E5"/>
    <w:rsid w:val="00B77874"/>
    <w:rsid w:val="00B80704"/>
    <w:rsid w:val="00B81F38"/>
    <w:rsid w:val="00B8291F"/>
    <w:rsid w:val="00B83B62"/>
    <w:rsid w:val="00B8535F"/>
    <w:rsid w:val="00B878CD"/>
    <w:rsid w:val="00B90133"/>
    <w:rsid w:val="00B91CB1"/>
    <w:rsid w:val="00B9249B"/>
    <w:rsid w:val="00B92E4F"/>
    <w:rsid w:val="00B951A9"/>
    <w:rsid w:val="00B9536C"/>
    <w:rsid w:val="00B95373"/>
    <w:rsid w:val="00BA1FFB"/>
    <w:rsid w:val="00BA2B3F"/>
    <w:rsid w:val="00BA4E45"/>
    <w:rsid w:val="00BA59FB"/>
    <w:rsid w:val="00BA5A97"/>
    <w:rsid w:val="00BA73DE"/>
    <w:rsid w:val="00BB14A3"/>
    <w:rsid w:val="00BB52FD"/>
    <w:rsid w:val="00BC0986"/>
    <w:rsid w:val="00BC15DE"/>
    <w:rsid w:val="00BC17C8"/>
    <w:rsid w:val="00BC1CA0"/>
    <w:rsid w:val="00BC2612"/>
    <w:rsid w:val="00BC369C"/>
    <w:rsid w:val="00BC4972"/>
    <w:rsid w:val="00BC6897"/>
    <w:rsid w:val="00BD1B8D"/>
    <w:rsid w:val="00BD33D4"/>
    <w:rsid w:val="00BD40B1"/>
    <w:rsid w:val="00BE37DC"/>
    <w:rsid w:val="00BE47BF"/>
    <w:rsid w:val="00BE5374"/>
    <w:rsid w:val="00BE627A"/>
    <w:rsid w:val="00BE69FD"/>
    <w:rsid w:val="00BE6CE8"/>
    <w:rsid w:val="00BF170B"/>
    <w:rsid w:val="00BF7468"/>
    <w:rsid w:val="00BF7C54"/>
    <w:rsid w:val="00C01D5F"/>
    <w:rsid w:val="00C0345A"/>
    <w:rsid w:val="00C03511"/>
    <w:rsid w:val="00C04C3A"/>
    <w:rsid w:val="00C05700"/>
    <w:rsid w:val="00C074CD"/>
    <w:rsid w:val="00C107C3"/>
    <w:rsid w:val="00C12451"/>
    <w:rsid w:val="00C13293"/>
    <w:rsid w:val="00C1336A"/>
    <w:rsid w:val="00C13520"/>
    <w:rsid w:val="00C14F9B"/>
    <w:rsid w:val="00C14FAB"/>
    <w:rsid w:val="00C1533D"/>
    <w:rsid w:val="00C15F42"/>
    <w:rsid w:val="00C1610B"/>
    <w:rsid w:val="00C1611D"/>
    <w:rsid w:val="00C16C9A"/>
    <w:rsid w:val="00C175E4"/>
    <w:rsid w:val="00C213E5"/>
    <w:rsid w:val="00C232E0"/>
    <w:rsid w:val="00C24B5E"/>
    <w:rsid w:val="00C2534F"/>
    <w:rsid w:val="00C30058"/>
    <w:rsid w:val="00C317A2"/>
    <w:rsid w:val="00C343FC"/>
    <w:rsid w:val="00C3651F"/>
    <w:rsid w:val="00C36633"/>
    <w:rsid w:val="00C36E9D"/>
    <w:rsid w:val="00C37C86"/>
    <w:rsid w:val="00C40C4E"/>
    <w:rsid w:val="00C412B1"/>
    <w:rsid w:val="00C44260"/>
    <w:rsid w:val="00C4436C"/>
    <w:rsid w:val="00C460A1"/>
    <w:rsid w:val="00C461B2"/>
    <w:rsid w:val="00C47748"/>
    <w:rsid w:val="00C47C8E"/>
    <w:rsid w:val="00C51A8E"/>
    <w:rsid w:val="00C52FD1"/>
    <w:rsid w:val="00C5359B"/>
    <w:rsid w:val="00C53607"/>
    <w:rsid w:val="00C53622"/>
    <w:rsid w:val="00C53AF7"/>
    <w:rsid w:val="00C554B5"/>
    <w:rsid w:val="00C56EF2"/>
    <w:rsid w:val="00C570A6"/>
    <w:rsid w:val="00C578AE"/>
    <w:rsid w:val="00C579F3"/>
    <w:rsid w:val="00C600B3"/>
    <w:rsid w:val="00C60DE1"/>
    <w:rsid w:val="00C61464"/>
    <w:rsid w:val="00C64D1C"/>
    <w:rsid w:val="00C67E8E"/>
    <w:rsid w:val="00C70E5F"/>
    <w:rsid w:val="00C72177"/>
    <w:rsid w:val="00C74B8C"/>
    <w:rsid w:val="00C8268F"/>
    <w:rsid w:val="00C8275E"/>
    <w:rsid w:val="00C83535"/>
    <w:rsid w:val="00C83D84"/>
    <w:rsid w:val="00C8425C"/>
    <w:rsid w:val="00C849C0"/>
    <w:rsid w:val="00C8511C"/>
    <w:rsid w:val="00C85858"/>
    <w:rsid w:val="00C87436"/>
    <w:rsid w:val="00C91651"/>
    <w:rsid w:val="00C917A4"/>
    <w:rsid w:val="00C922A2"/>
    <w:rsid w:val="00C93E47"/>
    <w:rsid w:val="00C94358"/>
    <w:rsid w:val="00C959BD"/>
    <w:rsid w:val="00C97CEE"/>
    <w:rsid w:val="00CA1308"/>
    <w:rsid w:val="00CA26EA"/>
    <w:rsid w:val="00CA2FB2"/>
    <w:rsid w:val="00CA3229"/>
    <w:rsid w:val="00CA3D3A"/>
    <w:rsid w:val="00CA42D6"/>
    <w:rsid w:val="00CA528A"/>
    <w:rsid w:val="00CA5AF6"/>
    <w:rsid w:val="00CA75B9"/>
    <w:rsid w:val="00CB15E9"/>
    <w:rsid w:val="00CB2BD5"/>
    <w:rsid w:val="00CB4C21"/>
    <w:rsid w:val="00CB4ED9"/>
    <w:rsid w:val="00CB5C55"/>
    <w:rsid w:val="00CC1D1A"/>
    <w:rsid w:val="00CC4F99"/>
    <w:rsid w:val="00CC5956"/>
    <w:rsid w:val="00CC6260"/>
    <w:rsid w:val="00CD06DD"/>
    <w:rsid w:val="00CD1404"/>
    <w:rsid w:val="00CD1A95"/>
    <w:rsid w:val="00CD28DD"/>
    <w:rsid w:val="00CE2676"/>
    <w:rsid w:val="00CE2846"/>
    <w:rsid w:val="00CE28E3"/>
    <w:rsid w:val="00CF053D"/>
    <w:rsid w:val="00CF1A2D"/>
    <w:rsid w:val="00CF2913"/>
    <w:rsid w:val="00CF439F"/>
    <w:rsid w:val="00CF490E"/>
    <w:rsid w:val="00CF7120"/>
    <w:rsid w:val="00CF724C"/>
    <w:rsid w:val="00D001B4"/>
    <w:rsid w:val="00D003B7"/>
    <w:rsid w:val="00D00E36"/>
    <w:rsid w:val="00D02F4F"/>
    <w:rsid w:val="00D04CB3"/>
    <w:rsid w:val="00D104DE"/>
    <w:rsid w:val="00D1378D"/>
    <w:rsid w:val="00D14E59"/>
    <w:rsid w:val="00D17253"/>
    <w:rsid w:val="00D17542"/>
    <w:rsid w:val="00D17AB5"/>
    <w:rsid w:val="00D20031"/>
    <w:rsid w:val="00D24258"/>
    <w:rsid w:val="00D278BA"/>
    <w:rsid w:val="00D279F5"/>
    <w:rsid w:val="00D313B3"/>
    <w:rsid w:val="00D32920"/>
    <w:rsid w:val="00D3292B"/>
    <w:rsid w:val="00D33F02"/>
    <w:rsid w:val="00D3479B"/>
    <w:rsid w:val="00D358F7"/>
    <w:rsid w:val="00D36376"/>
    <w:rsid w:val="00D36E67"/>
    <w:rsid w:val="00D37E5C"/>
    <w:rsid w:val="00D37EF5"/>
    <w:rsid w:val="00D419C9"/>
    <w:rsid w:val="00D428B9"/>
    <w:rsid w:val="00D43246"/>
    <w:rsid w:val="00D4529B"/>
    <w:rsid w:val="00D4542B"/>
    <w:rsid w:val="00D4574B"/>
    <w:rsid w:val="00D45750"/>
    <w:rsid w:val="00D457EA"/>
    <w:rsid w:val="00D45C42"/>
    <w:rsid w:val="00D45EC9"/>
    <w:rsid w:val="00D47106"/>
    <w:rsid w:val="00D50FD9"/>
    <w:rsid w:val="00D52E54"/>
    <w:rsid w:val="00D52FF5"/>
    <w:rsid w:val="00D53E8D"/>
    <w:rsid w:val="00D56DFA"/>
    <w:rsid w:val="00D5732C"/>
    <w:rsid w:val="00D57E68"/>
    <w:rsid w:val="00D60D74"/>
    <w:rsid w:val="00D60E22"/>
    <w:rsid w:val="00D61302"/>
    <w:rsid w:val="00D62F4D"/>
    <w:rsid w:val="00D64661"/>
    <w:rsid w:val="00D64906"/>
    <w:rsid w:val="00D652D9"/>
    <w:rsid w:val="00D65AB4"/>
    <w:rsid w:val="00D701F5"/>
    <w:rsid w:val="00D702E0"/>
    <w:rsid w:val="00D70DDA"/>
    <w:rsid w:val="00D713F8"/>
    <w:rsid w:val="00D7206A"/>
    <w:rsid w:val="00D72450"/>
    <w:rsid w:val="00D73AD9"/>
    <w:rsid w:val="00D742BB"/>
    <w:rsid w:val="00D76FE9"/>
    <w:rsid w:val="00D7786D"/>
    <w:rsid w:val="00D77BF2"/>
    <w:rsid w:val="00D80C29"/>
    <w:rsid w:val="00D8316D"/>
    <w:rsid w:val="00D83723"/>
    <w:rsid w:val="00D83B51"/>
    <w:rsid w:val="00D842C7"/>
    <w:rsid w:val="00D84ECA"/>
    <w:rsid w:val="00D8525E"/>
    <w:rsid w:val="00D8723E"/>
    <w:rsid w:val="00D9041B"/>
    <w:rsid w:val="00D90DBB"/>
    <w:rsid w:val="00D9141D"/>
    <w:rsid w:val="00D91533"/>
    <w:rsid w:val="00D946C9"/>
    <w:rsid w:val="00D94CF3"/>
    <w:rsid w:val="00D967A8"/>
    <w:rsid w:val="00DA058E"/>
    <w:rsid w:val="00DA512C"/>
    <w:rsid w:val="00DA6765"/>
    <w:rsid w:val="00DB003C"/>
    <w:rsid w:val="00DB1438"/>
    <w:rsid w:val="00DB1E91"/>
    <w:rsid w:val="00DB37BF"/>
    <w:rsid w:val="00DB4410"/>
    <w:rsid w:val="00DB5117"/>
    <w:rsid w:val="00DB53A7"/>
    <w:rsid w:val="00DB6031"/>
    <w:rsid w:val="00DB664A"/>
    <w:rsid w:val="00DB7463"/>
    <w:rsid w:val="00DC0392"/>
    <w:rsid w:val="00DC14AF"/>
    <w:rsid w:val="00DC1720"/>
    <w:rsid w:val="00DC3633"/>
    <w:rsid w:val="00DC3E66"/>
    <w:rsid w:val="00DC4108"/>
    <w:rsid w:val="00DC4EC7"/>
    <w:rsid w:val="00DC4F64"/>
    <w:rsid w:val="00DC50C5"/>
    <w:rsid w:val="00DC5DEF"/>
    <w:rsid w:val="00DC64A7"/>
    <w:rsid w:val="00DC64BF"/>
    <w:rsid w:val="00DD0953"/>
    <w:rsid w:val="00DD0AA9"/>
    <w:rsid w:val="00DD1A95"/>
    <w:rsid w:val="00DD2C81"/>
    <w:rsid w:val="00DD306B"/>
    <w:rsid w:val="00DE2496"/>
    <w:rsid w:val="00DE7099"/>
    <w:rsid w:val="00DE78D3"/>
    <w:rsid w:val="00DF0FAA"/>
    <w:rsid w:val="00DF341B"/>
    <w:rsid w:val="00DF39E9"/>
    <w:rsid w:val="00DF431B"/>
    <w:rsid w:val="00DF74D9"/>
    <w:rsid w:val="00E005D9"/>
    <w:rsid w:val="00E01DA0"/>
    <w:rsid w:val="00E0360B"/>
    <w:rsid w:val="00E03A96"/>
    <w:rsid w:val="00E05A79"/>
    <w:rsid w:val="00E05D56"/>
    <w:rsid w:val="00E0650E"/>
    <w:rsid w:val="00E079B8"/>
    <w:rsid w:val="00E102A9"/>
    <w:rsid w:val="00E105A9"/>
    <w:rsid w:val="00E10C8E"/>
    <w:rsid w:val="00E10D5C"/>
    <w:rsid w:val="00E11AD0"/>
    <w:rsid w:val="00E1205D"/>
    <w:rsid w:val="00E121CF"/>
    <w:rsid w:val="00E15056"/>
    <w:rsid w:val="00E15DB1"/>
    <w:rsid w:val="00E17552"/>
    <w:rsid w:val="00E2059C"/>
    <w:rsid w:val="00E21B03"/>
    <w:rsid w:val="00E22445"/>
    <w:rsid w:val="00E260A3"/>
    <w:rsid w:val="00E26494"/>
    <w:rsid w:val="00E26D15"/>
    <w:rsid w:val="00E27C2E"/>
    <w:rsid w:val="00E27DDB"/>
    <w:rsid w:val="00E31702"/>
    <w:rsid w:val="00E31B75"/>
    <w:rsid w:val="00E3242E"/>
    <w:rsid w:val="00E32896"/>
    <w:rsid w:val="00E330C9"/>
    <w:rsid w:val="00E3330E"/>
    <w:rsid w:val="00E3351F"/>
    <w:rsid w:val="00E33992"/>
    <w:rsid w:val="00E40DAE"/>
    <w:rsid w:val="00E40F62"/>
    <w:rsid w:val="00E43249"/>
    <w:rsid w:val="00E436A2"/>
    <w:rsid w:val="00E458D8"/>
    <w:rsid w:val="00E504B8"/>
    <w:rsid w:val="00E518A7"/>
    <w:rsid w:val="00E529F5"/>
    <w:rsid w:val="00E5356B"/>
    <w:rsid w:val="00E53BD5"/>
    <w:rsid w:val="00E53E00"/>
    <w:rsid w:val="00E54221"/>
    <w:rsid w:val="00E54784"/>
    <w:rsid w:val="00E5650A"/>
    <w:rsid w:val="00E574EC"/>
    <w:rsid w:val="00E57F9C"/>
    <w:rsid w:val="00E615F9"/>
    <w:rsid w:val="00E6193C"/>
    <w:rsid w:val="00E62BC2"/>
    <w:rsid w:val="00E63751"/>
    <w:rsid w:val="00E63D67"/>
    <w:rsid w:val="00E63DAA"/>
    <w:rsid w:val="00E7221D"/>
    <w:rsid w:val="00E75AC3"/>
    <w:rsid w:val="00E75C46"/>
    <w:rsid w:val="00E7615F"/>
    <w:rsid w:val="00E76AE0"/>
    <w:rsid w:val="00E80997"/>
    <w:rsid w:val="00E80A92"/>
    <w:rsid w:val="00E81A87"/>
    <w:rsid w:val="00E82094"/>
    <w:rsid w:val="00E83948"/>
    <w:rsid w:val="00E83CF9"/>
    <w:rsid w:val="00E83E9D"/>
    <w:rsid w:val="00E92974"/>
    <w:rsid w:val="00E92F98"/>
    <w:rsid w:val="00E9331D"/>
    <w:rsid w:val="00E94435"/>
    <w:rsid w:val="00E95322"/>
    <w:rsid w:val="00E95490"/>
    <w:rsid w:val="00E968C1"/>
    <w:rsid w:val="00E971F6"/>
    <w:rsid w:val="00E97EFE"/>
    <w:rsid w:val="00EA0E54"/>
    <w:rsid w:val="00EA1769"/>
    <w:rsid w:val="00EA3671"/>
    <w:rsid w:val="00EA5BE0"/>
    <w:rsid w:val="00EA7F9F"/>
    <w:rsid w:val="00EB0DEA"/>
    <w:rsid w:val="00EB11C5"/>
    <w:rsid w:val="00EB1A84"/>
    <w:rsid w:val="00EB1F63"/>
    <w:rsid w:val="00EB27BC"/>
    <w:rsid w:val="00EB4B03"/>
    <w:rsid w:val="00EB6340"/>
    <w:rsid w:val="00EB6A32"/>
    <w:rsid w:val="00EC33A0"/>
    <w:rsid w:val="00EC4836"/>
    <w:rsid w:val="00EC5088"/>
    <w:rsid w:val="00EC6A97"/>
    <w:rsid w:val="00EC6BB5"/>
    <w:rsid w:val="00EC71E5"/>
    <w:rsid w:val="00ED20D3"/>
    <w:rsid w:val="00ED4578"/>
    <w:rsid w:val="00ED5CEB"/>
    <w:rsid w:val="00ED5E38"/>
    <w:rsid w:val="00ED6ABD"/>
    <w:rsid w:val="00ED7D22"/>
    <w:rsid w:val="00EE36A1"/>
    <w:rsid w:val="00EE4490"/>
    <w:rsid w:val="00EE4EEF"/>
    <w:rsid w:val="00EE62BC"/>
    <w:rsid w:val="00EE6832"/>
    <w:rsid w:val="00EF1755"/>
    <w:rsid w:val="00EF22D1"/>
    <w:rsid w:val="00EF3D58"/>
    <w:rsid w:val="00EF42F8"/>
    <w:rsid w:val="00EF7063"/>
    <w:rsid w:val="00EF7084"/>
    <w:rsid w:val="00F03B39"/>
    <w:rsid w:val="00F04052"/>
    <w:rsid w:val="00F04FED"/>
    <w:rsid w:val="00F06673"/>
    <w:rsid w:val="00F06961"/>
    <w:rsid w:val="00F1066F"/>
    <w:rsid w:val="00F1415F"/>
    <w:rsid w:val="00F14201"/>
    <w:rsid w:val="00F1508C"/>
    <w:rsid w:val="00F1578E"/>
    <w:rsid w:val="00F17EA2"/>
    <w:rsid w:val="00F20304"/>
    <w:rsid w:val="00F20763"/>
    <w:rsid w:val="00F227C8"/>
    <w:rsid w:val="00F23CB7"/>
    <w:rsid w:val="00F24CD8"/>
    <w:rsid w:val="00F257B5"/>
    <w:rsid w:val="00F2720E"/>
    <w:rsid w:val="00F2776D"/>
    <w:rsid w:val="00F346E6"/>
    <w:rsid w:val="00F36F81"/>
    <w:rsid w:val="00F4022C"/>
    <w:rsid w:val="00F40864"/>
    <w:rsid w:val="00F430A7"/>
    <w:rsid w:val="00F43250"/>
    <w:rsid w:val="00F44895"/>
    <w:rsid w:val="00F44C65"/>
    <w:rsid w:val="00F45410"/>
    <w:rsid w:val="00F47FF5"/>
    <w:rsid w:val="00F50585"/>
    <w:rsid w:val="00F5093A"/>
    <w:rsid w:val="00F516E3"/>
    <w:rsid w:val="00F52574"/>
    <w:rsid w:val="00F54832"/>
    <w:rsid w:val="00F558E0"/>
    <w:rsid w:val="00F57885"/>
    <w:rsid w:val="00F60E09"/>
    <w:rsid w:val="00F60F72"/>
    <w:rsid w:val="00F66144"/>
    <w:rsid w:val="00F6713F"/>
    <w:rsid w:val="00F74B51"/>
    <w:rsid w:val="00F81362"/>
    <w:rsid w:val="00F84310"/>
    <w:rsid w:val="00F854EE"/>
    <w:rsid w:val="00F87320"/>
    <w:rsid w:val="00F91353"/>
    <w:rsid w:val="00F914FA"/>
    <w:rsid w:val="00F9455A"/>
    <w:rsid w:val="00F9684A"/>
    <w:rsid w:val="00FA0825"/>
    <w:rsid w:val="00FA08AD"/>
    <w:rsid w:val="00FA2F27"/>
    <w:rsid w:val="00FA4150"/>
    <w:rsid w:val="00FA5387"/>
    <w:rsid w:val="00FA5766"/>
    <w:rsid w:val="00FA7D7D"/>
    <w:rsid w:val="00FB385B"/>
    <w:rsid w:val="00FB570F"/>
    <w:rsid w:val="00FB620D"/>
    <w:rsid w:val="00FB6F67"/>
    <w:rsid w:val="00FC0AD7"/>
    <w:rsid w:val="00FC10DE"/>
    <w:rsid w:val="00FC2D5F"/>
    <w:rsid w:val="00FC403F"/>
    <w:rsid w:val="00FC5603"/>
    <w:rsid w:val="00FC5D70"/>
    <w:rsid w:val="00FD0B28"/>
    <w:rsid w:val="00FD17BA"/>
    <w:rsid w:val="00FD1ECE"/>
    <w:rsid w:val="00FD2C9D"/>
    <w:rsid w:val="00FD2F74"/>
    <w:rsid w:val="00FD3B94"/>
    <w:rsid w:val="00FD40DD"/>
    <w:rsid w:val="00FD43B3"/>
    <w:rsid w:val="00FD6295"/>
    <w:rsid w:val="00FD7AB1"/>
    <w:rsid w:val="00FE0FE4"/>
    <w:rsid w:val="00FE1118"/>
    <w:rsid w:val="00FE18AC"/>
    <w:rsid w:val="00FE40E5"/>
    <w:rsid w:val="00FE4739"/>
    <w:rsid w:val="00FE4A56"/>
    <w:rsid w:val="00FE4DB2"/>
    <w:rsid w:val="00FE633E"/>
    <w:rsid w:val="00FE681D"/>
    <w:rsid w:val="00FE6A65"/>
    <w:rsid w:val="00FE74DF"/>
    <w:rsid w:val="00FF0DBD"/>
    <w:rsid w:val="00FF2100"/>
    <w:rsid w:val="00FF3A07"/>
    <w:rsid w:val="00FF3FEA"/>
    <w:rsid w:val="00FF4C68"/>
    <w:rsid w:val="00FF5ADB"/>
    <w:rsid w:val="00FF65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48C47A"/>
  <w15:chartTrackingRefBased/>
  <w15:docId w15:val="{114C360A-2999-4E8E-BCB1-16C3D03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6">
    <w:name w:val="heading 6"/>
    <w:basedOn w:val="Normal"/>
    <w:next w:val="Normal"/>
    <w:link w:val="Heading6Char"/>
    <w:qFormat/>
    <w:rsid w:val="00D3479B"/>
    <w:pPr>
      <w:tabs>
        <w:tab w:val="num" w:pos="1152"/>
      </w:tabs>
      <w:spacing w:before="240" w:after="60" w:line="240" w:lineRule="auto"/>
      <w:ind w:left="1152" w:hanging="1152"/>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D3479B"/>
    <w:pPr>
      <w:tabs>
        <w:tab w:val="num" w:pos="1296"/>
      </w:tabs>
      <w:spacing w:before="240" w:after="60" w:line="240" w:lineRule="auto"/>
      <w:ind w:left="1296" w:hanging="1296"/>
      <w:outlineLvl w:val="6"/>
    </w:pPr>
    <w:rPr>
      <w:rFonts w:ascii="Times New Roman" w:eastAsia="Times New Roman" w:hAnsi="Times New Roman" w:cs="Times New Roman"/>
      <w:sz w:val="24"/>
      <w:lang w:eastAsia="en-AU"/>
    </w:rPr>
  </w:style>
  <w:style w:type="paragraph" w:styleId="Heading8">
    <w:name w:val="heading 8"/>
    <w:basedOn w:val="Normal"/>
    <w:next w:val="Normal"/>
    <w:link w:val="Heading8Char"/>
    <w:qFormat/>
    <w:rsid w:val="00D3479B"/>
    <w:pPr>
      <w:tabs>
        <w:tab w:val="num" w:pos="1440"/>
      </w:tabs>
      <w:spacing w:before="240" w:after="60" w:line="240" w:lineRule="auto"/>
      <w:ind w:left="1440" w:hanging="1440"/>
      <w:outlineLvl w:val="7"/>
    </w:pPr>
    <w:rPr>
      <w:rFonts w:ascii="Times New Roman" w:eastAsia="Times New Roman" w:hAnsi="Times New Roman" w:cs="Times New Roman"/>
      <w:i/>
      <w:iCs/>
      <w:sz w:val="24"/>
      <w:lang w:eastAsia="en-AU"/>
    </w:rPr>
  </w:style>
  <w:style w:type="paragraph" w:styleId="Heading9">
    <w:name w:val="heading 9"/>
    <w:basedOn w:val="Normal"/>
    <w:next w:val="Normal"/>
    <w:link w:val="Heading9Char"/>
    <w:qFormat/>
    <w:rsid w:val="00D3479B"/>
    <w:pPr>
      <w:tabs>
        <w:tab w:val="num" w:pos="1584"/>
      </w:tabs>
      <w:spacing w:before="240" w:after="60" w:line="240" w:lineRule="auto"/>
      <w:ind w:left="1584" w:hanging="1584"/>
      <w:outlineLvl w:val="8"/>
    </w:pPr>
    <w:rPr>
      <w:rFonts w:ascii="Tw Cen MT" w:eastAsia="Times New Roman" w:hAnsi="Tw Cen MT"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Bullet Point,Bullet point,Bullet- First level,Figure_name,L,List NUmber,List Paragraph Number,List Paragraph1,List Paragraph11,Listenabsatz1,NAST Quote,Numbered Indented Text,Recommendation,bullet point list,lp1,standard lewi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Char,Bullet Point Char,Bullet point Char,Bullet- First level Char,Figure_name Char,L Char,List NUmber Char,List Paragraph Number Char,List Paragraph1 Char,List Paragraph11 Char,Listenabsatz1 Char,NAST Quote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Default">
    <w:name w:val="Default"/>
    <w:link w:val="DefaultChar"/>
    <w:rsid w:val="00A3124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DefaultChar">
    <w:name w:val="Default Char"/>
    <w:link w:val="Default"/>
    <w:rsid w:val="00A3124C"/>
    <w:rPr>
      <w:rFonts w:ascii="Calibri" w:eastAsia="Times New Roman" w:hAnsi="Calibri" w:cs="Calibri"/>
      <w:color w:val="000000"/>
      <w:sz w:val="24"/>
      <w:szCs w:val="24"/>
      <w:lang w:eastAsia="en-AU"/>
    </w:rPr>
  </w:style>
  <w:style w:type="table" w:customStyle="1" w:styleId="ASDTable1">
    <w:name w:val="ASD Table1"/>
    <w:basedOn w:val="TableNormal"/>
    <w:next w:val="TableGrid"/>
    <w:uiPriority w:val="59"/>
    <w:rsid w:val="0039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279F5"/>
    <w:pPr>
      <w:spacing w:after="0" w:line="240" w:lineRule="auto"/>
    </w:pPr>
    <w:rPr>
      <w:rFonts w:ascii="Tw Cen MT" w:eastAsia="Calibri" w:hAnsi="Tw Cen MT" w:cs="Calibri"/>
      <w:noProof/>
      <w:lang w:val="en-US"/>
    </w:rPr>
  </w:style>
  <w:style w:type="character" w:customStyle="1" w:styleId="EndNoteBibliographyChar">
    <w:name w:val="EndNote Bibliography Char"/>
    <w:link w:val="EndNoteBibliography"/>
    <w:rsid w:val="00D279F5"/>
    <w:rPr>
      <w:rFonts w:ascii="Tw Cen MT" w:eastAsia="Calibri" w:hAnsi="Tw Cen MT" w:cs="Calibri"/>
      <w:noProof/>
      <w:lang w:val="en-US"/>
    </w:rPr>
  </w:style>
  <w:style w:type="character" w:styleId="UnresolvedMention">
    <w:name w:val="Unresolved Mention"/>
    <w:basedOn w:val="DefaultParagraphFont"/>
    <w:uiPriority w:val="99"/>
    <w:semiHidden/>
    <w:unhideWhenUsed/>
    <w:rsid w:val="002F5049"/>
    <w:rPr>
      <w:color w:val="605E5C"/>
      <w:shd w:val="clear" w:color="auto" w:fill="E1DFDD"/>
    </w:rPr>
  </w:style>
  <w:style w:type="paragraph" w:styleId="NormalWeb">
    <w:name w:val="Normal (Web)"/>
    <w:basedOn w:val="Normal"/>
    <w:uiPriority w:val="99"/>
    <w:unhideWhenUsed/>
    <w:rsid w:val="004103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
    <w:name w:val="p"/>
    <w:basedOn w:val="Normal"/>
    <w:rsid w:val="00424D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rsid w:val="00383E98"/>
  </w:style>
  <w:style w:type="character" w:styleId="PageNumber">
    <w:name w:val="page number"/>
    <w:semiHidden/>
    <w:rsid w:val="00FF65B5"/>
    <w:rPr>
      <w:rFonts w:ascii="Arial Bold" w:hAnsi="Arial Bold"/>
      <w:b/>
      <w:color w:val="003D78"/>
    </w:rPr>
  </w:style>
  <w:style w:type="paragraph" w:styleId="EndnoteText">
    <w:name w:val="endnote text"/>
    <w:basedOn w:val="Normal"/>
    <w:link w:val="EndnoteTextChar"/>
    <w:semiHidden/>
    <w:unhideWhenUsed/>
    <w:rsid w:val="0021225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12252"/>
    <w:rPr>
      <w:rFonts w:ascii="Franklin Gothic Book" w:hAnsi="Franklin Gothic Book"/>
      <w:sz w:val="20"/>
      <w:szCs w:val="20"/>
    </w:rPr>
  </w:style>
  <w:style w:type="character" w:styleId="EndnoteReference">
    <w:name w:val="endnote reference"/>
    <w:basedOn w:val="DefaultParagraphFont"/>
    <w:uiPriority w:val="99"/>
    <w:semiHidden/>
    <w:unhideWhenUsed/>
    <w:rsid w:val="00212252"/>
    <w:rPr>
      <w:vertAlign w:val="superscript"/>
    </w:rPr>
  </w:style>
  <w:style w:type="character" w:customStyle="1" w:styleId="Heading6Char">
    <w:name w:val="Heading 6 Char"/>
    <w:basedOn w:val="DefaultParagraphFont"/>
    <w:link w:val="Heading6"/>
    <w:rsid w:val="00D3479B"/>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D3479B"/>
    <w:rPr>
      <w:rFonts w:ascii="Times New Roman" w:eastAsia="Times New Roman" w:hAnsi="Times New Roman" w:cs="Times New Roman"/>
      <w:sz w:val="24"/>
      <w:lang w:eastAsia="en-AU"/>
    </w:rPr>
  </w:style>
  <w:style w:type="character" w:customStyle="1" w:styleId="Heading8Char">
    <w:name w:val="Heading 8 Char"/>
    <w:basedOn w:val="DefaultParagraphFont"/>
    <w:link w:val="Heading8"/>
    <w:rsid w:val="00D3479B"/>
    <w:rPr>
      <w:rFonts w:ascii="Times New Roman" w:eastAsia="Times New Roman" w:hAnsi="Times New Roman" w:cs="Times New Roman"/>
      <w:i/>
      <w:iCs/>
      <w:sz w:val="24"/>
      <w:lang w:eastAsia="en-AU"/>
    </w:rPr>
  </w:style>
  <w:style w:type="character" w:customStyle="1" w:styleId="Heading9Char">
    <w:name w:val="Heading 9 Char"/>
    <w:basedOn w:val="DefaultParagraphFont"/>
    <w:link w:val="Heading9"/>
    <w:rsid w:val="00D3479B"/>
    <w:rPr>
      <w:rFonts w:ascii="Tw Cen MT" w:eastAsia="Times New Roman" w:hAnsi="Tw Cen MT" w:cs="Arial"/>
      <w:lang w:val="en-GB" w:eastAsia="en-AU"/>
    </w:rPr>
  </w:style>
  <w:style w:type="character" w:customStyle="1" w:styleId="ref-journal">
    <w:name w:val="ref-journal"/>
    <w:basedOn w:val="DefaultParagraphFont"/>
    <w:rsid w:val="008E2850"/>
  </w:style>
  <w:style w:type="character" w:customStyle="1" w:styleId="ref-vol">
    <w:name w:val="ref-vol"/>
    <w:basedOn w:val="DefaultParagraphFont"/>
    <w:rsid w:val="008E2850"/>
  </w:style>
  <w:style w:type="character" w:customStyle="1" w:styleId="ref-title">
    <w:name w:val="ref-title"/>
    <w:basedOn w:val="DefaultParagraphFont"/>
    <w:rsid w:val="000D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6153106">
      <w:bodyDiv w:val="1"/>
      <w:marLeft w:val="0"/>
      <w:marRight w:val="0"/>
      <w:marTop w:val="0"/>
      <w:marBottom w:val="0"/>
      <w:divBdr>
        <w:top w:val="none" w:sz="0" w:space="0" w:color="auto"/>
        <w:left w:val="none" w:sz="0" w:space="0" w:color="auto"/>
        <w:bottom w:val="none" w:sz="0" w:space="0" w:color="auto"/>
        <w:right w:val="none" w:sz="0" w:space="0" w:color="auto"/>
      </w:divBdr>
    </w:div>
    <w:div w:id="71857118">
      <w:bodyDiv w:val="1"/>
      <w:marLeft w:val="0"/>
      <w:marRight w:val="0"/>
      <w:marTop w:val="0"/>
      <w:marBottom w:val="0"/>
      <w:divBdr>
        <w:top w:val="none" w:sz="0" w:space="0" w:color="auto"/>
        <w:left w:val="none" w:sz="0" w:space="0" w:color="auto"/>
        <w:bottom w:val="none" w:sz="0" w:space="0" w:color="auto"/>
        <w:right w:val="none" w:sz="0" w:space="0" w:color="auto"/>
      </w:divBdr>
      <w:divsChild>
        <w:div w:id="7650748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3855961">
      <w:bodyDiv w:val="1"/>
      <w:marLeft w:val="0"/>
      <w:marRight w:val="0"/>
      <w:marTop w:val="0"/>
      <w:marBottom w:val="0"/>
      <w:divBdr>
        <w:top w:val="none" w:sz="0" w:space="0" w:color="auto"/>
        <w:left w:val="none" w:sz="0" w:space="0" w:color="auto"/>
        <w:bottom w:val="none" w:sz="0" w:space="0" w:color="auto"/>
        <w:right w:val="none" w:sz="0" w:space="0" w:color="auto"/>
      </w:divBdr>
    </w:div>
    <w:div w:id="339892627">
      <w:bodyDiv w:val="1"/>
      <w:marLeft w:val="0"/>
      <w:marRight w:val="0"/>
      <w:marTop w:val="0"/>
      <w:marBottom w:val="0"/>
      <w:divBdr>
        <w:top w:val="none" w:sz="0" w:space="0" w:color="auto"/>
        <w:left w:val="none" w:sz="0" w:space="0" w:color="auto"/>
        <w:bottom w:val="none" w:sz="0" w:space="0" w:color="auto"/>
        <w:right w:val="none" w:sz="0" w:space="0" w:color="auto"/>
      </w:divBdr>
    </w:div>
    <w:div w:id="340476714">
      <w:bodyDiv w:val="1"/>
      <w:marLeft w:val="0"/>
      <w:marRight w:val="0"/>
      <w:marTop w:val="0"/>
      <w:marBottom w:val="0"/>
      <w:divBdr>
        <w:top w:val="none" w:sz="0" w:space="0" w:color="auto"/>
        <w:left w:val="none" w:sz="0" w:space="0" w:color="auto"/>
        <w:bottom w:val="none" w:sz="0" w:space="0" w:color="auto"/>
        <w:right w:val="none" w:sz="0" w:space="0" w:color="auto"/>
      </w:divBdr>
    </w:div>
    <w:div w:id="34780216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3679694">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599522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6797317">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82103868">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9615225">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4622066">
      <w:bodyDiv w:val="1"/>
      <w:marLeft w:val="0"/>
      <w:marRight w:val="0"/>
      <w:marTop w:val="0"/>
      <w:marBottom w:val="0"/>
      <w:divBdr>
        <w:top w:val="none" w:sz="0" w:space="0" w:color="auto"/>
        <w:left w:val="none" w:sz="0" w:space="0" w:color="auto"/>
        <w:bottom w:val="none" w:sz="0" w:space="0" w:color="auto"/>
        <w:right w:val="none" w:sz="0" w:space="0" w:color="auto"/>
      </w:divBdr>
    </w:div>
    <w:div w:id="110619833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7521081">
      <w:bodyDiv w:val="1"/>
      <w:marLeft w:val="0"/>
      <w:marRight w:val="0"/>
      <w:marTop w:val="0"/>
      <w:marBottom w:val="0"/>
      <w:divBdr>
        <w:top w:val="none" w:sz="0" w:space="0" w:color="auto"/>
        <w:left w:val="none" w:sz="0" w:space="0" w:color="auto"/>
        <w:bottom w:val="none" w:sz="0" w:space="0" w:color="auto"/>
        <w:right w:val="none" w:sz="0" w:space="0" w:color="auto"/>
      </w:divBdr>
    </w:div>
    <w:div w:id="1203177841">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85970994">
      <w:bodyDiv w:val="1"/>
      <w:marLeft w:val="0"/>
      <w:marRight w:val="0"/>
      <w:marTop w:val="0"/>
      <w:marBottom w:val="0"/>
      <w:divBdr>
        <w:top w:val="none" w:sz="0" w:space="0" w:color="auto"/>
        <w:left w:val="none" w:sz="0" w:space="0" w:color="auto"/>
        <w:bottom w:val="none" w:sz="0" w:space="0" w:color="auto"/>
        <w:right w:val="none" w:sz="0" w:space="0" w:color="auto"/>
      </w:divBdr>
    </w:div>
    <w:div w:id="1543588949">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4792265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0159159">
      <w:bodyDiv w:val="1"/>
      <w:marLeft w:val="0"/>
      <w:marRight w:val="0"/>
      <w:marTop w:val="0"/>
      <w:marBottom w:val="0"/>
      <w:divBdr>
        <w:top w:val="none" w:sz="0" w:space="0" w:color="auto"/>
        <w:left w:val="none" w:sz="0" w:space="0" w:color="auto"/>
        <w:bottom w:val="none" w:sz="0" w:space="0" w:color="auto"/>
        <w:right w:val="none" w:sz="0" w:space="0" w:color="auto"/>
      </w:divBdr>
      <w:divsChild>
        <w:div w:id="2879291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10809252">
      <w:bodyDiv w:val="1"/>
      <w:marLeft w:val="0"/>
      <w:marRight w:val="0"/>
      <w:marTop w:val="0"/>
      <w:marBottom w:val="0"/>
      <w:divBdr>
        <w:top w:val="none" w:sz="0" w:space="0" w:color="auto"/>
        <w:left w:val="none" w:sz="0" w:space="0" w:color="auto"/>
        <w:bottom w:val="none" w:sz="0" w:space="0" w:color="auto"/>
        <w:right w:val="none" w:sz="0" w:space="0" w:color="auto"/>
      </w:divBdr>
      <w:divsChild>
        <w:div w:id="1104612887">
          <w:marLeft w:val="0"/>
          <w:marRight w:val="0"/>
          <w:marTop w:val="75"/>
          <w:marBottom w:val="0"/>
          <w:divBdr>
            <w:top w:val="none" w:sz="0" w:space="0" w:color="auto"/>
            <w:left w:val="none" w:sz="0" w:space="0" w:color="auto"/>
            <w:bottom w:val="none" w:sz="0" w:space="0" w:color="auto"/>
            <w:right w:val="none" w:sz="0" w:space="0" w:color="auto"/>
          </w:divBdr>
        </w:div>
        <w:div w:id="58287895">
          <w:marLeft w:val="0"/>
          <w:marRight w:val="0"/>
          <w:marTop w:val="75"/>
          <w:marBottom w:val="300"/>
          <w:divBdr>
            <w:top w:val="none" w:sz="0" w:space="0" w:color="auto"/>
            <w:left w:val="none" w:sz="0" w:space="0" w:color="auto"/>
            <w:bottom w:val="none" w:sz="0" w:space="0" w:color="auto"/>
            <w:right w:val="none" w:sz="0" w:space="0" w:color="auto"/>
          </w:divBdr>
        </w:div>
      </w:divsChild>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anceraustralia.gov.au/sites/default/files/publications/report-lung-cancer-screening-enquiry/pdf/report_on_the_lung_cancer_screening_enquiry_0.pdf" TargetMode="External"/><Relationship Id="rId26" Type="http://schemas.openxmlformats.org/officeDocument/2006/relationships/hyperlink" Target="https://pubmed.ncbi.nlm.nih.gov/32502939/" TargetMode="External"/><Relationship Id="rId3" Type="http://schemas.openxmlformats.org/officeDocument/2006/relationships/styles" Target="styles.xml"/><Relationship Id="rId21" Type="http://schemas.openxmlformats.org/officeDocument/2006/relationships/hyperlink" Target="https://www.sciencedirect.com/science/article/pii/S266677622100156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anceraustralia.gov.au/sites/default/files/publications/report-lung-cancer-screening-enquiry/pdf/report_on_the_lung_cancer_screening_enquiry_0.pdf" TargetMode="External"/><Relationship Id="rId25" Type="http://schemas.openxmlformats.org/officeDocument/2006/relationships/hyperlink" Target="https://bmcpulmmed.biomedcentral.com/articles/10.1186/s12890-019-0883-x" TargetMode="External"/><Relationship Id="rId2" Type="http://schemas.openxmlformats.org/officeDocument/2006/relationships/numbering" Target="numbering.xml"/><Relationship Id="rId16" Type="http://schemas.openxmlformats.org/officeDocument/2006/relationships/hyperlink" Target="https://www.canceraustralia.gov.au/sites/default/files/publications/report-lung-cancer-screening-enquiry/pdf/report_on_the_lung_cancer_screening_enquiry_0.pdf" TargetMode="External"/><Relationship Id="rId20" Type="http://schemas.openxmlformats.org/officeDocument/2006/relationships/hyperlink" Target="https://www.canceraustralia.gov.au/sites/default/files/publications/report-lung-cancer-screening-enquiry/pdf/report_on_the_lung_cancer_screening_enquiry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copubs.org/doi/full/10.1200/JCO.20.02574" TargetMode="External"/><Relationship Id="rId5" Type="http://schemas.openxmlformats.org/officeDocument/2006/relationships/webSettings" Target="webSettings.xml"/><Relationship Id="rId15" Type="http://schemas.openxmlformats.org/officeDocument/2006/relationships/hyperlink" Target="https://www.aihw.gov.au/reports/cancer/cancer-in-indigenous-australians/contents/table-of-contents" TargetMode="External"/><Relationship Id="rId23" Type="http://schemas.openxmlformats.org/officeDocument/2006/relationships/hyperlink" Target="https://www.annfammed.org/content/18/6/545.abstrac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anceraustralia.gov.au/sites/default/files/publications/report-lung-cancer-screening-enquiry/pdf/report_on_the_lung_cancer_screening_enquiry_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nk.springer.com/article/10.1007/s11606-020-05951-7"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acr.org/Clinical-Resources/Reporting-and-Data-Systems/Lung-Rads" TargetMode="External"/><Relationship Id="rId1" Type="http://schemas.openxmlformats.org/officeDocument/2006/relationships/hyperlink" Target="https://www.england.nhs.uk/publication/targeted-screening-for-lung-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DE65-5F05-418E-A49D-87CFF9FF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8218</Words>
  <Characters>46843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MSAC commentary executive summary</vt:lpstr>
    </vt:vector>
  </TitlesOfParts>
  <Manager/>
  <Company/>
  <LinksUpToDate>false</LinksUpToDate>
  <CharactersWithSpaces>54952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commentary executive summary</dc:title>
  <dc:subject/>
  <dc:creator>Australian Government Department of Health</dc:creator>
  <cp:keywords/>
  <dc:description/>
  <cp:lastModifiedBy>HAMBLEY, Carolyn</cp:lastModifiedBy>
  <cp:revision>14</cp:revision>
  <cp:lastPrinted>2022-01-26T21:54:00Z</cp:lastPrinted>
  <dcterms:created xsi:type="dcterms:W3CDTF">2022-03-31T03:28:00Z</dcterms:created>
  <dcterms:modified xsi:type="dcterms:W3CDTF">2022-06-30T03:26:00Z</dcterms:modified>
  <cp:category/>
</cp:coreProperties>
</file>